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947CAE" wp14:editId="037FF15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E5A26B7" wp14:editId="438C165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D24FBF" w:rsidP="00530525">
            <w:pPr>
              <w:spacing w:before="0"/>
            </w:pPr>
            <w:r w:rsidRPr="00D24FBF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D24FBF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 w:rsidRPr="00AC6787">
              <w:rPr>
                <w:rFonts w:ascii="Verdana" w:eastAsia="Times New Roman" w:hAnsi="Verdana" w:cs="Times New Roman Bold"/>
                <w:b/>
                <w:bCs/>
                <w:sz w:val="20"/>
              </w:rPr>
              <w:t>Document 92-F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D24FBF" w:rsidP="00530525">
            <w:pPr>
              <w:spacing w:before="0"/>
            </w:pPr>
            <w:r w:rsidRPr="00AC6787">
              <w:rPr>
                <w:rFonts w:ascii="Verdana" w:eastAsia="Times New Roman" w:hAnsi="Verdana" w:cs="Times New Roman Bold"/>
                <w:b/>
                <w:bCs/>
                <w:sz w:val="20"/>
              </w:rPr>
              <w:t>2 novembre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D24FBF" w:rsidP="00530525">
            <w:pPr>
              <w:spacing w:before="0"/>
            </w:pPr>
            <w:r w:rsidRPr="00AC6787">
              <w:rPr>
                <w:rFonts w:ascii="Verdana" w:eastAsia="Times New Roman" w:hAnsi="Verdana" w:cs="Times New Roman Bold"/>
                <w:b/>
                <w:bCs/>
                <w:sz w:val="20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D24FBF" w:rsidP="00530525">
            <w:pPr>
              <w:pStyle w:val="Source"/>
            </w:pPr>
            <w:r w:rsidRPr="00AC6787">
              <w:rPr>
                <w:rFonts w:eastAsia="Times New Roman"/>
              </w:rPr>
              <w:t>Président de la Commission 4</w:t>
            </w:r>
          </w:p>
        </w:tc>
      </w:tr>
      <w:tr w:rsidR="00595780" w:rsidRPr="002A48D7" w:rsidTr="00530525">
        <w:trPr>
          <w:cantSplit/>
        </w:trPr>
        <w:tc>
          <w:tcPr>
            <w:tcW w:w="9811" w:type="dxa"/>
            <w:gridSpan w:val="4"/>
          </w:tcPr>
          <w:p w:rsidR="00595780" w:rsidRPr="00D24FBF" w:rsidRDefault="00D24FBF" w:rsidP="00D24FBF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rFonts w:eastAsia="Times New Roman"/>
                <w:caps/>
                <w:sz w:val="28"/>
                <w:lang w:val="fr-FR"/>
              </w:rPr>
            </w:pPr>
            <w:r w:rsidRPr="00AC6787">
              <w:rPr>
                <w:rFonts w:eastAsia="Times New Roman"/>
                <w:caps/>
                <w:sz w:val="28"/>
                <w:lang w:val="fr-FR"/>
              </w:rPr>
              <w:t>RAPPORT FINAL DE LA COMMISSION 4</w:t>
            </w:r>
            <w:r>
              <w:rPr>
                <w:rFonts w:eastAsia="Times New Roman"/>
                <w:caps/>
                <w:sz w:val="28"/>
                <w:lang w:val="fr-FR"/>
              </w:rPr>
              <w:br/>
            </w:r>
            <w:r w:rsidRPr="00AC6787">
              <w:rPr>
                <w:rFonts w:eastAsia="Times New Roman"/>
                <w:caps/>
                <w:sz w:val="28"/>
                <w:lang w:val="fr-FR"/>
              </w:rPr>
              <w:t>"PROGRAMME DE TRAVAIL ET ORGANISATION DE L</w:t>
            </w:r>
            <w:r w:rsidR="00C1648C">
              <w:rPr>
                <w:rFonts w:eastAsia="Times New Roman"/>
                <w:caps/>
                <w:sz w:val="28"/>
                <w:lang w:val="fr-FR"/>
              </w:rPr>
              <w:t>'</w:t>
            </w:r>
            <w:r w:rsidRPr="00AC6787">
              <w:rPr>
                <w:rFonts w:eastAsia="Times New Roman"/>
                <w:caps/>
                <w:sz w:val="28"/>
                <w:lang w:val="fr-FR"/>
              </w:rPr>
              <w:t>UIT-T"</w:t>
            </w:r>
          </w:p>
        </w:tc>
      </w:tr>
      <w:tr w:rsidR="00595780" w:rsidRPr="002A48D7" w:rsidTr="00D24FBF">
        <w:trPr>
          <w:cantSplit/>
          <w:trHeight w:val="60"/>
        </w:trPr>
        <w:tc>
          <w:tcPr>
            <w:tcW w:w="9811" w:type="dxa"/>
            <w:gridSpan w:val="4"/>
          </w:tcPr>
          <w:p w:rsidR="00595780" w:rsidRPr="002A48D7" w:rsidRDefault="00595780" w:rsidP="00D24FBF">
            <w:pPr>
              <w:pStyle w:val="Title2"/>
              <w:spacing w:before="0"/>
              <w:rPr>
                <w:lang w:val="fr-CH"/>
              </w:rPr>
            </w:pPr>
          </w:p>
        </w:tc>
      </w:tr>
      <w:tr w:rsidR="00C26BA2" w:rsidTr="00D24FBF">
        <w:trPr>
          <w:cantSplit/>
          <w:trHeight w:val="155"/>
        </w:trPr>
        <w:tc>
          <w:tcPr>
            <w:tcW w:w="9811" w:type="dxa"/>
            <w:gridSpan w:val="4"/>
          </w:tcPr>
          <w:p w:rsidR="00C26BA2" w:rsidRPr="002A6F8F" w:rsidRDefault="00D24FBF" w:rsidP="00D24FBF">
            <w:pPr>
              <w:pStyle w:val="Agendaitem"/>
              <w:spacing w:before="0"/>
              <w:rPr>
                <w:lang w:val="en-US"/>
              </w:rPr>
            </w:pPr>
            <w:r w:rsidRPr="00AC6787">
              <w:rPr>
                <w:b/>
                <w:bCs/>
                <w:szCs w:val="28"/>
              </w:rPr>
              <w:t xml:space="preserve">Président: </w:t>
            </w:r>
            <w:r w:rsidRPr="006528B3">
              <w:rPr>
                <w:szCs w:val="28"/>
              </w:rPr>
              <w:t>M. Kwame Baah-Acheamfuor (Ghana)</w:t>
            </w:r>
          </w:p>
        </w:tc>
      </w:tr>
    </w:tbl>
    <w:p w:rsidR="00D24FBF" w:rsidRPr="00B75E5E" w:rsidRDefault="00D24FBF" w:rsidP="00B75E5E">
      <w:pPr>
        <w:pStyle w:val="Heading1"/>
      </w:pPr>
      <w:r w:rsidRPr="00B75E5E">
        <w:t>1</w:t>
      </w:r>
      <w:r w:rsidRPr="00B75E5E">
        <w:tab/>
        <w:t>Introduction</w:t>
      </w:r>
    </w:p>
    <w:p w:rsidR="00D24FBF" w:rsidRPr="00B2011E" w:rsidRDefault="00D24FBF" w:rsidP="00D24FBF">
      <w:pPr>
        <w:rPr>
          <w:lang w:val="fr-FR"/>
        </w:rPr>
      </w:pPr>
      <w:r w:rsidRPr="00DA7562">
        <w:rPr>
          <w:b/>
          <w:bCs/>
          <w:lang w:val="fr-FR"/>
        </w:rPr>
        <w:t>1.1</w:t>
      </w:r>
      <w:r w:rsidRPr="00B2011E">
        <w:rPr>
          <w:lang w:val="fr-FR"/>
        </w:rPr>
        <w:tab/>
      </w:r>
      <w:r w:rsidRPr="00AC6787">
        <w:rPr>
          <w:lang w:val="fr-FR"/>
        </w:rPr>
        <w:t>Le mandat de la Commission 4 (Programme de travail et organisation de l</w:t>
      </w:r>
      <w:r w:rsidR="00C1648C">
        <w:rPr>
          <w:lang w:val="fr-FR"/>
        </w:rPr>
        <w:t>'</w:t>
      </w:r>
      <w:r w:rsidRPr="00AC6787">
        <w:rPr>
          <w:lang w:val="fr-FR"/>
        </w:rPr>
        <w:t>UIT-T) figure dans le Document DT/4.</w:t>
      </w:r>
    </w:p>
    <w:p w:rsidR="00D24FBF" w:rsidRPr="00E317AC" w:rsidRDefault="00D24FBF" w:rsidP="00D24FBF">
      <w:pPr>
        <w:rPr>
          <w:lang w:val="fr-FR"/>
        </w:rPr>
      </w:pPr>
      <w:r w:rsidRPr="00DA7562">
        <w:rPr>
          <w:b/>
          <w:bCs/>
          <w:lang w:val="fr-FR"/>
        </w:rPr>
        <w:t>1.2</w:t>
      </w:r>
      <w:r w:rsidRPr="00956675">
        <w:rPr>
          <w:lang w:val="fr-FR"/>
        </w:rPr>
        <w:tab/>
      </w:r>
      <w:r>
        <w:rPr>
          <w:lang w:val="fr-FR"/>
        </w:rPr>
        <w:t>Les séances de la Commission 4</w:t>
      </w:r>
      <w:r w:rsidRPr="00AC6787">
        <w:rPr>
          <w:lang w:val="fr-FR"/>
        </w:rPr>
        <w:t xml:space="preserve"> </w:t>
      </w:r>
      <w:r>
        <w:rPr>
          <w:lang w:val="fr-FR"/>
        </w:rPr>
        <w:t>se sont tenues</w:t>
      </w:r>
      <w:r w:rsidRPr="00AC6787">
        <w:rPr>
          <w:lang w:val="fr-FR"/>
        </w:rPr>
        <w:t xml:space="preserve"> sous la présidence de M. Kwame BAAH-Acheamfuor (Ghana) assisté des Vice-Présidents de la Commission, M. Rodolfo De la Rosa Rábago (Mexique), M. José Cabrera (Espagne), M. Hyoung Jun Kim (Corée, Rép. de) et Mme Umida R. Musayeva (Ouzbékistan).</w:t>
      </w:r>
      <w:r w:rsidRPr="00956675">
        <w:rPr>
          <w:lang w:val="fr-FR"/>
        </w:rPr>
        <w:t xml:space="preserve"> </w:t>
      </w:r>
      <w:r w:rsidRPr="00E317AC">
        <w:rPr>
          <w:lang w:val="fr-FR"/>
        </w:rPr>
        <w:t xml:space="preserve">La Commission 4 a deux groupes de travail, à savoir le Groupe de travail 4A (GT4A) présidé par M. Fabio Bigi (Italie) assisté de M. Kaoru Kenyoshi (Japon), Vice-Président du GT 4A, et le Groupe de travail 4B présidé par M. Jeferson Nacif (Brésil). </w:t>
      </w:r>
      <w:r w:rsidRPr="00AC6787">
        <w:rPr>
          <w:lang w:val="fr-FR"/>
        </w:rPr>
        <w:t xml:space="preserve">Le Président était directement secondé par M. Simão Campos-Neto, Mme Cristina Bueti et M. Stefano Polidori, du TSB. </w:t>
      </w:r>
    </w:p>
    <w:p w:rsidR="00D24FBF" w:rsidRPr="006944F5" w:rsidRDefault="00D24FBF" w:rsidP="00D24FBF">
      <w:pPr>
        <w:rPr>
          <w:b/>
          <w:bCs/>
          <w:i/>
          <w:iCs/>
          <w:lang w:val="fr-FR"/>
        </w:rPr>
      </w:pPr>
      <w:r w:rsidRPr="00DA7562">
        <w:rPr>
          <w:b/>
          <w:bCs/>
          <w:lang w:val="fr-FR"/>
        </w:rPr>
        <w:t>1.3</w:t>
      </w:r>
      <w:r w:rsidRPr="005747D8">
        <w:rPr>
          <w:lang w:val="fr-FR"/>
        </w:rPr>
        <w:tab/>
      </w:r>
      <w:r w:rsidRPr="00401CC7">
        <w:rPr>
          <w:lang w:val="fr-FR"/>
        </w:rPr>
        <w:t xml:space="preserve">La Commission a tenu sept séances et les rapports correspondants peuvent être consultés respectivement dans les Documents </w:t>
      </w:r>
      <w:hyperlink r:id="rId10" w:history="1">
        <w:r>
          <w:rPr>
            <w:rStyle w:val="Hyperlink"/>
            <w:lang w:val="fr-FR"/>
          </w:rPr>
          <w:t>65</w:t>
        </w:r>
      </w:hyperlink>
      <w:r w:rsidRPr="00401CC7">
        <w:rPr>
          <w:lang w:val="fr-FR"/>
        </w:rPr>
        <w:t xml:space="preserve">, </w:t>
      </w:r>
      <w:hyperlink r:id="rId11" w:history="1">
        <w:r>
          <w:rPr>
            <w:rStyle w:val="Hyperlink"/>
            <w:lang w:val="fr-FR"/>
          </w:rPr>
          <w:t>70</w:t>
        </w:r>
      </w:hyperlink>
      <w:r w:rsidRPr="00401CC7">
        <w:rPr>
          <w:lang w:val="fr-FR"/>
        </w:rPr>
        <w:t xml:space="preserve">, </w:t>
      </w:r>
      <w:hyperlink r:id="rId12" w:history="1">
        <w:r w:rsidR="00FE705D" w:rsidRPr="00FE705D">
          <w:rPr>
            <w:rStyle w:val="Hyperlink"/>
            <w:lang w:val="fr-FR"/>
          </w:rPr>
          <w:t>73</w:t>
        </w:r>
      </w:hyperlink>
      <w:r w:rsidR="00FE705D">
        <w:rPr>
          <w:lang w:val="fr-FR"/>
        </w:rPr>
        <w:t xml:space="preserve">, </w:t>
      </w:r>
      <w:hyperlink r:id="rId13" w:history="1">
        <w:r>
          <w:rPr>
            <w:rStyle w:val="Hyperlink"/>
            <w:lang w:val="fr-FR"/>
          </w:rPr>
          <w:t>83</w:t>
        </w:r>
      </w:hyperlink>
      <w:r w:rsidRPr="00401CC7">
        <w:rPr>
          <w:lang w:val="fr-FR"/>
        </w:rPr>
        <w:t xml:space="preserve">, </w:t>
      </w:r>
      <w:hyperlink r:id="rId14" w:history="1">
        <w:r>
          <w:rPr>
            <w:rStyle w:val="Hyperlink"/>
            <w:lang w:val="fr-FR"/>
          </w:rPr>
          <w:t>90</w:t>
        </w:r>
      </w:hyperlink>
      <w:r w:rsidRPr="00401CC7">
        <w:rPr>
          <w:lang w:val="fr-FR"/>
        </w:rPr>
        <w:t xml:space="preserve"> et </w:t>
      </w:r>
      <w:hyperlink r:id="rId15" w:history="1">
        <w:r w:rsidRPr="00FE705D">
          <w:rPr>
            <w:rStyle w:val="Hyperlink"/>
            <w:lang w:val="fr-FR"/>
          </w:rPr>
          <w:t>91</w:t>
        </w:r>
      </w:hyperlink>
      <w:r w:rsidRPr="00FE705D">
        <w:rPr>
          <w:lang w:val="fr-FR"/>
        </w:rPr>
        <w:t>.</w:t>
      </w:r>
      <w:r w:rsidRPr="005747D8">
        <w:rPr>
          <w:lang w:val="fr-FR"/>
        </w:rPr>
        <w:t xml:space="preserve"> </w:t>
      </w:r>
      <w:r w:rsidRPr="009071D2">
        <w:rPr>
          <w:lang w:val="fr-FR"/>
        </w:rPr>
        <w:t xml:space="preserve">Les rapports des séances 1 </w:t>
      </w:r>
      <w:r w:rsidR="00C34854">
        <w:rPr>
          <w:lang w:val="fr-FR"/>
        </w:rPr>
        <w:t>et</w:t>
      </w:r>
      <w:r w:rsidR="00C34854" w:rsidRPr="00C34854">
        <w:rPr>
          <w:lang w:val="fr-FR" w:eastAsia="zh-CN"/>
        </w:rPr>
        <w:t> </w:t>
      </w:r>
      <w:r w:rsidRPr="009071D2">
        <w:rPr>
          <w:lang w:val="fr-FR"/>
        </w:rPr>
        <w:t>2 (Documents 65 et 70) ont été approuvés par la plénière de l</w:t>
      </w:r>
      <w:r w:rsidR="00C1648C">
        <w:rPr>
          <w:lang w:val="fr-FR"/>
        </w:rPr>
        <w:t>'</w:t>
      </w:r>
      <w:r w:rsidRPr="009071D2">
        <w:rPr>
          <w:lang w:val="fr-FR"/>
        </w:rPr>
        <w:t>AM</w:t>
      </w:r>
      <w:r w:rsidR="00C1648C">
        <w:rPr>
          <w:lang w:val="fr-FR"/>
        </w:rPr>
        <w:t>NT, et les rapports des séances </w:t>
      </w:r>
      <w:r w:rsidRPr="009071D2">
        <w:rPr>
          <w:lang w:val="fr-FR"/>
        </w:rPr>
        <w:t>3 à 5 (Documents 73 et 83) ont été approuvés par la Commission 4 mais n</w:t>
      </w:r>
      <w:r w:rsidR="00C1648C">
        <w:rPr>
          <w:lang w:val="fr-FR"/>
        </w:rPr>
        <w:t>'</w:t>
      </w:r>
      <w:r w:rsidRPr="009071D2">
        <w:rPr>
          <w:lang w:val="fr-FR"/>
        </w:rPr>
        <w:t xml:space="preserve">ont pas encore été examinés par la plénière. </w:t>
      </w:r>
      <w:r w:rsidRPr="00AC6787">
        <w:rPr>
          <w:lang w:val="fr-FR"/>
        </w:rPr>
        <w:t>Le rapport de synthèse des séances 6 et</w:t>
      </w:r>
      <w:r w:rsidR="00C1648C">
        <w:rPr>
          <w:lang w:val="fr-FR"/>
        </w:rPr>
        <w:t xml:space="preserve"> 7, qui figure dans le Document </w:t>
      </w:r>
      <w:r w:rsidRPr="00AC6787">
        <w:rPr>
          <w:lang w:val="fr-FR"/>
        </w:rPr>
        <w:t>91, est directement soumis à la plénière pour approbation.</w:t>
      </w:r>
    </w:p>
    <w:p w:rsidR="00D24FBF" w:rsidRPr="0054550F" w:rsidRDefault="00D24FBF" w:rsidP="00D24FBF">
      <w:pPr>
        <w:rPr>
          <w:lang w:val="fr-FR"/>
        </w:rPr>
      </w:pPr>
      <w:r w:rsidRPr="00DA7562">
        <w:rPr>
          <w:b/>
          <w:bCs/>
          <w:lang w:val="fr-FR"/>
        </w:rPr>
        <w:t>1.4</w:t>
      </w:r>
      <w:r w:rsidRPr="0054550F">
        <w:rPr>
          <w:lang w:val="fr-FR"/>
        </w:rPr>
        <w:tab/>
      </w:r>
      <w:r w:rsidRPr="00AC6787">
        <w:rPr>
          <w:lang w:val="fr-FR"/>
        </w:rPr>
        <w:t>Les séances se sont tenues sur la base de l</w:t>
      </w:r>
      <w:r w:rsidR="00C1648C">
        <w:rPr>
          <w:lang w:val="fr-FR"/>
        </w:rPr>
        <w:t>'</w:t>
      </w:r>
      <w:r w:rsidRPr="00AC6787">
        <w:rPr>
          <w:lang w:val="fr-FR"/>
        </w:rPr>
        <w:t xml:space="preserve">attribution des documents à la Commission 4, comme indiqué dans le Document </w:t>
      </w:r>
      <w:hyperlink r:id="rId16" w:history="1">
        <w:r w:rsidRPr="00AC6787">
          <w:rPr>
            <w:rStyle w:val="Hyperlink"/>
            <w:lang w:val="fr-FR"/>
          </w:rPr>
          <w:t>DT/1</w:t>
        </w:r>
      </w:hyperlink>
      <w:r w:rsidRPr="00AC6787">
        <w:rPr>
          <w:lang w:val="fr-FR"/>
        </w:rPr>
        <w:t xml:space="preserve">, ainsi que des thèmes énumérés dans le Document </w:t>
      </w:r>
      <w:hyperlink r:id="rId17" w:history="1">
        <w:r w:rsidRPr="00AC6787">
          <w:rPr>
            <w:rStyle w:val="Hyperlink"/>
            <w:lang w:val="fr-FR"/>
          </w:rPr>
          <w:t>DT/8</w:t>
        </w:r>
      </w:hyperlink>
      <w:r w:rsidRPr="00AC6787">
        <w:rPr>
          <w:lang w:val="fr-FR"/>
        </w:rPr>
        <w:t xml:space="preserve"> et dans sa Révision 1 et des mises à jour quotidiennes des ordres du jour présentées dans les Documents ADM.</w:t>
      </w:r>
    </w:p>
    <w:p w:rsidR="00D24FBF" w:rsidRPr="002A48D7" w:rsidRDefault="00D24FBF" w:rsidP="00B75E5E">
      <w:pPr>
        <w:pStyle w:val="Heading1"/>
        <w:rPr>
          <w:lang w:val="fr-CH"/>
        </w:rPr>
      </w:pPr>
      <w:r w:rsidRPr="002A48D7">
        <w:rPr>
          <w:lang w:val="fr-CH"/>
        </w:rPr>
        <w:lastRenderedPageBreak/>
        <w:t>2</w:t>
      </w:r>
      <w:r w:rsidRPr="002A48D7">
        <w:rPr>
          <w:lang w:val="fr-CH"/>
        </w:rPr>
        <w:tab/>
        <w:t>Structure des commissions d</w:t>
      </w:r>
      <w:r w:rsidR="00C1648C">
        <w:rPr>
          <w:lang w:val="fr-CH"/>
        </w:rPr>
        <w:t>'</w:t>
      </w:r>
      <w:r w:rsidRPr="002A48D7">
        <w:rPr>
          <w:lang w:val="fr-CH"/>
        </w:rPr>
        <w:t>études</w:t>
      </w:r>
    </w:p>
    <w:p w:rsidR="00D24FBF" w:rsidRPr="002A48D7" w:rsidRDefault="00D24FBF" w:rsidP="00D845FF">
      <w:pPr>
        <w:pStyle w:val="Heading2"/>
        <w:rPr>
          <w:lang w:val="fr-CH"/>
        </w:rPr>
      </w:pPr>
      <w:r w:rsidRPr="002A48D7">
        <w:rPr>
          <w:lang w:val="fr-CH"/>
        </w:rPr>
        <w:t>2.1</w:t>
      </w:r>
      <w:r w:rsidRPr="002A48D7">
        <w:rPr>
          <w:lang w:val="fr-CH"/>
        </w:rPr>
        <w:tab/>
        <w:t>Considérations générales</w:t>
      </w:r>
    </w:p>
    <w:p w:rsidR="00D24FBF" w:rsidRPr="00835445" w:rsidRDefault="00D24FBF" w:rsidP="00D24FBF">
      <w:pPr>
        <w:rPr>
          <w:bCs/>
          <w:lang w:val="fr-FR"/>
        </w:rPr>
      </w:pPr>
      <w:r w:rsidRPr="00835445">
        <w:rPr>
          <w:b/>
          <w:bCs/>
          <w:lang w:val="fr-FR"/>
        </w:rPr>
        <w:t>2.1.1</w:t>
      </w:r>
      <w:r w:rsidRPr="00835445">
        <w:rPr>
          <w:lang w:val="fr-FR"/>
        </w:rPr>
        <w:tab/>
      </w:r>
      <w:r w:rsidRPr="00AC6787">
        <w:rPr>
          <w:lang w:val="fr-FR"/>
        </w:rPr>
        <w:t>Les discussions concernant la structure et le mandat des commissions d</w:t>
      </w:r>
      <w:r w:rsidR="00C1648C">
        <w:rPr>
          <w:lang w:val="fr-FR"/>
        </w:rPr>
        <w:t>'</w:t>
      </w:r>
      <w:r w:rsidRPr="00AC6787">
        <w:rPr>
          <w:lang w:val="fr-FR"/>
        </w:rPr>
        <w:t>études, ainsi que l</w:t>
      </w:r>
      <w:r w:rsidR="00C1648C">
        <w:rPr>
          <w:lang w:val="fr-FR"/>
        </w:rPr>
        <w:t>'</w:t>
      </w:r>
      <w:r w:rsidRPr="00AC6787">
        <w:rPr>
          <w:lang w:val="fr-FR"/>
        </w:rPr>
        <w:t>attribution des Questions ont été fondées sur les nombreuses propositions formulées par des membres et portées à l</w:t>
      </w:r>
      <w:r w:rsidR="00C1648C">
        <w:rPr>
          <w:lang w:val="fr-FR"/>
        </w:rPr>
        <w:t>'</w:t>
      </w:r>
      <w:r w:rsidRPr="00AC6787">
        <w:rPr>
          <w:lang w:val="fr-FR"/>
        </w:rPr>
        <w:t>attention de la Commission 4.</w:t>
      </w:r>
    </w:p>
    <w:p w:rsidR="00D24FBF" w:rsidRPr="00873158" w:rsidRDefault="00D24FBF" w:rsidP="00D24FBF">
      <w:pPr>
        <w:rPr>
          <w:lang w:val="fr-FR"/>
        </w:rPr>
      </w:pPr>
      <w:r w:rsidRPr="00835445">
        <w:rPr>
          <w:b/>
          <w:bCs/>
          <w:lang w:val="fr-FR"/>
        </w:rPr>
        <w:t>2.1.2</w:t>
      </w:r>
      <w:r w:rsidRPr="00835445">
        <w:rPr>
          <w:lang w:val="fr-FR"/>
        </w:rPr>
        <w:tab/>
      </w:r>
      <w:r w:rsidRPr="00AC6787">
        <w:rPr>
          <w:lang w:val="fr-FR"/>
        </w:rPr>
        <w:t>Les accords intervenus concernant la structure et la désignation des commissions d</w:t>
      </w:r>
      <w:r w:rsidR="00C1648C">
        <w:rPr>
          <w:lang w:val="fr-FR"/>
        </w:rPr>
        <w:t>'</w:t>
      </w:r>
      <w:r w:rsidRPr="00AC6787">
        <w:rPr>
          <w:lang w:val="fr-FR"/>
        </w:rPr>
        <w:t>études, leur numérotation et leur mandat, ainsi que les Questions qui leur sont attribuées, sont repris au § 2.2 ci-après.</w:t>
      </w:r>
      <w:r w:rsidRPr="00835445">
        <w:rPr>
          <w:lang w:val="fr-FR"/>
        </w:rPr>
        <w:t xml:space="preserve"> </w:t>
      </w:r>
      <w:r w:rsidRPr="00AC6787">
        <w:rPr>
          <w:lang w:val="fr-FR"/>
        </w:rPr>
        <w:t>Le nombre de commissions d</w:t>
      </w:r>
      <w:r w:rsidR="00C1648C">
        <w:rPr>
          <w:lang w:val="fr-FR"/>
        </w:rPr>
        <w:t>'</w:t>
      </w:r>
      <w:r w:rsidRPr="00AC6787">
        <w:rPr>
          <w:lang w:val="fr-FR"/>
        </w:rPr>
        <w:t>études reste à onze.</w:t>
      </w:r>
    </w:p>
    <w:p w:rsidR="00D24FBF" w:rsidRPr="00873158" w:rsidRDefault="00D24FBF" w:rsidP="00D24FBF">
      <w:pPr>
        <w:rPr>
          <w:lang w:val="fr-FR"/>
        </w:rPr>
      </w:pPr>
      <w:r w:rsidRPr="00873158">
        <w:rPr>
          <w:b/>
          <w:bCs/>
          <w:lang w:val="fr-FR"/>
        </w:rPr>
        <w:t>2.1.3</w:t>
      </w:r>
      <w:r w:rsidRPr="00873158">
        <w:rPr>
          <w:lang w:val="fr-FR"/>
        </w:rPr>
        <w:tab/>
      </w:r>
      <w:r>
        <w:rPr>
          <w:lang w:val="fr-FR"/>
        </w:rPr>
        <w:t>La désignation</w:t>
      </w:r>
      <w:r w:rsidRPr="00873158">
        <w:rPr>
          <w:lang w:val="fr-FR"/>
        </w:rPr>
        <w:t>, le mandat, les rôles de Commission d</w:t>
      </w:r>
      <w:r w:rsidR="00C1648C">
        <w:rPr>
          <w:lang w:val="fr-FR"/>
        </w:rPr>
        <w:t>'</w:t>
      </w:r>
      <w:r w:rsidRPr="00873158">
        <w:rPr>
          <w:lang w:val="fr-FR"/>
        </w:rPr>
        <w:t xml:space="preserve">études directrice et les points de repère concernant la Résolution 2 ont été approuvés par la Commission 4 et figurent dans le Document </w:t>
      </w:r>
      <w:hyperlink r:id="rId18" w:history="1">
        <w:r>
          <w:rPr>
            <w:rStyle w:val="Hyperlink"/>
            <w:lang w:val="fr-FR"/>
          </w:rPr>
          <w:t>118</w:t>
        </w:r>
      </w:hyperlink>
      <w:r w:rsidRPr="00873158">
        <w:rPr>
          <w:lang w:val="fr-FR"/>
        </w:rPr>
        <w:t xml:space="preserve"> (document </w:t>
      </w:r>
      <w:r w:rsidR="001527AA">
        <w:rPr>
          <w:lang w:val="fr-FR"/>
        </w:rPr>
        <w:t>"</w:t>
      </w:r>
      <w:r w:rsidRPr="00873158">
        <w:rPr>
          <w:lang w:val="fr-FR"/>
        </w:rPr>
        <w:t>blanc</w:t>
      </w:r>
      <w:r w:rsidR="001527AA">
        <w:rPr>
          <w:lang w:val="fr-FR"/>
        </w:rPr>
        <w:t>"</w:t>
      </w:r>
      <w:r w:rsidRPr="00873158">
        <w:rPr>
          <w:lang w:val="fr-FR"/>
        </w:rPr>
        <w:t xml:space="preserve"> de la Commission 5). </w:t>
      </w:r>
    </w:p>
    <w:p w:rsidR="00D24FBF" w:rsidRPr="006B2371" w:rsidRDefault="00D24FBF" w:rsidP="00D24FBF">
      <w:pPr>
        <w:rPr>
          <w:lang w:val="fr-FR"/>
        </w:rPr>
      </w:pPr>
      <w:r w:rsidRPr="006B2371">
        <w:rPr>
          <w:b/>
          <w:bCs/>
          <w:lang w:val="fr-FR"/>
        </w:rPr>
        <w:t>2.1.4</w:t>
      </w:r>
      <w:r w:rsidRPr="006B2371">
        <w:rPr>
          <w:lang w:val="fr-FR"/>
        </w:rPr>
        <w:tab/>
        <w:t xml:space="preserve">Il a également été convenu de </w:t>
      </w:r>
      <w:r w:rsidRPr="008E1EAC">
        <w:rPr>
          <w:b/>
          <w:bCs/>
          <w:lang w:val="fr-FR"/>
        </w:rPr>
        <w:t>charger le TSB</w:t>
      </w:r>
      <w:r w:rsidRPr="006B2371">
        <w:rPr>
          <w:lang w:val="fr-FR"/>
        </w:rPr>
        <w:t xml:space="preserve"> de </w:t>
      </w:r>
      <w:r w:rsidRPr="008E1EAC">
        <w:rPr>
          <w:b/>
          <w:bCs/>
          <w:lang w:val="fr-FR"/>
        </w:rPr>
        <w:t>mettre à jour l</w:t>
      </w:r>
      <w:r w:rsidR="00C1648C">
        <w:rPr>
          <w:b/>
          <w:bCs/>
          <w:lang w:val="fr-FR"/>
        </w:rPr>
        <w:t>'</w:t>
      </w:r>
      <w:r w:rsidRPr="008E1EAC">
        <w:rPr>
          <w:b/>
          <w:bCs/>
          <w:lang w:val="fr-FR"/>
        </w:rPr>
        <w:t>Annexe C de la Résolution 2</w:t>
      </w:r>
      <w:r w:rsidRPr="006B2371">
        <w:rPr>
          <w:lang w:val="fr-FR"/>
        </w:rPr>
        <w:t xml:space="preserve">, comme cela a été le cas </w:t>
      </w:r>
      <w:r>
        <w:rPr>
          <w:lang w:val="fr-FR"/>
        </w:rPr>
        <w:t>lors des</w:t>
      </w:r>
      <w:r w:rsidRPr="006B2371">
        <w:rPr>
          <w:lang w:val="fr-FR"/>
        </w:rPr>
        <w:t xml:space="preserve"> précédentes assemblées.</w:t>
      </w:r>
    </w:p>
    <w:p w:rsidR="00D24FBF" w:rsidRPr="002A48D7" w:rsidRDefault="00D24FBF" w:rsidP="00D845FF">
      <w:pPr>
        <w:pStyle w:val="Heading2"/>
        <w:rPr>
          <w:lang w:val="fr-CH"/>
        </w:rPr>
      </w:pPr>
      <w:r w:rsidRPr="002A48D7">
        <w:rPr>
          <w:lang w:val="fr-CH"/>
        </w:rPr>
        <w:t>2.2</w:t>
      </w:r>
      <w:r w:rsidRPr="002A48D7">
        <w:rPr>
          <w:lang w:val="fr-CH"/>
        </w:rPr>
        <w:tab/>
        <w:t>Désignation, mandat, Questions, etc., des différentes Commissions d</w:t>
      </w:r>
      <w:r w:rsidR="00C1648C">
        <w:rPr>
          <w:lang w:val="fr-CH"/>
        </w:rPr>
        <w:t>'</w:t>
      </w:r>
      <w:r w:rsidRPr="002A48D7">
        <w:rPr>
          <w:lang w:val="fr-CH"/>
        </w:rPr>
        <w:t>études</w:t>
      </w:r>
    </w:p>
    <w:p w:rsidR="00D24FBF" w:rsidRPr="00B17844" w:rsidRDefault="00D24FBF" w:rsidP="00D24FBF">
      <w:pPr>
        <w:rPr>
          <w:lang w:val="fr-FR"/>
        </w:rPr>
      </w:pPr>
      <w:r>
        <w:rPr>
          <w:b/>
          <w:bCs/>
          <w:lang w:val="fr-FR"/>
        </w:rPr>
        <w:t>2.2</w:t>
      </w:r>
      <w:r w:rsidRPr="00B17844">
        <w:rPr>
          <w:b/>
          <w:bCs/>
          <w:lang w:val="fr-FR"/>
        </w:rPr>
        <w:t>.1</w:t>
      </w:r>
      <w:r w:rsidRPr="00B17844">
        <w:rPr>
          <w:lang w:val="fr-FR"/>
        </w:rPr>
        <w:tab/>
        <w:t xml:space="preserve">Le texte et </w:t>
      </w:r>
      <w:r>
        <w:rPr>
          <w:lang w:val="fr-FR"/>
        </w:rPr>
        <w:t>l</w:t>
      </w:r>
      <w:r w:rsidR="00C1648C">
        <w:rPr>
          <w:lang w:val="fr-FR"/>
        </w:rPr>
        <w:t>'</w:t>
      </w:r>
      <w:r>
        <w:rPr>
          <w:lang w:val="fr-FR"/>
        </w:rPr>
        <w:t>attribution</w:t>
      </w:r>
      <w:r w:rsidRPr="00B17844">
        <w:rPr>
          <w:lang w:val="fr-FR"/>
        </w:rPr>
        <w:t xml:space="preserve"> des Questions</w:t>
      </w:r>
      <w:r>
        <w:rPr>
          <w:lang w:val="fr-FR"/>
        </w:rPr>
        <w:t>,</w:t>
      </w:r>
      <w:r w:rsidRPr="00B17844">
        <w:rPr>
          <w:lang w:val="fr-FR"/>
        </w:rPr>
        <w:t xml:space="preserve"> qui figurent dans les Documents </w:t>
      </w:r>
      <w:hyperlink r:id="rId19" w:tgtFrame="_parent" w:history="1">
        <w:r w:rsidRPr="00B17844">
          <w:rPr>
            <w:rStyle w:val="Hyperlink"/>
            <w:lang w:val="fr-FR"/>
          </w:rPr>
          <w:t>2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0" w:tgtFrame="_parent" w:history="1">
        <w:r w:rsidRPr="00B17844">
          <w:rPr>
            <w:rStyle w:val="Hyperlink"/>
            <w:lang w:val="fr-FR"/>
          </w:rPr>
          <w:t>4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1" w:tgtFrame="_parent" w:history="1">
        <w:r w:rsidRPr="00B17844">
          <w:rPr>
            <w:rStyle w:val="Hyperlink"/>
            <w:lang w:val="fr-FR"/>
          </w:rPr>
          <w:t>6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2" w:tgtFrame="_parent" w:history="1">
        <w:r w:rsidRPr="00B17844">
          <w:rPr>
            <w:rStyle w:val="Hyperlink"/>
            <w:lang w:val="fr-FR"/>
          </w:rPr>
          <w:t>8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3" w:tgtFrame="_parent" w:history="1">
        <w:r w:rsidRPr="00B17844">
          <w:rPr>
            <w:rStyle w:val="Hyperlink"/>
            <w:lang w:val="fr-FR"/>
          </w:rPr>
          <w:t>10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4" w:tgtFrame="_parent" w:history="1">
        <w:r w:rsidRPr="00B17844">
          <w:rPr>
            <w:rStyle w:val="Hyperlink"/>
            <w:lang w:val="fr-FR"/>
          </w:rPr>
          <w:t>12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5" w:tgtFrame="_parent" w:history="1">
        <w:r w:rsidRPr="00B17844">
          <w:rPr>
            <w:rStyle w:val="Hyperlink"/>
            <w:lang w:val="fr-FR"/>
          </w:rPr>
          <w:t>14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6" w:tgtFrame="_parent" w:history="1">
        <w:r w:rsidRPr="00B17844">
          <w:rPr>
            <w:rStyle w:val="Hyperlink"/>
            <w:lang w:val="fr-FR"/>
          </w:rPr>
          <w:t>16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7" w:tgtFrame="_parent" w:history="1">
        <w:r w:rsidRPr="00B17844">
          <w:rPr>
            <w:rStyle w:val="Hyperlink"/>
            <w:lang w:val="fr-FR"/>
          </w:rPr>
          <w:t>18</w:t>
        </w:r>
      </w:hyperlink>
      <w:r w:rsidRPr="00873158">
        <w:rPr>
          <w:lang w:val="fr-FR"/>
        </w:rPr>
        <w:t>,</w:t>
      </w:r>
      <w:r w:rsidRPr="00B17844">
        <w:rPr>
          <w:lang w:val="fr-FR"/>
        </w:rPr>
        <w:t xml:space="preserve"> </w:t>
      </w:r>
      <w:hyperlink r:id="rId28" w:tgtFrame="_parent" w:history="1">
        <w:r w:rsidRPr="00B17844">
          <w:rPr>
            <w:rStyle w:val="Hyperlink"/>
            <w:lang w:val="fr-FR"/>
          </w:rPr>
          <w:t>20</w:t>
        </w:r>
      </w:hyperlink>
      <w:r w:rsidRPr="00B17844">
        <w:rPr>
          <w:lang w:val="fr-FR"/>
        </w:rPr>
        <w:t xml:space="preserve"> e</w:t>
      </w:r>
      <w:r>
        <w:rPr>
          <w:lang w:val="fr-FR"/>
        </w:rPr>
        <w:t>t</w:t>
      </w:r>
      <w:r w:rsidRPr="00B17844">
        <w:rPr>
          <w:lang w:val="fr-FR"/>
        </w:rPr>
        <w:t xml:space="preserve"> </w:t>
      </w:r>
      <w:hyperlink r:id="rId29" w:tgtFrame="_parent" w:history="1">
        <w:r w:rsidRPr="00B17844">
          <w:rPr>
            <w:rStyle w:val="Hyperlink"/>
            <w:lang w:val="fr-FR"/>
          </w:rPr>
          <w:t>22</w:t>
        </w:r>
      </w:hyperlink>
      <w:r w:rsidRPr="00B17844">
        <w:rPr>
          <w:lang w:val="fr-FR"/>
        </w:rPr>
        <w:t xml:space="preserve">, ont été approuvés par la Commission 4 </w:t>
      </w:r>
      <w:r>
        <w:rPr>
          <w:lang w:val="fr-FR"/>
        </w:rPr>
        <w:t>tels qu</w:t>
      </w:r>
      <w:r w:rsidR="00C1648C">
        <w:rPr>
          <w:lang w:val="fr-FR"/>
        </w:rPr>
        <w:t>'</w:t>
      </w:r>
      <w:r>
        <w:rPr>
          <w:lang w:val="fr-FR"/>
        </w:rPr>
        <w:t xml:space="preserve">ils ont été </w:t>
      </w:r>
      <w:r w:rsidRPr="00B17844">
        <w:rPr>
          <w:lang w:val="fr-FR"/>
        </w:rPr>
        <w:t>soumis par les différentes Commissions d</w:t>
      </w:r>
      <w:r w:rsidR="00C1648C">
        <w:rPr>
          <w:lang w:val="fr-FR"/>
        </w:rPr>
        <w:t>'</w:t>
      </w:r>
      <w:r w:rsidRPr="00B17844">
        <w:rPr>
          <w:lang w:val="fr-FR"/>
        </w:rPr>
        <w:t>études</w:t>
      </w:r>
      <w:r>
        <w:rPr>
          <w:lang w:val="fr-FR"/>
        </w:rPr>
        <w:t xml:space="preserve"> (CE)</w:t>
      </w:r>
      <w:r w:rsidRPr="00B17844">
        <w:rPr>
          <w:lang w:val="fr-FR"/>
        </w:rPr>
        <w:t>, avec les modifications suivantes:</w:t>
      </w:r>
    </w:p>
    <w:p w:rsidR="00D24FBF" w:rsidRPr="00B17844" w:rsidRDefault="00D24FBF" w:rsidP="00D24FBF">
      <w:pPr>
        <w:rPr>
          <w:lang w:val="fr-FR"/>
        </w:rPr>
      </w:pPr>
      <w:r>
        <w:rPr>
          <w:b/>
          <w:bCs/>
          <w:lang w:val="fr-FR"/>
        </w:rPr>
        <w:t>2.2</w:t>
      </w:r>
      <w:r w:rsidRPr="00C93406">
        <w:rPr>
          <w:b/>
          <w:bCs/>
          <w:lang w:val="fr-FR"/>
        </w:rPr>
        <w:t>.2</w:t>
      </w:r>
      <w:r w:rsidRPr="00C93406">
        <w:rPr>
          <w:lang w:val="fr-FR"/>
        </w:rPr>
        <w:tab/>
        <w:t xml:space="preserve">Le texte de la Question I/11 est </w:t>
      </w:r>
      <w:r w:rsidRPr="005210F8">
        <w:rPr>
          <w:b/>
          <w:bCs/>
          <w:lang w:val="fr-FR"/>
        </w:rPr>
        <w:t>modifié</w:t>
      </w:r>
      <w:r w:rsidRPr="00C93406">
        <w:rPr>
          <w:lang w:val="fr-FR"/>
        </w:rPr>
        <w:t xml:space="preserve"> et figure dans le Document</w:t>
      </w:r>
      <w:r>
        <w:rPr>
          <w:lang w:val="fr-FR"/>
        </w:rPr>
        <w:t xml:space="preserve"> </w:t>
      </w:r>
      <w:hyperlink r:id="rId30" w:history="1">
        <w:r w:rsidRPr="00B17844">
          <w:rPr>
            <w:rStyle w:val="Hyperlink"/>
            <w:lang w:val="fr-FR"/>
          </w:rPr>
          <w:t>88</w:t>
        </w:r>
      </w:hyperlink>
      <w:r w:rsidRPr="00EB7D3F">
        <w:rPr>
          <w:rStyle w:val="Hyperlink"/>
          <w:color w:val="auto"/>
          <w:u w:val="none"/>
          <w:lang w:val="fr-FR"/>
        </w:rPr>
        <w:t>.</w:t>
      </w:r>
    </w:p>
    <w:p w:rsidR="00D24FBF" w:rsidRPr="002429F9" w:rsidRDefault="00D24FBF" w:rsidP="00D24FBF">
      <w:pPr>
        <w:rPr>
          <w:lang w:val="fr-FR"/>
        </w:rPr>
      </w:pPr>
      <w:r>
        <w:rPr>
          <w:b/>
          <w:bCs/>
          <w:lang w:val="fr-FR"/>
        </w:rPr>
        <w:t>2.2</w:t>
      </w:r>
      <w:r w:rsidRPr="002429F9">
        <w:rPr>
          <w:b/>
          <w:bCs/>
          <w:lang w:val="fr-FR"/>
        </w:rPr>
        <w:t>.3</w:t>
      </w:r>
      <w:r w:rsidRPr="002429F9">
        <w:rPr>
          <w:lang w:val="fr-FR"/>
        </w:rPr>
        <w:tab/>
      </w:r>
      <w:r w:rsidRPr="00AC6787">
        <w:rPr>
          <w:lang w:val="fr-FR"/>
        </w:rPr>
        <w:t xml:space="preserve">La Question D/2 (anciennement Question 4/2) est </w:t>
      </w:r>
      <w:r w:rsidRPr="005210F8">
        <w:rPr>
          <w:b/>
          <w:bCs/>
          <w:lang w:val="fr-FR"/>
        </w:rPr>
        <w:t>confiée</w:t>
      </w:r>
      <w:r w:rsidRPr="00AC6787">
        <w:rPr>
          <w:lang w:val="fr-FR"/>
        </w:rPr>
        <w:t xml:space="preserve"> à la CE 16 en tant que Question distincte.</w:t>
      </w:r>
    </w:p>
    <w:p w:rsidR="00D24FBF" w:rsidRPr="002429F9" w:rsidRDefault="00D24FBF" w:rsidP="00D24FBF">
      <w:pPr>
        <w:rPr>
          <w:lang w:val="fr-FR"/>
        </w:rPr>
      </w:pPr>
      <w:r>
        <w:rPr>
          <w:b/>
          <w:bCs/>
          <w:lang w:val="fr-FR"/>
        </w:rPr>
        <w:t>2.2</w:t>
      </w:r>
      <w:r w:rsidRPr="002429F9">
        <w:rPr>
          <w:b/>
          <w:bCs/>
          <w:lang w:val="fr-FR"/>
        </w:rPr>
        <w:t>.4</w:t>
      </w:r>
      <w:r w:rsidRPr="002429F9">
        <w:rPr>
          <w:lang w:val="fr-FR"/>
        </w:rPr>
        <w:tab/>
      </w:r>
      <w:r w:rsidRPr="00AC6787">
        <w:rPr>
          <w:lang w:val="fr-FR"/>
        </w:rPr>
        <w:t xml:space="preserve">La Question I/9 (anciennement Question 9/9) est </w:t>
      </w:r>
      <w:r w:rsidRPr="005210F8">
        <w:rPr>
          <w:b/>
          <w:bCs/>
          <w:lang w:val="fr-FR"/>
        </w:rPr>
        <w:t>confiée</w:t>
      </w:r>
      <w:r w:rsidRPr="00AC6787">
        <w:rPr>
          <w:lang w:val="fr-FR"/>
        </w:rPr>
        <w:t xml:space="preserve"> à la CE 15.</w:t>
      </w:r>
    </w:p>
    <w:p w:rsidR="00D24FBF" w:rsidRPr="00347C34" w:rsidRDefault="00D24FBF" w:rsidP="00D24FBF">
      <w:pPr>
        <w:rPr>
          <w:lang w:val="fr-FR"/>
        </w:rPr>
      </w:pPr>
      <w:r>
        <w:rPr>
          <w:b/>
          <w:bCs/>
          <w:lang w:val="fr-FR"/>
        </w:rPr>
        <w:t>2.2</w:t>
      </w:r>
      <w:r w:rsidRPr="00347C34">
        <w:rPr>
          <w:b/>
          <w:bCs/>
          <w:lang w:val="fr-FR"/>
        </w:rPr>
        <w:t>.5</w:t>
      </w:r>
      <w:r w:rsidRPr="00347C34">
        <w:rPr>
          <w:lang w:val="fr-FR"/>
        </w:rPr>
        <w:tab/>
        <w:t xml:space="preserve">Les Questions B/9 (anciennement Question 2/9) et L/9 (anciennement Question 12/9) sont </w:t>
      </w:r>
      <w:r w:rsidRPr="005210F8">
        <w:rPr>
          <w:b/>
          <w:bCs/>
          <w:lang w:val="fr-FR"/>
        </w:rPr>
        <w:t>confiées</w:t>
      </w:r>
      <w:r w:rsidRPr="00347C34">
        <w:rPr>
          <w:lang w:val="fr-FR"/>
        </w:rPr>
        <w:t xml:space="preserve"> à la CE 12.</w:t>
      </w:r>
    </w:p>
    <w:p w:rsidR="00D24FBF" w:rsidRPr="00A67760" w:rsidRDefault="00D24FBF" w:rsidP="00D24FBF">
      <w:pPr>
        <w:rPr>
          <w:lang w:val="fr-FR"/>
        </w:rPr>
      </w:pPr>
      <w:r>
        <w:rPr>
          <w:b/>
          <w:bCs/>
          <w:lang w:val="fr-FR"/>
        </w:rPr>
        <w:t>2.2</w:t>
      </w:r>
      <w:r w:rsidRPr="00A67760">
        <w:rPr>
          <w:b/>
          <w:bCs/>
          <w:lang w:val="fr-FR"/>
        </w:rPr>
        <w:t>.6</w:t>
      </w:r>
      <w:r w:rsidRPr="00A67760">
        <w:rPr>
          <w:b/>
          <w:bCs/>
          <w:lang w:val="fr-FR"/>
        </w:rPr>
        <w:tab/>
      </w:r>
      <w:r>
        <w:rPr>
          <w:lang w:val="fr-FR"/>
        </w:rPr>
        <w:t>A la suite d</w:t>
      </w:r>
      <w:r w:rsidRPr="00A67760">
        <w:rPr>
          <w:lang w:val="fr-FR"/>
        </w:rPr>
        <w:t>es débats menés au sein du Groupe ad hoc au sujet de la CE 20, aucune autre modification n</w:t>
      </w:r>
      <w:r w:rsidR="00C1648C">
        <w:rPr>
          <w:lang w:val="fr-FR"/>
        </w:rPr>
        <w:t>'</w:t>
      </w:r>
      <w:r w:rsidRPr="00A67760">
        <w:rPr>
          <w:lang w:val="fr-FR"/>
        </w:rPr>
        <w:t xml:space="preserve">a été apportée au texte des Questions de la CE 20 (Document </w:t>
      </w:r>
      <w:hyperlink r:id="rId31" w:tgtFrame="_parent" w:history="1">
        <w:r w:rsidRPr="00A67760">
          <w:rPr>
            <w:rStyle w:val="Hyperlink"/>
            <w:lang w:val="fr-FR"/>
          </w:rPr>
          <w:t>22</w:t>
        </w:r>
      </w:hyperlink>
      <w:r>
        <w:rPr>
          <w:lang w:val="fr-FR"/>
        </w:rPr>
        <w:t>), en raison des accords intervenus concernant les modifications apportées au</w:t>
      </w:r>
      <w:r w:rsidRPr="00A67760">
        <w:rPr>
          <w:lang w:val="fr-FR"/>
        </w:rPr>
        <w:t xml:space="preserve"> mandat de la CE 20 dans la Résolution 2.</w:t>
      </w:r>
    </w:p>
    <w:p w:rsidR="00D24FBF" w:rsidRPr="001527AA" w:rsidRDefault="00D24FBF" w:rsidP="00E20CAF">
      <w:pPr>
        <w:pStyle w:val="Heading3"/>
        <w:rPr>
          <w:lang w:val="fr-FR"/>
        </w:rPr>
      </w:pPr>
      <w:r w:rsidRPr="001527AA">
        <w:rPr>
          <w:lang w:val="fr-FR"/>
        </w:rPr>
        <w:t>2.2.7</w:t>
      </w:r>
      <w:r w:rsidRPr="001527AA">
        <w:rPr>
          <w:lang w:val="fr-FR"/>
        </w:rPr>
        <w:tab/>
        <w:t>Propositions de nouvelles Question</w:t>
      </w:r>
    </w:p>
    <w:p w:rsidR="00D24FBF" w:rsidRPr="009E35EB" w:rsidRDefault="00D24FBF" w:rsidP="00EB7D3F">
      <w:pPr>
        <w:rPr>
          <w:lang w:val="fr-FR"/>
        </w:rPr>
      </w:pPr>
      <w:r w:rsidRPr="00AC6787">
        <w:rPr>
          <w:i/>
          <w:iCs/>
          <w:lang w:val="fr-FR"/>
        </w:rPr>
        <w:t>a)</w:t>
      </w:r>
      <w:r w:rsidRPr="009E35EB">
        <w:rPr>
          <w:lang w:val="fr-FR"/>
        </w:rPr>
        <w:tab/>
        <w:t xml:space="preserve">Le Bangladesh est </w:t>
      </w:r>
      <w:r w:rsidRPr="005210F8">
        <w:rPr>
          <w:b/>
          <w:bCs/>
          <w:lang w:val="fr-FR"/>
        </w:rPr>
        <w:t>invité à soumettre</w:t>
      </w:r>
      <w:r>
        <w:rPr>
          <w:b/>
          <w:bCs/>
          <w:lang w:val="fr-FR"/>
        </w:rPr>
        <w:t xml:space="preserve"> à la CE 3</w:t>
      </w:r>
      <w:r w:rsidRPr="009E35EB">
        <w:rPr>
          <w:lang w:val="fr-FR"/>
        </w:rPr>
        <w:t xml:space="preserve"> sa proposition de nouvelle Question, intitulée </w:t>
      </w:r>
      <w:r w:rsidR="001527AA">
        <w:rPr>
          <w:lang w:val="fr-FR"/>
        </w:rPr>
        <w:t>"</w:t>
      </w:r>
      <w:r w:rsidRPr="009E35EB">
        <w:rPr>
          <w:lang w:val="fr-FR"/>
        </w:rPr>
        <w:t>Aspects politiques et réglementaires de la qualité de service (QoS) et de la qualité d</w:t>
      </w:r>
      <w:r w:rsidR="00C1648C">
        <w:rPr>
          <w:lang w:val="fr-FR"/>
        </w:rPr>
        <w:t>'</w:t>
      </w:r>
      <w:r w:rsidRPr="009E35EB">
        <w:rPr>
          <w:lang w:val="fr-FR"/>
        </w:rPr>
        <w:t>expérience (QoE)</w:t>
      </w:r>
      <w:r w:rsidR="001527AA">
        <w:rPr>
          <w:lang w:val="fr-FR"/>
        </w:rPr>
        <w:t>"</w:t>
      </w:r>
      <w:r w:rsidRPr="009E35EB">
        <w:rPr>
          <w:lang w:val="fr-FR"/>
        </w:rPr>
        <w:t xml:space="preserve"> (Document BGD/</w:t>
      </w:r>
      <w:hyperlink r:id="rId32" w:history="1">
        <w:r w:rsidRPr="009E35EB">
          <w:rPr>
            <w:rStyle w:val="Hyperlink"/>
            <w:lang w:val="fr-FR"/>
          </w:rPr>
          <w:t>52</w:t>
        </w:r>
      </w:hyperlink>
      <w:r w:rsidRPr="009E35EB">
        <w:rPr>
          <w:lang w:val="fr-FR"/>
        </w:rPr>
        <w:t xml:space="preserve">) </w:t>
      </w:r>
      <w:r>
        <w:rPr>
          <w:lang w:val="fr-FR"/>
        </w:rPr>
        <w:t>à sa première réunion</w:t>
      </w:r>
      <w:r w:rsidRPr="009E35EB">
        <w:rPr>
          <w:lang w:val="fr-FR"/>
        </w:rPr>
        <w:t xml:space="preserve"> pendant la nouvelle période d</w:t>
      </w:r>
      <w:r w:rsidR="00C1648C">
        <w:rPr>
          <w:lang w:val="fr-FR"/>
        </w:rPr>
        <w:t>'</w:t>
      </w:r>
      <w:r w:rsidRPr="009E35EB">
        <w:rPr>
          <w:lang w:val="fr-FR"/>
        </w:rPr>
        <w:t>études.</w:t>
      </w:r>
    </w:p>
    <w:p w:rsidR="00D24FBF" w:rsidRPr="004A5D07" w:rsidRDefault="00D24FBF" w:rsidP="00EB7D3F">
      <w:pPr>
        <w:rPr>
          <w:lang w:val="fr-FR"/>
        </w:rPr>
      </w:pPr>
      <w:r w:rsidRPr="00AC6787">
        <w:rPr>
          <w:i/>
          <w:iCs/>
          <w:lang w:val="fr-FR"/>
        </w:rPr>
        <w:t>b)</w:t>
      </w:r>
      <w:r w:rsidRPr="009F02A0">
        <w:rPr>
          <w:lang w:val="fr-FR"/>
        </w:rPr>
        <w:tab/>
        <w:t>La Commission 4 n</w:t>
      </w:r>
      <w:r w:rsidR="00C1648C">
        <w:rPr>
          <w:lang w:val="fr-FR"/>
        </w:rPr>
        <w:t>'</w:t>
      </w:r>
      <w:r w:rsidRPr="009F02A0">
        <w:rPr>
          <w:lang w:val="fr-FR"/>
        </w:rPr>
        <w:t xml:space="preserve">a pas pu traiter </w:t>
      </w:r>
      <w:r>
        <w:rPr>
          <w:lang w:val="fr-FR"/>
        </w:rPr>
        <w:t>l</w:t>
      </w:r>
      <w:r w:rsidRPr="009F02A0">
        <w:rPr>
          <w:lang w:val="fr-FR"/>
        </w:rPr>
        <w:t xml:space="preserve">es propositions </w:t>
      </w:r>
      <w:r>
        <w:rPr>
          <w:lang w:val="fr-FR"/>
        </w:rPr>
        <w:t xml:space="preserve">concernant </w:t>
      </w:r>
      <w:r w:rsidRPr="009F02A0">
        <w:rPr>
          <w:lang w:val="fr-FR"/>
        </w:rPr>
        <w:t xml:space="preserve">deux nouvelles Questions (Document </w:t>
      </w:r>
      <w:hyperlink r:id="rId33" w:tgtFrame="_parent" w:history="1">
        <w:r w:rsidRPr="009F02A0">
          <w:rPr>
            <w:rStyle w:val="Hyperlink"/>
            <w:lang w:val="fr-FR"/>
          </w:rPr>
          <w:t>43 Ad</w:t>
        </w:r>
        <w:r w:rsidRPr="009F02A0">
          <w:rPr>
            <w:rStyle w:val="Hyperlink"/>
            <w:lang w:val="fr-FR"/>
          </w:rPr>
          <w:t>d</w:t>
        </w:r>
        <w:r w:rsidRPr="009F02A0">
          <w:rPr>
            <w:rStyle w:val="Hyperlink"/>
            <w:lang w:val="fr-FR"/>
          </w:rPr>
          <w:t>. 32</w:t>
        </w:r>
      </w:hyperlink>
      <w:r w:rsidRPr="009F02A0">
        <w:rPr>
          <w:lang w:val="fr-FR"/>
        </w:rPr>
        <w:t xml:space="preserve">), à savoir les Questions 2/20 et 3/20, qui sont renvoyées à la plénière. </w:t>
      </w:r>
      <w:r>
        <w:rPr>
          <w:lang w:val="fr-FR"/>
        </w:rPr>
        <w:t>E</w:t>
      </w:r>
      <w:r w:rsidRPr="004A5D07">
        <w:rPr>
          <w:lang w:val="fr-FR"/>
        </w:rPr>
        <w:t>n application de la procédure habituelle des précédentes AMNT,</w:t>
      </w:r>
      <w:r>
        <w:rPr>
          <w:lang w:val="fr-FR"/>
        </w:rPr>
        <w:t xml:space="preserve"> le Président propose</w:t>
      </w:r>
      <w:r w:rsidRPr="004A5D07">
        <w:rPr>
          <w:lang w:val="fr-FR"/>
        </w:rPr>
        <w:t xml:space="preserve"> de renvoyer ce cas à la co</w:t>
      </w:r>
      <w:r>
        <w:rPr>
          <w:lang w:val="fr-FR"/>
        </w:rPr>
        <w:t>mmission d</w:t>
      </w:r>
      <w:r w:rsidR="00C1648C">
        <w:rPr>
          <w:lang w:val="fr-FR"/>
        </w:rPr>
        <w:t>'</w:t>
      </w:r>
      <w:r>
        <w:rPr>
          <w:lang w:val="fr-FR"/>
        </w:rPr>
        <w:t>études concernée (selon les mêmes modalités que</w:t>
      </w:r>
      <w:r w:rsidRPr="004A5D07">
        <w:rPr>
          <w:lang w:val="fr-FR"/>
        </w:rPr>
        <w:t xml:space="preserve"> la proposition figurant dans le Document </w:t>
      </w:r>
      <w:hyperlink r:id="rId34" w:history="1">
        <w:r w:rsidRPr="004A5D07">
          <w:rPr>
            <w:rStyle w:val="Hyperlink"/>
            <w:lang w:val="fr-FR"/>
          </w:rPr>
          <w:t>52</w:t>
        </w:r>
      </w:hyperlink>
      <w:r>
        <w:rPr>
          <w:lang w:val="fr-FR"/>
        </w:rPr>
        <w:t xml:space="preserve"> du Bangladesh</w:t>
      </w:r>
      <w:r w:rsidRPr="004A5D07">
        <w:rPr>
          <w:lang w:val="fr-FR"/>
        </w:rPr>
        <w:t>, voir le paragraphe précédent).</w:t>
      </w:r>
    </w:p>
    <w:p w:rsidR="00D24FBF" w:rsidRPr="00C20600" w:rsidRDefault="00D24FBF" w:rsidP="00D24FBF">
      <w:pPr>
        <w:pStyle w:val="Heading1"/>
        <w:rPr>
          <w:lang w:val="fr-FR"/>
        </w:rPr>
      </w:pPr>
      <w:r w:rsidRPr="00C20600">
        <w:rPr>
          <w:lang w:val="fr-FR"/>
        </w:rPr>
        <w:lastRenderedPageBreak/>
        <w:t>3</w:t>
      </w:r>
      <w:r w:rsidRPr="00C20600">
        <w:rPr>
          <w:lang w:val="fr-FR"/>
        </w:rPr>
        <w:tab/>
      </w:r>
      <w:r w:rsidRPr="00AC6787">
        <w:rPr>
          <w:lang w:val="fr-FR"/>
        </w:rPr>
        <w:t>Mesures relatives aux Résolutions approuvées par la Commission 4</w:t>
      </w:r>
    </w:p>
    <w:p w:rsidR="00D24FBF" w:rsidRPr="003E0368" w:rsidRDefault="00D24FBF" w:rsidP="00B75E5E">
      <w:pPr>
        <w:pStyle w:val="Heading2"/>
        <w:spacing w:after="120"/>
      </w:pPr>
      <w:r w:rsidRPr="003E0368">
        <w:t>3.1</w:t>
      </w:r>
      <w:r w:rsidRPr="003E0368">
        <w:tab/>
      </w:r>
      <w:r w:rsidRPr="00AC6787">
        <w:t>Résolutions révisées approuvées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6195"/>
        <w:gridCol w:w="1913"/>
      </w:tblGrid>
      <w:tr w:rsidR="00D24FBF" w:rsidTr="00C74C27">
        <w:trPr>
          <w:tblHeader/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Numéro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Titre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Référence</w:t>
            </w:r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2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Responsabilités et mandats des Commissions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étude</w:t>
            </w:r>
            <w:r w:rsidR="0030433A" w:rsidRPr="0030433A">
              <w:rPr>
                <w:sz w:val="22"/>
                <w:szCs w:val="22"/>
                <w:lang w:val="fr-FR"/>
              </w:rPr>
              <w:t>s</w:t>
            </w:r>
            <w:r w:rsidRPr="0030433A">
              <w:rPr>
                <w:sz w:val="22"/>
                <w:szCs w:val="22"/>
                <w:lang w:val="fr-FR"/>
              </w:rPr>
              <w:t xml:space="preserve">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UIT-T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35" w:history="1">
              <w:r w:rsidR="00D24FBF" w:rsidRPr="0030433A">
                <w:rPr>
                  <w:rStyle w:val="Hyperlink"/>
                  <w:sz w:val="22"/>
                  <w:szCs w:val="22"/>
                </w:rPr>
                <w:t>118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20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Procédures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attribution et de gestion des ressources internationales de numérotage, de nommage,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adressage et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identification pour les télécommunications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36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40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Aspects réglementaires des travaux du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37" w:history="1">
              <w:r w:rsidR="00D24FBF" w:rsidRPr="0030433A">
                <w:rPr>
                  <w:rStyle w:val="Hyperlink"/>
                  <w:sz w:val="22"/>
                  <w:szCs w:val="22"/>
                </w:rPr>
                <w:t>75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44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Réduire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écart en matière de normalisation entre pays en développement et pays développés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38" w:history="1">
              <w:r w:rsidR="00D24FBF" w:rsidRPr="0030433A">
                <w:rPr>
                  <w:rStyle w:val="Hyperlink"/>
                  <w:sz w:val="22"/>
                  <w:szCs w:val="22"/>
                </w:rPr>
                <w:t>75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49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Système ENUM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39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54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Création de groupes régionaux et assistance à ces groupes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0" w:history="1">
              <w:r w:rsidR="00D24FBF" w:rsidRPr="0030433A">
                <w:rPr>
                  <w:rStyle w:val="Hyperlink"/>
                  <w:sz w:val="22"/>
                  <w:szCs w:val="22"/>
                </w:rPr>
                <w:t>117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64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Attribution des adresses IP et mesures propres à faciliter le passage au protocole IPv6 ainsi que le déploiement de ce protocole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1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65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Acheminement des informations relatives au numéro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appelant,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identification de la ligne appelante et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identification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origine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2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69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Accès non discriminatoire aux ressources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Internet et aux télécommunications/TIC et utilisation non discriminatoire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3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72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Problèmes de mesure et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évaluation liés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exposition des personnes aux champs électromagnétiques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4" w:history="1">
              <w:r w:rsidR="00D24FBF" w:rsidRPr="0030433A">
                <w:rPr>
                  <w:rStyle w:val="Hyperlink"/>
                  <w:sz w:val="22"/>
                  <w:szCs w:val="22"/>
                </w:rPr>
                <w:t>74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73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Les technologies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information et de la communication,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environnement et les changements climatiques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5" w:history="1">
              <w:r w:rsidR="00D24FBF" w:rsidRPr="0030433A">
                <w:rPr>
                  <w:rStyle w:val="Hyperlink"/>
                  <w:sz w:val="22"/>
                  <w:szCs w:val="22"/>
                </w:rPr>
                <w:t>74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75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Contribution du Secteur de la normalis</w:t>
            </w:r>
            <w:r w:rsidR="00C1648C" w:rsidRPr="0030433A">
              <w:rPr>
                <w:sz w:val="22"/>
                <w:szCs w:val="22"/>
                <w:lang w:val="fr-FR"/>
              </w:rPr>
              <w:t>ation des télécommunications de </w:t>
            </w:r>
            <w:r w:rsidRPr="0030433A">
              <w:rPr>
                <w:sz w:val="22"/>
                <w:szCs w:val="22"/>
                <w:lang w:val="fr-FR"/>
              </w:rPr>
              <w:t>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 à la mise en œuvre des résultats du Sommet mondial sur la société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information et du Programme de développement durable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horizon 2030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6" w:history="1">
              <w:r w:rsidR="00D24FBF" w:rsidRPr="0030433A">
                <w:rPr>
                  <w:rStyle w:val="Hyperlink"/>
                  <w:sz w:val="22"/>
                  <w:szCs w:val="22"/>
                </w:rPr>
                <w:t>117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76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Etudes relatives aux tests de conformité et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interopérabilité, assistance aux pays en développement et futur programme éventuel de marque UIT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7" w:history="1">
              <w:r w:rsidR="00D24FBF" w:rsidRPr="0030433A">
                <w:rPr>
                  <w:rStyle w:val="Hyperlink"/>
                  <w:sz w:val="22"/>
                  <w:szCs w:val="22"/>
                </w:rPr>
                <w:t>75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50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77</w:t>
            </w:r>
          </w:p>
        </w:tc>
        <w:tc>
          <w:tcPr>
            <w:tcW w:w="6195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Renforcer les travaux de normalisation au sein du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 sur les réseaux pilotés par logiciel</w:t>
            </w:r>
          </w:p>
        </w:tc>
        <w:tc>
          <w:tcPr>
            <w:tcW w:w="191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8" w:history="1">
              <w:r w:rsidR="00D24FBF" w:rsidRPr="0030433A">
                <w:rPr>
                  <w:rStyle w:val="Hyperlink"/>
                  <w:sz w:val="22"/>
                  <w:szCs w:val="22"/>
                </w:rPr>
                <w:t>98</w:t>
              </w:r>
            </w:hyperlink>
          </w:p>
        </w:tc>
      </w:tr>
    </w:tbl>
    <w:p w:rsidR="00D24FBF" w:rsidRDefault="00D24FBF" w:rsidP="00D24FBF">
      <w:r w:rsidRPr="00AC6787">
        <w:t>* Bientôt disponible</w:t>
      </w:r>
      <w:r w:rsidR="0030433A">
        <w:t>.</w:t>
      </w:r>
    </w:p>
    <w:p w:rsidR="0030433A" w:rsidRDefault="0030433A" w:rsidP="007C16C2">
      <w:pPr>
        <w:pStyle w:val="Heading2"/>
        <w:tabs>
          <w:tab w:val="left" w:pos="2160"/>
          <w:tab w:val="left" w:pos="8016"/>
        </w:tabs>
        <w:spacing w:after="120"/>
      </w:pPr>
      <w:r>
        <w:br w:type="page"/>
      </w:r>
    </w:p>
    <w:p w:rsidR="00D24FBF" w:rsidRPr="003E0368" w:rsidRDefault="00D24FBF" w:rsidP="007C16C2">
      <w:pPr>
        <w:pStyle w:val="Heading2"/>
        <w:tabs>
          <w:tab w:val="left" w:pos="2160"/>
          <w:tab w:val="left" w:pos="8016"/>
        </w:tabs>
        <w:spacing w:after="120"/>
      </w:pPr>
      <w:r w:rsidRPr="003E0368">
        <w:t>3.2</w:t>
      </w:r>
      <w:r w:rsidRPr="003E0368">
        <w:tab/>
      </w:r>
      <w:r w:rsidRPr="00AC6787">
        <w:t>Nouvelles Résolutions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641"/>
        <w:gridCol w:w="4804"/>
        <w:gridCol w:w="1903"/>
      </w:tblGrid>
      <w:tr w:rsidR="00D24FBF" w:rsidTr="00C74C27">
        <w:trPr>
          <w:tblHeader/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Numéro COM4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855A0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Numéro Commission</w:t>
            </w:r>
            <w:r w:rsidRPr="0030433A">
              <w:rPr>
                <w:sz w:val="22"/>
                <w:szCs w:val="22"/>
              </w:rPr>
              <w:br/>
            </w:r>
            <w:r w:rsidR="00D24FBF" w:rsidRPr="0030433A">
              <w:rPr>
                <w:sz w:val="22"/>
                <w:szCs w:val="22"/>
              </w:rPr>
              <w:t>de rédaction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Titre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Référence</w:t>
            </w:r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[AFCP-2]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[COM4/7]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Promouvoir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utilisation des TIC pour réduire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écart en matière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inclusion financière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49" w:history="1">
              <w:r w:rsidR="002E476C" w:rsidRPr="0030433A">
                <w:rPr>
                  <w:rStyle w:val="Hyperlink"/>
                  <w:sz w:val="22"/>
                  <w:szCs w:val="22"/>
                </w:rPr>
                <w:t>119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[AFCP-8]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[COM4/9]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Faciliter la mise en oeuvre du manifeste Smart Africa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0" w:history="1">
              <w:r w:rsidR="002E476C" w:rsidRPr="0030433A">
                <w:rPr>
                  <w:rStyle w:val="Hyperlink"/>
                  <w:sz w:val="22"/>
                  <w:szCs w:val="22"/>
                </w:rPr>
                <w:t>119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[APT-1]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[COM4/3]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F26DB7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Encourager les travaux de normalisation sur les aspects non radioélectriques des Télécommunications mobiles internationales au sein du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 xml:space="preserve">UIT 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1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[APT-2/IAP3]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[COM4/10]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Renforcer la normalisation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Internet des objets ainsi que des villes et communautés intelligentes pour le développement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échelle mondiale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2" w:history="1">
              <w:r w:rsidR="002E476C" w:rsidRPr="0030433A">
                <w:rPr>
                  <w:rStyle w:val="Hyperlink"/>
                  <w:sz w:val="22"/>
                  <w:szCs w:val="22"/>
                </w:rPr>
                <w:t>119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lastRenderedPageBreak/>
              <w:t>[APT-3]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[COM4/1]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Travaux de normalisation menés par le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 concernant les technologies de données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incidents fondées sur le nuage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3" w:history="1">
              <w:r w:rsidR="00D24FBF" w:rsidRPr="0030433A">
                <w:rPr>
                  <w:rStyle w:val="Hyperlink"/>
                  <w:sz w:val="22"/>
                  <w:szCs w:val="22"/>
                </w:rPr>
                <w:t>98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[ARB-4]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[COM4/8]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Renforcement et diversification des ressources du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Union internationale des télécommunications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4" w:history="1">
              <w:r w:rsidR="002E476C" w:rsidRPr="0030433A">
                <w:rPr>
                  <w:rStyle w:val="Hyperlink"/>
                  <w:sz w:val="22"/>
                  <w:szCs w:val="22"/>
                </w:rPr>
                <w:t>119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[IAP-1/AFCP-6]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[COM4/11]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Initiatives prises par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UIT-T pour mieux faire connaître les bonnes pratiques et les politiques relatives à la qualité de service.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5" w:history="1">
              <w:r w:rsidR="002E476C" w:rsidRPr="0030433A">
                <w:rPr>
                  <w:rStyle w:val="Hyperlink"/>
                  <w:sz w:val="22"/>
                  <w:szCs w:val="22"/>
                </w:rPr>
                <w:t>119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[IAP-4]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[COM4/4]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Itinérance mobile internationale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6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[ITR]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[COM4/12]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Participation du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examen et à la révision périodiques du Règlement des télécommunications internationales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7" w:history="1">
              <w:r w:rsidR="002E476C" w:rsidRPr="0030433A">
                <w:rPr>
                  <w:rStyle w:val="Hyperlink"/>
                  <w:sz w:val="22"/>
                  <w:szCs w:val="22"/>
                </w:rPr>
                <w:t>119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[RCC-3]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[COM4/2]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Etudes relatives à la protection des utilisateurs de services de télécommunication/TIC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8" w:history="1">
              <w:r w:rsidR="00D24FBF" w:rsidRPr="0030433A">
                <w:rPr>
                  <w:rStyle w:val="Hyperlink"/>
                  <w:sz w:val="22"/>
                  <w:szCs w:val="22"/>
                </w:rPr>
                <w:t>98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[RCC-4]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[COM4/5]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Renforcer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accès à un répertoire électronique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informations sur les plans de numérotage publiés par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UIT-T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59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  <w:tr w:rsidR="00D24FBF" w:rsidTr="00C74C27">
        <w:trPr>
          <w:jc w:val="center"/>
        </w:trPr>
        <w:tc>
          <w:tcPr>
            <w:tcW w:w="126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[RCC-5]</w:t>
            </w:r>
          </w:p>
        </w:tc>
        <w:tc>
          <w:tcPr>
            <w:tcW w:w="1641" w:type="dxa"/>
            <w:shd w:val="clear" w:color="auto" w:fill="auto"/>
          </w:tcPr>
          <w:p w:rsidR="00D24FBF" w:rsidRPr="0030433A" w:rsidRDefault="00D24FBF" w:rsidP="00C74C27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[COM4/6]</w:t>
            </w:r>
          </w:p>
        </w:tc>
        <w:tc>
          <w:tcPr>
            <w:tcW w:w="4804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Interconnexion des</w:t>
            </w:r>
            <w:r w:rsidR="00C1648C" w:rsidRPr="0030433A">
              <w:rPr>
                <w:sz w:val="22"/>
                <w:szCs w:val="22"/>
                <w:lang w:val="fr-FR"/>
              </w:rPr>
              <w:t xml:space="preserve"> réseaux 4G, des réseaux 5G/IMT</w:t>
            </w:r>
            <w:r w:rsidR="00C1648C" w:rsidRPr="0030433A">
              <w:rPr>
                <w:sz w:val="22"/>
                <w:szCs w:val="22"/>
                <w:lang w:val="fr-FR"/>
              </w:rPr>
              <w:noBreakHyphen/>
            </w:r>
            <w:r w:rsidRPr="0030433A">
              <w:rPr>
                <w:sz w:val="22"/>
                <w:szCs w:val="22"/>
                <w:lang w:val="fr-FR"/>
              </w:rPr>
              <w:t>2020 et des réseaux ultérieurs</w:t>
            </w:r>
          </w:p>
        </w:tc>
        <w:tc>
          <w:tcPr>
            <w:tcW w:w="1903" w:type="dxa"/>
            <w:shd w:val="clear" w:color="auto" w:fill="auto"/>
          </w:tcPr>
          <w:p w:rsidR="00D24FBF" w:rsidRPr="0030433A" w:rsidRDefault="00C1648C" w:rsidP="00E20CAF">
            <w:pPr>
              <w:pStyle w:val="Tabletext"/>
              <w:jc w:val="center"/>
              <w:rPr>
                <w:sz w:val="22"/>
                <w:szCs w:val="22"/>
              </w:rPr>
            </w:pPr>
            <w:hyperlink r:id="rId60" w:history="1">
              <w:r w:rsidR="00D24FBF" w:rsidRPr="0030433A">
                <w:rPr>
                  <w:rStyle w:val="Hyperlink"/>
                  <w:sz w:val="22"/>
                  <w:szCs w:val="22"/>
                </w:rPr>
                <w:t>101</w:t>
              </w:r>
            </w:hyperlink>
          </w:p>
        </w:tc>
      </w:tr>
    </w:tbl>
    <w:p w:rsidR="0030433A" w:rsidRDefault="0030433A" w:rsidP="002A48D7">
      <w:pPr>
        <w:pStyle w:val="Heading2"/>
        <w:spacing w:before="240" w:after="120"/>
      </w:pPr>
      <w:r>
        <w:br w:type="page"/>
      </w:r>
    </w:p>
    <w:p w:rsidR="00D24FBF" w:rsidRPr="004A27AF" w:rsidRDefault="00D24FBF" w:rsidP="002A48D7">
      <w:pPr>
        <w:pStyle w:val="Heading2"/>
        <w:spacing w:before="240" w:after="120"/>
      </w:pPr>
      <w:r w:rsidRPr="004A27AF">
        <w:t>3.3</w:t>
      </w:r>
      <w:r w:rsidRPr="004A27AF">
        <w:tab/>
        <w:t>Résolutions inchangées</w:t>
      </w:r>
    </w:p>
    <w:tbl>
      <w:tblPr>
        <w:tblStyle w:val="TableGrid"/>
        <w:tblW w:w="9624" w:type="dxa"/>
        <w:jc w:val="center"/>
        <w:tblLook w:val="04A0" w:firstRow="1" w:lastRow="0" w:firstColumn="1" w:lastColumn="0" w:noHBand="0" w:noVBand="1"/>
      </w:tblPr>
      <w:tblGrid>
        <w:gridCol w:w="1431"/>
        <w:gridCol w:w="8193"/>
      </w:tblGrid>
      <w:tr w:rsidR="00D24FBF" w:rsidTr="00180D8E">
        <w:trPr>
          <w:tblHeader/>
          <w:jc w:val="center"/>
        </w:trPr>
        <w:tc>
          <w:tcPr>
            <w:tcW w:w="1431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Numéro</w:t>
            </w:r>
          </w:p>
        </w:tc>
        <w:tc>
          <w:tcPr>
            <w:tcW w:w="8193" w:type="dxa"/>
            <w:shd w:val="clear" w:color="auto" w:fill="auto"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Titre</w:t>
            </w:r>
          </w:p>
        </w:tc>
      </w:tr>
      <w:tr w:rsidR="00D24FBF" w:rsidRPr="002A48D7" w:rsidTr="00180D8E">
        <w:trPr>
          <w:jc w:val="center"/>
        </w:trPr>
        <w:tc>
          <w:tcPr>
            <w:tcW w:w="143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47</w:t>
            </w:r>
          </w:p>
        </w:tc>
        <w:tc>
          <w:tcPr>
            <w:tcW w:w="8193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Noms de domaine de premier niveau de type code de pays</w:t>
            </w:r>
          </w:p>
        </w:tc>
      </w:tr>
      <w:tr w:rsidR="00D24FBF" w:rsidRPr="002A48D7" w:rsidTr="00180D8E">
        <w:trPr>
          <w:jc w:val="center"/>
        </w:trPr>
        <w:tc>
          <w:tcPr>
            <w:tcW w:w="143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48</w:t>
            </w:r>
          </w:p>
        </w:tc>
        <w:tc>
          <w:tcPr>
            <w:tcW w:w="8193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color w:val="000000"/>
                <w:sz w:val="22"/>
                <w:szCs w:val="22"/>
                <w:lang w:val="fr-FR"/>
              </w:rPr>
              <w:t>Noms de domaine internationalisés (et multilingues)</w:t>
            </w:r>
          </w:p>
        </w:tc>
      </w:tr>
      <w:tr w:rsidR="00D24FBF" w:rsidRPr="002A48D7" w:rsidTr="00180D8E">
        <w:trPr>
          <w:jc w:val="center"/>
        </w:trPr>
        <w:tc>
          <w:tcPr>
            <w:tcW w:w="143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59</w:t>
            </w:r>
          </w:p>
        </w:tc>
        <w:tc>
          <w:tcPr>
            <w:tcW w:w="8193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Renforcement de la participation des opérateurs de télécommunication des pays en développement</w:t>
            </w:r>
          </w:p>
        </w:tc>
      </w:tr>
      <w:tr w:rsidR="00D24FBF" w:rsidRPr="002A48D7" w:rsidTr="00180D8E">
        <w:trPr>
          <w:jc w:val="center"/>
        </w:trPr>
        <w:tc>
          <w:tcPr>
            <w:tcW w:w="1431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61</w:t>
            </w:r>
          </w:p>
        </w:tc>
        <w:tc>
          <w:tcPr>
            <w:tcW w:w="8193" w:type="dxa"/>
            <w:shd w:val="clear" w:color="auto" w:fill="auto"/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color w:val="000000"/>
                <w:sz w:val="22"/>
                <w:szCs w:val="22"/>
                <w:lang w:val="fr-FR"/>
              </w:rPr>
              <w:t>Lutter contre le détournement et l</w:t>
            </w:r>
            <w:r w:rsidR="00C1648C" w:rsidRPr="0030433A">
              <w:rPr>
                <w:color w:val="000000"/>
                <w:sz w:val="22"/>
                <w:szCs w:val="22"/>
                <w:lang w:val="fr-FR"/>
              </w:rPr>
              <w:t>'</w:t>
            </w:r>
            <w:r w:rsidRPr="0030433A">
              <w:rPr>
                <w:color w:val="000000"/>
                <w:sz w:val="22"/>
                <w:szCs w:val="22"/>
                <w:lang w:val="fr-FR"/>
              </w:rPr>
              <w:t>utilisation abusive des ressources internationales de numérotage des télécommunications</w:t>
            </w:r>
          </w:p>
        </w:tc>
      </w:tr>
    </w:tbl>
    <w:p w:rsidR="00D24FBF" w:rsidRDefault="00D24FBF" w:rsidP="002A48D7">
      <w:pPr>
        <w:rPr>
          <w:lang w:val="fr-FR"/>
        </w:rPr>
      </w:pPr>
      <w:r>
        <w:rPr>
          <w:lang w:val="fr-FR"/>
        </w:rPr>
        <w:t xml:space="preserve">NOTE </w:t>
      </w:r>
      <w:r w:rsidR="002A48D7">
        <w:rPr>
          <w:lang w:val="fr-FR"/>
        </w:rPr>
        <w:t>–</w:t>
      </w:r>
      <w:r w:rsidR="00C1648C">
        <w:rPr>
          <w:lang w:val="fr-FR"/>
        </w:rPr>
        <w:t xml:space="preserve"> Les Résolutions et le V</w:t>
      </w:r>
      <w:r>
        <w:rPr>
          <w:lang w:val="fr-FR"/>
        </w:rPr>
        <w:t>oeu</w:t>
      </w:r>
      <w:r w:rsidRPr="00666F5D">
        <w:rPr>
          <w:lang w:val="fr-FR"/>
        </w:rPr>
        <w:t xml:space="preserve"> ci-après relevant de la Commission 4 et de ses Groupes de travail n</w:t>
      </w:r>
      <w:r w:rsidR="00C1648C">
        <w:rPr>
          <w:lang w:val="fr-FR"/>
        </w:rPr>
        <w:t>'</w:t>
      </w:r>
      <w:r w:rsidRPr="00666F5D">
        <w:rPr>
          <w:lang w:val="fr-FR"/>
        </w:rPr>
        <w:t>ont fait l</w:t>
      </w:r>
      <w:r w:rsidR="00C1648C">
        <w:rPr>
          <w:lang w:val="fr-FR"/>
        </w:rPr>
        <w:t>'</w:t>
      </w:r>
      <w:r w:rsidRPr="00666F5D">
        <w:rPr>
          <w:lang w:val="fr-FR"/>
        </w:rPr>
        <w:t>objet d</w:t>
      </w:r>
      <w:r w:rsidR="00C1648C">
        <w:rPr>
          <w:lang w:val="fr-FR"/>
        </w:rPr>
        <w:t>'</w:t>
      </w:r>
      <w:r w:rsidRPr="00666F5D">
        <w:rPr>
          <w:lang w:val="fr-FR"/>
        </w:rPr>
        <w:t xml:space="preserve">aucune </w:t>
      </w:r>
      <w:r>
        <w:rPr>
          <w:lang w:val="fr-FR"/>
        </w:rPr>
        <w:t>proposition et restent inchangé</w:t>
      </w:r>
      <w:r w:rsidRPr="00666F5D">
        <w:rPr>
          <w:lang w:val="fr-FR"/>
        </w:rPr>
        <w:t>s par rapport à la version de l</w:t>
      </w:r>
      <w:r w:rsidR="00C1648C">
        <w:rPr>
          <w:lang w:val="fr-FR"/>
        </w:rPr>
        <w:t>'</w:t>
      </w:r>
      <w:r w:rsidRPr="00666F5D">
        <w:rPr>
          <w:lang w:val="fr-FR"/>
        </w:rPr>
        <w:t xml:space="preserve">AMNT-12: 79 (Commission 4); 58, 62 (GT 4A); et 74 (GT 4B). </w:t>
      </w:r>
      <w:r w:rsidR="00C1648C">
        <w:rPr>
          <w:lang w:val="fr-FR"/>
        </w:rPr>
        <w:t>Le V</w:t>
      </w:r>
      <w:r w:rsidR="006F6E5C">
        <w:rPr>
          <w:lang w:val="fr-FR"/>
        </w:rPr>
        <w:t>oeu</w:t>
      </w:r>
      <w:r w:rsidRPr="00666F5D">
        <w:rPr>
          <w:lang w:val="fr-FR"/>
        </w:rPr>
        <w:t xml:space="preserve"> 1 n</w:t>
      </w:r>
      <w:r w:rsidR="00C1648C">
        <w:rPr>
          <w:lang w:val="fr-FR"/>
        </w:rPr>
        <w:t>'</w:t>
      </w:r>
      <w:r w:rsidRPr="00666F5D">
        <w:rPr>
          <w:lang w:val="fr-FR"/>
        </w:rPr>
        <w:t>a fait l</w:t>
      </w:r>
      <w:r w:rsidR="00C1648C">
        <w:rPr>
          <w:lang w:val="fr-FR"/>
        </w:rPr>
        <w:t>'</w:t>
      </w:r>
      <w:r w:rsidRPr="00666F5D">
        <w:rPr>
          <w:lang w:val="fr-FR"/>
        </w:rPr>
        <w:t>objet d</w:t>
      </w:r>
      <w:r w:rsidR="00C1648C">
        <w:rPr>
          <w:lang w:val="fr-FR"/>
        </w:rPr>
        <w:t>'</w:t>
      </w:r>
      <w:r w:rsidRPr="00666F5D">
        <w:rPr>
          <w:lang w:val="fr-FR"/>
        </w:rPr>
        <w:t>aucune proposition et res</w:t>
      </w:r>
      <w:r>
        <w:rPr>
          <w:lang w:val="fr-FR"/>
        </w:rPr>
        <w:t>te inchangé par rapport à la versi</w:t>
      </w:r>
      <w:r w:rsidRPr="00666F5D">
        <w:rPr>
          <w:lang w:val="fr-FR"/>
        </w:rPr>
        <w:t>on de l</w:t>
      </w:r>
      <w:r w:rsidR="00C1648C">
        <w:rPr>
          <w:lang w:val="fr-FR"/>
        </w:rPr>
        <w:t>'</w:t>
      </w:r>
      <w:r w:rsidRPr="00666F5D">
        <w:rPr>
          <w:lang w:val="fr-FR"/>
        </w:rPr>
        <w:t>AMNT-12.</w:t>
      </w:r>
    </w:p>
    <w:p w:rsidR="00D24FBF" w:rsidRPr="002A48D7" w:rsidRDefault="00D24FBF" w:rsidP="004A27AF">
      <w:pPr>
        <w:pStyle w:val="Heading2"/>
        <w:rPr>
          <w:lang w:val="fr-CH"/>
        </w:rPr>
      </w:pPr>
      <w:r w:rsidRPr="00136DB4">
        <w:rPr>
          <w:lang w:val="fr-FR"/>
        </w:rPr>
        <w:t>3.4</w:t>
      </w:r>
      <w:r w:rsidRPr="00136DB4">
        <w:rPr>
          <w:lang w:val="fr-FR"/>
        </w:rPr>
        <w:tab/>
      </w:r>
      <w:r w:rsidRPr="00AC6787">
        <w:rPr>
          <w:lang w:val="fr-FR"/>
        </w:rPr>
        <w:t>Suppression de Résolutions</w:t>
      </w:r>
    </w:p>
    <w:p w:rsidR="00D24FBF" w:rsidRPr="00136DB4" w:rsidRDefault="00D24FBF" w:rsidP="00D24FBF">
      <w:pPr>
        <w:rPr>
          <w:lang w:val="fr-FR"/>
        </w:rPr>
      </w:pPr>
      <w:r w:rsidRPr="00AC6787">
        <w:rPr>
          <w:lang w:val="fr-FR"/>
        </w:rPr>
        <w:t>La Commission 4 n</w:t>
      </w:r>
      <w:r w:rsidR="00C1648C">
        <w:rPr>
          <w:lang w:val="fr-FR"/>
        </w:rPr>
        <w:t>'</w:t>
      </w:r>
      <w:r w:rsidRPr="00AC6787">
        <w:rPr>
          <w:lang w:val="fr-FR"/>
        </w:rPr>
        <w:t>a proposé la suppression d</w:t>
      </w:r>
      <w:r w:rsidR="00C1648C">
        <w:rPr>
          <w:lang w:val="fr-FR"/>
        </w:rPr>
        <w:t>'</w:t>
      </w:r>
      <w:r w:rsidRPr="00AC6787">
        <w:rPr>
          <w:lang w:val="fr-FR"/>
        </w:rPr>
        <w:t>aucune Résolution.</w:t>
      </w:r>
    </w:p>
    <w:p w:rsidR="00D24FBF" w:rsidRPr="00B75E5E" w:rsidRDefault="00D24FBF" w:rsidP="004A27AF">
      <w:pPr>
        <w:pStyle w:val="Heading1"/>
        <w:spacing w:before="360"/>
        <w:rPr>
          <w:szCs w:val="28"/>
          <w:lang w:val="fr-FR"/>
        </w:rPr>
      </w:pPr>
      <w:r w:rsidRPr="00B75E5E">
        <w:rPr>
          <w:szCs w:val="28"/>
          <w:lang w:val="fr-FR"/>
        </w:rPr>
        <w:t>4</w:t>
      </w:r>
      <w:r w:rsidRPr="00B75E5E">
        <w:rPr>
          <w:szCs w:val="28"/>
          <w:lang w:val="fr-FR"/>
        </w:rPr>
        <w:tab/>
        <w:t>Questions transmises par la Commission 4 à la plénière</w:t>
      </w:r>
    </w:p>
    <w:p w:rsidR="00D24FBF" w:rsidRPr="00782CA5" w:rsidRDefault="00D24FBF" w:rsidP="00DA7562">
      <w:pPr>
        <w:pStyle w:val="Heading2"/>
        <w:rPr>
          <w:lang w:val="fr-FR"/>
        </w:rPr>
      </w:pPr>
      <w:r w:rsidRPr="00782CA5">
        <w:rPr>
          <w:lang w:val="fr-FR"/>
        </w:rPr>
        <w:t>4.1</w:t>
      </w:r>
      <w:r w:rsidRPr="00782CA5">
        <w:rPr>
          <w:lang w:val="fr-FR"/>
        </w:rPr>
        <w:tab/>
      </w:r>
      <w:r w:rsidRPr="00AC6787">
        <w:rPr>
          <w:lang w:val="fr-FR"/>
        </w:rPr>
        <w:t>Documents mentionnant l</w:t>
      </w:r>
      <w:r w:rsidR="00C1648C">
        <w:rPr>
          <w:lang w:val="fr-FR"/>
        </w:rPr>
        <w:t>'</w:t>
      </w:r>
      <w:r w:rsidRPr="00AC6787">
        <w:rPr>
          <w:lang w:val="fr-FR"/>
        </w:rPr>
        <w:t>architecture des objets numériques</w:t>
      </w:r>
    </w:p>
    <w:p w:rsidR="00D24FBF" w:rsidRPr="005B440A" w:rsidRDefault="00D24FBF" w:rsidP="00D24FBF">
      <w:pPr>
        <w:rPr>
          <w:lang w:val="fr-FR"/>
        </w:rPr>
      </w:pPr>
      <w:r w:rsidRPr="00AC6787">
        <w:rPr>
          <w:lang w:val="fr-FR"/>
        </w:rPr>
        <w:t>Faute de temps, la Commission 4 n</w:t>
      </w:r>
      <w:r w:rsidR="00C1648C">
        <w:rPr>
          <w:lang w:val="fr-FR"/>
        </w:rPr>
        <w:t>'</w:t>
      </w:r>
      <w:r w:rsidRPr="00AC6787">
        <w:rPr>
          <w:lang w:val="fr-FR"/>
        </w:rPr>
        <w:t xml:space="preserve">a pas été en mesure de résoudre ces </w:t>
      </w:r>
      <w:r>
        <w:rPr>
          <w:lang w:val="fr-FR"/>
        </w:rPr>
        <w:t>questions</w:t>
      </w:r>
      <w:r w:rsidRPr="00AC6787">
        <w:rPr>
          <w:lang w:val="fr-FR"/>
        </w:rPr>
        <w:t xml:space="preserve"> et de prendre une décision quant aux propositions formulées dans les documents ci-après, qui font référence à l</w:t>
      </w:r>
      <w:r w:rsidR="00C1648C">
        <w:rPr>
          <w:lang w:val="fr-FR"/>
        </w:rPr>
        <w:t>'</w:t>
      </w:r>
      <w:r w:rsidRPr="00AC6787">
        <w:rPr>
          <w:lang w:val="fr-FR"/>
        </w:rPr>
        <w:t xml:space="preserve">architecture des objets numériques et au système </w:t>
      </w:r>
      <w:r w:rsidR="001527AA">
        <w:rPr>
          <w:lang w:val="fr-FR"/>
        </w:rPr>
        <w:t>"</w:t>
      </w:r>
      <w:r w:rsidRPr="00AC6787">
        <w:rPr>
          <w:lang w:val="fr-FR"/>
        </w:rPr>
        <w:t>Handle</w:t>
      </w:r>
      <w:r w:rsidR="001527AA">
        <w:rPr>
          <w:lang w:val="fr-FR"/>
        </w:rPr>
        <w:t>"</w:t>
      </w:r>
      <w:r w:rsidRPr="00AC6787">
        <w:rPr>
          <w:lang w:val="fr-FR"/>
        </w:rPr>
        <w:t>.</w:t>
      </w:r>
    </w:p>
    <w:p w:rsidR="00D24FBF" w:rsidRPr="009B5FAD" w:rsidRDefault="00D24FBF" w:rsidP="00D24FBF">
      <w:pPr>
        <w:pStyle w:val="Normalbeforetable"/>
        <w:rPr>
          <w:lang w:val="fr-FR"/>
        </w:rPr>
      </w:pPr>
      <w:r w:rsidRPr="00AC6787">
        <w:rPr>
          <w:lang w:val="fr-FR"/>
        </w:rPr>
        <w:lastRenderedPageBreak/>
        <w:t>La plénière est priée de prendre les mesures appropriées.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394"/>
        <w:gridCol w:w="2688"/>
      </w:tblGrid>
      <w:tr w:rsidR="00D24FBF" w:rsidTr="004A27AF">
        <w:trPr>
          <w:tblHeader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Numéro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Titre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FBF" w:rsidRPr="0030433A" w:rsidRDefault="00D24FBF" w:rsidP="00E20CAF">
            <w:pPr>
              <w:pStyle w:val="Tablehead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Référence</w:t>
            </w:r>
          </w:p>
        </w:tc>
      </w:tr>
      <w:tr w:rsidR="00D24FBF" w:rsidTr="004A27AF">
        <w:trPr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Rés [MOB-THEFT]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Lutter contre le vol de dispositifs mobiles au moyen de technologies modernes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information et de la communication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5F3E9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 xml:space="preserve">Document </w:t>
            </w:r>
            <w:hyperlink r:id="rId61" w:history="1">
              <w:r w:rsidRPr="0030433A">
                <w:rPr>
                  <w:rStyle w:val="Hyperlink"/>
                  <w:sz w:val="22"/>
                  <w:szCs w:val="22"/>
                </w:rPr>
                <w:t>108</w:t>
              </w:r>
            </w:hyperlink>
          </w:p>
        </w:tc>
      </w:tr>
      <w:tr w:rsidR="00D24FBF" w:rsidTr="004A27AF">
        <w:trPr>
          <w:trHeight w:val="515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Rés [COUNTERF]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Etudes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UIT-T visant à lutter contre la contrefaçon des dispositifs de télécommunication/TIC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5F3E9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 xml:space="preserve">Document </w:t>
            </w:r>
            <w:hyperlink r:id="rId62" w:history="1">
              <w:r w:rsidRPr="0030433A">
                <w:rPr>
                  <w:rStyle w:val="Hyperlink"/>
                  <w:sz w:val="22"/>
                  <w:szCs w:val="22"/>
                </w:rPr>
                <w:t>107</w:t>
              </w:r>
            </w:hyperlink>
          </w:p>
        </w:tc>
      </w:tr>
      <w:tr w:rsidR="00D24FBF" w:rsidTr="004A27AF">
        <w:trPr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Résolution 78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E20CAF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Applications et normes relatives aux technologies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information et de la communication pour améliorer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accès aux services de cybersanté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5F3E9F">
            <w:pPr>
              <w:pStyle w:val="Tabletext"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 xml:space="preserve">Document </w:t>
            </w:r>
            <w:hyperlink r:id="rId63" w:history="1">
              <w:r w:rsidRPr="0030433A">
                <w:rPr>
                  <w:rStyle w:val="Hyperlink"/>
                  <w:sz w:val="22"/>
                  <w:szCs w:val="22"/>
                </w:rPr>
                <w:t>106</w:t>
              </w:r>
            </w:hyperlink>
          </w:p>
        </w:tc>
      </w:tr>
      <w:tr w:rsidR="00D24FBF" w:rsidTr="004A27AF">
        <w:trPr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4A27A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Résolution 60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4A27AF">
            <w:pPr>
              <w:pStyle w:val="Tabletext"/>
              <w:keepNext/>
              <w:keepLines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Evolution des systèmes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identification et de numérotage pour tenir compte des nouvelles tendances des technologies, y compris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Internet des objets.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FBF" w:rsidRPr="0030433A" w:rsidRDefault="00D24FBF" w:rsidP="004A27A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 xml:space="preserve">Document </w:t>
            </w:r>
            <w:hyperlink r:id="rId64" w:history="1">
              <w:r w:rsidRPr="0030433A">
                <w:rPr>
                  <w:rStyle w:val="Hyperlink"/>
                  <w:sz w:val="22"/>
                  <w:szCs w:val="22"/>
                </w:rPr>
                <w:t>105</w:t>
              </w:r>
            </w:hyperlink>
          </w:p>
        </w:tc>
      </w:tr>
      <w:tr w:rsidR="00D24FBF" w:rsidTr="004A27AF">
        <w:trPr>
          <w:trHeight w:val="105"/>
          <w:jc w:val="center"/>
        </w:trPr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FBF" w:rsidRPr="0030433A" w:rsidRDefault="00D24FBF" w:rsidP="004A27A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Résolution 50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FBF" w:rsidRPr="0030433A" w:rsidRDefault="006F6E5C" w:rsidP="004A27A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Cybers</w:t>
            </w:r>
            <w:r w:rsidR="00011B14" w:rsidRPr="0030433A">
              <w:rPr>
                <w:sz w:val="22"/>
                <w:szCs w:val="22"/>
              </w:rPr>
              <w:t>écurité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FBF" w:rsidRPr="0030433A" w:rsidRDefault="00D24FBF" w:rsidP="004A27A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 xml:space="preserve">Document </w:t>
            </w:r>
            <w:hyperlink r:id="rId65" w:history="1">
              <w:r w:rsidRPr="0030433A">
                <w:rPr>
                  <w:rStyle w:val="Hyperlink"/>
                  <w:sz w:val="22"/>
                  <w:szCs w:val="22"/>
                </w:rPr>
                <w:t>104</w:t>
              </w:r>
            </w:hyperlink>
          </w:p>
        </w:tc>
      </w:tr>
    </w:tbl>
    <w:p w:rsidR="00D24FBF" w:rsidRPr="004A27AF" w:rsidRDefault="00D24FBF" w:rsidP="00035C56">
      <w:pPr>
        <w:spacing w:before="40"/>
        <w:rPr>
          <w:szCs w:val="24"/>
        </w:rPr>
      </w:pPr>
      <w:r w:rsidRPr="004A27AF">
        <w:rPr>
          <w:szCs w:val="24"/>
        </w:rPr>
        <w:t>* Bientôt disponible</w:t>
      </w:r>
      <w:r w:rsidR="0030433A">
        <w:rPr>
          <w:szCs w:val="24"/>
        </w:rPr>
        <w:t>.</w:t>
      </w:r>
    </w:p>
    <w:p w:rsidR="0030433A" w:rsidRDefault="0030433A" w:rsidP="004A27AF">
      <w:pPr>
        <w:pStyle w:val="Heading2"/>
        <w:rPr>
          <w:lang w:val="fr-FR"/>
        </w:rPr>
      </w:pPr>
      <w:r>
        <w:rPr>
          <w:lang w:val="fr-FR"/>
        </w:rPr>
        <w:br w:type="page"/>
      </w:r>
    </w:p>
    <w:p w:rsidR="00DC2819" w:rsidRPr="009C19D7" w:rsidRDefault="00DC2819" w:rsidP="004A27AF">
      <w:pPr>
        <w:pStyle w:val="Heading2"/>
        <w:rPr>
          <w:lang w:val="fr-FR"/>
        </w:rPr>
      </w:pPr>
      <w:r w:rsidRPr="009C19D7">
        <w:rPr>
          <w:lang w:val="fr-FR"/>
        </w:rPr>
        <w:t>4.2</w:t>
      </w:r>
      <w:r w:rsidRPr="009C19D7">
        <w:rPr>
          <w:lang w:val="fr-FR"/>
        </w:rPr>
        <w:tab/>
      </w:r>
      <w:r w:rsidRPr="00E143FA">
        <w:rPr>
          <w:i/>
          <w:iCs/>
          <w:lang w:val="fr-FR"/>
        </w:rPr>
        <w:t>Charge</w:t>
      </w:r>
      <w:r w:rsidRPr="009C19D7">
        <w:rPr>
          <w:lang w:val="fr-FR"/>
        </w:rPr>
        <w:t xml:space="preserve"> </w:t>
      </w:r>
      <w:r>
        <w:rPr>
          <w:lang w:val="fr-FR"/>
        </w:rPr>
        <w:t>de</w:t>
      </w:r>
      <w:r w:rsidRPr="009C19D7">
        <w:rPr>
          <w:lang w:val="fr-FR"/>
        </w:rPr>
        <w:t xml:space="preserve"> la Résolution 52</w:t>
      </w:r>
      <w:r w:rsidR="00F50B6E">
        <w:rPr>
          <w:lang w:val="fr-FR"/>
        </w:rPr>
        <w:t xml:space="preserve"> révisée</w:t>
      </w:r>
    </w:p>
    <w:p w:rsidR="00DC2819" w:rsidRPr="009C19D7" w:rsidRDefault="00DC2819" w:rsidP="005F3E9F">
      <w:pPr>
        <w:rPr>
          <w:lang w:val="fr-FR"/>
        </w:rPr>
      </w:pPr>
      <w:r w:rsidRPr="009C19D7">
        <w:rPr>
          <w:lang w:val="fr-FR"/>
        </w:rPr>
        <w:t>La Commission 4 a tenté de trouver une sol</w:t>
      </w:r>
      <w:r w:rsidR="00F50B6E">
        <w:rPr>
          <w:lang w:val="fr-FR"/>
        </w:rPr>
        <w:t>ution concernant les crochets figurant dans le</w:t>
      </w:r>
      <w:r w:rsidRPr="009C19D7">
        <w:rPr>
          <w:lang w:val="fr-FR"/>
        </w:rPr>
        <w:t xml:space="preserve"> projet de révision de la Résolution 52, </w:t>
      </w:r>
      <w:r w:rsidR="001527AA">
        <w:rPr>
          <w:lang w:val="fr-FR"/>
        </w:rPr>
        <w:t>"</w:t>
      </w:r>
      <w:r w:rsidRPr="009C19D7">
        <w:rPr>
          <w:lang w:val="fr-FR"/>
        </w:rPr>
        <w:t>Lutter contre le spam</w:t>
      </w:r>
      <w:r w:rsidR="001527AA">
        <w:rPr>
          <w:lang w:val="fr-FR"/>
        </w:rPr>
        <w:t>"</w:t>
      </w:r>
      <w:r w:rsidRPr="009C19D7">
        <w:rPr>
          <w:lang w:val="fr-FR"/>
        </w:rPr>
        <w:t xml:space="preserve">, disponible dans le Document </w:t>
      </w:r>
      <w:hyperlink r:id="rId66" w:history="1">
        <w:r w:rsidRPr="009C19D7">
          <w:rPr>
            <w:rStyle w:val="Hyperlink"/>
            <w:lang w:val="fr-FR"/>
          </w:rPr>
          <w:t>112</w:t>
        </w:r>
      </w:hyperlink>
      <w:r w:rsidRPr="009C19D7">
        <w:rPr>
          <w:lang w:val="fr-FR"/>
        </w:rPr>
        <w:t>, mais</w:t>
      </w:r>
      <w:r w:rsidR="00F50B6E">
        <w:rPr>
          <w:lang w:val="fr-FR"/>
        </w:rPr>
        <w:t xml:space="preserve"> n</w:t>
      </w:r>
      <w:r w:rsidR="00C1648C">
        <w:rPr>
          <w:lang w:val="fr-FR"/>
        </w:rPr>
        <w:t>'</w:t>
      </w:r>
      <w:r w:rsidR="00F50B6E">
        <w:rPr>
          <w:lang w:val="fr-FR"/>
        </w:rPr>
        <w:t>a pas été en mesure de parvenir à un accord</w:t>
      </w:r>
      <w:r w:rsidRPr="009C19D7">
        <w:rPr>
          <w:lang w:val="fr-FR"/>
        </w:rPr>
        <w:t xml:space="preserve">. Par conséquent, le document est transmis à la plénière. </w:t>
      </w:r>
      <w:r w:rsidR="00F50B6E">
        <w:rPr>
          <w:lang w:val="fr-FR"/>
        </w:rPr>
        <w:t>Il est demandé à la plénière</w:t>
      </w:r>
      <w:r w:rsidRPr="009C19D7">
        <w:rPr>
          <w:lang w:val="fr-FR"/>
        </w:rPr>
        <w:t xml:space="preserve"> de prendre les mesures appropriées.</w:t>
      </w:r>
    </w:p>
    <w:p w:rsidR="00DC2819" w:rsidRPr="009C19D7" w:rsidRDefault="00D855A0" w:rsidP="004A27AF">
      <w:pPr>
        <w:pStyle w:val="Heading2"/>
        <w:rPr>
          <w:lang w:val="fr-FR"/>
        </w:rPr>
      </w:pPr>
      <w:r>
        <w:rPr>
          <w:lang w:val="fr-FR"/>
        </w:rPr>
        <w:t>4.3</w:t>
      </w:r>
      <w:r>
        <w:rPr>
          <w:lang w:val="fr-FR"/>
        </w:rPr>
        <w:tab/>
        <w:t>Solutions à source ouverte</w:t>
      </w:r>
    </w:p>
    <w:p w:rsidR="00DC2819" w:rsidRPr="009C19D7" w:rsidRDefault="00DC2819" w:rsidP="005F3E9F">
      <w:pPr>
        <w:pStyle w:val="Normalbeforetable"/>
        <w:rPr>
          <w:lang w:val="fr-FR"/>
        </w:rPr>
      </w:pPr>
      <w:r w:rsidRPr="009C19D7">
        <w:rPr>
          <w:lang w:val="fr-FR"/>
        </w:rPr>
        <w:t>La Commission 4 n</w:t>
      </w:r>
      <w:r w:rsidR="00C1648C">
        <w:rPr>
          <w:lang w:val="fr-FR"/>
        </w:rPr>
        <w:t>'</w:t>
      </w:r>
      <w:r w:rsidRPr="009C19D7">
        <w:rPr>
          <w:lang w:val="fr-FR"/>
        </w:rPr>
        <w:t xml:space="preserve">est pas parvenue à un accord concernant le texte de la proposition de nouvelle Résolution [ARB-5], </w:t>
      </w:r>
      <w:r w:rsidR="001527AA">
        <w:rPr>
          <w:lang w:val="fr-FR"/>
        </w:rPr>
        <w:t>"</w:t>
      </w:r>
      <w:r w:rsidRPr="009C19D7">
        <w:rPr>
          <w:lang w:val="fr-FR"/>
        </w:rPr>
        <w:t>Faire de l</w:t>
      </w:r>
      <w:r w:rsidR="00C1648C">
        <w:rPr>
          <w:lang w:val="fr-FR"/>
        </w:rPr>
        <w:t>'</w:t>
      </w:r>
      <w:r w:rsidRPr="009C19D7">
        <w:rPr>
          <w:lang w:val="fr-FR"/>
        </w:rPr>
        <w:t>utilisation de solutions à source ouverte une méthode de travail au sein du Secteur de la normalisation des télécommunications de l</w:t>
      </w:r>
      <w:r w:rsidR="00C1648C">
        <w:rPr>
          <w:lang w:val="fr-FR"/>
        </w:rPr>
        <w:t>'</w:t>
      </w:r>
      <w:r w:rsidRPr="009C19D7">
        <w:rPr>
          <w:lang w:val="fr-FR"/>
        </w:rPr>
        <w:t>UIT</w:t>
      </w:r>
      <w:r w:rsidR="001527AA">
        <w:rPr>
          <w:lang w:val="fr-FR"/>
        </w:rPr>
        <w:t>"</w:t>
      </w:r>
      <w:r w:rsidRPr="009C19D7">
        <w:rPr>
          <w:lang w:val="fr-FR"/>
        </w:rPr>
        <w:t>, disponible dans le Document</w:t>
      </w:r>
      <w:r w:rsidR="002A48D7">
        <w:rPr>
          <w:lang w:val="fr-FR"/>
        </w:rPr>
        <w:t> </w:t>
      </w:r>
      <w:hyperlink r:id="rId67" w:history="1">
        <w:r w:rsidRPr="009C19D7">
          <w:rPr>
            <w:rStyle w:val="Hyperlink"/>
            <w:lang w:val="fr-FR"/>
          </w:rPr>
          <w:t>114</w:t>
        </w:r>
      </w:hyperlink>
      <w:r w:rsidRPr="009C19D7">
        <w:rPr>
          <w:lang w:val="fr-FR"/>
        </w:rPr>
        <w:t>. Par conséquent, le document est transmis à la plénière, qui est priée de prendre les mesures appropriées.</w:t>
      </w:r>
    </w:p>
    <w:p w:rsidR="00DC2819" w:rsidRPr="009C19D7" w:rsidRDefault="00DC2819" w:rsidP="004A27AF">
      <w:pPr>
        <w:pStyle w:val="Heading2"/>
        <w:rPr>
          <w:lang w:val="fr-FR"/>
        </w:rPr>
      </w:pPr>
      <w:r w:rsidRPr="009C19D7">
        <w:rPr>
          <w:lang w:val="fr-FR"/>
        </w:rPr>
        <w:t>4.4</w:t>
      </w:r>
      <w:r w:rsidRPr="009C19D7">
        <w:rPr>
          <w:lang w:val="fr-FR"/>
        </w:rPr>
        <w:tab/>
        <w:t>OTT</w:t>
      </w:r>
    </w:p>
    <w:p w:rsidR="00DC2819" w:rsidRPr="009C19D7" w:rsidRDefault="00DC2819" w:rsidP="005F3E9F">
      <w:pPr>
        <w:rPr>
          <w:lang w:val="fr-FR"/>
        </w:rPr>
      </w:pPr>
      <w:r w:rsidRPr="009C19D7">
        <w:rPr>
          <w:lang w:val="fr-FR"/>
        </w:rPr>
        <w:t>La Commission 4 n</w:t>
      </w:r>
      <w:r w:rsidR="00C1648C">
        <w:rPr>
          <w:lang w:val="fr-FR"/>
        </w:rPr>
        <w:t>'</w:t>
      </w:r>
      <w:r w:rsidRPr="009C19D7">
        <w:rPr>
          <w:lang w:val="fr-FR"/>
        </w:rPr>
        <w:t xml:space="preserve">est pas parvenue à un accord concernant les cinq passages entre crochets dans la proposition de nouvelle Résolution [AFCP-3], </w:t>
      </w:r>
      <w:r w:rsidR="001527AA">
        <w:rPr>
          <w:lang w:val="fr-FR"/>
        </w:rPr>
        <w:t>"</w:t>
      </w:r>
      <w:r>
        <w:rPr>
          <w:lang w:val="fr-FR"/>
        </w:rPr>
        <w:t>Services de téléphonie et de messagerie en ligne qui nécessitent un accès aux ressources de numérotage</w:t>
      </w:r>
      <w:r w:rsidR="00011B14">
        <w:rPr>
          <w:lang w:val="fr-FR"/>
        </w:rPr>
        <w:t xml:space="preserve"> internationales pour les télécommunications publiques</w:t>
      </w:r>
      <w:r w:rsidR="001527AA">
        <w:rPr>
          <w:lang w:val="fr-FR"/>
        </w:rPr>
        <w:t>"</w:t>
      </w:r>
      <w:r w:rsidRPr="009C19D7">
        <w:rPr>
          <w:lang w:val="fr-FR"/>
        </w:rPr>
        <w:t xml:space="preserve">, disponible dans le Document </w:t>
      </w:r>
      <w:hyperlink r:id="rId68" w:history="1">
        <w:r w:rsidRPr="009C19D7">
          <w:rPr>
            <w:rStyle w:val="Hyperlink"/>
            <w:lang w:val="fr-FR"/>
          </w:rPr>
          <w:t>110</w:t>
        </w:r>
      </w:hyperlink>
      <w:r w:rsidRPr="009C19D7">
        <w:rPr>
          <w:lang w:val="fr-FR"/>
        </w:rPr>
        <w:t>. Le texte faisant l</w:t>
      </w:r>
      <w:r w:rsidR="00C1648C">
        <w:rPr>
          <w:lang w:val="fr-FR"/>
        </w:rPr>
        <w:t>'</w:t>
      </w:r>
      <w:r w:rsidRPr="009C19D7">
        <w:rPr>
          <w:lang w:val="fr-FR"/>
        </w:rPr>
        <w:t>objet d</w:t>
      </w:r>
      <w:r w:rsidR="00C1648C">
        <w:rPr>
          <w:lang w:val="fr-FR"/>
        </w:rPr>
        <w:t>'</w:t>
      </w:r>
      <w:r w:rsidRPr="009C19D7">
        <w:rPr>
          <w:lang w:val="fr-FR"/>
        </w:rPr>
        <w:t>un désaccord est identique au titre de la Résolution.</w:t>
      </w:r>
    </w:p>
    <w:p w:rsidR="00DC2819" w:rsidRPr="009C19D7" w:rsidRDefault="00DC2819" w:rsidP="005F3E9F">
      <w:pPr>
        <w:rPr>
          <w:lang w:val="fr-FR"/>
        </w:rPr>
      </w:pPr>
      <w:r w:rsidRPr="009C19D7">
        <w:rPr>
          <w:lang w:val="fr-FR"/>
        </w:rPr>
        <w:t>La Commission 4 n</w:t>
      </w:r>
      <w:r w:rsidR="00C1648C">
        <w:rPr>
          <w:lang w:val="fr-FR"/>
        </w:rPr>
        <w:t>'</w:t>
      </w:r>
      <w:r w:rsidRPr="009C19D7">
        <w:rPr>
          <w:lang w:val="fr-FR"/>
        </w:rPr>
        <w:t>a pas examiné le projet de révision de la Résolution 29</w:t>
      </w:r>
      <w:r>
        <w:rPr>
          <w:lang w:val="fr-FR"/>
        </w:rPr>
        <w:t>,</w:t>
      </w:r>
      <w:r w:rsidRPr="009C19D7">
        <w:rPr>
          <w:lang w:val="fr-FR"/>
        </w:rPr>
        <w:t xml:space="preserve"> </w:t>
      </w:r>
      <w:r w:rsidR="001527AA">
        <w:rPr>
          <w:lang w:val="fr-FR"/>
        </w:rPr>
        <w:t>"</w:t>
      </w:r>
      <w:r w:rsidRPr="009C19D7">
        <w:rPr>
          <w:lang w:val="fr-FR"/>
        </w:rPr>
        <w:t>Procédures d</w:t>
      </w:r>
      <w:r w:rsidR="00C1648C">
        <w:rPr>
          <w:lang w:val="fr-FR"/>
        </w:rPr>
        <w:t>'</w:t>
      </w:r>
      <w:r w:rsidRPr="009C19D7">
        <w:rPr>
          <w:lang w:val="fr-FR"/>
        </w:rPr>
        <w:t>appel alternatives utilisées sur les réseaux de télécommunication internationaux</w:t>
      </w:r>
      <w:r w:rsidR="001527AA">
        <w:rPr>
          <w:lang w:val="fr-FR"/>
        </w:rPr>
        <w:t>"</w:t>
      </w:r>
      <w:r w:rsidRPr="009C19D7">
        <w:rPr>
          <w:lang w:val="fr-FR"/>
        </w:rPr>
        <w:t xml:space="preserve">, disponible dans le Document </w:t>
      </w:r>
      <w:hyperlink r:id="rId69" w:history="1">
        <w:r w:rsidRPr="009C19D7">
          <w:rPr>
            <w:rStyle w:val="Hyperlink"/>
            <w:lang w:val="fr-FR"/>
          </w:rPr>
          <w:t>111</w:t>
        </w:r>
      </w:hyperlink>
      <w:r w:rsidR="00011B14">
        <w:rPr>
          <w:lang w:val="fr-FR"/>
        </w:rPr>
        <w:t>,</w:t>
      </w:r>
      <w:r w:rsidR="002A48D7">
        <w:rPr>
          <w:lang w:val="fr-FR"/>
        </w:rPr>
        <w:t xml:space="preserve"> </w:t>
      </w:r>
      <w:r w:rsidRPr="009C19D7">
        <w:rPr>
          <w:lang w:val="fr-FR"/>
        </w:rPr>
        <w:t>puisque cette étape dépend du règlement</w:t>
      </w:r>
      <w:r w:rsidR="00011B14">
        <w:rPr>
          <w:lang w:val="fr-FR"/>
        </w:rPr>
        <w:t xml:space="preserve"> des problèmes concernant</w:t>
      </w:r>
      <w:r w:rsidRPr="009C19D7">
        <w:rPr>
          <w:lang w:val="fr-FR"/>
        </w:rPr>
        <w:t xml:space="preserve"> la Résolution [AFCP-3]. </w:t>
      </w:r>
    </w:p>
    <w:p w:rsidR="00DC2819" w:rsidRPr="009C19D7" w:rsidRDefault="00DC2819" w:rsidP="00DC2819">
      <w:pPr>
        <w:rPr>
          <w:lang w:val="fr-FR"/>
        </w:rPr>
      </w:pPr>
      <w:r w:rsidRPr="009C19D7">
        <w:rPr>
          <w:lang w:val="fr-FR"/>
        </w:rPr>
        <w:t>Par conséquent, le document est transmis à la plénière, qui est priée de prendre les mesures appropriées.</w:t>
      </w:r>
    </w:p>
    <w:p w:rsidR="00DC2819" w:rsidRPr="009C19D7" w:rsidRDefault="00DC2819" w:rsidP="00DC2819">
      <w:pPr>
        <w:pStyle w:val="Heading2"/>
        <w:rPr>
          <w:lang w:val="fr-FR"/>
        </w:rPr>
      </w:pPr>
      <w:r w:rsidRPr="009C19D7">
        <w:rPr>
          <w:lang w:val="fr-FR"/>
        </w:rPr>
        <w:t>4.5</w:t>
      </w:r>
      <w:r w:rsidRPr="009C19D7">
        <w:rPr>
          <w:lang w:val="fr-FR"/>
        </w:rPr>
        <w:tab/>
        <w:t>Résolution sur la confidentialité des données et la confiance dans les infrastructures et les services TIC</w:t>
      </w:r>
    </w:p>
    <w:p w:rsidR="00DC2819" w:rsidRPr="009C19D7" w:rsidRDefault="00011B14" w:rsidP="00DC2819">
      <w:pPr>
        <w:rPr>
          <w:lang w:val="fr-FR"/>
        </w:rPr>
      </w:pPr>
      <w:r>
        <w:rPr>
          <w:lang w:val="fr-FR"/>
        </w:rPr>
        <w:t>Faute</w:t>
      </w:r>
      <w:r w:rsidR="00DC2819" w:rsidRPr="009C19D7">
        <w:rPr>
          <w:lang w:val="fr-FR"/>
        </w:rPr>
        <w:t xml:space="preserve"> de temps, la plénière de </w:t>
      </w:r>
      <w:r>
        <w:rPr>
          <w:lang w:val="fr-FR"/>
        </w:rPr>
        <w:t>la Commission 4 n</w:t>
      </w:r>
      <w:r w:rsidR="00C1648C">
        <w:rPr>
          <w:lang w:val="fr-FR"/>
        </w:rPr>
        <w:t>'</w:t>
      </w:r>
      <w:r>
        <w:rPr>
          <w:lang w:val="fr-FR"/>
        </w:rPr>
        <w:t>a pas été en mesure d</w:t>
      </w:r>
      <w:r w:rsidR="00C1648C">
        <w:rPr>
          <w:lang w:val="fr-FR"/>
        </w:rPr>
        <w:t>'</w:t>
      </w:r>
      <w:r w:rsidR="00DC2819" w:rsidRPr="009C19D7">
        <w:rPr>
          <w:lang w:val="fr-FR"/>
        </w:rPr>
        <w:t xml:space="preserve">examiner le projet de nouvelle Résolution [ARB-6], </w:t>
      </w:r>
      <w:r w:rsidR="001527AA">
        <w:rPr>
          <w:lang w:val="fr-FR"/>
        </w:rPr>
        <w:t>"</w:t>
      </w:r>
      <w:r w:rsidR="00DC2819" w:rsidRPr="009C19D7">
        <w:rPr>
          <w:lang w:val="fr-FR"/>
        </w:rPr>
        <w:t xml:space="preserve">Renforcement du rôle du Secteur de la normalisation des </w:t>
      </w:r>
      <w:r w:rsidR="00DC2819" w:rsidRPr="009C19D7">
        <w:rPr>
          <w:lang w:val="fr-FR"/>
        </w:rPr>
        <w:lastRenderedPageBreak/>
        <w:t>télécommunications de l</w:t>
      </w:r>
      <w:r w:rsidR="00C1648C">
        <w:rPr>
          <w:lang w:val="fr-FR"/>
        </w:rPr>
        <w:t>'</w:t>
      </w:r>
      <w:r w:rsidR="00DC2819" w:rsidRPr="009C19D7">
        <w:rPr>
          <w:lang w:val="fr-FR"/>
        </w:rPr>
        <w:t>UIT pour garantir la confidentialité des données et la confiance dans les infrastructures et les services de technologies de l</w:t>
      </w:r>
      <w:r w:rsidR="00C1648C">
        <w:rPr>
          <w:lang w:val="fr-FR"/>
        </w:rPr>
        <w:t>'</w:t>
      </w:r>
      <w:r w:rsidR="00DC2819" w:rsidRPr="009C19D7">
        <w:rPr>
          <w:lang w:val="fr-FR"/>
        </w:rPr>
        <w:t>information et de la communication</w:t>
      </w:r>
      <w:r w:rsidR="001527AA">
        <w:rPr>
          <w:lang w:val="fr-FR"/>
        </w:rPr>
        <w:t>"</w:t>
      </w:r>
      <w:r w:rsidR="00DC2819" w:rsidRPr="009C19D7">
        <w:rPr>
          <w:lang w:val="fr-FR"/>
        </w:rPr>
        <w:t xml:space="preserve">, qui avait été élaboré par le GT 4A. Le Document </w:t>
      </w:r>
      <w:hyperlink r:id="rId70" w:history="1">
        <w:r w:rsidR="00DC2819" w:rsidRPr="009C19D7">
          <w:rPr>
            <w:rStyle w:val="Hyperlink"/>
            <w:lang w:val="fr-FR"/>
          </w:rPr>
          <w:t>113</w:t>
        </w:r>
      </w:hyperlink>
      <w:r w:rsidR="00DC2819" w:rsidRPr="009C19D7">
        <w:rPr>
          <w:lang w:val="fr-FR"/>
        </w:rPr>
        <w:t xml:space="preserve"> en contient la version la plus récente; la plénière est priée de prendre les mesures appropriées. </w:t>
      </w:r>
    </w:p>
    <w:p w:rsidR="00DC2819" w:rsidRPr="009C19D7" w:rsidRDefault="00DC2819" w:rsidP="00180D8E">
      <w:pPr>
        <w:pStyle w:val="Headingb"/>
      </w:pPr>
      <w:r w:rsidRPr="009C19D7">
        <w:t>Remerciements</w:t>
      </w:r>
    </w:p>
    <w:p w:rsidR="00DC2819" w:rsidRDefault="00DC2819" w:rsidP="004A27AF">
      <w:pPr>
        <w:pStyle w:val="Normalbeforetable"/>
        <w:keepNext w:val="0"/>
        <w:rPr>
          <w:lang w:val="fr-FR"/>
        </w:rPr>
      </w:pPr>
      <w:r w:rsidRPr="009C19D7">
        <w:rPr>
          <w:lang w:val="fr-FR"/>
        </w:rPr>
        <w:t>Le Président de la Commission 4, M. Kwame Baah-Acheamfuor, exprime ses sincères remerciements à tous les auteurs des contributions attribuées à la Commission 4 et aux participants et éminents délégués de cette Commission. En particulier, il rend hommage au soutien et aux</w:t>
      </w:r>
      <w:r w:rsidR="00035C56">
        <w:rPr>
          <w:lang w:val="fr-FR"/>
        </w:rPr>
        <w:t xml:space="preserve"> qualités de direction de:</w:t>
      </w:r>
    </w:p>
    <w:p w:rsidR="0030433A" w:rsidRDefault="0030433A" w:rsidP="004A27AF">
      <w:pPr>
        <w:pStyle w:val="Normalbeforetable"/>
        <w:keepNext w:val="0"/>
        <w:rPr>
          <w:lang w:val="fr-FR"/>
        </w:rPr>
      </w:pPr>
      <w:r>
        <w:rPr>
          <w:lang w:val="fr-FR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4323"/>
      </w:tblGrid>
      <w:tr w:rsidR="00DC2819" w:rsidRPr="009C19D7" w:rsidTr="00180D8E">
        <w:trPr>
          <w:trHeight w:val="315"/>
          <w:tblHeader/>
          <w:jc w:val="center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head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 hoc/Groupe de rédaction/Consultations informelles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head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Président/Coordonnateur</w:t>
            </w:r>
          </w:p>
        </w:tc>
      </w:tr>
      <w:tr w:rsidR="00DC2819" w:rsidRPr="002A48D7" w:rsidTr="00774C48">
        <w:trPr>
          <w:trHeight w:val="367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 hoc sur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attribution des blocs de travail et la gestion des travaux (GT</w:t>
            </w:r>
            <w:r w:rsidR="00C1648C" w:rsidRPr="0030433A">
              <w:rPr>
                <w:sz w:val="22"/>
                <w:szCs w:val="22"/>
                <w:lang w:val="fr-FR"/>
              </w:rPr>
              <w:t xml:space="preserve"> </w:t>
            </w:r>
            <w:r w:rsidRPr="0030433A">
              <w:rPr>
                <w:sz w:val="22"/>
                <w:szCs w:val="22"/>
                <w:lang w:val="fr-FR"/>
              </w:rPr>
              <w:t>2/2)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Leo Lehman (Suisse) et M. Sherif Guinena (Egypte)</w:t>
            </w:r>
          </w:p>
        </w:tc>
      </w:tr>
      <w:tr w:rsidR="00DC2819" w:rsidRPr="002A48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011B14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ad hoc sur les Résolutions </w:t>
            </w:r>
            <w:r w:rsidR="00011B14" w:rsidRPr="0030433A">
              <w:rPr>
                <w:sz w:val="22"/>
                <w:szCs w:val="22"/>
                <w:lang w:val="fr-FR"/>
              </w:rPr>
              <w:t>relatives</w:t>
            </w:r>
            <w:r w:rsidRPr="0030433A">
              <w:rPr>
                <w:sz w:val="22"/>
                <w:szCs w:val="22"/>
                <w:lang w:val="fr-FR"/>
              </w:rPr>
              <w:t xml:space="preserve"> aux IMT: nouvelle Rés</w:t>
            </w:r>
            <w:r w:rsidR="00011B14" w:rsidRPr="0030433A">
              <w:rPr>
                <w:sz w:val="22"/>
                <w:szCs w:val="22"/>
                <w:lang w:val="fr-FR"/>
              </w:rPr>
              <w:t>olution</w:t>
            </w:r>
            <w:r w:rsidRPr="0030433A">
              <w:rPr>
                <w:sz w:val="22"/>
                <w:szCs w:val="22"/>
                <w:lang w:val="fr-FR"/>
              </w:rPr>
              <w:t xml:space="preserve"> </w:t>
            </w:r>
            <w:r w:rsidR="00011B14" w:rsidRPr="0030433A">
              <w:rPr>
                <w:sz w:val="22"/>
                <w:szCs w:val="22"/>
                <w:lang w:val="fr-FR"/>
              </w:rPr>
              <w:t>APT-1, Nouvelle Résolution</w:t>
            </w:r>
            <w:r w:rsidRPr="0030433A">
              <w:rPr>
                <w:sz w:val="22"/>
                <w:szCs w:val="22"/>
                <w:lang w:val="fr-FR"/>
              </w:rPr>
              <w:t xml:space="preserve"> RCC-5, 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>49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Mme Karima Mahmoudi et Mme </w:t>
            </w:r>
            <w:r w:rsidR="00774C48" w:rsidRPr="0030433A">
              <w:rPr>
                <w:sz w:val="22"/>
                <w:szCs w:val="22"/>
                <w:lang w:val="fr-FR"/>
              </w:rPr>
              <w:t>Jihene Ben Abderrazek (Tunisie)</w:t>
            </w:r>
          </w:p>
        </w:tc>
      </w:tr>
      <w:tr w:rsidR="00DC2819" w:rsidRPr="009C19D7" w:rsidTr="00180D8E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 hoc sur le mandat et le domaine de compétence de la CE 3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Lwando Bbuku (Zambie)</w:t>
            </w:r>
          </w:p>
        </w:tc>
      </w:tr>
      <w:tr w:rsidR="00DC2819" w:rsidRPr="009C19D7" w:rsidTr="00774C48">
        <w:trPr>
          <w:trHeight w:val="633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ad hoc sur les Résolutions relatives au numérotage: </w:t>
            </w:r>
            <w:r w:rsidR="00011B14" w:rsidRPr="0030433A">
              <w:rPr>
                <w:sz w:val="22"/>
                <w:szCs w:val="22"/>
                <w:lang w:val="fr-FR"/>
              </w:rPr>
              <w:t>Résolution</w:t>
            </w:r>
            <w:r w:rsidR="001527AA" w:rsidRPr="0030433A">
              <w:rPr>
                <w:sz w:val="22"/>
                <w:szCs w:val="22"/>
                <w:lang w:val="fr-FR"/>
              </w:rPr>
              <w:t>s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 </w:t>
            </w:r>
            <w:r w:rsidRPr="0030433A">
              <w:rPr>
                <w:sz w:val="22"/>
                <w:szCs w:val="22"/>
                <w:lang w:val="fr-FR"/>
              </w:rPr>
              <w:t xml:space="preserve">20, 29, 40, 60, 61, 69 et nouvelle 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="000C5D54" w:rsidRPr="0030433A">
              <w:rPr>
                <w:sz w:val="22"/>
                <w:szCs w:val="22"/>
                <w:lang w:val="fr-FR"/>
              </w:rPr>
              <w:t>RCC</w:t>
            </w:r>
            <w:r w:rsidR="000C5D54" w:rsidRPr="0030433A">
              <w:rPr>
                <w:sz w:val="22"/>
                <w:szCs w:val="22"/>
                <w:lang w:val="fr-FR"/>
              </w:rPr>
              <w:noBreakHyphen/>
            </w:r>
            <w:r w:rsidRPr="0030433A">
              <w:rPr>
                <w:sz w:val="22"/>
                <w:szCs w:val="22"/>
                <w:lang w:val="fr-FR"/>
              </w:rPr>
              <w:t>4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Phil Rushton (UK)</w:t>
            </w:r>
          </w:p>
        </w:tc>
      </w:tr>
      <w:tr w:rsidR="00DC2819" w:rsidRPr="009C19D7" w:rsidTr="00774C48">
        <w:trPr>
          <w:trHeight w:val="430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 hoc sur la Résolution 2</w:t>
            </w:r>
          </w:p>
        </w:tc>
        <w:tc>
          <w:tcPr>
            <w:tcW w:w="4323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Mme María Victoria Sukenik (Argentine) </w:t>
            </w:r>
          </w:p>
        </w:tc>
      </w:tr>
      <w:tr w:rsidR="00DC2819" w:rsidRPr="009C19D7" w:rsidTr="00180D8E">
        <w:trPr>
          <w:trHeight w:val="3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0C5D54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ad hoc sur les questions </w:t>
            </w:r>
            <w:r w:rsidR="002A48D7" w:rsidRPr="0030433A">
              <w:rPr>
                <w:sz w:val="22"/>
                <w:szCs w:val="22"/>
                <w:lang w:val="fr-FR"/>
              </w:rPr>
              <w:t xml:space="preserve">relevant </w:t>
            </w:r>
            <w:r w:rsidRPr="0030433A">
              <w:rPr>
                <w:sz w:val="22"/>
                <w:szCs w:val="22"/>
                <w:lang w:val="fr-FR"/>
              </w:rPr>
              <w:t xml:space="preserve">de la CE 20 </w:t>
            </w:r>
            <w:r w:rsidR="00011B14" w:rsidRPr="0030433A">
              <w:rPr>
                <w:sz w:val="22"/>
                <w:szCs w:val="22"/>
                <w:lang w:val="fr-FR"/>
              </w:rPr>
              <w:t>se rapportant</w:t>
            </w:r>
            <w:r w:rsidRPr="0030433A">
              <w:rPr>
                <w:sz w:val="22"/>
                <w:szCs w:val="22"/>
                <w:lang w:val="fr-FR"/>
              </w:rPr>
              <w:t xml:space="preserve"> à la </w:t>
            </w:r>
            <w:r w:rsidR="000C5D54" w:rsidRPr="0030433A">
              <w:rPr>
                <w:sz w:val="22"/>
                <w:szCs w:val="22"/>
                <w:lang w:val="fr-FR"/>
              </w:rPr>
              <w:t>confidentialité des données</w:t>
            </w:r>
            <w:r w:rsidRPr="0030433A">
              <w:rPr>
                <w:sz w:val="22"/>
                <w:szCs w:val="22"/>
                <w:lang w:val="fr-FR"/>
              </w:rPr>
              <w:t xml:space="preserve">, </w:t>
            </w:r>
            <w:r w:rsidR="002A48D7" w:rsidRPr="0030433A">
              <w:rPr>
                <w:sz w:val="22"/>
                <w:szCs w:val="22"/>
                <w:lang w:val="fr-FR"/>
              </w:rPr>
              <w:t xml:space="preserve">à </w:t>
            </w:r>
            <w:r w:rsidRPr="0030433A">
              <w:rPr>
                <w:sz w:val="22"/>
                <w:szCs w:val="22"/>
                <w:lang w:val="fr-FR"/>
              </w:rPr>
              <w:t xml:space="preserve">la sécurité et </w:t>
            </w:r>
            <w:r w:rsidR="00D94176" w:rsidRPr="0030433A">
              <w:rPr>
                <w:sz w:val="22"/>
                <w:szCs w:val="22"/>
                <w:lang w:val="fr-FR"/>
              </w:rPr>
              <w:t xml:space="preserve">à </w:t>
            </w:r>
            <w:r w:rsidRPr="0030433A">
              <w:rPr>
                <w:sz w:val="22"/>
                <w:szCs w:val="22"/>
                <w:lang w:val="fr-FR"/>
              </w:rPr>
              <w:t>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infrasctruture dans le cadre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IoT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Nilo Pasquali (Brésil)</w:t>
            </w:r>
          </w:p>
        </w:tc>
      </w:tr>
      <w:tr w:rsidR="00DC2819" w:rsidRPr="009C19D7" w:rsidTr="00774C48">
        <w:trPr>
          <w:trHeight w:val="490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ad hoc sur les questions </w:t>
            </w:r>
            <w:r w:rsidR="001527AA" w:rsidRPr="0030433A">
              <w:rPr>
                <w:sz w:val="22"/>
                <w:szCs w:val="22"/>
                <w:lang w:val="fr-FR"/>
              </w:rPr>
              <w:t xml:space="preserve">relevant </w:t>
            </w:r>
            <w:r w:rsidRPr="0030433A">
              <w:rPr>
                <w:sz w:val="22"/>
                <w:szCs w:val="22"/>
                <w:lang w:val="fr-FR"/>
              </w:rPr>
              <w:t>de la CE 20</w:t>
            </w:r>
          </w:p>
        </w:tc>
        <w:tc>
          <w:tcPr>
            <w:tcW w:w="4323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Ratnam Na (Malaisie)</w:t>
            </w:r>
          </w:p>
        </w:tc>
      </w:tr>
      <w:tr w:rsidR="00DC2819" w:rsidRPr="002A48D7" w:rsidTr="00774C48">
        <w:trPr>
          <w:trHeight w:val="412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 hoc sur la restructuration de la CE 9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Greg Ratta (Etats-Unis)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011B14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 hoc sur les Résolutions concernant</w:t>
            </w:r>
            <w:r w:rsidRPr="0030433A">
              <w:rPr>
                <w:sz w:val="22"/>
                <w:szCs w:val="22"/>
                <w:lang w:val="fr-FR"/>
              </w:rPr>
              <w:t xml:space="preserve">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 xml:space="preserve">Internet: 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48, </w:t>
            </w:r>
            <w:r w:rsidR="00011B14" w:rsidRPr="0030433A">
              <w:rPr>
                <w:sz w:val="22"/>
                <w:szCs w:val="22"/>
                <w:lang w:val="fr-FR"/>
              </w:rPr>
              <w:t>Résolution</w:t>
            </w:r>
            <w:r w:rsidRPr="0030433A">
              <w:rPr>
                <w:sz w:val="22"/>
                <w:szCs w:val="22"/>
                <w:lang w:val="fr-FR"/>
              </w:rPr>
              <w:t xml:space="preserve"> 69, 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47 et 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>64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011B14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</w:t>
            </w:r>
            <w:r w:rsidR="00073157" w:rsidRPr="0030433A">
              <w:rPr>
                <w:sz w:val="22"/>
                <w:szCs w:val="22"/>
                <w:lang w:val="fr-FR"/>
              </w:rPr>
              <w:t xml:space="preserve"> </w:t>
            </w:r>
            <w:r w:rsidRPr="0030433A">
              <w:rPr>
                <w:sz w:val="22"/>
                <w:szCs w:val="22"/>
                <w:lang w:val="fr-FR"/>
              </w:rPr>
              <w:t>Dietmar Plesse</w:t>
            </w:r>
            <w:r w:rsidR="00073157" w:rsidRPr="0030433A">
              <w:rPr>
                <w:sz w:val="22"/>
                <w:szCs w:val="22"/>
                <w:lang w:val="fr-FR"/>
              </w:rPr>
              <w:t xml:space="preserve"> </w:t>
            </w:r>
            <w:r w:rsidRPr="0030433A">
              <w:rPr>
                <w:sz w:val="22"/>
                <w:szCs w:val="22"/>
                <w:lang w:val="fr-FR"/>
              </w:rPr>
              <w:t>(</w:t>
            </w:r>
            <w:r w:rsidR="00011B14" w:rsidRPr="0030433A">
              <w:rPr>
                <w:sz w:val="22"/>
                <w:szCs w:val="22"/>
                <w:lang w:val="fr-FR"/>
              </w:rPr>
              <w:t>Allemagne</w:t>
            </w:r>
            <w:r w:rsidRPr="0030433A">
              <w:rPr>
                <w:sz w:val="22"/>
                <w:szCs w:val="22"/>
                <w:lang w:val="fr-FR"/>
              </w:rPr>
              <w:t>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011B14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d hoc sur les Résolutions relatives </w:t>
            </w:r>
            <w:r w:rsidRPr="0030433A">
              <w:rPr>
                <w:sz w:val="22"/>
                <w:szCs w:val="22"/>
                <w:lang w:val="fr-FR"/>
              </w:rPr>
              <w:t>aux OTT et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 à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="00011B14" w:rsidRPr="0030433A">
              <w:rPr>
                <w:sz w:val="22"/>
                <w:szCs w:val="22"/>
                <w:lang w:val="fr-FR"/>
              </w:rPr>
              <w:t>itinérance mobile internationale</w:t>
            </w:r>
            <w:r w:rsidRPr="0030433A">
              <w:rPr>
                <w:sz w:val="22"/>
                <w:szCs w:val="22"/>
                <w:lang w:val="fr-FR"/>
              </w:rPr>
              <w:t xml:space="preserve">: nouvelle </w:t>
            </w:r>
            <w:r w:rsidR="00011B14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AFCP-3 et nouvelle </w:t>
            </w:r>
            <w:r w:rsidR="00011B14" w:rsidRPr="0030433A">
              <w:rPr>
                <w:sz w:val="22"/>
                <w:szCs w:val="22"/>
                <w:lang w:val="fr-FR"/>
              </w:rPr>
              <w:t>Résolution</w:t>
            </w:r>
            <w:r w:rsidRPr="0030433A">
              <w:rPr>
                <w:sz w:val="22"/>
                <w:szCs w:val="22"/>
                <w:lang w:val="fr-FR"/>
              </w:rPr>
              <w:t xml:space="preserve"> IAP-4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Abraao Silva (Brésil)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795F46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ad hoc sur les Résolutions </w:t>
            </w:r>
            <w:r w:rsidR="001527AA" w:rsidRPr="0030433A">
              <w:rPr>
                <w:sz w:val="22"/>
                <w:szCs w:val="22"/>
                <w:lang w:val="fr-FR"/>
              </w:rPr>
              <w:t>relatives</w:t>
            </w:r>
            <w:r w:rsidRPr="0030433A">
              <w:rPr>
                <w:sz w:val="22"/>
                <w:szCs w:val="22"/>
                <w:lang w:val="fr-FR"/>
              </w:rPr>
              <w:t xml:space="preserve"> à la sécurité: </w:t>
            </w:r>
            <w:r w:rsidR="001527AA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52, nouvelle </w:t>
            </w:r>
            <w:r w:rsidR="001527AA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ARB-6 et </w:t>
            </w:r>
            <w:r w:rsidR="001527AA" w:rsidRPr="0030433A">
              <w:rPr>
                <w:sz w:val="22"/>
                <w:szCs w:val="22"/>
                <w:lang w:val="fr-FR"/>
              </w:rPr>
              <w:t>Résolution</w:t>
            </w:r>
            <w:r w:rsidR="00795F46">
              <w:rPr>
                <w:sz w:val="22"/>
                <w:szCs w:val="22"/>
                <w:lang w:val="fr-FR"/>
              </w:rPr>
              <w:t> </w:t>
            </w:r>
            <w:bookmarkStart w:id="0" w:name="_GoBack"/>
            <w:bookmarkEnd w:id="0"/>
            <w:r w:rsidRPr="0030433A">
              <w:rPr>
                <w:sz w:val="22"/>
                <w:szCs w:val="22"/>
                <w:lang w:val="fr-FR"/>
              </w:rPr>
              <w:t>50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JefersonFued Nacif (Brésil)</w:t>
            </w:r>
          </w:p>
        </w:tc>
      </w:tr>
      <w:tr w:rsidR="00DC2819" w:rsidRPr="009C19D7" w:rsidTr="00774C48">
        <w:trPr>
          <w:trHeight w:val="391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ad hoc sur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attribution de la Question I/11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Mme Irene Kaggwa Sewankambo (Ouganda)</w:t>
            </w:r>
          </w:p>
        </w:tc>
      </w:tr>
      <w:tr w:rsidR="00DC2819" w:rsidRPr="009C19D7" w:rsidTr="00774C48">
        <w:trPr>
          <w:trHeight w:val="83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30433A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ad hoc sur le Résolution 68 </w:t>
            </w:r>
            <w:r w:rsidR="001527AA" w:rsidRPr="0030433A">
              <w:rPr>
                <w:sz w:val="22"/>
                <w:szCs w:val="22"/>
                <w:lang w:val="fr-FR"/>
              </w:rPr>
              <w:t>"</w:t>
            </w:r>
            <w:r w:rsidRPr="0030433A">
              <w:rPr>
                <w:sz w:val="22"/>
                <w:szCs w:val="22"/>
                <w:lang w:val="fr-FR"/>
              </w:rPr>
              <w:t xml:space="preserve">Mise en </w:t>
            </w:r>
            <w:r w:rsidR="0030433A" w:rsidRPr="0030433A">
              <w:rPr>
                <w:sz w:val="22"/>
                <w:szCs w:val="22"/>
                <w:lang w:val="fr-FR"/>
              </w:rPr>
              <w:t>oe</w:t>
            </w:r>
            <w:r w:rsidRPr="0030433A">
              <w:rPr>
                <w:sz w:val="22"/>
                <w:szCs w:val="22"/>
                <w:lang w:val="fr-FR"/>
              </w:rPr>
              <w:t>uvre de la Résolution 122 (Rév. Antalya, 2006) sur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évolution du rôle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Assemblée mondiale de normalisation des télécommunications</w:t>
            </w:r>
            <w:r w:rsidR="001527AA" w:rsidRPr="0030433A">
              <w:rPr>
                <w:sz w:val="22"/>
                <w:szCs w:val="22"/>
                <w:lang w:val="fr-FR"/>
              </w:rPr>
              <w:t>"</w:t>
            </w:r>
            <w:r w:rsidR="00774C48" w:rsidRPr="0030433A">
              <w:rPr>
                <w:sz w:val="22"/>
                <w:szCs w:val="22"/>
                <w:lang w:val="fr-FR"/>
              </w:rPr>
              <w:tab/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M. Christopher K. Kebei (Kenya)</w:t>
            </w:r>
          </w:p>
        </w:tc>
      </w:tr>
      <w:tr w:rsidR="00DC2819" w:rsidRPr="009C19D7" w:rsidTr="00933C42">
        <w:trPr>
          <w:trHeight w:val="411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la Résolution 78 </w:t>
            </w:r>
            <w:r w:rsidR="001527AA" w:rsidRPr="0030433A">
              <w:rPr>
                <w:sz w:val="22"/>
                <w:szCs w:val="22"/>
                <w:lang w:val="fr-FR"/>
              </w:rPr>
              <w:t>"</w:t>
            </w:r>
            <w:r w:rsidRPr="0030433A">
              <w:rPr>
                <w:sz w:val="22"/>
                <w:szCs w:val="22"/>
                <w:lang w:val="fr-FR"/>
              </w:rPr>
              <w:t>Cybersanté</w:t>
            </w:r>
            <w:r w:rsidR="001527AA" w:rsidRPr="0030433A">
              <w:rPr>
                <w:sz w:val="22"/>
                <w:szCs w:val="22"/>
                <w:lang w:val="fr-FR"/>
              </w:rPr>
              <w:t>"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Ramy Ahmed (Egypte)</w:t>
            </w:r>
          </w:p>
        </w:tc>
      </w:tr>
      <w:tr w:rsidR="00DC2819" w:rsidRPr="009C19D7" w:rsidTr="00933C42">
        <w:trPr>
          <w:trHeight w:val="454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la lutte contre la contrefaçon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Isaac Boateng (Ghana)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le projet de nouvelle </w:t>
            </w:r>
            <w:r w:rsidR="001527AA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>[RCC-3] sur la protection des consommateurs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Mme Memiko Otsuki (Japon)</w:t>
            </w:r>
          </w:p>
        </w:tc>
      </w:tr>
      <w:tr w:rsidR="00DC2819" w:rsidRPr="00870793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le projet de nouvelle </w:t>
            </w:r>
            <w:r w:rsidR="001527AA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="00870793" w:rsidRPr="0030433A">
              <w:rPr>
                <w:sz w:val="22"/>
                <w:szCs w:val="22"/>
                <w:lang w:val="fr-FR"/>
              </w:rPr>
              <w:br/>
            </w:r>
            <w:r w:rsidRPr="0030433A">
              <w:rPr>
                <w:sz w:val="22"/>
                <w:szCs w:val="22"/>
                <w:lang w:val="fr-FR"/>
              </w:rPr>
              <w:t>[IAP-1 - AFCP-6] sur la qualité de service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Mme Irene Kaggwa Sewankambo (Ouganda)</w:t>
            </w:r>
          </w:p>
        </w:tc>
      </w:tr>
      <w:tr w:rsidR="00DC2819" w:rsidRPr="00870793" w:rsidTr="00933C42">
        <w:trPr>
          <w:trHeight w:val="407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lastRenderedPageBreak/>
              <w:t>Groupe de rédaction sur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IoT et les villes intelligentes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Harin Grewal (Singapour)</w:t>
            </w:r>
          </w:p>
        </w:tc>
      </w:tr>
      <w:tr w:rsidR="00DC2819" w:rsidRPr="009C19D7" w:rsidTr="00933C42">
        <w:trPr>
          <w:trHeight w:val="413"/>
          <w:jc w:val="center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de rédaction sur le vol de dispositifs mobiles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Isaac Boateng (Ghana)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Groupe de rédaction sur la nouvelle Résolution pour les services financiers numériques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Ahmed Said (Egypte)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0C5D54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la </w:t>
            </w:r>
            <w:r w:rsidR="00870793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ARB-5 </w:t>
            </w:r>
            <w:r w:rsidR="0030433A" w:rsidRPr="0030433A">
              <w:rPr>
                <w:sz w:val="22"/>
                <w:szCs w:val="22"/>
                <w:lang w:val="fr-FR"/>
              </w:rPr>
              <w:t>–</w:t>
            </w:r>
            <w:r w:rsidR="000C5D54" w:rsidRPr="0030433A">
              <w:rPr>
                <w:sz w:val="22"/>
                <w:szCs w:val="22"/>
                <w:lang w:val="fr-FR"/>
              </w:rPr>
              <w:t xml:space="preserve"> code </w:t>
            </w:r>
            <w:r w:rsidRPr="0030433A">
              <w:rPr>
                <w:sz w:val="22"/>
                <w:szCs w:val="22"/>
                <w:lang w:val="fr-FR"/>
              </w:rPr>
              <w:t>source ouvert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Dmitry Cherkesov (Russie)</w:t>
            </w:r>
          </w:p>
        </w:tc>
      </w:tr>
      <w:tr w:rsidR="00DC2819" w:rsidRPr="009C19D7" w:rsidTr="00933C42">
        <w:trPr>
          <w:trHeight w:val="479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30433A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la </w:t>
            </w:r>
            <w:r w:rsidR="00870793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72 et la </w:t>
            </w:r>
            <w:r w:rsidR="008646C8" w:rsidRPr="0030433A">
              <w:rPr>
                <w:sz w:val="22"/>
                <w:szCs w:val="22"/>
                <w:lang w:val="fr-FR"/>
              </w:rPr>
              <w:t>Résolution</w:t>
            </w:r>
            <w:r w:rsidR="0030433A">
              <w:rPr>
                <w:sz w:val="22"/>
                <w:szCs w:val="22"/>
                <w:lang w:val="fr-FR"/>
              </w:rPr>
              <w:t> </w:t>
            </w:r>
            <w:r w:rsidRPr="0030433A">
              <w:rPr>
                <w:sz w:val="22"/>
                <w:szCs w:val="22"/>
                <w:lang w:val="fr-FR"/>
              </w:rPr>
              <w:t>73</w:t>
            </w:r>
          </w:p>
        </w:tc>
        <w:tc>
          <w:tcPr>
            <w:tcW w:w="4323" w:type="dxa"/>
            <w:shd w:val="clear" w:color="auto" w:fill="auto"/>
            <w:noWrap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Ahmed Zeddam (France)</w:t>
            </w:r>
          </w:p>
        </w:tc>
      </w:tr>
      <w:tr w:rsidR="00DC2819" w:rsidRPr="009C19D7" w:rsidTr="00180D8E">
        <w:trPr>
          <w:trHeight w:val="6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la </w:t>
            </w:r>
            <w:r w:rsidR="00870793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>76 portant sur la conformité et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interopérabilité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</w:rPr>
            </w:pPr>
            <w:r w:rsidRPr="0030433A">
              <w:rPr>
                <w:sz w:val="22"/>
                <w:szCs w:val="22"/>
              </w:rPr>
              <w:t>M. Rahmy Ahmed Fathy (Egypte)</w:t>
            </w:r>
          </w:p>
        </w:tc>
      </w:tr>
      <w:tr w:rsidR="00DC2819" w:rsidRPr="009C19D7" w:rsidTr="00180D8E">
        <w:trPr>
          <w:trHeight w:val="900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30433A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Groupe de rédaction sur la </w:t>
            </w:r>
            <w:r w:rsidR="00870793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ARB 4 </w:t>
            </w:r>
            <w:r w:rsidR="0030433A" w:rsidRPr="0030433A">
              <w:rPr>
                <w:sz w:val="22"/>
                <w:szCs w:val="22"/>
                <w:lang w:val="fr-FR"/>
              </w:rPr>
              <w:t>–</w:t>
            </w:r>
            <w:r w:rsidRPr="0030433A">
              <w:rPr>
                <w:sz w:val="22"/>
                <w:szCs w:val="22"/>
                <w:lang w:val="fr-FR"/>
              </w:rPr>
              <w:t xml:space="preserve"> Renforcement et diversification des ressources du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Union internationale des télécommunications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Nasser Al Marzouqi (Emirats arabes unis)</w:t>
            </w:r>
          </w:p>
        </w:tc>
      </w:tr>
      <w:tr w:rsidR="00DC2819" w:rsidRPr="002A48D7" w:rsidTr="00933C42">
        <w:trPr>
          <w:trHeight w:val="600"/>
          <w:jc w:val="center"/>
        </w:trPr>
        <w:tc>
          <w:tcPr>
            <w:tcW w:w="5311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Consultations informelles sur un projet de Résolution </w:t>
            </w:r>
            <w:r w:rsidR="00933C42" w:rsidRPr="0030433A">
              <w:rPr>
                <w:sz w:val="22"/>
                <w:szCs w:val="22"/>
                <w:lang w:val="fr-FR"/>
              </w:rPr>
              <w:br/>
            </w:r>
            <w:r w:rsidRPr="0030433A">
              <w:rPr>
                <w:sz w:val="22"/>
                <w:szCs w:val="22"/>
                <w:lang w:val="fr-FR"/>
              </w:rPr>
              <w:t>sur le RTI</w:t>
            </w:r>
          </w:p>
        </w:tc>
        <w:tc>
          <w:tcPr>
            <w:tcW w:w="4323" w:type="dxa"/>
            <w:shd w:val="clear" w:color="auto" w:fill="auto"/>
            <w:vAlign w:val="center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Musab Abdulla (Bahreïn (Royaume de))</w:t>
            </w:r>
          </w:p>
        </w:tc>
      </w:tr>
      <w:tr w:rsidR="00DC2819" w:rsidRPr="009C19D7" w:rsidTr="00933C42">
        <w:trPr>
          <w:trHeight w:val="872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Consultations informelles sur la </w:t>
            </w:r>
            <w:r w:rsidR="00870793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>APT-3 – Travaux de normalisation menés par le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>UIT concernant les applications d</w:t>
            </w:r>
            <w:r w:rsidR="00933C42" w:rsidRPr="0030433A">
              <w:rPr>
                <w:sz w:val="22"/>
                <w:szCs w:val="22"/>
                <w:lang w:val="fr-FR"/>
              </w:rPr>
              <w:t>e suivi des données d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="00933C42" w:rsidRPr="0030433A">
              <w:rPr>
                <w:sz w:val="22"/>
                <w:szCs w:val="22"/>
                <w:lang w:val="fr-FR"/>
              </w:rPr>
              <w:t>incidents</w:t>
            </w:r>
          </w:p>
        </w:tc>
        <w:tc>
          <w:tcPr>
            <w:tcW w:w="4323" w:type="dxa"/>
            <w:shd w:val="clear" w:color="auto" w:fill="auto"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Sean Sharidz Doral (Malaisie)</w:t>
            </w:r>
          </w:p>
        </w:tc>
      </w:tr>
      <w:tr w:rsidR="00DC2819" w:rsidRPr="009C19D7" w:rsidTr="00180D8E">
        <w:trPr>
          <w:trHeight w:val="915"/>
          <w:jc w:val="center"/>
        </w:trPr>
        <w:tc>
          <w:tcPr>
            <w:tcW w:w="5311" w:type="dxa"/>
            <w:shd w:val="clear" w:color="auto" w:fill="auto"/>
            <w:hideMark/>
          </w:tcPr>
          <w:p w:rsidR="00DC2819" w:rsidRPr="0030433A" w:rsidRDefault="00DC2819" w:rsidP="0030433A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 xml:space="preserve">Consultations informelles sur la </w:t>
            </w:r>
            <w:r w:rsidR="00870793" w:rsidRPr="0030433A">
              <w:rPr>
                <w:sz w:val="22"/>
                <w:szCs w:val="22"/>
                <w:lang w:val="fr-FR"/>
              </w:rPr>
              <w:t xml:space="preserve">Résolution </w:t>
            </w:r>
            <w:r w:rsidRPr="0030433A">
              <w:rPr>
                <w:sz w:val="22"/>
                <w:szCs w:val="22"/>
                <w:lang w:val="fr-FR"/>
              </w:rPr>
              <w:t xml:space="preserve">77 </w:t>
            </w:r>
            <w:r w:rsidR="0030433A" w:rsidRPr="0030433A">
              <w:rPr>
                <w:sz w:val="22"/>
                <w:szCs w:val="22"/>
                <w:lang w:val="fr-FR"/>
              </w:rPr>
              <w:t>–</w:t>
            </w:r>
            <w:r w:rsidRPr="0030433A">
              <w:rPr>
                <w:sz w:val="22"/>
                <w:szCs w:val="22"/>
                <w:lang w:val="fr-FR"/>
              </w:rPr>
              <w:t xml:space="preserve"> Travaux de normalisation menés par le Secteur de la normalisation des télécommunications de l</w:t>
            </w:r>
            <w:r w:rsidR="00C1648C" w:rsidRPr="0030433A">
              <w:rPr>
                <w:sz w:val="22"/>
                <w:szCs w:val="22"/>
                <w:lang w:val="fr-FR"/>
              </w:rPr>
              <w:t>'</w:t>
            </w:r>
            <w:r w:rsidRPr="0030433A">
              <w:rPr>
                <w:sz w:val="22"/>
                <w:szCs w:val="22"/>
                <w:lang w:val="fr-FR"/>
              </w:rPr>
              <w:t xml:space="preserve">UIT concernant les réseaux pilotés par logiciel </w:t>
            </w:r>
          </w:p>
        </w:tc>
        <w:tc>
          <w:tcPr>
            <w:tcW w:w="4323" w:type="dxa"/>
            <w:shd w:val="clear" w:color="auto" w:fill="auto"/>
            <w:noWrap/>
            <w:hideMark/>
          </w:tcPr>
          <w:p w:rsidR="00DC2819" w:rsidRPr="0030433A" w:rsidRDefault="00DC2819" w:rsidP="00DC2819">
            <w:pPr>
              <w:pStyle w:val="Tabletext"/>
              <w:rPr>
                <w:sz w:val="22"/>
                <w:szCs w:val="22"/>
                <w:lang w:val="fr-FR"/>
              </w:rPr>
            </w:pPr>
            <w:r w:rsidRPr="0030433A">
              <w:rPr>
                <w:sz w:val="22"/>
                <w:szCs w:val="22"/>
                <w:lang w:val="fr-FR"/>
              </w:rPr>
              <w:t>M. Kai Hu (Chine)</w:t>
            </w:r>
          </w:p>
        </w:tc>
      </w:tr>
    </w:tbl>
    <w:p w:rsidR="00DC2819" w:rsidRDefault="00DC2819" w:rsidP="008646C8">
      <w:pPr>
        <w:rPr>
          <w:lang w:val="fr-FR"/>
        </w:rPr>
      </w:pPr>
      <w:r w:rsidRPr="009C19D7">
        <w:rPr>
          <w:lang w:val="fr-FR"/>
        </w:rPr>
        <w:t>Le Président remercie également le personnel du TSB pour son a</w:t>
      </w:r>
      <w:r w:rsidR="008646C8">
        <w:rPr>
          <w:lang w:val="fr-FR"/>
        </w:rPr>
        <w:t>ppui exceptionnel</w:t>
      </w:r>
      <w:r w:rsidRPr="009C19D7">
        <w:rPr>
          <w:lang w:val="fr-FR"/>
        </w:rPr>
        <w:t>, en particulier M. Simão Campos-Neto, Mme Cristina Bueti, M. Stefano Polidori, Mme Emma Norton Viard et Mme Reyna Ubeda, ainsi que le</w:t>
      </w:r>
      <w:r w:rsidR="008646C8">
        <w:rPr>
          <w:lang w:val="fr-FR"/>
        </w:rPr>
        <w:t>s</w:t>
      </w:r>
      <w:r w:rsidRPr="009C19D7">
        <w:rPr>
          <w:lang w:val="fr-FR"/>
        </w:rPr>
        <w:t xml:space="preserve"> divers </w:t>
      </w:r>
      <w:r w:rsidR="008646C8">
        <w:rPr>
          <w:lang w:val="fr-FR"/>
        </w:rPr>
        <w:t xml:space="preserve">fonctionnaires </w:t>
      </w:r>
      <w:r w:rsidRPr="009C19D7">
        <w:rPr>
          <w:lang w:val="fr-FR"/>
        </w:rPr>
        <w:t>de l</w:t>
      </w:r>
      <w:r w:rsidR="00C1648C">
        <w:rPr>
          <w:lang w:val="fr-FR"/>
        </w:rPr>
        <w:t>'</w:t>
      </w:r>
      <w:r w:rsidRPr="009C19D7">
        <w:rPr>
          <w:lang w:val="fr-FR"/>
        </w:rPr>
        <w:t>UIT ayant fourni un appui aux activités des groupes ad hoc et des groupes de rédaction.</w:t>
      </w:r>
    </w:p>
    <w:p w:rsidR="00870793" w:rsidRPr="000C5D54" w:rsidRDefault="00870793" w:rsidP="00E20CAF">
      <w:pPr>
        <w:pStyle w:val="Reasons"/>
        <w:rPr>
          <w:lang w:val="fr-FR"/>
        </w:rPr>
      </w:pPr>
    </w:p>
    <w:p w:rsidR="00870793" w:rsidRPr="009C19D7" w:rsidRDefault="00870793" w:rsidP="00DC2819">
      <w:pPr>
        <w:rPr>
          <w:lang w:val="fr-FR"/>
        </w:rPr>
      </w:pPr>
    </w:p>
    <w:p w:rsidR="00DC2819" w:rsidRPr="009C19D7" w:rsidRDefault="00DC2819" w:rsidP="00DC2819">
      <w:pPr>
        <w:spacing w:before="0" w:after="160"/>
        <w:rPr>
          <w:lang w:val="fr-FR"/>
        </w:rPr>
      </w:pPr>
      <w:r w:rsidRPr="009C19D7">
        <w:rPr>
          <w:lang w:val="fr-FR"/>
        </w:rPr>
        <w:br w:type="page"/>
      </w:r>
    </w:p>
    <w:p w:rsidR="00DC2819" w:rsidRPr="009C19D7" w:rsidRDefault="00DC2819" w:rsidP="0030433A">
      <w:pPr>
        <w:pStyle w:val="AnnexNo"/>
        <w:rPr>
          <w:lang w:val="fr-FR"/>
        </w:rPr>
      </w:pPr>
      <w:r w:rsidRPr="009C19D7">
        <w:rPr>
          <w:lang w:val="fr-FR"/>
        </w:rPr>
        <w:lastRenderedPageBreak/>
        <w:t>ANNEXE</w:t>
      </w:r>
    </w:p>
    <w:p w:rsidR="00DC2819" w:rsidRPr="009C19D7" w:rsidRDefault="00DC2819" w:rsidP="0030433A">
      <w:pPr>
        <w:spacing w:before="480"/>
        <w:rPr>
          <w:i/>
          <w:iCs/>
          <w:lang w:val="fr-FR"/>
        </w:rPr>
      </w:pPr>
      <w:r w:rsidRPr="009C19D7">
        <w:rPr>
          <w:color w:val="000000"/>
          <w:lang w:val="fr-FR"/>
        </w:rPr>
        <w:t>La Commission 4 demande à la plénière de prendre les mesures suivantes:</w:t>
      </w:r>
    </w:p>
    <w:p w:rsidR="00DC2819" w:rsidRPr="00DB0796" w:rsidRDefault="0030433A" w:rsidP="00DB0796">
      <w:pPr>
        <w:pStyle w:val="enumlev1"/>
        <w:spacing w:before="120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1)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pprouver les six rapports de la Commission 4, dont la</w:t>
      </w:r>
      <w:r w:rsidRPr="00DB0796">
        <w:rPr>
          <w:b/>
          <w:bCs/>
          <w:i/>
          <w:iCs/>
          <w:lang w:val="fr-FR"/>
        </w:rPr>
        <w:t xml:space="preserve"> liste figure au paragraphe 1.3.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2)</w:t>
      </w:r>
      <w:r w:rsidRPr="00DB0796">
        <w:rPr>
          <w:b/>
          <w:bCs/>
          <w:i/>
          <w:iCs/>
          <w:lang w:val="fr-FR"/>
        </w:rPr>
        <w:tab/>
        <w:t>R</w:t>
      </w:r>
      <w:r w:rsidR="00DC2819" w:rsidRPr="00DB0796">
        <w:rPr>
          <w:b/>
          <w:bCs/>
          <w:i/>
          <w:iCs/>
          <w:lang w:val="fr-FR"/>
        </w:rPr>
        <w:t>ésoudre les questions que la Commission 4 a laissées en suspens, signalées au paragraphe 4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3)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pprouver le texte des Questions comme indiqué au</w:t>
      </w:r>
      <w:r w:rsidR="008646C8" w:rsidRPr="00DB0796">
        <w:rPr>
          <w:b/>
          <w:bCs/>
          <w:i/>
          <w:iCs/>
          <w:lang w:val="fr-FR"/>
        </w:rPr>
        <w:t>x</w:t>
      </w:r>
      <w:r w:rsidR="00DC2819" w:rsidRPr="00DB0796">
        <w:rPr>
          <w:b/>
          <w:bCs/>
          <w:i/>
          <w:iCs/>
          <w:lang w:val="fr-FR"/>
        </w:rPr>
        <w:t xml:space="preserve"> paragraphe</w:t>
      </w:r>
      <w:r w:rsidR="008646C8" w:rsidRPr="00DB0796">
        <w:rPr>
          <w:b/>
          <w:bCs/>
          <w:i/>
          <w:iCs/>
          <w:lang w:val="fr-FR"/>
        </w:rPr>
        <w:t>s</w:t>
      </w:r>
      <w:r w:rsidR="00DC2819" w:rsidRPr="00DB0796">
        <w:rPr>
          <w:b/>
          <w:bCs/>
          <w:i/>
          <w:iCs/>
          <w:lang w:val="fr-FR"/>
        </w:rPr>
        <w:t xml:space="preserve"> 2.3.1 et 2.3.2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4)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pprouver le transfert des blocs de travail, comme indiqué aux paragraphes 2.3.3, 2.3.4 et 2.3.5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5)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ppuyer la solution concernant les propositions de nouvelles Question</w:t>
      </w:r>
      <w:r w:rsidR="008646C8" w:rsidRPr="00DB0796">
        <w:rPr>
          <w:b/>
          <w:bCs/>
          <w:i/>
          <w:iCs/>
          <w:lang w:val="fr-FR"/>
        </w:rPr>
        <w:t>s</w:t>
      </w:r>
      <w:r w:rsidR="00DC2819" w:rsidRPr="00DB0796">
        <w:rPr>
          <w:b/>
          <w:bCs/>
          <w:i/>
          <w:iCs/>
          <w:lang w:val="fr-FR"/>
        </w:rPr>
        <w:t>, comme indiqué dans le paragraphe 2.3.7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6)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pprouver la révision des Résolutions, comme indiqué au paragraphe 3.1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7)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pprouver les nouvelles Résolutions, comme indiqué au paragraphe 3.2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8)</w:t>
      </w:r>
      <w:r w:rsidRPr="00DB0796">
        <w:rPr>
          <w:b/>
          <w:bCs/>
          <w:i/>
          <w:iCs/>
          <w:lang w:val="fr-FR"/>
        </w:rPr>
        <w:tab/>
        <w:t>A</w:t>
      </w:r>
      <w:r w:rsidR="00DC2819" w:rsidRPr="00DB0796">
        <w:rPr>
          <w:b/>
          <w:bCs/>
          <w:i/>
          <w:iCs/>
          <w:lang w:val="fr-FR"/>
        </w:rPr>
        <w:t>pprouver les NOC pour les Résolutions indiquées au paragraphe 3.3</w:t>
      </w:r>
      <w:r w:rsidRPr="00DB0796">
        <w:rPr>
          <w:b/>
          <w:bCs/>
          <w:i/>
          <w:iCs/>
          <w:lang w:val="fr-FR"/>
        </w:rPr>
        <w:t>.</w:t>
      </w:r>
    </w:p>
    <w:p w:rsidR="00DC2819" w:rsidRPr="00DB0796" w:rsidRDefault="0030433A" w:rsidP="0030433A">
      <w:pPr>
        <w:pStyle w:val="enumlev1"/>
        <w:rPr>
          <w:b/>
          <w:bCs/>
          <w:i/>
          <w:iCs/>
          <w:lang w:val="fr-FR"/>
        </w:rPr>
      </w:pPr>
      <w:r w:rsidRPr="00DB0796">
        <w:rPr>
          <w:b/>
          <w:bCs/>
          <w:i/>
          <w:iCs/>
          <w:lang w:val="fr-FR"/>
        </w:rPr>
        <w:t>9)</w:t>
      </w:r>
      <w:r w:rsidRPr="00DB0796">
        <w:rPr>
          <w:b/>
          <w:bCs/>
          <w:i/>
          <w:iCs/>
          <w:lang w:val="fr-FR"/>
        </w:rPr>
        <w:tab/>
        <w:t>C</w:t>
      </w:r>
      <w:r w:rsidR="00DC2819" w:rsidRPr="00DB0796">
        <w:rPr>
          <w:b/>
          <w:bCs/>
          <w:i/>
          <w:iCs/>
          <w:lang w:val="fr-FR"/>
        </w:rPr>
        <w:t>harger le TSB de vérifier l</w:t>
      </w:r>
      <w:r w:rsidR="00C1648C" w:rsidRPr="00DB0796">
        <w:rPr>
          <w:b/>
          <w:bCs/>
          <w:i/>
          <w:iCs/>
          <w:lang w:val="fr-FR"/>
        </w:rPr>
        <w:t>'</w:t>
      </w:r>
      <w:r w:rsidR="00DC2819" w:rsidRPr="00DB0796">
        <w:rPr>
          <w:b/>
          <w:bCs/>
          <w:i/>
          <w:iCs/>
          <w:lang w:val="fr-FR"/>
        </w:rPr>
        <w:t>Annexe C de la Résolution 2 avant sa publication, afin de s</w:t>
      </w:r>
      <w:r w:rsidR="00C1648C" w:rsidRPr="00DB0796">
        <w:rPr>
          <w:b/>
          <w:bCs/>
          <w:i/>
          <w:iCs/>
          <w:lang w:val="fr-FR"/>
        </w:rPr>
        <w:t>'</w:t>
      </w:r>
      <w:r w:rsidR="00DC2819" w:rsidRPr="00DB0796">
        <w:rPr>
          <w:b/>
          <w:bCs/>
          <w:i/>
          <w:iCs/>
          <w:lang w:val="fr-FR"/>
        </w:rPr>
        <w:t>assurer que l</w:t>
      </w:r>
      <w:r w:rsidR="00C1648C" w:rsidRPr="00DB0796">
        <w:rPr>
          <w:b/>
          <w:bCs/>
          <w:i/>
          <w:iCs/>
          <w:lang w:val="fr-FR"/>
        </w:rPr>
        <w:t>'</w:t>
      </w:r>
      <w:r w:rsidR="00DC2819" w:rsidRPr="00DB0796">
        <w:rPr>
          <w:b/>
          <w:bCs/>
          <w:i/>
          <w:iCs/>
          <w:lang w:val="fr-FR"/>
        </w:rPr>
        <w:t>attribution détaillée des Recommandations aux différentes commissions d</w:t>
      </w:r>
      <w:r w:rsidR="00C1648C" w:rsidRPr="00DB0796">
        <w:rPr>
          <w:b/>
          <w:bCs/>
          <w:i/>
          <w:iCs/>
          <w:lang w:val="fr-FR"/>
        </w:rPr>
        <w:t>'</w:t>
      </w:r>
      <w:r w:rsidR="00DC2819" w:rsidRPr="00DB0796">
        <w:rPr>
          <w:b/>
          <w:bCs/>
          <w:i/>
          <w:iCs/>
          <w:lang w:val="fr-FR"/>
        </w:rPr>
        <w:t>études rende dûment compte de toutes les décisions prises par l</w:t>
      </w:r>
      <w:r w:rsidR="00C1648C" w:rsidRPr="00DB0796">
        <w:rPr>
          <w:b/>
          <w:bCs/>
          <w:i/>
          <w:iCs/>
          <w:lang w:val="fr-FR"/>
        </w:rPr>
        <w:t>'</w:t>
      </w:r>
      <w:r w:rsidR="00DC2819" w:rsidRPr="00DB0796">
        <w:rPr>
          <w:b/>
          <w:bCs/>
          <w:i/>
          <w:iCs/>
          <w:lang w:val="fr-FR"/>
        </w:rPr>
        <w:t>Assemblée.</w:t>
      </w:r>
    </w:p>
    <w:p w:rsidR="007C16C2" w:rsidRPr="00DB0796" w:rsidRDefault="007C16C2" w:rsidP="00C1648C">
      <w:pPr>
        <w:pStyle w:val="Reasons"/>
        <w:rPr>
          <w:b/>
          <w:bCs/>
          <w:i/>
          <w:iCs/>
          <w:lang w:val="fr-CH"/>
        </w:rPr>
      </w:pPr>
    </w:p>
    <w:p w:rsidR="007C16C2" w:rsidRDefault="007C16C2">
      <w:pPr>
        <w:jc w:val="center"/>
      </w:pPr>
      <w:r>
        <w:t>______________</w:t>
      </w:r>
    </w:p>
    <w:p w:rsidR="00F776DF" w:rsidRPr="007C16C2" w:rsidRDefault="00F776DF" w:rsidP="00DC28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F776DF" w:rsidRPr="007C16C2" w:rsidRDefault="00F776DF" w:rsidP="00DC281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sectPr w:rsidR="00F776DF" w:rsidRPr="007C16C2" w:rsidSect="0039169B">
      <w:headerReference w:type="default" r:id="rId71"/>
      <w:footerReference w:type="even" r:id="rId72"/>
      <w:footerReference w:type="default" r:id="rId73"/>
      <w:footerReference w:type="first" r:id="rId7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8C" w:rsidRDefault="00C1648C">
      <w:r>
        <w:separator/>
      </w:r>
    </w:p>
  </w:endnote>
  <w:endnote w:type="continuationSeparator" w:id="0">
    <w:p w:rsidR="00C1648C" w:rsidRDefault="00C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8C" w:rsidRDefault="00C164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1648C" w:rsidRPr="00D57197" w:rsidRDefault="00C1648C">
    <w:pPr>
      <w:ind w:right="360"/>
      <w:rPr>
        <w:lang w:val="fr-FR"/>
      </w:rPr>
    </w:pPr>
    <w:r>
      <w:fldChar w:fldCharType="begin"/>
    </w:r>
    <w:r w:rsidRPr="00D57197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P:\FRA\ITU-T\CONF-T\WTSA16\000\092F.docx</w:t>
    </w:r>
    <w:r>
      <w:fldChar w:fldCharType="end"/>
    </w:r>
    <w:r w:rsidRPr="00D57197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03.11.16</w:t>
    </w:r>
    <w:r>
      <w:fldChar w:fldCharType="end"/>
    </w:r>
    <w:r w:rsidRPr="00D57197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03.11.16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8C" w:rsidRPr="00DD1B88" w:rsidRDefault="00C1648C" w:rsidP="00526703">
    <w:pPr>
      <w:pStyle w:val="Footer"/>
      <w:rPr>
        <w:lang w:val="fr-FR"/>
      </w:rPr>
    </w:pPr>
    <w:r>
      <w:fldChar w:fldCharType="begin"/>
    </w:r>
    <w:r w:rsidRPr="00DD1B88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P:\FRA\ITU-T\CONF-T\WTSA16\000\092F.docx</w:t>
    </w:r>
    <w:r>
      <w:fldChar w:fldCharType="end"/>
    </w:r>
    <w:r w:rsidRPr="00DD1B88">
      <w:rPr>
        <w:lang w:val="fr-FR"/>
      </w:rPr>
      <w:t xml:space="preserve"> (408337)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8C" w:rsidRPr="00DD1B88" w:rsidRDefault="00C1648C" w:rsidP="00526703">
    <w:pPr>
      <w:pStyle w:val="Footer"/>
      <w:rPr>
        <w:lang w:val="fr-FR"/>
      </w:rPr>
    </w:pPr>
    <w:r>
      <w:fldChar w:fldCharType="begin"/>
    </w:r>
    <w:r w:rsidRPr="00DD1B88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P:\FRA\ITU-T\CONF-T\WTSA16\000\092F.docx</w:t>
    </w:r>
    <w:r>
      <w:fldChar w:fldCharType="end"/>
    </w:r>
    <w:r w:rsidRPr="00DD1B88">
      <w:rPr>
        <w:lang w:val="fr-FR"/>
      </w:rPr>
      <w:t xml:space="preserve"> (408337)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8C" w:rsidRDefault="00C1648C">
      <w:r>
        <w:rPr>
          <w:b/>
        </w:rPr>
        <w:t>_______________</w:t>
      </w:r>
    </w:p>
  </w:footnote>
  <w:footnote w:type="continuationSeparator" w:id="0">
    <w:p w:rsidR="00C1648C" w:rsidRDefault="00C1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8C" w:rsidRDefault="00C1648C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5F46">
      <w:rPr>
        <w:noProof/>
      </w:rPr>
      <w:t>9</w:t>
    </w:r>
    <w:r>
      <w:fldChar w:fldCharType="end"/>
    </w:r>
  </w:p>
  <w:p w:rsidR="00C1648C" w:rsidRDefault="00C1648C" w:rsidP="00FA06CC">
    <w:pPr>
      <w:pStyle w:val="Header"/>
    </w:pPr>
    <w:r>
      <w:t>AMNT16/92-F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7973F8"/>
    <w:multiLevelType w:val="hybridMultilevel"/>
    <w:tmpl w:val="78E6AF4C"/>
    <w:lvl w:ilvl="0" w:tplc="8BA6C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11B14"/>
    <w:rsid w:val="00022A29"/>
    <w:rsid w:val="000355FD"/>
    <w:rsid w:val="00035C56"/>
    <w:rsid w:val="00051E39"/>
    <w:rsid w:val="00073157"/>
    <w:rsid w:val="00077239"/>
    <w:rsid w:val="00086491"/>
    <w:rsid w:val="00091346"/>
    <w:rsid w:val="0009706C"/>
    <w:rsid w:val="000A14AF"/>
    <w:rsid w:val="000C5D54"/>
    <w:rsid w:val="000F73FF"/>
    <w:rsid w:val="00114CF7"/>
    <w:rsid w:val="00123B68"/>
    <w:rsid w:val="00126F2E"/>
    <w:rsid w:val="00146F6F"/>
    <w:rsid w:val="001527AA"/>
    <w:rsid w:val="00164C14"/>
    <w:rsid w:val="00180D8E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25DCF"/>
    <w:rsid w:val="00250AF4"/>
    <w:rsid w:val="00271316"/>
    <w:rsid w:val="00290901"/>
    <w:rsid w:val="002A48D7"/>
    <w:rsid w:val="002B2A75"/>
    <w:rsid w:val="002D58BE"/>
    <w:rsid w:val="002E210D"/>
    <w:rsid w:val="002E476C"/>
    <w:rsid w:val="0030433A"/>
    <w:rsid w:val="00320AB7"/>
    <w:rsid w:val="003236A6"/>
    <w:rsid w:val="00332C56"/>
    <w:rsid w:val="00345A52"/>
    <w:rsid w:val="00352F2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A27AF"/>
    <w:rsid w:val="004A6D75"/>
    <w:rsid w:val="004B13CB"/>
    <w:rsid w:val="004D5D5C"/>
    <w:rsid w:val="004E42A3"/>
    <w:rsid w:val="0050139F"/>
    <w:rsid w:val="00502297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5F3E9F"/>
    <w:rsid w:val="006023DF"/>
    <w:rsid w:val="00607386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6F6E5C"/>
    <w:rsid w:val="007149F9"/>
    <w:rsid w:val="00733A30"/>
    <w:rsid w:val="00745AEE"/>
    <w:rsid w:val="00750F10"/>
    <w:rsid w:val="007742CA"/>
    <w:rsid w:val="00774C48"/>
    <w:rsid w:val="00785148"/>
    <w:rsid w:val="00790D70"/>
    <w:rsid w:val="00795F46"/>
    <w:rsid w:val="007C16C2"/>
    <w:rsid w:val="007D5320"/>
    <w:rsid w:val="008006C5"/>
    <w:rsid w:val="00800972"/>
    <w:rsid w:val="00804475"/>
    <w:rsid w:val="00811633"/>
    <w:rsid w:val="00813B79"/>
    <w:rsid w:val="008646C8"/>
    <w:rsid w:val="00864CD2"/>
    <w:rsid w:val="00870793"/>
    <w:rsid w:val="00872FC8"/>
    <w:rsid w:val="00873E7C"/>
    <w:rsid w:val="008845D0"/>
    <w:rsid w:val="0089420F"/>
    <w:rsid w:val="008A69FB"/>
    <w:rsid w:val="008B1AEA"/>
    <w:rsid w:val="008B43F2"/>
    <w:rsid w:val="008B6CFF"/>
    <w:rsid w:val="008C27E9"/>
    <w:rsid w:val="008C6BAA"/>
    <w:rsid w:val="0092425C"/>
    <w:rsid w:val="009274B4"/>
    <w:rsid w:val="00933C42"/>
    <w:rsid w:val="00934EA2"/>
    <w:rsid w:val="00940614"/>
    <w:rsid w:val="00944A5C"/>
    <w:rsid w:val="00952A66"/>
    <w:rsid w:val="00957670"/>
    <w:rsid w:val="00987C1F"/>
    <w:rsid w:val="009C3191"/>
    <w:rsid w:val="009C56E5"/>
    <w:rsid w:val="009D3CF4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1384F"/>
    <w:rsid w:val="00B31EF6"/>
    <w:rsid w:val="00B639E9"/>
    <w:rsid w:val="00B75E5E"/>
    <w:rsid w:val="00B817CD"/>
    <w:rsid w:val="00B94AD0"/>
    <w:rsid w:val="00BA1FC6"/>
    <w:rsid w:val="00BA5265"/>
    <w:rsid w:val="00BB3A95"/>
    <w:rsid w:val="00BB6D50"/>
    <w:rsid w:val="00C0018F"/>
    <w:rsid w:val="00C1648C"/>
    <w:rsid w:val="00C16A5A"/>
    <w:rsid w:val="00C20466"/>
    <w:rsid w:val="00C214ED"/>
    <w:rsid w:val="00C234E6"/>
    <w:rsid w:val="00C26BA2"/>
    <w:rsid w:val="00C324A8"/>
    <w:rsid w:val="00C34854"/>
    <w:rsid w:val="00C54517"/>
    <w:rsid w:val="00C64CD8"/>
    <w:rsid w:val="00C73B1E"/>
    <w:rsid w:val="00C74C27"/>
    <w:rsid w:val="00C82A66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24FBF"/>
    <w:rsid w:val="00D54009"/>
    <w:rsid w:val="00D5651D"/>
    <w:rsid w:val="00D57197"/>
    <w:rsid w:val="00D57A34"/>
    <w:rsid w:val="00D6112A"/>
    <w:rsid w:val="00D74898"/>
    <w:rsid w:val="00D801ED"/>
    <w:rsid w:val="00D845FF"/>
    <w:rsid w:val="00D855A0"/>
    <w:rsid w:val="00D936BC"/>
    <w:rsid w:val="00D94176"/>
    <w:rsid w:val="00D96530"/>
    <w:rsid w:val="00DA7562"/>
    <w:rsid w:val="00DB0796"/>
    <w:rsid w:val="00DB478C"/>
    <w:rsid w:val="00DC2819"/>
    <w:rsid w:val="00DD1B88"/>
    <w:rsid w:val="00DD44AF"/>
    <w:rsid w:val="00DE2AC3"/>
    <w:rsid w:val="00DE5692"/>
    <w:rsid w:val="00E03C94"/>
    <w:rsid w:val="00E07AF5"/>
    <w:rsid w:val="00E11197"/>
    <w:rsid w:val="00E14E2A"/>
    <w:rsid w:val="00E20CAF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B7D3F"/>
    <w:rsid w:val="00EC622D"/>
    <w:rsid w:val="00EF2B09"/>
    <w:rsid w:val="00F02766"/>
    <w:rsid w:val="00F05BD4"/>
    <w:rsid w:val="00F26DB7"/>
    <w:rsid w:val="00F50B6E"/>
    <w:rsid w:val="00F6155B"/>
    <w:rsid w:val="00F65C19"/>
    <w:rsid w:val="00F7356B"/>
    <w:rsid w:val="00F776DF"/>
    <w:rsid w:val="00F840C7"/>
    <w:rsid w:val="00FA06CC"/>
    <w:rsid w:val="00FD2546"/>
    <w:rsid w:val="00FD772E"/>
    <w:rsid w:val="00FE705D"/>
    <w:rsid w:val="00FE78C7"/>
    <w:rsid w:val="00FF2E2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rsid w:val="00D24FBF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D24FBF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uiPriority w:val="39"/>
    <w:rsid w:val="00D24F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eforetable">
    <w:name w:val="Normal before table"/>
    <w:basedOn w:val="Normal"/>
    <w:rsid w:val="00D24FBF"/>
    <w:pPr>
      <w:keepNext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character" w:styleId="FollowedHyperlink">
    <w:name w:val="FollowedHyperlink"/>
    <w:basedOn w:val="DefaultParagraphFont"/>
    <w:semiHidden/>
    <w:unhideWhenUsed/>
    <w:rsid w:val="006F6E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2819"/>
    <w:p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13-WTSA.16-C-0083" TargetMode="External"/><Relationship Id="rId18" Type="http://schemas.openxmlformats.org/officeDocument/2006/relationships/hyperlink" Target="http://www.itu.int/md/meetingdoc.asp?lang=en&amp;parent=T13-WTSA.16-C-0118" TargetMode="External"/><Relationship Id="rId26" Type="http://schemas.openxmlformats.org/officeDocument/2006/relationships/hyperlink" Target="https://www.itu.int/md/dologin_md.asp?id=T13-WTSA.16-C-0016!!MSW-E" TargetMode="External"/><Relationship Id="rId39" Type="http://schemas.openxmlformats.org/officeDocument/2006/relationships/hyperlink" Target="http://www.itu.int/md/T13-WTSA.16-C-0101/en" TargetMode="External"/><Relationship Id="rId21" Type="http://schemas.openxmlformats.org/officeDocument/2006/relationships/hyperlink" Target="https://www.itu.int/md/dologin_md.asp?id=T13-WTSA.16-C-0006!!MSW-E" TargetMode="External"/><Relationship Id="rId34" Type="http://schemas.openxmlformats.org/officeDocument/2006/relationships/hyperlink" Target="http://www.itu.int/md/T13-WTSA.16-C-0052/en" TargetMode="External"/><Relationship Id="rId42" Type="http://schemas.openxmlformats.org/officeDocument/2006/relationships/hyperlink" Target="http://www.itu.int/md/T13-WTSA.16-C-0101/en" TargetMode="External"/><Relationship Id="rId47" Type="http://schemas.openxmlformats.org/officeDocument/2006/relationships/hyperlink" Target="http://www.itu.int/md/T13-WTSA.16-C-0075/en" TargetMode="External"/><Relationship Id="rId50" Type="http://schemas.openxmlformats.org/officeDocument/2006/relationships/hyperlink" Target="http://www.itu.int/md/T13-WTSA.16-C-0119/en" TargetMode="External"/><Relationship Id="rId55" Type="http://schemas.openxmlformats.org/officeDocument/2006/relationships/hyperlink" Target="http://www.itu.int/md/T13-WTSA.16-C-0119/en" TargetMode="External"/><Relationship Id="rId63" Type="http://schemas.openxmlformats.org/officeDocument/2006/relationships/hyperlink" Target="http://www.itu.int/md/T13-WTSA.16-C-0106/en" TargetMode="External"/><Relationship Id="rId68" Type="http://schemas.openxmlformats.org/officeDocument/2006/relationships/hyperlink" Target="http://www.itu.int/md/T13-WTSA.16-C-0110/en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13-WTSA.16-161025-TD-GEN-0001" TargetMode="External"/><Relationship Id="rId29" Type="http://schemas.openxmlformats.org/officeDocument/2006/relationships/hyperlink" Target="https://www.itu.int/md/dologin_md.asp?id=T13-WTSA.16-C-0022!!MSW-E" TargetMode="External"/><Relationship Id="rId11" Type="http://schemas.openxmlformats.org/officeDocument/2006/relationships/hyperlink" Target="http://www.itu.int/md/meetingdoc.asp?lang=en&amp;parent=T13-WTSA.16-C-0070" TargetMode="External"/><Relationship Id="rId24" Type="http://schemas.openxmlformats.org/officeDocument/2006/relationships/hyperlink" Target="https://www.itu.int/md/dologin_md.asp?id=T13-WTSA.16-C-0012!!MSW-E" TargetMode="External"/><Relationship Id="rId32" Type="http://schemas.openxmlformats.org/officeDocument/2006/relationships/hyperlink" Target="http://www.itu.int/md/T13-WTSA.16-C-0052/en" TargetMode="External"/><Relationship Id="rId37" Type="http://schemas.openxmlformats.org/officeDocument/2006/relationships/hyperlink" Target="http://www.itu.int/md/T13-WTSA.16-C-0075/en" TargetMode="External"/><Relationship Id="rId40" Type="http://schemas.openxmlformats.org/officeDocument/2006/relationships/hyperlink" Target="http://www.itu.int/md/T13-WTSA.16-C-0117/en" TargetMode="External"/><Relationship Id="rId45" Type="http://schemas.openxmlformats.org/officeDocument/2006/relationships/hyperlink" Target="http://www.itu.int/md/T13-WTSA.16-C-0074/en" TargetMode="External"/><Relationship Id="rId53" Type="http://schemas.openxmlformats.org/officeDocument/2006/relationships/hyperlink" Target="http://www.itu.int/md/T13-WTSA.16-C-0098/en" TargetMode="External"/><Relationship Id="rId58" Type="http://schemas.openxmlformats.org/officeDocument/2006/relationships/hyperlink" Target="http://www.itu.int/md/T13-WTSA.16-C-0098/en" TargetMode="External"/><Relationship Id="rId66" Type="http://schemas.openxmlformats.org/officeDocument/2006/relationships/hyperlink" Target="http://www.itu.int/md/T13-WTSA.16-C-0112/en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meetingdoc.asp?lang=en&amp;parent=T13-WTSA.16-C-0091" TargetMode="External"/><Relationship Id="rId23" Type="http://schemas.openxmlformats.org/officeDocument/2006/relationships/hyperlink" Target="https://www.itu.int/md/dologin_md.asp?id=T13-WTSA.16-C-0010!!MSW-E" TargetMode="External"/><Relationship Id="rId28" Type="http://schemas.openxmlformats.org/officeDocument/2006/relationships/hyperlink" Target="https://www.itu.int/md/dologin_md.asp?id=T13-WTSA.16-C-0020!!MSW-E" TargetMode="External"/><Relationship Id="rId36" Type="http://schemas.openxmlformats.org/officeDocument/2006/relationships/hyperlink" Target="http://www.itu.int/md/T13-WTSA.16-C-0101/en" TargetMode="External"/><Relationship Id="rId49" Type="http://schemas.openxmlformats.org/officeDocument/2006/relationships/hyperlink" Target="http://www.itu.int/md/T13-WTSA.16-C-0119/en" TargetMode="External"/><Relationship Id="rId57" Type="http://schemas.openxmlformats.org/officeDocument/2006/relationships/hyperlink" Target="http://www.itu.int/md/T13-WTSA.16-C-0119/en" TargetMode="External"/><Relationship Id="rId61" Type="http://schemas.openxmlformats.org/officeDocument/2006/relationships/hyperlink" Target="http://www.itu.int/md/T13-WTSA.16-C-0108" TargetMode="External"/><Relationship Id="rId10" Type="http://schemas.openxmlformats.org/officeDocument/2006/relationships/hyperlink" Target="http://www.itu.int/md/meetingdoc.asp?lang=en&amp;parent=T13-WTSA.16-C-0065" TargetMode="External"/><Relationship Id="rId19" Type="http://schemas.openxmlformats.org/officeDocument/2006/relationships/hyperlink" Target="https://www.itu.int/md/dologin_md.asp?id=T13-WTSA.16-C-0002!!MSW-E" TargetMode="External"/><Relationship Id="rId31" Type="http://schemas.openxmlformats.org/officeDocument/2006/relationships/hyperlink" Target="https://www.itu.int/md/dologin_md.asp?id=T13-WTSA.16-C-0022!!MSW-E" TargetMode="External"/><Relationship Id="rId44" Type="http://schemas.openxmlformats.org/officeDocument/2006/relationships/hyperlink" Target="http://www.itu.int/md/T13-WTSA.16-C-0074/en" TargetMode="External"/><Relationship Id="rId52" Type="http://schemas.openxmlformats.org/officeDocument/2006/relationships/hyperlink" Target="http://www.itu.int/md/T13-WTSA.16-C-0119/en" TargetMode="External"/><Relationship Id="rId60" Type="http://schemas.openxmlformats.org/officeDocument/2006/relationships/hyperlink" Target="http://www.itu.int/md/T13-WTSA.16-C-0101/en" TargetMode="External"/><Relationship Id="rId65" Type="http://schemas.openxmlformats.org/officeDocument/2006/relationships/hyperlink" Target="http://www.itu.int/md/T13-WTSA.16-C-0104/en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md/meetingdoc.asp?lang=en&amp;parent=T13-WTSA.16-C-0090" TargetMode="External"/><Relationship Id="rId22" Type="http://schemas.openxmlformats.org/officeDocument/2006/relationships/hyperlink" Target="https://www.itu.int/md/dologin_md.asp?id=T13-WTSA.16-C-0008!!MSW-E" TargetMode="External"/><Relationship Id="rId27" Type="http://schemas.openxmlformats.org/officeDocument/2006/relationships/hyperlink" Target="https://www.itu.int/md/dologin_md.asp?id=T13-WTSA.16-C-0018!!MSW-E" TargetMode="External"/><Relationship Id="rId30" Type="http://schemas.openxmlformats.org/officeDocument/2006/relationships/hyperlink" Target="http://www.itu.int/md/meetingdoc.asp?lang=en&amp;parent=T13-WTSA.16-C-0088" TargetMode="External"/><Relationship Id="rId35" Type="http://schemas.openxmlformats.org/officeDocument/2006/relationships/hyperlink" Target="http://www.itu.int/md/T13-WTSA.16-C-0118/en" TargetMode="External"/><Relationship Id="rId43" Type="http://schemas.openxmlformats.org/officeDocument/2006/relationships/hyperlink" Target="http://www.itu.int/md/T13-WTSA.16-C-0101/en" TargetMode="External"/><Relationship Id="rId48" Type="http://schemas.openxmlformats.org/officeDocument/2006/relationships/hyperlink" Target="http://www.itu.int/md/T13-WTSA.16-C-0098/en" TargetMode="External"/><Relationship Id="rId56" Type="http://schemas.openxmlformats.org/officeDocument/2006/relationships/hyperlink" Target="http://www.itu.int/md/T13-WTSA.16-C-0101/en" TargetMode="External"/><Relationship Id="rId64" Type="http://schemas.openxmlformats.org/officeDocument/2006/relationships/hyperlink" Target="http://www.itu.int/md/T13-WTSA.16-C-0105/en" TargetMode="External"/><Relationship Id="rId69" Type="http://schemas.openxmlformats.org/officeDocument/2006/relationships/hyperlink" Target="http://www.itu.int/md/T13-WTSA.16-C-0111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T13-WTSA.16-C-0101/en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13-WTSA.16-C-0073" TargetMode="External"/><Relationship Id="rId17" Type="http://schemas.openxmlformats.org/officeDocument/2006/relationships/hyperlink" Target="http://www.itu.int/md/T13-WTSA.16-161025-TD-GEN-0008/en" TargetMode="External"/><Relationship Id="rId25" Type="http://schemas.openxmlformats.org/officeDocument/2006/relationships/hyperlink" Target="https://www.itu.int/md/dologin_md.asp?id=T13-WTSA.16-C-0014!!MSW-E" TargetMode="External"/><Relationship Id="rId33" Type="http://schemas.openxmlformats.org/officeDocument/2006/relationships/hyperlink" Target="043ADD32F.docx" TargetMode="External"/><Relationship Id="rId38" Type="http://schemas.openxmlformats.org/officeDocument/2006/relationships/hyperlink" Target="http://www.itu.int/md/T13-WTSA.16-C-0075/en" TargetMode="External"/><Relationship Id="rId46" Type="http://schemas.openxmlformats.org/officeDocument/2006/relationships/hyperlink" Target="http://www.itu.int/md/T13-WTSA.16-C-0117/en" TargetMode="External"/><Relationship Id="rId59" Type="http://schemas.openxmlformats.org/officeDocument/2006/relationships/hyperlink" Target="http://www.itu.int/md/T13-WTSA.16-C-0101/en" TargetMode="External"/><Relationship Id="rId67" Type="http://schemas.openxmlformats.org/officeDocument/2006/relationships/hyperlink" Target="http://www.itu.int/md/T13-WTSA.16-C-0114/en" TargetMode="External"/><Relationship Id="rId20" Type="http://schemas.openxmlformats.org/officeDocument/2006/relationships/hyperlink" Target="https://www.itu.int/md/dologin_md.asp?id=T13-WTSA.16-C-0004!!MSW-E" TargetMode="External"/><Relationship Id="rId41" Type="http://schemas.openxmlformats.org/officeDocument/2006/relationships/hyperlink" Target="http://www.itu.int/md/T13-WTSA.16-C-0101/en" TargetMode="External"/><Relationship Id="rId54" Type="http://schemas.openxmlformats.org/officeDocument/2006/relationships/hyperlink" Target="http://www.itu.int/md/T13-WTSA.16-C-0119/en" TargetMode="External"/><Relationship Id="rId62" Type="http://schemas.openxmlformats.org/officeDocument/2006/relationships/hyperlink" Target="http://www.itu.int/md/T13-WTSA.16-C-0107/en" TargetMode="External"/><Relationship Id="rId70" Type="http://schemas.openxmlformats.org/officeDocument/2006/relationships/hyperlink" Target="http://www.itu.int/md/T13-WTSA.16-C-0113/en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BE1B-AF11-448B-8067-E7DDB1E9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2736</Words>
  <Characters>19528</Characters>
  <Application>Microsoft Office Word</Application>
  <DocSecurity>0</DocSecurity>
  <Lines>162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22220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Julliard,  Frédérique</dc:creator>
  <dc:description>Template used by DPM and CPI for the WTSA-16</dc:description>
  <cp:lastModifiedBy>Royer, Veronique</cp:lastModifiedBy>
  <cp:revision>39</cp:revision>
  <cp:lastPrinted>2016-11-03T01:56:00Z</cp:lastPrinted>
  <dcterms:created xsi:type="dcterms:W3CDTF">2016-11-02T22:50:00Z</dcterms:created>
  <dcterms:modified xsi:type="dcterms:W3CDTF">2016-11-03T02:59:00Z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