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6A7A33" w:rsidTr="004B520A">
        <w:trPr>
          <w:cantSplit/>
        </w:trPr>
        <w:tc>
          <w:tcPr>
            <w:tcW w:w="1379" w:type="dxa"/>
            <w:vAlign w:val="center"/>
          </w:tcPr>
          <w:p w:rsidR="000E5EE9" w:rsidRPr="006A7A33" w:rsidRDefault="000E5EE9" w:rsidP="006A7A33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A7A33">
              <w:rPr>
                <w:noProof/>
                <w:lang w:val="en-GB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6A7A33" w:rsidRDefault="000E5EE9" w:rsidP="006A7A33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A7A33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6A7A33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6A7A33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6A7A33" w:rsidRDefault="0028017B" w:rsidP="006A7A33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6A7A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6A7A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6A7A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6A7A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6A7A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6A7A33" w:rsidRDefault="000E5EE9" w:rsidP="006A7A33">
            <w:pPr>
              <w:spacing w:before="0"/>
              <w:jc w:val="right"/>
            </w:pPr>
            <w:r w:rsidRPr="006A7A33">
              <w:rPr>
                <w:noProof/>
                <w:lang w:val="en-GB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6A7A33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6A7A33" w:rsidRDefault="00F0220A" w:rsidP="006A7A33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6A7A33" w:rsidRDefault="00F0220A" w:rsidP="006A7A33">
            <w:pPr>
              <w:spacing w:before="0"/>
            </w:pPr>
          </w:p>
        </w:tc>
      </w:tr>
      <w:tr w:rsidR="005A374D" w:rsidRPr="006A7A33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6A7A33" w:rsidRDefault="005A374D" w:rsidP="006A7A33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6A7A33" w:rsidRDefault="005A374D" w:rsidP="006A7A3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A7A33" w:rsidTr="004B520A">
        <w:trPr>
          <w:cantSplit/>
        </w:trPr>
        <w:tc>
          <w:tcPr>
            <w:tcW w:w="6613" w:type="dxa"/>
            <w:gridSpan w:val="2"/>
          </w:tcPr>
          <w:p w:rsidR="00E83D45" w:rsidRPr="006A7A33" w:rsidRDefault="00F50CF3" w:rsidP="006A7A33">
            <w:pPr>
              <w:pStyle w:val="Committee"/>
              <w:framePr w:hSpace="0" w:wrap="auto" w:hAnchor="text" w:yAlign="inline"/>
              <w:spacing w:line="240" w:lineRule="auto"/>
            </w:pPr>
            <w:r>
              <w:t>SESIÓN PLENARIA</w:t>
            </w:r>
          </w:p>
        </w:tc>
        <w:tc>
          <w:tcPr>
            <w:tcW w:w="3198" w:type="dxa"/>
            <w:gridSpan w:val="2"/>
          </w:tcPr>
          <w:p w:rsidR="00E83D45" w:rsidRPr="006A7A33" w:rsidRDefault="00E85372" w:rsidP="006A7A3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A7A33">
              <w:rPr>
                <w:rFonts w:ascii="Verdana" w:hAnsi="Verdana"/>
                <w:b/>
                <w:sz w:val="20"/>
                <w:lang w:val="en-US"/>
              </w:rPr>
              <w:t>Documento 92-S</w:t>
            </w:r>
          </w:p>
        </w:tc>
      </w:tr>
      <w:tr w:rsidR="00E83D45" w:rsidRPr="006A7A33" w:rsidTr="004B520A">
        <w:trPr>
          <w:cantSplit/>
        </w:trPr>
        <w:tc>
          <w:tcPr>
            <w:tcW w:w="6613" w:type="dxa"/>
            <w:gridSpan w:val="2"/>
          </w:tcPr>
          <w:p w:rsidR="00E83D45" w:rsidRPr="006A7A33" w:rsidRDefault="00E83D45" w:rsidP="006A7A3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6A7A33" w:rsidRDefault="00F50CF3" w:rsidP="006A7A3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2</w:t>
            </w:r>
            <w:r w:rsidR="00E85372" w:rsidRPr="006A7A33">
              <w:rPr>
                <w:rFonts w:ascii="Verdana" w:hAnsi="Verdana"/>
                <w:b/>
                <w:sz w:val="20"/>
                <w:lang w:val="en-US"/>
              </w:rPr>
              <w:t xml:space="preserve"> de noviembre de 2016</w:t>
            </w:r>
          </w:p>
        </w:tc>
      </w:tr>
      <w:tr w:rsidR="00E83D45" w:rsidRPr="006A7A33" w:rsidTr="004B520A">
        <w:trPr>
          <w:cantSplit/>
        </w:trPr>
        <w:tc>
          <w:tcPr>
            <w:tcW w:w="6613" w:type="dxa"/>
            <w:gridSpan w:val="2"/>
          </w:tcPr>
          <w:p w:rsidR="00E83D45" w:rsidRPr="006A7A33" w:rsidRDefault="00E83D45" w:rsidP="006A7A33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6A7A33" w:rsidRDefault="00E85372" w:rsidP="006A7A3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A7A33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RPr="006A7A33" w:rsidTr="004B520A">
        <w:trPr>
          <w:cantSplit/>
        </w:trPr>
        <w:tc>
          <w:tcPr>
            <w:tcW w:w="9811" w:type="dxa"/>
            <w:gridSpan w:val="4"/>
          </w:tcPr>
          <w:p w:rsidR="00681766" w:rsidRPr="006A7A33" w:rsidRDefault="00681766" w:rsidP="006A7A3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A7A33" w:rsidTr="004B520A">
        <w:trPr>
          <w:cantSplit/>
        </w:trPr>
        <w:tc>
          <w:tcPr>
            <w:tcW w:w="9811" w:type="dxa"/>
            <w:gridSpan w:val="4"/>
          </w:tcPr>
          <w:p w:rsidR="00E83D45" w:rsidRPr="006A7A33" w:rsidRDefault="00B604E1" w:rsidP="006A7A33">
            <w:pPr>
              <w:pStyle w:val="Source"/>
            </w:pPr>
            <w:r w:rsidRPr="006A7A33">
              <w:t>Presidente de la COMISIÓN</w:t>
            </w:r>
            <w:r w:rsidR="0076751F" w:rsidRPr="006A7A33">
              <w:t xml:space="preserve"> 4</w:t>
            </w:r>
          </w:p>
        </w:tc>
      </w:tr>
      <w:tr w:rsidR="00E83D45" w:rsidRPr="006A7A33" w:rsidTr="004B520A">
        <w:trPr>
          <w:cantSplit/>
        </w:trPr>
        <w:tc>
          <w:tcPr>
            <w:tcW w:w="9811" w:type="dxa"/>
            <w:gridSpan w:val="4"/>
          </w:tcPr>
          <w:p w:rsidR="00E83D45" w:rsidRPr="006A7A33" w:rsidRDefault="00F50CF3" w:rsidP="00F50CF3">
            <w:pPr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</w:pPr>
            <w:r w:rsidRPr="006A7A33">
              <w:rPr>
                <w:sz w:val="28"/>
              </w:rPr>
              <w:t>INFORME FINAL DE LA COMISIÓN 4</w:t>
            </w:r>
            <w:r>
              <w:rPr>
                <w:sz w:val="28"/>
              </w:rPr>
              <w:br/>
            </w:r>
            <w:r w:rsidRPr="00F50CF3">
              <w:rPr>
                <w:caps/>
                <w:sz w:val="28"/>
              </w:rPr>
              <w:t>"PROGRAMA DE TRABAJO Y ORGANIZACIÓN DEL UIT-T"</w:t>
            </w:r>
          </w:p>
        </w:tc>
      </w:tr>
      <w:tr w:rsidR="00E83D45" w:rsidRPr="006A7A33" w:rsidTr="004B520A">
        <w:trPr>
          <w:cantSplit/>
        </w:trPr>
        <w:tc>
          <w:tcPr>
            <w:tcW w:w="9811" w:type="dxa"/>
            <w:gridSpan w:val="4"/>
          </w:tcPr>
          <w:p w:rsidR="00E83D45" w:rsidRPr="006A7A33" w:rsidRDefault="00E83D45" w:rsidP="006A7A33">
            <w:pPr>
              <w:pStyle w:val="Title2"/>
            </w:pPr>
          </w:p>
        </w:tc>
      </w:tr>
      <w:tr w:rsidR="00E83D45" w:rsidRPr="002A4848" w:rsidTr="004B520A">
        <w:trPr>
          <w:cantSplit/>
        </w:trPr>
        <w:tc>
          <w:tcPr>
            <w:tcW w:w="9811" w:type="dxa"/>
            <w:gridSpan w:val="4"/>
          </w:tcPr>
          <w:p w:rsidR="00E83D45" w:rsidRPr="006A7A33" w:rsidRDefault="00B604E1" w:rsidP="006A7A33">
            <w:pPr>
              <w:pStyle w:val="Agendaitem"/>
              <w:rPr>
                <w:lang w:val="en-US"/>
              </w:rPr>
            </w:pPr>
            <w:r w:rsidRPr="006A7A33">
              <w:rPr>
                <w:b/>
                <w:bCs/>
                <w:szCs w:val="28"/>
                <w:lang w:val="en-US"/>
              </w:rPr>
              <w:t>Presidente:</w:t>
            </w:r>
            <w:r w:rsidRPr="006A7A33">
              <w:rPr>
                <w:szCs w:val="28"/>
                <w:lang w:val="en-US"/>
              </w:rPr>
              <w:t xml:space="preserve"> S</w:t>
            </w:r>
            <w:r w:rsidR="0076751F" w:rsidRPr="006A7A33">
              <w:rPr>
                <w:szCs w:val="28"/>
                <w:lang w:val="en-US"/>
              </w:rPr>
              <w:t>r</w:t>
            </w:r>
            <w:r w:rsidRPr="006A7A33">
              <w:rPr>
                <w:szCs w:val="28"/>
                <w:lang w:val="en-US"/>
              </w:rPr>
              <w:t>.</w:t>
            </w:r>
            <w:r w:rsidR="0076751F" w:rsidRPr="006A7A33">
              <w:rPr>
                <w:szCs w:val="28"/>
                <w:lang w:val="en-US"/>
              </w:rPr>
              <w:t xml:space="preserve"> Kwame BAAH-ACHEAMFUOR (Ghana)</w:t>
            </w:r>
          </w:p>
        </w:tc>
      </w:tr>
    </w:tbl>
    <w:p w:rsidR="0076751F" w:rsidRPr="006A7A33" w:rsidRDefault="0076751F" w:rsidP="006A7A33">
      <w:pPr>
        <w:pStyle w:val="Heading1"/>
      </w:pPr>
      <w:r w:rsidRPr="006A7A33">
        <w:t>1</w:t>
      </w:r>
      <w:r w:rsidRPr="006A7A33">
        <w:tab/>
        <w:t>Introducción</w:t>
      </w:r>
    </w:p>
    <w:p w:rsidR="0076751F" w:rsidRPr="006A7A33" w:rsidRDefault="0076751F" w:rsidP="006A7A33">
      <w:r w:rsidRPr="006A7A33">
        <w:t>1.1</w:t>
      </w:r>
      <w:r w:rsidRPr="006A7A33">
        <w:tab/>
        <w:t>El mandato de la Comisión 4 (Programa de trabajo y organización del UIT-T) figura en el DT/4.</w:t>
      </w:r>
    </w:p>
    <w:p w:rsidR="0076751F" w:rsidRPr="006A7A33" w:rsidRDefault="0076751F" w:rsidP="00F50CF3">
      <w:r w:rsidRPr="006A7A33">
        <w:t>1.2</w:t>
      </w:r>
      <w:r w:rsidRPr="006A7A33">
        <w:tab/>
        <w:t>La Comisión 4 ha sido presidida por el Sr.</w:t>
      </w:r>
      <w:r w:rsidR="00F50CF3">
        <w:t xml:space="preserve"> </w:t>
      </w:r>
      <w:r w:rsidRPr="006A7A33">
        <w:t xml:space="preserve">Kwame Baah-Acheamfuor (Ghana) </w:t>
      </w:r>
      <w:r w:rsidR="00B604E1" w:rsidRPr="006A7A33">
        <w:t xml:space="preserve">con el apoyo de los </w:t>
      </w:r>
      <w:r w:rsidR="00F50CF3">
        <w:t>v</w:t>
      </w:r>
      <w:r w:rsidR="00B604E1" w:rsidRPr="006A7A33">
        <w:t>icepresidentes de la Comisión, Sr.</w:t>
      </w:r>
      <w:r w:rsidRPr="006A7A33">
        <w:t xml:space="preserve"> Rodolfo De la Rosa Rábago (M</w:t>
      </w:r>
      <w:r w:rsidR="00B604E1" w:rsidRPr="006A7A33">
        <w:t>é</w:t>
      </w:r>
      <w:r w:rsidRPr="006A7A33">
        <w:t xml:space="preserve">xico), </w:t>
      </w:r>
      <w:r w:rsidR="00B604E1" w:rsidRPr="006A7A33">
        <w:t xml:space="preserve">Sr. </w:t>
      </w:r>
      <w:r w:rsidRPr="006A7A33">
        <w:t>José Cabrera (</w:t>
      </w:r>
      <w:r w:rsidR="00B604E1" w:rsidRPr="006A7A33">
        <w:t>España</w:t>
      </w:r>
      <w:r w:rsidRPr="006A7A33">
        <w:t xml:space="preserve">), </w:t>
      </w:r>
      <w:r w:rsidR="00B604E1" w:rsidRPr="006A7A33">
        <w:t xml:space="preserve">Sr. </w:t>
      </w:r>
      <w:r w:rsidRPr="006A7A33">
        <w:t>Hyoung Jun Kim (</w:t>
      </w:r>
      <w:r w:rsidR="00B604E1" w:rsidRPr="006A7A33">
        <w:t>C</w:t>
      </w:r>
      <w:r w:rsidRPr="006A7A33">
        <w:t xml:space="preserve">orea, Rep. </w:t>
      </w:r>
      <w:r w:rsidR="00B604E1" w:rsidRPr="006A7A33">
        <w:t>de</w:t>
      </w:r>
      <w:r w:rsidRPr="006A7A33">
        <w:t xml:space="preserve">) </w:t>
      </w:r>
      <w:r w:rsidR="00B604E1" w:rsidRPr="006A7A33">
        <w:t>y Sra.</w:t>
      </w:r>
      <w:r w:rsidRPr="006A7A33">
        <w:t xml:space="preserve"> Umida R. Musayeva (Uzbekist</w:t>
      </w:r>
      <w:r w:rsidR="00B604E1" w:rsidRPr="006A7A33">
        <w:t>á</w:t>
      </w:r>
      <w:r w:rsidRPr="006A7A33">
        <w:t xml:space="preserve">n). </w:t>
      </w:r>
      <w:r w:rsidR="00B604E1" w:rsidRPr="006A7A33">
        <w:t>La Comisión 4 creó dos Grupos de Trabajo: el Grupo de Trabajo</w:t>
      </w:r>
      <w:r w:rsidRPr="006A7A33">
        <w:t xml:space="preserve"> 4A</w:t>
      </w:r>
      <w:r w:rsidR="00B604E1" w:rsidRPr="006A7A33">
        <w:t>,</w:t>
      </w:r>
      <w:r w:rsidRPr="006A7A33">
        <w:t xml:space="preserve"> </w:t>
      </w:r>
      <w:r w:rsidR="00B604E1" w:rsidRPr="006A7A33">
        <w:t>presidido por el Sr.</w:t>
      </w:r>
      <w:r w:rsidRPr="006A7A33">
        <w:t> Fabio Bigi (Ital</w:t>
      </w:r>
      <w:r w:rsidR="00B604E1" w:rsidRPr="006A7A33">
        <w:t>ia</w:t>
      </w:r>
      <w:r w:rsidRPr="006A7A33">
        <w:t>)</w:t>
      </w:r>
      <w:r w:rsidR="00B604E1" w:rsidRPr="006A7A33">
        <w:t>,</w:t>
      </w:r>
      <w:r w:rsidRPr="006A7A33">
        <w:t xml:space="preserve"> </w:t>
      </w:r>
      <w:r w:rsidR="00B604E1" w:rsidRPr="006A7A33">
        <w:t>acompañado del Vicepresidente Sr.</w:t>
      </w:r>
      <w:r w:rsidRPr="006A7A33">
        <w:rPr>
          <w:color w:val="000000"/>
          <w:lang w:eastAsia="zh-CN"/>
        </w:rPr>
        <w:t> Kaoru Kenyoshi (Jap</w:t>
      </w:r>
      <w:r w:rsidR="00B604E1" w:rsidRPr="006A7A33">
        <w:rPr>
          <w:color w:val="000000"/>
          <w:lang w:eastAsia="zh-CN"/>
        </w:rPr>
        <w:t>ó</w:t>
      </w:r>
      <w:r w:rsidRPr="006A7A33">
        <w:rPr>
          <w:color w:val="000000"/>
          <w:lang w:eastAsia="zh-CN"/>
        </w:rPr>
        <w:t>n)</w:t>
      </w:r>
      <w:r w:rsidRPr="006A7A33">
        <w:t xml:space="preserve">, </w:t>
      </w:r>
      <w:r w:rsidR="00B604E1" w:rsidRPr="006A7A33">
        <w:t>y el Grupo de Trabajo</w:t>
      </w:r>
      <w:r w:rsidRPr="006A7A33">
        <w:t xml:space="preserve"> 4B</w:t>
      </w:r>
      <w:r w:rsidR="00B604E1" w:rsidRPr="006A7A33">
        <w:t>, presidido por el Sr.</w:t>
      </w:r>
      <w:r w:rsidRPr="006A7A33">
        <w:t xml:space="preserve"> Jeferson Nacif (Bra</w:t>
      </w:r>
      <w:r w:rsidR="00B604E1" w:rsidRPr="006A7A33">
        <w:t>s</w:t>
      </w:r>
      <w:r w:rsidRPr="006A7A33">
        <w:t xml:space="preserve">il). </w:t>
      </w:r>
      <w:r w:rsidR="00B604E1" w:rsidRPr="006A7A33">
        <w:t>El Presidente contó con la asistencia directa del Sr.</w:t>
      </w:r>
      <w:r w:rsidR="00F50CF3">
        <w:t> </w:t>
      </w:r>
      <w:r w:rsidRPr="006A7A33">
        <w:t xml:space="preserve">Simão Campos-Neto, </w:t>
      </w:r>
      <w:r w:rsidR="00B604E1" w:rsidRPr="006A7A33">
        <w:t>la Sra.</w:t>
      </w:r>
      <w:r w:rsidRPr="006A7A33">
        <w:t xml:space="preserve"> Cristina Bueti </w:t>
      </w:r>
      <w:r w:rsidR="00B604E1" w:rsidRPr="006A7A33">
        <w:t>y el Sr.</w:t>
      </w:r>
      <w:r w:rsidRPr="006A7A33">
        <w:t xml:space="preserve"> Stefano Polidori </w:t>
      </w:r>
      <w:r w:rsidR="00B604E1" w:rsidRPr="006A7A33">
        <w:t>de la</w:t>
      </w:r>
      <w:r w:rsidRPr="006A7A33">
        <w:t xml:space="preserve"> TSB.</w:t>
      </w:r>
    </w:p>
    <w:p w:rsidR="0076751F" w:rsidRPr="006A7A33" w:rsidRDefault="0076751F" w:rsidP="00F50CF3">
      <w:r w:rsidRPr="006A7A33">
        <w:t>1.3</w:t>
      </w:r>
      <w:r w:rsidRPr="006A7A33">
        <w:tab/>
        <w:t xml:space="preserve">La Comisión ha celebrado </w:t>
      </w:r>
      <w:r w:rsidR="00B604E1" w:rsidRPr="006A7A33">
        <w:t>siete</w:t>
      </w:r>
      <w:r w:rsidRPr="006A7A33">
        <w:t xml:space="preserve"> reuniones cuyos inform</w:t>
      </w:r>
      <w:r w:rsidR="00CA74CA">
        <w:t>es figuran en los </w:t>
      </w:r>
      <w:r w:rsidRPr="006A7A33">
        <w:t>Documentos</w:t>
      </w:r>
      <w:r w:rsidR="00CA74CA">
        <w:t> </w:t>
      </w:r>
      <w:hyperlink r:id="rId10" w:history="1">
        <w:r w:rsidR="00B604E1" w:rsidRPr="006A7A33">
          <w:rPr>
            <w:rStyle w:val="Hyperlink"/>
          </w:rPr>
          <w:t>65</w:t>
        </w:r>
      </w:hyperlink>
      <w:r w:rsidR="00B604E1" w:rsidRPr="006A7A33">
        <w:t xml:space="preserve">, </w:t>
      </w:r>
      <w:hyperlink r:id="rId11" w:history="1">
        <w:r w:rsidR="00B604E1" w:rsidRPr="006A7A33">
          <w:rPr>
            <w:rStyle w:val="Hyperlink"/>
          </w:rPr>
          <w:t>70</w:t>
        </w:r>
      </w:hyperlink>
      <w:r w:rsidR="00B604E1" w:rsidRPr="006A7A33">
        <w:t xml:space="preserve">, </w:t>
      </w:r>
      <w:hyperlink r:id="rId12" w:history="1">
        <w:r w:rsidR="00B604E1" w:rsidRPr="006A7A33">
          <w:rPr>
            <w:rStyle w:val="Hyperlink"/>
          </w:rPr>
          <w:t>73</w:t>
        </w:r>
      </w:hyperlink>
      <w:r w:rsidR="00B604E1" w:rsidRPr="006A7A33">
        <w:t xml:space="preserve">, </w:t>
      </w:r>
      <w:hyperlink r:id="rId13" w:history="1">
        <w:r w:rsidR="00B604E1" w:rsidRPr="006A7A33">
          <w:rPr>
            <w:rStyle w:val="Hyperlink"/>
          </w:rPr>
          <w:t>83</w:t>
        </w:r>
      </w:hyperlink>
      <w:r w:rsidR="00B604E1" w:rsidRPr="006A7A33">
        <w:t xml:space="preserve">, </w:t>
      </w:r>
      <w:hyperlink r:id="rId14" w:history="1">
        <w:r w:rsidR="00B604E1" w:rsidRPr="006A7A33">
          <w:rPr>
            <w:rStyle w:val="Hyperlink"/>
          </w:rPr>
          <w:t>90</w:t>
        </w:r>
      </w:hyperlink>
      <w:r w:rsidR="00B604E1" w:rsidRPr="006A7A33">
        <w:t xml:space="preserve"> y </w:t>
      </w:r>
      <w:hyperlink r:id="rId15" w:history="1">
        <w:r w:rsidR="00B604E1" w:rsidRPr="006A7A33">
          <w:rPr>
            <w:rStyle w:val="Hyperlink"/>
          </w:rPr>
          <w:t>91</w:t>
        </w:r>
      </w:hyperlink>
      <w:r w:rsidRPr="006A7A33">
        <w:t xml:space="preserve">. Los </w:t>
      </w:r>
      <w:r w:rsidR="00F50CF3">
        <w:t>i</w:t>
      </w:r>
      <w:r w:rsidRPr="006A7A33">
        <w:t>nformes de las reuniones 1 y 2 (</w:t>
      </w:r>
      <w:r w:rsidR="00B604E1" w:rsidRPr="006A7A33">
        <w:t>65</w:t>
      </w:r>
      <w:r w:rsidRPr="006A7A33">
        <w:t xml:space="preserve">, </w:t>
      </w:r>
      <w:r w:rsidR="00B604E1" w:rsidRPr="006A7A33">
        <w:t>70</w:t>
      </w:r>
      <w:r w:rsidRPr="006A7A33">
        <w:t>) fueron aprobados por la Plenaria de la AMNT, y los Informes de las reuniones 3 y 4 (</w:t>
      </w:r>
      <w:r w:rsidR="00B604E1" w:rsidRPr="006A7A33">
        <w:t>73</w:t>
      </w:r>
      <w:r w:rsidRPr="006A7A33">
        <w:t xml:space="preserve">, </w:t>
      </w:r>
      <w:r w:rsidR="00B604E1" w:rsidRPr="006A7A33">
        <w:t>83</w:t>
      </w:r>
      <w:r w:rsidRPr="006A7A33">
        <w:t xml:space="preserve">) fueron aprobados por la Comisión 4, pero aún no han sido </w:t>
      </w:r>
      <w:r w:rsidR="00B604E1" w:rsidRPr="006A7A33">
        <w:t>examinados</w:t>
      </w:r>
      <w:r w:rsidRPr="006A7A33">
        <w:t xml:space="preserve"> por la Plenaria. Los </w:t>
      </w:r>
      <w:r w:rsidR="00F50CF3">
        <w:t>i</w:t>
      </w:r>
      <w:r w:rsidRPr="006A7A33">
        <w:t xml:space="preserve">nformes de las reuniones </w:t>
      </w:r>
      <w:r w:rsidR="00B604E1" w:rsidRPr="006A7A33">
        <w:t>6</w:t>
      </w:r>
      <w:r w:rsidRPr="006A7A33">
        <w:t xml:space="preserve"> y </w:t>
      </w:r>
      <w:r w:rsidR="00B604E1" w:rsidRPr="006A7A33">
        <w:t>7</w:t>
      </w:r>
      <w:r w:rsidR="00DF5A8E">
        <w:t xml:space="preserve"> que figuran en el Documento</w:t>
      </w:r>
      <w:r w:rsidRPr="006A7A33">
        <w:t xml:space="preserve"> </w:t>
      </w:r>
      <w:r w:rsidR="00B604E1" w:rsidRPr="006A7A33">
        <w:t>91</w:t>
      </w:r>
      <w:r w:rsidRPr="006A7A33">
        <w:t xml:space="preserve"> se han remitido directamente a la Plenaria para su aprobación.</w:t>
      </w:r>
    </w:p>
    <w:p w:rsidR="0076751F" w:rsidRPr="006A7A33" w:rsidRDefault="0076751F" w:rsidP="00F50CF3">
      <w:r w:rsidRPr="006A7A33">
        <w:t>1.4</w:t>
      </w:r>
      <w:r w:rsidRPr="006A7A33">
        <w:tab/>
        <w:t>La reunión tuvo en cuenta la documentación asignada a la Comisión 4 en el Documento </w:t>
      </w:r>
      <w:hyperlink r:id="rId16" w:history="1">
        <w:r w:rsidR="00F50CF3" w:rsidRPr="00F50CF3">
          <w:rPr>
            <w:rStyle w:val="Hyperlink"/>
          </w:rPr>
          <w:t>DT/1</w:t>
        </w:r>
      </w:hyperlink>
      <w:r w:rsidR="00F50CF3">
        <w:t xml:space="preserve"> </w:t>
      </w:r>
      <w:r w:rsidRPr="006A7A33">
        <w:t xml:space="preserve">y los asuntos enumerados en el </w:t>
      </w:r>
      <w:hyperlink r:id="rId17" w:history="1">
        <w:r w:rsidR="00F50CF3" w:rsidRPr="00F50CF3">
          <w:rPr>
            <w:rStyle w:val="Hyperlink"/>
          </w:rPr>
          <w:t>DT/8</w:t>
        </w:r>
      </w:hyperlink>
      <w:r w:rsidRPr="006A7A33">
        <w:t xml:space="preserve"> y en su Revisión 1</w:t>
      </w:r>
      <w:r w:rsidR="00B604E1" w:rsidRPr="006A7A33">
        <w:t>, además de la actualización diaria de los órdenes del día de la serie ADM</w:t>
      </w:r>
      <w:r w:rsidRPr="006A7A33">
        <w:t>.</w:t>
      </w:r>
    </w:p>
    <w:p w:rsidR="0076751F" w:rsidRPr="006A7A33" w:rsidRDefault="0076751F" w:rsidP="006A7A33">
      <w:pPr>
        <w:pStyle w:val="Heading1"/>
      </w:pPr>
      <w:r w:rsidRPr="006A7A33">
        <w:lastRenderedPageBreak/>
        <w:t>2</w:t>
      </w:r>
      <w:r w:rsidRPr="006A7A33">
        <w:tab/>
        <w:t>Estructura de las Comisiones de Estudio</w:t>
      </w:r>
    </w:p>
    <w:p w:rsidR="0076751F" w:rsidRPr="006A7A33" w:rsidRDefault="0076751F" w:rsidP="006A7A33">
      <w:pPr>
        <w:pStyle w:val="Heading2"/>
      </w:pPr>
      <w:r w:rsidRPr="006A7A33">
        <w:t>2.1</w:t>
      </w:r>
      <w:r w:rsidRPr="006A7A33">
        <w:tab/>
        <w:t>Aspectos generales</w:t>
      </w:r>
    </w:p>
    <w:p w:rsidR="0076751F" w:rsidRPr="006A7A33" w:rsidRDefault="0076751F" w:rsidP="006A7A33">
      <w:r w:rsidRPr="006A7A33">
        <w:rPr>
          <w:b/>
          <w:bCs/>
        </w:rPr>
        <w:t>2.1.1</w:t>
      </w:r>
      <w:r w:rsidRPr="006A7A33">
        <w:tab/>
        <w:t xml:space="preserve">Los debates sobre la estructura, mandatos y asignación de Cuestiones a las Comisiones de Estudio se han basado en las numerosas propuestas realizadas por los </w:t>
      </w:r>
      <w:r w:rsidR="00B604E1" w:rsidRPr="006A7A33">
        <w:t>M</w:t>
      </w:r>
      <w:r w:rsidRPr="006A7A33">
        <w:t>iembros y que fueron asignadas a la Comisión 4.</w:t>
      </w:r>
    </w:p>
    <w:p w:rsidR="0076751F" w:rsidRPr="006A7A33" w:rsidRDefault="0076751F" w:rsidP="006A7A33">
      <w:r w:rsidRPr="006A7A33">
        <w:rPr>
          <w:b/>
          <w:bCs/>
        </w:rPr>
        <w:t>2.1.2</w:t>
      </w:r>
      <w:r w:rsidRPr="006A7A33">
        <w:tab/>
        <w:t>Los acuerdos alcanzados sobre la estructura, denominación, numeración, mandato y asignación de Cuestiones a las Comisiones de Estudio se enumeran en el punto 2.</w:t>
      </w:r>
      <w:r w:rsidR="00B604E1" w:rsidRPr="006A7A33">
        <w:t>3</w:t>
      </w:r>
      <w:r w:rsidRPr="006A7A33">
        <w:t xml:space="preserve">. Se mantiene el número de </w:t>
      </w:r>
      <w:r w:rsidR="00B604E1" w:rsidRPr="006A7A33">
        <w:t>11</w:t>
      </w:r>
      <w:r w:rsidRPr="006A7A33">
        <w:t xml:space="preserve"> Comisiones de Estudio.</w:t>
      </w:r>
    </w:p>
    <w:p w:rsidR="0076751F" w:rsidRPr="006A7A33" w:rsidRDefault="0076751F" w:rsidP="006A7A33">
      <w:r w:rsidRPr="006A7A33">
        <w:rPr>
          <w:b/>
          <w:bCs/>
        </w:rPr>
        <w:t>2.1.3</w:t>
      </w:r>
      <w:r w:rsidRPr="006A7A33">
        <w:tab/>
      </w:r>
      <w:r w:rsidR="00C32C04">
        <w:t>La COM</w:t>
      </w:r>
      <w:r w:rsidR="00B604E1" w:rsidRPr="006A7A33">
        <w:t>4 acordó la denominación, mandato, función rectora y orientaciones de la Resolución 2 que pueden encontrarse en el Documento</w:t>
      </w:r>
      <w:r w:rsidRPr="006A7A33">
        <w:t xml:space="preserve"> </w:t>
      </w:r>
      <w:hyperlink r:id="rId18" w:history="1">
        <w:r w:rsidRPr="006A7A33">
          <w:rPr>
            <w:rStyle w:val="Hyperlink"/>
          </w:rPr>
          <w:t>118</w:t>
        </w:r>
      </w:hyperlink>
      <w:r w:rsidRPr="006A7A33">
        <w:t xml:space="preserve"> (</w:t>
      </w:r>
      <w:r w:rsidR="00B604E1" w:rsidRPr="006A7A33">
        <w:t>serie blanca de la</w:t>
      </w:r>
      <w:r w:rsidRPr="006A7A33">
        <w:t xml:space="preserve"> COM5). </w:t>
      </w:r>
    </w:p>
    <w:p w:rsidR="0076751F" w:rsidRPr="006A7A33" w:rsidRDefault="0076751F" w:rsidP="006A7A33">
      <w:r w:rsidRPr="006A7A33">
        <w:rPr>
          <w:b/>
          <w:bCs/>
        </w:rPr>
        <w:t>2.1.4</w:t>
      </w:r>
      <w:r w:rsidRPr="006A7A33">
        <w:tab/>
      </w:r>
      <w:r w:rsidR="00B604E1" w:rsidRPr="006A7A33">
        <w:t xml:space="preserve">En lo que respecta al Anexo C a la Resolución 2, se acordó también </w:t>
      </w:r>
      <w:r w:rsidR="00B604E1" w:rsidRPr="006A7A33">
        <w:rPr>
          <w:b/>
          <w:bCs/>
        </w:rPr>
        <w:t xml:space="preserve">encargar a la TSB la actualización del Anexo C </w:t>
      </w:r>
      <w:r w:rsidR="00B604E1" w:rsidRPr="006A7A33">
        <w:t>a la Resolución 2, como ya se hizo en Asambleas anteriores</w:t>
      </w:r>
      <w:r w:rsidRPr="006A7A33">
        <w:t>.</w:t>
      </w:r>
    </w:p>
    <w:p w:rsidR="0076751F" w:rsidRPr="006A7A33" w:rsidRDefault="0076751F" w:rsidP="002568DC">
      <w:pPr>
        <w:pStyle w:val="Heading2"/>
      </w:pPr>
      <w:r w:rsidRPr="006A7A33">
        <w:t>2.</w:t>
      </w:r>
      <w:r w:rsidR="00DE50EB" w:rsidRPr="006A7A33">
        <w:t>2</w:t>
      </w:r>
      <w:r w:rsidRPr="006A7A33">
        <w:tab/>
        <w:t xml:space="preserve">Denominación, mandatos, </w:t>
      </w:r>
      <w:r w:rsidR="002568DC">
        <w:t>C</w:t>
      </w:r>
      <w:r w:rsidRPr="006A7A33">
        <w:t>uestiones</w:t>
      </w:r>
      <w:r w:rsidR="002A4848">
        <w:t>,</w:t>
      </w:r>
      <w:r w:rsidRPr="006A7A33">
        <w:t xml:space="preserve"> etc. de las Comisiones de Estudio</w:t>
      </w:r>
    </w:p>
    <w:p w:rsidR="0076751F" w:rsidRDefault="0076751F" w:rsidP="002568DC">
      <w:pPr>
        <w:rPr>
          <w:b/>
          <w:bCs/>
        </w:rPr>
      </w:pPr>
      <w:r w:rsidRPr="002568DC">
        <w:rPr>
          <w:b/>
        </w:rPr>
        <w:t>2.</w:t>
      </w:r>
      <w:r w:rsidR="00DE50EB" w:rsidRPr="002568DC">
        <w:rPr>
          <w:b/>
        </w:rPr>
        <w:t>2</w:t>
      </w:r>
      <w:r w:rsidRPr="002568DC">
        <w:rPr>
          <w:b/>
        </w:rPr>
        <w:t>.1</w:t>
      </w:r>
      <w:r w:rsidRPr="006A7A33">
        <w:tab/>
      </w:r>
      <w:r w:rsidR="00EB2712" w:rsidRPr="006A7A33">
        <w:rPr>
          <w:bCs/>
        </w:rPr>
        <w:t>La COM4 acordó los textos de las Cuestiones y su asignación (véanse los Documentos</w:t>
      </w:r>
      <w:r w:rsidRPr="006A7A33">
        <w:rPr>
          <w:bCs/>
        </w:rPr>
        <w:t xml:space="preserve"> </w:t>
      </w:r>
      <w:hyperlink r:id="rId19" w:tgtFrame="_parent" w:history="1">
        <w:r w:rsidRPr="006A7A33">
          <w:rPr>
            <w:rStyle w:val="Hyperlink"/>
            <w:bCs/>
          </w:rPr>
          <w:t>2</w:t>
        </w:r>
      </w:hyperlink>
      <w:r w:rsidRPr="006A7A33">
        <w:rPr>
          <w:bCs/>
        </w:rPr>
        <w:t xml:space="preserve">, </w:t>
      </w:r>
      <w:hyperlink r:id="rId20" w:tgtFrame="_parent" w:history="1">
        <w:r w:rsidRPr="006A7A33">
          <w:rPr>
            <w:rStyle w:val="Hyperlink"/>
            <w:bCs/>
          </w:rPr>
          <w:t>4</w:t>
        </w:r>
      </w:hyperlink>
      <w:r w:rsidRPr="006A7A33">
        <w:rPr>
          <w:bCs/>
        </w:rPr>
        <w:t xml:space="preserve">, </w:t>
      </w:r>
      <w:hyperlink r:id="rId21" w:tgtFrame="_parent" w:history="1">
        <w:r w:rsidRPr="006A7A33">
          <w:rPr>
            <w:rStyle w:val="Hyperlink"/>
            <w:bCs/>
          </w:rPr>
          <w:t>6</w:t>
        </w:r>
      </w:hyperlink>
      <w:r w:rsidRPr="006A7A33">
        <w:rPr>
          <w:bCs/>
        </w:rPr>
        <w:t xml:space="preserve">, </w:t>
      </w:r>
      <w:hyperlink r:id="rId22" w:tgtFrame="_parent" w:history="1">
        <w:r w:rsidRPr="006A7A33">
          <w:rPr>
            <w:rStyle w:val="Hyperlink"/>
            <w:bCs/>
          </w:rPr>
          <w:t>8</w:t>
        </w:r>
      </w:hyperlink>
      <w:r w:rsidRPr="006A7A33">
        <w:rPr>
          <w:bCs/>
        </w:rPr>
        <w:t xml:space="preserve">, </w:t>
      </w:r>
      <w:hyperlink r:id="rId23" w:tgtFrame="_parent" w:history="1">
        <w:r w:rsidRPr="006A7A33">
          <w:rPr>
            <w:rStyle w:val="Hyperlink"/>
            <w:bCs/>
          </w:rPr>
          <w:t>10</w:t>
        </w:r>
      </w:hyperlink>
      <w:r w:rsidRPr="006A7A33">
        <w:rPr>
          <w:bCs/>
        </w:rPr>
        <w:t xml:space="preserve">, </w:t>
      </w:r>
      <w:hyperlink r:id="rId24" w:tgtFrame="_parent" w:history="1">
        <w:r w:rsidRPr="006A7A33">
          <w:rPr>
            <w:rStyle w:val="Hyperlink"/>
            <w:bCs/>
          </w:rPr>
          <w:t>12</w:t>
        </w:r>
      </w:hyperlink>
      <w:r w:rsidRPr="006A7A33">
        <w:rPr>
          <w:bCs/>
        </w:rPr>
        <w:t xml:space="preserve">, </w:t>
      </w:r>
      <w:hyperlink r:id="rId25" w:tgtFrame="_parent" w:history="1">
        <w:r w:rsidRPr="006A7A33">
          <w:rPr>
            <w:rStyle w:val="Hyperlink"/>
            <w:bCs/>
          </w:rPr>
          <w:t>14</w:t>
        </w:r>
      </w:hyperlink>
      <w:r w:rsidRPr="006A7A33">
        <w:rPr>
          <w:bCs/>
        </w:rPr>
        <w:t xml:space="preserve">, </w:t>
      </w:r>
      <w:hyperlink r:id="rId26" w:tgtFrame="_parent" w:history="1">
        <w:r w:rsidRPr="006A7A33">
          <w:rPr>
            <w:rStyle w:val="Hyperlink"/>
            <w:bCs/>
          </w:rPr>
          <w:t>16</w:t>
        </w:r>
      </w:hyperlink>
      <w:r w:rsidRPr="006A7A33">
        <w:rPr>
          <w:bCs/>
        </w:rPr>
        <w:t xml:space="preserve">, </w:t>
      </w:r>
      <w:hyperlink r:id="rId27" w:tgtFrame="_parent" w:history="1">
        <w:r w:rsidRPr="006A7A33">
          <w:rPr>
            <w:rStyle w:val="Hyperlink"/>
            <w:bCs/>
          </w:rPr>
          <w:t>18</w:t>
        </w:r>
      </w:hyperlink>
      <w:r w:rsidRPr="006A7A33">
        <w:rPr>
          <w:bCs/>
        </w:rPr>
        <w:t xml:space="preserve">, </w:t>
      </w:r>
      <w:hyperlink r:id="rId28" w:tgtFrame="_parent" w:history="1">
        <w:r w:rsidRPr="006A7A33">
          <w:rPr>
            <w:rStyle w:val="Hyperlink"/>
            <w:bCs/>
          </w:rPr>
          <w:t>20</w:t>
        </w:r>
      </w:hyperlink>
      <w:r w:rsidRPr="006A7A33">
        <w:rPr>
          <w:bCs/>
        </w:rPr>
        <w:t xml:space="preserve">, </w:t>
      </w:r>
      <w:hyperlink r:id="rId29" w:tgtFrame="_parent" w:history="1">
        <w:r w:rsidRPr="006A7A33">
          <w:rPr>
            <w:rStyle w:val="Hyperlink"/>
            <w:bCs/>
          </w:rPr>
          <w:t>22</w:t>
        </w:r>
      </w:hyperlink>
      <w:r w:rsidR="00EB2712" w:rsidRPr="006A7A33">
        <w:rPr>
          <w:rStyle w:val="Hyperlink"/>
          <w:bCs/>
        </w:rPr>
        <w:t>)</w:t>
      </w:r>
      <w:r w:rsidRPr="006A7A33">
        <w:rPr>
          <w:bCs/>
        </w:rPr>
        <w:t xml:space="preserve"> </w:t>
      </w:r>
      <w:r w:rsidR="00EB2712" w:rsidRPr="006A7A33">
        <w:rPr>
          <w:bCs/>
        </w:rPr>
        <w:t>presentados por las diversas Comisiones de Estudio, aportando las siguientes modificaciones</w:t>
      </w:r>
      <w:r w:rsidRPr="006A7A33">
        <w:rPr>
          <w:bCs/>
        </w:rPr>
        <w:t>.</w:t>
      </w:r>
    </w:p>
    <w:p w:rsidR="0076751F" w:rsidRPr="006A7A33" w:rsidRDefault="0076751F" w:rsidP="006A7A33">
      <w:r w:rsidRPr="006A7A33">
        <w:rPr>
          <w:b/>
          <w:bCs/>
        </w:rPr>
        <w:t>2.</w:t>
      </w:r>
      <w:r w:rsidR="00DE50EB" w:rsidRPr="006A7A33">
        <w:rPr>
          <w:b/>
          <w:bCs/>
        </w:rPr>
        <w:t>2</w:t>
      </w:r>
      <w:r w:rsidRPr="006A7A33">
        <w:rPr>
          <w:b/>
          <w:bCs/>
        </w:rPr>
        <w:t>.2</w:t>
      </w:r>
      <w:r w:rsidRPr="006A7A33">
        <w:tab/>
      </w:r>
      <w:r w:rsidR="00EB2712" w:rsidRPr="006A7A33">
        <w:t>El texto de la Cuestión</w:t>
      </w:r>
      <w:r w:rsidRPr="006A7A33">
        <w:t xml:space="preserve"> I/11 </w:t>
      </w:r>
      <w:r w:rsidR="00EB2712" w:rsidRPr="006A7A33">
        <w:rPr>
          <w:b/>
          <w:bCs/>
        </w:rPr>
        <w:t xml:space="preserve">enmendada </w:t>
      </w:r>
      <w:r w:rsidR="00EB2712" w:rsidRPr="006A7A33">
        <w:t>puede encontrarse en el Documento</w:t>
      </w:r>
      <w:r w:rsidRPr="006A7A33">
        <w:t xml:space="preserve"> </w:t>
      </w:r>
      <w:hyperlink r:id="rId30" w:history="1">
        <w:r w:rsidRPr="006A7A33">
          <w:rPr>
            <w:rStyle w:val="Hyperlink"/>
          </w:rPr>
          <w:t>88</w:t>
        </w:r>
      </w:hyperlink>
      <w:r w:rsidR="00075145">
        <w:t>.</w:t>
      </w:r>
    </w:p>
    <w:p w:rsidR="0076751F" w:rsidRPr="006A7A33" w:rsidRDefault="0076751F" w:rsidP="006A7A33">
      <w:r w:rsidRPr="006A7A33">
        <w:rPr>
          <w:b/>
          <w:bCs/>
        </w:rPr>
        <w:t>2.</w:t>
      </w:r>
      <w:r w:rsidR="00DE50EB" w:rsidRPr="006A7A33">
        <w:rPr>
          <w:b/>
          <w:bCs/>
        </w:rPr>
        <w:t>2</w:t>
      </w:r>
      <w:r w:rsidRPr="006A7A33">
        <w:rPr>
          <w:b/>
          <w:bCs/>
        </w:rPr>
        <w:t>.3</w:t>
      </w:r>
      <w:r w:rsidRPr="006A7A33">
        <w:tab/>
      </w:r>
      <w:r w:rsidR="00EB2712" w:rsidRPr="006A7A33">
        <w:t>La Cuestión</w:t>
      </w:r>
      <w:r w:rsidRPr="006A7A33">
        <w:t xml:space="preserve"> D/2 (</w:t>
      </w:r>
      <w:r w:rsidR="00EB2712" w:rsidRPr="006A7A33">
        <w:t>antigua</w:t>
      </w:r>
      <w:r w:rsidRPr="006A7A33">
        <w:t xml:space="preserve"> </w:t>
      </w:r>
      <w:r w:rsidR="00EB2712" w:rsidRPr="006A7A33">
        <w:t>C</w:t>
      </w:r>
      <w:r w:rsidRPr="006A7A33">
        <w:t xml:space="preserve">4/2) </w:t>
      </w:r>
      <w:r w:rsidR="00EB2712" w:rsidRPr="006A7A33">
        <w:t>se</w:t>
      </w:r>
      <w:r w:rsidRPr="006A7A33">
        <w:t xml:space="preserve"> </w:t>
      </w:r>
      <w:r w:rsidRPr="006A7A33">
        <w:rPr>
          <w:b/>
          <w:bCs/>
        </w:rPr>
        <w:t>transf</w:t>
      </w:r>
      <w:r w:rsidR="00EB2712" w:rsidRPr="006A7A33">
        <w:rPr>
          <w:b/>
          <w:bCs/>
        </w:rPr>
        <w:t>iere</w:t>
      </w:r>
      <w:r w:rsidRPr="006A7A33">
        <w:t xml:space="preserve"> </w:t>
      </w:r>
      <w:r w:rsidR="00EB2712" w:rsidRPr="006A7A33">
        <w:t>a la CE</w:t>
      </w:r>
      <w:r w:rsidR="002568DC">
        <w:t> </w:t>
      </w:r>
      <w:r w:rsidR="00EB2712" w:rsidRPr="006A7A33">
        <w:t>16 como Cuestión independiente</w:t>
      </w:r>
      <w:r w:rsidRPr="006A7A33">
        <w:t>.</w:t>
      </w:r>
    </w:p>
    <w:p w:rsidR="0076751F" w:rsidRPr="006A7A33" w:rsidRDefault="0076751F" w:rsidP="006A7A33">
      <w:r w:rsidRPr="006A7A33">
        <w:rPr>
          <w:b/>
          <w:bCs/>
        </w:rPr>
        <w:t>2.</w:t>
      </w:r>
      <w:r w:rsidR="00DE50EB" w:rsidRPr="006A7A33">
        <w:rPr>
          <w:b/>
          <w:bCs/>
        </w:rPr>
        <w:t>2</w:t>
      </w:r>
      <w:r w:rsidRPr="006A7A33">
        <w:rPr>
          <w:b/>
          <w:bCs/>
        </w:rPr>
        <w:t>.4</w:t>
      </w:r>
      <w:r w:rsidRPr="006A7A33">
        <w:tab/>
      </w:r>
      <w:r w:rsidR="00EB2712" w:rsidRPr="006A7A33">
        <w:t>La Cuestión</w:t>
      </w:r>
      <w:r w:rsidRPr="006A7A33">
        <w:t xml:space="preserve"> I/9 (</w:t>
      </w:r>
      <w:r w:rsidR="00EB2712" w:rsidRPr="006A7A33">
        <w:t>antigua</w:t>
      </w:r>
      <w:r w:rsidRPr="006A7A33">
        <w:t xml:space="preserve"> </w:t>
      </w:r>
      <w:r w:rsidR="00EB2712" w:rsidRPr="006A7A33">
        <w:t>C</w:t>
      </w:r>
      <w:r w:rsidRPr="006A7A33">
        <w:t xml:space="preserve">9/9) </w:t>
      </w:r>
      <w:r w:rsidR="00EB2712" w:rsidRPr="006A7A33">
        <w:t>se</w:t>
      </w:r>
      <w:r w:rsidRPr="006A7A33">
        <w:t xml:space="preserve"> </w:t>
      </w:r>
      <w:r w:rsidRPr="006A7A33">
        <w:rPr>
          <w:b/>
          <w:bCs/>
        </w:rPr>
        <w:t>transf</w:t>
      </w:r>
      <w:r w:rsidR="00EB2712" w:rsidRPr="006A7A33">
        <w:rPr>
          <w:b/>
          <w:bCs/>
        </w:rPr>
        <w:t>iere</w:t>
      </w:r>
      <w:r w:rsidRPr="006A7A33">
        <w:t xml:space="preserve"> </w:t>
      </w:r>
      <w:r w:rsidR="00EB2712" w:rsidRPr="006A7A33">
        <w:t>a la CE</w:t>
      </w:r>
      <w:r w:rsidR="002568DC">
        <w:t> </w:t>
      </w:r>
      <w:r w:rsidRPr="006A7A33">
        <w:t>15.</w:t>
      </w:r>
    </w:p>
    <w:p w:rsidR="0076751F" w:rsidRPr="006A7A33" w:rsidRDefault="0076751F" w:rsidP="006A7A33">
      <w:r w:rsidRPr="006A7A33">
        <w:rPr>
          <w:b/>
          <w:bCs/>
        </w:rPr>
        <w:t>2.</w:t>
      </w:r>
      <w:r w:rsidR="00DE50EB" w:rsidRPr="006A7A33">
        <w:rPr>
          <w:b/>
          <w:bCs/>
        </w:rPr>
        <w:t>2</w:t>
      </w:r>
      <w:r w:rsidRPr="006A7A33">
        <w:rPr>
          <w:b/>
          <w:bCs/>
        </w:rPr>
        <w:t>.5</w:t>
      </w:r>
      <w:r w:rsidRPr="006A7A33">
        <w:tab/>
      </w:r>
      <w:r w:rsidR="00EB2712" w:rsidRPr="006A7A33">
        <w:t>Las Cuestiones</w:t>
      </w:r>
      <w:r w:rsidRPr="006A7A33">
        <w:t xml:space="preserve"> </w:t>
      </w:r>
      <w:r w:rsidRPr="006A7A33">
        <w:rPr>
          <w:bCs/>
          <w:szCs w:val="22"/>
        </w:rPr>
        <w:t>B/</w:t>
      </w:r>
      <w:r w:rsidRPr="006A7A33">
        <w:t>9 (</w:t>
      </w:r>
      <w:r w:rsidR="00EB2712" w:rsidRPr="006A7A33">
        <w:t>antigua</w:t>
      </w:r>
      <w:r w:rsidRPr="006A7A33">
        <w:t xml:space="preserve"> </w:t>
      </w:r>
      <w:r w:rsidR="00EB2712" w:rsidRPr="006A7A33">
        <w:t>C</w:t>
      </w:r>
      <w:r w:rsidRPr="006A7A33">
        <w:t xml:space="preserve">2/9) </w:t>
      </w:r>
      <w:r w:rsidR="00EB2712" w:rsidRPr="006A7A33">
        <w:t>y</w:t>
      </w:r>
      <w:r w:rsidRPr="006A7A33">
        <w:t xml:space="preserve"> L/9 (</w:t>
      </w:r>
      <w:r w:rsidR="00EB2712" w:rsidRPr="006A7A33">
        <w:t>antigua</w:t>
      </w:r>
      <w:r w:rsidRPr="006A7A33">
        <w:t xml:space="preserve"> </w:t>
      </w:r>
      <w:r w:rsidR="00EB2712" w:rsidRPr="006A7A33">
        <w:t>C</w:t>
      </w:r>
      <w:r w:rsidRPr="006A7A33">
        <w:t xml:space="preserve">12/9) </w:t>
      </w:r>
      <w:r w:rsidR="00EB2712" w:rsidRPr="006A7A33">
        <w:t>se</w:t>
      </w:r>
      <w:r w:rsidRPr="006A7A33">
        <w:t xml:space="preserve"> </w:t>
      </w:r>
      <w:r w:rsidRPr="006A7A33">
        <w:rPr>
          <w:b/>
          <w:bCs/>
        </w:rPr>
        <w:t>transf</w:t>
      </w:r>
      <w:r w:rsidR="00EB2712" w:rsidRPr="006A7A33">
        <w:rPr>
          <w:b/>
          <w:bCs/>
        </w:rPr>
        <w:t>ieren</w:t>
      </w:r>
      <w:r w:rsidRPr="006A7A33">
        <w:t xml:space="preserve"> </w:t>
      </w:r>
      <w:r w:rsidR="00EB2712" w:rsidRPr="006A7A33">
        <w:t>a la CE</w:t>
      </w:r>
      <w:r w:rsidR="002568DC">
        <w:t> </w:t>
      </w:r>
      <w:r w:rsidRPr="006A7A33">
        <w:t>12.</w:t>
      </w:r>
    </w:p>
    <w:p w:rsidR="0076751F" w:rsidRPr="006A7A33" w:rsidRDefault="0076751F" w:rsidP="006A7A33">
      <w:r w:rsidRPr="006A7A33">
        <w:rPr>
          <w:b/>
          <w:bCs/>
        </w:rPr>
        <w:t>2.</w:t>
      </w:r>
      <w:r w:rsidR="00DE50EB" w:rsidRPr="006A7A33">
        <w:rPr>
          <w:b/>
          <w:bCs/>
        </w:rPr>
        <w:t>2</w:t>
      </w:r>
      <w:r w:rsidRPr="006A7A33">
        <w:rPr>
          <w:b/>
          <w:bCs/>
        </w:rPr>
        <w:t>.6</w:t>
      </w:r>
      <w:r w:rsidRPr="006A7A33">
        <w:rPr>
          <w:b/>
          <w:bCs/>
        </w:rPr>
        <w:tab/>
      </w:r>
      <w:r w:rsidR="00075145">
        <w:t>U</w:t>
      </w:r>
      <w:r w:rsidR="00952A89" w:rsidRPr="006A7A33">
        <w:t>na vez finalizados los debates del Grupo ad hoc sobre asuntos de la CE</w:t>
      </w:r>
      <w:r w:rsidR="00C32C04">
        <w:t> </w:t>
      </w:r>
      <w:r w:rsidR="00952A89" w:rsidRPr="006A7A33">
        <w:t xml:space="preserve">20, </w:t>
      </w:r>
      <w:r w:rsidR="00952A89" w:rsidRPr="006A7A33">
        <w:rPr>
          <w:b/>
          <w:bCs/>
        </w:rPr>
        <w:t xml:space="preserve">no se aportaron cambios </w:t>
      </w:r>
      <w:r w:rsidR="00952A89" w:rsidRPr="006A7A33">
        <w:t>a las Cuestiones de la CE</w:t>
      </w:r>
      <w:r w:rsidR="00C32C04">
        <w:t> </w:t>
      </w:r>
      <w:r w:rsidR="00952A89" w:rsidRPr="006A7A33">
        <w:t>20, que pueden consultarse en el Documento</w:t>
      </w:r>
      <w:r w:rsidRPr="006A7A33">
        <w:t xml:space="preserve"> </w:t>
      </w:r>
      <w:hyperlink r:id="rId31" w:tgtFrame="_parent" w:history="1">
        <w:r w:rsidRPr="006A7A33">
          <w:rPr>
            <w:rStyle w:val="Hyperlink"/>
          </w:rPr>
          <w:t>22</w:t>
        </w:r>
      </w:hyperlink>
      <w:r w:rsidRPr="006A7A33">
        <w:t xml:space="preserve">, </w:t>
      </w:r>
      <w:r w:rsidR="00952A89" w:rsidRPr="006A7A33">
        <w:t>gracias a los acuerdos alcanzados para modificar el mandato de la CE</w:t>
      </w:r>
      <w:r w:rsidR="002568DC">
        <w:t> </w:t>
      </w:r>
      <w:r w:rsidR="00952A89" w:rsidRPr="006A7A33">
        <w:t>20 en la Resolución 2</w:t>
      </w:r>
      <w:r w:rsidRPr="006A7A33">
        <w:t>.</w:t>
      </w:r>
    </w:p>
    <w:p w:rsidR="0076751F" w:rsidRPr="006A7A33" w:rsidRDefault="0076751F" w:rsidP="006A7A33">
      <w:pPr>
        <w:pStyle w:val="Heading3"/>
      </w:pPr>
      <w:r w:rsidRPr="006A7A33">
        <w:t>2.</w:t>
      </w:r>
      <w:r w:rsidR="00DE50EB" w:rsidRPr="006A7A33">
        <w:t>2</w:t>
      </w:r>
      <w:r w:rsidRPr="006A7A33">
        <w:t>.7</w:t>
      </w:r>
      <w:r w:rsidRPr="006A7A33">
        <w:tab/>
        <w:t>Prop</w:t>
      </w:r>
      <w:r w:rsidR="00952A89" w:rsidRPr="006A7A33">
        <w:t>uestas de nuevas Cuestiones</w:t>
      </w:r>
    </w:p>
    <w:p w:rsidR="0076751F" w:rsidRPr="006A7A33" w:rsidRDefault="0076751F" w:rsidP="006A7A33">
      <w:r w:rsidRPr="006A7A33">
        <w:rPr>
          <w:i/>
          <w:iCs/>
        </w:rPr>
        <w:t>a)</w:t>
      </w:r>
      <w:r w:rsidRPr="006A7A33">
        <w:tab/>
      </w:r>
      <w:r w:rsidR="00952A89" w:rsidRPr="006A7A33">
        <w:rPr>
          <w:b/>
          <w:bCs/>
        </w:rPr>
        <w:t xml:space="preserve">Se invitó a </w:t>
      </w:r>
      <w:r w:rsidRPr="006A7A33">
        <w:t xml:space="preserve">Bangladesh </w:t>
      </w:r>
      <w:r w:rsidR="00952A89" w:rsidRPr="006A7A33">
        <w:rPr>
          <w:b/>
          <w:bCs/>
        </w:rPr>
        <w:t>a presentar a la CE</w:t>
      </w:r>
      <w:r w:rsidR="002A4848">
        <w:rPr>
          <w:b/>
          <w:bCs/>
        </w:rPr>
        <w:t> </w:t>
      </w:r>
      <w:bookmarkStart w:id="0" w:name="_GoBack"/>
      <w:bookmarkEnd w:id="0"/>
      <w:r w:rsidRPr="006A7A33">
        <w:rPr>
          <w:b/>
          <w:bCs/>
        </w:rPr>
        <w:t xml:space="preserve">3 </w:t>
      </w:r>
      <w:r w:rsidR="00952A89" w:rsidRPr="006A7A33">
        <w:t>su propuesta de nueva Cuestión,</w:t>
      </w:r>
      <w:r w:rsidRPr="006A7A33">
        <w:t xml:space="preserve"> </w:t>
      </w:r>
      <w:r w:rsidR="00BF5223" w:rsidRPr="006A7A33">
        <w:rPr>
          <w:i/>
          <w:iCs/>
        </w:rPr>
        <w:t>Aspectos políticos y reglamentarios de la calidad de servicio (QOS) y de la calidad percibida (QOE)</w:t>
      </w:r>
      <w:r w:rsidR="00952A89" w:rsidRPr="006A7A33">
        <w:rPr>
          <w:i/>
          <w:iCs/>
        </w:rPr>
        <w:t xml:space="preserve"> </w:t>
      </w:r>
      <w:r w:rsidR="00952A89" w:rsidRPr="006A7A33">
        <w:t>(propuesta</w:t>
      </w:r>
      <w:r w:rsidRPr="006A7A33">
        <w:t xml:space="preserve"> BGD/</w:t>
      </w:r>
      <w:hyperlink r:id="rId32" w:history="1">
        <w:r w:rsidRPr="006A7A33">
          <w:rPr>
            <w:rStyle w:val="Hyperlink"/>
          </w:rPr>
          <w:t>52</w:t>
        </w:r>
      </w:hyperlink>
      <w:r w:rsidR="00952A89" w:rsidRPr="006A7A33">
        <w:rPr>
          <w:rStyle w:val="Hyperlink"/>
        </w:rPr>
        <w:t>)</w:t>
      </w:r>
      <w:r w:rsidR="00075145" w:rsidRPr="006A7A33">
        <w:t>,</w:t>
      </w:r>
      <w:r w:rsidRPr="006A7A33">
        <w:t xml:space="preserve"> </w:t>
      </w:r>
      <w:r w:rsidR="00952A89" w:rsidRPr="006A7A33">
        <w:t>en la primera reunión del nuevo periodo de estudio</w:t>
      </w:r>
      <w:r w:rsidRPr="006A7A33">
        <w:t>.</w:t>
      </w:r>
    </w:p>
    <w:p w:rsidR="0076751F" w:rsidRPr="006A7A33" w:rsidRDefault="0076751F" w:rsidP="002568DC">
      <w:r w:rsidRPr="006A7A33">
        <w:rPr>
          <w:i/>
          <w:iCs/>
        </w:rPr>
        <w:t>b)</w:t>
      </w:r>
      <w:r w:rsidRPr="006A7A33">
        <w:tab/>
      </w:r>
      <w:r w:rsidR="00952A89" w:rsidRPr="006A7A33">
        <w:t xml:space="preserve">La COM4 no pudo ocuparse de las dos propuestas de nueva Cuestión del </w:t>
      </w:r>
      <w:r w:rsidR="002568DC">
        <w:t>D</w:t>
      </w:r>
      <w:r w:rsidR="00952A89" w:rsidRPr="006A7A33">
        <w:t>ocumento</w:t>
      </w:r>
      <w:r w:rsidRPr="006A7A33">
        <w:rPr>
          <w:rFonts w:eastAsia="SimSun"/>
        </w:rPr>
        <w:t xml:space="preserve"> </w:t>
      </w:r>
      <w:hyperlink r:id="rId33" w:tgtFrame="_parent" w:history="1">
        <w:r w:rsidRPr="006A7A33">
          <w:rPr>
            <w:rStyle w:val="Hyperlink"/>
            <w:rFonts w:eastAsia="SimSun"/>
          </w:rPr>
          <w:t>43 Add. 32</w:t>
        </w:r>
      </w:hyperlink>
      <w:r w:rsidRPr="006A7A33">
        <w:t xml:space="preserve"> (</w:t>
      </w:r>
      <w:r w:rsidR="00952A89" w:rsidRPr="006A7A33">
        <w:t>C</w:t>
      </w:r>
      <w:r w:rsidRPr="006A7A33">
        <w:t xml:space="preserve">2/20 </w:t>
      </w:r>
      <w:r w:rsidR="00952A89" w:rsidRPr="006A7A33">
        <w:t>y C</w:t>
      </w:r>
      <w:r w:rsidRPr="006A7A33">
        <w:t xml:space="preserve">3/20) </w:t>
      </w:r>
      <w:r w:rsidR="00952A89" w:rsidRPr="006A7A33">
        <w:t>y dejó la decisión en manos de la Plenaria. El Presidente propuso seguir la práctica habitual de AMNT anteriores y dejar la decisión en manos de la Comisión de Estudio concernida (como se decidió para la propuesta del Documento</w:t>
      </w:r>
      <w:r w:rsidRPr="006A7A33">
        <w:t xml:space="preserve"> </w:t>
      </w:r>
      <w:hyperlink r:id="rId34" w:history="1">
        <w:r w:rsidRPr="006A7A33">
          <w:rPr>
            <w:rStyle w:val="Hyperlink"/>
          </w:rPr>
          <w:t>52</w:t>
        </w:r>
      </w:hyperlink>
      <w:r w:rsidRPr="006A7A33">
        <w:t xml:space="preserve"> (Bangladesh), </w:t>
      </w:r>
      <w:r w:rsidR="00952A89" w:rsidRPr="006A7A33">
        <w:t>ya expuesta en el inciso anterior</w:t>
      </w:r>
      <w:r w:rsidRPr="006A7A33">
        <w:t>.</w:t>
      </w:r>
    </w:p>
    <w:p w:rsidR="0076751F" w:rsidRPr="006A7A33" w:rsidRDefault="0076751F" w:rsidP="006A7A33">
      <w:pPr>
        <w:pStyle w:val="Heading1"/>
      </w:pPr>
      <w:r w:rsidRPr="006A7A33">
        <w:t>3</w:t>
      </w:r>
      <w:r w:rsidRPr="006A7A33">
        <w:tab/>
        <w:t>Resolu</w:t>
      </w:r>
      <w:r w:rsidR="00952A89" w:rsidRPr="006A7A33">
        <w:t xml:space="preserve">ciones acordadas por la </w:t>
      </w:r>
      <w:r w:rsidRPr="006A7A33">
        <w:t>COM4</w:t>
      </w:r>
    </w:p>
    <w:p w:rsidR="0076751F" w:rsidRPr="006A7A33" w:rsidRDefault="0076751F" w:rsidP="006A7A33">
      <w:pPr>
        <w:pStyle w:val="Headingb"/>
      </w:pPr>
      <w:r w:rsidRPr="006A7A33">
        <w:t>3.1</w:t>
      </w:r>
      <w:r w:rsidRPr="006A7A33">
        <w:tab/>
      </w:r>
      <w:r w:rsidR="00F31488" w:rsidRPr="006A7A33">
        <w:t>Resoluciones revisadas acordadas</w:t>
      </w:r>
      <w:r w:rsidRPr="006A7A33">
        <w:t xml:space="preserve"> </w:t>
      </w:r>
    </w:p>
    <w:p w:rsidR="0076751F" w:rsidRPr="006A7A33" w:rsidRDefault="0076751F" w:rsidP="006A7A33">
      <w:pPr>
        <w:pStyle w:val="enumlev1"/>
        <w:rPr>
          <w:b/>
          <w:bCs/>
          <w:i/>
          <w:iCs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1"/>
        <w:gridCol w:w="6195"/>
        <w:gridCol w:w="1913"/>
      </w:tblGrid>
      <w:tr w:rsidR="0076751F" w:rsidRPr="006A7A33" w:rsidTr="00F31488">
        <w:trPr>
          <w:tblHeader/>
          <w:jc w:val="center"/>
        </w:trPr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751F" w:rsidRPr="006A7A33" w:rsidRDefault="00EA2177" w:rsidP="006A7A33">
            <w:pPr>
              <w:pStyle w:val="Tablehead"/>
            </w:pPr>
            <w:r w:rsidRPr="006A7A33">
              <w:t>Número</w:t>
            </w:r>
          </w:p>
        </w:tc>
        <w:tc>
          <w:tcPr>
            <w:tcW w:w="61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751F" w:rsidRPr="006A7A33" w:rsidRDefault="00EA2177" w:rsidP="006A7A33">
            <w:pPr>
              <w:pStyle w:val="Tablehead"/>
              <w:rPr>
                <w:rFonts w:ascii="Calibri" w:hAnsi="Calibri"/>
                <w:color w:val="800000"/>
                <w:lang w:val="en-US"/>
              </w:rPr>
            </w:pPr>
            <w:r w:rsidRPr="006A7A33">
              <w:rPr>
                <w:lang w:val="en-US"/>
              </w:rPr>
              <w:t>Título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751F" w:rsidRPr="006A7A33" w:rsidRDefault="00EA2177" w:rsidP="006A7A33">
            <w:pPr>
              <w:pStyle w:val="Tablehead"/>
            </w:pPr>
            <w:r w:rsidRPr="006A7A33">
              <w:t>Referencia</w:t>
            </w:r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tcBorders>
              <w:top w:val="single" w:sz="12" w:space="0" w:color="auto"/>
            </w:tcBorders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2</w:t>
            </w:r>
          </w:p>
        </w:tc>
        <w:tc>
          <w:tcPr>
            <w:tcW w:w="6195" w:type="dxa"/>
            <w:tcBorders>
              <w:top w:val="single" w:sz="12" w:space="0" w:color="auto"/>
            </w:tcBorders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Responsabilidad y mandato de las Comisiones de Estudio del Sector de Normalización de las Telecomunicaciones de la UIT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35" w:history="1">
              <w:r w:rsidR="0076751F" w:rsidRPr="006A7A33">
                <w:rPr>
                  <w:rStyle w:val="Hyperlink"/>
                </w:rPr>
                <w:t>118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20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Procedimientos para la atribución y gestión de los recursos de numeración, denominación, direccionamiento e identificación internacionales de telecomunicaciones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36" w:history="1">
              <w:r w:rsidR="0076751F" w:rsidRPr="006A7A33">
                <w:rPr>
                  <w:rStyle w:val="Hyperlink"/>
                </w:rPr>
                <w:t>101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40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Aspectos reglamentarios de la labor del Sector de Normalización de las Telecomunicaciones de la UIT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37" w:history="1">
              <w:r w:rsidR="0076751F" w:rsidRPr="006A7A33">
                <w:rPr>
                  <w:rStyle w:val="Hyperlink"/>
                </w:rPr>
                <w:t>75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44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Reducción de la brecha de normalización entre los países en desarrollo y desarrollados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38" w:history="1">
              <w:r w:rsidR="0076751F" w:rsidRPr="006A7A33">
                <w:rPr>
                  <w:rStyle w:val="Hyperlink"/>
                </w:rPr>
                <w:t>75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49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ENUM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39" w:history="1">
              <w:r w:rsidR="0076751F" w:rsidRPr="006A7A33">
                <w:rPr>
                  <w:rStyle w:val="Hyperlink"/>
                </w:rPr>
                <w:t>101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54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Creación de Grupos Regionales y asistencia a esos Grupos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0" w:history="1">
              <w:r w:rsidR="0076751F" w:rsidRPr="006A7A33">
                <w:rPr>
                  <w:rStyle w:val="Hyperlink"/>
                </w:rPr>
                <w:t>117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64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Asignación de direcciones IP y medidas encaminadas a facilitar la transición a IPv6 y su implantación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1" w:history="1">
              <w:r w:rsidR="0076751F" w:rsidRPr="006A7A33">
                <w:rPr>
                  <w:rStyle w:val="Hyperlink"/>
                </w:rPr>
                <w:t>101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65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Comunicación del número de la parte llamante, identificación de la línea llamante e información sobre la identificación del origen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2" w:history="1">
              <w:r w:rsidR="0076751F" w:rsidRPr="006A7A33">
                <w:rPr>
                  <w:rStyle w:val="Hyperlink"/>
                </w:rPr>
                <w:t>101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69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Acceso y utilización no discriminatorios de los recursos de Internet y de telecomunicaciones/tecnologías de la información y la comunicación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3" w:history="1">
              <w:r w:rsidR="0076751F" w:rsidRPr="006A7A33">
                <w:rPr>
                  <w:rStyle w:val="Hyperlink"/>
                </w:rPr>
                <w:t>101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72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Problemas de medición y evaluación relativos a la exposición de las personas a los campos electromagnéticos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4" w:history="1">
              <w:r w:rsidR="0076751F" w:rsidRPr="006A7A33">
                <w:rPr>
                  <w:rStyle w:val="Hyperlink"/>
                </w:rPr>
                <w:t>74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73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Tecnologías de la información y la comunicación, medio ambiente y cambio climático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5" w:history="1">
              <w:r w:rsidR="0076751F" w:rsidRPr="006A7A33">
                <w:rPr>
                  <w:rStyle w:val="Hyperlink"/>
                </w:rPr>
                <w:t>74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75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5303D1" w:rsidP="006A7A33">
            <w:pPr>
              <w:pStyle w:val="Tabletext"/>
            </w:pPr>
            <w:r w:rsidRPr="006A7A33">
              <w:t>Contribución del Sector de Normalización de las Telecomunicaciones de la UIT a la puesta en práctica de los resultados de la Cumbre Mundial sobre la Sociedad de la Información, teniendo en cuenta la Agenda 2030 para el Desarrollo Sostenible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6" w:history="1">
              <w:r w:rsidR="0076751F" w:rsidRPr="006A7A33">
                <w:rPr>
                  <w:rStyle w:val="Hyperlink"/>
                </w:rPr>
                <w:t>117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76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337E34" w:rsidP="006A7A33">
            <w:pPr>
              <w:pStyle w:val="Tabletext"/>
            </w:pPr>
            <w:r w:rsidRPr="006A7A33">
              <w:rPr>
                <w:lang w:val="es-ES"/>
              </w:rPr>
              <w:t>Estudios relacionados con las pruebas de conformidad e interoperatividad, la asistencia a los países en desarrollo</w:t>
            </w:r>
            <w:r w:rsidRPr="006A7A33">
              <w:rPr>
                <w:rStyle w:val="FootnoteReference"/>
                <w:lang w:val="es-ES"/>
              </w:rPr>
              <w:footnoteReference w:customMarkFollows="1" w:id="1"/>
              <w:t>1</w:t>
            </w:r>
            <w:r w:rsidRPr="006A7A33">
              <w:rPr>
                <w:lang w:val="es-ES"/>
              </w:rPr>
              <w:t xml:space="preserve"> y un posible futuro programa relativo a la Marca UIT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7" w:history="1">
              <w:r w:rsidR="0076751F" w:rsidRPr="006A7A33">
                <w:rPr>
                  <w:rStyle w:val="Hyperlink"/>
                </w:rPr>
                <w:t>75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50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77</w:t>
            </w:r>
          </w:p>
        </w:tc>
        <w:tc>
          <w:tcPr>
            <w:tcW w:w="6195" w:type="dxa"/>
            <w:shd w:val="clear" w:color="auto" w:fill="auto"/>
          </w:tcPr>
          <w:p w:rsidR="0076751F" w:rsidRPr="006A7A33" w:rsidRDefault="00ED4241" w:rsidP="006A7A33">
            <w:pPr>
              <w:pStyle w:val="Tabletext"/>
            </w:pPr>
            <w:r w:rsidRPr="006A7A33">
              <w:t>Fortalecimiento de la normalización de las redes definidas por software en el Sector de Normalización de las Telecomunicaciones de la UIT</w:t>
            </w:r>
          </w:p>
        </w:tc>
        <w:tc>
          <w:tcPr>
            <w:tcW w:w="191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8" w:history="1">
              <w:r w:rsidR="0076751F" w:rsidRPr="006A7A33">
                <w:rPr>
                  <w:rStyle w:val="Hyperlink"/>
                </w:rPr>
                <w:t>98</w:t>
              </w:r>
            </w:hyperlink>
          </w:p>
        </w:tc>
      </w:tr>
    </w:tbl>
    <w:p w:rsidR="0076751F" w:rsidRPr="006A7A33" w:rsidRDefault="0076751F" w:rsidP="00E44946">
      <w:pPr>
        <w:tabs>
          <w:tab w:val="clear" w:pos="1134"/>
          <w:tab w:val="left" w:pos="284"/>
        </w:tabs>
      </w:pPr>
      <w:r w:rsidRPr="006A7A33">
        <w:t>*</w:t>
      </w:r>
      <w:r w:rsidR="00E44946">
        <w:tab/>
      </w:r>
      <w:r w:rsidR="00F31488" w:rsidRPr="006A7A33">
        <w:t>Disponible en breve</w:t>
      </w:r>
      <w:r w:rsidRPr="006A7A33">
        <w:t>.</w:t>
      </w:r>
    </w:p>
    <w:p w:rsidR="0076751F" w:rsidRPr="006A7A33" w:rsidRDefault="0076751F" w:rsidP="006A7A33"/>
    <w:p w:rsidR="0076751F" w:rsidRPr="006A7A33" w:rsidRDefault="0076751F" w:rsidP="006A7A33">
      <w:pPr>
        <w:pStyle w:val="Heading2"/>
        <w:tabs>
          <w:tab w:val="left" w:pos="2160"/>
          <w:tab w:val="left" w:pos="8016"/>
        </w:tabs>
      </w:pPr>
      <w:r w:rsidRPr="006A7A33">
        <w:t>3.2</w:t>
      </w:r>
      <w:r w:rsidRPr="006A7A33">
        <w:tab/>
        <w:t>N</w:t>
      </w:r>
      <w:r w:rsidR="00F31488" w:rsidRPr="006A7A33">
        <w:t>uevas Resoluciones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641"/>
        <w:gridCol w:w="4804"/>
        <w:gridCol w:w="1903"/>
      </w:tblGrid>
      <w:tr w:rsidR="0076751F" w:rsidRPr="006A7A33" w:rsidTr="00F31488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751F" w:rsidRPr="006A7A33" w:rsidRDefault="00F31488" w:rsidP="006A7A33">
            <w:pPr>
              <w:pStyle w:val="Tablehead"/>
            </w:pPr>
            <w:r w:rsidRPr="006A7A33">
              <w:t>Número de la COM4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751F" w:rsidRPr="006A7A33" w:rsidRDefault="00F31488" w:rsidP="006A7A33">
            <w:pPr>
              <w:pStyle w:val="Tablehead"/>
            </w:pPr>
            <w:r w:rsidRPr="006A7A33">
              <w:t>Número de la COMRED</w:t>
            </w:r>
          </w:p>
        </w:tc>
        <w:tc>
          <w:tcPr>
            <w:tcW w:w="4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751F" w:rsidRPr="006A7A33" w:rsidRDefault="00F31488" w:rsidP="006A7A33">
            <w:pPr>
              <w:pStyle w:val="Tablehead"/>
              <w:rPr>
                <w:lang w:val="en-US"/>
              </w:rPr>
            </w:pPr>
            <w:r w:rsidRPr="006A7A33">
              <w:rPr>
                <w:lang w:val="en-US"/>
              </w:rPr>
              <w:t>Título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751F" w:rsidRPr="006A7A33" w:rsidRDefault="00F31488" w:rsidP="006A7A33">
            <w:pPr>
              <w:pStyle w:val="Tablehead"/>
            </w:pPr>
            <w:r w:rsidRPr="006A7A33">
              <w:t>Referencia</w:t>
            </w:r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[AFCP-2]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[COM4/7]</w:t>
            </w:r>
          </w:p>
        </w:tc>
        <w:tc>
          <w:tcPr>
            <w:tcW w:w="4804" w:type="dxa"/>
            <w:tcBorders>
              <w:top w:val="single" w:sz="12" w:space="0" w:color="auto"/>
            </w:tcBorders>
            <w:shd w:val="clear" w:color="auto" w:fill="auto"/>
          </w:tcPr>
          <w:p w:rsidR="0076751F" w:rsidRPr="006A7A33" w:rsidRDefault="00090892" w:rsidP="006A7A33">
            <w:pPr>
              <w:pStyle w:val="Tabletext"/>
            </w:pPr>
            <w:r w:rsidRPr="006A7A33">
              <w:t>Promoción de la u</w:t>
            </w:r>
            <w:r w:rsidR="001A7BB8" w:rsidRPr="006A7A33">
              <w:t xml:space="preserve">tilización de las </w:t>
            </w:r>
            <w:r w:rsidRPr="006A7A33">
              <w:t>tecnologías de la información y la comunicación para reducir la brecha de inclusión</w:t>
            </w:r>
            <w:r w:rsidR="001A7BB8" w:rsidRPr="006A7A33">
              <w:t xml:space="preserve"> financiera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49" w:history="1">
              <w:r w:rsidR="006A7A33" w:rsidRPr="006A7A33">
                <w:rPr>
                  <w:rStyle w:val="Hyperlink"/>
                </w:rPr>
                <w:t>119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[AFCP-8]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[COM4/9]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Facilita</w:t>
            </w:r>
            <w:r w:rsidR="001A7BB8" w:rsidRPr="006A7A33">
              <w:t>r la aplicación del Manifiesto</w:t>
            </w:r>
            <w:r w:rsidRPr="006A7A33">
              <w:t xml:space="preserve"> Smart Africa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0" w:history="1">
              <w:r w:rsidR="006A7A33" w:rsidRPr="006A7A33">
                <w:rPr>
                  <w:rStyle w:val="Hyperlink"/>
                </w:rPr>
                <w:t>119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[APT-1]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[COM4/3]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Fortalecimiento de las actividades de normalización del Sector de Normalización de las Telecomunicaciones de la UIT sobre aspectos no radioeléctricos de las telecomunicaciones móviles internacionales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1" w:history="1">
              <w:r w:rsidR="0076751F" w:rsidRPr="006A7A33">
                <w:rPr>
                  <w:rStyle w:val="Hyperlink"/>
                </w:rPr>
                <w:t>101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[APT-2/IAP3]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[COM4/10]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090892" w:rsidP="006A7A33">
            <w:pPr>
              <w:pStyle w:val="Tabletext"/>
            </w:pPr>
            <w:r w:rsidRPr="006A7A33">
              <w:t>Refuerzo</w:t>
            </w:r>
            <w:r w:rsidR="001A7BB8" w:rsidRPr="006A7A33">
              <w:t xml:space="preserve"> de la normalización sobre Internet de las cosas y las ciudades y comunidades inteligentes para el desarrollo mundial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2" w:history="1">
              <w:r w:rsidR="006A7A33" w:rsidRPr="006A7A33">
                <w:rPr>
                  <w:rStyle w:val="Hyperlink"/>
                </w:rPr>
                <w:t>119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[APT-3]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[COM4/1]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ED4241" w:rsidP="002568DC">
            <w:pPr>
              <w:pStyle w:val="Tabletext"/>
            </w:pPr>
            <w:r w:rsidRPr="006A7A33">
              <w:t>Labor de normalización en el Sector de Normalización de las Telecomunicaciones de la UIT para tecnologías de datos de eventos basadas en la nube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3" w:history="1">
              <w:r w:rsidR="0076751F" w:rsidRPr="006A7A33">
                <w:rPr>
                  <w:rStyle w:val="Hyperlink"/>
                </w:rPr>
                <w:t>98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[ARB-4]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[COM4/8]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D91D4F" w:rsidP="006A7A33">
            <w:pPr>
              <w:pStyle w:val="Tabletext"/>
            </w:pPr>
            <w:r w:rsidRPr="006A7A33">
              <w:t>Fortalecimiento y diversificación de los recursos del Sector de Normalización de las Telecomunicaciones de la U</w:t>
            </w:r>
            <w:r w:rsidR="00090892" w:rsidRPr="006A7A33">
              <w:t>IT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4" w:history="1">
              <w:r w:rsidR="006A7A33" w:rsidRPr="006A7A33">
                <w:rPr>
                  <w:rStyle w:val="Hyperlink"/>
                </w:rPr>
                <w:t>119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[IAP-1/AFCP-6]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[COM4/11]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I</w:t>
            </w:r>
            <w:r w:rsidR="00D91D4F" w:rsidRPr="006A7A33">
              <w:t xml:space="preserve">niciativas del </w:t>
            </w:r>
            <w:r w:rsidR="00E003BA" w:rsidRPr="006A7A33">
              <w:t xml:space="preserve">Sector de Normalización de las Telecomunicaciones de la </w:t>
            </w:r>
            <w:r w:rsidR="00D91D4F" w:rsidRPr="006A7A33">
              <w:t xml:space="preserve">UIT para </w:t>
            </w:r>
            <w:r w:rsidR="00E003BA" w:rsidRPr="006A7A33">
              <w:t>sensibilizar sobre</w:t>
            </w:r>
            <w:r w:rsidR="00D91D4F" w:rsidRPr="006A7A33">
              <w:t xml:space="preserve"> prácticas </w:t>
            </w:r>
            <w:r w:rsidR="00E003BA" w:rsidRPr="006A7A33">
              <w:t xml:space="preserve">idóneas </w:t>
            </w:r>
            <w:r w:rsidR="00D91D4F" w:rsidRPr="006A7A33">
              <w:t xml:space="preserve">y políticas </w:t>
            </w:r>
            <w:r w:rsidR="00E003BA" w:rsidRPr="006A7A33">
              <w:t>relacionadas con la</w:t>
            </w:r>
            <w:r w:rsidR="00D91D4F" w:rsidRPr="006A7A33">
              <w:t xml:space="preserve"> calidad de servicio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5" w:history="1">
              <w:r w:rsidR="006A7A33" w:rsidRPr="006A7A33">
                <w:rPr>
                  <w:rStyle w:val="Hyperlink"/>
                </w:rPr>
                <w:t>119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[IAP-4]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[COM4/4]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Itinerancia Móvil Internacional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6" w:history="1">
              <w:r w:rsidR="0076751F" w:rsidRPr="006A7A33">
                <w:rPr>
                  <w:rStyle w:val="Hyperlink"/>
                </w:rPr>
                <w:t>101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[ITR]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[COM4/12]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Participa</w:t>
            </w:r>
            <w:r w:rsidR="00D91D4F" w:rsidRPr="006A7A33">
              <w:t xml:space="preserve">ción del Sector de Normalización de las Telecomunicaciones </w:t>
            </w:r>
            <w:r w:rsidR="00E003BA" w:rsidRPr="006A7A33">
              <w:t xml:space="preserve">de la UIT </w:t>
            </w:r>
            <w:r w:rsidR="00D91D4F" w:rsidRPr="006A7A33">
              <w:t>en el examen y la revisión periódicos del Reglamento de las Telecomunicaciones Internacionales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7" w:history="1">
              <w:r w:rsidR="006A7A33" w:rsidRPr="006A7A33">
                <w:rPr>
                  <w:rStyle w:val="Hyperlink"/>
                </w:rPr>
                <w:t>119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[RCC-3]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[COM4/2]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ED4241" w:rsidP="006A7A33">
            <w:pPr>
              <w:pStyle w:val="Tabletext"/>
            </w:pPr>
            <w:r w:rsidRPr="006A7A33">
              <w:t>Estudios relativos a la protección del usuario de los servicios de telecomunicaciones/TIC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8" w:history="1">
              <w:r w:rsidR="0076751F" w:rsidRPr="006A7A33">
                <w:rPr>
                  <w:rStyle w:val="Hyperlink"/>
                </w:rPr>
                <w:t>98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[RCC-4]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[COM4/5]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Mejora del acceso a un repositorio electrónico de información sobre planes de numeración publicados por el UIT-T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59" w:history="1">
              <w:r w:rsidR="0076751F" w:rsidRPr="006A7A33">
                <w:rPr>
                  <w:rStyle w:val="Hyperlink"/>
                </w:rPr>
                <w:t>101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126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[RCC-5]</w:t>
            </w:r>
          </w:p>
        </w:tc>
        <w:tc>
          <w:tcPr>
            <w:tcW w:w="1641" w:type="dxa"/>
            <w:shd w:val="clear" w:color="auto" w:fill="auto"/>
          </w:tcPr>
          <w:p w:rsidR="0076751F" w:rsidRPr="006A7A33" w:rsidRDefault="0076751F" w:rsidP="006A7A33">
            <w:pPr>
              <w:pStyle w:val="Tabletext"/>
            </w:pPr>
            <w:r w:rsidRPr="006A7A33">
              <w:t>[COM4/6]</w:t>
            </w:r>
          </w:p>
        </w:tc>
        <w:tc>
          <w:tcPr>
            <w:tcW w:w="4804" w:type="dxa"/>
            <w:shd w:val="clear" w:color="auto" w:fill="auto"/>
          </w:tcPr>
          <w:p w:rsidR="0076751F" w:rsidRPr="006A7A33" w:rsidRDefault="00ED1FE8" w:rsidP="006A7A33">
            <w:pPr>
              <w:pStyle w:val="Tabletext"/>
            </w:pPr>
            <w:r w:rsidRPr="006A7A33">
              <w:t>Interconexión de redes 4G, 5G/IMT-2020 y posteriores</w:t>
            </w:r>
          </w:p>
        </w:tc>
        <w:tc>
          <w:tcPr>
            <w:tcW w:w="1903" w:type="dxa"/>
            <w:shd w:val="clear" w:color="auto" w:fill="auto"/>
          </w:tcPr>
          <w:p w:rsidR="0076751F" w:rsidRPr="006A7A33" w:rsidRDefault="002A4848" w:rsidP="006A7A33">
            <w:pPr>
              <w:pStyle w:val="Tabletext"/>
              <w:jc w:val="center"/>
            </w:pPr>
            <w:hyperlink r:id="rId60" w:history="1">
              <w:r w:rsidR="0076751F" w:rsidRPr="006A7A33">
                <w:rPr>
                  <w:rStyle w:val="Hyperlink"/>
                </w:rPr>
                <w:t>101</w:t>
              </w:r>
            </w:hyperlink>
          </w:p>
        </w:tc>
      </w:tr>
    </w:tbl>
    <w:p w:rsidR="0076751F" w:rsidRPr="006A7A33" w:rsidRDefault="0076751F" w:rsidP="006A7A33"/>
    <w:p w:rsidR="0076751F" w:rsidRPr="006A7A33" w:rsidRDefault="0076751F" w:rsidP="006A7A33">
      <w:pPr>
        <w:pStyle w:val="Heading2"/>
        <w:tabs>
          <w:tab w:val="left" w:pos="2160"/>
          <w:tab w:val="left" w:pos="8016"/>
        </w:tabs>
        <w:spacing w:after="120"/>
      </w:pPr>
      <w:r w:rsidRPr="006A7A33">
        <w:t>3.3</w:t>
      </w:r>
      <w:r w:rsidRPr="006A7A33">
        <w:tab/>
        <w:t>Resolu</w:t>
      </w:r>
      <w:r w:rsidR="00D91D4F" w:rsidRPr="006A7A33">
        <w:t>ciones sin cambios</w:t>
      </w:r>
    </w:p>
    <w:tbl>
      <w:tblPr>
        <w:tblStyle w:val="TableGrid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1"/>
        <w:gridCol w:w="8193"/>
      </w:tblGrid>
      <w:tr w:rsidR="0076751F" w:rsidRPr="006A7A33" w:rsidTr="00F31488">
        <w:trPr>
          <w:tblHeader/>
          <w:jc w:val="center"/>
        </w:trPr>
        <w:tc>
          <w:tcPr>
            <w:tcW w:w="1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751F" w:rsidRPr="006A7A33" w:rsidRDefault="007C281F" w:rsidP="006A7A33">
            <w:pPr>
              <w:pStyle w:val="Tablehead"/>
            </w:pPr>
            <w:r w:rsidRPr="006A7A33">
              <w:t>Número</w:t>
            </w:r>
          </w:p>
        </w:tc>
        <w:tc>
          <w:tcPr>
            <w:tcW w:w="8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751F" w:rsidRPr="006A7A33" w:rsidRDefault="007C281F" w:rsidP="006A7A33">
            <w:pPr>
              <w:pStyle w:val="Tablehead"/>
            </w:pPr>
            <w:r w:rsidRPr="006A7A33">
              <w:t>Título</w:t>
            </w:r>
          </w:p>
        </w:tc>
      </w:tr>
      <w:tr w:rsidR="0076751F" w:rsidRPr="006A7A33" w:rsidTr="00F31488">
        <w:trPr>
          <w:jc w:val="center"/>
        </w:trPr>
        <w:tc>
          <w:tcPr>
            <w:tcW w:w="1431" w:type="dxa"/>
            <w:tcBorders>
              <w:top w:val="single" w:sz="12" w:space="0" w:color="auto"/>
            </w:tcBorders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47</w:t>
            </w:r>
          </w:p>
        </w:tc>
        <w:tc>
          <w:tcPr>
            <w:tcW w:w="8193" w:type="dxa"/>
            <w:tcBorders>
              <w:top w:val="single" w:sz="12" w:space="0" w:color="auto"/>
            </w:tcBorders>
            <w:shd w:val="clear" w:color="auto" w:fill="auto"/>
          </w:tcPr>
          <w:p w:rsidR="0076751F" w:rsidRPr="006A7A33" w:rsidRDefault="00ED4241" w:rsidP="006A7A33">
            <w:pPr>
              <w:pStyle w:val="Tabletext"/>
              <w:rPr>
                <w:rFonts w:ascii="Calibri" w:hAnsi="Calibri"/>
                <w:b/>
                <w:color w:val="800000"/>
              </w:rPr>
            </w:pPr>
            <w:r w:rsidRPr="006A7A33">
              <w:t>Nombres de dominio de nivel superior de código de país</w:t>
            </w:r>
          </w:p>
        </w:tc>
      </w:tr>
      <w:tr w:rsidR="0076751F" w:rsidRPr="006A7A33" w:rsidTr="00F31488">
        <w:trPr>
          <w:jc w:val="center"/>
        </w:trPr>
        <w:tc>
          <w:tcPr>
            <w:tcW w:w="143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48</w:t>
            </w:r>
          </w:p>
        </w:tc>
        <w:tc>
          <w:tcPr>
            <w:tcW w:w="8193" w:type="dxa"/>
            <w:shd w:val="clear" w:color="auto" w:fill="auto"/>
          </w:tcPr>
          <w:p w:rsidR="0076751F" w:rsidRPr="006A7A33" w:rsidRDefault="00ED4241" w:rsidP="006A7A33">
            <w:pPr>
              <w:pStyle w:val="Tabletext"/>
            </w:pPr>
            <w:r w:rsidRPr="006A7A33">
              <w:t>Nombres de dominio internacionalizados (y multilingües)</w:t>
            </w:r>
          </w:p>
        </w:tc>
      </w:tr>
      <w:tr w:rsidR="0076751F" w:rsidRPr="006A7A33" w:rsidTr="00F31488">
        <w:trPr>
          <w:jc w:val="center"/>
        </w:trPr>
        <w:tc>
          <w:tcPr>
            <w:tcW w:w="143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59</w:t>
            </w:r>
          </w:p>
        </w:tc>
        <w:tc>
          <w:tcPr>
            <w:tcW w:w="8193" w:type="dxa"/>
            <w:shd w:val="clear" w:color="auto" w:fill="auto"/>
          </w:tcPr>
          <w:p w:rsidR="0076751F" w:rsidRPr="006A7A33" w:rsidRDefault="00ED4241" w:rsidP="006A7A33">
            <w:pPr>
              <w:pStyle w:val="Tabletext"/>
            </w:pPr>
            <w:r w:rsidRPr="006A7A33">
              <w:t>Mejorar la participación de los operadores de telecomunicaciones de los países en desarrollo</w:t>
            </w:r>
          </w:p>
        </w:tc>
      </w:tr>
      <w:tr w:rsidR="0076751F" w:rsidRPr="006A7A33" w:rsidTr="00F31488">
        <w:trPr>
          <w:jc w:val="center"/>
        </w:trPr>
        <w:tc>
          <w:tcPr>
            <w:tcW w:w="1431" w:type="dxa"/>
            <w:shd w:val="clear" w:color="auto" w:fill="auto"/>
          </w:tcPr>
          <w:p w:rsidR="0076751F" w:rsidRPr="006A7A33" w:rsidRDefault="0076751F" w:rsidP="006A7A33">
            <w:pPr>
              <w:pStyle w:val="Tabletext"/>
              <w:jc w:val="center"/>
            </w:pPr>
            <w:r w:rsidRPr="006A7A33">
              <w:t>61</w:t>
            </w:r>
          </w:p>
        </w:tc>
        <w:tc>
          <w:tcPr>
            <w:tcW w:w="8193" w:type="dxa"/>
            <w:shd w:val="clear" w:color="auto" w:fill="auto"/>
          </w:tcPr>
          <w:p w:rsidR="0076751F" w:rsidRPr="006A7A33" w:rsidRDefault="00ED4241" w:rsidP="006A7A33">
            <w:pPr>
              <w:pStyle w:val="Tabletext"/>
            </w:pPr>
            <w:r w:rsidRPr="006A7A33">
              <w:t>Respuesta y lucha contra la apropiación y uso indebidos de recursos internacionales de numeración para las telecomunicaciones</w:t>
            </w:r>
          </w:p>
        </w:tc>
      </w:tr>
    </w:tbl>
    <w:p w:rsidR="0076751F" w:rsidRPr="006A7A33" w:rsidRDefault="0076751F" w:rsidP="00075145">
      <w:pPr>
        <w:pStyle w:val="Note"/>
      </w:pPr>
      <w:r w:rsidRPr="006A7A33">
        <w:t>NOT</w:t>
      </w:r>
      <w:r w:rsidR="00D91D4F" w:rsidRPr="006A7A33">
        <w:t>A</w:t>
      </w:r>
      <w:r w:rsidRPr="006A7A33">
        <w:t xml:space="preserve"> – </w:t>
      </w:r>
      <w:r w:rsidR="00D91D4F" w:rsidRPr="006A7A33">
        <w:t>para las siguientes Resoluciones y Opinión responsabilidad de la COM4 y sus GT no se recibieron propuestas, por lo que no se han modificado con respecto a la versión de la AMNT</w:t>
      </w:r>
      <w:r w:rsidRPr="006A7A33">
        <w:t>-12: 79 (</w:t>
      </w:r>
      <w:r w:rsidR="00D91D4F" w:rsidRPr="006A7A33">
        <w:t>asignada a la</w:t>
      </w:r>
      <w:r w:rsidRPr="006A7A33">
        <w:t xml:space="preserve"> COM4); 58, 62 (</w:t>
      </w:r>
      <w:r w:rsidR="00D91D4F" w:rsidRPr="006A7A33">
        <w:t>asignadas al GT</w:t>
      </w:r>
      <w:r w:rsidRPr="006A7A33">
        <w:t xml:space="preserve">4A); </w:t>
      </w:r>
      <w:r w:rsidR="00D91D4F" w:rsidRPr="006A7A33">
        <w:t>y</w:t>
      </w:r>
      <w:r w:rsidRPr="006A7A33">
        <w:t> 74 (</w:t>
      </w:r>
      <w:r w:rsidR="00D91D4F" w:rsidRPr="006A7A33">
        <w:t>asignada al GT</w:t>
      </w:r>
      <w:r w:rsidRPr="006A7A33">
        <w:t xml:space="preserve">4B). </w:t>
      </w:r>
      <w:r w:rsidR="004D25F0" w:rsidRPr="006A7A33">
        <w:t xml:space="preserve">Para la </w:t>
      </w:r>
      <w:r w:rsidRPr="006A7A33">
        <w:t>Opini</w:t>
      </w:r>
      <w:r w:rsidR="004D25F0" w:rsidRPr="006A7A33">
        <w:t>ó</w:t>
      </w:r>
      <w:r w:rsidRPr="006A7A33">
        <w:t xml:space="preserve">n 1 </w:t>
      </w:r>
      <w:r w:rsidR="004D25F0" w:rsidRPr="006A7A33">
        <w:t>tampoco se recibieron propuestas, por lo que se mantiene sin cambios la versión de la AMNT</w:t>
      </w:r>
      <w:r w:rsidRPr="006A7A33">
        <w:t>-12.</w:t>
      </w:r>
    </w:p>
    <w:p w:rsidR="0076751F" w:rsidRPr="006A7A33" w:rsidRDefault="0076751F" w:rsidP="006A7A33">
      <w:pPr>
        <w:pStyle w:val="Heading2"/>
        <w:tabs>
          <w:tab w:val="left" w:pos="2160"/>
          <w:tab w:val="left" w:pos="8016"/>
        </w:tabs>
      </w:pPr>
      <w:r w:rsidRPr="006A7A33">
        <w:t>3.4</w:t>
      </w:r>
      <w:r w:rsidRPr="006A7A33">
        <w:tab/>
        <w:t>Sup</w:t>
      </w:r>
      <w:r w:rsidR="004D25F0" w:rsidRPr="006A7A33">
        <w:t>resión de Resoluciones</w:t>
      </w:r>
    </w:p>
    <w:p w:rsidR="0076751F" w:rsidRPr="006A7A33" w:rsidRDefault="004D25F0" w:rsidP="006A7A33">
      <w:r w:rsidRPr="006A7A33">
        <w:t>No se presentaron a la COM4 propuestas de supresión de Resoluciones</w:t>
      </w:r>
      <w:r w:rsidR="0076751F" w:rsidRPr="006A7A33">
        <w:t>.</w:t>
      </w:r>
    </w:p>
    <w:p w:rsidR="0076751F" w:rsidRPr="006A7A33" w:rsidRDefault="0076751F" w:rsidP="006A7A33">
      <w:pPr>
        <w:pStyle w:val="Heading1"/>
      </w:pPr>
      <w:r w:rsidRPr="006A7A33">
        <w:t>4</w:t>
      </w:r>
      <w:r w:rsidRPr="006A7A33">
        <w:tab/>
      </w:r>
      <w:r w:rsidR="004D25F0" w:rsidRPr="006A7A33">
        <w:t>Temas remitidos por la COM4 a la Plenaria</w:t>
      </w:r>
    </w:p>
    <w:p w:rsidR="0076751F" w:rsidRPr="006A7A33" w:rsidRDefault="0076751F" w:rsidP="006A7A33">
      <w:pPr>
        <w:rPr>
          <w:b/>
          <w:bCs/>
        </w:rPr>
      </w:pPr>
      <w:r w:rsidRPr="006A7A33">
        <w:rPr>
          <w:b/>
          <w:bCs/>
        </w:rPr>
        <w:t>4.1</w:t>
      </w:r>
      <w:r w:rsidRPr="006A7A33">
        <w:rPr>
          <w:b/>
          <w:bCs/>
        </w:rPr>
        <w:tab/>
        <w:t>Document</w:t>
      </w:r>
      <w:r w:rsidR="004D25F0" w:rsidRPr="006A7A33">
        <w:rPr>
          <w:b/>
          <w:bCs/>
        </w:rPr>
        <w:t>o donde se menciona la</w:t>
      </w:r>
      <w:r w:rsidRPr="006A7A33">
        <w:rPr>
          <w:b/>
          <w:bCs/>
        </w:rPr>
        <w:t xml:space="preserve"> DOA</w:t>
      </w:r>
    </w:p>
    <w:p w:rsidR="0076751F" w:rsidRPr="006A7A33" w:rsidRDefault="00BF5223" w:rsidP="006A7A33">
      <w:pPr>
        <w:rPr>
          <w:rFonts w:ascii="Calibri" w:hAnsi="Calibri"/>
          <w:b/>
          <w:color w:val="800000"/>
          <w:sz w:val="22"/>
        </w:rPr>
      </w:pPr>
      <w:r w:rsidRPr="006A7A33">
        <w:t xml:space="preserve">Debido a la falta de tiempo, la Plenaria de </w:t>
      </w:r>
      <w:r w:rsidR="004D25F0" w:rsidRPr="006A7A33">
        <w:t xml:space="preserve">la </w:t>
      </w:r>
      <w:r w:rsidR="00E44946">
        <w:t>COM</w:t>
      </w:r>
      <w:r w:rsidRPr="006A7A33">
        <w:t>4 no pudo resolver ni to</w:t>
      </w:r>
      <w:r w:rsidR="004D25F0" w:rsidRPr="006A7A33">
        <w:t>m</w:t>
      </w:r>
      <w:r w:rsidRPr="006A7A33">
        <w:t xml:space="preserve">ar una decisión sobre las propuestas incluidas en </w:t>
      </w:r>
      <w:r w:rsidR="004D25F0" w:rsidRPr="006A7A33">
        <w:t>los siguientes documentos que hacen referencia a la DOA y el sistema de tratamiento</w:t>
      </w:r>
      <w:r w:rsidRPr="006A7A33">
        <w:t>.</w:t>
      </w:r>
    </w:p>
    <w:p w:rsidR="0076751F" w:rsidRPr="006A7A33" w:rsidRDefault="004D25F0" w:rsidP="006A7A33">
      <w:pPr>
        <w:pStyle w:val="Normalbeforetable"/>
        <w:rPr>
          <w:lang w:val="es-ES_tradnl"/>
        </w:rPr>
      </w:pPr>
      <w:r w:rsidRPr="006A7A33">
        <w:rPr>
          <w:lang w:val="es-ES_tradnl"/>
        </w:rPr>
        <w:t>Se solicita a la Plenaria que tome las medidas pertinentes</w:t>
      </w:r>
      <w:r w:rsidR="0076751F" w:rsidRPr="006A7A33">
        <w:rPr>
          <w:lang w:val="es-ES_tradnl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5054"/>
        <w:gridCol w:w="2527"/>
      </w:tblGrid>
      <w:tr w:rsidR="0076751F" w:rsidRPr="006A7A33" w:rsidTr="00F31488">
        <w:trPr>
          <w:tblHeader/>
          <w:jc w:val="center"/>
        </w:trPr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51F" w:rsidRPr="006A7A33" w:rsidRDefault="007C281F" w:rsidP="006A7A33">
            <w:pPr>
              <w:pStyle w:val="Tablehead"/>
            </w:pPr>
            <w:r w:rsidRPr="006A7A33">
              <w:t>Número</w:t>
            </w:r>
          </w:p>
        </w:tc>
        <w:tc>
          <w:tcPr>
            <w:tcW w:w="5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51F" w:rsidRPr="006A7A33" w:rsidRDefault="007C281F" w:rsidP="006A7A33">
            <w:pPr>
              <w:pStyle w:val="Tablehead"/>
              <w:rPr>
                <w:lang w:val="en-US"/>
              </w:rPr>
            </w:pPr>
            <w:r w:rsidRPr="006A7A33">
              <w:rPr>
                <w:lang w:val="en-US"/>
              </w:rPr>
              <w:t>Título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51F" w:rsidRPr="006A7A33" w:rsidRDefault="007C281F" w:rsidP="006A7A33">
            <w:pPr>
              <w:pStyle w:val="Tablehead"/>
            </w:pPr>
            <w:r w:rsidRPr="006A7A33">
              <w:t>Referencia</w:t>
            </w:r>
          </w:p>
        </w:tc>
      </w:tr>
      <w:tr w:rsidR="0076751F" w:rsidRPr="006A7A33" w:rsidTr="00F31488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76751F" w:rsidP="006A7A33">
            <w:pPr>
              <w:pStyle w:val="Tabletext"/>
            </w:pPr>
            <w:r w:rsidRPr="006A7A33">
              <w:t>Res [MOB-THEFT]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ED4241" w:rsidP="006A7A33">
            <w:pPr>
              <w:pStyle w:val="Tabletext"/>
            </w:pPr>
            <w:r w:rsidRPr="006A7A33">
              <w:rPr>
                <w:lang w:eastAsia="es-ES"/>
              </w:rPr>
              <w:t xml:space="preserve">Lucha contra el robo </w:t>
            </w:r>
            <w:r w:rsidRPr="006A7A33">
              <w:t>de dispositivos móviles de telecomunicaciones</w:t>
            </w:r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76751F" w:rsidP="006A7A33">
            <w:pPr>
              <w:pStyle w:val="Tabletext"/>
            </w:pPr>
            <w:r w:rsidRPr="006A7A33">
              <w:t>Doc</w:t>
            </w:r>
            <w:r w:rsidR="00C32C04">
              <w:t>umento</w:t>
            </w:r>
            <w:r w:rsidRPr="006A7A33">
              <w:t xml:space="preserve"> </w:t>
            </w:r>
            <w:hyperlink r:id="rId61" w:history="1">
              <w:r w:rsidRPr="006A7A33">
                <w:rPr>
                  <w:rStyle w:val="Hyperlink"/>
                </w:rPr>
                <w:t>108</w:t>
              </w:r>
            </w:hyperlink>
          </w:p>
        </w:tc>
      </w:tr>
      <w:tr w:rsidR="0076751F" w:rsidRPr="006A7A33" w:rsidTr="00F31488">
        <w:trPr>
          <w:trHeight w:val="650"/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76751F" w:rsidP="006A7A33">
            <w:pPr>
              <w:pStyle w:val="Tabletext"/>
            </w:pPr>
            <w:r w:rsidRPr="006A7A33">
              <w:t>Res [COUNTERF]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7C281F" w:rsidP="006A7A33">
            <w:pPr>
              <w:pStyle w:val="Tabletext"/>
            </w:pPr>
            <w:r w:rsidRPr="006A7A33">
              <w:t>Estudios del UIT</w:t>
            </w:r>
            <w:r w:rsidRPr="006A7A33">
              <w:noBreakHyphen/>
              <w:t xml:space="preserve">T para luchar contra la falsificación </w:t>
            </w:r>
            <w:r w:rsidRPr="006A7A33">
              <w:br/>
              <w:t>de dispositivos de telecomunicaciones/TIC</w:t>
            </w:r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76751F" w:rsidP="006A7A33">
            <w:pPr>
              <w:pStyle w:val="Tabletext"/>
            </w:pPr>
            <w:r w:rsidRPr="006A7A33">
              <w:t>Doc</w:t>
            </w:r>
            <w:r w:rsidR="00C32C04">
              <w:t>umento</w:t>
            </w:r>
            <w:r w:rsidRPr="006A7A33">
              <w:t xml:space="preserve"> </w:t>
            </w:r>
            <w:hyperlink r:id="rId62" w:history="1">
              <w:r w:rsidRPr="006A7A33">
                <w:rPr>
                  <w:rStyle w:val="Hyperlink"/>
                </w:rPr>
                <w:t>107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76751F" w:rsidP="006A7A33">
            <w:pPr>
              <w:pStyle w:val="Tabletext"/>
            </w:pPr>
            <w:r w:rsidRPr="006A7A33">
              <w:t>Resolu</w:t>
            </w:r>
            <w:r w:rsidR="007C281F" w:rsidRPr="006A7A33">
              <w:t>ción</w:t>
            </w:r>
            <w:r w:rsidRPr="006A7A33">
              <w:t xml:space="preserve"> 78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7C281F" w:rsidP="006A7A33">
            <w:pPr>
              <w:pStyle w:val="Tabletext"/>
            </w:pPr>
            <w:r w:rsidRPr="006A7A33">
              <w:t>Aplicaciones y normas de las tecnologías de la información y la comunicación para mejorar el acceso a los servicios de cibersalud</w:t>
            </w:r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C32C04" w:rsidP="006A7A33">
            <w:pPr>
              <w:pStyle w:val="Tabletext"/>
            </w:pPr>
            <w:r w:rsidRPr="006A7A33">
              <w:t>Doc</w:t>
            </w:r>
            <w:r>
              <w:t>umento</w:t>
            </w:r>
            <w:r w:rsidR="0076751F" w:rsidRPr="006A7A33">
              <w:t xml:space="preserve"> </w:t>
            </w:r>
            <w:hyperlink r:id="rId63" w:history="1">
              <w:r w:rsidR="0076751F" w:rsidRPr="006A7A33">
                <w:rPr>
                  <w:rStyle w:val="Hyperlink"/>
                </w:rPr>
                <w:t>106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7C281F" w:rsidP="006A7A33">
            <w:pPr>
              <w:pStyle w:val="Tabletext"/>
            </w:pPr>
            <w:r w:rsidRPr="006A7A33">
              <w:t>Resolució</w:t>
            </w:r>
            <w:r w:rsidR="0076751F" w:rsidRPr="006A7A33">
              <w:t>n 60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ED4241" w:rsidP="006A7A33">
            <w:pPr>
              <w:pStyle w:val="Tabletext"/>
            </w:pPr>
            <w:r w:rsidRPr="006A7A33">
              <w:t>Evolución de los sistemas de identificación y numeración en respuesta a las nuevas tendencias tecnológicas, incluida la Internet de las cosas (IoT)</w:t>
            </w:r>
            <w:r w:rsidRPr="006A7A33" w:rsidDel="007618E0">
              <w:t xml:space="preserve"> </w:t>
            </w:r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C32C04" w:rsidP="006A7A33">
            <w:pPr>
              <w:pStyle w:val="Tabletext"/>
            </w:pPr>
            <w:r w:rsidRPr="006A7A33">
              <w:t>Doc</w:t>
            </w:r>
            <w:r>
              <w:t>umento</w:t>
            </w:r>
            <w:r w:rsidR="0076751F" w:rsidRPr="006A7A33">
              <w:t xml:space="preserve"> </w:t>
            </w:r>
            <w:hyperlink r:id="rId64" w:history="1">
              <w:r w:rsidR="0076751F" w:rsidRPr="006A7A33">
                <w:rPr>
                  <w:rStyle w:val="Hyperlink"/>
                </w:rPr>
                <w:t>105</w:t>
              </w:r>
            </w:hyperlink>
          </w:p>
        </w:tc>
      </w:tr>
      <w:tr w:rsidR="0076751F" w:rsidRPr="006A7A33" w:rsidTr="00F31488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7C281F" w:rsidP="006A7A33">
            <w:pPr>
              <w:pStyle w:val="Tabletext"/>
            </w:pPr>
            <w:r w:rsidRPr="006A7A33">
              <w:t>Resolució</w:t>
            </w:r>
            <w:r w:rsidR="0076751F" w:rsidRPr="006A7A33">
              <w:t>n 50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ED4241" w:rsidP="006A7A33">
            <w:pPr>
              <w:pStyle w:val="Tabletext"/>
            </w:pPr>
            <w:r w:rsidRPr="006A7A33">
              <w:rPr>
                <w:lang w:val="es-ES"/>
              </w:rPr>
              <w:t>Ciberseguridad</w:t>
            </w:r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1F" w:rsidRPr="006A7A33" w:rsidRDefault="00C32C04" w:rsidP="006A7A33">
            <w:pPr>
              <w:pStyle w:val="Tabletext"/>
            </w:pPr>
            <w:r w:rsidRPr="006A7A33">
              <w:t>Doc</w:t>
            </w:r>
            <w:r>
              <w:t>umento</w:t>
            </w:r>
            <w:r w:rsidR="0076751F" w:rsidRPr="006A7A33">
              <w:t xml:space="preserve"> </w:t>
            </w:r>
            <w:hyperlink r:id="rId65" w:history="1">
              <w:r w:rsidR="0076751F" w:rsidRPr="006A7A33">
                <w:rPr>
                  <w:rStyle w:val="Hyperlink"/>
                </w:rPr>
                <w:t>104</w:t>
              </w:r>
            </w:hyperlink>
          </w:p>
        </w:tc>
      </w:tr>
    </w:tbl>
    <w:p w:rsidR="0076751F" w:rsidRPr="006A7A33" w:rsidRDefault="0076751F" w:rsidP="00E44946">
      <w:pPr>
        <w:tabs>
          <w:tab w:val="clear" w:pos="1134"/>
          <w:tab w:val="left" w:pos="284"/>
        </w:tabs>
        <w:spacing w:before="40"/>
      </w:pPr>
      <w:r w:rsidRPr="006A7A33">
        <w:t>*</w:t>
      </w:r>
      <w:r w:rsidR="00E44946">
        <w:tab/>
      </w:r>
      <w:r w:rsidR="004D25F0" w:rsidRPr="006A7A33">
        <w:t>Disponible en breve</w:t>
      </w:r>
      <w:r w:rsidRPr="006A7A33">
        <w:t>.</w:t>
      </w:r>
    </w:p>
    <w:p w:rsidR="0076751F" w:rsidRPr="006A7A33" w:rsidRDefault="0076751F" w:rsidP="006A7A33">
      <w:pPr>
        <w:rPr>
          <w:b/>
          <w:bCs/>
        </w:rPr>
      </w:pPr>
      <w:r w:rsidRPr="006A7A33">
        <w:rPr>
          <w:b/>
          <w:bCs/>
        </w:rPr>
        <w:t>4.2</w:t>
      </w:r>
      <w:r w:rsidRPr="006A7A33">
        <w:rPr>
          <w:b/>
          <w:bCs/>
        </w:rPr>
        <w:tab/>
      </w:r>
      <w:r w:rsidR="004D25F0" w:rsidRPr="006A7A33">
        <w:rPr>
          <w:b/>
          <w:bCs/>
        </w:rPr>
        <w:t>Encarga en la Resolución 52 revisada</w:t>
      </w:r>
    </w:p>
    <w:p w:rsidR="0076751F" w:rsidRPr="006A7A33" w:rsidRDefault="004D25F0" w:rsidP="006A7A33">
      <w:r w:rsidRPr="006A7A33">
        <w:t xml:space="preserve">La </w:t>
      </w:r>
      <w:r w:rsidR="0076751F" w:rsidRPr="006A7A33">
        <w:t xml:space="preserve">COM4 </w:t>
      </w:r>
      <w:r w:rsidRPr="006A7A33">
        <w:t>intentó quitar los corchetes del proyecto de revisión de la Resolución</w:t>
      </w:r>
      <w:r w:rsidR="0076751F" w:rsidRPr="006A7A33">
        <w:t xml:space="preserve"> 52</w:t>
      </w:r>
      <w:r w:rsidRPr="006A7A33">
        <w:t>, Respuesta y lucha contra el correo basura, del Documento</w:t>
      </w:r>
      <w:r w:rsidR="0076751F" w:rsidRPr="006A7A33">
        <w:t xml:space="preserve"> </w:t>
      </w:r>
      <w:hyperlink r:id="rId66" w:history="1">
        <w:r w:rsidR="0076751F" w:rsidRPr="006A7A33">
          <w:rPr>
            <w:rStyle w:val="Hyperlink"/>
          </w:rPr>
          <w:t>112</w:t>
        </w:r>
      </w:hyperlink>
      <w:r w:rsidR="0076751F" w:rsidRPr="006A7A33">
        <w:t xml:space="preserve">, </w:t>
      </w:r>
      <w:r w:rsidRPr="006A7A33">
        <w:t>pero no pudo llegar a un acuerdo. Por consiguiente, se remite el documento a la Plenaria. Se solicita a la Plenaria que tome las medidas pertinentes</w:t>
      </w:r>
      <w:r w:rsidR="0076751F" w:rsidRPr="006A7A33">
        <w:t>.</w:t>
      </w:r>
    </w:p>
    <w:p w:rsidR="0076751F" w:rsidRPr="006A7A33" w:rsidRDefault="0076751F" w:rsidP="006A7A33">
      <w:pPr>
        <w:rPr>
          <w:b/>
          <w:bCs/>
        </w:rPr>
      </w:pPr>
      <w:r w:rsidRPr="006A7A33">
        <w:rPr>
          <w:b/>
          <w:bCs/>
        </w:rPr>
        <w:t>4.3</w:t>
      </w:r>
      <w:r w:rsidRPr="006A7A33">
        <w:rPr>
          <w:b/>
          <w:bCs/>
        </w:rPr>
        <w:tab/>
      </w:r>
      <w:r w:rsidR="00C540D2" w:rsidRPr="006A7A33">
        <w:rPr>
          <w:b/>
          <w:bCs/>
        </w:rPr>
        <w:t>Código abierto</w:t>
      </w:r>
      <w:r w:rsidRPr="006A7A33">
        <w:rPr>
          <w:b/>
          <w:bCs/>
        </w:rPr>
        <w:t xml:space="preserve"> </w:t>
      </w:r>
    </w:p>
    <w:p w:rsidR="0076751F" w:rsidRPr="006A7A33" w:rsidRDefault="004D25F0" w:rsidP="006A7A33">
      <w:pPr>
        <w:pStyle w:val="Normalbeforetable"/>
        <w:rPr>
          <w:lang w:val="es-ES_tradnl"/>
        </w:rPr>
      </w:pPr>
      <w:r w:rsidRPr="006A7A33">
        <w:rPr>
          <w:lang w:val="es-ES_tradnl"/>
        </w:rPr>
        <w:t xml:space="preserve">La </w:t>
      </w:r>
      <w:r w:rsidR="0076751F" w:rsidRPr="006A7A33">
        <w:rPr>
          <w:lang w:val="es-ES_tradnl"/>
        </w:rPr>
        <w:t xml:space="preserve">COM4 </w:t>
      </w:r>
      <w:r w:rsidRPr="006A7A33">
        <w:rPr>
          <w:lang w:val="es-ES_tradnl"/>
        </w:rPr>
        <w:t>no pudo llegar a un acuerdo sobre el texto de la propuesta de nueva Resolución</w:t>
      </w:r>
      <w:r w:rsidR="0076751F" w:rsidRPr="006A7A33">
        <w:rPr>
          <w:lang w:val="es-ES_tradnl"/>
        </w:rPr>
        <w:t xml:space="preserve"> [ARB-5]</w:t>
      </w:r>
      <w:r w:rsidR="00C540D2" w:rsidRPr="006A7A33">
        <w:rPr>
          <w:lang w:val="es-ES_tradnl"/>
        </w:rPr>
        <w:t>,</w:t>
      </w:r>
      <w:r w:rsidR="0076751F" w:rsidRPr="006A7A33">
        <w:rPr>
          <w:lang w:val="es-ES_tradnl"/>
        </w:rPr>
        <w:t xml:space="preserve"> </w:t>
      </w:r>
      <w:r w:rsidR="00ED4241" w:rsidRPr="006A7A33">
        <w:rPr>
          <w:lang w:val="es-ES_tradnl"/>
        </w:rPr>
        <w:t>Permitir el código abierto como método de trabajo en el UIT-T</w:t>
      </w:r>
      <w:r w:rsidR="0076751F" w:rsidRPr="006A7A33">
        <w:rPr>
          <w:lang w:val="es-ES_tradnl"/>
        </w:rPr>
        <w:t xml:space="preserve">, </w:t>
      </w:r>
      <w:r w:rsidR="00C540D2" w:rsidRPr="006A7A33">
        <w:rPr>
          <w:lang w:val="es-ES_tradnl"/>
        </w:rPr>
        <w:t>del Documento</w:t>
      </w:r>
      <w:r w:rsidR="0076751F" w:rsidRPr="006A7A33">
        <w:rPr>
          <w:lang w:val="es-ES_tradnl"/>
        </w:rPr>
        <w:t xml:space="preserve"> </w:t>
      </w:r>
      <w:hyperlink r:id="rId67" w:history="1">
        <w:r w:rsidR="0076751F" w:rsidRPr="006A7A33">
          <w:rPr>
            <w:rStyle w:val="Hyperlink"/>
            <w:lang w:val="es-ES_tradnl"/>
          </w:rPr>
          <w:t>114</w:t>
        </w:r>
      </w:hyperlink>
      <w:r w:rsidR="0076751F" w:rsidRPr="006A7A33">
        <w:rPr>
          <w:lang w:val="es-ES_tradnl"/>
        </w:rPr>
        <w:t xml:space="preserve">. </w:t>
      </w:r>
      <w:r w:rsidR="00C540D2" w:rsidRPr="006A7A33">
        <w:rPr>
          <w:lang w:val="es-ES_tradnl"/>
        </w:rPr>
        <w:t>Por consiguiente, se remite el documento a la Plenaria, solicitándole que tome las medidas pertinentes</w:t>
      </w:r>
      <w:r w:rsidR="0076751F" w:rsidRPr="006A7A33">
        <w:rPr>
          <w:lang w:val="es-ES_tradnl"/>
        </w:rPr>
        <w:t>.</w:t>
      </w:r>
    </w:p>
    <w:p w:rsidR="0076751F" w:rsidRPr="006A7A33" w:rsidRDefault="0076751F" w:rsidP="006A7A33">
      <w:pPr>
        <w:rPr>
          <w:b/>
          <w:bCs/>
        </w:rPr>
      </w:pPr>
      <w:r w:rsidRPr="006A7A33">
        <w:rPr>
          <w:b/>
          <w:bCs/>
        </w:rPr>
        <w:t>4.4</w:t>
      </w:r>
      <w:r w:rsidRPr="006A7A33">
        <w:rPr>
          <w:b/>
          <w:bCs/>
        </w:rPr>
        <w:tab/>
        <w:t>OTT</w:t>
      </w:r>
    </w:p>
    <w:p w:rsidR="0076751F" w:rsidRPr="006A7A33" w:rsidRDefault="00C540D2" w:rsidP="006A7A33">
      <w:r w:rsidRPr="006A7A33">
        <w:t xml:space="preserve">La </w:t>
      </w:r>
      <w:r w:rsidR="0076751F" w:rsidRPr="006A7A33">
        <w:t xml:space="preserve">COM4 </w:t>
      </w:r>
      <w:r w:rsidRPr="006A7A33">
        <w:t>no pudo llegar a un acuerdo sobre los cinco fragmentos entre corchetes de la propuesta de nueva Resolución</w:t>
      </w:r>
      <w:r w:rsidR="0076751F" w:rsidRPr="006A7A33">
        <w:t xml:space="preserve"> [AFCP-3]</w:t>
      </w:r>
      <w:r w:rsidRPr="006A7A33">
        <w:t>,</w:t>
      </w:r>
      <w:r w:rsidR="00ED4241" w:rsidRPr="006A7A33">
        <w:rPr>
          <w:rFonts w:eastAsia="SimSun"/>
        </w:rPr>
        <w:t xml:space="preserve"> Servicios de voz y mensajería en línea que necesitan el acceso a recursos de numeración de telecomunicaciones públicas internacionales</w:t>
      </w:r>
      <w:r w:rsidR="0076751F" w:rsidRPr="006A7A33">
        <w:t xml:space="preserve">, </w:t>
      </w:r>
      <w:r w:rsidRPr="006A7A33">
        <w:t>del Documento</w:t>
      </w:r>
      <w:r w:rsidR="0076751F" w:rsidRPr="006A7A33">
        <w:t xml:space="preserve"> </w:t>
      </w:r>
      <w:hyperlink r:id="rId68" w:history="1">
        <w:r w:rsidR="0076751F" w:rsidRPr="006A7A33">
          <w:rPr>
            <w:rStyle w:val="Hyperlink"/>
          </w:rPr>
          <w:t>110</w:t>
        </w:r>
      </w:hyperlink>
      <w:r w:rsidR="0076751F" w:rsidRPr="006A7A33">
        <w:t xml:space="preserve">. </w:t>
      </w:r>
      <w:r w:rsidRPr="006A7A33">
        <w:t>El texto que plantea problemas es idéntico al título de la Resolución</w:t>
      </w:r>
      <w:r w:rsidR="0076751F" w:rsidRPr="006A7A33">
        <w:t>.</w:t>
      </w:r>
    </w:p>
    <w:p w:rsidR="0076751F" w:rsidRPr="006A7A33" w:rsidRDefault="00C540D2" w:rsidP="006A7A33">
      <w:r w:rsidRPr="006A7A33">
        <w:t xml:space="preserve">La </w:t>
      </w:r>
      <w:r w:rsidR="0076751F" w:rsidRPr="006A7A33">
        <w:t xml:space="preserve">COM4 </w:t>
      </w:r>
      <w:r w:rsidRPr="006A7A33">
        <w:t>no examinó el proyecto de revisión de la Resolución</w:t>
      </w:r>
      <w:r w:rsidR="0076751F" w:rsidRPr="006A7A33">
        <w:t xml:space="preserve"> 29</w:t>
      </w:r>
      <w:r w:rsidRPr="006A7A33">
        <w:t>,</w:t>
      </w:r>
      <w:r w:rsidR="00ED4241" w:rsidRPr="006A7A33">
        <w:t xml:space="preserve"> Procedimientos alternativos de llamada en las redes internacionales de telecomunicación</w:t>
      </w:r>
      <w:r w:rsidRPr="006A7A33">
        <w:t>, del Documento</w:t>
      </w:r>
      <w:r w:rsidR="0076751F" w:rsidRPr="006A7A33">
        <w:t xml:space="preserve"> </w:t>
      </w:r>
      <w:hyperlink r:id="rId69" w:history="1">
        <w:r w:rsidR="0076751F" w:rsidRPr="006A7A33">
          <w:rPr>
            <w:rStyle w:val="Hyperlink"/>
          </w:rPr>
          <w:t>111</w:t>
        </w:r>
      </w:hyperlink>
      <w:r w:rsidR="0076751F" w:rsidRPr="006A7A33">
        <w:t xml:space="preserve">, </w:t>
      </w:r>
      <w:r w:rsidRPr="006A7A33">
        <w:t>pues depende de que se solucionen los problemas que plantea la Resolución</w:t>
      </w:r>
      <w:r w:rsidR="0076751F" w:rsidRPr="006A7A33">
        <w:t xml:space="preserve"> [AFCP-3].</w:t>
      </w:r>
    </w:p>
    <w:p w:rsidR="0076751F" w:rsidRPr="006A7A33" w:rsidRDefault="00C540D2" w:rsidP="006A7A33">
      <w:r w:rsidRPr="006A7A33">
        <w:t>Por consiguiente, los documentos se remiten a la Plenaria, solicitándole que tome las medidas pertinentes en ambos casos</w:t>
      </w:r>
      <w:r w:rsidR="0076751F" w:rsidRPr="006A7A33">
        <w:t>.</w:t>
      </w:r>
    </w:p>
    <w:p w:rsidR="0076751F" w:rsidRPr="006A7A33" w:rsidRDefault="0076751F" w:rsidP="006A7A33">
      <w:pPr>
        <w:pStyle w:val="Heading2"/>
      </w:pPr>
      <w:r w:rsidRPr="006A7A33">
        <w:t>4.5</w:t>
      </w:r>
      <w:r w:rsidRPr="006A7A33">
        <w:tab/>
        <w:t>Resolu</w:t>
      </w:r>
      <w:r w:rsidR="00C540D2" w:rsidRPr="006A7A33">
        <w:t>ción sobre la privacidad de los datos y la confianza en las infraestructuras y servicios de TIC</w:t>
      </w:r>
    </w:p>
    <w:p w:rsidR="0076751F" w:rsidRPr="006A7A33" w:rsidRDefault="00C540D2" w:rsidP="006A7A33">
      <w:r w:rsidRPr="006A7A33">
        <w:t>Por falta de tiempo, la Plenaria de la</w:t>
      </w:r>
      <w:r w:rsidR="0076751F" w:rsidRPr="006A7A33">
        <w:t xml:space="preserve"> COM4 </w:t>
      </w:r>
      <w:r w:rsidRPr="006A7A33">
        <w:t>no pudo examinar el proyecto de nueva Resolución</w:t>
      </w:r>
      <w:r w:rsidR="0076751F" w:rsidRPr="006A7A33">
        <w:t xml:space="preserve"> [ARB-6]</w:t>
      </w:r>
      <w:r w:rsidRPr="006A7A33">
        <w:t xml:space="preserve">, </w:t>
      </w:r>
      <w:r w:rsidR="00BF5223" w:rsidRPr="006A7A33">
        <w:t>Fortalecimiento de la función del UIT-T para garantizar la privacidad de los datos y la confianza en los servicios e infraestructuras de TIC</w:t>
      </w:r>
      <w:r w:rsidRPr="006A7A33">
        <w:t>,</w:t>
      </w:r>
      <w:r w:rsidR="0076751F" w:rsidRPr="006A7A33">
        <w:t xml:space="preserve"> </w:t>
      </w:r>
      <w:r w:rsidRPr="006A7A33">
        <w:t>preparado por el GT</w:t>
      </w:r>
      <w:r w:rsidR="0076751F" w:rsidRPr="006A7A33">
        <w:t xml:space="preserve">4A. </w:t>
      </w:r>
      <w:r w:rsidRPr="006A7A33">
        <w:t>La última versión puede encontrarse en el Documento</w:t>
      </w:r>
      <w:r w:rsidR="0076751F" w:rsidRPr="006A7A33">
        <w:t xml:space="preserve"> </w:t>
      </w:r>
      <w:hyperlink r:id="rId70" w:history="1">
        <w:r w:rsidR="0076751F" w:rsidRPr="006A7A33">
          <w:rPr>
            <w:rStyle w:val="Hyperlink"/>
          </w:rPr>
          <w:t>113</w:t>
        </w:r>
      </w:hyperlink>
      <w:r w:rsidR="0076751F" w:rsidRPr="006A7A33">
        <w:t xml:space="preserve">, </w:t>
      </w:r>
      <w:r w:rsidRPr="006A7A33">
        <w:t>y se solicita a la Plenaria que tome las medidas pertinentes</w:t>
      </w:r>
      <w:r w:rsidR="0076751F" w:rsidRPr="006A7A33">
        <w:t>.</w:t>
      </w:r>
    </w:p>
    <w:p w:rsidR="0076751F" w:rsidRPr="006A7A33" w:rsidRDefault="0076751F" w:rsidP="006A7A33">
      <w:pPr>
        <w:spacing w:before="0"/>
      </w:pPr>
      <w:r w:rsidRPr="006A7A33">
        <w:br w:type="page"/>
      </w:r>
    </w:p>
    <w:p w:rsidR="0076751F" w:rsidRPr="006A7A33" w:rsidRDefault="0076751F" w:rsidP="006A7A33">
      <w:pPr>
        <w:pStyle w:val="Headingb"/>
      </w:pPr>
      <w:r w:rsidRPr="006A7A33">
        <w:t>A</w:t>
      </w:r>
      <w:r w:rsidR="007C281F" w:rsidRPr="006A7A33">
        <w:t>grad</w:t>
      </w:r>
      <w:r w:rsidR="00C540D2" w:rsidRPr="006A7A33">
        <w:t>e</w:t>
      </w:r>
      <w:r w:rsidR="007C281F" w:rsidRPr="006A7A33">
        <w:t>cimientos</w:t>
      </w:r>
    </w:p>
    <w:p w:rsidR="0076751F" w:rsidRPr="006A7A33" w:rsidRDefault="007C281F" w:rsidP="006A7A33">
      <w:pPr>
        <w:pStyle w:val="Normalbeforetable"/>
        <w:rPr>
          <w:lang w:val="es-ES_tradnl"/>
        </w:rPr>
      </w:pPr>
      <w:r w:rsidRPr="006A7A33">
        <w:rPr>
          <w:lang w:val="es-ES_tradnl"/>
        </w:rPr>
        <w:t xml:space="preserve">El Presidente de la Comisión 4, Sr. </w:t>
      </w:r>
      <w:r w:rsidR="00C540D2" w:rsidRPr="006A7A33">
        <w:rPr>
          <w:lang w:val="es-ES_tradnl"/>
        </w:rPr>
        <w:t>Kwame Baah-Acheamfuor</w:t>
      </w:r>
      <w:r w:rsidRPr="006A7A33">
        <w:rPr>
          <w:lang w:val="es-ES_tradnl"/>
        </w:rPr>
        <w:t>, desea expresar su más sincero agradecimiento a todos aquellos que han contribuido a los documentos asignados a la Comisión 4, a sus participantes y distinguidos delegados, en particular, quisiera agradecer la ayuda y orientación ofrecidas por:</w:t>
      </w: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4323"/>
      </w:tblGrid>
      <w:tr w:rsidR="0076751F" w:rsidRPr="006A7A33" w:rsidTr="00F31488">
        <w:trPr>
          <w:trHeight w:val="315"/>
          <w:tblHeader/>
          <w:jc w:val="center"/>
        </w:trPr>
        <w:tc>
          <w:tcPr>
            <w:tcW w:w="5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51F" w:rsidRPr="006A7A33" w:rsidRDefault="00C540D2" w:rsidP="006A7A33">
            <w:pPr>
              <w:pStyle w:val="Tablehead"/>
            </w:pPr>
            <w:r w:rsidRPr="006A7A33">
              <w:t>Grupo ad hoc/Grupo de Redacción/Consultas Informales</w:t>
            </w:r>
          </w:p>
        </w:tc>
        <w:tc>
          <w:tcPr>
            <w:tcW w:w="43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51F" w:rsidRPr="006A7A33" w:rsidRDefault="00C540D2" w:rsidP="006A7A33">
            <w:pPr>
              <w:pStyle w:val="Tablehead"/>
            </w:pPr>
            <w:r w:rsidRPr="006A7A33">
              <w:t>Presidente/Convocante/Coordinador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6751F" w:rsidRPr="006A7A33" w:rsidRDefault="00C540D2" w:rsidP="006A7A33">
            <w:pPr>
              <w:pStyle w:val="Tabletext"/>
            </w:pPr>
            <w:r w:rsidRPr="006A7A33">
              <w:t>Grupo ad hoc sobre la atribución de bloques de trabajo – gestión (GT</w:t>
            </w:r>
            <w:r w:rsidR="0076751F" w:rsidRPr="006A7A33">
              <w:t>2/2)</w:t>
            </w:r>
          </w:p>
        </w:tc>
        <w:tc>
          <w:tcPr>
            <w:tcW w:w="432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6751F" w:rsidRPr="006A7A33" w:rsidRDefault="00C540D2" w:rsidP="006A7A33">
            <w:pPr>
              <w:pStyle w:val="Tabletext"/>
            </w:pPr>
            <w:r w:rsidRPr="006A7A33">
              <w:t>S</w:t>
            </w:r>
            <w:r w:rsidR="0076751F" w:rsidRPr="006A7A33">
              <w:t>r</w:t>
            </w:r>
            <w:r w:rsidRPr="006A7A33">
              <w:t>.</w:t>
            </w:r>
            <w:r w:rsidR="0076751F" w:rsidRPr="006A7A33">
              <w:t xml:space="preserve"> Leo Lehmann (S</w:t>
            </w:r>
            <w:r w:rsidRPr="006A7A33">
              <w:t>uiza) y Sr.</w:t>
            </w:r>
            <w:r w:rsidR="0076751F" w:rsidRPr="006A7A33">
              <w:t xml:space="preserve"> Sherif Guinena (Eg</w:t>
            </w:r>
            <w:r w:rsidRPr="006A7A33">
              <w:t>ipto</w:t>
            </w:r>
            <w:r w:rsidR="0076751F" w:rsidRPr="006A7A33"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181267" w:rsidP="006A7A33">
            <w:pPr>
              <w:pStyle w:val="Tabletext"/>
            </w:pPr>
            <w:r w:rsidRPr="006A7A33">
              <w:t>Grupo ad hoc sobre las Resoluciones relacionadas con las IMT: nueva Resolución</w:t>
            </w:r>
            <w:r w:rsidR="0076751F" w:rsidRPr="006A7A33">
              <w:t xml:space="preserve"> APT-1, </w:t>
            </w:r>
            <w:r w:rsidRPr="006A7A33">
              <w:t>nueva Resolución</w:t>
            </w:r>
            <w:r w:rsidR="0076751F" w:rsidRPr="006A7A33">
              <w:t xml:space="preserve"> RCC-5, Res</w:t>
            </w:r>
            <w:r w:rsidRPr="006A7A33">
              <w:t>olución</w:t>
            </w:r>
            <w:r w:rsidR="0076751F" w:rsidRPr="006A7A33">
              <w:t xml:space="preserve"> 49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181267" w:rsidP="006A7A33">
            <w:pPr>
              <w:pStyle w:val="Tabletext"/>
            </w:pPr>
            <w:r w:rsidRPr="006A7A33">
              <w:t>Sra.</w:t>
            </w:r>
            <w:r w:rsidR="0076751F" w:rsidRPr="006A7A33">
              <w:t xml:space="preserve"> Karima Mahmoudi </w:t>
            </w:r>
            <w:r w:rsidRPr="006A7A33">
              <w:t>y Sra.</w:t>
            </w:r>
            <w:r w:rsidR="0076751F" w:rsidRPr="006A7A33">
              <w:t xml:space="preserve"> Jihene Ben Abderrazek (T</w:t>
            </w:r>
            <w:r w:rsidRPr="006A7A33">
              <w:t>únez</w:t>
            </w:r>
            <w:r w:rsidR="0076751F" w:rsidRPr="006A7A33"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181267" w:rsidP="006A7A33">
            <w:pPr>
              <w:pStyle w:val="Tabletext"/>
            </w:pPr>
            <w:r w:rsidRPr="006A7A33">
              <w:t>Grupo ad hoc sobre el mandato y alcance de la CE</w:t>
            </w:r>
            <w:r w:rsidR="0076751F" w:rsidRPr="006A7A33">
              <w:t>3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181267" w:rsidP="006A7A33">
            <w:pPr>
              <w:pStyle w:val="Tabletext"/>
            </w:pPr>
            <w:r w:rsidRPr="006A7A33">
              <w:t>Sr.</w:t>
            </w:r>
            <w:r w:rsidR="0076751F" w:rsidRPr="006A7A33">
              <w:t xml:space="preserve"> Lwando Bbuku (Zambia)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181267" w:rsidP="006A7A33">
            <w:pPr>
              <w:pStyle w:val="Tabletext"/>
            </w:pPr>
            <w:r w:rsidRPr="006A7A33">
              <w:t>Grupo ad hoc sobre las Resoluciones sobre numeración: Resoluciones</w:t>
            </w:r>
            <w:r w:rsidR="0076751F" w:rsidRPr="006A7A33">
              <w:t xml:space="preserve"> 20, 29, 40, 60, 61, 65 </w:t>
            </w:r>
            <w:r w:rsidRPr="006A7A33">
              <w:t>y nueva Resolución</w:t>
            </w:r>
            <w:r w:rsidR="0076751F" w:rsidRPr="006A7A33">
              <w:t xml:space="preserve"> RCC-4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Sr.</w:t>
            </w:r>
            <w:r w:rsidR="0076751F" w:rsidRPr="006A7A33">
              <w:t xml:space="preserve"> Phil Rushton (</w:t>
            </w:r>
            <w:r w:rsidRPr="006A7A33">
              <w:t>Reino Unido</w:t>
            </w:r>
            <w:r w:rsidR="0076751F" w:rsidRPr="006A7A33"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Grupo ad hoc sobre la Resolución</w:t>
            </w:r>
            <w:r w:rsidR="0076751F" w:rsidRPr="006A7A33">
              <w:t xml:space="preserve"> 2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Sra.</w:t>
            </w:r>
            <w:r w:rsidR="0076751F" w:rsidRPr="006A7A33">
              <w:t xml:space="preserve"> María Victoria Sukenik (Argentina) 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Grupo ad hoc sobre asuntos de la CE20 relacionados con la privacidad, seguridad e infraestructura de la IoT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76751F" w:rsidRPr="006A7A33">
              <w:rPr>
                <w:lang w:val="en-US"/>
              </w:rPr>
              <w:t xml:space="preserve"> </w:t>
            </w:r>
            <w:proofErr w:type="spellStart"/>
            <w:r w:rsidR="0076751F" w:rsidRPr="006A7A33">
              <w:rPr>
                <w:lang w:val="en-US"/>
              </w:rPr>
              <w:t>Nilo</w:t>
            </w:r>
            <w:proofErr w:type="spellEnd"/>
            <w:r w:rsidR="0076751F" w:rsidRPr="006A7A33">
              <w:rPr>
                <w:lang w:val="en-US"/>
              </w:rPr>
              <w:t xml:space="preserve"> </w:t>
            </w:r>
            <w:proofErr w:type="spellStart"/>
            <w:r w:rsidR="0076751F" w:rsidRPr="006A7A33">
              <w:rPr>
                <w:lang w:val="en-US"/>
              </w:rPr>
              <w:t>Pasquali</w:t>
            </w:r>
            <w:proofErr w:type="spellEnd"/>
            <w:r w:rsidR="0076751F" w:rsidRPr="006A7A33">
              <w:rPr>
                <w:lang w:val="en-US"/>
              </w:rPr>
              <w:t xml:space="preserve"> (</w:t>
            </w:r>
            <w:proofErr w:type="spellStart"/>
            <w:r w:rsidR="0076751F" w:rsidRPr="006A7A33">
              <w:rPr>
                <w:lang w:val="en-US"/>
              </w:rPr>
              <w:t>Bra</w:t>
            </w: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il</w:t>
            </w:r>
            <w:proofErr w:type="spellEnd"/>
            <w:r w:rsidR="0076751F" w:rsidRPr="006A7A33">
              <w:rPr>
                <w:lang w:val="en-US"/>
              </w:rPr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Grupo ad hoc sobre la CE20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Sr.</w:t>
            </w:r>
            <w:r w:rsidR="0076751F" w:rsidRPr="006A7A33">
              <w:rPr>
                <w:lang w:val="en-US"/>
              </w:rPr>
              <w:t xml:space="preserve"> </w:t>
            </w:r>
            <w:proofErr w:type="spellStart"/>
            <w:r w:rsidR="0076751F" w:rsidRPr="006A7A33">
              <w:rPr>
                <w:lang w:val="en-US"/>
              </w:rPr>
              <w:t>Ratnam</w:t>
            </w:r>
            <w:proofErr w:type="spellEnd"/>
            <w:r w:rsidR="0076751F" w:rsidRPr="006A7A33">
              <w:rPr>
                <w:lang w:val="en-US"/>
              </w:rPr>
              <w:t xml:space="preserve"> Na (</w:t>
            </w:r>
            <w:proofErr w:type="spellStart"/>
            <w:r w:rsidR="0076751F" w:rsidRPr="006A7A33">
              <w:rPr>
                <w:lang w:val="en-US"/>
              </w:rPr>
              <w:t>Malasia</w:t>
            </w:r>
            <w:proofErr w:type="spellEnd"/>
            <w:r w:rsidR="0076751F" w:rsidRPr="006A7A33">
              <w:rPr>
                <w:lang w:val="en-US"/>
              </w:rPr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Grupo ad hoc sobre la reestructuración de la CE</w:t>
            </w:r>
            <w:r w:rsidR="00C32C04">
              <w:t> </w:t>
            </w:r>
            <w:r w:rsidRPr="006A7A33">
              <w:t>9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S</w:t>
            </w:r>
            <w:r w:rsidR="0076751F" w:rsidRPr="006A7A33">
              <w:t>r</w:t>
            </w:r>
            <w:r w:rsidRPr="006A7A33">
              <w:t>.</w:t>
            </w:r>
            <w:r w:rsidR="0076751F" w:rsidRPr="006A7A33">
              <w:t xml:space="preserve"> Greg Ratta (</w:t>
            </w:r>
            <w:r w:rsidRPr="006A7A33">
              <w:t>Estados Unidos</w:t>
            </w:r>
            <w:r w:rsidR="0076751F" w:rsidRPr="006A7A33"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Grupo ad hoc sobre las Resoluciones relacionadas con Internet: Resolución</w:t>
            </w:r>
            <w:r w:rsidR="0076751F" w:rsidRPr="006A7A33">
              <w:t xml:space="preserve"> 48, Res</w:t>
            </w:r>
            <w:r w:rsidRPr="006A7A33">
              <w:t>olución</w:t>
            </w:r>
            <w:r w:rsidR="0076751F" w:rsidRPr="006A7A33">
              <w:t xml:space="preserve"> 69, Res</w:t>
            </w:r>
            <w:r w:rsidRPr="006A7A33">
              <w:t>olución</w:t>
            </w:r>
            <w:r w:rsidR="0076751F" w:rsidRPr="006A7A33">
              <w:t xml:space="preserve"> 47 </w:t>
            </w:r>
            <w:r w:rsidRPr="006A7A33">
              <w:t>y Resolución</w:t>
            </w:r>
            <w:r w:rsidR="0076751F" w:rsidRPr="006A7A33">
              <w:t xml:space="preserve"> 64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CA74CA">
              <w:rPr>
                <w:lang w:val="en-US"/>
              </w:rPr>
              <w:t xml:space="preserve"> </w:t>
            </w:r>
            <w:proofErr w:type="spellStart"/>
            <w:r w:rsidR="0076751F" w:rsidRPr="006A7A33">
              <w:rPr>
                <w:lang w:val="en-US"/>
              </w:rPr>
              <w:t>Dietmar</w:t>
            </w:r>
            <w:proofErr w:type="spellEnd"/>
            <w:r w:rsidR="0076751F" w:rsidRPr="006A7A33">
              <w:rPr>
                <w:lang w:val="en-US"/>
              </w:rPr>
              <w:t xml:space="preserve"> </w:t>
            </w:r>
            <w:proofErr w:type="spellStart"/>
            <w:r w:rsidR="0076751F" w:rsidRPr="006A7A33">
              <w:rPr>
                <w:lang w:val="en-US"/>
              </w:rPr>
              <w:t>Plesse</w:t>
            </w:r>
            <w:proofErr w:type="spellEnd"/>
            <w:r w:rsidR="00CA74CA">
              <w:rPr>
                <w:lang w:val="en-US"/>
              </w:rPr>
              <w:t xml:space="preserve"> </w:t>
            </w:r>
            <w:r w:rsidR="0076751F" w:rsidRPr="006A7A33">
              <w:rPr>
                <w:lang w:val="en-US"/>
              </w:rPr>
              <w:t>(</w:t>
            </w:r>
            <w:proofErr w:type="spellStart"/>
            <w:r w:rsidRPr="006A7A33">
              <w:rPr>
                <w:lang w:val="en-US"/>
              </w:rPr>
              <w:t>Alemania</w:t>
            </w:r>
            <w:proofErr w:type="spellEnd"/>
            <w:r w:rsidR="0076751F" w:rsidRPr="006A7A33">
              <w:rPr>
                <w:lang w:val="en-US"/>
              </w:rPr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Grupo ad hoc sobre las Resoluciones sobre</w:t>
            </w:r>
            <w:r w:rsidR="00CA74CA">
              <w:t xml:space="preserve"> </w:t>
            </w:r>
            <w:r w:rsidR="0076751F" w:rsidRPr="006A7A33">
              <w:t xml:space="preserve">OTT </w:t>
            </w:r>
            <w:r w:rsidRPr="006A7A33">
              <w:t>e</w:t>
            </w:r>
            <w:r w:rsidR="0076751F" w:rsidRPr="006A7A33">
              <w:t xml:space="preserve"> IMR</w:t>
            </w:r>
            <w:r w:rsidRPr="006A7A33">
              <w:t>: nueva Resolución</w:t>
            </w:r>
            <w:r w:rsidR="0076751F" w:rsidRPr="006A7A33">
              <w:t xml:space="preserve"> AFCP-3 </w:t>
            </w:r>
            <w:r w:rsidRPr="006A7A33">
              <w:t>y nueva Resolución</w:t>
            </w:r>
            <w:r w:rsidR="0076751F" w:rsidRPr="006A7A33">
              <w:t xml:space="preserve"> IAP-4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76751F" w:rsidRPr="006A7A33">
              <w:rPr>
                <w:lang w:val="en-US"/>
              </w:rPr>
              <w:t xml:space="preserve"> </w:t>
            </w:r>
            <w:proofErr w:type="spellStart"/>
            <w:r w:rsidR="0076751F" w:rsidRPr="006A7A33">
              <w:rPr>
                <w:lang w:val="en-US"/>
              </w:rPr>
              <w:t>Abraao</w:t>
            </w:r>
            <w:proofErr w:type="spellEnd"/>
            <w:r w:rsidR="0076751F" w:rsidRPr="006A7A33">
              <w:rPr>
                <w:lang w:val="en-US"/>
              </w:rPr>
              <w:t xml:space="preserve"> Silva (</w:t>
            </w:r>
            <w:proofErr w:type="spellStart"/>
            <w:r w:rsidR="0076751F" w:rsidRPr="006A7A33">
              <w:rPr>
                <w:lang w:val="en-US"/>
              </w:rPr>
              <w:t>Bra</w:t>
            </w: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il</w:t>
            </w:r>
            <w:proofErr w:type="spellEnd"/>
            <w:r w:rsidR="0076751F" w:rsidRPr="006A7A33">
              <w:rPr>
                <w:lang w:val="en-US"/>
              </w:rPr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Grupo ad hoc sobre las Resoluciones relacionadas con la seguridad: Resolución</w:t>
            </w:r>
            <w:r w:rsidR="0076751F" w:rsidRPr="006A7A33">
              <w:t xml:space="preserve"> 52, </w:t>
            </w:r>
            <w:r w:rsidRPr="006A7A33">
              <w:t>nueva Resolución</w:t>
            </w:r>
            <w:r w:rsidR="0076751F" w:rsidRPr="006A7A33">
              <w:t xml:space="preserve"> ARB-6 </w:t>
            </w:r>
            <w:r w:rsidRPr="006A7A33">
              <w:t xml:space="preserve">y Resolución </w:t>
            </w:r>
            <w:r w:rsidR="0076751F" w:rsidRPr="006A7A33">
              <w:t>50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S</w:t>
            </w:r>
            <w:r w:rsidR="0076751F" w:rsidRPr="006A7A33">
              <w:t>r</w:t>
            </w:r>
            <w:r w:rsidRPr="006A7A33">
              <w:t>.</w:t>
            </w:r>
            <w:r w:rsidR="0076751F" w:rsidRPr="006A7A33">
              <w:t xml:space="preserve"> </w:t>
            </w:r>
            <w:proofErr w:type="spellStart"/>
            <w:r w:rsidR="0076751F" w:rsidRPr="006A7A33">
              <w:t>Jeferson</w:t>
            </w:r>
            <w:proofErr w:type="spellEnd"/>
            <w:r w:rsidR="0076751F" w:rsidRPr="006A7A33">
              <w:t xml:space="preserve"> </w:t>
            </w:r>
            <w:proofErr w:type="spellStart"/>
            <w:r w:rsidR="0076751F" w:rsidRPr="006A7A33">
              <w:t>Fued</w:t>
            </w:r>
            <w:proofErr w:type="spellEnd"/>
            <w:r w:rsidR="0076751F" w:rsidRPr="006A7A33">
              <w:t xml:space="preserve"> </w:t>
            </w:r>
            <w:proofErr w:type="spellStart"/>
            <w:r w:rsidR="0076751F" w:rsidRPr="006A7A33">
              <w:t>Nacif</w:t>
            </w:r>
            <w:proofErr w:type="spellEnd"/>
            <w:r w:rsidR="0076751F" w:rsidRPr="006A7A33">
              <w:t xml:space="preserve"> (Bra</w:t>
            </w:r>
            <w:r w:rsidRPr="006A7A33">
              <w:t>s</w:t>
            </w:r>
            <w:r w:rsidR="0076751F" w:rsidRPr="006A7A33">
              <w:t>il)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Grupo ad hoc sobre la asignación de la C</w:t>
            </w:r>
            <w:r w:rsidR="0076751F" w:rsidRPr="006A7A33">
              <w:t>I/11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Sra.</w:t>
            </w:r>
            <w:r w:rsidR="0076751F" w:rsidRPr="006A7A33">
              <w:t xml:space="preserve"> Irene </w:t>
            </w:r>
            <w:proofErr w:type="spellStart"/>
            <w:r w:rsidR="0076751F" w:rsidRPr="006A7A33">
              <w:t>Kaggwa</w:t>
            </w:r>
            <w:proofErr w:type="spellEnd"/>
            <w:r w:rsidR="0076751F" w:rsidRPr="006A7A33">
              <w:t xml:space="preserve"> </w:t>
            </w:r>
            <w:proofErr w:type="spellStart"/>
            <w:r w:rsidR="0076751F" w:rsidRPr="006A7A33">
              <w:t>Sewankambo</w:t>
            </w:r>
            <w:proofErr w:type="spellEnd"/>
            <w:r w:rsidR="0076751F" w:rsidRPr="006A7A33">
              <w:t xml:space="preserve"> (Uganda)</w:t>
            </w:r>
          </w:p>
        </w:tc>
      </w:tr>
      <w:tr w:rsidR="0076751F" w:rsidRPr="002A4848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  <w:rPr>
                <w:rFonts w:ascii="Calibri" w:hAnsi="Calibri"/>
                <w:b/>
                <w:color w:val="800000"/>
              </w:rPr>
            </w:pPr>
            <w:r w:rsidRPr="006A7A33">
              <w:t>Grupo ad hoc sobre la Resolución</w:t>
            </w:r>
            <w:r w:rsidR="0076751F" w:rsidRPr="006A7A33">
              <w:t xml:space="preserve"> 68</w:t>
            </w:r>
            <w:r w:rsidRPr="006A7A33">
              <w:t>,</w:t>
            </w:r>
            <w:r w:rsidR="007C281F" w:rsidRPr="006A7A33">
              <w:t>Aplicación de la Resolución 122 (Rev. Guadalajara, 2010)</w:t>
            </w:r>
            <w:r w:rsidR="00CA74CA">
              <w:t xml:space="preserve"> </w:t>
            </w:r>
            <w:r w:rsidR="007C281F" w:rsidRPr="006A7A33">
              <w:t>de la Conferencia de Plenipotenciarios sobre la</w:t>
            </w:r>
            <w:r w:rsidR="00CA74CA">
              <w:t xml:space="preserve"> </w:t>
            </w:r>
            <w:r w:rsidR="007C281F" w:rsidRPr="006A7A33">
              <w:t>evolución del papel de la Asamblea Mundial de Normalización de las Telecomunicaciones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  <w:rPr>
                <w:lang w:val="de-CH"/>
              </w:rPr>
            </w:pPr>
            <w:r w:rsidRPr="006A7A33">
              <w:rPr>
                <w:lang w:val="de-CH"/>
              </w:rPr>
              <w:t>S</w:t>
            </w:r>
            <w:r w:rsidR="0076751F" w:rsidRPr="006A7A33">
              <w:rPr>
                <w:lang w:val="de-CH"/>
              </w:rPr>
              <w:t>r</w:t>
            </w:r>
            <w:r w:rsidRPr="006A7A33">
              <w:rPr>
                <w:lang w:val="de-CH"/>
              </w:rPr>
              <w:t>.</w:t>
            </w:r>
            <w:r w:rsidR="0076751F" w:rsidRPr="006A7A33">
              <w:rPr>
                <w:lang w:val="de-CH"/>
              </w:rPr>
              <w:t xml:space="preserve"> Christopher K. Kebei (Kenya)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E653CC" w:rsidP="006A7A33">
            <w:pPr>
              <w:pStyle w:val="Tabletext"/>
            </w:pPr>
            <w:r w:rsidRPr="006A7A33">
              <w:t>Grupo de Redacción sobre la Resolución</w:t>
            </w:r>
            <w:r w:rsidR="0076751F" w:rsidRPr="006A7A33">
              <w:t xml:space="preserve"> 78 </w:t>
            </w:r>
            <w:r w:rsidRPr="006A7A33">
              <w:t>–</w:t>
            </w:r>
            <w:r w:rsidR="0076751F" w:rsidRPr="006A7A33">
              <w:t xml:space="preserve"> </w:t>
            </w:r>
            <w:proofErr w:type="spellStart"/>
            <w:r w:rsidRPr="006A7A33">
              <w:t>Cibersalud</w:t>
            </w:r>
            <w:proofErr w:type="spellEnd"/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E653CC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76751F" w:rsidRPr="006A7A33">
              <w:rPr>
                <w:lang w:val="en-US"/>
              </w:rPr>
              <w:t xml:space="preserve"> </w:t>
            </w:r>
            <w:proofErr w:type="spellStart"/>
            <w:r w:rsidR="0076751F" w:rsidRPr="006A7A33">
              <w:rPr>
                <w:lang w:val="en-US"/>
              </w:rPr>
              <w:t>Ramy</w:t>
            </w:r>
            <w:proofErr w:type="spellEnd"/>
            <w:r w:rsidR="0076751F" w:rsidRPr="006A7A33">
              <w:rPr>
                <w:lang w:val="en-US"/>
              </w:rPr>
              <w:t xml:space="preserve"> Ahmed (</w:t>
            </w:r>
            <w:proofErr w:type="spellStart"/>
            <w:r w:rsidR="0076751F" w:rsidRPr="006A7A33">
              <w:rPr>
                <w:lang w:val="en-US"/>
              </w:rPr>
              <w:t>Eg</w:t>
            </w:r>
            <w:r w:rsidRPr="006A7A33">
              <w:rPr>
                <w:lang w:val="en-US"/>
              </w:rPr>
              <w:t>ipto</w:t>
            </w:r>
            <w:proofErr w:type="spellEnd"/>
            <w:r w:rsidR="0076751F" w:rsidRPr="006A7A33">
              <w:rPr>
                <w:lang w:val="en-US"/>
              </w:rPr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Grupo de Redacción sobre la lucha contra la falsificación</w:t>
            </w:r>
            <w:r w:rsidR="0076751F" w:rsidRPr="006A7A33">
              <w:t xml:space="preserve"> 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76751F" w:rsidRPr="006A7A33">
              <w:rPr>
                <w:lang w:val="en-US"/>
              </w:rPr>
              <w:t xml:space="preserve"> Isaac </w:t>
            </w:r>
            <w:proofErr w:type="spellStart"/>
            <w:r w:rsidR="0076751F" w:rsidRPr="006A7A33">
              <w:rPr>
                <w:lang w:val="en-US"/>
              </w:rPr>
              <w:t>Boateng</w:t>
            </w:r>
            <w:proofErr w:type="spellEnd"/>
            <w:r w:rsidR="0076751F" w:rsidRPr="006A7A33">
              <w:rPr>
                <w:lang w:val="en-US"/>
              </w:rPr>
              <w:t xml:space="preserve"> (Ghana)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Grupo de Redacción sobre el proyecto de nueva Resolución</w:t>
            </w:r>
            <w:r w:rsidR="0076751F" w:rsidRPr="006A7A33">
              <w:t xml:space="preserve"> [RCC-3] (</w:t>
            </w:r>
            <w:r w:rsidRPr="006A7A33">
              <w:t>Protección del consumidor</w:t>
            </w:r>
            <w:r w:rsidR="0076751F" w:rsidRPr="006A7A33">
              <w:t>)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Sra.</w:t>
            </w:r>
            <w:r w:rsidR="0076751F" w:rsidRPr="006A7A33">
              <w:t xml:space="preserve"> </w:t>
            </w:r>
            <w:proofErr w:type="spellStart"/>
            <w:r w:rsidR="0076751F" w:rsidRPr="006A7A33">
              <w:t>Memiko</w:t>
            </w:r>
            <w:proofErr w:type="spellEnd"/>
            <w:r w:rsidR="0076751F" w:rsidRPr="006A7A33">
              <w:t xml:space="preserve"> </w:t>
            </w:r>
            <w:proofErr w:type="spellStart"/>
            <w:r w:rsidR="0076751F" w:rsidRPr="006A7A33">
              <w:t>Otsuki</w:t>
            </w:r>
            <w:proofErr w:type="spellEnd"/>
            <w:r w:rsidR="0076751F" w:rsidRPr="006A7A33">
              <w:t xml:space="preserve"> (Jap</w:t>
            </w:r>
            <w:r w:rsidRPr="006A7A33">
              <w:t>ó</w:t>
            </w:r>
            <w:r w:rsidR="0076751F" w:rsidRPr="006A7A33">
              <w:t>n)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810F82" w:rsidP="00C32C04">
            <w:pPr>
              <w:pStyle w:val="Tabletext"/>
            </w:pPr>
            <w:r w:rsidRPr="006A7A33">
              <w:t>Grupo de Redacción sobre el proyecto de nueva Resolución</w:t>
            </w:r>
            <w:r w:rsidR="0076751F" w:rsidRPr="006A7A33">
              <w:t xml:space="preserve"> [IAP-1 </w:t>
            </w:r>
            <w:r w:rsidR="00C32C04">
              <w:t>–</w:t>
            </w:r>
            <w:r w:rsidR="0076751F" w:rsidRPr="006A7A33">
              <w:t xml:space="preserve"> AFCP-6] (</w:t>
            </w:r>
            <w:r w:rsidRPr="006A7A33">
              <w:t>Calidad de servicio</w:t>
            </w:r>
            <w:r w:rsidR="0076751F" w:rsidRPr="006A7A33">
              <w:t>)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Sra.</w:t>
            </w:r>
            <w:r w:rsidR="0076751F" w:rsidRPr="006A7A33">
              <w:t xml:space="preserve"> Irene </w:t>
            </w:r>
            <w:proofErr w:type="spellStart"/>
            <w:r w:rsidR="0076751F" w:rsidRPr="006A7A33">
              <w:t>Kaggwa</w:t>
            </w:r>
            <w:proofErr w:type="spellEnd"/>
            <w:r w:rsidR="0076751F" w:rsidRPr="006A7A33">
              <w:t xml:space="preserve"> </w:t>
            </w:r>
            <w:proofErr w:type="spellStart"/>
            <w:r w:rsidR="0076751F" w:rsidRPr="006A7A33">
              <w:t>Sewankambo</w:t>
            </w:r>
            <w:proofErr w:type="spellEnd"/>
            <w:r w:rsidR="0076751F" w:rsidRPr="006A7A33">
              <w:t xml:space="preserve"> (Uganda)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 xml:space="preserve">Grupo de Redacción sobre la </w:t>
            </w:r>
            <w:proofErr w:type="spellStart"/>
            <w:r w:rsidRPr="006A7A33">
              <w:t>IoT</w:t>
            </w:r>
            <w:proofErr w:type="spellEnd"/>
            <w:r w:rsidRPr="006A7A33">
              <w:t xml:space="preserve"> y las ciudades inteligentes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Sr.</w:t>
            </w:r>
            <w:r w:rsidR="0076751F" w:rsidRPr="006A7A33">
              <w:t xml:space="preserve"> </w:t>
            </w:r>
            <w:proofErr w:type="spellStart"/>
            <w:r w:rsidR="0076751F" w:rsidRPr="006A7A33">
              <w:t>Harin</w:t>
            </w:r>
            <w:proofErr w:type="spellEnd"/>
            <w:r w:rsidR="0076751F" w:rsidRPr="006A7A33">
              <w:t xml:space="preserve"> </w:t>
            </w:r>
            <w:proofErr w:type="spellStart"/>
            <w:r w:rsidR="0076751F" w:rsidRPr="006A7A33">
              <w:t>Grewal</w:t>
            </w:r>
            <w:proofErr w:type="spellEnd"/>
            <w:r w:rsidR="0076751F" w:rsidRPr="006A7A33">
              <w:t xml:space="preserve"> (Singap</w:t>
            </w:r>
            <w:r w:rsidRPr="006A7A33">
              <w:t>ur</w:t>
            </w:r>
            <w:r w:rsidR="0076751F" w:rsidRPr="006A7A33"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noWrap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Grupo de Redacción sobre el robo de dispositivos móviles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Sr.</w:t>
            </w:r>
            <w:r w:rsidR="0076751F" w:rsidRPr="006A7A33">
              <w:t xml:space="preserve"> Isaac </w:t>
            </w:r>
            <w:proofErr w:type="spellStart"/>
            <w:r w:rsidR="0076751F" w:rsidRPr="006A7A33">
              <w:t>Boateng</w:t>
            </w:r>
            <w:proofErr w:type="spellEnd"/>
            <w:r w:rsidR="0076751F" w:rsidRPr="006A7A33">
              <w:t xml:space="preserve"> (Ghana)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Grupo de Redacción sobre la nueva Resolución sobre servicios financieros digitales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76751F" w:rsidRPr="006A7A33">
              <w:rPr>
                <w:lang w:val="en-US"/>
              </w:rPr>
              <w:t xml:space="preserve"> Ahmed Said (</w:t>
            </w:r>
            <w:proofErr w:type="spellStart"/>
            <w:r w:rsidR="0076751F" w:rsidRPr="006A7A33">
              <w:rPr>
                <w:lang w:val="en-US"/>
              </w:rPr>
              <w:t>Eg</w:t>
            </w:r>
            <w:r w:rsidRPr="006A7A33">
              <w:rPr>
                <w:lang w:val="en-US"/>
              </w:rPr>
              <w:t>ipto</w:t>
            </w:r>
            <w:proofErr w:type="spellEnd"/>
            <w:r w:rsidR="0076751F" w:rsidRPr="006A7A33">
              <w:rPr>
                <w:lang w:val="en-US"/>
              </w:rPr>
              <w:t>)</w:t>
            </w:r>
          </w:p>
        </w:tc>
      </w:tr>
      <w:tr w:rsidR="0076751F" w:rsidRPr="006A7A33" w:rsidTr="00C32C04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Grupo de Redacción sobre la Resolución</w:t>
            </w:r>
            <w:r w:rsidR="0076751F" w:rsidRPr="006A7A33">
              <w:t xml:space="preserve"> ARB-5 </w:t>
            </w:r>
            <w:r w:rsidRPr="006A7A33">
              <w:t>–</w:t>
            </w:r>
            <w:r w:rsidR="0076751F" w:rsidRPr="006A7A33">
              <w:t xml:space="preserve"> </w:t>
            </w:r>
            <w:r w:rsidRPr="006A7A33">
              <w:t>Código abierto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76751F" w:rsidRPr="006A7A33">
              <w:rPr>
                <w:lang w:val="en-US"/>
              </w:rPr>
              <w:t xml:space="preserve"> Dmitry </w:t>
            </w:r>
            <w:proofErr w:type="spellStart"/>
            <w:r w:rsidR="0076751F" w:rsidRPr="006A7A33">
              <w:rPr>
                <w:lang w:val="en-US"/>
              </w:rPr>
              <w:t>Cherkesov</w:t>
            </w:r>
            <w:proofErr w:type="spellEnd"/>
            <w:r w:rsidR="0076751F" w:rsidRPr="006A7A33">
              <w:rPr>
                <w:lang w:val="en-US"/>
              </w:rPr>
              <w:t xml:space="preserve"> (</w:t>
            </w:r>
            <w:proofErr w:type="spellStart"/>
            <w:r w:rsidR="0076751F" w:rsidRPr="006A7A33">
              <w:rPr>
                <w:lang w:val="en-US"/>
              </w:rPr>
              <w:t>Rusia</w:t>
            </w:r>
            <w:proofErr w:type="spellEnd"/>
            <w:r w:rsidR="0076751F" w:rsidRPr="006A7A33">
              <w:rPr>
                <w:lang w:val="en-US"/>
              </w:rPr>
              <w:t>)</w:t>
            </w:r>
          </w:p>
        </w:tc>
      </w:tr>
      <w:tr w:rsidR="0076751F" w:rsidRPr="006A7A33" w:rsidTr="0003165F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Grupo de Redacción sobre la Resolución</w:t>
            </w:r>
            <w:r w:rsidR="0076751F" w:rsidRPr="006A7A33">
              <w:t xml:space="preserve"> 72 </w:t>
            </w:r>
            <w:r w:rsidRPr="006A7A33">
              <w:t>y la Resolución</w:t>
            </w:r>
            <w:r w:rsidR="0076751F" w:rsidRPr="006A7A33">
              <w:t xml:space="preserve"> 73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810F82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76751F" w:rsidRPr="006A7A33">
              <w:rPr>
                <w:lang w:val="en-US"/>
              </w:rPr>
              <w:t xml:space="preserve"> Ahmed </w:t>
            </w:r>
            <w:proofErr w:type="spellStart"/>
            <w:r w:rsidR="0076751F" w:rsidRPr="006A7A33">
              <w:rPr>
                <w:lang w:val="en-US"/>
              </w:rPr>
              <w:t>Zeddam</w:t>
            </w:r>
            <w:proofErr w:type="spellEnd"/>
            <w:r w:rsidR="0076751F" w:rsidRPr="006A7A33">
              <w:rPr>
                <w:lang w:val="en-US"/>
              </w:rPr>
              <w:t xml:space="preserve"> (</w:t>
            </w:r>
            <w:proofErr w:type="spellStart"/>
            <w:r w:rsidR="0076751F" w:rsidRPr="006A7A33">
              <w:rPr>
                <w:lang w:val="en-US"/>
              </w:rPr>
              <w:t>Franc</w:t>
            </w:r>
            <w:r w:rsidRPr="006A7A33">
              <w:rPr>
                <w:lang w:val="en-US"/>
              </w:rPr>
              <w:t>ia</w:t>
            </w:r>
            <w:proofErr w:type="spellEnd"/>
            <w:r w:rsidR="0076751F" w:rsidRPr="006A7A33">
              <w:rPr>
                <w:lang w:val="en-US"/>
              </w:rPr>
              <w:t>)</w:t>
            </w:r>
          </w:p>
        </w:tc>
      </w:tr>
      <w:tr w:rsidR="0076751F" w:rsidRPr="002A4848" w:rsidTr="0003165F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810F82" w:rsidP="006A7A33">
            <w:pPr>
              <w:pStyle w:val="Tabletext"/>
            </w:pPr>
            <w:r w:rsidRPr="006A7A33">
              <w:t>Grupo de Redacción sobre la Resolución</w:t>
            </w:r>
            <w:r w:rsidR="0076751F" w:rsidRPr="006A7A33">
              <w:t xml:space="preserve"> 76 </w:t>
            </w:r>
            <w:r w:rsidRPr="006A7A33">
              <w:t>–</w:t>
            </w:r>
            <w:r w:rsidR="0076751F" w:rsidRPr="006A7A33">
              <w:t xml:space="preserve"> Conform</w:t>
            </w:r>
            <w:r w:rsidRPr="006A7A33">
              <w:t xml:space="preserve">idad e </w:t>
            </w:r>
            <w:r w:rsidR="00090892" w:rsidRPr="006A7A33">
              <w:t>interoperabilidad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090892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76751F" w:rsidRPr="006A7A33">
              <w:rPr>
                <w:lang w:val="en-US"/>
              </w:rPr>
              <w:t xml:space="preserve"> </w:t>
            </w:r>
            <w:proofErr w:type="spellStart"/>
            <w:r w:rsidR="0076751F" w:rsidRPr="006A7A33">
              <w:rPr>
                <w:lang w:val="en-US"/>
              </w:rPr>
              <w:t>Rahmy</w:t>
            </w:r>
            <w:proofErr w:type="spellEnd"/>
            <w:r w:rsidR="0076751F" w:rsidRPr="006A7A33">
              <w:rPr>
                <w:lang w:val="en-US"/>
              </w:rPr>
              <w:t xml:space="preserve"> Ahmed </w:t>
            </w:r>
            <w:proofErr w:type="spellStart"/>
            <w:r w:rsidR="0076751F" w:rsidRPr="006A7A33">
              <w:rPr>
                <w:lang w:val="en-US"/>
              </w:rPr>
              <w:t>Fathy</w:t>
            </w:r>
            <w:proofErr w:type="spellEnd"/>
            <w:r w:rsidR="0076751F" w:rsidRPr="006A7A33">
              <w:rPr>
                <w:lang w:val="en-US"/>
              </w:rPr>
              <w:t xml:space="preserve"> (</w:t>
            </w:r>
            <w:proofErr w:type="spellStart"/>
            <w:r w:rsidR="0076751F" w:rsidRPr="006A7A33">
              <w:rPr>
                <w:lang w:val="en-US"/>
              </w:rPr>
              <w:t>Eg</w:t>
            </w:r>
            <w:r w:rsidRPr="006A7A33">
              <w:rPr>
                <w:lang w:val="en-US"/>
              </w:rPr>
              <w:t>ipto</w:t>
            </w:r>
            <w:proofErr w:type="spellEnd"/>
            <w:r w:rsidR="0076751F" w:rsidRPr="006A7A33">
              <w:rPr>
                <w:lang w:val="en-US"/>
              </w:rPr>
              <w:t>)</w:t>
            </w:r>
          </w:p>
        </w:tc>
      </w:tr>
      <w:tr w:rsidR="0076751F" w:rsidRPr="006A7A33" w:rsidTr="0003165F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090892" w:rsidP="00C32C04">
            <w:pPr>
              <w:pStyle w:val="Tabletext"/>
              <w:rPr>
                <w:rFonts w:ascii="Calibri" w:hAnsi="Calibri"/>
                <w:b/>
                <w:color w:val="800000"/>
              </w:rPr>
            </w:pPr>
            <w:r w:rsidRPr="006A7A33">
              <w:t>Grupo de Redacción sobre la Resolución</w:t>
            </w:r>
            <w:r w:rsidR="0076751F" w:rsidRPr="006A7A33">
              <w:t xml:space="preserve"> ARB 4 </w:t>
            </w:r>
            <w:r w:rsidR="00C32C04">
              <w:t>–</w:t>
            </w:r>
            <w:r w:rsidR="0076751F" w:rsidRPr="006A7A33">
              <w:t xml:space="preserve"> </w:t>
            </w:r>
            <w:r w:rsidR="007C281F" w:rsidRPr="006A7A33">
              <w:t>Fortalecimiento y diversificación de los recursos del Sector de Normalización de las Telecomunicaciones de la Unión Internacional de Telecomunicaciones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090892" w:rsidP="006A7A33">
            <w:pPr>
              <w:pStyle w:val="Tabletext"/>
            </w:pPr>
            <w:r w:rsidRPr="006A7A33">
              <w:t>S</w:t>
            </w:r>
            <w:r w:rsidR="0076751F" w:rsidRPr="006A7A33">
              <w:t>r</w:t>
            </w:r>
            <w:r w:rsidRPr="006A7A33">
              <w:t>.</w:t>
            </w:r>
            <w:r w:rsidR="0076751F" w:rsidRPr="006A7A33">
              <w:t xml:space="preserve"> </w:t>
            </w:r>
            <w:proofErr w:type="spellStart"/>
            <w:r w:rsidR="0076751F" w:rsidRPr="006A7A33">
              <w:t>Nasser</w:t>
            </w:r>
            <w:proofErr w:type="spellEnd"/>
            <w:r w:rsidR="0076751F" w:rsidRPr="006A7A33">
              <w:t xml:space="preserve"> Al </w:t>
            </w:r>
            <w:proofErr w:type="spellStart"/>
            <w:r w:rsidR="0076751F" w:rsidRPr="006A7A33">
              <w:t>Marzouqi</w:t>
            </w:r>
            <w:proofErr w:type="spellEnd"/>
            <w:r w:rsidR="0076751F" w:rsidRPr="006A7A33">
              <w:t xml:space="preserve"> (</w:t>
            </w:r>
            <w:r w:rsidRPr="006A7A33">
              <w:t>EAU</w:t>
            </w:r>
            <w:r w:rsidR="0076751F" w:rsidRPr="006A7A33">
              <w:t>)</w:t>
            </w:r>
          </w:p>
        </w:tc>
      </w:tr>
      <w:tr w:rsidR="0076751F" w:rsidRPr="006A7A33" w:rsidTr="0003165F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090892" w:rsidP="006A7A33">
            <w:pPr>
              <w:pStyle w:val="Tabletext"/>
            </w:pPr>
            <w:r w:rsidRPr="006A7A33">
              <w:t>Consultas Informales sobre el proyecto de Resolución sobre el RTI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090892" w:rsidP="006A7A33">
            <w:pPr>
              <w:pStyle w:val="Tabletext"/>
            </w:pPr>
            <w:r w:rsidRPr="006A7A33">
              <w:t>Sr.</w:t>
            </w:r>
            <w:r w:rsidR="0076751F" w:rsidRPr="006A7A33">
              <w:t xml:space="preserve"> </w:t>
            </w:r>
            <w:proofErr w:type="spellStart"/>
            <w:r w:rsidR="0076751F" w:rsidRPr="006A7A33">
              <w:t>Musab</w:t>
            </w:r>
            <w:proofErr w:type="spellEnd"/>
            <w:r w:rsidR="0076751F" w:rsidRPr="006A7A33">
              <w:t xml:space="preserve"> </w:t>
            </w:r>
            <w:proofErr w:type="spellStart"/>
            <w:r w:rsidR="0076751F" w:rsidRPr="006A7A33">
              <w:t>Abdulla</w:t>
            </w:r>
            <w:proofErr w:type="spellEnd"/>
            <w:r w:rsidR="0076751F" w:rsidRPr="006A7A33">
              <w:t xml:space="preserve"> (Bahr</w:t>
            </w:r>
            <w:r w:rsidRPr="006A7A33">
              <w:t>é</w:t>
            </w:r>
            <w:r w:rsidR="0076751F" w:rsidRPr="006A7A33">
              <w:t>in (</w:t>
            </w:r>
            <w:r w:rsidRPr="006A7A33">
              <w:t>Reino de</w:t>
            </w:r>
            <w:r w:rsidR="0076751F" w:rsidRPr="006A7A33">
              <w:t>))</w:t>
            </w:r>
          </w:p>
        </w:tc>
      </w:tr>
      <w:tr w:rsidR="0076751F" w:rsidRPr="006A7A33" w:rsidTr="0003165F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090892" w:rsidP="0003165F">
            <w:pPr>
              <w:pStyle w:val="Tabletext"/>
              <w:rPr>
                <w:rFonts w:ascii="Calibri" w:hAnsi="Calibri"/>
                <w:b/>
                <w:color w:val="800000"/>
              </w:rPr>
            </w:pPr>
            <w:r w:rsidRPr="006A7A33">
              <w:t>Consultas Informales sobre la Resolución</w:t>
            </w:r>
            <w:r w:rsidR="0076751F" w:rsidRPr="006A7A33">
              <w:t xml:space="preserve"> APT-3 </w:t>
            </w:r>
            <w:r w:rsidR="0003165F">
              <w:t>–</w:t>
            </w:r>
            <w:r w:rsidR="0076751F" w:rsidRPr="006A7A33">
              <w:t xml:space="preserve"> </w:t>
            </w:r>
            <w:r w:rsidR="00E52ED1" w:rsidRPr="006A7A33">
              <w:t>Labor de normalización en el sector de normalización de las telecomunicaciones de la UIT para aplicaciones de supervisión de datos de evento basadas en la nube</w:t>
            </w:r>
          </w:p>
        </w:tc>
        <w:tc>
          <w:tcPr>
            <w:tcW w:w="4323" w:type="dxa"/>
            <w:shd w:val="clear" w:color="auto" w:fill="auto"/>
            <w:hideMark/>
          </w:tcPr>
          <w:p w:rsidR="0076751F" w:rsidRPr="006A7A33" w:rsidRDefault="00090892" w:rsidP="006A7A33">
            <w:pPr>
              <w:pStyle w:val="Tabletext"/>
            </w:pPr>
            <w:r w:rsidRPr="006A7A33">
              <w:t>S</w:t>
            </w:r>
            <w:r w:rsidR="0076751F" w:rsidRPr="006A7A33">
              <w:t>r</w:t>
            </w:r>
            <w:r w:rsidRPr="006A7A33">
              <w:t>.</w:t>
            </w:r>
            <w:r w:rsidR="0076751F" w:rsidRPr="006A7A33">
              <w:t xml:space="preserve"> Sean </w:t>
            </w:r>
            <w:proofErr w:type="spellStart"/>
            <w:r w:rsidR="0076751F" w:rsidRPr="006A7A33">
              <w:t>Sharidz</w:t>
            </w:r>
            <w:proofErr w:type="spellEnd"/>
            <w:r w:rsidR="0076751F" w:rsidRPr="006A7A33">
              <w:t xml:space="preserve"> Doral (Malasia)</w:t>
            </w:r>
          </w:p>
        </w:tc>
      </w:tr>
      <w:tr w:rsidR="0076751F" w:rsidRPr="006A7A33" w:rsidTr="0003165F">
        <w:trPr>
          <w:trHeight w:val="20"/>
          <w:jc w:val="center"/>
        </w:trPr>
        <w:tc>
          <w:tcPr>
            <w:tcW w:w="5311" w:type="dxa"/>
            <w:shd w:val="clear" w:color="auto" w:fill="auto"/>
            <w:hideMark/>
          </w:tcPr>
          <w:p w:rsidR="0076751F" w:rsidRPr="006A7A33" w:rsidRDefault="00090892" w:rsidP="00417D86">
            <w:pPr>
              <w:pStyle w:val="Tabletext"/>
            </w:pPr>
            <w:r w:rsidRPr="006A7A33">
              <w:t>Consultas Informales sobre la Resolución</w:t>
            </w:r>
            <w:r w:rsidR="0076751F" w:rsidRPr="006A7A33">
              <w:t xml:space="preserve"> 77 </w:t>
            </w:r>
            <w:r w:rsidR="00417D86">
              <w:t>–</w:t>
            </w:r>
            <w:r w:rsidR="0076751F" w:rsidRPr="006A7A33">
              <w:t xml:space="preserve"> </w:t>
            </w:r>
            <w:r w:rsidR="00E52ED1" w:rsidRPr="006A7A33">
              <w:t>Normalización de las redes definidas por software en el Sector de Normalización de las Telecomunicaciones de la UIT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76751F" w:rsidRPr="006A7A33" w:rsidRDefault="00090892" w:rsidP="006A7A33">
            <w:pPr>
              <w:pStyle w:val="Tabletext"/>
              <w:rPr>
                <w:lang w:val="en-US"/>
              </w:rPr>
            </w:pPr>
            <w:r w:rsidRPr="006A7A33">
              <w:rPr>
                <w:lang w:val="en-US"/>
              </w:rPr>
              <w:t>S</w:t>
            </w:r>
            <w:r w:rsidR="0076751F" w:rsidRPr="006A7A33">
              <w:rPr>
                <w:lang w:val="en-US"/>
              </w:rPr>
              <w:t>r</w:t>
            </w:r>
            <w:r w:rsidRPr="006A7A33">
              <w:rPr>
                <w:lang w:val="en-US"/>
              </w:rPr>
              <w:t>.</w:t>
            </w:r>
            <w:r w:rsidR="0076751F" w:rsidRPr="006A7A33">
              <w:rPr>
                <w:lang w:val="en-US"/>
              </w:rPr>
              <w:t xml:space="preserve"> Kai Hu (China)</w:t>
            </w:r>
          </w:p>
        </w:tc>
      </w:tr>
    </w:tbl>
    <w:p w:rsidR="0076751F" w:rsidRPr="006A7A33" w:rsidRDefault="00090892" w:rsidP="006A7A33">
      <w:r w:rsidRPr="006A7A33">
        <w:t>Asimismo quiere dar las gracias al personal de la TSB por el excelente trabajo realizado y, en particular al Sr.</w:t>
      </w:r>
      <w:r w:rsidR="0076751F" w:rsidRPr="006A7A33">
        <w:t xml:space="preserve"> </w:t>
      </w:r>
      <w:proofErr w:type="spellStart"/>
      <w:r w:rsidR="0076751F" w:rsidRPr="006A7A33">
        <w:t>Simão</w:t>
      </w:r>
      <w:proofErr w:type="spellEnd"/>
      <w:r w:rsidR="0076751F" w:rsidRPr="006A7A33">
        <w:t xml:space="preserve"> Campos-Neto, </w:t>
      </w:r>
      <w:r w:rsidRPr="006A7A33">
        <w:t>la Sra.</w:t>
      </w:r>
      <w:r w:rsidR="0076751F" w:rsidRPr="006A7A33">
        <w:t xml:space="preserve"> Cristina </w:t>
      </w:r>
      <w:proofErr w:type="spellStart"/>
      <w:r w:rsidR="0076751F" w:rsidRPr="006A7A33">
        <w:t>Bueti</w:t>
      </w:r>
      <w:proofErr w:type="spellEnd"/>
      <w:r w:rsidRPr="006A7A33">
        <w:t>, el Sr.</w:t>
      </w:r>
      <w:r w:rsidR="0076751F" w:rsidRPr="006A7A33">
        <w:t xml:space="preserve"> Stefano </w:t>
      </w:r>
      <w:proofErr w:type="spellStart"/>
      <w:r w:rsidR="0076751F" w:rsidRPr="006A7A33">
        <w:t>Polidori</w:t>
      </w:r>
      <w:proofErr w:type="spellEnd"/>
      <w:r w:rsidR="0076751F" w:rsidRPr="006A7A33">
        <w:t xml:space="preserve">, </w:t>
      </w:r>
      <w:r w:rsidRPr="006A7A33">
        <w:t>la Sra.</w:t>
      </w:r>
      <w:r w:rsidR="0076751F" w:rsidRPr="006A7A33">
        <w:t xml:space="preserve"> Emma Norton Viard </w:t>
      </w:r>
      <w:r w:rsidRPr="006A7A33">
        <w:t>y la Sra.</w:t>
      </w:r>
      <w:r w:rsidR="0076751F" w:rsidRPr="006A7A33">
        <w:t xml:space="preserve"> Reyna </w:t>
      </w:r>
      <w:proofErr w:type="spellStart"/>
      <w:r w:rsidR="0076751F" w:rsidRPr="006A7A33">
        <w:t>Ubeda</w:t>
      </w:r>
      <w:proofErr w:type="spellEnd"/>
      <w:r w:rsidR="0076751F" w:rsidRPr="006A7A33">
        <w:t xml:space="preserve">, </w:t>
      </w:r>
      <w:r w:rsidRPr="006A7A33">
        <w:t>además de al personal de la TSB que ha brindado su apoyo a los diversos Grupos ad hoc y de Redacción</w:t>
      </w:r>
      <w:r w:rsidR="0076751F" w:rsidRPr="006A7A33">
        <w:t>.</w:t>
      </w:r>
    </w:p>
    <w:p w:rsidR="0076751F" w:rsidRPr="006A7A33" w:rsidRDefault="0076751F" w:rsidP="006A7A33"/>
    <w:p w:rsidR="0076751F" w:rsidRPr="006A7A33" w:rsidRDefault="0076751F" w:rsidP="006A7A33">
      <w:pPr>
        <w:spacing w:before="0"/>
      </w:pPr>
      <w:r w:rsidRPr="006A7A33">
        <w:br w:type="page"/>
      </w:r>
    </w:p>
    <w:p w:rsidR="00E52ED1" w:rsidRDefault="00E52ED1" w:rsidP="006A7A33">
      <w:pPr>
        <w:pStyle w:val="AnnexNo"/>
      </w:pPr>
      <w:r w:rsidRPr="006A7A33">
        <w:t>Anexo</w:t>
      </w:r>
    </w:p>
    <w:p w:rsidR="007527DB" w:rsidRPr="007527DB" w:rsidRDefault="007527DB" w:rsidP="007527DB">
      <w:pPr>
        <w:pStyle w:val="Annexref"/>
      </w:pPr>
    </w:p>
    <w:p w:rsidR="0076751F" w:rsidRPr="006A7A33" w:rsidRDefault="00E52ED1" w:rsidP="006A7A33">
      <w:pPr>
        <w:spacing w:before="0"/>
        <w:rPr>
          <w:i/>
          <w:iCs/>
        </w:rPr>
      </w:pPr>
      <w:r w:rsidRPr="006A7A33">
        <w:t>La Comisión 4 solicita que la Plenaria adopte las medidas siguientes:</w:t>
      </w:r>
    </w:p>
    <w:p w:rsidR="0076751F" w:rsidRPr="00075145" w:rsidRDefault="00E52ED1" w:rsidP="006A7A33">
      <w:pPr>
        <w:pStyle w:val="ListParagraph"/>
        <w:numPr>
          <w:ilvl w:val="0"/>
          <w:numId w:val="12"/>
        </w:numPr>
        <w:spacing w:before="240"/>
        <w:ind w:left="714" w:hanging="357"/>
        <w:contextualSpacing w:val="0"/>
        <w:rPr>
          <w:b/>
          <w:bCs/>
          <w:i/>
          <w:iCs/>
          <w:lang w:val="es-ES_tradnl"/>
        </w:rPr>
      </w:pPr>
      <w:r w:rsidRPr="00075145">
        <w:rPr>
          <w:b/>
          <w:bCs/>
          <w:i/>
          <w:iCs/>
          <w:lang w:val="es-ES_tradnl"/>
        </w:rPr>
        <w:t xml:space="preserve">aprobar los </w:t>
      </w:r>
      <w:r w:rsidR="00090892" w:rsidRPr="00075145">
        <w:rPr>
          <w:b/>
          <w:bCs/>
          <w:i/>
          <w:iCs/>
          <w:lang w:val="es-ES_tradnl"/>
        </w:rPr>
        <w:t>6</w:t>
      </w:r>
      <w:r w:rsidRPr="00075145">
        <w:rPr>
          <w:b/>
          <w:bCs/>
          <w:i/>
          <w:iCs/>
          <w:lang w:val="es-ES_tradnl"/>
        </w:rPr>
        <w:t xml:space="preserve"> informes de la Comisión 4 que</w:t>
      </w:r>
      <w:r w:rsidR="00075145" w:rsidRPr="00075145">
        <w:rPr>
          <w:b/>
          <w:bCs/>
          <w:i/>
          <w:iCs/>
          <w:lang w:val="es-ES_tradnl"/>
        </w:rPr>
        <w:t xml:space="preserve"> se enumeran en la cláusula 1.3</w:t>
      </w:r>
      <w:r w:rsidR="0076751F" w:rsidRPr="00075145">
        <w:rPr>
          <w:b/>
          <w:bCs/>
          <w:i/>
          <w:iCs/>
          <w:lang w:val="es-ES_tradnl"/>
        </w:rPr>
        <w:t>;</w:t>
      </w:r>
    </w:p>
    <w:p w:rsidR="0076751F" w:rsidRPr="00075145" w:rsidRDefault="00090892" w:rsidP="006A7A33">
      <w:pPr>
        <w:pStyle w:val="ListParagraph"/>
        <w:numPr>
          <w:ilvl w:val="0"/>
          <w:numId w:val="12"/>
        </w:numPr>
        <w:spacing w:before="240"/>
        <w:ind w:left="714" w:hanging="357"/>
        <w:contextualSpacing w:val="0"/>
        <w:rPr>
          <w:b/>
          <w:bCs/>
          <w:i/>
          <w:iCs/>
          <w:lang w:val="es-ES_tradnl"/>
        </w:rPr>
      </w:pPr>
      <w:r w:rsidRPr="00075145">
        <w:rPr>
          <w:b/>
          <w:bCs/>
          <w:i/>
          <w:iCs/>
          <w:lang w:val="es-ES_tradnl"/>
        </w:rPr>
        <w:t>considerar los temas pendientes de la Comisión 4 identificados en la cláusula 4</w:t>
      </w:r>
      <w:r w:rsidR="0076751F" w:rsidRPr="00075145">
        <w:rPr>
          <w:b/>
          <w:bCs/>
          <w:i/>
          <w:iCs/>
          <w:lang w:val="es-ES_tradnl"/>
        </w:rPr>
        <w:t>;</w:t>
      </w:r>
    </w:p>
    <w:p w:rsidR="0076751F" w:rsidRPr="00075145" w:rsidRDefault="00E52ED1" w:rsidP="006A7A33">
      <w:pPr>
        <w:pStyle w:val="ListParagraph"/>
        <w:numPr>
          <w:ilvl w:val="0"/>
          <w:numId w:val="12"/>
        </w:numPr>
        <w:spacing w:before="240"/>
        <w:ind w:left="714" w:hanging="357"/>
        <w:contextualSpacing w:val="0"/>
        <w:rPr>
          <w:b/>
          <w:bCs/>
          <w:i/>
          <w:iCs/>
          <w:lang w:val="es-ES_tradnl"/>
        </w:rPr>
      </w:pPr>
      <w:r w:rsidRPr="00075145">
        <w:rPr>
          <w:b/>
          <w:bCs/>
          <w:i/>
          <w:iCs/>
          <w:lang w:val="es-ES_tradnl"/>
        </w:rPr>
        <w:t>aprobar el texto de las Cuestiones incluidas en la</w:t>
      </w:r>
      <w:r w:rsidR="00090892" w:rsidRPr="00075145">
        <w:rPr>
          <w:b/>
          <w:bCs/>
          <w:i/>
          <w:iCs/>
          <w:lang w:val="es-ES_tradnl"/>
        </w:rPr>
        <w:t>s</w:t>
      </w:r>
      <w:r w:rsidRPr="00075145">
        <w:rPr>
          <w:b/>
          <w:bCs/>
          <w:i/>
          <w:iCs/>
          <w:lang w:val="es-ES_tradnl"/>
        </w:rPr>
        <w:t xml:space="preserve"> cláusula</w:t>
      </w:r>
      <w:r w:rsidR="00090892" w:rsidRPr="00075145">
        <w:rPr>
          <w:b/>
          <w:bCs/>
          <w:i/>
          <w:iCs/>
          <w:lang w:val="es-ES_tradnl"/>
        </w:rPr>
        <w:t>s</w:t>
      </w:r>
      <w:r w:rsidRPr="00075145">
        <w:rPr>
          <w:b/>
          <w:bCs/>
          <w:i/>
          <w:iCs/>
          <w:lang w:val="es-ES_tradnl"/>
        </w:rPr>
        <w:t xml:space="preserve"> 2.2.1</w:t>
      </w:r>
      <w:r w:rsidR="00090892" w:rsidRPr="00075145">
        <w:rPr>
          <w:b/>
          <w:bCs/>
          <w:i/>
          <w:iCs/>
          <w:lang w:val="es-ES_tradnl"/>
        </w:rPr>
        <w:t xml:space="preserve"> y 2.2.2</w:t>
      </w:r>
      <w:r w:rsidR="0076751F" w:rsidRPr="00075145">
        <w:rPr>
          <w:b/>
          <w:bCs/>
          <w:i/>
          <w:iCs/>
          <w:lang w:val="es-ES_tradnl"/>
        </w:rPr>
        <w:t>;</w:t>
      </w:r>
    </w:p>
    <w:p w:rsidR="0076751F" w:rsidRPr="00075145" w:rsidRDefault="0076751F" w:rsidP="006A7A33">
      <w:pPr>
        <w:pStyle w:val="ListParagraph"/>
        <w:numPr>
          <w:ilvl w:val="0"/>
          <w:numId w:val="12"/>
        </w:numPr>
        <w:spacing w:before="240"/>
        <w:ind w:left="714" w:hanging="357"/>
        <w:contextualSpacing w:val="0"/>
        <w:rPr>
          <w:b/>
          <w:bCs/>
          <w:i/>
          <w:iCs/>
          <w:lang w:val="es-ES_tradnl"/>
        </w:rPr>
      </w:pPr>
      <w:r w:rsidRPr="00075145">
        <w:rPr>
          <w:b/>
          <w:bCs/>
          <w:i/>
          <w:iCs/>
          <w:lang w:val="es-ES_tradnl"/>
        </w:rPr>
        <w:t>a</w:t>
      </w:r>
      <w:r w:rsidR="00090892" w:rsidRPr="00075145">
        <w:rPr>
          <w:b/>
          <w:bCs/>
          <w:i/>
          <w:iCs/>
          <w:lang w:val="es-ES_tradnl"/>
        </w:rPr>
        <w:t>cordar la transferencia de los bloques de trabajo indicados en las cláusulas</w:t>
      </w:r>
      <w:r w:rsidRPr="00075145">
        <w:rPr>
          <w:b/>
          <w:bCs/>
          <w:i/>
          <w:iCs/>
          <w:lang w:val="es-ES_tradnl"/>
        </w:rPr>
        <w:t xml:space="preserve"> 2.</w:t>
      </w:r>
      <w:r w:rsidR="00090892" w:rsidRPr="00075145">
        <w:rPr>
          <w:b/>
          <w:bCs/>
          <w:i/>
          <w:iCs/>
          <w:lang w:val="es-ES_tradnl"/>
        </w:rPr>
        <w:t>2</w:t>
      </w:r>
      <w:r w:rsidRPr="00075145">
        <w:rPr>
          <w:b/>
          <w:bCs/>
          <w:i/>
          <w:iCs/>
          <w:lang w:val="es-ES_tradnl"/>
        </w:rPr>
        <w:t>.3, 2.</w:t>
      </w:r>
      <w:r w:rsidR="00090892" w:rsidRPr="00075145">
        <w:rPr>
          <w:b/>
          <w:bCs/>
          <w:i/>
          <w:iCs/>
          <w:lang w:val="es-ES_tradnl"/>
        </w:rPr>
        <w:t>2</w:t>
      </w:r>
      <w:r w:rsidRPr="00075145">
        <w:rPr>
          <w:b/>
          <w:bCs/>
          <w:i/>
          <w:iCs/>
          <w:lang w:val="es-ES_tradnl"/>
        </w:rPr>
        <w:t xml:space="preserve">.4 </w:t>
      </w:r>
      <w:r w:rsidR="00090892" w:rsidRPr="00075145">
        <w:rPr>
          <w:b/>
          <w:bCs/>
          <w:i/>
          <w:iCs/>
          <w:lang w:val="es-ES_tradnl"/>
        </w:rPr>
        <w:t>y</w:t>
      </w:r>
      <w:r w:rsidRPr="00075145">
        <w:rPr>
          <w:b/>
          <w:bCs/>
          <w:i/>
          <w:iCs/>
          <w:lang w:val="es-ES_tradnl"/>
        </w:rPr>
        <w:t xml:space="preserve"> 2.</w:t>
      </w:r>
      <w:r w:rsidR="00090892" w:rsidRPr="00075145">
        <w:rPr>
          <w:b/>
          <w:bCs/>
          <w:i/>
          <w:iCs/>
          <w:lang w:val="es-ES_tradnl"/>
        </w:rPr>
        <w:t>2</w:t>
      </w:r>
      <w:r w:rsidRPr="00075145">
        <w:rPr>
          <w:b/>
          <w:bCs/>
          <w:i/>
          <w:iCs/>
          <w:lang w:val="es-ES_tradnl"/>
        </w:rPr>
        <w:t>.5;</w:t>
      </w:r>
    </w:p>
    <w:p w:rsidR="0076751F" w:rsidRPr="00075145" w:rsidRDefault="00090892" w:rsidP="006A7A33">
      <w:pPr>
        <w:pStyle w:val="ListParagraph"/>
        <w:numPr>
          <w:ilvl w:val="0"/>
          <w:numId w:val="12"/>
        </w:numPr>
        <w:spacing w:before="240"/>
        <w:ind w:left="714" w:hanging="357"/>
        <w:contextualSpacing w:val="0"/>
        <w:rPr>
          <w:b/>
          <w:bCs/>
          <w:i/>
          <w:iCs/>
          <w:lang w:val="es-ES_tradnl"/>
        </w:rPr>
      </w:pPr>
      <w:r w:rsidRPr="00075145">
        <w:rPr>
          <w:b/>
          <w:bCs/>
          <w:i/>
          <w:iCs/>
          <w:lang w:val="es-ES_tradnl"/>
        </w:rPr>
        <w:t>aprobar la manera de proceder indicada en la cláusula 2.2.7 en relación con las propuestas de nuevas Cuestiones</w:t>
      </w:r>
      <w:r w:rsidR="0076751F" w:rsidRPr="00075145">
        <w:rPr>
          <w:b/>
          <w:bCs/>
          <w:i/>
          <w:iCs/>
          <w:lang w:val="es-ES_tradnl"/>
        </w:rPr>
        <w:t>;</w:t>
      </w:r>
    </w:p>
    <w:p w:rsidR="0076751F" w:rsidRPr="00075145" w:rsidRDefault="00E52ED1" w:rsidP="006A7A33">
      <w:pPr>
        <w:pStyle w:val="ListParagraph"/>
        <w:numPr>
          <w:ilvl w:val="0"/>
          <w:numId w:val="12"/>
        </w:numPr>
        <w:spacing w:before="240"/>
        <w:ind w:left="714" w:hanging="357"/>
        <w:contextualSpacing w:val="0"/>
        <w:rPr>
          <w:b/>
          <w:bCs/>
          <w:i/>
          <w:iCs/>
          <w:lang w:val="es-ES_tradnl"/>
        </w:rPr>
      </w:pPr>
      <w:r w:rsidRPr="00075145">
        <w:rPr>
          <w:b/>
          <w:bCs/>
          <w:i/>
          <w:iCs/>
          <w:lang w:val="es-ES_tradnl"/>
        </w:rPr>
        <w:t>aprobar la revisión de las Resoluciones in</w:t>
      </w:r>
      <w:r w:rsidR="00090892" w:rsidRPr="00075145">
        <w:rPr>
          <w:b/>
          <w:bCs/>
          <w:i/>
          <w:iCs/>
          <w:lang w:val="es-ES_tradnl"/>
        </w:rPr>
        <w:t>dicadas</w:t>
      </w:r>
      <w:r w:rsidRPr="00075145">
        <w:rPr>
          <w:b/>
          <w:bCs/>
          <w:i/>
          <w:iCs/>
          <w:lang w:val="es-ES_tradnl"/>
        </w:rPr>
        <w:t xml:space="preserve"> en la cláusula </w:t>
      </w:r>
      <w:r w:rsidR="0076751F" w:rsidRPr="00075145">
        <w:rPr>
          <w:b/>
          <w:bCs/>
          <w:i/>
          <w:iCs/>
          <w:lang w:val="es-ES_tradnl"/>
        </w:rPr>
        <w:t>3.1;</w:t>
      </w:r>
    </w:p>
    <w:p w:rsidR="0076751F" w:rsidRPr="00075145" w:rsidRDefault="00E52ED1" w:rsidP="006A7A33">
      <w:pPr>
        <w:pStyle w:val="ListParagraph"/>
        <w:numPr>
          <w:ilvl w:val="0"/>
          <w:numId w:val="12"/>
        </w:numPr>
        <w:spacing w:before="240"/>
        <w:ind w:left="714" w:hanging="357"/>
        <w:contextualSpacing w:val="0"/>
        <w:rPr>
          <w:b/>
          <w:bCs/>
          <w:i/>
          <w:iCs/>
          <w:lang w:val="es-ES_tradnl"/>
        </w:rPr>
      </w:pPr>
      <w:r w:rsidRPr="00075145">
        <w:rPr>
          <w:b/>
          <w:bCs/>
          <w:i/>
          <w:iCs/>
          <w:lang w:val="es-ES_tradnl"/>
        </w:rPr>
        <w:t>aprobar las nuevas Resoluciones in</w:t>
      </w:r>
      <w:r w:rsidR="00090892" w:rsidRPr="00075145">
        <w:rPr>
          <w:b/>
          <w:bCs/>
          <w:i/>
          <w:iCs/>
          <w:lang w:val="es-ES_tradnl"/>
        </w:rPr>
        <w:t>dicadas</w:t>
      </w:r>
      <w:r w:rsidRPr="00075145">
        <w:rPr>
          <w:b/>
          <w:bCs/>
          <w:i/>
          <w:iCs/>
          <w:lang w:val="es-ES_tradnl"/>
        </w:rPr>
        <w:t xml:space="preserve"> en la cláusula </w:t>
      </w:r>
      <w:r w:rsidR="0076751F" w:rsidRPr="00075145">
        <w:rPr>
          <w:b/>
          <w:bCs/>
          <w:i/>
          <w:iCs/>
          <w:lang w:val="es-ES_tradnl"/>
        </w:rPr>
        <w:t>3.2</w:t>
      </w:r>
      <w:r w:rsidR="00075145">
        <w:rPr>
          <w:b/>
          <w:bCs/>
          <w:i/>
          <w:iCs/>
          <w:lang w:val="es-ES_tradnl"/>
        </w:rPr>
        <w:t>;</w:t>
      </w:r>
    </w:p>
    <w:p w:rsidR="0076751F" w:rsidRPr="00075145" w:rsidRDefault="00090892" w:rsidP="006A7A33">
      <w:pPr>
        <w:pStyle w:val="ListParagraph"/>
        <w:numPr>
          <w:ilvl w:val="0"/>
          <w:numId w:val="12"/>
        </w:numPr>
        <w:spacing w:before="240"/>
        <w:ind w:left="714" w:hanging="357"/>
        <w:contextualSpacing w:val="0"/>
        <w:rPr>
          <w:b/>
          <w:bCs/>
          <w:i/>
          <w:iCs/>
          <w:lang w:val="es-ES_tradnl"/>
        </w:rPr>
      </w:pPr>
      <w:r w:rsidRPr="00075145">
        <w:rPr>
          <w:b/>
          <w:bCs/>
          <w:i/>
          <w:iCs/>
          <w:lang w:val="es-ES_tradnl"/>
        </w:rPr>
        <w:t>acordar la no modificación de las Resoluciones indicadas en la cláusula</w:t>
      </w:r>
      <w:r w:rsidR="0076751F" w:rsidRPr="00075145">
        <w:rPr>
          <w:b/>
          <w:bCs/>
          <w:i/>
          <w:iCs/>
          <w:lang w:val="es-ES_tradnl"/>
        </w:rPr>
        <w:t xml:space="preserve"> 3.3;</w:t>
      </w:r>
    </w:p>
    <w:p w:rsidR="00EA2177" w:rsidRPr="006A7A33" w:rsidRDefault="00E52ED1" w:rsidP="006A7A33">
      <w:pPr>
        <w:pStyle w:val="ListParagraph"/>
        <w:numPr>
          <w:ilvl w:val="0"/>
          <w:numId w:val="12"/>
        </w:numPr>
        <w:spacing w:before="240"/>
        <w:ind w:left="714" w:hanging="357"/>
        <w:contextualSpacing w:val="0"/>
        <w:rPr>
          <w:b/>
          <w:bCs/>
          <w:i/>
          <w:iCs/>
          <w:lang w:val="es-ES_tradnl"/>
        </w:rPr>
      </w:pPr>
      <w:r w:rsidRPr="00075145">
        <w:rPr>
          <w:b/>
          <w:bCs/>
          <w:i/>
          <w:iCs/>
          <w:lang w:val="es-ES_tradnl"/>
        </w:rPr>
        <w:t>se solicita que se encargue a la TSB que verifique el Anexo C de la Resolución 2 antes de su publicación para garantizar que la asignación de las series de Recomendaciones a las correspondientes Comisiones de Estudio refleja fielmente las decisiones adoptadas por la Asamblea</w:t>
      </w:r>
      <w:r w:rsidR="00EA2177" w:rsidRPr="00075145">
        <w:rPr>
          <w:b/>
          <w:bCs/>
          <w:i/>
          <w:iCs/>
          <w:lang w:val="es-ES_tradnl"/>
        </w:rPr>
        <w:t>.</w:t>
      </w:r>
    </w:p>
    <w:p w:rsidR="00EA2177" w:rsidRPr="006A7A33" w:rsidRDefault="00EA2177" w:rsidP="006A7A33">
      <w:pPr>
        <w:pStyle w:val="Reasons"/>
      </w:pPr>
    </w:p>
    <w:p w:rsidR="00EA2177" w:rsidRPr="00EA2177" w:rsidRDefault="00EA2177" w:rsidP="006A7A33">
      <w:pPr>
        <w:jc w:val="center"/>
      </w:pPr>
      <w:r w:rsidRPr="006A7A33">
        <w:t>______________</w:t>
      </w:r>
    </w:p>
    <w:sectPr w:rsidR="00EA2177" w:rsidRPr="00EA2177">
      <w:headerReference w:type="default" r:id="rId71"/>
      <w:footerReference w:type="even" r:id="rId72"/>
      <w:footerReference w:type="default" r:id="rId73"/>
      <w:footerReference w:type="first" r:id="rId7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88" w:rsidRDefault="00F31488">
      <w:r>
        <w:separator/>
      </w:r>
    </w:p>
  </w:endnote>
  <w:endnote w:type="continuationSeparator" w:id="0">
    <w:p w:rsidR="00F31488" w:rsidRDefault="00F3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88" w:rsidRDefault="00F31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488" w:rsidRPr="006E0078" w:rsidRDefault="00F31488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F50CF3">
      <w:rPr>
        <w:noProof/>
        <w:lang w:val="fr-CH"/>
      </w:rPr>
      <w:t>P:\ESP\ITU-T\CONF-T\WTSA16\000\092S.docx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4848">
      <w:rPr>
        <w:noProof/>
      </w:rPr>
      <w:t>03.11.16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0CF3">
      <w:rPr>
        <w:noProof/>
      </w:rPr>
      <w:t>03.11.16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88" w:rsidRPr="00CA74CA" w:rsidRDefault="00CA74CA" w:rsidP="00CA74CA">
    <w:pPr>
      <w:pStyle w:val="Footer"/>
      <w:rPr>
        <w:lang w:val="fr-CH"/>
      </w:rPr>
    </w:pPr>
    <w:r>
      <w:fldChar w:fldCharType="begin"/>
    </w:r>
    <w:r w:rsidRPr="00CA74CA">
      <w:rPr>
        <w:lang w:val="fr-CH"/>
      </w:rPr>
      <w:instrText xml:space="preserve"> FILENAME \p  \* MERGEFORMAT </w:instrText>
    </w:r>
    <w:r>
      <w:fldChar w:fldCharType="separate"/>
    </w:r>
    <w:r w:rsidR="00F50CF3">
      <w:rPr>
        <w:lang w:val="fr-CH"/>
      </w:rPr>
      <w:t>P:\ESP\ITU-T\CONF-T\WTSA16\000\092S.docx</w:t>
    </w:r>
    <w:r>
      <w:fldChar w:fldCharType="end"/>
    </w:r>
    <w:r w:rsidRPr="00CA74CA">
      <w:rPr>
        <w:lang w:val="fr-CH"/>
      </w:rPr>
      <w:t xml:space="preserve"> (</w:t>
    </w:r>
    <w:r>
      <w:rPr>
        <w:lang w:val="fr-CH"/>
      </w:rPr>
      <w:t>408337</w:t>
    </w:r>
    <w:r w:rsidRPr="00CA74C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88" w:rsidRPr="00CA74CA" w:rsidRDefault="00CA74CA" w:rsidP="00CA74CA">
    <w:pPr>
      <w:pStyle w:val="Footer"/>
      <w:rPr>
        <w:lang w:val="fr-CH"/>
      </w:rPr>
    </w:pPr>
    <w:r>
      <w:fldChar w:fldCharType="begin"/>
    </w:r>
    <w:r w:rsidRPr="00CA74CA">
      <w:rPr>
        <w:lang w:val="fr-CH"/>
      </w:rPr>
      <w:instrText xml:space="preserve"> FILENAME \p  \* MERGEFORMAT </w:instrText>
    </w:r>
    <w:r>
      <w:fldChar w:fldCharType="separate"/>
    </w:r>
    <w:r w:rsidR="00F50CF3">
      <w:rPr>
        <w:lang w:val="fr-CH"/>
      </w:rPr>
      <w:t>P:\ESP\ITU-T\CONF-T\WTSA16\000\092S.docx</w:t>
    </w:r>
    <w:r>
      <w:fldChar w:fldCharType="end"/>
    </w:r>
    <w:r w:rsidRPr="00CA74CA">
      <w:rPr>
        <w:lang w:val="fr-CH"/>
      </w:rPr>
      <w:t xml:space="preserve"> (</w:t>
    </w:r>
    <w:r>
      <w:rPr>
        <w:lang w:val="fr-CH"/>
      </w:rPr>
      <w:t>408337</w:t>
    </w:r>
    <w:r w:rsidRPr="00CA74CA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88" w:rsidRDefault="00F31488">
      <w:r>
        <w:rPr>
          <w:b/>
        </w:rPr>
        <w:t>_______________</w:t>
      </w:r>
    </w:p>
  </w:footnote>
  <w:footnote w:type="continuationSeparator" w:id="0">
    <w:p w:rsidR="00F31488" w:rsidRDefault="00F31488">
      <w:r>
        <w:continuationSeparator/>
      </w:r>
    </w:p>
  </w:footnote>
  <w:footnote w:id="1">
    <w:p w:rsidR="00F31488" w:rsidRPr="009B7146" w:rsidRDefault="00F31488" w:rsidP="00337E34">
      <w:pPr>
        <w:pStyle w:val="FootnoteText"/>
      </w:pPr>
      <w:r w:rsidRPr="009B7146">
        <w:rPr>
          <w:rStyle w:val="FootnoteReference"/>
        </w:rPr>
        <w:t>1</w:t>
      </w:r>
      <w:r w:rsidRPr="009B7146">
        <w:t xml:space="preserve"> </w:t>
      </w:r>
      <w:r w:rsidRPr="009B7146">
        <w:tab/>
        <w:t>Este término incluye también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88" w:rsidRDefault="00F31488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A4848">
      <w:rPr>
        <w:noProof/>
      </w:rPr>
      <w:t>2</w:t>
    </w:r>
    <w:r>
      <w:fldChar w:fldCharType="end"/>
    </w:r>
  </w:p>
  <w:p w:rsidR="00F31488" w:rsidRPr="00C72D5C" w:rsidRDefault="00F31488" w:rsidP="00EA5E17">
    <w:pPr>
      <w:pStyle w:val="Header"/>
    </w:pPr>
    <w:r>
      <w:t>AMNT16/92-S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67973F8"/>
    <w:multiLevelType w:val="hybridMultilevel"/>
    <w:tmpl w:val="78E6AF4C"/>
    <w:lvl w:ilvl="0" w:tplc="8BA6CA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3165F"/>
    <w:rsid w:val="00057296"/>
    <w:rsid w:val="00075145"/>
    <w:rsid w:val="00087AE8"/>
    <w:rsid w:val="00090892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1267"/>
    <w:rsid w:val="00191A97"/>
    <w:rsid w:val="001A083F"/>
    <w:rsid w:val="001A7BB8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568DC"/>
    <w:rsid w:val="00262C09"/>
    <w:rsid w:val="00263815"/>
    <w:rsid w:val="0028017B"/>
    <w:rsid w:val="00286495"/>
    <w:rsid w:val="002A4848"/>
    <w:rsid w:val="002A791F"/>
    <w:rsid w:val="002C1B26"/>
    <w:rsid w:val="002C79B8"/>
    <w:rsid w:val="002E701F"/>
    <w:rsid w:val="003237B0"/>
    <w:rsid w:val="003248A9"/>
    <w:rsid w:val="00324FFA"/>
    <w:rsid w:val="0032680B"/>
    <w:rsid w:val="00337E34"/>
    <w:rsid w:val="00342D57"/>
    <w:rsid w:val="00363A65"/>
    <w:rsid w:val="00377EC9"/>
    <w:rsid w:val="003B1E8C"/>
    <w:rsid w:val="003C2508"/>
    <w:rsid w:val="003D0AA3"/>
    <w:rsid w:val="004104AC"/>
    <w:rsid w:val="00417D86"/>
    <w:rsid w:val="00454553"/>
    <w:rsid w:val="00476FB2"/>
    <w:rsid w:val="004B124A"/>
    <w:rsid w:val="004B520A"/>
    <w:rsid w:val="004C3636"/>
    <w:rsid w:val="004C3A5A"/>
    <w:rsid w:val="004D25F0"/>
    <w:rsid w:val="00523269"/>
    <w:rsid w:val="005303D1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A7A33"/>
    <w:rsid w:val="006B0F54"/>
    <w:rsid w:val="006B3279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527DB"/>
    <w:rsid w:val="00765578"/>
    <w:rsid w:val="0076751F"/>
    <w:rsid w:val="0077084A"/>
    <w:rsid w:val="00786250"/>
    <w:rsid w:val="00790506"/>
    <w:rsid w:val="007952C7"/>
    <w:rsid w:val="007C2317"/>
    <w:rsid w:val="007C281F"/>
    <w:rsid w:val="007C39FA"/>
    <w:rsid w:val="007D330A"/>
    <w:rsid w:val="007E667F"/>
    <w:rsid w:val="00810F82"/>
    <w:rsid w:val="008454D7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52A89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866"/>
    <w:rsid w:val="00B52D55"/>
    <w:rsid w:val="00B604E1"/>
    <w:rsid w:val="00B61807"/>
    <w:rsid w:val="00B627DD"/>
    <w:rsid w:val="00B75455"/>
    <w:rsid w:val="00B8288C"/>
    <w:rsid w:val="00BD5FE4"/>
    <w:rsid w:val="00BE2E80"/>
    <w:rsid w:val="00BE5EDD"/>
    <w:rsid w:val="00BE6A1F"/>
    <w:rsid w:val="00BF5223"/>
    <w:rsid w:val="00C11F01"/>
    <w:rsid w:val="00C126C4"/>
    <w:rsid w:val="00C32C04"/>
    <w:rsid w:val="00C540D2"/>
    <w:rsid w:val="00C614DC"/>
    <w:rsid w:val="00C63EB5"/>
    <w:rsid w:val="00C858D0"/>
    <w:rsid w:val="00CA1F40"/>
    <w:rsid w:val="00CA74CA"/>
    <w:rsid w:val="00CB35C9"/>
    <w:rsid w:val="00CC01E0"/>
    <w:rsid w:val="00CD5FEE"/>
    <w:rsid w:val="00CD663E"/>
    <w:rsid w:val="00CE60D2"/>
    <w:rsid w:val="00D0288A"/>
    <w:rsid w:val="00D56781"/>
    <w:rsid w:val="00D72A5D"/>
    <w:rsid w:val="00D91D4F"/>
    <w:rsid w:val="00DC629B"/>
    <w:rsid w:val="00DE50EB"/>
    <w:rsid w:val="00DF5A8E"/>
    <w:rsid w:val="00E003BA"/>
    <w:rsid w:val="00E05BFF"/>
    <w:rsid w:val="00E21778"/>
    <w:rsid w:val="00E262F1"/>
    <w:rsid w:val="00E32BEE"/>
    <w:rsid w:val="00E44946"/>
    <w:rsid w:val="00E47B44"/>
    <w:rsid w:val="00E52ED1"/>
    <w:rsid w:val="00E653CC"/>
    <w:rsid w:val="00E71D14"/>
    <w:rsid w:val="00E8097C"/>
    <w:rsid w:val="00E83D45"/>
    <w:rsid w:val="00E85372"/>
    <w:rsid w:val="00E94A4A"/>
    <w:rsid w:val="00EA2177"/>
    <w:rsid w:val="00EA5E17"/>
    <w:rsid w:val="00EB2712"/>
    <w:rsid w:val="00ED1FE8"/>
    <w:rsid w:val="00ED4241"/>
    <w:rsid w:val="00EE1779"/>
    <w:rsid w:val="00EF0D6D"/>
    <w:rsid w:val="00F0220A"/>
    <w:rsid w:val="00F02C63"/>
    <w:rsid w:val="00F247BB"/>
    <w:rsid w:val="00F26F4E"/>
    <w:rsid w:val="00F31488"/>
    <w:rsid w:val="00F50CF3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E85372"/>
    <w:rPr>
      <w:color w:val="0000FF" w:themeColor="hyperlink"/>
      <w:u w:val="single"/>
    </w:rPr>
  </w:style>
  <w:style w:type="character" w:customStyle="1" w:styleId="TabletextChar">
    <w:name w:val="Table_text Char"/>
    <w:link w:val="Tabletext"/>
    <w:locked/>
    <w:rsid w:val="00E85372"/>
    <w:rPr>
      <w:rFonts w:ascii="Times New Roman" w:hAnsi="Times New Roman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76751F"/>
    <w:p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val="en-GB" w:eastAsia="ja-JP"/>
    </w:rPr>
  </w:style>
  <w:style w:type="character" w:customStyle="1" w:styleId="enumlev1Char">
    <w:name w:val="enumlev1 Char"/>
    <w:basedOn w:val="DefaultParagraphFont"/>
    <w:link w:val="enumlev1"/>
    <w:rsid w:val="0076751F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uiPriority w:val="39"/>
    <w:rsid w:val="0076751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eforetable">
    <w:name w:val="Normal before table"/>
    <w:basedOn w:val="Normal"/>
    <w:rsid w:val="0076751F"/>
    <w:pPr>
      <w:keepNext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ED4241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uiPriority w:val="99"/>
    <w:locked/>
    <w:rsid w:val="00BF522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13-WTSA.16-C-0083" TargetMode="External"/><Relationship Id="rId18" Type="http://schemas.openxmlformats.org/officeDocument/2006/relationships/hyperlink" Target="http://www.itu.int/md/meetingdoc.asp?lang=en&amp;parent=T13-WTSA.16-C-0118" TargetMode="External"/><Relationship Id="rId26" Type="http://schemas.openxmlformats.org/officeDocument/2006/relationships/hyperlink" Target="https://www.itu.int/md/dologin_md.asp?id=T13-WTSA.16-C-0016!!MSW-E" TargetMode="External"/><Relationship Id="rId39" Type="http://schemas.openxmlformats.org/officeDocument/2006/relationships/hyperlink" Target="http://www.itu.int/md/T13-WTSA.16-C-0101/en" TargetMode="External"/><Relationship Id="rId21" Type="http://schemas.openxmlformats.org/officeDocument/2006/relationships/hyperlink" Target="https://www.itu.int/md/dologin_md.asp?id=T13-WTSA.16-C-0006!!MSW-E" TargetMode="External"/><Relationship Id="rId34" Type="http://schemas.openxmlformats.org/officeDocument/2006/relationships/hyperlink" Target="http://www.itu.int/md/T13-WTSA.16-C-0052/en" TargetMode="External"/><Relationship Id="rId42" Type="http://schemas.openxmlformats.org/officeDocument/2006/relationships/hyperlink" Target="http://www.itu.int/md/T13-WTSA.16-C-0101/en" TargetMode="External"/><Relationship Id="rId47" Type="http://schemas.openxmlformats.org/officeDocument/2006/relationships/hyperlink" Target="http://www.itu.int/md/T13-WTSA.16-C-0075/en" TargetMode="External"/><Relationship Id="rId50" Type="http://schemas.openxmlformats.org/officeDocument/2006/relationships/hyperlink" Target="http://www.itu.int/md/T13-WTSA.16-C-0117/en" TargetMode="External"/><Relationship Id="rId55" Type="http://schemas.openxmlformats.org/officeDocument/2006/relationships/hyperlink" Target="http://www.itu.int/md/T13-WTSA.16-C-0117/en" TargetMode="External"/><Relationship Id="rId63" Type="http://schemas.openxmlformats.org/officeDocument/2006/relationships/hyperlink" Target="http://www.itu.int/md/T13-WTSA.16-C-0106/en" TargetMode="External"/><Relationship Id="rId68" Type="http://schemas.openxmlformats.org/officeDocument/2006/relationships/hyperlink" Target="http://www.itu.int/md/T13-WTSA.16-C-0110/en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T13-WTSA.16-161025-TD-GEN-0001" TargetMode="External"/><Relationship Id="rId29" Type="http://schemas.openxmlformats.org/officeDocument/2006/relationships/hyperlink" Target="https://www.itu.int/md/dologin_md.asp?id=T13-WTSA.16-C-0022!!MSW-E" TargetMode="External"/><Relationship Id="rId11" Type="http://schemas.openxmlformats.org/officeDocument/2006/relationships/hyperlink" Target="http://www.itu.int/md/meetingdoc.asp?lang=en&amp;parent=T13-WTSA.16-C-0070" TargetMode="External"/><Relationship Id="rId24" Type="http://schemas.openxmlformats.org/officeDocument/2006/relationships/hyperlink" Target="https://www.itu.int/md/dologin_md.asp?id=T13-WTSA.16-C-0012!!MSW-E" TargetMode="External"/><Relationship Id="rId32" Type="http://schemas.openxmlformats.org/officeDocument/2006/relationships/hyperlink" Target="http://www.itu.int/md/T13-WTSA.16-C-0052/en" TargetMode="External"/><Relationship Id="rId37" Type="http://schemas.openxmlformats.org/officeDocument/2006/relationships/hyperlink" Target="http://www.itu.int/md/T13-WTSA.16-C-0075/en" TargetMode="External"/><Relationship Id="rId40" Type="http://schemas.openxmlformats.org/officeDocument/2006/relationships/hyperlink" Target="http://www.itu.int/md/T13-WTSA.16-C-0117/en" TargetMode="External"/><Relationship Id="rId45" Type="http://schemas.openxmlformats.org/officeDocument/2006/relationships/hyperlink" Target="http://www.itu.int/md/T13-WTSA.16-C-0074/en" TargetMode="External"/><Relationship Id="rId53" Type="http://schemas.openxmlformats.org/officeDocument/2006/relationships/hyperlink" Target="http://www.itu.int/md/T13-WTSA.16-C-0098/en" TargetMode="External"/><Relationship Id="rId58" Type="http://schemas.openxmlformats.org/officeDocument/2006/relationships/hyperlink" Target="http://www.itu.int/md/T13-WTSA.16-C-0098/en" TargetMode="External"/><Relationship Id="rId66" Type="http://schemas.openxmlformats.org/officeDocument/2006/relationships/hyperlink" Target="http://www.itu.int/md/T13-WTSA.16-C-0112/en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meetingdoc.asp?lang=en&amp;parent=T13-WTSA.16-C-0091" TargetMode="External"/><Relationship Id="rId23" Type="http://schemas.openxmlformats.org/officeDocument/2006/relationships/hyperlink" Target="https://www.itu.int/md/dologin_md.asp?id=T13-WTSA.16-C-0010!!MSW-E" TargetMode="External"/><Relationship Id="rId28" Type="http://schemas.openxmlformats.org/officeDocument/2006/relationships/hyperlink" Target="https://www.itu.int/md/dologin_md.asp?id=T13-WTSA.16-C-0020!!MSW-E" TargetMode="External"/><Relationship Id="rId36" Type="http://schemas.openxmlformats.org/officeDocument/2006/relationships/hyperlink" Target="http://www.itu.int/md/T13-WTSA.16-C-0101/en" TargetMode="External"/><Relationship Id="rId49" Type="http://schemas.openxmlformats.org/officeDocument/2006/relationships/hyperlink" Target="http://www.itu.int/md/T13-WTSA.16-C-0117/en" TargetMode="External"/><Relationship Id="rId57" Type="http://schemas.openxmlformats.org/officeDocument/2006/relationships/hyperlink" Target="http://www.itu.int/md/T13-WTSA.16-C-0117/en" TargetMode="External"/><Relationship Id="rId61" Type="http://schemas.openxmlformats.org/officeDocument/2006/relationships/hyperlink" Target="http://www.itu.int/md/T13-WTSA.16-C-0108" TargetMode="External"/><Relationship Id="rId10" Type="http://schemas.openxmlformats.org/officeDocument/2006/relationships/hyperlink" Target="http://www.itu.int/md/meetingdoc.asp?lang=en&amp;parent=T13-WTSA.16-C-0065" TargetMode="External"/><Relationship Id="rId19" Type="http://schemas.openxmlformats.org/officeDocument/2006/relationships/hyperlink" Target="https://www.itu.int/md/dologin_md.asp?id=T13-WTSA.16-C-0002!!MSW-E" TargetMode="External"/><Relationship Id="rId31" Type="http://schemas.openxmlformats.org/officeDocument/2006/relationships/hyperlink" Target="https://www.itu.int/md/dologin_md.asp?id=T13-WTSA.16-C-0022!!MSW-E" TargetMode="External"/><Relationship Id="rId44" Type="http://schemas.openxmlformats.org/officeDocument/2006/relationships/hyperlink" Target="http://www.itu.int/md/T13-WTSA.16-C-0074/en" TargetMode="External"/><Relationship Id="rId52" Type="http://schemas.openxmlformats.org/officeDocument/2006/relationships/hyperlink" Target="http://www.itu.int/md/T13-WTSA.16-C-0117/en" TargetMode="External"/><Relationship Id="rId60" Type="http://schemas.openxmlformats.org/officeDocument/2006/relationships/hyperlink" Target="http://www.itu.int/md/T13-WTSA.16-C-0101/en" TargetMode="External"/><Relationship Id="rId65" Type="http://schemas.openxmlformats.org/officeDocument/2006/relationships/hyperlink" Target="http://www.itu.int/md/T13-WTSA.16-C-0104/en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md/meetingdoc.asp?lang=en&amp;parent=T13-WTSA.16-C-0090" TargetMode="External"/><Relationship Id="rId22" Type="http://schemas.openxmlformats.org/officeDocument/2006/relationships/hyperlink" Target="https://www.itu.int/md/dologin_md.asp?id=T13-WTSA.16-C-0008!!MSW-E" TargetMode="External"/><Relationship Id="rId27" Type="http://schemas.openxmlformats.org/officeDocument/2006/relationships/hyperlink" Target="https://www.itu.int/md/dologin_md.asp?id=T13-WTSA.16-C-0018!!MSW-E" TargetMode="External"/><Relationship Id="rId30" Type="http://schemas.openxmlformats.org/officeDocument/2006/relationships/hyperlink" Target="http://www.itu.int/md/meetingdoc.asp?lang=en&amp;parent=T13-WTSA.16-C-0088" TargetMode="External"/><Relationship Id="rId35" Type="http://schemas.openxmlformats.org/officeDocument/2006/relationships/hyperlink" Target="http://www.itu.int/md/T13-WTSA.16-C-0118/en" TargetMode="External"/><Relationship Id="rId43" Type="http://schemas.openxmlformats.org/officeDocument/2006/relationships/hyperlink" Target="http://www.itu.int/md/T13-WTSA.16-C-0101/en" TargetMode="External"/><Relationship Id="rId48" Type="http://schemas.openxmlformats.org/officeDocument/2006/relationships/hyperlink" Target="http://www.itu.int/md/T13-WTSA.16-C-0098/en" TargetMode="External"/><Relationship Id="rId56" Type="http://schemas.openxmlformats.org/officeDocument/2006/relationships/hyperlink" Target="http://www.itu.int/md/T13-WTSA.16-C-0101/en" TargetMode="External"/><Relationship Id="rId64" Type="http://schemas.openxmlformats.org/officeDocument/2006/relationships/hyperlink" Target="http://www.itu.int/md/T13-WTSA.16-C-0105/en" TargetMode="External"/><Relationship Id="rId69" Type="http://schemas.openxmlformats.org/officeDocument/2006/relationships/hyperlink" Target="http://www.itu.int/md/T13-WTSA.16-C-0111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T13-WTSA.16-C-0101/en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itu.int/md/meetingdoc.asp?lang=en&amp;parent=T13-WTSA.16-C-0073" TargetMode="External"/><Relationship Id="rId17" Type="http://schemas.openxmlformats.org/officeDocument/2006/relationships/hyperlink" Target="http://www.itu.int/md/T13-WTSA.16-161025-TD-GEN-0008/en" TargetMode="External"/><Relationship Id="rId25" Type="http://schemas.openxmlformats.org/officeDocument/2006/relationships/hyperlink" Target="https://www.itu.int/md/dologin_md.asp?id=T13-WTSA.16-C-0014!!MSW-E" TargetMode="External"/><Relationship Id="rId33" Type="http://schemas.openxmlformats.org/officeDocument/2006/relationships/hyperlink" Target="https://www.itu.int/md/dologin_md.asp?id=T13-WTSA.16-C-0043!A32!MSW-E" TargetMode="External"/><Relationship Id="rId38" Type="http://schemas.openxmlformats.org/officeDocument/2006/relationships/hyperlink" Target="http://www.itu.int/md/T13-WTSA.16-C-0075/en" TargetMode="External"/><Relationship Id="rId46" Type="http://schemas.openxmlformats.org/officeDocument/2006/relationships/hyperlink" Target="http://www.itu.int/md/T13-WTSA.16-C-0117/en" TargetMode="External"/><Relationship Id="rId59" Type="http://schemas.openxmlformats.org/officeDocument/2006/relationships/hyperlink" Target="http://www.itu.int/md/T13-WTSA.16-C-0101/en" TargetMode="External"/><Relationship Id="rId67" Type="http://schemas.openxmlformats.org/officeDocument/2006/relationships/hyperlink" Target="http://www.itu.int/md/T13-WTSA.16-C-0114/en" TargetMode="External"/><Relationship Id="rId20" Type="http://schemas.openxmlformats.org/officeDocument/2006/relationships/hyperlink" Target="https://www.itu.int/md/dologin_md.asp?id=T13-WTSA.16-C-0004!!MSW-E" TargetMode="External"/><Relationship Id="rId41" Type="http://schemas.openxmlformats.org/officeDocument/2006/relationships/hyperlink" Target="http://www.itu.int/md/T13-WTSA.16-C-0101/en" TargetMode="External"/><Relationship Id="rId54" Type="http://schemas.openxmlformats.org/officeDocument/2006/relationships/hyperlink" Target="http://www.itu.int/md/T13-WTSA.16-C-0117/en" TargetMode="External"/><Relationship Id="rId62" Type="http://schemas.openxmlformats.org/officeDocument/2006/relationships/hyperlink" Target="http://www.itu.int/md/T13-WTSA.16-C-0107/en" TargetMode="External"/><Relationship Id="rId70" Type="http://schemas.openxmlformats.org/officeDocument/2006/relationships/hyperlink" Target="http://www.itu.int/md/T13-WTSA.16-C-0113/en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3331-3D36-4102-B74E-6ADA3C56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2666</Words>
  <Characters>18516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21140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christe</cp:lastModifiedBy>
  <cp:revision>12</cp:revision>
  <cp:lastPrinted>2016-11-03T00:32:00Z</cp:lastPrinted>
  <dcterms:created xsi:type="dcterms:W3CDTF">2016-11-03T00:06:00Z</dcterms:created>
  <dcterms:modified xsi:type="dcterms:W3CDTF">2016-11-03T01:25:00Z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