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Layout w:type="fixed"/>
        <w:tblCellMar>
          <w:left w:w="0" w:type="dxa"/>
          <w:right w:w="0" w:type="dxa"/>
        </w:tblCellMar>
        <w:tblLook w:val="0000" w:firstRow="0" w:lastRow="0" w:firstColumn="0" w:lastColumn="0" w:noHBand="0" w:noVBand="0"/>
      </w:tblPr>
      <w:tblGrid>
        <w:gridCol w:w="1120"/>
        <w:gridCol w:w="298"/>
        <w:gridCol w:w="3678"/>
        <w:gridCol w:w="2842"/>
        <w:gridCol w:w="2127"/>
      </w:tblGrid>
      <w:tr w:rsidR="008E105C" w:rsidRPr="00B70109" w:rsidTr="000840EE">
        <w:trPr>
          <w:cantSplit/>
          <w:trHeight w:val="15"/>
        </w:trPr>
        <w:tc>
          <w:tcPr>
            <w:tcW w:w="1418" w:type="dxa"/>
            <w:gridSpan w:val="2"/>
            <w:vAlign w:val="center"/>
          </w:tcPr>
          <w:p w:rsidR="008E105C" w:rsidRPr="00B70109" w:rsidRDefault="008E105C" w:rsidP="000840EE">
            <w:pPr>
              <w:spacing w:before="0"/>
              <w:jc w:val="center"/>
              <w:rPr>
                <w:rFonts w:cs="Times New Roman Bold"/>
                <w:b/>
                <w:bCs/>
                <w:smallCaps/>
                <w:sz w:val="26"/>
                <w:szCs w:val="26"/>
              </w:rPr>
            </w:pPr>
            <w:r>
              <w:rPr>
                <w:noProof/>
                <w:lang w:val="en-GB" w:eastAsia="zh-CN"/>
              </w:rPr>
              <w:drawing>
                <wp:inline distT="0" distB="0" distL="0" distR="0" wp14:anchorId="2C65C51F" wp14:editId="5747FC52">
                  <wp:extent cx="903605" cy="90360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rsidR="008E105C" w:rsidRPr="00B70109" w:rsidRDefault="008E105C" w:rsidP="000840EE">
            <w:pPr>
              <w:spacing w:before="0"/>
              <w:rPr>
                <w:rFonts w:ascii="Calibri" w:hAnsi="Calibri" w:cs="Times New Roman Bold"/>
                <w:b/>
                <w:bCs/>
                <w:smallCaps/>
                <w:sz w:val="26"/>
                <w:szCs w:val="26"/>
              </w:rPr>
            </w:pPr>
            <w:r w:rsidRPr="00CE1E7D">
              <w:rPr>
                <w:rFonts w:cs="Times New Roman Bold"/>
                <w:b/>
                <w:bCs/>
                <w:smallCaps/>
                <w:sz w:val="36"/>
                <w:szCs w:val="36"/>
                <w:lang w:val="es-ES"/>
              </w:rPr>
              <w:t>Unión Internacional de Telecomunicaciones</w:t>
            </w:r>
          </w:p>
          <w:p w:rsidR="008E105C" w:rsidRPr="00B70109" w:rsidRDefault="008E105C" w:rsidP="008E105C">
            <w:pPr>
              <w:spacing w:before="0"/>
              <w:rPr>
                <w:rFonts w:ascii="Verdana" w:hAnsi="Verdana"/>
                <w:color w:val="FFFFFF"/>
                <w:sz w:val="26"/>
                <w:szCs w:val="26"/>
              </w:rPr>
            </w:pPr>
            <w:r w:rsidRPr="00CE1E7D">
              <w:rPr>
                <w:rFonts w:cs="Times New Roman Bold"/>
                <w:b/>
                <w:bCs/>
                <w:iCs/>
                <w:smallCaps/>
                <w:sz w:val="28"/>
                <w:szCs w:val="28"/>
                <w:lang w:val="es-ES"/>
              </w:rPr>
              <w:t>Oficina de Normalización de las Telecomunicaciones</w:t>
            </w:r>
          </w:p>
        </w:tc>
        <w:tc>
          <w:tcPr>
            <w:tcW w:w="2127" w:type="dxa"/>
            <w:vAlign w:val="center"/>
          </w:tcPr>
          <w:p w:rsidR="008E105C" w:rsidRPr="00B70109" w:rsidRDefault="008E105C" w:rsidP="000840EE">
            <w:pPr>
              <w:spacing w:before="0"/>
              <w:jc w:val="center"/>
              <w:rPr>
                <w:rFonts w:ascii="Verdana" w:hAnsi="Verdana"/>
                <w:color w:val="FFFFFF"/>
                <w:sz w:val="26"/>
                <w:szCs w:val="26"/>
              </w:rPr>
            </w:pPr>
          </w:p>
        </w:tc>
      </w:tr>
      <w:tr w:rsidR="008E105C" w:rsidRPr="00B70109" w:rsidTr="00D20615">
        <w:trPr>
          <w:cantSplit/>
          <w:trHeight w:val="254"/>
        </w:trPr>
        <w:tc>
          <w:tcPr>
            <w:tcW w:w="5096" w:type="dxa"/>
            <w:gridSpan w:val="3"/>
            <w:vAlign w:val="center"/>
          </w:tcPr>
          <w:p w:rsidR="008E105C" w:rsidRPr="00B70109" w:rsidRDefault="008E105C" w:rsidP="000840EE">
            <w:pPr>
              <w:pStyle w:val="Tabletext0"/>
              <w:jc w:val="right"/>
            </w:pPr>
          </w:p>
        </w:tc>
        <w:tc>
          <w:tcPr>
            <w:tcW w:w="4969" w:type="dxa"/>
            <w:gridSpan w:val="2"/>
            <w:vAlign w:val="center"/>
          </w:tcPr>
          <w:p w:rsidR="008E105C" w:rsidRPr="00B70109" w:rsidRDefault="008E105C" w:rsidP="008E105C">
            <w:pPr>
              <w:pStyle w:val="Tabletext0"/>
              <w:spacing w:before="240" w:after="120"/>
            </w:pPr>
            <w:r w:rsidRPr="00B70109">
              <w:t>G</w:t>
            </w:r>
            <w:r>
              <w:t>inebra</w:t>
            </w:r>
            <w:r w:rsidRPr="00B70109">
              <w:t>,</w:t>
            </w:r>
            <w:r>
              <w:t xml:space="preserve"> 18 de febrero de 2019</w:t>
            </w:r>
          </w:p>
        </w:tc>
      </w:tr>
      <w:tr w:rsidR="008E105C" w:rsidRPr="00A73C2A" w:rsidTr="008038E0">
        <w:trPr>
          <w:cantSplit/>
          <w:trHeight w:val="746"/>
        </w:trPr>
        <w:tc>
          <w:tcPr>
            <w:tcW w:w="1120" w:type="dxa"/>
          </w:tcPr>
          <w:p w:rsidR="008E105C" w:rsidRPr="00B70109" w:rsidRDefault="008E105C" w:rsidP="000840EE">
            <w:pPr>
              <w:pStyle w:val="Tabletext0"/>
              <w:rPr>
                <w:rFonts w:ascii="Futura Lt BT" w:hAnsi="Futura Lt BT"/>
              </w:rPr>
            </w:pPr>
            <w:bookmarkStart w:id="0" w:name="Adress_E" w:colFirst="2" w:colLast="2"/>
            <w:r w:rsidRPr="00B70109">
              <w:t>Ref</w:t>
            </w:r>
            <w:r w:rsidR="002A5B15">
              <w:t>.</w:t>
            </w:r>
            <w:r w:rsidRPr="00B70109">
              <w:t>:</w:t>
            </w:r>
          </w:p>
        </w:tc>
        <w:tc>
          <w:tcPr>
            <w:tcW w:w="3976" w:type="dxa"/>
            <w:gridSpan w:val="2"/>
          </w:tcPr>
          <w:p w:rsidR="008E105C" w:rsidRPr="00B70109" w:rsidRDefault="008E105C" w:rsidP="000840EE">
            <w:pPr>
              <w:pStyle w:val="Tabletext0"/>
              <w:rPr>
                <w:b/>
              </w:rPr>
            </w:pPr>
            <w:r w:rsidRPr="00CE1E7D">
              <w:rPr>
                <w:b/>
                <w:lang w:val="es-ES"/>
              </w:rPr>
              <w:t>Carta Colectiva TSB 2/SG2RG-AMR</w:t>
            </w:r>
          </w:p>
          <w:p w:rsidR="008E105C" w:rsidRPr="00B70109" w:rsidRDefault="008E105C" w:rsidP="000840EE">
            <w:pPr>
              <w:pStyle w:val="Tabletext0"/>
            </w:pPr>
            <w:r w:rsidRPr="00B70109">
              <w:t>SG</w:t>
            </w:r>
            <w:r>
              <w:t>2</w:t>
            </w:r>
            <w:r w:rsidRPr="00B70109">
              <w:t>/</w:t>
            </w:r>
            <w:r>
              <w:t>ZHJ</w:t>
            </w:r>
          </w:p>
        </w:tc>
        <w:tc>
          <w:tcPr>
            <w:tcW w:w="4969" w:type="dxa"/>
            <w:gridSpan w:val="2"/>
            <w:vMerge w:val="restart"/>
          </w:tcPr>
          <w:p w:rsidR="008E105C" w:rsidRPr="00A73C2A" w:rsidRDefault="003D1FEB" w:rsidP="000840EE">
            <w:pPr>
              <w:pStyle w:val="Tabletext0"/>
              <w:ind w:left="283" w:hanging="283"/>
            </w:pPr>
            <w:r>
              <w:t>–</w:t>
            </w:r>
            <w:r w:rsidR="008E105C" w:rsidRPr="00A73C2A">
              <w:tab/>
            </w:r>
            <w:r w:rsidR="00A73C2A" w:rsidRPr="00CE1E7D">
              <w:rPr>
                <w:lang w:val="es-ES"/>
              </w:rPr>
              <w:t>A los Miembros del Grupo Regional de la Comisión de Estudio 2 para las Américas (GRCE2-AMR);</w:t>
            </w:r>
          </w:p>
          <w:p w:rsidR="008E105C" w:rsidRPr="00A73C2A" w:rsidRDefault="003D1FEB" w:rsidP="00D20615">
            <w:pPr>
              <w:pStyle w:val="Tabletext0"/>
              <w:ind w:left="283" w:hanging="283"/>
            </w:pPr>
            <w:r>
              <w:t>–</w:t>
            </w:r>
            <w:r w:rsidR="008E105C" w:rsidRPr="00A73C2A">
              <w:tab/>
            </w:r>
            <w:r w:rsidR="00A73C2A" w:rsidRPr="00CE1E7D">
              <w:rPr>
                <w:lang w:val="es-ES"/>
              </w:rPr>
              <w:t>A los Asociados que participan en los trabajos de</w:t>
            </w:r>
            <w:r w:rsidR="00D20615">
              <w:rPr>
                <w:lang w:val="es-ES"/>
              </w:rPr>
              <w:br/>
            </w:r>
            <w:r w:rsidR="00A73C2A" w:rsidRPr="00CE1E7D">
              <w:rPr>
                <w:lang w:val="es-ES"/>
              </w:rPr>
              <w:t>la Comisión de Estudio 2;</w:t>
            </w:r>
          </w:p>
          <w:p w:rsidR="008E105C" w:rsidRPr="00A73C2A" w:rsidRDefault="003D1FEB" w:rsidP="000840EE">
            <w:pPr>
              <w:pStyle w:val="Tabletext0"/>
              <w:ind w:left="283" w:hanging="283"/>
            </w:pPr>
            <w:r>
              <w:t>–</w:t>
            </w:r>
            <w:r w:rsidR="008E105C" w:rsidRPr="00A73C2A">
              <w:tab/>
            </w:r>
            <w:r w:rsidR="00A73C2A" w:rsidRPr="00CE1E7D">
              <w:rPr>
                <w:lang w:val="es-ES"/>
              </w:rPr>
              <w:t>A las Instituciones Académicas de la UIT;</w:t>
            </w:r>
          </w:p>
          <w:p w:rsidR="008E105C" w:rsidRPr="00A73C2A" w:rsidRDefault="003D1FEB" w:rsidP="000840EE">
            <w:pPr>
              <w:pStyle w:val="Tabletext0"/>
              <w:ind w:left="283" w:hanging="283"/>
            </w:pPr>
            <w:r>
              <w:t>–</w:t>
            </w:r>
            <w:r w:rsidR="008E105C" w:rsidRPr="00A73C2A">
              <w:tab/>
            </w:r>
            <w:r w:rsidR="00A73C2A" w:rsidRPr="00CE1E7D">
              <w:rPr>
                <w:lang w:val="es-ES"/>
              </w:rPr>
              <w:t>A la Oficina Regional de la UIT, Brasilia (Brasil)</w:t>
            </w:r>
          </w:p>
        </w:tc>
      </w:tr>
      <w:bookmarkEnd w:id="0"/>
      <w:tr w:rsidR="008E105C" w:rsidRPr="00B70109" w:rsidTr="008038E0">
        <w:trPr>
          <w:cantSplit/>
          <w:trHeight w:val="221"/>
        </w:trPr>
        <w:tc>
          <w:tcPr>
            <w:tcW w:w="1120" w:type="dxa"/>
          </w:tcPr>
          <w:p w:rsidR="008E105C" w:rsidRPr="00B70109" w:rsidRDefault="008E105C" w:rsidP="000840EE">
            <w:pPr>
              <w:pStyle w:val="Tabletext0"/>
            </w:pPr>
            <w:r w:rsidRPr="00B70109">
              <w:t>Tel</w:t>
            </w:r>
            <w:r w:rsidR="002A5B15">
              <w:t>.</w:t>
            </w:r>
            <w:r w:rsidRPr="00B70109">
              <w:t>:</w:t>
            </w:r>
          </w:p>
        </w:tc>
        <w:tc>
          <w:tcPr>
            <w:tcW w:w="3976" w:type="dxa"/>
            <w:gridSpan w:val="2"/>
          </w:tcPr>
          <w:p w:rsidR="008E105C" w:rsidRPr="00B70109" w:rsidRDefault="008E105C" w:rsidP="000840EE">
            <w:pPr>
              <w:pStyle w:val="Tabletext0"/>
              <w:rPr>
                <w:b/>
              </w:rPr>
            </w:pPr>
            <w:r w:rsidRPr="00B70109">
              <w:t xml:space="preserve">+41 22 730 </w:t>
            </w:r>
            <w:r w:rsidRPr="00B54FC3">
              <w:t>5855</w:t>
            </w:r>
          </w:p>
        </w:tc>
        <w:tc>
          <w:tcPr>
            <w:tcW w:w="4969" w:type="dxa"/>
            <w:gridSpan w:val="2"/>
            <w:vMerge/>
          </w:tcPr>
          <w:p w:rsidR="008E105C" w:rsidRPr="00B70109" w:rsidRDefault="008E105C" w:rsidP="000840EE">
            <w:pPr>
              <w:pStyle w:val="Tabletext0"/>
              <w:ind w:left="283" w:hanging="283"/>
            </w:pPr>
          </w:p>
        </w:tc>
      </w:tr>
      <w:tr w:rsidR="008E105C" w:rsidRPr="00B70109" w:rsidTr="008038E0">
        <w:trPr>
          <w:cantSplit/>
          <w:trHeight w:val="282"/>
        </w:trPr>
        <w:tc>
          <w:tcPr>
            <w:tcW w:w="1120" w:type="dxa"/>
          </w:tcPr>
          <w:p w:rsidR="008E105C" w:rsidRPr="00B70109" w:rsidRDefault="008E105C" w:rsidP="000840EE">
            <w:pPr>
              <w:pStyle w:val="Tabletext0"/>
            </w:pPr>
            <w:r w:rsidRPr="00B70109">
              <w:t>Fax:</w:t>
            </w:r>
          </w:p>
        </w:tc>
        <w:tc>
          <w:tcPr>
            <w:tcW w:w="3976" w:type="dxa"/>
            <w:gridSpan w:val="2"/>
          </w:tcPr>
          <w:p w:rsidR="008E105C" w:rsidRPr="00B70109" w:rsidRDefault="008E105C" w:rsidP="000840EE">
            <w:pPr>
              <w:pStyle w:val="Tabletext0"/>
              <w:rPr>
                <w:b/>
              </w:rPr>
            </w:pPr>
            <w:r w:rsidRPr="00B70109">
              <w:t>+41 22 730 5853</w:t>
            </w:r>
          </w:p>
        </w:tc>
        <w:tc>
          <w:tcPr>
            <w:tcW w:w="4969" w:type="dxa"/>
            <w:gridSpan w:val="2"/>
            <w:vMerge/>
          </w:tcPr>
          <w:p w:rsidR="008E105C" w:rsidRPr="00B70109" w:rsidRDefault="008E105C" w:rsidP="000840EE">
            <w:pPr>
              <w:pStyle w:val="Tabletext0"/>
              <w:ind w:left="283" w:hanging="283"/>
            </w:pPr>
          </w:p>
        </w:tc>
      </w:tr>
      <w:tr w:rsidR="008E105C" w:rsidRPr="00B70109" w:rsidTr="008038E0">
        <w:trPr>
          <w:cantSplit/>
          <w:trHeight w:val="376"/>
        </w:trPr>
        <w:tc>
          <w:tcPr>
            <w:tcW w:w="1120" w:type="dxa"/>
          </w:tcPr>
          <w:p w:rsidR="008E105C" w:rsidRPr="00B70109" w:rsidRDefault="002A5B15" w:rsidP="000840EE">
            <w:pPr>
              <w:pStyle w:val="Tabletext0"/>
            </w:pPr>
            <w:r w:rsidRPr="00CE1E7D">
              <w:rPr>
                <w:szCs w:val="24"/>
                <w:lang w:val="es-ES"/>
              </w:rPr>
              <w:t>Correo-e</w:t>
            </w:r>
            <w:r w:rsidR="008E105C" w:rsidRPr="00B70109">
              <w:t>:</w:t>
            </w:r>
          </w:p>
        </w:tc>
        <w:tc>
          <w:tcPr>
            <w:tcW w:w="3976" w:type="dxa"/>
            <w:gridSpan w:val="2"/>
          </w:tcPr>
          <w:p w:rsidR="008E105C" w:rsidRPr="00B70109" w:rsidRDefault="00E33B88" w:rsidP="000840EE">
            <w:pPr>
              <w:pStyle w:val="Tabletext0"/>
            </w:pPr>
            <w:hyperlink r:id="rId9" w:history="1">
              <w:r w:rsidR="008E105C" w:rsidRPr="00CE1E7D">
                <w:rPr>
                  <w:rStyle w:val="Hyperlink"/>
                  <w:lang w:val="es-ES"/>
                </w:rPr>
                <w:t>tsbg2@itu.int</w:t>
              </w:r>
            </w:hyperlink>
          </w:p>
        </w:tc>
        <w:tc>
          <w:tcPr>
            <w:tcW w:w="4969" w:type="dxa"/>
            <w:gridSpan w:val="2"/>
            <w:vMerge/>
          </w:tcPr>
          <w:p w:rsidR="008E105C" w:rsidRPr="00B70109" w:rsidRDefault="008E105C" w:rsidP="000840EE">
            <w:pPr>
              <w:pStyle w:val="Tabletext0"/>
              <w:ind w:left="283" w:hanging="283"/>
            </w:pPr>
          </w:p>
        </w:tc>
      </w:tr>
      <w:tr w:rsidR="008E105C" w:rsidRPr="00B70109" w:rsidTr="008038E0">
        <w:trPr>
          <w:cantSplit/>
          <w:trHeight w:val="80"/>
        </w:trPr>
        <w:tc>
          <w:tcPr>
            <w:tcW w:w="1120" w:type="dxa"/>
          </w:tcPr>
          <w:p w:rsidR="008E105C" w:rsidRPr="00B70109" w:rsidRDefault="008E105C" w:rsidP="000840EE">
            <w:pPr>
              <w:pStyle w:val="Tabletext0"/>
            </w:pPr>
            <w:r w:rsidRPr="00B70109">
              <w:t>Web:</w:t>
            </w:r>
          </w:p>
        </w:tc>
        <w:tc>
          <w:tcPr>
            <w:tcW w:w="3976" w:type="dxa"/>
            <w:gridSpan w:val="2"/>
          </w:tcPr>
          <w:p w:rsidR="008E105C" w:rsidRPr="00B70109" w:rsidRDefault="00E33B88" w:rsidP="000840EE">
            <w:pPr>
              <w:pStyle w:val="Tabletext0"/>
            </w:pPr>
            <w:hyperlink r:id="rId10" w:history="1">
              <w:r w:rsidR="008E105C" w:rsidRPr="00AE0C0B">
                <w:rPr>
                  <w:rStyle w:val="Hyperlink"/>
                  <w:lang w:val="es-ES"/>
                </w:rPr>
                <w:t>www.itu.int/en/ITU-T/studygroups/</w:t>
              </w:r>
              <w:r w:rsidR="008E105C" w:rsidRPr="00AE0C0B">
                <w:rPr>
                  <w:rStyle w:val="Hyperlink"/>
                  <w:lang w:val="es-ES"/>
                </w:rPr>
                <w:br/>
                <w:t>2017-2020/02/sg2rgamr</w:t>
              </w:r>
            </w:hyperlink>
          </w:p>
        </w:tc>
        <w:tc>
          <w:tcPr>
            <w:tcW w:w="4969" w:type="dxa"/>
            <w:gridSpan w:val="2"/>
            <w:vMerge/>
          </w:tcPr>
          <w:p w:rsidR="008E105C" w:rsidRPr="00B70109" w:rsidRDefault="008E105C" w:rsidP="000840EE">
            <w:pPr>
              <w:pStyle w:val="Tabletext0"/>
            </w:pPr>
          </w:p>
        </w:tc>
      </w:tr>
      <w:tr w:rsidR="008E105C" w:rsidRPr="008E105C" w:rsidTr="008038E0">
        <w:trPr>
          <w:cantSplit/>
          <w:trHeight w:val="77"/>
        </w:trPr>
        <w:tc>
          <w:tcPr>
            <w:tcW w:w="1120" w:type="dxa"/>
          </w:tcPr>
          <w:p w:rsidR="008E105C" w:rsidRPr="002E078D" w:rsidRDefault="002A5B15" w:rsidP="000840EE">
            <w:pPr>
              <w:pStyle w:val="Tabletext0"/>
            </w:pPr>
            <w:r>
              <w:t>Asunto</w:t>
            </w:r>
            <w:r w:rsidR="008E105C" w:rsidRPr="002E078D">
              <w:t>:</w:t>
            </w:r>
          </w:p>
        </w:tc>
        <w:tc>
          <w:tcPr>
            <w:tcW w:w="8945" w:type="dxa"/>
            <w:gridSpan w:val="4"/>
          </w:tcPr>
          <w:p w:rsidR="008E105C" w:rsidRPr="008E105C" w:rsidRDefault="008E105C" w:rsidP="00D20615">
            <w:pPr>
              <w:pStyle w:val="Tabletext0"/>
            </w:pPr>
            <w:r w:rsidRPr="00CE1E7D">
              <w:rPr>
                <w:b/>
                <w:bCs/>
                <w:lang w:val="es-ES"/>
              </w:rPr>
              <w:t>Reunión del Grupo Regional de la Comisión de Estudio 2 para las Américas (GRCE2-AMR)</w:t>
            </w:r>
            <w:r w:rsidR="00D20615">
              <w:rPr>
                <w:b/>
                <w:bCs/>
                <w:lang w:val="es-ES"/>
              </w:rPr>
              <w:br/>
            </w:r>
            <w:r w:rsidRPr="00CE1E7D">
              <w:rPr>
                <w:b/>
                <w:bCs/>
                <w:lang w:val="es-ES"/>
              </w:rPr>
              <w:t>y Talleres Regionale</w:t>
            </w:r>
            <w:r w:rsidR="00A51A15">
              <w:rPr>
                <w:b/>
                <w:bCs/>
                <w:lang w:val="es-ES"/>
              </w:rPr>
              <w:t>s sobre los INR y BSG, Managua, Nicaragua</w:t>
            </w:r>
            <w:r w:rsidRPr="00CE1E7D">
              <w:rPr>
                <w:b/>
                <w:bCs/>
                <w:lang w:val="es-ES"/>
              </w:rPr>
              <w:t>, 25-29 de marzo de 2019</w:t>
            </w:r>
          </w:p>
        </w:tc>
      </w:tr>
    </w:tbl>
    <w:p w:rsidR="00C34772" w:rsidRPr="00CE1E7D" w:rsidRDefault="003F6326" w:rsidP="0028393B">
      <w:pPr>
        <w:pStyle w:val="Normalaftertitle0"/>
        <w:rPr>
          <w:lang w:val="es-ES"/>
        </w:rPr>
      </w:pPr>
      <w:r w:rsidRPr="00CE1E7D">
        <w:rPr>
          <w:lang w:val="es-ES"/>
        </w:rPr>
        <w:t>Muy Señora mía</w:t>
      </w:r>
      <w:r w:rsidR="0094637C" w:rsidRPr="00CE1E7D">
        <w:rPr>
          <w:lang w:val="es-ES"/>
        </w:rPr>
        <w:t>/</w:t>
      </w:r>
      <w:r w:rsidR="00B80E33" w:rsidRPr="00CE1E7D">
        <w:rPr>
          <w:lang w:val="es-ES"/>
        </w:rPr>
        <w:t>Muy Señor mío</w:t>
      </w:r>
      <w:r w:rsidR="0028393B">
        <w:rPr>
          <w:lang w:val="es-ES"/>
        </w:rPr>
        <w:t>,</w:t>
      </w:r>
    </w:p>
    <w:p w:rsidR="00AB3257" w:rsidRPr="00CE1E7D" w:rsidRDefault="00AB3257" w:rsidP="005C6C9A">
      <w:pPr>
        <w:rPr>
          <w:lang w:val="es-ES"/>
        </w:rPr>
      </w:pPr>
      <w:r w:rsidRPr="00CE1E7D">
        <w:rPr>
          <w:lang w:val="es-ES"/>
        </w:rPr>
        <w:t xml:space="preserve">Nos complace informarle que, por amable invitación del </w:t>
      </w:r>
      <w:r w:rsidR="00EB6A53">
        <w:rPr>
          <w:lang w:val="es-ES"/>
        </w:rPr>
        <w:t>"</w:t>
      </w:r>
      <w:r w:rsidRPr="00CE1E7D">
        <w:rPr>
          <w:lang w:val="es-ES"/>
        </w:rPr>
        <w:t>Instituto Nicaragüense de Telecomunicaciones y Correos (TELCOR)</w:t>
      </w:r>
      <w:r w:rsidR="00500577">
        <w:rPr>
          <w:lang w:val="es-ES"/>
        </w:rPr>
        <w:t>"</w:t>
      </w:r>
      <w:r w:rsidRPr="00CE1E7D">
        <w:rPr>
          <w:lang w:val="es-ES"/>
        </w:rPr>
        <w:t>, y en colaboración con la Oficina Regional de la UIT para las Américas, el Grupo Regional de la Comisión de Estudio 2 para las Américas (GRCE2</w:t>
      </w:r>
      <w:r w:rsidR="005C6C9A">
        <w:rPr>
          <w:lang w:val="es-ES"/>
        </w:rPr>
        <w:noBreakHyphen/>
      </w:r>
      <w:r w:rsidRPr="00CE1E7D">
        <w:rPr>
          <w:lang w:val="es-ES"/>
        </w:rPr>
        <w:t>AMR) celebrará</w:t>
      </w:r>
      <w:r w:rsidR="00A51A15">
        <w:rPr>
          <w:lang w:val="es-ES"/>
        </w:rPr>
        <w:t xml:space="preserve"> su próxima reunión en Managua, Nicaragua,</w:t>
      </w:r>
      <w:r w:rsidRPr="00CE1E7D">
        <w:rPr>
          <w:lang w:val="es-ES"/>
        </w:rPr>
        <w:t xml:space="preserve"> los días 28 y 29 de marzo de 2019, en paralelo con la reunión del Grupo Regional de la Comisión de Estudio 3 para América Latina y el Caribe (GRCE3-LAC).</w:t>
      </w:r>
    </w:p>
    <w:p w:rsidR="00AB3257" w:rsidRPr="00CE1E7D" w:rsidRDefault="0094637C" w:rsidP="00603798">
      <w:pPr>
        <w:rPr>
          <w:lang w:val="es-ES"/>
        </w:rPr>
      </w:pPr>
      <w:r w:rsidRPr="00CE1E7D">
        <w:rPr>
          <w:lang w:val="es-ES"/>
        </w:rPr>
        <w:t xml:space="preserve">La </w:t>
      </w:r>
      <w:r w:rsidR="00AB3257" w:rsidRPr="00CE1E7D">
        <w:rPr>
          <w:lang w:val="es-ES"/>
        </w:rPr>
        <w:t xml:space="preserve">reunión </w:t>
      </w:r>
      <w:r w:rsidR="00603798" w:rsidRPr="00CE1E7D">
        <w:rPr>
          <w:lang w:val="es-ES"/>
        </w:rPr>
        <w:t>del</w:t>
      </w:r>
      <w:r w:rsidR="00AB3257" w:rsidRPr="00CE1E7D">
        <w:rPr>
          <w:lang w:val="es-ES"/>
        </w:rPr>
        <w:t xml:space="preserve"> </w:t>
      </w:r>
      <w:r w:rsidR="00603798" w:rsidRPr="00CE1E7D">
        <w:rPr>
          <w:lang w:val="es-ES"/>
        </w:rPr>
        <w:t>GR</w:t>
      </w:r>
      <w:r w:rsidR="00AB3257" w:rsidRPr="00CE1E7D">
        <w:rPr>
          <w:lang w:val="es-ES"/>
        </w:rPr>
        <w:t>CE2-AMR irá precedido de un Taller interactivo BSG sobre efectividad en el ámbito de la normalización de un día de duració</w:t>
      </w:r>
      <w:r w:rsidR="00500577">
        <w:rPr>
          <w:lang w:val="es-ES"/>
        </w:rPr>
        <w:t xml:space="preserve">n el 27 de marzo de 2019, y un </w:t>
      </w:r>
      <w:r w:rsidR="006E31C9" w:rsidRPr="00CE1E7D">
        <w:rPr>
          <w:lang w:val="es-ES"/>
        </w:rPr>
        <w:t>Taller sobre los recursos de numeración internacional (INR) de la UIT para las Américas</w:t>
      </w:r>
      <w:r w:rsidR="00EB6A53">
        <w:rPr>
          <w:lang w:val="es-ES"/>
        </w:rPr>
        <w:t xml:space="preserve"> de dos días de duración:</w:t>
      </w:r>
    </w:p>
    <w:p w:rsidR="00603798" w:rsidRPr="00603798" w:rsidRDefault="008B2B5A" w:rsidP="008B2B5A">
      <w:pPr>
        <w:pStyle w:val="enumlev1"/>
        <w:rPr>
          <w:lang w:val="es-ES"/>
        </w:rPr>
      </w:pPr>
      <w:r w:rsidRPr="008B2B5A">
        <w:rPr>
          <w:lang w:val="es-ES"/>
        </w:rPr>
        <w:t>–</w:t>
      </w:r>
      <w:r>
        <w:rPr>
          <w:lang w:val="es-ES"/>
        </w:rPr>
        <w:tab/>
      </w:r>
      <w:r w:rsidR="00603798" w:rsidRPr="00603798">
        <w:rPr>
          <w:lang w:val="es-ES"/>
        </w:rPr>
        <w:t>25-26 de marzo: Taller sobre los recursos de numeración internacional (INR) de la UIT para la Región de las Américas</w:t>
      </w:r>
      <w:r w:rsidR="00883DA4">
        <w:rPr>
          <w:lang w:val="es-ES"/>
        </w:rPr>
        <w:t>;</w:t>
      </w:r>
    </w:p>
    <w:p w:rsidR="00603798" w:rsidRPr="00603798" w:rsidRDefault="008B2B5A" w:rsidP="008B2B5A">
      <w:pPr>
        <w:pStyle w:val="enumlev1"/>
        <w:rPr>
          <w:lang w:val="es-ES"/>
        </w:rPr>
      </w:pPr>
      <w:r w:rsidRPr="008B2B5A">
        <w:rPr>
          <w:lang w:val="es-ES"/>
        </w:rPr>
        <w:t>–</w:t>
      </w:r>
      <w:r>
        <w:rPr>
          <w:lang w:val="es-ES"/>
        </w:rPr>
        <w:tab/>
      </w:r>
      <w:r w:rsidR="00603798" w:rsidRPr="00603798">
        <w:rPr>
          <w:lang w:val="es-ES"/>
        </w:rPr>
        <w:t>27 de marzo: Taller interactivo BSG de la UIT sobre efectividad en el ámbito de la normalización</w:t>
      </w:r>
      <w:r w:rsidR="00883DA4">
        <w:rPr>
          <w:lang w:val="es-ES"/>
        </w:rPr>
        <w:t>;</w:t>
      </w:r>
    </w:p>
    <w:p w:rsidR="00603798" w:rsidRPr="008B2B5A" w:rsidRDefault="008B2B5A" w:rsidP="00B36E40">
      <w:pPr>
        <w:pStyle w:val="enumlev1"/>
        <w:rPr>
          <w:b/>
          <w:bCs/>
          <w:lang w:val="es-ES"/>
        </w:rPr>
      </w:pPr>
      <w:r w:rsidRPr="008B2B5A">
        <w:rPr>
          <w:b/>
          <w:bCs/>
          <w:lang w:val="es-ES"/>
        </w:rPr>
        <w:t>–</w:t>
      </w:r>
      <w:r>
        <w:rPr>
          <w:b/>
          <w:bCs/>
          <w:lang w:val="es-ES"/>
        </w:rPr>
        <w:tab/>
      </w:r>
      <w:r w:rsidR="00603798" w:rsidRPr="008B2B5A">
        <w:rPr>
          <w:b/>
          <w:bCs/>
          <w:lang w:val="es-ES"/>
        </w:rPr>
        <w:t>28-29 de marzo: reunión del Grupo Regional de la Comisión de Estudio 2 del UIT</w:t>
      </w:r>
      <w:r w:rsidR="00B36E40">
        <w:rPr>
          <w:b/>
          <w:bCs/>
          <w:lang w:val="es-ES"/>
        </w:rPr>
        <w:noBreakHyphen/>
      </w:r>
      <w:r w:rsidR="00603798" w:rsidRPr="008B2B5A">
        <w:rPr>
          <w:b/>
          <w:bCs/>
          <w:lang w:val="es-ES"/>
        </w:rPr>
        <w:t>T para las Américas (GRCE2-AMR)</w:t>
      </w:r>
      <w:r w:rsidR="00883DA4">
        <w:rPr>
          <w:b/>
          <w:bCs/>
          <w:lang w:val="es-ES"/>
        </w:rPr>
        <w:t>;</w:t>
      </w:r>
    </w:p>
    <w:p w:rsidR="00603798" w:rsidRPr="00603798" w:rsidRDefault="008B2B5A" w:rsidP="00B36E40">
      <w:pPr>
        <w:pStyle w:val="enumlev1"/>
        <w:rPr>
          <w:lang w:val="es-ES"/>
        </w:rPr>
      </w:pPr>
      <w:r w:rsidRPr="008B2B5A">
        <w:rPr>
          <w:lang w:val="es-ES"/>
        </w:rPr>
        <w:t>–</w:t>
      </w:r>
      <w:r>
        <w:rPr>
          <w:lang w:val="es-ES"/>
        </w:rPr>
        <w:tab/>
      </w:r>
      <w:r w:rsidR="00603798" w:rsidRPr="00603798">
        <w:rPr>
          <w:lang w:val="es-ES"/>
        </w:rPr>
        <w:t>28-29 de marzo: reunión del Grupo Regional de la Comisión de Estudio 3 del UIT</w:t>
      </w:r>
      <w:r w:rsidR="00B36E40">
        <w:rPr>
          <w:lang w:val="es-ES"/>
        </w:rPr>
        <w:noBreakHyphen/>
      </w:r>
      <w:r w:rsidR="00603798" w:rsidRPr="00603798">
        <w:rPr>
          <w:lang w:val="es-ES"/>
        </w:rPr>
        <w:t xml:space="preserve">T para América </w:t>
      </w:r>
      <w:r w:rsidR="00500577">
        <w:rPr>
          <w:lang w:val="es-ES"/>
        </w:rPr>
        <w:t>Latina y el Caribe (GRCE3-LAC)</w:t>
      </w:r>
      <w:r w:rsidR="00883DA4">
        <w:rPr>
          <w:lang w:val="es-ES"/>
        </w:rPr>
        <w:t>.</w:t>
      </w:r>
    </w:p>
    <w:p w:rsidR="007423CB" w:rsidRPr="00CE1E7D" w:rsidRDefault="00603798" w:rsidP="00500577">
      <w:pPr>
        <w:rPr>
          <w:lang w:val="es-ES"/>
        </w:rPr>
      </w:pPr>
      <w:r w:rsidRPr="00CE1E7D">
        <w:rPr>
          <w:lang w:val="es-ES"/>
        </w:rPr>
        <w:t>La participación en los talleres es gratuita, y está abierta a todos los participantes que tengan interés en las cuestiones ligadas a los números telefónicos (recurso E.164), la identidad internacional del abonado móvil (IMSI) (recurso E.212) y</w:t>
      </w:r>
      <w:r w:rsidR="006E31C9" w:rsidRPr="00CE1E7D">
        <w:rPr>
          <w:lang w:val="es-ES"/>
        </w:rPr>
        <w:t xml:space="preserve"> </w:t>
      </w:r>
      <w:r w:rsidRPr="00CE1E7D">
        <w:rPr>
          <w:lang w:val="es-ES"/>
        </w:rPr>
        <w:t>el Identificador</w:t>
      </w:r>
      <w:r w:rsidR="00500577">
        <w:rPr>
          <w:lang w:val="es-ES"/>
        </w:rPr>
        <w:t xml:space="preserve"> de expedidor (recurso E.118). </w:t>
      </w:r>
      <w:r w:rsidR="007423CB" w:rsidRPr="00CE1E7D">
        <w:rPr>
          <w:lang w:val="es-ES"/>
        </w:rPr>
        <w:t>El Taller consistirá en una combinación de presentaciones y sesiones interactivas. El Taller comenzará a las 09.30 horas del lunes 25 de marzo de 2019.</w:t>
      </w:r>
    </w:p>
    <w:p w:rsidR="007423CB" w:rsidRPr="00CE1E7D" w:rsidRDefault="007423CB" w:rsidP="00B70E22">
      <w:pPr>
        <w:rPr>
          <w:lang w:val="es-ES"/>
        </w:rPr>
      </w:pPr>
      <w:r w:rsidRPr="00CE1E7D">
        <w:rPr>
          <w:lang w:val="es-ES"/>
        </w:rPr>
        <w:t>La reunión del GRCE2-AMR comenzará a las 09.30 horas del jueves 28 de marzo de 2019. La participación en la reunión del GRCE2-AMR se rige por lo dispuesto en la Resolución</w:t>
      </w:r>
      <w:r w:rsidR="00B70E22">
        <w:rPr>
          <w:lang w:val="es-ES"/>
        </w:rPr>
        <w:t> </w:t>
      </w:r>
      <w:r w:rsidRPr="00CE1E7D">
        <w:rPr>
          <w:lang w:val="es-ES"/>
        </w:rPr>
        <w:t>1 (Rev.</w:t>
      </w:r>
      <w:r w:rsidR="00B70E22">
        <w:rPr>
          <w:lang w:val="es-ES"/>
        </w:rPr>
        <w:t> </w:t>
      </w:r>
      <w:r w:rsidRPr="00CE1E7D">
        <w:rPr>
          <w:lang w:val="es-ES"/>
        </w:rPr>
        <w:t xml:space="preserve">Hammamet, 2016) de la AMNT, y por tanto está reservada a delegados y representantes de los Estados Miembros, Miembros de Sector y Asociados de la Comisión de Estudio en cuestión de </w:t>
      </w:r>
      <w:r w:rsidRPr="00CE1E7D">
        <w:rPr>
          <w:lang w:val="es-ES"/>
        </w:rPr>
        <w:lastRenderedPageBreak/>
        <w:t>la Región. Sírvase tomar nota de que la continuidad en la representación resulta conveniente para los trabajos del Grupo.</w:t>
      </w:r>
    </w:p>
    <w:p w:rsidR="007423CB" w:rsidRPr="00CE1E7D" w:rsidRDefault="007423CB" w:rsidP="00B70E22">
      <w:pPr>
        <w:rPr>
          <w:lang w:val="es-ES"/>
        </w:rPr>
      </w:pPr>
      <w:r w:rsidRPr="00CE1E7D">
        <w:rPr>
          <w:lang w:val="es-ES"/>
        </w:rPr>
        <w:t>La inscripción de los participantes comenzará en el lugar de celebración el 28 de marzo a las</w:t>
      </w:r>
      <w:r w:rsidR="00B70E22">
        <w:rPr>
          <w:lang w:val="es-ES"/>
        </w:rPr>
        <w:t> </w:t>
      </w:r>
      <w:r w:rsidRPr="00CE1E7D">
        <w:rPr>
          <w:lang w:val="es-ES"/>
        </w:rPr>
        <w:t>08.30</w:t>
      </w:r>
      <w:r w:rsidR="00B70E22">
        <w:rPr>
          <w:lang w:val="es-ES"/>
        </w:rPr>
        <w:t> </w:t>
      </w:r>
      <w:r w:rsidRPr="00CE1E7D">
        <w:rPr>
          <w:lang w:val="es-ES"/>
        </w:rPr>
        <w:t xml:space="preserve">horas. Podrá encontrarse información detallada sobre las salas de reunión en las pantallas situadas en las entradas del recinto. En el </w:t>
      </w:r>
      <w:r w:rsidRPr="00CE1E7D">
        <w:rPr>
          <w:b/>
          <w:bCs/>
          <w:lang w:val="es-ES"/>
        </w:rPr>
        <w:t>Anexo A</w:t>
      </w:r>
      <w:r w:rsidRPr="00CE1E7D">
        <w:rPr>
          <w:lang w:val="es-ES"/>
        </w:rPr>
        <w:t xml:space="preserve"> se facilita más información sobre la reunión.</w:t>
      </w:r>
    </w:p>
    <w:p w:rsidR="007423CB" w:rsidRPr="00CE1E7D" w:rsidRDefault="007423CB" w:rsidP="00356F20">
      <w:pPr>
        <w:rPr>
          <w:lang w:val="es-ES"/>
        </w:rPr>
      </w:pPr>
      <w:r w:rsidRPr="00CE1E7D">
        <w:rPr>
          <w:lang w:val="es-ES"/>
        </w:rPr>
        <w:t xml:space="preserve">La información práctica relativa al lugar de celebración se publicará en la </w:t>
      </w:r>
      <w:hyperlink r:id="rId11" w:history="1">
        <w:r w:rsidRPr="00CE1E7D">
          <w:rPr>
            <w:rStyle w:val="Hyperlink"/>
            <w:lang w:val="es-ES"/>
          </w:rPr>
          <w:t>página web del GRCE2</w:t>
        </w:r>
        <w:r w:rsidR="00356F20">
          <w:rPr>
            <w:rStyle w:val="Hyperlink"/>
            <w:lang w:val="es-ES"/>
          </w:rPr>
          <w:noBreakHyphen/>
        </w:r>
        <w:r w:rsidRPr="00CE1E7D">
          <w:rPr>
            <w:rStyle w:val="Hyperlink"/>
            <w:lang w:val="es-ES"/>
          </w:rPr>
          <w:t>AMR</w:t>
        </w:r>
      </w:hyperlink>
      <w:r w:rsidRPr="00CE1E7D">
        <w:rPr>
          <w:lang w:val="es-ES"/>
        </w:rPr>
        <w:t>.</w:t>
      </w:r>
    </w:p>
    <w:p w:rsidR="007423CB" w:rsidRPr="00CE1E7D" w:rsidRDefault="007423CB" w:rsidP="007423CB">
      <w:pPr>
        <w:rPr>
          <w:lang w:val="es-ES"/>
        </w:rPr>
      </w:pPr>
      <w:r w:rsidRPr="00CE1E7D">
        <w:rPr>
          <w:lang w:val="es-ES"/>
        </w:rPr>
        <w:t>El proyecto de orden del día de la reunión</w:t>
      </w:r>
      <w:r w:rsidR="0037325E" w:rsidRPr="00CE1E7D">
        <w:rPr>
          <w:lang w:val="es-ES"/>
        </w:rPr>
        <w:t>, preparado de acuerdo con el Presidente, Sr. Edgardo Guillermo Clemente de Argentina,</w:t>
      </w:r>
      <w:r w:rsidRPr="00CE1E7D">
        <w:rPr>
          <w:lang w:val="es-ES"/>
        </w:rPr>
        <w:t xml:space="preserve"> se adjunta en el </w:t>
      </w:r>
      <w:r w:rsidRPr="00CE1E7D">
        <w:rPr>
          <w:b/>
          <w:bCs/>
          <w:lang w:val="es-ES"/>
        </w:rPr>
        <w:t>Anexo B</w:t>
      </w:r>
      <w:r w:rsidR="00356F20">
        <w:rPr>
          <w:lang w:val="es-ES"/>
        </w:rPr>
        <w:t>.</w:t>
      </w:r>
    </w:p>
    <w:p w:rsidR="007423CB" w:rsidRPr="00CE1E7D" w:rsidRDefault="0037325E" w:rsidP="0037325E">
      <w:pPr>
        <w:rPr>
          <w:lang w:val="es-ES"/>
        </w:rPr>
      </w:pPr>
      <w:r w:rsidRPr="00CE1E7D">
        <w:rPr>
          <w:lang w:val="es-ES"/>
        </w:rPr>
        <w:t>De acuerdo con el Presidente del GRCE2-AMR, la reunión tratará temas de interés para la Región, como son las experiencias y desafíos de la elaboración de los planes nacionales de numeración, la administración del Indicativo E.212 de país para el servicio móvil/indicativo de red para el servicio móvil, el código de punto de señalización internacional Q.708, la armonización de números importantes incluidos los números de emergencia, la localización de llamadas a los servicios de emergencia, el uso de números telefónicos por partes interesadas distintas de los operadores, el interfuncionamiento entre las aplicaciones de telecomunicaciones basados en IP y las redes RTPC/PLMN tradicionales, identificación</w:t>
      </w:r>
      <w:r w:rsidR="003A50C1" w:rsidRPr="00CE1E7D">
        <w:rPr>
          <w:lang w:val="es-ES"/>
        </w:rPr>
        <w:t xml:space="preserve"> de IoT, y la utiliza</w:t>
      </w:r>
      <w:r w:rsidR="00356F20">
        <w:rPr>
          <w:lang w:val="es-ES"/>
        </w:rPr>
        <w:t>ción indebida de la numeración/</w:t>
      </w:r>
      <w:r w:rsidR="00356F20">
        <w:rPr>
          <w:lang w:val="es-ES"/>
        </w:rPr>
        <w:br/>
      </w:r>
      <w:r w:rsidR="003A50C1" w:rsidRPr="00CE1E7D">
        <w:rPr>
          <w:lang w:val="es-ES"/>
        </w:rPr>
        <w:t>suplantación de la identificación de la parte llamante/procedimiento de ll</w:t>
      </w:r>
      <w:r w:rsidR="00500577">
        <w:rPr>
          <w:lang w:val="es-ES"/>
        </w:rPr>
        <w:t>amada alternativo.</w:t>
      </w:r>
    </w:p>
    <w:p w:rsidR="003A50C1" w:rsidRPr="00CE1E7D" w:rsidRDefault="003A50C1" w:rsidP="003A50C1">
      <w:pPr>
        <w:rPr>
          <w:lang w:val="es-ES"/>
        </w:rPr>
      </w:pPr>
      <w:r w:rsidRPr="00CE1E7D">
        <w:rPr>
          <w:lang w:val="es-ES"/>
        </w:rPr>
        <w:t>El Preside</w:t>
      </w:r>
      <w:r w:rsidR="00500577">
        <w:rPr>
          <w:lang w:val="es-ES"/>
        </w:rPr>
        <w:t xml:space="preserve">nte invita a los participantes </w:t>
      </w:r>
      <w:r w:rsidRPr="00CE1E7D">
        <w:rPr>
          <w:lang w:val="es-ES"/>
        </w:rPr>
        <w:t>a compartir sus puntos de vista sobre los temas siguientes:</w:t>
      </w:r>
    </w:p>
    <w:p w:rsidR="00237609" w:rsidRPr="00CE1E7D" w:rsidRDefault="00DD55E0" w:rsidP="0028393B">
      <w:pPr>
        <w:pStyle w:val="enumlev1"/>
        <w:rPr>
          <w:lang w:val="es-ES"/>
        </w:rPr>
      </w:pPr>
      <w:r>
        <w:rPr>
          <w:lang w:val="es-ES"/>
        </w:rPr>
        <w:t>1)</w:t>
      </w:r>
      <w:r w:rsidR="00356F20">
        <w:rPr>
          <w:lang w:val="es-ES"/>
        </w:rPr>
        <w:tab/>
      </w:r>
      <w:r w:rsidR="003A50C1" w:rsidRPr="00CE1E7D">
        <w:rPr>
          <w:lang w:val="es-ES"/>
        </w:rPr>
        <w:t>Problemas, dificultades y desafíos de la administración de los recursos de numeración nacional/denominación/direccionamiento/identificación, como son los pl</w:t>
      </w:r>
      <w:r w:rsidR="00500577">
        <w:rPr>
          <w:lang w:val="es-ES"/>
        </w:rPr>
        <w:t xml:space="preserve">anes nacionales de numeración, </w:t>
      </w:r>
      <w:r w:rsidR="003A50C1" w:rsidRPr="00CE1E7D">
        <w:rPr>
          <w:lang w:val="es-ES"/>
        </w:rPr>
        <w:t>los indicativos E.212 de país para el servicio móvil (MCC)/de red para el servicio móvil (MNC), los códigos de punto de señalización internacional Q.708 (ISPC).</w:t>
      </w:r>
    </w:p>
    <w:p w:rsidR="003A50C1" w:rsidRPr="00CE1E7D" w:rsidRDefault="00DD55E0" w:rsidP="00356F20">
      <w:pPr>
        <w:pStyle w:val="enumlev1"/>
        <w:rPr>
          <w:lang w:val="es-ES"/>
        </w:rPr>
      </w:pPr>
      <w:r>
        <w:rPr>
          <w:lang w:val="es-ES"/>
        </w:rPr>
        <w:t>2)</w:t>
      </w:r>
      <w:r w:rsidR="00356F20">
        <w:rPr>
          <w:lang w:val="es-ES"/>
        </w:rPr>
        <w:tab/>
      </w:r>
      <w:r w:rsidR="003A50C1" w:rsidRPr="00CE1E7D">
        <w:rPr>
          <w:lang w:val="es-ES"/>
        </w:rPr>
        <w:t>Experiencias de lucha contra el uso indebido, la apropiación indebida y/o la suplantación de la identificación de la parte llamante</w:t>
      </w:r>
      <w:r w:rsidR="00455C83" w:rsidRPr="00CE1E7D">
        <w:rPr>
          <w:lang w:val="es-ES"/>
        </w:rPr>
        <w:t>.</w:t>
      </w:r>
    </w:p>
    <w:p w:rsidR="00455C83" w:rsidRPr="00CE1E7D" w:rsidRDefault="00356F20" w:rsidP="00DD55E0">
      <w:pPr>
        <w:pStyle w:val="enumlev1"/>
        <w:rPr>
          <w:lang w:val="es-ES"/>
        </w:rPr>
      </w:pPr>
      <w:r>
        <w:rPr>
          <w:lang w:val="es-ES"/>
        </w:rPr>
        <w:t>3</w:t>
      </w:r>
      <w:r w:rsidR="00DD55E0">
        <w:rPr>
          <w:lang w:val="es-ES"/>
        </w:rPr>
        <w:t>)</w:t>
      </w:r>
      <w:r>
        <w:rPr>
          <w:lang w:val="es-ES"/>
        </w:rPr>
        <w:tab/>
      </w:r>
      <w:r w:rsidR="00455C83" w:rsidRPr="00CE1E7D">
        <w:rPr>
          <w:lang w:val="es-ES"/>
        </w:rPr>
        <w:t>Requisitos y/o situación de la armonización de números importantes con utilidad social, incluidos los números de emergencia.</w:t>
      </w:r>
    </w:p>
    <w:p w:rsidR="00455C83" w:rsidRPr="00CE1E7D" w:rsidRDefault="00DD55E0" w:rsidP="00356F20">
      <w:pPr>
        <w:pStyle w:val="enumlev1"/>
        <w:rPr>
          <w:lang w:val="es-ES"/>
        </w:rPr>
      </w:pPr>
      <w:r>
        <w:rPr>
          <w:lang w:val="es-ES"/>
        </w:rPr>
        <w:t>4)</w:t>
      </w:r>
      <w:r w:rsidR="00356F20">
        <w:rPr>
          <w:lang w:val="es-ES"/>
        </w:rPr>
        <w:tab/>
      </w:r>
      <w:r w:rsidR="00455C83" w:rsidRPr="00CE1E7D">
        <w:rPr>
          <w:lang w:val="es-ES"/>
        </w:rPr>
        <w:t>Experiencias, problemas y desafíos en la identificación de la IoT, incluidos los sistemas de identificación que se utilizan para las aplicaciones de IoT (Internet de las Cosas). Cabe señalar que, además de las direcciones IP, los recursos de numeración E.164 (números de teléfono) y los recursos de identificación E.212 (IMSI), existen muchos sistemas de identificación heterogéneos que dan soporte a aplicaciones de IoT en todo el mundo, como son los siguientes:</w:t>
      </w:r>
    </w:p>
    <w:p w:rsidR="00455C83" w:rsidRPr="00CE1E7D" w:rsidRDefault="005377F8" w:rsidP="00455C83">
      <w:pPr>
        <w:pStyle w:val="enumlev2"/>
        <w:rPr>
          <w:lang w:val="es-ES"/>
        </w:rPr>
      </w:pPr>
      <w:r w:rsidRPr="005377F8">
        <w:rPr>
          <w:lang w:val="es-ES"/>
        </w:rPr>
        <w:t>–</w:t>
      </w:r>
      <w:r w:rsidR="00455C83" w:rsidRPr="00CE1E7D">
        <w:rPr>
          <w:lang w:val="es-ES"/>
        </w:rPr>
        <w:tab/>
        <w:t>el sistema de identificación Handle explotado y gestionado por las organizaciones internacional (</w:t>
      </w:r>
      <w:hyperlink r:id="rId12" w:history="1">
        <w:r w:rsidR="00455C83" w:rsidRPr="00CE1E7D">
          <w:rPr>
            <w:rStyle w:val="Hyperlink"/>
            <w:rFonts w:ascii="Calibri" w:hAnsi="Calibri"/>
            <w:lang w:val="es-ES"/>
          </w:rPr>
          <w:t>DONA</w:t>
        </w:r>
      </w:hyperlink>
      <w:r w:rsidR="00455C83" w:rsidRPr="00CE1E7D">
        <w:rPr>
          <w:lang w:val="es-ES"/>
        </w:rPr>
        <w:t>) y nacionales correspondientes;</w:t>
      </w:r>
    </w:p>
    <w:p w:rsidR="00455C83" w:rsidRPr="00CE1E7D" w:rsidRDefault="005377F8" w:rsidP="00455C83">
      <w:pPr>
        <w:pStyle w:val="enumlev2"/>
        <w:rPr>
          <w:lang w:val="es-ES"/>
        </w:rPr>
      </w:pPr>
      <w:r w:rsidRPr="005377F8">
        <w:rPr>
          <w:lang w:val="es-ES"/>
        </w:rPr>
        <w:t>–</w:t>
      </w:r>
      <w:r w:rsidR="00455C83" w:rsidRPr="00CE1E7D">
        <w:rPr>
          <w:lang w:val="es-ES"/>
        </w:rPr>
        <w:tab/>
        <w:t xml:space="preserve">el sistema OID propuesto por la ISO/CEI y la </w:t>
      </w:r>
      <w:hyperlink r:id="rId13" w:history="1">
        <w:r w:rsidR="00455C83" w:rsidRPr="00CE1E7D">
          <w:rPr>
            <w:rStyle w:val="Hyperlink"/>
            <w:rFonts w:ascii="Calibri" w:hAnsi="Calibri"/>
            <w:lang w:val="es-ES"/>
          </w:rPr>
          <w:t>UIT</w:t>
        </w:r>
      </w:hyperlink>
      <w:r w:rsidR="00455C83" w:rsidRPr="00CE1E7D">
        <w:rPr>
          <w:lang w:val="es-ES"/>
        </w:rPr>
        <w:t>;</w:t>
      </w:r>
    </w:p>
    <w:p w:rsidR="00455C83" w:rsidRPr="00CE1E7D" w:rsidRDefault="00455C83" w:rsidP="00455C83">
      <w:pPr>
        <w:pStyle w:val="enumlev2"/>
        <w:rPr>
          <w:lang w:val="es-ES"/>
        </w:rPr>
      </w:pPr>
      <w:r w:rsidRPr="00CE1E7D">
        <w:rPr>
          <w:lang w:val="es-ES"/>
        </w:rPr>
        <w:t>–</w:t>
      </w:r>
      <w:r w:rsidRPr="00CE1E7D">
        <w:rPr>
          <w:lang w:val="es-ES"/>
        </w:rPr>
        <w:tab/>
        <w:t xml:space="preserve">el sistema de identificación GS1 propuesto por </w:t>
      </w:r>
      <w:hyperlink r:id="rId14" w:history="1">
        <w:r w:rsidRPr="00CE1E7D">
          <w:rPr>
            <w:rStyle w:val="Hyperlink"/>
            <w:rFonts w:ascii="Calibri" w:hAnsi="Calibri"/>
            <w:lang w:val="es-ES"/>
          </w:rPr>
          <w:t>GS1</w:t>
        </w:r>
      </w:hyperlink>
      <w:r w:rsidRPr="00CE1E7D">
        <w:rPr>
          <w:lang w:val="es-ES"/>
        </w:rPr>
        <w:t xml:space="preserve"> (anteriormente EAN International);</w:t>
      </w:r>
    </w:p>
    <w:p w:rsidR="00455C83" w:rsidRPr="00CE1E7D" w:rsidRDefault="00455C83" w:rsidP="00455C83">
      <w:pPr>
        <w:pStyle w:val="enumlev2"/>
        <w:rPr>
          <w:lang w:val="es-ES"/>
        </w:rPr>
      </w:pPr>
      <w:r w:rsidRPr="00CE1E7D">
        <w:rPr>
          <w:lang w:val="es-ES"/>
        </w:rPr>
        <w:t>–</w:t>
      </w:r>
      <w:r w:rsidRPr="00CE1E7D">
        <w:rPr>
          <w:lang w:val="es-ES"/>
        </w:rPr>
        <w:tab/>
        <w:t>el EPC (Electron</w:t>
      </w:r>
      <w:r w:rsidR="00500577">
        <w:rPr>
          <w:lang w:val="es-ES"/>
        </w:rPr>
        <w:t xml:space="preserve">ic Product Code) creado por el </w:t>
      </w:r>
      <w:r w:rsidRPr="00CE1E7D">
        <w:rPr>
          <w:lang w:val="es-ES"/>
        </w:rPr>
        <w:t xml:space="preserve">Auto-ID Centre del MIT, un consorcio de más de 120 empresas globales y laboratorios universitarios. De la gestión del sistema EPC se encarga actualmente </w:t>
      </w:r>
      <w:hyperlink r:id="rId15" w:tooltip="EPCglobal" w:history="1">
        <w:r w:rsidRPr="00CE1E7D">
          <w:rPr>
            <w:rStyle w:val="Hyperlink"/>
            <w:rFonts w:ascii="Calibri" w:hAnsi="Calibri"/>
            <w:lang w:val="es-ES"/>
          </w:rPr>
          <w:t>EPCglobal, Inc.</w:t>
        </w:r>
      </w:hyperlink>
      <w:r w:rsidRPr="00CE1E7D">
        <w:rPr>
          <w:lang w:val="es-ES"/>
        </w:rPr>
        <w:t>, una filial de GS1;</w:t>
      </w:r>
    </w:p>
    <w:p w:rsidR="00455C83" w:rsidRPr="00CE1E7D" w:rsidRDefault="00455C83" w:rsidP="00455C83">
      <w:pPr>
        <w:pStyle w:val="enumlev2"/>
        <w:rPr>
          <w:lang w:val="es-ES"/>
        </w:rPr>
      </w:pPr>
      <w:r w:rsidRPr="00CE1E7D">
        <w:rPr>
          <w:lang w:val="es-ES"/>
        </w:rPr>
        <w:t>–</w:t>
      </w:r>
      <w:r w:rsidRPr="00CE1E7D">
        <w:rPr>
          <w:lang w:val="es-ES"/>
        </w:rPr>
        <w:tab/>
        <w:t xml:space="preserve">el </w:t>
      </w:r>
      <w:hyperlink r:id="rId16" w:history="1">
        <w:r w:rsidRPr="00CE1E7D">
          <w:rPr>
            <w:rStyle w:val="Hyperlink"/>
            <w:rFonts w:ascii="Calibri" w:hAnsi="Calibri"/>
            <w:lang w:val="es-ES"/>
          </w:rPr>
          <w:t>uCode</w:t>
        </w:r>
      </w:hyperlink>
      <w:r w:rsidRPr="00CE1E7D">
        <w:rPr>
          <w:lang w:val="es-ES"/>
        </w:rPr>
        <w:t xml:space="preserve"> propuesto por el uID-center de Japón;</w:t>
      </w:r>
    </w:p>
    <w:p w:rsidR="00455C83" w:rsidRPr="00CE1E7D" w:rsidRDefault="00455C83" w:rsidP="00455C83">
      <w:pPr>
        <w:pStyle w:val="enumlev2"/>
        <w:rPr>
          <w:lang w:val="es-ES"/>
        </w:rPr>
      </w:pPr>
      <w:r w:rsidRPr="00CE1E7D">
        <w:rPr>
          <w:lang w:val="es-ES"/>
        </w:rPr>
        <w:lastRenderedPageBreak/>
        <w:t>–</w:t>
      </w:r>
      <w:r w:rsidRPr="00CE1E7D">
        <w:rPr>
          <w:lang w:val="es-ES"/>
        </w:rPr>
        <w:tab/>
        <w:t>el Ecode propuesto por el Article Numbering Centre de China y el sistema de identificación CID propuesto por el Institute of Information and Communications de China, etc.</w:t>
      </w:r>
    </w:p>
    <w:p w:rsidR="00455C83" w:rsidRPr="00CE1E7D" w:rsidRDefault="00455C83" w:rsidP="00452133">
      <w:pPr>
        <w:rPr>
          <w:lang w:val="es-ES"/>
        </w:rPr>
      </w:pPr>
      <w:r w:rsidRPr="00CE1E7D">
        <w:rPr>
          <w:lang w:val="es-ES"/>
        </w:rPr>
        <w:t xml:space="preserve">El Presidente invita a los participantes a </w:t>
      </w:r>
      <w:r w:rsidR="00452133" w:rsidRPr="00CE1E7D">
        <w:rPr>
          <w:lang w:val="es-ES"/>
        </w:rPr>
        <w:t xml:space="preserve">tener en cuenta y contribuir a este </w:t>
      </w:r>
      <w:r w:rsidR="005377F8">
        <w:rPr>
          <w:lang w:val="es-ES"/>
        </w:rPr>
        <w:t>respecto en la próxima reunión.</w:t>
      </w:r>
    </w:p>
    <w:p w:rsidR="00455C83" w:rsidRPr="00CE1E7D" w:rsidRDefault="00452133" w:rsidP="00B31936">
      <w:pPr>
        <w:rPr>
          <w:lang w:val="es-ES"/>
        </w:rPr>
      </w:pPr>
      <w:r w:rsidRPr="00CE1E7D">
        <w:rPr>
          <w:lang w:val="es-ES"/>
        </w:rPr>
        <w:t>Pueden consultarse los Planes Nacionales de Numeración publicados en el sitio web de la</w:t>
      </w:r>
      <w:r w:rsidR="00B31936">
        <w:rPr>
          <w:lang w:val="es-ES"/>
        </w:rPr>
        <w:t> </w:t>
      </w:r>
      <w:r w:rsidRPr="00CE1E7D">
        <w:rPr>
          <w:lang w:val="es-ES"/>
        </w:rPr>
        <w:t>UIT sobre la base de las notificaciones recibidas de las Administraciones nacionales en la dirección</w:t>
      </w:r>
      <w:r w:rsidR="00455C83" w:rsidRPr="00CE1E7D">
        <w:rPr>
          <w:lang w:val="es-ES"/>
        </w:rPr>
        <w:t xml:space="preserve">: </w:t>
      </w:r>
      <w:hyperlink r:id="rId17" w:history="1">
        <w:r w:rsidR="00455C83" w:rsidRPr="00CE1E7D">
          <w:rPr>
            <w:rStyle w:val="Hyperlink"/>
            <w:lang w:val="es-ES"/>
          </w:rPr>
          <w:t>http://www.itu.int/oth/T0202.aspx?parent=T0202</w:t>
        </w:r>
      </w:hyperlink>
      <w:r w:rsidR="00455C83" w:rsidRPr="00CE1E7D">
        <w:rPr>
          <w:lang w:val="es-ES"/>
        </w:rPr>
        <w:t xml:space="preserve">. </w:t>
      </w:r>
      <w:r w:rsidRPr="00CE1E7D">
        <w:rPr>
          <w:lang w:val="es-ES"/>
        </w:rPr>
        <w:t xml:space="preserve">Pueden consultarse los registros de asignaciones de MCC y MNC E.212 e ISPC y SANC </w:t>
      </w:r>
      <w:r w:rsidR="00455C83" w:rsidRPr="00CE1E7D">
        <w:rPr>
          <w:lang w:val="es-ES"/>
        </w:rPr>
        <w:t xml:space="preserve">Q.708 </w:t>
      </w:r>
      <w:r w:rsidRPr="00CE1E7D">
        <w:rPr>
          <w:lang w:val="es-ES"/>
        </w:rPr>
        <w:t>mantenidos en la base de datos de la</w:t>
      </w:r>
      <w:r w:rsidR="00B31936">
        <w:rPr>
          <w:lang w:val="es-ES"/>
        </w:rPr>
        <w:t> </w:t>
      </w:r>
      <w:r w:rsidRPr="00CE1E7D">
        <w:rPr>
          <w:lang w:val="es-ES"/>
        </w:rPr>
        <w:t>UIT sobre la base de las notificaciones de las Administraciones nacionales en la dirección</w:t>
      </w:r>
      <w:r w:rsidR="00455C83" w:rsidRPr="00CE1E7D">
        <w:rPr>
          <w:lang w:val="es-ES"/>
        </w:rPr>
        <w:t xml:space="preserve">: </w:t>
      </w:r>
      <w:hyperlink r:id="rId18" w:history="1">
        <w:r w:rsidR="00455C83" w:rsidRPr="00CE1E7D">
          <w:rPr>
            <w:rStyle w:val="Hyperlink"/>
            <w:lang w:val="es-ES"/>
          </w:rPr>
          <w:t>https://www.itu.int/en/ITU-T/inr/Pages/default.aspx</w:t>
        </w:r>
      </w:hyperlink>
      <w:r w:rsidR="005377F8">
        <w:rPr>
          <w:lang w:val="es-ES"/>
        </w:rPr>
        <w:t>.</w:t>
      </w:r>
    </w:p>
    <w:p w:rsidR="00452133" w:rsidRPr="00CE1E7D" w:rsidRDefault="00452133" w:rsidP="005377F8">
      <w:pPr>
        <w:pStyle w:val="headingb"/>
        <w:spacing w:after="120"/>
        <w:rPr>
          <w:lang w:val="es-ES"/>
        </w:rPr>
      </w:pPr>
      <w:r w:rsidRPr="00CE1E7D">
        <w:rPr>
          <w:lang w:val="es-ES"/>
        </w:rPr>
        <w:t>Plazos clave: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452133" w:rsidRPr="00CE1E7D" w:rsidTr="00DC75AF">
        <w:tc>
          <w:tcPr>
            <w:tcW w:w="2263" w:type="dxa"/>
            <w:shd w:val="clear" w:color="auto" w:fill="auto"/>
            <w:vAlign w:val="center"/>
          </w:tcPr>
          <w:p w:rsidR="00452133" w:rsidRPr="00CE1E7D" w:rsidRDefault="00452133" w:rsidP="00DC75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lang w:val="es-ES"/>
              </w:rPr>
            </w:pPr>
            <w:r w:rsidRPr="00CE1E7D">
              <w:rPr>
                <w:sz w:val="22"/>
                <w:lang w:val="es-ES"/>
              </w:rPr>
              <w:t>28 de febrero de 2019</w:t>
            </w:r>
          </w:p>
        </w:tc>
        <w:tc>
          <w:tcPr>
            <w:tcW w:w="7366" w:type="dxa"/>
            <w:shd w:val="clear" w:color="auto" w:fill="auto"/>
            <w:vAlign w:val="center"/>
          </w:tcPr>
          <w:p w:rsidR="00452133" w:rsidRPr="00CE1E7D" w:rsidRDefault="005377F8" w:rsidP="005377F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Times New Roman" w:hAnsi="Times New Roman"/>
                <w:sz w:val="22"/>
                <w:lang w:val="es-ES"/>
              </w:rPr>
            </w:pPr>
            <w:r w:rsidRPr="005377F8">
              <w:rPr>
                <w:sz w:val="22"/>
                <w:lang w:val="es-ES"/>
              </w:rPr>
              <w:t>–</w:t>
            </w:r>
            <w:r>
              <w:rPr>
                <w:sz w:val="22"/>
                <w:lang w:val="es-ES"/>
              </w:rPr>
              <w:tab/>
            </w:r>
            <w:r w:rsidR="00452133" w:rsidRPr="00CE1E7D">
              <w:rPr>
                <w:sz w:val="22"/>
                <w:lang w:val="es-ES"/>
              </w:rPr>
              <w:t xml:space="preserve">Preinscripción (en línea a través del </w:t>
            </w:r>
            <w:hyperlink r:id="rId19" w:history="1">
              <w:r w:rsidR="00452133" w:rsidRPr="00CE1E7D">
                <w:rPr>
                  <w:rStyle w:val="Hyperlink"/>
                  <w:sz w:val="22"/>
                  <w:lang w:val="es-ES"/>
                </w:rPr>
                <w:t>sitio web del Grupo Regional</w:t>
              </w:r>
            </w:hyperlink>
            <w:r w:rsidR="00452133" w:rsidRPr="00CE1E7D">
              <w:rPr>
                <w:sz w:val="22"/>
                <w:lang w:val="es-ES"/>
              </w:rPr>
              <w:t>)</w:t>
            </w:r>
          </w:p>
          <w:p w:rsidR="00452133" w:rsidRPr="00CE1E7D" w:rsidRDefault="005377F8" w:rsidP="006F24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284" w:hanging="284"/>
              <w:textAlignment w:val="auto"/>
              <w:rPr>
                <w:rFonts w:ascii="Times New Roman" w:hAnsi="Times New Roman"/>
                <w:sz w:val="22"/>
                <w:lang w:val="es-ES"/>
              </w:rPr>
            </w:pPr>
            <w:r w:rsidRPr="005377F8">
              <w:rPr>
                <w:sz w:val="22"/>
                <w:lang w:val="es-ES"/>
              </w:rPr>
              <w:t>–</w:t>
            </w:r>
            <w:r>
              <w:rPr>
                <w:sz w:val="22"/>
                <w:lang w:val="es-ES"/>
              </w:rPr>
              <w:tab/>
            </w:r>
            <w:r w:rsidR="00452133" w:rsidRPr="00CE1E7D">
              <w:rPr>
                <w:sz w:val="22"/>
                <w:lang w:val="es-ES"/>
              </w:rPr>
              <w:t xml:space="preserve">Presentación de solicitudes de cartas de apoyo para la obtención del visado (se facilitará información práctica en la </w:t>
            </w:r>
            <w:hyperlink r:id="rId20" w:history="1">
              <w:r w:rsidR="00452133" w:rsidRPr="00CE1E7D">
                <w:rPr>
                  <w:rStyle w:val="Hyperlink"/>
                  <w:sz w:val="22"/>
                  <w:lang w:val="es-ES"/>
                </w:rPr>
                <w:t>página principal del grupo regional</w:t>
              </w:r>
            </w:hyperlink>
            <w:r w:rsidR="00452133" w:rsidRPr="00CE1E7D">
              <w:rPr>
                <w:sz w:val="22"/>
                <w:lang w:val="es-ES"/>
              </w:rPr>
              <w:t>)</w:t>
            </w:r>
          </w:p>
        </w:tc>
      </w:tr>
      <w:tr w:rsidR="00452133" w:rsidRPr="00CE1E7D" w:rsidTr="00DC75AF">
        <w:tc>
          <w:tcPr>
            <w:tcW w:w="2263" w:type="dxa"/>
            <w:shd w:val="clear" w:color="auto" w:fill="auto"/>
            <w:vAlign w:val="center"/>
          </w:tcPr>
          <w:p w:rsidR="00452133" w:rsidRPr="00CE1E7D" w:rsidRDefault="00452133" w:rsidP="00DC75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lang w:val="es-ES"/>
              </w:rPr>
            </w:pPr>
            <w:r w:rsidRPr="00CE1E7D">
              <w:rPr>
                <w:sz w:val="22"/>
                <w:lang w:val="es-ES"/>
              </w:rPr>
              <w:t>3 de marzo de 2019</w:t>
            </w:r>
          </w:p>
        </w:tc>
        <w:tc>
          <w:tcPr>
            <w:tcW w:w="7366" w:type="dxa"/>
            <w:shd w:val="clear" w:color="auto" w:fill="auto"/>
            <w:vAlign w:val="center"/>
          </w:tcPr>
          <w:p w:rsidR="00452133" w:rsidRPr="00CE1E7D" w:rsidRDefault="005377F8" w:rsidP="006F24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284" w:hanging="284"/>
              <w:textAlignment w:val="auto"/>
              <w:rPr>
                <w:rFonts w:ascii="Times New Roman" w:hAnsi="Times New Roman"/>
                <w:sz w:val="22"/>
                <w:lang w:val="es-ES"/>
              </w:rPr>
            </w:pPr>
            <w:r w:rsidRPr="005377F8">
              <w:rPr>
                <w:sz w:val="22"/>
                <w:lang w:val="es-ES"/>
              </w:rPr>
              <w:t>–</w:t>
            </w:r>
            <w:r>
              <w:rPr>
                <w:sz w:val="22"/>
                <w:lang w:val="es-ES"/>
              </w:rPr>
              <w:tab/>
            </w:r>
            <w:r w:rsidR="00452133" w:rsidRPr="00CE1E7D">
              <w:rPr>
                <w:sz w:val="22"/>
                <w:lang w:val="es-ES"/>
              </w:rPr>
              <w:t xml:space="preserve">Presentación de solicitudes de beca (mediante el formulario de inscripción en línea; véanse los detalles en el </w:t>
            </w:r>
            <w:r w:rsidR="00452133" w:rsidRPr="00CE1E7D">
              <w:rPr>
                <w:b/>
                <w:bCs/>
                <w:sz w:val="22"/>
                <w:lang w:val="es-ES"/>
              </w:rPr>
              <w:t>Anexo</w:t>
            </w:r>
            <w:r w:rsidR="00452133" w:rsidRPr="00CE1E7D">
              <w:rPr>
                <w:sz w:val="22"/>
                <w:lang w:val="es-ES"/>
              </w:rPr>
              <w:t xml:space="preserve"> </w:t>
            </w:r>
            <w:r w:rsidR="00452133" w:rsidRPr="00CE1E7D">
              <w:rPr>
                <w:b/>
                <w:sz w:val="22"/>
                <w:lang w:val="es-ES"/>
              </w:rPr>
              <w:t>A</w:t>
            </w:r>
            <w:r w:rsidR="00452133" w:rsidRPr="00CE1E7D">
              <w:rPr>
                <w:sz w:val="22"/>
                <w:lang w:val="es-ES"/>
              </w:rPr>
              <w:t>)</w:t>
            </w:r>
          </w:p>
        </w:tc>
      </w:tr>
      <w:tr w:rsidR="00452133" w:rsidRPr="00CE1E7D" w:rsidTr="00DC75AF">
        <w:trPr>
          <w:trHeight w:val="243"/>
        </w:trPr>
        <w:tc>
          <w:tcPr>
            <w:tcW w:w="2263" w:type="dxa"/>
            <w:shd w:val="clear" w:color="auto" w:fill="auto"/>
            <w:vAlign w:val="center"/>
          </w:tcPr>
          <w:p w:rsidR="00452133" w:rsidRPr="00CE1E7D" w:rsidRDefault="00452133" w:rsidP="00DC75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lang w:val="es-ES"/>
              </w:rPr>
            </w:pPr>
            <w:r w:rsidRPr="00CE1E7D">
              <w:rPr>
                <w:sz w:val="22"/>
                <w:lang w:val="es-ES"/>
              </w:rPr>
              <w:t>15 de marzo de 2019</w:t>
            </w:r>
          </w:p>
        </w:tc>
        <w:tc>
          <w:tcPr>
            <w:tcW w:w="7366" w:type="dxa"/>
            <w:shd w:val="clear" w:color="auto" w:fill="auto"/>
            <w:vAlign w:val="center"/>
          </w:tcPr>
          <w:p w:rsidR="00452133" w:rsidRPr="00CE1E7D" w:rsidRDefault="005377F8" w:rsidP="006F24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284" w:hanging="284"/>
              <w:textAlignment w:val="auto"/>
              <w:rPr>
                <w:rFonts w:ascii="Times New Roman" w:hAnsi="Times New Roman"/>
                <w:sz w:val="22"/>
                <w:lang w:val="es-ES"/>
              </w:rPr>
            </w:pPr>
            <w:r w:rsidRPr="005377F8">
              <w:rPr>
                <w:sz w:val="22"/>
                <w:lang w:val="es-ES"/>
              </w:rPr>
              <w:t>–</w:t>
            </w:r>
            <w:r>
              <w:rPr>
                <w:sz w:val="22"/>
                <w:lang w:val="es-ES"/>
              </w:rPr>
              <w:tab/>
            </w:r>
            <w:r w:rsidR="00452133" w:rsidRPr="00CE1E7D">
              <w:rPr>
                <w:sz w:val="22"/>
                <w:lang w:val="es-ES"/>
              </w:rPr>
              <w:t xml:space="preserve">Plazo final para la presentación de contribuciones (por correo-e a </w:t>
            </w:r>
            <w:hyperlink r:id="rId21" w:history="1">
              <w:r w:rsidR="00452133" w:rsidRPr="00CE1E7D">
                <w:rPr>
                  <w:rStyle w:val="Hyperlink"/>
                  <w:sz w:val="22"/>
                  <w:lang w:val="es-ES"/>
                </w:rPr>
                <w:t>tsbsg2@itu.int</w:t>
              </w:r>
            </w:hyperlink>
            <w:r w:rsidR="00452133" w:rsidRPr="00CE1E7D">
              <w:rPr>
                <w:rFonts w:ascii="Times New Roman" w:hAnsi="Times New Roman"/>
                <w:sz w:val="22"/>
                <w:lang w:val="es-ES"/>
              </w:rPr>
              <w:t>)</w:t>
            </w:r>
          </w:p>
        </w:tc>
      </w:tr>
    </w:tbl>
    <w:p w:rsidR="00452133" w:rsidRPr="00CE1E7D" w:rsidRDefault="00452133" w:rsidP="00452133">
      <w:pPr>
        <w:rPr>
          <w:lang w:val="es-ES"/>
        </w:rPr>
      </w:pPr>
      <w:r w:rsidRPr="00CE1E7D">
        <w:rPr>
          <w:lang w:val="es-ES"/>
        </w:rPr>
        <w:t>Le deseo una reunión agradable y productiva.</w:t>
      </w:r>
    </w:p>
    <w:p w:rsidR="00455C83" w:rsidRDefault="00455C83" w:rsidP="003A0EA1">
      <w:pPr>
        <w:rPr>
          <w:lang w:val="es-E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5"/>
        <w:gridCol w:w="3559"/>
      </w:tblGrid>
      <w:tr w:rsidR="003A0EA1" w:rsidRPr="002E078D" w:rsidTr="003A0EA1">
        <w:trPr>
          <w:cantSplit/>
          <w:trHeight w:val="1955"/>
        </w:trPr>
        <w:tc>
          <w:tcPr>
            <w:tcW w:w="6075" w:type="dxa"/>
            <w:vMerge w:val="restart"/>
            <w:tcBorders>
              <w:right w:val="single" w:sz="4" w:space="0" w:color="auto"/>
            </w:tcBorders>
          </w:tcPr>
          <w:p w:rsidR="003A0EA1" w:rsidRPr="003A0EA1" w:rsidRDefault="003A0EA1" w:rsidP="00EE1891">
            <w:r w:rsidRPr="00EE1891">
              <w:rPr>
                <w:lang w:val="es-ES"/>
              </w:rPr>
              <w:t>Atentamente</w:t>
            </w:r>
            <w:r w:rsidRPr="003A0EA1">
              <w:t>,</w:t>
            </w:r>
          </w:p>
          <w:p w:rsidR="003A0EA1" w:rsidRPr="003A0EA1" w:rsidRDefault="003A0EA1" w:rsidP="00EE1891">
            <w:pPr>
              <w:spacing w:before="0"/>
            </w:pPr>
          </w:p>
          <w:p w:rsidR="003A0EA1" w:rsidRPr="00EE1891" w:rsidRDefault="003A0EA1" w:rsidP="00EE1891">
            <w:pPr>
              <w:rPr>
                <w:i/>
                <w:iCs/>
              </w:rPr>
            </w:pPr>
            <w:bookmarkStart w:id="1" w:name="_GoBack"/>
            <w:r w:rsidRPr="00EE1891">
              <w:rPr>
                <w:i/>
                <w:iCs/>
                <w:lang w:val="es-ES"/>
              </w:rPr>
              <w:t>(firmado)</w:t>
            </w:r>
          </w:p>
          <w:bookmarkEnd w:id="1"/>
          <w:p w:rsidR="003A0EA1" w:rsidRPr="003A0EA1" w:rsidRDefault="003A0EA1" w:rsidP="00EE1891">
            <w:pPr>
              <w:spacing w:before="0"/>
            </w:pPr>
          </w:p>
          <w:p w:rsidR="003A0EA1" w:rsidRPr="003A0EA1" w:rsidRDefault="003A0EA1" w:rsidP="00EE1891">
            <w:r w:rsidRPr="003A0EA1">
              <w:rPr>
                <w:szCs w:val="24"/>
              </w:rPr>
              <w:t>Chaesub Lee</w:t>
            </w:r>
            <w:r w:rsidRPr="003A0EA1">
              <w:br/>
            </w:r>
            <w:r w:rsidRPr="00CE1E7D">
              <w:rPr>
                <w:lang w:val="es-ES"/>
              </w:rPr>
              <w:t>Director de la Oficina de</w:t>
            </w:r>
            <w:r w:rsidRPr="00CE1E7D">
              <w:rPr>
                <w:lang w:val="es-ES"/>
              </w:rPr>
              <w:br/>
              <w:t>Normalización de las Telecomunicaciones</w:t>
            </w:r>
          </w:p>
        </w:tc>
        <w:tc>
          <w:tcPr>
            <w:tcW w:w="3559" w:type="dxa"/>
            <w:tcBorders>
              <w:top w:val="single" w:sz="4" w:space="0" w:color="auto"/>
              <w:left w:val="single" w:sz="4" w:space="0" w:color="auto"/>
              <w:right w:val="single" w:sz="4" w:space="0" w:color="auto"/>
            </w:tcBorders>
            <w:textDirection w:val="btLr"/>
            <w:vAlign w:val="center"/>
          </w:tcPr>
          <w:p w:rsidR="003A0EA1" w:rsidRPr="002E078D" w:rsidRDefault="003A0EA1" w:rsidP="000840EE">
            <w:pPr>
              <w:keepNext/>
              <w:keepLines/>
              <w:spacing w:before="0"/>
              <w:ind w:left="113" w:right="113"/>
              <w:jc w:val="center"/>
            </w:pPr>
            <w:r w:rsidRPr="002E078D">
              <w:rPr>
                <w:noProof/>
                <w:lang w:val="en-GB" w:eastAsia="zh-CN"/>
              </w:rPr>
              <w:drawing>
                <wp:inline distT="0" distB="0" distL="0" distR="0" wp14:anchorId="45C4CAA4" wp14:editId="299EC7DA">
                  <wp:extent cx="1066800" cy="1066800"/>
                  <wp:effectExtent l="0" t="0" r="0" b="0"/>
                  <wp:docPr id="4" name="Picture 4" descr="This QR code redirects to the latest meeeting information at:&#10;http://handle.itu.int/11.1002/groups/sg2rg-amr"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SBDOC\2017-2020\Working_methods\Handle_IDs\Handle-IDs_per_group\SG2RG-AMR\Unitag_QRCode_1487087561186.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76561" cy="1076561"/>
                          </a:xfrm>
                          <a:prstGeom prst="rect">
                            <a:avLst/>
                          </a:prstGeom>
                          <a:noFill/>
                          <a:ln>
                            <a:noFill/>
                          </a:ln>
                        </pic:spPr>
                      </pic:pic>
                    </a:graphicData>
                  </a:graphic>
                </wp:inline>
              </w:drawing>
            </w:r>
            <w:r w:rsidRPr="002E078D">
              <w:rPr>
                <w:rFonts w:ascii="Calibri" w:eastAsia="SimSun" w:hAnsi="Calibri" w:cs="Arial"/>
                <w:sz w:val="16"/>
                <w:szCs w:val="16"/>
                <w:lang w:eastAsia="zh-CN"/>
              </w:rPr>
              <w:t xml:space="preserve"> </w:t>
            </w:r>
            <w:r w:rsidRPr="002E078D">
              <w:rPr>
                <w:rFonts w:ascii="Calibri" w:eastAsia="SimSun" w:hAnsi="Calibri" w:cs="Arial"/>
                <w:sz w:val="20"/>
                <w:lang w:eastAsia="zh-CN"/>
              </w:rPr>
              <w:t>ITU-T SG2RG-AMR</w:t>
            </w:r>
          </w:p>
        </w:tc>
      </w:tr>
      <w:tr w:rsidR="003A0EA1" w:rsidRPr="002E078D" w:rsidTr="003A0EA1">
        <w:trPr>
          <w:cantSplit/>
          <w:trHeight w:val="227"/>
        </w:trPr>
        <w:tc>
          <w:tcPr>
            <w:tcW w:w="6075" w:type="dxa"/>
            <w:vMerge/>
            <w:tcBorders>
              <w:right w:val="single" w:sz="4" w:space="0" w:color="auto"/>
            </w:tcBorders>
          </w:tcPr>
          <w:p w:rsidR="003A0EA1" w:rsidRPr="002E078D" w:rsidRDefault="003A0EA1" w:rsidP="000840EE">
            <w:pPr>
              <w:spacing w:before="480"/>
            </w:pPr>
          </w:p>
        </w:tc>
        <w:tc>
          <w:tcPr>
            <w:tcW w:w="3559" w:type="dxa"/>
            <w:tcBorders>
              <w:left w:val="single" w:sz="4" w:space="0" w:color="auto"/>
              <w:bottom w:val="single" w:sz="4" w:space="0" w:color="auto"/>
              <w:right w:val="single" w:sz="4" w:space="0" w:color="auto"/>
            </w:tcBorders>
            <w:vAlign w:val="center"/>
          </w:tcPr>
          <w:p w:rsidR="003A0EA1" w:rsidRPr="002E078D" w:rsidRDefault="003A0EA1" w:rsidP="000840EE">
            <w:pPr>
              <w:spacing w:before="0"/>
              <w:jc w:val="center"/>
              <w:rPr>
                <w:rFonts w:ascii="Calibri" w:eastAsia="SimSun" w:hAnsi="Calibri" w:cs="Arial"/>
                <w:noProof/>
                <w:sz w:val="16"/>
                <w:szCs w:val="16"/>
                <w:lang w:eastAsia="zh-CN"/>
              </w:rPr>
            </w:pPr>
            <w:r w:rsidRPr="00EA065F">
              <w:rPr>
                <w:bCs/>
                <w:sz w:val="22"/>
                <w:szCs w:val="22"/>
              </w:rPr>
              <w:t>Última información sobre la reunión</w:t>
            </w:r>
          </w:p>
        </w:tc>
      </w:tr>
    </w:tbl>
    <w:p w:rsidR="00452133" w:rsidRDefault="00452133" w:rsidP="0041719A">
      <w:pPr>
        <w:tabs>
          <w:tab w:val="clear" w:pos="1588"/>
          <w:tab w:val="clear" w:pos="1985"/>
          <w:tab w:val="left" w:pos="7560"/>
        </w:tabs>
        <w:spacing w:before="480"/>
        <w:ind w:right="91"/>
        <w:rPr>
          <w:lang w:val="es-ES"/>
        </w:rPr>
      </w:pPr>
      <w:r w:rsidRPr="00CE1E7D">
        <w:rPr>
          <w:b/>
          <w:bCs/>
          <w:lang w:val="es-ES"/>
        </w:rPr>
        <w:t>Anexos</w:t>
      </w:r>
      <w:r w:rsidRPr="006F244B">
        <w:rPr>
          <w:lang w:val="es-ES"/>
        </w:rPr>
        <w:t>: 2</w:t>
      </w:r>
    </w:p>
    <w:p w:rsidR="00EE1891" w:rsidRPr="006F244B" w:rsidRDefault="00EE1891" w:rsidP="00EE1891">
      <w:pPr>
        <w:rPr>
          <w:lang w:val="es-ES"/>
        </w:rPr>
      </w:pPr>
    </w:p>
    <w:p w:rsidR="00452133" w:rsidRPr="00CE1E7D" w:rsidRDefault="00452133">
      <w:pPr>
        <w:tabs>
          <w:tab w:val="clear" w:pos="794"/>
          <w:tab w:val="clear" w:pos="1191"/>
          <w:tab w:val="clear" w:pos="1588"/>
          <w:tab w:val="clear" w:pos="1985"/>
        </w:tabs>
        <w:overflowPunct/>
        <w:autoSpaceDE/>
        <w:autoSpaceDN/>
        <w:adjustRightInd/>
        <w:spacing w:before="0"/>
        <w:textAlignment w:val="auto"/>
        <w:rPr>
          <w:lang w:val="es-ES"/>
        </w:rPr>
      </w:pPr>
      <w:r w:rsidRPr="00CE1E7D">
        <w:rPr>
          <w:lang w:val="es-ES"/>
        </w:rPr>
        <w:br w:type="page"/>
      </w:r>
    </w:p>
    <w:p w:rsidR="00452133" w:rsidRPr="00A51A15" w:rsidRDefault="00452133" w:rsidP="006F244B">
      <w:pPr>
        <w:pStyle w:val="AnnexNo"/>
        <w:rPr>
          <w:b/>
          <w:bCs/>
          <w:lang w:val="es-ES_tradnl"/>
        </w:rPr>
      </w:pPr>
      <w:r w:rsidRPr="00A51A15">
        <w:rPr>
          <w:b/>
          <w:bCs/>
          <w:lang w:val="es-ES_tradnl"/>
        </w:rPr>
        <w:lastRenderedPageBreak/>
        <w:t>ANEXO A</w:t>
      </w:r>
    </w:p>
    <w:p w:rsidR="00452133" w:rsidRPr="00CE1E7D" w:rsidRDefault="00452133" w:rsidP="006F244B">
      <w:pPr>
        <w:pStyle w:val="AnnexTitle"/>
        <w:rPr>
          <w:lang w:val="es-ES"/>
        </w:rPr>
      </w:pPr>
      <w:r w:rsidRPr="00CE1E7D">
        <w:rPr>
          <w:lang w:val="es-ES"/>
        </w:rPr>
        <w:t>PRESENTACIÓN DE CONTRIBUCIONES</w:t>
      </w:r>
    </w:p>
    <w:p w:rsidR="00452133" w:rsidRPr="00CE1E7D" w:rsidRDefault="00452133" w:rsidP="00B36E40">
      <w:pPr>
        <w:rPr>
          <w:sz w:val="22"/>
          <w:szCs w:val="22"/>
          <w:lang w:val="es-ES"/>
        </w:rPr>
      </w:pPr>
      <w:r w:rsidRPr="00CE1E7D">
        <w:rPr>
          <w:b/>
          <w:bCs/>
          <w:sz w:val="22"/>
          <w:szCs w:val="22"/>
          <w:lang w:val="es-ES"/>
        </w:rPr>
        <w:t>PLAZO PARA LA PRESENTACIÓN DE CONTRIBUCIONES</w:t>
      </w:r>
      <w:r w:rsidRPr="00540F75">
        <w:rPr>
          <w:sz w:val="22"/>
          <w:szCs w:val="22"/>
          <w:lang w:val="es-ES"/>
        </w:rPr>
        <w:t>:</w:t>
      </w:r>
      <w:r w:rsidRPr="00CE1E7D">
        <w:rPr>
          <w:sz w:val="22"/>
          <w:szCs w:val="22"/>
          <w:lang w:val="es-ES"/>
        </w:rPr>
        <w:t xml:space="preserve"> Le invitamos a presentar sus contribuciones por correo electrónico a la dirección </w:t>
      </w:r>
      <w:hyperlink r:id="rId23" w:history="1">
        <w:r w:rsidRPr="00CE1E7D">
          <w:rPr>
            <w:rStyle w:val="Hyperlink"/>
            <w:sz w:val="22"/>
            <w:szCs w:val="22"/>
            <w:lang w:val="es-ES"/>
          </w:rPr>
          <w:t>tsbsg2@itu.int</w:t>
        </w:r>
      </w:hyperlink>
      <w:r w:rsidRPr="00CE1E7D">
        <w:rPr>
          <w:sz w:val="22"/>
          <w:szCs w:val="22"/>
          <w:lang w:val="es-ES"/>
        </w:rPr>
        <w:t>. El plazo para la presentación de las contribuciones es de</w:t>
      </w:r>
      <w:r w:rsidR="00FD0746">
        <w:rPr>
          <w:sz w:val="22"/>
          <w:szCs w:val="22"/>
          <w:lang w:val="es-ES"/>
        </w:rPr>
        <w:t> </w:t>
      </w:r>
      <w:r w:rsidRPr="00CE1E7D">
        <w:rPr>
          <w:sz w:val="22"/>
          <w:szCs w:val="22"/>
          <w:lang w:val="es-ES"/>
        </w:rPr>
        <w:t>12</w:t>
      </w:r>
      <w:r w:rsidR="00FD0746">
        <w:rPr>
          <w:sz w:val="22"/>
          <w:szCs w:val="22"/>
          <w:lang w:val="es-ES"/>
        </w:rPr>
        <w:t> </w:t>
      </w:r>
      <w:r w:rsidRPr="00CE1E7D">
        <w:rPr>
          <w:sz w:val="22"/>
          <w:szCs w:val="22"/>
          <w:lang w:val="es-ES"/>
        </w:rPr>
        <w:t>(doce) días civiles antes de la reunión. Dichas contribuciones se publicarán en el sitio web del</w:t>
      </w:r>
      <w:r w:rsidR="00B36E40">
        <w:rPr>
          <w:sz w:val="22"/>
          <w:szCs w:val="22"/>
          <w:lang w:val="es-ES"/>
        </w:rPr>
        <w:t> </w:t>
      </w:r>
      <w:r w:rsidRPr="00CE1E7D">
        <w:rPr>
          <w:sz w:val="22"/>
          <w:szCs w:val="22"/>
          <w:lang w:val="es-ES"/>
        </w:rPr>
        <w:t>GRCE2</w:t>
      </w:r>
      <w:r w:rsidR="00B36E40">
        <w:rPr>
          <w:sz w:val="22"/>
          <w:szCs w:val="22"/>
          <w:lang w:val="es-ES"/>
        </w:rPr>
        <w:noBreakHyphen/>
      </w:r>
      <w:r w:rsidRPr="00CE1E7D">
        <w:rPr>
          <w:sz w:val="22"/>
          <w:szCs w:val="22"/>
          <w:lang w:val="es-ES"/>
        </w:rPr>
        <w:t xml:space="preserve">AMR, por lo que deberán obrar en poder de la TSB </w:t>
      </w:r>
      <w:r w:rsidRPr="00CE1E7D">
        <w:rPr>
          <w:b/>
          <w:bCs/>
          <w:sz w:val="22"/>
          <w:szCs w:val="22"/>
          <w:lang w:val="es-ES"/>
        </w:rPr>
        <w:t>a más tardar el 15 de marzo de 2019</w:t>
      </w:r>
      <w:r w:rsidR="00540F75">
        <w:rPr>
          <w:sz w:val="22"/>
          <w:szCs w:val="22"/>
          <w:lang w:val="es-ES"/>
        </w:rPr>
        <w:t>.</w:t>
      </w:r>
    </w:p>
    <w:p w:rsidR="00452133" w:rsidRPr="00CE1E7D" w:rsidRDefault="00452133" w:rsidP="00452133">
      <w:pPr>
        <w:rPr>
          <w:sz w:val="22"/>
          <w:szCs w:val="22"/>
          <w:lang w:val="es-ES"/>
        </w:rPr>
      </w:pPr>
      <w:r w:rsidRPr="00CE1E7D">
        <w:rPr>
          <w:sz w:val="22"/>
          <w:szCs w:val="22"/>
          <w:lang w:val="es-ES"/>
        </w:rPr>
        <w:t>El acceso a los documentos de la reunión se facilita a través de la página principal del grupo regional, y está reservada a los Miembros del UIT-T/</w:t>
      </w:r>
      <w:hyperlink r:id="rId24" w:history="1">
        <w:r w:rsidRPr="00CE1E7D">
          <w:rPr>
            <w:rStyle w:val="Hyperlink"/>
            <w:sz w:val="22"/>
            <w:szCs w:val="22"/>
            <w:lang w:val="es-ES"/>
          </w:rPr>
          <w:t>titulares de cuenta TIES</w:t>
        </w:r>
      </w:hyperlink>
      <w:r w:rsidR="00540F75">
        <w:rPr>
          <w:sz w:val="22"/>
          <w:szCs w:val="22"/>
          <w:lang w:val="es-ES"/>
        </w:rPr>
        <w:t>.</w:t>
      </w:r>
    </w:p>
    <w:p w:rsidR="00452133" w:rsidRPr="00CE1E7D" w:rsidRDefault="00452133" w:rsidP="00452133">
      <w:pPr>
        <w:rPr>
          <w:sz w:val="22"/>
          <w:szCs w:val="22"/>
          <w:lang w:val="es-ES"/>
        </w:rPr>
      </w:pPr>
      <w:r w:rsidRPr="00CE1E7D">
        <w:rPr>
          <w:b/>
          <w:bCs/>
          <w:sz w:val="22"/>
          <w:szCs w:val="22"/>
          <w:lang w:val="es-ES"/>
        </w:rPr>
        <w:t>PLANTILLAS</w:t>
      </w:r>
      <w:r w:rsidRPr="00540F75">
        <w:rPr>
          <w:sz w:val="22"/>
          <w:szCs w:val="22"/>
          <w:lang w:val="es-ES"/>
        </w:rPr>
        <w:t>:</w:t>
      </w:r>
      <w:r w:rsidRPr="00CE1E7D">
        <w:rPr>
          <w:sz w:val="22"/>
          <w:szCs w:val="22"/>
          <w:lang w:val="es-ES"/>
        </w:rPr>
        <w:t xml:space="preserve"> Tenga la amabilidad de utilizar el juego de plantillas facilitado para preparar su contribución. Las plantillas figuran en la página web de las Comisiones de Estudio del UIT-T, en la sección "Recursos para delegados" (</w:t>
      </w:r>
      <w:hyperlink r:id="rId25" w:history="1">
        <w:r w:rsidRPr="00CE1E7D">
          <w:rPr>
            <w:color w:val="0000FF"/>
            <w:sz w:val="22"/>
            <w:szCs w:val="22"/>
            <w:u w:val="single"/>
            <w:lang w:val="es-ES"/>
          </w:rPr>
          <w:t>http://itu.int/ITU-T/studygroups/templates</w:t>
        </w:r>
      </w:hyperlink>
      <w:r w:rsidRPr="00CE1E7D">
        <w:rPr>
          <w:sz w:val="22"/>
          <w:szCs w:val="22"/>
          <w:lang w:val="es-ES"/>
        </w:rPr>
        <w:t>). En la portada de todos los documentos deberá figurar el apellido, los números de telefax y de teléfono, así como la dirección de correo electrónico de la persona de contacto para la contribución.</w:t>
      </w:r>
    </w:p>
    <w:p w:rsidR="00452133" w:rsidRPr="00540F75" w:rsidRDefault="00452133" w:rsidP="00452133">
      <w:pPr>
        <w:spacing w:before="240"/>
        <w:jc w:val="center"/>
        <w:rPr>
          <w:b/>
          <w:bCs/>
          <w:szCs w:val="24"/>
          <w:lang w:val="es-ES"/>
        </w:rPr>
      </w:pPr>
      <w:r w:rsidRPr="00540F75">
        <w:rPr>
          <w:b/>
          <w:bCs/>
          <w:szCs w:val="24"/>
          <w:lang w:val="es-ES"/>
        </w:rPr>
        <w:t>MÉTODOS DE TRABAJO E INSTALACIONES</w:t>
      </w:r>
    </w:p>
    <w:p w:rsidR="00452133" w:rsidRPr="00CE1E7D" w:rsidRDefault="00452133" w:rsidP="00452133">
      <w:pPr>
        <w:rPr>
          <w:sz w:val="22"/>
          <w:szCs w:val="22"/>
          <w:lang w:val="es-ES"/>
        </w:rPr>
      </w:pPr>
      <w:r w:rsidRPr="00CE1E7D">
        <w:rPr>
          <w:b/>
          <w:bCs/>
          <w:sz w:val="22"/>
          <w:szCs w:val="22"/>
          <w:lang w:val="es-ES"/>
        </w:rPr>
        <w:t>INTERPRETACIÓN</w:t>
      </w:r>
      <w:r w:rsidRPr="00540F75">
        <w:rPr>
          <w:sz w:val="22"/>
          <w:szCs w:val="22"/>
          <w:lang w:val="es-ES"/>
        </w:rPr>
        <w:t>:</w:t>
      </w:r>
      <w:r w:rsidRPr="00CE1E7D">
        <w:rPr>
          <w:sz w:val="22"/>
          <w:szCs w:val="22"/>
          <w:lang w:val="es-ES"/>
        </w:rPr>
        <w:t xml:space="preserve"> De acuerdo con el Presidente del Grupo, los idiomas de trabajo de la reunión serán el español y el inglés.</w:t>
      </w:r>
    </w:p>
    <w:p w:rsidR="00452133" w:rsidRPr="00CE1E7D" w:rsidRDefault="00452133" w:rsidP="00452133">
      <w:pPr>
        <w:rPr>
          <w:sz w:val="22"/>
          <w:szCs w:val="22"/>
          <w:lang w:val="es-ES"/>
        </w:rPr>
      </w:pPr>
      <w:r w:rsidRPr="00CE1E7D">
        <w:rPr>
          <w:b/>
          <w:bCs/>
          <w:sz w:val="22"/>
          <w:szCs w:val="22"/>
          <w:lang w:val="es-ES"/>
        </w:rPr>
        <w:t>LAN INALÁMBRICA</w:t>
      </w:r>
      <w:r w:rsidRPr="00540F75">
        <w:rPr>
          <w:sz w:val="22"/>
          <w:szCs w:val="22"/>
          <w:lang w:val="es-ES"/>
        </w:rPr>
        <w:t>:</w:t>
      </w:r>
      <w:r w:rsidRPr="00CE1E7D">
        <w:rPr>
          <w:sz w:val="22"/>
          <w:szCs w:val="22"/>
          <w:lang w:val="es-ES"/>
        </w:rPr>
        <w:t xml:space="preserve"> El lugar de celebración del evento dispondrá de instalaciones y acceso a Internet.</w:t>
      </w:r>
    </w:p>
    <w:p w:rsidR="00452133" w:rsidRPr="00CE1E7D" w:rsidRDefault="00452133" w:rsidP="00452133">
      <w:pPr>
        <w:pStyle w:val="AnnexTitle"/>
        <w:spacing w:after="200"/>
        <w:rPr>
          <w:bCs/>
          <w:szCs w:val="24"/>
          <w:lang w:val="es-ES"/>
        </w:rPr>
      </w:pPr>
      <w:r w:rsidRPr="00CE1E7D">
        <w:rPr>
          <w:bCs/>
          <w:szCs w:val="24"/>
          <w:lang w:val="es-ES"/>
        </w:rPr>
        <w:t>PREINSCRIPCIÓN, BECAS Y AYUDA PARA LA SOLICITUD DE VISADOS</w:t>
      </w:r>
    </w:p>
    <w:p w:rsidR="00452133" w:rsidRPr="00CE1E7D" w:rsidRDefault="00452133" w:rsidP="00452133">
      <w:pPr>
        <w:pStyle w:val="Normalaftertitle"/>
        <w:spacing w:before="240"/>
        <w:rPr>
          <w:szCs w:val="24"/>
          <w:lang w:val="es-ES"/>
        </w:rPr>
      </w:pPr>
      <w:r w:rsidRPr="00CE1E7D">
        <w:rPr>
          <w:b/>
          <w:bCs/>
          <w:lang w:val="es-ES"/>
        </w:rPr>
        <w:t>PREINSCRIPCIÓN</w:t>
      </w:r>
      <w:r w:rsidRPr="00CE1E7D">
        <w:rPr>
          <w:lang w:val="es-ES"/>
        </w:rPr>
        <w:t xml:space="preserve">: La preinscripción es obligatoria y se efectúa </w:t>
      </w:r>
      <w:r w:rsidRPr="00CE1E7D">
        <w:rPr>
          <w:i/>
          <w:iCs/>
          <w:lang w:val="es-ES"/>
        </w:rPr>
        <w:t>en línea</w:t>
      </w:r>
      <w:r w:rsidRPr="00CE1E7D">
        <w:rPr>
          <w:lang w:val="es-ES"/>
        </w:rPr>
        <w:t xml:space="preserve"> en la página web de la Comisión de Estudio </w:t>
      </w:r>
      <w:r w:rsidRPr="00CE1E7D">
        <w:rPr>
          <w:b/>
          <w:bCs/>
          <w:lang w:val="es-ES"/>
        </w:rPr>
        <w:t>a más tardar un mes antes de la reunión</w:t>
      </w:r>
      <w:r w:rsidRPr="00CE1E7D">
        <w:rPr>
          <w:lang w:val="es-ES"/>
        </w:rPr>
        <w:t>. Se invita a los miembros a incluir mujeres en sus delegaciones siempre que sea posible.</w:t>
      </w:r>
    </w:p>
    <w:p w:rsidR="00452133" w:rsidRDefault="00452133" w:rsidP="00452133">
      <w:pPr>
        <w:rPr>
          <w:lang w:val="es-ES"/>
        </w:rPr>
      </w:pPr>
      <w:r w:rsidRPr="00CE1E7D">
        <w:rPr>
          <w:b/>
          <w:bCs/>
          <w:lang w:val="es-ES"/>
        </w:rPr>
        <w:t>BECAS</w:t>
      </w:r>
      <w:r w:rsidRPr="00CE1E7D">
        <w:rPr>
          <w:lang w:val="es-ES"/>
        </w:rPr>
        <w:t xml:space="preserve">: Podrán concederse hasta dos becas parciales por administración, </w:t>
      </w:r>
      <w:r w:rsidRPr="00CE1E7D">
        <w:rPr>
          <w:b/>
          <w:bCs/>
          <w:lang w:val="es-ES"/>
        </w:rPr>
        <w:t>dentro de la Región de América Latina y el Caribe</w:t>
      </w:r>
      <w:r w:rsidRPr="00CE1E7D">
        <w:rPr>
          <w:lang w:val="es-ES"/>
        </w:rPr>
        <w:t xml:space="preserve">, en función de la financiación disponible, con objeto de facilitar la participación de los países que reúnan los requisitos. </w:t>
      </w:r>
      <w:r w:rsidRPr="00CE1E7D">
        <w:rPr>
          <w:b/>
          <w:bCs/>
          <w:lang w:val="es-ES"/>
        </w:rPr>
        <w:t>Las solicitudes de beca deberán recibirse a más tardar el 3 de marzo de 2019</w:t>
      </w:r>
      <w:r w:rsidRPr="00CE1E7D">
        <w:rPr>
          <w:lang w:val="es-ES"/>
        </w:rPr>
        <w:t>. Rogamos tome nota de que los criterios aplicados a la concesión de becas incluyen: el presupuesto disponible de la TSB; la participación activa, incluida la presentación de contribuciones por escrito; la distribución equitativa entre países y regiones; y el equi</w:t>
      </w:r>
      <w:r w:rsidR="005D19B9">
        <w:rPr>
          <w:lang w:val="es-ES"/>
        </w:rPr>
        <w:t>librio entre hombres y mujeres.</w:t>
      </w:r>
    </w:p>
    <w:p w:rsidR="00DD55E0" w:rsidRPr="00CE1E7D" w:rsidRDefault="00DD55E0" w:rsidP="00452133">
      <w:pPr>
        <w:rPr>
          <w:lang w:val="es-ES"/>
        </w:rPr>
      </w:pPr>
      <w:r w:rsidRPr="00084312">
        <w:rPr>
          <w:rFonts w:eastAsia="SimHei" w:cs="Simplified Arabic"/>
          <w:lang w:val="es-ES"/>
        </w:rPr>
        <w:t>Se alienta a los Estados Miembros a que, cuando propongan candidatos para las becas, tengan en cuenta el equilibrio entre hombres y mujeres y la inclusión de delegados con discapacidad y con necesidades específicas.</w:t>
      </w:r>
    </w:p>
    <w:p w:rsidR="00452133" w:rsidRDefault="00452133" w:rsidP="00DD55E0">
      <w:pPr>
        <w:rPr>
          <w:lang w:val="es-ES"/>
        </w:rPr>
      </w:pPr>
      <w:r w:rsidRPr="00CE1E7D">
        <w:rPr>
          <w:b/>
          <w:bCs/>
          <w:lang w:val="es-ES"/>
        </w:rPr>
        <w:t>AYUDA PARA LA SOLICITUD DE VISADOS</w:t>
      </w:r>
      <w:r w:rsidRPr="00CE1E7D">
        <w:rPr>
          <w:lang w:val="es-ES"/>
        </w:rPr>
        <w:t>: Como la reunión se organiza fuera de</w:t>
      </w:r>
      <w:r w:rsidR="00DD55E0">
        <w:rPr>
          <w:lang w:val="es-ES"/>
        </w:rPr>
        <w:t xml:space="preserve"> Suiza</w:t>
      </w:r>
      <w:r w:rsidRPr="00CE1E7D">
        <w:rPr>
          <w:lang w:val="es-ES"/>
        </w:rPr>
        <w:t xml:space="preserve">, las solicitudes de cartas de visado deben dirigirse directamente al anfitrión de la reunión. Pueden encontrarse instrucciones en la sección </w:t>
      </w:r>
      <w:r w:rsidR="00500577">
        <w:rPr>
          <w:lang w:val="es-ES"/>
        </w:rPr>
        <w:t>"</w:t>
      </w:r>
      <w:r w:rsidRPr="00CE1E7D">
        <w:rPr>
          <w:lang w:val="es-ES"/>
        </w:rPr>
        <w:t>Información práctica</w:t>
      </w:r>
      <w:r w:rsidR="00500577">
        <w:rPr>
          <w:lang w:val="es-ES"/>
        </w:rPr>
        <w:t>"</w:t>
      </w:r>
      <w:r w:rsidRPr="00CE1E7D">
        <w:rPr>
          <w:lang w:val="es-ES"/>
        </w:rPr>
        <w:t xml:space="preserve"> de la página web del GRCE3</w:t>
      </w:r>
      <w:r w:rsidR="00B36E40">
        <w:rPr>
          <w:lang w:val="es-ES"/>
        </w:rPr>
        <w:noBreakHyphen/>
      </w:r>
      <w:r w:rsidRPr="00CE1E7D">
        <w:rPr>
          <w:lang w:val="es-ES"/>
        </w:rPr>
        <w:t>LAC en la dirección:</w:t>
      </w:r>
      <w:r w:rsidR="00B36E40">
        <w:rPr>
          <w:lang w:val="es-ES"/>
        </w:rPr>
        <w:br/>
      </w:r>
      <w:hyperlink r:id="rId26" w:history="1">
        <w:r w:rsidR="000439AD" w:rsidRPr="00CE1E7D">
          <w:rPr>
            <w:rStyle w:val="Hyperlink"/>
            <w:lang w:val="es-ES"/>
          </w:rPr>
          <w:t>https://www.itu.int/en/ITU-T/studygroups/2017-2020/02/sg2rgamr/Pages/default.aspx</w:t>
        </w:r>
      </w:hyperlink>
      <w:r w:rsidR="00500577">
        <w:rPr>
          <w:lang w:val="es-ES"/>
        </w:rPr>
        <w:t>.</w:t>
      </w:r>
    </w:p>
    <w:p w:rsidR="00540F75" w:rsidRPr="00CE1E7D" w:rsidRDefault="00540F75" w:rsidP="00500577">
      <w:pPr>
        <w:rPr>
          <w:lang w:val="es-ES"/>
        </w:rPr>
      </w:pPr>
    </w:p>
    <w:p w:rsidR="00452133" w:rsidRPr="00CE1E7D" w:rsidRDefault="00452133" w:rsidP="00452133">
      <w:pPr>
        <w:tabs>
          <w:tab w:val="clear" w:pos="794"/>
          <w:tab w:val="clear" w:pos="1191"/>
          <w:tab w:val="clear" w:pos="1588"/>
          <w:tab w:val="clear" w:pos="1985"/>
        </w:tabs>
        <w:overflowPunct/>
        <w:autoSpaceDE/>
        <w:autoSpaceDN/>
        <w:adjustRightInd/>
        <w:spacing w:before="0"/>
        <w:textAlignment w:val="auto"/>
        <w:rPr>
          <w:rFonts w:ascii="Times New Roman" w:hAnsi="Times New Roman"/>
          <w:lang w:val="es-ES"/>
        </w:rPr>
      </w:pPr>
      <w:r w:rsidRPr="00CE1E7D">
        <w:rPr>
          <w:lang w:val="es-ES"/>
        </w:rPr>
        <w:br w:type="page"/>
      </w:r>
    </w:p>
    <w:p w:rsidR="00452133" w:rsidRPr="00B36E40" w:rsidRDefault="00452133" w:rsidP="00B36E40">
      <w:pPr>
        <w:pStyle w:val="AnnexNo"/>
        <w:spacing w:before="240"/>
        <w:rPr>
          <w:b/>
          <w:bCs/>
          <w:lang w:val="es-ES_tradnl"/>
        </w:rPr>
      </w:pPr>
      <w:r w:rsidRPr="00B36E40">
        <w:rPr>
          <w:b/>
          <w:bCs/>
          <w:lang w:val="es-ES_tradnl"/>
        </w:rPr>
        <w:lastRenderedPageBreak/>
        <w:t>ANEXO B</w:t>
      </w:r>
    </w:p>
    <w:p w:rsidR="00540F75" w:rsidRDefault="00540F75" w:rsidP="00B36E40">
      <w:pPr>
        <w:pStyle w:val="AnnexTitle"/>
        <w:spacing w:before="160" w:after="120"/>
        <w:rPr>
          <w:szCs w:val="24"/>
          <w:lang w:val="es-ES"/>
        </w:rPr>
      </w:pPr>
      <w:r w:rsidRPr="00CE1E7D">
        <w:rPr>
          <w:lang w:val="es-ES"/>
        </w:rPr>
        <w:t>PROYECTO DE ORDEN DEL DÍA</w:t>
      </w:r>
    </w:p>
    <w:p w:rsidR="00452133" w:rsidRDefault="00452133" w:rsidP="00B36E40">
      <w:pPr>
        <w:spacing w:before="80" w:after="120"/>
        <w:jc w:val="center"/>
        <w:rPr>
          <w:b/>
          <w:bCs/>
          <w:lang w:val="es-ES" w:eastAsia="zh-CN"/>
        </w:rPr>
      </w:pPr>
      <w:r w:rsidRPr="001C6CD1">
        <w:rPr>
          <w:b/>
          <w:bCs/>
          <w:lang w:val="es-ES" w:eastAsia="zh-CN"/>
        </w:rPr>
        <w:t>R</w:t>
      </w:r>
      <w:r w:rsidR="00540F75" w:rsidRPr="001C6CD1">
        <w:rPr>
          <w:b/>
          <w:bCs/>
          <w:lang w:val="es-ES" w:eastAsia="zh-CN"/>
        </w:rPr>
        <w:t>eunión del</w:t>
      </w:r>
      <w:r w:rsidRPr="001C6CD1">
        <w:rPr>
          <w:b/>
          <w:bCs/>
          <w:lang w:val="es-ES" w:eastAsia="zh-CN"/>
        </w:rPr>
        <w:t xml:space="preserve"> G</w:t>
      </w:r>
      <w:r w:rsidR="00540F75" w:rsidRPr="001C6CD1">
        <w:rPr>
          <w:b/>
          <w:bCs/>
          <w:lang w:val="es-ES" w:eastAsia="zh-CN"/>
        </w:rPr>
        <w:t>rupo Regional</w:t>
      </w:r>
      <w:r w:rsidRPr="001C6CD1">
        <w:rPr>
          <w:b/>
          <w:bCs/>
          <w:lang w:val="es-ES" w:eastAsia="zh-CN"/>
        </w:rPr>
        <w:t xml:space="preserve"> </w:t>
      </w:r>
      <w:r w:rsidR="00606A74" w:rsidRPr="001C6CD1">
        <w:rPr>
          <w:b/>
          <w:bCs/>
          <w:lang w:val="es-ES" w:eastAsia="zh-CN"/>
        </w:rPr>
        <w:t>de la</w:t>
      </w:r>
      <w:r w:rsidRPr="001C6CD1">
        <w:rPr>
          <w:b/>
          <w:bCs/>
          <w:lang w:val="es-ES" w:eastAsia="zh-CN"/>
        </w:rPr>
        <w:t xml:space="preserve"> CE</w:t>
      </w:r>
      <w:r w:rsidR="000439AD" w:rsidRPr="001C6CD1">
        <w:rPr>
          <w:b/>
          <w:bCs/>
          <w:lang w:val="es-ES" w:eastAsia="zh-CN"/>
        </w:rPr>
        <w:t>2</w:t>
      </w:r>
      <w:r w:rsidRPr="001C6CD1">
        <w:rPr>
          <w:b/>
          <w:bCs/>
          <w:lang w:val="es-ES" w:eastAsia="zh-CN"/>
        </w:rPr>
        <w:t xml:space="preserve"> </w:t>
      </w:r>
      <w:r w:rsidR="00606A74" w:rsidRPr="001C6CD1">
        <w:rPr>
          <w:b/>
          <w:bCs/>
          <w:lang w:val="es-ES" w:eastAsia="zh-CN"/>
        </w:rPr>
        <w:t>del</w:t>
      </w:r>
      <w:r w:rsidRPr="001C6CD1">
        <w:rPr>
          <w:b/>
          <w:bCs/>
          <w:lang w:val="es-ES" w:eastAsia="zh-CN"/>
        </w:rPr>
        <w:t xml:space="preserve"> UIT-T </w:t>
      </w:r>
      <w:r w:rsidR="00606A74" w:rsidRPr="001C6CD1">
        <w:rPr>
          <w:b/>
          <w:bCs/>
          <w:lang w:val="es-ES" w:eastAsia="zh-CN"/>
        </w:rPr>
        <w:t xml:space="preserve">para las </w:t>
      </w:r>
      <w:r w:rsidRPr="001C6CD1">
        <w:rPr>
          <w:b/>
          <w:bCs/>
          <w:lang w:val="es-ES" w:eastAsia="zh-CN"/>
        </w:rPr>
        <w:t>A</w:t>
      </w:r>
      <w:r w:rsidR="00606A74" w:rsidRPr="001C6CD1">
        <w:rPr>
          <w:b/>
          <w:bCs/>
          <w:lang w:val="es-ES" w:eastAsia="zh-CN"/>
        </w:rPr>
        <w:t>méricas</w:t>
      </w:r>
      <w:r w:rsidR="001C6CD1">
        <w:rPr>
          <w:b/>
          <w:bCs/>
          <w:lang w:val="es-ES" w:eastAsia="zh-CN"/>
        </w:rPr>
        <w:br/>
      </w:r>
      <w:r w:rsidRPr="001C6CD1">
        <w:rPr>
          <w:b/>
          <w:bCs/>
          <w:lang w:val="es-ES" w:eastAsia="zh-CN"/>
        </w:rPr>
        <w:t>(GRCE</w:t>
      </w:r>
      <w:r w:rsidR="000439AD" w:rsidRPr="001C6CD1">
        <w:rPr>
          <w:b/>
          <w:bCs/>
          <w:lang w:val="es-ES" w:eastAsia="zh-CN"/>
        </w:rPr>
        <w:t>2</w:t>
      </w:r>
      <w:r w:rsidRPr="001C6CD1">
        <w:rPr>
          <w:b/>
          <w:bCs/>
          <w:lang w:val="es-ES" w:eastAsia="zh-CN"/>
        </w:rPr>
        <w:t>-</w:t>
      </w:r>
      <w:r w:rsidR="000439AD" w:rsidRPr="001C6CD1">
        <w:rPr>
          <w:b/>
          <w:bCs/>
          <w:lang w:val="es-ES" w:eastAsia="zh-CN"/>
        </w:rPr>
        <w:t>AMR</w:t>
      </w:r>
      <w:r w:rsidRPr="001C6CD1">
        <w:rPr>
          <w:b/>
          <w:bCs/>
          <w:lang w:val="es-ES" w:eastAsia="zh-CN"/>
        </w:rPr>
        <w:t>)</w:t>
      </w:r>
      <w:r w:rsidR="001C6CD1">
        <w:rPr>
          <w:b/>
          <w:bCs/>
          <w:lang w:val="es-ES" w:eastAsia="zh-CN"/>
        </w:rPr>
        <w:t xml:space="preserve"> </w:t>
      </w:r>
      <w:r w:rsidRPr="001C6CD1">
        <w:rPr>
          <w:b/>
          <w:bCs/>
          <w:lang w:val="es-ES" w:eastAsia="zh-CN"/>
        </w:rPr>
        <w:t>M</w:t>
      </w:r>
      <w:r w:rsidR="00606A74" w:rsidRPr="001C6CD1">
        <w:rPr>
          <w:b/>
          <w:bCs/>
          <w:lang w:val="es-ES" w:eastAsia="zh-CN"/>
        </w:rPr>
        <w:t>anagua</w:t>
      </w:r>
      <w:r w:rsidRPr="001C6CD1">
        <w:rPr>
          <w:b/>
          <w:bCs/>
          <w:lang w:val="es-ES" w:eastAsia="zh-CN"/>
        </w:rPr>
        <w:t>, N</w:t>
      </w:r>
      <w:r w:rsidR="00606A74" w:rsidRPr="001C6CD1">
        <w:rPr>
          <w:b/>
          <w:bCs/>
          <w:lang w:val="es-ES" w:eastAsia="zh-CN"/>
        </w:rPr>
        <w:t>icaragua</w:t>
      </w:r>
      <w:r w:rsidRPr="001C6CD1">
        <w:rPr>
          <w:b/>
          <w:bCs/>
          <w:lang w:val="es-ES" w:eastAsia="zh-CN"/>
        </w:rPr>
        <w:t xml:space="preserve">, 28-29 </w:t>
      </w:r>
      <w:r w:rsidR="00606A74" w:rsidRPr="001C6CD1">
        <w:rPr>
          <w:b/>
          <w:bCs/>
          <w:lang w:val="es-ES" w:eastAsia="zh-CN"/>
        </w:rPr>
        <w:t>de marzo de</w:t>
      </w:r>
      <w:r w:rsidRPr="001C6CD1">
        <w:rPr>
          <w:b/>
          <w:bCs/>
          <w:lang w:val="es-ES" w:eastAsia="zh-CN"/>
        </w:rPr>
        <w:t xml:space="preserve"> 2019</w:t>
      </w:r>
    </w:p>
    <w:tbl>
      <w:tblPr>
        <w:tblW w:w="948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787"/>
        <w:gridCol w:w="8696"/>
      </w:tblGrid>
      <w:tr w:rsidR="000439AD" w:rsidRPr="000439AD" w:rsidTr="00DC75AF">
        <w:trPr>
          <w:jc w:val="center"/>
        </w:trPr>
        <w:tc>
          <w:tcPr>
            <w:tcW w:w="787" w:type="dxa"/>
            <w:shd w:val="clear" w:color="auto" w:fill="DBE5F1" w:themeFill="accent1" w:themeFillTint="33"/>
            <w:tcMar>
              <w:top w:w="0" w:type="dxa"/>
              <w:left w:w="108" w:type="dxa"/>
              <w:bottom w:w="0" w:type="dxa"/>
              <w:right w:w="108" w:type="dxa"/>
            </w:tcMar>
            <w:vAlign w:val="center"/>
            <w:hideMark/>
          </w:tcPr>
          <w:p w:rsidR="000439AD" w:rsidRPr="000439AD" w:rsidRDefault="000439AD" w:rsidP="0051775F">
            <w:pPr>
              <w:spacing w:before="60" w:after="60"/>
              <w:jc w:val="center"/>
              <w:rPr>
                <w:b/>
                <w:bCs/>
                <w:color w:val="212121"/>
                <w:sz w:val="20"/>
                <w:lang w:val="es-ES" w:eastAsia="zh-CN"/>
              </w:rPr>
            </w:pPr>
            <w:r w:rsidRPr="000439AD">
              <w:rPr>
                <w:b/>
                <w:bCs/>
                <w:color w:val="212121"/>
                <w:sz w:val="20"/>
                <w:lang w:val="es-ES"/>
              </w:rPr>
              <w:t>1</w:t>
            </w:r>
          </w:p>
        </w:tc>
        <w:tc>
          <w:tcPr>
            <w:tcW w:w="8696" w:type="dxa"/>
            <w:tcMar>
              <w:top w:w="0" w:type="dxa"/>
              <w:left w:w="108" w:type="dxa"/>
              <w:bottom w:w="0" w:type="dxa"/>
              <w:right w:w="108" w:type="dxa"/>
            </w:tcMar>
            <w:hideMark/>
          </w:tcPr>
          <w:p w:rsidR="000439AD" w:rsidRPr="000439AD" w:rsidRDefault="000439AD" w:rsidP="0051775F">
            <w:pPr>
              <w:spacing w:before="60" w:after="60"/>
              <w:rPr>
                <w:color w:val="212121"/>
                <w:sz w:val="20"/>
                <w:lang w:val="es-ES"/>
              </w:rPr>
            </w:pPr>
            <w:r w:rsidRPr="00CE1E7D">
              <w:rPr>
                <w:color w:val="212121"/>
                <w:sz w:val="20"/>
                <w:lang w:val="es-ES"/>
              </w:rPr>
              <w:t>Apertura de la reunión</w:t>
            </w:r>
          </w:p>
        </w:tc>
      </w:tr>
      <w:tr w:rsidR="000439AD" w:rsidRPr="000439AD" w:rsidTr="00DC75AF">
        <w:trPr>
          <w:jc w:val="center"/>
        </w:trPr>
        <w:tc>
          <w:tcPr>
            <w:tcW w:w="787" w:type="dxa"/>
            <w:shd w:val="clear" w:color="auto" w:fill="DBE5F1" w:themeFill="accent1" w:themeFillTint="33"/>
            <w:tcMar>
              <w:top w:w="0" w:type="dxa"/>
              <w:left w:w="108" w:type="dxa"/>
              <w:bottom w:w="0" w:type="dxa"/>
              <w:right w:w="108" w:type="dxa"/>
            </w:tcMar>
            <w:vAlign w:val="center"/>
            <w:hideMark/>
          </w:tcPr>
          <w:p w:rsidR="000439AD" w:rsidRPr="000439AD" w:rsidRDefault="000439AD" w:rsidP="0051775F">
            <w:pPr>
              <w:spacing w:before="60" w:after="60"/>
              <w:jc w:val="center"/>
              <w:rPr>
                <w:b/>
                <w:bCs/>
                <w:color w:val="212121"/>
                <w:sz w:val="20"/>
                <w:lang w:val="es-ES"/>
              </w:rPr>
            </w:pPr>
            <w:r w:rsidRPr="000439AD">
              <w:rPr>
                <w:b/>
                <w:bCs/>
                <w:color w:val="212121"/>
                <w:sz w:val="20"/>
                <w:lang w:val="es-ES"/>
              </w:rPr>
              <w:t>2</w:t>
            </w:r>
          </w:p>
        </w:tc>
        <w:tc>
          <w:tcPr>
            <w:tcW w:w="8696" w:type="dxa"/>
            <w:tcMar>
              <w:top w:w="0" w:type="dxa"/>
              <w:left w:w="108" w:type="dxa"/>
              <w:bottom w:w="0" w:type="dxa"/>
              <w:right w:w="108" w:type="dxa"/>
            </w:tcMar>
            <w:hideMark/>
          </w:tcPr>
          <w:p w:rsidR="000439AD" w:rsidRPr="000439AD" w:rsidRDefault="000439AD" w:rsidP="0051775F">
            <w:pPr>
              <w:spacing w:before="60" w:after="60"/>
              <w:rPr>
                <w:color w:val="212121"/>
                <w:sz w:val="20"/>
                <w:lang w:val="es-ES"/>
              </w:rPr>
            </w:pPr>
            <w:r w:rsidRPr="00CE1E7D">
              <w:rPr>
                <w:color w:val="212121"/>
                <w:sz w:val="20"/>
                <w:lang w:val="es-ES"/>
              </w:rPr>
              <w:t xml:space="preserve">Adopción del orden del día </w:t>
            </w:r>
          </w:p>
        </w:tc>
      </w:tr>
      <w:tr w:rsidR="000439AD" w:rsidRPr="000439AD" w:rsidTr="00DC75AF">
        <w:trPr>
          <w:jc w:val="center"/>
        </w:trPr>
        <w:tc>
          <w:tcPr>
            <w:tcW w:w="787" w:type="dxa"/>
            <w:shd w:val="clear" w:color="auto" w:fill="DBE5F1" w:themeFill="accent1" w:themeFillTint="33"/>
            <w:tcMar>
              <w:top w:w="0" w:type="dxa"/>
              <w:left w:w="108" w:type="dxa"/>
              <w:bottom w:w="0" w:type="dxa"/>
              <w:right w:w="108" w:type="dxa"/>
            </w:tcMar>
            <w:vAlign w:val="center"/>
            <w:hideMark/>
          </w:tcPr>
          <w:p w:rsidR="000439AD" w:rsidRPr="000439AD" w:rsidRDefault="000439AD" w:rsidP="0051775F">
            <w:pPr>
              <w:spacing w:before="60" w:after="60"/>
              <w:jc w:val="center"/>
              <w:rPr>
                <w:b/>
                <w:bCs/>
                <w:color w:val="212121"/>
                <w:sz w:val="20"/>
                <w:lang w:val="es-ES"/>
              </w:rPr>
            </w:pPr>
            <w:r w:rsidRPr="000439AD">
              <w:rPr>
                <w:b/>
                <w:bCs/>
                <w:color w:val="212121"/>
                <w:sz w:val="20"/>
                <w:lang w:val="es-ES"/>
              </w:rPr>
              <w:t>3</w:t>
            </w:r>
          </w:p>
        </w:tc>
        <w:tc>
          <w:tcPr>
            <w:tcW w:w="8696" w:type="dxa"/>
            <w:tcMar>
              <w:top w:w="0" w:type="dxa"/>
              <w:left w:w="108" w:type="dxa"/>
              <w:bottom w:w="0" w:type="dxa"/>
              <w:right w:w="108" w:type="dxa"/>
            </w:tcMar>
            <w:hideMark/>
          </w:tcPr>
          <w:p w:rsidR="000439AD" w:rsidRPr="000439AD" w:rsidRDefault="000439AD" w:rsidP="0051775F">
            <w:pPr>
              <w:spacing w:before="60" w:after="60"/>
              <w:rPr>
                <w:color w:val="212121"/>
                <w:sz w:val="20"/>
                <w:lang w:val="es-ES"/>
              </w:rPr>
            </w:pPr>
            <w:r w:rsidRPr="00CE1E7D">
              <w:rPr>
                <w:rFonts w:cs="Segoe UI"/>
                <w:color w:val="212121"/>
                <w:sz w:val="20"/>
                <w:lang w:val="es-ES"/>
              </w:rPr>
              <w:t>Descripción general de la Comisión de Estudio 2 y métodos de trabajo</w:t>
            </w:r>
          </w:p>
        </w:tc>
      </w:tr>
      <w:tr w:rsidR="000439AD" w:rsidRPr="000439AD" w:rsidTr="00DC75AF">
        <w:trPr>
          <w:jc w:val="center"/>
        </w:trPr>
        <w:tc>
          <w:tcPr>
            <w:tcW w:w="787" w:type="dxa"/>
            <w:shd w:val="clear" w:color="auto" w:fill="DBE5F1" w:themeFill="accent1" w:themeFillTint="33"/>
            <w:tcMar>
              <w:top w:w="0" w:type="dxa"/>
              <w:left w:w="108" w:type="dxa"/>
              <w:bottom w:w="0" w:type="dxa"/>
              <w:right w:w="108" w:type="dxa"/>
            </w:tcMar>
            <w:vAlign w:val="center"/>
            <w:hideMark/>
          </w:tcPr>
          <w:p w:rsidR="000439AD" w:rsidRPr="000439AD" w:rsidRDefault="000439AD" w:rsidP="0051775F">
            <w:pPr>
              <w:spacing w:before="60" w:after="60"/>
              <w:jc w:val="center"/>
              <w:rPr>
                <w:b/>
                <w:bCs/>
                <w:color w:val="212121"/>
                <w:sz w:val="20"/>
                <w:lang w:val="es-ES"/>
              </w:rPr>
            </w:pPr>
            <w:r w:rsidRPr="000439AD">
              <w:rPr>
                <w:b/>
                <w:bCs/>
                <w:color w:val="212121"/>
                <w:sz w:val="20"/>
                <w:lang w:val="es-ES"/>
              </w:rPr>
              <w:t>4</w:t>
            </w:r>
          </w:p>
        </w:tc>
        <w:tc>
          <w:tcPr>
            <w:tcW w:w="8696" w:type="dxa"/>
            <w:tcMar>
              <w:top w:w="0" w:type="dxa"/>
              <w:left w:w="108" w:type="dxa"/>
              <w:bottom w:w="0" w:type="dxa"/>
              <w:right w:w="108" w:type="dxa"/>
            </w:tcMar>
            <w:hideMark/>
          </w:tcPr>
          <w:p w:rsidR="000439AD" w:rsidRPr="000439AD" w:rsidRDefault="000439AD" w:rsidP="0051775F">
            <w:pPr>
              <w:spacing w:before="60" w:after="60"/>
              <w:rPr>
                <w:color w:val="212121"/>
                <w:sz w:val="20"/>
                <w:lang w:val="es-ES"/>
              </w:rPr>
            </w:pPr>
            <w:r w:rsidRPr="00CE1E7D">
              <w:rPr>
                <w:rFonts w:cs="Segoe UI"/>
                <w:color w:val="212121"/>
                <w:sz w:val="20"/>
                <w:lang w:val="es-ES"/>
              </w:rPr>
              <w:t>Examen de los resultados de reuniones anteriores de la CE2 tutora y del Grupo regional</w:t>
            </w:r>
          </w:p>
        </w:tc>
      </w:tr>
      <w:tr w:rsidR="000439AD" w:rsidRPr="000439AD" w:rsidTr="00DC75AF">
        <w:trPr>
          <w:jc w:val="center"/>
        </w:trPr>
        <w:tc>
          <w:tcPr>
            <w:tcW w:w="787" w:type="dxa"/>
            <w:shd w:val="clear" w:color="auto" w:fill="DBE5F1" w:themeFill="accent1" w:themeFillTint="33"/>
            <w:tcMar>
              <w:top w:w="0" w:type="dxa"/>
              <w:left w:w="108" w:type="dxa"/>
              <w:bottom w:w="0" w:type="dxa"/>
              <w:right w:w="108" w:type="dxa"/>
            </w:tcMar>
            <w:vAlign w:val="center"/>
          </w:tcPr>
          <w:p w:rsidR="000439AD" w:rsidRPr="000439AD" w:rsidRDefault="000439AD" w:rsidP="0051775F">
            <w:pPr>
              <w:spacing w:before="60" w:after="60"/>
              <w:jc w:val="center"/>
              <w:rPr>
                <w:b/>
                <w:bCs/>
                <w:color w:val="212121"/>
                <w:sz w:val="20"/>
                <w:lang w:val="es-ES"/>
              </w:rPr>
            </w:pPr>
          </w:p>
        </w:tc>
        <w:tc>
          <w:tcPr>
            <w:tcW w:w="8696" w:type="dxa"/>
            <w:tcMar>
              <w:top w:w="0" w:type="dxa"/>
              <w:left w:w="108" w:type="dxa"/>
              <w:bottom w:w="0" w:type="dxa"/>
              <w:right w:w="108" w:type="dxa"/>
            </w:tcMar>
          </w:tcPr>
          <w:p w:rsidR="000439AD" w:rsidRPr="000439AD" w:rsidRDefault="000439AD" w:rsidP="0051775F">
            <w:pPr>
              <w:spacing w:before="60" w:after="60"/>
              <w:rPr>
                <w:rFonts w:cs="Segoe UI"/>
                <w:color w:val="212121"/>
                <w:sz w:val="20"/>
                <w:lang w:val="es-ES"/>
              </w:rPr>
            </w:pPr>
            <w:r w:rsidRPr="00CE1E7D">
              <w:rPr>
                <w:sz w:val="20"/>
                <w:lang w:val="es-ES"/>
              </w:rPr>
              <w:t>Mandato y método de trabajo del GRCE2-AMR</w:t>
            </w:r>
          </w:p>
        </w:tc>
      </w:tr>
      <w:tr w:rsidR="000439AD" w:rsidRPr="000439AD" w:rsidTr="00DC75AF">
        <w:trPr>
          <w:trHeight w:val="2678"/>
          <w:jc w:val="center"/>
        </w:trPr>
        <w:tc>
          <w:tcPr>
            <w:tcW w:w="787" w:type="dxa"/>
            <w:shd w:val="clear" w:color="auto" w:fill="DBE5F1" w:themeFill="accent1" w:themeFillTint="33"/>
            <w:tcMar>
              <w:top w:w="0" w:type="dxa"/>
              <w:left w:w="108" w:type="dxa"/>
              <w:bottom w:w="0" w:type="dxa"/>
              <w:right w:w="108" w:type="dxa"/>
            </w:tcMar>
            <w:vAlign w:val="center"/>
            <w:hideMark/>
          </w:tcPr>
          <w:p w:rsidR="000439AD" w:rsidRPr="000439AD" w:rsidRDefault="000439AD" w:rsidP="000439AD">
            <w:pPr>
              <w:spacing w:before="100" w:after="120"/>
              <w:jc w:val="center"/>
              <w:rPr>
                <w:b/>
                <w:bCs/>
                <w:color w:val="000000"/>
                <w:sz w:val="20"/>
                <w:lang w:val="es-ES"/>
              </w:rPr>
            </w:pPr>
            <w:r w:rsidRPr="000439AD">
              <w:rPr>
                <w:b/>
                <w:bCs/>
                <w:color w:val="000000"/>
                <w:sz w:val="20"/>
                <w:lang w:val="es-ES"/>
              </w:rPr>
              <w:t>5</w:t>
            </w:r>
          </w:p>
        </w:tc>
        <w:tc>
          <w:tcPr>
            <w:tcW w:w="8696" w:type="dxa"/>
            <w:tcMar>
              <w:top w:w="0" w:type="dxa"/>
              <w:left w:w="108" w:type="dxa"/>
              <w:bottom w:w="0" w:type="dxa"/>
              <w:right w:w="108" w:type="dxa"/>
            </w:tcMar>
            <w:hideMark/>
          </w:tcPr>
          <w:p w:rsidR="000439AD" w:rsidRPr="000439AD" w:rsidRDefault="000439AD" w:rsidP="0051775F">
            <w:pPr>
              <w:spacing w:before="80" w:after="80"/>
              <w:rPr>
                <w:bCs/>
                <w:color w:val="000000"/>
                <w:sz w:val="20"/>
                <w:lang w:val="es-ES"/>
              </w:rPr>
            </w:pPr>
            <w:r w:rsidRPr="00CE1E7D">
              <w:rPr>
                <w:bCs/>
                <w:color w:val="000000"/>
                <w:sz w:val="20"/>
                <w:lang w:val="es-ES"/>
              </w:rPr>
              <w:t>Visión general de las actuales actividad</w:t>
            </w:r>
            <w:r w:rsidR="00FD0746">
              <w:rPr>
                <w:bCs/>
                <w:color w:val="000000"/>
                <w:sz w:val="20"/>
                <w:lang w:val="es-ES"/>
              </w:rPr>
              <w:t>es de la Comisión de Estudio 2:</w:t>
            </w:r>
          </w:p>
          <w:p w:rsidR="000439AD" w:rsidRPr="001553B5" w:rsidRDefault="00FD0746" w:rsidP="00B36E40">
            <w:pPr>
              <w:pStyle w:val="enumlev1"/>
              <w:tabs>
                <w:tab w:val="clear" w:pos="794"/>
                <w:tab w:val="left" w:pos="378"/>
              </w:tabs>
              <w:spacing w:before="60"/>
              <w:ind w:left="391" w:hanging="391"/>
              <w:rPr>
                <w:sz w:val="20"/>
                <w:lang w:val="es-ES"/>
              </w:rPr>
            </w:pPr>
            <w:r w:rsidRPr="001553B5">
              <w:rPr>
                <w:sz w:val="22"/>
                <w:szCs w:val="22"/>
                <w:lang w:val="es-ES"/>
              </w:rPr>
              <w:t>a</w:t>
            </w:r>
            <w:r w:rsidRPr="001553B5">
              <w:rPr>
                <w:sz w:val="20"/>
                <w:lang w:val="es-ES"/>
              </w:rPr>
              <w:t>.</w:t>
            </w:r>
            <w:r w:rsidRPr="001553B5">
              <w:rPr>
                <w:sz w:val="20"/>
                <w:lang w:val="es-ES"/>
              </w:rPr>
              <w:tab/>
            </w:r>
            <w:r w:rsidR="000439AD" w:rsidRPr="001553B5">
              <w:rPr>
                <w:sz w:val="20"/>
                <w:lang w:val="es-ES"/>
              </w:rPr>
              <w:t xml:space="preserve">Administración del Indicativo E.212 de país para el servicio móvil/indicativo de red para el servicio </w:t>
            </w:r>
            <w:r w:rsidR="000439AD" w:rsidRPr="001553B5">
              <w:rPr>
                <w:bCs/>
                <w:color w:val="000000"/>
                <w:sz w:val="20"/>
                <w:lang w:val="es-ES"/>
              </w:rPr>
              <w:t>móvil</w:t>
            </w:r>
            <w:r w:rsidR="000439AD" w:rsidRPr="001553B5">
              <w:rPr>
                <w:sz w:val="20"/>
                <w:lang w:val="es-ES"/>
              </w:rPr>
              <w:t>, el código de punto de señalización internacional Q.708;</w:t>
            </w:r>
          </w:p>
          <w:p w:rsidR="000439AD" w:rsidRPr="000439AD" w:rsidRDefault="00FD0746" w:rsidP="00B36E40">
            <w:pPr>
              <w:pStyle w:val="enumlev1"/>
              <w:tabs>
                <w:tab w:val="clear" w:pos="794"/>
                <w:tab w:val="left" w:pos="378"/>
              </w:tabs>
              <w:spacing w:before="60"/>
              <w:rPr>
                <w:rFonts w:cs="Calibri"/>
                <w:color w:val="000000"/>
                <w:sz w:val="20"/>
                <w:lang w:val="es-ES"/>
              </w:rPr>
            </w:pPr>
            <w:r>
              <w:rPr>
                <w:sz w:val="20"/>
                <w:lang w:val="es-ES"/>
              </w:rPr>
              <w:t>b.</w:t>
            </w:r>
            <w:r>
              <w:rPr>
                <w:sz w:val="20"/>
                <w:lang w:val="es-ES"/>
              </w:rPr>
              <w:tab/>
            </w:r>
            <w:r w:rsidR="000439AD" w:rsidRPr="00FD0746">
              <w:rPr>
                <w:sz w:val="20"/>
                <w:lang w:val="es-ES"/>
              </w:rPr>
              <w:t>Identificación</w:t>
            </w:r>
            <w:r w:rsidR="000439AD" w:rsidRPr="00CE1E7D">
              <w:rPr>
                <w:rFonts w:cs="Calibri"/>
                <w:color w:val="000000"/>
                <w:sz w:val="20"/>
                <w:lang w:val="es-ES"/>
              </w:rPr>
              <w:t xml:space="preserve"> de IoT</w:t>
            </w:r>
            <w:r w:rsidR="000439AD" w:rsidRPr="000439AD">
              <w:rPr>
                <w:rFonts w:cs="Calibri"/>
                <w:color w:val="000000"/>
                <w:sz w:val="20"/>
                <w:lang w:val="es-ES"/>
              </w:rPr>
              <w:t>;</w:t>
            </w:r>
          </w:p>
          <w:p w:rsidR="000439AD" w:rsidRPr="000439AD" w:rsidRDefault="00FD0746" w:rsidP="00B36E40">
            <w:pPr>
              <w:pStyle w:val="enumlev1"/>
              <w:tabs>
                <w:tab w:val="clear" w:pos="794"/>
                <w:tab w:val="left" w:pos="378"/>
              </w:tabs>
              <w:spacing w:before="60"/>
              <w:rPr>
                <w:rFonts w:cs="Calibri"/>
                <w:color w:val="000000"/>
                <w:sz w:val="20"/>
                <w:lang w:val="es-ES"/>
              </w:rPr>
            </w:pPr>
            <w:r>
              <w:rPr>
                <w:sz w:val="20"/>
                <w:lang w:val="es-ES"/>
              </w:rPr>
              <w:t>c.</w:t>
            </w:r>
            <w:r>
              <w:rPr>
                <w:sz w:val="20"/>
                <w:lang w:val="es-ES"/>
              </w:rPr>
              <w:tab/>
            </w:r>
            <w:r w:rsidR="000439AD" w:rsidRPr="00FD0746">
              <w:rPr>
                <w:sz w:val="20"/>
                <w:lang w:val="es-ES"/>
              </w:rPr>
              <w:t>Lucha</w:t>
            </w:r>
            <w:r w:rsidR="000439AD" w:rsidRPr="00CE1E7D">
              <w:rPr>
                <w:rFonts w:cs="Calibri"/>
                <w:color w:val="000000"/>
                <w:sz w:val="20"/>
                <w:lang w:val="es-ES"/>
              </w:rPr>
              <w:t xml:space="preserve"> contra </w:t>
            </w:r>
            <w:r w:rsidR="000439AD" w:rsidRPr="00503D4F">
              <w:rPr>
                <w:sz w:val="20"/>
                <w:lang w:val="es-ES"/>
              </w:rPr>
              <w:t>el</w:t>
            </w:r>
            <w:r w:rsidR="000439AD" w:rsidRPr="00CE1E7D">
              <w:rPr>
                <w:rFonts w:cs="Calibri"/>
                <w:color w:val="000000"/>
                <w:sz w:val="20"/>
                <w:lang w:val="es-ES"/>
              </w:rPr>
              <w:t xml:space="preserve"> uso indebido de los recursos nacionales de numeración</w:t>
            </w:r>
            <w:r w:rsidR="000439AD" w:rsidRPr="000439AD">
              <w:rPr>
                <w:rFonts w:cs="Calibri"/>
                <w:color w:val="000000"/>
                <w:sz w:val="20"/>
                <w:lang w:val="es-ES"/>
              </w:rPr>
              <w:t>;</w:t>
            </w:r>
          </w:p>
          <w:p w:rsidR="000439AD" w:rsidRPr="000439AD" w:rsidRDefault="00FD0746" w:rsidP="00B36E40">
            <w:pPr>
              <w:pStyle w:val="enumlev1"/>
              <w:tabs>
                <w:tab w:val="clear" w:pos="794"/>
                <w:tab w:val="left" w:pos="378"/>
              </w:tabs>
              <w:spacing w:before="60"/>
              <w:rPr>
                <w:rFonts w:cs="Calibri"/>
                <w:color w:val="000000"/>
                <w:sz w:val="20"/>
                <w:lang w:val="es-ES"/>
              </w:rPr>
            </w:pPr>
            <w:r>
              <w:rPr>
                <w:sz w:val="20"/>
                <w:lang w:val="es-ES"/>
              </w:rPr>
              <w:t>d.</w:t>
            </w:r>
            <w:r>
              <w:rPr>
                <w:sz w:val="20"/>
                <w:lang w:val="es-ES"/>
              </w:rPr>
              <w:tab/>
            </w:r>
            <w:r w:rsidR="000439AD" w:rsidRPr="00FD0746">
              <w:rPr>
                <w:sz w:val="20"/>
                <w:lang w:val="es-ES"/>
              </w:rPr>
              <w:t>Suplantación</w:t>
            </w:r>
            <w:r w:rsidR="000439AD" w:rsidRPr="00CE1E7D">
              <w:rPr>
                <w:rFonts w:cs="Calibri"/>
                <w:color w:val="000000"/>
                <w:sz w:val="20"/>
                <w:lang w:val="es-ES"/>
              </w:rPr>
              <w:t xml:space="preserve"> de identidad de parte llamante y</w:t>
            </w:r>
            <w:r w:rsidR="000439AD" w:rsidRPr="00CE1E7D">
              <w:rPr>
                <w:lang w:val="es-ES"/>
              </w:rPr>
              <w:t xml:space="preserve"> </w:t>
            </w:r>
            <w:r w:rsidR="000439AD" w:rsidRPr="00CE1E7D">
              <w:rPr>
                <w:rFonts w:cs="Calibri"/>
                <w:color w:val="000000"/>
                <w:sz w:val="20"/>
                <w:lang w:val="es-ES"/>
              </w:rPr>
              <w:t>comunicación del número de la parte llamante</w:t>
            </w:r>
            <w:r w:rsidR="000439AD" w:rsidRPr="000439AD">
              <w:rPr>
                <w:rFonts w:cs="Calibri"/>
                <w:color w:val="000000"/>
                <w:sz w:val="20"/>
                <w:lang w:val="es-ES"/>
              </w:rPr>
              <w:t>;</w:t>
            </w:r>
          </w:p>
          <w:p w:rsidR="000439AD" w:rsidRPr="000439AD" w:rsidRDefault="00FD0746" w:rsidP="00B36E40">
            <w:pPr>
              <w:pStyle w:val="enumlev1"/>
              <w:tabs>
                <w:tab w:val="clear" w:pos="794"/>
                <w:tab w:val="left" w:pos="378"/>
              </w:tabs>
              <w:spacing w:before="60"/>
              <w:rPr>
                <w:rFonts w:cs="Calibri"/>
                <w:color w:val="000000"/>
                <w:sz w:val="20"/>
                <w:lang w:val="es-ES"/>
              </w:rPr>
            </w:pPr>
            <w:r>
              <w:rPr>
                <w:sz w:val="20"/>
                <w:lang w:val="es-ES"/>
              </w:rPr>
              <w:t>e.</w:t>
            </w:r>
            <w:r>
              <w:rPr>
                <w:sz w:val="20"/>
                <w:lang w:val="es-ES"/>
              </w:rPr>
              <w:tab/>
            </w:r>
            <w:r w:rsidR="000439AD" w:rsidRPr="00FD0746">
              <w:rPr>
                <w:sz w:val="20"/>
                <w:lang w:val="es-ES"/>
              </w:rPr>
              <w:t>Procedimientos</w:t>
            </w:r>
            <w:r w:rsidR="000439AD" w:rsidRPr="00CE1E7D">
              <w:rPr>
                <w:rFonts w:cs="Calibri"/>
                <w:color w:val="000000"/>
                <w:sz w:val="20"/>
                <w:lang w:val="es-ES"/>
              </w:rPr>
              <w:t xml:space="preserve"> de llamada alternativos</w:t>
            </w:r>
            <w:r w:rsidR="000439AD" w:rsidRPr="000439AD">
              <w:rPr>
                <w:rFonts w:cs="Calibri"/>
                <w:color w:val="000000"/>
                <w:sz w:val="20"/>
                <w:lang w:val="es-ES"/>
              </w:rPr>
              <w:t>;</w:t>
            </w:r>
          </w:p>
          <w:p w:rsidR="000439AD" w:rsidRPr="000439AD" w:rsidRDefault="00FD0746" w:rsidP="00B36E40">
            <w:pPr>
              <w:pStyle w:val="enumlev1"/>
              <w:tabs>
                <w:tab w:val="clear" w:pos="794"/>
                <w:tab w:val="left" w:pos="378"/>
              </w:tabs>
              <w:spacing w:before="60"/>
              <w:rPr>
                <w:rFonts w:cs="Calibri"/>
                <w:color w:val="000000"/>
                <w:sz w:val="20"/>
                <w:lang w:val="es-ES"/>
              </w:rPr>
            </w:pPr>
            <w:r>
              <w:rPr>
                <w:sz w:val="20"/>
                <w:lang w:val="es-ES"/>
              </w:rPr>
              <w:t>f.</w:t>
            </w:r>
            <w:r>
              <w:rPr>
                <w:sz w:val="20"/>
                <w:lang w:val="es-ES"/>
              </w:rPr>
              <w:tab/>
            </w:r>
            <w:r w:rsidR="000439AD" w:rsidRPr="00FD0746">
              <w:rPr>
                <w:sz w:val="20"/>
                <w:lang w:val="es-ES"/>
              </w:rPr>
              <w:t>Portabilidad</w:t>
            </w:r>
            <w:r w:rsidR="000439AD" w:rsidRPr="00CE1E7D">
              <w:rPr>
                <w:rFonts w:cs="Calibri"/>
                <w:color w:val="000000"/>
                <w:sz w:val="20"/>
                <w:lang w:val="es-ES"/>
              </w:rPr>
              <w:t xml:space="preserve"> de números para los recursos de numeración </w:t>
            </w:r>
            <w:r w:rsidR="000439AD" w:rsidRPr="000439AD">
              <w:rPr>
                <w:rFonts w:cs="Calibri"/>
                <w:color w:val="000000"/>
                <w:sz w:val="20"/>
                <w:lang w:val="es-ES"/>
              </w:rPr>
              <w:t>IoT/M2M;</w:t>
            </w:r>
          </w:p>
          <w:p w:rsidR="000439AD" w:rsidRPr="000439AD" w:rsidRDefault="00FD0746" w:rsidP="00B36E40">
            <w:pPr>
              <w:pStyle w:val="enumlev1"/>
              <w:tabs>
                <w:tab w:val="clear" w:pos="794"/>
                <w:tab w:val="left" w:pos="378"/>
              </w:tabs>
              <w:spacing w:before="60"/>
              <w:rPr>
                <w:rFonts w:cs="Calibri"/>
                <w:color w:val="000000"/>
                <w:sz w:val="20"/>
                <w:lang w:val="es-ES"/>
              </w:rPr>
            </w:pPr>
            <w:r>
              <w:rPr>
                <w:sz w:val="20"/>
                <w:lang w:val="es-ES"/>
              </w:rPr>
              <w:t>g.</w:t>
            </w:r>
            <w:r>
              <w:rPr>
                <w:sz w:val="20"/>
                <w:lang w:val="es-ES"/>
              </w:rPr>
              <w:tab/>
            </w:r>
            <w:r w:rsidR="000439AD" w:rsidRPr="00CE1E7D">
              <w:rPr>
                <w:sz w:val="20"/>
                <w:lang w:val="es-ES"/>
              </w:rPr>
              <w:t>Localización de llamadas de servicios de emergencia</w:t>
            </w:r>
            <w:r w:rsidR="000439AD" w:rsidRPr="000439AD">
              <w:rPr>
                <w:sz w:val="20"/>
                <w:lang w:val="es-ES"/>
              </w:rPr>
              <w:t>;</w:t>
            </w:r>
          </w:p>
          <w:p w:rsidR="000439AD" w:rsidRPr="000439AD" w:rsidRDefault="00FD0746" w:rsidP="00B36E40">
            <w:pPr>
              <w:pStyle w:val="enumlev1"/>
              <w:tabs>
                <w:tab w:val="clear" w:pos="794"/>
                <w:tab w:val="left" w:pos="378"/>
              </w:tabs>
              <w:spacing w:before="60"/>
              <w:rPr>
                <w:rFonts w:cs="Calibri"/>
                <w:color w:val="000000"/>
                <w:sz w:val="20"/>
                <w:lang w:val="es-ES"/>
              </w:rPr>
            </w:pPr>
            <w:r>
              <w:rPr>
                <w:sz w:val="20"/>
                <w:lang w:val="es-ES"/>
              </w:rPr>
              <w:t>h.</w:t>
            </w:r>
            <w:r>
              <w:rPr>
                <w:sz w:val="20"/>
                <w:lang w:val="es-ES"/>
              </w:rPr>
              <w:tab/>
            </w:r>
            <w:r w:rsidR="000439AD" w:rsidRPr="000439AD">
              <w:rPr>
                <w:sz w:val="20"/>
                <w:lang w:val="es-ES"/>
              </w:rPr>
              <w:t>U</w:t>
            </w:r>
            <w:r w:rsidR="000439AD" w:rsidRPr="00CE1E7D">
              <w:rPr>
                <w:sz w:val="20"/>
                <w:lang w:val="es-ES"/>
              </w:rPr>
              <w:t>tilización de números telefónicos por partes interesadas distintas de los operadores;</w:t>
            </w:r>
          </w:p>
          <w:p w:rsidR="000439AD" w:rsidRPr="000439AD" w:rsidRDefault="00FD0746" w:rsidP="00B36E40">
            <w:pPr>
              <w:pStyle w:val="enumlev1"/>
              <w:tabs>
                <w:tab w:val="clear" w:pos="794"/>
                <w:tab w:val="left" w:pos="378"/>
              </w:tabs>
              <w:spacing w:before="60" w:after="120"/>
              <w:rPr>
                <w:color w:val="000000"/>
                <w:sz w:val="20"/>
                <w:lang w:val="es-ES"/>
              </w:rPr>
            </w:pPr>
            <w:r>
              <w:rPr>
                <w:sz w:val="20"/>
                <w:lang w:val="es-ES"/>
              </w:rPr>
              <w:t>i.</w:t>
            </w:r>
            <w:r>
              <w:rPr>
                <w:sz w:val="20"/>
                <w:lang w:val="es-ES"/>
              </w:rPr>
              <w:tab/>
            </w:r>
            <w:r w:rsidR="000439AD" w:rsidRPr="00FD0746">
              <w:rPr>
                <w:sz w:val="20"/>
                <w:lang w:val="es-ES"/>
              </w:rPr>
              <w:t>Servicios</w:t>
            </w:r>
            <w:r w:rsidR="000439AD" w:rsidRPr="00CE1E7D">
              <w:rPr>
                <w:rFonts w:cs="Calibri"/>
                <w:color w:val="000000"/>
                <w:sz w:val="20"/>
                <w:lang w:val="es-ES"/>
              </w:rPr>
              <w:t xml:space="preserve"> </w:t>
            </w:r>
            <w:r w:rsidR="0069011F" w:rsidRPr="00503D4F">
              <w:rPr>
                <w:sz w:val="20"/>
                <w:lang w:val="es-ES"/>
              </w:rPr>
              <w:t>financieros</w:t>
            </w:r>
            <w:r w:rsidR="000439AD" w:rsidRPr="00CE1E7D">
              <w:rPr>
                <w:rFonts w:cs="Calibri"/>
                <w:color w:val="000000"/>
                <w:sz w:val="20"/>
                <w:lang w:val="es-ES"/>
              </w:rPr>
              <w:t xml:space="preserve"> digitales y finanzas de las telecomunicaciones.</w:t>
            </w:r>
          </w:p>
        </w:tc>
      </w:tr>
      <w:tr w:rsidR="000439AD" w:rsidRPr="000439AD" w:rsidTr="00DC75AF">
        <w:trPr>
          <w:jc w:val="center"/>
        </w:trPr>
        <w:tc>
          <w:tcPr>
            <w:tcW w:w="787" w:type="dxa"/>
            <w:shd w:val="clear" w:color="auto" w:fill="DBE5F1" w:themeFill="accent1" w:themeFillTint="33"/>
            <w:tcMar>
              <w:top w:w="0" w:type="dxa"/>
              <w:left w:w="108" w:type="dxa"/>
              <w:bottom w:w="0" w:type="dxa"/>
              <w:right w:w="108" w:type="dxa"/>
            </w:tcMar>
            <w:vAlign w:val="center"/>
            <w:hideMark/>
          </w:tcPr>
          <w:p w:rsidR="000439AD" w:rsidRPr="000439AD" w:rsidRDefault="000439AD" w:rsidP="000439AD">
            <w:pPr>
              <w:spacing w:before="100" w:after="120"/>
              <w:jc w:val="center"/>
              <w:rPr>
                <w:b/>
                <w:bCs/>
                <w:color w:val="000000"/>
                <w:sz w:val="20"/>
                <w:lang w:val="es-ES"/>
              </w:rPr>
            </w:pPr>
            <w:r w:rsidRPr="000439AD">
              <w:rPr>
                <w:b/>
                <w:bCs/>
                <w:color w:val="000000"/>
                <w:sz w:val="20"/>
                <w:lang w:val="es-ES"/>
              </w:rPr>
              <w:t>6</w:t>
            </w:r>
          </w:p>
        </w:tc>
        <w:tc>
          <w:tcPr>
            <w:tcW w:w="8696" w:type="dxa"/>
            <w:tcMar>
              <w:top w:w="0" w:type="dxa"/>
              <w:left w:w="108" w:type="dxa"/>
              <w:bottom w:w="0" w:type="dxa"/>
              <w:right w:w="108" w:type="dxa"/>
            </w:tcMar>
            <w:hideMark/>
          </w:tcPr>
          <w:p w:rsidR="000439AD" w:rsidRPr="000439AD" w:rsidRDefault="0069011F" w:rsidP="0051775F">
            <w:pPr>
              <w:spacing w:before="80" w:after="80"/>
              <w:rPr>
                <w:color w:val="000000"/>
                <w:sz w:val="20"/>
                <w:lang w:val="es-ES"/>
              </w:rPr>
            </w:pPr>
            <w:r w:rsidRPr="00CE1E7D">
              <w:rPr>
                <w:color w:val="000000"/>
                <w:sz w:val="20"/>
                <w:lang w:val="es-ES"/>
              </w:rPr>
              <w:t>Para</w:t>
            </w:r>
            <w:r w:rsidR="000439AD" w:rsidRPr="000439AD">
              <w:rPr>
                <w:color w:val="000000"/>
                <w:sz w:val="20"/>
                <w:lang w:val="es-ES"/>
              </w:rPr>
              <w:t xml:space="preserve"> </w:t>
            </w:r>
            <w:r w:rsidRPr="00CE1E7D">
              <w:rPr>
                <w:color w:val="000000"/>
                <w:sz w:val="20"/>
                <w:lang w:val="es-ES"/>
              </w:rPr>
              <w:t>información</w:t>
            </w:r>
            <w:r w:rsidR="000439AD" w:rsidRPr="000439AD">
              <w:rPr>
                <w:color w:val="000000"/>
                <w:sz w:val="20"/>
                <w:lang w:val="es-ES"/>
              </w:rPr>
              <w:t>:</w:t>
            </w:r>
          </w:p>
          <w:p w:rsidR="000439AD" w:rsidRPr="000439AD" w:rsidRDefault="00A77224" w:rsidP="0051775F">
            <w:pPr>
              <w:pStyle w:val="enumlev1"/>
              <w:tabs>
                <w:tab w:val="clear" w:pos="794"/>
                <w:tab w:val="left" w:pos="378"/>
              </w:tabs>
              <w:spacing w:before="60"/>
              <w:ind w:left="391" w:hanging="391"/>
              <w:rPr>
                <w:rFonts w:cs="Calibri"/>
                <w:color w:val="000000"/>
                <w:sz w:val="20"/>
                <w:lang w:val="es-ES"/>
              </w:rPr>
            </w:pPr>
            <w:r>
              <w:rPr>
                <w:sz w:val="20"/>
                <w:lang w:val="es-ES"/>
              </w:rPr>
              <w:t>a.</w:t>
            </w:r>
            <w:r>
              <w:rPr>
                <w:sz w:val="20"/>
                <w:lang w:val="es-ES"/>
              </w:rPr>
              <w:tab/>
            </w:r>
            <w:r w:rsidR="000439AD" w:rsidRPr="00A77224">
              <w:rPr>
                <w:sz w:val="20"/>
                <w:lang w:val="es-ES"/>
              </w:rPr>
              <w:t>Num</w:t>
            </w:r>
            <w:r w:rsidR="0069011F" w:rsidRPr="00A77224">
              <w:rPr>
                <w:sz w:val="20"/>
                <w:lang w:val="es-ES"/>
              </w:rPr>
              <w:t>eración</w:t>
            </w:r>
            <w:r w:rsidR="0069011F" w:rsidRPr="00CE1E7D">
              <w:rPr>
                <w:rFonts w:cs="Calibri"/>
                <w:color w:val="000000"/>
                <w:sz w:val="20"/>
                <w:lang w:val="es-ES"/>
              </w:rPr>
              <w:t xml:space="preserve"> para llamadas de emergencia desde el automóvil y Reglamento de la ONU sobre Sistemas de llamadas de emergencia en caso de accidente</w:t>
            </w:r>
            <w:r w:rsidR="000439AD" w:rsidRPr="000439AD">
              <w:rPr>
                <w:rFonts w:cs="Calibri"/>
                <w:color w:val="000000"/>
                <w:sz w:val="20"/>
                <w:lang w:val="es-ES"/>
              </w:rPr>
              <w:t>;</w:t>
            </w:r>
          </w:p>
          <w:p w:rsidR="000439AD" w:rsidRPr="000439AD" w:rsidRDefault="00A77224" w:rsidP="00B36E40">
            <w:pPr>
              <w:pStyle w:val="enumlev1"/>
              <w:tabs>
                <w:tab w:val="clear" w:pos="794"/>
                <w:tab w:val="left" w:pos="378"/>
              </w:tabs>
              <w:spacing w:before="60"/>
              <w:ind w:left="391" w:hanging="391"/>
              <w:rPr>
                <w:rFonts w:cs="Calibri"/>
                <w:color w:val="000000"/>
                <w:sz w:val="20"/>
                <w:lang w:val="es-ES"/>
              </w:rPr>
            </w:pPr>
            <w:r>
              <w:rPr>
                <w:sz w:val="20"/>
                <w:lang w:val="es-ES"/>
              </w:rPr>
              <w:t>b.</w:t>
            </w:r>
            <w:r>
              <w:rPr>
                <w:sz w:val="20"/>
                <w:lang w:val="es-ES"/>
              </w:rPr>
              <w:tab/>
            </w:r>
            <w:r w:rsidR="0069011F" w:rsidRPr="00A77224">
              <w:rPr>
                <w:sz w:val="20"/>
                <w:lang w:val="es-ES"/>
              </w:rPr>
              <w:t>Posible</w:t>
            </w:r>
            <w:r w:rsidR="0069011F" w:rsidRPr="00CE1E7D">
              <w:rPr>
                <w:rFonts w:cs="Calibri"/>
                <w:color w:val="000000"/>
                <w:sz w:val="20"/>
                <w:lang w:val="es-ES"/>
              </w:rPr>
              <w:t xml:space="preserve"> repercusión de la actividad de la UE en relación con el </w:t>
            </w:r>
            <w:r w:rsidR="000439AD" w:rsidRPr="000439AD">
              <w:rPr>
                <w:rFonts w:cs="Calibri"/>
                <w:color w:val="000000"/>
                <w:sz w:val="20"/>
                <w:lang w:val="es-ES"/>
              </w:rPr>
              <w:t xml:space="preserve">GDPR </w:t>
            </w:r>
            <w:r w:rsidR="0069011F" w:rsidRPr="00CE1E7D">
              <w:rPr>
                <w:rFonts w:cs="Calibri"/>
                <w:color w:val="000000"/>
                <w:sz w:val="20"/>
                <w:lang w:val="es-ES"/>
              </w:rPr>
              <w:t>y</w:t>
            </w:r>
            <w:r w:rsidR="000439AD" w:rsidRPr="000439AD">
              <w:rPr>
                <w:rFonts w:cs="Calibri"/>
                <w:color w:val="000000"/>
                <w:sz w:val="20"/>
                <w:lang w:val="es-ES"/>
              </w:rPr>
              <w:t xml:space="preserve"> </w:t>
            </w:r>
            <w:r w:rsidR="00500577">
              <w:rPr>
                <w:rFonts w:cs="Calibri"/>
                <w:color w:val="000000"/>
                <w:sz w:val="20"/>
                <w:lang w:val="es-ES"/>
              </w:rPr>
              <w:t>"</w:t>
            </w:r>
            <w:r w:rsidR="000439AD" w:rsidRPr="000439AD">
              <w:rPr>
                <w:rFonts w:cs="Calibri"/>
                <w:color w:val="000000"/>
                <w:sz w:val="20"/>
                <w:lang w:val="es-ES"/>
              </w:rPr>
              <w:t>Prop</w:t>
            </w:r>
            <w:r w:rsidR="0069011F" w:rsidRPr="00CE1E7D">
              <w:rPr>
                <w:rFonts w:cs="Calibri"/>
                <w:color w:val="000000"/>
                <w:sz w:val="20"/>
                <w:lang w:val="es-ES"/>
              </w:rPr>
              <w:t>uesta de reglamentación sobre la privacidad en las comunicaciones electrónicas</w:t>
            </w:r>
            <w:r w:rsidR="00500577">
              <w:rPr>
                <w:rFonts w:cs="Calibri"/>
                <w:color w:val="000000"/>
                <w:sz w:val="20"/>
                <w:lang w:val="es-ES"/>
              </w:rPr>
              <w:t>"</w:t>
            </w:r>
            <w:r w:rsidR="0069011F" w:rsidRPr="00CE1E7D">
              <w:rPr>
                <w:rFonts w:cs="Calibri"/>
                <w:color w:val="000000"/>
                <w:sz w:val="20"/>
                <w:lang w:val="es-ES"/>
              </w:rPr>
              <w:t xml:space="preserve"> sobre el aspecto operativo: visión global del </w:t>
            </w:r>
            <w:r w:rsidR="000439AD" w:rsidRPr="000439AD">
              <w:rPr>
                <w:rFonts w:cs="Calibri"/>
                <w:color w:val="000000"/>
                <w:sz w:val="20"/>
                <w:lang w:val="es-ES"/>
              </w:rPr>
              <w:t>GDPR;</w:t>
            </w:r>
          </w:p>
          <w:p w:rsidR="000439AD" w:rsidRPr="000439AD" w:rsidRDefault="00A77224" w:rsidP="00B36E40">
            <w:pPr>
              <w:pStyle w:val="enumlev1"/>
              <w:tabs>
                <w:tab w:val="clear" w:pos="794"/>
                <w:tab w:val="left" w:pos="378"/>
              </w:tabs>
              <w:spacing w:before="60" w:after="60"/>
              <w:ind w:left="391" w:hanging="391"/>
              <w:rPr>
                <w:color w:val="000000"/>
                <w:sz w:val="20"/>
                <w:lang w:val="es-ES"/>
              </w:rPr>
            </w:pPr>
            <w:r>
              <w:rPr>
                <w:sz w:val="20"/>
                <w:lang w:val="es-ES"/>
              </w:rPr>
              <w:t>c.</w:t>
            </w:r>
            <w:r>
              <w:rPr>
                <w:sz w:val="20"/>
                <w:lang w:val="es-ES"/>
              </w:rPr>
              <w:tab/>
            </w:r>
            <w:r w:rsidR="00500577" w:rsidRPr="00A77224">
              <w:rPr>
                <w:sz w:val="20"/>
                <w:lang w:val="es-ES"/>
              </w:rPr>
              <w:t>Aspectos</w:t>
            </w:r>
            <w:r w:rsidR="00500577">
              <w:rPr>
                <w:rFonts w:cs="Calibri"/>
                <w:color w:val="000000"/>
                <w:sz w:val="20"/>
                <w:lang w:val="es-ES"/>
              </w:rPr>
              <w:t xml:space="preserve"> destacados </w:t>
            </w:r>
            <w:r w:rsidR="0069011F" w:rsidRPr="00CE1E7D">
              <w:rPr>
                <w:rFonts w:cs="Calibri"/>
                <w:color w:val="000000"/>
                <w:sz w:val="20"/>
                <w:lang w:val="es-ES"/>
              </w:rPr>
              <w:t xml:space="preserve">de la Cumbre Mundial </w:t>
            </w:r>
            <w:r w:rsidR="000439AD" w:rsidRPr="000439AD">
              <w:rPr>
                <w:rFonts w:cs="Calibri"/>
                <w:color w:val="000000"/>
                <w:sz w:val="20"/>
                <w:lang w:val="es-ES"/>
              </w:rPr>
              <w:t xml:space="preserve">AI for Good, </w:t>
            </w:r>
            <w:r w:rsidR="0069011F" w:rsidRPr="00CE1E7D">
              <w:rPr>
                <w:rFonts w:cs="Calibri"/>
                <w:color w:val="000000"/>
                <w:sz w:val="20"/>
                <w:lang w:val="es-ES"/>
              </w:rPr>
              <w:t xml:space="preserve">semana de la </w:t>
            </w:r>
            <w:r w:rsidR="000439AD" w:rsidRPr="000439AD">
              <w:rPr>
                <w:rFonts w:cs="Calibri"/>
                <w:color w:val="000000"/>
                <w:sz w:val="20"/>
                <w:lang w:val="es-ES"/>
              </w:rPr>
              <w:t xml:space="preserve">IoT </w:t>
            </w:r>
            <w:r w:rsidR="0069011F" w:rsidRPr="00CE1E7D">
              <w:rPr>
                <w:rFonts w:cs="Calibri"/>
                <w:color w:val="000000"/>
                <w:sz w:val="20"/>
                <w:lang w:val="es-ES"/>
              </w:rPr>
              <w:t>y Foro de la</w:t>
            </w:r>
            <w:r w:rsidR="00B36E40">
              <w:rPr>
                <w:rFonts w:cs="Calibri"/>
                <w:color w:val="000000"/>
                <w:sz w:val="20"/>
                <w:lang w:val="es-ES"/>
              </w:rPr>
              <w:t> </w:t>
            </w:r>
            <w:r w:rsidR="0069011F" w:rsidRPr="00CE1E7D">
              <w:rPr>
                <w:rFonts w:cs="Calibri"/>
                <w:color w:val="000000"/>
                <w:sz w:val="20"/>
                <w:lang w:val="es-ES"/>
              </w:rPr>
              <w:t>CMSI</w:t>
            </w:r>
            <w:r w:rsidR="000439AD" w:rsidRPr="000439AD">
              <w:rPr>
                <w:rFonts w:cs="Calibri"/>
                <w:color w:val="000000"/>
                <w:sz w:val="20"/>
                <w:lang w:val="es-ES"/>
              </w:rPr>
              <w:t>.</w:t>
            </w:r>
          </w:p>
        </w:tc>
      </w:tr>
      <w:tr w:rsidR="000439AD" w:rsidRPr="000439AD" w:rsidTr="00DC75AF">
        <w:trPr>
          <w:jc w:val="center"/>
        </w:trPr>
        <w:tc>
          <w:tcPr>
            <w:tcW w:w="787" w:type="dxa"/>
            <w:shd w:val="clear" w:color="auto" w:fill="DBE5F1" w:themeFill="accent1" w:themeFillTint="33"/>
            <w:tcMar>
              <w:top w:w="0" w:type="dxa"/>
              <w:left w:w="108" w:type="dxa"/>
              <w:bottom w:w="0" w:type="dxa"/>
              <w:right w:w="108" w:type="dxa"/>
            </w:tcMar>
            <w:vAlign w:val="center"/>
            <w:hideMark/>
          </w:tcPr>
          <w:p w:rsidR="000439AD" w:rsidRPr="000439AD" w:rsidRDefault="000439AD" w:rsidP="000439AD">
            <w:pPr>
              <w:spacing w:before="100" w:after="120"/>
              <w:jc w:val="center"/>
              <w:rPr>
                <w:b/>
                <w:bCs/>
                <w:color w:val="212121"/>
                <w:sz w:val="20"/>
                <w:lang w:val="es-ES"/>
              </w:rPr>
            </w:pPr>
            <w:r w:rsidRPr="000439AD">
              <w:rPr>
                <w:b/>
                <w:bCs/>
                <w:color w:val="212121"/>
                <w:sz w:val="20"/>
                <w:lang w:val="es-ES"/>
              </w:rPr>
              <w:t>7</w:t>
            </w:r>
          </w:p>
        </w:tc>
        <w:tc>
          <w:tcPr>
            <w:tcW w:w="8696" w:type="dxa"/>
            <w:tcMar>
              <w:top w:w="0" w:type="dxa"/>
              <w:left w:w="108" w:type="dxa"/>
              <w:bottom w:w="0" w:type="dxa"/>
              <w:right w:w="108" w:type="dxa"/>
            </w:tcMar>
            <w:hideMark/>
          </w:tcPr>
          <w:p w:rsidR="000439AD" w:rsidRPr="000439AD" w:rsidRDefault="0069011F" w:rsidP="0051775F">
            <w:pPr>
              <w:spacing w:before="80" w:after="80"/>
              <w:rPr>
                <w:color w:val="212121"/>
                <w:sz w:val="20"/>
                <w:lang w:val="es-ES"/>
              </w:rPr>
            </w:pPr>
            <w:r w:rsidRPr="00CE1E7D">
              <w:rPr>
                <w:color w:val="212121"/>
                <w:sz w:val="20"/>
                <w:lang w:val="es-ES"/>
              </w:rPr>
              <w:t xml:space="preserve">Elaboración del Plan Nacional de Numeración: experiencias y desafíos </w:t>
            </w:r>
          </w:p>
          <w:p w:rsidR="000439AD" w:rsidRPr="000439AD" w:rsidRDefault="000439AD" w:rsidP="0051775F">
            <w:pPr>
              <w:spacing w:before="80" w:after="80"/>
              <w:rPr>
                <w:color w:val="212121"/>
                <w:sz w:val="20"/>
                <w:lang w:val="es-ES"/>
              </w:rPr>
            </w:pPr>
            <w:r w:rsidRPr="000439AD">
              <w:rPr>
                <w:sz w:val="20"/>
                <w:lang w:val="es-ES"/>
              </w:rPr>
              <w:t>Demo</w:t>
            </w:r>
            <w:r w:rsidR="0069011F" w:rsidRPr="00CE1E7D">
              <w:rPr>
                <w:sz w:val="20"/>
                <w:lang w:val="es-ES"/>
              </w:rPr>
              <w:t>stración del nuevo depósito de Planes Nacionales de Numeración (Res. 91 de la AMNT) (presentación de la TSB).</w:t>
            </w:r>
          </w:p>
        </w:tc>
      </w:tr>
      <w:tr w:rsidR="000439AD" w:rsidRPr="000439AD" w:rsidTr="00DC75AF">
        <w:trPr>
          <w:jc w:val="center"/>
        </w:trPr>
        <w:tc>
          <w:tcPr>
            <w:tcW w:w="787" w:type="dxa"/>
            <w:shd w:val="clear" w:color="auto" w:fill="DBE5F1" w:themeFill="accent1" w:themeFillTint="33"/>
            <w:tcMar>
              <w:top w:w="0" w:type="dxa"/>
              <w:left w:w="108" w:type="dxa"/>
              <w:bottom w:w="0" w:type="dxa"/>
              <w:right w:w="108" w:type="dxa"/>
            </w:tcMar>
            <w:vAlign w:val="center"/>
            <w:hideMark/>
          </w:tcPr>
          <w:p w:rsidR="000439AD" w:rsidRPr="000439AD" w:rsidRDefault="000439AD" w:rsidP="0051775F">
            <w:pPr>
              <w:spacing w:before="80" w:after="80"/>
              <w:jc w:val="center"/>
              <w:rPr>
                <w:b/>
                <w:bCs/>
                <w:color w:val="212121"/>
                <w:sz w:val="20"/>
                <w:lang w:val="es-ES"/>
              </w:rPr>
            </w:pPr>
            <w:r w:rsidRPr="000439AD">
              <w:rPr>
                <w:b/>
                <w:bCs/>
                <w:color w:val="212121"/>
                <w:sz w:val="20"/>
                <w:lang w:val="es-ES"/>
              </w:rPr>
              <w:t>8</w:t>
            </w:r>
          </w:p>
        </w:tc>
        <w:tc>
          <w:tcPr>
            <w:tcW w:w="8696" w:type="dxa"/>
            <w:tcMar>
              <w:top w:w="0" w:type="dxa"/>
              <w:left w:w="108" w:type="dxa"/>
              <w:bottom w:w="0" w:type="dxa"/>
              <w:right w:w="108" w:type="dxa"/>
            </w:tcMar>
            <w:hideMark/>
          </w:tcPr>
          <w:p w:rsidR="000439AD" w:rsidRPr="000439AD" w:rsidRDefault="0069011F" w:rsidP="0051775F">
            <w:pPr>
              <w:spacing w:before="80" w:after="80"/>
              <w:rPr>
                <w:color w:val="00B050"/>
                <w:sz w:val="20"/>
                <w:lang w:val="es-ES"/>
              </w:rPr>
            </w:pPr>
            <w:r w:rsidRPr="00CE1E7D">
              <w:rPr>
                <w:color w:val="212121"/>
                <w:sz w:val="20"/>
                <w:lang w:val="es-ES"/>
              </w:rPr>
              <w:t>Armonización de números importantes de utilidad social, como son los números de emergencia</w:t>
            </w:r>
            <w:r w:rsidR="000439AD" w:rsidRPr="000439AD">
              <w:rPr>
                <w:color w:val="212121"/>
                <w:sz w:val="20"/>
                <w:lang w:val="es-ES"/>
              </w:rPr>
              <w:t>, etc.</w:t>
            </w:r>
          </w:p>
        </w:tc>
      </w:tr>
      <w:tr w:rsidR="000439AD" w:rsidRPr="000439AD" w:rsidTr="00DC75AF">
        <w:trPr>
          <w:jc w:val="center"/>
        </w:trPr>
        <w:tc>
          <w:tcPr>
            <w:tcW w:w="787" w:type="dxa"/>
            <w:shd w:val="clear" w:color="auto" w:fill="DBE5F1" w:themeFill="accent1" w:themeFillTint="33"/>
            <w:tcMar>
              <w:top w:w="0" w:type="dxa"/>
              <w:left w:w="108" w:type="dxa"/>
              <w:bottom w:w="0" w:type="dxa"/>
              <w:right w:w="108" w:type="dxa"/>
            </w:tcMar>
            <w:vAlign w:val="center"/>
          </w:tcPr>
          <w:p w:rsidR="000439AD" w:rsidRPr="000439AD" w:rsidRDefault="000439AD" w:rsidP="0051775F">
            <w:pPr>
              <w:spacing w:before="80" w:after="80"/>
              <w:jc w:val="center"/>
              <w:rPr>
                <w:b/>
                <w:bCs/>
                <w:color w:val="212121"/>
                <w:sz w:val="20"/>
                <w:lang w:val="es-ES"/>
              </w:rPr>
            </w:pPr>
            <w:r w:rsidRPr="000439AD">
              <w:rPr>
                <w:b/>
                <w:bCs/>
                <w:color w:val="212121"/>
                <w:sz w:val="20"/>
                <w:lang w:val="es-ES"/>
              </w:rPr>
              <w:t>9</w:t>
            </w:r>
          </w:p>
        </w:tc>
        <w:tc>
          <w:tcPr>
            <w:tcW w:w="8696" w:type="dxa"/>
            <w:tcMar>
              <w:top w:w="0" w:type="dxa"/>
              <w:left w:w="108" w:type="dxa"/>
              <w:bottom w:w="0" w:type="dxa"/>
              <w:right w:w="108" w:type="dxa"/>
            </w:tcMar>
          </w:tcPr>
          <w:p w:rsidR="000439AD" w:rsidRPr="000439AD" w:rsidRDefault="000439AD" w:rsidP="0051775F">
            <w:pPr>
              <w:spacing w:before="80" w:after="80"/>
              <w:rPr>
                <w:color w:val="00B050"/>
                <w:sz w:val="20"/>
                <w:lang w:val="es-ES"/>
              </w:rPr>
            </w:pPr>
            <w:r w:rsidRPr="000439AD">
              <w:rPr>
                <w:color w:val="212121"/>
                <w:sz w:val="20"/>
                <w:lang w:val="es-ES"/>
              </w:rPr>
              <w:t>Inter</w:t>
            </w:r>
            <w:r w:rsidR="0069011F" w:rsidRPr="00CE1E7D">
              <w:rPr>
                <w:color w:val="212121"/>
                <w:sz w:val="20"/>
                <w:lang w:val="es-ES"/>
              </w:rPr>
              <w:t xml:space="preserve">funcionamiento entre aplicaciones de telecomunicaciones basadas en IP y las redes </w:t>
            </w:r>
            <w:r w:rsidR="00F013F9" w:rsidRPr="00CE1E7D">
              <w:rPr>
                <w:color w:val="212121"/>
                <w:sz w:val="20"/>
                <w:lang w:val="es-ES"/>
              </w:rPr>
              <w:t>RTPC/PLMN tradicionales</w:t>
            </w:r>
            <w:r w:rsidRPr="000439AD">
              <w:rPr>
                <w:color w:val="212121"/>
                <w:sz w:val="20"/>
                <w:lang w:val="es-ES"/>
              </w:rPr>
              <w:br/>
            </w:r>
            <w:hyperlink r:id="rId27" w:history="1">
              <w:r w:rsidRPr="00CE1E7D">
                <w:rPr>
                  <w:color w:val="0000FF"/>
                  <w:sz w:val="20"/>
                  <w:u w:val="single"/>
                  <w:lang w:val="es-ES"/>
                </w:rPr>
                <w:t>revis</w:t>
              </w:r>
              <w:r w:rsidR="00F013F9" w:rsidRPr="00CE1E7D">
                <w:rPr>
                  <w:color w:val="0000FF"/>
                  <w:sz w:val="20"/>
                  <w:u w:val="single"/>
                  <w:lang w:val="es-ES"/>
                </w:rPr>
                <w:t>ión de</w:t>
              </w:r>
              <w:r w:rsidRPr="00CE1E7D">
                <w:rPr>
                  <w:color w:val="0000FF"/>
                  <w:sz w:val="20"/>
                  <w:u w:val="single"/>
                  <w:lang w:val="es-ES"/>
                </w:rPr>
                <w:t xml:space="preserve"> E.112</w:t>
              </w:r>
            </w:hyperlink>
            <w:r w:rsidRPr="000439AD">
              <w:rPr>
                <w:sz w:val="20"/>
                <w:lang w:val="es-ES"/>
              </w:rPr>
              <w:t>/</w:t>
            </w:r>
            <w:hyperlink r:id="rId28" w:history="1">
              <w:r w:rsidRPr="00CE1E7D">
                <w:rPr>
                  <w:color w:val="0000FF"/>
                  <w:sz w:val="20"/>
                  <w:u w:val="single"/>
                  <w:lang w:val="es-ES"/>
                </w:rPr>
                <w:t>revis</w:t>
              </w:r>
              <w:r w:rsidR="00F013F9" w:rsidRPr="00CE1E7D">
                <w:rPr>
                  <w:color w:val="0000FF"/>
                  <w:sz w:val="20"/>
                  <w:u w:val="single"/>
                  <w:lang w:val="es-ES"/>
                </w:rPr>
                <w:t>ión de</w:t>
              </w:r>
              <w:r w:rsidRPr="00CE1E7D">
                <w:rPr>
                  <w:color w:val="0000FF"/>
                  <w:sz w:val="20"/>
                  <w:u w:val="single"/>
                  <w:lang w:val="es-ES"/>
                </w:rPr>
                <w:t xml:space="preserve"> E.370</w:t>
              </w:r>
            </w:hyperlink>
            <w:r w:rsidRPr="00CE1E7D">
              <w:rPr>
                <w:color w:val="0000FF"/>
                <w:sz w:val="20"/>
                <w:u w:val="single"/>
                <w:lang w:val="es-ES"/>
              </w:rPr>
              <w:t>/</w:t>
            </w:r>
            <w:hyperlink r:id="rId29" w:history="1">
              <w:r w:rsidRPr="00CE1E7D">
                <w:rPr>
                  <w:color w:val="0000FF"/>
                  <w:sz w:val="20"/>
                  <w:u w:val="single"/>
                  <w:lang w:val="es-ES"/>
                </w:rPr>
                <w:t>E.dit</w:t>
              </w:r>
            </w:hyperlink>
          </w:p>
        </w:tc>
      </w:tr>
      <w:tr w:rsidR="000439AD" w:rsidRPr="000439AD" w:rsidTr="00DC75AF">
        <w:trPr>
          <w:jc w:val="center"/>
        </w:trPr>
        <w:tc>
          <w:tcPr>
            <w:tcW w:w="787" w:type="dxa"/>
            <w:shd w:val="clear" w:color="auto" w:fill="DBE5F1" w:themeFill="accent1" w:themeFillTint="33"/>
            <w:tcMar>
              <w:top w:w="0" w:type="dxa"/>
              <w:left w:w="108" w:type="dxa"/>
              <w:bottom w:w="0" w:type="dxa"/>
              <w:right w:w="108" w:type="dxa"/>
            </w:tcMar>
            <w:vAlign w:val="center"/>
          </w:tcPr>
          <w:p w:rsidR="000439AD" w:rsidRPr="000439AD" w:rsidRDefault="000439AD" w:rsidP="000439AD">
            <w:pPr>
              <w:spacing w:before="100" w:after="120"/>
              <w:jc w:val="center"/>
              <w:rPr>
                <w:b/>
                <w:bCs/>
                <w:color w:val="212121"/>
                <w:sz w:val="20"/>
                <w:lang w:val="es-ES"/>
              </w:rPr>
            </w:pPr>
            <w:r w:rsidRPr="000439AD">
              <w:rPr>
                <w:b/>
                <w:bCs/>
                <w:color w:val="212121"/>
                <w:sz w:val="20"/>
                <w:lang w:val="es-ES"/>
              </w:rPr>
              <w:t>10</w:t>
            </w:r>
          </w:p>
        </w:tc>
        <w:tc>
          <w:tcPr>
            <w:tcW w:w="8696" w:type="dxa"/>
            <w:tcMar>
              <w:top w:w="0" w:type="dxa"/>
              <w:left w:w="108" w:type="dxa"/>
              <w:bottom w:w="0" w:type="dxa"/>
              <w:right w:w="108" w:type="dxa"/>
            </w:tcMar>
          </w:tcPr>
          <w:p w:rsidR="000439AD" w:rsidRPr="000439AD" w:rsidRDefault="00F013F9" w:rsidP="00B36E40">
            <w:pPr>
              <w:spacing w:before="80" w:after="80"/>
              <w:rPr>
                <w:color w:val="212121"/>
                <w:sz w:val="20"/>
                <w:lang w:val="es-ES"/>
              </w:rPr>
            </w:pPr>
            <w:r w:rsidRPr="00CE1E7D">
              <w:rPr>
                <w:color w:val="212121"/>
                <w:sz w:val="20"/>
                <w:lang w:val="es-ES"/>
              </w:rPr>
              <w:t>Cuestiones pertinentes para los países de la Región</w:t>
            </w:r>
          </w:p>
        </w:tc>
      </w:tr>
      <w:tr w:rsidR="000439AD" w:rsidRPr="000439AD" w:rsidTr="00DC75AF">
        <w:trPr>
          <w:jc w:val="center"/>
        </w:trPr>
        <w:tc>
          <w:tcPr>
            <w:tcW w:w="787" w:type="dxa"/>
            <w:shd w:val="clear" w:color="auto" w:fill="DBE5F1" w:themeFill="accent1" w:themeFillTint="33"/>
            <w:tcMar>
              <w:top w:w="0" w:type="dxa"/>
              <w:left w:w="108" w:type="dxa"/>
              <w:bottom w:w="0" w:type="dxa"/>
              <w:right w:w="108" w:type="dxa"/>
            </w:tcMar>
            <w:vAlign w:val="center"/>
            <w:hideMark/>
          </w:tcPr>
          <w:p w:rsidR="000439AD" w:rsidRPr="000439AD" w:rsidRDefault="000439AD" w:rsidP="000439AD">
            <w:pPr>
              <w:spacing w:before="100" w:after="120"/>
              <w:jc w:val="center"/>
              <w:rPr>
                <w:b/>
                <w:bCs/>
                <w:color w:val="212121"/>
                <w:sz w:val="20"/>
                <w:lang w:val="es-ES"/>
              </w:rPr>
            </w:pPr>
            <w:r w:rsidRPr="000439AD">
              <w:rPr>
                <w:b/>
                <w:bCs/>
                <w:color w:val="212121"/>
                <w:sz w:val="20"/>
                <w:lang w:val="es-ES"/>
              </w:rPr>
              <w:t>11</w:t>
            </w:r>
          </w:p>
        </w:tc>
        <w:tc>
          <w:tcPr>
            <w:tcW w:w="8696" w:type="dxa"/>
            <w:tcMar>
              <w:top w:w="0" w:type="dxa"/>
              <w:left w:w="108" w:type="dxa"/>
              <w:bottom w:w="0" w:type="dxa"/>
              <w:right w:w="108" w:type="dxa"/>
            </w:tcMar>
            <w:hideMark/>
          </w:tcPr>
          <w:p w:rsidR="000439AD" w:rsidRPr="000439AD" w:rsidRDefault="00F013F9" w:rsidP="00B36E40">
            <w:pPr>
              <w:spacing w:before="80" w:after="80"/>
              <w:rPr>
                <w:color w:val="212121"/>
                <w:sz w:val="20"/>
                <w:lang w:val="es-ES"/>
              </w:rPr>
            </w:pPr>
            <w:r w:rsidRPr="00CE1E7D">
              <w:rPr>
                <w:color w:val="212121"/>
                <w:sz w:val="20"/>
                <w:lang w:val="es-ES"/>
              </w:rPr>
              <w:t>Contribuciones del GRCE2-AMR y de los Miembros a la próxima reunión de la Comisión de Estudio</w:t>
            </w:r>
            <w:r w:rsidR="00B36E40">
              <w:rPr>
                <w:color w:val="212121"/>
                <w:sz w:val="20"/>
                <w:lang w:val="es-ES"/>
              </w:rPr>
              <w:t> </w:t>
            </w:r>
            <w:r w:rsidRPr="00CE1E7D">
              <w:rPr>
                <w:color w:val="212121"/>
                <w:sz w:val="20"/>
                <w:lang w:val="es-ES"/>
              </w:rPr>
              <w:t>2 del</w:t>
            </w:r>
            <w:r w:rsidR="009E2483">
              <w:rPr>
                <w:color w:val="212121"/>
                <w:sz w:val="20"/>
                <w:lang w:val="es-ES"/>
              </w:rPr>
              <w:t> </w:t>
            </w:r>
            <w:r w:rsidRPr="00CE1E7D">
              <w:rPr>
                <w:color w:val="212121"/>
                <w:sz w:val="20"/>
                <w:lang w:val="es-ES"/>
              </w:rPr>
              <w:t>UIT-T</w:t>
            </w:r>
          </w:p>
        </w:tc>
      </w:tr>
      <w:tr w:rsidR="000439AD" w:rsidRPr="000439AD" w:rsidTr="00DC75AF">
        <w:trPr>
          <w:jc w:val="center"/>
        </w:trPr>
        <w:tc>
          <w:tcPr>
            <w:tcW w:w="787" w:type="dxa"/>
            <w:shd w:val="clear" w:color="auto" w:fill="DBE5F1" w:themeFill="accent1" w:themeFillTint="33"/>
            <w:tcMar>
              <w:top w:w="0" w:type="dxa"/>
              <w:left w:w="108" w:type="dxa"/>
              <w:bottom w:w="0" w:type="dxa"/>
              <w:right w:w="108" w:type="dxa"/>
            </w:tcMar>
            <w:vAlign w:val="center"/>
            <w:hideMark/>
          </w:tcPr>
          <w:p w:rsidR="000439AD" w:rsidRPr="000439AD" w:rsidRDefault="000439AD" w:rsidP="000439AD">
            <w:pPr>
              <w:spacing w:before="100" w:after="120"/>
              <w:jc w:val="center"/>
              <w:rPr>
                <w:b/>
                <w:bCs/>
                <w:color w:val="212121"/>
                <w:sz w:val="20"/>
                <w:lang w:val="es-ES"/>
              </w:rPr>
            </w:pPr>
            <w:r w:rsidRPr="000439AD">
              <w:rPr>
                <w:b/>
                <w:bCs/>
                <w:color w:val="212121"/>
                <w:sz w:val="20"/>
                <w:lang w:val="es-ES"/>
              </w:rPr>
              <w:t>12</w:t>
            </w:r>
          </w:p>
        </w:tc>
        <w:tc>
          <w:tcPr>
            <w:tcW w:w="8696" w:type="dxa"/>
            <w:tcMar>
              <w:top w:w="0" w:type="dxa"/>
              <w:left w:w="108" w:type="dxa"/>
              <w:bottom w:w="0" w:type="dxa"/>
              <w:right w:w="108" w:type="dxa"/>
            </w:tcMar>
            <w:hideMark/>
          </w:tcPr>
          <w:p w:rsidR="000439AD" w:rsidRPr="000439AD" w:rsidRDefault="00F013F9" w:rsidP="00B36E40">
            <w:pPr>
              <w:spacing w:before="80" w:after="80"/>
              <w:rPr>
                <w:color w:val="212121"/>
                <w:sz w:val="20"/>
                <w:lang w:val="es-ES"/>
              </w:rPr>
            </w:pPr>
            <w:r w:rsidRPr="00CE1E7D">
              <w:rPr>
                <w:color w:val="212121"/>
                <w:sz w:val="20"/>
                <w:lang w:val="es-ES"/>
              </w:rPr>
              <w:t>Lugar y fecha de celebración de la próxima reunión del GRCE2-AMR</w:t>
            </w:r>
          </w:p>
        </w:tc>
      </w:tr>
      <w:tr w:rsidR="000439AD" w:rsidRPr="000439AD" w:rsidTr="00DC75AF">
        <w:trPr>
          <w:jc w:val="center"/>
        </w:trPr>
        <w:tc>
          <w:tcPr>
            <w:tcW w:w="787" w:type="dxa"/>
            <w:shd w:val="clear" w:color="auto" w:fill="DBE5F1" w:themeFill="accent1" w:themeFillTint="33"/>
            <w:tcMar>
              <w:top w:w="0" w:type="dxa"/>
              <w:left w:w="108" w:type="dxa"/>
              <w:bottom w:w="0" w:type="dxa"/>
              <w:right w:w="108" w:type="dxa"/>
            </w:tcMar>
            <w:vAlign w:val="center"/>
            <w:hideMark/>
          </w:tcPr>
          <w:p w:rsidR="000439AD" w:rsidRPr="000439AD" w:rsidRDefault="000439AD" w:rsidP="000439AD">
            <w:pPr>
              <w:spacing w:before="100" w:after="120"/>
              <w:jc w:val="center"/>
              <w:rPr>
                <w:b/>
                <w:bCs/>
                <w:color w:val="212121"/>
                <w:sz w:val="20"/>
                <w:lang w:val="es-ES"/>
              </w:rPr>
            </w:pPr>
            <w:r w:rsidRPr="000439AD">
              <w:rPr>
                <w:b/>
                <w:bCs/>
                <w:color w:val="212121"/>
                <w:sz w:val="20"/>
                <w:lang w:val="es-ES"/>
              </w:rPr>
              <w:t>13</w:t>
            </w:r>
          </w:p>
        </w:tc>
        <w:tc>
          <w:tcPr>
            <w:tcW w:w="8696" w:type="dxa"/>
            <w:tcMar>
              <w:top w:w="0" w:type="dxa"/>
              <w:left w:w="108" w:type="dxa"/>
              <w:bottom w:w="0" w:type="dxa"/>
              <w:right w:w="108" w:type="dxa"/>
            </w:tcMar>
            <w:hideMark/>
          </w:tcPr>
          <w:p w:rsidR="000439AD" w:rsidRPr="000439AD" w:rsidRDefault="00F013F9" w:rsidP="00B36E40">
            <w:pPr>
              <w:spacing w:before="80" w:after="80"/>
              <w:rPr>
                <w:color w:val="212121"/>
                <w:sz w:val="20"/>
                <w:lang w:val="es-ES"/>
              </w:rPr>
            </w:pPr>
            <w:r w:rsidRPr="00CE1E7D">
              <w:rPr>
                <w:color w:val="212121"/>
                <w:sz w:val="20"/>
                <w:lang w:val="es-ES"/>
              </w:rPr>
              <w:t>Otros asuntos</w:t>
            </w:r>
          </w:p>
        </w:tc>
      </w:tr>
      <w:tr w:rsidR="000439AD" w:rsidRPr="000439AD" w:rsidTr="00DC75AF">
        <w:trPr>
          <w:jc w:val="center"/>
        </w:trPr>
        <w:tc>
          <w:tcPr>
            <w:tcW w:w="787" w:type="dxa"/>
            <w:shd w:val="clear" w:color="auto" w:fill="DBE5F1" w:themeFill="accent1" w:themeFillTint="33"/>
            <w:tcMar>
              <w:top w:w="0" w:type="dxa"/>
              <w:left w:w="108" w:type="dxa"/>
              <w:bottom w:w="0" w:type="dxa"/>
              <w:right w:w="108" w:type="dxa"/>
            </w:tcMar>
            <w:vAlign w:val="center"/>
            <w:hideMark/>
          </w:tcPr>
          <w:p w:rsidR="000439AD" w:rsidRPr="000439AD" w:rsidRDefault="000439AD" w:rsidP="000439AD">
            <w:pPr>
              <w:spacing w:before="100" w:after="120"/>
              <w:jc w:val="center"/>
              <w:rPr>
                <w:b/>
                <w:bCs/>
                <w:color w:val="212121"/>
                <w:sz w:val="20"/>
                <w:lang w:val="es-ES"/>
              </w:rPr>
            </w:pPr>
            <w:r w:rsidRPr="000439AD">
              <w:rPr>
                <w:b/>
                <w:bCs/>
                <w:color w:val="212121"/>
                <w:sz w:val="20"/>
                <w:lang w:val="es-ES"/>
              </w:rPr>
              <w:t>14</w:t>
            </w:r>
          </w:p>
        </w:tc>
        <w:tc>
          <w:tcPr>
            <w:tcW w:w="8696" w:type="dxa"/>
            <w:tcMar>
              <w:top w:w="0" w:type="dxa"/>
              <w:left w:w="108" w:type="dxa"/>
              <w:bottom w:w="0" w:type="dxa"/>
              <w:right w:w="108" w:type="dxa"/>
            </w:tcMar>
            <w:hideMark/>
          </w:tcPr>
          <w:p w:rsidR="000439AD" w:rsidRPr="000439AD" w:rsidRDefault="00F013F9" w:rsidP="00B36E40">
            <w:pPr>
              <w:spacing w:before="80" w:after="80"/>
              <w:rPr>
                <w:color w:val="212121"/>
                <w:sz w:val="20"/>
                <w:lang w:val="es-ES"/>
              </w:rPr>
            </w:pPr>
            <w:r w:rsidRPr="00CE1E7D">
              <w:rPr>
                <w:color w:val="212121"/>
                <w:sz w:val="20"/>
                <w:lang w:val="es-ES"/>
              </w:rPr>
              <w:t>Clausura de la reunión</w:t>
            </w:r>
          </w:p>
        </w:tc>
      </w:tr>
    </w:tbl>
    <w:p w:rsidR="00D141CB" w:rsidRDefault="00D141CB" w:rsidP="00072021">
      <w:pPr>
        <w:spacing w:before="0"/>
      </w:pPr>
    </w:p>
    <w:p w:rsidR="00452133" w:rsidRPr="00CE1E7D" w:rsidRDefault="00D141CB" w:rsidP="00072021">
      <w:pPr>
        <w:spacing w:before="0"/>
        <w:jc w:val="center"/>
        <w:rPr>
          <w:lang w:val="es-ES"/>
        </w:rPr>
      </w:pPr>
      <w:r>
        <w:t>______________</w:t>
      </w:r>
    </w:p>
    <w:sectPr w:rsidR="00452133" w:rsidRPr="00CE1E7D" w:rsidSect="00807BDC">
      <w:headerReference w:type="default" r:id="rId30"/>
      <w:footerReference w:type="first" r:id="rId31"/>
      <w:pgSz w:w="11907" w:h="16834" w:code="9"/>
      <w:pgMar w:top="1021" w:right="1134" w:bottom="1077"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40C" w:rsidRDefault="0003740C">
      <w:r>
        <w:separator/>
      </w:r>
    </w:p>
  </w:endnote>
  <w:endnote w:type="continuationSeparator" w:id="0">
    <w:p w:rsidR="0003740C" w:rsidRDefault="00037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13"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609" w:rsidRPr="00A51A15" w:rsidRDefault="00237609" w:rsidP="003F05C4">
    <w:pPr>
      <w:pStyle w:val="FirstFooter"/>
      <w:ind w:left="-397" w:right="-397"/>
      <w:jc w:val="center"/>
      <w:rPr>
        <w:color w:val="0070C0"/>
        <w:szCs w:val="18"/>
      </w:rPr>
    </w:pPr>
    <w:r w:rsidRPr="00A51A15">
      <w:rPr>
        <w:color w:val="0070C0"/>
        <w:szCs w:val="18"/>
      </w:rPr>
      <w:t>Unión Internacional de Telecomunicaciones • Place des Nations, CH</w:t>
    </w:r>
    <w:r w:rsidRPr="00A51A15">
      <w:rPr>
        <w:color w:val="0070C0"/>
        <w:szCs w:val="18"/>
      </w:rPr>
      <w:noBreakHyphen/>
      <w:t xml:space="preserve">1211 Ginebra 20, Suiza </w:t>
    </w:r>
    <w:r w:rsidRPr="00A51A15">
      <w:rPr>
        <w:color w:val="0070C0"/>
        <w:szCs w:val="18"/>
      </w:rPr>
      <w:br/>
      <w:t xml:space="preserve">Tel.: +41 22 730 5111 • Fax: +41 22 733 7256 • Correo-e: </w:t>
    </w:r>
    <w:hyperlink r:id="rId1" w:history="1">
      <w:r w:rsidRPr="00A51A15">
        <w:rPr>
          <w:rStyle w:val="Hyperlink"/>
          <w:color w:val="0070C0"/>
        </w:rPr>
        <w:t>itumail@itu.int</w:t>
      </w:r>
    </w:hyperlink>
    <w:r w:rsidRPr="00A51A15">
      <w:rPr>
        <w:color w:val="0070C0"/>
        <w:szCs w:val="18"/>
      </w:rPr>
      <w:t xml:space="preserve"> • </w:t>
    </w:r>
    <w:hyperlink r:id="rId2" w:history="1">
      <w:r w:rsidRPr="00A51A15">
        <w:rPr>
          <w:rStyle w:val="Hyperlink"/>
          <w:color w:val="0070C0"/>
        </w:rPr>
        <w:t>www.itu.int</w:t>
      </w:r>
    </w:hyperlink>
    <w:r w:rsidRPr="00A51A15">
      <w:rPr>
        <w:color w:val="0070C0"/>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40C" w:rsidRDefault="0003740C">
      <w:r>
        <w:t>____________________</w:t>
      </w:r>
    </w:p>
  </w:footnote>
  <w:footnote w:type="continuationSeparator" w:id="0">
    <w:p w:rsidR="0003740C" w:rsidRDefault="00037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609" w:rsidRPr="00FD7428" w:rsidRDefault="00237609" w:rsidP="00CE1E7D">
    <w:pPr>
      <w:spacing w:before="0" w:after="120"/>
      <w:jc w:val="center"/>
      <w:rPr>
        <w:rFonts w:ascii="Calibri" w:hAnsi="Calibri"/>
        <w:sz w:val="18"/>
        <w:lang w:val="en-US"/>
      </w:rPr>
    </w:pPr>
    <w:r w:rsidRPr="00696783">
      <w:rPr>
        <w:sz w:val="18"/>
        <w:szCs w:val="18"/>
      </w:rPr>
      <w:t xml:space="preserve">- </w:t>
    </w:r>
    <w:r w:rsidRPr="00696783">
      <w:rPr>
        <w:sz w:val="18"/>
        <w:szCs w:val="18"/>
      </w:rPr>
      <w:fldChar w:fldCharType="begin"/>
    </w:r>
    <w:r w:rsidRPr="00696783">
      <w:rPr>
        <w:sz w:val="18"/>
        <w:szCs w:val="18"/>
      </w:rPr>
      <w:instrText xml:space="preserve"> PAGE   \* MERGEFORMAT </w:instrText>
    </w:r>
    <w:r w:rsidRPr="00696783">
      <w:rPr>
        <w:sz w:val="18"/>
        <w:szCs w:val="18"/>
      </w:rPr>
      <w:fldChar w:fldCharType="separate"/>
    </w:r>
    <w:r w:rsidR="00E33B88">
      <w:rPr>
        <w:noProof/>
        <w:sz w:val="18"/>
        <w:szCs w:val="18"/>
      </w:rPr>
      <w:t>5</w:t>
    </w:r>
    <w:r w:rsidRPr="00696783">
      <w:rPr>
        <w:noProof/>
        <w:sz w:val="18"/>
        <w:szCs w:val="18"/>
      </w:rPr>
      <w:fldChar w:fldCharType="end"/>
    </w:r>
    <w:r w:rsidRPr="00696783">
      <w:rPr>
        <w:noProof/>
        <w:sz w:val="18"/>
        <w:szCs w:val="18"/>
      </w:rPr>
      <w:t xml:space="preserve"> -</w:t>
    </w:r>
    <w:r>
      <w:rPr>
        <w:noProof/>
        <w:sz w:val="18"/>
        <w:szCs w:val="18"/>
      </w:rPr>
      <w:br/>
    </w:r>
    <w:r w:rsidRPr="004C58BA">
      <w:rPr>
        <w:rFonts w:ascii="Calibri" w:hAnsi="Calibri"/>
        <w:noProof/>
        <w:sz w:val="18"/>
        <w:lang w:val="en-GB"/>
      </w:rPr>
      <w:t>C</w:t>
    </w:r>
    <w:r w:rsidR="00CE1E7D">
      <w:rPr>
        <w:rFonts w:ascii="Calibri" w:hAnsi="Calibri"/>
        <w:noProof/>
        <w:sz w:val="18"/>
        <w:lang w:val="en-GB"/>
      </w:rPr>
      <w:t>arta Colectiva 2/SG2RG-AMR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01FD2"/>
    <w:multiLevelType w:val="hybridMultilevel"/>
    <w:tmpl w:val="D3AE54A4"/>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13D3BC7"/>
    <w:multiLevelType w:val="hybridMultilevel"/>
    <w:tmpl w:val="DCA2EDFC"/>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39758AE"/>
    <w:multiLevelType w:val="hybridMultilevel"/>
    <w:tmpl w:val="AB7E8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23205B1"/>
    <w:multiLevelType w:val="hybridMultilevel"/>
    <w:tmpl w:val="2FE26702"/>
    <w:lvl w:ilvl="0" w:tplc="7366B4AA">
      <w:start w:val="1"/>
      <w:numFmt w:val="bullet"/>
      <w:lvlText w:val="–"/>
      <w:lvlJc w:val="left"/>
      <w:pPr>
        <w:ind w:left="360" w:hanging="360"/>
      </w:pPr>
      <w:rPr>
        <w:rFonts w:ascii="Calibri" w:eastAsia="NSimSun"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6"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3"/>
  </w:num>
  <w:num w:numId="2">
    <w:abstractNumId w:val="8"/>
  </w:num>
  <w:num w:numId="3">
    <w:abstractNumId w:val="7"/>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7C"/>
    <w:rsid w:val="00002529"/>
    <w:rsid w:val="00023391"/>
    <w:rsid w:val="0003740C"/>
    <w:rsid w:val="000439AD"/>
    <w:rsid w:val="00066573"/>
    <w:rsid w:val="00072021"/>
    <w:rsid w:val="00074E76"/>
    <w:rsid w:val="0008076C"/>
    <w:rsid w:val="00084312"/>
    <w:rsid w:val="00085662"/>
    <w:rsid w:val="000B0C79"/>
    <w:rsid w:val="000B72F8"/>
    <w:rsid w:val="000C382F"/>
    <w:rsid w:val="000E53D0"/>
    <w:rsid w:val="000F09C3"/>
    <w:rsid w:val="000F0D53"/>
    <w:rsid w:val="001043DC"/>
    <w:rsid w:val="001173CC"/>
    <w:rsid w:val="00137448"/>
    <w:rsid w:val="00143C4B"/>
    <w:rsid w:val="0014464D"/>
    <w:rsid w:val="00145E28"/>
    <w:rsid w:val="001553B5"/>
    <w:rsid w:val="00162E19"/>
    <w:rsid w:val="001A54CC"/>
    <w:rsid w:val="001A746E"/>
    <w:rsid w:val="001C6CD1"/>
    <w:rsid w:val="001F17D2"/>
    <w:rsid w:val="001F62D1"/>
    <w:rsid w:val="001F74EA"/>
    <w:rsid w:val="00227F6A"/>
    <w:rsid w:val="00231A3B"/>
    <w:rsid w:val="00235C3D"/>
    <w:rsid w:val="00237609"/>
    <w:rsid w:val="00252227"/>
    <w:rsid w:val="00255A6F"/>
    <w:rsid w:val="00257279"/>
    <w:rsid w:val="00257FB4"/>
    <w:rsid w:val="002652C0"/>
    <w:rsid w:val="00265F9A"/>
    <w:rsid w:val="00266A0E"/>
    <w:rsid w:val="002836A3"/>
    <w:rsid w:val="0028393B"/>
    <w:rsid w:val="002A5B15"/>
    <w:rsid w:val="002E496E"/>
    <w:rsid w:val="00303D62"/>
    <w:rsid w:val="0032761A"/>
    <w:rsid w:val="00335367"/>
    <w:rsid w:val="00343BBB"/>
    <w:rsid w:val="00356F20"/>
    <w:rsid w:val="00370C2D"/>
    <w:rsid w:val="0037325E"/>
    <w:rsid w:val="00381555"/>
    <w:rsid w:val="003950F2"/>
    <w:rsid w:val="003A0EA1"/>
    <w:rsid w:val="003A50C1"/>
    <w:rsid w:val="003A51FD"/>
    <w:rsid w:val="003B7220"/>
    <w:rsid w:val="003D1E8D"/>
    <w:rsid w:val="003D1FEB"/>
    <w:rsid w:val="003D673B"/>
    <w:rsid w:val="003F05C4"/>
    <w:rsid w:val="003F2855"/>
    <w:rsid w:val="003F4772"/>
    <w:rsid w:val="003F6326"/>
    <w:rsid w:val="00400C94"/>
    <w:rsid w:val="00401C20"/>
    <w:rsid w:val="00416D9A"/>
    <w:rsid w:val="0041719A"/>
    <w:rsid w:val="00434F7D"/>
    <w:rsid w:val="00437D85"/>
    <w:rsid w:val="00452133"/>
    <w:rsid w:val="00455C83"/>
    <w:rsid w:val="004A1426"/>
    <w:rsid w:val="004A54EF"/>
    <w:rsid w:val="004A74D6"/>
    <w:rsid w:val="004A7957"/>
    <w:rsid w:val="004C4144"/>
    <w:rsid w:val="004D6B4C"/>
    <w:rsid w:val="004D6B79"/>
    <w:rsid w:val="004F0D34"/>
    <w:rsid w:val="004F2479"/>
    <w:rsid w:val="00500577"/>
    <w:rsid w:val="00503D4F"/>
    <w:rsid w:val="0051775F"/>
    <w:rsid w:val="005316A8"/>
    <w:rsid w:val="005377F8"/>
    <w:rsid w:val="00540F75"/>
    <w:rsid w:val="00565D71"/>
    <w:rsid w:val="00581C9B"/>
    <w:rsid w:val="005856B1"/>
    <w:rsid w:val="005B668F"/>
    <w:rsid w:val="005C6C9A"/>
    <w:rsid w:val="005D19B9"/>
    <w:rsid w:val="00603798"/>
    <w:rsid w:val="00606A74"/>
    <w:rsid w:val="0062151E"/>
    <w:rsid w:val="00631E9E"/>
    <w:rsid w:val="00655A05"/>
    <w:rsid w:val="0069011F"/>
    <w:rsid w:val="00696783"/>
    <w:rsid w:val="006969B4"/>
    <w:rsid w:val="006A4F9F"/>
    <w:rsid w:val="006D675D"/>
    <w:rsid w:val="006E31C9"/>
    <w:rsid w:val="006E4F7B"/>
    <w:rsid w:val="006F244B"/>
    <w:rsid w:val="00701574"/>
    <w:rsid w:val="007423CB"/>
    <w:rsid w:val="00743E41"/>
    <w:rsid w:val="00781E2A"/>
    <w:rsid w:val="007933A2"/>
    <w:rsid w:val="007972F1"/>
    <w:rsid w:val="007D4290"/>
    <w:rsid w:val="007E1FEF"/>
    <w:rsid w:val="00801C52"/>
    <w:rsid w:val="008038E0"/>
    <w:rsid w:val="00807BDC"/>
    <w:rsid w:val="00811DE7"/>
    <w:rsid w:val="00814503"/>
    <w:rsid w:val="008258C2"/>
    <w:rsid w:val="008439E3"/>
    <w:rsid w:val="008505BD"/>
    <w:rsid w:val="00850C78"/>
    <w:rsid w:val="00855E3A"/>
    <w:rsid w:val="00883DA4"/>
    <w:rsid w:val="00884D12"/>
    <w:rsid w:val="008A5CFA"/>
    <w:rsid w:val="008A746D"/>
    <w:rsid w:val="008B2B5A"/>
    <w:rsid w:val="008C17AD"/>
    <w:rsid w:val="008D02CD"/>
    <w:rsid w:val="008D54BA"/>
    <w:rsid w:val="008E105C"/>
    <w:rsid w:val="0090137A"/>
    <w:rsid w:val="00912126"/>
    <w:rsid w:val="0092348E"/>
    <w:rsid w:val="0093316C"/>
    <w:rsid w:val="0093767D"/>
    <w:rsid w:val="0094637C"/>
    <w:rsid w:val="0095172A"/>
    <w:rsid w:val="00963BBE"/>
    <w:rsid w:val="00973CF1"/>
    <w:rsid w:val="0097405D"/>
    <w:rsid w:val="009762DA"/>
    <w:rsid w:val="00981644"/>
    <w:rsid w:val="00993D80"/>
    <w:rsid w:val="0099524A"/>
    <w:rsid w:val="009A0BA0"/>
    <w:rsid w:val="009A239C"/>
    <w:rsid w:val="009B4A41"/>
    <w:rsid w:val="009B7FCB"/>
    <w:rsid w:val="009E2483"/>
    <w:rsid w:val="009E3BAE"/>
    <w:rsid w:val="00A23999"/>
    <w:rsid w:val="00A35E90"/>
    <w:rsid w:val="00A42768"/>
    <w:rsid w:val="00A51A15"/>
    <w:rsid w:val="00A54E47"/>
    <w:rsid w:val="00A71D8D"/>
    <w:rsid w:val="00A73C2A"/>
    <w:rsid w:val="00A7668C"/>
    <w:rsid w:val="00A77224"/>
    <w:rsid w:val="00A93E3B"/>
    <w:rsid w:val="00AA13ED"/>
    <w:rsid w:val="00AA3095"/>
    <w:rsid w:val="00AA3CBA"/>
    <w:rsid w:val="00AB3257"/>
    <w:rsid w:val="00AB6E3A"/>
    <w:rsid w:val="00AC16C0"/>
    <w:rsid w:val="00AD123E"/>
    <w:rsid w:val="00AE7093"/>
    <w:rsid w:val="00B00651"/>
    <w:rsid w:val="00B14BE9"/>
    <w:rsid w:val="00B211AC"/>
    <w:rsid w:val="00B254DE"/>
    <w:rsid w:val="00B312DA"/>
    <w:rsid w:val="00B31936"/>
    <w:rsid w:val="00B36E40"/>
    <w:rsid w:val="00B422BC"/>
    <w:rsid w:val="00B43F77"/>
    <w:rsid w:val="00B5057D"/>
    <w:rsid w:val="00B55A3E"/>
    <w:rsid w:val="00B70E22"/>
    <w:rsid w:val="00B80E33"/>
    <w:rsid w:val="00B82F7D"/>
    <w:rsid w:val="00B87E9E"/>
    <w:rsid w:val="00B95F0A"/>
    <w:rsid w:val="00B96180"/>
    <w:rsid w:val="00BA3874"/>
    <w:rsid w:val="00BD7629"/>
    <w:rsid w:val="00C116FE"/>
    <w:rsid w:val="00C17AC0"/>
    <w:rsid w:val="00C20E01"/>
    <w:rsid w:val="00C31108"/>
    <w:rsid w:val="00C34772"/>
    <w:rsid w:val="00C47780"/>
    <w:rsid w:val="00C47C70"/>
    <w:rsid w:val="00C5465A"/>
    <w:rsid w:val="00C57F94"/>
    <w:rsid w:val="00C638A0"/>
    <w:rsid w:val="00CA4DAA"/>
    <w:rsid w:val="00CB2845"/>
    <w:rsid w:val="00CC07F0"/>
    <w:rsid w:val="00CC5ACE"/>
    <w:rsid w:val="00CD75AB"/>
    <w:rsid w:val="00CE1E7D"/>
    <w:rsid w:val="00CE6747"/>
    <w:rsid w:val="00CF65ED"/>
    <w:rsid w:val="00D141CB"/>
    <w:rsid w:val="00D14A29"/>
    <w:rsid w:val="00D20615"/>
    <w:rsid w:val="00D263D6"/>
    <w:rsid w:val="00D54642"/>
    <w:rsid w:val="00D70DCB"/>
    <w:rsid w:val="00D7168B"/>
    <w:rsid w:val="00D7517D"/>
    <w:rsid w:val="00DC10A8"/>
    <w:rsid w:val="00DC1FF3"/>
    <w:rsid w:val="00DC4421"/>
    <w:rsid w:val="00DD55E0"/>
    <w:rsid w:val="00DD7018"/>
    <w:rsid w:val="00DD77C9"/>
    <w:rsid w:val="00DE1AF7"/>
    <w:rsid w:val="00DF3538"/>
    <w:rsid w:val="00DF7D57"/>
    <w:rsid w:val="00E3211B"/>
    <w:rsid w:val="00E33B88"/>
    <w:rsid w:val="00E3747D"/>
    <w:rsid w:val="00E52775"/>
    <w:rsid w:val="00E7319E"/>
    <w:rsid w:val="00E734C3"/>
    <w:rsid w:val="00E839B0"/>
    <w:rsid w:val="00E92C09"/>
    <w:rsid w:val="00EA0E30"/>
    <w:rsid w:val="00EB6A53"/>
    <w:rsid w:val="00EE1891"/>
    <w:rsid w:val="00EF4AA6"/>
    <w:rsid w:val="00EF6CD1"/>
    <w:rsid w:val="00EF761E"/>
    <w:rsid w:val="00F013F9"/>
    <w:rsid w:val="00F14380"/>
    <w:rsid w:val="00F275A7"/>
    <w:rsid w:val="00F4037D"/>
    <w:rsid w:val="00F42B1E"/>
    <w:rsid w:val="00F43A6B"/>
    <w:rsid w:val="00F6153E"/>
    <w:rsid w:val="00F6461F"/>
    <w:rsid w:val="00FA4B9E"/>
    <w:rsid w:val="00FD0746"/>
    <w:rsid w:val="00FD2B2D"/>
    <w:rsid w:val="00FD74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9EA14A23-8B03-4BB4-BBF3-9066FAAF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fo,pie de página"/>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fo Char,pie de página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rsid w:val="0094637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ListParagraph">
    <w:name w:val="List Paragraph"/>
    <w:basedOn w:val="Normal"/>
    <w:uiPriority w:val="34"/>
    <w:qFormat/>
    <w:rsid w:val="008A5CFA"/>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Reasons">
    <w:name w:val="Reasons"/>
    <w:basedOn w:val="Normal"/>
    <w:qFormat/>
    <w:rsid w:val="008A5CF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62151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2151E"/>
    <w:rPr>
      <w:rFonts w:ascii="Tahoma" w:hAnsi="Tahoma" w:cs="Tahoma"/>
      <w:sz w:val="16"/>
      <w:szCs w:val="16"/>
      <w:lang w:val="es-ES_tradnl" w:eastAsia="en-US"/>
    </w:rPr>
  </w:style>
  <w:style w:type="character" w:styleId="Strong">
    <w:name w:val="Strong"/>
    <w:basedOn w:val="DefaultParagraphFont"/>
    <w:uiPriority w:val="22"/>
    <w:qFormat/>
    <w:rsid w:val="004D6B4C"/>
    <w:rPr>
      <w:b/>
      <w:bCs/>
    </w:rPr>
  </w:style>
  <w:style w:type="paragraph" w:customStyle="1" w:styleId="AnnexNo">
    <w:name w:val="Annex_No"/>
    <w:basedOn w:val="Normal"/>
    <w:next w:val="Normal"/>
    <w:rsid w:val="00452133"/>
    <w:pPr>
      <w:keepNext/>
      <w:keepLines/>
      <w:spacing w:before="480" w:after="80"/>
      <w:jc w:val="center"/>
      <w:textAlignment w:val="auto"/>
    </w:pPr>
    <w:rPr>
      <w:caps/>
      <w:sz w:val="28"/>
      <w:lang w:val="fr-FR"/>
    </w:rPr>
  </w:style>
  <w:style w:type="table" w:customStyle="1" w:styleId="TableGrid1">
    <w:name w:val="Table Grid1"/>
    <w:basedOn w:val="TableNormal"/>
    <w:next w:val="TableGrid"/>
    <w:rsid w:val="003A0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A0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asn1/Pages/OID-project.aspx" TargetMode="External"/><Relationship Id="rId18" Type="http://schemas.openxmlformats.org/officeDocument/2006/relationships/hyperlink" Target="https://www.itu.int/en/ITU-T/inr/Pages/default.aspx" TargetMode="External"/><Relationship Id="rId26" Type="http://schemas.openxmlformats.org/officeDocument/2006/relationships/hyperlink" Target="https://www.itu.int/en/ITU-T/studygroups/2017-2020/02/sg2rgamr/Pages/default.aspx" TargetMode="External"/><Relationship Id="rId3" Type="http://schemas.openxmlformats.org/officeDocument/2006/relationships/styles" Target="styles.xml"/><Relationship Id="rId21" Type="http://schemas.openxmlformats.org/officeDocument/2006/relationships/hyperlink" Target="mailto:tsbsg2@itu.int" TargetMode="External"/><Relationship Id="rId7" Type="http://schemas.openxmlformats.org/officeDocument/2006/relationships/endnotes" Target="endnotes.xml"/><Relationship Id="rId12" Type="http://schemas.openxmlformats.org/officeDocument/2006/relationships/hyperlink" Target="https://dona.net/" TargetMode="External"/><Relationship Id="rId17" Type="http://schemas.openxmlformats.org/officeDocument/2006/relationships/hyperlink" Target="http://www.itu.int/oth/T0202.aspx?parent=T0202" TargetMode="External"/><Relationship Id="rId25" Type="http://schemas.openxmlformats.org/officeDocument/2006/relationships/hyperlink" Target="http://itu.int/ITU-T/studygroups/templat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idcenter.org/" TargetMode="External"/><Relationship Id="rId20" Type="http://schemas.openxmlformats.org/officeDocument/2006/relationships/hyperlink" Target="https://www.itu.int/en/ITU-T/studygroups/2017-2020/02/sg2rgamr/Pages/default.aspx" TargetMode="External"/><Relationship Id="rId29" Type="http://schemas.openxmlformats.org/officeDocument/2006/relationships/hyperlink" Target="http://www.itu.int/itu-t/workprog/wp_item.aspx?isn=148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17-2020/02/sg2rgamr/Pages/default.aspx" TargetMode="External"/><Relationship Id="rId24" Type="http://schemas.openxmlformats.org/officeDocument/2006/relationships/hyperlink" Target="http://www.itu.int/TI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s1.org/epcglobal" TargetMode="External"/><Relationship Id="rId23" Type="http://schemas.openxmlformats.org/officeDocument/2006/relationships/hyperlink" Target="mailto:tsbsg2@itu.int" TargetMode="External"/><Relationship Id="rId28" Type="http://schemas.openxmlformats.org/officeDocument/2006/relationships/hyperlink" Target="https://www.itu.int/itu-t/workprog/wp_item.aspx?isn=14474" TargetMode="External"/><Relationship Id="rId10" Type="http://schemas.openxmlformats.org/officeDocument/2006/relationships/hyperlink" Target="http://www.itu.int/en/ITU-T/studygroups/2017-2020/02/sg2rgamr" TargetMode="External"/><Relationship Id="rId19" Type="http://schemas.openxmlformats.org/officeDocument/2006/relationships/hyperlink" Target="https://www.itu.int/en/ITU-T/studygroups/2017-2020/02/sg2rgamr/Pages/default.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g2@itu.int" TargetMode="External"/><Relationship Id="rId14" Type="http://schemas.openxmlformats.org/officeDocument/2006/relationships/hyperlink" Target="https://www.gs1.org/" TargetMode="External"/><Relationship Id="rId22" Type="http://schemas.openxmlformats.org/officeDocument/2006/relationships/image" Target="media/image2.png"/><Relationship Id="rId27" Type="http://schemas.openxmlformats.org/officeDocument/2006/relationships/hyperlink" Target="https://www.itu.int/itu-t/workprog/wp_item.aspx?isn=14545"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7E5C0-4F5C-4F61-83E2-2F3BA9890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26</TotalTime>
  <Pages>5</Pages>
  <Words>1989</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14108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Millet, Lia</cp:lastModifiedBy>
  <cp:revision>6</cp:revision>
  <cp:lastPrinted>2019-02-21T08:40:00Z</cp:lastPrinted>
  <dcterms:created xsi:type="dcterms:W3CDTF">2019-02-20T18:28:00Z</dcterms:created>
  <dcterms:modified xsi:type="dcterms:W3CDTF">2019-02-21T08:41:00Z</dcterms:modified>
</cp:coreProperties>
</file>