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268"/>
      </w:tblGrid>
      <w:tr w:rsidR="002C3E7B" w14:paraId="717A4595" w14:textId="77777777" w:rsidTr="002631A5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5CF1E523" w14:textId="74BB622B" w:rsidR="002C3E7B" w:rsidRDefault="0084526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B1F678" wp14:editId="6D49345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6F064FA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F5EAEEE" w14:textId="77777777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E698759" w14:textId="77777777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2B812F97" w14:textId="77777777" w:rsidTr="002631A5">
        <w:trPr>
          <w:cantSplit/>
          <w:trHeight w:val="548"/>
        </w:trPr>
        <w:tc>
          <w:tcPr>
            <w:tcW w:w="5387" w:type="dxa"/>
            <w:gridSpan w:val="3"/>
            <w:vAlign w:val="center"/>
          </w:tcPr>
          <w:p w14:paraId="7ACC66AD" w14:textId="77777777" w:rsidR="000305E1" w:rsidRDefault="000305E1" w:rsidP="00A129C1">
            <w:pPr>
              <w:pStyle w:val="Tabletext"/>
              <w:jc w:val="right"/>
            </w:pPr>
          </w:p>
        </w:tc>
        <w:tc>
          <w:tcPr>
            <w:tcW w:w="4819" w:type="dxa"/>
            <w:gridSpan w:val="2"/>
            <w:vAlign w:val="center"/>
          </w:tcPr>
          <w:p w14:paraId="0E8BFD4D" w14:textId="1DA0D436" w:rsidR="000305E1" w:rsidRDefault="009F341D" w:rsidP="00180223">
            <w:pPr>
              <w:pStyle w:val="Tabletext"/>
              <w:spacing w:before="120" w:after="120"/>
            </w:pPr>
            <w:r>
              <w:t xml:space="preserve">Geneva, 22 July </w:t>
            </w:r>
            <w:r w:rsidR="00617B2C">
              <w:t>2019</w:t>
            </w:r>
          </w:p>
        </w:tc>
      </w:tr>
      <w:tr w:rsidR="0038260B" w14:paraId="03DBA3C2" w14:textId="77777777" w:rsidTr="002631A5">
        <w:trPr>
          <w:cantSplit/>
          <w:trHeight w:val="746"/>
        </w:trPr>
        <w:tc>
          <w:tcPr>
            <w:tcW w:w="993" w:type="dxa"/>
          </w:tcPr>
          <w:p w14:paraId="160B8BAD" w14:textId="77777777" w:rsidR="0038260B" w:rsidRPr="00F36AC4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14:paraId="53FA1AD4" w14:textId="4A714B10" w:rsidR="0038260B" w:rsidRDefault="0038260B" w:rsidP="00180223">
            <w:pPr>
              <w:pStyle w:val="Tabletext"/>
              <w:rPr>
                <w:b/>
              </w:rPr>
            </w:pPr>
            <w:r>
              <w:rPr>
                <w:b/>
              </w:rPr>
              <w:t>TSB Collective letter</w:t>
            </w:r>
            <w:r w:rsidR="009161CE">
              <w:rPr>
                <w:b/>
              </w:rPr>
              <w:t xml:space="preserve"> </w:t>
            </w:r>
            <w:r w:rsidR="00180223">
              <w:rPr>
                <w:b/>
              </w:rPr>
              <w:t>3</w:t>
            </w:r>
            <w:r w:rsidR="009161CE">
              <w:rPr>
                <w:b/>
              </w:rPr>
              <w:t>/</w:t>
            </w:r>
            <w:r w:rsidR="009161CE" w:rsidRPr="000778A3">
              <w:rPr>
                <w:b/>
              </w:rPr>
              <w:t>SG</w:t>
            </w:r>
            <w:r w:rsidR="00180223">
              <w:rPr>
                <w:b/>
              </w:rPr>
              <w:t>2</w:t>
            </w:r>
            <w:r w:rsidR="009161CE" w:rsidRPr="000778A3">
              <w:rPr>
                <w:b/>
              </w:rPr>
              <w:t>RG</w:t>
            </w:r>
            <w:r w:rsidR="009161CE">
              <w:rPr>
                <w:b/>
              </w:rPr>
              <w:t>-</w:t>
            </w:r>
            <w:r w:rsidR="00EA52B9">
              <w:rPr>
                <w:b/>
              </w:rPr>
              <w:t>A</w:t>
            </w:r>
            <w:r w:rsidR="00C42042">
              <w:rPr>
                <w:b/>
              </w:rPr>
              <w:t>F</w:t>
            </w:r>
            <w:r w:rsidR="00EA52B9">
              <w:rPr>
                <w:b/>
              </w:rPr>
              <w:t>R</w:t>
            </w:r>
            <w:r w:rsidR="00B526B9">
              <w:rPr>
                <w:b/>
              </w:rPr>
              <w:t xml:space="preserve"> </w:t>
            </w:r>
          </w:p>
          <w:p w14:paraId="3479A812" w14:textId="5F9B238D" w:rsidR="00C42042" w:rsidRDefault="00C42042" w:rsidP="00180223">
            <w:pPr>
              <w:pStyle w:val="Tabletext"/>
            </w:pPr>
            <w:r>
              <w:rPr>
                <w:b/>
              </w:rPr>
              <w:t>TSB Collective letter 3/</w:t>
            </w:r>
            <w:r w:rsidRPr="000778A3">
              <w:rPr>
                <w:b/>
              </w:rPr>
              <w:t>SG</w:t>
            </w:r>
            <w:r w:rsidR="00180223">
              <w:rPr>
                <w:b/>
              </w:rPr>
              <w:t>2</w:t>
            </w:r>
            <w:r w:rsidRPr="000778A3">
              <w:rPr>
                <w:b/>
              </w:rPr>
              <w:t>RG</w:t>
            </w:r>
            <w:r>
              <w:rPr>
                <w:b/>
              </w:rPr>
              <w:t>-ARB</w:t>
            </w:r>
            <w:r w:rsidRPr="00C87A03">
              <w:t xml:space="preserve"> </w:t>
            </w:r>
          </w:p>
          <w:p w14:paraId="3CE40C96" w14:textId="4245055B" w:rsidR="00C87A03" w:rsidRPr="006F520E" w:rsidRDefault="00180223" w:rsidP="00C42042">
            <w:pPr>
              <w:pStyle w:val="Tabletext"/>
              <w:rPr>
                <w:b/>
              </w:rPr>
            </w:pPr>
            <w:r w:rsidRPr="006F520E">
              <w:rPr>
                <w:b/>
              </w:rPr>
              <w:t>SG2/ZHJ</w:t>
            </w:r>
          </w:p>
        </w:tc>
        <w:tc>
          <w:tcPr>
            <w:tcW w:w="4819" w:type="dxa"/>
            <w:gridSpan w:val="2"/>
            <w:vMerge w:val="restart"/>
          </w:tcPr>
          <w:p w14:paraId="2229E97A" w14:textId="77777777" w:rsidR="009F341D" w:rsidRDefault="002631A5" w:rsidP="009F341D">
            <w:pPr>
              <w:pStyle w:val="Tabletext"/>
              <w:numPr>
                <w:ilvl w:val="0"/>
                <w:numId w:val="19"/>
              </w:numPr>
              <w:rPr>
                <w:szCs w:val="22"/>
              </w:rPr>
            </w:pPr>
            <w:r w:rsidRPr="00101525">
              <w:rPr>
                <w:szCs w:val="22"/>
              </w:rPr>
              <w:t xml:space="preserve">To Administrations </w:t>
            </w:r>
            <w:r>
              <w:rPr>
                <w:szCs w:val="22"/>
              </w:rPr>
              <w:t xml:space="preserve">participating in </w:t>
            </w:r>
            <w:r>
              <w:t>SG2RG-AFR</w:t>
            </w:r>
            <w:r w:rsidRPr="00101525">
              <w:rPr>
                <w:szCs w:val="22"/>
              </w:rPr>
              <w:t xml:space="preserve">; </w:t>
            </w:r>
          </w:p>
          <w:p w14:paraId="68894FB0" w14:textId="77777777" w:rsidR="009F341D" w:rsidRDefault="002631A5" w:rsidP="009F341D">
            <w:pPr>
              <w:pStyle w:val="Tabletext"/>
              <w:numPr>
                <w:ilvl w:val="0"/>
                <w:numId w:val="19"/>
              </w:numPr>
              <w:rPr>
                <w:szCs w:val="22"/>
              </w:rPr>
            </w:pPr>
            <w:r w:rsidRPr="002631A5">
              <w:t xml:space="preserve">To Administrations participating in </w:t>
            </w:r>
            <w:r>
              <w:t>SG2RG-ARB</w:t>
            </w:r>
            <w:r w:rsidRPr="002631A5">
              <w:t>;</w:t>
            </w:r>
          </w:p>
          <w:p w14:paraId="06D0EF4D" w14:textId="77777777" w:rsidR="009F341D" w:rsidRDefault="002631A5" w:rsidP="009F341D">
            <w:pPr>
              <w:pStyle w:val="Tabletext"/>
              <w:numPr>
                <w:ilvl w:val="0"/>
                <w:numId w:val="19"/>
              </w:numPr>
              <w:tabs>
                <w:tab w:val="clear" w:pos="567"/>
                <w:tab w:val="clear" w:pos="794"/>
                <w:tab w:val="left" w:pos="569"/>
              </w:tabs>
              <w:ind w:left="569" w:hanging="209"/>
              <w:rPr>
                <w:szCs w:val="22"/>
              </w:rPr>
            </w:pPr>
            <w:r w:rsidRPr="009F341D">
              <w:rPr>
                <w:szCs w:val="22"/>
              </w:rPr>
              <w:t>To ITU-T Sector Members</w:t>
            </w:r>
            <w:r w:rsidR="009F341D">
              <w:rPr>
                <w:szCs w:val="22"/>
              </w:rPr>
              <w:t xml:space="preserve"> participating in </w:t>
            </w:r>
            <w:r w:rsidR="00A34919">
              <w:t>SG</w:t>
            </w:r>
            <w:r>
              <w:t>2</w:t>
            </w:r>
            <w:r w:rsidR="00A34919">
              <w:t xml:space="preserve">RG-AFR; </w:t>
            </w:r>
          </w:p>
          <w:p w14:paraId="4D0469C0" w14:textId="0147C33A" w:rsidR="009F341D" w:rsidRPr="009F341D" w:rsidRDefault="002631A5" w:rsidP="009F341D">
            <w:pPr>
              <w:pStyle w:val="Tabletext"/>
              <w:numPr>
                <w:ilvl w:val="0"/>
                <w:numId w:val="19"/>
              </w:numPr>
              <w:tabs>
                <w:tab w:val="clear" w:pos="567"/>
                <w:tab w:val="clear" w:pos="794"/>
                <w:tab w:val="clear" w:pos="851"/>
                <w:tab w:val="left" w:pos="569"/>
              </w:tabs>
              <w:ind w:left="569" w:hanging="218"/>
              <w:rPr>
                <w:szCs w:val="22"/>
              </w:rPr>
            </w:pPr>
            <w:r w:rsidRPr="009F341D">
              <w:rPr>
                <w:szCs w:val="22"/>
              </w:rPr>
              <w:t>To ITU-T Sector Members</w:t>
            </w:r>
            <w:r w:rsidR="009F341D">
              <w:rPr>
                <w:szCs w:val="22"/>
              </w:rPr>
              <w:t xml:space="preserve"> participating in </w:t>
            </w:r>
            <w:r w:rsidR="00441BB4">
              <w:t>SG</w:t>
            </w:r>
            <w:r>
              <w:t>2</w:t>
            </w:r>
            <w:r w:rsidR="00441BB4">
              <w:t>RG-ARB</w:t>
            </w:r>
            <w:r w:rsidR="0038260B">
              <w:t xml:space="preserve">; </w:t>
            </w:r>
          </w:p>
          <w:p w14:paraId="1733A4DD" w14:textId="77777777" w:rsidR="009F341D" w:rsidRDefault="002631A5" w:rsidP="009F341D">
            <w:pPr>
              <w:pStyle w:val="Tabletext"/>
              <w:numPr>
                <w:ilvl w:val="0"/>
                <w:numId w:val="19"/>
              </w:numPr>
              <w:tabs>
                <w:tab w:val="clear" w:pos="567"/>
                <w:tab w:val="clear" w:pos="794"/>
                <w:tab w:val="clear" w:pos="851"/>
                <w:tab w:val="left" w:pos="569"/>
              </w:tabs>
              <w:ind w:left="569" w:hanging="209"/>
            </w:pPr>
            <w:r w:rsidRPr="00101525">
              <w:rPr>
                <w:szCs w:val="22"/>
              </w:rPr>
              <w:t>To</w:t>
            </w:r>
            <w:r>
              <w:rPr>
                <w:szCs w:val="22"/>
              </w:rPr>
              <w:t xml:space="preserve"> ITU-T Associates participating in </w:t>
            </w:r>
            <w:r>
              <w:t xml:space="preserve">SG2RG-AFR; </w:t>
            </w:r>
          </w:p>
          <w:p w14:paraId="12253691" w14:textId="77777777" w:rsidR="009F341D" w:rsidRDefault="002631A5" w:rsidP="009F341D">
            <w:pPr>
              <w:pStyle w:val="Tabletext"/>
              <w:numPr>
                <w:ilvl w:val="0"/>
                <w:numId w:val="19"/>
              </w:numPr>
              <w:tabs>
                <w:tab w:val="clear" w:pos="567"/>
                <w:tab w:val="clear" w:pos="794"/>
                <w:tab w:val="clear" w:pos="851"/>
                <w:tab w:val="left" w:pos="569"/>
              </w:tabs>
              <w:ind w:left="569" w:hanging="209"/>
            </w:pPr>
            <w:r w:rsidRPr="009F341D">
              <w:rPr>
                <w:szCs w:val="22"/>
              </w:rPr>
              <w:t xml:space="preserve">To ITU-T Associates participating in </w:t>
            </w:r>
            <w:r w:rsidR="006F520E">
              <w:t>S</w:t>
            </w:r>
            <w:r>
              <w:t xml:space="preserve">G2RG-ARB; </w:t>
            </w:r>
          </w:p>
          <w:p w14:paraId="79A60B00" w14:textId="77777777" w:rsidR="009F341D" w:rsidRDefault="002631A5" w:rsidP="009F341D">
            <w:pPr>
              <w:pStyle w:val="Tabletext"/>
              <w:numPr>
                <w:ilvl w:val="0"/>
                <w:numId w:val="19"/>
              </w:numPr>
            </w:pPr>
            <w:r w:rsidRPr="002631A5">
              <w:t xml:space="preserve">To ITU Academia participating in </w:t>
            </w:r>
            <w:r>
              <w:t>SG2RG-AFR</w:t>
            </w:r>
            <w:r w:rsidRPr="002631A5">
              <w:t xml:space="preserve">; </w:t>
            </w:r>
          </w:p>
          <w:p w14:paraId="19697C39" w14:textId="77777777" w:rsidR="009F341D" w:rsidRDefault="002631A5" w:rsidP="009F341D">
            <w:pPr>
              <w:pStyle w:val="Tabletext"/>
              <w:numPr>
                <w:ilvl w:val="0"/>
                <w:numId w:val="19"/>
              </w:numPr>
            </w:pPr>
            <w:r w:rsidRPr="002631A5">
              <w:t xml:space="preserve">To ITU Academia participating in </w:t>
            </w:r>
            <w:r>
              <w:t>SG2RG-ARB</w:t>
            </w:r>
            <w:r w:rsidRPr="002631A5">
              <w:t xml:space="preserve">; </w:t>
            </w:r>
          </w:p>
          <w:p w14:paraId="706A96AF" w14:textId="77777777" w:rsidR="009F341D" w:rsidRDefault="002631A5" w:rsidP="009F341D">
            <w:pPr>
              <w:pStyle w:val="Tabletext"/>
              <w:numPr>
                <w:ilvl w:val="0"/>
                <w:numId w:val="19"/>
              </w:numPr>
            </w:pPr>
            <w:r>
              <w:t>To the ITU Regional Office for Africa;</w:t>
            </w:r>
          </w:p>
          <w:p w14:paraId="14E964F9" w14:textId="77777777" w:rsidR="009F341D" w:rsidRDefault="002631A5" w:rsidP="009F341D">
            <w:pPr>
              <w:pStyle w:val="Tabletext"/>
              <w:numPr>
                <w:ilvl w:val="0"/>
                <w:numId w:val="19"/>
              </w:numPr>
            </w:pPr>
            <w:r>
              <w:t xml:space="preserve">To the ITU Regional Office for Arab </w:t>
            </w:r>
            <w:r w:rsidR="00146788">
              <w:t>States</w:t>
            </w:r>
            <w:r>
              <w:t>;</w:t>
            </w:r>
          </w:p>
          <w:p w14:paraId="171DDDCB" w14:textId="3D988201" w:rsidR="009F341D" w:rsidRDefault="00A34919" w:rsidP="009F341D">
            <w:pPr>
              <w:pStyle w:val="Tabletext"/>
              <w:numPr>
                <w:ilvl w:val="0"/>
                <w:numId w:val="19"/>
              </w:numPr>
            </w:pPr>
            <w:r>
              <w:t xml:space="preserve">To the ITU </w:t>
            </w:r>
            <w:r w:rsidR="009F341D">
              <w:t>Area Office for Africa</w:t>
            </w:r>
            <w:r>
              <w:t>;</w:t>
            </w:r>
          </w:p>
          <w:p w14:paraId="49F2D4D4" w14:textId="59792218" w:rsidR="0038260B" w:rsidRDefault="00EA52B9" w:rsidP="009F341D">
            <w:pPr>
              <w:pStyle w:val="Tabletext"/>
              <w:numPr>
                <w:ilvl w:val="0"/>
                <w:numId w:val="19"/>
              </w:numPr>
            </w:pPr>
            <w:r>
              <w:t xml:space="preserve">To the ITU Area Office for Arab </w:t>
            </w:r>
            <w:r w:rsidR="00146788">
              <w:t>States</w:t>
            </w:r>
          </w:p>
        </w:tc>
      </w:tr>
      <w:bookmarkEnd w:id="0"/>
      <w:tr w:rsidR="00180223" w14:paraId="459478EB" w14:textId="77777777" w:rsidTr="002631A5">
        <w:trPr>
          <w:cantSplit/>
          <w:trHeight w:val="221"/>
        </w:trPr>
        <w:tc>
          <w:tcPr>
            <w:tcW w:w="993" w:type="dxa"/>
          </w:tcPr>
          <w:p w14:paraId="1C25FBAE" w14:textId="77777777" w:rsidR="00180223" w:rsidRPr="00F36AC4" w:rsidRDefault="00180223" w:rsidP="00180223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14:paraId="78351082" w14:textId="3D26D3CA" w:rsidR="00180223" w:rsidRPr="00F36AC4" w:rsidRDefault="00180223" w:rsidP="00180223">
            <w:pPr>
              <w:pStyle w:val="Tabletext"/>
              <w:rPr>
                <w:b/>
              </w:rPr>
            </w:pPr>
            <w:r w:rsidRPr="00632B23">
              <w:t>+41 22 730 5855</w:t>
            </w:r>
          </w:p>
        </w:tc>
        <w:tc>
          <w:tcPr>
            <w:tcW w:w="4819" w:type="dxa"/>
            <w:gridSpan w:val="2"/>
            <w:vMerge/>
          </w:tcPr>
          <w:p w14:paraId="26C74450" w14:textId="77777777" w:rsidR="00180223" w:rsidRDefault="00180223" w:rsidP="00180223">
            <w:pPr>
              <w:pStyle w:val="Tabletext"/>
              <w:ind w:left="283" w:hanging="283"/>
            </w:pPr>
          </w:p>
        </w:tc>
      </w:tr>
      <w:tr w:rsidR="00180223" w14:paraId="74159D99" w14:textId="77777777" w:rsidTr="002631A5">
        <w:trPr>
          <w:cantSplit/>
          <w:trHeight w:val="282"/>
        </w:trPr>
        <w:tc>
          <w:tcPr>
            <w:tcW w:w="993" w:type="dxa"/>
          </w:tcPr>
          <w:p w14:paraId="6BEFB0A0" w14:textId="77777777" w:rsidR="00180223" w:rsidRPr="00F36AC4" w:rsidRDefault="00180223" w:rsidP="00180223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14:paraId="6557E17C" w14:textId="7C769509" w:rsidR="00180223" w:rsidRPr="00F36AC4" w:rsidRDefault="00180223" w:rsidP="00180223">
            <w:pPr>
              <w:pStyle w:val="Tabletext"/>
              <w:rPr>
                <w:b/>
              </w:rPr>
            </w:pPr>
            <w:r w:rsidRPr="00632B23">
              <w:t>+41 22 730 5853</w:t>
            </w:r>
          </w:p>
        </w:tc>
        <w:tc>
          <w:tcPr>
            <w:tcW w:w="4819" w:type="dxa"/>
            <w:gridSpan w:val="2"/>
            <w:vMerge/>
          </w:tcPr>
          <w:p w14:paraId="77723985" w14:textId="77777777" w:rsidR="00180223" w:rsidRDefault="00180223" w:rsidP="00180223">
            <w:pPr>
              <w:pStyle w:val="Tabletext"/>
              <w:ind w:left="283" w:hanging="283"/>
            </w:pPr>
          </w:p>
        </w:tc>
      </w:tr>
      <w:tr w:rsidR="00180223" w14:paraId="289024E4" w14:textId="77777777" w:rsidTr="002631A5">
        <w:trPr>
          <w:cantSplit/>
          <w:trHeight w:val="376"/>
        </w:trPr>
        <w:tc>
          <w:tcPr>
            <w:tcW w:w="993" w:type="dxa"/>
          </w:tcPr>
          <w:p w14:paraId="7C4BE134" w14:textId="77777777" w:rsidR="00180223" w:rsidRPr="00F36AC4" w:rsidRDefault="00180223" w:rsidP="00180223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14:paraId="060B7404" w14:textId="022B5453" w:rsidR="00180223" w:rsidRPr="00F36AC4" w:rsidRDefault="0036558E" w:rsidP="00180223">
            <w:pPr>
              <w:pStyle w:val="Tabletext"/>
            </w:pPr>
            <w:hyperlink r:id="rId9" w:history="1">
              <w:r w:rsidR="00180223" w:rsidRPr="00632B23">
                <w:rPr>
                  <w:rStyle w:val="Hyperlink"/>
                </w:rPr>
                <w:t>tsbsg2@itu.int</w:t>
              </w:r>
            </w:hyperlink>
            <w:r w:rsidR="00180223" w:rsidRPr="00632B23">
              <w:t xml:space="preserve"> </w:t>
            </w:r>
          </w:p>
        </w:tc>
        <w:tc>
          <w:tcPr>
            <w:tcW w:w="4819" w:type="dxa"/>
            <w:gridSpan w:val="2"/>
            <w:vMerge/>
          </w:tcPr>
          <w:p w14:paraId="006E7521" w14:textId="77777777" w:rsidR="00180223" w:rsidRDefault="00180223" w:rsidP="00180223">
            <w:pPr>
              <w:pStyle w:val="Tabletext"/>
              <w:ind w:left="283" w:hanging="283"/>
            </w:pPr>
          </w:p>
        </w:tc>
      </w:tr>
      <w:tr w:rsidR="00180223" w:rsidRPr="009B6449" w14:paraId="35AC5A51" w14:textId="77777777" w:rsidTr="002631A5">
        <w:trPr>
          <w:cantSplit/>
          <w:trHeight w:val="878"/>
        </w:trPr>
        <w:tc>
          <w:tcPr>
            <w:tcW w:w="993" w:type="dxa"/>
          </w:tcPr>
          <w:p w14:paraId="3CE4179F" w14:textId="77777777" w:rsidR="00180223" w:rsidRPr="009B6449" w:rsidRDefault="00180223" w:rsidP="00180223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17EC50FF" w14:textId="563C0843" w:rsidR="00180223" w:rsidRDefault="0036558E" w:rsidP="00180223">
            <w:pPr>
              <w:pStyle w:val="Tabletext"/>
            </w:pPr>
            <w:hyperlink r:id="rId10" w:history="1">
              <w:r w:rsidR="00180223" w:rsidRPr="00180223">
                <w:rPr>
                  <w:rStyle w:val="Hyperlink"/>
                </w:rPr>
                <w:t>www.itu.int/en/ITU-T/studygroups/2017-2020/02/sg2rgafr</w:t>
              </w:r>
            </w:hyperlink>
          </w:p>
          <w:p w14:paraId="43969BC7" w14:textId="7C710C28" w:rsidR="00180223" w:rsidRPr="009B6449" w:rsidRDefault="0036558E" w:rsidP="00180223">
            <w:pPr>
              <w:pStyle w:val="Tabletext"/>
            </w:pPr>
            <w:hyperlink r:id="rId11" w:history="1">
              <w:r w:rsidR="00180223" w:rsidRPr="008B423D">
                <w:rPr>
                  <w:rStyle w:val="Hyperlink"/>
                </w:rPr>
                <w:t>www.itu.int/en/ITU-T/studygroups/2017-2020/02/sg2rgarb</w:t>
              </w:r>
            </w:hyperlink>
            <w:r w:rsidR="00180223" w:rsidRPr="00632B23">
              <w:t xml:space="preserve"> </w:t>
            </w:r>
          </w:p>
        </w:tc>
        <w:tc>
          <w:tcPr>
            <w:tcW w:w="4819" w:type="dxa"/>
            <w:gridSpan w:val="2"/>
            <w:vMerge/>
          </w:tcPr>
          <w:p w14:paraId="03E2FA63" w14:textId="77777777" w:rsidR="00180223" w:rsidRPr="009B6449" w:rsidRDefault="00180223" w:rsidP="00180223">
            <w:pPr>
              <w:pStyle w:val="Tabletext"/>
            </w:pPr>
          </w:p>
        </w:tc>
      </w:tr>
      <w:tr w:rsidR="00951309" w:rsidRPr="009B6449" w14:paraId="02A599C5" w14:textId="77777777" w:rsidTr="002631A5">
        <w:trPr>
          <w:cantSplit/>
          <w:trHeight w:val="80"/>
        </w:trPr>
        <w:tc>
          <w:tcPr>
            <w:tcW w:w="993" w:type="dxa"/>
          </w:tcPr>
          <w:p w14:paraId="3011B1AA" w14:textId="77777777" w:rsidR="00951309" w:rsidRPr="009B6449" w:rsidRDefault="00951309" w:rsidP="00A129C1">
            <w:pPr>
              <w:pStyle w:val="Tabletext"/>
            </w:pPr>
            <w:r w:rsidRPr="009B6449">
              <w:t>Subject:</w:t>
            </w:r>
          </w:p>
        </w:tc>
        <w:tc>
          <w:tcPr>
            <w:tcW w:w="9213" w:type="dxa"/>
            <w:gridSpan w:val="4"/>
          </w:tcPr>
          <w:p w14:paraId="31D9913D" w14:textId="7AD8AAFD" w:rsidR="00951309" w:rsidRPr="009B6449" w:rsidRDefault="00180223" w:rsidP="00B24102">
            <w:pPr>
              <w:pStyle w:val="Tabletext"/>
            </w:pPr>
            <w:r w:rsidRPr="00BF1D41">
              <w:rPr>
                <w:rFonts w:ascii="Calibri" w:hAnsi="Calibri" w:cs="verdana MS"/>
                <w:b/>
                <w:bCs/>
                <w:color w:val="000000"/>
                <w:szCs w:val="22"/>
              </w:rPr>
              <w:t>Meeting</w:t>
            </w:r>
            <w:r w:rsidR="00D63192">
              <w:rPr>
                <w:rFonts w:ascii="Calibri" w:hAnsi="Calibri" w:cs="verdana MS"/>
                <w:b/>
                <w:bCs/>
                <w:color w:val="000000"/>
                <w:szCs w:val="22"/>
              </w:rPr>
              <w:t>s</w:t>
            </w:r>
            <w:r w:rsidRPr="00BF1D41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 of </w:t>
            </w:r>
            <w:r w:rsidRPr="006141CC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ITU-T </w:t>
            </w:r>
            <w:r>
              <w:rPr>
                <w:rFonts w:ascii="Calibri" w:hAnsi="Calibri" w:cs="verdana MS"/>
                <w:b/>
                <w:bCs/>
                <w:color w:val="000000"/>
                <w:szCs w:val="22"/>
              </w:rPr>
              <w:t>SG2</w:t>
            </w:r>
            <w:r w:rsidRPr="006141CC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 Regional Group for </w:t>
            </w:r>
            <w:r>
              <w:rPr>
                <w:rFonts w:ascii="Calibri" w:hAnsi="Calibri" w:cs="verdana MS"/>
                <w:b/>
                <w:bCs/>
                <w:color w:val="000000"/>
                <w:szCs w:val="22"/>
              </w:rPr>
              <w:t>Africa (SG2RG-AFR</w:t>
            </w:r>
            <w:r w:rsidRPr="006141CC">
              <w:rPr>
                <w:rFonts w:ascii="Calibri" w:hAnsi="Calibri" w:cs="verdana MS"/>
                <w:b/>
                <w:bCs/>
                <w:color w:val="000000"/>
                <w:szCs w:val="22"/>
              </w:rPr>
              <w:t>)</w:t>
            </w:r>
            <w:r w:rsidR="00574653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 and </w:t>
            </w:r>
            <w:r w:rsidRPr="006141CC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ITU-T </w:t>
            </w:r>
            <w:r>
              <w:rPr>
                <w:rFonts w:ascii="Calibri" w:hAnsi="Calibri" w:cs="verdana MS"/>
                <w:b/>
                <w:bCs/>
                <w:color w:val="000000"/>
                <w:szCs w:val="22"/>
              </w:rPr>
              <w:t>SG2</w:t>
            </w:r>
            <w:r w:rsidRPr="006141CC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 Regional Group for </w:t>
            </w:r>
            <w:r w:rsidR="00402C9D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the </w:t>
            </w:r>
            <w:r>
              <w:rPr>
                <w:rFonts w:ascii="Calibri" w:hAnsi="Calibri" w:cs="verdana MS"/>
                <w:b/>
                <w:bCs/>
                <w:color w:val="000000"/>
                <w:szCs w:val="22"/>
              </w:rPr>
              <w:t>Arab Region (SG2RG-ARB</w:t>
            </w:r>
            <w:r w:rsidRPr="006141CC">
              <w:rPr>
                <w:rFonts w:ascii="Calibri" w:hAnsi="Calibri" w:cs="verdana MS"/>
                <w:b/>
                <w:bCs/>
                <w:color w:val="000000"/>
                <w:szCs w:val="22"/>
              </w:rPr>
              <w:t>)</w:t>
            </w:r>
            <w:r w:rsidR="00033AB1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; </w:t>
            </w:r>
            <w:r>
              <w:rPr>
                <w:rFonts w:ascii="Calibri" w:hAnsi="Calibri" w:cs="verdana MS"/>
                <w:b/>
                <w:bCs/>
                <w:color w:val="000000"/>
                <w:szCs w:val="22"/>
              </w:rPr>
              <w:t>Dubai</w:t>
            </w:r>
            <w:r w:rsidRPr="006141CC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, </w:t>
            </w:r>
            <w:r w:rsidRPr="00694CA3">
              <w:rPr>
                <w:rFonts w:ascii="Calibri" w:hAnsi="Calibri" w:cs="verdana MS"/>
                <w:b/>
                <w:bCs/>
                <w:color w:val="000000"/>
                <w:szCs w:val="22"/>
              </w:rPr>
              <w:t>United Arab Emirates</w:t>
            </w:r>
            <w:r w:rsidRPr="006141CC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, </w:t>
            </w:r>
            <w:r>
              <w:rPr>
                <w:rFonts w:ascii="Calibri" w:hAnsi="Calibri" w:cs="verdana MS"/>
                <w:b/>
                <w:bCs/>
                <w:color w:val="000000"/>
                <w:szCs w:val="22"/>
              </w:rPr>
              <w:t>2</w:t>
            </w:r>
            <w:r w:rsidR="00B24102">
              <w:rPr>
                <w:rFonts w:ascii="Calibri" w:hAnsi="Calibri" w:cs="verdana MS"/>
                <w:b/>
                <w:bCs/>
                <w:color w:val="000000"/>
                <w:szCs w:val="22"/>
              </w:rPr>
              <w:t>3</w:t>
            </w:r>
            <w:r>
              <w:rPr>
                <w:rFonts w:ascii="Calibri" w:hAnsi="Calibri" w:cs="verdana MS"/>
                <w:b/>
                <w:bCs/>
                <w:color w:val="000000"/>
                <w:szCs w:val="22"/>
              </w:rPr>
              <w:t>-24 October 2019</w:t>
            </w:r>
          </w:p>
        </w:tc>
      </w:tr>
    </w:tbl>
    <w:p w14:paraId="2608CE6B" w14:textId="77777777" w:rsidR="000B46FB" w:rsidRDefault="000B46FB" w:rsidP="00CE218B">
      <w:pPr>
        <w:spacing w:before="240"/>
      </w:pPr>
      <w:bookmarkStart w:id="1" w:name="StartTyping_E"/>
      <w:bookmarkEnd w:id="1"/>
      <w:r>
        <w:t>Dear Sir/Madam,</w:t>
      </w:r>
    </w:p>
    <w:p w14:paraId="4E1F0A21" w14:textId="7F1227CA" w:rsidR="00441BB4" w:rsidRDefault="00441BB4" w:rsidP="00D63192">
      <w:pPr>
        <w:rPr>
          <w:szCs w:val="22"/>
        </w:rPr>
      </w:pPr>
      <w:r w:rsidRPr="00441BB4">
        <w:t>We are pleased to inform you that, at the kind invitation of</w:t>
      </w:r>
      <w:r w:rsidR="00180223" w:rsidRPr="00180223">
        <w:rPr>
          <w:rFonts w:cstheme="minorHAnsi"/>
          <w:szCs w:val="22"/>
        </w:rPr>
        <w:t xml:space="preserve"> </w:t>
      </w:r>
      <w:r w:rsidR="00180223">
        <w:rPr>
          <w:rFonts w:cstheme="minorHAnsi"/>
          <w:szCs w:val="22"/>
        </w:rPr>
        <w:t xml:space="preserve">the </w:t>
      </w:r>
      <w:r w:rsidR="00402C9D" w:rsidRPr="00EB1B6A">
        <w:rPr>
          <w:rFonts w:ascii="Calibri" w:hAnsi="Calibri" w:cs="Arial"/>
          <w:szCs w:val="22"/>
        </w:rPr>
        <w:t>Telecommunications Regulatory Authority (TRA)</w:t>
      </w:r>
      <w:r w:rsidR="00180223" w:rsidRPr="00A370AB">
        <w:rPr>
          <w:rFonts w:cstheme="minorHAnsi"/>
          <w:szCs w:val="22"/>
        </w:rPr>
        <w:t xml:space="preserve"> of the United Arab Emirates</w:t>
      </w:r>
      <w:r w:rsidRPr="00441BB4">
        <w:t xml:space="preserve">, </w:t>
      </w:r>
      <w:r w:rsidR="00146788" w:rsidRPr="005741A8">
        <w:t xml:space="preserve">and in collaboration with </w:t>
      </w:r>
      <w:r w:rsidR="00146788">
        <w:t xml:space="preserve">the </w:t>
      </w:r>
      <w:r w:rsidR="00146788" w:rsidRPr="005741A8">
        <w:t>ITU Regional Office</w:t>
      </w:r>
      <w:r w:rsidR="00146788">
        <w:t>s</w:t>
      </w:r>
      <w:r w:rsidR="00146788" w:rsidRPr="005741A8">
        <w:t xml:space="preserve"> for Arab States</w:t>
      </w:r>
      <w:r w:rsidR="00146788">
        <w:t xml:space="preserve"> and for Africa,</w:t>
      </w:r>
      <w:r w:rsidR="00146788" w:rsidRPr="00441BB4">
        <w:t xml:space="preserve"> </w:t>
      </w:r>
      <w:r w:rsidR="00033AB1">
        <w:br/>
      </w:r>
      <w:r w:rsidRPr="00441BB4">
        <w:t xml:space="preserve">ITU-T Study Group </w:t>
      </w:r>
      <w:r w:rsidR="00180223">
        <w:t>2</w:t>
      </w:r>
      <w:r w:rsidRPr="00441BB4">
        <w:t xml:space="preserve"> Regional Group for</w:t>
      </w:r>
      <w:r w:rsidR="00B75636">
        <w:t xml:space="preserve"> </w:t>
      </w:r>
      <w:r w:rsidR="00A03CB1">
        <w:t>Africa (</w:t>
      </w:r>
      <w:hyperlink r:id="rId12" w:history="1">
        <w:r w:rsidR="00180223">
          <w:rPr>
            <w:rStyle w:val="Hyperlink"/>
          </w:rPr>
          <w:t>SG2</w:t>
        </w:r>
        <w:r w:rsidR="00617B2C" w:rsidRPr="00A03CB1">
          <w:rPr>
            <w:rStyle w:val="Hyperlink"/>
          </w:rPr>
          <w:t>RG-AFR</w:t>
        </w:r>
      </w:hyperlink>
      <w:r w:rsidR="00617B2C" w:rsidRPr="00617B2C">
        <w:t xml:space="preserve">) </w:t>
      </w:r>
      <w:r w:rsidR="00617B2C">
        <w:t>and</w:t>
      </w:r>
      <w:r w:rsidR="00D045E3">
        <w:t xml:space="preserve"> </w:t>
      </w:r>
      <w:r w:rsidR="00402C9D" w:rsidRPr="00441BB4">
        <w:t xml:space="preserve">ITU-T Study Group </w:t>
      </w:r>
      <w:r w:rsidR="00402C9D">
        <w:t>2</w:t>
      </w:r>
      <w:r w:rsidR="00402C9D" w:rsidRPr="00441BB4">
        <w:t xml:space="preserve"> Regional Group</w:t>
      </w:r>
      <w:r w:rsidR="00402C9D">
        <w:t xml:space="preserve"> for the </w:t>
      </w:r>
      <w:r w:rsidRPr="00441BB4">
        <w:t xml:space="preserve">Arab </w:t>
      </w:r>
      <w:r w:rsidR="00243FBA">
        <w:t xml:space="preserve">region </w:t>
      </w:r>
      <w:r w:rsidRPr="00441BB4">
        <w:t>(</w:t>
      </w:r>
      <w:hyperlink r:id="rId13" w:history="1">
        <w:r w:rsidR="00180223">
          <w:rPr>
            <w:rStyle w:val="Hyperlink"/>
          </w:rPr>
          <w:t>SG2</w:t>
        </w:r>
        <w:r w:rsidRPr="00A03CB1">
          <w:rPr>
            <w:rStyle w:val="Hyperlink"/>
          </w:rPr>
          <w:t>RG-ARB</w:t>
        </w:r>
      </w:hyperlink>
      <w:r w:rsidRPr="00441BB4">
        <w:t xml:space="preserve">) will hold </w:t>
      </w:r>
      <w:r w:rsidR="00180223">
        <w:t xml:space="preserve">their meetings </w:t>
      </w:r>
      <w:r w:rsidRPr="00441BB4">
        <w:t xml:space="preserve">in </w:t>
      </w:r>
      <w:r w:rsidR="00180223" w:rsidRPr="00180223">
        <w:t xml:space="preserve">Dubai, United Arab Emirates, </w:t>
      </w:r>
      <w:r w:rsidR="00033AB1">
        <w:t xml:space="preserve">from </w:t>
      </w:r>
      <w:r w:rsidR="00243FBA" w:rsidRPr="00180223">
        <w:t>2</w:t>
      </w:r>
      <w:r w:rsidR="00243FBA">
        <w:t>3</w:t>
      </w:r>
      <w:r w:rsidR="00180223" w:rsidRPr="00180223">
        <w:t>-24 October 2019</w:t>
      </w:r>
      <w:r w:rsidRPr="00672C61">
        <w:t>.</w:t>
      </w:r>
      <w:r w:rsidR="00D63192" w:rsidRPr="00672C61">
        <w:rPr>
          <w:szCs w:val="22"/>
        </w:rPr>
        <w:t xml:space="preserve"> These meetings </w:t>
      </w:r>
      <w:r w:rsidR="0085424C">
        <w:rPr>
          <w:szCs w:val="22"/>
        </w:rPr>
        <w:t>will be preceded by</w:t>
      </w:r>
      <w:r w:rsidR="00D63192" w:rsidRPr="00672C61">
        <w:rPr>
          <w:szCs w:val="22"/>
        </w:rPr>
        <w:t xml:space="preserve"> the following ITU events, which will take place at the same venue:</w:t>
      </w:r>
    </w:p>
    <w:p w14:paraId="16E4DE15" w14:textId="72B0D464" w:rsidR="00672C61" w:rsidRPr="00A370AB" w:rsidRDefault="00672C61" w:rsidP="00672C61">
      <w:pPr>
        <w:pStyle w:val="ListParagraph"/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spacing w:before="120"/>
        <w:contextualSpacing w:val="0"/>
        <w:rPr>
          <w:rFonts w:asciiTheme="minorHAnsi" w:eastAsiaTheme="minorHAnsi" w:hAnsiTheme="minorHAnsi" w:cstheme="minorHAnsi"/>
          <w:szCs w:val="22"/>
          <w:lang w:eastAsia="en-GB"/>
        </w:rPr>
      </w:pPr>
      <w:r w:rsidRPr="00A370AB">
        <w:rPr>
          <w:rFonts w:asciiTheme="minorHAnsi" w:eastAsiaTheme="minorHAnsi" w:hAnsiTheme="minorHAnsi" w:cstheme="minorHAnsi"/>
          <w:szCs w:val="22"/>
          <w:lang w:eastAsia="en-GB"/>
        </w:rPr>
        <w:t xml:space="preserve">Interregional </w:t>
      </w:r>
      <w:r w:rsidR="005B27AE">
        <w:rPr>
          <w:rFonts w:ascii="Calibri" w:hAnsi="Calibri" w:cs="Arial"/>
          <w:szCs w:val="22"/>
        </w:rPr>
        <w:t>Arab-African</w:t>
      </w:r>
      <w:r w:rsidR="005B27AE" w:rsidRPr="00694CA3">
        <w:rPr>
          <w:rFonts w:ascii="Calibri" w:hAnsi="Calibri" w:cs="Arial"/>
          <w:szCs w:val="22"/>
        </w:rPr>
        <w:t xml:space="preserve"> </w:t>
      </w:r>
      <w:r w:rsidR="005B27AE">
        <w:rPr>
          <w:rFonts w:ascii="Calibri" w:hAnsi="Calibri" w:cs="Arial"/>
          <w:szCs w:val="22"/>
        </w:rPr>
        <w:t>Hands-on training</w:t>
      </w:r>
      <w:r w:rsidR="00033AB1">
        <w:rPr>
          <w:rFonts w:asciiTheme="minorHAnsi" w:eastAsiaTheme="minorHAnsi" w:hAnsiTheme="minorHAnsi" w:cstheme="minorHAnsi"/>
          <w:szCs w:val="22"/>
          <w:lang w:eastAsia="en-GB"/>
        </w:rPr>
        <w:t xml:space="preserve"> on BSG; 20-21 October 2019</w:t>
      </w:r>
    </w:p>
    <w:p w14:paraId="5E253A88" w14:textId="68ECB805" w:rsidR="00672C61" w:rsidRDefault="00170EAB" w:rsidP="0026168C">
      <w:pPr>
        <w:pStyle w:val="ListParagraph"/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 w:val="0"/>
        <w:rPr>
          <w:rFonts w:asciiTheme="minorHAnsi" w:eastAsiaTheme="minorHAnsi" w:hAnsiTheme="minorHAnsi" w:cstheme="minorHAnsi"/>
          <w:szCs w:val="22"/>
          <w:lang w:eastAsia="en-GB"/>
        </w:rPr>
      </w:pPr>
      <w:r>
        <w:rPr>
          <w:rFonts w:ascii="Calibri" w:hAnsi="Calibri" w:cs="Arial"/>
          <w:szCs w:val="22"/>
        </w:rPr>
        <w:t>Inter-regional Standardization Forum</w:t>
      </w:r>
      <w:r w:rsidR="00672C61" w:rsidRPr="00A370AB">
        <w:rPr>
          <w:rFonts w:asciiTheme="minorHAnsi" w:eastAsiaTheme="minorHAnsi" w:hAnsiTheme="minorHAnsi" w:cstheme="minorHAnsi"/>
          <w:szCs w:val="22"/>
          <w:lang w:eastAsia="en-GB"/>
        </w:rPr>
        <w:t xml:space="preserve"> on Operational issues on number</w:t>
      </w:r>
      <w:r w:rsidR="00672C61">
        <w:rPr>
          <w:rFonts w:asciiTheme="minorHAnsi" w:hAnsiTheme="minorHAnsi" w:cstheme="minorHAnsi"/>
        </w:rPr>
        <w:t>ing, emergency service and OTTs</w:t>
      </w:r>
      <w:r w:rsidR="00033AB1">
        <w:rPr>
          <w:rFonts w:asciiTheme="minorHAnsi" w:eastAsiaTheme="minorHAnsi" w:hAnsiTheme="minorHAnsi" w:cstheme="minorHAnsi"/>
          <w:szCs w:val="22"/>
          <w:lang w:eastAsia="en-GB"/>
        </w:rPr>
        <w:t>; 22 October 2019</w:t>
      </w:r>
    </w:p>
    <w:p w14:paraId="71C7193D" w14:textId="74F5C51B" w:rsidR="0081183C" w:rsidRPr="00574653" w:rsidRDefault="00672C61" w:rsidP="0081183C">
      <w:r w:rsidRPr="00672C61">
        <w:t xml:space="preserve">The </w:t>
      </w:r>
      <w:r>
        <w:t>SG2RG-AFR</w:t>
      </w:r>
      <w:r w:rsidR="00574653">
        <w:t xml:space="preserve"> and</w:t>
      </w:r>
      <w:r>
        <w:t xml:space="preserve"> SG2RG-ARB</w:t>
      </w:r>
      <w:r w:rsidRPr="00672C61">
        <w:t xml:space="preserve"> meeting</w:t>
      </w:r>
      <w:r>
        <w:t>s</w:t>
      </w:r>
      <w:r w:rsidRPr="00672C61">
        <w:t xml:space="preserve"> will </w:t>
      </w:r>
      <w:r>
        <w:t>start</w:t>
      </w:r>
      <w:r w:rsidRPr="00672C61">
        <w:t xml:space="preserve"> at </w:t>
      </w:r>
      <w:r>
        <w:t>0930</w:t>
      </w:r>
      <w:r w:rsidRPr="00672C61">
        <w:t xml:space="preserve"> hours local time on </w:t>
      </w:r>
      <w:r>
        <w:t>23 October 2019</w:t>
      </w:r>
      <w:r w:rsidRPr="00672C61">
        <w:t xml:space="preserve">. Additional information is set forth in </w:t>
      </w:r>
      <w:r w:rsidRPr="00672C61">
        <w:rPr>
          <w:b/>
          <w:bCs/>
        </w:rPr>
        <w:t>Annex A</w:t>
      </w:r>
      <w:r w:rsidRPr="00672C61">
        <w:t xml:space="preserve">, and a draft agenda </w:t>
      </w:r>
      <w:r w:rsidR="0081183C" w:rsidRPr="00672C61">
        <w:t>–</w:t>
      </w:r>
      <w:r w:rsidR="0081183C">
        <w:t xml:space="preserve"> </w:t>
      </w:r>
      <w:r w:rsidRPr="00672C61">
        <w:t xml:space="preserve">prepared </w:t>
      </w:r>
      <w:r w:rsidR="0085424C">
        <w:t>in agreement with</w:t>
      </w:r>
      <w:r w:rsidR="0085424C" w:rsidRPr="00672C61">
        <w:t xml:space="preserve"> </w:t>
      </w:r>
      <w:r w:rsidRPr="00672C61">
        <w:t>the SG</w:t>
      </w:r>
      <w:r>
        <w:t>2</w:t>
      </w:r>
      <w:r w:rsidRPr="00672C61">
        <w:t>RG-</w:t>
      </w:r>
      <w:r>
        <w:t>AFR</w:t>
      </w:r>
      <w:r w:rsidRPr="00672C61" w:rsidDel="00C0344E">
        <w:t xml:space="preserve"> </w:t>
      </w:r>
      <w:r w:rsidRPr="00672C61">
        <w:t>Chair</w:t>
      </w:r>
      <w:r w:rsidR="00574653">
        <w:t>man</w:t>
      </w:r>
      <w:r w:rsidR="00574653">
        <w:br/>
      </w:r>
      <w:r w:rsidR="0081183C">
        <w:t>(Ms Susan Nakanwagi, Uganda)</w:t>
      </w:r>
      <w:r w:rsidR="00574653">
        <w:t xml:space="preserve"> and</w:t>
      </w:r>
      <w:r>
        <w:t xml:space="preserve"> </w:t>
      </w:r>
      <w:r w:rsidR="00574653">
        <w:t xml:space="preserve">the </w:t>
      </w:r>
      <w:r>
        <w:t>SG2RG-ARB Chairman</w:t>
      </w:r>
      <w:r w:rsidR="0081183C">
        <w:t xml:space="preserve"> (Mr Saif Bin Ghelaita,</w:t>
      </w:r>
      <w:r w:rsidR="0081183C" w:rsidRPr="0081183C">
        <w:rPr>
          <w:rFonts w:cstheme="minorHAnsi"/>
          <w:szCs w:val="22"/>
        </w:rPr>
        <w:t xml:space="preserve"> </w:t>
      </w:r>
      <w:r w:rsidR="0081183C" w:rsidRPr="00A370AB">
        <w:rPr>
          <w:rFonts w:cstheme="minorHAnsi"/>
          <w:szCs w:val="22"/>
        </w:rPr>
        <w:t>United Arab Emirates</w:t>
      </w:r>
      <w:r w:rsidR="0081183C">
        <w:rPr>
          <w:rFonts w:cstheme="minorHAnsi"/>
          <w:szCs w:val="22"/>
        </w:rPr>
        <w:t>)</w:t>
      </w:r>
      <w:r w:rsidR="0081183C">
        <w:t xml:space="preserve"> </w:t>
      </w:r>
      <w:r w:rsidRPr="00672C61">
        <w:t xml:space="preserve">– can be found in </w:t>
      </w:r>
      <w:r w:rsidRPr="00672C61">
        <w:rPr>
          <w:b/>
          <w:bCs/>
        </w:rPr>
        <w:t>Annex B</w:t>
      </w:r>
      <w:r w:rsidRPr="00672C61">
        <w:t>. Practical information relating to the meeting will be posted on the SG</w:t>
      </w:r>
      <w:r w:rsidR="0081183C">
        <w:t>2</w:t>
      </w:r>
      <w:r w:rsidRPr="00672C61">
        <w:t>RG-</w:t>
      </w:r>
      <w:r w:rsidR="00574653">
        <w:t>AFR and</w:t>
      </w:r>
      <w:r w:rsidR="0081183C">
        <w:t xml:space="preserve"> SG2RG-ARB</w:t>
      </w:r>
      <w:r w:rsidR="00574653">
        <w:t xml:space="preserve"> web</w:t>
      </w:r>
      <w:r w:rsidRPr="00672C61">
        <w:t>page</w:t>
      </w:r>
      <w:r w:rsidR="00574653">
        <w:t xml:space="preserve">s at: </w:t>
      </w:r>
      <w:hyperlink r:id="rId14" w:history="1">
        <w:r w:rsidR="0081183C" w:rsidRPr="002D2998">
          <w:rPr>
            <w:rStyle w:val="Hyperlink"/>
          </w:rPr>
          <w:t>https://www.itu.int/en/ITU-T/studygroups/2017-2020/02/sg2rgafr</w:t>
        </w:r>
      </w:hyperlink>
      <w:r w:rsidR="00574653">
        <w:rPr>
          <w:rStyle w:val="Hyperlink"/>
          <w:color w:val="auto"/>
          <w:u w:val="none"/>
        </w:rPr>
        <w:t xml:space="preserve"> and </w:t>
      </w:r>
      <w:hyperlink r:id="rId15" w:history="1">
        <w:r w:rsidR="0081183C" w:rsidRPr="008B423D">
          <w:rPr>
            <w:rStyle w:val="Hyperlink"/>
          </w:rPr>
          <w:t>https://www.itu.int/en/ITU-T/studygroups/2017-2020/02/sg2rgarb</w:t>
        </w:r>
      </w:hyperlink>
      <w:r w:rsidR="0081183C" w:rsidRPr="005231BB">
        <w:rPr>
          <w:rStyle w:val="Hyperlink"/>
          <w:color w:val="auto"/>
          <w:u w:val="none"/>
        </w:rPr>
        <w:t>.</w:t>
      </w:r>
    </w:p>
    <w:p w14:paraId="7B1C81D9" w14:textId="4BAEC86B" w:rsidR="00672C61" w:rsidRPr="00672C61" w:rsidRDefault="00672C61" w:rsidP="0081183C">
      <w:r w:rsidRPr="00672C61">
        <w:t xml:space="preserve">Participation in the </w:t>
      </w:r>
      <w:r w:rsidR="0081183C" w:rsidRPr="00672C61">
        <w:t>SG</w:t>
      </w:r>
      <w:r w:rsidR="0081183C">
        <w:t>2</w:t>
      </w:r>
      <w:r w:rsidR="0081183C" w:rsidRPr="00672C61">
        <w:t>RG-</w:t>
      </w:r>
      <w:r w:rsidR="00574653">
        <w:t>AFR and</w:t>
      </w:r>
      <w:r w:rsidR="0081183C">
        <w:t xml:space="preserve"> SG2RG-ARB</w:t>
      </w:r>
      <w:r w:rsidR="0081183C" w:rsidRPr="00672C61">
        <w:t xml:space="preserve"> </w:t>
      </w:r>
      <w:r w:rsidRPr="00672C61">
        <w:t>meeting</w:t>
      </w:r>
      <w:r w:rsidR="0081183C">
        <w:t>s</w:t>
      </w:r>
      <w:r w:rsidRPr="00672C61">
        <w:t xml:space="preserve"> is defined per </w:t>
      </w:r>
      <w:r w:rsidRPr="0081183C">
        <w:t xml:space="preserve">clause reference 2.3.3 </w:t>
      </w:r>
      <w:r w:rsidRPr="00672C61">
        <w:t xml:space="preserve">of </w:t>
      </w:r>
      <w:hyperlink r:id="rId16" w:history="1">
        <w:r w:rsidRPr="00672C61">
          <w:rPr>
            <w:rStyle w:val="Hyperlink"/>
            <w:szCs w:val="22"/>
          </w:rPr>
          <w:t>WTSA Resolution 1 (Rev. Hammamet, 2016)</w:t>
        </w:r>
      </w:hyperlink>
      <w:r w:rsidRPr="00672C61">
        <w:t xml:space="preserve">. Please note that continuity of representation would be helpful to the group's work. </w:t>
      </w:r>
    </w:p>
    <w:p w14:paraId="0FAE6E1A" w14:textId="227B5216" w:rsidR="00672C61" w:rsidRPr="00672C61" w:rsidRDefault="00672C61" w:rsidP="0081183C">
      <w:r w:rsidRPr="0081183C">
        <w:t>Participation in the</w:t>
      </w:r>
      <w:r w:rsidR="00B6419F">
        <w:t xml:space="preserve"> F</w:t>
      </w:r>
      <w:r w:rsidR="006F520E">
        <w:t xml:space="preserve">orum </w:t>
      </w:r>
      <w:r w:rsidRPr="0081183C">
        <w:t>is free of charge, and open to any participants who share an interest in</w:t>
      </w:r>
      <w:r w:rsidR="00B6419F">
        <w:t xml:space="preserve"> these topics</w:t>
      </w:r>
      <w:r w:rsidR="0081183C" w:rsidRPr="0081183C">
        <w:t>.</w:t>
      </w:r>
    </w:p>
    <w:p w14:paraId="14FB25F5" w14:textId="77777777" w:rsidR="00020222" w:rsidRDefault="000202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b/>
          <w:bCs/>
          <w:szCs w:val="22"/>
        </w:rPr>
      </w:pPr>
      <w:r>
        <w:rPr>
          <w:rFonts w:eastAsia="Times New Roman"/>
          <w:b/>
          <w:bCs/>
          <w:szCs w:val="22"/>
        </w:rPr>
        <w:br w:type="page"/>
      </w:r>
    </w:p>
    <w:p w14:paraId="2EF63E82" w14:textId="006FF5EB" w:rsidR="00020222" w:rsidRPr="00682261" w:rsidRDefault="00672C61" w:rsidP="00020222">
      <w:pPr>
        <w:overflowPunct/>
        <w:autoSpaceDE/>
        <w:autoSpaceDN/>
        <w:adjustRightInd/>
        <w:spacing w:before="120" w:after="120"/>
        <w:textAlignment w:val="auto"/>
        <w:rPr>
          <w:rFonts w:eastAsia="Times New Roman"/>
          <w:b/>
          <w:bCs/>
          <w:szCs w:val="22"/>
        </w:rPr>
      </w:pPr>
      <w:r w:rsidRPr="00682261">
        <w:rPr>
          <w:rFonts w:eastAsia="Times New Roman"/>
          <w:b/>
          <w:bCs/>
          <w:szCs w:val="22"/>
        </w:rPr>
        <w:lastRenderedPageBreak/>
        <w:t>Key deadlines: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7796"/>
      </w:tblGrid>
      <w:tr w:rsidR="00672C61" w:rsidRPr="00682261" w14:paraId="1DDABFC4" w14:textId="77777777" w:rsidTr="004D6E79">
        <w:tc>
          <w:tcPr>
            <w:tcW w:w="0" w:type="auto"/>
            <w:shd w:val="clear" w:color="auto" w:fill="auto"/>
            <w:vAlign w:val="center"/>
          </w:tcPr>
          <w:p w14:paraId="65396746" w14:textId="64D0B6E0" w:rsidR="00672C61" w:rsidRPr="00682261" w:rsidRDefault="00682261" w:rsidP="00682261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682261">
              <w:rPr>
                <w:rFonts w:asciiTheme="minorHAnsi" w:hAnsiTheme="minorHAnsi" w:cstheme="majorBidi"/>
                <w:szCs w:val="22"/>
              </w:rPr>
              <w:t>25 September 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3BC3FD" w14:textId="77777777" w:rsidR="00672C61" w:rsidRPr="00682261" w:rsidRDefault="00672C61" w:rsidP="004D6E79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682261">
              <w:rPr>
                <w:rFonts w:asciiTheme="minorHAnsi" w:hAnsiTheme="minorHAnsi"/>
                <w:szCs w:val="22"/>
              </w:rPr>
              <w:t>- Submit fellowship requests (via the online registration form; see details in Annex A)</w:t>
            </w:r>
          </w:p>
        </w:tc>
      </w:tr>
      <w:tr w:rsidR="00672C61" w:rsidRPr="00682261" w14:paraId="76725D99" w14:textId="77777777" w:rsidTr="004D6E79">
        <w:tc>
          <w:tcPr>
            <w:tcW w:w="0" w:type="auto"/>
            <w:shd w:val="clear" w:color="auto" w:fill="auto"/>
            <w:vAlign w:val="center"/>
          </w:tcPr>
          <w:p w14:paraId="6BFB8988" w14:textId="20CEB288" w:rsidR="00672C61" w:rsidRPr="00682261" w:rsidRDefault="00682261" w:rsidP="004D6E79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682261">
              <w:rPr>
                <w:rFonts w:asciiTheme="minorHAnsi" w:hAnsiTheme="minorHAnsi" w:cstheme="majorBidi"/>
                <w:szCs w:val="22"/>
              </w:rPr>
              <w:t>23 September 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BD8239D" w14:textId="77777777" w:rsidR="00672C61" w:rsidRPr="00682261" w:rsidRDefault="00672C61" w:rsidP="004D6E79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682261">
              <w:rPr>
                <w:rFonts w:asciiTheme="minorHAnsi" w:hAnsiTheme="minorHAnsi"/>
                <w:szCs w:val="22"/>
              </w:rPr>
              <w:t xml:space="preserve">- Pre-registration (online via the </w:t>
            </w:r>
            <w:r w:rsidRPr="00682261">
              <w:rPr>
                <w:rFonts w:asciiTheme="minorHAnsi" w:hAnsiTheme="minorHAnsi"/>
              </w:rPr>
              <w:t>regional group homepage</w:t>
            </w:r>
            <w:r w:rsidRPr="00682261">
              <w:rPr>
                <w:rFonts w:asciiTheme="minorHAnsi" w:hAnsiTheme="minorHAnsi"/>
                <w:szCs w:val="22"/>
              </w:rPr>
              <w:t>)</w:t>
            </w:r>
          </w:p>
          <w:p w14:paraId="1DDB0598" w14:textId="77777777" w:rsidR="00672C61" w:rsidRPr="00682261" w:rsidRDefault="00672C61" w:rsidP="004D6E79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682261">
              <w:rPr>
                <w:rFonts w:asciiTheme="minorHAnsi" w:hAnsiTheme="minorHAnsi"/>
                <w:szCs w:val="22"/>
              </w:rPr>
              <w:t>- Submit requests for visa support letters (see details in Annex A)</w:t>
            </w:r>
          </w:p>
        </w:tc>
      </w:tr>
      <w:tr w:rsidR="00672C61" w:rsidRPr="00101525" w14:paraId="41838669" w14:textId="77777777" w:rsidTr="004D6E79">
        <w:tc>
          <w:tcPr>
            <w:tcW w:w="0" w:type="auto"/>
            <w:shd w:val="clear" w:color="auto" w:fill="auto"/>
            <w:vAlign w:val="center"/>
          </w:tcPr>
          <w:p w14:paraId="1C7DBE6E" w14:textId="77389854" w:rsidR="00672C61" w:rsidRPr="00682261" w:rsidRDefault="00682261" w:rsidP="004D6E79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682261">
              <w:rPr>
                <w:rFonts w:asciiTheme="minorHAnsi" w:hAnsiTheme="minorHAnsi"/>
                <w:szCs w:val="22"/>
              </w:rPr>
              <w:t>10 October 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EFF4194" w14:textId="785984C8" w:rsidR="00672C61" w:rsidRPr="00101525" w:rsidRDefault="00672C61" w:rsidP="00682261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682261">
              <w:rPr>
                <w:rFonts w:asciiTheme="minorHAnsi" w:hAnsiTheme="minorHAnsi"/>
              </w:rPr>
              <w:t xml:space="preserve">- Submit ITU-T Member contributions (by e-mail to </w:t>
            </w:r>
            <w:r w:rsidRPr="00682261">
              <w:rPr>
                <w:rStyle w:val="Hyperlink"/>
                <w:rFonts w:asciiTheme="minorHAnsi" w:hAnsiTheme="minorHAnsi"/>
              </w:rPr>
              <w:t>tsbsg</w:t>
            </w:r>
            <w:r w:rsidR="00682261">
              <w:rPr>
                <w:rStyle w:val="Hyperlink"/>
                <w:rFonts w:asciiTheme="minorHAnsi" w:hAnsiTheme="minorHAnsi"/>
              </w:rPr>
              <w:t>2</w:t>
            </w:r>
            <w:r w:rsidRPr="00682261">
              <w:rPr>
                <w:rStyle w:val="Hyperlink"/>
                <w:rFonts w:asciiTheme="minorHAnsi" w:hAnsiTheme="minorHAnsi"/>
              </w:rPr>
              <w:t>@itu.int</w:t>
            </w:r>
            <w:r w:rsidRPr="00682261">
              <w:rPr>
                <w:rFonts w:asciiTheme="minorHAnsi" w:hAnsiTheme="minorHAnsi"/>
              </w:rPr>
              <w:t>)</w:t>
            </w:r>
          </w:p>
        </w:tc>
      </w:tr>
    </w:tbl>
    <w:p w14:paraId="4F8D85EE" w14:textId="77777777" w:rsidR="00020222" w:rsidRDefault="00020222" w:rsidP="008118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4F95E3AF" w14:textId="7C15132C" w:rsidR="00B23003" w:rsidRPr="00B70109" w:rsidRDefault="00B23003" w:rsidP="008118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B70109">
        <w:t>I wish you a productive and enjoyable meeting.</w:t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B23003" w:rsidRPr="00B23003" w14:paraId="29DA12C0" w14:textId="77777777" w:rsidTr="00020222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444C9CEC" w14:textId="77777777" w:rsidR="00B23003" w:rsidRPr="000C5E30" w:rsidRDefault="00B23003" w:rsidP="00DA3ADB">
            <w:pPr>
              <w:keepNext/>
              <w:keepLines/>
              <w:spacing w:before="480"/>
            </w:pPr>
            <w:r w:rsidRPr="000C5E30">
              <w:t>Yours faithfully,</w:t>
            </w:r>
          </w:p>
          <w:p w14:paraId="4A2CD63C" w14:textId="3A38E3E9" w:rsidR="00B23003" w:rsidRPr="000C5E30" w:rsidRDefault="00B23003" w:rsidP="00DA3ADB">
            <w:pPr>
              <w:keepNext/>
              <w:keepLines/>
              <w:spacing w:before="0"/>
            </w:pPr>
          </w:p>
          <w:p w14:paraId="3523A718" w14:textId="77777777" w:rsidR="00B23003" w:rsidRPr="00A53B2B" w:rsidRDefault="00B23003" w:rsidP="00DA3ADB">
            <w:pPr>
              <w:keepNext/>
              <w:keepLines/>
              <w:spacing w:before="0"/>
              <w:rPr>
                <w:i/>
                <w:iCs/>
              </w:rPr>
            </w:pPr>
            <w:r w:rsidRPr="00A0405A">
              <w:rPr>
                <w:i/>
                <w:iCs/>
              </w:rPr>
              <w:t>(signed)</w:t>
            </w:r>
            <w:bookmarkStart w:id="2" w:name="_GoBack"/>
            <w:bookmarkEnd w:id="2"/>
          </w:p>
          <w:p w14:paraId="33CE21C1" w14:textId="77777777" w:rsidR="00B23003" w:rsidRPr="000C5E30" w:rsidRDefault="00B23003" w:rsidP="00DA3ADB">
            <w:pPr>
              <w:keepNext/>
              <w:keepLines/>
              <w:spacing w:before="0"/>
            </w:pPr>
          </w:p>
          <w:p w14:paraId="38161C89" w14:textId="77777777" w:rsidR="00B23003" w:rsidRDefault="00B23003" w:rsidP="00DA3ADB">
            <w:pPr>
              <w:keepNext/>
              <w:keepLines/>
              <w:spacing w:before="0"/>
              <w:rPr>
                <w:b/>
                <w:bCs/>
              </w:rPr>
            </w:pPr>
            <w:r w:rsidRPr="000C5E30">
              <w:rPr>
                <w:szCs w:val="24"/>
              </w:rPr>
              <w:t>Chaesub Lee</w:t>
            </w:r>
            <w:r w:rsidRPr="000C5E30">
              <w:br/>
              <w:t>Director of the Telecommunication</w:t>
            </w:r>
            <w:r w:rsidRPr="000C5E30">
              <w:br/>
              <w:t>Standardization Bureau</w:t>
            </w:r>
            <w:r w:rsidRPr="000C5E30">
              <w:rPr>
                <w:b/>
                <w:bCs/>
              </w:rPr>
              <w:t xml:space="preserve"> </w:t>
            </w:r>
          </w:p>
          <w:p w14:paraId="4351816F" w14:textId="77777777" w:rsidR="00594C33" w:rsidRDefault="00594C33" w:rsidP="00DA3ADB">
            <w:pPr>
              <w:keepNext/>
              <w:keepLines/>
              <w:spacing w:before="0"/>
              <w:rPr>
                <w:b/>
                <w:bCs/>
              </w:rPr>
            </w:pPr>
          </w:p>
          <w:p w14:paraId="28DF5066" w14:textId="77777777" w:rsidR="00594C33" w:rsidRPr="00441BB4" w:rsidRDefault="00594C33" w:rsidP="00594C33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MS Mincho"/>
                <w:szCs w:val="22"/>
              </w:rPr>
            </w:pPr>
            <w:r w:rsidRPr="00441BB4">
              <w:rPr>
                <w:rFonts w:eastAsia="MS Mincho"/>
                <w:b/>
                <w:bCs/>
                <w:szCs w:val="22"/>
              </w:rPr>
              <w:t>Annexes:</w:t>
            </w:r>
            <w:r w:rsidRPr="00441BB4">
              <w:rPr>
                <w:rFonts w:eastAsia="MS Mincho"/>
                <w:szCs w:val="22"/>
              </w:rPr>
              <w:t xml:space="preserve"> 2</w:t>
            </w:r>
          </w:p>
          <w:p w14:paraId="05F1C162" w14:textId="77777777" w:rsidR="00594C33" w:rsidRPr="000C5E30" w:rsidRDefault="00594C33" w:rsidP="00DA3ADB">
            <w:pPr>
              <w:keepNext/>
              <w:keepLines/>
              <w:spacing w:befor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947F08" w14:textId="09C998D6" w:rsidR="00B23003" w:rsidRPr="00AE4561" w:rsidRDefault="006D3DE6" w:rsidP="00966639">
            <w:pPr>
              <w:keepNext/>
              <w:keepLines/>
              <w:spacing w:before="0"/>
              <w:ind w:left="113" w:right="113"/>
              <w:jc w:val="center"/>
              <w:rPr>
                <w:lang w:val="fr-CH"/>
              </w:rPr>
            </w:pPr>
            <w:r w:rsidRPr="00632B23">
              <w:object w:dxaOrig="3540" w:dyaOrig="3585" w14:anchorId="23CC55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4.25pt" o:ole="">
                  <v:imagedata r:id="rId17" o:title=""/>
                </v:shape>
                <o:OLEObject Type="Embed" ProgID="PBrush" ShapeID="_x0000_i1025" DrawAspect="Content" ObjectID="_1625320661" r:id="rId18"/>
              </w:object>
            </w:r>
            <w:r w:rsidR="00B23003" w:rsidRPr="00AE4561">
              <w:rPr>
                <w:rFonts w:ascii="Calibri" w:hAnsi="Calibri" w:cs="Arial"/>
                <w:sz w:val="16"/>
                <w:szCs w:val="16"/>
                <w:lang w:val="fr-CH" w:eastAsia="zh-CN"/>
              </w:rPr>
              <w:t xml:space="preserve"> </w:t>
            </w:r>
            <w:r w:rsidR="00B23003" w:rsidRPr="00AE4561">
              <w:rPr>
                <w:sz w:val="16"/>
                <w:szCs w:val="16"/>
                <w:lang w:val="fr-CH"/>
              </w:rPr>
              <w:t>ITU-T S</w:t>
            </w:r>
            <w:r>
              <w:rPr>
                <w:sz w:val="16"/>
                <w:szCs w:val="16"/>
                <w:lang w:val="fr-CH"/>
              </w:rPr>
              <w:t>G2</w:t>
            </w:r>
            <w:r w:rsidR="00966639">
              <w:rPr>
                <w:sz w:val="16"/>
                <w:szCs w:val="16"/>
                <w:lang w:val="fr-CH"/>
              </w:rPr>
              <w:t>RG-AFR</w:t>
            </w:r>
          </w:p>
        </w:tc>
      </w:tr>
      <w:tr w:rsidR="00DA3ADB" w:rsidRPr="006D3DE6" w14:paraId="543677F0" w14:textId="77777777" w:rsidTr="00020222">
        <w:trPr>
          <w:cantSplit/>
          <w:trHeight w:val="1955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45FDD179" w14:textId="77777777" w:rsidR="00DA3ADB" w:rsidRPr="00DA3ADB" w:rsidRDefault="00DA3ADB" w:rsidP="00DA3ADB">
            <w:pPr>
              <w:keepNext/>
              <w:keepLines/>
              <w:spacing w:before="480"/>
              <w:rPr>
                <w:lang w:val="fr-CH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59E1C1" w14:textId="3AA5DC15" w:rsidR="00DA3ADB" w:rsidRPr="00AE4561" w:rsidRDefault="006D3DE6" w:rsidP="00966639">
            <w:pPr>
              <w:keepNext/>
              <w:keepLines/>
              <w:spacing w:before="0"/>
              <w:ind w:left="113" w:right="113"/>
              <w:jc w:val="center"/>
              <w:rPr>
                <w:noProof/>
                <w:sz w:val="16"/>
                <w:szCs w:val="16"/>
                <w:lang w:val="fr-CH"/>
              </w:rPr>
            </w:pPr>
            <w:r>
              <w:object w:dxaOrig="3600" w:dyaOrig="3630" w14:anchorId="6103CCB2">
                <v:shape id="_x0000_i1026" type="#_x0000_t75" style="width:77.25pt;height:72.75pt" o:ole="">
                  <v:imagedata r:id="rId19" o:title=""/>
                </v:shape>
                <o:OLEObject Type="Embed" ProgID="PBrush" ShapeID="_x0000_i1026" DrawAspect="Content" ObjectID="_1625320662" r:id="rId20"/>
              </w:object>
            </w:r>
            <w:r w:rsidR="00DA3ADB" w:rsidRPr="00AE4561">
              <w:rPr>
                <w:rFonts w:ascii="Calibri" w:hAnsi="Calibri" w:cs="Arial"/>
                <w:sz w:val="16"/>
                <w:szCs w:val="16"/>
                <w:lang w:val="fr-CH" w:eastAsia="zh-CN"/>
              </w:rPr>
              <w:t xml:space="preserve"> </w:t>
            </w:r>
            <w:r w:rsidR="00DA3ADB" w:rsidRPr="00AE4561">
              <w:rPr>
                <w:sz w:val="16"/>
                <w:szCs w:val="16"/>
                <w:lang w:val="fr-CH"/>
              </w:rPr>
              <w:t>ITU-T SG</w:t>
            </w:r>
            <w:r>
              <w:rPr>
                <w:sz w:val="16"/>
                <w:szCs w:val="16"/>
                <w:lang w:val="fr-CH"/>
              </w:rPr>
              <w:t>2</w:t>
            </w:r>
            <w:r w:rsidR="00966639">
              <w:rPr>
                <w:sz w:val="16"/>
                <w:szCs w:val="16"/>
                <w:lang w:val="fr-CH"/>
              </w:rPr>
              <w:t>RG-ARB</w:t>
            </w:r>
          </w:p>
        </w:tc>
      </w:tr>
      <w:tr w:rsidR="00B23003" w:rsidRPr="00B70109" w14:paraId="6ECD23DC" w14:textId="77777777" w:rsidTr="00020222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2E0E161C" w14:textId="77777777" w:rsidR="00B23003" w:rsidRPr="00AE4561" w:rsidRDefault="00B23003" w:rsidP="00DA3ADB">
            <w:pPr>
              <w:spacing w:before="480"/>
              <w:rPr>
                <w:lang w:val="fr-CH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F926" w14:textId="77777777" w:rsidR="00B23003" w:rsidRPr="00B70109" w:rsidRDefault="00B23003" w:rsidP="00DA3ADB">
            <w:pPr>
              <w:spacing w:before="0"/>
              <w:jc w:val="center"/>
              <w:rPr>
                <w:rFonts w:ascii="Calibri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16897571" w14:textId="77777777" w:rsidR="00441BB4" w:rsidRPr="00441BB4" w:rsidRDefault="00441BB4" w:rsidP="00441BB4">
      <w:pPr>
        <w:overflowPunct/>
        <w:autoSpaceDE/>
        <w:autoSpaceDN/>
        <w:adjustRightInd/>
        <w:spacing w:before="120"/>
        <w:textAlignment w:val="auto"/>
        <w:rPr>
          <w:rFonts w:eastAsia="MS Mincho"/>
          <w:szCs w:val="22"/>
        </w:rPr>
      </w:pPr>
    </w:p>
    <w:p w14:paraId="57779316" w14:textId="77777777" w:rsidR="00441BB4" w:rsidRPr="00441BB4" w:rsidRDefault="00441BB4" w:rsidP="00441B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b/>
          <w:bCs/>
          <w:sz w:val="28"/>
          <w:szCs w:val="28"/>
          <w:highlight w:val="yellow"/>
        </w:rPr>
      </w:pPr>
      <w:r w:rsidRPr="00441BB4">
        <w:rPr>
          <w:rFonts w:eastAsia="MS Mincho"/>
          <w:b/>
          <w:bCs/>
          <w:sz w:val="28"/>
          <w:szCs w:val="28"/>
          <w:highlight w:val="yellow"/>
        </w:rPr>
        <w:br w:type="page"/>
      </w:r>
    </w:p>
    <w:p w14:paraId="323A7052" w14:textId="77777777" w:rsidR="00C67B05" w:rsidRDefault="00C67B05" w:rsidP="00C67B05">
      <w:pPr>
        <w:pStyle w:val="Annextitle"/>
      </w:pPr>
      <w:r w:rsidRPr="00580DD4">
        <w:lastRenderedPageBreak/>
        <w:t>A</w:t>
      </w:r>
      <w:r>
        <w:t>NNEX</w:t>
      </w:r>
      <w:r w:rsidRPr="00580DD4">
        <w:t xml:space="preserve"> </w:t>
      </w:r>
      <w:r>
        <w:t>A</w:t>
      </w:r>
      <w:r>
        <w:br/>
        <w:t>Additional information</w:t>
      </w:r>
    </w:p>
    <w:p w14:paraId="06F3C10D" w14:textId="77777777" w:rsidR="00C67B05" w:rsidRPr="00EC340D" w:rsidRDefault="00C67B05" w:rsidP="00C67B05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 w:val="26"/>
          <w:szCs w:val="26"/>
        </w:rPr>
      </w:pPr>
      <w:r w:rsidRPr="00EC340D">
        <w:rPr>
          <w:b/>
          <w:bCs/>
          <w:sz w:val="26"/>
          <w:szCs w:val="26"/>
        </w:rPr>
        <w:t>WORKING METHODS AND FACILITIES</w:t>
      </w:r>
    </w:p>
    <w:p w14:paraId="5041B93B" w14:textId="23CB677E" w:rsidR="00C67B05" w:rsidRPr="00A269F1" w:rsidRDefault="00C67B05" w:rsidP="00C67B05">
      <w:pPr>
        <w:spacing w:after="120"/>
        <w:rPr>
          <w:bCs/>
          <w:szCs w:val="22"/>
          <w:lang w:eastAsia="zh-CN"/>
        </w:rPr>
      </w:pPr>
      <w:r w:rsidRPr="007A68A5">
        <w:rPr>
          <w:b/>
          <w:bCs/>
          <w:szCs w:val="22"/>
          <w:lang w:eastAsia="zh-CN"/>
        </w:rPr>
        <w:t>DOCUMENT SUBMISSION AND ACCESS</w:t>
      </w:r>
      <w:r w:rsidRPr="00FE176B">
        <w:rPr>
          <w:bCs/>
          <w:szCs w:val="22"/>
          <w:lang w:eastAsia="zh-CN"/>
        </w:rPr>
        <w:t>: The meeting</w:t>
      </w:r>
      <w:r w:rsidRPr="00A269F1">
        <w:rPr>
          <w:bCs/>
          <w:szCs w:val="22"/>
          <w:lang w:eastAsia="zh-CN"/>
        </w:rPr>
        <w:t xml:space="preserve"> will be run paperless. Member </w:t>
      </w:r>
      <w:r>
        <w:rPr>
          <w:bCs/>
          <w:szCs w:val="22"/>
          <w:lang w:eastAsia="zh-CN"/>
        </w:rPr>
        <w:t>C</w:t>
      </w:r>
      <w:r w:rsidRPr="00A269F1">
        <w:rPr>
          <w:bCs/>
          <w:szCs w:val="22"/>
          <w:lang w:eastAsia="zh-CN"/>
        </w:rPr>
        <w:t xml:space="preserve">ontributions </w:t>
      </w:r>
      <w:r>
        <w:rPr>
          <w:bCs/>
          <w:szCs w:val="22"/>
          <w:lang w:eastAsia="zh-CN"/>
        </w:rPr>
        <w:t xml:space="preserve">and </w:t>
      </w:r>
      <w:r w:rsidRPr="00A269F1">
        <w:rPr>
          <w:bCs/>
          <w:szCs w:val="22"/>
          <w:lang w:eastAsia="zh-CN"/>
        </w:rPr>
        <w:t xml:space="preserve">draft TDs should be submitted by e-mail to </w:t>
      </w:r>
      <w:hyperlink r:id="rId21" w:history="1">
        <w:r w:rsidR="00F648B8" w:rsidRPr="002D2998">
          <w:rPr>
            <w:rStyle w:val="Hyperlink"/>
            <w:bCs/>
            <w:szCs w:val="22"/>
            <w:lang w:eastAsia="zh-CN"/>
          </w:rPr>
          <w:t>tsbsg2@itu.int</w:t>
        </w:r>
      </w:hyperlink>
      <w:r w:rsidR="004D6E79" w:rsidRPr="00020222">
        <w:rPr>
          <w:rStyle w:val="Hyperlink"/>
          <w:bCs/>
          <w:szCs w:val="22"/>
          <w:u w:val="none"/>
          <w:lang w:eastAsia="zh-CN"/>
        </w:rPr>
        <w:t xml:space="preserve"> </w:t>
      </w:r>
      <w:r w:rsidRPr="00A269F1">
        <w:rPr>
          <w:bCs/>
          <w:szCs w:val="22"/>
          <w:lang w:eastAsia="zh-CN"/>
        </w:rPr>
        <w:t xml:space="preserve">using the </w:t>
      </w:r>
      <w:hyperlink r:id="rId22" w:history="1">
        <w:r w:rsidRPr="00A269F1">
          <w:rPr>
            <w:rStyle w:val="Hyperlink"/>
            <w:bCs/>
            <w:szCs w:val="22"/>
            <w:lang w:eastAsia="zh-CN"/>
          </w:rPr>
          <w:t>appropriate template</w:t>
        </w:r>
      </w:hyperlink>
      <w:r w:rsidRPr="00A269F1">
        <w:rPr>
          <w:bCs/>
          <w:szCs w:val="22"/>
          <w:lang w:eastAsia="zh-CN"/>
        </w:rPr>
        <w:t xml:space="preserve">. Access to meeting documents is provided from the </w:t>
      </w:r>
      <w:r w:rsidR="004D6E79">
        <w:rPr>
          <w:bCs/>
          <w:szCs w:val="22"/>
          <w:lang w:eastAsia="zh-CN"/>
        </w:rPr>
        <w:t>regional</w:t>
      </w:r>
      <w:r w:rsidR="004D6E79" w:rsidRPr="00A269F1">
        <w:rPr>
          <w:bCs/>
          <w:szCs w:val="22"/>
          <w:lang w:eastAsia="zh-CN"/>
        </w:rPr>
        <w:t xml:space="preserve"> </w:t>
      </w:r>
      <w:r w:rsidRPr="00A269F1">
        <w:rPr>
          <w:bCs/>
          <w:szCs w:val="22"/>
          <w:lang w:eastAsia="zh-CN"/>
        </w:rPr>
        <w:t>group homepage, and is</w:t>
      </w:r>
      <w:r>
        <w:rPr>
          <w:bCs/>
          <w:szCs w:val="22"/>
          <w:lang w:eastAsia="zh-CN"/>
        </w:rPr>
        <w:t xml:space="preserve"> restricted</w:t>
      </w:r>
      <w:r w:rsidRPr="00A269F1">
        <w:rPr>
          <w:bCs/>
          <w:szCs w:val="22"/>
          <w:lang w:eastAsia="zh-CN"/>
        </w:rPr>
        <w:t xml:space="preserve"> </w:t>
      </w:r>
      <w:r w:rsidRPr="007A68A5">
        <w:rPr>
          <w:szCs w:val="22"/>
          <w:lang w:eastAsia="zh-CN"/>
        </w:rPr>
        <w:t>to ITU-T Members</w:t>
      </w:r>
      <w:r>
        <w:rPr>
          <w:szCs w:val="22"/>
          <w:lang w:eastAsia="zh-CN"/>
        </w:rPr>
        <w:t xml:space="preserve"> with an </w:t>
      </w:r>
      <w:hyperlink r:id="rId23" w:history="1">
        <w:r w:rsidRPr="009C689D">
          <w:rPr>
            <w:rStyle w:val="Hyperlink"/>
            <w:szCs w:val="22"/>
            <w:lang w:eastAsia="zh-CN"/>
          </w:rPr>
          <w:t>ITU account</w:t>
        </w:r>
      </w:hyperlink>
      <w:r>
        <w:rPr>
          <w:szCs w:val="22"/>
          <w:lang w:eastAsia="zh-CN"/>
        </w:rPr>
        <w:t xml:space="preserve"> that has TIES access</w:t>
      </w:r>
      <w:r w:rsidRPr="007A68A5">
        <w:rPr>
          <w:szCs w:val="22"/>
          <w:lang w:eastAsia="zh-CN"/>
        </w:rPr>
        <w:t>.</w:t>
      </w:r>
    </w:p>
    <w:p w14:paraId="046BFE67" w14:textId="307577B0" w:rsidR="00C67B05" w:rsidRDefault="00C67B05" w:rsidP="00F648B8">
      <w:pPr>
        <w:spacing w:after="120"/>
        <w:rPr>
          <w:rFonts w:cstheme="majorBidi"/>
          <w:szCs w:val="22"/>
        </w:rPr>
      </w:pPr>
      <w:r w:rsidRPr="00F648B8">
        <w:rPr>
          <w:rFonts w:cstheme="majorBidi"/>
          <w:b/>
          <w:bCs/>
          <w:szCs w:val="22"/>
        </w:rPr>
        <w:t>WORKING LANGUAGES</w:t>
      </w:r>
      <w:r w:rsidRPr="00F648B8">
        <w:rPr>
          <w:rFonts w:cstheme="majorBidi"/>
          <w:bCs/>
          <w:szCs w:val="22"/>
        </w:rPr>
        <w:t xml:space="preserve">: </w:t>
      </w:r>
      <w:r w:rsidR="00F648B8" w:rsidRPr="00F648B8">
        <w:rPr>
          <w:rFonts w:cstheme="majorBidi"/>
          <w:szCs w:val="22"/>
        </w:rPr>
        <w:t>In agreement with the Chairme</w:t>
      </w:r>
      <w:r w:rsidRPr="00F648B8">
        <w:rPr>
          <w:rFonts w:cstheme="majorBidi"/>
          <w:szCs w:val="22"/>
        </w:rPr>
        <w:t>n of the Group</w:t>
      </w:r>
      <w:r w:rsidR="00F648B8" w:rsidRPr="00F648B8">
        <w:rPr>
          <w:rFonts w:cstheme="majorBidi"/>
          <w:szCs w:val="22"/>
        </w:rPr>
        <w:t>s</w:t>
      </w:r>
      <w:r w:rsidRPr="00F648B8">
        <w:rPr>
          <w:rFonts w:cstheme="majorBidi"/>
          <w:szCs w:val="22"/>
        </w:rPr>
        <w:t>, the working languages of the meeting</w:t>
      </w:r>
      <w:r w:rsidR="00F648B8" w:rsidRPr="00F648B8">
        <w:rPr>
          <w:rFonts w:cstheme="majorBidi"/>
          <w:szCs w:val="22"/>
        </w:rPr>
        <w:t>s</w:t>
      </w:r>
      <w:r w:rsidR="00B6419F">
        <w:rPr>
          <w:rFonts w:cstheme="majorBidi"/>
          <w:szCs w:val="22"/>
        </w:rPr>
        <w:t xml:space="preserve"> will be English, </w:t>
      </w:r>
      <w:r w:rsidRPr="00F648B8">
        <w:rPr>
          <w:rFonts w:cstheme="majorBidi"/>
          <w:szCs w:val="22"/>
        </w:rPr>
        <w:t>French</w:t>
      </w:r>
      <w:r w:rsidR="00F648B8" w:rsidRPr="00F648B8">
        <w:rPr>
          <w:rFonts w:cstheme="majorBidi"/>
          <w:szCs w:val="22"/>
        </w:rPr>
        <w:t xml:space="preserve"> for SG2RG-AFR</w:t>
      </w:r>
      <w:r w:rsidR="00B6419F">
        <w:rPr>
          <w:rFonts w:cstheme="majorBidi"/>
          <w:szCs w:val="22"/>
        </w:rPr>
        <w:t>; and</w:t>
      </w:r>
      <w:r w:rsidR="00F648B8" w:rsidRPr="00F648B8">
        <w:rPr>
          <w:rFonts w:cstheme="majorBidi"/>
          <w:szCs w:val="22"/>
        </w:rPr>
        <w:t xml:space="preserve"> English</w:t>
      </w:r>
      <w:r w:rsidR="00B6419F">
        <w:rPr>
          <w:rFonts w:cstheme="majorBidi"/>
          <w:szCs w:val="22"/>
        </w:rPr>
        <w:t xml:space="preserve">, </w:t>
      </w:r>
      <w:r w:rsidR="00F648B8" w:rsidRPr="00F648B8">
        <w:rPr>
          <w:rFonts w:cstheme="majorBidi"/>
          <w:szCs w:val="22"/>
        </w:rPr>
        <w:t>Arabic for SG2RG-ARB</w:t>
      </w:r>
      <w:r w:rsidRPr="00F648B8">
        <w:rPr>
          <w:rFonts w:cstheme="majorBidi"/>
          <w:szCs w:val="22"/>
        </w:rPr>
        <w:t>.</w:t>
      </w:r>
    </w:p>
    <w:p w14:paraId="3E0B7376" w14:textId="67A60B8D" w:rsidR="00C67B05" w:rsidRPr="005B76B5" w:rsidRDefault="00C67B05" w:rsidP="00F648B8">
      <w:pPr>
        <w:spacing w:after="120"/>
        <w:ind w:right="-194"/>
        <w:rPr>
          <w:szCs w:val="22"/>
        </w:rPr>
      </w:pPr>
      <w:r w:rsidRPr="00F648B8">
        <w:rPr>
          <w:rFonts w:cstheme="majorBidi"/>
          <w:b/>
          <w:bCs/>
          <w:szCs w:val="22"/>
        </w:rPr>
        <w:t>TRANSLATION</w:t>
      </w:r>
      <w:r w:rsidRPr="00F648B8">
        <w:rPr>
          <w:rFonts w:cstheme="majorBidi"/>
          <w:bCs/>
          <w:szCs w:val="22"/>
        </w:rPr>
        <w:t>:</w:t>
      </w:r>
      <w:r w:rsidRPr="00F648B8">
        <w:rPr>
          <w:rFonts w:cstheme="majorBidi"/>
          <w:szCs w:val="22"/>
        </w:rPr>
        <w:t xml:space="preserve"> </w:t>
      </w:r>
      <w:r w:rsidR="004D6E79">
        <w:rPr>
          <w:rFonts w:cstheme="majorBidi"/>
          <w:szCs w:val="22"/>
        </w:rPr>
        <w:t>Contribution</w:t>
      </w:r>
      <w:r w:rsidRPr="00F648B8">
        <w:rPr>
          <w:rFonts w:cstheme="majorBidi"/>
          <w:szCs w:val="22"/>
        </w:rPr>
        <w:t xml:space="preserve">s for this meeting will be available in </w:t>
      </w:r>
      <w:r w:rsidR="00F648B8" w:rsidRPr="00F648B8">
        <w:rPr>
          <w:rFonts w:cstheme="majorBidi"/>
          <w:szCs w:val="22"/>
        </w:rPr>
        <w:t>English, French for SG2RG-AFR</w:t>
      </w:r>
      <w:r w:rsidR="00B6419F">
        <w:rPr>
          <w:rFonts w:cstheme="majorBidi"/>
          <w:szCs w:val="22"/>
        </w:rPr>
        <w:t>; and</w:t>
      </w:r>
      <w:r w:rsidR="00F648B8" w:rsidRPr="00F648B8">
        <w:rPr>
          <w:rFonts w:cstheme="majorBidi"/>
          <w:szCs w:val="22"/>
        </w:rPr>
        <w:t xml:space="preserve"> English, Arabic for SG2RG-ARB</w:t>
      </w:r>
      <w:r w:rsidR="004D6E79">
        <w:rPr>
          <w:rFonts w:cstheme="majorBidi"/>
          <w:szCs w:val="22"/>
        </w:rPr>
        <w:t>.</w:t>
      </w:r>
      <w:r w:rsidR="00F648B8" w:rsidRPr="00F648B8">
        <w:rPr>
          <w:bCs/>
          <w:szCs w:val="22"/>
        </w:rPr>
        <w:t xml:space="preserve"> </w:t>
      </w:r>
      <w:r w:rsidRPr="00F648B8">
        <w:rPr>
          <w:bCs/>
          <w:szCs w:val="22"/>
        </w:rPr>
        <w:t xml:space="preserve">We </w:t>
      </w:r>
      <w:r w:rsidR="002E0C69">
        <w:rPr>
          <w:bCs/>
          <w:szCs w:val="22"/>
        </w:rPr>
        <w:t>invite you to submit your C</w:t>
      </w:r>
      <w:r w:rsidRPr="00F648B8">
        <w:rPr>
          <w:bCs/>
          <w:szCs w:val="22"/>
        </w:rPr>
        <w:t>ontributions as early as possible to ensure there is sufficient time for translation.</w:t>
      </w:r>
    </w:p>
    <w:p w14:paraId="585938A1" w14:textId="77777777" w:rsidR="00C67B05" w:rsidRPr="001205FB" w:rsidRDefault="00C67B05" w:rsidP="00C67B05">
      <w:pPr>
        <w:tabs>
          <w:tab w:val="left" w:pos="1418"/>
          <w:tab w:val="left" w:pos="1702"/>
          <w:tab w:val="left" w:pos="2160"/>
        </w:tabs>
        <w:spacing w:after="120"/>
        <w:rPr>
          <w:rFonts w:cstheme="majorBidi"/>
          <w:szCs w:val="22"/>
        </w:rPr>
      </w:pPr>
      <w:r w:rsidRPr="007A68A5">
        <w:rPr>
          <w:b/>
          <w:bCs/>
          <w:szCs w:val="22"/>
        </w:rPr>
        <w:t>WIRELESS LAN</w:t>
      </w:r>
      <w:r>
        <w:rPr>
          <w:szCs w:val="22"/>
        </w:rPr>
        <w:t xml:space="preserve"> </w:t>
      </w:r>
      <w:r>
        <w:rPr>
          <w:rFonts w:cstheme="majorBidi"/>
          <w:szCs w:val="22"/>
        </w:rPr>
        <w:t>f</w:t>
      </w:r>
      <w:r w:rsidRPr="001205FB">
        <w:rPr>
          <w:rFonts w:cstheme="majorBidi"/>
          <w:szCs w:val="22"/>
        </w:rPr>
        <w:t>acilities and Internet access will be available at the venue of the event.</w:t>
      </w:r>
    </w:p>
    <w:p w14:paraId="71DE4C41" w14:textId="77777777" w:rsidR="00C67B05" w:rsidRPr="00EC340D" w:rsidRDefault="00C67B05" w:rsidP="00C67B0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PRE-REGISTRATION, </w:t>
      </w:r>
      <w:r w:rsidRPr="00EC340D">
        <w:rPr>
          <w:b/>
          <w:bCs/>
          <w:sz w:val="26"/>
          <w:szCs w:val="26"/>
        </w:rPr>
        <w:t>FELLOWSHIPS</w:t>
      </w:r>
      <w:r>
        <w:rPr>
          <w:b/>
          <w:bCs/>
          <w:sz w:val="26"/>
          <w:szCs w:val="26"/>
        </w:rPr>
        <w:t xml:space="preserve"> AND VISA SUPPORT</w:t>
      </w:r>
    </w:p>
    <w:p w14:paraId="78205CA9" w14:textId="72150C60" w:rsidR="00C67B05" w:rsidRPr="00B70C75" w:rsidRDefault="00C67B05" w:rsidP="00F648B8">
      <w:pPr>
        <w:rPr>
          <w:bCs/>
          <w:szCs w:val="22"/>
        </w:rPr>
      </w:pPr>
      <w:r w:rsidRPr="00B70C75">
        <w:rPr>
          <w:b/>
          <w:bCs/>
          <w:szCs w:val="22"/>
        </w:rPr>
        <w:t>PRE-REGISTRATION</w:t>
      </w:r>
      <w:r w:rsidRPr="00FE176B">
        <w:rPr>
          <w:szCs w:val="22"/>
        </w:rPr>
        <w:t>:</w:t>
      </w:r>
      <w:r w:rsidRPr="00FE176B">
        <w:rPr>
          <w:bCs/>
          <w:szCs w:val="22"/>
        </w:rPr>
        <w:t xml:space="preserve"> Pre-registration is mandatory</w:t>
      </w:r>
      <w:r w:rsidRPr="00B70C75">
        <w:rPr>
          <w:bCs/>
          <w:szCs w:val="22"/>
        </w:rPr>
        <w:t xml:space="preserve"> and is to be done online via the study group homepage </w:t>
      </w:r>
      <w:r w:rsidRPr="00B70C75">
        <w:rPr>
          <w:b/>
          <w:bCs/>
          <w:szCs w:val="22"/>
        </w:rPr>
        <w:t>at least one month before the start of the meeting</w:t>
      </w:r>
      <w:r w:rsidRPr="00B70C75">
        <w:rPr>
          <w:bCs/>
          <w:szCs w:val="22"/>
        </w:rPr>
        <w:t xml:space="preserve">. </w:t>
      </w:r>
      <w:r w:rsidRPr="00453693">
        <w:rPr>
          <w:bCs/>
          <w:szCs w:val="22"/>
        </w:rPr>
        <w:t xml:space="preserve">Member States are encouraged to consider gender balance and the inclusion of delegates with disabilities and with specific needs </w:t>
      </w:r>
      <w:r>
        <w:rPr>
          <w:bCs/>
          <w:szCs w:val="22"/>
        </w:rPr>
        <w:t>wh</w:t>
      </w:r>
      <w:r w:rsidRPr="00B70C75">
        <w:rPr>
          <w:bCs/>
          <w:szCs w:val="22"/>
        </w:rPr>
        <w:t>enever possible.</w:t>
      </w:r>
    </w:p>
    <w:p w14:paraId="0C8FB3C3" w14:textId="48EFF4EF" w:rsidR="00C67B05" w:rsidRDefault="00C67B05" w:rsidP="00A1281E">
      <w:pPr>
        <w:rPr>
          <w:szCs w:val="22"/>
        </w:rPr>
      </w:pPr>
      <w:r w:rsidRPr="005B76B5">
        <w:rPr>
          <w:b/>
          <w:bCs/>
          <w:szCs w:val="22"/>
        </w:rPr>
        <w:t>FELLOWSHIPS</w:t>
      </w:r>
      <w:r w:rsidRPr="00FE176B">
        <w:rPr>
          <w:bCs/>
          <w:szCs w:val="22"/>
        </w:rPr>
        <w:t>:</w:t>
      </w:r>
      <w:r w:rsidRPr="00FE176B">
        <w:rPr>
          <w:szCs w:val="22"/>
        </w:rPr>
        <w:t xml:space="preserve"> </w:t>
      </w:r>
      <w:r w:rsidRPr="00FE176B">
        <w:rPr>
          <w:szCs w:val="22"/>
          <w:lang w:val="en-US"/>
        </w:rPr>
        <w:t>Up to two partial</w:t>
      </w:r>
      <w:r w:rsidRPr="00453693">
        <w:rPr>
          <w:szCs w:val="22"/>
          <w:lang w:val="en-US"/>
        </w:rPr>
        <w:t xml:space="preserve"> fellowships per administration may be awarded, </w:t>
      </w:r>
      <w:r w:rsidR="00A1281E" w:rsidRPr="00682719">
        <w:rPr>
          <w:b/>
          <w:szCs w:val="22"/>
        </w:rPr>
        <w:t xml:space="preserve">within the Africa Region </w:t>
      </w:r>
      <w:r w:rsidR="00A1281E">
        <w:rPr>
          <w:b/>
          <w:szCs w:val="22"/>
        </w:rPr>
        <w:t xml:space="preserve">and the </w:t>
      </w:r>
      <w:r w:rsidR="00A1281E" w:rsidRPr="00A1281E">
        <w:rPr>
          <w:b/>
          <w:szCs w:val="22"/>
        </w:rPr>
        <w:t xml:space="preserve">Arab Region </w:t>
      </w:r>
      <w:r w:rsidR="00A1281E" w:rsidRPr="00682719">
        <w:rPr>
          <w:b/>
          <w:szCs w:val="22"/>
        </w:rPr>
        <w:t>only</w:t>
      </w:r>
      <w:r w:rsidR="00A1281E" w:rsidRPr="00453693">
        <w:rPr>
          <w:szCs w:val="22"/>
          <w:lang w:val="en-US"/>
        </w:rPr>
        <w:t xml:space="preserve"> </w:t>
      </w:r>
      <w:r w:rsidRPr="00453693">
        <w:rPr>
          <w:szCs w:val="22"/>
          <w:lang w:val="en-US"/>
        </w:rPr>
        <w:t xml:space="preserve">subject to available funding, to facilitate participation from </w:t>
      </w:r>
      <w:r w:rsidRPr="00453693">
        <w:rPr>
          <w:iCs/>
          <w:szCs w:val="22"/>
          <w:lang w:val="en-US"/>
        </w:rPr>
        <w:t xml:space="preserve">eligible </w:t>
      </w:r>
      <w:r w:rsidRPr="00453693">
        <w:rPr>
          <w:szCs w:val="22"/>
          <w:lang w:val="en-US"/>
        </w:rPr>
        <w:t xml:space="preserve">countries. </w:t>
      </w:r>
      <w:r w:rsidRPr="00453693">
        <w:rPr>
          <w:b/>
          <w:bCs/>
          <w:szCs w:val="22"/>
          <w:lang w:val="en-US"/>
        </w:rPr>
        <w:t xml:space="preserve">Fellowship requests must be received by </w:t>
      </w:r>
      <w:r w:rsidR="00F648B8" w:rsidRPr="00020222">
        <w:rPr>
          <w:rFonts w:cstheme="majorBidi"/>
          <w:b/>
          <w:szCs w:val="22"/>
        </w:rPr>
        <w:t xml:space="preserve">25 September 2019 </w:t>
      </w:r>
      <w:r w:rsidRPr="00453693">
        <w:rPr>
          <w:b/>
          <w:bCs/>
          <w:szCs w:val="22"/>
          <w:lang w:val="en-US"/>
        </w:rPr>
        <w:t>at the latest</w:t>
      </w:r>
      <w:r w:rsidRPr="00453693">
        <w:rPr>
          <w:szCs w:val="22"/>
          <w:lang w:val="en-US"/>
        </w:rPr>
        <w:t xml:space="preserve">. Please note that the decision criteria to grant a fellowship include: available ITU budget; active participation, including the submission of written </w:t>
      </w:r>
      <w:r>
        <w:rPr>
          <w:szCs w:val="22"/>
          <w:lang w:val="en-US"/>
        </w:rPr>
        <w:t>C</w:t>
      </w:r>
      <w:r w:rsidRPr="00453693">
        <w:rPr>
          <w:szCs w:val="22"/>
          <w:lang w:val="en-US"/>
        </w:rPr>
        <w:t>ontributions; equitable distribution among countries and regions; and gender balance.</w:t>
      </w:r>
      <w:r>
        <w:rPr>
          <w:szCs w:val="22"/>
          <w:lang w:val="en-US"/>
        </w:rPr>
        <w:t xml:space="preserve"> </w:t>
      </w:r>
      <w:r w:rsidRPr="00BA4C88">
        <w:rPr>
          <w:szCs w:val="22"/>
          <w:lang w:val="en-US"/>
        </w:rPr>
        <w:t>Member States are encouraged to consider gender balance and the inclusion of delegates with disabilities and with specific needs when proposing candidates for fellowships.</w:t>
      </w:r>
    </w:p>
    <w:p w14:paraId="5A39DA1F" w14:textId="5C30419F" w:rsidR="00A1281E" w:rsidRPr="00020222" w:rsidRDefault="00C67B05" w:rsidP="00020222">
      <w:r w:rsidRPr="00B70C75">
        <w:rPr>
          <w:rFonts w:cstheme="majorBidi"/>
          <w:b/>
          <w:bCs/>
          <w:szCs w:val="22"/>
        </w:rPr>
        <w:t>VISA SUPPORT</w:t>
      </w:r>
      <w:r w:rsidRPr="00FE176B">
        <w:rPr>
          <w:rFonts w:cstheme="majorBidi"/>
          <w:szCs w:val="22"/>
        </w:rPr>
        <w:t>:</w:t>
      </w:r>
      <w:r w:rsidRPr="00FE176B">
        <w:rPr>
          <w:rFonts w:cstheme="majorBidi"/>
          <w:bCs/>
          <w:szCs w:val="22"/>
        </w:rPr>
        <w:t xml:space="preserve"> As this meeting</w:t>
      </w:r>
      <w:r w:rsidRPr="00B70C75">
        <w:rPr>
          <w:rFonts w:cstheme="majorBidi"/>
          <w:bCs/>
          <w:szCs w:val="22"/>
        </w:rPr>
        <w:t xml:space="preserve"> is organized outside Switzerland, visa support requests are to be addressed directly to the host of the meeting. Instructions </w:t>
      </w:r>
      <w:r>
        <w:rPr>
          <w:rFonts w:cstheme="majorBidi"/>
          <w:bCs/>
          <w:szCs w:val="22"/>
        </w:rPr>
        <w:t>can be</w:t>
      </w:r>
      <w:r w:rsidRPr="00B70C75">
        <w:rPr>
          <w:rFonts w:cstheme="majorBidi"/>
          <w:bCs/>
          <w:szCs w:val="22"/>
        </w:rPr>
        <w:t xml:space="preserve"> found in the “Practical information” section on the regional group webpage</w:t>
      </w:r>
      <w:r w:rsidR="00020222">
        <w:rPr>
          <w:rFonts w:cstheme="majorBidi"/>
          <w:bCs/>
          <w:szCs w:val="22"/>
        </w:rPr>
        <w:t>s</w:t>
      </w:r>
      <w:r w:rsidRPr="00B70C75">
        <w:rPr>
          <w:rFonts w:cstheme="majorBidi"/>
          <w:bCs/>
          <w:szCs w:val="22"/>
        </w:rPr>
        <w:t xml:space="preserve"> at: </w:t>
      </w:r>
      <w:hyperlink r:id="rId24" w:history="1">
        <w:r w:rsidR="00A1281E" w:rsidRPr="002D2998">
          <w:rPr>
            <w:rStyle w:val="Hyperlink"/>
          </w:rPr>
          <w:t>https://www.itu.int/en/ITU-T/studygroups/2017-2020/02/sg2rgafr</w:t>
        </w:r>
      </w:hyperlink>
      <w:r w:rsidR="00020222">
        <w:rPr>
          <w:rStyle w:val="Hyperlink"/>
          <w:color w:val="auto"/>
          <w:u w:val="none"/>
        </w:rPr>
        <w:t xml:space="preserve"> and </w:t>
      </w:r>
      <w:hyperlink r:id="rId25" w:history="1">
        <w:r w:rsidR="00A1281E" w:rsidRPr="008B423D">
          <w:rPr>
            <w:rStyle w:val="Hyperlink"/>
          </w:rPr>
          <w:t>https://www.itu.int/en/ITU-T/studygroups/2017-2020/02/sg2rgarb</w:t>
        </w:r>
      </w:hyperlink>
      <w:r w:rsidR="00A1281E" w:rsidRPr="005231BB">
        <w:rPr>
          <w:rStyle w:val="Hyperlink"/>
          <w:color w:val="auto"/>
          <w:u w:val="none"/>
        </w:rPr>
        <w:t>.</w:t>
      </w:r>
    </w:p>
    <w:p w14:paraId="7FEFF6C2" w14:textId="01279416" w:rsidR="00C67B05" w:rsidRPr="00B70C75" w:rsidRDefault="00C67B05" w:rsidP="00A1281E">
      <w:pPr>
        <w:rPr>
          <w:rFonts w:cstheme="majorBidi"/>
          <w:bCs/>
          <w:szCs w:val="22"/>
        </w:rPr>
      </w:pPr>
    </w:p>
    <w:p w14:paraId="33DA7626" w14:textId="77777777" w:rsidR="00C67B05" w:rsidRPr="001205FB" w:rsidRDefault="00C67B05" w:rsidP="00C67B05">
      <w:pPr>
        <w:rPr>
          <w:rFonts w:cstheme="majorBidi"/>
          <w:b/>
          <w:bCs/>
          <w:szCs w:val="22"/>
        </w:rPr>
      </w:pPr>
    </w:p>
    <w:p w14:paraId="5EF36B71" w14:textId="77777777" w:rsidR="00C67B05" w:rsidRPr="007A68A5" w:rsidRDefault="00C67B05" w:rsidP="00C67B05">
      <w:pPr>
        <w:jc w:val="center"/>
        <w:rPr>
          <w:strike/>
          <w:lang w:val="en-US"/>
        </w:rPr>
      </w:pPr>
    </w:p>
    <w:p w14:paraId="3B6DAD83" w14:textId="77777777" w:rsidR="00C67B05" w:rsidRDefault="00C67B05" w:rsidP="00C67B0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ajorBidi"/>
        </w:rPr>
      </w:pPr>
      <w:r>
        <w:rPr>
          <w:rFonts w:cstheme="majorBidi"/>
        </w:rPr>
        <w:br w:type="page"/>
      </w:r>
    </w:p>
    <w:p w14:paraId="6BA887F3" w14:textId="77777777" w:rsidR="001C2A2E" w:rsidRDefault="00C67B05" w:rsidP="001C2A2E">
      <w:pPr>
        <w:spacing w:after="120"/>
        <w:jc w:val="center"/>
        <w:rPr>
          <w:b/>
          <w:bCs/>
          <w:sz w:val="28"/>
          <w:szCs w:val="28"/>
        </w:rPr>
      </w:pPr>
      <w:r w:rsidRPr="00101525">
        <w:rPr>
          <w:b/>
          <w:bCs/>
          <w:sz w:val="28"/>
          <w:szCs w:val="28"/>
        </w:rPr>
        <w:lastRenderedPageBreak/>
        <w:t>ANNEX B</w:t>
      </w:r>
    </w:p>
    <w:p w14:paraId="79A63DCC" w14:textId="609B0674" w:rsidR="00C67B05" w:rsidRDefault="00C67B05" w:rsidP="00BF4559">
      <w:pPr>
        <w:spacing w:after="120"/>
        <w:jc w:val="center"/>
        <w:rPr>
          <w:b/>
          <w:iCs/>
          <w:sz w:val="28"/>
          <w:szCs w:val="28"/>
        </w:rPr>
      </w:pPr>
      <w:r w:rsidRPr="00101525">
        <w:rPr>
          <w:b/>
          <w:iCs/>
          <w:sz w:val="28"/>
          <w:szCs w:val="28"/>
        </w:rPr>
        <w:t xml:space="preserve">Draft Agenda </w:t>
      </w:r>
      <w:r>
        <w:rPr>
          <w:b/>
          <w:iCs/>
          <w:sz w:val="28"/>
          <w:szCs w:val="28"/>
        </w:rPr>
        <w:br/>
        <w:t>Meeting</w:t>
      </w:r>
      <w:r w:rsidR="001C2A2E">
        <w:rPr>
          <w:b/>
          <w:iCs/>
          <w:sz w:val="28"/>
          <w:szCs w:val="28"/>
        </w:rPr>
        <w:t>s</w:t>
      </w:r>
      <w:r>
        <w:rPr>
          <w:b/>
          <w:iCs/>
          <w:sz w:val="28"/>
          <w:szCs w:val="28"/>
        </w:rPr>
        <w:t xml:space="preserve"> of </w:t>
      </w:r>
      <w:r w:rsidR="001C2A2E" w:rsidRPr="001C2A2E">
        <w:rPr>
          <w:b/>
          <w:iCs/>
          <w:sz w:val="28"/>
          <w:szCs w:val="28"/>
        </w:rPr>
        <w:t>ITU-T SG2 Regiona</w:t>
      </w:r>
      <w:r w:rsidR="002E0C69">
        <w:rPr>
          <w:b/>
          <w:iCs/>
          <w:sz w:val="28"/>
          <w:szCs w:val="28"/>
        </w:rPr>
        <w:t xml:space="preserve">l Group for Africa (SG2RG-AFR) and </w:t>
      </w:r>
      <w:r w:rsidR="002E0C69">
        <w:rPr>
          <w:b/>
          <w:iCs/>
          <w:sz w:val="28"/>
          <w:szCs w:val="28"/>
        </w:rPr>
        <w:br/>
      </w:r>
      <w:r w:rsidR="001C2A2E" w:rsidRPr="001C2A2E">
        <w:rPr>
          <w:b/>
          <w:iCs/>
          <w:sz w:val="28"/>
          <w:szCs w:val="28"/>
        </w:rPr>
        <w:t xml:space="preserve">ITU-T SG2 Regional Group for </w:t>
      </w:r>
      <w:r w:rsidR="0026168C">
        <w:rPr>
          <w:b/>
          <w:iCs/>
          <w:sz w:val="28"/>
          <w:szCs w:val="28"/>
        </w:rPr>
        <w:t xml:space="preserve">the </w:t>
      </w:r>
      <w:r w:rsidR="001C2A2E" w:rsidRPr="001C2A2E">
        <w:rPr>
          <w:b/>
          <w:iCs/>
          <w:sz w:val="28"/>
          <w:szCs w:val="28"/>
        </w:rPr>
        <w:t>Arab Region (SG2RG-ARB)</w:t>
      </w:r>
      <w:r>
        <w:rPr>
          <w:b/>
          <w:iCs/>
          <w:sz w:val="28"/>
          <w:szCs w:val="28"/>
        </w:rPr>
        <w:br/>
      </w:r>
      <w:r w:rsidR="001C2A2E" w:rsidRPr="001C2A2E">
        <w:rPr>
          <w:b/>
          <w:iCs/>
          <w:sz w:val="28"/>
          <w:szCs w:val="28"/>
        </w:rPr>
        <w:t xml:space="preserve">Dubai, United Arab Emirates, </w:t>
      </w:r>
      <w:r w:rsidR="00BF4559">
        <w:rPr>
          <w:b/>
          <w:iCs/>
          <w:sz w:val="28"/>
          <w:szCs w:val="28"/>
        </w:rPr>
        <w:t>23</w:t>
      </w:r>
      <w:r w:rsidR="001C2A2E" w:rsidRPr="001C2A2E">
        <w:rPr>
          <w:b/>
          <w:iCs/>
          <w:sz w:val="28"/>
          <w:szCs w:val="28"/>
        </w:rPr>
        <w:t>-24 October 2019</w:t>
      </w:r>
    </w:p>
    <w:tbl>
      <w:tblPr>
        <w:tblW w:w="8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278"/>
      </w:tblGrid>
      <w:tr w:rsidR="00D227B5" w:rsidRPr="00DB4035" w14:paraId="0851D4F6" w14:textId="77777777" w:rsidTr="004D6E79">
        <w:trPr>
          <w:jc w:val="center"/>
        </w:trPr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B529" w14:textId="77777777" w:rsidR="00D227B5" w:rsidRPr="00D52AFD" w:rsidRDefault="00D227B5" w:rsidP="004D6E79">
            <w:pPr>
              <w:spacing w:before="60" w:after="60"/>
              <w:jc w:val="center"/>
              <w:rPr>
                <w:lang w:eastAsia="zh-CN"/>
              </w:rPr>
            </w:pPr>
            <w:r w:rsidRPr="00D52AFD">
              <w:t>1</w:t>
            </w:r>
          </w:p>
        </w:tc>
        <w:tc>
          <w:tcPr>
            <w:tcW w:w="72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1A19D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Opening of the meeting</w:t>
            </w:r>
          </w:p>
        </w:tc>
      </w:tr>
      <w:tr w:rsidR="00D227B5" w:rsidRPr="00DB4035" w14:paraId="4C4448D8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39B70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E8C2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Adoption of the agenda</w:t>
            </w:r>
          </w:p>
        </w:tc>
      </w:tr>
      <w:tr w:rsidR="00D227B5" w:rsidRPr="00DB4035" w14:paraId="7D18CAA1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B75BC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0A362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Overview of ITU-T Study Group 2 and Working Methods</w:t>
            </w:r>
          </w:p>
        </w:tc>
      </w:tr>
      <w:tr w:rsidR="00D227B5" w:rsidRPr="00DB4035" w14:paraId="47B4A120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6F23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53E1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Review of Outcomes of previous SG2 parent and regional group meetings</w:t>
            </w:r>
          </w:p>
        </w:tc>
      </w:tr>
      <w:tr w:rsidR="00D227B5" w:rsidRPr="00DB4035" w14:paraId="76966706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1FEA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454C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Terms of Reference and working method for SG2RG-AFR, SG2RG-ARB</w:t>
            </w:r>
          </w:p>
        </w:tc>
      </w:tr>
      <w:tr w:rsidR="00D227B5" w:rsidRPr="00DB4035" w14:paraId="5AFC1E19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3909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B873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  <w:highlight w:val="yellow"/>
              </w:rPr>
            </w:pPr>
            <w:r w:rsidRPr="001635B7">
              <w:rPr>
                <w:rFonts w:ascii="Calibri" w:hAnsi="Calibri" w:cs="Calibri"/>
                <w:szCs w:val="22"/>
              </w:rPr>
              <w:t>Call location of emergency service</w:t>
            </w:r>
          </w:p>
        </w:tc>
      </w:tr>
      <w:tr w:rsidR="00D227B5" w:rsidRPr="00DB4035" w14:paraId="328C6934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7B7A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CBB5B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Experiences and challenges in National Numbering Plan development</w:t>
            </w:r>
          </w:p>
        </w:tc>
      </w:tr>
      <w:tr w:rsidR="00D227B5" w:rsidRPr="00DB4035" w14:paraId="470DBFCB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ACE2" w14:textId="77777777" w:rsidR="00D227B5" w:rsidRPr="008A05B0" w:rsidRDefault="00D227B5" w:rsidP="004D6E79">
            <w:pPr>
              <w:spacing w:before="60" w:after="60"/>
              <w:jc w:val="center"/>
            </w:pPr>
            <w:r w:rsidRPr="008A05B0">
              <w:t>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2E66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</w:t>
            </w:r>
            <w:r w:rsidRPr="001635B7">
              <w:rPr>
                <w:rFonts w:ascii="Calibri" w:hAnsi="Calibri" w:cs="Calibri"/>
                <w:szCs w:val="22"/>
              </w:rPr>
              <w:t>rogress of the new National Numbering Plans repository (WTSA Res. 91)</w:t>
            </w:r>
          </w:p>
        </w:tc>
      </w:tr>
      <w:tr w:rsidR="00D227B5" w:rsidRPr="00DB4035" w14:paraId="3AC76C4C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A62F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584D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Administration of E.212 Mobile Country Code/Mobile Network Code and Q.708 International Signalling Point Code</w:t>
            </w:r>
          </w:p>
        </w:tc>
      </w:tr>
      <w:tr w:rsidR="00D227B5" w:rsidRPr="00DB4035" w14:paraId="7DD17345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6FC9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10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73321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color w:val="212121"/>
                <w:szCs w:val="22"/>
              </w:rPr>
              <w:t>Harmonization of short codes (including USSD codes and emergency numbers)</w:t>
            </w:r>
          </w:p>
        </w:tc>
      </w:tr>
      <w:tr w:rsidR="00D227B5" w:rsidRPr="00DB4035" w14:paraId="1CCC0169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08B0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11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3410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Interworking between IP based telecommunication applications and the legacy PSTN/PLMN networks</w:t>
            </w:r>
          </w:p>
        </w:tc>
      </w:tr>
      <w:tr w:rsidR="00D227B5" w:rsidRPr="00DB4035" w14:paraId="356E3933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EA71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12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4CDF7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IoT Identification</w:t>
            </w:r>
          </w:p>
        </w:tc>
      </w:tr>
      <w:tr w:rsidR="00D227B5" w:rsidRPr="00DB4035" w14:paraId="3A722CF8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52368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13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C2A5E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Use of Network Colour Codes (NCC) in border sites</w:t>
            </w:r>
          </w:p>
        </w:tc>
      </w:tr>
      <w:tr w:rsidR="00D227B5" w:rsidRPr="00DB4035" w14:paraId="6403DFF4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F13F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14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DED7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ENUM</w:t>
            </w:r>
          </w:p>
        </w:tc>
      </w:tr>
      <w:tr w:rsidR="00D227B5" w:rsidRPr="00DB4035" w14:paraId="079A2F9C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B88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15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8580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color w:val="000000"/>
                <w:szCs w:val="22"/>
              </w:rPr>
              <w:t>EID (</w:t>
            </w:r>
            <w:r w:rsidRPr="001635B7">
              <w:rPr>
                <w:rFonts w:ascii="Calibri" w:hAnsi="Calibri" w:cs="Calibri"/>
                <w:szCs w:val="22"/>
              </w:rPr>
              <w:t>eUICC-ID)</w:t>
            </w:r>
          </w:p>
        </w:tc>
      </w:tr>
      <w:tr w:rsidR="00D227B5" w:rsidRPr="00DB4035" w14:paraId="1BA7715C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1850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16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8816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Combating misuse of national numbering resources</w:t>
            </w:r>
          </w:p>
        </w:tc>
      </w:tr>
      <w:tr w:rsidR="00D227B5" w:rsidRPr="00DB4035" w14:paraId="44895BB6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4A733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17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FBAA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Caller ID spoofing and Calling Party Number Delivery</w:t>
            </w:r>
          </w:p>
        </w:tc>
      </w:tr>
      <w:tr w:rsidR="00D227B5" w:rsidRPr="00DB4035" w14:paraId="6BEFD299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335E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18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7B0A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Alternative Calling Procedures</w:t>
            </w:r>
          </w:p>
        </w:tc>
      </w:tr>
      <w:tr w:rsidR="00D227B5" w:rsidRPr="00DB4035" w14:paraId="5CE48C0B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189D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19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2191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Number portability including NP for IoT/M2M numbering resources</w:t>
            </w:r>
          </w:p>
        </w:tc>
      </w:tr>
      <w:tr w:rsidR="00D227B5" w:rsidRPr="00DB4035" w14:paraId="675C5460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7011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20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0F7F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Use of telephone numbers by stakeholders other than operators</w:t>
            </w:r>
          </w:p>
        </w:tc>
      </w:tr>
      <w:tr w:rsidR="00D227B5" w:rsidRPr="00DB4035" w14:paraId="2509B2DD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CD86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21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8809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E.212 shared MCC and MNC</w:t>
            </w:r>
          </w:p>
        </w:tc>
      </w:tr>
      <w:tr w:rsidR="00D227B5" w:rsidRPr="00DB4035" w14:paraId="4E1E736D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89DA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22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2133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Highlights of important ITU events, such as AI for Good Global Summit, IoT week and WSIS Forum </w:t>
            </w:r>
          </w:p>
        </w:tc>
      </w:tr>
      <w:tr w:rsidR="00D227B5" w:rsidRPr="00DB4035" w14:paraId="1AD749F4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F2EB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23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9DE70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SG2RG-AFR, SG2RG-ARB and Member Contributions to ITU-T Study Group 2 of December 2019</w:t>
            </w:r>
          </w:p>
        </w:tc>
      </w:tr>
      <w:tr w:rsidR="00D227B5" w:rsidRPr="00DB4035" w14:paraId="4F0F5B5C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CDDB9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24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2D201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 xml:space="preserve">Venue and date of the next SG2RG-AFR, SG2RG-ARB meetings </w:t>
            </w:r>
          </w:p>
        </w:tc>
      </w:tr>
      <w:tr w:rsidR="00D227B5" w:rsidRPr="00DB4035" w14:paraId="5F920D0C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0C0F3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25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6ECAA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Any other business</w:t>
            </w:r>
          </w:p>
        </w:tc>
      </w:tr>
      <w:tr w:rsidR="00D227B5" w:rsidRPr="00DB4035" w14:paraId="672F6AB2" w14:textId="77777777" w:rsidTr="004D6E7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76A8" w14:textId="77777777" w:rsidR="00D227B5" w:rsidRPr="00D52AFD" w:rsidRDefault="00D227B5" w:rsidP="004D6E79">
            <w:pPr>
              <w:spacing w:before="60" w:after="60"/>
              <w:jc w:val="center"/>
            </w:pPr>
            <w:r w:rsidRPr="00D52AFD">
              <w:t>26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B0B9" w14:textId="77777777" w:rsidR="00D227B5" w:rsidRPr="001635B7" w:rsidRDefault="00D227B5" w:rsidP="004D6E7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1635B7">
              <w:rPr>
                <w:rFonts w:ascii="Calibri" w:hAnsi="Calibri" w:cs="Calibri"/>
                <w:szCs w:val="22"/>
              </w:rPr>
              <w:t>Closure of the meeting</w:t>
            </w:r>
          </w:p>
        </w:tc>
      </w:tr>
    </w:tbl>
    <w:p w14:paraId="194A8523" w14:textId="54F18716" w:rsidR="00977A25" w:rsidRPr="00977A25" w:rsidRDefault="001C2A2E" w:rsidP="001C2A2E">
      <w:pPr>
        <w:jc w:val="center"/>
      </w:pPr>
      <w:r w:rsidRPr="00632B23">
        <w:t>______</w:t>
      </w:r>
      <w:r>
        <w:t>__________</w:t>
      </w:r>
    </w:p>
    <w:sectPr w:rsidR="00977A25" w:rsidRPr="00977A25" w:rsidSect="0084526E">
      <w:headerReference w:type="default" r:id="rId26"/>
      <w:footerReference w:type="default" r:id="rId27"/>
      <w:footerReference w:type="first" r:id="rId28"/>
      <w:type w:val="oddPage"/>
      <w:pgSz w:w="11907" w:h="16834" w:code="9"/>
      <w:pgMar w:top="720" w:right="851" w:bottom="261" w:left="851" w:header="567" w:footer="567" w:gutter="0"/>
      <w:paperSrc w:first="7" w:other="7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919D5" w14:textId="77777777" w:rsidR="000873F6" w:rsidRDefault="000873F6">
      <w:r>
        <w:separator/>
      </w:r>
    </w:p>
  </w:endnote>
  <w:endnote w:type="continuationSeparator" w:id="0">
    <w:p w14:paraId="1E1579B8" w14:textId="77777777" w:rsidR="000873F6" w:rsidRDefault="0008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5A62E" w14:textId="77777777" w:rsidR="004D6E79" w:rsidRPr="00196AB1" w:rsidRDefault="004D6E79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12134" w14:textId="77777777" w:rsidR="004D6E79" w:rsidRPr="00C345C7" w:rsidRDefault="004D6E79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9A81E" w14:textId="77777777" w:rsidR="000873F6" w:rsidRDefault="000873F6">
      <w:r>
        <w:t>____________________</w:t>
      </w:r>
    </w:p>
  </w:footnote>
  <w:footnote w:type="continuationSeparator" w:id="0">
    <w:p w14:paraId="6708F5BB" w14:textId="77777777" w:rsidR="000873F6" w:rsidRDefault="0008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0065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94F5B1" w14:textId="5131DF12" w:rsidR="004D6E79" w:rsidRPr="00B42365" w:rsidRDefault="004D6E79" w:rsidP="0084526E">
        <w:pPr>
          <w:pStyle w:val="Header"/>
        </w:pPr>
        <w:r>
          <w:t xml:space="preserve"> </w:t>
        </w:r>
        <w:r w:rsidRPr="00B42365">
          <w:fldChar w:fldCharType="begin"/>
        </w:r>
        <w:r w:rsidRPr="00B42365">
          <w:instrText xml:space="preserve"> PAGE   \* MERGEFORMAT </w:instrText>
        </w:r>
        <w:r w:rsidRPr="00B42365">
          <w:fldChar w:fldCharType="separate"/>
        </w:r>
        <w:r w:rsidR="0036558E">
          <w:rPr>
            <w:noProof/>
          </w:rPr>
          <w:t>- 4 -</w:t>
        </w:r>
        <w:r w:rsidRPr="00B42365"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6EA27A8A" w14:textId="7CCDB630" w:rsidR="004D6E79" w:rsidRDefault="004D6E79" w:rsidP="00333BD6">
    <w:pPr>
      <w:pStyle w:val="Header"/>
      <w:rPr>
        <w:noProof/>
      </w:rPr>
    </w:pPr>
    <w:r w:rsidRPr="00333BD6">
      <w:rPr>
        <w:noProof/>
      </w:rPr>
      <w:t xml:space="preserve">Collective letter </w:t>
    </w:r>
    <w:r>
      <w:rPr>
        <w:noProof/>
      </w:rPr>
      <w:t>3/SG2</w:t>
    </w:r>
    <w:r w:rsidRPr="00333BD6">
      <w:rPr>
        <w:noProof/>
      </w:rPr>
      <w:t>RG-AFR</w:t>
    </w:r>
    <w:r>
      <w:rPr>
        <w:noProof/>
      </w:rPr>
      <w:br/>
      <w:t>Collective letter 3</w:t>
    </w:r>
    <w:r w:rsidRPr="00F83FBE">
      <w:rPr>
        <w:noProof/>
      </w:rPr>
      <w:t>/SG</w:t>
    </w:r>
    <w:r>
      <w:rPr>
        <w:noProof/>
      </w:rPr>
      <w:t>2</w:t>
    </w:r>
    <w:r w:rsidRPr="00F83FBE">
      <w:rPr>
        <w:noProof/>
      </w:rPr>
      <w:t>RG-A</w:t>
    </w:r>
    <w:r>
      <w:rPr>
        <w:noProof/>
      </w:rPr>
      <w:t>RB</w:t>
    </w:r>
  </w:p>
  <w:p w14:paraId="4D313C55" w14:textId="2376EB8F" w:rsidR="004D6E79" w:rsidRPr="00752AA3" w:rsidRDefault="004D6E79" w:rsidP="0084526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21264EF"/>
    <w:multiLevelType w:val="hybridMultilevel"/>
    <w:tmpl w:val="00B0D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F074C"/>
    <w:multiLevelType w:val="hybridMultilevel"/>
    <w:tmpl w:val="1C380906"/>
    <w:lvl w:ilvl="0" w:tplc="FEE2E502">
      <w:start w:val="28"/>
      <w:numFmt w:val="bullet"/>
      <w:lvlText w:val="̶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978D9"/>
    <w:multiLevelType w:val="hybridMultilevel"/>
    <w:tmpl w:val="D70A4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F5801"/>
    <w:multiLevelType w:val="hybridMultilevel"/>
    <w:tmpl w:val="A5A63AB4"/>
    <w:lvl w:ilvl="0" w:tplc="FEE2E502">
      <w:start w:val="28"/>
      <w:numFmt w:val="bullet"/>
      <w:lvlText w:val="̶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959AC7E8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0"/>
  </w:num>
  <w:num w:numId="14">
    <w:abstractNumId w:val="17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1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CE"/>
    <w:rsid w:val="00000FC7"/>
    <w:rsid w:val="000069D4"/>
    <w:rsid w:val="0000705A"/>
    <w:rsid w:val="000103B1"/>
    <w:rsid w:val="00010B0B"/>
    <w:rsid w:val="0001111C"/>
    <w:rsid w:val="000174AD"/>
    <w:rsid w:val="00020222"/>
    <w:rsid w:val="00025A7B"/>
    <w:rsid w:val="000305E1"/>
    <w:rsid w:val="00033AB1"/>
    <w:rsid w:val="000473DF"/>
    <w:rsid w:val="00050D09"/>
    <w:rsid w:val="00053AD3"/>
    <w:rsid w:val="000668DF"/>
    <w:rsid w:val="00073152"/>
    <w:rsid w:val="00074C54"/>
    <w:rsid w:val="00082415"/>
    <w:rsid w:val="000873F6"/>
    <w:rsid w:val="000877A6"/>
    <w:rsid w:val="00095667"/>
    <w:rsid w:val="000A7D55"/>
    <w:rsid w:val="000B2F64"/>
    <w:rsid w:val="000B31A0"/>
    <w:rsid w:val="000B46FB"/>
    <w:rsid w:val="000B7817"/>
    <w:rsid w:val="000C2E8E"/>
    <w:rsid w:val="000C5C77"/>
    <w:rsid w:val="000D49FB"/>
    <w:rsid w:val="000D61E3"/>
    <w:rsid w:val="000E0AE4"/>
    <w:rsid w:val="000E0E7C"/>
    <w:rsid w:val="000F1B4B"/>
    <w:rsid w:val="000F6D51"/>
    <w:rsid w:val="00124AE2"/>
    <w:rsid w:val="00126E71"/>
    <w:rsid w:val="0012744F"/>
    <w:rsid w:val="00135065"/>
    <w:rsid w:val="0013699E"/>
    <w:rsid w:val="00136A91"/>
    <w:rsid w:val="00141974"/>
    <w:rsid w:val="0014326B"/>
    <w:rsid w:val="00146788"/>
    <w:rsid w:val="00150FE5"/>
    <w:rsid w:val="00156DFF"/>
    <w:rsid w:val="00156F66"/>
    <w:rsid w:val="00166BC0"/>
    <w:rsid w:val="00170EAB"/>
    <w:rsid w:val="00180223"/>
    <w:rsid w:val="0018068E"/>
    <w:rsid w:val="001809AC"/>
    <w:rsid w:val="00182528"/>
    <w:rsid w:val="0018500B"/>
    <w:rsid w:val="001850FC"/>
    <w:rsid w:val="001863B9"/>
    <w:rsid w:val="00190EBE"/>
    <w:rsid w:val="00196A19"/>
    <w:rsid w:val="00196AB1"/>
    <w:rsid w:val="001A0955"/>
    <w:rsid w:val="001A7DDC"/>
    <w:rsid w:val="001B0BA9"/>
    <w:rsid w:val="001B24FA"/>
    <w:rsid w:val="001C086D"/>
    <w:rsid w:val="001C0948"/>
    <w:rsid w:val="001C2A2E"/>
    <w:rsid w:val="001C3CDB"/>
    <w:rsid w:val="001D76D7"/>
    <w:rsid w:val="001E2029"/>
    <w:rsid w:val="00202DC1"/>
    <w:rsid w:val="002039F5"/>
    <w:rsid w:val="0020709B"/>
    <w:rsid w:val="002116EE"/>
    <w:rsid w:val="002169B6"/>
    <w:rsid w:val="00220739"/>
    <w:rsid w:val="00223220"/>
    <w:rsid w:val="002309D8"/>
    <w:rsid w:val="002346FE"/>
    <w:rsid w:val="00235C30"/>
    <w:rsid w:val="00241934"/>
    <w:rsid w:val="00243FBA"/>
    <w:rsid w:val="0024485F"/>
    <w:rsid w:val="002449BF"/>
    <w:rsid w:val="002515C8"/>
    <w:rsid w:val="0026168C"/>
    <w:rsid w:val="002631A5"/>
    <w:rsid w:val="00263CE7"/>
    <w:rsid w:val="00267A46"/>
    <w:rsid w:val="00282A23"/>
    <w:rsid w:val="00287BF1"/>
    <w:rsid w:val="00291DF2"/>
    <w:rsid w:val="002A3D35"/>
    <w:rsid w:val="002A7FE2"/>
    <w:rsid w:val="002B7101"/>
    <w:rsid w:val="002B711C"/>
    <w:rsid w:val="002C0244"/>
    <w:rsid w:val="002C3E7B"/>
    <w:rsid w:val="002D0ACE"/>
    <w:rsid w:val="002D2D49"/>
    <w:rsid w:val="002E0C69"/>
    <w:rsid w:val="002E1B4F"/>
    <w:rsid w:val="002F2E67"/>
    <w:rsid w:val="002F6530"/>
    <w:rsid w:val="00300095"/>
    <w:rsid w:val="00301488"/>
    <w:rsid w:val="00315546"/>
    <w:rsid w:val="0031577B"/>
    <w:rsid w:val="003172EE"/>
    <w:rsid w:val="00325815"/>
    <w:rsid w:val="003302F9"/>
    <w:rsid w:val="00330567"/>
    <w:rsid w:val="00333BD6"/>
    <w:rsid w:val="00341B07"/>
    <w:rsid w:val="00350914"/>
    <w:rsid w:val="00351DA5"/>
    <w:rsid w:val="003567B9"/>
    <w:rsid w:val="00365034"/>
    <w:rsid w:val="0036558E"/>
    <w:rsid w:val="0038260B"/>
    <w:rsid w:val="00383598"/>
    <w:rsid w:val="00384E5D"/>
    <w:rsid w:val="00386A9D"/>
    <w:rsid w:val="00391081"/>
    <w:rsid w:val="003A33CB"/>
    <w:rsid w:val="003A6D33"/>
    <w:rsid w:val="003A71AF"/>
    <w:rsid w:val="003B2789"/>
    <w:rsid w:val="003B362E"/>
    <w:rsid w:val="003B7FF4"/>
    <w:rsid w:val="003C13CE"/>
    <w:rsid w:val="003C1FA0"/>
    <w:rsid w:val="003C201A"/>
    <w:rsid w:val="003D6490"/>
    <w:rsid w:val="003E2518"/>
    <w:rsid w:val="003F0DED"/>
    <w:rsid w:val="0040250E"/>
    <w:rsid w:val="00402C9D"/>
    <w:rsid w:val="00413914"/>
    <w:rsid w:val="0041534C"/>
    <w:rsid w:val="00426BDA"/>
    <w:rsid w:val="004275B6"/>
    <w:rsid w:val="0043040C"/>
    <w:rsid w:val="004314A2"/>
    <w:rsid w:val="00441362"/>
    <w:rsid w:val="00441BB4"/>
    <w:rsid w:val="00446E76"/>
    <w:rsid w:val="00447690"/>
    <w:rsid w:val="00453805"/>
    <w:rsid w:val="00462660"/>
    <w:rsid w:val="00467BBF"/>
    <w:rsid w:val="00474183"/>
    <w:rsid w:val="004748F4"/>
    <w:rsid w:val="00484B34"/>
    <w:rsid w:val="004A26EA"/>
    <w:rsid w:val="004B1EF7"/>
    <w:rsid w:val="004B2E96"/>
    <w:rsid w:val="004B3DB3"/>
    <w:rsid w:val="004B3FAD"/>
    <w:rsid w:val="004C58A9"/>
    <w:rsid w:val="004D170F"/>
    <w:rsid w:val="004D6E79"/>
    <w:rsid w:val="004E3CF9"/>
    <w:rsid w:val="004F7071"/>
    <w:rsid w:val="00501DCA"/>
    <w:rsid w:val="00501F4A"/>
    <w:rsid w:val="00506FE6"/>
    <w:rsid w:val="00513A47"/>
    <w:rsid w:val="00514383"/>
    <w:rsid w:val="00517901"/>
    <w:rsid w:val="005354B6"/>
    <w:rsid w:val="00537EF9"/>
    <w:rsid w:val="005408DF"/>
    <w:rsid w:val="005444BD"/>
    <w:rsid w:val="0055318D"/>
    <w:rsid w:val="005665A8"/>
    <w:rsid w:val="005667D1"/>
    <w:rsid w:val="005729DB"/>
    <w:rsid w:val="00572F23"/>
    <w:rsid w:val="00573344"/>
    <w:rsid w:val="00574653"/>
    <w:rsid w:val="00576D0E"/>
    <w:rsid w:val="0057770B"/>
    <w:rsid w:val="00583F9B"/>
    <w:rsid w:val="00584AFA"/>
    <w:rsid w:val="00587B84"/>
    <w:rsid w:val="00594C33"/>
    <w:rsid w:val="005A23D8"/>
    <w:rsid w:val="005A569C"/>
    <w:rsid w:val="005A7693"/>
    <w:rsid w:val="005B27AE"/>
    <w:rsid w:val="005C19B3"/>
    <w:rsid w:val="005C580C"/>
    <w:rsid w:val="005C799E"/>
    <w:rsid w:val="005C7E74"/>
    <w:rsid w:val="005D1A30"/>
    <w:rsid w:val="005D3724"/>
    <w:rsid w:val="005D71A2"/>
    <w:rsid w:val="005E0CFF"/>
    <w:rsid w:val="005E1223"/>
    <w:rsid w:val="005E3C9E"/>
    <w:rsid w:val="005E5C10"/>
    <w:rsid w:val="005E70E3"/>
    <w:rsid w:val="005F2C78"/>
    <w:rsid w:val="006006A3"/>
    <w:rsid w:val="006144E4"/>
    <w:rsid w:val="00617B2C"/>
    <w:rsid w:val="00622D0F"/>
    <w:rsid w:val="00623C77"/>
    <w:rsid w:val="00624555"/>
    <w:rsid w:val="00636DA6"/>
    <w:rsid w:val="00650299"/>
    <w:rsid w:val="006541D2"/>
    <w:rsid w:val="006550C0"/>
    <w:rsid w:val="00655FC5"/>
    <w:rsid w:val="00655FDD"/>
    <w:rsid w:val="006623AE"/>
    <w:rsid w:val="00666E35"/>
    <w:rsid w:val="00670B08"/>
    <w:rsid w:val="00672C61"/>
    <w:rsid w:val="00675791"/>
    <w:rsid w:val="00680D49"/>
    <w:rsid w:val="006810A2"/>
    <w:rsid w:val="00682261"/>
    <w:rsid w:val="00687BD5"/>
    <w:rsid w:val="006907AE"/>
    <w:rsid w:val="00690BFB"/>
    <w:rsid w:val="006A116C"/>
    <w:rsid w:val="006A472F"/>
    <w:rsid w:val="006B43D3"/>
    <w:rsid w:val="006C44C1"/>
    <w:rsid w:val="006C6E0B"/>
    <w:rsid w:val="006D3DE6"/>
    <w:rsid w:val="006D4085"/>
    <w:rsid w:val="006D6AF4"/>
    <w:rsid w:val="006D7202"/>
    <w:rsid w:val="006F1494"/>
    <w:rsid w:val="006F520E"/>
    <w:rsid w:val="006F73CF"/>
    <w:rsid w:val="00710D11"/>
    <w:rsid w:val="00713CDB"/>
    <w:rsid w:val="007476D8"/>
    <w:rsid w:val="00752AA3"/>
    <w:rsid w:val="00766333"/>
    <w:rsid w:val="00775C58"/>
    <w:rsid w:val="00776750"/>
    <w:rsid w:val="00783E10"/>
    <w:rsid w:val="00792A3A"/>
    <w:rsid w:val="007A3B5D"/>
    <w:rsid w:val="007B6A44"/>
    <w:rsid w:val="007D0DC2"/>
    <w:rsid w:val="007D12A7"/>
    <w:rsid w:val="007D2F64"/>
    <w:rsid w:val="007E51DC"/>
    <w:rsid w:val="007F6E3B"/>
    <w:rsid w:val="00801031"/>
    <w:rsid w:val="00802953"/>
    <w:rsid w:val="00805A1F"/>
    <w:rsid w:val="00807B6B"/>
    <w:rsid w:val="00807FF1"/>
    <w:rsid w:val="00810C21"/>
    <w:rsid w:val="00810F93"/>
    <w:rsid w:val="0081183C"/>
    <w:rsid w:val="00817BB4"/>
    <w:rsid w:val="00822581"/>
    <w:rsid w:val="008229CE"/>
    <w:rsid w:val="008309DD"/>
    <w:rsid w:val="00830DBC"/>
    <w:rsid w:val="00831A6E"/>
    <w:rsid w:val="0083227A"/>
    <w:rsid w:val="00834B1E"/>
    <w:rsid w:val="00835B8B"/>
    <w:rsid w:val="00843171"/>
    <w:rsid w:val="0084526E"/>
    <w:rsid w:val="0085424C"/>
    <w:rsid w:val="00857C67"/>
    <w:rsid w:val="00862CC9"/>
    <w:rsid w:val="00866900"/>
    <w:rsid w:val="00867498"/>
    <w:rsid w:val="00870336"/>
    <w:rsid w:val="0087300D"/>
    <w:rsid w:val="0087539F"/>
    <w:rsid w:val="008768C5"/>
    <w:rsid w:val="00877D95"/>
    <w:rsid w:val="00881BA1"/>
    <w:rsid w:val="00884FA6"/>
    <w:rsid w:val="00885066"/>
    <w:rsid w:val="00896267"/>
    <w:rsid w:val="008A0A55"/>
    <w:rsid w:val="008B0087"/>
    <w:rsid w:val="008B0BE1"/>
    <w:rsid w:val="008C26B8"/>
    <w:rsid w:val="008C7E47"/>
    <w:rsid w:val="008D79A4"/>
    <w:rsid w:val="008E51E1"/>
    <w:rsid w:val="008E72FC"/>
    <w:rsid w:val="00902D14"/>
    <w:rsid w:val="009069C7"/>
    <w:rsid w:val="00913C97"/>
    <w:rsid w:val="009161CE"/>
    <w:rsid w:val="009273EC"/>
    <w:rsid w:val="00931726"/>
    <w:rsid w:val="00931D00"/>
    <w:rsid w:val="00932E45"/>
    <w:rsid w:val="00936D00"/>
    <w:rsid w:val="00951309"/>
    <w:rsid w:val="0095168F"/>
    <w:rsid w:val="00957761"/>
    <w:rsid w:val="00960310"/>
    <w:rsid w:val="009607B6"/>
    <w:rsid w:val="009616FE"/>
    <w:rsid w:val="00964CF0"/>
    <w:rsid w:val="009665CA"/>
    <w:rsid w:val="00966639"/>
    <w:rsid w:val="00977A25"/>
    <w:rsid w:val="00982084"/>
    <w:rsid w:val="0098755F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41D"/>
    <w:rsid w:val="009F6A52"/>
    <w:rsid w:val="00A014F8"/>
    <w:rsid w:val="00A015F3"/>
    <w:rsid w:val="00A03CB1"/>
    <w:rsid w:val="00A05A17"/>
    <w:rsid w:val="00A11DCA"/>
    <w:rsid w:val="00A1281E"/>
    <w:rsid w:val="00A129C1"/>
    <w:rsid w:val="00A14329"/>
    <w:rsid w:val="00A232D3"/>
    <w:rsid w:val="00A34919"/>
    <w:rsid w:val="00A36683"/>
    <w:rsid w:val="00A5173C"/>
    <w:rsid w:val="00A51ED3"/>
    <w:rsid w:val="00A57624"/>
    <w:rsid w:val="00A60FE3"/>
    <w:rsid w:val="00A61AEF"/>
    <w:rsid w:val="00A8676D"/>
    <w:rsid w:val="00A95848"/>
    <w:rsid w:val="00A9652E"/>
    <w:rsid w:val="00A9718D"/>
    <w:rsid w:val="00AA1543"/>
    <w:rsid w:val="00AA4AC1"/>
    <w:rsid w:val="00AB0FFD"/>
    <w:rsid w:val="00AB7D2B"/>
    <w:rsid w:val="00AC2918"/>
    <w:rsid w:val="00AC67AF"/>
    <w:rsid w:val="00AD32FB"/>
    <w:rsid w:val="00AD7192"/>
    <w:rsid w:val="00AE03A7"/>
    <w:rsid w:val="00AF10F1"/>
    <w:rsid w:val="00AF173A"/>
    <w:rsid w:val="00B00F1C"/>
    <w:rsid w:val="00B066A4"/>
    <w:rsid w:val="00B07A13"/>
    <w:rsid w:val="00B07B81"/>
    <w:rsid w:val="00B1173F"/>
    <w:rsid w:val="00B143E2"/>
    <w:rsid w:val="00B14746"/>
    <w:rsid w:val="00B17684"/>
    <w:rsid w:val="00B23003"/>
    <w:rsid w:val="00B24102"/>
    <w:rsid w:val="00B30E7D"/>
    <w:rsid w:val="00B34BDA"/>
    <w:rsid w:val="00B4279B"/>
    <w:rsid w:val="00B45FC9"/>
    <w:rsid w:val="00B50540"/>
    <w:rsid w:val="00B526B9"/>
    <w:rsid w:val="00B60D37"/>
    <w:rsid w:val="00B61795"/>
    <w:rsid w:val="00B619A3"/>
    <w:rsid w:val="00B6419F"/>
    <w:rsid w:val="00B7195E"/>
    <w:rsid w:val="00B75636"/>
    <w:rsid w:val="00B805FC"/>
    <w:rsid w:val="00B83461"/>
    <w:rsid w:val="00B9685D"/>
    <w:rsid w:val="00BA00B8"/>
    <w:rsid w:val="00BA054C"/>
    <w:rsid w:val="00BA7565"/>
    <w:rsid w:val="00BC398D"/>
    <w:rsid w:val="00BC41E7"/>
    <w:rsid w:val="00BC7CCF"/>
    <w:rsid w:val="00BD7A84"/>
    <w:rsid w:val="00BE418B"/>
    <w:rsid w:val="00BE470B"/>
    <w:rsid w:val="00BF4559"/>
    <w:rsid w:val="00C018E7"/>
    <w:rsid w:val="00C10B10"/>
    <w:rsid w:val="00C22FB4"/>
    <w:rsid w:val="00C25538"/>
    <w:rsid w:val="00C42042"/>
    <w:rsid w:val="00C42A23"/>
    <w:rsid w:val="00C57A91"/>
    <w:rsid w:val="00C61175"/>
    <w:rsid w:val="00C62E50"/>
    <w:rsid w:val="00C67B05"/>
    <w:rsid w:val="00C740E1"/>
    <w:rsid w:val="00C75C0D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5EBB"/>
    <w:rsid w:val="00D02712"/>
    <w:rsid w:val="00D045E3"/>
    <w:rsid w:val="00D04828"/>
    <w:rsid w:val="00D070C6"/>
    <w:rsid w:val="00D10A1A"/>
    <w:rsid w:val="00D214D0"/>
    <w:rsid w:val="00D227B5"/>
    <w:rsid w:val="00D236B0"/>
    <w:rsid w:val="00D301CB"/>
    <w:rsid w:val="00D33ABB"/>
    <w:rsid w:val="00D3526A"/>
    <w:rsid w:val="00D442B4"/>
    <w:rsid w:val="00D63192"/>
    <w:rsid w:val="00D6546B"/>
    <w:rsid w:val="00D80DD6"/>
    <w:rsid w:val="00D82A2A"/>
    <w:rsid w:val="00D8684E"/>
    <w:rsid w:val="00DA3ADB"/>
    <w:rsid w:val="00DA3E91"/>
    <w:rsid w:val="00DA3F40"/>
    <w:rsid w:val="00DA6274"/>
    <w:rsid w:val="00DB6AC5"/>
    <w:rsid w:val="00DC36AC"/>
    <w:rsid w:val="00DC4133"/>
    <w:rsid w:val="00DC65DE"/>
    <w:rsid w:val="00DD0952"/>
    <w:rsid w:val="00DD4BED"/>
    <w:rsid w:val="00DE39F0"/>
    <w:rsid w:val="00DF0AF3"/>
    <w:rsid w:val="00E06CA9"/>
    <w:rsid w:val="00E17CCC"/>
    <w:rsid w:val="00E20FD8"/>
    <w:rsid w:val="00E21FE2"/>
    <w:rsid w:val="00E24419"/>
    <w:rsid w:val="00E27D7E"/>
    <w:rsid w:val="00E3102C"/>
    <w:rsid w:val="00E34180"/>
    <w:rsid w:val="00E34935"/>
    <w:rsid w:val="00E40339"/>
    <w:rsid w:val="00E40E7B"/>
    <w:rsid w:val="00E42E13"/>
    <w:rsid w:val="00E6257C"/>
    <w:rsid w:val="00E63C59"/>
    <w:rsid w:val="00E6788D"/>
    <w:rsid w:val="00E943CE"/>
    <w:rsid w:val="00EA4E6F"/>
    <w:rsid w:val="00EA52B9"/>
    <w:rsid w:val="00EA789F"/>
    <w:rsid w:val="00EC0EF4"/>
    <w:rsid w:val="00EE12EF"/>
    <w:rsid w:val="00EE32F5"/>
    <w:rsid w:val="00EE5E9D"/>
    <w:rsid w:val="00EE72FD"/>
    <w:rsid w:val="00F07162"/>
    <w:rsid w:val="00F37AB8"/>
    <w:rsid w:val="00F40852"/>
    <w:rsid w:val="00F411EF"/>
    <w:rsid w:val="00F42EF2"/>
    <w:rsid w:val="00F443AE"/>
    <w:rsid w:val="00F46C85"/>
    <w:rsid w:val="00F54DF5"/>
    <w:rsid w:val="00F648B8"/>
    <w:rsid w:val="00F717FE"/>
    <w:rsid w:val="00F8385A"/>
    <w:rsid w:val="00F83FBE"/>
    <w:rsid w:val="00F85826"/>
    <w:rsid w:val="00F96A5D"/>
    <w:rsid w:val="00FA124A"/>
    <w:rsid w:val="00FA21D2"/>
    <w:rsid w:val="00FA7290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0D274F0"/>
  <w15:docId w15:val="{E59E84EC-92C5-4885-8ACF-6BCF027C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7/sg2rgarb/Pages/default.aspx" TargetMode="External"/><Relationship Id="rId18" Type="http://schemas.openxmlformats.org/officeDocument/2006/relationships/oleObject" Target="embeddings/oleObject1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tsbsg2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7/sg2rgafr/Pages/default.aspx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ITU-T/studygroups/2017-2020/02/sg2rgar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pub/T-RES-T.1-2016" TargetMode="External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7-2020/02/sg2rgarb" TargetMode="External"/><Relationship Id="rId24" Type="http://schemas.openxmlformats.org/officeDocument/2006/relationships/hyperlink" Target="https://www.itu.int/en/ITU-T/studygroups/2017-2020/02/sg2rga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2/sg2rgarb" TargetMode="External"/><Relationship Id="rId23" Type="http://schemas.openxmlformats.org/officeDocument/2006/relationships/hyperlink" Target="https://www.itu.int/en/ties-services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\\blue\dfs\tsb\SG_DOC\SG2RG-AFR\www.itu.int\en\ITU-T\studygroups\2017-2020\02\sg2rgafr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en/ITU-T/studygroups/2017-2020/02/sg2rgafr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harek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5D57-15E8-4693-9996-69029A07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16</TotalTime>
  <Pages>4</Pages>
  <Words>1055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Osvath, Alexandra</cp:lastModifiedBy>
  <cp:revision>10</cp:revision>
  <cp:lastPrinted>2019-07-22T15:11:00Z</cp:lastPrinted>
  <dcterms:created xsi:type="dcterms:W3CDTF">2019-07-19T14:13:00Z</dcterms:created>
  <dcterms:modified xsi:type="dcterms:W3CDTF">2019-07-22T15:11:00Z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