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3"/>
        <w:gridCol w:w="3202"/>
        <w:gridCol w:w="827"/>
        <w:gridCol w:w="538"/>
        <w:gridCol w:w="3439"/>
      </w:tblGrid>
      <w:tr w:rsidR="008862C1" w:rsidRPr="005F5D50" w:rsidTr="002557FD">
        <w:trPr>
          <w:cantSplit/>
          <w:jc w:val="center"/>
        </w:trPr>
        <w:tc>
          <w:tcPr>
            <w:tcW w:w="847" w:type="pct"/>
            <w:vMerge w:val="restart"/>
          </w:tcPr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left"/>
              <w:rPr>
                <w:rFonts w:eastAsiaTheme="minorEastAsia"/>
                <w:lang w:val="en-GB" w:eastAsia="zh-CN" w:bidi="ar-SY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5F5D50">
              <w:rPr>
                <w:rFonts w:eastAsiaTheme="minorEastAsia"/>
                <w:noProof/>
              </w:rPr>
              <w:drawing>
                <wp:inline distT="0" distB="0" distL="0" distR="0" wp14:anchorId="4B95BE95" wp14:editId="4ABD323F">
                  <wp:extent cx="648000" cy="705600"/>
                  <wp:effectExtent l="0" t="0" r="0" b="0"/>
                  <wp:docPr id="3" name="Picture 3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pct"/>
            <w:gridSpan w:val="3"/>
            <w:vAlign w:val="center"/>
          </w:tcPr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w w:val="130"/>
                <w:sz w:val="26"/>
                <w:szCs w:val="36"/>
                <w:lang w:val="en-GB" w:eastAsia="zh-CN" w:bidi="ar-SY"/>
              </w:rPr>
            </w:pPr>
            <w:r w:rsidRPr="005F5D50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الاتحـــاد</w:t>
            </w:r>
            <w:r w:rsidRPr="005F5D50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 </w:t>
            </w:r>
            <w:r w:rsidRPr="005F5D50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الدولـــي</w:t>
            </w:r>
            <w:r w:rsidRPr="005F5D50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 </w:t>
            </w:r>
            <w:r w:rsidRPr="005F5D50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للاتصـــالات</w:t>
            </w:r>
          </w:p>
        </w:tc>
        <w:tc>
          <w:tcPr>
            <w:tcW w:w="1784" w:type="pct"/>
            <w:vAlign w:val="center"/>
          </w:tcPr>
          <w:p w:rsidR="008862C1" w:rsidRPr="005F5D50" w:rsidRDefault="008862C1" w:rsidP="00AB47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sz w:val="26"/>
                <w:szCs w:val="36"/>
                <w:lang w:val="en-GB" w:eastAsia="zh-CN" w:bidi="ar-SY"/>
              </w:rPr>
            </w:pPr>
            <w:r w:rsidRPr="005F5D50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SG</w:t>
            </w:r>
            <w:r w:rsidR="00AB4774" w:rsidRPr="005F5D50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3</w:t>
            </w:r>
            <w:r w:rsidRPr="005F5D50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9F1571" w:rsidRPr="005F5D50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C</w:t>
            </w:r>
            <w:r w:rsidR="00AB4774" w:rsidRPr="005F5D50">
              <w:rPr>
                <w:rFonts w:eastAsiaTheme="minorEastAsia"/>
                <w:b/>
                <w:bCs/>
                <w:sz w:val="26"/>
                <w:szCs w:val="36"/>
                <w:lang w:eastAsia="zh-CN" w:bidi="ar-SY"/>
              </w:rPr>
              <w:t>195</w:t>
            </w:r>
            <w:r w:rsidRPr="005F5D50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2866B4" w:rsidRPr="005F5D50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A</w:t>
            </w:r>
          </w:p>
        </w:tc>
      </w:tr>
      <w:tr w:rsidR="008862C1" w:rsidRPr="005F5D50" w:rsidTr="002557FD">
        <w:trPr>
          <w:cantSplit/>
          <w:trHeight w:val="355"/>
          <w:jc w:val="center"/>
        </w:trPr>
        <w:tc>
          <w:tcPr>
            <w:tcW w:w="847" w:type="pct"/>
            <w:vMerge/>
          </w:tcPr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3" w:name="ddate" w:colFirst="2" w:colLast="2"/>
            <w:bookmarkEnd w:id="1"/>
          </w:p>
        </w:tc>
        <w:tc>
          <w:tcPr>
            <w:tcW w:w="2369" w:type="pct"/>
            <w:gridSpan w:val="3"/>
            <w:vMerge w:val="restart"/>
            <w:vAlign w:val="bottom"/>
          </w:tcPr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400" w:lineRule="exact"/>
              <w:jc w:val="left"/>
              <w:rPr>
                <w:rFonts w:eastAsiaTheme="minorEastAsia"/>
                <w:b/>
                <w:bCs/>
                <w:w w:val="110"/>
                <w:sz w:val="28"/>
                <w:szCs w:val="40"/>
                <w:rtl/>
                <w:lang w:eastAsia="zh-CN" w:bidi="ar-SY"/>
              </w:rPr>
            </w:pPr>
            <w:r w:rsidRPr="005F5D50">
              <w:rPr>
                <w:rFonts w:eastAsiaTheme="minorEastAsia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قطــاع تقييـس الاتصــالات</w:t>
            </w:r>
          </w:p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00" w:after="60" w:line="4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5F5D50">
              <w:rPr>
                <w:rFonts w:eastAsiaTheme="minorEastAsia" w:hint="cs"/>
                <w:rtl/>
                <w:lang w:eastAsia="zh-CN"/>
              </w:rPr>
              <w:t xml:space="preserve">فترة الدراسة </w:t>
            </w:r>
            <w:r w:rsidRPr="005F5D50">
              <w:rPr>
                <w:rFonts w:eastAsiaTheme="minorEastAsia"/>
                <w:lang w:val="en-GB" w:eastAsia="zh-CN" w:bidi="ar-SY"/>
              </w:rPr>
              <w:t>2020</w:t>
            </w:r>
            <w:r w:rsidRPr="005F5D50">
              <w:rPr>
                <w:rFonts w:eastAsiaTheme="minorEastAsia"/>
                <w:lang w:val="en-GB" w:eastAsia="zh-CN" w:bidi="ar-SY"/>
              </w:rPr>
              <w:noBreakHyphen/>
              <w:t>2017</w:t>
            </w:r>
          </w:p>
        </w:tc>
        <w:tc>
          <w:tcPr>
            <w:tcW w:w="1784" w:type="pct"/>
            <w:vAlign w:val="center"/>
          </w:tcPr>
          <w:p w:rsidR="008862C1" w:rsidRPr="005F5D50" w:rsidRDefault="008862C1" w:rsidP="00AB47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5F5D50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لجنة الدراسات </w:t>
            </w:r>
            <w:r w:rsidR="00AB4774" w:rsidRPr="005F5D50">
              <w:rPr>
                <w:rFonts w:eastAsiaTheme="minorEastAsia"/>
                <w:b/>
                <w:bCs/>
                <w:sz w:val="26"/>
                <w:szCs w:val="36"/>
                <w:lang w:eastAsia="zh-CN" w:bidi="ar-EG"/>
              </w:rPr>
              <w:t>3</w:t>
            </w:r>
          </w:p>
        </w:tc>
      </w:tr>
      <w:tr w:rsidR="008862C1" w:rsidRPr="005F5D50" w:rsidTr="002557FD">
        <w:trPr>
          <w:cantSplit/>
          <w:trHeight w:val="780"/>
          <w:jc w:val="center"/>
        </w:trPr>
        <w:tc>
          <w:tcPr>
            <w:tcW w:w="847" w:type="pct"/>
            <w:vMerge/>
            <w:tcBorders>
              <w:bottom w:val="single" w:sz="12" w:space="0" w:color="auto"/>
            </w:tcBorders>
          </w:tcPr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4" w:name="dorlang" w:colFirst="2" w:colLast="2"/>
            <w:bookmarkEnd w:id="3"/>
          </w:p>
        </w:tc>
        <w:tc>
          <w:tcPr>
            <w:tcW w:w="2369" w:type="pct"/>
            <w:gridSpan w:val="3"/>
            <w:vMerge/>
            <w:tcBorders>
              <w:bottom w:val="single" w:sz="12" w:space="0" w:color="auto"/>
            </w:tcBorders>
          </w:tcPr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b/>
                <w:bCs/>
                <w:lang w:val="en-GB" w:eastAsia="zh-CN" w:bidi="ar-SY"/>
              </w:rPr>
            </w:pPr>
          </w:p>
        </w:tc>
        <w:tc>
          <w:tcPr>
            <w:tcW w:w="1784" w:type="pct"/>
            <w:tcBorders>
              <w:bottom w:val="single" w:sz="12" w:space="0" w:color="auto"/>
            </w:tcBorders>
            <w:vAlign w:val="bottom"/>
          </w:tcPr>
          <w:p w:rsidR="008862C1" w:rsidRPr="005F5D50" w:rsidRDefault="008862C1" w:rsidP="00AB47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</w:pPr>
            <w:r w:rsidRPr="005F5D50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/>
              </w:rPr>
              <w:t xml:space="preserve">الأصل: </w:t>
            </w:r>
            <w:r w:rsidR="00AB4774" w:rsidRPr="005F5D50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/>
              </w:rPr>
              <w:t>بالإنكليزية</w:t>
            </w:r>
          </w:p>
        </w:tc>
      </w:tr>
      <w:tr w:rsidR="003B2596" w:rsidRPr="005F5D50" w:rsidTr="00632908">
        <w:trPr>
          <w:cantSplit/>
          <w:trHeight w:val="357"/>
          <w:jc w:val="center"/>
        </w:trPr>
        <w:tc>
          <w:tcPr>
            <w:tcW w:w="847" w:type="pct"/>
          </w:tcPr>
          <w:p w:rsidR="008862C1" w:rsidRPr="005F5D50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ascii="Times New Roman Bold" w:eastAsiaTheme="minorEastAsia" w:hAnsi="Times New Roman Bold" w:hint="eastAsia"/>
                <w:b/>
                <w:bCs/>
                <w:spacing w:val="-6"/>
                <w:rtl/>
                <w:lang w:eastAsia="zh-CN" w:bidi="ar-SY"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5F5D50">
              <w:rPr>
                <w:rFonts w:ascii="Times New Roman Bold" w:eastAsiaTheme="minorEastAsia" w:hAnsi="Times New Roman Bold" w:hint="cs"/>
                <w:b/>
                <w:bCs/>
                <w:spacing w:val="-6"/>
                <w:rtl/>
                <w:lang w:eastAsia="zh-CN"/>
              </w:rPr>
              <w:t>المسألة (المسائل):</w:t>
            </w:r>
          </w:p>
        </w:tc>
        <w:tc>
          <w:tcPr>
            <w:tcW w:w="1661" w:type="pct"/>
          </w:tcPr>
          <w:p w:rsidR="008862C1" w:rsidRPr="005F5D50" w:rsidRDefault="00AB4774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lang w:eastAsia="zh-CN" w:bidi="ar-EG"/>
              </w:rPr>
            </w:pPr>
            <w:r w:rsidRPr="005F5D50">
              <w:rPr>
                <w:rFonts w:eastAsiaTheme="minorEastAsia"/>
                <w:lang w:eastAsia="zh-CN" w:bidi="ar-SY"/>
              </w:rPr>
              <w:t>12/3</w:t>
            </w:r>
          </w:p>
        </w:tc>
        <w:tc>
          <w:tcPr>
            <w:tcW w:w="2492" w:type="pct"/>
            <w:gridSpan w:val="3"/>
          </w:tcPr>
          <w:p w:rsidR="008862C1" w:rsidRPr="005F5D50" w:rsidRDefault="008862C1" w:rsidP="00AB47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5F5D50">
              <w:rPr>
                <w:rFonts w:eastAsiaTheme="minorEastAsia" w:hint="cs"/>
                <w:rtl/>
                <w:lang w:val="en-GB" w:eastAsia="zh-CN" w:bidi="ar-SY"/>
              </w:rPr>
              <w:t xml:space="preserve">جنيف، </w:t>
            </w:r>
            <w:r w:rsidR="00AB4774" w:rsidRPr="005F5D50">
              <w:rPr>
                <w:rFonts w:eastAsiaTheme="minorEastAsia"/>
                <w:lang w:eastAsia="zh-CN" w:bidi="ar-SY"/>
              </w:rPr>
              <w:t>18-9</w:t>
            </w:r>
            <w:r w:rsidRPr="005F5D50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B4774" w:rsidRPr="005F5D50">
              <w:rPr>
                <w:rFonts w:eastAsiaTheme="minorEastAsia" w:hint="cs"/>
                <w:rtl/>
                <w:lang w:eastAsia="zh-CN" w:bidi="ar-EG"/>
              </w:rPr>
              <w:t>أبريل</w:t>
            </w:r>
            <w:r w:rsidRPr="005F5D50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5F5D50">
              <w:rPr>
                <w:rFonts w:eastAsiaTheme="minorEastAsia"/>
                <w:lang w:eastAsia="zh-CN" w:bidi="ar-EG"/>
              </w:rPr>
              <w:t>201</w:t>
            </w:r>
            <w:r w:rsidR="009F1571" w:rsidRPr="005F5D50">
              <w:rPr>
                <w:rFonts w:eastAsiaTheme="minorEastAsia"/>
                <w:lang w:eastAsia="zh-CN" w:bidi="ar-EG"/>
              </w:rPr>
              <w:t>8</w:t>
            </w:r>
          </w:p>
        </w:tc>
      </w:tr>
      <w:tr w:rsidR="008862C1" w:rsidRPr="005F5D50" w:rsidTr="003B2596">
        <w:trPr>
          <w:cantSplit/>
          <w:trHeight w:val="357"/>
          <w:jc w:val="center"/>
        </w:trPr>
        <w:tc>
          <w:tcPr>
            <w:tcW w:w="5000" w:type="pct"/>
            <w:gridSpan w:val="5"/>
          </w:tcPr>
          <w:p w:rsidR="008862C1" w:rsidRPr="005F5D50" w:rsidRDefault="009F157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400" w:lineRule="exact"/>
              <w:jc w:val="center"/>
              <w:rPr>
                <w:rFonts w:ascii="Times New Roman Bold" w:eastAsiaTheme="minorEastAsia" w:hAnsi="Times New Roman Bold" w:hint="eastAsia"/>
                <w:b/>
                <w:bCs/>
                <w:w w:val="110"/>
                <w:sz w:val="28"/>
                <w:szCs w:val="40"/>
                <w:rtl/>
                <w:lang w:eastAsia="zh-CN" w:bidi="ar-SY"/>
              </w:rPr>
            </w:pPr>
            <w:bookmarkStart w:id="7" w:name="dtitle" w:colFirst="0" w:colLast="0"/>
            <w:bookmarkEnd w:id="5"/>
            <w:bookmarkEnd w:id="6"/>
            <w:r w:rsidRPr="005F5D50">
              <w:rPr>
                <w:rFonts w:ascii="Times New Roman Bold" w:eastAsiaTheme="minorEastAsia" w:hAnsi="Times New Roman Bold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مساهمة</w:t>
            </w:r>
          </w:p>
        </w:tc>
      </w:tr>
      <w:bookmarkEnd w:id="2"/>
      <w:bookmarkEnd w:id="7"/>
      <w:tr w:rsidR="00F7383E" w:rsidRPr="005F5D50" w:rsidTr="00282F56">
        <w:trPr>
          <w:cantSplit/>
          <w:trHeight w:val="357"/>
          <w:jc w:val="center"/>
        </w:trPr>
        <w:tc>
          <w:tcPr>
            <w:tcW w:w="847" w:type="pct"/>
          </w:tcPr>
          <w:p w:rsidR="00F7383E" w:rsidRPr="005F5D50" w:rsidRDefault="00F7383E" w:rsidP="00F738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lang w:val="en-GB" w:eastAsia="zh-CN" w:bidi="ar-SY"/>
              </w:rPr>
            </w:pPr>
            <w:r w:rsidRPr="005F5D50">
              <w:rPr>
                <w:rFonts w:eastAsiaTheme="minorEastAsia" w:hint="cs"/>
                <w:b/>
                <w:bCs/>
                <w:rtl/>
                <w:lang w:eastAsia="zh-CN"/>
              </w:rPr>
              <w:t>المصدر:</w:t>
            </w:r>
          </w:p>
        </w:tc>
        <w:tc>
          <w:tcPr>
            <w:tcW w:w="4153" w:type="pct"/>
            <w:gridSpan w:val="4"/>
          </w:tcPr>
          <w:p w:rsidR="00F7383E" w:rsidRPr="005F5D50" w:rsidRDefault="00F7383E" w:rsidP="00F738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EG"/>
              </w:rPr>
            </w:pPr>
            <w:r w:rsidRPr="005F5D50">
              <w:rPr>
                <w:rFonts w:eastAsiaTheme="minorEastAsia" w:hint="cs"/>
                <w:rtl/>
                <w:lang w:eastAsia="zh-CN"/>
              </w:rPr>
              <w:t>الولايات المتحدة الأمريكية</w:t>
            </w:r>
          </w:p>
        </w:tc>
      </w:tr>
      <w:tr w:rsidR="00F7383E" w:rsidRPr="005F5D50" w:rsidTr="00282F56">
        <w:trPr>
          <w:cantSplit/>
          <w:trHeight w:val="357"/>
          <w:jc w:val="center"/>
        </w:trPr>
        <w:tc>
          <w:tcPr>
            <w:tcW w:w="847" w:type="pct"/>
          </w:tcPr>
          <w:p w:rsidR="00F7383E" w:rsidRPr="005F5D50" w:rsidRDefault="00F7383E" w:rsidP="00F738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r w:rsidRPr="005F5D50">
              <w:rPr>
                <w:rFonts w:eastAsiaTheme="minorEastAsia" w:hint="cs"/>
                <w:b/>
                <w:bCs/>
                <w:rtl/>
                <w:lang w:eastAsia="zh-CN"/>
              </w:rPr>
              <w:t>العنوان:</w:t>
            </w:r>
          </w:p>
        </w:tc>
        <w:tc>
          <w:tcPr>
            <w:tcW w:w="4153" w:type="pct"/>
            <w:gridSpan w:val="4"/>
          </w:tcPr>
          <w:p w:rsidR="00F7383E" w:rsidRPr="005F5D50" w:rsidRDefault="00F7383E" w:rsidP="007011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rtl/>
                <w:lang w:val="en-GB" w:eastAsia="zh-CN" w:bidi="ar-EG"/>
              </w:rPr>
            </w:pPr>
            <w:r w:rsidRPr="005F5D50">
              <w:rPr>
                <w:rFonts w:eastAsiaTheme="minorEastAsia"/>
                <w:rtl/>
                <w:lang w:eastAsia="zh-CN"/>
              </w:rPr>
              <w:t>مشروع توصية جديدة لقطاع تقييس الاتصالات</w:t>
            </w:r>
            <w:r w:rsidR="008E7D43" w:rsidRPr="005F5D50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8E7D43" w:rsidRPr="005F5D50">
              <w:t>D.MFS</w:t>
            </w:r>
            <w:r w:rsidR="008E7D43" w:rsidRPr="005F5D50">
              <w:rPr>
                <w:rFonts w:hint="cs"/>
                <w:rtl/>
              </w:rPr>
              <w:t>:</w:t>
            </w:r>
            <w:r w:rsidRPr="005F5D50">
              <w:rPr>
                <w:rFonts w:eastAsiaTheme="minorEastAsia"/>
                <w:rtl/>
                <w:lang w:eastAsia="zh-CN"/>
              </w:rPr>
              <w:t xml:space="preserve"> التكاليف والرسوم والمنافسة في الخدمات المالية المتنقلة</w:t>
            </w:r>
            <w:r w:rsidRPr="005F5D50">
              <w:rPr>
                <w:rFonts w:eastAsiaTheme="minorEastAsia" w:hint="cs"/>
                <w:rtl/>
                <w:lang w:eastAsia="zh-CN"/>
              </w:rPr>
              <w:t> </w:t>
            </w:r>
            <w:r w:rsidRPr="005F5D50">
              <w:rPr>
                <w:rFonts w:eastAsiaTheme="minorEastAsia"/>
                <w:lang w:eastAsia="zh-CN"/>
              </w:rPr>
              <w:t>(MFS)</w:t>
            </w:r>
          </w:p>
        </w:tc>
      </w:tr>
      <w:tr w:rsidR="00F7383E" w:rsidRPr="005F5D50" w:rsidTr="00282F56">
        <w:trPr>
          <w:cantSplit/>
          <w:trHeight w:val="357"/>
          <w:jc w:val="center"/>
        </w:trPr>
        <w:tc>
          <w:tcPr>
            <w:tcW w:w="847" w:type="pct"/>
          </w:tcPr>
          <w:p w:rsidR="00F7383E" w:rsidRPr="005F5D50" w:rsidRDefault="00F7383E" w:rsidP="00F738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5F5D50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الغرض:</w:t>
            </w:r>
          </w:p>
        </w:tc>
        <w:tc>
          <w:tcPr>
            <w:tcW w:w="4153" w:type="pct"/>
            <w:gridSpan w:val="4"/>
          </w:tcPr>
          <w:p w:rsidR="00F7383E" w:rsidRPr="005F5D50" w:rsidRDefault="00F7383E" w:rsidP="00F738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rtl/>
                <w:lang w:val="en-GB" w:eastAsia="zh-CN" w:bidi="ar-EG"/>
              </w:rPr>
            </w:pPr>
            <w:r w:rsidRPr="005F5D50">
              <w:rPr>
                <w:rFonts w:eastAsiaTheme="minorEastAsia" w:hint="cs"/>
                <w:rtl/>
                <w:lang w:val="en-GB" w:eastAsia="zh-CN" w:bidi="ar-SY"/>
              </w:rPr>
              <w:t>مقترح</w:t>
            </w:r>
          </w:p>
        </w:tc>
      </w:tr>
      <w:tr w:rsidR="002557FD" w:rsidRPr="005F5D50" w:rsidTr="00282F56">
        <w:trPr>
          <w:cantSplit/>
          <w:trHeight w:val="52"/>
          <w:jc w:val="center"/>
        </w:trPr>
        <w:tc>
          <w:tcPr>
            <w:tcW w:w="847" w:type="pct"/>
            <w:tcBorders>
              <w:bottom w:val="single" w:sz="8" w:space="0" w:color="auto"/>
            </w:tcBorders>
          </w:tcPr>
          <w:p w:rsidR="002557FD" w:rsidRPr="005F5D50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b/>
                <w:bCs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90" w:type="pct"/>
            <w:gridSpan w:val="2"/>
            <w:tcBorders>
              <w:bottom w:val="single" w:sz="8" w:space="0" w:color="auto"/>
            </w:tcBorders>
          </w:tcPr>
          <w:p w:rsidR="002557FD" w:rsidRPr="005F5D50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63" w:type="pct"/>
            <w:gridSpan w:val="2"/>
            <w:tcBorders>
              <w:bottom w:val="single" w:sz="8" w:space="0" w:color="auto"/>
            </w:tcBorders>
          </w:tcPr>
          <w:p w:rsidR="002557FD" w:rsidRPr="005F5D50" w:rsidRDefault="002557FD" w:rsidP="00282F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</w:tr>
      <w:tr w:rsidR="00F7383E" w:rsidRPr="005F5D50" w:rsidTr="00F7383E">
        <w:trPr>
          <w:cantSplit/>
          <w:trHeight w:val="357"/>
          <w:jc w:val="center"/>
        </w:trPr>
        <w:tc>
          <w:tcPr>
            <w:tcW w:w="847" w:type="pct"/>
            <w:tcBorders>
              <w:top w:val="single" w:sz="8" w:space="0" w:color="auto"/>
              <w:bottom w:val="single" w:sz="8" w:space="0" w:color="auto"/>
            </w:tcBorders>
          </w:tcPr>
          <w:p w:rsidR="00F7383E" w:rsidRPr="005F5D50" w:rsidRDefault="00F7383E" w:rsidP="005F5D5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5F5D50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للاتصال:</w:t>
            </w:r>
          </w:p>
        </w:tc>
        <w:tc>
          <w:tcPr>
            <w:tcW w:w="209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E7D43" w:rsidRPr="005F5D50" w:rsidRDefault="00F7383E" w:rsidP="00877F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contextualSpacing/>
              <w:jc w:val="left"/>
              <w:rPr>
                <w:rFonts w:eastAsiaTheme="minorEastAsia"/>
                <w:rtl/>
                <w:lang w:val="en-GB" w:eastAsia="zh-CN" w:bidi="ar-SY"/>
              </w:rPr>
            </w:pPr>
            <w:r w:rsidRPr="005F5D50">
              <w:rPr>
                <w:rFonts w:eastAsiaTheme="minorEastAsia"/>
                <w:lang w:val="en-GB" w:eastAsia="zh-CN" w:bidi="ar-SY"/>
              </w:rPr>
              <w:t>Paul B. Najarian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br/>
            </w:r>
            <w:r w:rsidR="008E7D43" w:rsidRPr="005F5D50">
              <w:rPr>
                <w:rFonts w:eastAsiaTheme="minorEastAsia" w:hint="cs"/>
                <w:rtl/>
                <w:lang w:val="en-GB" w:eastAsia="zh-CN" w:bidi="ar-SY"/>
              </w:rPr>
              <w:t xml:space="preserve">وزارة </w:t>
            </w:r>
            <w:r w:rsidR="0043526F" w:rsidRPr="005F5D50">
              <w:rPr>
                <w:rFonts w:eastAsiaTheme="minorEastAsia" w:hint="cs"/>
                <w:rtl/>
                <w:lang w:val="en-GB" w:eastAsia="zh-CN" w:bidi="ar-LB"/>
              </w:rPr>
              <w:t>ال</w:t>
            </w:r>
            <w:r w:rsidR="008E7D43" w:rsidRPr="005F5D50">
              <w:rPr>
                <w:rFonts w:eastAsiaTheme="minorEastAsia" w:hint="cs"/>
                <w:rtl/>
                <w:lang w:val="en-GB" w:eastAsia="zh-CN" w:bidi="ar-SY"/>
              </w:rPr>
              <w:t xml:space="preserve">خارجية </w:t>
            </w:r>
            <w:r w:rsidR="00877F3E">
              <w:rPr>
                <w:rFonts w:eastAsiaTheme="minorEastAsia" w:hint="cs"/>
                <w:rtl/>
                <w:lang w:val="en-GB" w:eastAsia="zh-CN" w:bidi="ar-SY"/>
              </w:rPr>
              <w:t>الأمريكية</w:t>
            </w:r>
            <w:r w:rsidR="00877F3E">
              <w:rPr>
                <w:rFonts w:eastAsiaTheme="minorEastAsia"/>
                <w:rtl/>
                <w:lang w:val="en-GB" w:eastAsia="zh-CN" w:bidi="ar-SY"/>
              </w:rPr>
              <w:br/>
            </w:r>
            <w:r w:rsidR="00877F3E">
              <w:rPr>
                <w:rFonts w:eastAsiaTheme="minorEastAsia" w:hint="cs"/>
                <w:rtl/>
                <w:lang w:val="en-GB" w:eastAsia="zh-CN" w:bidi="ar-SY"/>
              </w:rPr>
              <w:t>الولايات المتحدة الأمريكية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7383E" w:rsidRPr="005F5D50" w:rsidRDefault="00F7383E" w:rsidP="005F5D50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 w:rsidRPr="005F5D50">
              <w:rPr>
                <w:rFonts w:eastAsiaTheme="minorEastAsia" w:hint="cs"/>
                <w:rtl/>
                <w:lang w:val="en-GB" w:eastAsia="zh-CN" w:bidi="ar-SY"/>
              </w:rPr>
              <w:t>الهاتف: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tab/>
            </w:r>
            <w:r w:rsidRPr="005F5D50">
              <w:rPr>
                <w:rFonts w:eastAsiaTheme="minorEastAsia"/>
                <w:lang w:val="en-GB" w:eastAsia="zh-CN" w:bidi="ar-SY"/>
              </w:rPr>
              <w:t>+1 (202) 647-7847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br/>
            </w:r>
            <w:r w:rsidRPr="005F5D50">
              <w:rPr>
                <w:rFonts w:eastAsiaTheme="minorEastAsia" w:hint="cs"/>
                <w:rtl/>
                <w:lang w:val="en-GB" w:eastAsia="zh-CN" w:bidi="ar-SY"/>
              </w:rPr>
              <w:t>الفاكس: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tab/>
            </w:r>
            <w:r w:rsidR="008E7D43" w:rsidRPr="005F5D50">
              <w:rPr>
                <w:rFonts w:eastAsiaTheme="minorEastAsia" w:hint="cs"/>
                <w:rtl/>
                <w:lang w:val="en-GB" w:eastAsia="zh-CN" w:bidi="ar-SY"/>
              </w:rPr>
              <w:t>لا يوجد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br/>
            </w:r>
            <w:r w:rsidRPr="005F5D50">
              <w:rPr>
                <w:rFonts w:eastAsiaTheme="minorEastAsia" w:hint="cs"/>
                <w:rtl/>
                <w:lang w:val="en-GB" w:eastAsia="zh-CN" w:bidi="ar-SY"/>
              </w:rPr>
              <w:t>البريد الإلكتروني: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tab/>
            </w:r>
            <w:hyperlink r:id="rId11" w:history="1">
              <w:r w:rsidRPr="005F5D50">
                <w:rPr>
                  <w:rStyle w:val="Hyperlink"/>
                  <w:rFonts w:eastAsiaTheme="minorEastAsia"/>
                  <w:lang w:val="en-GB" w:eastAsia="zh-CN" w:bidi="ar-SY"/>
                </w:rPr>
                <w:t>najarianpb@state.gov</w:t>
              </w:r>
            </w:hyperlink>
          </w:p>
        </w:tc>
      </w:tr>
      <w:tr w:rsidR="00F7383E" w:rsidRPr="005F5D50" w:rsidTr="00F7383E">
        <w:trPr>
          <w:cantSplit/>
          <w:trHeight w:val="357"/>
          <w:jc w:val="center"/>
        </w:trPr>
        <w:tc>
          <w:tcPr>
            <w:tcW w:w="847" w:type="pct"/>
            <w:tcBorders>
              <w:top w:val="single" w:sz="8" w:space="0" w:color="auto"/>
              <w:bottom w:val="single" w:sz="8" w:space="0" w:color="auto"/>
            </w:tcBorders>
          </w:tcPr>
          <w:p w:rsidR="00F7383E" w:rsidRPr="005F5D50" w:rsidRDefault="00F7383E" w:rsidP="005F5D5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5F5D50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للاتصال:</w:t>
            </w:r>
          </w:p>
        </w:tc>
        <w:tc>
          <w:tcPr>
            <w:tcW w:w="209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E7D43" w:rsidRPr="005F5D50" w:rsidRDefault="00F7383E" w:rsidP="005F5D5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 w:rsidRPr="005F5D50">
              <w:rPr>
                <w:rFonts w:eastAsiaTheme="minorEastAsia"/>
                <w:lang w:val="en-GB" w:eastAsia="zh-CN" w:bidi="ar-SY"/>
              </w:rPr>
              <w:t>Carl R. Frank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br/>
            </w:r>
            <w:r w:rsidR="008E7D43" w:rsidRPr="005F5D50">
              <w:rPr>
                <w:color w:val="000000"/>
                <w:rtl/>
              </w:rPr>
              <w:t>الإدارة الوطنية للاتصالات والمعلومات</w:t>
            </w:r>
            <w:r w:rsidR="005F5D50" w:rsidRPr="005F5D50">
              <w:rPr>
                <w:color w:val="000000"/>
                <w:rtl/>
              </w:rPr>
              <w:br/>
            </w:r>
            <w:r w:rsidR="008E7D43" w:rsidRPr="005F5D50">
              <w:rPr>
                <w:rFonts w:eastAsiaTheme="minorEastAsia" w:hint="cs"/>
                <w:rtl/>
                <w:lang w:val="en-GB" w:eastAsia="zh-CN" w:bidi="ar-SY"/>
              </w:rPr>
              <w:t>الولايات المتحدة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7383E" w:rsidRPr="005F5D50" w:rsidRDefault="00F7383E" w:rsidP="005F5D50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 w:rsidRPr="005F5D50">
              <w:rPr>
                <w:rFonts w:eastAsiaTheme="minorEastAsia" w:hint="cs"/>
                <w:rtl/>
                <w:lang w:val="en-GB" w:eastAsia="zh-CN" w:bidi="ar-SY"/>
              </w:rPr>
              <w:t>الهاتف: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tab/>
            </w:r>
            <w:r w:rsidRPr="005F5D50">
              <w:rPr>
                <w:rFonts w:eastAsiaTheme="minorEastAsia"/>
                <w:lang w:val="en-GB" w:eastAsia="zh-CN" w:bidi="ar-SY"/>
              </w:rPr>
              <w:t>+1 (202) 482-0390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br/>
            </w:r>
            <w:r w:rsidRPr="005F5D50">
              <w:rPr>
                <w:rFonts w:eastAsiaTheme="minorEastAsia" w:hint="cs"/>
                <w:rtl/>
                <w:lang w:val="en-GB" w:eastAsia="zh-CN" w:bidi="ar-SY"/>
              </w:rPr>
              <w:t>الفاكس: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tab/>
            </w:r>
            <w:r w:rsidR="008E7D43" w:rsidRPr="005F5D50">
              <w:rPr>
                <w:rFonts w:eastAsiaTheme="minorEastAsia" w:hint="cs"/>
                <w:rtl/>
                <w:lang w:val="en-GB" w:eastAsia="zh-CN" w:bidi="ar-SY"/>
              </w:rPr>
              <w:t>لا يوجد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br/>
            </w:r>
            <w:r w:rsidRPr="005F5D50">
              <w:rPr>
                <w:rFonts w:eastAsiaTheme="minorEastAsia" w:hint="cs"/>
                <w:rtl/>
                <w:lang w:val="en-GB" w:eastAsia="zh-CN" w:bidi="ar-SY"/>
              </w:rPr>
              <w:t>البريد الإلكتروني:</w:t>
            </w:r>
            <w:r w:rsidRPr="005F5D50">
              <w:rPr>
                <w:rFonts w:eastAsiaTheme="minorEastAsia"/>
                <w:rtl/>
                <w:lang w:val="en-GB" w:eastAsia="zh-CN" w:bidi="ar-SY"/>
              </w:rPr>
              <w:tab/>
            </w:r>
            <w:hyperlink r:id="rId12" w:history="1">
              <w:r w:rsidRPr="005F5D50">
                <w:rPr>
                  <w:rStyle w:val="Hyperlink"/>
                  <w:rFonts w:eastAsiaTheme="minorEastAsia"/>
                  <w:lang w:val="en-GB" w:eastAsia="zh-CN" w:bidi="ar-SY"/>
                </w:rPr>
                <w:t>cfrank@ntia.doc.gov</w:t>
              </w:r>
            </w:hyperlink>
          </w:p>
        </w:tc>
      </w:tr>
    </w:tbl>
    <w:p w:rsidR="0017388B" w:rsidRPr="005F5D50" w:rsidRDefault="0017388B" w:rsidP="0017388B">
      <w:pPr>
        <w:spacing w:before="0" w:line="120" w:lineRule="auto"/>
        <w:rPr>
          <w:rtl/>
          <w:lang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993"/>
      </w:tblGrid>
      <w:tr w:rsidR="0017388B" w:rsidRPr="005F5D50" w:rsidTr="00282F56">
        <w:tc>
          <w:tcPr>
            <w:tcW w:w="1636" w:type="dxa"/>
          </w:tcPr>
          <w:p w:rsidR="0017388B" w:rsidRPr="005F5D50" w:rsidRDefault="00306C37" w:rsidP="00306C37">
            <w:pPr>
              <w:rPr>
                <w:rFonts w:ascii="Times New Roman Bold" w:hAnsi="Times New Roman Bold"/>
                <w:b/>
                <w:bCs/>
                <w:spacing w:val="-6"/>
                <w:rtl/>
                <w:lang w:bidi="ar-EG"/>
              </w:rPr>
            </w:pPr>
            <w:r w:rsidRPr="005F5D50"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>كلمات أساسية</w:t>
            </w:r>
            <w:r w:rsidR="0017388B" w:rsidRPr="005F5D50"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>:</w:t>
            </w:r>
          </w:p>
        </w:tc>
        <w:tc>
          <w:tcPr>
            <w:tcW w:w="7993" w:type="dxa"/>
          </w:tcPr>
          <w:p w:rsidR="0017388B" w:rsidRPr="005F5D50" w:rsidRDefault="00F7383E" w:rsidP="00F7383E">
            <w:pPr>
              <w:rPr>
                <w:rtl/>
                <w:lang w:bidi="ar-EG"/>
              </w:rPr>
            </w:pPr>
            <w:r w:rsidRPr="005F5D50">
              <w:rPr>
                <w:rFonts w:hint="cs"/>
                <w:rtl/>
                <w:lang w:bidi="ar-EG"/>
              </w:rPr>
              <w:t xml:space="preserve">المسألة </w:t>
            </w:r>
            <w:r w:rsidRPr="005F5D50">
              <w:rPr>
                <w:lang w:bidi="ar-EG"/>
              </w:rPr>
              <w:t>12/3</w:t>
            </w:r>
            <w:r w:rsidRPr="005F5D50">
              <w:rPr>
                <w:rFonts w:hint="cs"/>
                <w:rtl/>
                <w:lang w:bidi="ar-EG"/>
              </w:rPr>
              <w:t xml:space="preserve">؛ مشروع توصية؛ </w:t>
            </w:r>
            <w:r w:rsidRPr="005F5D50">
              <w:rPr>
                <w:rtl/>
              </w:rPr>
              <w:t>الخدمات المالية المتنقلة</w:t>
            </w:r>
          </w:p>
        </w:tc>
      </w:tr>
      <w:tr w:rsidR="0017388B" w:rsidRPr="005F5D50" w:rsidTr="00282F56">
        <w:tc>
          <w:tcPr>
            <w:tcW w:w="1636" w:type="dxa"/>
          </w:tcPr>
          <w:p w:rsidR="0017388B" w:rsidRPr="005F5D50" w:rsidRDefault="0017388B" w:rsidP="00282F56">
            <w:pPr>
              <w:rPr>
                <w:b/>
                <w:bCs/>
                <w:rtl/>
                <w:lang w:bidi="ar-EG"/>
              </w:rPr>
            </w:pPr>
            <w:r w:rsidRPr="005F5D50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</w:tc>
        <w:tc>
          <w:tcPr>
            <w:tcW w:w="7993" w:type="dxa"/>
          </w:tcPr>
          <w:p w:rsidR="0017388B" w:rsidRPr="003C74BE" w:rsidRDefault="008E7D43" w:rsidP="00DE4C39">
            <w:pPr>
              <w:rPr>
                <w:spacing w:val="-2"/>
                <w:lang w:bidi="ar-LB"/>
              </w:rPr>
            </w:pPr>
            <w:r w:rsidRPr="003C74BE">
              <w:rPr>
                <w:rFonts w:hint="cs"/>
                <w:spacing w:val="-2"/>
                <w:rtl/>
                <w:lang w:bidi="ar-EG"/>
              </w:rPr>
              <w:t>تتساءل هذه المساهمة عن الحاجة إلى</w:t>
            </w:r>
            <w:r w:rsidR="00F7383E" w:rsidRPr="003C74BE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F7383E" w:rsidRPr="003C74BE">
              <w:rPr>
                <w:spacing w:val="-2"/>
                <w:rtl/>
              </w:rPr>
              <w:t xml:space="preserve">مشروع </w:t>
            </w:r>
            <w:r w:rsidR="0043526F" w:rsidRPr="003C74BE">
              <w:rPr>
                <w:rFonts w:hint="cs"/>
                <w:spacing w:val="-2"/>
                <w:rtl/>
              </w:rPr>
              <w:t>ال</w:t>
            </w:r>
            <w:r w:rsidR="00F7383E" w:rsidRPr="003C74BE">
              <w:rPr>
                <w:spacing w:val="-2"/>
                <w:rtl/>
              </w:rPr>
              <w:t xml:space="preserve">توصية </w:t>
            </w:r>
            <w:r w:rsidR="0043526F" w:rsidRPr="003C74BE">
              <w:rPr>
                <w:rFonts w:hint="cs"/>
                <w:spacing w:val="-2"/>
                <w:rtl/>
              </w:rPr>
              <w:t>ال</w:t>
            </w:r>
            <w:r w:rsidR="00F7383E" w:rsidRPr="003C74BE">
              <w:rPr>
                <w:spacing w:val="-2"/>
                <w:rtl/>
              </w:rPr>
              <w:t>جديدة لقطاع تقييس الاتصالات</w:t>
            </w:r>
            <w:r w:rsidRPr="003C74BE">
              <w:rPr>
                <w:rFonts w:hint="cs"/>
                <w:spacing w:val="-2"/>
                <w:rtl/>
              </w:rPr>
              <w:t xml:space="preserve"> </w:t>
            </w:r>
            <w:r w:rsidRPr="003C74BE">
              <w:rPr>
                <w:spacing w:val="-2"/>
              </w:rPr>
              <w:t>D.MFS</w:t>
            </w:r>
            <w:r w:rsidRPr="003C74BE">
              <w:rPr>
                <w:rFonts w:hint="cs"/>
                <w:spacing w:val="-2"/>
                <w:rtl/>
              </w:rPr>
              <w:t>:</w:t>
            </w:r>
            <w:r w:rsidRPr="003C74BE">
              <w:rPr>
                <w:rFonts w:eastAsiaTheme="minorEastAsia"/>
                <w:spacing w:val="-2"/>
                <w:rtl/>
                <w:lang w:eastAsia="zh-CN"/>
              </w:rPr>
              <w:t xml:space="preserve"> التكاليف والرسوم والمنافسة في الخدمات المالية المتنقلة</w:t>
            </w:r>
            <w:r w:rsidRPr="003C74BE">
              <w:rPr>
                <w:rFonts w:eastAsiaTheme="minorEastAsia" w:hint="cs"/>
                <w:spacing w:val="-2"/>
                <w:rtl/>
                <w:lang w:eastAsia="zh-CN"/>
              </w:rPr>
              <w:t> </w:t>
            </w:r>
            <w:r w:rsidRPr="003C74BE">
              <w:rPr>
                <w:rFonts w:eastAsiaTheme="minorEastAsia"/>
                <w:spacing w:val="-2"/>
                <w:lang w:eastAsia="zh-CN"/>
              </w:rPr>
              <w:t>(MFS)</w:t>
            </w:r>
            <w:r w:rsidRPr="003C74BE">
              <w:rPr>
                <w:rFonts w:hint="cs"/>
                <w:spacing w:val="-2"/>
                <w:rtl/>
              </w:rPr>
              <w:t xml:space="preserve">، الذي نتج عن اجتماع فريق المقرر </w:t>
            </w:r>
            <w:r w:rsidR="00DE4C39">
              <w:rPr>
                <w:spacing w:val="-2"/>
              </w:rPr>
              <w:t>(RGM)</w:t>
            </w:r>
            <w:r w:rsidR="00DE4C39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3C74BE">
              <w:rPr>
                <w:rFonts w:hint="cs"/>
                <w:spacing w:val="-2"/>
                <w:rtl/>
              </w:rPr>
              <w:t>المعني بالمسألة</w:t>
            </w:r>
            <w:r w:rsidR="003C74BE">
              <w:rPr>
                <w:rFonts w:hint="eastAsia"/>
                <w:spacing w:val="-2"/>
                <w:rtl/>
              </w:rPr>
              <w:t> </w:t>
            </w:r>
            <w:r w:rsidRPr="003C74BE">
              <w:rPr>
                <w:spacing w:val="-2"/>
              </w:rPr>
              <w:t>12/3</w:t>
            </w:r>
            <w:r w:rsidRPr="003C74BE">
              <w:rPr>
                <w:rFonts w:hint="cs"/>
                <w:spacing w:val="-2"/>
                <w:rtl/>
                <w:lang w:bidi="ar-LB"/>
              </w:rPr>
              <w:t xml:space="preserve"> (جنيف، </w:t>
            </w:r>
            <w:r w:rsidRPr="003C74BE">
              <w:rPr>
                <w:spacing w:val="-2"/>
                <w:lang w:bidi="ar-LB"/>
              </w:rPr>
              <w:t>7-6</w:t>
            </w:r>
            <w:r w:rsidRPr="003C74BE">
              <w:rPr>
                <w:rFonts w:hint="cs"/>
                <w:spacing w:val="-2"/>
                <w:rtl/>
                <w:lang w:bidi="ar-LB"/>
              </w:rPr>
              <w:t xml:space="preserve"> ديسمبر </w:t>
            </w:r>
            <w:r w:rsidR="008063E3" w:rsidRPr="003C74BE">
              <w:rPr>
                <w:spacing w:val="-2"/>
                <w:lang w:bidi="ar-LB"/>
              </w:rPr>
              <w:t>2017</w:t>
            </w:r>
            <w:r w:rsidR="0043526F" w:rsidRPr="003C74BE">
              <w:rPr>
                <w:rFonts w:hint="cs"/>
                <w:spacing w:val="-2"/>
                <w:rtl/>
                <w:lang w:bidi="ar-LB"/>
              </w:rPr>
              <w:t>). و</w:t>
            </w:r>
            <w:r w:rsidR="008063E3" w:rsidRPr="003C74BE">
              <w:rPr>
                <w:rFonts w:hint="cs"/>
                <w:spacing w:val="-2"/>
                <w:rtl/>
                <w:lang w:bidi="ar-LB"/>
              </w:rPr>
              <w:t xml:space="preserve">تعتقد الولايات المتحدة أن هذا المشروع </w:t>
            </w:r>
            <w:r w:rsidR="0043526F" w:rsidRPr="003C74BE">
              <w:rPr>
                <w:rFonts w:hint="cs"/>
                <w:spacing w:val="-2"/>
                <w:rtl/>
                <w:lang w:bidi="ar-LB"/>
              </w:rPr>
              <w:t>لا</w:t>
            </w:r>
            <w:r w:rsidR="00DE4C39">
              <w:rPr>
                <w:rFonts w:hint="eastAsia"/>
                <w:spacing w:val="-2"/>
                <w:rtl/>
                <w:lang w:bidi="ar-LB"/>
              </w:rPr>
              <w:t> </w:t>
            </w:r>
            <w:r w:rsidR="008063E3" w:rsidRPr="003C74BE">
              <w:rPr>
                <w:rFonts w:hint="cs"/>
                <w:spacing w:val="-2"/>
                <w:rtl/>
                <w:lang w:bidi="ar-LB"/>
              </w:rPr>
              <w:t>يندرج في</w:t>
            </w:r>
            <w:r w:rsidR="00DE4C39">
              <w:rPr>
                <w:rFonts w:hint="eastAsia"/>
                <w:spacing w:val="-2"/>
                <w:rtl/>
                <w:lang w:bidi="ar-LB"/>
              </w:rPr>
              <w:t> </w:t>
            </w:r>
            <w:r w:rsidR="008063E3" w:rsidRPr="003C74BE">
              <w:rPr>
                <w:rFonts w:hint="cs"/>
                <w:spacing w:val="-2"/>
                <w:rtl/>
                <w:lang w:bidi="ar-LB"/>
              </w:rPr>
              <w:t xml:space="preserve">نطاق اختصاص لجنة الدراسات والاتحاد. بالإضافة إلى ذلك، فإن الجزء الأكبر من هذا العمل هو تكرار </w:t>
            </w:r>
            <w:r w:rsidR="00441D83" w:rsidRPr="003C74BE">
              <w:rPr>
                <w:rFonts w:hint="cs"/>
                <w:spacing w:val="-2"/>
                <w:rtl/>
                <w:lang w:bidi="ar-LB"/>
              </w:rPr>
              <w:t>للعمل الذي اضطلع به قطاع تنمية الاتصالات والبنك الدولي و</w:t>
            </w:r>
            <w:r w:rsidR="00441D83" w:rsidRPr="003C74BE">
              <w:rPr>
                <w:color w:val="000000"/>
                <w:spacing w:val="-2"/>
                <w:rtl/>
              </w:rPr>
              <w:t>ا</w:t>
            </w:r>
            <w:r w:rsidR="00A3744D" w:rsidRPr="003C74BE">
              <w:rPr>
                <w:color w:val="000000"/>
                <w:spacing w:val="-2"/>
                <w:rtl/>
              </w:rPr>
              <w:t>للجنة المعنية بالمدفوعات والبن</w:t>
            </w:r>
            <w:r w:rsidR="00A3744D" w:rsidRPr="003C74BE">
              <w:rPr>
                <w:rFonts w:hint="cs"/>
                <w:color w:val="000000"/>
                <w:spacing w:val="-2"/>
                <w:rtl/>
              </w:rPr>
              <w:t>ى</w:t>
            </w:r>
            <w:r w:rsidR="00441D83" w:rsidRPr="003C74BE">
              <w:rPr>
                <w:color w:val="000000"/>
                <w:spacing w:val="-2"/>
                <w:rtl/>
              </w:rPr>
              <w:t xml:space="preserve"> التحتية للسوق التابعة</w:t>
            </w:r>
            <w:r w:rsidR="00441D83" w:rsidRPr="003C74BE">
              <w:rPr>
                <w:rFonts w:hint="cs"/>
                <w:spacing w:val="-2"/>
                <w:rtl/>
                <w:lang w:bidi="ar-LB"/>
              </w:rPr>
              <w:t xml:space="preserve"> لبنك التسويات الدولية</w:t>
            </w:r>
            <w:r w:rsidR="00DE4C39">
              <w:rPr>
                <w:rFonts w:hint="eastAsia"/>
                <w:spacing w:val="-2"/>
                <w:rtl/>
                <w:lang w:bidi="ar-LB"/>
              </w:rPr>
              <w:t> </w:t>
            </w:r>
            <w:r w:rsidR="00441D83" w:rsidRPr="003C74BE">
              <w:rPr>
                <w:spacing w:val="-2"/>
                <w:lang w:bidi="ar-LB"/>
              </w:rPr>
              <w:t>(BIS)</w:t>
            </w:r>
            <w:r w:rsidR="00441D83" w:rsidRPr="003C74BE">
              <w:rPr>
                <w:rFonts w:hint="cs"/>
                <w:spacing w:val="-2"/>
                <w:rtl/>
                <w:lang w:bidi="ar-LB"/>
              </w:rPr>
              <w:t xml:space="preserve">. وبالنظر إلى ذلك، فإن تكلفة هذه التوصية </w:t>
            </w:r>
            <w:r w:rsidR="00441D83" w:rsidRPr="003C74BE">
              <w:rPr>
                <w:color w:val="000000"/>
                <w:spacing w:val="-2"/>
                <w:rtl/>
              </w:rPr>
              <w:t>ت</w:t>
            </w:r>
            <w:r w:rsidR="00B26E4E" w:rsidRPr="003C74BE">
              <w:rPr>
                <w:rFonts w:hint="cs"/>
                <w:color w:val="000000"/>
                <w:spacing w:val="-2"/>
                <w:rtl/>
              </w:rPr>
              <w:t>زيد</w:t>
            </w:r>
            <w:r w:rsidR="00441D83" w:rsidRPr="003C74BE">
              <w:rPr>
                <w:color w:val="000000"/>
                <w:spacing w:val="-2"/>
                <w:rtl/>
              </w:rPr>
              <w:t xml:space="preserve"> </w:t>
            </w:r>
            <w:r w:rsidR="00B26E4E" w:rsidRPr="003C74BE">
              <w:rPr>
                <w:rFonts w:hint="cs"/>
                <w:color w:val="000000"/>
                <w:spacing w:val="-2"/>
                <w:rtl/>
              </w:rPr>
              <w:t>على الفوائد</w:t>
            </w:r>
            <w:r w:rsidR="00441D83" w:rsidRPr="003C74BE">
              <w:rPr>
                <w:rFonts w:hint="cs"/>
                <w:color w:val="000000"/>
                <w:spacing w:val="-2"/>
                <w:rtl/>
              </w:rPr>
              <w:t>.</w:t>
            </w:r>
          </w:p>
        </w:tc>
      </w:tr>
      <w:tr w:rsidR="0017388B" w:rsidRPr="005F5D50" w:rsidTr="00282F56">
        <w:tc>
          <w:tcPr>
            <w:tcW w:w="1636" w:type="dxa"/>
          </w:tcPr>
          <w:p w:rsidR="0017388B" w:rsidRPr="005F5D50" w:rsidRDefault="0017388B" w:rsidP="00554C35">
            <w:pPr>
              <w:spacing w:before="0" w:line="12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7993" w:type="dxa"/>
          </w:tcPr>
          <w:p w:rsidR="0017388B" w:rsidRPr="005F5D50" w:rsidRDefault="0017388B" w:rsidP="00554C35">
            <w:pPr>
              <w:spacing w:before="0" w:line="120" w:lineRule="auto"/>
              <w:rPr>
                <w:rtl/>
                <w:lang w:bidi="ar-EG"/>
              </w:rPr>
            </w:pPr>
          </w:p>
        </w:tc>
      </w:tr>
    </w:tbl>
    <w:p w:rsidR="002557FD" w:rsidRPr="005F5D50" w:rsidRDefault="00F7383E" w:rsidP="00824527">
      <w:pPr>
        <w:rPr>
          <w:rtl/>
          <w:lang w:bidi="ar-SY"/>
        </w:rPr>
      </w:pPr>
      <w:r w:rsidRPr="005F5D50">
        <w:rPr>
          <w:rFonts w:hint="cs"/>
          <w:b/>
          <w:bCs/>
          <w:rtl/>
          <w:lang w:bidi="ar-SY"/>
        </w:rPr>
        <w:t>المناقشة</w:t>
      </w:r>
      <w:r w:rsidR="00E91FFD" w:rsidRPr="005F5D50">
        <w:rPr>
          <w:rFonts w:hint="cs"/>
          <w:rtl/>
          <w:lang w:bidi="ar-SY"/>
        </w:rPr>
        <w:t xml:space="preserve">: كانت الوثيقة </w:t>
      </w:r>
      <w:hyperlink r:id="rId13" w:history="1">
        <w:r w:rsidR="00E91FFD" w:rsidRPr="005F5D50">
          <w:rPr>
            <w:rStyle w:val="Hyperlink"/>
            <w:bCs/>
          </w:rPr>
          <w:t>TD13-WP2</w:t>
        </w:r>
      </w:hyperlink>
      <w:r w:rsidR="00E91FFD" w:rsidRPr="005F5D50">
        <w:rPr>
          <w:rStyle w:val="Hyperlink"/>
          <w:rFonts w:hint="cs"/>
          <w:bCs/>
          <w:u w:val="none"/>
          <w:rtl/>
        </w:rPr>
        <w:t xml:space="preserve"> </w:t>
      </w:r>
      <w:r w:rsidR="004A1EA1" w:rsidRPr="005F5D50">
        <w:rPr>
          <w:rStyle w:val="Hyperlink"/>
          <w:rFonts w:hint="cs"/>
          <w:b/>
          <w:color w:val="auto"/>
          <w:u w:val="none"/>
          <w:rtl/>
        </w:rPr>
        <w:t>الن</w:t>
      </w:r>
      <w:r w:rsidR="00E91FFD" w:rsidRPr="005F5D50">
        <w:rPr>
          <w:rStyle w:val="Hyperlink"/>
          <w:rFonts w:hint="cs"/>
          <w:b/>
          <w:color w:val="auto"/>
          <w:u w:val="none"/>
          <w:rtl/>
        </w:rPr>
        <w:t xml:space="preserve">تيجة </w:t>
      </w:r>
      <w:r w:rsidR="004A1EA1" w:rsidRPr="005F5D50">
        <w:rPr>
          <w:rStyle w:val="Hyperlink"/>
          <w:rFonts w:hint="cs"/>
          <w:b/>
          <w:color w:val="auto"/>
          <w:u w:val="none"/>
          <w:rtl/>
        </w:rPr>
        <w:t xml:space="preserve">التي تمخض </w:t>
      </w:r>
      <w:r w:rsidR="0043526F" w:rsidRPr="005F5D50">
        <w:rPr>
          <w:rStyle w:val="Hyperlink"/>
          <w:rFonts w:hint="cs"/>
          <w:b/>
          <w:color w:val="auto"/>
          <w:u w:val="none"/>
          <w:rtl/>
        </w:rPr>
        <w:t xml:space="preserve">عنها </w:t>
      </w:r>
      <w:r w:rsidR="00E91FFD" w:rsidRPr="005F5D50">
        <w:rPr>
          <w:rFonts w:hint="cs"/>
          <w:b/>
          <w:rtl/>
        </w:rPr>
        <w:t>اجتماع</w:t>
      </w:r>
      <w:r w:rsidR="00E91FFD" w:rsidRPr="005F5D50">
        <w:rPr>
          <w:rFonts w:hint="cs"/>
          <w:rtl/>
        </w:rPr>
        <w:t xml:space="preserve"> فريق المقرر</w:t>
      </w:r>
      <w:r w:rsidR="00DE4C39">
        <w:rPr>
          <w:rFonts w:hint="cs"/>
          <w:rtl/>
          <w:lang w:bidi="ar-EG"/>
        </w:rPr>
        <w:t xml:space="preserve"> </w:t>
      </w:r>
      <w:r w:rsidR="00DE4C39">
        <w:rPr>
          <w:lang w:bidi="ar-EG"/>
        </w:rPr>
        <w:t>(RGM)</w:t>
      </w:r>
      <w:r w:rsidR="00E91FFD" w:rsidRPr="005F5D50">
        <w:rPr>
          <w:rFonts w:hint="cs"/>
          <w:rtl/>
        </w:rPr>
        <w:t xml:space="preserve"> ال</w:t>
      </w:r>
      <w:r w:rsidR="0043526F" w:rsidRPr="005F5D50">
        <w:rPr>
          <w:rFonts w:hint="cs"/>
          <w:rtl/>
        </w:rPr>
        <w:t xml:space="preserve">ذي </w:t>
      </w:r>
      <w:r w:rsidR="00E91FFD" w:rsidRPr="005F5D50">
        <w:rPr>
          <w:rFonts w:hint="cs"/>
          <w:rtl/>
        </w:rPr>
        <w:t>خ</w:t>
      </w:r>
      <w:r w:rsidR="0043526F" w:rsidRPr="005F5D50">
        <w:rPr>
          <w:rFonts w:hint="cs"/>
          <w:rtl/>
        </w:rPr>
        <w:t>ُ</w:t>
      </w:r>
      <w:r w:rsidR="00E91FFD" w:rsidRPr="005F5D50">
        <w:rPr>
          <w:rFonts w:hint="cs"/>
          <w:rtl/>
        </w:rPr>
        <w:t>ص</w:t>
      </w:r>
      <w:r w:rsidR="0043526F" w:rsidRPr="005F5D50">
        <w:rPr>
          <w:rFonts w:hint="cs"/>
          <w:rtl/>
        </w:rPr>
        <w:t>ّ</w:t>
      </w:r>
      <w:r w:rsidR="00E91FFD" w:rsidRPr="005F5D50">
        <w:rPr>
          <w:rFonts w:hint="cs"/>
          <w:rtl/>
        </w:rPr>
        <w:t xml:space="preserve">ص أساساً لمناقشة مشروع </w:t>
      </w:r>
      <w:r w:rsidR="00E91FFD" w:rsidRPr="005F5D50">
        <w:rPr>
          <w:rFonts w:eastAsiaTheme="minorEastAsia"/>
          <w:rtl/>
          <w:lang w:eastAsia="zh-CN"/>
        </w:rPr>
        <w:t xml:space="preserve">توصية جديدة </w:t>
      </w:r>
      <w:r w:rsidR="004A1EA1" w:rsidRPr="005F5D50">
        <w:rPr>
          <w:rFonts w:eastAsiaTheme="minorEastAsia" w:hint="cs"/>
          <w:rtl/>
          <w:lang w:eastAsia="zh-CN"/>
        </w:rPr>
        <w:t>عن</w:t>
      </w:r>
      <w:r w:rsidR="00E91FFD" w:rsidRPr="005F5D50">
        <w:rPr>
          <w:rFonts w:eastAsiaTheme="minorEastAsia"/>
          <w:rtl/>
          <w:lang w:eastAsia="zh-CN"/>
        </w:rPr>
        <w:t xml:space="preserve"> "</w:t>
      </w:r>
      <w:r w:rsidR="00E91FFD" w:rsidRPr="005F5D50">
        <w:rPr>
          <w:rFonts w:eastAsiaTheme="minorEastAsia"/>
          <w:i/>
          <w:iCs/>
          <w:rtl/>
          <w:lang w:eastAsia="zh-CN"/>
        </w:rPr>
        <w:t>التكاليف والرسوم والمنافسة في الخدمات المالية المتنقلة</w:t>
      </w:r>
      <w:r w:rsidR="004A1EA1" w:rsidRPr="005F5D50">
        <w:rPr>
          <w:rFonts w:eastAsiaTheme="minorEastAsia" w:hint="cs"/>
          <w:rtl/>
          <w:lang w:eastAsia="zh-CN"/>
        </w:rPr>
        <w:t>"</w:t>
      </w:r>
      <w:r w:rsidR="00E91FFD" w:rsidRPr="005F5D50">
        <w:rPr>
          <w:rFonts w:eastAsiaTheme="minorEastAsia" w:hint="cs"/>
          <w:rtl/>
          <w:lang w:eastAsia="zh-CN"/>
        </w:rPr>
        <w:t> </w:t>
      </w:r>
      <w:r w:rsidR="0043526F" w:rsidRPr="005F5D50">
        <w:rPr>
          <w:rFonts w:eastAsiaTheme="minorEastAsia" w:hint="cs"/>
          <w:rtl/>
          <w:lang w:eastAsia="zh-CN"/>
        </w:rPr>
        <w:t>استناداً</w:t>
      </w:r>
      <w:r w:rsidR="004A1EA1" w:rsidRPr="005F5D50">
        <w:rPr>
          <w:rFonts w:eastAsiaTheme="minorEastAsia" w:hint="cs"/>
          <w:rtl/>
          <w:lang w:eastAsia="zh-CN"/>
        </w:rPr>
        <w:t xml:space="preserve"> إلى الوثيقة </w:t>
      </w:r>
      <w:hyperlink r:id="rId14" w:history="1">
        <w:r w:rsidR="004A1EA1" w:rsidRPr="005F5D50">
          <w:rPr>
            <w:rStyle w:val="Hyperlink"/>
            <w:rFonts w:eastAsia="SimSun"/>
            <w:lang w:eastAsia="zh-CN"/>
          </w:rPr>
          <w:t>TD341Rev1</w:t>
        </w:r>
      </w:hyperlink>
      <w:r w:rsidR="004A1EA1" w:rsidRPr="005F5D50">
        <w:rPr>
          <w:rFonts w:eastAsiaTheme="minorEastAsia" w:hint="cs"/>
          <w:rtl/>
          <w:lang w:eastAsia="zh-CN"/>
        </w:rPr>
        <w:t xml:space="preserve">، وللنظر في الوثائق </w:t>
      </w:r>
      <w:hyperlink r:id="rId15" w:history="1">
        <w:r w:rsidR="004A1EA1" w:rsidRPr="005F5D50">
          <w:rPr>
            <w:rStyle w:val="Hyperlink"/>
            <w:lang w:bidi="ar-SY"/>
          </w:rPr>
          <w:t>C28</w:t>
        </w:r>
      </w:hyperlink>
      <w:r w:rsidR="004A1EA1" w:rsidRPr="005F5D50">
        <w:rPr>
          <w:rtl/>
          <w:lang w:bidi="ar-SY"/>
        </w:rPr>
        <w:t xml:space="preserve"> و</w:t>
      </w:r>
      <w:hyperlink r:id="rId16" w:history="1">
        <w:r w:rsidR="004A1EA1" w:rsidRPr="005F5D50">
          <w:rPr>
            <w:rStyle w:val="Hyperlink"/>
            <w:lang w:bidi="ar-SY"/>
          </w:rPr>
          <w:t>C45</w:t>
        </w:r>
      </w:hyperlink>
      <w:r w:rsidR="004A1EA1" w:rsidRPr="005F5D50">
        <w:rPr>
          <w:rtl/>
          <w:lang w:bidi="ar-SY"/>
        </w:rPr>
        <w:t xml:space="preserve"> و</w:t>
      </w:r>
      <w:hyperlink r:id="rId17" w:history="1">
        <w:r w:rsidR="004A1EA1" w:rsidRPr="005F5D50">
          <w:rPr>
            <w:rStyle w:val="Hyperlink"/>
            <w:lang w:bidi="ar-SY"/>
          </w:rPr>
          <w:t>C70</w:t>
        </w:r>
      </w:hyperlink>
      <w:r w:rsidR="004A1EA1" w:rsidRPr="005F5D50">
        <w:rPr>
          <w:rtl/>
          <w:lang w:bidi="ar-SY"/>
        </w:rPr>
        <w:t xml:space="preserve"> </w:t>
      </w:r>
      <w:r w:rsidR="00476122">
        <w:rPr>
          <w:rFonts w:hint="cs"/>
          <w:rtl/>
          <w:lang w:bidi="ar-EG"/>
        </w:rPr>
        <w:t>و</w:t>
      </w:r>
      <w:hyperlink r:id="rId18" w:history="1">
        <w:r w:rsidR="00476122" w:rsidRPr="005F5D50">
          <w:rPr>
            <w:rStyle w:val="Hyperlink"/>
            <w:lang w:bidi="ar-SY"/>
          </w:rPr>
          <w:t>C128</w:t>
        </w:r>
      </w:hyperlink>
      <w:r w:rsidR="00476122" w:rsidRPr="00476122">
        <w:rPr>
          <w:rStyle w:val="Hyperlink"/>
          <w:rFonts w:hint="cs"/>
          <w:u w:val="none"/>
          <w:rtl/>
          <w:lang w:bidi="ar-SY"/>
        </w:rPr>
        <w:t xml:space="preserve"> </w:t>
      </w:r>
      <w:r w:rsidR="004A1EA1" w:rsidRPr="005F5D50">
        <w:rPr>
          <w:rtl/>
          <w:lang w:bidi="ar-SY"/>
        </w:rPr>
        <w:t>و</w:t>
      </w:r>
      <w:hyperlink r:id="rId19" w:history="1">
        <w:r w:rsidR="004A1EA1" w:rsidRPr="005F5D50">
          <w:rPr>
            <w:rStyle w:val="Hyperlink"/>
            <w:lang w:bidi="ar-SY"/>
          </w:rPr>
          <w:t>C114</w:t>
        </w:r>
      </w:hyperlink>
      <w:r w:rsidR="004A1EA1" w:rsidRPr="005F5D50">
        <w:rPr>
          <w:rFonts w:hint="cs"/>
          <w:rtl/>
          <w:lang w:bidi="ar-SY"/>
        </w:rPr>
        <w:t xml:space="preserve"> و</w:t>
      </w:r>
      <w:hyperlink r:id="rId20" w:history="1">
        <w:r w:rsidR="004A1EA1" w:rsidRPr="005F5D50">
          <w:rPr>
            <w:rStyle w:val="Hyperlink"/>
            <w:lang w:bidi="ar-SY"/>
          </w:rPr>
          <w:t>C117</w:t>
        </w:r>
      </w:hyperlink>
      <w:r w:rsidR="0087328A" w:rsidRPr="005F5D50">
        <w:rPr>
          <w:rStyle w:val="Hyperlink"/>
          <w:rFonts w:hint="cs"/>
          <w:color w:val="auto"/>
          <w:u w:val="none"/>
          <w:rtl/>
          <w:lang w:bidi="ar-SY"/>
        </w:rPr>
        <w:t>، و</w:t>
      </w:r>
      <w:r w:rsidR="004A1EA1" w:rsidRPr="005F5D50">
        <w:rPr>
          <w:rStyle w:val="Hyperlink"/>
          <w:rFonts w:hint="cs"/>
          <w:color w:val="auto"/>
          <w:u w:val="none"/>
          <w:rtl/>
          <w:lang w:bidi="ar-SY"/>
        </w:rPr>
        <w:t xml:space="preserve">كذلك في الوثائق الصادرة عن </w:t>
      </w:r>
      <w:r w:rsidR="004A1EA1" w:rsidRPr="005F5D50">
        <w:rPr>
          <w:color w:val="000000"/>
          <w:rtl/>
        </w:rPr>
        <w:t>الفريق المتخصص المعني بالخدمات المالية الرقمية</w:t>
      </w:r>
      <w:r w:rsidR="0087328A" w:rsidRPr="005F5D50">
        <w:rPr>
          <w:rFonts w:hint="cs"/>
          <w:color w:val="000000"/>
          <w:rtl/>
        </w:rPr>
        <w:t>، من أجل التنسيق فيما بينها والخروج بنص مستقر. بالإضافة إلى ذلك، كان على اجتماع فريق المقرر أن ينظر في بعض مساهمات عام</w:t>
      </w:r>
      <w:r w:rsidR="00824527">
        <w:rPr>
          <w:rFonts w:hint="eastAsia"/>
          <w:color w:val="000000"/>
          <w:rtl/>
        </w:rPr>
        <w:t> </w:t>
      </w:r>
      <w:r w:rsidR="0087328A" w:rsidRPr="005F5D50">
        <w:rPr>
          <w:color w:val="000000"/>
        </w:rPr>
        <w:t>2017</w:t>
      </w:r>
      <w:r w:rsidR="0087328A" w:rsidRPr="005F5D50">
        <w:rPr>
          <w:rFonts w:hint="cs"/>
          <w:color w:val="000000"/>
          <w:rtl/>
          <w:lang w:bidi="ar-LB"/>
        </w:rPr>
        <w:t xml:space="preserve"> بشأن حماية المستهلك، </w:t>
      </w:r>
      <w:r w:rsidR="0043526F" w:rsidRPr="005F5D50">
        <w:rPr>
          <w:rFonts w:hint="cs"/>
          <w:color w:val="000000"/>
          <w:rtl/>
          <w:lang w:bidi="ar-LB"/>
        </w:rPr>
        <w:t>لولا أن هناك</w:t>
      </w:r>
      <w:r w:rsidR="0087328A" w:rsidRPr="005F5D50">
        <w:rPr>
          <w:rFonts w:hint="cs"/>
          <w:color w:val="000000"/>
          <w:rtl/>
          <w:lang w:bidi="ar-LB"/>
        </w:rPr>
        <w:t xml:space="preserve"> بند عمل جديد بشأن هذه المسألة وحدها.</w:t>
      </w:r>
    </w:p>
    <w:p w:rsidR="00F7383E" w:rsidRPr="005F5D50" w:rsidRDefault="0087328A" w:rsidP="003A617E">
      <w:pPr>
        <w:rPr>
          <w:rtl/>
          <w:lang w:bidi="ar-SY"/>
        </w:rPr>
      </w:pPr>
      <w:r w:rsidRPr="005F5D50">
        <w:rPr>
          <w:rFonts w:hint="cs"/>
          <w:rtl/>
          <w:lang w:bidi="ar-SY"/>
        </w:rPr>
        <w:t xml:space="preserve">وتتساءل الولايات المتحدة عن مدى ملاءمة أي توصية بهذا الشأن، وذلك لأسباب </w:t>
      </w:r>
      <w:r w:rsidR="003A617E">
        <w:rPr>
          <w:rFonts w:hint="cs"/>
          <w:rtl/>
          <w:lang w:bidi="ar-SY"/>
        </w:rPr>
        <w:t>عديدة</w:t>
      </w:r>
      <w:r w:rsidRPr="005F5D50">
        <w:rPr>
          <w:rFonts w:hint="cs"/>
          <w:rtl/>
          <w:lang w:bidi="ar-SY"/>
        </w:rPr>
        <w:t xml:space="preserve">. أولاً يبدو أن النص يغطي كيانات </w:t>
      </w:r>
      <w:r w:rsidR="00B26E4E" w:rsidRPr="005F5D50">
        <w:rPr>
          <w:rFonts w:hint="cs"/>
          <w:rtl/>
          <w:lang w:bidi="ar-SY"/>
        </w:rPr>
        <w:t xml:space="preserve">وطنية للأموال المتنقلة لا توفر "الاتصالات"، وبالتالي لا تندرج ضمن اختصاصات الاتحاد الدولي للاتصالات. يضاف إلى ذلك أن المشروع </w:t>
      </w:r>
      <w:r w:rsidR="0043526F" w:rsidRPr="005F5D50">
        <w:rPr>
          <w:rFonts w:hint="cs"/>
          <w:rtl/>
          <w:lang w:bidi="ar-SY"/>
        </w:rPr>
        <w:t>هو تكرار</w:t>
      </w:r>
      <w:r w:rsidR="00B26E4E" w:rsidRPr="005F5D50">
        <w:rPr>
          <w:rFonts w:hint="cs"/>
          <w:rtl/>
          <w:lang w:bidi="ar-SY"/>
        </w:rPr>
        <w:t xml:space="preserve"> للعمل الجاري في الكثير من المحافل </w:t>
      </w:r>
      <w:r w:rsidR="00B26E4E" w:rsidRPr="005F5D50">
        <w:rPr>
          <w:rFonts w:hint="cs"/>
          <w:rtl/>
          <w:lang w:bidi="ar-SY"/>
        </w:rPr>
        <w:lastRenderedPageBreak/>
        <w:t>الأخرى. أخيراً، يمكن للتكاليف التي تتحملها الدول الأعضاء من جراء استخدام مشروع التوصية أن تزيد على الفوائد</w:t>
      </w:r>
      <w:r w:rsidR="00F7383E" w:rsidRPr="005F5D50">
        <w:rPr>
          <w:rFonts w:hint="cs"/>
          <w:rtl/>
          <w:lang w:bidi="ar-SY"/>
        </w:rPr>
        <w:t>.</w:t>
      </w:r>
    </w:p>
    <w:p w:rsidR="00F7383E" w:rsidRPr="005F5D50" w:rsidRDefault="00B26E4E" w:rsidP="0043526F">
      <w:pPr>
        <w:rPr>
          <w:rtl/>
          <w:lang w:bidi="ar-SY"/>
        </w:rPr>
      </w:pPr>
      <w:r w:rsidRPr="005F5D50">
        <w:rPr>
          <w:rFonts w:hint="cs"/>
          <w:i/>
          <w:iCs/>
          <w:rtl/>
          <w:lang w:bidi="ar-SY"/>
        </w:rPr>
        <w:t>أولاً</w:t>
      </w:r>
      <w:r w:rsidRPr="005F5D50">
        <w:rPr>
          <w:rFonts w:hint="cs"/>
          <w:rtl/>
          <w:lang w:bidi="ar-SY"/>
        </w:rPr>
        <w:t xml:space="preserve">، ليس لهذا المشروع </w:t>
      </w:r>
      <w:r w:rsidR="0043526F" w:rsidRPr="005F5D50">
        <w:rPr>
          <w:rFonts w:hint="cs"/>
          <w:rtl/>
          <w:lang w:bidi="ar-SY"/>
        </w:rPr>
        <w:t xml:space="preserve">أي </w:t>
      </w:r>
      <w:r w:rsidRPr="005F5D50">
        <w:rPr>
          <w:rFonts w:hint="cs"/>
          <w:rtl/>
          <w:lang w:bidi="ar-SY"/>
        </w:rPr>
        <w:t xml:space="preserve">صلة بمهمة لجنة الدراسات </w:t>
      </w:r>
      <w:r w:rsidRPr="005F5D50">
        <w:rPr>
          <w:lang w:bidi="ar-SY"/>
        </w:rPr>
        <w:t>3</w:t>
      </w:r>
      <w:r w:rsidRPr="005F5D50">
        <w:rPr>
          <w:rFonts w:hint="cs"/>
          <w:rtl/>
          <w:lang w:bidi="ar-LB"/>
        </w:rPr>
        <w:t xml:space="preserve"> المتمثلة بخدمات الاتصالات الدولية وشبكاتها</w:t>
      </w:r>
      <w:r w:rsidR="00F7383E" w:rsidRPr="005F5D50">
        <w:rPr>
          <w:rFonts w:hint="cs"/>
          <w:rtl/>
          <w:lang w:bidi="ar-SY"/>
        </w:rPr>
        <w:t>.</w:t>
      </w:r>
      <w:r w:rsidRPr="005F5D50">
        <w:rPr>
          <w:rFonts w:hint="cs"/>
          <w:rtl/>
          <w:lang w:bidi="ar-SY"/>
        </w:rPr>
        <w:t xml:space="preserve"> وعلى سبيل المثال، فإن كلمة "دولية" لا تظهر أبداً في مشروع التوصية. بالإضافة إلى ذلك، </w:t>
      </w:r>
      <w:r w:rsidR="00743EF0" w:rsidRPr="005F5D50">
        <w:rPr>
          <w:rFonts w:hint="cs"/>
          <w:rtl/>
          <w:lang w:bidi="ar-SY"/>
        </w:rPr>
        <w:t xml:space="preserve">يقترح المشروع الصادر عن اجتماع فريق المقرر </w:t>
      </w:r>
      <w:r w:rsidR="0043526F" w:rsidRPr="005F5D50">
        <w:rPr>
          <w:rFonts w:hint="cs"/>
          <w:rtl/>
          <w:lang w:bidi="ar-SY"/>
        </w:rPr>
        <w:t>فرض رسوم</w:t>
      </w:r>
      <w:r w:rsidR="00743EF0" w:rsidRPr="005F5D50">
        <w:rPr>
          <w:rFonts w:hint="cs"/>
          <w:rtl/>
          <w:lang w:bidi="ar-SY"/>
        </w:rPr>
        <w:t xml:space="preserve"> تنظيمية للوكلاء/الوسطاء الماليين وربما للمصارف (مثلاً في التعريف الوارد في الفقرتين </w:t>
      </w:r>
      <w:r w:rsidR="00743EF0" w:rsidRPr="005F5D50">
        <w:rPr>
          <w:lang w:bidi="ar-SY"/>
        </w:rPr>
        <w:t>2.6</w:t>
      </w:r>
      <w:r w:rsidR="00743EF0" w:rsidRPr="005F5D50">
        <w:rPr>
          <w:rFonts w:hint="cs"/>
          <w:rtl/>
          <w:lang w:bidi="ar-LB"/>
        </w:rPr>
        <w:t xml:space="preserve"> و</w:t>
      </w:r>
      <w:r w:rsidR="00743EF0" w:rsidRPr="005F5D50">
        <w:rPr>
          <w:lang w:bidi="ar-LB"/>
        </w:rPr>
        <w:t>3.8</w:t>
      </w:r>
      <w:r w:rsidR="00743EF0" w:rsidRPr="005F5D50">
        <w:rPr>
          <w:rFonts w:hint="cs"/>
          <w:rtl/>
          <w:lang w:bidi="ar-LB"/>
        </w:rPr>
        <w:t xml:space="preserve">)، رغم أن مهمة لجان الدراسات التابعة لمكتب تقييس الاتصالات، كما نصت عليها المادة </w:t>
      </w:r>
      <w:r w:rsidR="00743EF0" w:rsidRPr="005F5D50">
        <w:rPr>
          <w:lang w:bidi="ar-LB"/>
        </w:rPr>
        <w:t>14</w:t>
      </w:r>
      <w:r w:rsidR="00743EF0" w:rsidRPr="005F5D50">
        <w:rPr>
          <w:rFonts w:hint="cs"/>
          <w:rtl/>
          <w:lang w:bidi="ar-LB"/>
        </w:rPr>
        <w:t xml:space="preserve"> من الاتفاقية، الرقم </w:t>
      </w:r>
      <w:r w:rsidR="00743EF0" w:rsidRPr="005F5D50">
        <w:rPr>
          <w:lang w:bidi="ar-LB"/>
        </w:rPr>
        <w:t>193</w:t>
      </w:r>
      <w:r w:rsidR="00743EF0" w:rsidRPr="005F5D50">
        <w:rPr>
          <w:rFonts w:hint="cs"/>
          <w:rtl/>
          <w:lang w:bidi="ar-LB"/>
        </w:rPr>
        <w:t xml:space="preserve">، هي "تقييس الاتصالات </w:t>
      </w:r>
      <w:r w:rsidR="00743EF0" w:rsidRPr="005F5D50">
        <w:rPr>
          <w:rFonts w:hint="cs"/>
          <w:i/>
          <w:iCs/>
          <w:rtl/>
          <w:lang w:bidi="ar-LB"/>
        </w:rPr>
        <w:t>على الصعيد العالمي</w:t>
      </w:r>
      <w:r w:rsidR="00743EF0" w:rsidRPr="005F5D50">
        <w:rPr>
          <w:rFonts w:hint="cs"/>
          <w:rtl/>
          <w:lang w:bidi="ar-LB"/>
        </w:rPr>
        <w:t>" (التشديد مضاف). كذلك ت</w:t>
      </w:r>
      <w:r w:rsidR="0043526F" w:rsidRPr="005F5D50">
        <w:rPr>
          <w:rFonts w:hint="cs"/>
          <w:rtl/>
          <w:lang w:bidi="ar-LB"/>
        </w:rPr>
        <w:t>تناول</w:t>
      </w:r>
      <w:r w:rsidR="004A132B" w:rsidRPr="005F5D50">
        <w:rPr>
          <w:rFonts w:hint="cs"/>
          <w:rtl/>
          <w:lang w:bidi="ar-LB"/>
        </w:rPr>
        <w:t xml:space="preserve"> </w:t>
      </w:r>
      <w:r w:rsidR="00743EF0" w:rsidRPr="005F5D50">
        <w:rPr>
          <w:rFonts w:hint="cs"/>
          <w:rtl/>
          <w:lang w:bidi="ar-LB"/>
        </w:rPr>
        <w:t xml:space="preserve">المادة </w:t>
      </w:r>
      <w:r w:rsidR="00743EF0" w:rsidRPr="005F5D50">
        <w:rPr>
          <w:lang w:bidi="ar-LB"/>
        </w:rPr>
        <w:t>1</w:t>
      </w:r>
      <w:r w:rsidR="00743EF0" w:rsidRPr="005F5D50">
        <w:rPr>
          <w:rFonts w:hint="cs"/>
          <w:rtl/>
          <w:lang w:bidi="ar-LB"/>
        </w:rPr>
        <w:t xml:space="preserve"> من الاتفاقية</w:t>
      </w:r>
      <w:r w:rsidR="004A132B" w:rsidRPr="005F5D50">
        <w:rPr>
          <w:rFonts w:hint="cs"/>
          <w:rtl/>
          <w:lang w:bidi="ar-LB"/>
        </w:rPr>
        <w:t xml:space="preserve"> </w:t>
      </w:r>
      <w:r w:rsidR="0043526F" w:rsidRPr="005F5D50">
        <w:rPr>
          <w:rFonts w:hint="cs"/>
          <w:rtl/>
          <w:lang w:bidi="ar-LB"/>
        </w:rPr>
        <w:t>مجال</w:t>
      </w:r>
      <w:r w:rsidR="004A132B" w:rsidRPr="005F5D50">
        <w:rPr>
          <w:rFonts w:hint="cs"/>
          <w:rtl/>
          <w:lang w:bidi="ar-LB"/>
        </w:rPr>
        <w:t xml:space="preserve"> "الاتصالات" التي ت</w:t>
      </w:r>
      <w:r w:rsidR="0043526F" w:rsidRPr="005F5D50">
        <w:rPr>
          <w:rFonts w:hint="cs"/>
          <w:rtl/>
          <w:lang w:bidi="ar-LB"/>
        </w:rPr>
        <w:t>ُ</w:t>
      </w:r>
      <w:r w:rsidR="004A132B" w:rsidRPr="005F5D50">
        <w:rPr>
          <w:rFonts w:hint="cs"/>
          <w:rtl/>
          <w:lang w:bidi="ar-LB"/>
        </w:rPr>
        <w:t xml:space="preserve">عرّف بوصفها عملية إرسال. والمؤسسات المالية والوسطاء الماليون لا يشاركون في عمليات الإرسال. </w:t>
      </w:r>
      <w:r w:rsidR="0043526F" w:rsidRPr="005F5D50">
        <w:rPr>
          <w:rFonts w:hint="cs"/>
          <w:rtl/>
          <w:lang w:bidi="ar-LB"/>
        </w:rPr>
        <w:t>لذلك</w:t>
      </w:r>
      <w:r w:rsidR="004A132B" w:rsidRPr="005F5D50">
        <w:rPr>
          <w:rFonts w:hint="cs"/>
          <w:rtl/>
          <w:lang w:bidi="ar-LB"/>
        </w:rPr>
        <w:t xml:space="preserve">، وبما أن الوثيقة </w:t>
      </w:r>
      <w:hyperlink r:id="rId21" w:history="1">
        <w:r w:rsidR="004A132B" w:rsidRPr="005F5D50">
          <w:rPr>
            <w:rStyle w:val="Hyperlink"/>
            <w:bCs/>
          </w:rPr>
          <w:t>TD13-WP2</w:t>
        </w:r>
      </w:hyperlink>
      <w:r w:rsidR="005F5D50">
        <w:rPr>
          <w:rFonts w:hint="cs"/>
          <w:rtl/>
          <w:lang w:bidi="ar-LB"/>
        </w:rPr>
        <w:t xml:space="preserve"> تغطي كيانات ليست منخرطة في</w:t>
      </w:r>
      <w:r w:rsidR="005F5D50">
        <w:rPr>
          <w:rFonts w:hint="eastAsia"/>
          <w:rtl/>
          <w:lang w:bidi="ar-LB"/>
        </w:rPr>
        <w:t> </w:t>
      </w:r>
      <w:r w:rsidR="004A132B" w:rsidRPr="005F5D50">
        <w:rPr>
          <w:rFonts w:hint="cs"/>
          <w:rtl/>
          <w:lang w:bidi="ar-LB"/>
        </w:rPr>
        <w:t xml:space="preserve">الاتصالات ولا تعمل على الصعيد الدولي بالضرورة، فإنها لا </w:t>
      </w:r>
      <w:r w:rsidR="004A132B" w:rsidRPr="005F5D50">
        <w:rPr>
          <w:rFonts w:hint="cs"/>
          <w:rtl/>
          <w:lang w:bidi="ar-SY"/>
        </w:rPr>
        <w:t>تندرج ضمن اختصاصات الاتحاد الدولي للاتصالات.</w:t>
      </w:r>
      <w:r w:rsidR="00F7383E" w:rsidRPr="005F5D50">
        <w:rPr>
          <w:rStyle w:val="FootnoteReference"/>
          <w:rtl/>
          <w:lang w:bidi="ar-SY"/>
        </w:rPr>
        <w:footnoteReference w:id="1"/>
      </w:r>
    </w:p>
    <w:p w:rsidR="00F7383E" w:rsidRPr="005F5D50" w:rsidRDefault="00D437CE" w:rsidP="00094FDC">
      <w:pPr>
        <w:rPr>
          <w:rtl/>
          <w:lang w:bidi="ar-SY"/>
        </w:rPr>
      </w:pPr>
      <w:r w:rsidRPr="005F5D50">
        <w:rPr>
          <w:rFonts w:hint="cs"/>
          <w:rtl/>
          <w:lang w:bidi="ar-SY"/>
        </w:rPr>
        <w:t xml:space="preserve">صحيح أن الفريق الاستشاري لتقييس الاتصالات </w:t>
      </w:r>
      <w:r w:rsidRPr="005F5D50">
        <w:rPr>
          <w:lang w:bidi="ar-SY"/>
        </w:rPr>
        <w:t>(</w:t>
      </w:r>
      <w:hyperlink r:id="rId22" w:history="1">
        <w:r w:rsidRPr="005F5D50">
          <w:rPr>
            <w:rStyle w:val="Hyperlink"/>
          </w:rPr>
          <w:t>TSAG</w:t>
        </w:r>
      </w:hyperlink>
      <w:r w:rsidRPr="005F5D50">
        <w:rPr>
          <w:lang w:bidi="ar-SY"/>
        </w:rPr>
        <w:t>)</w:t>
      </w:r>
      <w:r w:rsidRPr="005F5D50">
        <w:rPr>
          <w:rFonts w:hint="cs"/>
          <w:rtl/>
          <w:lang w:bidi="ar-LB"/>
        </w:rPr>
        <w:t xml:space="preserve"> قد أسند إلى مختلف لجان الدراسات، بما في ذلك لجنة الدراسات</w:t>
      </w:r>
      <w:r w:rsidR="00672DF2">
        <w:rPr>
          <w:rFonts w:hint="eastAsia"/>
          <w:rtl/>
          <w:lang w:bidi="ar-LB"/>
        </w:rPr>
        <w:t> </w:t>
      </w:r>
      <w:r w:rsidRPr="005F5D50">
        <w:rPr>
          <w:lang w:bidi="ar-LB"/>
        </w:rPr>
        <w:t>3</w:t>
      </w:r>
      <w:r w:rsidRPr="005F5D50">
        <w:rPr>
          <w:rFonts w:hint="cs"/>
          <w:rtl/>
          <w:lang w:bidi="ar-LB"/>
        </w:rPr>
        <w:t xml:space="preserve">، عدة وثائق صادرة عن </w:t>
      </w:r>
      <w:r w:rsidRPr="005F5D50">
        <w:rPr>
          <w:color w:val="000000"/>
          <w:rtl/>
        </w:rPr>
        <w:t>ال</w:t>
      </w:r>
      <w:r w:rsidRPr="005F5D50">
        <w:rPr>
          <w:rFonts w:hint="cs"/>
          <w:color w:val="000000"/>
          <w:rtl/>
        </w:rPr>
        <w:t>أفرقة</w:t>
      </w:r>
      <w:r w:rsidRPr="005F5D50">
        <w:rPr>
          <w:color w:val="000000"/>
          <w:rtl/>
        </w:rPr>
        <w:t xml:space="preserve"> المتخصص</w:t>
      </w:r>
      <w:r w:rsidRPr="005F5D50">
        <w:rPr>
          <w:rFonts w:hint="cs"/>
          <w:color w:val="000000"/>
          <w:rtl/>
        </w:rPr>
        <w:t>ة</w:t>
      </w:r>
      <w:r w:rsidRPr="005F5D50">
        <w:rPr>
          <w:color w:val="000000"/>
          <w:rtl/>
        </w:rPr>
        <w:t xml:space="preserve"> المعني</w:t>
      </w:r>
      <w:r w:rsidRPr="005F5D50">
        <w:rPr>
          <w:rFonts w:hint="cs"/>
          <w:color w:val="000000"/>
          <w:rtl/>
        </w:rPr>
        <w:t>ة</w:t>
      </w:r>
      <w:r w:rsidRPr="005F5D50">
        <w:rPr>
          <w:color w:val="000000"/>
          <w:rtl/>
        </w:rPr>
        <w:t xml:space="preserve"> بالخدمات المالية الرقمية</w:t>
      </w:r>
      <w:r w:rsidRPr="005F5D50">
        <w:rPr>
          <w:rFonts w:hint="cs"/>
          <w:color w:val="000000"/>
          <w:rtl/>
        </w:rPr>
        <w:t xml:space="preserve">. ومع ذلك لا يستطيع </w:t>
      </w:r>
      <w:r w:rsidRPr="005F5D50">
        <w:rPr>
          <w:rFonts w:hint="cs"/>
          <w:rtl/>
          <w:lang w:bidi="ar-SY"/>
        </w:rPr>
        <w:t>الفريق الاستشاري لتقييس الاتصالات أو يوس</w:t>
      </w:r>
      <w:r w:rsidR="00A3744D" w:rsidRPr="005F5D50">
        <w:rPr>
          <w:rFonts w:hint="cs"/>
          <w:rtl/>
          <w:lang w:bidi="ar-SY"/>
        </w:rPr>
        <w:t>ّ</w:t>
      </w:r>
      <w:r w:rsidRPr="005F5D50">
        <w:rPr>
          <w:rFonts w:hint="cs"/>
          <w:rtl/>
          <w:lang w:bidi="ar-SY"/>
        </w:rPr>
        <w:t xml:space="preserve">ع ولاية الاتحاد أو يسهب في الاتفاقية. حتى أن </w:t>
      </w:r>
      <w:hyperlink r:id="rId23" w:history="1">
        <w:r w:rsidRPr="005F5D50">
          <w:rPr>
            <w:rStyle w:val="Hyperlink"/>
            <w:rFonts w:hint="cs"/>
            <w:rtl/>
            <w:lang w:bidi="ar-SY"/>
          </w:rPr>
          <w:t xml:space="preserve">تقرير </w:t>
        </w:r>
        <w:r w:rsidRPr="005F5D50">
          <w:rPr>
            <w:rStyle w:val="Hyperlink"/>
            <w:rtl/>
          </w:rPr>
          <w:t>الفريق المتخصص المعني بالخدمات المالية الرقمية</w:t>
        </w:r>
        <w:r w:rsidR="00094FDC">
          <w:rPr>
            <w:rStyle w:val="Hyperlink"/>
            <w:rFonts w:hint="eastAsia"/>
            <w:rtl/>
          </w:rPr>
          <w:t> </w:t>
        </w:r>
        <w:r w:rsidR="006B1F33" w:rsidRPr="005F5D50">
          <w:rPr>
            <w:rStyle w:val="Hyperlink"/>
          </w:rPr>
          <w:t>(FG-</w:t>
        </w:r>
        <w:r w:rsidRPr="005F5D50">
          <w:rPr>
            <w:rStyle w:val="Hyperlink"/>
          </w:rPr>
          <w:t>DFS)</w:t>
        </w:r>
        <w:r w:rsidRPr="005F5D50">
          <w:rPr>
            <w:rStyle w:val="Hyperlink"/>
            <w:rFonts w:hint="cs"/>
            <w:rtl/>
          </w:rPr>
          <w:t xml:space="preserve"> بشأن تنظيم القطاع المالي الرقمي</w:t>
        </w:r>
      </w:hyperlink>
      <w:r w:rsidR="006B1F33" w:rsidRPr="005F5D50">
        <w:rPr>
          <w:rFonts w:hint="cs"/>
          <w:color w:val="000000"/>
          <w:rtl/>
        </w:rPr>
        <w:t xml:space="preserve"> ركّز على </w:t>
      </w:r>
      <w:r w:rsidR="006B1F33" w:rsidRPr="005F5D50">
        <w:rPr>
          <w:rFonts w:hint="cs"/>
          <w:i/>
          <w:iCs/>
          <w:color w:val="000000"/>
          <w:rtl/>
        </w:rPr>
        <w:t>التعاون</w:t>
      </w:r>
      <w:r w:rsidR="006B1F33" w:rsidRPr="005F5D50">
        <w:rPr>
          <w:rFonts w:hint="cs"/>
          <w:color w:val="000000"/>
          <w:rtl/>
        </w:rPr>
        <w:t xml:space="preserve"> بين </w:t>
      </w:r>
      <w:r w:rsidR="006B1F33" w:rsidRPr="005F5D50">
        <w:rPr>
          <w:color w:val="000000"/>
          <w:rtl/>
        </w:rPr>
        <w:t>هيئات تنظيم الاتصالات والخدمات المالية،</w:t>
      </w:r>
      <w:r w:rsidR="006B1F33" w:rsidRPr="005F5D50">
        <w:rPr>
          <w:rFonts w:hint="cs"/>
          <w:color w:val="000000"/>
          <w:rtl/>
        </w:rPr>
        <w:t xml:space="preserve"> الذي </w:t>
      </w:r>
      <w:r w:rsidR="00A3744D" w:rsidRPr="005F5D50">
        <w:rPr>
          <w:rFonts w:hint="cs"/>
          <w:color w:val="000000"/>
          <w:rtl/>
        </w:rPr>
        <w:t xml:space="preserve">ربما </w:t>
      </w:r>
      <w:r w:rsidR="006B1F33" w:rsidRPr="005F5D50">
        <w:rPr>
          <w:rFonts w:hint="cs"/>
          <w:color w:val="000000"/>
          <w:rtl/>
        </w:rPr>
        <w:t xml:space="preserve">أضفت عليه الطابع الرسمي مذكرة تفاهم لا "تؤثر على استقلالية الأطراف فيه" (الفقرة </w:t>
      </w:r>
      <w:r w:rsidR="006B1F33" w:rsidRPr="005F5D50">
        <w:rPr>
          <w:color w:val="000000"/>
        </w:rPr>
        <w:t>3.3.3</w:t>
      </w:r>
      <w:r w:rsidR="006B1F33" w:rsidRPr="005F5D50">
        <w:rPr>
          <w:rFonts w:hint="cs"/>
          <w:color w:val="000000"/>
          <w:rtl/>
          <w:lang w:bidi="ar-LB"/>
        </w:rPr>
        <w:t xml:space="preserve">). ولا يوجد في </w:t>
      </w:r>
      <w:r w:rsidR="006B1F33" w:rsidRPr="005F5D50">
        <w:rPr>
          <w:rFonts w:hint="cs"/>
          <w:rtl/>
          <w:lang w:bidi="ar-SY"/>
        </w:rPr>
        <w:t xml:space="preserve">تقرير </w:t>
      </w:r>
      <w:r w:rsidR="006B1F33" w:rsidRPr="005F5D50">
        <w:rPr>
          <w:color w:val="000000"/>
          <w:rtl/>
        </w:rPr>
        <w:t>الفريق المتخصص المعني بالخدمات المالية الرقمية</w:t>
      </w:r>
      <w:r w:rsidR="00E94E6F">
        <w:rPr>
          <w:rFonts w:hint="eastAsia"/>
          <w:color w:val="000000"/>
          <w:rtl/>
        </w:rPr>
        <w:t> </w:t>
      </w:r>
      <w:r w:rsidR="006B1F33" w:rsidRPr="005F5D50">
        <w:rPr>
          <w:color w:val="000000"/>
        </w:rPr>
        <w:t>(FG-DFS)</w:t>
      </w:r>
      <w:r w:rsidR="006B1F33" w:rsidRPr="005F5D50">
        <w:rPr>
          <w:rFonts w:hint="cs"/>
          <w:color w:val="000000"/>
          <w:rtl/>
        </w:rPr>
        <w:t xml:space="preserve"> أي طلب ل</w:t>
      </w:r>
      <w:r w:rsidR="00A3744D" w:rsidRPr="005F5D50">
        <w:rPr>
          <w:rFonts w:hint="cs"/>
          <w:color w:val="000000"/>
          <w:rtl/>
        </w:rPr>
        <w:t xml:space="preserve">وضع </w:t>
      </w:r>
      <w:r w:rsidR="006B1F33" w:rsidRPr="005F5D50">
        <w:rPr>
          <w:rFonts w:hint="cs"/>
          <w:color w:val="000000"/>
          <w:rtl/>
        </w:rPr>
        <w:t xml:space="preserve">توصية من لجنة الدراسات </w:t>
      </w:r>
      <w:r w:rsidR="006B1F33" w:rsidRPr="005F5D50">
        <w:rPr>
          <w:color w:val="000000"/>
        </w:rPr>
        <w:t>3</w:t>
      </w:r>
      <w:r w:rsidR="006B1F33" w:rsidRPr="005F5D50">
        <w:rPr>
          <w:rFonts w:hint="cs"/>
          <w:color w:val="000000"/>
          <w:rtl/>
          <w:lang w:bidi="ar-LB"/>
        </w:rPr>
        <w:t>.</w:t>
      </w:r>
    </w:p>
    <w:p w:rsidR="00F7383E" w:rsidRPr="005F5D50" w:rsidRDefault="006B1F33" w:rsidP="00AE0918">
      <w:pPr>
        <w:rPr>
          <w:rtl/>
          <w:lang w:bidi="ar-EG"/>
        </w:rPr>
      </w:pPr>
      <w:r w:rsidRPr="005F5D50">
        <w:rPr>
          <w:rFonts w:hint="cs"/>
          <w:i/>
          <w:iCs/>
          <w:rtl/>
          <w:lang w:bidi="ar-SY"/>
        </w:rPr>
        <w:t>ثانياً</w:t>
      </w:r>
      <w:r w:rsidRPr="005F5D50">
        <w:rPr>
          <w:rFonts w:hint="cs"/>
          <w:rtl/>
          <w:lang w:bidi="ar-SY"/>
        </w:rPr>
        <w:t xml:space="preserve">، إن توصية </w:t>
      </w:r>
      <w:r w:rsidR="00A3744D" w:rsidRPr="005F5D50">
        <w:rPr>
          <w:rFonts w:hint="cs"/>
          <w:rtl/>
          <w:lang w:bidi="ar-SY"/>
        </w:rPr>
        <w:t>صادرة عن</w:t>
      </w:r>
      <w:r w:rsidRPr="005F5D50">
        <w:rPr>
          <w:rFonts w:hint="cs"/>
          <w:rtl/>
          <w:lang w:bidi="ar-SY"/>
        </w:rPr>
        <w:t xml:space="preserve"> قطاع تقييس الاتصالات ستك</w:t>
      </w:r>
      <w:r w:rsidR="00A3744D" w:rsidRPr="005F5D50">
        <w:rPr>
          <w:rFonts w:hint="cs"/>
          <w:rtl/>
          <w:lang w:bidi="ar-SY"/>
        </w:rPr>
        <w:t>ون بمثابة ازدواج للعمل الذي يجري</w:t>
      </w:r>
      <w:r w:rsidRPr="005F5D50">
        <w:rPr>
          <w:rFonts w:hint="cs"/>
          <w:rtl/>
          <w:lang w:bidi="ar-SY"/>
        </w:rPr>
        <w:t xml:space="preserve"> في مكان آخر</w:t>
      </w:r>
      <w:r w:rsidR="00F7383E" w:rsidRPr="005F5D50">
        <w:rPr>
          <w:rFonts w:hint="cs"/>
          <w:rtl/>
          <w:lang w:bidi="ar-SY"/>
        </w:rPr>
        <w:t xml:space="preserve">. </w:t>
      </w:r>
      <w:r w:rsidR="00F7383E" w:rsidRPr="005F5D50">
        <w:rPr>
          <w:rFonts w:hint="cs"/>
          <w:rtl/>
          <w:lang w:bidi="ar-EG"/>
        </w:rPr>
        <w:t>وي</w:t>
      </w:r>
      <w:r w:rsidRPr="005F5D50">
        <w:rPr>
          <w:rFonts w:hint="cs"/>
          <w:rtl/>
          <w:lang w:bidi="ar-EG"/>
        </w:rPr>
        <w:t>هدف</w:t>
      </w:r>
      <w:r w:rsidR="00F7383E" w:rsidRPr="005F5D50">
        <w:rPr>
          <w:rFonts w:hint="cs"/>
          <w:rtl/>
          <w:lang w:bidi="ar-EG"/>
        </w:rPr>
        <w:t xml:space="preserve"> </w:t>
      </w:r>
      <w:hyperlink r:id="rId24" w:history="1">
        <w:r w:rsidR="00F7383E" w:rsidRPr="005F5D50">
          <w:rPr>
            <w:rStyle w:val="Hyperlink"/>
            <w:rFonts w:hint="cs"/>
            <w:rtl/>
          </w:rPr>
          <w:t xml:space="preserve">الحوار العالمي بشأن الشمول المالي الرقمي </w:t>
        </w:r>
        <w:r w:rsidR="00F7383E" w:rsidRPr="005F5D50">
          <w:rPr>
            <w:rStyle w:val="Hyperlink"/>
            <w:lang w:bidi="ar-SY"/>
          </w:rPr>
          <w:t>(GDDFI)</w:t>
        </w:r>
      </w:hyperlink>
      <w:r w:rsidRPr="005F5D50">
        <w:rPr>
          <w:rFonts w:hint="cs"/>
          <w:rtl/>
        </w:rPr>
        <w:t xml:space="preserve"> إلى </w:t>
      </w:r>
      <w:r w:rsidR="00F7383E" w:rsidRPr="005F5D50">
        <w:rPr>
          <w:rFonts w:hint="cs"/>
          <w:rtl/>
        </w:rPr>
        <w:t xml:space="preserve">تعزيز وتشجيع التنظيم التعاوني بين الهيئات التنظيمية المعنية بتكنولوجيا المعلومات والاتصالات والهيئات التنظيمية للقطاعات الأخرى. </w:t>
      </w:r>
      <w:r w:rsidRPr="005F5D50">
        <w:rPr>
          <w:rFonts w:hint="cs"/>
          <w:rtl/>
        </w:rPr>
        <w:t>و</w:t>
      </w:r>
      <w:r w:rsidR="00D97F88" w:rsidRPr="005F5D50">
        <w:rPr>
          <w:rFonts w:hint="cs"/>
          <w:rtl/>
        </w:rPr>
        <w:t>كان ذلك</w:t>
      </w:r>
      <w:r w:rsidRPr="005F5D50">
        <w:rPr>
          <w:rFonts w:hint="cs"/>
          <w:rtl/>
        </w:rPr>
        <w:t xml:space="preserve"> </w:t>
      </w:r>
      <w:r w:rsidR="00D97F88" w:rsidRPr="005F5D50">
        <w:rPr>
          <w:rFonts w:hint="cs"/>
          <w:rtl/>
        </w:rPr>
        <w:t>الموضوع الرئيسي ل</w:t>
      </w:r>
      <w:r w:rsidR="00D97F88" w:rsidRPr="005F5D50">
        <w:rPr>
          <w:color w:val="000000"/>
          <w:rtl/>
        </w:rPr>
        <w:t>لندوة العالمية لمنظمي الاتصالات</w:t>
      </w:r>
      <w:r w:rsidR="00D97F88" w:rsidRPr="005F5D50">
        <w:rPr>
          <w:rFonts w:hint="cs"/>
          <w:color w:val="000000"/>
          <w:rtl/>
        </w:rPr>
        <w:t xml:space="preserve"> لعام</w:t>
      </w:r>
      <w:r w:rsidR="005D1FE1">
        <w:rPr>
          <w:rFonts w:hint="eastAsia"/>
          <w:color w:val="000000"/>
          <w:rtl/>
        </w:rPr>
        <w:t> </w:t>
      </w:r>
      <w:r w:rsidR="00D97F88" w:rsidRPr="005F5D50">
        <w:rPr>
          <w:color w:val="000000"/>
        </w:rPr>
        <w:t>2016</w:t>
      </w:r>
      <w:r w:rsidR="00D97F88" w:rsidRPr="005F5D50">
        <w:rPr>
          <w:rFonts w:hint="cs"/>
          <w:color w:val="000000"/>
          <w:rtl/>
          <w:lang w:bidi="ar-LB"/>
        </w:rPr>
        <w:t>.</w:t>
      </w:r>
      <w:r w:rsidR="00F7383E" w:rsidRPr="005F5D50">
        <w:rPr>
          <w:rFonts w:hint="cs"/>
          <w:rtl/>
        </w:rPr>
        <w:t xml:space="preserve"> </w:t>
      </w:r>
      <w:r w:rsidR="00D97F88" w:rsidRPr="005F5D50">
        <w:rPr>
          <w:rFonts w:hint="cs"/>
          <w:rtl/>
        </w:rPr>
        <w:t>علاوة</w:t>
      </w:r>
      <w:r w:rsidR="00F02642">
        <w:rPr>
          <w:rFonts w:hint="cs"/>
          <w:rtl/>
          <w:lang w:bidi="ar-EG"/>
        </w:rPr>
        <w:t>ً</w:t>
      </w:r>
      <w:r w:rsidR="00D97F88" w:rsidRPr="005F5D50">
        <w:rPr>
          <w:rFonts w:hint="cs"/>
          <w:rtl/>
        </w:rPr>
        <w:t xml:space="preserve"> على ذلك، </w:t>
      </w:r>
      <w:r w:rsidR="00F7383E" w:rsidRPr="005F5D50">
        <w:rPr>
          <w:rFonts w:hint="cs"/>
          <w:rtl/>
          <w:lang w:bidi="ar-EG"/>
        </w:rPr>
        <w:t>وبالاستفادة من التعاون القوي الذي بدأه الفريق المتخصص</w:t>
      </w:r>
      <w:r w:rsidR="00D97F88" w:rsidRPr="005F5D50">
        <w:rPr>
          <w:rFonts w:hint="cs"/>
          <w:rtl/>
          <w:lang w:bidi="ar-EG"/>
        </w:rPr>
        <w:t xml:space="preserve"> </w:t>
      </w:r>
      <w:r w:rsidR="00D97F88" w:rsidRPr="005F5D50">
        <w:rPr>
          <w:color w:val="000000"/>
          <w:rtl/>
        </w:rPr>
        <w:t>المعني بالخدمات المالية الرقمية</w:t>
      </w:r>
      <w:r w:rsidR="00F7383E" w:rsidRPr="005F5D50">
        <w:rPr>
          <w:rFonts w:hint="cs"/>
          <w:rtl/>
          <w:lang w:bidi="ar-EG"/>
        </w:rPr>
        <w:t xml:space="preserve">، </w:t>
      </w:r>
      <w:r w:rsidR="00AA7AB3">
        <w:rPr>
          <w:rFonts w:hint="cs"/>
          <w:rtl/>
          <w:lang w:bidi="ar-EG"/>
        </w:rPr>
        <w:t>أ</w:t>
      </w:r>
      <w:r w:rsidR="000E539D">
        <w:rPr>
          <w:rFonts w:hint="cs"/>
          <w:rtl/>
          <w:lang w:bidi="ar-EG"/>
        </w:rPr>
        <w:t>ُ</w:t>
      </w:r>
      <w:r w:rsidR="00AA7AB3">
        <w:rPr>
          <w:rFonts w:hint="cs"/>
          <w:rtl/>
          <w:lang w:bidi="ar-EG"/>
        </w:rPr>
        <w:t>نشئت</w:t>
      </w:r>
      <w:r w:rsidR="00F7383E" w:rsidRPr="005F5D50">
        <w:rPr>
          <w:rFonts w:hint="cs"/>
          <w:rtl/>
          <w:lang w:bidi="ar-EG"/>
        </w:rPr>
        <w:t xml:space="preserve"> </w:t>
      </w:r>
      <w:hyperlink r:id="rId25" w:history="1">
        <w:r w:rsidR="00F7383E" w:rsidRPr="005F5D50">
          <w:rPr>
            <w:rStyle w:val="Hyperlink"/>
            <w:rFonts w:hint="cs"/>
            <w:rtl/>
            <w:lang w:bidi="ar-EG"/>
          </w:rPr>
          <w:t>مبادرة عالمية للشمول المالي</w:t>
        </w:r>
        <w:r w:rsidR="00F7383E" w:rsidRPr="005F5D50">
          <w:rPr>
            <w:rStyle w:val="Hyperlink"/>
            <w:rFonts w:hint="eastAsia"/>
            <w:rtl/>
            <w:lang w:bidi="ar-EG"/>
          </w:rPr>
          <w:t> </w:t>
        </w:r>
        <w:r w:rsidR="00F7383E" w:rsidRPr="005F5D50">
          <w:rPr>
            <w:rStyle w:val="Hyperlink"/>
            <w:lang w:bidi="ar-EG"/>
          </w:rPr>
          <w:t>(FIGI)</w:t>
        </w:r>
      </w:hyperlink>
      <w:r w:rsidR="00F7383E" w:rsidRPr="005F5D50">
        <w:rPr>
          <w:rFonts w:hint="cs"/>
          <w:rtl/>
          <w:lang w:bidi="ar-EG"/>
        </w:rPr>
        <w:t xml:space="preserve"> لتكون تعاوناً مشتركاً بين الاتحاد ومؤسسة </w:t>
      </w:r>
      <w:r w:rsidR="00F7383E" w:rsidRPr="005F5D50">
        <w:t>Bill &amp; Melinda Gates</w:t>
      </w:r>
      <w:r w:rsidR="00F7383E" w:rsidRPr="005F5D50">
        <w:rPr>
          <w:rFonts w:hint="cs"/>
          <w:rtl/>
          <w:lang w:bidi="ar-EG"/>
        </w:rPr>
        <w:t>، و</w:t>
      </w:r>
      <w:hyperlink r:id="rId26" w:history="1">
        <w:r w:rsidR="00F7383E" w:rsidRPr="005F5D50">
          <w:rPr>
            <w:rStyle w:val="Hyperlink"/>
            <w:rFonts w:hint="cs"/>
            <w:rtl/>
            <w:lang w:bidi="ar-EG"/>
          </w:rPr>
          <w:t>البنك الدولي</w:t>
        </w:r>
      </w:hyperlink>
      <w:r w:rsidR="00F7383E" w:rsidRPr="005F5D50">
        <w:rPr>
          <w:rFonts w:hint="cs"/>
          <w:rtl/>
          <w:lang w:bidi="ar-EG"/>
        </w:rPr>
        <w:t xml:space="preserve">، </w:t>
      </w:r>
      <w:hyperlink r:id="rId27" w:history="1">
        <w:r w:rsidR="00F7383E" w:rsidRPr="005F5D50">
          <w:rPr>
            <w:rStyle w:val="Hyperlink"/>
            <w:rFonts w:hint="cs"/>
            <w:color w:val="auto"/>
            <w:u w:val="none"/>
            <w:rtl/>
            <w:lang w:bidi="ar-EG"/>
          </w:rPr>
          <w:t>و</w:t>
        </w:r>
        <w:r w:rsidR="00F7383E" w:rsidRPr="005F5D50">
          <w:rPr>
            <w:rStyle w:val="Hyperlink"/>
            <w:rFonts w:hint="cs"/>
            <w:rtl/>
            <w:lang w:bidi="ar-EG"/>
          </w:rPr>
          <w:t xml:space="preserve">اللجنة المعنية </w:t>
        </w:r>
        <w:r w:rsidR="00F7383E" w:rsidRPr="005F5D50">
          <w:rPr>
            <w:rStyle w:val="Hyperlink"/>
            <w:rtl/>
          </w:rPr>
          <w:t xml:space="preserve">بالمدفوعات </w:t>
        </w:r>
        <w:r w:rsidR="00F7383E" w:rsidRPr="005F5D50">
          <w:rPr>
            <w:rStyle w:val="Hyperlink"/>
            <w:rFonts w:hint="cs"/>
            <w:rtl/>
          </w:rPr>
          <w:t>والبنى</w:t>
        </w:r>
        <w:r w:rsidR="00F7383E" w:rsidRPr="005F5D50">
          <w:rPr>
            <w:rStyle w:val="Hyperlink"/>
            <w:rtl/>
          </w:rPr>
          <w:t xml:space="preserve"> التحتية للسوق</w:t>
        </w:r>
        <w:r w:rsidR="00F7383E" w:rsidRPr="005F5D50">
          <w:rPr>
            <w:rStyle w:val="Hyperlink"/>
            <w:rFonts w:hint="eastAsia"/>
            <w:u w:val="none"/>
            <w:rtl/>
            <w:lang w:bidi="ar-EG"/>
          </w:rPr>
          <w:t> </w:t>
        </w:r>
      </w:hyperlink>
      <w:r w:rsidR="00F7383E" w:rsidRPr="005F5D50">
        <w:t>(CPMI)</w:t>
      </w:r>
      <w:r w:rsidR="00F7383E" w:rsidRPr="005F5D50">
        <w:rPr>
          <w:rtl/>
        </w:rPr>
        <w:t xml:space="preserve"> </w:t>
      </w:r>
      <w:r w:rsidR="00A3744D" w:rsidRPr="005F5D50">
        <w:rPr>
          <w:rFonts w:hint="cs"/>
          <w:rtl/>
        </w:rPr>
        <w:t xml:space="preserve">التابعة </w:t>
      </w:r>
      <w:hyperlink r:id="rId28" w:history="1">
        <w:r w:rsidR="00F7383E" w:rsidRPr="005F5D50">
          <w:rPr>
            <w:rStyle w:val="Hyperlink"/>
            <w:rFonts w:hint="cs"/>
            <w:rtl/>
            <w:lang w:bidi="ar-EG"/>
          </w:rPr>
          <w:t>لمصرف التسويات الدولية</w:t>
        </w:r>
      </w:hyperlink>
      <w:r w:rsidR="00F7383E" w:rsidRPr="005F5D50">
        <w:rPr>
          <w:rFonts w:hint="cs"/>
          <w:rtl/>
          <w:lang w:bidi="ar-EG"/>
        </w:rPr>
        <w:t xml:space="preserve">، </w:t>
      </w:r>
      <w:r w:rsidR="00AE0918">
        <w:rPr>
          <w:rFonts w:hint="cs"/>
          <w:rtl/>
          <w:lang w:bidi="ar-EG"/>
        </w:rPr>
        <w:t>للتعجيل بتحقيق</w:t>
      </w:r>
      <w:r w:rsidR="00F7383E" w:rsidRPr="005F5D50">
        <w:rPr>
          <w:rFonts w:hint="cs"/>
          <w:rtl/>
          <w:lang w:bidi="ar-EG"/>
        </w:rPr>
        <w:t xml:space="preserve"> النفاذ الشامل </w:t>
      </w:r>
      <w:r w:rsidR="00AE0918">
        <w:rPr>
          <w:rFonts w:hint="cs"/>
          <w:rtl/>
          <w:lang w:bidi="ar-EG"/>
        </w:rPr>
        <w:t>إلى الخدمات</w:t>
      </w:r>
      <w:r w:rsidR="00F7383E" w:rsidRPr="005F5D50">
        <w:rPr>
          <w:rFonts w:hint="cs"/>
          <w:rtl/>
          <w:lang w:bidi="ar-EG"/>
        </w:rPr>
        <w:t xml:space="preserve"> المالية خلال السنوات الثلاث التالية </w:t>
      </w:r>
      <w:r w:rsidR="00F7383E" w:rsidRPr="005F5D50">
        <w:t>(2020-2017)</w:t>
      </w:r>
      <w:r w:rsidR="00F7383E" w:rsidRPr="005F5D50">
        <w:rPr>
          <w:rFonts w:hint="cs"/>
          <w:rtl/>
          <w:lang w:bidi="ar-EG"/>
        </w:rPr>
        <w:t xml:space="preserve">. </w:t>
      </w:r>
      <w:r w:rsidR="00AE0918">
        <w:rPr>
          <w:rFonts w:hint="cs"/>
          <w:rtl/>
          <w:lang w:bidi="ar-EG"/>
        </w:rPr>
        <w:t>وسيجري التحقق في إطار</w:t>
      </w:r>
      <w:r w:rsidR="00F7383E" w:rsidRPr="005F5D50">
        <w:rPr>
          <w:rFonts w:hint="cs"/>
          <w:rtl/>
          <w:lang w:bidi="ar-EG"/>
        </w:rPr>
        <w:t xml:space="preserve"> المبادرة </w:t>
      </w:r>
      <w:r w:rsidR="00AE0918">
        <w:rPr>
          <w:rFonts w:hint="cs"/>
          <w:rtl/>
          <w:lang w:bidi="ar-EG"/>
        </w:rPr>
        <w:t>من</w:t>
      </w:r>
      <w:r w:rsidR="00F7383E" w:rsidRPr="005F5D50">
        <w:rPr>
          <w:rFonts w:hint="cs"/>
          <w:rtl/>
          <w:lang w:bidi="ar-EG"/>
        </w:rPr>
        <w:t xml:space="preserve"> تنفيذ التوصيات المقدمة من الفريق المتخصص، </w:t>
      </w:r>
      <w:r w:rsidR="00F7383E" w:rsidRPr="00472E25">
        <w:rPr>
          <w:rFonts w:hint="cs"/>
          <w:rtl/>
          <w:lang w:bidi="ar-EG"/>
        </w:rPr>
        <w:t xml:space="preserve">وتقرير </w:t>
      </w:r>
      <w:hyperlink r:id="rId29" w:history="1">
        <w:r w:rsidR="00F7383E" w:rsidRPr="00472E25">
          <w:rPr>
            <w:rStyle w:val="Hyperlink"/>
            <w:rFonts w:hint="cs"/>
            <w:rtl/>
            <w:lang w:bidi="ar-EG"/>
          </w:rPr>
          <w:t>البنك الدولي</w:t>
        </w:r>
      </w:hyperlink>
      <w:r w:rsidR="00F7383E" w:rsidRPr="005F5D50">
        <w:rPr>
          <w:rFonts w:hint="cs"/>
          <w:rtl/>
          <w:lang w:bidi="ar-EG"/>
        </w:rPr>
        <w:t xml:space="preserve"> </w:t>
      </w:r>
      <w:hyperlink r:id="rId30" w:history="1">
        <w:r w:rsidR="00F7383E" w:rsidRPr="005F5D50">
          <w:rPr>
            <w:rStyle w:val="Hyperlink"/>
            <w:rFonts w:hint="cs"/>
            <w:rtl/>
            <w:lang w:bidi="ar-EG"/>
          </w:rPr>
          <w:t>ومصرف التسويات الدولية عن جوانب الدفع في</w:t>
        </w:r>
        <w:r w:rsidR="00F7383E" w:rsidRPr="005F5D50">
          <w:rPr>
            <w:rStyle w:val="Hyperlink"/>
            <w:rFonts w:hint="eastAsia"/>
            <w:rtl/>
            <w:lang w:bidi="ar-EG"/>
          </w:rPr>
          <w:t> </w:t>
        </w:r>
        <w:r w:rsidR="00F7383E" w:rsidRPr="005F5D50">
          <w:rPr>
            <w:rStyle w:val="Hyperlink"/>
            <w:rFonts w:hint="cs"/>
            <w:rtl/>
            <w:lang w:bidi="ar-EG"/>
          </w:rPr>
          <w:t xml:space="preserve">الشمول المالي </w:t>
        </w:r>
        <w:r w:rsidR="00F7383E" w:rsidRPr="005F5D50">
          <w:rPr>
            <w:rStyle w:val="Hyperlink"/>
          </w:rPr>
          <w:t>(PAFI)</w:t>
        </w:r>
      </w:hyperlink>
      <w:r w:rsidR="00F7383E" w:rsidRPr="005F5D50">
        <w:rPr>
          <w:rFonts w:hint="cs"/>
          <w:rtl/>
          <w:lang w:bidi="ar-EG"/>
        </w:rPr>
        <w:t xml:space="preserve">، ومشروع المستوى الأول لمؤسسة </w:t>
      </w:r>
      <w:r w:rsidR="00F7383E" w:rsidRPr="005F5D50">
        <w:t>Bill &amp; Melinda Gates</w:t>
      </w:r>
      <w:r w:rsidR="00F7383E" w:rsidRPr="005F5D50">
        <w:rPr>
          <w:rFonts w:hint="cs"/>
          <w:rtl/>
          <w:lang w:bidi="ar-EG"/>
        </w:rPr>
        <w:t>.</w:t>
      </w:r>
    </w:p>
    <w:p w:rsidR="00F7383E" w:rsidRPr="005F5D50" w:rsidRDefault="00D97F88" w:rsidP="00F21579">
      <w:pPr>
        <w:rPr>
          <w:rtl/>
          <w:lang w:bidi="ar-EG"/>
        </w:rPr>
      </w:pPr>
      <w:r w:rsidRPr="005F5D50">
        <w:rPr>
          <w:rFonts w:hint="cs"/>
          <w:rtl/>
          <w:lang w:bidi="ar-EG"/>
        </w:rPr>
        <w:t>وي</w:t>
      </w:r>
      <w:r w:rsidR="00A3744D" w:rsidRPr="005F5D50">
        <w:rPr>
          <w:rFonts w:hint="cs"/>
          <w:rtl/>
          <w:lang w:bidi="ar-EG"/>
        </w:rPr>
        <w:t>ُ</w:t>
      </w:r>
      <w:r w:rsidRPr="005F5D50">
        <w:rPr>
          <w:rFonts w:hint="cs"/>
          <w:rtl/>
          <w:lang w:bidi="ar-EG"/>
        </w:rPr>
        <w:t>ع</w:t>
      </w:r>
      <w:r w:rsidR="00A3744D" w:rsidRPr="005F5D50">
        <w:rPr>
          <w:rFonts w:hint="cs"/>
          <w:rtl/>
          <w:lang w:bidi="ar-EG"/>
        </w:rPr>
        <w:t>دّ</w:t>
      </w:r>
      <w:r w:rsidRPr="005F5D50">
        <w:rPr>
          <w:rFonts w:hint="cs"/>
          <w:rtl/>
          <w:lang w:bidi="ar-EG"/>
        </w:rPr>
        <w:t xml:space="preserve"> البنك الدولي </w:t>
      </w:r>
      <w:hyperlink r:id="rId31" w:history="1">
        <w:r w:rsidRPr="005F5D50">
          <w:rPr>
            <w:rStyle w:val="Hyperlink"/>
            <w:rFonts w:hint="cs"/>
            <w:color w:val="auto"/>
            <w:u w:val="none"/>
            <w:rtl/>
            <w:lang w:bidi="ar-EG"/>
          </w:rPr>
          <w:t xml:space="preserve">واللجنة المعنية </w:t>
        </w:r>
        <w:r w:rsidRPr="005F5D50">
          <w:rPr>
            <w:rStyle w:val="Hyperlink"/>
            <w:color w:val="auto"/>
            <w:u w:val="none"/>
            <w:rtl/>
          </w:rPr>
          <w:t xml:space="preserve">بالمدفوعات </w:t>
        </w:r>
        <w:r w:rsidRPr="005F5D50">
          <w:rPr>
            <w:rStyle w:val="Hyperlink"/>
            <w:rFonts w:hint="cs"/>
            <w:color w:val="auto"/>
            <w:u w:val="none"/>
            <w:rtl/>
          </w:rPr>
          <w:t>والبنى</w:t>
        </w:r>
        <w:r w:rsidRPr="005F5D50">
          <w:rPr>
            <w:rStyle w:val="Hyperlink"/>
            <w:color w:val="auto"/>
            <w:u w:val="none"/>
            <w:rtl/>
          </w:rPr>
          <w:t xml:space="preserve"> التحتية للسوق</w:t>
        </w:r>
        <w:r w:rsidRPr="005F5D50">
          <w:rPr>
            <w:rStyle w:val="Hyperlink"/>
            <w:rFonts w:hint="eastAsia"/>
            <w:color w:val="auto"/>
            <w:u w:val="none"/>
            <w:rtl/>
            <w:lang w:bidi="ar-EG"/>
          </w:rPr>
          <w:t> </w:t>
        </w:r>
      </w:hyperlink>
      <w:r w:rsidRPr="005F5D50">
        <w:t>(CPMI)</w:t>
      </w:r>
      <w:r w:rsidRPr="005F5D50">
        <w:rPr>
          <w:rFonts w:hint="cs"/>
          <w:rtl/>
          <w:lang w:bidi="ar-EG"/>
        </w:rPr>
        <w:t xml:space="preserve"> من الخبراء الماليين. وعند الاقتضاء، يعتبر قطاع تقييس الاتصالات المكان الأنسب لاقتراح أفضل الممارسات لمشغلي الشبكات. وستعقد </w:t>
      </w:r>
      <w:hyperlink r:id="rId32" w:history="1">
        <w:r w:rsidRPr="005F5D50">
          <w:rPr>
            <w:rStyle w:val="Hyperlink"/>
            <w:rFonts w:hint="cs"/>
            <w:rtl/>
            <w:lang w:bidi="ar-EG"/>
          </w:rPr>
          <w:t>المبادرة العالمية للشمول المالي</w:t>
        </w:r>
        <w:r w:rsidRPr="005F5D50">
          <w:rPr>
            <w:rStyle w:val="Hyperlink"/>
            <w:rFonts w:hint="eastAsia"/>
            <w:rtl/>
            <w:lang w:bidi="ar-EG"/>
          </w:rPr>
          <w:t> </w:t>
        </w:r>
        <w:r w:rsidRPr="005F5D50">
          <w:rPr>
            <w:rStyle w:val="Hyperlink"/>
            <w:lang w:bidi="ar-EG"/>
          </w:rPr>
          <w:t>(FIGI)</w:t>
        </w:r>
        <w:r w:rsidRPr="005F5D50">
          <w:rPr>
            <w:rStyle w:val="Hyperlink"/>
            <w:rFonts w:hint="cs"/>
            <w:rtl/>
            <w:lang w:bidi="ar-EG"/>
          </w:rPr>
          <w:t xml:space="preserve"> ندوات سنوية بشأن هذه القضايا لأعضاء الاتحاد الدولي للاتصالات</w:t>
        </w:r>
      </w:hyperlink>
      <w:r w:rsidRPr="005F5D50">
        <w:rPr>
          <w:rFonts w:hint="cs"/>
          <w:rtl/>
          <w:lang w:bidi="ar-EG"/>
        </w:rPr>
        <w:t>.</w:t>
      </w:r>
      <w:r w:rsidR="00AF0CBF" w:rsidRPr="005F5D50">
        <w:rPr>
          <w:rFonts w:hint="cs"/>
          <w:rtl/>
          <w:lang w:bidi="ar-EG"/>
        </w:rPr>
        <w:t xml:space="preserve"> ف</w:t>
      </w:r>
      <w:r w:rsidRPr="005F5D50">
        <w:rPr>
          <w:rFonts w:hint="cs"/>
          <w:rtl/>
          <w:lang w:bidi="ar-EG"/>
        </w:rPr>
        <w:t xml:space="preserve">في الأوقات التي تشهد </w:t>
      </w:r>
      <w:r w:rsidR="00AF0CBF" w:rsidRPr="005F5D50">
        <w:rPr>
          <w:rFonts w:hint="cs"/>
          <w:rtl/>
          <w:lang w:bidi="ar-EG"/>
        </w:rPr>
        <w:t>تقشفاً ف</w:t>
      </w:r>
      <w:r w:rsidR="005F5D50">
        <w:rPr>
          <w:rFonts w:hint="cs"/>
          <w:rtl/>
          <w:lang w:bidi="ar-EG"/>
        </w:rPr>
        <w:t>ي الميزانية، وبدلاً من العمل في</w:t>
      </w:r>
      <w:r w:rsidR="005F5D50">
        <w:rPr>
          <w:rFonts w:hint="eastAsia"/>
          <w:rtl/>
          <w:lang w:bidi="ar-EG"/>
        </w:rPr>
        <w:t> </w:t>
      </w:r>
      <w:r w:rsidR="00AF0CBF" w:rsidRPr="005F5D50">
        <w:rPr>
          <w:rFonts w:hint="cs"/>
          <w:rtl/>
          <w:lang w:bidi="ar-EG"/>
        </w:rPr>
        <w:t>مجالات تتجاوز حدود ولاية وخبرة قطاع تقييس الاتصالات وتكر</w:t>
      </w:r>
      <w:r w:rsidR="00472E25">
        <w:rPr>
          <w:rFonts w:hint="cs"/>
          <w:rtl/>
          <w:lang w:bidi="ar-EG"/>
        </w:rPr>
        <w:t>ا</w:t>
      </w:r>
      <w:r w:rsidR="00AF0CBF" w:rsidRPr="005F5D50">
        <w:rPr>
          <w:rFonts w:hint="cs"/>
          <w:rtl/>
          <w:lang w:bidi="ar-EG"/>
        </w:rPr>
        <w:t xml:space="preserve">ر عمل الآخرين، تتساءل الولايات المتحدة </w:t>
      </w:r>
      <w:r w:rsidR="00AF0CBF" w:rsidRPr="005F5D50">
        <w:rPr>
          <w:rFonts w:hint="cs"/>
          <w:rtl/>
          <w:lang w:bidi="ar-LB"/>
        </w:rPr>
        <w:t xml:space="preserve">عما </w:t>
      </w:r>
      <w:r w:rsidR="00AF0CBF" w:rsidRPr="005F5D50">
        <w:rPr>
          <w:rFonts w:hint="cs"/>
          <w:rtl/>
          <w:lang w:bidi="ar-EG"/>
        </w:rPr>
        <w:t>إذا كان من المفيد أكثر للجنة الدراسات</w:t>
      </w:r>
      <w:r w:rsidR="00F21579">
        <w:rPr>
          <w:rFonts w:hint="eastAsia"/>
          <w:rtl/>
          <w:lang w:bidi="ar-EG"/>
        </w:rPr>
        <w:t> </w:t>
      </w:r>
      <w:r w:rsidR="00AF0CBF" w:rsidRPr="005F5D50">
        <w:rPr>
          <w:lang w:bidi="ar-EG"/>
        </w:rPr>
        <w:t>3</w:t>
      </w:r>
      <w:r w:rsidR="00AF0CBF" w:rsidRPr="005F5D50">
        <w:rPr>
          <w:rFonts w:hint="cs"/>
          <w:rtl/>
          <w:lang w:bidi="ar-LB"/>
        </w:rPr>
        <w:t xml:space="preserve"> أن ت</w:t>
      </w:r>
      <w:r w:rsidR="00AF0CBF" w:rsidRPr="005F5D50">
        <w:rPr>
          <w:rFonts w:hint="cs"/>
          <w:rtl/>
          <w:lang w:bidi="ar-EG"/>
        </w:rPr>
        <w:t>تعاون مع قطاع تنمية الاتصالات ومع العم</w:t>
      </w:r>
      <w:r w:rsidR="00186FFD">
        <w:rPr>
          <w:rFonts w:hint="cs"/>
          <w:rtl/>
          <w:lang w:bidi="ar-EG"/>
        </w:rPr>
        <w:t>ل الذي يجري بالفعل في مكان آخر.</w:t>
      </w:r>
    </w:p>
    <w:p w:rsidR="00F7383E" w:rsidRPr="005F5D50" w:rsidRDefault="00AF0CBF" w:rsidP="00186FFD">
      <w:pPr>
        <w:rPr>
          <w:rtl/>
          <w:lang w:bidi="ar-EG"/>
        </w:rPr>
      </w:pPr>
      <w:r w:rsidRPr="005F5D50">
        <w:rPr>
          <w:rFonts w:hint="cs"/>
          <w:i/>
          <w:iCs/>
          <w:rtl/>
          <w:lang w:bidi="ar-EG"/>
        </w:rPr>
        <w:t>ثالثاً</w:t>
      </w:r>
      <w:r w:rsidRPr="005F5D50">
        <w:rPr>
          <w:rFonts w:hint="cs"/>
          <w:rtl/>
          <w:lang w:bidi="ar-EG"/>
        </w:rPr>
        <w:t xml:space="preserve">، وبالنظر إلى ازدواجية العمل، قد يؤدي مشروع التوصية إلى زيادة تكاليف الأموال المتنقلة. فقد تكون بعض المدفوعات التي تم تناولها هنا صغيرة أو حتى </w:t>
      </w:r>
      <w:r w:rsidR="005F4364" w:rsidRPr="005F5D50">
        <w:rPr>
          <w:rFonts w:hint="cs"/>
          <w:rtl/>
          <w:lang w:bidi="ar-EG"/>
        </w:rPr>
        <w:t>"</w:t>
      </w:r>
      <w:r w:rsidRPr="005F5D50">
        <w:rPr>
          <w:rFonts w:hint="cs"/>
          <w:rtl/>
          <w:lang w:bidi="ar-EG"/>
        </w:rPr>
        <w:t>مدفوعات صغرى</w:t>
      </w:r>
      <w:r w:rsidR="005F4364" w:rsidRPr="005F5D50">
        <w:rPr>
          <w:rFonts w:hint="cs"/>
          <w:rtl/>
          <w:lang w:bidi="ar-EG"/>
        </w:rPr>
        <w:t>"</w:t>
      </w:r>
      <w:r w:rsidRPr="005F5D50">
        <w:rPr>
          <w:rFonts w:hint="cs"/>
          <w:rtl/>
          <w:lang w:bidi="ar-EG"/>
        </w:rPr>
        <w:t xml:space="preserve"> كما ورد في المقدمة.</w:t>
      </w:r>
      <w:r w:rsidR="005F4364" w:rsidRPr="005F5D50">
        <w:rPr>
          <w:rFonts w:hint="cs"/>
          <w:rtl/>
          <w:lang w:bidi="ar-EG"/>
        </w:rPr>
        <w:t xml:space="preserve"> ومع ذلك فقد تكون الصعوبات في وضع نموذج للتكاليف والإشراف على تنظيم الوسطاء الماليين والبنوك أكبر من الفوائد الكبيرة التي يوفرها الدفع بالهواتف المتنقلة للمستهلكين</w:t>
      </w:r>
      <w:r w:rsidR="00F7383E" w:rsidRPr="005F5D50">
        <w:rPr>
          <w:rFonts w:hint="cs"/>
          <w:rtl/>
          <w:lang w:bidi="ar-EG"/>
        </w:rPr>
        <w:t>.</w:t>
      </w:r>
      <w:r w:rsidR="005F4364" w:rsidRPr="005F5D50">
        <w:rPr>
          <w:rFonts w:hint="cs"/>
          <w:rtl/>
          <w:lang w:bidi="ar-EG"/>
        </w:rPr>
        <w:t xml:space="preserve"> وقبل المضيّ في</w:t>
      </w:r>
      <w:r w:rsidR="00186FFD">
        <w:rPr>
          <w:rFonts w:hint="eastAsia"/>
          <w:rtl/>
          <w:lang w:bidi="ar-EG"/>
        </w:rPr>
        <w:t> </w:t>
      </w:r>
      <w:r w:rsidR="005F4364" w:rsidRPr="005F5D50">
        <w:rPr>
          <w:rFonts w:hint="cs"/>
          <w:rtl/>
          <w:lang w:bidi="ar-EG"/>
        </w:rPr>
        <w:t>تحديد توصية، نقترح البحث عما إذا كانت الفوائد تتجاوز التكاليف.</w:t>
      </w:r>
    </w:p>
    <w:p w:rsidR="00977C13" w:rsidRPr="005F5D50" w:rsidRDefault="00F7383E" w:rsidP="0056355A">
      <w:pPr>
        <w:rPr>
          <w:rtl/>
          <w:lang w:bidi="ar-SY"/>
        </w:rPr>
      </w:pPr>
      <w:r w:rsidRPr="005F5D50">
        <w:rPr>
          <w:rtl/>
        </w:rPr>
        <w:t>وتطلب الولايات المتحدة إتاحة هذه المساهمة لعامة الجمهور دون قيود</w:t>
      </w:r>
      <w:r w:rsidR="0056355A">
        <w:rPr>
          <w:rFonts w:hint="cs"/>
          <w:rtl/>
          <w:lang w:bidi="ar-SY"/>
        </w:rPr>
        <w:t>.</w:t>
      </w:r>
    </w:p>
    <w:p w:rsidR="00F7383E" w:rsidRDefault="00F7383E" w:rsidP="00F7383E">
      <w:pPr>
        <w:spacing w:before="600"/>
        <w:jc w:val="center"/>
        <w:rPr>
          <w:rtl/>
          <w:lang w:bidi="ar-SY"/>
        </w:rPr>
      </w:pPr>
      <w:r w:rsidRPr="005F5D50">
        <w:rPr>
          <w:rFonts w:hint="cs"/>
          <w:rtl/>
          <w:lang w:bidi="ar-SY"/>
        </w:rPr>
        <w:t>___________</w:t>
      </w:r>
      <w:bookmarkStart w:id="8" w:name="_GoBack"/>
      <w:bookmarkEnd w:id="8"/>
    </w:p>
    <w:sectPr w:rsidR="00F7383E" w:rsidSect="008B5B5D">
      <w:headerReference w:type="default" r:id="rId33"/>
      <w:footerReference w:type="first" r:id="rId3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74" w:rsidRDefault="00AB4774" w:rsidP="00E07379">
      <w:pPr>
        <w:spacing w:before="0" w:line="240" w:lineRule="auto"/>
      </w:pPr>
      <w:r>
        <w:separator/>
      </w:r>
    </w:p>
  </w:endnote>
  <w:endnote w:type="continuationSeparator" w:id="0">
    <w:p w:rsidR="00AB4774" w:rsidRDefault="00AB477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79" w:rsidRPr="00F7383E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74" w:rsidRDefault="00AB4774" w:rsidP="00E07379">
      <w:pPr>
        <w:spacing w:before="0" w:line="240" w:lineRule="auto"/>
      </w:pPr>
      <w:r>
        <w:separator/>
      </w:r>
    </w:p>
  </w:footnote>
  <w:footnote w:type="continuationSeparator" w:id="0">
    <w:p w:rsidR="00AB4774" w:rsidRDefault="00AB4774" w:rsidP="00E07379">
      <w:pPr>
        <w:spacing w:before="0" w:line="240" w:lineRule="auto"/>
      </w:pPr>
      <w:r>
        <w:continuationSeparator/>
      </w:r>
    </w:p>
  </w:footnote>
  <w:footnote w:id="1">
    <w:p w:rsidR="00F7383E" w:rsidRDefault="00F7383E" w:rsidP="001C5620">
      <w:pPr>
        <w:pStyle w:val="FootnoteText"/>
      </w:pPr>
      <w:r w:rsidRPr="005F5D50">
        <w:rPr>
          <w:rStyle w:val="FootnoteReference"/>
        </w:rPr>
        <w:footnoteRef/>
      </w:r>
      <w:r>
        <w:rPr>
          <w:rtl/>
        </w:rPr>
        <w:tab/>
      </w:r>
      <w:r w:rsidR="004A132B" w:rsidRPr="00D437CE">
        <w:rPr>
          <w:rFonts w:hint="cs"/>
          <w:rtl/>
        </w:rPr>
        <w:t>هذه القضايا هي من المسائل التي يضطلع بها المشرفون على المصارف في الدول الأعضاء</w:t>
      </w:r>
      <w:r w:rsidR="00D437CE" w:rsidRPr="00D437CE">
        <w:rPr>
          <w:rFonts w:hint="cs"/>
          <w:rtl/>
        </w:rPr>
        <w:t xml:space="preserve"> بموجب قوانينها الوطنية، وتختلف من بلد لآخر. وبالفعل، فإن التعريف بحد ذاته قد يكون </w:t>
      </w:r>
      <w:r w:rsidR="00A3744D">
        <w:rPr>
          <w:rFonts w:hint="cs"/>
          <w:rtl/>
        </w:rPr>
        <w:t>واسع النطاق</w:t>
      </w:r>
      <w:r w:rsidR="00D437CE" w:rsidRPr="00D437CE">
        <w:rPr>
          <w:rFonts w:hint="cs"/>
          <w:rtl/>
        </w:rPr>
        <w:t>. ومع أنه يغطي الخدمات المالية المقدمة عبر مشغلي الشبكات المتنقلة، فإن الإشارة إلى "مشغّل المنصة" و"المصرف بنفسه" ت</w:t>
      </w:r>
      <w:r w:rsidR="00A3744D">
        <w:rPr>
          <w:rFonts w:hint="cs"/>
          <w:rtl/>
        </w:rPr>
        <w:t>وحي</w:t>
      </w:r>
      <w:r w:rsidR="00D437CE" w:rsidRPr="00D437CE">
        <w:rPr>
          <w:rFonts w:hint="cs"/>
          <w:rtl/>
        </w:rPr>
        <w:t xml:space="preserve"> </w:t>
      </w:r>
      <w:r w:rsidR="00A3744D">
        <w:rPr>
          <w:rFonts w:hint="cs"/>
          <w:rtl/>
        </w:rPr>
        <w:t>ب</w:t>
      </w:r>
      <w:r w:rsidR="00D437CE" w:rsidRPr="00D437CE">
        <w:rPr>
          <w:rFonts w:hint="cs"/>
          <w:rtl/>
        </w:rPr>
        <w:t xml:space="preserve">أن المشروع يمكن أن يشمل التحويلات المالية الثابتة، مثل التحويلات </w:t>
      </w:r>
      <w:r w:rsidR="00D437CE" w:rsidRPr="00AE0918">
        <w:rPr>
          <w:rFonts w:hint="cs"/>
          <w:rtl/>
        </w:rPr>
        <w:t>البرقية وآلات</w:t>
      </w:r>
      <w:r w:rsidR="00D437CE" w:rsidRPr="00D437CE">
        <w:rPr>
          <w:rFonts w:hint="cs"/>
          <w:rtl/>
        </w:rPr>
        <w:t xml:space="preserve"> الصرف الآلي</w:t>
      </w:r>
      <w:r w:rsidR="001C5620">
        <w:rPr>
          <w:rFonts w:hint="eastAsia"/>
          <w:rtl/>
        </w:rPr>
        <w:t> </w:t>
      </w:r>
      <w:r w:rsidR="00D437CE" w:rsidRPr="00D437CE">
        <w:t>(ATM)</w:t>
      </w:r>
      <w:r w:rsidRPr="00D437CE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C03844" w:rsidP="00F7383E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B1776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>
      <w:rPr>
        <w:rStyle w:val="PageNumber"/>
        <w:lang w:bidi="ar-EG"/>
      </w:rPr>
      <w:t>SG</w:t>
    </w:r>
    <w:r w:rsidR="00F7383E">
      <w:rPr>
        <w:rStyle w:val="PageNumber"/>
        <w:lang w:bidi="ar-EG"/>
      </w:rPr>
      <w:t>3</w:t>
    </w:r>
    <w:r>
      <w:rPr>
        <w:rStyle w:val="PageNumber"/>
        <w:lang w:bidi="ar-EG"/>
      </w:rPr>
      <w:noBreakHyphen/>
    </w:r>
    <w:r w:rsidR="009F1571">
      <w:rPr>
        <w:rStyle w:val="PageNumber"/>
        <w:lang w:bidi="ar-EG"/>
      </w:rPr>
      <w:t>C</w:t>
    </w:r>
    <w:r w:rsidR="00F7383E">
      <w:rPr>
        <w:rStyle w:val="PageNumber"/>
        <w:lang w:bidi="ar-EG"/>
      </w:rPr>
      <w:t>195</w:t>
    </w:r>
    <w:r w:rsidR="00977C13">
      <w:rPr>
        <w:rStyle w:val="PageNumber"/>
        <w:lang w:bidi="ar-EG"/>
      </w:rPr>
      <w:noBreakHyphen/>
    </w:r>
    <w:r>
      <w:rPr>
        <w:rStyle w:val="PageNumber"/>
        <w:lang w:bidi="ar-EG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74"/>
    <w:rsid w:val="000124CC"/>
    <w:rsid w:val="00041F8B"/>
    <w:rsid w:val="00046444"/>
    <w:rsid w:val="0006023B"/>
    <w:rsid w:val="0008638B"/>
    <w:rsid w:val="00090574"/>
    <w:rsid w:val="00092FC2"/>
    <w:rsid w:val="00094FDC"/>
    <w:rsid w:val="000A1677"/>
    <w:rsid w:val="000B407F"/>
    <w:rsid w:val="000C13C2"/>
    <w:rsid w:val="000E539D"/>
    <w:rsid w:val="000F0B1C"/>
    <w:rsid w:val="000F18D9"/>
    <w:rsid w:val="000F1D42"/>
    <w:rsid w:val="000F4D07"/>
    <w:rsid w:val="00102A03"/>
    <w:rsid w:val="001040A3"/>
    <w:rsid w:val="0017388B"/>
    <w:rsid w:val="00173915"/>
    <w:rsid w:val="00177DBF"/>
    <w:rsid w:val="00186FFD"/>
    <w:rsid w:val="001C172C"/>
    <w:rsid w:val="001C4DA6"/>
    <w:rsid w:val="001C5620"/>
    <w:rsid w:val="0022345D"/>
    <w:rsid w:val="00225854"/>
    <w:rsid w:val="0023283D"/>
    <w:rsid w:val="00252E0C"/>
    <w:rsid w:val="002557FD"/>
    <w:rsid w:val="00276881"/>
    <w:rsid w:val="002866B4"/>
    <w:rsid w:val="00290A22"/>
    <w:rsid w:val="002916BE"/>
    <w:rsid w:val="002978F4"/>
    <w:rsid w:val="002B028D"/>
    <w:rsid w:val="002B435E"/>
    <w:rsid w:val="002C4DAE"/>
    <w:rsid w:val="002D6669"/>
    <w:rsid w:val="002E6541"/>
    <w:rsid w:val="002F2BF3"/>
    <w:rsid w:val="002F5560"/>
    <w:rsid w:val="0030486B"/>
    <w:rsid w:val="00306C37"/>
    <w:rsid w:val="003231B9"/>
    <w:rsid w:val="003275AC"/>
    <w:rsid w:val="00333D29"/>
    <w:rsid w:val="003409F4"/>
    <w:rsid w:val="00357185"/>
    <w:rsid w:val="003A617E"/>
    <w:rsid w:val="003B2596"/>
    <w:rsid w:val="003C475F"/>
    <w:rsid w:val="003C74BE"/>
    <w:rsid w:val="003E4132"/>
    <w:rsid w:val="003F678F"/>
    <w:rsid w:val="0042686F"/>
    <w:rsid w:val="0043526F"/>
    <w:rsid w:val="004367CE"/>
    <w:rsid w:val="00441D83"/>
    <w:rsid w:val="00443869"/>
    <w:rsid w:val="004712C6"/>
    <w:rsid w:val="00472E25"/>
    <w:rsid w:val="00476122"/>
    <w:rsid w:val="00497703"/>
    <w:rsid w:val="004A132B"/>
    <w:rsid w:val="004A1EA1"/>
    <w:rsid w:val="004F0F06"/>
    <w:rsid w:val="0050145B"/>
    <w:rsid w:val="00501E0E"/>
    <w:rsid w:val="005204D7"/>
    <w:rsid w:val="00520551"/>
    <w:rsid w:val="00523BD0"/>
    <w:rsid w:val="00530420"/>
    <w:rsid w:val="00552BC5"/>
    <w:rsid w:val="00554C35"/>
    <w:rsid w:val="0055516A"/>
    <w:rsid w:val="0056355A"/>
    <w:rsid w:val="0056374C"/>
    <w:rsid w:val="0056614F"/>
    <w:rsid w:val="0057656F"/>
    <w:rsid w:val="00576731"/>
    <w:rsid w:val="0059285F"/>
    <w:rsid w:val="005A24B1"/>
    <w:rsid w:val="005B7B8A"/>
    <w:rsid w:val="005D1FE1"/>
    <w:rsid w:val="005D6476"/>
    <w:rsid w:val="005D6C0D"/>
    <w:rsid w:val="005E5283"/>
    <w:rsid w:val="005E58F5"/>
    <w:rsid w:val="005F4364"/>
    <w:rsid w:val="005F5D50"/>
    <w:rsid w:val="00606660"/>
    <w:rsid w:val="006157A3"/>
    <w:rsid w:val="00620E60"/>
    <w:rsid w:val="00632908"/>
    <w:rsid w:val="0063315A"/>
    <w:rsid w:val="0065591D"/>
    <w:rsid w:val="00662C5A"/>
    <w:rsid w:val="00670AF5"/>
    <w:rsid w:val="00672DF2"/>
    <w:rsid w:val="00676F24"/>
    <w:rsid w:val="006B1F33"/>
    <w:rsid w:val="006B794A"/>
    <w:rsid w:val="006C1556"/>
    <w:rsid w:val="006F267F"/>
    <w:rsid w:val="006F63F7"/>
    <w:rsid w:val="006F6F03"/>
    <w:rsid w:val="007011C8"/>
    <w:rsid w:val="00706D7A"/>
    <w:rsid w:val="00726AEC"/>
    <w:rsid w:val="00726B3E"/>
    <w:rsid w:val="00743EF0"/>
    <w:rsid w:val="007530CA"/>
    <w:rsid w:val="0079553D"/>
    <w:rsid w:val="007B01CC"/>
    <w:rsid w:val="007E7C6C"/>
    <w:rsid w:val="007F6238"/>
    <w:rsid w:val="007F646C"/>
    <w:rsid w:val="00801FCD"/>
    <w:rsid w:val="00803D7E"/>
    <w:rsid w:val="00803F08"/>
    <w:rsid w:val="008063E3"/>
    <w:rsid w:val="008235CD"/>
    <w:rsid w:val="00823A07"/>
    <w:rsid w:val="00824527"/>
    <w:rsid w:val="0082586B"/>
    <w:rsid w:val="00835FEC"/>
    <w:rsid w:val="00845165"/>
    <w:rsid w:val="008513CB"/>
    <w:rsid w:val="0087328A"/>
    <w:rsid w:val="00874D9C"/>
    <w:rsid w:val="00877F3E"/>
    <w:rsid w:val="008862C1"/>
    <w:rsid w:val="008A1810"/>
    <w:rsid w:val="008B5B5D"/>
    <w:rsid w:val="008E7D43"/>
    <w:rsid w:val="0091227A"/>
    <w:rsid w:val="00917694"/>
    <w:rsid w:val="009263CD"/>
    <w:rsid w:val="00930E6D"/>
    <w:rsid w:val="00972CA2"/>
    <w:rsid w:val="00977C13"/>
    <w:rsid w:val="00982B28"/>
    <w:rsid w:val="00984EA5"/>
    <w:rsid w:val="00992593"/>
    <w:rsid w:val="009C17E1"/>
    <w:rsid w:val="009C35ED"/>
    <w:rsid w:val="009F1571"/>
    <w:rsid w:val="009F1C12"/>
    <w:rsid w:val="00A124CB"/>
    <w:rsid w:val="00A2167A"/>
    <w:rsid w:val="00A25A43"/>
    <w:rsid w:val="00A3295B"/>
    <w:rsid w:val="00A3744D"/>
    <w:rsid w:val="00A42AE5"/>
    <w:rsid w:val="00A52B61"/>
    <w:rsid w:val="00A64820"/>
    <w:rsid w:val="00A71DD6"/>
    <w:rsid w:val="00A723C7"/>
    <w:rsid w:val="00A80E11"/>
    <w:rsid w:val="00A97F94"/>
    <w:rsid w:val="00AA51D1"/>
    <w:rsid w:val="00AA7AB3"/>
    <w:rsid w:val="00AB1309"/>
    <w:rsid w:val="00AB4774"/>
    <w:rsid w:val="00AC2C52"/>
    <w:rsid w:val="00AC545B"/>
    <w:rsid w:val="00AD1503"/>
    <w:rsid w:val="00AE0918"/>
    <w:rsid w:val="00AE7244"/>
    <w:rsid w:val="00AF0CBF"/>
    <w:rsid w:val="00AF3FEE"/>
    <w:rsid w:val="00B02F46"/>
    <w:rsid w:val="00B17761"/>
    <w:rsid w:val="00B2000C"/>
    <w:rsid w:val="00B20ADE"/>
    <w:rsid w:val="00B26E4E"/>
    <w:rsid w:val="00B66B9A"/>
    <w:rsid w:val="00B82089"/>
    <w:rsid w:val="00B970AE"/>
    <w:rsid w:val="00BA1427"/>
    <w:rsid w:val="00BB5C4C"/>
    <w:rsid w:val="00BE49D0"/>
    <w:rsid w:val="00BF2C38"/>
    <w:rsid w:val="00C0384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547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37CE"/>
    <w:rsid w:val="00D45542"/>
    <w:rsid w:val="00D77D0F"/>
    <w:rsid w:val="00D97F88"/>
    <w:rsid w:val="00DA1CF0"/>
    <w:rsid w:val="00DB2271"/>
    <w:rsid w:val="00DB5659"/>
    <w:rsid w:val="00DC24B4"/>
    <w:rsid w:val="00DD7A05"/>
    <w:rsid w:val="00DE4C39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4453"/>
    <w:rsid w:val="00E45211"/>
    <w:rsid w:val="00E7380C"/>
    <w:rsid w:val="00E74BE7"/>
    <w:rsid w:val="00E86CC9"/>
    <w:rsid w:val="00E91FFD"/>
    <w:rsid w:val="00E94E6F"/>
    <w:rsid w:val="00E96624"/>
    <w:rsid w:val="00F02642"/>
    <w:rsid w:val="00F126F1"/>
    <w:rsid w:val="00F2106A"/>
    <w:rsid w:val="00F21579"/>
    <w:rsid w:val="00F36D8B"/>
    <w:rsid w:val="00F401D0"/>
    <w:rsid w:val="00F45F2B"/>
    <w:rsid w:val="00F57AE4"/>
    <w:rsid w:val="00F67150"/>
    <w:rsid w:val="00F7383E"/>
    <w:rsid w:val="00F84366"/>
    <w:rsid w:val="00F85089"/>
    <w:rsid w:val="00F85564"/>
    <w:rsid w:val="00F86CFA"/>
    <w:rsid w:val="00FC542F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EE4786"/>
  <w15:chartTrackingRefBased/>
  <w15:docId w15:val="{6575512D-CAF3-4DCD-93D0-203D9C69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C93547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88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inf/itu-t/md/17/sg03/td/180409/WP2/T17-SG03-180409-TD-WP2-0013!!MSW-E.docx" TargetMode="External"/><Relationship Id="rId18" Type="http://schemas.openxmlformats.org/officeDocument/2006/relationships/hyperlink" Target="https://www.itu.int/md/T17-SG03-C-0128/en" TargetMode="External"/><Relationship Id="rId26" Type="http://schemas.openxmlformats.org/officeDocument/2006/relationships/hyperlink" Target="http://ufa.worldbank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inf/itu-t/md/17/sg03/td/180409/WP2/T17-SG03-180409-TD-WP2-0013!!MSW-E.docx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cfrank@ntia.doc.gov" TargetMode="External"/><Relationship Id="rId17" Type="http://schemas.openxmlformats.org/officeDocument/2006/relationships/hyperlink" Target="https://www.itu.int/md/T17-SG03-C-0070/en" TargetMode="External"/><Relationship Id="rId25" Type="http://schemas.openxmlformats.org/officeDocument/2006/relationships/hyperlink" Target="https://www.itu.int/en/ITU-T/extcoop/figisymposium/Pages/default.aspx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03-C-0045/en" TargetMode="External"/><Relationship Id="rId20" Type="http://schemas.openxmlformats.org/officeDocument/2006/relationships/hyperlink" Target="https://www.itu.int/md/T17-SG03-C-0117/en" TargetMode="External"/><Relationship Id="rId29" Type="http://schemas.openxmlformats.org/officeDocument/2006/relationships/hyperlink" Target="http://ufa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24" Type="http://schemas.openxmlformats.org/officeDocument/2006/relationships/hyperlink" Target="https://www.itu.int/en/ITU-D/Conferences/GSR/Documents/GSR2016/Meeting_report_E.pdf" TargetMode="External"/><Relationship Id="rId32" Type="http://schemas.openxmlformats.org/officeDocument/2006/relationships/hyperlink" Target="https://www.itu.int/en/ITU-T/extcoop/figisymposium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SG03-C-0028/en" TargetMode="External"/><Relationship Id="rId23" Type="http://schemas.openxmlformats.org/officeDocument/2006/relationships/hyperlink" Target="http://www.itu.int/en/ITU-T/focusgroups/dfs/Documents/09_2016/Regulation%20and%20the%20DFS%20Ecosystem.pdf" TargetMode="External"/><Relationship Id="rId28" Type="http://schemas.openxmlformats.org/officeDocument/2006/relationships/hyperlink" Target="https://www.bis.org/about/index.htm?m=1%7C1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17-SG03-C-0114/en" TargetMode="External"/><Relationship Id="rId31" Type="http://schemas.openxmlformats.org/officeDocument/2006/relationships/hyperlink" Target="https://www.bis.org/cpmi/about.htm?m=3%7C16%7C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SG03-160222-TD-PLEN-0341" TargetMode="External"/><Relationship Id="rId22" Type="http://schemas.openxmlformats.org/officeDocument/2006/relationships/hyperlink" Target="https://www.itu.int/dms_inf/itu-t/md/17/sg03/td/180409/GEN/T17-SG03-180409-TD-GEN-0085!!MSW-E.docx" TargetMode="External"/><Relationship Id="rId27" Type="http://schemas.openxmlformats.org/officeDocument/2006/relationships/hyperlink" Target="https://www.bis.org/cpmi/about.htm?m=3%7C16%7C29" TargetMode="External"/><Relationship Id="rId30" Type="http://schemas.openxmlformats.org/officeDocument/2006/relationships/hyperlink" Target="https://www.bis.org/cpmi/publ/d144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31C04-5951-46B9-BD0E-C7FED053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1092</Words>
  <Characters>6225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Author</cp:lastModifiedBy>
  <cp:revision>2</cp:revision>
  <cp:lastPrinted>2018-04-04T12:51:00Z</cp:lastPrinted>
  <dcterms:created xsi:type="dcterms:W3CDTF">2018-04-05T08:26:00Z</dcterms:created>
  <dcterms:modified xsi:type="dcterms:W3CDTF">2018-04-05T08:26:00Z</dcterms:modified>
  <cp:category>Conference document</cp:category>
</cp:coreProperties>
</file>