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426"/>
        <w:gridCol w:w="3134"/>
        <w:gridCol w:w="840"/>
        <w:gridCol w:w="420"/>
        <w:gridCol w:w="660"/>
        <w:gridCol w:w="3026"/>
      </w:tblGrid>
      <w:tr w:rsidR="00373064" w:rsidRPr="003940CF" w:rsidTr="00025B41">
        <w:trPr>
          <w:cantSplit/>
        </w:trPr>
        <w:tc>
          <w:tcPr>
            <w:tcW w:w="1417" w:type="dxa"/>
            <w:vMerge w:val="restart"/>
          </w:tcPr>
          <w:p w:rsidR="00373064" w:rsidRPr="003940CF" w:rsidRDefault="00373064" w:rsidP="009C7760">
            <w:pPr>
              <w:rPr>
                <w:lang w:val="es-ES_tradnl"/>
              </w:rPr>
            </w:pPr>
            <w:bookmarkStart w:id="0" w:name="InsertLogo"/>
            <w:bookmarkStart w:id="1" w:name="dnum" w:colFirst="2" w:colLast="2"/>
            <w:bookmarkStart w:id="2" w:name="dtableau"/>
            <w:bookmarkEnd w:id="0"/>
            <w:r w:rsidRPr="003940CF">
              <w:rPr>
                <w:b/>
                <w:noProof/>
                <w:sz w:val="36"/>
                <w:lang w:val="en-US"/>
              </w:rPr>
              <w:drawing>
                <wp:inline distT="0" distB="0" distL="0" distR="0" wp14:anchorId="5FD6ABC2" wp14:editId="49882923">
                  <wp:extent cx="771525" cy="838200"/>
                  <wp:effectExtent l="1905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0" w:type="dxa"/>
            <w:gridSpan w:val="5"/>
          </w:tcPr>
          <w:p w:rsidR="00373064" w:rsidRPr="003940CF" w:rsidRDefault="00373064" w:rsidP="009C7760">
            <w:pPr>
              <w:rPr>
                <w:sz w:val="20"/>
                <w:lang w:val="es-ES_tradnl"/>
              </w:rPr>
            </w:pPr>
            <w:r w:rsidRPr="003940CF">
              <w:rPr>
                <w:sz w:val="20"/>
                <w:lang w:val="es-ES_tradnl"/>
              </w:rPr>
              <w:t>UNIÓN INTERNACIONAL DE TELECOMUNICACIONES</w:t>
            </w:r>
          </w:p>
        </w:tc>
        <w:tc>
          <w:tcPr>
            <w:tcW w:w="3026" w:type="dxa"/>
          </w:tcPr>
          <w:p w:rsidR="00373064" w:rsidRPr="003940CF" w:rsidRDefault="00CD23D2" w:rsidP="00A7777A">
            <w:pPr>
              <w:pStyle w:val="Docnumber"/>
              <w:rPr>
                <w:lang w:val="es-ES_tradnl"/>
              </w:rPr>
            </w:pPr>
            <w:r>
              <w:rPr>
                <w:lang w:val="es-ES_tradnl"/>
              </w:rPr>
              <w:t>SG3–C</w:t>
            </w:r>
            <w:r w:rsidR="00A7777A">
              <w:rPr>
                <w:lang w:val="es-ES_tradnl"/>
              </w:rPr>
              <w:t>195</w:t>
            </w:r>
            <w:r>
              <w:rPr>
                <w:lang w:val="es-ES_tradnl"/>
              </w:rPr>
              <w:t>–</w:t>
            </w:r>
            <w:r w:rsidR="006C040B" w:rsidRPr="003940CF">
              <w:rPr>
                <w:lang w:val="es-ES_tradnl"/>
              </w:rPr>
              <w:t>S</w:t>
            </w:r>
          </w:p>
        </w:tc>
      </w:tr>
      <w:tr w:rsidR="00E77750" w:rsidRPr="003940CF" w:rsidTr="00025B41">
        <w:trPr>
          <w:cantSplit/>
          <w:trHeight w:val="355"/>
        </w:trPr>
        <w:tc>
          <w:tcPr>
            <w:tcW w:w="1417" w:type="dxa"/>
            <w:vMerge/>
          </w:tcPr>
          <w:p w:rsidR="00E77750" w:rsidRPr="003940CF" w:rsidRDefault="00E77750" w:rsidP="009C7760">
            <w:pPr>
              <w:rPr>
                <w:lang w:val="es-ES_tradnl"/>
              </w:rPr>
            </w:pPr>
            <w:bookmarkStart w:id="3" w:name="ddate" w:colFirst="2" w:colLast="2"/>
            <w:bookmarkEnd w:id="1"/>
          </w:p>
        </w:tc>
        <w:tc>
          <w:tcPr>
            <w:tcW w:w="4400" w:type="dxa"/>
            <w:gridSpan w:val="3"/>
            <w:vMerge w:val="restart"/>
          </w:tcPr>
          <w:p w:rsidR="00E77750" w:rsidRPr="003940CF" w:rsidRDefault="00B370ED" w:rsidP="009C7760">
            <w:pPr>
              <w:rPr>
                <w:b/>
                <w:bCs/>
                <w:sz w:val="26"/>
                <w:lang w:val="es-ES_tradnl"/>
              </w:rPr>
            </w:pPr>
            <w:r w:rsidRPr="003940CF">
              <w:rPr>
                <w:b/>
                <w:bCs/>
                <w:sz w:val="26"/>
                <w:lang w:val="es-ES_tradnl"/>
              </w:rPr>
              <w:t xml:space="preserve">SECTOR </w:t>
            </w:r>
            <w:r w:rsidR="00E77750" w:rsidRPr="003940CF">
              <w:rPr>
                <w:b/>
                <w:bCs/>
                <w:sz w:val="26"/>
                <w:lang w:val="es-ES_tradnl"/>
              </w:rPr>
              <w:t>DE NORMALIZACIÓN DE LAS TELECOMUNICACIONES</w:t>
            </w:r>
          </w:p>
          <w:p w:rsidR="00E77750" w:rsidRPr="003940CF" w:rsidRDefault="00E77750" w:rsidP="009C7760">
            <w:pPr>
              <w:rPr>
                <w:smallCaps/>
                <w:sz w:val="20"/>
                <w:lang w:val="es-ES_tradnl"/>
              </w:rPr>
            </w:pPr>
            <w:r w:rsidRPr="003940CF">
              <w:rPr>
                <w:sz w:val="20"/>
                <w:lang w:val="es-ES_tradnl"/>
              </w:rPr>
              <w:t>PERIODO DE ESTUDIOS 20</w:t>
            </w:r>
            <w:r w:rsidR="006A4F56" w:rsidRPr="003940CF">
              <w:rPr>
                <w:sz w:val="20"/>
                <w:lang w:val="es-ES_tradnl"/>
              </w:rPr>
              <w:t>17</w:t>
            </w:r>
            <w:r w:rsidRPr="003940CF">
              <w:rPr>
                <w:sz w:val="20"/>
                <w:lang w:val="es-ES_tradnl"/>
              </w:rPr>
              <w:t>-20</w:t>
            </w:r>
            <w:r w:rsidR="006A4F56" w:rsidRPr="003940CF">
              <w:rPr>
                <w:sz w:val="20"/>
                <w:lang w:val="es-ES_tradnl"/>
              </w:rPr>
              <w:t>20</w:t>
            </w:r>
          </w:p>
        </w:tc>
        <w:tc>
          <w:tcPr>
            <w:tcW w:w="4106" w:type="dxa"/>
            <w:gridSpan w:val="3"/>
          </w:tcPr>
          <w:p w:rsidR="00E77750" w:rsidRPr="003940CF" w:rsidRDefault="00DF66EC" w:rsidP="009C7760">
            <w:pPr>
              <w:jc w:val="right"/>
              <w:rPr>
                <w:b/>
                <w:bCs/>
                <w:sz w:val="28"/>
                <w:szCs w:val="28"/>
                <w:lang w:val="es-ES_tradnl"/>
              </w:rPr>
            </w:pPr>
            <w:r w:rsidRPr="003940CF">
              <w:rPr>
                <w:b/>
                <w:bCs/>
                <w:sz w:val="28"/>
                <w:szCs w:val="28"/>
                <w:lang w:val="es-ES_tradnl"/>
              </w:rPr>
              <w:t xml:space="preserve">COMISIÓN DE ESTUDIO </w:t>
            </w:r>
            <w:r w:rsidR="00205CE1" w:rsidRPr="003940CF">
              <w:rPr>
                <w:b/>
                <w:bCs/>
                <w:sz w:val="28"/>
                <w:szCs w:val="28"/>
                <w:lang w:val="es-ES_tradnl"/>
              </w:rPr>
              <w:t>3</w:t>
            </w:r>
          </w:p>
        </w:tc>
      </w:tr>
      <w:tr w:rsidR="00373064" w:rsidRPr="003940CF" w:rsidTr="00025B41">
        <w:trPr>
          <w:cantSplit/>
          <w:trHeight w:val="780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373064" w:rsidRPr="003940CF" w:rsidRDefault="00373064" w:rsidP="009C7760">
            <w:pPr>
              <w:rPr>
                <w:lang w:val="es-ES_tradnl"/>
              </w:rPr>
            </w:pPr>
            <w:bookmarkStart w:id="4" w:name="dorlang" w:colFirst="2" w:colLast="2"/>
            <w:bookmarkEnd w:id="3"/>
          </w:p>
        </w:tc>
        <w:tc>
          <w:tcPr>
            <w:tcW w:w="4400" w:type="dxa"/>
            <w:gridSpan w:val="3"/>
            <w:vMerge/>
            <w:tcBorders>
              <w:bottom w:val="single" w:sz="12" w:space="0" w:color="auto"/>
            </w:tcBorders>
          </w:tcPr>
          <w:p w:rsidR="00373064" w:rsidRPr="003940CF" w:rsidRDefault="00373064" w:rsidP="009C7760">
            <w:pPr>
              <w:rPr>
                <w:b/>
                <w:bCs/>
                <w:sz w:val="26"/>
                <w:lang w:val="es-ES_tradnl"/>
              </w:rPr>
            </w:pPr>
          </w:p>
        </w:tc>
        <w:tc>
          <w:tcPr>
            <w:tcW w:w="4106" w:type="dxa"/>
            <w:gridSpan w:val="3"/>
            <w:tcBorders>
              <w:bottom w:val="single" w:sz="12" w:space="0" w:color="auto"/>
            </w:tcBorders>
            <w:vAlign w:val="center"/>
          </w:tcPr>
          <w:p w:rsidR="00373064" w:rsidRPr="003940CF" w:rsidRDefault="00373064" w:rsidP="009C7760">
            <w:pPr>
              <w:jc w:val="right"/>
              <w:rPr>
                <w:b/>
                <w:bCs/>
                <w:sz w:val="28"/>
                <w:lang w:val="es-ES_tradnl"/>
              </w:rPr>
            </w:pPr>
            <w:r w:rsidRPr="003940CF">
              <w:rPr>
                <w:b/>
                <w:bCs/>
                <w:sz w:val="28"/>
                <w:lang w:val="es-ES_tradnl"/>
              </w:rPr>
              <w:t>Original: inglés</w:t>
            </w:r>
          </w:p>
        </w:tc>
      </w:tr>
      <w:tr w:rsidR="00373064" w:rsidRPr="003940CF" w:rsidTr="006C040B">
        <w:trPr>
          <w:cantSplit/>
          <w:trHeight w:val="357"/>
        </w:trPr>
        <w:tc>
          <w:tcPr>
            <w:tcW w:w="1843" w:type="dxa"/>
            <w:gridSpan w:val="2"/>
          </w:tcPr>
          <w:p w:rsidR="00373064" w:rsidRPr="003940CF" w:rsidRDefault="00373064" w:rsidP="009C7760">
            <w:pPr>
              <w:rPr>
                <w:b/>
                <w:bCs/>
                <w:lang w:val="es-ES_tradnl"/>
              </w:rPr>
            </w:pPr>
            <w:bookmarkStart w:id="5" w:name="dbluepink" w:colFirst="1" w:colLast="1"/>
            <w:bookmarkStart w:id="6" w:name="dmeeting" w:colFirst="2" w:colLast="2"/>
            <w:bookmarkEnd w:id="4"/>
            <w:r w:rsidRPr="003940CF">
              <w:rPr>
                <w:b/>
                <w:bCs/>
                <w:lang w:val="es-ES_tradnl"/>
              </w:rPr>
              <w:t>Cuestión(es):</w:t>
            </w:r>
          </w:p>
        </w:tc>
        <w:tc>
          <w:tcPr>
            <w:tcW w:w="3134" w:type="dxa"/>
          </w:tcPr>
          <w:p w:rsidR="00373064" w:rsidRPr="003940CF" w:rsidRDefault="00A7777A" w:rsidP="009C7760">
            <w:pPr>
              <w:rPr>
                <w:lang w:val="es-ES_tradnl"/>
              </w:rPr>
            </w:pPr>
            <w:r>
              <w:rPr>
                <w:lang w:val="es-ES_tradnl"/>
              </w:rPr>
              <w:t>12</w:t>
            </w:r>
            <w:r w:rsidR="00205CE1" w:rsidRPr="003940CF">
              <w:rPr>
                <w:lang w:val="es-ES_tradnl"/>
              </w:rPr>
              <w:t>/3</w:t>
            </w:r>
          </w:p>
        </w:tc>
        <w:tc>
          <w:tcPr>
            <w:tcW w:w="4946" w:type="dxa"/>
            <w:gridSpan w:val="4"/>
          </w:tcPr>
          <w:p w:rsidR="00373064" w:rsidRPr="003940CF" w:rsidRDefault="00F463C3" w:rsidP="009C7760">
            <w:pPr>
              <w:jc w:val="right"/>
              <w:rPr>
                <w:lang w:val="es-ES_tradnl"/>
              </w:rPr>
            </w:pPr>
            <w:r w:rsidRPr="003940CF">
              <w:rPr>
                <w:lang w:val="es-ES_tradnl"/>
              </w:rPr>
              <w:t>Ginebra, 9-18 de abril de 2018</w:t>
            </w:r>
          </w:p>
        </w:tc>
      </w:tr>
      <w:tr w:rsidR="00373064" w:rsidRPr="003940CF" w:rsidTr="00025B41">
        <w:trPr>
          <w:cantSplit/>
          <w:trHeight w:val="357"/>
        </w:trPr>
        <w:tc>
          <w:tcPr>
            <w:tcW w:w="9923" w:type="dxa"/>
            <w:gridSpan w:val="7"/>
          </w:tcPr>
          <w:p w:rsidR="00373064" w:rsidRPr="003940CF" w:rsidRDefault="00373064" w:rsidP="009C7760">
            <w:pPr>
              <w:jc w:val="center"/>
              <w:rPr>
                <w:b/>
                <w:bCs/>
                <w:lang w:val="es-ES_tradnl"/>
              </w:rPr>
            </w:pPr>
            <w:bookmarkStart w:id="7" w:name="dtitle" w:colFirst="0" w:colLast="0"/>
            <w:bookmarkEnd w:id="5"/>
            <w:bookmarkEnd w:id="6"/>
            <w:r w:rsidRPr="003940CF">
              <w:rPr>
                <w:b/>
                <w:bCs/>
                <w:lang w:val="es-ES_tradnl"/>
              </w:rPr>
              <w:t>CONTRIBUCIÓN</w:t>
            </w:r>
          </w:p>
        </w:tc>
      </w:tr>
      <w:tr w:rsidR="00E77750" w:rsidRPr="003940CF" w:rsidTr="006C040B">
        <w:trPr>
          <w:cantSplit/>
          <w:trHeight w:val="357"/>
        </w:trPr>
        <w:tc>
          <w:tcPr>
            <w:tcW w:w="1843" w:type="dxa"/>
            <w:gridSpan w:val="2"/>
          </w:tcPr>
          <w:p w:rsidR="00E77750" w:rsidRPr="003940CF" w:rsidRDefault="00E77750" w:rsidP="009C7760">
            <w:pPr>
              <w:rPr>
                <w:b/>
                <w:bCs/>
                <w:lang w:val="es-ES_tradnl"/>
              </w:rPr>
            </w:pPr>
            <w:bookmarkStart w:id="8" w:name="dsource" w:colFirst="1" w:colLast="1"/>
            <w:bookmarkEnd w:id="7"/>
            <w:r w:rsidRPr="003940CF">
              <w:rPr>
                <w:b/>
                <w:bCs/>
                <w:lang w:val="es-ES_tradnl"/>
              </w:rPr>
              <w:t>Origen:</w:t>
            </w:r>
          </w:p>
        </w:tc>
        <w:tc>
          <w:tcPr>
            <w:tcW w:w="8080" w:type="dxa"/>
            <w:gridSpan w:val="5"/>
          </w:tcPr>
          <w:p w:rsidR="00E77750" w:rsidRPr="003940CF" w:rsidRDefault="00D71B51" w:rsidP="009C7760">
            <w:pPr>
              <w:rPr>
                <w:highlight w:val="yellow"/>
                <w:lang w:val="es-ES_tradnl"/>
              </w:rPr>
            </w:pPr>
            <w:r w:rsidRPr="004807FE">
              <w:rPr>
                <w:lang w:val="es-ES"/>
              </w:rPr>
              <w:t>Estados Unidos</w:t>
            </w:r>
            <w:r w:rsidR="00A94B26">
              <w:rPr>
                <w:lang w:val="es-ES"/>
              </w:rPr>
              <w:t xml:space="preserve"> de América</w:t>
            </w:r>
          </w:p>
        </w:tc>
      </w:tr>
      <w:tr w:rsidR="003F70A0" w:rsidRPr="00CD23D2" w:rsidTr="006C040B">
        <w:trPr>
          <w:cantSplit/>
          <w:trHeight w:val="428"/>
        </w:trPr>
        <w:tc>
          <w:tcPr>
            <w:tcW w:w="1843" w:type="dxa"/>
            <w:gridSpan w:val="2"/>
          </w:tcPr>
          <w:p w:rsidR="003F70A0" w:rsidRPr="003940CF" w:rsidRDefault="003F70A0" w:rsidP="009C7760">
            <w:pPr>
              <w:rPr>
                <w:b/>
                <w:bCs/>
                <w:lang w:val="es-ES_tradnl"/>
              </w:rPr>
            </w:pPr>
            <w:r w:rsidRPr="003940CF">
              <w:rPr>
                <w:b/>
                <w:bCs/>
                <w:lang w:val="es-ES_tradnl"/>
              </w:rPr>
              <w:t>Título:</w:t>
            </w:r>
          </w:p>
        </w:tc>
        <w:tc>
          <w:tcPr>
            <w:tcW w:w="8080" w:type="dxa"/>
            <w:gridSpan w:val="5"/>
          </w:tcPr>
          <w:p w:rsidR="003F70A0" w:rsidRPr="003940CF" w:rsidRDefault="00D71B51" w:rsidP="009C7760">
            <w:pPr>
              <w:rPr>
                <w:highlight w:val="yellow"/>
                <w:lang w:val="es-ES_tradnl"/>
              </w:rPr>
            </w:pPr>
            <w:r w:rsidRPr="004807FE">
              <w:rPr>
                <w:lang w:val="es-ES"/>
              </w:rPr>
              <w:t>Proyect</w:t>
            </w:r>
            <w:r>
              <w:rPr>
                <w:lang w:val="es-ES"/>
              </w:rPr>
              <w:t>o de nueva Recomendación UIT-T</w:t>
            </w:r>
            <w:r w:rsidR="00A94B26">
              <w:rPr>
                <w:lang w:val="es-ES"/>
              </w:rPr>
              <w:t xml:space="preserve"> D.MFS</w:t>
            </w:r>
            <w:r>
              <w:rPr>
                <w:lang w:val="es-ES"/>
              </w:rPr>
              <w:t xml:space="preserve">: </w:t>
            </w:r>
            <w:r w:rsidRPr="004807FE">
              <w:rPr>
                <w:lang w:val="es-ES"/>
              </w:rPr>
              <w:t>Costes, tarifas y competencia de los serv</w:t>
            </w:r>
            <w:r>
              <w:rPr>
                <w:lang w:val="es-ES"/>
              </w:rPr>
              <w:t>icios financieros móviles (SFM)</w:t>
            </w:r>
          </w:p>
        </w:tc>
      </w:tr>
      <w:tr w:rsidR="00E77750" w:rsidRPr="00A94B26" w:rsidTr="006C040B">
        <w:trPr>
          <w:cantSplit/>
          <w:trHeight w:val="357"/>
        </w:trPr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E77750" w:rsidRPr="003940CF" w:rsidRDefault="006B302D" w:rsidP="009C7760">
            <w:pPr>
              <w:rPr>
                <w:b/>
                <w:bCs/>
                <w:lang w:val="es-ES_tradnl"/>
              </w:rPr>
            </w:pPr>
            <w:bookmarkStart w:id="9" w:name="dtitle1" w:colFirst="1" w:colLast="1"/>
            <w:bookmarkEnd w:id="8"/>
            <w:r w:rsidRPr="003940CF">
              <w:rPr>
                <w:b/>
                <w:bCs/>
                <w:lang w:val="es-ES_tradnl"/>
              </w:rPr>
              <w:t>Objeto</w:t>
            </w:r>
            <w:r w:rsidR="007A5034" w:rsidRPr="003940CF">
              <w:rPr>
                <w:b/>
                <w:bCs/>
                <w:lang w:val="es-ES_tradnl"/>
              </w:rPr>
              <w:t>: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</w:tcPr>
          <w:p w:rsidR="00E77750" w:rsidRPr="003940CF" w:rsidRDefault="00205CE1" w:rsidP="009C7760">
            <w:pPr>
              <w:rPr>
                <w:lang w:val="es-ES_tradnl"/>
              </w:rPr>
            </w:pPr>
            <w:r w:rsidRPr="003940CF">
              <w:rPr>
                <w:lang w:val="es-ES_tradnl"/>
              </w:rPr>
              <w:t>Propuesta</w:t>
            </w:r>
          </w:p>
        </w:tc>
      </w:tr>
      <w:tr w:rsidR="00E77750" w:rsidRPr="00A7777A" w:rsidTr="00A94B26">
        <w:trPr>
          <w:cantSplit/>
          <w:trHeight w:val="357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750" w:rsidRPr="003940CF" w:rsidRDefault="00E77750" w:rsidP="009C7760">
            <w:pPr>
              <w:rPr>
                <w:b/>
                <w:bCs/>
                <w:lang w:val="es-ES_tradnl"/>
              </w:rPr>
            </w:pPr>
            <w:r w:rsidRPr="003940CF">
              <w:rPr>
                <w:b/>
                <w:bCs/>
                <w:lang w:val="es-ES_tradnl"/>
              </w:rPr>
              <w:t>Contacto: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750" w:rsidRPr="003940CF" w:rsidRDefault="006747ED" w:rsidP="009C7760">
            <w:pPr>
              <w:rPr>
                <w:highlight w:val="yellow"/>
                <w:lang w:val="es-ES_tradnl"/>
              </w:rPr>
            </w:pPr>
            <w:sdt>
              <w:sdtPr>
                <w:rPr>
                  <w:lang w:val="es-ES"/>
                </w:rPr>
                <w:alias w:val="ContactNameOrgCountry"/>
                <w:tag w:val="ContactNameOrgCountry"/>
                <w:id w:val="997003386"/>
                <w:placeholder>
                  <w:docPart w:val="5FE2E66F680049B4A6F8F95A007C98C2"/>
                </w:placeholder>
                <w:text w:multiLine="1"/>
              </w:sdtPr>
              <w:sdtEndPr/>
              <w:sdtContent>
                <w:r w:rsidR="00A94B26" w:rsidRPr="004807FE">
                  <w:rPr>
                    <w:lang w:val="es-ES"/>
                  </w:rPr>
                  <w:t>Paul B. Najarian</w:t>
                </w:r>
                <w:r w:rsidR="00A94B26" w:rsidRPr="004807FE">
                  <w:rPr>
                    <w:lang w:val="es-ES"/>
                  </w:rPr>
                  <w:br/>
                  <w:t>Departamento de Estado</w:t>
                </w:r>
                <w:r w:rsidR="00A94B26" w:rsidRPr="004807FE">
                  <w:rPr>
                    <w:lang w:val="es-ES"/>
                  </w:rPr>
                  <w:br/>
                </w:r>
                <w:r w:rsidR="00A94B26" w:rsidRPr="002B2B74">
                  <w:rPr>
                    <w:lang w:val="es-ES"/>
                  </w:rPr>
                  <w:t>Estados Unidos de América</w:t>
                </w:r>
              </w:sdtContent>
            </w:sdt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750" w:rsidRPr="003940CF" w:rsidRDefault="00D71B51" w:rsidP="009C7760">
            <w:pPr>
              <w:rPr>
                <w:lang w:val="es-ES_tradnl"/>
              </w:rPr>
            </w:pPr>
            <w:r w:rsidRPr="004807FE">
              <w:rPr>
                <w:lang w:val="es-ES"/>
              </w:rPr>
              <w:t>Tel</w:t>
            </w:r>
            <w:r>
              <w:rPr>
                <w:lang w:val="es-ES"/>
              </w:rPr>
              <w:t>.</w:t>
            </w:r>
            <w:r w:rsidRPr="004807FE">
              <w:rPr>
                <w:lang w:val="es-ES"/>
              </w:rPr>
              <w:t>: +1 (202) 647-7847</w:t>
            </w:r>
            <w:r w:rsidRPr="004807FE">
              <w:rPr>
                <w:lang w:val="es-ES"/>
              </w:rPr>
              <w:br/>
              <w:t>Fax: n/a</w:t>
            </w:r>
            <w:r w:rsidRPr="004807FE">
              <w:rPr>
                <w:lang w:val="es-ES"/>
              </w:rPr>
              <w:br/>
              <w:t xml:space="preserve">Correo-e: </w:t>
            </w:r>
            <w:hyperlink r:id="rId9" w:history="1">
              <w:r w:rsidRPr="004807FE">
                <w:rPr>
                  <w:rStyle w:val="Hyperlink"/>
                  <w:lang w:val="es-ES"/>
                </w:rPr>
                <w:t>najarianpb@state.gov</w:t>
              </w:r>
            </w:hyperlink>
          </w:p>
        </w:tc>
      </w:tr>
      <w:tr w:rsidR="00D71B51" w:rsidRPr="00A7777A" w:rsidTr="00A94B26">
        <w:trPr>
          <w:cantSplit/>
          <w:trHeight w:val="357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1B51" w:rsidRPr="003940CF" w:rsidRDefault="00D71B51" w:rsidP="009C7760">
            <w:pPr>
              <w:rPr>
                <w:b/>
                <w:bCs/>
                <w:lang w:val="es-ES_tradnl"/>
              </w:rPr>
            </w:pPr>
            <w:r w:rsidRPr="004807FE">
              <w:rPr>
                <w:b/>
                <w:bCs/>
                <w:lang w:val="es-ES"/>
              </w:rPr>
              <w:t>Contacto: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1B51" w:rsidRPr="003940CF" w:rsidRDefault="006747ED" w:rsidP="009C7760">
            <w:pPr>
              <w:rPr>
                <w:lang w:val="es-ES_tradnl"/>
              </w:rPr>
            </w:pPr>
            <w:sdt>
              <w:sdtPr>
                <w:rPr>
                  <w:lang w:val="es-ES"/>
                </w:rPr>
                <w:alias w:val="ContactNameOrgCountry"/>
                <w:tag w:val="ContactNameOrgCountry"/>
                <w:id w:val="1468240601"/>
                <w:placeholder>
                  <w:docPart w:val="E425C64D5EBC4B02B7CAA05AA39CE3D2"/>
                </w:placeholder>
                <w:text w:multiLine="1"/>
              </w:sdtPr>
              <w:sdtEndPr/>
              <w:sdtContent>
                <w:r w:rsidR="00A94B26" w:rsidRPr="004807FE">
                  <w:rPr>
                    <w:lang w:val="es-ES"/>
                  </w:rPr>
                  <w:t>Carl R. Frank</w:t>
                </w:r>
                <w:r w:rsidR="00A94B26" w:rsidRPr="004807FE">
                  <w:rPr>
                    <w:lang w:val="es-ES"/>
                  </w:rPr>
                  <w:br/>
                  <w:t>Administración Nacional de Telecomunicaciones e Información (NTIA)</w:t>
                </w:r>
                <w:r w:rsidR="00A94B26" w:rsidRPr="004807FE">
                  <w:rPr>
                    <w:lang w:val="es-ES"/>
                  </w:rPr>
                  <w:br/>
                </w:r>
                <w:r w:rsidR="00A94B26" w:rsidRPr="00875E56">
                  <w:rPr>
                    <w:lang w:val="es-ES"/>
                  </w:rPr>
                  <w:t>Estados Unidos de América</w:t>
                </w:r>
              </w:sdtContent>
            </w:sdt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1B51" w:rsidRPr="003940CF" w:rsidRDefault="00D71B51" w:rsidP="009C7760">
            <w:pPr>
              <w:rPr>
                <w:lang w:val="es-ES_tradnl"/>
              </w:rPr>
            </w:pPr>
            <w:r w:rsidRPr="004807FE">
              <w:rPr>
                <w:lang w:val="es-ES"/>
              </w:rPr>
              <w:t>Tel</w:t>
            </w:r>
            <w:r>
              <w:rPr>
                <w:lang w:val="es-ES"/>
              </w:rPr>
              <w:t>.</w:t>
            </w:r>
            <w:r w:rsidRPr="004807FE">
              <w:rPr>
                <w:lang w:val="es-ES"/>
              </w:rPr>
              <w:t>: +1 (202) 482-0390</w:t>
            </w:r>
            <w:r w:rsidRPr="004807FE">
              <w:rPr>
                <w:lang w:val="es-ES"/>
              </w:rPr>
              <w:br/>
              <w:t xml:space="preserve">Fax: n/a </w:t>
            </w:r>
            <w:r w:rsidRPr="004807FE">
              <w:rPr>
                <w:lang w:val="es-ES"/>
              </w:rPr>
              <w:br/>
              <w:t xml:space="preserve">Correo-e: </w:t>
            </w:r>
            <w:hyperlink r:id="rId10" w:history="1">
              <w:r w:rsidRPr="004807FE">
                <w:rPr>
                  <w:rStyle w:val="Hyperlink"/>
                  <w:lang w:val="es-ES"/>
                </w:rPr>
                <w:t>cfrank@ntia.doc.gov</w:t>
              </w:r>
            </w:hyperlink>
          </w:p>
        </w:tc>
      </w:tr>
      <w:bookmarkEnd w:id="2"/>
      <w:bookmarkEnd w:id="9"/>
    </w:tbl>
    <w:p w:rsidR="00C70E58" w:rsidRPr="003940CF" w:rsidRDefault="00C70E58" w:rsidP="00C70E5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60"/>
        <w:textAlignment w:val="auto"/>
        <w:rPr>
          <w:b/>
          <w:bCs/>
          <w:szCs w:val="24"/>
          <w:lang w:val="es-ES_tradnl" w:eastAsia="ja-JP"/>
        </w:rPr>
      </w:pPr>
    </w:p>
    <w:tbl>
      <w:tblPr>
        <w:tblW w:w="9897" w:type="dxa"/>
        <w:tblInd w:w="1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9"/>
        <w:gridCol w:w="8068"/>
      </w:tblGrid>
      <w:tr w:rsidR="00C70E58" w:rsidRPr="00CD23D2" w:rsidTr="006C040B">
        <w:trPr>
          <w:cantSplit/>
        </w:trPr>
        <w:tc>
          <w:tcPr>
            <w:tcW w:w="1829" w:type="dxa"/>
          </w:tcPr>
          <w:p w:rsidR="00C70E58" w:rsidRPr="003940CF" w:rsidRDefault="00991F62" w:rsidP="00052100">
            <w:pPr>
              <w:rPr>
                <w:b/>
                <w:bCs/>
                <w:lang w:val="es-ES_tradnl" w:eastAsia="ja-JP"/>
              </w:rPr>
            </w:pPr>
            <w:r w:rsidRPr="003940CF">
              <w:rPr>
                <w:b/>
                <w:bCs/>
                <w:lang w:val="es-ES_tradnl" w:eastAsia="ja-JP"/>
              </w:rPr>
              <w:t>Palabras clave</w:t>
            </w:r>
            <w:r w:rsidR="00C70E58" w:rsidRPr="003940CF">
              <w:rPr>
                <w:b/>
                <w:bCs/>
                <w:lang w:val="es-ES_tradnl" w:eastAsia="ja-JP"/>
              </w:rPr>
              <w:t>:</w:t>
            </w:r>
          </w:p>
        </w:tc>
        <w:tc>
          <w:tcPr>
            <w:tcW w:w="8068" w:type="dxa"/>
          </w:tcPr>
          <w:p w:rsidR="00C70E58" w:rsidRPr="003940CF" w:rsidRDefault="006747ED" w:rsidP="00052100">
            <w:pPr>
              <w:rPr>
                <w:lang w:val="es-ES_tradnl" w:eastAsia="ja-JP"/>
              </w:rPr>
            </w:pPr>
            <w:sdt>
              <w:sdtPr>
                <w:rPr>
                  <w:rFonts w:asciiTheme="majorBidi" w:hAnsiTheme="majorBidi" w:cstheme="majorBidi"/>
                  <w:lang w:val="es-ES"/>
                </w:rPr>
                <w:alias w:val="Keywords"/>
                <w:tag w:val="Keywords"/>
                <w:id w:val="-1329598096"/>
                <w:placeholder>
                  <w:docPart w:val="BAB35E8A3A2246BBB6A4815AB08AF23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D71B51" w:rsidRPr="00D71B51">
                  <w:rPr>
                    <w:rFonts w:asciiTheme="majorBidi" w:hAnsiTheme="majorBidi" w:cstheme="majorBidi"/>
                    <w:lang w:val="es-ES"/>
                  </w:rPr>
                  <w:t>C12/3; proyecto de Recomendación; servicios financieros móviles</w:t>
                </w:r>
              </w:sdtContent>
            </w:sdt>
          </w:p>
        </w:tc>
      </w:tr>
      <w:tr w:rsidR="00A94B26" w:rsidRPr="00CD23D2" w:rsidTr="006C040B">
        <w:trPr>
          <w:cantSplit/>
        </w:trPr>
        <w:tc>
          <w:tcPr>
            <w:tcW w:w="1829" w:type="dxa"/>
          </w:tcPr>
          <w:p w:rsidR="00A94B26" w:rsidRPr="003940CF" w:rsidRDefault="00A94B26" w:rsidP="00052100">
            <w:pPr>
              <w:rPr>
                <w:b/>
                <w:bCs/>
                <w:lang w:val="es-ES_tradnl" w:eastAsia="ja-JP"/>
              </w:rPr>
            </w:pPr>
            <w:r w:rsidRPr="004807FE">
              <w:rPr>
                <w:b/>
                <w:bCs/>
                <w:lang w:val="es-ES"/>
              </w:rPr>
              <w:t>Resumen:</w:t>
            </w:r>
          </w:p>
        </w:tc>
        <w:tc>
          <w:tcPr>
            <w:tcW w:w="8068" w:type="dxa"/>
          </w:tcPr>
          <w:p w:rsidR="00A94B26" w:rsidRPr="00D71B51" w:rsidRDefault="00A94B26" w:rsidP="00052100">
            <w:pPr>
              <w:rPr>
                <w:rFonts w:asciiTheme="majorBidi" w:hAnsiTheme="majorBidi" w:cstheme="majorBidi"/>
                <w:lang w:val="es-ES"/>
              </w:rPr>
            </w:pPr>
            <w:r>
              <w:rPr>
                <w:rFonts w:asciiTheme="majorBidi" w:hAnsiTheme="majorBidi" w:cstheme="majorBidi"/>
                <w:lang w:val="es-ES"/>
              </w:rPr>
              <w:t xml:space="preserve">En la presente contribución se cuestiona la necesidad del proyecto </w:t>
            </w:r>
            <w:r>
              <w:rPr>
                <w:lang w:val="es-ES"/>
              </w:rPr>
              <w:t xml:space="preserve">de nueva Recomendación UIT-T D.MFS: </w:t>
            </w:r>
            <w:r w:rsidRPr="004807FE">
              <w:rPr>
                <w:lang w:val="es-ES"/>
              </w:rPr>
              <w:t>Costes, tarifas y competencia de los serv</w:t>
            </w:r>
            <w:r>
              <w:rPr>
                <w:lang w:val="es-ES"/>
              </w:rPr>
              <w:t xml:space="preserve">icios financieros móviles (SFM), elaborado a raíz de la </w:t>
            </w:r>
            <w:r w:rsidR="006D412D">
              <w:rPr>
                <w:lang w:val="es-ES"/>
              </w:rPr>
              <w:t xml:space="preserve">reunión </w:t>
            </w:r>
            <w:r>
              <w:rPr>
                <w:lang w:val="es-ES"/>
              </w:rPr>
              <w:t xml:space="preserve">del Grupo de Relator (RGR) para la C12/3 (Ginebra, 6-7 de diciembre de 2017). Estados Unidos considera que no se ajusta al alcance de la Comisión de Estudio y de la UIT. Por otro lado, gran parte de esta labor duplica la realizada en el Sector de Desarrollo, el Banco Mundial y el </w:t>
            </w:r>
            <w:r w:rsidRPr="00955492">
              <w:rPr>
                <w:lang w:val="es-ES"/>
              </w:rPr>
              <w:t>Comité de Pagos e Infraestructura de Mercado</w:t>
            </w:r>
            <w:r>
              <w:rPr>
                <w:lang w:val="es-ES"/>
              </w:rPr>
              <w:t xml:space="preserve"> del </w:t>
            </w:r>
            <w:r w:rsidRPr="00955492">
              <w:rPr>
                <w:lang w:val="es-ES"/>
              </w:rPr>
              <w:t>Banco de Pagos Internacionales</w:t>
            </w:r>
            <w:r>
              <w:rPr>
                <w:lang w:val="es-ES"/>
              </w:rPr>
              <w:t xml:space="preserve">. Los costos de la citada Recomendación podrían ser superiores a los beneficios que podrían </w:t>
            </w:r>
            <w:r w:rsidR="006D412D">
              <w:rPr>
                <w:lang w:val="es-ES"/>
              </w:rPr>
              <w:t xml:space="preserve">obtenerse </w:t>
            </w:r>
            <w:r>
              <w:rPr>
                <w:lang w:val="es-ES"/>
              </w:rPr>
              <w:t>mediante la misma</w:t>
            </w:r>
            <w:r w:rsidRPr="004807FE">
              <w:rPr>
                <w:lang w:val="es-ES"/>
              </w:rPr>
              <w:t>.</w:t>
            </w:r>
          </w:p>
        </w:tc>
      </w:tr>
    </w:tbl>
    <w:p w:rsidR="0084180C" w:rsidRPr="003940CF" w:rsidRDefault="00D71B51" w:rsidP="0084180C">
      <w:pPr>
        <w:pStyle w:val="headingb0"/>
        <w:rPr>
          <w:lang w:val="es-ES_tradnl"/>
        </w:rPr>
      </w:pPr>
      <w:r>
        <w:rPr>
          <w:lang w:val="es-ES_tradnl"/>
        </w:rPr>
        <w:t>Debate</w:t>
      </w:r>
    </w:p>
    <w:p w:rsidR="00D71B51" w:rsidRPr="004807FE" w:rsidRDefault="00D71B51" w:rsidP="006D412D">
      <w:pPr>
        <w:rPr>
          <w:lang w:val="es-ES"/>
        </w:rPr>
      </w:pPr>
      <w:r w:rsidRPr="004807FE">
        <w:rPr>
          <w:lang w:val="es-ES"/>
        </w:rPr>
        <w:t>El Documento</w:t>
      </w:r>
      <w:r w:rsidRPr="004807FE">
        <w:rPr>
          <w:b/>
          <w:lang w:val="es-ES"/>
        </w:rPr>
        <w:t xml:space="preserve"> </w:t>
      </w:r>
      <w:hyperlink r:id="rId11" w:history="1">
        <w:r w:rsidRPr="004807FE">
          <w:rPr>
            <w:rStyle w:val="Hyperlink"/>
            <w:bCs/>
            <w:lang w:val="es-ES"/>
          </w:rPr>
          <w:t>TD13-WP2</w:t>
        </w:r>
      </w:hyperlink>
      <w:r w:rsidRPr="004807FE">
        <w:rPr>
          <w:lang w:val="es-ES"/>
        </w:rPr>
        <w:t xml:space="preserve"> </w:t>
      </w:r>
      <w:r>
        <w:rPr>
          <w:lang w:val="es-ES"/>
        </w:rPr>
        <w:t>es el principal resultado</w:t>
      </w:r>
      <w:r w:rsidRPr="004807FE">
        <w:rPr>
          <w:lang w:val="es-ES"/>
        </w:rPr>
        <w:t xml:space="preserve"> de una</w:t>
      </w:r>
      <w:r>
        <w:rPr>
          <w:lang w:val="es-ES"/>
        </w:rPr>
        <w:t xml:space="preserve"> de las</w:t>
      </w:r>
      <w:r w:rsidRPr="004807FE">
        <w:rPr>
          <w:lang w:val="es-ES"/>
        </w:rPr>
        <w:t xml:space="preserve"> </w:t>
      </w:r>
      <w:r w:rsidR="006D412D" w:rsidRPr="004807FE">
        <w:rPr>
          <w:lang w:val="es-ES"/>
        </w:rPr>
        <w:t>reunion</w:t>
      </w:r>
      <w:r w:rsidR="006D412D">
        <w:rPr>
          <w:lang w:val="es-ES"/>
        </w:rPr>
        <w:t>es</w:t>
      </w:r>
      <w:r w:rsidR="006D412D" w:rsidRPr="004807FE">
        <w:rPr>
          <w:lang w:val="es-ES"/>
        </w:rPr>
        <w:t xml:space="preserve"> </w:t>
      </w:r>
      <w:r w:rsidRPr="004807FE">
        <w:rPr>
          <w:lang w:val="es-ES"/>
        </w:rPr>
        <w:t>del Grupo de Relator (RG</w:t>
      </w:r>
      <w:r>
        <w:rPr>
          <w:lang w:val="es-ES"/>
        </w:rPr>
        <w:t>R</w:t>
      </w:r>
      <w:r w:rsidRPr="004807FE">
        <w:rPr>
          <w:lang w:val="es-ES"/>
        </w:rPr>
        <w:t xml:space="preserve">) </w:t>
      </w:r>
      <w:r>
        <w:rPr>
          <w:lang w:val="es-ES"/>
        </w:rPr>
        <w:t>cuyo objetivo fue debatir</w:t>
      </w:r>
      <w:r w:rsidRPr="004807FE">
        <w:rPr>
          <w:lang w:val="es-ES"/>
        </w:rPr>
        <w:t xml:space="preserve"> un nuevo p</w:t>
      </w:r>
      <w:r>
        <w:rPr>
          <w:lang w:val="es-ES"/>
        </w:rPr>
        <w:t xml:space="preserve">royecto de Recomendación sobre </w:t>
      </w:r>
      <w:r w:rsidRPr="00CA1095">
        <w:rPr>
          <w:i/>
          <w:iCs/>
          <w:lang w:val="es-ES"/>
        </w:rPr>
        <w:t>Costos, tarifas y competencia de los servicios financieros móviles</w:t>
      </w:r>
      <w:r w:rsidRPr="004807FE">
        <w:rPr>
          <w:lang w:val="es-ES"/>
        </w:rPr>
        <w:t xml:space="preserve"> </w:t>
      </w:r>
      <w:r>
        <w:rPr>
          <w:lang w:val="es-ES"/>
        </w:rPr>
        <w:t>sobre la base de</w:t>
      </w:r>
      <w:r w:rsidR="006D412D">
        <w:rPr>
          <w:lang w:val="es-ES"/>
        </w:rPr>
        <w:t xml:space="preserve">l </w:t>
      </w:r>
      <w:proofErr w:type="spellStart"/>
      <w:r w:rsidR="006D412D">
        <w:rPr>
          <w:lang w:val="es-ES"/>
        </w:rPr>
        <w:t>Dcoumento</w:t>
      </w:r>
      <w:proofErr w:type="spellEnd"/>
      <w:r w:rsidRPr="004807FE">
        <w:rPr>
          <w:lang w:val="es-ES"/>
        </w:rPr>
        <w:t xml:space="preserve"> </w:t>
      </w:r>
      <w:hyperlink r:id="rId12" w:history="1">
        <w:r w:rsidRPr="00CA1095">
          <w:rPr>
            <w:rStyle w:val="Hyperlink"/>
            <w:rFonts w:eastAsia="SimSun"/>
            <w:lang w:val="es-ES" w:eastAsia="zh-CN"/>
          </w:rPr>
          <w:t>TD341Rev1</w:t>
        </w:r>
      </w:hyperlink>
      <w:r w:rsidRPr="00CA1095">
        <w:rPr>
          <w:rFonts w:eastAsia="SimSun"/>
          <w:lang w:val="es-ES" w:eastAsia="zh-CN"/>
        </w:rPr>
        <w:t xml:space="preserve">, </w:t>
      </w:r>
      <w:r>
        <w:rPr>
          <w:rFonts w:eastAsia="SimSun"/>
          <w:lang w:val="es-ES" w:eastAsia="zh-CN"/>
        </w:rPr>
        <w:t>y examinar los Documentos</w:t>
      </w:r>
      <w:r w:rsidRPr="00CA1095">
        <w:rPr>
          <w:rFonts w:eastAsia="SimSun"/>
          <w:lang w:val="es-ES" w:eastAsia="zh-CN"/>
        </w:rPr>
        <w:t xml:space="preserve"> </w:t>
      </w:r>
      <w:hyperlink r:id="rId13" w:history="1">
        <w:r w:rsidRPr="00CA1095">
          <w:rPr>
            <w:rFonts w:eastAsia="SimSun"/>
            <w:color w:val="0000FF"/>
            <w:u w:val="single"/>
            <w:lang w:val="es-ES" w:eastAsia="zh-CN"/>
          </w:rPr>
          <w:t>C28</w:t>
        </w:r>
      </w:hyperlink>
      <w:r w:rsidRPr="00CA1095">
        <w:rPr>
          <w:rFonts w:eastAsia="SimSun"/>
          <w:lang w:val="es-ES" w:eastAsia="zh-CN"/>
        </w:rPr>
        <w:t xml:space="preserve">, </w:t>
      </w:r>
      <w:hyperlink r:id="rId14" w:history="1">
        <w:r w:rsidRPr="00CA1095">
          <w:rPr>
            <w:rFonts w:eastAsia="SimSun"/>
            <w:color w:val="0000FF"/>
            <w:u w:val="single"/>
            <w:lang w:val="es-ES" w:eastAsia="zh-CN"/>
          </w:rPr>
          <w:t>C45</w:t>
        </w:r>
      </w:hyperlink>
      <w:r w:rsidRPr="00CA1095">
        <w:rPr>
          <w:rFonts w:eastAsia="SimSun"/>
          <w:lang w:val="es-ES" w:eastAsia="zh-CN"/>
        </w:rPr>
        <w:t xml:space="preserve">, </w:t>
      </w:r>
      <w:hyperlink r:id="rId15" w:history="1">
        <w:r w:rsidRPr="00CA1095">
          <w:rPr>
            <w:rFonts w:eastAsia="SimSun"/>
            <w:color w:val="0000FF"/>
            <w:u w:val="single"/>
            <w:lang w:val="es-ES" w:eastAsia="zh-CN"/>
          </w:rPr>
          <w:t>C128</w:t>
        </w:r>
      </w:hyperlink>
      <w:r w:rsidRPr="00CA1095">
        <w:rPr>
          <w:rFonts w:eastAsia="SimSun"/>
          <w:lang w:val="es-ES" w:eastAsia="zh-CN"/>
        </w:rPr>
        <w:t xml:space="preserve"> ,</w:t>
      </w:r>
      <w:hyperlink r:id="rId16" w:history="1">
        <w:r w:rsidRPr="00CA1095">
          <w:rPr>
            <w:rFonts w:eastAsia="SimSun"/>
            <w:color w:val="0000FF"/>
            <w:u w:val="single"/>
            <w:lang w:val="es-ES" w:eastAsia="zh-CN"/>
          </w:rPr>
          <w:t>C70</w:t>
        </w:r>
      </w:hyperlink>
      <w:r w:rsidRPr="008C2136">
        <w:rPr>
          <w:rFonts w:eastAsia="SimSun"/>
          <w:lang w:val="es-ES"/>
        </w:rPr>
        <w:t xml:space="preserve">, </w:t>
      </w:r>
      <w:hyperlink r:id="rId17" w:history="1">
        <w:r w:rsidRPr="00CA1095">
          <w:rPr>
            <w:rFonts w:eastAsia="SimSun"/>
            <w:color w:val="0000FF"/>
            <w:u w:val="single"/>
            <w:lang w:val="es-ES" w:eastAsia="zh-CN"/>
          </w:rPr>
          <w:t>C114</w:t>
        </w:r>
      </w:hyperlink>
      <w:r w:rsidRPr="00CA1095">
        <w:rPr>
          <w:rFonts w:eastAsia="SimSun"/>
          <w:color w:val="0000FF"/>
          <w:u w:val="single"/>
          <w:lang w:val="es-ES" w:eastAsia="zh-CN"/>
        </w:rPr>
        <w:t xml:space="preserve"> </w:t>
      </w:r>
      <w:r>
        <w:rPr>
          <w:rFonts w:eastAsia="SimSun"/>
          <w:lang w:val="es-ES" w:eastAsia="zh-CN"/>
        </w:rPr>
        <w:t>y</w:t>
      </w:r>
      <w:r w:rsidRPr="00CA1095">
        <w:rPr>
          <w:rFonts w:eastAsia="SimSun"/>
          <w:color w:val="0000FF"/>
          <w:u w:val="single"/>
          <w:lang w:val="es-ES" w:eastAsia="zh-CN"/>
        </w:rPr>
        <w:t xml:space="preserve"> </w:t>
      </w:r>
      <w:hyperlink r:id="rId18" w:history="1">
        <w:r w:rsidRPr="00CA1095">
          <w:rPr>
            <w:rFonts w:eastAsia="SimSun"/>
            <w:color w:val="0000FF"/>
            <w:u w:val="single"/>
            <w:lang w:val="es-ES" w:eastAsia="zh-CN"/>
          </w:rPr>
          <w:t>C117</w:t>
        </w:r>
      </w:hyperlink>
      <w:r w:rsidRPr="00CA1095">
        <w:rPr>
          <w:rFonts w:eastAsia="SimSun"/>
          <w:color w:val="0000FF"/>
          <w:u w:val="single"/>
          <w:lang w:val="es-ES" w:eastAsia="zh-CN"/>
        </w:rPr>
        <w:t>,</w:t>
      </w:r>
      <w:r w:rsidRPr="00CA1095">
        <w:rPr>
          <w:rFonts w:eastAsia="SimSun"/>
          <w:lang w:val="es-ES" w:eastAsia="zh-CN"/>
        </w:rPr>
        <w:t xml:space="preserve"> </w:t>
      </w:r>
      <w:r w:rsidRPr="004807FE">
        <w:rPr>
          <w:lang w:val="es-ES"/>
        </w:rPr>
        <w:t xml:space="preserve">así como los resultados del </w:t>
      </w:r>
      <w:r w:rsidRPr="00CA1095">
        <w:rPr>
          <w:lang w:val="es-ES"/>
        </w:rPr>
        <w:t>Grupo Temático sobre Servicios Financieros Digitale</w:t>
      </w:r>
      <w:r>
        <w:rPr>
          <w:lang w:val="es-ES"/>
        </w:rPr>
        <w:t>s</w:t>
      </w:r>
      <w:r w:rsidRPr="004807FE">
        <w:rPr>
          <w:lang w:val="es-ES"/>
        </w:rPr>
        <w:t xml:space="preserve">, </w:t>
      </w:r>
      <w:r>
        <w:rPr>
          <w:lang w:val="es-ES"/>
        </w:rPr>
        <w:t>a fin de</w:t>
      </w:r>
      <w:r w:rsidRPr="004807FE">
        <w:rPr>
          <w:lang w:val="es-ES"/>
        </w:rPr>
        <w:t xml:space="preserve"> armonizar y </w:t>
      </w:r>
      <w:r>
        <w:rPr>
          <w:lang w:val="es-ES"/>
        </w:rPr>
        <w:t>consolidar el texto pertinente</w:t>
      </w:r>
      <w:r w:rsidRPr="004807FE">
        <w:rPr>
          <w:lang w:val="es-ES"/>
        </w:rPr>
        <w:t xml:space="preserve">. </w:t>
      </w:r>
      <w:r>
        <w:rPr>
          <w:lang w:val="es-ES"/>
        </w:rPr>
        <w:t xml:space="preserve">Por otro lado, </w:t>
      </w:r>
      <w:r w:rsidR="006D412D">
        <w:rPr>
          <w:lang w:val="es-ES"/>
        </w:rPr>
        <w:t>la</w:t>
      </w:r>
      <w:r>
        <w:rPr>
          <w:lang w:val="es-ES"/>
        </w:rPr>
        <w:t xml:space="preserve"> RGR tuvo en cuenta varias</w:t>
      </w:r>
      <w:r w:rsidRPr="004807FE">
        <w:rPr>
          <w:lang w:val="es-ES"/>
        </w:rPr>
        <w:t xml:space="preserve"> contr</w:t>
      </w:r>
      <w:r>
        <w:rPr>
          <w:lang w:val="es-ES"/>
        </w:rPr>
        <w:t>ibuciones de 2017 sobre</w:t>
      </w:r>
      <w:r w:rsidRPr="004807FE">
        <w:rPr>
          <w:lang w:val="es-ES"/>
        </w:rPr>
        <w:t xml:space="preserve"> protección del consumidor, </w:t>
      </w:r>
      <w:r>
        <w:rPr>
          <w:lang w:val="es-ES"/>
        </w:rPr>
        <w:t>si bien</w:t>
      </w:r>
      <w:r w:rsidRPr="004807FE">
        <w:rPr>
          <w:lang w:val="es-ES"/>
        </w:rPr>
        <w:t xml:space="preserve"> existe un nuevo </w:t>
      </w:r>
      <w:r>
        <w:rPr>
          <w:lang w:val="es-ES"/>
        </w:rPr>
        <w:t>tema</w:t>
      </w:r>
      <w:r w:rsidRPr="004807FE">
        <w:rPr>
          <w:lang w:val="es-ES"/>
        </w:rPr>
        <w:t xml:space="preserve"> de trabajo </w:t>
      </w:r>
      <w:r>
        <w:rPr>
          <w:lang w:val="es-ES"/>
        </w:rPr>
        <w:t>exclusivo sobre este particular</w:t>
      </w:r>
      <w:r w:rsidRPr="004807FE">
        <w:rPr>
          <w:lang w:val="es-ES"/>
        </w:rPr>
        <w:t>.</w:t>
      </w:r>
    </w:p>
    <w:p w:rsidR="00D71B51" w:rsidRPr="007E52B1" w:rsidRDefault="00D71B51" w:rsidP="00D71B51">
      <w:pPr>
        <w:rPr>
          <w:lang w:val="es-ES"/>
        </w:rPr>
      </w:pPr>
      <w:r w:rsidRPr="00D71B51">
        <w:rPr>
          <w:lang w:val="es-ES"/>
        </w:rPr>
        <w:t>Estados</w:t>
      </w:r>
      <w:r w:rsidRPr="004807FE">
        <w:rPr>
          <w:lang w:val="es-ES"/>
        </w:rPr>
        <w:t xml:space="preserve"> Unidos cuestiona la idoneidad de </w:t>
      </w:r>
      <w:r>
        <w:rPr>
          <w:lang w:val="es-ES"/>
        </w:rPr>
        <w:t>una R</w:t>
      </w:r>
      <w:r w:rsidRPr="004807FE">
        <w:rPr>
          <w:lang w:val="es-ES"/>
        </w:rPr>
        <w:t xml:space="preserve">ecomendación </w:t>
      </w:r>
      <w:r>
        <w:rPr>
          <w:lang w:val="es-ES"/>
        </w:rPr>
        <w:t>al respecto,</w:t>
      </w:r>
      <w:r w:rsidRPr="004807FE">
        <w:rPr>
          <w:lang w:val="es-ES"/>
        </w:rPr>
        <w:t xml:space="preserve"> por varias razones. </w:t>
      </w:r>
      <w:r>
        <w:rPr>
          <w:lang w:val="es-ES"/>
        </w:rPr>
        <w:t>De una parte</w:t>
      </w:r>
      <w:r w:rsidRPr="004807FE">
        <w:rPr>
          <w:lang w:val="es-ES"/>
        </w:rPr>
        <w:t xml:space="preserve">, el texto parece abarcar entidades nacionales de dinero móvil que no proporcionan </w:t>
      </w:r>
      <w:r>
        <w:rPr>
          <w:lang w:val="es-ES"/>
        </w:rPr>
        <w:t>servicios de "telecomunicaciones", lo que no corresponde al mandato</w:t>
      </w:r>
      <w:r w:rsidRPr="004807FE">
        <w:rPr>
          <w:lang w:val="es-ES"/>
        </w:rPr>
        <w:t xml:space="preserve"> de la UIT. </w:t>
      </w:r>
      <w:r>
        <w:rPr>
          <w:lang w:val="es-ES"/>
        </w:rPr>
        <w:t xml:space="preserve">Por otro lado, el proyecto de texto constituye una </w:t>
      </w:r>
      <w:r w:rsidRPr="004807FE">
        <w:rPr>
          <w:lang w:val="es-ES"/>
        </w:rPr>
        <w:t xml:space="preserve">duplicación </w:t>
      </w:r>
      <w:r>
        <w:rPr>
          <w:lang w:val="es-ES"/>
        </w:rPr>
        <w:t>de la labor</w:t>
      </w:r>
      <w:r w:rsidRPr="004807FE">
        <w:rPr>
          <w:lang w:val="es-ES"/>
        </w:rPr>
        <w:t xml:space="preserve"> que se </w:t>
      </w:r>
      <w:r>
        <w:rPr>
          <w:lang w:val="es-ES"/>
        </w:rPr>
        <w:t>lleva a cabo en</w:t>
      </w:r>
      <w:r w:rsidRPr="004807FE">
        <w:rPr>
          <w:lang w:val="es-ES"/>
        </w:rPr>
        <w:t xml:space="preserve"> otros foros. Por último, </w:t>
      </w:r>
      <w:r>
        <w:rPr>
          <w:lang w:val="es-ES"/>
        </w:rPr>
        <w:t>el costo para los Estados M</w:t>
      </w:r>
      <w:r w:rsidRPr="004807FE">
        <w:rPr>
          <w:lang w:val="es-ES"/>
        </w:rPr>
        <w:t xml:space="preserve">iembros </w:t>
      </w:r>
      <w:r>
        <w:rPr>
          <w:lang w:val="es-ES"/>
        </w:rPr>
        <w:t>de utilizar</w:t>
      </w:r>
      <w:r w:rsidRPr="004807FE">
        <w:rPr>
          <w:lang w:val="es-ES"/>
        </w:rPr>
        <w:t xml:space="preserve"> el proyecto de Recomendación podrí</w:t>
      </w:r>
      <w:r>
        <w:rPr>
          <w:lang w:val="es-ES"/>
        </w:rPr>
        <w:t>a superar sus beneficios</w:t>
      </w:r>
      <w:r w:rsidRPr="007E52B1">
        <w:rPr>
          <w:lang w:val="es-ES"/>
        </w:rPr>
        <w:t>.</w:t>
      </w:r>
    </w:p>
    <w:p w:rsidR="00D71B51" w:rsidRPr="00BF155F" w:rsidRDefault="00D71B51" w:rsidP="006D412D">
      <w:pPr>
        <w:rPr>
          <w:lang w:val="es-ES"/>
        </w:rPr>
      </w:pPr>
      <w:r w:rsidRPr="007E52B1">
        <w:rPr>
          <w:i/>
          <w:lang w:val="es-ES"/>
        </w:rPr>
        <w:lastRenderedPageBreak/>
        <w:t>En primer lugar</w:t>
      </w:r>
      <w:r w:rsidRPr="007E52B1">
        <w:rPr>
          <w:lang w:val="es-ES"/>
        </w:rPr>
        <w:t xml:space="preserve">, </w:t>
      </w:r>
      <w:r>
        <w:rPr>
          <w:lang w:val="es-ES"/>
        </w:rPr>
        <w:t>el proyecto de texto no guarda relación con la misión de la CE 3</w:t>
      </w:r>
      <w:r w:rsidRPr="007E52B1">
        <w:rPr>
          <w:lang w:val="es-ES"/>
        </w:rPr>
        <w:t xml:space="preserve">, </w:t>
      </w:r>
      <w:r>
        <w:rPr>
          <w:lang w:val="es-ES"/>
        </w:rPr>
        <w:t xml:space="preserve">relativa a </w:t>
      </w:r>
      <w:r w:rsidRPr="007E52B1">
        <w:rPr>
          <w:lang w:val="es-ES"/>
        </w:rPr>
        <w:t xml:space="preserve">los </w:t>
      </w:r>
      <w:r w:rsidRPr="00D71B51">
        <w:rPr>
          <w:lang w:val="es-ES"/>
        </w:rPr>
        <w:t>servicios</w:t>
      </w:r>
      <w:r w:rsidRPr="007E52B1">
        <w:rPr>
          <w:lang w:val="es-ES"/>
        </w:rPr>
        <w:t xml:space="preserve"> y </w:t>
      </w:r>
      <w:r>
        <w:rPr>
          <w:lang w:val="es-ES"/>
        </w:rPr>
        <w:t xml:space="preserve">las </w:t>
      </w:r>
      <w:r w:rsidRPr="007E52B1">
        <w:rPr>
          <w:lang w:val="es-ES"/>
        </w:rPr>
        <w:t xml:space="preserve">redes de telecomunicaciones internacionales. </w:t>
      </w:r>
      <w:r>
        <w:rPr>
          <w:lang w:val="es-ES"/>
        </w:rPr>
        <w:t>El término</w:t>
      </w:r>
      <w:r w:rsidRPr="007E52B1">
        <w:rPr>
          <w:lang w:val="es-ES"/>
        </w:rPr>
        <w:t xml:space="preserve"> "internacional"</w:t>
      </w:r>
      <w:r>
        <w:rPr>
          <w:lang w:val="es-ES"/>
        </w:rPr>
        <w:t>, por ejemplo,</w:t>
      </w:r>
      <w:r w:rsidRPr="007E52B1">
        <w:rPr>
          <w:lang w:val="es-ES"/>
        </w:rPr>
        <w:t xml:space="preserve"> </w:t>
      </w:r>
      <w:r>
        <w:rPr>
          <w:lang w:val="es-ES"/>
        </w:rPr>
        <w:t>no figura</w:t>
      </w:r>
      <w:r w:rsidRPr="007E52B1">
        <w:rPr>
          <w:lang w:val="es-ES"/>
        </w:rPr>
        <w:t xml:space="preserve"> en el proyecto de Recomendación. </w:t>
      </w:r>
      <w:r>
        <w:rPr>
          <w:lang w:val="es-ES"/>
        </w:rPr>
        <w:t>En el proyecto de texto de</w:t>
      </w:r>
      <w:r w:rsidR="006D412D">
        <w:rPr>
          <w:lang w:val="es-ES"/>
        </w:rPr>
        <w:t xml:space="preserve"> la</w:t>
      </w:r>
      <w:r>
        <w:rPr>
          <w:lang w:val="es-ES"/>
        </w:rPr>
        <w:t xml:space="preserve"> RGR se propone la reglamentación de las tarifas </w:t>
      </w:r>
      <w:r w:rsidRPr="007E52B1">
        <w:rPr>
          <w:lang w:val="es-ES"/>
        </w:rPr>
        <w:t>de agentes</w:t>
      </w:r>
      <w:r>
        <w:rPr>
          <w:lang w:val="es-ES"/>
        </w:rPr>
        <w:t xml:space="preserve"> o</w:t>
      </w:r>
      <w:r w:rsidRPr="007E52B1">
        <w:rPr>
          <w:lang w:val="es-ES"/>
        </w:rPr>
        <w:t xml:space="preserve"> intermediarios financieros</w:t>
      </w:r>
      <w:r>
        <w:rPr>
          <w:lang w:val="es-ES"/>
        </w:rPr>
        <w:t xml:space="preserve">, o de </w:t>
      </w:r>
      <w:r w:rsidRPr="007E52B1">
        <w:rPr>
          <w:lang w:val="es-ES"/>
        </w:rPr>
        <w:t>bancos (por ejemplo, en la Definición y en las secciones 6.2 y 8.3</w:t>
      </w:r>
      <w:r>
        <w:rPr>
          <w:lang w:val="es-ES"/>
        </w:rPr>
        <w:t xml:space="preserve">); no obstante, </w:t>
      </w:r>
      <w:r w:rsidRPr="007E52B1">
        <w:rPr>
          <w:lang w:val="es-ES"/>
        </w:rPr>
        <w:t xml:space="preserve">la misión de las Comisiones de Estudio </w:t>
      </w:r>
      <w:r>
        <w:rPr>
          <w:lang w:val="es-ES"/>
        </w:rPr>
        <w:t xml:space="preserve">de la </w:t>
      </w:r>
      <w:r w:rsidRPr="007E52B1">
        <w:rPr>
          <w:lang w:val="es-ES"/>
        </w:rPr>
        <w:t>TSB</w:t>
      </w:r>
      <w:r>
        <w:rPr>
          <w:lang w:val="es-ES"/>
        </w:rPr>
        <w:t>,</w:t>
      </w:r>
      <w:r w:rsidRPr="007E52B1">
        <w:rPr>
          <w:lang w:val="es-ES"/>
        </w:rPr>
        <w:t xml:space="preserve"> </w:t>
      </w:r>
      <w:r>
        <w:rPr>
          <w:lang w:val="es-ES"/>
        </w:rPr>
        <w:t>en virtud de lo establecido</w:t>
      </w:r>
      <w:r w:rsidRPr="007E52B1">
        <w:rPr>
          <w:lang w:val="es-ES"/>
        </w:rPr>
        <w:t xml:space="preserve"> en el Artículo 14 </w:t>
      </w:r>
      <w:r>
        <w:rPr>
          <w:lang w:val="es-ES"/>
        </w:rPr>
        <w:t xml:space="preserve">del </w:t>
      </w:r>
      <w:r w:rsidRPr="007537DC">
        <w:rPr>
          <w:lang w:val="es-ES"/>
        </w:rPr>
        <w:t>Convenio</w:t>
      </w:r>
      <w:r>
        <w:rPr>
          <w:lang w:val="es-ES"/>
        </w:rPr>
        <w:t xml:space="preserve">, en su </w:t>
      </w:r>
      <w:r w:rsidRPr="007E52B1">
        <w:rPr>
          <w:lang w:val="es-ES"/>
        </w:rPr>
        <w:t xml:space="preserve">disposición 193, es </w:t>
      </w:r>
      <w:r>
        <w:rPr>
          <w:lang w:val="es-ES"/>
        </w:rPr>
        <w:t xml:space="preserve">la de </w:t>
      </w:r>
      <w:r w:rsidRPr="007E52B1">
        <w:rPr>
          <w:lang w:val="es-ES"/>
        </w:rPr>
        <w:t xml:space="preserve">"normalizar las telecomunicaciones </w:t>
      </w:r>
      <w:r w:rsidRPr="00BF155F">
        <w:rPr>
          <w:lang w:val="es-ES"/>
        </w:rPr>
        <w:t xml:space="preserve">en el plano </w:t>
      </w:r>
      <w:r w:rsidRPr="006D412D">
        <w:rPr>
          <w:i/>
          <w:iCs/>
          <w:lang w:val="es-ES"/>
        </w:rPr>
        <w:t>mundial</w:t>
      </w:r>
      <w:r w:rsidRPr="007E52B1">
        <w:rPr>
          <w:lang w:val="es-ES"/>
        </w:rPr>
        <w:t xml:space="preserve">" (énfasis </w:t>
      </w:r>
      <w:r>
        <w:rPr>
          <w:lang w:val="es-ES"/>
        </w:rPr>
        <w:t>añadido</w:t>
      </w:r>
      <w:r w:rsidRPr="007E52B1">
        <w:rPr>
          <w:lang w:val="es-ES"/>
        </w:rPr>
        <w:t xml:space="preserve">). Además, </w:t>
      </w:r>
      <w:r>
        <w:rPr>
          <w:lang w:val="es-ES"/>
        </w:rPr>
        <w:t>en el A</w:t>
      </w:r>
      <w:r w:rsidRPr="007E52B1">
        <w:rPr>
          <w:lang w:val="es-ES"/>
        </w:rPr>
        <w:t>rtículo 1 de la Constitución</w:t>
      </w:r>
      <w:r>
        <w:rPr>
          <w:lang w:val="es-ES"/>
        </w:rPr>
        <w:t>, se alude al término</w:t>
      </w:r>
      <w:r w:rsidRPr="007E52B1">
        <w:rPr>
          <w:lang w:val="es-ES"/>
        </w:rPr>
        <w:t xml:space="preserve"> "telecomunicaciones", que se define como </w:t>
      </w:r>
      <w:r>
        <w:rPr>
          <w:lang w:val="es-ES"/>
        </w:rPr>
        <w:t xml:space="preserve">una actividad de </w:t>
      </w:r>
      <w:r w:rsidRPr="007E52B1">
        <w:rPr>
          <w:lang w:val="es-ES"/>
        </w:rPr>
        <w:t xml:space="preserve">transmisión. Las instituciones y los intermediarios financieros no </w:t>
      </w:r>
      <w:r>
        <w:rPr>
          <w:lang w:val="es-ES"/>
        </w:rPr>
        <w:t xml:space="preserve">toman parte en ninguna actividad de </w:t>
      </w:r>
      <w:r w:rsidRPr="007E52B1">
        <w:rPr>
          <w:lang w:val="es-ES"/>
        </w:rPr>
        <w:t xml:space="preserve">transmisión. </w:t>
      </w:r>
      <w:r>
        <w:rPr>
          <w:lang w:val="es-ES"/>
        </w:rPr>
        <w:t xml:space="preserve">Habida cuenta de ello, puesto que se </w:t>
      </w:r>
      <w:r w:rsidRPr="007E52B1">
        <w:rPr>
          <w:lang w:val="es-ES"/>
        </w:rPr>
        <w:t>abarca</w:t>
      </w:r>
      <w:r>
        <w:rPr>
          <w:lang w:val="es-ES"/>
        </w:rPr>
        <w:t>n</w:t>
      </w:r>
      <w:r w:rsidRPr="007E52B1">
        <w:rPr>
          <w:lang w:val="es-ES"/>
        </w:rPr>
        <w:t xml:space="preserve"> entidades que no </w:t>
      </w:r>
      <w:r>
        <w:rPr>
          <w:lang w:val="es-ES"/>
        </w:rPr>
        <w:t>llevan a cabo actividades de</w:t>
      </w:r>
      <w:r w:rsidRPr="007E52B1">
        <w:rPr>
          <w:lang w:val="es-ES"/>
        </w:rPr>
        <w:t xml:space="preserve"> telecomunicaciones</w:t>
      </w:r>
      <w:r>
        <w:rPr>
          <w:lang w:val="es-ES"/>
        </w:rPr>
        <w:t>,</w:t>
      </w:r>
      <w:r w:rsidRPr="007E52B1">
        <w:rPr>
          <w:lang w:val="es-ES"/>
        </w:rPr>
        <w:t xml:space="preserve"> ni necesariamente operan a nivel internacional, </w:t>
      </w:r>
      <w:r>
        <w:rPr>
          <w:lang w:val="es-ES"/>
        </w:rPr>
        <w:t>el Documento</w:t>
      </w:r>
      <w:r w:rsidRPr="00BF155F">
        <w:rPr>
          <w:lang w:val="es-ES"/>
        </w:rPr>
        <w:t xml:space="preserve"> </w:t>
      </w:r>
      <w:hyperlink r:id="rId19" w:history="1">
        <w:r w:rsidRPr="00BF155F">
          <w:rPr>
            <w:rStyle w:val="Hyperlink"/>
            <w:bCs/>
            <w:lang w:val="es-ES"/>
          </w:rPr>
          <w:t>TD13-WP2</w:t>
        </w:r>
      </w:hyperlink>
      <w:r w:rsidRPr="00BF155F">
        <w:rPr>
          <w:lang w:val="es-ES"/>
        </w:rPr>
        <w:t xml:space="preserve"> </w:t>
      </w:r>
      <w:r>
        <w:rPr>
          <w:lang w:val="es-ES"/>
        </w:rPr>
        <w:t>no se ajusta al mandato de la UIT</w:t>
      </w:r>
      <w:r>
        <w:rPr>
          <w:rStyle w:val="FootnoteReference"/>
          <w:lang w:val="es-ES"/>
        </w:rPr>
        <w:footnoteReference w:id="1"/>
      </w:r>
      <w:r w:rsidRPr="00BF155F">
        <w:rPr>
          <w:lang w:val="es-ES"/>
        </w:rPr>
        <w:t>.</w:t>
      </w:r>
    </w:p>
    <w:p w:rsidR="00D71B51" w:rsidRPr="00C83AA0" w:rsidRDefault="00D71B51" w:rsidP="00D71B51">
      <w:pPr>
        <w:rPr>
          <w:lang w:val="es-ES"/>
        </w:rPr>
      </w:pPr>
      <w:r>
        <w:rPr>
          <w:lang w:val="es-ES"/>
        </w:rPr>
        <w:t>Cabe señalar</w:t>
      </w:r>
      <w:r w:rsidRPr="00C83AA0">
        <w:rPr>
          <w:lang w:val="es-ES"/>
        </w:rPr>
        <w:t xml:space="preserve"> que el </w:t>
      </w:r>
      <w:hyperlink r:id="rId20" w:history="1">
        <w:r w:rsidRPr="00C83AA0">
          <w:rPr>
            <w:rStyle w:val="Hyperlink"/>
            <w:lang w:val="es-ES"/>
          </w:rPr>
          <w:t>GANT</w:t>
        </w:r>
      </w:hyperlink>
      <w:r w:rsidRPr="00C83AA0">
        <w:rPr>
          <w:lang w:val="es-ES"/>
        </w:rPr>
        <w:t xml:space="preserve"> asignó varios </w:t>
      </w:r>
      <w:r>
        <w:rPr>
          <w:lang w:val="es-ES"/>
        </w:rPr>
        <w:t>resultados</w:t>
      </w:r>
      <w:r w:rsidRPr="00C83AA0">
        <w:rPr>
          <w:lang w:val="es-ES"/>
        </w:rPr>
        <w:t xml:space="preserve"> de los Grupos </w:t>
      </w:r>
      <w:r w:rsidR="006D412D">
        <w:rPr>
          <w:lang w:val="es-ES"/>
        </w:rPr>
        <w:t>Temáticos</w:t>
      </w:r>
      <w:r w:rsidR="006D412D" w:rsidRPr="00C83AA0">
        <w:rPr>
          <w:lang w:val="es-ES"/>
        </w:rPr>
        <w:t xml:space="preserve"> </w:t>
      </w:r>
      <w:r w:rsidRPr="00C83AA0">
        <w:rPr>
          <w:lang w:val="es-ES"/>
        </w:rPr>
        <w:t xml:space="preserve">sobre </w:t>
      </w:r>
      <w:r>
        <w:rPr>
          <w:lang w:val="es-ES"/>
        </w:rPr>
        <w:t>S</w:t>
      </w:r>
      <w:r w:rsidRPr="00C83AA0">
        <w:rPr>
          <w:lang w:val="es-ES"/>
        </w:rPr>
        <w:t xml:space="preserve">ervicios </w:t>
      </w:r>
      <w:r w:rsidR="006D412D" w:rsidRPr="00C83AA0">
        <w:rPr>
          <w:lang w:val="es-ES"/>
        </w:rPr>
        <w:t xml:space="preserve">Financieros Digitales </w:t>
      </w:r>
      <w:r w:rsidRPr="00C83AA0">
        <w:rPr>
          <w:lang w:val="es-ES"/>
        </w:rPr>
        <w:t xml:space="preserve">a </w:t>
      </w:r>
      <w:r>
        <w:rPr>
          <w:lang w:val="es-ES"/>
        </w:rPr>
        <w:t>varias Comisiones de Estudio, en particular la CE 3. No obstante</w:t>
      </w:r>
      <w:r w:rsidRPr="00C83AA0">
        <w:rPr>
          <w:lang w:val="es-ES"/>
        </w:rPr>
        <w:t>, el GANT no puede ampliar el mandato de la Unión</w:t>
      </w:r>
      <w:r>
        <w:rPr>
          <w:lang w:val="es-ES"/>
        </w:rPr>
        <w:t>, incluido el Convenio</w:t>
      </w:r>
      <w:r w:rsidRPr="00C83AA0">
        <w:rPr>
          <w:lang w:val="es-ES"/>
        </w:rPr>
        <w:t xml:space="preserve">. </w:t>
      </w:r>
      <w:r>
        <w:rPr>
          <w:lang w:val="es-ES"/>
        </w:rPr>
        <w:t>En e</w:t>
      </w:r>
      <w:r w:rsidRPr="00C83AA0">
        <w:rPr>
          <w:lang w:val="es-ES"/>
        </w:rPr>
        <w:t xml:space="preserve">l </w:t>
      </w:r>
      <w:hyperlink r:id="rId21" w:history="1">
        <w:r w:rsidR="006D412D" w:rsidRPr="00A409EB">
          <w:rPr>
            <w:rStyle w:val="Hyperlink"/>
            <w:lang w:val="es-ES"/>
          </w:rPr>
          <w:t>i</w:t>
        </w:r>
        <w:r w:rsidRPr="00A409EB">
          <w:rPr>
            <w:rStyle w:val="Hyperlink"/>
            <w:lang w:val="es-ES"/>
          </w:rPr>
          <w:t xml:space="preserve">nforme del Grupo Temático sobre Servicios Financieros Digitales </w:t>
        </w:r>
        <w:r>
          <w:rPr>
            <w:rStyle w:val="Hyperlink"/>
            <w:lang w:val="es-ES"/>
          </w:rPr>
          <w:t xml:space="preserve">(FG-DFS) </w:t>
        </w:r>
        <w:r w:rsidRPr="00A409EB">
          <w:rPr>
            <w:rStyle w:val="Hyperlink"/>
            <w:lang w:val="es-ES"/>
          </w:rPr>
          <w:t xml:space="preserve">sobre </w:t>
        </w:r>
        <w:r>
          <w:rPr>
            <w:rStyle w:val="Hyperlink"/>
            <w:lang w:val="es-ES"/>
          </w:rPr>
          <w:t>r</w:t>
        </w:r>
        <w:r w:rsidRPr="00A409EB">
          <w:rPr>
            <w:rStyle w:val="Hyperlink"/>
            <w:lang w:val="es-ES"/>
          </w:rPr>
          <w:t>eglamentación</w:t>
        </w:r>
        <w:r>
          <w:rPr>
            <w:rStyle w:val="Hyperlink"/>
            <w:lang w:val="es-ES"/>
          </w:rPr>
          <w:t xml:space="preserve"> del s</w:t>
        </w:r>
        <w:r w:rsidRPr="00A409EB">
          <w:rPr>
            <w:rStyle w:val="Hyperlink"/>
            <w:lang w:val="es-ES"/>
          </w:rPr>
          <w:t>ector financiero digital</w:t>
        </w:r>
      </w:hyperlink>
      <w:r>
        <w:rPr>
          <w:lang w:val="es-ES"/>
        </w:rPr>
        <w:t xml:space="preserve"> s</w:t>
      </w:r>
      <w:r w:rsidRPr="00C83AA0">
        <w:rPr>
          <w:lang w:val="es-ES"/>
        </w:rPr>
        <w:t xml:space="preserve">e </w:t>
      </w:r>
      <w:r>
        <w:rPr>
          <w:lang w:val="es-ES"/>
        </w:rPr>
        <w:t>hizo hincapié</w:t>
      </w:r>
      <w:r w:rsidRPr="00C83AA0">
        <w:rPr>
          <w:lang w:val="es-ES"/>
        </w:rPr>
        <w:t xml:space="preserve"> en la </w:t>
      </w:r>
      <w:r w:rsidRPr="00A409EB">
        <w:rPr>
          <w:i/>
          <w:iCs/>
          <w:lang w:val="es-ES"/>
        </w:rPr>
        <w:t>colaboración</w:t>
      </w:r>
      <w:r w:rsidRPr="00C83AA0">
        <w:rPr>
          <w:lang w:val="es-ES"/>
        </w:rPr>
        <w:t xml:space="preserve"> entre </w:t>
      </w:r>
      <w:r>
        <w:rPr>
          <w:lang w:val="es-ES"/>
        </w:rPr>
        <w:t>los organismos de reglamentación de telecomunicaciones y los financieros</w:t>
      </w:r>
      <w:r w:rsidRPr="00C83AA0">
        <w:rPr>
          <w:lang w:val="es-ES"/>
        </w:rPr>
        <w:t xml:space="preserve">, </w:t>
      </w:r>
      <w:r>
        <w:rPr>
          <w:lang w:val="es-ES"/>
        </w:rPr>
        <w:t xml:space="preserve">sobre la base de un Memorando de </w:t>
      </w:r>
      <w:r w:rsidR="006D412D">
        <w:rPr>
          <w:lang w:val="es-ES"/>
        </w:rPr>
        <w:t>E</w:t>
      </w:r>
      <w:r w:rsidR="006D412D" w:rsidRPr="00C83AA0">
        <w:rPr>
          <w:lang w:val="es-ES"/>
        </w:rPr>
        <w:t xml:space="preserve">ntendimiento </w:t>
      </w:r>
      <w:r w:rsidRPr="00C83AA0">
        <w:rPr>
          <w:lang w:val="es-ES"/>
        </w:rPr>
        <w:t xml:space="preserve">que "no </w:t>
      </w:r>
      <w:r>
        <w:rPr>
          <w:lang w:val="es-ES"/>
        </w:rPr>
        <w:t>restringiera</w:t>
      </w:r>
      <w:r w:rsidRPr="00C83AA0">
        <w:rPr>
          <w:lang w:val="es-ES"/>
        </w:rPr>
        <w:t xml:space="preserve"> la independencia de las partes</w:t>
      </w:r>
      <w:r>
        <w:rPr>
          <w:lang w:val="es-ES"/>
        </w:rPr>
        <w:t xml:space="preserve"> del mismo</w:t>
      </w:r>
      <w:r w:rsidRPr="00C83AA0">
        <w:rPr>
          <w:lang w:val="es-ES"/>
        </w:rPr>
        <w:t>" (</w:t>
      </w:r>
      <w:r w:rsidR="006D412D" w:rsidRPr="00C83AA0">
        <w:rPr>
          <w:lang w:val="es-ES"/>
        </w:rPr>
        <w:t xml:space="preserve">sección </w:t>
      </w:r>
      <w:r w:rsidRPr="00C83AA0">
        <w:rPr>
          <w:lang w:val="es-ES"/>
        </w:rPr>
        <w:t xml:space="preserve">3.3.3). </w:t>
      </w:r>
      <w:r>
        <w:rPr>
          <w:lang w:val="es-ES"/>
        </w:rPr>
        <w:t>Nada en</w:t>
      </w:r>
      <w:r w:rsidRPr="00C83AA0">
        <w:rPr>
          <w:lang w:val="es-ES"/>
        </w:rPr>
        <w:t xml:space="preserve"> el informe </w:t>
      </w:r>
      <w:r>
        <w:rPr>
          <w:lang w:val="es-ES"/>
        </w:rPr>
        <w:t xml:space="preserve">del </w:t>
      </w:r>
      <w:r w:rsidRPr="00C83AA0">
        <w:rPr>
          <w:lang w:val="es-ES"/>
        </w:rPr>
        <w:t xml:space="preserve">FG-DFS </w:t>
      </w:r>
      <w:r>
        <w:rPr>
          <w:lang w:val="es-ES"/>
        </w:rPr>
        <w:t xml:space="preserve">requiere </w:t>
      </w:r>
      <w:r w:rsidRPr="00C83AA0">
        <w:rPr>
          <w:lang w:val="es-ES"/>
        </w:rPr>
        <w:t xml:space="preserve">una Recomendación </w:t>
      </w:r>
      <w:r>
        <w:rPr>
          <w:lang w:val="es-ES"/>
        </w:rPr>
        <w:t>de la CE 3</w:t>
      </w:r>
      <w:r w:rsidRPr="00C83AA0">
        <w:rPr>
          <w:lang w:val="es-ES"/>
        </w:rPr>
        <w:t>.</w:t>
      </w:r>
    </w:p>
    <w:p w:rsidR="00D71B51" w:rsidRPr="004012FF" w:rsidRDefault="00D71B51" w:rsidP="006D412D">
      <w:pPr>
        <w:rPr>
          <w:lang w:val="es-ES"/>
        </w:rPr>
      </w:pPr>
      <w:r w:rsidRPr="00630BA5">
        <w:rPr>
          <w:i/>
          <w:lang w:val="es-ES"/>
        </w:rPr>
        <w:t>En segundo lugar</w:t>
      </w:r>
      <w:r w:rsidRPr="00630BA5">
        <w:rPr>
          <w:lang w:val="es-ES"/>
        </w:rPr>
        <w:t xml:space="preserve">, una Recomendación del Sector de Normalización </w:t>
      </w:r>
      <w:r>
        <w:rPr>
          <w:lang w:val="es-ES"/>
        </w:rPr>
        <w:t xml:space="preserve">duplicaría la labor de terceros. El objetivo del </w:t>
      </w:r>
      <w:hyperlink r:id="rId22" w:history="1">
        <w:r w:rsidRPr="00630BA5">
          <w:rPr>
            <w:rStyle w:val="Hyperlink"/>
            <w:lang w:val="es-ES"/>
          </w:rPr>
          <w:t>Diálogo Mundial sobre Integración Financiera Digital (GDDFI)</w:t>
        </w:r>
      </w:hyperlink>
      <w:r w:rsidRPr="00630BA5">
        <w:rPr>
          <w:lang w:val="es-ES"/>
        </w:rPr>
        <w:t xml:space="preserve"> </w:t>
      </w:r>
      <w:r>
        <w:rPr>
          <w:lang w:val="es-ES"/>
        </w:rPr>
        <w:t xml:space="preserve">del UIT-D es fomentar e intensificar la reglamentación colaborativa entre los organismos de reglamentación de las TIC y los reguladores de otros sectores. Ello constituyó el tema principal del </w:t>
      </w:r>
      <w:r w:rsidRPr="0092287B">
        <w:rPr>
          <w:lang w:val="es-ES"/>
        </w:rPr>
        <w:t>Simposio Mundial de 2016</w:t>
      </w:r>
      <w:r>
        <w:rPr>
          <w:lang w:val="es-ES"/>
        </w:rPr>
        <w:t xml:space="preserve"> </w:t>
      </w:r>
      <w:r w:rsidRPr="0092287B">
        <w:rPr>
          <w:lang w:val="es-ES"/>
        </w:rPr>
        <w:t>para Organismos Reguladores</w:t>
      </w:r>
      <w:r>
        <w:rPr>
          <w:lang w:val="es-ES"/>
        </w:rPr>
        <w:t>. Por otro lado, sobre la base de la estrecha colaboración establecida por el FG</w:t>
      </w:r>
      <w:r w:rsidR="006D412D">
        <w:rPr>
          <w:lang w:val="es-ES"/>
        </w:rPr>
        <w:t>-</w:t>
      </w:r>
      <w:r>
        <w:rPr>
          <w:lang w:val="es-ES"/>
        </w:rPr>
        <w:t xml:space="preserve">DFS, se puso en marcha una </w:t>
      </w:r>
      <w:hyperlink r:id="rId23" w:history="1">
        <w:r w:rsidRPr="0092287B">
          <w:rPr>
            <w:rStyle w:val="Hyperlink"/>
            <w:lang w:val="es-ES"/>
          </w:rPr>
          <w:t xml:space="preserve">Iniciativa </w:t>
        </w:r>
        <w:r w:rsidR="006D412D" w:rsidRPr="0092287B">
          <w:rPr>
            <w:rStyle w:val="Hyperlink"/>
            <w:lang w:val="es-ES"/>
          </w:rPr>
          <w:t>m</w:t>
        </w:r>
        <w:r w:rsidRPr="0092287B">
          <w:rPr>
            <w:rStyle w:val="Hyperlink"/>
            <w:lang w:val="es-ES"/>
          </w:rPr>
          <w:t xml:space="preserve">undial para la </w:t>
        </w:r>
        <w:r w:rsidR="006D412D" w:rsidRPr="0092287B">
          <w:rPr>
            <w:rStyle w:val="Hyperlink"/>
            <w:lang w:val="es-ES"/>
          </w:rPr>
          <w:t>i</w:t>
        </w:r>
        <w:r w:rsidRPr="0092287B">
          <w:rPr>
            <w:rStyle w:val="Hyperlink"/>
            <w:lang w:val="es-ES"/>
          </w:rPr>
          <w:t xml:space="preserve">nclusión </w:t>
        </w:r>
        <w:r w:rsidR="006D412D" w:rsidRPr="0092287B">
          <w:rPr>
            <w:rStyle w:val="Hyperlink"/>
            <w:lang w:val="es-ES"/>
          </w:rPr>
          <w:t>f</w:t>
        </w:r>
        <w:r w:rsidRPr="0092287B">
          <w:rPr>
            <w:rStyle w:val="Hyperlink"/>
            <w:lang w:val="es-ES"/>
          </w:rPr>
          <w:t>inanciera (FIGI)</w:t>
        </w:r>
      </w:hyperlink>
      <w:r>
        <w:rPr>
          <w:lang w:val="es-ES"/>
        </w:rPr>
        <w:t xml:space="preserve"> en colaboración con la UIT, la Fundación </w:t>
      </w:r>
      <w:r w:rsidRPr="0092287B">
        <w:rPr>
          <w:lang w:val="es-ES"/>
        </w:rPr>
        <w:t>Bill &amp; Melinda Gates</w:t>
      </w:r>
      <w:r>
        <w:rPr>
          <w:lang w:val="es-ES"/>
        </w:rPr>
        <w:t>,</w:t>
      </w:r>
      <w:r w:rsidRPr="008F1133">
        <w:rPr>
          <w:lang w:val="es-ES"/>
        </w:rPr>
        <w:t xml:space="preserve"> </w:t>
      </w:r>
      <w:hyperlink r:id="rId24" w:history="1">
        <w:r w:rsidRPr="006D412D">
          <w:rPr>
            <w:lang w:val="es-ES"/>
          </w:rPr>
          <w:t xml:space="preserve">el </w:t>
        </w:r>
        <w:r w:rsidRPr="008F1133">
          <w:rPr>
            <w:rStyle w:val="Hyperlink"/>
            <w:lang w:val="es-ES"/>
          </w:rPr>
          <w:t>Banco Mundial</w:t>
        </w:r>
      </w:hyperlink>
      <w:r w:rsidRPr="008F1133">
        <w:rPr>
          <w:lang w:val="es-ES"/>
        </w:rPr>
        <w:t>,</w:t>
      </w:r>
      <w:r>
        <w:rPr>
          <w:lang w:val="es-ES"/>
        </w:rPr>
        <w:t xml:space="preserve"> y el </w:t>
      </w:r>
      <w:hyperlink r:id="rId25" w:history="1">
        <w:r w:rsidRPr="008F1133">
          <w:rPr>
            <w:rStyle w:val="Hyperlink"/>
            <w:lang w:val="es-ES"/>
          </w:rPr>
          <w:t>Comité de Pagos e Infraestructura de Mercado</w:t>
        </w:r>
      </w:hyperlink>
      <w:r w:rsidRPr="008F1133">
        <w:rPr>
          <w:lang w:val="es-ES"/>
        </w:rPr>
        <w:t xml:space="preserve"> (CPM</w:t>
      </w:r>
      <w:r>
        <w:rPr>
          <w:lang w:val="es-ES"/>
        </w:rPr>
        <w:t xml:space="preserve">I) del </w:t>
      </w:r>
      <w:hyperlink r:id="rId26" w:history="1">
        <w:r w:rsidRPr="008F1133">
          <w:rPr>
            <w:rStyle w:val="Hyperlink"/>
            <w:lang w:val="es-ES"/>
          </w:rPr>
          <w:t>Banco de Pagos Internacionales</w:t>
        </w:r>
      </w:hyperlink>
      <w:r w:rsidRPr="008F1133">
        <w:rPr>
          <w:lang w:val="es-ES"/>
        </w:rPr>
        <w:t xml:space="preserve">, </w:t>
      </w:r>
      <w:r>
        <w:rPr>
          <w:lang w:val="es-ES"/>
        </w:rPr>
        <w:t>a fin de</w:t>
      </w:r>
      <w:r w:rsidRPr="008F1133">
        <w:rPr>
          <w:lang w:val="es-ES"/>
        </w:rPr>
        <w:t xml:space="preserve"> </w:t>
      </w:r>
      <w:r>
        <w:rPr>
          <w:lang w:val="es-ES"/>
        </w:rPr>
        <w:t>facilitar e</w:t>
      </w:r>
      <w:r w:rsidRPr="008F1133">
        <w:rPr>
          <w:lang w:val="es-ES"/>
        </w:rPr>
        <w:t>l acceso universal a los servicios financieros</w:t>
      </w:r>
      <w:r>
        <w:rPr>
          <w:lang w:val="es-ES"/>
        </w:rPr>
        <w:t>. D</w:t>
      </w:r>
      <w:r w:rsidRPr="008F1133">
        <w:rPr>
          <w:lang w:val="es-ES"/>
        </w:rPr>
        <w:t>urante los tres próximos años (2017-2020)</w:t>
      </w:r>
      <w:r>
        <w:rPr>
          <w:lang w:val="es-ES"/>
        </w:rPr>
        <w:t>, la</w:t>
      </w:r>
      <w:r w:rsidRPr="008F1133">
        <w:rPr>
          <w:lang w:val="es-ES"/>
        </w:rPr>
        <w:t xml:space="preserve"> FIGI </w:t>
      </w:r>
      <w:r>
        <w:rPr>
          <w:lang w:val="es-ES"/>
        </w:rPr>
        <w:t>examinará</w:t>
      </w:r>
      <w:r w:rsidRPr="008F1133">
        <w:rPr>
          <w:lang w:val="es-ES"/>
        </w:rPr>
        <w:t xml:space="preserve"> la aplicación de las recomendaciones formuladas por el </w:t>
      </w:r>
      <w:r>
        <w:rPr>
          <w:lang w:val="es-ES"/>
        </w:rPr>
        <w:t>FG-DFS</w:t>
      </w:r>
      <w:r w:rsidRPr="008F1133">
        <w:rPr>
          <w:lang w:val="es-ES"/>
        </w:rPr>
        <w:t xml:space="preserve"> de la UIT, el </w:t>
      </w:r>
      <w:hyperlink r:id="rId27" w:history="1">
        <w:r w:rsidRPr="008F1133">
          <w:rPr>
            <w:rStyle w:val="Hyperlink"/>
            <w:lang w:val="es-ES"/>
          </w:rPr>
          <w:t xml:space="preserve">informe sobre inclusión financiera y los aspectos relacionados con los pagos </w:t>
        </w:r>
        <w:r>
          <w:rPr>
            <w:rStyle w:val="Hyperlink"/>
            <w:lang w:val="es-ES"/>
          </w:rPr>
          <w:t xml:space="preserve">(PAFI) </w:t>
        </w:r>
        <w:r w:rsidRPr="008F1133">
          <w:rPr>
            <w:lang w:val="es-ES"/>
          </w:rPr>
          <w:t>del Banco Mundial</w:t>
        </w:r>
      </w:hyperlink>
      <w:r w:rsidRPr="008F1133">
        <w:rPr>
          <w:lang w:val="es-ES"/>
        </w:rPr>
        <w:t xml:space="preserve"> y el Banco de Pagos Internacionales, y el</w:t>
      </w:r>
      <w:r>
        <w:rPr>
          <w:lang w:val="es-ES"/>
        </w:rPr>
        <w:t xml:space="preserve"> proyecto</w:t>
      </w:r>
      <w:r w:rsidRPr="008F1133">
        <w:rPr>
          <w:lang w:val="es-ES"/>
        </w:rPr>
        <w:t xml:space="preserve"> Level One de la</w:t>
      </w:r>
      <w:r>
        <w:rPr>
          <w:lang w:val="es-ES"/>
        </w:rPr>
        <w:t xml:space="preserve"> Fundación</w:t>
      </w:r>
      <w:r w:rsidRPr="008F1133">
        <w:rPr>
          <w:lang w:val="es-ES"/>
        </w:rPr>
        <w:t xml:space="preserve"> Gates</w:t>
      </w:r>
      <w:r w:rsidRPr="004012FF">
        <w:rPr>
          <w:lang w:val="es-ES"/>
        </w:rPr>
        <w:t xml:space="preserve">. </w:t>
      </w:r>
    </w:p>
    <w:p w:rsidR="00D71B51" w:rsidRPr="00146C9F" w:rsidRDefault="00D71B51" w:rsidP="00D71B51">
      <w:pPr>
        <w:rPr>
          <w:lang w:val="es-ES"/>
        </w:rPr>
      </w:pPr>
      <w:r w:rsidRPr="00146C9F">
        <w:rPr>
          <w:lang w:val="es-ES"/>
        </w:rPr>
        <w:t xml:space="preserve">El Banco Mundial y </w:t>
      </w:r>
      <w:r>
        <w:rPr>
          <w:lang w:val="es-ES"/>
        </w:rPr>
        <w:t xml:space="preserve">el </w:t>
      </w:r>
      <w:r w:rsidRPr="00146C9F">
        <w:rPr>
          <w:lang w:val="es-ES"/>
        </w:rPr>
        <w:t xml:space="preserve">CPMI son expertos financieros. </w:t>
      </w:r>
      <w:r>
        <w:rPr>
          <w:lang w:val="es-ES"/>
        </w:rPr>
        <w:t>E</w:t>
      </w:r>
      <w:r w:rsidRPr="00146C9F">
        <w:rPr>
          <w:lang w:val="es-ES"/>
        </w:rPr>
        <w:t xml:space="preserve">l Sector de Normalización es </w:t>
      </w:r>
      <w:r>
        <w:rPr>
          <w:lang w:val="es-ES"/>
        </w:rPr>
        <w:t xml:space="preserve">el más adecuado para proponer </w:t>
      </w:r>
      <w:r w:rsidRPr="00146C9F">
        <w:rPr>
          <w:lang w:val="es-ES"/>
        </w:rPr>
        <w:t xml:space="preserve">prácticas </w:t>
      </w:r>
      <w:r>
        <w:rPr>
          <w:lang w:val="es-ES"/>
        </w:rPr>
        <w:t>idóneas a</w:t>
      </w:r>
      <w:r w:rsidRPr="00146C9F">
        <w:rPr>
          <w:lang w:val="es-ES"/>
        </w:rPr>
        <w:t xml:space="preserve"> los operadores de red. </w:t>
      </w:r>
      <w:hyperlink r:id="rId28" w:history="1">
        <w:r w:rsidRPr="00146C9F">
          <w:rPr>
            <w:rStyle w:val="Hyperlink"/>
            <w:lang w:val="es-ES"/>
          </w:rPr>
          <w:t xml:space="preserve">La FIGI celebrará varios simposios anuales sobre estas cuestiones destinados a los </w:t>
        </w:r>
        <w:r w:rsidR="006D412D" w:rsidRPr="00146C9F">
          <w:rPr>
            <w:rStyle w:val="Hyperlink"/>
            <w:lang w:val="es-ES"/>
          </w:rPr>
          <w:t>m</w:t>
        </w:r>
        <w:r w:rsidRPr="00146C9F">
          <w:rPr>
            <w:rStyle w:val="Hyperlink"/>
            <w:lang w:val="es-ES"/>
          </w:rPr>
          <w:t>iembros de la UIT</w:t>
        </w:r>
      </w:hyperlink>
      <w:r w:rsidRPr="00146C9F">
        <w:rPr>
          <w:lang w:val="es-ES"/>
        </w:rPr>
        <w:t xml:space="preserve">. </w:t>
      </w:r>
      <w:r>
        <w:rPr>
          <w:lang w:val="es-ES"/>
        </w:rPr>
        <w:t>A raíz de la actual</w:t>
      </w:r>
      <w:r w:rsidRPr="00146C9F">
        <w:rPr>
          <w:lang w:val="es-ES"/>
        </w:rPr>
        <w:t xml:space="preserve"> austeridad presupuestaria, en lugar de </w:t>
      </w:r>
      <w:r>
        <w:rPr>
          <w:lang w:val="es-ES"/>
        </w:rPr>
        <w:t>trabajar</w:t>
      </w:r>
      <w:r w:rsidRPr="00146C9F">
        <w:rPr>
          <w:lang w:val="es-ES"/>
        </w:rPr>
        <w:t xml:space="preserve"> en </w:t>
      </w:r>
      <w:r>
        <w:rPr>
          <w:lang w:val="es-ES"/>
        </w:rPr>
        <w:t xml:space="preserve">esferas que no se ajusten a </w:t>
      </w:r>
      <w:r w:rsidRPr="00146C9F">
        <w:rPr>
          <w:lang w:val="es-ES"/>
        </w:rPr>
        <w:t xml:space="preserve">la jurisdicción y </w:t>
      </w:r>
      <w:r>
        <w:rPr>
          <w:lang w:val="es-ES"/>
        </w:rPr>
        <w:t>experiencia del Sector de Normalización,</w:t>
      </w:r>
      <w:r w:rsidRPr="00146C9F">
        <w:rPr>
          <w:lang w:val="es-ES"/>
        </w:rPr>
        <w:t xml:space="preserve"> y </w:t>
      </w:r>
      <w:r>
        <w:rPr>
          <w:lang w:val="es-ES"/>
        </w:rPr>
        <w:t xml:space="preserve">de </w:t>
      </w:r>
      <w:r w:rsidRPr="00146C9F">
        <w:rPr>
          <w:lang w:val="es-ES"/>
        </w:rPr>
        <w:t xml:space="preserve">duplicar </w:t>
      </w:r>
      <w:r>
        <w:rPr>
          <w:lang w:val="es-ES"/>
        </w:rPr>
        <w:t>la labor de terceros</w:t>
      </w:r>
      <w:r w:rsidRPr="00146C9F">
        <w:rPr>
          <w:lang w:val="es-ES"/>
        </w:rPr>
        <w:t xml:space="preserve">, Estados Unidos </w:t>
      </w:r>
      <w:r>
        <w:rPr>
          <w:lang w:val="es-ES"/>
        </w:rPr>
        <w:t>propone que</w:t>
      </w:r>
      <w:r w:rsidRPr="00146C9F">
        <w:rPr>
          <w:lang w:val="es-ES"/>
        </w:rPr>
        <w:t xml:space="preserve"> </w:t>
      </w:r>
      <w:r>
        <w:rPr>
          <w:lang w:val="es-ES"/>
        </w:rPr>
        <w:t>la CE 3</w:t>
      </w:r>
      <w:r w:rsidRPr="00146C9F">
        <w:rPr>
          <w:lang w:val="es-ES"/>
        </w:rPr>
        <w:t xml:space="preserve"> </w:t>
      </w:r>
      <w:r>
        <w:rPr>
          <w:lang w:val="es-ES"/>
        </w:rPr>
        <w:t>coordine su trabajo de forma más eficaz con</w:t>
      </w:r>
      <w:r w:rsidRPr="00146C9F">
        <w:rPr>
          <w:lang w:val="es-ES"/>
        </w:rPr>
        <w:t xml:space="preserve"> el Sector </w:t>
      </w:r>
      <w:r>
        <w:rPr>
          <w:lang w:val="es-ES"/>
        </w:rPr>
        <w:t>de Desarrollo</w:t>
      </w:r>
      <w:r w:rsidRPr="00146C9F">
        <w:rPr>
          <w:lang w:val="es-ES"/>
        </w:rPr>
        <w:t xml:space="preserve"> y </w:t>
      </w:r>
      <w:r>
        <w:rPr>
          <w:lang w:val="es-ES"/>
        </w:rPr>
        <w:t>otras actividades en curso</w:t>
      </w:r>
      <w:r w:rsidRPr="00146C9F">
        <w:rPr>
          <w:lang w:val="es-ES"/>
        </w:rPr>
        <w:t>.</w:t>
      </w:r>
    </w:p>
    <w:p w:rsidR="00D71B51" w:rsidRPr="0002038D" w:rsidRDefault="00D71B51" w:rsidP="00FB492C">
      <w:pPr>
        <w:keepLines/>
        <w:rPr>
          <w:lang w:val="es-ES"/>
        </w:rPr>
      </w:pPr>
      <w:r w:rsidRPr="0002038D">
        <w:rPr>
          <w:i/>
          <w:iCs/>
          <w:lang w:val="es-ES"/>
        </w:rPr>
        <w:lastRenderedPageBreak/>
        <w:t>En tercer lugar</w:t>
      </w:r>
      <w:r w:rsidRPr="00146C9F">
        <w:rPr>
          <w:lang w:val="es-ES"/>
        </w:rPr>
        <w:t xml:space="preserve">, </w:t>
      </w:r>
      <w:r>
        <w:rPr>
          <w:lang w:val="es-ES"/>
        </w:rPr>
        <w:t xml:space="preserve">si se tiene en cuenta </w:t>
      </w:r>
      <w:r w:rsidRPr="00146C9F">
        <w:rPr>
          <w:lang w:val="es-ES"/>
        </w:rPr>
        <w:t>la duplicación</w:t>
      </w:r>
      <w:r>
        <w:rPr>
          <w:lang w:val="es-ES"/>
        </w:rPr>
        <w:t xml:space="preserve"> de trabajos</w:t>
      </w:r>
      <w:r w:rsidRPr="00146C9F">
        <w:rPr>
          <w:lang w:val="es-ES"/>
        </w:rPr>
        <w:t xml:space="preserve">, un proyecto de Recomendación podría elevar los costos del dinero móvil. Algunos de los pagos </w:t>
      </w:r>
      <w:r>
        <w:rPr>
          <w:lang w:val="es-ES"/>
        </w:rPr>
        <w:t>que se abordan en este contexto</w:t>
      </w:r>
      <w:r w:rsidRPr="00146C9F">
        <w:rPr>
          <w:lang w:val="es-ES"/>
        </w:rPr>
        <w:t xml:space="preserve"> pueden </w:t>
      </w:r>
      <w:r>
        <w:rPr>
          <w:lang w:val="es-ES"/>
        </w:rPr>
        <w:t>corresponder a pequeñas cuantías</w:t>
      </w:r>
      <w:r w:rsidRPr="00146C9F">
        <w:rPr>
          <w:lang w:val="es-ES"/>
        </w:rPr>
        <w:t xml:space="preserve">, o como se señala en la Introducción, </w:t>
      </w:r>
      <w:r>
        <w:rPr>
          <w:lang w:val="es-ES"/>
        </w:rPr>
        <w:t xml:space="preserve">a </w:t>
      </w:r>
      <w:r w:rsidRPr="00146C9F">
        <w:rPr>
          <w:lang w:val="es-ES"/>
        </w:rPr>
        <w:t>"micropagos". Sin</w:t>
      </w:r>
      <w:r>
        <w:rPr>
          <w:lang w:val="es-ES"/>
        </w:rPr>
        <w:t xml:space="preserve"> </w:t>
      </w:r>
      <w:r w:rsidRPr="00146C9F">
        <w:rPr>
          <w:lang w:val="es-ES"/>
        </w:rPr>
        <w:t xml:space="preserve">embargo, las dificultades para establecer un modelo de costos y supervisar la regulación de los </w:t>
      </w:r>
      <w:bookmarkStart w:id="10" w:name="_GoBack"/>
      <w:bookmarkEnd w:id="10"/>
      <w:r w:rsidRPr="00146C9F">
        <w:rPr>
          <w:lang w:val="es-ES"/>
        </w:rPr>
        <w:t xml:space="preserve">intermediarios financieros y los bancos </w:t>
      </w:r>
      <w:r>
        <w:rPr>
          <w:lang w:val="es-ES"/>
        </w:rPr>
        <w:t>podrían</w:t>
      </w:r>
      <w:r w:rsidRPr="00146C9F">
        <w:rPr>
          <w:lang w:val="es-ES"/>
        </w:rPr>
        <w:t xml:space="preserve"> ser mayores que los enormes beneficios que </w:t>
      </w:r>
      <w:r>
        <w:rPr>
          <w:lang w:val="es-ES"/>
        </w:rPr>
        <w:t xml:space="preserve">el pago a través de </w:t>
      </w:r>
      <w:r w:rsidRPr="00146C9F">
        <w:rPr>
          <w:lang w:val="es-ES"/>
        </w:rPr>
        <w:t xml:space="preserve">teléfonos </w:t>
      </w:r>
      <w:r>
        <w:rPr>
          <w:lang w:val="es-ES"/>
        </w:rPr>
        <w:t>móviles</w:t>
      </w:r>
      <w:r w:rsidRPr="00146C9F">
        <w:rPr>
          <w:lang w:val="es-ES"/>
        </w:rPr>
        <w:t xml:space="preserve"> puede </w:t>
      </w:r>
      <w:r>
        <w:rPr>
          <w:lang w:val="es-ES"/>
        </w:rPr>
        <w:t>brindar</w:t>
      </w:r>
      <w:r w:rsidRPr="00146C9F">
        <w:rPr>
          <w:lang w:val="es-ES"/>
        </w:rPr>
        <w:t xml:space="preserve"> al consumidor. Antes de determinar una Recomendación</w:t>
      </w:r>
      <w:r>
        <w:rPr>
          <w:lang w:val="es-ES"/>
        </w:rPr>
        <w:t xml:space="preserve"> proponemos que se estudie si</w:t>
      </w:r>
      <w:r w:rsidRPr="00146C9F">
        <w:rPr>
          <w:lang w:val="es-ES"/>
        </w:rPr>
        <w:t xml:space="preserve"> los beneficios </w:t>
      </w:r>
      <w:r>
        <w:rPr>
          <w:lang w:val="es-ES"/>
        </w:rPr>
        <w:t xml:space="preserve">son superiores a </w:t>
      </w:r>
      <w:r w:rsidRPr="00146C9F">
        <w:rPr>
          <w:lang w:val="es-ES"/>
        </w:rPr>
        <w:t>los costos</w:t>
      </w:r>
      <w:r w:rsidRPr="0002038D">
        <w:rPr>
          <w:lang w:val="es-ES"/>
        </w:rPr>
        <w:t>.</w:t>
      </w:r>
    </w:p>
    <w:p w:rsidR="00D71B51" w:rsidRPr="0002038D" w:rsidRDefault="00D71B51" w:rsidP="006D412D">
      <w:pPr>
        <w:rPr>
          <w:lang w:val="es-ES"/>
        </w:rPr>
      </w:pPr>
      <w:r>
        <w:rPr>
          <w:lang w:val="es-ES"/>
        </w:rPr>
        <w:t>E</w:t>
      </w:r>
      <w:r w:rsidRPr="0002038D">
        <w:rPr>
          <w:lang w:val="es-ES"/>
        </w:rPr>
        <w:t xml:space="preserve">stados Unidos </w:t>
      </w:r>
      <w:r>
        <w:rPr>
          <w:lang w:val="es-ES"/>
        </w:rPr>
        <w:t>solicita</w:t>
      </w:r>
      <w:r w:rsidRPr="0002038D">
        <w:rPr>
          <w:lang w:val="es-ES"/>
        </w:rPr>
        <w:t xml:space="preserve"> que esta contribución sea de dominio público sin restricciones.</w:t>
      </w:r>
    </w:p>
    <w:p w:rsidR="00052100" w:rsidRPr="00D71B51" w:rsidRDefault="00052100" w:rsidP="003621B3">
      <w:pPr>
        <w:rPr>
          <w:lang w:val="es-ES"/>
        </w:rPr>
      </w:pPr>
    </w:p>
    <w:p w:rsidR="00052100" w:rsidRPr="003940CF" w:rsidRDefault="00052100">
      <w:pPr>
        <w:jc w:val="center"/>
        <w:rPr>
          <w:lang w:val="es-ES_tradnl"/>
        </w:rPr>
      </w:pPr>
      <w:r w:rsidRPr="003940CF">
        <w:rPr>
          <w:lang w:val="es-ES_tradnl"/>
        </w:rPr>
        <w:t>______________</w:t>
      </w:r>
    </w:p>
    <w:sectPr w:rsidR="00052100" w:rsidRPr="003940CF" w:rsidSect="008436BD">
      <w:headerReference w:type="default" r:id="rId29"/>
      <w:footerReference w:type="first" r:id="rId30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7ED" w:rsidRDefault="006747ED">
      <w:r>
        <w:separator/>
      </w:r>
    </w:p>
  </w:endnote>
  <w:endnote w:type="continuationSeparator" w:id="0">
    <w:p w:rsidR="006747ED" w:rsidRDefault="0067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2B3" w:rsidRPr="000832B3" w:rsidRDefault="000832B3" w:rsidP="003940CF">
    <w:pPr>
      <w:pStyle w:val="Footer"/>
      <w:rPr>
        <w:lang w:val="fr-CH"/>
      </w:rPr>
    </w:pPr>
    <w:r>
      <w:fldChar w:fldCharType="begin"/>
    </w:r>
    <w:r w:rsidRPr="000832B3">
      <w:rPr>
        <w:lang w:val="fr-CH"/>
      </w:rPr>
      <w:instrText xml:space="preserve"> FILENAME \p  \* MERGEFORMAT </w:instrText>
    </w:r>
    <w:r>
      <w:fldChar w:fldCharType="separate"/>
    </w:r>
    <w:r w:rsidR="006D412D">
      <w:rPr>
        <w:lang w:val="fr-CH"/>
      </w:rPr>
      <w:t>P:\ESP\ITU-T\COM-T\COM03\C\195S.docx</w:t>
    </w:r>
    <w:r>
      <w:fldChar w:fldCharType="end"/>
    </w:r>
    <w:r>
      <w:rPr>
        <w:lang w:val="fr-CH"/>
      </w:rPr>
      <w:t xml:space="preserve"> (434</w:t>
    </w:r>
    <w:r w:rsidR="00316FDC">
      <w:rPr>
        <w:lang w:val="fr-CH"/>
      </w:rPr>
      <w:t>2</w:t>
    </w:r>
    <w:r w:rsidR="003940CF">
      <w:rPr>
        <w:lang w:val="fr-CH"/>
      </w:rPr>
      <w:t>70</w:t>
    </w:r>
    <w:r w:rsidRPr="000832B3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7ED" w:rsidRDefault="006747ED">
      <w:r>
        <w:t>____________________</w:t>
      </w:r>
    </w:p>
  </w:footnote>
  <w:footnote w:type="continuationSeparator" w:id="0">
    <w:p w:rsidR="006747ED" w:rsidRDefault="006747ED">
      <w:r>
        <w:continuationSeparator/>
      </w:r>
    </w:p>
  </w:footnote>
  <w:footnote w:id="1">
    <w:p w:rsidR="00D71B51" w:rsidRPr="000B706B" w:rsidRDefault="00D71B51" w:rsidP="00D71B51">
      <w:pPr>
        <w:pStyle w:val="FootnoteText"/>
      </w:pPr>
      <w:r w:rsidRPr="000B706B">
        <w:rPr>
          <w:rStyle w:val="FootnoteReference"/>
        </w:rPr>
        <w:footnoteRef/>
      </w:r>
      <w:r w:rsidRPr="000B706B">
        <w:tab/>
        <w:t>Estas cuestiones son competencia de los supervisores bancarios de los Estados Miembros, en virtud de la legislación nacional de que se trate, y variarán de un país a otro. Su propia definición podría ser demasiado amplia. Si bien se abarcarían los servicios financieros prestados a través de operadores de redes móviles, de las referencias a "operador de plataforma" y "propio banco" se desprende que el proyecto de texto podría abarcar transferencias de dinero a través de redes fijas, en particular mediante transferencias electrónicas o cajeros automáticos.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4D1" w:rsidRPr="000E7A14" w:rsidRDefault="001A64D1" w:rsidP="008436BD">
    <w:pPr>
      <w:pStyle w:val="Header"/>
    </w:pPr>
    <w:r w:rsidRPr="000E7A14">
      <w:t xml:space="preserve">- </w:t>
    </w:r>
    <w:r w:rsidRPr="000E7A14">
      <w:fldChar w:fldCharType="begin"/>
    </w:r>
    <w:r w:rsidRPr="000E7A14">
      <w:instrText xml:space="preserve"> PAGE  \* MERGEFORMAT </w:instrText>
    </w:r>
    <w:r w:rsidRPr="000E7A14">
      <w:fldChar w:fldCharType="separate"/>
    </w:r>
    <w:r w:rsidR="00CD23D2">
      <w:rPr>
        <w:noProof/>
      </w:rPr>
      <w:t>3</w:t>
    </w:r>
    <w:r w:rsidRPr="000E7A14">
      <w:fldChar w:fldCharType="end"/>
    </w:r>
    <w:r w:rsidRPr="000E7A14">
      <w:t xml:space="preserve"> -</w:t>
    </w:r>
  </w:p>
  <w:p w:rsidR="001A64D1" w:rsidRPr="000E7A14" w:rsidRDefault="001A64D1" w:rsidP="008436BD">
    <w:pPr>
      <w:pStyle w:val="Header"/>
      <w:spacing w:after="240"/>
    </w:pPr>
    <w:r w:rsidRPr="000E7A14">
      <w:fldChar w:fldCharType="begin"/>
    </w:r>
    <w:r w:rsidRPr="000E7A14">
      <w:instrText xml:space="preserve"> STYLEREF  Docnumber  </w:instrText>
    </w:r>
    <w:r w:rsidRPr="000E7A14">
      <w:fldChar w:fldCharType="separate"/>
    </w:r>
    <w:r w:rsidR="00CD23D2">
      <w:rPr>
        <w:noProof/>
      </w:rPr>
      <w:t>SG3–C195–S</w:t>
    </w:r>
    <w:r w:rsidRPr="000E7A1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7D4"/>
    <w:multiLevelType w:val="hybridMultilevel"/>
    <w:tmpl w:val="452641FE"/>
    <w:lvl w:ilvl="0" w:tplc="7E14624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DD049A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B619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AC0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DCBA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A221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6424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32DD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4CD2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5D79A5"/>
    <w:multiLevelType w:val="hybridMultilevel"/>
    <w:tmpl w:val="D1900E5E"/>
    <w:lvl w:ilvl="0" w:tplc="7BEEFFAC">
      <w:start w:val="3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277E3F66"/>
    <w:multiLevelType w:val="hybridMultilevel"/>
    <w:tmpl w:val="EB6E8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A2448"/>
    <w:multiLevelType w:val="multilevel"/>
    <w:tmpl w:val="EDEC0CFE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ajorBidi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aj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aj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aj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aj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ajorBid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ajorBidi" w:hint="default"/>
      </w:rPr>
    </w:lvl>
  </w:abstractNum>
  <w:abstractNum w:abstractNumId="5" w15:restartNumberingAfterBreak="0">
    <w:nsid w:val="2B4539A6"/>
    <w:multiLevelType w:val="multilevel"/>
    <w:tmpl w:val="2388A5CC"/>
    <w:lvl w:ilvl="0">
      <w:start w:val="10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2EF76693"/>
    <w:multiLevelType w:val="hybridMultilevel"/>
    <w:tmpl w:val="B634678C"/>
    <w:lvl w:ilvl="0" w:tplc="75107DB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3C6A5CE8"/>
    <w:multiLevelType w:val="multilevel"/>
    <w:tmpl w:val="A5BA47CA"/>
    <w:lvl w:ilvl="0">
      <w:start w:val="8"/>
      <w:numFmt w:val="decimal"/>
      <w:lvlText w:val="%1"/>
      <w:lvlJc w:val="left"/>
      <w:pPr>
        <w:ind w:left="360" w:hanging="360"/>
      </w:pPr>
      <w:rPr>
        <w:rFonts w:asciiTheme="majorBidi" w:hAnsiTheme="maj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Bidi" w:hAnsiTheme="maj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ajorBidi" w:hAnsiTheme="maj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ajorBidi" w:hAnsiTheme="maj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ajorBidi" w:hAnsiTheme="maj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ajorBidi" w:hAnsiTheme="maj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ajorBidi" w:hAnsiTheme="maj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ajorBidi" w:hAnsiTheme="majorBid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ajorBidi" w:hAnsiTheme="majorBidi" w:hint="default"/>
      </w:rPr>
    </w:lvl>
  </w:abstractNum>
  <w:abstractNum w:abstractNumId="8" w15:restartNumberingAfterBreak="0">
    <w:nsid w:val="599C0F46"/>
    <w:multiLevelType w:val="hybridMultilevel"/>
    <w:tmpl w:val="565C69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76EA2"/>
    <w:multiLevelType w:val="multilevel"/>
    <w:tmpl w:val="EDEC0CFE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ajorBidi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aj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aj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aj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aj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ajorBid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ajorBidi" w:hint="default"/>
      </w:rPr>
    </w:lvl>
  </w:abstractNum>
  <w:abstractNum w:abstractNumId="10" w15:restartNumberingAfterBreak="0">
    <w:nsid w:val="6825312E"/>
    <w:multiLevelType w:val="multilevel"/>
    <w:tmpl w:val="6C42985A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aj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ajorBid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aj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aj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aj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aj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ajorBid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ajorBidi" w:hint="default"/>
      </w:rPr>
    </w:lvl>
  </w:abstractNum>
  <w:abstractNum w:abstractNumId="11" w15:restartNumberingAfterBreak="0">
    <w:nsid w:val="75005F8A"/>
    <w:multiLevelType w:val="multilevel"/>
    <w:tmpl w:val="1C32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FE5372"/>
    <w:multiLevelType w:val="hybridMultilevel"/>
    <w:tmpl w:val="63087FA4"/>
    <w:lvl w:ilvl="0" w:tplc="637C1C6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2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  <w:num w:numId="12">
    <w:abstractNumId w:val="3"/>
  </w:num>
  <w:num w:numId="1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64"/>
    <w:rsid w:val="0000238D"/>
    <w:rsid w:val="00005F33"/>
    <w:rsid w:val="00007E1F"/>
    <w:rsid w:val="00017DDE"/>
    <w:rsid w:val="00020EF9"/>
    <w:rsid w:val="00025AB5"/>
    <w:rsid w:val="00025B41"/>
    <w:rsid w:val="00051DB1"/>
    <w:rsid w:val="00052100"/>
    <w:rsid w:val="00054E1A"/>
    <w:rsid w:val="00066D2C"/>
    <w:rsid w:val="00067A3D"/>
    <w:rsid w:val="000832B3"/>
    <w:rsid w:val="000B295B"/>
    <w:rsid w:val="000B43AA"/>
    <w:rsid w:val="000B706B"/>
    <w:rsid w:val="000B72DA"/>
    <w:rsid w:val="000C1ADC"/>
    <w:rsid w:val="000C4B2F"/>
    <w:rsid w:val="000C616A"/>
    <w:rsid w:val="000D200E"/>
    <w:rsid w:val="000D752E"/>
    <w:rsid w:val="000F1203"/>
    <w:rsid w:val="000F2DE9"/>
    <w:rsid w:val="00100B93"/>
    <w:rsid w:val="00103412"/>
    <w:rsid w:val="0010798A"/>
    <w:rsid w:val="00110FD6"/>
    <w:rsid w:val="001221EE"/>
    <w:rsid w:val="00125EF2"/>
    <w:rsid w:val="00127D48"/>
    <w:rsid w:val="001462EF"/>
    <w:rsid w:val="00147575"/>
    <w:rsid w:val="001623B9"/>
    <w:rsid w:val="00177045"/>
    <w:rsid w:val="00184FA0"/>
    <w:rsid w:val="001A2010"/>
    <w:rsid w:val="001A64D1"/>
    <w:rsid w:val="001C1C6A"/>
    <w:rsid w:val="001D3DEA"/>
    <w:rsid w:val="001E7F76"/>
    <w:rsid w:val="001F2A65"/>
    <w:rsid w:val="001F7A44"/>
    <w:rsid w:val="002036B8"/>
    <w:rsid w:val="00205CE1"/>
    <w:rsid w:val="00206FFE"/>
    <w:rsid w:val="00225DF3"/>
    <w:rsid w:val="00241828"/>
    <w:rsid w:val="002448C7"/>
    <w:rsid w:val="0025299B"/>
    <w:rsid w:val="00263525"/>
    <w:rsid w:val="00264674"/>
    <w:rsid w:val="00264753"/>
    <w:rsid w:val="00274CE1"/>
    <w:rsid w:val="00296826"/>
    <w:rsid w:val="00296B18"/>
    <w:rsid w:val="002A45ED"/>
    <w:rsid w:val="002B5AAC"/>
    <w:rsid w:val="002D397B"/>
    <w:rsid w:val="002D7D89"/>
    <w:rsid w:val="002E3508"/>
    <w:rsid w:val="002F6FD2"/>
    <w:rsid w:val="00300C0E"/>
    <w:rsid w:val="00316FDC"/>
    <w:rsid w:val="00321A0F"/>
    <w:rsid w:val="0032406F"/>
    <w:rsid w:val="003351B7"/>
    <w:rsid w:val="003413BC"/>
    <w:rsid w:val="00343DA0"/>
    <w:rsid w:val="00344E90"/>
    <w:rsid w:val="003467BB"/>
    <w:rsid w:val="00353E84"/>
    <w:rsid w:val="003621B3"/>
    <w:rsid w:val="00363DA8"/>
    <w:rsid w:val="00373064"/>
    <w:rsid w:val="00382102"/>
    <w:rsid w:val="003865B1"/>
    <w:rsid w:val="003940CF"/>
    <w:rsid w:val="00396FC0"/>
    <w:rsid w:val="003A450A"/>
    <w:rsid w:val="003B4BF8"/>
    <w:rsid w:val="003D46B4"/>
    <w:rsid w:val="003D6014"/>
    <w:rsid w:val="003F70A0"/>
    <w:rsid w:val="00412BFB"/>
    <w:rsid w:val="00416A53"/>
    <w:rsid w:val="00430535"/>
    <w:rsid w:val="00456827"/>
    <w:rsid w:val="00457613"/>
    <w:rsid w:val="004709A3"/>
    <w:rsid w:val="004719EA"/>
    <w:rsid w:val="00475DFC"/>
    <w:rsid w:val="00480AA2"/>
    <w:rsid w:val="004847EC"/>
    <w:rsid w:val="00495699"/>
    <w:rsid w:val="00495DCD"/>
    <w:rsid w:val="004D0514"/>
    <w:rsid w:val="004E2CD4"/>
    <w:rsid w:val="00500BC0"/>
    <w:rsid w:val="00502BFB"/>
    <w:rsid w:val="005144F8"/>
    <w:rsid w:val="0052153E"/>
    <w:rsid w:val="00524C18"/>
    <w:rsid w:val="005329F2"/>
    <w:rsid w:val="005578D8"/>
    <w:rsid w:val="00561935"/>
    <w:rsid w:val="005720D9"/>
    <w:rsid w:val="00573F5B"/>
    <w:rsid w:val="00575ADA"/>
    <w:rsid w:val="00580F72"/>
    <w:rsid w:val="00593519"/>
    <w:rsid w:val="00600A48"/>
    <w:rsid w:val="006069A6"/>
    <w:rsid w:val="00611BF3"/>
    <w:rsid w:val="00621742"/>
    <w:rsid w:val="00623977"/>
    <w:rsid w:val="00623DB2"/>
    <w:rsid w:val="0063364F"/>
    <w:rsid w:val="00651454"/>
    <w:rsid w:val="00663E07"/>
    <w:rsid w:val="006730C0"/>
    <w:rsid w:val="006747ED"/>
    <w:rsid w:val="006766DD"/>
    <w:rsid w:val="00694561"/>
    <w:rsid w:val="00694A87"/>
    <w:rsid w:val="006A0BD8"/>
    <w:rsid w:val="006A4F56"/>
    <w:rsid w:val="006B1BCD"/>
    <w:rsid w:val="006B302D"/>
    <w:rsid w:val="006B584F"/>
    <w:rsid w:val="006C040B"/>
    <w:rsid w:val="006D412D"/>
    <w:rsid w:val="006F5CEA"/>
    <w:rsid w:val="006F75D7"/>
    <w:rsid w:val="00701044"/>
    <w:rsid w:val="0072247D"/>
    <w:rsid w:val="0072463B"/>
    <w:rsid w:val="00725200"/>
    <w:rsid w:val="007603B2"/>
    <w:rsid w:val="00766BC5"/>
    <w:rsid w:val="00770476"/>
    <w:rsid w:val="00777E8C"/>
    <w:rsid w:val="00783DF4"/>
    <w:rsid w:val="00786741"/>
    <w:rsid w:val="00786E8F"/>
    <w:rsid w:val="0079586B"/>
    <w:rsid w:val="00797C6F"/>
    <w:rsid w:val="007A5034"/>
    <w:rsid w:val="007B0444"/>
    <w:rsid w:val="007B18E8"/>
    <w:rsid w:val="007B201F"/>
    <w:rsid w:val="007B5645"/>
    <w:rsid w:val="007B7E6A"/>
    <w:rsid w:val="007D7B3C"/>
    <w:rsid w:val="008032D1"/>
    <w:rsid w:val="00806DE2"/>
    <w:rsid w:val="00810799"/>
    <w:rsid w:val="00816AC5"/>
    <w:rsid w:val="00822F06"/>
    <w:rsid w:val="0082692D"/>
    <w:rsid w:val="0084180C"/>
    <w:rsid w:val="008436BD"/>
    <w:rsid w:val="0084405E"/>
    <w:rsid w:val="00857A7A"/>
    <w:rsid w:val="008C2136"/>
    <w:rsid w:val="008E76EB"/>
    <w:rsid w:val="008F4F1F"/>
    <w:rsid w:val="008F5155"/>
    <w:rsid w:val="008F61D4"/>
    <w:rsid w:val="00911DDC"/>
    <w:rsid w:val="009127D2"/>
    <w:rsid w:val="00920220"/>
    <w:rsid w:val="00924C7D"/>
    <w:rsid w:val="0096172D"/>
    <w:rsid w:val="00964147"/>
    <w:rsid w:val="0096515D"/>
    <w:rsid w:val="00965731"/>
    <w:rsid w:val="0096597F"/>
    <w:rsid w:val="00991F62"/>
    <w:rsid w:val="009A1EAA"/>
    <w:rsid w:val="009A242B"/>
    <w:rsid w:val="009A4568"/>
    <w:rsid w:val="009B42C2"/>
    <w:rsid w:val="009B6777"/>
    <w:rsid w:val="009C7760"/>
    <w:rsid w:val="009D1228"/>
    <w:rsid w:val="009D1DD8"/>
    <w:rsid w:val="009D3364"/>
    <w:rsid w:val="009E5734"/>
    <w:rsid w:val="009F3EA0"/>
    <w:rsid w:val="00A164B9"/>
    <w:rsid w:val="00A21AC6"/>
    <w:rsid w:val="00A22C4E"/>
    <w:rsid w:val="00A251C7"/>
    <w:rsid w:val="00A43156"/>
    <w:rsid w:val="00A50DB5"/>
    <w:rsid w:val="00A56229"/>
    <w:rsid w:val="00A575DB"/>
    <w:rsid w:val="00A66F35"/>
    <w:rsid w:val="00A67128"/>
    <w:rsid w:val="00A724A1"/>
    <w:rsid w:val="00A7777A"/>
    <w:rsid w:val="00A94B26"/>
    <w:rsid w:val="00A968DF"/>
    <w:rsid w:val="00AA4F8B"/>
    <w:rsid w:val="00AA6349"/>
    <w:rsid w:val="00AA712B"/>
    <w:rsid w:val="00AB0078"/>
    <w:rsid w:val="00AB3AFB"/>
    <w:rsid w:val="00AC1F0C"/>
    <w:rsid w:val="00AC4B45"/>
    <w:rsid w:val="00AC76CA"/>
    <w:rsid w:val="00AD7939"/>
    <w:rsid w:val="00B045D6"/>
    <w:rsid w:val="00B168F4"/>
    <w:rsid w:val="00B30FEC"/>
    <w:rsid w:val="00B3533E"/>
    <w:rsid w:val="00B370ED"/>
    <w:rsid w:val="00B52779"/>
    <w:rsid w:val="00B64908"/>
    <w:rsid w:val="00B70562"/>
    <w:rsid w:val="00B71674"/>
    <w:rsid w:val="00B84715"/>
    <w:rsid w:val="00BA6762"/>
    <w:rsid w:val="00BB047B"/>
    <w:rsid w:val="00BB079B"/>
    <w:rsid w:val="00BB3A3C"/>
    <w:rsid w:val="00BD06DE"/>
    <w:rsid w:val="00BD2831"/>
    <w:rsid w:val="00BD36CA"/>
    <w:rsid w:val="00BE27EF"/>
    <w:rsid w:val="00BF4637"/>
    <w:rsid w:val="00C213C6"/>
    <w:rsid w:val="00C42A49"/>
    <w:rsid w:val="00C4712B"/>
    <w:rsid w:val="00C51E5B"/>
    <w:rsid w:val="00C5223B"/>
    <w:rsid w:val="00C52E55"/>
    <w:rsid w:val="00C57C78"/>
    <w:rsid w:val="00C60296"/>
    <w:rsid w:val="00C60914"/>
    <w:rsid w:val="00C62699"/>
    <w:rsid w:val="00C70E58"/>
    <w:rsid w:val="00C90C6E"/>
    <w:rsid w:val="00C91665"/>
    <w:rsid w:val="00CA1585"/>
    <w:rsid w:val="00CA22FA"/>
    <w:rsid w:val="00CB2ECA"/>
    <w:rsid w:val="00CB6F73"/>
    <w:rsid w:val="00CD23D2"/>
    <w:rsid w:val="00CE5588"/>
    <w:rsid w:val="00CF40AA"/>
    <w:rsid w:val="00CF4A61"/>
    <w:rsid w:val="00D012FE"/>
    <w:rsid w:val="00D024AA"/>
    <w:rsid w:val="00D043B1"/>
    <w:rsid w:val="00D17831"/>
    <w:rsid w:val="00D214D6"/>
    <w:rsid w:val="00D31060"/>
    <w:rsid w:val="00D506BE"/>
    <w:rsid w:val="00D54D9B"/>
    <w:rsid w:val="00D56039"/>
    <w:rsid w:val="00D57AE0"/>
    <w:rsid w:val="00D6017A"/>
    <w:rsid w:val="00D71B51"/>
    <w:rsid w:val="00D91FFC"/>
    <w:rsid w:val="00DA0001"/>
    <w:rsid w:val="00DA607A"/>
    <w:rsid w:val="00DB17DE"/>
    <w:rsid w:val="00DB52E0"/>
    <w:rsid w:val="00DB756B"/>
    <w:rsid w:val="00DD746F"/>
    <w:rsid w:val="00DE62A5"/>
    <w:rsid w:val="00DF66EC"/>
    <w:rsid w:val="00E278DD"/>
    <w:rsid w:val="00E27D72"/>
    <w:rsid w:val="00E72D31"/>
    <w:rsid w:val="00E739A8"/>
    <w:rsid w:val="00E77750"/>
    <w:rsid w:val="00E81592"/>
    <w:rsid w:val="00E96511"/>
    <w:rsid w:val="00EB6B94"/>
    <w:rsid w:val="00EE3833"/>
    <w:rsid w:val="00EF0C0F"/>
    <w:rsid w:val="00EF7C0E"/>
    <w:rsid w:val="00F1355B"/>
    <w:rsid w:val="00F14E42"/>
    <w:rsid w:val="00F235E9"/>
    <w:rsid w:val="00F316D0"/>
    <w:rsid w:val="00F463C3"/>
    <w:rsid w:val="00F527B1"/>
    <w:rsid w:val="00F6597E"/>
    <w:rsid w:val="00FA4A26"/>
    <w:rsid w:val="00FA6E22"/>
    <w:rsid w:val="00FB492C"/>
    <w:rsid w:val="00FB614E"/>
    <w:rsid w:val="00FE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297B2E"/>
  <w15:docId w15:val="{188B72B6-A1AF-4036-A539-CFB964CD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0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s-ES_tradnl" w:eastAsia="en-US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qFormat/>
    <w:pPr>
      <w:keepLines/>
      <w:spacing w:before="240" w:after="120"/>
      <w:jc w:val="center"/>
    </w:pPr>
    <w:rPr>
      <w:b/>
    </w:rPr>
  </w:style>
  <w:style w:type="paragraph" w:customStyle="1" w:styleId="TableNotitle">
    <w:name w:val="Table_No &amp; title"/>
    <w:basedOn w:val="Normal"/>
    <w:next w:val="Tablehead"/>
    <w:qFormat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 ... + Calibri,1..."/>
    <w:basedOn w:val="Note"/>
    <w:link w:val="FootnoteTextChar"/>
    <w:rsid w:val="00BD2831"/>
    <w:pPr>
      <w:keepLines/>
      <w:tabs>
        <w:tab w:val="clear" w:pos="794"/>
        <w:tab w:val="clear" w:pos="1191"/>
        <w:tab w:val="clear" w:pos="1588"/>
        <w:tab w:val="clear" w:pos="1985"/>
      </w:tabs>
      <w:ind w:left="142" w:hanging="142"/>
    </w:pPr>
    <w:rPr>
      <w:sz w:val="20"/>
      <w:lang w:val="es-ES_tradnl"/>
    </w:rPr>
  </w:style>
  <w:style w:type="paragraph" w:customStyle="1" w:styleId="Note">
    <w:name w:val="Note"/>
    <w:basedOn w:val="Normal"/>
    <w:link w:val="NoteChar"/>
    <w:pPr>
      <w:spacing w:before="80"/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qFormat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  <w:link w:val="ResNoChar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  <w:qFormat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2">
    <w:name w:val="toc 2"/>
    <w:basedOn w:val="TOC1"/>
    <w:uiPriority w:val="39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link w:val="TabletitleBRChar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link w:val="TableNoBRChar"/>
    <w:pPr>
      <w:keepNext/>
      <w:spacing w:before="560" w:after="120"/>
      <w:jc w:val="center"/>
    </w:pPr>
    <w:rPr>
      <w:caps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Docnumber">
    <w:name w:val="Docnumber"/>
    <w:basedOn w:val="Normal"/>
    <w:link w:val="DocnumberChar"/>
    <w:rsid w:val="00373064"/>
    <w:pPr>
      <w:jc w:val="right"/>
    </w:pPr>
    <w:rPr>
      <w:b/>
      <w:sz w:val="28"/>
    </w:rPr>
  </w:style>
  <w:style w:type="character" w:styleId="Hyperlink">
    <w:name w:val="Hyperlink"/>
    <w:aliases w:val="超级链接,Style 58,超?级链,超????,하이퍼링크2,하이퍼링크21,CEO_Hyperlink"/>
    <w:basedOn w:val="DefaultParagraphFont"/>
    <w:uiPriority w:val="99"/>
    <w:unhideWhenUsed/>
    <w:rsid w:val="0037306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3064"/>
    <w:rPr>
      <w:rFonts w:ascii="Times New Roman" w:hAnsi="Times New Roman"/>
      <w:b/>
      <w:sz w:val="24"/>
      <w:lang w:val="es-ES_tradnl" w:eastAsia="en-US"/>
    </w:rPr>
  </w:style>
  <w:style w:type="paragraph" w:customStyle="1" w:styleId="Reasons">
    <w:name w:val="Reasons"/>
    <w:basedOn w:val="Normal"/>
    <w:qFormat/>
    <w:rsid w:val="00C51E5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E77750"/>
  </w:style>
  <w:style w:type="paragraph" w:customStyle="1" w:styleId="H1">
    <w:name w:val="H1"/>
    <w:basedOn w:val="Heading2"/>
    <w:rsid w:val="006A4F56"/>
  </w:style>
  <w:style w:type="paragraph" w:customStyle="1" w:styleId="Agendaitem">
    <w:name w:val="Agenda_item"/>
    <w:basedOn w:val="Normal"/>
    <w:next w:val="Normal"/>
    <w:qFormat/>
    <w:rsid w:val="004E2CD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rFonts w:eastAsiaTheme="minorEastAsia"/>
      <w:sz w:val="28"/>
      <w:szCs w:val="24"/>
      <w:lang w:val="es-ES_tradnl" w:eastAsia="ja-JP"/>
    </w:rPr>
  </w:style>
  <w:style w:type="paragraph" w:customStyle="1" w:styleId="AnnexNo">
    <w:name w:val="Annex_No"/>
    <w:basedOn w:val="Normal"/>
    <w:next w:val="Normal"/>
    <w:rsid w:val="004E2CD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rFonts w:eastAsiaTheme="minorEastAsia"/>
      <w:caps/>
      <w:sz w:val="28"/>
      <w:szCs w:val="24"/>
      <w:lang w:eastAsia="ja-JP"/>
    </w:rPr>
  </w:style>
  <w:style w:type="paragraph" w:customStyle="1" w:styleId="Annexref">
    <w:name w:val="Annex_ref"/>
    <w:basedOn w:val="Normal"/>
    <w:next w:val="Normal"/>
    <w:rsid w:val="004E2CD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280"/>
      <w:jc w:val="center"/>
      <w:textAlignment w:val="auto"/>
    </w:pPr>
    <w:rPr>
      <w:rFonts w:eastAsiaTheme="minorEastAsia"/>
      <w:szCs w:val="24"/>
      <w:lang w:eastAsia="ja-JP"/>
    </w:rPr>
  </w:style>
  <w:style w:type="paragraph" w:customStyle="1" w:styleId="Annextitle">
    <w:name w:val="Annex_title"/>
    <w:basedOn w:val="Normal"/>
    <w:next w:val="Normal"/>
    <w:link w:val="AnnextitleChar"/>
    <w:rsid w:val="004E2CD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Theme="minorEastAsia" w:hAnsi="Times New Roman Bold"/>
      <w:b/>
      <w:sz w:val="28"/>
      <w:szCs w:val="24"/>
      <w:lang w:eastAsia="ja-JP"/>
    </w:rPr>
  </w:style>
  <w:style w:type="paragraph" w:customStyle="1" w:styleId="AppendixNo">
    <w:name w:val="Appendix_No"/>
    <w:basedOn w:val="AnnexNo"/>
    <w:next w:val="Annexref"/>
    <w:rsid w:val="004E2CD4"/>
  </w:style>
  <w:style w:type="paragraph" w:customStyle="1" w:styleId="ApptoAnnex">
    <w:name w:val="App_to_Annex"/>
    <w:basedOn w:val="AppendixNo"/>
    <w:next w:val="Normal"/>
    <w:qFormat/>
    <w:rsid w:val="004E2CD4"/>
  </w:style>
  <w:style w:type="paragraph" w:customStyle="1" w:styleId="Appendixref">
    <w:name w:val="Appendix_ref"/>
    <w:basedOn w:val="Annexref"/>
    <w:next w:val="Annextitle"/>
    <w:rsid w:val="004E2CD4"/>
  </w:style>
  <w:style w:type="paragraph" w:customStyle="1" w:styleId="Appendixtitle">
    <w:name w:val="Appendix_title"/>
    <w:basedOn w:val="Annextitle"/>
    <w:next w:val="Normal"/>
    <w:rsid w:val="004E2CD4"/>
  </w:style>
  <w:style w:type="paragraph" w:styleId="NormalIndent">
    <w:name w:val="Normal Indent"/>
    <w:basedOn w:val="Normal"/>
    <w:rsid w:val="004E2CD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134"/>
      <w:textAlignment w:val="auto"/>
    </w:pPr>
    <w:rPr>
      <w:rFonts w:eastAsiaTheme="minorEastAsia"/>
      <w:szCs w:val="24"/>
      <w:lang w:eastAsia="ja-JP"/>
    </w:rPr>
  </w:style>
  <w:style w:type="paragraph" w:customStyle="1" w:styleId="FigureNo">
    <w:name w:val="Figure_No"/>
    <w:basedOn w:val="Normal"/>
    <w:next w:val="Normal"/>
    <w:rsid w:val="004E2CD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rFonts w:eastAsiaTheme="minorEastAsia"/>
      <w:caps/>
      <w:sz w:val="20"/>
      <w:szCs w:val="24"/>
      <w:lang w:eastAsia="ja-JP"/>
    </w:rPr>
  </w:style>
  <w:style w:type="paragraph" w:customStyle="1" w:styleId="Figuretitle">
    <w:name w:val="Figure_title"/>
    <w:basedOn w:val="Normal"/>
    <w:next w:val="Normal"/>
    <w:rsid w:val="004E2CD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480"/>
      <w:jc w:val="center"/>
      <w:textAlignment w:val="auto"/>
    </w:pPr>
    <w:rPr>
      <w:rFonts w:ascii="Times New Roman Bold" w:eastAsiaTheme="minorEastAsia" w:hAnsi="Times New Roman Bold"/>
      <w:b/>
      <w:sz w:val="20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rsid w:val="004E2CD4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1,ALTS FOOTNOTE Char,Footnote Text Char ... + Calibri Char,1... Char1"/>
    <w:basedOn w:val="DefaultParagraphFont"/>
    <w:link w:val="FootnoteText"/>
    <w:rsid w:val="00BD2831"/>
    <w:rPr>
      <w:rFonts w:ascii="Times New Roman" w:hAnsi="Times New Roman"/>
      <w:lang w:val="es-ES_tradnl" w:eastAsia="en-US"/>
    </w:rPr>
  </w:style>
  <w:style w:type="character" w:customStyle="1" w:styleId="HeaderChar">
    <w:name w:val="Header Char"/>
    <w:basedOn w:val="DefaultParagraphFont"/>
    <w:link w:val="Header"/>
    <w:rsid w:val="004E2CD4"/>
    <w:rPr>
      <w:rFonts w:ascii="Times New Roman" w:hAnsi="Times New Roman"/>
      <w:sz w:val="18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4E2CD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80"/>
      <w:textAlignment w:val="auto"/>
    </w:pPr>
    <w:rPr>
      <w:rFonts w:eastAsiaTheme="minorEastAsia"/>
      <w:szCs w:val="24"/>
      <w:lang w:eastAsia="ja-JP"/>
    </w:rPr>
  </w:style>
  <w:style w:type="paragraph" w:customStyle="1" w:styleId="Section3">
    <w:name w:val="Section_3"/>
    <w:basedOn w:val="Section1"/>
    <w:rsid w:val="004E2CD4"/>
    <w:pPr>
      <w:tabs>
        <w:tab w:val="center" w:pos="4820"/>
      </w:tabs>
      <w:overflowPunct/>
      <w:autoSpaceDE/>
      <w:autoSpaceDN/>
      <w:adjustRightInd/>
      <w:spacing w:before="360"/>
      <w:textAlignment w:val="auto"/>
    </w:pPr>
    <w:rPr>
      <w:rFonts w:eastAsiaTheme="minorEastAsia"/>
      <w:b w:val="0"/>
      <w:szCs w:val="24"/>
      <w:lang w:eastAsia="ja-JP"/>
    </w:rPr>
  </w:style>
  <w:style w:type="paragraph" w:customStyle="1" w:styleId="Subsection1">
    <w:name w:val="Subsection_1"/>
    <w:basedOn w:val="Section1"/>
    <w:next w:val="Normalaftertitle0"/>
    <w:qFormat/>
    <w:rsid w:val="004E2CD4"/>
    <w:pPr>
      <w:tabs>
        <w:tab w:val="center" w:pos="4820"/>
      </w:tabs>
      <w:overflowPunct/>
      <w:autoSpaceDE/>
      <w:autoSpaceDN/>
      <w:adjustRightInd/>
      <w:spacing w:before="360"/>
      <w:textAlignment w:val="auto"/>
    </w:pPr>
    <w:rPr>
      <w:rFonts w:eastAsiaTheme="minorEastAsia"/>
      <w:szCs w:val="24"/>
      <w:lang w:eastAsia="ja-JP"/>
    </w:rPr>
  </w:style>
  <w:style w:type="paragraph" w:customStyle="1" w:styleId="TableNo">
    <w:name w:val="Table_No"/>
    <w:basedOn w:val="Normal"/>
    <w:next w:val="Normal"/>
    <w:rsid w:val="004E2CD4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eastAsiaTheme="minorEastAsia"/>
      <w:caps/>
      <w:sz w:val="20"/>
      <w:szCs w:val="24"/>
      <w:lang w:eastAsia="ja-JP"/>
    </w:rPr>
  </w:style>
  <w:style w:type="paragraph" w:customStyle="1" w:styleId="Normalend">
    <w:name w:val="Normal_end"/>
    <w:basedOn w:val="Normal"/>
    <w:next w:val="Normal"/>
    <w:qFormat/>
    <w:rsid w:val="004E2CD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val="en-US" w:eastAsia="ja-JP"/>
    </w:rPr>
  </w:style>
  <w:style w:type="paragraph" w:customStyle="1" w:styleId="Proposal">
    <w:name w:val="Proposal"/>
    <w:basedOn w:val="Normal"/>
    <w:next w:val="Normal"/>
    <w:rsid w:val="004E2CD4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eastAsiaTheme="minorEastAsia" w:hAnsi="Times New Roman Bold"/>
      <w:szCs w:val="24"/>
      <w:lang w:eastAsia="ja-JP"/>
    </w:rPr>
  </w:style>
  <w:style w:type="paragraph" w:customStyle="1" w:styleId="Tabletitle">
    <w:name w:val="Table_title"/>
    <w:basedOn w:val="Normal"/>
    <w:next w:val="Tabletext"/>
    <w:rsid w:val="004E2CD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jc w:val="center"/>
      <w:textAlignment w:val="auto"/>
    </w:pPr>
    <w:rPr>
      <w:rFonts w:ascii="Times New Roman Bold" w:eastAsiaTheme="minorEastAsia" w:hAnsi="Times New Roman Bold"/>
      <w:b/>
      <w:sz w:val="20"/>
      <w:szCs w:val="24"/>
      <w:lang w:eastAsia="ja-JP"/>
    </w:rPr>
  </w:style>
  <w:style w:type="paragraph" w:customStyle="1" w:styleId="Part1">
    <w:name w:val="Part_1"/>
    <w:basedOn w:val="Section1"/>
    <w:next w:val="Section1"/>
    <w:qFormat/>
    <w:rsid w:val="004E2CD4"/>
    <w:pPr>
      <w:tabs>
        <w:tab w:val="center" w:pos="4820"/>
      </w:tabs>
      <w:overflowPunct/>
      <w:autoSpaceDE/>
      <w:autoSpaceDN/>
      <w:adjustRightInd/>
      <w:spacing w:before="360"/>
      <w:textAlignment w:val="auto"/>
    </w:pPr>
    <w:rPr>
      <w:rFonts w:eastAsiaTheme="minorEastAsia"/>
      <w:szCs w:val="24"/>
      <w:lang w:eastAsia="ja-JP"/>
    </w:rPr>
  </w:style>
  <w:style w:type="paragraph" w:customStyle="1" w:styleId="AppArtNo">
    <w:name w:val="App_Art_No"/>
    <w:basedOn w:val="ArtNo"/>
    <w:qFormat/>
    <w:rsid w:val="004E2CD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AppArttitle">
    <w:name w:val="App_Art_title"/>
    <w:basedOn w:val="Arttitle"/>
    <w:qFormat/>
    <w:rsid w:val="004E2CD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styleId="BalloonText">
    <w:name w:val="Balloon Text"/>
    <w:basedOn w:val="Normal"/>
    <w:link w:val="BalloonTextChar"/>
    <w:rsid w:val="004E2CD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Theme="minorEastAsia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rsid w:val="004E2CD4"/>
    <w:rPr>
      <w:rFonts w:ascii="Tahoma" w:eastAsiaTheme="minorEastAsia" w:hAnsi="Tahoma" w:cs="Tahoma"/>
      <w:sz w:val="16"/>
      <w:szCs w:val="16"/>
      <w:lang w:val="en-GB" w:eastAsia="ja-JP"/>
    </w:rPr>
  </w:style>
  <w:style w:type="paragraph" w:customStyle="1" w:styleId="Committee">
    <w:name w:val="Committee"/>
    <w:basedOn w:val="Normal"/>
    <w:qFormat/>
    <w:rsid w:val="004E2CD4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spacing w:before="0" w:line="240" w:lineRule="atLeast"/>
      <w:textAlignment w:val="auto"/>
    </w:pPr>
    <w:rPr>
      <w:rFonts w:ascii="Verdana" w:eastAsiaTheme="minorEastAsia" w:hAnsi="Verdana"/>
      <w:b/>
      <w:sz w:val="20"/>
      <w:szCs w:val="24"/>
      <w:lang w:eastAsia="ja-JP"/>
    </w:rPr>
  </w:style>
  <w:style w:type="paragraph" w:customStyle="1" w:styleId="VolumeTitle">
    <w:name w:val="VolumeTitle"/>
    <w:basedOn w:val="Normal"/>
    <w:qFormat/>
    <w:rsid w:val="004E2CD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rFonts w:eastAsiaTheme="minorEastAsia"/>
      <w:b/>
      <w:sz w:val="48"/>
      <w:szCs w:val="48"/>
      <w:lang w:eastAsia="ja-JP"/>
    </w:rPr>
  </w:style>
  <w:style w:type="paragraph" w:customStyle="1" w:styleId="Opinionref">
    <w:name w:val="Opinion_ref"/>
    <w:basedOn w:val="Normal"/>
    <w:next w:val="Normalaftertitle0"/>
    <w:qFormat/>
    <w:rsid w:val="004E2CD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eastAsiaTheme="minorEastAsia"/>
      <w:i/>
      <w:sz w:val="22"/>
      <w:szCs w:val="24"/>
      <w:lang w:val="fr-CH" w:eastAsia="ja-JP"/>
    </w:rPr>
  </w:style>
  <w:style w:type="paragraph" w:customStyle="1" w:styleId="Opiniontitle">
    <w:name w:val="Opinion_title"/>
    <w:basedOn w:val="Restitle"/>
    <w:next w:val="Opinionref"/>
    <w:qFormat/>
    <w:rsid w:val="004E2CD4"/>
    <w:rPr>
      <w:rFonts w:eastAsiaTheme="minorEastAsia"/>
      <w:lang w:eastAsia="ja-JP"/>
    </w:rPr>
  </w:style>
  <w:style w:type="paragraph" w:customStyle="1" w:styleId="OpinionNo">
    <w:name w:val="Opinion_No"/>
    <w:basedOn w:val="ResNo"/>
    <w:next w:val="Opiniontitle"/>
    <w:qFormat/>
    <w:rsid w:val="004E2CD4"/>
    <w:rPr>
      <w:rFonts w:eastAsiaTheme="minorEastAsia"/>
      <w:lang w:eastAsia="ja-JP"/>
    </w:rPr>
  </w:style>
  <w:style w:type="paragraph" w:customStyle="1" w:styleId="Heading1Centered">
    <w:name w:val="Heading 1 Centered"/>
    <w:basedOn w:val="Heading1"/>
    <w:rsid w:val="004E2CD4"/>
    <w:pPr>
      <w:ind w:left="0" w:firstLine="0"/>
      <w:jc w:val="center"/>
    </w:pPr>
    <w:rPr>
      <w:rFonts w:eastAsiaTheme="minorEastAsia"/>
      <w:bCs/>
    </w:rPr>
  </w:style>
  <w:style w:type="character" w:customStyle="1" w:styleId="Heading2Char">
    <w:name w:val="Heading 2 Char"/>
    <w:basedOn w:val="DefaultParagraphFont"/>
    <w:link w:val="Heading2"/>
    <w:rsid w:val="004E2CD4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E2CD4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E2CD4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E2CD4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E2CD4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E2CD4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E2CD4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E2CD4"/>
    <w:rPr>
      <w:rFonts w:ascii="Times New Roman" w:hAnsi="Times New Roman"/>
      <w:b/>
      <w:sz w:val="24"/>
      <w:lang w:val="en-GB" w:eastAsia="en-US"/>
    </w:rPr>
  </w:style>
  <w:style w:type="table" w:styleId="TableGrid">
    <w:name w:val="Table Grid"/>
    <w:basedOn w:val="TableNormal"/>
    <w:rsid w:val="004E2CD4"/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rectionSeparatorBegin">
    <w:name w:val="Correction Separator Begin"/>
    <w:basedOn w:val="Normal"/>
    <w:rsid w:val="004E2CD4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4E2CD4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4E2CD4"/>
    <w:rPr>
      <w:rFonts w:eastAsiaTheme="minorEastAsia"/>
      <w:b/>
      <w:bCs/>
      <w:lang w:eastAsia="ja-JP"/>
    </w:rPr>
  </w:style>
  <w:style w:type="paragraph" w:customStyle="1" w:styleId="LSDeadline">
    <w:name w:val="LSDeadline"/>
    <w:basedOn w:val="Normal"/>
    <w:rsid w:val="004E2CD4"/>
    <w:rPr>
      <w:rFonts w:eastAsiaTheme="minorEastAsia"/>
      <w:b/>
      <w:bCs/>
      <w:lang w:eastAsia="ja-JP"/>
    </w:rPr>
  </w:style>
  <w:style w:type="paragraph" w:customStyle="1" w:styleId="LSFor">
    <w:name w:val="LSFor"/>
    <w:basedOn w:val="Normal"/>
    <w:rsid w:val="004E2CD4"/>
    <w:rPr>
      <w:rFonts w:eastAsiaTheme="minorEastAsia"/>
      <w:b/>
      <w:bCs/>
      <w:lang w:eastAsia="ja-JP"/>
    </w:rPr>
  </w:style>
  <w:style w:type="paragraph" w:customStyle="1" w:styleId="LSSource">
    <w:name w:val="LSSource"/>
    <w:basedOn w:val="Normal"/>
    <w:rsid w:val="004E2CD4"/>
    <w:rPr>
      <w:rFonts w:eastAsiaTheme="minorEastAsia"/>
      <w:b/>
      <w:bCs/>
      <w:lang w:eastAsia="ja-JP"/>
    </w:rPr>
  </w:style>
  <w:style w:type="paragraph" w:customStyle="1" w:styleId="LSTitle">
    <w:name w:val="LSTitle"/>
    <w:basedOn w:val="Normal"/>
    <w:link w:val="LSTitleChar"/>
    <w:rsid w:val="004E2CD4"/>
    <w:rPr>
      <w:rFonts w:eastAsiaTheme="minorEastAsia"/>
      <w:b/>
      <w:bCs/>
      <w:lang w:eastAsia="ja-JP"/>
    </w:rPr>
  </w:style>
  <w:style w:type="paragraph" w:customStyle="1" w:styleId="LSTo">
    <w:name w:val="LSTo"/>
    <w:basedOn w:val="Normal"/>
    <w:rsid w:val="004E2CD4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uiPriority w:val="99"/>
    <w:rsid w:val="004E2CD4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4E2CD4"/>
    <w:pPr>
      <w:tabs>
        <w:tab w:val="clear" w:pos="794"/>
        <w:tab w:val="clear" w:pos="1191"/>
        <w:tab w:val="clear" w:pos="1588"/>
        <w:tab w:val="clear" w:pos="1985"/>
      </w:tabs>
      <w:overflowPunct/>
      <w:textAlignment w:val="auto"/>
    </w:pPr>
    <w:rPr>
      <w:rFonts w:eastAsiaTheme="minorEastAsia" w:cs="Arial"/>
      <w:lang w:val="en-US"/>
    </w:rPr>
  </w:style>
  <w:style w:type="paragraph" w:customStyle="1" w:styleId="References">
    <w:name w:val="References"/>
    <w:basedOn w:val="Normal"/>
    <w:rsid w:val="004E2CD4"/>
    <w:pPr>
      <w:widowControl w:val="0"/>
      <w:numPr>
        <w:numId w:val="1"/>
      </w:numPr>
      <w:tabs>
        <w:tab w:val="clear" w:pos="794"/>
        <w:tab w:val="clear" w:pos="1191"/>
        <w:tab w:val="clear" w:pos="1588"/>
        <w:tab w:val="clear" w:pos="1985"/>
      </w:tabs>
    </w:pPr>
    <w:rPr>
      <w:lang w:eastAsia="zh-CN"/>
    </w:rPr>
  </w:style>
  <w:style w:type="character" w:styleId="FollowedHyperlink">
    <w:name w:val="FollowedHyperlink"/>
    <w:basedOn w:val="DefaultParagraphFont"/>
    <w:unhideWhenUsed/>
    <w:rsid w:val="004E2CD4"/>
    <w:rPr>
      <w:color w:val="800080" w:themeColor="followedHyperlink"/>
      <w:u w:val="single"/>
    </w:rPr>
  </w:style>
  <w:style w:type="character" w:customStyle="1" w:styleId="TabletextChar">
    <w:name w:val="Table_text Char"/>
    <w:link w:val="Tabletext"/>
    <w:locked/>
    <w:rsid w:val="004E2CD4"/>
    <w:rPr>
      <w:rFonts w:ascii="Times New Roman" w:hAnsi="Times New Roman"/>
      <w:sz w:val="22"/>
      <w:lang w:val="en-GB" w:eastAsia="en-US"/>
    </w:rPr>
  </w:style>
  <w:style w:type="paragraph" w:customStyle="1" w:styleId="Border">
    <w:name w:val="Border"/>
    <w:basedOn w:val="Normal"/>
    <w:rsid w:val="004E2CD4"/>
    <w:pPr>
      <w:pBdr>
        <w:bottom w:val="single" w:sz="6" w:space="0" w:color="auto"/>
      </w:pBd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TopHeader">
    <w:name w:val="TopHeader"/>
    <w:basedOn w:val="Normal"/>
    <w:rsid w:val="004E2CD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Verdana" w:hAnsi="Verdana" w:cs="Times New Roman Bold"/>
      <w:b/>
      <w:bCs/>
      <w:szCs w:val="24"/>
    </w:rPr>
  </w:style>
  <w:style w:type="paragraph" w:customStyle="1" w:styleId="Abstract">
    <w:name w:val="Abstract"/>
    <w:basedOn w:val="Normal"/>
    <w:rsid w:val="004E2CD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Questionhistory">
    <w:name w:val="Question_history"/>
    <w:basedOn w:val="Normal"/>
    <w:rsid w:val="004E2CD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character" w:styleId="Emphasis">
    <w:name w:val="Emphasis"/>
    <w:basedOn w:val="DefaultParagraphFont"/>
    <w:qFormat/>
    <w:rsid w:val="004E2CD4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4E2CD4"/>
    <w:pPr>
      <w:numPr>
        <w:ilvl w:val="1"/>
      </w:num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E2CD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qFormat/>
    <w:rsid w:val="004E2CD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E2CD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CD4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styleId="Caption">
    <w:name w:val="caption"/>
    <w:basedOn w:val="Normal"/>
    <w:next w:val="Normal"/>
    <w:unhideWhenUsed/>
    <w:rsid w:val="004E2CD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nhideWhenUsed/>
    <w:rsid w:val="004E2CD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E2CD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E2CD4"/>
    <w:rPr>
      <w:rFonts w:ascii="Times New Roman" w:hAnsi="Times New Roman"/>
      <w:lang w:val="en-GB" w:eastAsia="en-US"/>
    </w:rPr>
  </w:style>
  <w:style w:type="character" w:customStyle="1" w:styleId="DocnumberChar">
    <w:name w:val="Docnumber Char"/>
    <w:link w:val="Docnumber"/>
    <w:rsid w:val="004E2CD4"/>
    <w:rPr>
      <w:rFonts w:ascii="Times New Roman" w:hAnsi="Times New Roman"/>
      <w:b/>
      <w:sz w:val="28"/>
      <w:lang w:val="en-GB" w:eastAsia="en-US"/>
    </w:rPr>
  </w:style>
  <w:style w:type="paragraph" w:customStyle="1" w:styleId="LSForAction">
    <w:name w:val="LSForAction"/>
    <w:basedOn w:val="Normal"/>
    <w:rsid w:val="004E2CD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rsid w:val="004E2CD4"/>
    <w:rPr>
      <w:rFonts w:ascii="Times New Roman" w:eastAsiaTheme="minorEastAsia" w:hAnsi="Times New Roman"/>
      <w:b/>
      <w:bCs/>
      <w:sz w:val="24"/>
      <w:lang w:val="en-GB" w:eastAsia="ja-JP"/>
    </w:rPr>
  </w:style>
  <w:style w:type="paragraph" w:customStyle="1" w:styleId="LSForInfo">
    <w:name w:val="LSForInfo"/>
    <w:basedOn w:val="LSForAction"/>
    <w:rsid w:val="004E2CD4"/>
  </w:style>
  <w:style w:type="paragraph" w:customStyle="1" w:styleId="LSForComment">
    <w:name w:val="LSForComment"/>
    <w:basedOn w:val="LSForAction"/>
    <w:rsid w:val="004E2CD4"/>
  </w:style>
  <w:style w:type="paragraph" w:customStyle="1" w:styleId="LSnumber">
    <w:name w:val="LSnumber"/>
    <w:basedOn w:val="Normal"/>
    <w:rsid w:val="004E2CD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locked/>
    <w:rsid w:val="004E2CD4"/>
    <w:rPr>
      <w:rFonts w:ascii="Times New Roman" w:hAnsi="Times New Roman"/>
      <w:b/>
      <w:sz w:val="24"/>
      <w:lang w:val="en-GB" w:eastAsia="en-US"/>
    </w:rPr>
  </w:style>
  <w:style w:type="character" w:customStyle="1" w:styleId="ReftextArial9pt">
    <w:name w:val="Ref_text Arial 9 pt"/>
    <w:rsid w:val="004E2CD4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4E2CD4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rsid w:val="004E2CD4"/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4E2CD4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locked/>
    <w:rsid w:val="004E2CD4"/>
    <w:rPr>
      <w:rFonts w:ascii="Times New Roman" w:hAnsi="Times New Roman"/>
      <w:b/>
      <w:sz w:val="28"/>
      <w:lang w:val="en-GB" w:eastAsia="en-US"/>
    </w:rPr>
  </w:style>
  <w:style w:type="paragraph" w:styleId="TOC9">
    <w:name w:val="toc 9"/>
    <w:basedOn w:val="Normal"/>
    <w:next w:val="Normal"/>
    <w:autoRedefine/>
    <w:uiPriority w:val="39"/>
    <w:rsid w:val="004E2CD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paragraph" w:styleId="List">
    <w:name w:val="List"/>
    <w:basedOn w:val="Normal"/>
    <w:rsid w:val="004E2CD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rsid w:val="004E2CD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rsid w:val="004E2CD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rsid w:val="004E2CD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rsid w:val="004E2CD4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4E2CD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4E2CD4"/>
    <w:pPr>
      <w:numPr>
        <w:numId w:val="2"/>
      </w:numPr>
    </w:pPr>
  </w:style>
  <w:style w:type="paragraph" w:styleId="Revision">
    <w:name w:val="Revision"/>
    <w:hidden/>
    <w:uiPriority w:val="99"/>
    <w:semiHidden/>
    <w:rsid w:val="004E2CD4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unhideWhenUsed/>
    <w:rsid w:val="004E2CD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2CD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semiHidden/>
    <w:rsid w:val="004E2CD4"/>
    <w:rPr>
      <w:rFonts w:ascii="Times New Roman" w:eastAsiaTheme="minorEastAsia" w:hAnsi="Times New Roman"/>
      <w:b/>
      <w:bCs/>
      <w:lang w:val="en-GB" w:eastAsia="ja-JP"/>
    </w:rPr>
  </w:style>
  <w:style w:type="table" w:styleId="GridTable1Light-Accent1">
    <w:name w:val="Grid Table 1 Light Accent 1"/>
    <w:basedOn w:val="TableNormal"/>
    <w:rsid w:val="004E2CD4"/>
    <w:rPr>
      <w:rFonts w:ascii="Times" w:hAnsi="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basedOn w:val="DefaultParagraphFont"/>
    <w:link w:val="Normalaftertitle0"/>
    <w:locked/>
    <w:rsid w:val="00694A87"/>
    <w:rPr>
      <w:rFonts w:ascii="Times New Roman" w:eastAsiaTheme="minorEastAsia" w:hAnsi="Times New Roman"/>
      <w:sz w:val="24"/>
      <w:szCs w:val="24"/>
      <w:lang w:val="en-GB" w:eastAsia="ja-JP"/>
    </w:rPr>
  </w:style>
  <w:style w:type="character" w:customStyle="1" w:styleId="preferred">
    <w:name w:val="preferred"/>
    <w:basedOn w:val="DefaultParagraphFont"/>
    <w:rsid w:val="00CF4A61"/>
  </w:style>
  <w:style w:type="paragraph" w:customStyle="1" w:styleId="Volumetitle0">
    <w:name w:val="Volume_title"/>
    <w:basedOn w:val="Normal"/>
    <w:qFormat/>
    <w:rsid w:val="00B6490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8"/>
      <w:lang w:val="es-ES_tradnl"/>
    </w:rPr>
  </w:style>
  <w:style w:type="character" w:customStyle="1" w:styleId="ResNoChar">
    <w:name w:val="Res_No Char"/>
    <w:link w:val="ResNo"/>
    <w:rsid w:val="00B64908"/>
    <w:rPr>
      <w:rFonts w:ascii="Times New Roman" w:hAnsi="Times New Roman"/>
      <w:b/>
      <w:sz w:val="28"/>
      <w:lang w:val="en-GB" w:eastAsia="en-US"/>
    </w:rPr>
  </w:style>
  <w:style w:type="paragraph" w:customStyle="1" w:styleId="HeadingSummary">
    <w:name w:val="HeadingSummary"/>
    <w:basedOn w:val="Headingb"/>
    <w:qFormat/>
    <w:rsid w:val="00B6490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s-ES_tradnl"/>
    </w:rPr>
  </w:style>
  <w:style w:type="paragraph" w:customStyle="1" w:styleId="CEOcontributionStart">
    <w:name w:val="CEO_contributionStart"/>
    <w:basedOn w:val="Normal"/>
    <w:rsid w:val="00B649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B64908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eastAsia="SimSun" w:hAnsi="Verdana"/>
      <w:sz w:val="19"/>
      <w:szCs w:val="19"/>
      <w:lang w:val="en-US"/>
    </w:rPr>
  </w:style>
  <w:style w:type="paragraph" w:customStyle="1" w:styleId="Banner">
    <w:name w:val="Banner"/>
    <w:basedOn w:val="Normal"/>
    <w:rsid w:val="00B64908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table" w:styleId="ListTable1Light-Accent5">
    <w:name w:val="List Table 1 Light Accent 5"/>
    <w:basedOn w:val="TableNormal"/>
    <w:uiPriority w:val="46"/>
    <w:rsid w:val="00B64908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B64908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1... Char"/>
    <w:locked/>
    <w:rsid w:val="00B64908"/>
    <w:rPr>
      <w:rFonts w:ascii="Times New Roman" w:hAnsi="Times New Roman"/>
      <w:sz w:val="24"/>
      <w:lang w:val="es-ES_tradnl" w:eastAsia="en-US"/>
    </w:rPr>
  </w:style>
  <w:style w:type="paragraph" w:customStyle="1" w:styleId="TableText0">
    <w:name w:val="Table_Text"/>
    <w:basedOn w:val="Normal"/>
    <w:rsid w:val="00B6490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  <w:lang w:val="en-US"/>
    </w:rPr>
  </w:style>
  <w:style w:type="character" w:customStyle="1" w:styleId="TabletitleBRChar">
    <w:name w:val="Table_title_BR Char"/>
    <w:link w:val="TabletitleBR"/>
    <w:locked/>
    <w:rsid w:val="00B64908"/>
    <w:rPr>
      <w:rFonts w:ascii="Times New Roman" w:hAnsi="Times New Roman"/>
      <w:b/>
      <w:sz w:val="24"/>
      <w:lang w:val="en-GB" w:eastAsia="en-US"/>
    </w:rPr>
  </w:style>
  <w:style w:type="character" w:customStyle="1" w:styleId="TableNoBRChar">
    <w:name w:val="Table_No_BR Char"/>
    <w:link w:val="TableNoBR"/>
    <w:locked/>
    <w:rsid w:val="00B64908"/>
    <w:rPr>
      <w:rFonts w:ascii="Times New Roman" w:hAnsi="Times New Roman"/>
      <w:caps/>
      <w:sz w:val="24"/>
      <w:lang w:val="en-GB" w:eastAsia="en-US"/>
    </w:rPr>
  </w:style>
  <w:style w:type="paragraph" w:customStyle="1" w:styleId="TableTitle0">
    <w:name w:val="Table_Title"/>
    <w:basedOn w:val="Normal"/>
    <w:next w:val="TableText0"/>
    <w:rsid w:val="00B64908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B64908"/>
  </w:style>
  <w:style w:type="paragraph" w:customStyle="1" w:styleId="H2">
    <w:name w:val="H2"/>
    <w:basedOn w:val="Normal"/>
    <w:next w:val="Normal"/>
    <w:rsid w:val="00B64908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2"/>
    </w:pPr>
    <w:rPr>
      <w:b/>
      <w:snapToGrid w:val="0"/>
      <w:sz w:val="36"/>
      <w:lang w:val="en-US"/>
    </w:rPr>
  </w:style>
  <w:style w:type="paragraph" w:customStyle="1" w:styleId="Table">
    <w:name w:val="Table_#"/>
    <w:basedOn w:val="Normal"/>
    <w:next w:val="TableTitle0"/>
    <w:rsid w:val="00B64908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styleId="BodyText">
    <w:name w:val="Body Text"/>
    <w:basedOn w:val="Normal"/>
    <w:link w:val="BodyTextChar"/>
    <w:rsid w:val="00B64908"/>
    <w:pPr>
      <w:keepNext/>
      <w:numPr>
        <w:ilvl w:val="1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hAnsi="Arial"/>
      <w:b/>
      <w:color w:val="000000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B64908"/>
    <w:rPr>
      <w:rFonts w:ascii="Arial" w:hAnsi="Arial"/>
      <w:b/>
      <w:color w:val="000000"/>
      <w:sz w:val="22"/>
      <w:lang w:eastAsia="en-US"/>
    </w:rPr>
  </w:style>
  <w:style w:type="paragraph" w:styleId="ListBullet">
    <w:name w:val="List Bullet"/>
    <w:basedOn w:val="Normal"/>
    <w:autoRedefine/>
    <w:rsid w:val="00B64908"/>
    <w:pPr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00" w:after="100"/>
      <w:ind w:left="360" w:hanging="360"/>
      <w:textAlignment w:val="auto"/>
    </w:pPr>
    <w:rPr>
      <w:snapToGrid w:val="0"/>
      <w:lang w:val="en-US"/>
    </w:rPr>
  </w:style>
  <w:style w:type="paragraph" w:styleId="ListBullet2">
    <w:name w:val="List Bullet 2"/>
    <w:basedOn w:val="Normal"/>
    <w:autoRedefine/>
    <w:rsid w:val="00B64908"/>
    <w:pPr>
      <w:widowControl w:val="0"/>
      <w:tabs>
        <w:tab w:val="clear" w:pos="794"/>
        <w:tab w:val="clear" w:pos="1191"/>
        <w:tab w:val="clear" w:pos="1588"/>
        <w:tab w:val="clear" w:pos="1985"/>
        <w:tab w:val="num" w:pos="643"/>
      </w:tabs>
      <w:overflowPunct/>
      <w:autoSpaceDE/>
      <w:autoSpaceDN/>
      <w:adjustRightInd/>
      <w:spacing w:before="100" w:after="100"/>
      <w:ind w:left="643" w:hanging="360"/>
      <w:textAlignment w:val="auto"/>
    </w:pPr>
    <w:rPr>
      <w:snapToGrid w:val="0"/>
      <w:lang w:val="en-US"/>
    </w:rPr>
  </w:style>
  <w:style w:type="paragraph" w:styleId="ListBullet3">
    <w:name w:val="List Bullet 3"/>
    <w:basedOn w:val="Normal"/>
    <w:autoRedefine/>
    <w:rsid w:val="00B64908"/>
    <w:pPr>
      <w:widowControl w:val="0"/>
      <w:tabs>
        <w:tab w:val="clear" w:pos="794"/>
        <w:tab w:val="clear" w:pos="1191"/>
        <w:tab w:val="clear" w:pos="1588"/>
        <w:tab w:val="clear" w:pos="1985"/>
        <w:tab w:val="num" w:pos="926"/>
      </w:tabs>
      <w:overflowPunct/>
      <w:autoSpaceDE/>
      <w:autoSpaceDN/>
      <w:adjustRightInd/>
      <w:spacing w:before="100" w:after="100"/>
      <w:ind w:left="926" w:hanging="360"/>
      <w:textAlignment w:val="auto"/>
    </w:pPr>
    <w:rPr>
      <w:snapToGrid w:val="0"/>
      <w:lang w:val="en-US"/>
    </w:rPr>
  </w:style>
  <w:style w:type="paragraph" w:styleId="ListBullet4">
    <w:name w:val="List Bullet 4"/>
    <w:basedOn w:val="Normal"/>
    <w:autoRedefine/>
    <w:rsid w:val="00B64908"/>
    <w:pPr>
      <w:widowControl w:val="0"/>
      <w:tabs>
        <w:tab w:val="clear" w:pos="794"/>
        <w:tab w:val="clear" w:pos="1191"/>
        <w:tab w:val="clear" w:pos="1588"/>
        <w:tab w:val="clear" w:pos="1985"/>
        <w:tab w:val="num" w:pos="1209"/>
      </w:tabs>
      <w:overflowPunct/>
      <w:autoSpaceDE/>
      <w:autoSpaceDN/>
      <w:adjustRightInd/>
      <w:spacing w:before="100" w:after="100"/>
      <w:ind w:left="1209" w:hanging="360"/>
      <w:textAlignment w:val="auto"/>
    </w:pPr>
    <w:rPr>
      <w:snapToGrid w:val="0"/>
      <w:lang w:val="en-US"/>
    </w:rPr>
  </w:style>
  <w:style w:type="paragraph" w:styleId="ListBullet5">
    <w:name w:val="List Bullet 5"/>
    <w:basedOn w:val="Normal"/>
    <w:autoRedefine/>
    <w:rsid w:val="00B64908"/>
    <w:pPr>
      <w:widowControl w:val="0"/>
      <w:tabs>
        <w:tab w:val="clear" w:pos="794"/>
        <w:tab w:val="clear" w:pos="1191"/>
        <w:tab w:val="clear" w:pos="1588"/>
        <w:tab w:val="clear" w:pos="1985"/>
        <w:tab w:val="num" w:pos="1492"/>
      </w:tabs>
      <w:overflowPunct/>
      <w:autoSpaceDE/>
      <w:autoSpaceDN/>
      <w:adjustRightInd/>
      <w:spacing w:before="100" w:after="100"/>
      <w:ind w:left="1492" w:hanging="360"/>
      <w:textAlignment w:val="auto"/>
    </w:pPr>
    <w:rPr>
      <w:snapToGrid w:val="0"/>
      <w:lang w:val="en-US"/>
    </w:rPr>
  </w:style>
  <w:style w:type="paragraph" w:styleId="ListNumber">
    <w:name w:val="List Number"/>
    <w:basedOn w:val="Normal"/>
    <w:rsid w:val="00B64908"/>
    <w:pPr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00" w:after="100"/>
      <w:ind w:left="360" w:hanging="360"/>
      <w:textAlignment w:val="auto"/>
    </w:pPr>
    <w:rPr>
      <w:snapToGrid w:val="0"/>
      <w:lang w:val="en-US"/>
    </w:rPr>
  </w:style>
  <w:style w:type="paragraph" w:styleId="ListNumber2">
    <w:name w:val="List Number 2"/>
    <w:basedOn w:val="Normal"/>
    <w:rsid w:val="00B64908"/>
    <w:pPr>
      <w:widowControl w:val="0"/>
      <w:tabs>
        <w:tab w:val="clear" w:pos="794"/>
        <w:tab w:val="clear" w:pos="1191"/>
        <w:tab w:val="clear" w:pos="1588"/>
        <w:tab w:val="clear" w:pos="1985"/>
        <w:tab w:val="num" w:pos="643"/>
      </w:tabs>
      <w:overflowPunct/>
      <w:autoSpaceDE/>
      <w:autoSpaceDN/>
      <w:adjustRightInd/>
      <w:spacing w:before="100" w:after="100"/>
      <w:ind w:left="643" w:hanging="360"/>
      <w:textAlignment w:val="auto"/>
    </w:pPr>
    <w:rPr>
      <w:snapToGrid w:val="0"/>
      <w:lang w:val="en-US"/>
    </w:rPr>
  </w:style>
  <w:style w:type="paragraph" w:styleId="ListNumber3">
    <w:name w:val="List Number 3"/>
    <w:basedOn w:val="Normal"/>
    <w:rsid w:val="00B64908"/>
    <w:pPr>
      <w:widowControl w:val="0"/>
      <w:tabs>
        <w:tab w:val="clear" w:pos="794"/>
        <w:tab w:val="clear" w:pos="1191"/>
        <w:tab w:val="clear" w:pos="1588"/>
        <w:tab w:val="clear" w:pos="1985"/>
        <w:tab w:val="num" w:pos="926"/>
      </w:tabs>
      <w:overflowPunct/>
      <w:autoSpaceDE/>
      <w:autoSpaceDN/>
      <w:adjustRightInd/>
      <w:spacing w:before="100" w:after="100"/>
      <w:ind w:left="926" w:hanging="360"/>
      <w:textAlignment w:val="auto"/>
    </w:pPr>
    <w:rPr>
      <w:snapToGrid w:val="0"/>
      <w:lang w:val="en-US"/>
    </w:rPr>
  </w:style>
  <w:style w:type="paragraph" w:styleId="ListNumber4">
    <w:name w:val="List Number 4"/>
    <w:basedOn w:val="Normal"/>
    <w:rsid w:val="00B64908"/>
    <w:pPr>
      <w:widowControl w:val="0"/>
      <w:tabs>
        <w:tab w:val="clear" w:pos="794"/>
        <w:tab w:val="clear" w:pos="1191"/>
        <w:tab w:val="clear" w:pos="1588"/>
        <w:tab w:val="clear" w:pos="1985"/>
        <w:tab w:val="num" w:pos="1209"/>
      </w:tabs>
      <w:overflowPunct/>
      <w:autoSpaceDE/>
      <w:autoSpaceDN/>
      <w:adjustRightInd/>
      <w:spacing w:before="100" w:after="100"/>
      <w:ind w:left="1209" w:hanging="360"/>
      <w:textAlignment w:val="auto"/>
    </w:pPr>
    <w:rPr>
      <w:snapToGrid w:val="0"/>
      <w:lang w:val="en-US"/>
    </w:rPr>
  </w:style>
  <w:style w:type="paragraph" w:styleId="ListNumber5">
    <w:name w:val="List Number 5"/>
    <w:basedOn w:val="Normal"/>
    <w:rsid w:val="00B64908"/>
    <w:pPr>
      <w:widowControl w:val="0"/>
      <w:tabs>
        <w:tab w:val="clear" w:pos="794"/>
        <w:tab w:val="clear" w:pos="1191"/>
        <w:tab w:val="clear" w:pos="1588"/>
        <w:tab w:val="clear" w:pos="1985"/>
        <w:tab w:val="num" w:pos="1492"/>
      </w:tabs>
      <w:overflowPunct/>
      <w:autoSpaceDE/>
      <w:autoSpaceDN/>
      <w:adjustRightInd/>
      <w:spacing w:before="100" w:after="100"/>
      <w:ind w:left="1492" w:hanging="360"/>
      <w:textAlignment w:val="auto"/>
    </w:pPr>
    <w:rPr>
      <w:snapToGrid w:val="0"/>
      <w:lang w:val="en-US"/>
    </w:rPr>
  </w:style>
  <w:style w:type="paragraph" w:customStyle="1" w:styleId="Blockquote">
    <w:name w:val="Blockquote"/>
    <w:basedOn w:val="Normal"/>
    <w:rsid w:val="00B6490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ind w:left="360" w:right="360"/>
      <w:textAlignment w:val="auto"/>
    </w:pPr>
    <w:rPr>
      <w:snapToGrid w:val="0"/>
      <w:lang w:val="en-US"/>
    </w:rPr>
  </w:style>
  <w:style w:type="paragraph" w:customStyle="1" w:styleId="H4">
    <w:name w:val="H4"/>
    <w:basedOn w:val="Normal"/>
    <w:next w:val="Normal"/>
    <w:rsid w:val="00B64908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4"/>
    </w:pPr>
    <w:rPr>
      <w:b/>
      <w:snapToGrid w:val="0"/>
      <w:lang w:val="en-US"/>
    </w:rPr>
  </w:style>
  <w:style w:type="paragraph" w:customStyle="1" w:styleId="H3">
    <w:name w:val="H3"/>
    <w:basedOn w:val="Normal"/>
    <w:next w:val="Normal"/>
    <w:rsid w:val="00B64908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3"/>
    </w:pPr>
    <w:rPr>
      <w:b/>
      <w:snapToGrid w:val="0"/>
      <w:sz w:val="28"/>
      <w:lang w:val="en-US"/>
    </w:rPr>
  </w:style>
  <w:style w:type="paragraph" w:customStyle="1" w:styleId="DefinitionTerm">
    <w:name w:val="Definition Term"/>
    <w:basedOn w:val="Normal"/>
    <w:next w:val="DefinitionList"/>
    <w:rsid w:val="00B6490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napToGrid w:val="0"/>
      <w:lang w:val="en-US"/>
    </w:rPr>
  </w:style>
  <w:style w:type="paragraph" w:customStyle="1" w:styleId="DefinitionList">
    <w:name w:val="Definition List"/>
    <w:basedOn w:val="Normal"/>
    <w:next w:val="DefinitionTerm"/>
    <w:rsid w:val="00B6490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60"/>
      <w:textAlignment w:val="auto"/>
    </w:pPr>
    <w:rPr>
      <w:snapToGrid w:val="0"/>
      <w:lang w:val="en-US"/>
    </w:rPr>
  </w:style>
  <w:style w:type="character" w:customStyle="1" w:styleId="HTMLMarkup">
    <w:name w:val="HTML Markup"/>
    <w:rsid w:val="00B64908"/>
    <w:rPr>
      <w:vanish/>
      <w:color w:val="FF0000"/>
    </w:rPr>
  </w:style>
  <w:style w:type="paragraph" w:styleId="DocumentMap">
    <w:name w:val="Document Map"/>
    <w:basedOn w:val="Normal"/>
    <w:link w:val="DocumentMapChar"/>
    <w:semiHidden/>
    <w:rsid w:val="00B6490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B64908"/>
    <w:rPr>
      <w:rFonts w:ascii="Tahoma" w:hAnsi="Tahoma" w:cs="Tahoma"/>
      <w:sz w:val="24"/>
      <w:shd w:val="clear" w:color="auto" w:fill="000080"/>
      <w:lang w:val="en-GB" w:eastAsia="en-US"/>
    </w:rPr>
  </w:style>
  <w:style w:type="character" w:customStyle="1" w:styleId="Definition">
    <w:name w:val="Definition"/>
    <w:rsid w:val="00B64908"/>
    <w:rPr>
      <w:i/>
    </w:rPr>
  </w:style>
  <w:style w:type="paragraph" w:customStyle="1" w:styleId="H5">
    <w:name w:val="H5"/>
    <w:basedOn w:val="Normal"/>
    <w:next w:val="Normal"/>
    <w:rsid w:val="00B64908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5"/>
    </w:pPr>
    <w:rPr>
      <w:b/>
      <w:snapToGrid w:val="0"/>
      <w:sz w:val="20"/>
      <w:lang w:val="en-US"/>
    </w:rPr>
  </w:style>
  <w:style w:type="paragraph" w:customStyle="1" w:styleId="H6">
    <w:name w:val="H6"/>
    <w:basedOn w:val="Normal"/>
    <w:next w:val="Normal"/>
    <w:rsid w:val="00B64908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6"/>
    </w:pPr>
    <w:rPr>
      <w:b/>
      <w:snapToGrid w:val="0"/>
      <w:sz w:val="16"/>
      <w:lang w:val="en-US"/>
    </w:rPr>
  </w:style>
  <w:style w:type="character" w:customStyle="1" w:styleId="CITE">
    <w:name w:val="CITE"/>
    <w:rsid w:val="00B64908"/>
    <w:rPr>
      <w:i/>
    </w:rPr>
  </w:style>
  <w:style w:type="character" w:customStyle="1" w:styleId="CODE">
    <w:name w:val="CODE"/>
    <w:rsid w:val="00B64908"/>
    <w:rPr>
      <w:rFonts w:ascii="Courier New" w:hAnsi="Courier New"/>
      <w:sz w:val="20"/>
    </w:rPr>
  </w:style>
  <w:style w:type="character" w:customStyle="1" w:styleId="Keyboard">
    <w:name w:val="Keyboard"/>
    <w:rsid w:val="00B64908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B64908"/>
    <w:pPr>
      <w:widowControl w:val="0"/>
      <w:tabs>
        <w:tab w:val="clear" w:pos="794"/>
        <w:tab w:val="clear" w:pos="1191"/>
        <w:tab w:val="clear" w:pos="1588"/>
        <w:tab w:val="clear" w:pos="1985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snapToGrid w:val="0"/>
      <w:sz w:val="20"/>
      <w:lang w:val="en-US"/>
    </w:rPr>
  </w:style>
  <w:style w:type="character" w:customStyle="1" w:styleId="Sample">
    <w:name w:val="Sample"/>
    <w:rsid w:val="00B64908"/>
    <w:rPr>
      <w:rFonts w:ascii="Courier New" w:hAnsi="Courier New"/>
    </w:rPr>
  </w:style>
  <w:style w:type="character" w:customStyle="1" w:styleId="Typewriter">
    <w:name w:val="Typewriter"/>
    <w:rsid w:val="00B64908"/>
    <w:rPr>
      <w:rFonts w:ascii="Courier New" w:hAnsi="Courier New"/>
      <w:sz w:val="20"/>
    </w:rPr>
  </w:style>
  <w:style w:type="character" w:customStyle="1" w:styleId="Variable">
    <w:name w:val="Variable"/>
    <w:rsid w:val="00B64908"/>
    <w:rPr>
      <w:i/>
    </w:rPr>
  </w:style>
  <w:style w:type="character" w:customStyle="1" w:styleId="Comment">
    <w:name w:val="Comment"/>
    <w:rsid w:val="00B64908"/>
    <w:rPr>
      <w:vanish/>
    </w:rPr>
  </w:style>
  <w:style w:type="paragraph" w:styleId="BodyText2">
    <w:name w:val="Body Text 2"/>
    <w:basedOn w:val="Normal"/>
    <w:link w:val="BodyText2Char"/>
    <w:rsid w:val="00B64908"/>
    <w:pPr>
      <w:jc w:val="both"/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B64908"/>
    <w:rPr>
      <w:rFonts w:ascii="Times New Roman" w:hAnsi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B6490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snapToGrid w:val="0"/>
      <w:lang w:val="en-US"/>
    </w:rPr>
  </w:style>
  <w:style w:type="character" w:customStyle="1" w:styleId="DateChar">
    <w:name w:val="Date Char"/>
    <w:basedOn w:val="DefaultParagraphFont"/>
    <w:link w:val="Date"/>
    <w:rsid w:val="00B64908"/>
    <w:rPr>
      <w:rFonts w:ascii="Times New Roman" w:hAnsi="Times New Roman"/>
      <w:snapToGrid w:val="0"/>
      <w:sz w:val="24"/>
      <w:lang w:eastAsia="en-US"/>
    </w:rPr>
  </w:style>
  <w:style w:type="table" w:customStyle="1" w:styleId="TableGrid1">
    <w:name w:val="Table Grid1"/>
    <w:basedOn w:val="TableNormal"/>
    <w:next w:val="TableGrid"/>
    <w:rsid w:val="00B649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link w:val="Annextitle"/>
    <w:locked/>
    <w:rsid w:val="00B64908"/>
    <w:rPr>
      <w:rFonts w:ascii="Times New Roman Bold" w:eastAsiaTheme="minorEastAsia" w:hAnsi="Times New Roman Bold"/>
      <w:b/>
      <w:sz w:val="28"/>
      <w:szCs w:val="24"/>
      <w:lang w:val="en-GB" w:eastAsia="ja-JP"/>
    </w:rPr>
  </w:style>
  <w:style w:type="numbering" w:customStyle="1" w:styleId="NoList2">
    <w:name w:val="No List2"/>
    <w:next w:val="NoList"/>
    <w:uiPriority w:val="99"/>
    <w:semiHidden/>
    <w:unhideWhenUsed/>
    <w:rsid w:val="00B64908"/>
  </w:style>
  <w:style w:type="table" w:customStyle="1" w:styleId="TableGrid2">
    <w:name w:val="Table Grid2"/>
    <w:basedOn w:val="TableNormal"/>
    <w:next w:val="TableGrid"/>
    <w:rsid w:val="00B649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B64908"/>
  </w:style>
  <w:style w:type="table" w:customStyle="1" w:styleId="TableGrid3">
    <w:name w:val="Table Grid3"/>
    <w:basedOn w:val="TableNormal"/>
    <w:next w:val="TableGrid"/>
    <w:rsid w:val="00B649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B64908"/>
  </w:style>
  <w:style w:type="table" w:customStyle="1" w:styleId="TableGrid4">
    <w:name w:val="Table Grid4"/>
    <w:basedOn w:val="TableNormal"/>
    <w:next w:val="TableGrid"/>
    <w:rsid w:val="00B649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B64908"/>
  </w:style>
  <w:style w:type="table" w:customStyle="1" w:styleId="TableGrid5">
    <w:name w:val="Table Grid5"/>
    <w:basedOn w:val="TableNormal"/>
    <w:next w:val="TableGrid"/>
    <w:rsid w:val="00B649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B64908"/>
  </w:style>
  <w:style w:type="table" w:customStyle="1" w:styleId="TableGrid6">
    <w:name w:val="Table Grid6"/>
    <w:basedOn w:val="TableNormal"/>
    <w:next w:val="TableGrid"/>
    <w:uiPriority w:val="59"/>
    <w:rsid w:val="00B6490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B64908"/>
  </w:style>
  <w:style w:type="table" w:customStyle="1" w:styleId="TableGrid11">
    <w:name w:val="Table Grid11"/>
    <w:basedOn w:val="TableNormal"/>
    <w:next w:val="TableGrid"/>
    <w:rsid w:val="00B649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B64908"/>
  </w:style>
  <w:style w:type="table" w:customStyle="1" w:styleId="TableGrid21">
    <w:name w:val="Table Grid21"/>
    <w:basedOn w:val="TableNormal"/>
    <w:next w:val="TableGrid"/>
    <w:rsid w:val="00B649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B64908"/>
  </w:style>
  <w:style w:type="table" w:customStyle="1" w:styleId="TableGrid31">
    <w:name w:val="Table Grid31"/>
    <w:basedOn w:val="TableNormal"/>
    <w:next w:val="TableGrid"/>
    <w:rsid w:val="00B649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B64908"/>
  </w:style>
  <w:style w:type="table" w:customStyle="1" w:styleId="TableGrid41">
    <w:name w:val="Table Grid41"/>
    <w:basedOn w:val="TableNormal"/>
    <w:next w:val="TableGrid"/>
    <w:rsid w:val="00B649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B64908"/>
  </w:style>
  <w:style w:type="table" w:customStyle="1" w:styleId="TableGrid51">
    <w:name w:val="Table Grid51"/>
    <w:basedOn w:val="TableNormal"/>
    <w:next w:val="TableGrid"/>
    <w:rsid w:val="00B649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B64908"/>
  </w:style>
  <w:style w:type="table" w:customStyle="1" w:styleId="TableGrid61">
    <w:name w:val="Table Grid61"/>
    <w:basedOn w:val="TableNormal"/>
    <w:next w:val="TableGrid"/>
    <w:rsid w:val="00B649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B64908"/>
  </w:style>
  <w:style w:type="table" w:customStyle="1" w:styleId="TableGrid7">
    <w:name w:val="Table Grid7"/>
    <w:basedOn w:val="TableNormal"/>
    <w:next w:val="TableGrid"/>
    <w:uiPriority w:val="59"/>
    <w:rsid w:val="00B6490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B64908"/>
  </w:style>
  <w:style w:type="table" w:customStyle="1" w:styleId="TableGrid12">
    <w:name w:val="Table Grid12"/>
    <w:basedOn w:val="TableNormal"/>
    <w:next w:val="TableGrid"/>
    <w:rsid w:val="00B649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B64908"/>
  </w:style>
  <w:style w:type="table" w:customStyle="1" w:styleId="TableGrid22">
    <w:name w:val="Table Grid22"/>
    <w:basedOn w:val="TableNormal"/>
    <w:next w:val="TableGrid"/>
    <w:rsid w:val="00B649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B64908"/>
  </w:style>
  <w:style w:type="table" w:customStyle="1" w:styleId="TableGrid32">
    <w:name w:val="Table Grid32"/>
    <w:basedOn w:val="TableNormal"/>
    <w:next w:val="TableGrid"/>
    <w:rsid w:val="00B649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B64908"/>
  </w:style>
  <w:style w:type="table" w:customStyle="1" w:styleId="TableGrid42">
    <w:name w:val="Table Grid42"/>
    <w:basedOn w:val="TableNormal"/>
    <w:next w:val="TableGrid"/>
    <w:rsid w:val="00B649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B64908"/>
  </w:style>
  <w:style w:type="table" w:customStyle="1" w:styleId="TableGrid52">
    <w:name w:val="Table Grid52"/>
    <w:basedOn w:val="TableNormal"/>
    <w:next w:val="TableGrid"/>
    <w:rsid w:val="00B649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B64908"/>
  </w:style>
  <w:style w:type="table" w:customStyle="1" w:styleId="TableGrid62">
    <w:name w:val="Table Grid62"/>
    <w:basedOn w:val="TableNormal"/>
    <w:next w:val="TableGrid"/>
    <w:uiPriority w:val="59"/>
    <w:rsid w:val="00B6490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B64908"/>
  </w:style>
  <w:style w:type="table" w:customStyle="1" w:styleId="TableGrid111">
    <w:name w:val="Table Grid111"/>
    <w:basedOn w:val="TableNormal"/>
    <w:next w:val="TableGrid"/>
    <w:rsid w:val="00B649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B64908"/>
  </w:style>
  <w:style w:type="table" w:customStyle="1" w:styleId="TableGrid211">
    <w:name w:val="Table Grid211"/>
    <w:basedOn w:val="TableNormal"/>
    <w:next w:val="TableGrid"/>
    <w:rsid w:val="00B649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B64908"/>
  </w:style>
  <w:style w:type="table" w:customStyle="1" w:styleId="TableGrid311">
    <w:name w:val="Table Grid311"/>
    <w:basedOn w:val="TableNormal"/>
    <w:next w:val="TableGrid"/>
    <w:rsid w:val="00B649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B64908"/>
  </w:style>
  <w:style w:type="table" w:customStyle="1" w:styleId="TableGrid411">
    <w:name w:val="Table Grid411"/>
    <w:basedOn w:val="TableNormal"/>
    <w:next w:val="TableGrid"/>
    <w:rsid w:val="00B649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B64908"/>
  </w:style>
  <w:style w:type="table" w:customStyle="1" w:styleId="TableGrid511">
    <w:name w:val="Table Grid511"/>
    <w:basedOn w:val="TableNormal"/>
    <w:next w:val="TableGrid"/>
    <w:rsid w:val="00B649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B64908"/>
  </w:style>
  <w:style w:type="table" w:customStyle="1" w:styleId="TableGrid611">
    <w:name w:val="Table Grid611"/>
    <w:basedOn w:val="TableNormal"/>
    <w:next w:val="TableGrid"/>
    <w:rsid w:val="00B649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B64908"/>
  </w:style>
  <w:style w:type="table" w:customStyle="1" w:styleId="TableGrid71">
    <w:name w:val="Table Grid71"/>
    <w:basedOn w:val="TableNormal"/>
    <w:next w:val="TableGrid"/>
    <w:rsid w:val="00B649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4908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numbering" w:customStyle="1" w:styleId="NoList8">
    <w:name w:val="No List8"/>
    <w:next w:val="NoList"/>
    <w:uiPriority w:val="99"/>
    <w:semiHidden/>
    <w:unhideWhenUsed/>
    <w:rsid w:val="00B64908"/>
  </w:style>
  <w:style w:type="paragraph" w:customStyle="1" w:styleId="Subtitle1">
    <w:name w:val="Subtitle1"/>
    <w:basedOn w:val="Normal"/>
    <w:next w:val="Normal"/>
    <w:rsid w:val="00B64908"/>
    <w:pPr>
      <w:numPr>
        <w:ilvl w:val="1"/>
      </w:num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160"/>
    </w:pPr>
    <w:rPr>
      <w:rFonts w:asciiTheme="minorHAnsi" w:eastAsiaTheme="minorEastAsia" w:hAnsiTheme="minorHAnsi" w:cstheme="minorBidi"/>
      <w:color w:val="5A5A5A"/>
      <w:spacing w:val="15"/>
      <w:sz w:val="22"/>
      <w:szCs w:val="22"/>
    </w:rPr>
  </w:style>
  <w:style w:type="paragraph" w:customStyle="1" w:styleId="Quote1">
    <w:name w:val="Quote1"/>
    <w:basedOn w:val="Normal"/>
    <w:next w:val="Normal"/>
    <w:uiPriority w:val="29"/>
    <w:rsid w:val="00B6490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after="160"/>
      <w:ind w:left="864" w:right="864"/>
      <w:jc w:val="center"/>
    </w:pPr>
    <w:rPr>
      <w:i/>
      <w:iCs/>
      <w:color w:val="404040"/>
    </w:rPr>
  </w:style>
  <w:style w:type="paragraph" w:customStyle="1" w:styleId="Caption1">
    <w:name w:val="Caption1"/>
    <w:basedOn w:val="Normal"/>
    <w:next w:val="Normal"/>
    <w:semiHidden/>
    <w:unhideWhenUsed/>
    <w:rsid w:val="00B6490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200"/>
    </w:pPr>
    <w:rPr>
      <w:i/>
      <w:iCs/>
      <w:color w:val="1F497D"/>
      <w:sz w:val="18"/>
      <w:szCs w:val="18"/>
    </w:rPr>
  </w:style>
  <w:style w:type="paragraph" w:customStyle="1" w:styleId="Destination">
    <w:name w:val="Destination"/>
    <w:basedOn w:val="Normal"/>
    <w:rsid w:val="00B6490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Verdana" w:hAnsi="Verdana"/>
      <w:b/>
      <w:sz w:val="20"/>
    </w:rPr>
  </w:style>
  <w:style w:type="character" w:customStyle="1" w:styleId="ListParagraphChar">
    <w:name w:val="List Paragraph Char"/>
    <w:link w:val="ListParagraph"/>
    <w:uiPriority w:val="34"/>
    <w:locked/>
    <w:rsid w:val="00B6490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SubtitleChar1">
    <w:name w:val="Subtitle Char1"/>
    <w:basedOn w:val="DefaultParagraphFont"/>
    <w:uiPriority w:val="11"/>
    <w:rsid w:val="00B6490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_tradnl" w:eastAsia="en-US"/>
    </w:rPr>
  </w:style>
  <w:style w:type="character" w:customStyle="1" w:styleId="QuoteChar1">
    <w:name w:val="Quote Char1"/>
    <w:basedOn w:val="DefaultParagraphFont"/>
    <w:uiPriority w:val="29"/>
    <w:rsid w:val="00B64908"/>
    <w:rPr>
      <w:rFonts w:ascii="Times New Roman" w:hAnsi="Times New Roman"/>
      <w:i/>
      <w:iCs/>
      <w:color w:val="404040" w:themeColor="text1" w:themeTint="BF"/>
      <w:sz w:val="24"/>
      <w:lang w:val="es-ES_tradnl" w:eastAsia="en-US"/>
    </w:rPr>
  </w:style>
  <w:style w:type="paragraph" w:customStyle="1" w:styleId="CharChar1CarCarCharCharCarCarCharCharCarCar">
    <w:name w:val="Char Char1 Car Car Char Char Car Car Char Char Car Car"/>
    <w:basedOn w:val="Normal"/>
    <w:rsid w:val="00B64908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itu">
    <w:name w:val="itu"/>
    <w:basedOn w:val="Normal"/>
    <w:rsid w:val="00B6490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</w:rPr>
  </w:style>
  <w:style w:type="paragraph" w:customStyle="1" w:styleId="TableHead0">
    <w:name w:val="Table_Head"/>
    <w:basedOn w:val="Tabletext"/>
    <w:rsid w:val="00B64908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character" w:customStyle="1" w:styleId="Symbol">
    <w:name w:val="Symbol"/>
    <w:basedOn w:val="DefaultParagraphFont"/>
    <w:rsid w:val="00B64908"/>
    <w:rPr>
      <w:rFonts w:ascii="Symbol" w:hAnsi="Symbol"/>
      <w:i/>
    </w:rPr>
  </w:style>
  <w:style w:type="paragraph" w:customStyle="1" w:styleId="TableTextS5">
    <w:name w:val="Table_TextS5"/>
    <w:basedOn w:val="Normal"/>
    <w:rsid w:val="00B64908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1134"/>
        <w:tab w:val="left" w:pos="2977"/>
        <w:tab w:val="left" w:pos="3266"/>
      </w:tabs>
      <w:spacing w:before="40" w:after="40"/>
    </w:pPr>
    <w:rPr>
      <w:sz w:val="20"/>
    </w:rPr>
  </w:style>
  <w:style w:type="paragraph" w:styleId="PlainText">
    <w:name w:val="Plain Text"/>
    <w:basedOn w:val="Normal"/>
    <w:link w:val="PlainTextChar"/>
    <w:uiPriority w:val="99"/>
    <w:unhideWhenUsed/>
    <w:rsid w:val="00B6490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 w:cs="Courier New"/>
      <w:sz w:val="20"/>
      <w:lang w:val="fr-FR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64908"/>
    <w:rPr>
      <w:rFonts w:ascii="Courier New" w:eastAsia="SimSun" w:hAnsi="Courier New" w:cs="Courier New"/>
      <w:lang w:val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8F61D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customStyle="1" w:styleId="ReferenceLine">
    <w:name w:val="Reference Line"/>
    <w:basedOn w:val="BodyText"/>
    <w:rsid w:val="008032D1"/>
  </w:style>
  <w:style w:type="character" w:customStyle="1" w:styleId="apple-converted-space">
    <w:name w:val="apple-converted-space"/>
    <w:basedOn w:val="DefaultParagraphFont"/>
    <w:rsid w:val="008032D1"/>
  </w:style>
  <w:style w:type="character" w:customStyle="1" w:styleId="admitted">
    <w:name w:val="admitted"/>
    <w:basedOn w:val="DefaultParagraphFont"/>
    <w:rsid w:val="008032D1"/>
  </w:style>
  <w:style w:type="character" w:customStyle="1" w:styleId="acronym">
    <w:name w:val="acronym"/>
    <w:basedOn w:val="DefaultParagraphFont"/>
    <w:rsid w:val="008032D1"/>
  </w:style>
  <w:style w:type="paragraph" w:customStyle="1" w:styleId="headingb0">
    <w:name w:val="heading_b"/>
    <w:basedOn w:val="Heading3"/>
    <w:next w:val="Normal"/>
    <w:rsid w:val="00857A7A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character" w:customStyle="1" w:styleId="NoteChar">
    <w:name w:val="Note Char"/>
    <w:basedOn w:val="DefaultParagraphFont"/>
    <w:link w:val="Note"/>
    <w:rsid w:val="00457613"/>
    <w:rPr>
      <w:rFonts w:ascii="Times New Roman" w:hAnsi="Times New Roman"/>
      <w:sz w:val="24"/>
      <w:lang w:val="en-GB" w:eastAsia="en-US"/>
    </w:rPr>
  </w:style>
  <w:style w:type="paragraph" w:customStyle="1" w:styleId="EM">
    <w:name w:val="EM"/>
    <w:basedOn w:val="enumlev1"/>
    <w:rsid w:val="00DE62A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ind w:left="1134" w:hanging="1134"/>
    </w:pPr>
    <w:rPr>
      <w:lang w:val="es-ES_tradnl"/>
    </w:rPr>
  </w:style>
  <w:style w:type="character" w:customStyle="1" w:styleId="href">
    <w:name w:val="href"/>
    <w:basedOn w:val="DefaultParagraphFont"/>
    <w:uiPriority w:val="99"/>
    <w:rsid w:val="00A67128"/>
  </w:style>
  <w:style w:type="paragraph" w:customStyle="1" w:styleId="CM14">
    <w:name w:val="CM14"/>
    <w:basedOn w:val="Default"/>
    <w:next w:val="Default"/>
    <w:uiPriority w:val="99"/>
    <w:rsid w:val="00205CE1"/>
    <w:pPr>
      <w:widowControl w:val="0"/>
    </w:pPr>
    <w:rPr>
      <w:rFonts w:ascii="Arial" w:eastAsia="Times New Roman" w:hAnsi="Arial" w:cs="Arial"/>
      <w:color w:val="auto"/>
      <w:lang w:eastAsia="en-US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17-SG03-C-0028/es" TargetMode="External"/><Relationship Id="rId18" Type="http://schemas.openxmlformats.org/officeDocument/2006/relationships/hyperlink" Target="https://www.itu.int/md/T17-SG03-C-0117/es" TargetMode="External"/><Relationship Id="rId26" Type="http://schemas.openxmlformats.org/officeDocument/2006/relationships/hyperlink" Target="https://www.bis.org/about/index.htm?m=1%7C1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en/ITU-T/focusgroups/dfs/Documents/09_2016/Regulation%20and%20the%20DFS%20Ecosystem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T13-SG03-160222-TD-PLEN-0341/es" TargetMode="External"/><Relationship Id="rId17" Type="http://schemas.openxmlformats.org/officeDocument/2006/relationships/hyperlink" Target="https://www.itu.int/md/T17-SG03-C-0114/es" TargetMode="External"/><Relationship Id="rId25" Type="http://schemas.openxmlformats.org/officeDocument/2006/relationships/hyperlink" Target="https://www.bis.org/cpmi/about.htm?m=3%7C16%7C29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SG03-C-0070/es" TargetMode="External"/><Relationship Id="rId20" Type="http://schemas.openxmlformats.org/officeDocument/2006/relationships/hyperlink" Target="https://www.itu.int/dms_inf/itu-t/md/17/sg03/td/180409/GEN/T17-SG03-180409-TD-GEN-0085!!MSW-E.docx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dms_inf/itu-t/md/17/sg03/td/180409/WP2/T17-SG03-180409-TD-WP2-0013!!MSW-E.docx" TargetMode="External"/><Relationship Id="rId24" Type="http://schemas.openxmlformats.org/officeDocument/2006/relationships/hyperlink" Target="http://ufa.worldbank.org/" TargetMode="Externa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SG03-C-0128/es" TargetMode="External"/><Relationship Id="rId23" Type="http://schemas.openxmlformats.org/officeDocument/2006/relationships/hyperlink" Target="https://www.itu.int/en/ITU-T/extcoop/figisymposium/Pages/default.aspx" TargetMode="External"/><Relationship Id="rId28" Type="http://schemas.openxmlformats.org/officeDocument/2006/relationships/hyperlink" Target="https://www.itu.int/en/ITU-T/extcoop/figisymposium/Pages/default.aspx" TargetMode="External"/><Relationship Id="rId10" Type="http://schemas.openxmlformats.org/officeDocument/2006/relationships/hyperlink" Target="mailto:cfrank@ntia.doc.gov" TargetMode="External"/><Relationship Id="rId19" Type="http://schemas.openxmlformats.org/officeDocument/2006/relationships/hyperlink" Target="https://www.itu.int/dms_inf/itu-t/md/17/sg03/td/180409/WP2/T17-SG03-180409-TD-WP2-0013!!MSW-E.doc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jarianpb@state.gov" TargetMode="External"/><Relationship Id="rId14" Type="http://schemas.openxmlformats.org/officeDocument/2006/relationships/hyperlink" Target="https://www.itu.int/md/T17-SG03-C-0045/es" TargetMode="External"/><Relationship Id="rId22" Type="http://schemas.openxmlformats.org/officeDocument/2006/relationships/hyperlink" Target="https://www.itu.int/en/ITU-D/Conferences/GSR/Documents/GSR2016/Meeting_report_E.pdf" TargetMode="External"/><Relationship Id="rId27" Type="http://schemas.openxmlformats.org/officeDocument/2006/relationships/hyperlink" Target="https://www.bis.org/cpmi/publ/d144.pdf" TargetMode="External"/><Relationship Id="rId3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B35E8A3A2246BBB6A4815AB08AF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3280E-683D-48D2-B44E-E4AFB1F0ED8D}"/>
      </w:docPartPr>
      <w:docPartBody>
        <w:p w:rsidR="00DF505A" w:rsidRDefault="003D6276" w:rsidP="003D6276">
          <w:pPr>
            <w:pStyle w:val="BAB35E8A3A2246BBB6A4815AB08AF23A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5FE2E66F680049B4A6F8F95A007C9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0C0BB-3F02-4452-B159-BBE56783C0ED}"/>
      </w:docPartPr>
      <w:docPartBody>
        <w:p w:rsidR="008A5B6B" w:rsidRDefault="0004462C" w:rsidP="0004462C">
          <w:pPr>
            <w:pStyle w:val="5FE2E66F680049B4A6F8F95A007C98C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E425C64D5EBC4B02B7CAA05AA39CE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5A409-7AF0-4C5B-A6F0-ABE48D5AC224}"/>
      </w:docPartPr>
      <w:docPartBody>
        <w:p w:rsidR="008A5B6B" w:rsidRDefault="0004462C" w:rsidP="0004462C">
          <w:pPr>
            <w:pStyle w:val="E425C64D5EBC4B02B7CAA05AA39CE3D2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76"/>
    <w:rsid w:val="0004462C"/>
    <w:rsid w:val="002C2840"/>
    <w:rsid w:val="003D6276"/>
    <w:rsid w:val="008A5B6B"/>
    <w:rsid w:val="00D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462C"/>
  </w:style>
  <w:style w:type="paragraph" w:customStyle="1" w:styleId="BAB35E8A3A2246BBB6A4815AB08AF23A">
    <w:name w:val="BAB35E8A3A2246BBB6A4815AB08AF23A"/>
    <w:rsid w:val="003D6276"/>
  </w:style>
  <w:style w:type="paragraph" w:customStyle="1" w:styleId="734FDC17F1014EEEA97F6189F67B963F">
    <w:name w:val="734FDC17F1014EEEA97F6189F67B963F"/>
    <w:rsid w:val="003D6276"/>
  </w:style>
  <w:style w:type="paragraph" w:customStyle="1" w:styleId="5FE2E66F680049B4A6F8F95A007C98C2">
    <w:name w:val="5FE2E66F680049B4A6F8F95A007C98C2"/>
    <w:rsid w:val="0004462C"/>
  </w:style>
  <w:style w:type="paragraph" w:customStyle="1" w:styleId="E425C64D5EBC4B02B7CAA05AA39CE3D2">
    <w:name w:val="E425C64D5EBC4B02B7CAA05AA39CE3D2"/>
    <w:rsid w:val="000446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1A925-4A78-4B0C-A862-6AEDE5D2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PS_TSB.dotm</Template>
  <TotalTime>48</TotalTime>
  <Pages>3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FHernández</dc:creator>
  <cp:keywords>C12/3; proyecto de Recomendación; servicios financieros móviles</cp:keywords>
  <dc:description/>
  <cp:lastModifiedBy>Author</cp:lastModifiedBy>
  <cp:revision>7</cp:revision>
  <cp:lastPrinted>2018-04-06T09:36:00Z</cp:lastPrinted>
  <dcterms:created xsi:type="dcterms:W3CDTF">2018-04-06T09:05:00Z</dcterms:created>
  <dcterms:modified xsi:type="dcterms:W3CDTF">2018-04-08T18:45:00Z</dcterms:modified>
</cp:coreProperties>
</file>