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5C2A378B" w:rsidR="00691C94" w:rsidRPr="00314630" w:rsidRDefault="008F45BF" w:rsidP="00EF5797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505F2" w:rsidRPr="00EF5797">
                  <w:rPr>
                    <w:lang w:val="en-US"/>
                  </w:rPr>
                  <w:t>SG3</w:t>
                </w:r>
                <w:r w:rsidR="00A54BCF" w:rsidRPr="00EF5797">
                  <w:rPr>
                    <w:lang w:val="en-US"/>
                  </w:rPr>
                  <w:t>-C</w:t>
                </w:r>
                <w:r w:rsidR="00EF5797" w:rsidRPr="00EF5797">
                  <w:rPr>
                    <w:lang w:val="en-US"/>
                  </w:rPr>
                  <w:t>196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5795301A" w:rsidR="00691C94" w:rsidRPr="00715CA6" w:rsidRDefault="00691C94" w:rsidP="008505F2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8505F2">
                  <w:rPr>
                    <w:b/>
                    <w:bCs/>
                    <w:sz w:val="28"/>
                    <w:szCs w:val="28"/>
                    <w:lang w:val="en-US"/>
                  </w:rPr>
                  <w:t xml:space="preserve">STUDY GROUP </w:t>
                </w:r>
                <w:r w:rsidR="008505F2" w:rsidRPr="008505F2">
                  <w:rPr>
                    <w:b/>
                    <w:bCs/>
                    <w:sz w:val="28"/>
                    <w:szCs w:val="28"/>
                    <w:lang w:val="en-US"/>
                  </w:rPr>
                  <w:t>3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309B4649" w:rsidR="00691C94" w:rsidRPr="0037415F" w:rsidRDefault="00AE106B" w:rsidP="00691C94">
                <w:r>
                  <w:t>7/3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37B67B35" w:rsidR="00691C94" w:rsidRPr="0037415F" w:rsidRDefault="008F45BF" w:rsidP="00DB7268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DB7268">
                  <w:t>Geneva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DB7268">
                  <w:t>9 - 18 April 2018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8F45BF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6D9E7C78" w:rsidR="00691C94" w:rsidRDefault="00AE106B" w:rsidP="00691C94">
                <w:r>
                  <w:t>United States of America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93C1715" w:rsidR="00691C94" w:rsidRPr="0037415F" w:rsidRDefault="008F45BF" w:rsidP="00D2270B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106B" w:rsidRPr="00D2270B">
                  <w:t xml:space="preserve">Views on proposed work </w:t>
                </w:r>
                <w:r w:rsidR="00D2270B" w:rsidRPr="00D2270B">
                  <w:t>under D.M2MRoaming</w:t>
                </w:r>
              </w:sdtContent>
            </w:sdt>
          </w:p>
        </w:tc>
      </w:tr>
      <w:tr w:rsidR="00691C94" w:rsidRPr="0037415F" w14:paraId="3F7DB1A4" w14:textId="77777777" w:rsidTr="009003C0">
        <w:trPr>
          <w:cantSplit/>
          <w:trHeight w:val="558"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Discussion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3585E5BE" w:rsidR="00691C94" w:rsidRPr="00B4174C" w:rsidRDefault="00DB7268" w:rsidP="00691C94">
                <w:r>
                  <w:t>Discussion</w:t>
                </w:r>
              </w:p>
            </w:tc>
          </w:sdtContent>
        </w:sdt>
      </w:tr>
      <w:tr w:rsidR="00691C94" w:rsidRPr="0037415F" w14:paraId="54FDCF36" w14:textId="77777777" w:rsidTr="00DB7268">
        <w:trPr>
          <w:cantSplit/>
          <w:trHeight w:val="106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5FE82307" w:rsidR="00691C94" w:rsidRDefault="008F45BF" w:rsidP="00DB7268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DB7268" w:rsidRPr="00DB7268">
                  <w:t xml:space="preserve">Paul </w:t>
                </w:r>
                <w:r w:rsidR="00DB7268">
                  <w:t xml:space="preserve">B. </w:t>
                </w:r>
                <w:r w:rsidR="00DB7268" w:rsidRPr="00DB7268">
                  <w:t>Najarian</w:t>
                </w:r>
                <w:r w:rsidR="00DB7268">
                  <w:br/>
                  <w:t>U.S. Department of State</w:t>
                </w:r>
                <w:r w:rsidR="00DB7268">
                  <w:br/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FDEC353" w:rsidR="00691C94" w:rsidRPr="00DB7268" w:rsidRDefault="00691C94" w:rsidP="00DB7268">
                <w:r w:rsidRPr="00DB7268">
                  <w:t>Tel: +</w:t>
                </w:r>
                <w:r w:rsidR="00DB7268">
                  <w:t>1 (202) 647-7847</w:t>
                </w:r>
                <w:r w:rsidRPr="00DB7268">
                  <w:br/>
                  <w:t>Fax</w:t>
                </w:r>
                <w:r w:rsidR="00EF5797">
                  <w:t>: +1 (202) 647-5957</w:t>
                </w:r>
                <w:r w:rsidRPr="00DB7268">
                  <w:br/>
                  <w:t xml:space="preserve">E-mail: </w:t>
                </w:r>
                <w:hyperlink r:id="rId12" w:history="1">
                  <w:r w:rsidR="00DB7268" w:rsidRPr="00EF6553">
                    <w:rPr>
                      <w:rStyle w:val="Hyperlink"/>
                      <w:rFonts w:ascii="Times New Roman" w:hAnsi="Times New Roman"/>
                    </w:rPr>
                    <w:t>najarianpb@state.gov</w:t>
                  </w:r>
                </w:hyperlink>
                <w:r w:rsidR="00DB7268">
                  <w:t xml:space="preserve"> </w:t>
                </w:r>
              </w:p>
            </w:tc>
          </w:sdtContent>
        </w:sdt>
      </w:tr>
      <w:tr w:rsidR="00691C94" w:rsidRPr="0037415F" w14:paraId="00C4D844" w14:textId="77777777" w:rsidTr="00DB7268">
        <w:trPr>
          <w:cantSplit/>
          <w:trHeight w:val="1074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6872FE79" w:rsidR="00691C94" w:rsidRDefault="008F45BF" w:rsidP="003644F9">
            <w:sdt>
              <w:sdt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3644F9">
                  <w:t>Ena Dekanic</w:t>
                </w:r>
                <w:r w:rsidR="003644F9">
                  <w:br/>
                  <w:t>Federal Communications Commission</w:t>
                </w:r>
                <w:r w:rsidR="003644F9">
                  <w:br/>
                </w:r>
                <w:r w:rsidR="00DB7268"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60339F03" w:rsidR="00691C94" w:rsidRPr="00DB7268" w:rsidRDefault="00691C94" w:rsidP="003644F9">
                <w:r w:rsidRPr="00DB7268">
                  <w:t xml:space="preserve">Tel: </w:t>
                </w:r>
                <w:r w:rsidR="003644F9">
                  <w:t>+1 (202) 418-3628</w:t>
                </w:r>
                <w:r w:rsidRPr="00DB7268">
                  <w:br/>
                  <w:t xml:space="preserve">Fax: </w:t>
                </w:r>
                <w:r w:rsidR="00510325">
                  <w:t>n/a</w:t>
                </w:r>
                <w:r w:rsidRPr="00DB7268">
                  <w:br/>
                  <w:t xml:space="preserve">E-mail: </w:t>
                </w:r>
                <w:hyperlink r:id="rId13" w:history="1">
                  <w:r w:rsidR="003644F9" w:rsidRPr="0022019B">
                    <w:rPr>
                      <w:rStyle w:val="Hyperlink"/>
                      <w:rFonts w:ascii="Times New Roman" w:hAnsi="Times New Roman"/>
                    </w:rPr>
                    <w:t>ena.dekanic@fcc.gov</w:t>
                  </w:r>
                </w:hyperlink>
                <w:r w:rsidR="003644F9">
                  <w:rPr>
                    <w:rStyle w:val="Hyperlink"/>
                    <w:rFonts w:ascii="Times New Roman" w:hAnsi="Times New Roman"/>
                  </w:rPr>
                  <w:t xml:space="preserve"> </w:t>
                </w:r>
                <w:r w:rsidR="00DB7268">
                  <w:t xml:space="preserve"> 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761AC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131CF0BB" w:rsidR="0089088E" w:rsidRDefault="008F45BF" w:rsidP="00E644FF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644FF">
                  <w:t xml:space="preserve">D.M2MRoaming; </w:t>
                </w:r>
                <w:proofErr w:type="spellStart"/>
                <w:r w:rsidR="00E644FF">
                  <w:t>D.IoTRoaming</w:t>
                </w:r>
                <w:proofErr w:type="spellEnd"/>
                <w:r w:rsidR="00E644FF">
                  <w:t xml:space="preserve">; </w:t>
                </w:r>
                <w:proofErr w:type="spellStart"/>
                <w:r w:rsidR="00E644FF">
                  <w:t>D.IoTpolicy</w:t>
                </w:r>
                <w:proofErr w:type="spellEnd"/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761AC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Theme="minorHAnsi"/>
              <w:lang w:val="en-US" w:eastAsia="en-US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47967421" w:rsidR="0089088E" w:rsidRDefault="000275E1" w:rsidP="00761ACC">
                <w:r w:rsidRPr="000275E1">
                  <w:rPr>
                    <w:rFonts w:eastAsiaTheme="minorHAnsi"/>
                    <w:lang w:val="en-US" w:eastAsia="en-US"/>
                  </w:rPr>
                  <w:t>The United States does not support a new draft Recommendation on M2M roaming.  Not only is such a draft Recommendation unwarranted, for a number of reasons, but it is particularly premature for ITU-T Study Group 3 to suggest any course of action before a planned Rapporteur Group e-meeting for Q7/3 has taken place.</w:t>
                </w:r>
              </w:p>
            </w:tc>
          </w:sdtContent>
        </w:sdt>
      </w:tr>
      <w:bookmarkEnd w:id="3"/>
    </w:tbl>
    <w:p w14:paraId="757733D7" w14:textId="77777777" w:rsidR="00AE106B" w:rsidRDefault="00AE106B" w:rsidP="00AE106B"/>
    <w:p w14:paraId="51154F48" w14:textId="7C7A2781" w:rsidR="00AE106B" w:rsidRPr="00EF5797" w:rsidRDefault="00F34413" w:rsidP="00DB7268">
      <w:pPr>
        <w:spacing w:before="0"/>
        <w:contextualSpacing/>
        <w:rPr>
          <w:b/>
          <w:u w:val="single"/>
        </w:rPr>
      </w:pPr>
      <w:r w:rsidRPr="00EF5797">
        <w:rPr>
          <w:b/>
          <w:u w:val="single"/>
        </w:rPr>
        <w:t>Introduction</w:t>
      </w:r>
    </w:p>
    <w:p w14:paraId="57B55A75" w14:textId="77777777" w:rsidR="00DB7268" w:rsidRDefault="00DB7268" w:rsidP="00DB7268">
      <w:pPr>
        <w:spacing w:before="0"/>
        <w:contextualSpacing/>
      </w:pPr>
    </w:p>
    <w:p w14:paraId="775913AF" w14:textId="64A175D1" w:rsidR="00E65606" w:rsidRDefault="00980868" w:rsidP="00E65606">
      <w:pPr>
        <w:spacing w:before="0"/>
        <w:contextualSpacing/>
      </w:pPr>
      <w:r>
        <w:t xml:space="preserve">Under the work item </w:t>
      </w:r>
      <w:r w:rsidRPr="00625405">
        <w:rPr>
          <w:i/>
        </w:rPr>
        <w:t>D.M2MRoaming</w:t>
      </w:r>
      <w:r>
        <w:t>, s</w:t>
      </w:r>
      <w:r w:rsidR="00AE106B" w:rsidRPr="00AE106B">
        <w:t>o</w:t>
      </w:r>
      <w:r w:rsidR="00AE106B">
        <w:t xml:space="preserve">me </w:t>
      </w:r>
      <w:r w:rsidR="00510325">
        <w:t xml:space="preserve">Member States </w:t>
      </w:r>
      <w:r w:rsidR="00D64555">
        <w:t xml:space="preserve">have </w:t>
      </w:r>
      <w:r w:rsidR="00AE106B">
        <w:t>propose</w:t>
      </w:r>
      <w:r w:rsidR="00D64555">
        <w:t>d</w:t>
      </w:r>
      <w:r w:rsidR="00AE106B">
        <w:t xml:space="preserve"> (</w:t>
      </w:r>
      <w:r w:rsidR="00AE106B" w:rsidRPr="003E0612">
        <w:rPr>
          <w:i/>
        </w:rPr>
        <w:t>e.g.</w:t>
      </w:r>
      <w:r w:rsidR="00AE106B">
        <w:t xml:space="preserve">, C147, C148, </w:t>
      </w:r>
      <w:r w:rsidR="00976657">
        <w:t xml:space="preserve">and </w:t>
      </w:r>
      <w:r w:rsidR="00C01172">
        <w:t>C</w:t>
      </w:r>
      <w:r w:rsidR="00AE106B">
        <w:t>165</w:t>
      </w:r>
      <w:r w:rsidR="00AE106B" w:rsidRPr="00AE106B">
        <w:t xml:space="preserve">) </w:t>
      </w:r>
      <w:r w:rsidR="00516B8F">
        <w:t xml:space="preserve">that </w:t>
      </w:r>
      <w:r w:rsidR="00AE106B" w:rsidRPr="00AE106B">
        <w:t xml:space="preserve">ITU-T Study Group 3 develop global accounting and charging principles </w:t>
      </w:r>
      <w:r w:rsidR="00AE106B">
        <w:t>and other</w:t>
      </w:r>
      <w:r w:rsidR="00796AB3">
        <w:t xml:space="preserve"> regulatory</w:t>
      </w:r>
      <w:r w:rsidR="00AE106B">
        <w:t xml:space="preserve"> guidelines </w:t>
      </w:r>
      <w:r w:rsidR="00AE106B" w:rsidRPr="00AE106B">
        <w:t>for</w:t>
      </w:r>
      <w:r w:rsidR="00FE3E63">
        <w:t xml:space="preserve"> M2M</w:t>
      </w:r>
      <w:r w:rsidR="00F34413">
        <w:t xml:space="preserve">. </w:t>
      </w:r>
      <w:r>
        <w:t xml:space="preserve"> In particular, </w:t>
      </w:r>
      <w:r w:rsidR="00D64555">
        <w:t xml:space="preserve">C147 and C165 propose a new draft ITU-T Recommendation, “Guidelines on Permanent Roaming for M2M Devices.”  </w:t>
      </w:r>
      <w:r w:rsidR="006C7AE6">
        <w:t xml:space="preserve">The matter of M2M, including roaming, is a matter of commercial negotiations between providers. </w:t>
      </w:r>
      <w:r w:rsidR="00213D64">
        <w:t xml:space="preserve"> </w:t>
      </w:r>
      <w:r w:rsidR="006C7AE6">
        <w:t>As such, a new draft Recommendation is unnecessary and should not go forward.</w:t>
      </w:r>
      <w:r w:rsidR="00AE106B" w:rsidRPr="00AE106B">
        <w:t xml:space="preserve"> </w:t>
      </w:r>
      <w:r w:rsidR="00E65606">
        <w:t xml:space="preserve"> The April 2017 Report of Working Party 4/3 (Section 3.2.1) notes plans to consolidate nine previous contributions on international mobile roaming into a single document, to be used as input for a Rapporteur Group e-meeting for Q7/3; however, these steps n</w:t>
      </w:r>
      <w:r w:rsidR="00935B26">
        <w:t xml:space="preserve">ever took place.  </w:t>
      </w:r>
      <w:r w:rsidR="006C7AE6">
        <w:t>T</w:t>
      </w:r>
      <w:r w:rsidR="00E65606">
        <w:t xml:space="preserve">he United States suggests that Working Party 4/3 </w:t>
      </w:r>
      <w:r w:rsidR="006C7AE6">
        <w:t>continue discussions on this matter, before suggesting any course of action.</w:t>
      </w:r>
      <w:r w:rsidR="00E65606">
        <w:t xml:space="preserve">  </w:t>
      </w:r>
    </w:p>
    <w:p w14:paraId="74435D4B" w14:textId="77777777" w:rsidR="00E65606" w:rsidRDefault="00E65606" w:rsidP="00E65606">
      <w:pPr>
        <w:spacing w:before="0"/>
        <w:contextualSpacing/>
      </w:pPr>
    </w:p>
    <w:p w14:paraId="21A5C410" w14:textId="38501BB2" w:rsidR="00516703" w:rsidRDefault="00E65606" w:rsidP="00E65606">
      <w:pPr>
        <w:spacing w:before="0"/>
        <w:contextualSpacing/>
      </w:pPr>
      <w:r>
        <w:t>Moreover, t</w:t>
      </w:r>
      <w:r w:rsidR="00BE58E9">
        <w:t>he United States disagrees wit</w:t>
      </w:r>
      <w:r w:rsidR="001C7F8F">
        <w:t>h</w:t>
      </w:r>
      <w:r w:rsidR="00BE58E9">
        <w:t xml:space="preserve"> the </w:t>
      </w:r>
      <w:r w:rsidR="000849AB">
        <w:t>presupposition in C147 and C165</w:t>
      </w:r>
      <w:r w:rsidR="001C7F8F">
        <w:t xml:space="preserve"> that “developing uniform M2M guidelines, including</w:t>
      </w:r>
      <w:r w:rsidR="001C7F8F">
        <w:rPr>
          <w:bCs/>
          <w:color w:val="030303"/>
          <w:shd w:val="clear" w:color="auto" w:fill="FFFFFF"/>
          <w:lang w:val="en-IN"/>
        </w:rPr>
        <w:t xml:space="preserve"> for charging, accounting and settlement mechanisms</w:t>
      </w:r>
      <w:r w:rsidR="001C7F8F">
        <w:t xml:space="preserve"> is timely and vital.” </w:t>
      </w:r>
      <w:r w:rsidR="00105C66">
        <w:t xml:space="preserve"> </w:t>
      </w:r>
      <w:r w:rsidR="00C36E4E">
        <w:t>In fact</w:t>
      </w:r>
      <w:r w:rsidR="00AE106B" w:rsidRPr="00AE106B">
        <w:t>,</w:t>
      </w:r>
      <w:r w:rsidR="00DE35F1">
        <w:t xml:space="preserve"> even for traditional </w:t>
      </w:r>
      <w:r w:rsidR="005E634B">
        <w:t>tele</w:t>
      </w:r>
      <w:r w:rsidR="00B27605">
        <w:t xml:space="preserve">communications </w:t>
      </w:r>
      <w:r w:rsidR="00DE35F1">
        <w:t>services,</w:t>
      </w:r>
      <w:r w:rsidR="00AE106B" w:rsidRPr="00AE106B">
        <w:t xml:space="preserve"> operators have largely </w:t>
      </w:r>
      <w:r w:rsidR="00C36E4E">
        <w:t>abandoned</w:t>
      </w:r>
      <w:r w:rsidR="00AE106B" w:rsidRPr="00AE106B">
        <w:t xml:space="preserve"> charging and accounting rate principles and instead rely on market-based commercial arrangements.</w:t>
      </w:r>
      <w:r w:rsidR="00796AB3">
        <w:rPr>
          <w:rStyle w:val="FootnoteReference"/>
        </w:rPr>
        <w:footnoteReference w:id="1"/>
      </w:r>
      <w:r w:rsidR="00AE106B" w:rsidRPr="00AE106B">
        <w:t xml:space="preserve">  Likewise, </w:t>
      </w:r>
      <w:r w:rsidR="001B1779">
        <w:t>M2M</w:t>
      </w:r>
      <w:r w:rsidR="00DE35F1">
        <w:t xml:space="preserve"> </w:t>
      </w:r>
      <w:r w:rsidR="00CC7044">
        <w:t>p</w:t>
      </w:r>
      <w:r w:rsidR="00836DDA">
        <w:t xml:space="preserve">roviders </w:t>
      </w:r>
      <w:r w:rsidR="00DE35F1">
        <w:t xml:space="preserve">use </w:t>
      </w:r>
      <w:r w:rsidR="00AE106B" w:rsidRPr="00AE106B">
        <w:t>innovative commercial models</w:t>
      </w:r>
      <w:r w:rsidR="00DE35F1">
        <w:t xml:space="preserve"> predicated on </w:t>
      </w:r>
      <w:r w:rsidR="00C36E4E">
        <w:lastRenderedPageBreak/>
        <w:t xml:space="preserve">mutually beneficial </w:t>
      </w:r>
      <w:r w:rsidR="00DE35F1">
        <w:t>bilateral agreement</w:t>
      </w:r>
      <w:r w:rsidR="0092542D">
        <w:t>s</w:t>
      </w:r>
      <w:r w:rsidR="00AE106B" w:rsidRPr="00AE106B">
        <w:t xml:space="preserve"> </w:t>
      </w:r>
      <w:r w:rsidR="00516B8F">
        <w:t xml:space="preserve">to expand connectivity </w:t>
      </w:r>
      <w:r w:rsidR="00AE106B" w:rsidRPr="00AE106B">
        <w:t>without</w:t>
      </w:r>
      <w:r w:rsidR="00516B8F">
        <w:t xml:space="preserve"> the need for</w:t>
      </w:r>
      <w:r w:rsidR="00AE106B" w:rsidRPr="00AE106B">
        <w:t xml:space="preserve"> accounting </w:t>
      </w:r>
      <w:r w:rsidR="00516B8F">
        <w:t>regulations</w:t>
      </w:r>
      <w:r w:rsidR="00AE106B" w:rsidRPr="00AE106B">
        <w:t xml:space="preserve">.   </w:t>
      </w:r>
    </w:p>
    <w:p w14:paraId="65DC3A0B" w14:textId="77777777" w:rsidR="0083797D" w:rsidRDefault="0083797D" w:rsidP="00DB7268">
      <w:pPr>
        <w:spacing w:before="0"/>
        <w:contextualSpacing/>
      </w:pPr>
    </w:p>
    <w:p w14:paraId="2143C052" w14:textId="5FE0C4B8" w:rsidR="0069342B" w:rsidRDefault="00516703" w:rsidP="00DB7268">
      <w:pPr>
        <w:spacing w:before="0"/>
        <w:contextualSpacing/>
      </w:pPr>
      <w:r>
        <w:t xml:space="preserve">With the expectation that commercial models will continue to evolve commensurate with the exponential growth of the </w:t>
      </w:r>
      <w:r w:rsidR="001B1779">
        <w:t>M2M</w:t>
      </w:r>
      <w:r>
        <w:t xml:space="preserve"> ecosystem, the market is best placed to develop new practices, </w:t>
      </w:r>
      <w:r w:rsidR="00625405">
        <w:t>as opposed to</w:t>
      </w:r>
      <w:r>
        <w:t xml:space="preserve"> governments impos</w:t>
      </w:r>
      <w:r w:rsidR="00625405">
        <w:t>ing</w:t>
      </w:r>
      <w:r>
        <w:t xml:space="preserve"> traditional accounting and charging principles. </w:t>
      </w:r>
      <w:r w:rsidR="00625405">
        <w:t xml:space="preserve"> </w:t>
      </w:r>
      <w:r>
        <w:t>It</w:t>
      </w:r>
      <w:r w:rsidR="008452FB">
        <w:t xml:space="preserve"> </w:t>
      </w:r>
      <w:r>
        <w:t>is premature for ITU-T Study Group 3 to</w:t>
      </w:r>
      <w:r w:rsidR="006C7AE6">
        <w:t xml:space="preserve"> suggest any course of action on th</w:t>
      </w:r>
      <w:r w:rsidR="005313FE">
        <w:t>e</w:t>
      </w:r>
      <w:r w:rsidR="006C7AE6">
        <w:t xml:space="preserve"> issue</w:t>
      </w:r>
      <w:r w:rsidR="005313FE">
        <w:t xml:space="preserve"> of</w:t>
      </w:r>
      <w:r w:rsidR="00EF5797">
        <w:t xml:space="preserve"> </w:t>
      </w:r>
      <w:r w:rsidR="005B4854">
        <w:t>M2M</w:t>
      </w:r>
      <w:r>
        <w:t xml:space="preserve"> charging frameworks, particularly when there has not been any identification of specific market challenges related to </w:t>
      </w:r>
      <w:r w:rsidR="00A4375D">
        <w:t>M2M</w:t>
      </w:r>
      <w:r>
        <w:t xml:space="preserve"> roaming, </w:t>
      </w:r>
      <w:r w:rsidR="00CB1FEC">
        <w:t xml:space="preserve">and </w:t>
      </w:r>
      <w:r>
        <w:t>where business models are still changing and evolving rapidly</w:t>
      </w:r>
      <w:r w:rsidR="000127F0">
        <w:t>.</w:t>
      </w:r>
      <w:r w:rsidR="00E65606">
        <w:t xml:space="preserve">  </w:t>
      </w:r>
      <w:r w:rsidR="000127F0">
        <w:t>In short, t</w:t>
      </w:r>
      <w:r w:rsidR="00010F61">
        <w:t xml:space="preserve">he United States believes </w:t>
      </w:r>
      <w:r w:rsidR="00AE106B" w:rsidRPr="00AE106B">
        <w:t>the application of accounting and charging principles</w:t>
      </w:r>
      <w:r w:rsidR="00516B8F">
        <w:t xml:space="preserve">, </w:t>
      </w:r>
      <w:r w:rsidR="001F370C">
        <w:t xml:space="preserve">and other regulatory actions proposed in the </w:t>
      </w:r>
      <w:r w:rsidR="007F0843">
        <w:t xml:space="preserve">work item </w:t>
      </w:r>
      <w:r w:rsidR="007F0843" w:rsidRPr="00625405">
        <w:rPr>
          <w:i/>
        </w:rPr>
        <w:t>D.M2MRoaming</w:t>
      </w:r>
      <w:r w:rsidR="007F0843">
        <w:t xml:space="preserve"> </w:t>
      </w:r>
      <w:r w:rsidR="001F0D3F">
        <w:t>is unwarranted</w:t>
      </w:r>
      <w:r w:rsidR="00F34413">
        <w:t xml:space="preserve">, </w:t>
      </w:r>
      <w:r w:rsidR="00010F61">
        <w:t xml:space="preserve">likely </w:t>
      </w:r>
      <w:r w:rsidR="001F0D3F">
        <w:t xml:space="preserve">to </w:t>
      </w:r>
      <w:r w:rsidR="00AE106B" w:rsidRPr="00AE106B">
        <w:t>stifle rather than promote the growth</w:t>
      </w:r>
      <w:r w:rsidR="003A3BE8">
        <w:t xml:space="preserve"> of </w:t>
      </w:r>
      <w:r w:rsidR="00B27629">
        <w:t>M2M</w:t>
      </w:r>
      <w:r w:rsidR="003A3BE8">
        <w:t>.</w:t>
      </w:r>
      <w:r w:rsidR="00EC3942">
        <w:rPr>
          <w:rStyle w:val="FootnoteReference"/>
        </w:rPr>
        <w:footnoteReference w:id="2"/>
      </w:r>
      <w:r w:rsidR="003A3BE8">
        <w:t xml:space="preserve">  </w:t>
      </w:r>
    </w:p>
    <w:p w14:paraId="4FB8C7B5" w14:textId="77777777" w:rsidR="00002244" w:rsidRDefault="00002244" w:rsidP="00DB7268">
      <w:pPr>
        <w:spacing w:before="0"/>
        <w:contextualSpacing/>
        <w:rPr>
          <w:u w:val="single"/>
        </w:rPr>
      </w:pPr>
    </w:p>
    <w:p w14:paraId="1A8C4FED" w14:textId="52813945" w:rsidR="00516703" w:rsidRDefault="005F3240" w:rsidP="00DB7268">
      <w:pPr>
        <w:spacing w:before="0"/>
        <w:contextualSpacing/>
      </w:pPr>
      <w:r>
        <w:t>Additionally</w:t>
      </w:r>
      <w:r w:rsidR="00516703">
        <w:t>, i</w:t>
      </w:r>
      <w:r w:rsidR="00516703" w:rsidRPr="000F0D44">
        <w:t xml:space="preserve">n an effort to avoid duplication of efforts between Sectors, </w:t>
      </w:r>
      <w:r w:rsidR="00516703">
        <w:t xml:space="preserve">the United States </w:t>
      </w:r>
      <w:r w:rsidR="00A80EC6">
        <w:t xml:space="preserve">notes </w:t>
      </w:r>
      <w:r w:rsidR="00516703" w:rsidRPr="000F0D44">
        <w:t xml:space="preserve"> the </w:t>
      </w:r>
      <w:r w:rsidR="00516703">
        <w:t xml:space="preserve">considerable work under </w:t>
      </w:r>
      <w:r w:rsidR="00516703" w:rsidRPr="000F0D44">
        <w:t>ITU-D Study Group 2, Question 1/2 (Creating the smart society: Social and economic development through ICT applications)</w:t>
      </w:r>
      <w:r w:rsidR="00516703">
        <w:t xml:space="preserve"> during the 2015-2017 study cycle</w:t>
      </w:r>
      <w:r w:rsidR="00516703" w:rsidRPr="000F0D44">
        <w:t>.  The final report of Question 1/2 contain</w:t>
      </w:r>
      <w:r w:rsidR="00516703">
        <w:t xml:space="preserve">s </w:t>
      </w:r>
      <w:r w:rsidR="00516703" w:rsidRPr="000F0D44">
        <w:t xml:space="preserve">a range of best practices to support Smart City and </w:t>
      </w:r>
      <w:proofErr w:type="spellStart"/>
      <w:r w:rsidR="00516703" w:rsidRPr="000F0D44">
        <w:t>IoT</w:t>
      </w:r>
      <w:proofErr w:type="spellEnd"/>
      <w:r w:rsidR="00516703" w:rsidRPr="000F0D44">
        <w:t xml:space="preserve"> growth more broadly, none of which identified the need for the development of global charging and accounting frameworks or other pr</w:t>
      </w:r>
      <w:r w:rsidR="00516703">
        <w:t>e</w:t>
      </w:r>
      <w:r w:rsidR="00516703" w:rsidRPr="000F0D44">
        <w:t xml:space="preserve">scriptive regulations.  </w:t>
      </w:r>
      <w:r w:rsidR="005F3E40">
        <w:t>T</w:t>
      </w:r>
      <w:r w:rsidR="00516703" w:rsidRPr="000F0D44">
        <w:t xml:space="preserve">he </w:t>
      </w:r>
      <w:r w:rsidR="005F3E40">
        <w:t xml:space="preserve">2017 ITU </w:t>
      </w:r>
      <w:r w:rsidR="00516703" w:rsidRPr="000F0D44">
        <w:t>World Telecommunication Development Conference (WTDC-17) approved the continuation o</w:t>
      </w:r>
      <w:r w:rsidR="00516703">
        <w:t>f Question 1/2, providing a continued path for interested parties to participate in this important dialogue.</w:t>
      </w:r>
      <w:r w:rsidR="00A80EC6">
        <w:t xml:space="preserve">  </w:t>
      </w:r>
      <w:r w:rsidR="00F76C9E">
        <w:t>Any domestic “guidelines”</w:t>
      </w:r>
      <w:r w:rsidR="002D46A7">
        <w:t xml:space="preserve"> for M2M are more appropriately considered in ITU-D, not as an ITU-T Recommendation.</w:t>
      </w:r>
      <w:r w:rsidR="00F76C9E">
        <w:t xml:space="preserve"> </w:t>
      </w:r>
    </w:p>
    <w:p w14:paraId="0293037C" w14:textId="77777777" w:rsidR="00516703" w:rsidRDefault="00516703" w:rsidP="00DB7268">
      <w:pPr>
        <w:spacing w:before="0"/>
        <w:contextualSpacing/>
        <w:rPr>
          <w:u w:val="single"/>
        </w:rPr>
      </w:pPr>
    </w:p>
    <w:p w14:paraId="38D5587F" w14:textId="427EEDA0" w:rsidR="0069342B" w:rsidRPr="00EF5797" w:rsidRDefault="0083797D" w:rsidP="00DB7268">
      <w:pPr>
        <w:spacing w:before="0"/>
        <w:contextualSpacing/>
        <w:rPr>
          <w:b/>
          <w:u w:val="single"/>
        </w:rPr>
      </w:pPr>
      <w:r w:rsidRPr="00EF5797">
        <w:rPr>
          <w:b/>
          <w:u w:val="single"/>
        </w:rPr>
        <w:t xml:space="preserve">The </w:t>
      </w:r>
      <w:r w:rsidR="001B1779" w:rsidRPr="00EF5797">
        <w:rPr>
          <w:b/>
          <w:u w:val="single"/>
        </w:rPr>
        <w:t>M2M</w:t>
      </w:r>
      <w:r w:rsidR="0069342B" w:rsidRPr="00EF5797">
        <w:rPr>
          <w:b/>
          <w:u w:val="single"/>
        </w:rPr>
        <w:t xml:space="preserve"> Ecosystem</w:t>
      </w:r>
    </w:p>
    <w:p w14:paraId="635C1C57" w14:textId="77777777" w:rsidR="00DB7268" w:rsidRPr="0069342B" w:rsidRDefault="00DB7268" w:rsidP="00DB7268">
      <w:pPr>
        <w:spacing w:before="0"/>
        <w:contextualSpacing/>
        <w:rPr>
          <w:u w:val="single"/>
        </w:rPr>
      </w:pPr>
    </w:p>
    <w:p w14:paraId="18A5F526" w14:textId="3402FCB0" w:rsidR="00A80EC6" w:rsidRDefault="00135F86" w:rsidP="00DB7268">
      <w:pPr>
        <w:spacing w:before="0"/>
        <w:contextualSpacing/>
      </w:pPr>
      <w:r w:rsidRPr="00B30084">
        <w:rPr>
          <w:lang w:val="en-US"/>
        </w:rPr>
        <w:t xml:space="preserve">The global nature of </w:t>
      </w:r>
      <w:r w:rsidR="0092542D">
        <w:rPr>
          <w:lang w:val="en-US"/>
        </w:rPr>
        <w:t xml:space="preserve">the </w:t>
      </w:r>
      <w:r w:rsidR="001B1779">
        <w:rPr>
          <w:lang w:val="en-US"/>
        </w:rPr>
        <w:t>M2M</w:t>
      </w:r>
      <w:r w:rsidR="009B1B6C">
        <w:rPr>
          <w:lang w:val="en-US"/>
        </w:rPr>
        <w:t xml:space="preserve"> ecosystem</w:t>
      </w:r>
      <w:r w:rsidRPr="00B30084">
        <w:rPr>
          <w:lang w:val="en-US"/>
        </w:rPr>
        <w:t>, coupled with increasing con</w:t>
      </w:r>
      <w:r>
        <w:rPr>
          <w:lang w:val="en-US"/>
        </w:rPr>
        <w:t>sumer mobility</w:t>
      </w:r>
      <w:r w:rsidRPr="00B30084">
        <w:rPr>
          <w:lang w:val="en-US"/>
        </w:rPr>
        <w:t>, its exponential growth trajectory and the general technological transformation in networking</w:t>
      </w:r>
      <w:r w:rsidR="00A80EC6">
        <w:rPr>
          <w:lang w:val="en-US"/>
        </w:rPr>
        <w:t>,</w:t>
      </w:r>
      <w:r w:rsidRPr="00B30084">
        <w:rPr>
          <w:lang w:val="en-US"/>
        </w:rPr>
        <w:t xml:space="preserve"> </w:t>
      </w:r>
      <w:r w:rsidR="00A80EC6">
        <w:rPr>
          <w:lang w:val="en-US"/>
        </w:rPr>
        <w:t xml:space="preserve">all depend on worldwide </w:t>
      </w:r>
      <w:r w:rsidRPr="00B30084">
        <w:rPr>
          <w:lang w:val="en-US"/>
        </w:rPr>
        <w:t>delivery</w:t>
      </w:r>
      <w:r w:rsidR="00A80EC6">
        <w:rPr>
          <w:lang w:val="en-US"/>
        </w:rPr>
        <w:t>.  As a result, the new business models that facilitate the innovative and seamless deployment of M2M</w:t>
      </w:r>
      <w:r w:rsidRPr="00B30084">
        <w:rPr>
          <w:lang w:val="en-US"/>
        </w:rPr>
        <w:t xml:space="preserve"> warrant a </w:t>
      </w:r>
      <w:r>
        <w:rPr>
          <w:lang w:val="en-US"/>
        </w:rPr>
        <w:t xml:space="preserve">light-touch regulatory </w:t>
      </w:r>
      <w:r w:rsidRPr="00B30084">
        <w:rPr>
          <w:lang w:val="en-US"/>
        </w:rPr>
        <w:t>approach</w:t>
      </w:r>
      <w:r w:rsidR="00D27CE8">
        <w:t>.</w:t>
      </w:r>
      <w:r w:rsidR="00282D99">
        <w:t xml:space="preserve"> </w:t>
      </w:r>
      <w:r w:rsidR="00857AD7">
        <w:t xml:space="preserve"> </w:t>
      </w:r>
      <w:r w:rsidR="00D27CE8">
        <w:t>The</w:t>
      </w:r>
      <w:r w:rsidR="000217F0">
        <w:t>se</w:t>
      </w:r>
      <w:r w:rsidR="00D27CE8">
        <w:t xml:space="preserve"> new business models</w:t>
      </w:r>
      <w:r w:rsidR="00B27605">
        <w:t xml:space="preserve"> v</w:t>
      </w:r>
      <w:r w:rsidR="00D27CE8">
        <w:t>ary</w:t>
      </w:r>
      <w:r w:rsidR="000217F0">
        <w:t xml:space="preserve"> from more traditional business models</w:t>
      </w:r>
      <w:r w:rsidR="00D27CE8">
        <w:t xml:space="preserve"> both in terms of the nature of the wireless connectivity provided to the end user and the economics of providing that connectivity (</w:t>
      </w:r>
      <w:r w:rsidR="00D27CE8" w:rsidRPr="00857AD7">
        <w:rPr>
          <w:i/>
        </w:rPr>
        <w:t>e.g.</w:t>
      </w:r>
      <w:r w:rsidR="00D27CE8">
        <w:t xml:space="preserve">, short duration communication, limited or no voice capability). </w:t>
      </w:r>
      <w:r w:rsidR="00857AD7">
        <w:t xml:space="preserve"> </w:t>
      </w:r>
      <w:r w:rsidR="00A80EC6">
        <w:t xml:space="preserve">For </w:t>
      </w:r>
      <w:r w:rsidR="001B1779">
        <w:t>M2M</w:t>
      </w:r>
      <w:r w:rsidR="00D27CE8">
        <w:t xml:space="preserve"> devices, mobile network operators (MNOs) do not provide a communications service directly to individual end users.  Rather, MNOs provide wireless connectivity to manufacturers</w:t>
      </w:r>
      <w:r w:rsidR="00A80EC6">
        <w:t xml:space="preserve"> (normally not communications providers)</w:t>
      </w:r>
      <w:r w:rsidR="00D27CE8">
        <w:t xml:space="preserve">, who distribute wirelessly-enabled products to end users.  </w:t>
      </w:r>
      <w:r w:rsidR="00857AD7">
        <w:t xml:space="preserve"> </w:t>
      </w:r>
    </w:p>
    <w:p w14:paraId="5A45838C" w14:textId="77777777" w:rsidR="00A80EC6" w:rsidRDefault="00A80EC6" w:rsidP="00DB7268">
      <w:pPr>
        <w:spacing w:before="0"/>
        <w:contextualSpacing/>
      </w:pPr>
    </w:p>
    <w:p w14:paraId="37D4730B" w14:textId="3547F51A" w:rsidR="00A80EC6" w:rsidRDefault="00B12AB3" w:rsidP="00DB7268">
      <w:pPr>
        <w:spacing w:before="0"/>
        <w:contextualSpacing/>
      </w:pPr>
      <w:r>
        <w:t xml:space="preserve">As a result, </w:t>
      </w:r>
      <w:r w:rsidR="00A80EC6">
        <w:t xml:space="preserve">M2M </w:t>
      </w:r>
      <w:r>
        <w:t>wireless connectivity is only</w:t>
      </w:r>
      <w:r w:rsidR="00A80EC6">
        <w:t xml:space="preserve"> an ancillary component of the </w:t>
      </w:r>
      <w:r>
        <w:t xml:space="preserve">actual </w:t>
      </w:r>
      <w:r w:rsidR="00A80EC6">
        <w:t xml:space="preserve">end product.  </w:t>
      </w:r>
      <w:r>
        <w:t xml:space="preserve">M2M providers </w:t>
      </w:r>
      <w:r w:rsidR="00A80EC6">
        <w:t>typically do not charge the end user separately for the connectivity because data transport is not the principal feature of the overall product (</w:t>
      </w:r>
      <w:r w:rsidR="00A80EC6" w:rsidRPr="00065C9D">
        <w:rPr>
          <w:i/>
        </w:rPr>
        <w:t>e.g.</w:t>
      </w:r>
      <w:r w:rsidR="00A80EC6">
        <w:t xml:space="preserve">, </w:t>
      </w:r>
      <w:r>
        <w:t>kitchen equipment</w:t>
      </w:r>
      <w:r w:rsidR="00A80EC6">
        <w:t>, fleet management) delivered to the end user.</w:t>
      </w:r>
      <w:r>
        <w:t xml:space="preserve">  Indeed, end users may be unaware of the M2M capability. </w:t>
      </w:r>
    </w:p>
    <w:p w14:paraId="523CD755" w14:textId="77777777" w:rsidR="00510325" w:rsidRDefault="00510325" w:rsidP="00DB7268">
      <w:pPr>
        <w:spacing w:before="0"/>
        <w:contextualSpacing/>
      </w:pPr>
    </w:p>
    <w:p w14:paraId="6C0C2783" w14:textId="14B09A27" w:rsidR="00085E57" w:rsidRDefault="00E03502" w:rsidP="00DB7268">
      <w:pPr>
        <w:spacing w:before="0"/>
        <w:contextualSpacing/>
      </w:pPr>
      <w:r>
        <w:t xml:space="preserve">To elaborate, </w:t>
      </w:r>
      <w:r w:rsidR="001B1779">
        <w:t>M2M</w:t>
      </w:r>
      <w:r w:rsidR="00EF5797">
        <w:t xml:space="preserve"> </w:t>
      </w:r>
      <w:r w:rsidR="00F92CCF">
        <w:t>do</w:t>
      </w:r>
      <w:r w:rsidR="004F54E0">
        <w:t>es</w:t>
      </w:r>
      <w:r w:rsidR="00F92CCF">
        <w:t xml:space="preserve"> not provide open-ended two-way communications. </w:t>
      </w:r>
      <w:r w:rsidR="00343D6B">
        <w:t xml:space="preserve"> </w:t>
      </w:r>
      <w:r w:rsidR="00A74464">
        <w:t xml:space="preserve">Specifically, </w:t>
      </w:r>
      <w:r w:rsidR="001B1779">
        <w:t>M2M</w:t>
      </w:r>
      <w:r w:rsidR="00A64AEB">
        <w:t xml:space="preserve"> </w:t>
      </w:r>
      <w:r w:rsidR="00B12AB3">
        <w:t xml:space="preserve">providers </w:t>
      </w:r>
      <w:r w:rsidR="00A64AEB">
        <w:t xml:space="preserve">generally do not allow for data, SMS or voice communications between humans with the ability to communicate with all or substantially all endpoints on a network like the PSTN </w:t>
      </w:r>
      <w:r w:rsidR="00085E57">
        <w:t xml:space="preserve">(public switched telephone network) or the Internet.  </w:t>
      </w:r>
      <w:r w:rsidR="00B12AB3">
        <w:t xml:space="preserve">For instance, an </w:t>
      </w:r>
      <w:r w:rsidR="00F754FE">
        <w:t>M2M</w:t>
      </w:r>
      <w:r w:rsidR="00B12AB3">
        <w:t xml:space="preserve">-enabled smart meter </w:t>
      </w:r>
      <w:r w:rsidR="00B12AB3">
        <w:lastRenderedPageBreak/>
        <w:t>fundamentally measures electricity usage; the</w:t>
      </w:r>
      <w:r w:rsidR="00F754FE">
        <w:t xml:space="preserve"> M2M</w:t>
      </w:r>
      <w:r w:rsidR="00B12AB3">
        <w:t xml:space="preserve"> enhancement allows the near real-time </w:t>
      </w:r>
      <w:r w:rsidR="000275E1">
        <w:t xml:space="preserve">delivery </w:t>
      </w:r>
      <w:r w:rsidR="00B12AB3">
        <w:t xml:space="preserve">of that usage information to the electric utility company.  </w:t>
      </w:r>
      <w:r w:rsidR="00F754FE">
        <w:t xml:space="preserve">Each lowers the cost of doing business, and the rates charged to consumers.  Therefore, supportive </w:t>
      </w:r>
      <w:r w:rsidR="00B12AB3">
        <w:t xml:space="preserve">M2M policies should recognize </w:t>
      </w:r>
      <w:r w:rsidR="00F754FE">
        <w:t xml:space="preserve">that new </w:t>
      </w:r>
      <w:r w:rsidR="00B12AB3">
        <w:t xml:space="preserve">M2M business models differ greatly from the traditional business models that supported the legacy telecommunications systems of the past, such as those on which accounting and charging principles were based.  </w:t>
      </w:r>
      <w:r w:rsidR="00085E57">
        <w:t xml:space="preserve">The absence of such open-ended communications capability is </w:t>
      </w:r>
      <w:r w:rsidR="00F754FE">
        <w:t>one</w:t>
      </w:r>
      <w:r w:rsidR="0001618F">
        <w:t xml:space="preserve"> </w:t>
      </w:r>
      <w:r w:rsidR="00085E57">
        <w:t xml:space="preserve">key differentiator between </w:t>
      </w:r>
      <w:r w:rsidR="0053291C">
        <w:t>M2M</w:t>
      </w:r>
      <w:r w:rsidR="00085E57">
        <w:t xml:space="preserve"> and traditional, regulated telecommunications services.  Moreover, as noted above, most operators long ago ceased using charging and accounting rate principles even for traditional two-way communications services and instead rely on market-based commercial arrangements.  </w:t>
      </w:r>
    </w:p>
    <w:p w14:paraId="27E9927B" w14:textId="372ABFFD" w:rsidR="00510325" w:rsidRDefault="00510325" w:rsidP="00DB7268">
      <w:pPr>
        <w:spacing w:before="0"/>
        <w:contextualSpacing/>
      </w:pPr>
    </w:p>
    <w:p w14:paraId="779C2FD8" w14:textId="47BF4C09" w:rsidR="008E548C" w:rsidRDefault="0092542D" w:rsidP="00DB7268">
      <w:pPr>
        <w:spacing w:before="0"/>
        <w:contextualSpacing/>
      </w:pPr>
      <w:r>
        <w:t xml:space="preserve">Further, </w:t>
      </w:r>
      <w:r w:rsidR="0001618F">
        <w:t xml:space="preserve">in the </w:t>
      </w:r>
      <w:r w:rsidR="0053291C">
        <w:t>M2M</w:t>
      </w:r>
      <w:r w:rsidR="008E548C">
        <w:t xml:space="preserve"> environment, economies of scale are </w:t>
      </w:r>
      <w:r w:rsidR="00F754FE">
        <w:t>in the best interest of the consumer</w:t>
      </w:r>
      <w:r w:rsidR="008E548C">
        <w:t>:</w:t>
      </w:r>
    </w:p>
    <w:p w14:paraId="3DE47917" w14:textId="272E0456" w:rsidR="008E548C" w:rsidRDefault="008E548C" w:rsidP="00964FE4">
      <w:pPr>
        <w:pStyle w:val="ListParagraph"/>
        <w:numPr>
          <w:ilvl w:val="0"/>
          <w:numId w:val="12"/>
        </w:numPr>
        <w:spacing w:before="0"/>
        <w:ind w:left="360"/>
      </w:pPr>
      <w:r>
        <w:t xml:space="preserve">Compared to mobile phones and tablets, </w:t>
      </w:r>
      <w:r w:rsidR="0053291C">
        <w:t>M2M</w:t>
      </w:r>
      <w:r w:rsidR="00CE5025">
        <w:t xml:space="preserve"> </w:t>
      </w:r>
      <w:r>
        <w:t>devices typically have low data consumption and very low average revenue per user (ARPU) (</w:t>
      </w:r>
      <w:r w:rsidRPr="00964FE4">
        <w:rPr>
          <w:i/>
        </w:rPr>
        <w:t>e.g.</w:t>
      </w:r>
      <w:r>
        <w:t xml:space="preserve">, a smart meter sending a few hundred bytes of data per day vs. a smartphone or tablet consuming </w:t>
      </w:r>
      <w:r w:rsidR="00361C57">
        <w:t>multiple</w:t>
      </w:r>
      <w:r>
        <w:t xml:space="preserve"> megabytes</w:t>
      </w:r>
      <w:r w:rsidR="00361C57">
        <w:t xml:space="preserve"> or gigabytes</w:t>
      </w:r>
      <w:r>
        <w:t>).</w:t>
      </w:r>
    </w:p>
    <w:p w14:paraId="66B27BD6" w14:textId="19F752D4" w:rsidR="008E548C" w:rsidRDefault="008E548C" w:rsidP="00964FE4">
      <w:pPr>
        <w:pStyle w:val="ListParagraph"/>
        <w:numPr>
          <w:ilvl w:val="0"/>
          <w:numId w:val="11"/>
        </w:numPr>
        <w:spacing w:before="0"/>
        <w:ind w:left="360"/>
      </w:pPr>
      <w:r>
        <w:t xml:space="preserve">Because their products </w:t>
      </w:r>
      <w:r w:rsidR="0092542D">
        <w:t xml:space="preserve">and solutions </w:t>
      </w:r>
      <w:r>
        <w:t>usually have very low ARPU, manufacturers are extremely sensitive to development and deployment input costs</w:t>
      </w:r>
      <w:r w:rsidR="0092542D">
        <w:t xml:space="preserve">, including costs imposed by regulation. </w:t>
      </w:r>
    </w:p>
    <w:p w14:paraId="607F1B81" w14:textId="23204985" w:rsidR="008E548C" w:rsidRDefault="008E548C" w:rsidP="00964FE4">
      <w:pPr>
        <w:pStyle w:val="ListParagraph"/>
        <w:numPr>
          <w:ilvl w:val="0"/>
          <w:numId w:val="11"/>
        </w:numPr>
        <w:spacing w:before="0"/>
        <w:ind w:left="360"/>
      </w:pPr>
      <w:r>
        <w:t xml:space="preserve">To efficiently amortize their costs, </w:t>
      </w:r>
      <w:r w:rsidR="0053291C">
        <w:t>M2M</w:t>
      </w:r>
      <w:r>
        <w:t xml:space="preserve"> </w:t>
      </w:r>
      <w:r w:rsidR="00D8493E">
        <w:t xml:space="preserve">providers </w:t>
      </w:r>
      <w:r w:rsidR="002762A4">
        <w:t xml:space="preserve">tend to develop standardized products with long useful lives that can be sold in significant volumes </w:t>
      </w:r>
      <w:r w:rsidR="00F754FE">
        <w:t xml:space="preserve">at lower prices </w:t>
      </w:r>
      <w:r w:rsidR="002762A4">
        <w:t xml:space="preserve">across many countries.  </w:t>
      </w:r>
    </w:p>
    <w:p w14:paraId="46A5341B" w14:textId="77777777" w:rsidR="00510325" w:rsidRDefault="00510325" w:rsidP="00DB7268">
      <w:pPr>
        <w:spacing w:before="0"/>
        <w:contextualSpacing/>
      </w:pPr>
    </w:p>
    <w:p w14:paraId="61524B1D" w14:textId="51951A48" w:rsidR="00CD631C" w:rsidRDefault="00DB1B5A" w:rsidP="00DB7268">
      <w:pPr>
        <w:spacing w:before="0"/>
        <w:contextualSpacing/>
      </w:pPr>
      <w:r>
        <w:t xml:space="preserve">As noted above, </w:t>
      </w:r>
      <w:r w:rsidR="00D27CE8">
        <w:t xml:space="preserve">the business models for </w:t>
      </w:r>
      <w:r w:rsidR="0053291C">
        <w:t>M2M</w:t>
      </w:r>
      <w:r w:rsidR="00D27CE8">
        <w:t xml:space="preserve"> </w:t>
      </w:r>
      <w:r w:rsidR="00D27CE8" w:rsidRPr="000B4717">
        <w:t>have unique challenges</w:t>
      </w:r>
      <w:r w:rsidR="00964FE4">
        <w:t xml:space="preserve">, </w:t>
      </w:r>
      <w:r>
        <w:t>which</w:t>
      </w:r>
      <w:r w:rsidR="00D27CE8">
        <w:t xml:space="preserve"> are </w:t>
      </w:r>
      <w:r w:rsidR="0053291C">
        <w:t xml:space="preserve">already </w:t>
      </w:r>
      <w:r w:rsidR="00D27CE8">
        <w:t xml:space="preserve">effectively </w:t>
      </w:r>
      <w:r>
        <w:t xml:space="preserve">being </w:t>
      </w:r>
      <w:r w:rsidR="00D27CE8">
        <w:t xml:space="preserve">addressed by </w:t>
      </w:r>
      <w:r w:rsidR="0053291C">
        <w:t>M2M</w:t>
      </w:r>
      <w:r w:rsidR="00D27CE8">
        <w:t xml:space="preserve"> </w:t>
      </w:r>
      <w:r w:rsidR="00F754FE">
        <w:t>providers</w:t>
      </w:r>
      <w:r w:rsidR="00D27CE8">
        <w:t>,</w:t>
      </w:r>
      <w:r w:rsidR="00D27CE8" w:rsidRPr="000B4717">
        <w:t xml:space="preserve"> device manufacturers</w:t>
      </w:r>
      <w:r w:rsidR="0053291C">
        <w:t>,</w:t>
      </w:r>
      <w:r w:rsidR="00D27CE8" w:rsidRPr="000B4717">
        <w:t xml:space="preserve"> and the wireless industry through various </w:t>
      </w:r>
      <w:r w:rsidR="00D27CE8">
        <w:t xml:space="preserve">commercial </w:t>
      </w:r>
      <w:r w:rsidR="00D27CE8" w:rsidRPr="000B4717">
        <w:t xml:space="preserve">solutions, </w:t>
      </w:r>
      <w:r w:rsidR="00D27CE8">
        <w:t>such as the</w:t>
      </w:r>
      <w:r w:rsidR="00D27CE8" w:rsidRPr="000B4717">
        <w:t xml:space="preserve"> use of </w:t>
      </w:r>
      <w:r w:rsidR="00D27CE8">
        <w:t xml:space="preserve">so-called permanent </w:t>
      </w:r>
      <w:r w:rsidR="00D27CE8" w:rsidRPr="000B4717">
        <w:t xml:space="preserve">roaming.  </w:t>
      </w:r>
      <w:r w:rsidR="00D956B7">
        <w:t xml:space="preserve">This is but one example of how industry-driven </w:t>
      </w:r>
      <w:r w:rsidR="00CD631C">
        <w:t xml:space="preserve">commercial </w:t>
      </w:r>
      <w:r w:rsidR="00D956B7">
        <w:t xml:space="preserve">solutions are promoting the innovation in and deployment of </w:t>
      </w:r>
      <w:r w:rsidR="00053F06">
        <w:t>M2M</w:t>
      </w:r>
      <w:r w:rsidR="00CD631C">
        <w:t xml:space="preserve"> devices</w:t>
      </w:r>
      <w:r w:rsidR="00D956B7">
        <w:t xml:space="preserve"> throughout the globe</w:t>
      </w:r>
      <w:r w:rsidR="00CD631C">
        <w:t xml:space="preserve">, </w:t>
      </w:r>
      <w:r w:rsidR="00AE106B" w:rsidRPr="002762A4">
        <w:rPr>
          <w:i/>
        </w:rPr>
        <w:t>affordably</w:t>
      </w:r>
      <w:r w:rsidR="00AE106B">
        <w:t xml:space="preserve"> expand</w:t>
      </w:r>
      <w:r w:rsidR="00CD631C">
        <w:t>ing</w:t>
      </w:r>
      <w:r w:rsidR="00AE106B">
        <w:t xml:space="preserve"> connectivity and adoption.  </w:t>
      </w:r>
    </w:p>
    <w:p w14:paraId="2FBC5254" w14:textId="70776DFA" w:rsidR="00510325" w:rsidRDefault="00510325" w:rsidP="00DB7268">
      <w:pPr>
        <w:spacing w:before="0"/>
        <w:contextualSpacing/>
      </w:pPr>
    </w:p>
    <w:p w14:paraId="12AB8CC6" w14:textId="1E0A950F" w:rsidR="00082039" w:rsidRPr="00EF5797" w:rsidRDefault="004B6F27" w:rsidP="00DB7268">
      <w:pPr>
        <w:spacing w:before="0"/>
        <w:contextualSpacing/>
        <w:rPr>
          <w:b/>
          <w:u w:val="single"/>
        </w:rPr>
      </w:pPr>
      <w:r w:rsidRPr="00EF5797">
        <w:rPr>
          <w:b/>
          <w:u w:val="single"/>
        </w:rPr>
        <w:t>Over-the-Air (OTA) Provisioning</w:t>
      </w:r>
    </w:p>
    <w:p w14:paraId="6ACBED53" w14:textId="42F4CE69" w:rsidR="00510325" w:rsidRDefault="00510325" w:rsidP="00DB7268">
      <w:pPr>
        <w:spacing w:before="0"/>
        <w:contextualSpacing/>
      </w:pPr>
    </w:p>
    <w:p w14:paraId="4855115A" w14:textId="0730D7F6" w:rsidR="00082039" w:rsidRDefault="004F33B9" w:rsidP="00DB7268">
      <w:pPr>
        <w:spacing w:before="0"/>
        <w:contextualSpacing/>
      </w:pPr>
      <w:r>
        <w:t>O</w:t>
      </w:r>
      <w:r w:rsidR="00442D21">
        <w:t>ver-the-air (</w:t>
      </w:r>
      <w:r w:rsidR="00082039">
        <w:t>OTA</w:t>
      </w:r>
      <w:r w:rsidR="00442D21">
        <w:t>)</w:t>
      </w:r>
      <w:r w:rsidR="00082039">
        <w:t xml:space="preserve"> provisioning</w:t>
      </w:r>
      <w:r>
        <w:t xml:space="preserve"> </w:t>
      </w:r>
      <w:r w:rsidR="00082039">
        <w:t xml:space="preserve">is already </w:t>
      </w:r>
      <w:r>
        <w:t xml:space="preserve">successfully </w:t>
      </w:r>
      <w:r w:rsidR="00082039">
        <w:t>being used in certain sectors (</w:t>
      </w:r>
      <w:r w:rsidR="00082039" w:rsidRPr="004F33B9">
        <w:rPr>
          <w:i/>
        </w:rPr>
        <w:t>e.g.</w:t>
      </w:r>
      <w:r w:rsidR="00082039">
        <w:t>, automotive)</w:t>
      </w:r>
      <w:r>
        <w:t>.</w:t>
      </w:r>
      <w:r w:rsidR="00082039">
        <w:t xml:space="preserve"> </w:t>
      </w:r>
      <w:r>
        <w:t xml:space="preserve"> In the U.S. view, </w:t>
      </w:r>
      <w:r w:rsidR="00082039">
        <w:t>to the extent available, OTA should be offered bu</w:t>
      </w:r>
      <w:r w:rsidR="00E919A3">
        <w:t xml:space="preserve">t not prescribed.  </w:t>
      </w:r>
      <w:r w:rsidR="005313FE">
        <w:t>I</w:t>
      </w:r>
      <w:r w:rsidR="00082039">
        <w:t xml:space="preserve">ndustry has made </w:t>
      </w:r>
      <w:r w:rsidR="005313FE">
        <w:t xml:space="preserve">significant progress </w:t>
      </w:r>
      <w:r w:rsidR="00082039">
        <w:t>in developing and promoting OTA capability since the first release of the GSMA embedded SIM specification.  The later versions of the spec</w:t>
      </w:r>
      <w:r w:rsidR="00E919A3">
        <w:t>ification, now at version 3.2,</w:t>
      </w:r>
      <w:r w:rsidR="00822045">
        <w:rPr>
          <w:rStyle w:val="FootnoteReference"/>
        </w:rPr>
        <w:footnoteReference w:id="3"/>
      </w:r>
      <w:r w:rsidR="00E919A3">
        <w:t xml:space="preserve"> </w:t>
      </w:r>
      <w:r w:rsidR="00082039">
        <w:t>allow for chang</w:t>
      </w:r>
      <w:r w:rsidR="00732377">
        <w:t xml:space="preserve">es to profiles of different MNOs </w:t>
      </w:r>
      <w:r w:rsidR="00082039">
        <w:t>over the life span of the product, preventing lock-in to the original MNO and offering increased</w:t>
      </w:r>
      <w:r w:rsidR="00732377">
        <w:t xml:space="preserve"> options to end users and </w:t>
      </w:r>
      <w:r w:rsidR="00D8493E">
        <w:t>providers</w:t>
      </w:r>
      <w:r w:rsidR="00082039">
        <w:t xml:space="preserve"> without the need for regulator</w:t>
      </w:r>
      <w:r w:rsidR="00732377">
        <w:t>y intervention.  It</w:t>
      </w:r>
      <w:r w:rsidR="00700A10">
        <w:t xml:space="preserve"> also</w:t>
      </w:r>
      <w:r w:rsidR="00732377">
        <w:t xml:space="preserve"> should be noted</w:t>
      </w:r>
      <w:r w:rsidR="00082039">
        <w:t xml:space="preserve"> that incorporating an OTA capability</w:t>
      </w:r>
      <w:r w:rsidR="00732377">
        <w:t xml:space="preserve"> inevitably adds costs to an </w:t>
      </w:r>
      <w:r w:rsidR="004B2128">
        <w:t>M2M</w:t>
      </w:r>
      <w:r w:rsidR="00082039">
        <w:t xml:space="preserve"> solution. While this may be justified for higher value products such as cars that will be in use for many years, it may be uneconomic for a </w:t>
      </w:r>
      <w:r w:rsidR="004B2128">
        <w:t>lower value, more disposable M2M</w:t>
      </w:r>
      <w:r w:rsidR="00082039">
        <w:t xml:space="preserve"> device that might only </w:t>
      </w:r>
      <w:r w:rsidR="00732377">
        <w:t xml:space="preserve">be used for a </w:t>
      </w:r>
      <w:r w:rsidR="00700A10">
        <w:t>short time</w:t>
      </w:r>
      <w:r w:rsidR="00732377">
        <w:t>.  The United States</w:t>
      </w:r>
      <w:r w:rsidR="00082039">
        <w:t xml:space="preserve">, therefore, cautions against </w:t>
      </w:r>
      <w:r w:rsidR="004B6F27">
        <w:t>any possible</w:t>
      </w:r>
      <w:r w:rsidR="00082039">
        <w:t xml:space="preserve"> adoption of a “one-size-fits-all” regulatory policy approach towards OTA switching, which would reduce operating flexibility, inhibit innovati</w:t>
      </w:r>
      <w:r w:rsidR="00732377">
        <w:t>on</w:t>
      </w:r>
      <w:r w:rsidR="004B6F27">
        <w:t>,</w:t>
      </w:r>
      <w:r w:rsidR="000772F2">
        <w:t xml:space="preserve"> and increase costs in new</w:t>
      </w:r>
      <w:r w:rsidR="00082039">
        <w:t xml:space="preserve"> offerings and business models. </w:t>
      </w:r>
    </w:p>
    <w:p w14:paraId="71FD7D2F" w14:textId="77777777" w:rsidR="00510325" w:rsidRDefault="00510325" w:rsidP="00DB7268">
      <w:pPr>
        <w:spacing w:before="0"/>
        <w:contextualSpacing/>
      </w:pPr>
    </w:p>
    <w:p w14:paraId="00C28638" w14:textId="4555CD3A" w:rsidR="0069342B" w:rsidRPr="00EF5797" w:rsidRDefault="0069342B" w:rsidP="00DB7268">
      <w:pPr>
        <w:spacing w:before="0"/>
        <w:contextualSpacing/>
        <w:rPr>
          <w:b/>
          <w:u w:val="single"/>
        </w:rPr>
      </w:pPr>
      <w:r w:rsidRPr="00EF5797">
        <w:rPr>
          <w:b/>
          <w:u w:val="single"/>
        </w:rPr>
        <w:t xml:space="preserve">Registration </w:t>
      </w:r>
      <w:r w:rsidR="00D42521" w:rsidRPr="00EF5797">
        <w:rPr>
          <w:b/>
          <w:u w:val="single"/>
        </w:rPr>
        <w:t xml:space="preserve">of </w:t>
      </w:r>
      <w:r w:rsidR="002D215F" w:rsidRPr="00EF5797">
        <w:rPr>
          <w:b/>
          <w:u w:val="single"/>
        </w:rPr>
        <w:t>M2M</w:t>
      </w:r>
      <w:r w:rsidR="00D42521" w:rsidRPr="00EF5797">
        <w:rPr>
          <w:b/>
          <w:u w:val="single"/>
        </w:rPr>
        <w:t xml:space="preserve"> </w:t>
      </w:r>
      <w:r w:rsidR="00D8493E" w:rsidRPr="00EF5797">
        <w:rPr>
          <w:b/>
          <w:u w:val="single"/>
        </w:rPr>
        <w:t xml:space="preserve">Providers </w:t>
      </w:r>
    </w:p>
    <w:p w14:paraId="24B867EA" w14:textId="77777777" w:rsidR="00510325" w:rsidRPr="002762A4" w:rsidRDefault="00510325" w:rsidP="00DB7268">
      <w:pPr>
        <w:spacing w:before="0"/>
        <w:contextualSpacing/>
        <w:rPr>
          <w:u w:val="single"/>
        </w:rPr>
      </w:pPr>
    </w:p>
    <w:p w14:paraId="316FE0C1" w14:textId="0A366772" w:rsidR="00683227" w:rsidRDefault="00502B7D" w:rsidP="00DB7268">
      <w:pPr>
        <w:spacing w:before="0"/>
        <w:contextualSpacing/>
      </w:pPr>
      <w:r>
        <w:t xml:space="preserve">In the U.S. view, </w:t>
      </w:r>
      <w:r w:rsidR="004A79B7">
        <w:t>the i</w:t>
      </w:r>
      <w:r w:rsidR="00700A10">
        <w:t>mpos</w:t>
      </w:r>
      <w:r w:rsidR="004A79B7">
        <w:t>ition</w:t>
      </w:r>
      <w:r w:rsidR="00700A10">
        <w:t xml:space="preserve"> </w:t>
      </w:r>
      <w:r w:rsidR="004A79B7">
        <w:t xml:space="preserve">of </w:t>
      </w:r>
      <w:r w:rsidR="0069342B">
        <w:t>new registration regulation and compliance requirements o</w:t>
      </w:r>
      <w:r w:rsidR="00700A10">
        <w:t>n</w:t>
      </w:r>
      <w:r w:rsidR="0069342B">
        <w:t xml:space="preserve"> </w:t>
      </w:r>
      <w:r w:rsidR="00053F06">
        <w:t>M2M</w:t>
      </w:r>
      <w:r w:rsidR="00700A10">
        <w:t xml:space="preserve"> </w:t>
      </w:r>
      <w:r w:rsidR="00D8493E">
        <w:t>providers</w:t>
      </w:r>
      <w:r w:rsidR="001F0D3F">
        <w:t xml:space="preserve"> is not warranted. </w:t>
      </w:r>
      <w:r w:rsidR="00213D64">
        <w:t xml:space="preserve"> </w:t>
      </w:r>
      <w:r w:rsidR="001F0D3F">
        <w:t>If adopted, such measures would</w:t>
      </w:r>
      <w:r w:rsidR="0069342B">
        <w:t xml:space="preserve"> stifle the emerging </w:t>
      </w:r>
      <w:r w:rsidR="00053F06">
        <w:t>M2M</w:t>
      </w:r>
      <w:r w:rsidR="0069342B">
        <w:t xml:space="preserve"> </w:t>
      </w:r>
      <w:r w:rsidR="00D36C4B">
        <w:t xml:space="preserve">market </w:t>
      </w:r>
      <w:r w:rsidR="0069342B">
        <w:t xml:space="preserve">by increasing </w:t>
      </w:r>
      <w:r w:rsidR="00D36C4B">
        <w:t xml:space="preserve">operational </w:t>
      </w:r>
      <w:r w:rsidR="0069342B">
        <w:t xml:space="preserve">costs </w:t>
      </w:r>
      <w:r w:rsidR="00D36C4B">
        <w:t>or foreclosing market entry</w:t>
      </w:r>
      <w:r w:rsidR="004A79B7">
        <w:t xml:space="preserve">, thereby </w:t>
      </w:r>
      <w:r w:rsidR="0069342B">
        <w:t>harm</w:t>
      </w:r>
      <w:r w:rsidR="004A79B7">
        <w:t>ing</w:t>
      </w:r>
      <w:r w:rsidR="007A0428">
        <w:t xml:space="preserve"> </w:t>
      </w:r>
      <w:r w:rsidR="0069342B">
        <w:t xml:space="preserve">consumers </w:t>
      </w:r>
      <w:r w:rsidR="006924CE">
        <w:t xml:space="preserve">by limiting </w:t>
      </w:r>
      <w:r w:rsidR="00D36C4B">
        <w:t xml:space="preserve">innovation and competitive </w:t>
      </w:r>
      <w:r w:rsidR="006924CE">
        <w:t xml:space="preserve">offerings.  </w:t>
      </w:r>
      <w:r w:rsidR="00683227" w:rsidRPr="00A73958">
        <w:t>In many cases</w:t>
      </w:r>
      <w:r w:rsidR="00683227">
        <w:t xml:space="preserve">, the </w:t>
      </w:r>
      <w:r w:rsidR="00053F06">
        <w:t>M2M</w:t>
      </w:r>
      <w:r w:rsidR="00683227">
        <w:t xml:space="preserve"> </w:t>
      </w:r>
      <w:r w:rsidR="004B2128">
        <w:t>provider</w:t>
      </w:r>
      <w:r w:rsidR="00683227" w:rsidRPr="00A73958">
        <w:t xml:space="preserve"> is </w:t>
      </w:r>
      <w:r w:rsidR="00683227">
        <w:t>a</w:t>
      </w:r>
      <w:r w:rsidR="00786841">
        <w:t>n</w:t>
      </w:r>
      <w:r w:rsidR="00683227">
        <w:t xml:space="preserve"> MNO or a Mo</w:t>
      </w:r>
      <w:r w:rsidR="00D36C4B">
        <w:t>bile Virtual Network Operator (</w:t>
      </w:r>
      <w:r w:rsidR="00683227" w:rsidRPr="00A73958">
        <w:t>MVNO</w:t>
      </w:r>
      <w:r w:rsidR="00683227">
        <w:t>)</w:t>
      </w:r>
      <w:r w:rsidR="00361C57">
        <w:t xml:space="preserve"> or receives its </w:t>
      </w:r>
      <w:r w:rsidR="0015047A">
        <w:t xml:space="preserve">underlying </w:t>
      </w:r>
      <w:r w:rsidR="00361C57">
        <w:t>connectivity from an MNO or MVNO</w:t>
      </w:r>
      <w:r w:rsidR="00683227" w:rsidRPr="00A73958">
        <w:t xml:space="preserve">.  </w:t>
      </w:r>
      <w:r w:rsidR="0015047A">
        <w:t>Thus, t</w:t>
      </w:r>
      <w:r w:rsidR="00683227" w:rsidRPr="00A73958">
        <w:t>he pro</w:t>
      </w:r>
      <w:r w:rsidR="00D36C4B">
        <w:t>vision of connectivity (</w:t>
      </w:r>
      <w:r w:rsidR="00D36C4B" w:rsidRPr="00814C13">
        <w:rPr>
          <w:i/>
        </w:rPr>
        <w:t>i.e.</w:t>
      </w:r>
      <w:r w:rsidR="00D36C4B">
        <w:t>,</w:t>
      </w:r>
      <w:r w:rsidR="00683227" w:rsidRPr="00A73958">
        <w:t xml:space="preserve"> the telecom</w:t>
      </w:r>
      <w:r w:rsidR="00786841">
        <w:t>munications</w:t>
      </w:r>
      <w:r w:rsidR="00683227" w:rsidRPr="00A73958">
        <w:t xml:space="preserve"> service) is already </w:t>
      </w:r>
      <w:r w:rsidR="00683227" w:rsidRPr="00A73958">
        <w:lastRenderedPageBreak/>
        <w:t>regulated throu</w:t>
      </w:r>
      <w:r w:rsidR="00683227">
        <w:t xml:space="preserve">gh the licensing of the MNO or </w:t>
      </w:r>
      <w:r w:rsidR="00683227" w:rsidRPr="009B16FF">
        <w:t>MVNO</w:t>
      </w:r>
      <w:r w:rsidR="00786841">
        <w:t>; notably, quality of service, law enforcement requirements, and other regulatory measures are also already addressed through the MNO network license</w:t>
      </w:r>
      <w:r w:rsidR="00683227" w:rsidRPr="009B16FF">
        <w:t>.</w:t>
      </w:r>
      <w:r w:rsidR="00683227" w:rsidRPr="00A73958">
        <w:t xml:space="preserve">  </w:t>
      </w:r>
    </w:p>
    <w:p w14:paraId="51774EF4" w14:textId="77777777" w:rsidR="00510325" w:rsidRPr="00A73958" w:rsidRDefault="00510325" w:rsidP="00DB7268">
      <w:pPr>
        <w:spacing w:before="0"/>
        <w:contextualSpacing/>
      </w:pPr>
    </w:p>
    <w:p w14:paraId="2F5DD11E" w14:textId="4BA1333B" w:rsidR="00AE106B" w:rsidRPr="00EF5797" w:rsidRDefault="00AE106B" w:rsidP="00DB7268">
      <w:pPr>
        <w:spacing w:before="0"/>
        <w:contextualSpacing/>
        <w:rPr>
          <w:b/>
          <w:u w:val="single"/>
        </w:rPr>
      </w:pPr>
      <w:r w:rsidRPr="00EF5797">
        <w:rPr>
          <w:b/>
          <w:u w:val="single"/>
        </w:rPr>
        <w:t>Conclusion</w:t>
      </w:r>
    </w:p>
    <w:p w14:paraId="691CC366" w14:textId="77777777" w:rsidR="00510325" w:rsidRPr="002762A4" w:rsidRDefault="00510325" w:rsidP="00DB7268">
      <w:pPr>
        <w:spacing w:before="0"/>
        <w:contextualSpacing/>
        <w:rPr>
          <w:u w:val="single"/>
        </w:rPr>
      </w:pPr>
    </w:p>
    <w:p w14:paraId="3D2C3B06" w14:textId="7BC34771" w:rsidR="00AE106B" w:rsidRDefault="001F0D3F" w:rsidP="00DB7268">
      <w:pPr>
        <w:spacing w:before="0"/>
        <w:contextualSpacing/>
      </w:pPr>
      <w:r>
        <w:t>The United States does not support a draft new Recommendation on M2M roaming.</w:t>
      </w:r>
      <w:r w:rsidR="00A80EC6">
        <w:t xml:space="preserve"> </w:t>
      </w:r>
      <w:r w:rsidR="00213D64">
        <w:t xml:space="preserve"> </w:t>
      </w:r>
      <w:r w:rsidR="00C36E4E">
        <w:t xml:space="preserve">The </w:t>
      </w:r>
      <w:r w:rsidR="00A960CF">
        <w:t>M2M ecosystem</w:t>
      </w:r>
      <w:r w:rsidR="00C36E4E">
        <w:t xml:space="preserve"> is </w:t>
      </w:r>
      <w:r w:rsidR="00A80EC6">
        <w:t xml:space="preserve">already operating </w:t>
      </w:r>
      <w:r w:rsidR="00C36E4E">
        <w:t>without unnece</w:t>
      </w:r>
      <w:r w:rsidR="00C63393">
        <w:t xml:space="preserve">ssary regulatory intervention, and </w:t>
      </w:r>
      <w:r w:rsidR="00690CD9">
        <w:t>M2M</w:t>
      </w:r>
      <w:r w:rsidR="00EA6F23">
        <w:t xml:space="preserve">, </w:t>
      </w:r>
      <w:r w:rsidR="00AE106B">
        <w:t>already an integral part of today’s global traffic flows</w:t>
      </w:r>
      <w:r w:rsidR="00EA6F23">
        <w:t>, are</w:t>
      </w:r>
      <w:r w:rsidR="00AE106B">
        <w:t xml:space="preserve"> providing significant benefits to consumers and industry throughout the world.  With the accelerating growth of </w:t>
      </w:r>
      <w:r w:rsidR="004F54E0">
        <w:t>M2M</w:t>
      </w:r>
      <w:r w:rsidR="00AE106B">
        <w:t xml:space="preserve"> under existing and rapidly evolving commercial business models,</w:t>
      </w:r>
      <w:r>
        <w:t xml:space="preserve"> any new draft Recommendation on this subject would be unproductive. </w:t>
      </w:r>
      <w:r w:rsidR="00213D64">
        <w:t xml:space="preserve"> </w:t>
      </w:r>
      <w:r>
        <w:t>Imposition of a top-down, legacy-era regulatory framework would adversely affect global deployment and would do nothing to bring the expected benefits to consumers.</w:t>
      </w:r>
      <w:r w:rsidR="009B4D5C">
        <w:t xml:space="preserve"> </w:t>
      </w:r>
      <w:r w:rsidR="00213D64">
        <w:t xml:space="preserve"> </w:t>
      </w:r>
      <w:r w:rsidR="009B4D5C">
        <w:t xml:space="preserve">On the contrary, it would greatly damage the potentially significant benefits </w:t>
      </w:r>
      <w:r w:rsidR="004F54E0">
        <w:t>M2M</w:t>
      </w:r>
      <w:r w:rsidR="006F56C5">
        <w:t xml:space="preserve"> </w:t>
      </w:r>
      <w:r w:rsidR="009B4D5C">
        <w:t>could provide.</w:t>
      </w:r>
      <w:r w:rsidR="00AE106B">
        <w:t xml:space="preserve"> </w:t>
      </w:r>
    </w:p>
    <w:p w14:paraId="7DB0B079" w14:textId="77777777" w:rsidR="00A80EC6" w:rsidRDefault="00A80EC6" w:rsidP="00DB7268">
      <w:pPr>
        <w:spacing w:before="0"/>
        <w:contextualSpacing/>
      </w:pPr>
    </w:p>
    <w:p w14:paraId="27488C37" w14:textId="77777777" w:rsidR="00935B26" w:rsidRDefault="00935B26" w:rsidP="00DB7268">
      <w:pPr>
        <w:spacing w:before="0"/>
        <w:contextualSpacing/>
      </w:pPr>
    </w:p>
    <w:p w14:paraId="7E6EFD8D" w14:textId="03020423" w:rsidR="00A80EC6" w:rsidRDefault="00A80EC6" w:rsidP="00DB7268">
      <w:pPr>
        <w:spacing w:before="0"/>
        <w:contextualSpacing/>
      </w:pPr>
      <w:r>
        <w:t xml:space="preserve">The United States requests that this contribution be made available publicly without restriction. </w:t>
      </w:r>
    </w:p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4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E4A9" w14:textId="77777777" w:rsidR="008F45BF" w:rsidRDefault="008F45BF" w:rsidP="00C42125">
      <w:pPr>
        <w:spacing w:before="0"/>
      </w:pPr>
      <w:r>
        <w:separator/>
      </w:r>
    </w:p>
  </w:endnote>
  <w:endnote w:type="continuationSeparator" w:id="0">
    <w:p w14:paraId="00841EF7" w14:textId="77777777" w:rsidR="008F45BF" w:rsidRDefault="008F45B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EDE0" w14:textId="77777777" w:rsidR="008F45BF" w:rsidRDefault="008F45BF" w:rsidP="00C42125">
      <w:pPr>
        <w:spacing w:before="0"/>
      </w:pPr>
      <w:r>
        <w:separator/>
      </w:r>
    </w:p>
  </w:footnote>
  <w:footnote w:type="continuationSeparator" w:id="0">
    <w:p w14:paraId="048D6B8D" w14:textId="77777777" w:rsidR="008F45BF" w:rsidRDefault="008F45BF" w:rsidP="00C42125">
      <w:pPr>
        <w:spacing w:before="0"/>
      </w:pPr>
      <w:r>
        <w:continuationSeparator/>
      </w:r>
    </w:p>
  </w:footnote>
  <w:footnote w:id="1">
    <w:p w14:paraId="4CE7A015" w14:textId="77777777" w:rsidR="00EF5797" w:rsidRDefault="00761AC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D7D24">
        <w:t xml:space="preserve">According to the Federal Communications Commission (FCC), in 2012 (the latest year for which data is available), only 0.5% of international telecommunications traffic between the United States and foreign points was settled under </w:t>
      </w:r>
      <w:r>
        <w:rPr>
          <w:lang w:val="en-US"/>
        </w:rPr>
        <w:t>traditional accounting rate arrangements</w:t>
      </w:r>
      <w:r w:rsidR="00FD7D24">
        <w:rPr>
          <w:lang w:val="en-US"/>
        </w:rPr>
        <w:t>, compared to 86% of such traffic in 1998 – this is despite the fact that during the same time period, total billed minutes for international calls in the United States increased from 24.2 billion to 77.9 billion, a compound annual growth rate of 9.4%</w:t>
      </w:r>
      <w:r>
        <w:rPr>
          <w:lang w:val="en-US"/>
        </w:rPr>
        <w:t xml:space="preserve">. </w:t>
      </w:r>
    </w:p>
    <w:p w14:paraId="49D56BDE" w14:textId="6CF52C47" w:rsidR="00761ACC" w:rsidRPr="00796AB3" w:rsidRDefault="00761ACC">
      <w:pPr>
        <w:pStyle w:val="FootnoteText"/>
        <w:rPr>
          <w:lang w:val="en-US"/>
        </w:rPr>
      </w:pPr>
      <w:r>
        <w:rPr>
          <w:lang w:val="en-US"/>
        </w:rPr>
        <w:t xml:space="preserve"> </w:t>
      </w:r>
    </w:p>
  </w:footnote>
  <w:footnote w:id="2">
    <w:p w14:paraId="7C7F5292" w14:textId="6FF5A9E3" w:rsidR="00EC3942" w:rsidRPr="00EC3942" w:rsidRDefault="00EC3942" w:rsidP="00EC39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United States also has </w:t>
      </w:r>
      <w:r w:rsidR="006421DC">
        <w:rPr>
          <w:lang w:val="en-US"/>
        </w:rPr>
        <w:t>similar</w:t>
      </w:r>
      <w:r w:rsidR="00CD322E">
        <w:rPr>
          <w:lang w:val="en-US"/>
        </w:rPr>
        <w:t xml:space="preserve"> concerns with the related – </w:t>
      </w:r>
      <w:r>
        <w:rPr>
          <w:lang w:val="en-US"/>
        </w:rPr>
        <w:t>and potentially duplicative</w:t>
      </w:r>
      <w:r w:rsidR="00CD322E">
        <w:rPr>
          <w:lang w:val="en-US"/>
        </w:rPr>
        <w:t xml:space="preserve"> – work items </w:t>
      </w:r>
      <w:proofErr w:type="spellStart"/>
      <w:r w:rsidR="00CD322E" w:rsidRPr="00CD322E">
        <w:rPr>
          <w:i/>
          <w:lang w:val="en-US"/>
        </w:rPr>
        <w:t>D.IoTRoaming</w:t>
      </w:r>
      <w:proofErr w:type="spellEnd"/>
      <w:r w:rsidR="00CD322E">
        <w:rPr>
          <w:lang w:val="en-US"/>
        </w:rPr>
        <w:t xml:space="preserve"> and </w:t>
      </w:r>
      <w:proofErr w:type="spellStart"/>
      <w:r w:rsidR="00CD322E" w:rsidRPr="00CD322E">
        <w:rPr>
          <w:i/>
          <w:lang w:val="en-US"/>
        </w:rPr>
        <w:t>D.IoTpolicy</w:t>
      </w:r>
      <w:proofErr w:type="spellEnd"/>
      <w:r w:rsidR="00CD322E">
        <w:rPr>
          <w:lang w:val="en-US"/>
        </w:rPr>
        <w:t xml:space="preserve">.  </w:t>
      </w:r>
      <w:r>
        <w:rPr>
          <w:lang w:val="en-US"/>
        </w:rPr>
        <w:t xml:space="preserve">Moving forward, the United States encourages SG3 to carefully consider </w:t>
      </w:r>
      <w:r w:rsidR="00E65F46">
        <w:rPr>
          <w:lang w:val="en-US"/>
        </w:rPr>
        <w:t xml:space="preserve">and explain </w:t>
      </w:r>
      <w:r>
        <w:rPr>
          <w:lang w:val="en-US"/>
        </w:rPr>
        <w:t>when and how it uses the terms “M2M” vs. “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.” </w:t>
      </w:r>
    </w:p>
  </w:footnote>
  <w:footnote w:id="3">
    <w:p w14:paraId="33E6AC8A" w14:textId="031E89D7" w:rsidR="00822045" w:rsidRDefault="00822045" w:rsidP="00822045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GSMA’s Remote Provisioning Architecture for Embedded UICC Technical Specification, V 3.2 (June 2017).  </w:t>
      </w:r>
      <w:r w:rsidRPr="00273387">
        <w:rPr>
          <w:i/>
        </w:rPr>
        <w:t>See</w:t>
      </w:r>
    </w:p>
    <w:p w14:paraId="755310C4" w14:textId="044E3C19" w:rsidR="00822045" w:rsidRPr="005E634B" w:rsidRDefault="008F45BF" w:rsidP="00822045">
      <w:pPr>
        <w:pStyle w:val="FootnoteText"/>
        <w:rPr>
          <w:lang w:val="en-US"/>
        </w:rPr>
      </w:pPr>
      <w:hyperlink r:id="rId1" w:history="1">
        <w:r w:rsidR="00822045" w:rsidRPr="004D0C66">
          <w:rPr>
            <w:rStyle w:val="Hyperlink"/>
          </w:rPr>
          <w:t>https://www.gsma.com/newsroom/wp-content/uploads//SGP.02_v3.2_updated.pdf</w:t>
        </w:r>
      </w:hyperlink>
      <w:r w:rsidR="003A1490">
        <w:rPr>
          <w:rStyle w:val="Hyperlink"/>
        </w:rPr>
        <w:t xml:space="preserve">. </w:t>
      </w:r>
      <w:r w:rsidR="00822045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141CACFD" w:rsidR="00761ACC" w:rsidRPr="00C42125" w:rsidRDefault="00761ACC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F56C5">
      <w:rPr>
        <w:noProof/>
      </w:rPr>
      <w:t>4</w:t>
    </w:r>
    <w:r w:rsidRPr="00C42125">
      <w:fldChar w:fldCharType="end"/>
    </w:r>
    <w:r w:rsidRPr="00C42125">
      <w:t xml:space="preserve"> -</w:t>
    </w:r>
  </w:p>
  <w:p w14:paraId="2360415B" w14:textId="641A10D7" w:rsidR="00761ACC" w:rsidRPr="00C42125" w:rsidRDefault="00761ACC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F56C5">
      <w:rPr>
        <w:noProof/>
      </w:rPr>
      <w:t>SG3-C196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2621"/>
    <w:multiLevelType w:val="hybridMultilevel"/>
    <w:tmpl w:val="DA5A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716DF"/>
    <w:multiLevelType w:val="hybridMultilevel"/>
    <w:tmpl w:val="A406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79A0"/>
    <w:multiLevelType w:val="hybridMultilevel"/>
    <w:tmpl w:val="684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/>
      </w:rPr>
    </w:lvl>
  </w:abstractNum>
  <w:abstractNum w:abstractNumId="14" w15:restartNumberingAfterBreak="0">
    <w:nsid w:val="38AE239E"/>
    <w:multiLevelType w:val="hybridMultilevel"/>
    <w:tmpl w:val="58FA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05CB"/>
    <w:rsid w:val="00002244"/>
    <w:rsid w:val="00006EBB"/>
    <w:rsid w:val="00010F61"/>
    <w:rsid w:val="000127F0"/>
    <w:rsid w:val="0001618F"/>
    <w:rsid w:val="000171DB"/>
    <w:rsid w:val="000217F0"/>
    <w:rsid w:val="000222F1"/>
    <w:rsid w:val="0002388D"/>
    <w:rsid w:val="00023A46"/>
    <w:rsid w:val="00023D9A"/>
    <w:rsid w:val="0002490E"/>
    <w:rsid w:val="000275E1"/>
    <w:rsid w:val="000306D0"/>
    <w:rsid w:val="00037538"/>
    <w:rsid w:val="00041E90"/>
    <w:rsid w:val="00043D75"/>
    <w:rsid w:val="00046F98"/>
    <w:rsid w:val="000536E5"/>
    <w:rsid w:val="00053F06"/>
    <w:rsid w:val="00054927"/>
    <w:rsid w:val="00057000"/>
    <w:rsid w:val="000640E0"/>
    <w:rsid w:val="00065C9D"/>
    <w:rsid w:val="000772F2"/>
    <w:rsid w:val="00082039"/>
    <w:rsid w:val="000849AB"/>
    <w:rsid w:val="00085E57"/>
    <w:rsid w:val="00093FD0"/>
    <w:rsid w:val="000A1CFC"/>
    <w:rsid w:val="000A5CA2"/>
    <w:rsid w:val="000B25B1"/>
    <w:rsid w:val="000E18B4"/>
    <w:rsid w:val="000F0D44"/>
    <w:rsid w:val="000F2444"/>
    <w:rsid w:val="000F5F5C"/>
    <w:rsid w:val="000F6BC2"/>
    <w:rsid w:val="00105C66"/>
    <w:rsid w:val="001251DA"/>
    <w:rsid w:val="00125432"/>
    <w:rsid w:val="00135F86"/>
    <w:rsid w:val="00136EAA"/>
    <w:rsid w:val="00137F40"/>
    <w:rsid w:val="0015047A"/>
    <w:rsid w:val="001871EC"/>
    <w:rsid w:val="001940C9"/>
    <w:rsid w:val="001972AF"/>
    <w:rsid w:val="001A0944"/>
    <w:rsid w:val="001A670F"/>
    <w:rsid w:val="001B063C"/>
    <w:rsid w:val="001B1779"/>
    <w:rsid w:val="001B33F4"/>
    <w:rsid w:val="001B3D19"/>
    <w:rsid w:val="001B7639"/>
    <w:rsid w:val="001C62B8"/>
    <w:rsid w:val="001C7F8F"/>
    <w:rsid w:val="001D4CED"/>
    <w:rsid w:val="001D6937"/>
    <w:rsid w:val="001D72D3"/>
    <w:rsid w:val="001D7A7A"/>
    <w:rsid w:val="001E08AA"/>
    <w:rsid w:val="001E7B0E"/>
    <w:rsid w:val="001F0D3F"/>
    <w:rsid w:val="001F141D"/>
    <w:rsid w:val="001F3262"/>
    <w:rsid w:val="001F370C"/>
    <w:rsid w:val="001F4EE2"/>
    <w:rsid w:val="0020014A"/>
    <w:rsid w:val="00200A06"/>
    <w:rsid w:val="002015E9"/>
    <w:rsid w:val="00210179"/>
    <w:rsid w:val="00210CB6"/>
    <w:rsid w:val="00212F0B"/>
    <w:rsid w:val="00213D64"/>
    <w:rsid w:val="002336AA"/>
    <w:rsid w:val="00240830"/>
    <w:rsid w:val="00241832"/>
    <w:rsid w:val="00242809"/>
    <w:rsid w:val="00247A69"/>
    <w:rsid w:val="00250A22"/>
    <w:rsid w:val="00253DBE"/>
    <w:rsid w:val="002622FA"/>
    <w:rsid w:val="002623BD"/>
    <w:rsid w:val="00263518"/>
    <w:rsid w:val="00263C9F"/>
    <w:rsid w:val="002660A8"/>
    <w:rsid w:val="002678D9"/>
    <w:rsid w:val="0027077D"/>
    <w:rsid w:val="00273EF9"/>
    <w:rsid w:val="002759E7"/>
    <w:rsid w:val="00275ED1"/>
    <w:rsid w:val="002762A4"/>
    <w:rsid w:val="00277281"/>
    <w:rsid w:val="00277326"/>
    <w:rsid w:val="002828FD"/>
    <w:rsid w:val="00282D99"/>
    <w:rsid w:val="00290433"/>
    <w:rsid w:val="002A29B8"/>
    <w:rsid w:val="002A41BD"/>
    <w:rsid w:val="002A49E0"/>
    <w:rsid w:val="002C015C"/>
    <w:rsid w:val="002C26C0"/>
    <w:rsid w:val="002C2BC5"/>
    <w:rsid w:val="002C4FF6"/>
    <w:rsid w:val="002D08DA"/>
    <w:rsid w:val="002D1C52"/>
    <w:rsid w:val="002D215F"/>
    <w:rsid w:val="002D46A7"/>
    <w:rsid w:val="002D4D6A"/>
    <w:rsid w:val="002E79CB"/>
    <w:rsid w:val="002F7F55"/>
    <w:rsid w:val="003045C7"/>
    <w:rsid w:val="0030745F"/>
    <w:rsid w:val="00314630"/>
    <w:rsid w:val="0032090A"/>
    <w:rsid w:val="00321CDE"/>
    <w:rsid w:val="0032206D"/>
    <w:rsid w:val="00333E15"/>
    <w:rsid w:val="00336046"/>
    <w:rsid w:val="0033690C"/>
    <w:rsid w:val="00343D6B"/>
    <w:rsid w:val="00346B93"/>
    <w:rsid w:val="00346D6B"/>
    <w:rsid w:val="00350492"/>
    <w:rsid w:val="00360D81"/>
    <w:rsid w:val="00361C57"/>
    <w:rsid w:val="003644F9"/>
    <w:rsid w:val="0037422B"/>
    <w:rsid w:val="00384D3A"/>
    <w:rsid w:val="003868AD"/>
    <w:rsid w:val="0038715D"/>
    <w:rsid w:val="00394DBF"/>
    <w:rsid w:val="003957A6"/>
    <w:rsid w:val="00395C05"/>
    <w:rsid w:val="003967B9"/>
    <w:rsid w:val="003A040F"/>
    <w:rsid w:val="003A1490"/>
    <w:rsid w:val="003A3BE8"/>
    <w:rsid w:val="003A43EF"/>
    <w:rsid w:val="003C7445"/>
    <w:rsid w:val="003D1A3A"/>
    <w:rsid w:val="003D23EB"/>
    <w:rsid w:val="003D2CC8"/>
    <w:rsid w:val="003E0612"/>
    <w:rsid w:val="003F1671"/>
    <w:rsid w:val="003F2BED"/>
    <w:rsid w:val="003F3DE0"/>
    <w:rsid w:val="003F48D4"/>
    <w:rsid w:val="003F6F2E"/>
    <w:rsid w:val="0040423C"/>
    <w:rsid w:val="00413D90"/>
    <w:rsid w:val="00417EC6"/>
    <w:rsid w:val="00430CD1"/>
    <w:rsid w:val="00442D21"/>
    <w:rsid w:val="00443878"/>
    <w:rsid w:val="004539A8"/>
    <w:rsid w:val="00467AE8"/>
    <w:rsid w:val="004712CA"/>
    <w:rsid w:val="0047422E"/>
    <w:rsid w:val="004772C0"/>
    <w:rsid w:val="0049674B"/>
    <w:rsid w:val="004A51BC"/>
    <w:rsid w:val="004A79B7"/>
    <w:rsid w:val="004B2128"/>
    <w:rsid w:val="004B6F27"/>
    <w:rsid w:val="004B79E4"/>
    <w:rsid w:val="004B79F3"/>
    <w:rsid w:val="004C0673"/>
    <w:rsid w:val="004C0E26"/>
    <w:rsid w:val="004C14AB"/>
    <w:rsid w:val="004C4E4E"/>
    <w:rsid w:val="004D195C"/>
    <w:rsid w:val="004D6261"/>
    <w:rsid w:val="004E7DA5"/>
    <w:rsid w:val="004F2D03"/>
    <w:rsid w:val="004F33B9"/>
    <w:rsid w:val="004F3816"/>
    <w:rsid w:val="004F54E0"/>
    <w:rsid w:val="00502B7D"/>
    <w:rsid w:val="00510325"/>
    <w:rsid w:val="00516703"/>
    <w:rsid w:val="00516B8F"/>
    <w:rsid w:val="00517020"/>
    <w:rsid w:val="005313FE"/>
    <w:rsid w:val="0053291C"/>
    <w:rsid w:val="0053712F"/>
    <w:rsid w:val="00537692"/>
    <w:rsid w:val="00543D41"/>
    <w:rsid w:val="00545616"/>
    <w:rsid w:val="00552142"/>
    <w:rsid w:val="0055782F"/>
    <w:rsid w:val="00566EDA"/>
    <w:rsid w:val="005672DD"/>
    <w:rsid w:val="00572654"/>
    <w:rsid w:val="00573822"/>
    <w:rsid w:val="0057758F"/>
    <w:rsid w:val="00581D9A"/>
    <w:rsid w:val="00583CED"/>
    <w:rsid w:val="00591B1B"/>
    <w:rsid w:val="0059706E"/>
    <w:rsid w:val="005B3023"/>
    <w:rsid w:val="005B4854"/>
    <w:rsid w:val="005B5629"/>
    <w:rsid w:val="005C0300"/>
    <w:rsid w:val="005C5181"/>
    <w:rsid w:val="005D5B98"/>
    <w:rsid w:val="005E002E"/>
    <w:rsid w:val="005E06E4"/>
    <w:rsid w:val="005E2B0C"/>
    <w:rsid w:val="005E58D3"/>
    <w:rsid w:val="005E634B"/>
    <w:rsid w:val="005F0836"/>
    <w:rsid w:val="005F3240"/>
    <w:rsid w:val="005F3E40"/>
    <w:rsid w:val="005F4B6A"/>
    <w:rsid w:val="006010F3"/>
    <w:rsid w:val="006134A1"/>
    <w:rsid w:val="00615A0A"/>
    <w:rsid w:val="0062247B"/>
    <w:rsid w:val="00625405"/>
    <w:rsid w:val="006321FA"/>
    <w:rsid w:val="006333D4"/>
    <w:rsid w:val="0063624A"/>
    <w:rsid w:val="006369B2"/>
    <w:rsid w:val="00637076"/>
    <w:rsid w:val="006421DC"/>
    <w:rsid w:val="00647525"/>
    <w:rsid w:val="00652A83"/>
    <w:rsid w:val="00656E61"/>
    <w:rsid w:val="006570B0"/>
    <w:rsid w:val="0066083F"/>
    <w:rsid w:val="00663ED5"/>
    <w:rsid w:val="00664787"/>
    <w:rsid w:val="006717BB"/>
    <w:rsid w:val="00683227"/>
    <w:rsid w:val="00685046"/>
    <w:rsid w:val="006860A3"/>
    <w:rsid w:val="00690CD9"/>
    <w:rsid w:val="00691C94"/>
    <w:rsid w:val="0069210B"/>
    <w:rsid w:val="006924CE"/>
    <w:rsid w:val="0069342B"/>
    <w:rsid w:val="00693F0A"/>
    <w:rsid w:val="006964D7"/>
    <w:rsid w:val="006A4055"/>
    <w:rsid w:val="006B7308"/>
    <w:rsid w:val="006C5641"/>
    <w:rsid w:val="006C7AE6"/>
    <w:rsid w:val="006D1089"/>
    <w:rsid w:val="006D1B86"/>
    <w:rsid w:val="006D4567"/>
    <w:rsid w:val="006D7355"/>
    <w:rsid w:val="006D74EE"/>
    <w:rsid w:val="006F2ACE"/>
    <w:rsid w:val="006F56C5"/>
    <w:rsid w:val="00700883"/>
    <w:rsid w:val="00700A10"/>
    <w:rsid w:val="00703514"/>
    <w:rsid w:val="00715CA6"/>
    <w:rsid w:val="00730D9C"/>
    <w:rsid w:val="00731135"/>
    <w:rsid w:val="00732377"/>
    <w:rsid w:val="007324AF"/>
    <w:rsid w:val="007409B4"/>
    <w:rsid w:val="00741974"/>
    <w:rsid w:val="00743FFA"/>
    <w:rsid w:val="00751646"/>
    <w:rsid w:val="007547F5"/>
    <w:rsid w:val="0075525E"/>
    <w:rsid w:val="00756D3D"/>
    <w:rsid w:val="00761ACC"/>
    <w:rsid w:val="007745D0"/>
    <w:rsid w:val="007806C2"/>
    <w:rsid w:val="007865D8"/>
    <w:rsid w:val="00786841"/>
    <w:rsid w:val="007903F8"/>
    <w:rsid w:val="007931D7"/>
    <w:rsid w:val="00794F4F"/>
    <w:rsid w:val="00796AB3"/>
    <w:rsid w:val="007974BE"/>
    <w:rsid w:val="007A0428"/>
    <w:rsid w:val="007A0916"/>
    <w:rsid w:val="007A0DFD"/>
    <w:rsid w:val="007A6474"/>
    <w:rsid w:val="007A74EA"/>
    <w:rsid w:val="007C7122"/>
    <w:rsid w:val="007D3F11"/>
    <w:rsid w:val="007D6FF8"/>
    <w:rsid w:val="007E53E4"/>
    <w:rsid w:val="007E656A"/>
    <w:rsid w:val="007E7F11"/>
    <w:rsid w:val="007F0843"/>
    <w:rsid w:val="007F08EB"/>
    <w:rsid w:val="007F664D"/>
    <w:rsid w:val="0080160C"/>
    <w:rsid w:val="0080348B"/>
    <w:rsid w:val="00810996"/>
    <w:rsid w:val="008128CE"/>
    <w:rsid w:val="00814C13"/>
    <w:rsid w:val="00815474"/>
    <w:rsid w:val="00821BB2"/>
    <w:rsid w:val="00822045"/>
    <w:rsid w:val="00824C30"/>
    <w:rsid w:val="00836DDA"/>
    <w:rsid w:val="0083797D"/>
    <w:rsid w:val="00841217"/>
    <w:rsid w:val="00842137"/>
    <w:rsid w:val="00844F72"/>
    <w:rsid w:val="008452FB"/>
    <w:rsid w:val="008505F2"/>
    <w:rsid w:val="0085124C"/>
    <w:rsid w:val="00854A2D"/>
    <w:rsid w:val="00855DC8"/>
    <w:rsid w:val="00856704"/>
    <w:rsid w:val="00857AD7"/>
    <w:rsid w:val="00863C9C"/>
    <w:rsid w:val="00885B0C"/>
    <w:rsid w:val="0089088E"/>
    <w:rsid w:val="00892297"/>
    <w:rsid w:val="00896CD5"/>
    <w:rsid w:val="008A5549"/>
    <w:rsid w:val="008B6170"/>
    <w:rsid w:val="008B6F4A"/>
    <w:rsid w:val="008C1F69"/>
    <w:rsid w:val="008D1D61"/>
    <w:rsid w:val="008E0172"/>
    <w:rsid w:val="008E0D26"/>
    <w:rsid w:val="008E3E67"/>
    <w:rsid w:val="008E548C"/>
    <w:rsid w:val="008F05A4"/>
    <w:rsid w:val="008F45BF"/>
    <w:rsid w:val="008F5C23"/>
    <w:rsid w:val="008F5E2D"/>
    <w:rsid w:val="009003C0"/>
    <w:rsid w:val="00914912"/>
    <w:rsid w:val="0092411E"/>
    <w:rsid w:val="0092542D"/>
    <w:rsid w:val="00925666"/>
    <w:rsid w:val="009315D1"/>
    <w:rsid w:val="00934985"/>
    <w:rsid w:val="00935B26"/>
    <w:rsid w:val="009406B5"/>
    <w:rsid w:val="00940773"/>
    <w:rsid w:val="00942EB4"/>
    <w:rsid w:val="00946166"/>
    <w:rsid w:val="00961ABA"/>
    <w:rsid w:val="00964FE4"/>
    <w:rsid w:val="009744C0"/>
    <w:rsid w:val="0097564A"/>
    <w:rsid w:val="00975EF4"/>
    <w:rsid w:val="00976657"/>
    <w:rsid w:val="00980868"/>
    <w:rsid w:val="009823C1"/>
    <w:rsid w:val="00983164"/>
    <w:rsid w:val="009846AA"/>
    <w:rsid w:val="00985E2D"/>
    <w:rsid w:val="00987FA8"/>
    <w:rsid w:val="009972EF"/>
    <w:rsid w:val="009973FF"/>
    <w:rsid w:val="009A3439"/>
    <w:rsid w:val="009B1B6C"/>
    <w:rsid w:val="009B4D5C"/>
    <w:rsid w:val="009B6678"/>
    <w:rsid w:val="009B75B3"/>
    <w:rsid w:val="009B7A05"/>
    <w:rsid w:val="009C3160"/>
    <w:rsid w:val="009C480C"/>
    <w:rsid w:val="009D1591"/>
    <w:rsid w:val="009D7561"/>
    <w:rsid w:val="009E0FBE"/>
    <w:rsid w:val="009E766E"/>
    <w:rsid w:val="009F1960"/>
    <w:rsid w:val="009F3198"/>
    <w:rsid w:val="009F715E"/>
    <w:rsid w:val="00A10DBB"/>
    <w:rsid w:val="00A169EE"/>
    <w:rsid w:val="00A20740"/>
    <w:rsid w:val="00A20D4F"/>
    <w:rsid w:val="00A22EF2"/>
    <w:rsid w:val="00A31D47"/>
    <w:rsid w:val="00A35E16"/>
    <w:rsid w:val="00A4013E"/>
    <w:rsid w:val="00A4045F"/>
    <w:rsid w:val="00A427CD"/>
    <w:rsid w:val="00A4375D"/>
    <w:rsid w:val="00A4600B"/>
    <w:rsid w:val="00A4730A"/>
    <w:rsid w:val="00A50488"/>
    <w:rsid w:val="00A50506"/>
    <w:rsid w:val="00A511FD"/>
    <w:rsid w:val="00A51EF0"/>
    <w:rsid w:val="00A54BCF"/>
    <w:rsid w:val="00A64AEB"/>
    <w:rsid w:val="00A67A81"/>
    <w:rsid w:val="00A730A6"/>
    <w:rsid w:val="00A74464"/>
    <w:rsid w:val="00A808E4"/>
    <w:rsid w:val="00A80EC6"/>
    <w:rsid w:val="00A81A35"/>
    <w:rsid w:val="00A960CF"/>
    <w:rsid w:val="00A971A0"/>
    <w:rsid w:val="00A973EA"/>
    <w:rsid w:val="00AA1F22"/>
    <w:rsid w:val="00AB0B51"/>
    <w:rsid w:val="00AB5852"/>
    <w:rsid w:val="00AB6F46"/>
    <w:rsid w:val="00AB7B0F"/>
    <w:rsid w:val="00AC188A"/>
    <w:rsid w:val="00AE106B"/>
    <w:rsid w:val="00AF0026"/>
    <w:rsid w:val="00AF5EF7"/>
    <w:rsid w:val="00B04BD7"/>
    <w:rsid w:val="00B05821"/>
    <w:rsid w:val="00B113AF"/>
    <w:rsid w:val="00B12AB3"/>
    <w:rsid w:val="00B219D2"/>
    <w:rsid w:val="00B26C28"/>
    <w:rsid w:val="00B27605"/>
    <w:rsid w:val="00B27629"/>
    <w:rsid w:val="00B31FEC"/>
    <w:rsid w:val="00B36C92"/>
    <w:rsid w:val="00B36FF8"/>
    <w:rsid w:val="00B4174C"/>
    <w:rsid w:val="00B453F5"/>
    <w:rsid w:val="00B46EA6"/>
    <w:rsid w:val="00B50CF2"/>
    <w:rsid w:val="00B52D25"/>
    <w:rsid w:val="00B61624"/>
    <w:rsid w:val="00B718A5"/>
    <w:rsid w:val="00B71926"/>
    <w:rsid w:val="00BA47E9"/>
    <w:rsid w:val="00BA4FE9"/>
    <w:rsid w:val="00BC1FAE"/>
    <w:rsid w:val="00BC62E2"/>
    <w:rsid w:val="00BE4FC9"/>
    <w:rsid w:val="00BE58E9"/>
    <w:rsid w:val="00BF1586"/>
    <w:rsid w:val="00C01172"/>
    <w:rsid w:val="00C05470"/>
    <w:rsid w:val="00C14847"/>
    <w:rsid w:val="00C27C5C"/>
    <w:rsid w:val="00C30424"/>
    <w:rsid w:val="00C36E4E"/>
    <w:rsid w:val="00C42125"/>
    <w:rsid w:val="00C4365A"/>
    <w:rsid w:val="00C459AE"/>
    <w:rsid w:val="00C55B8F"/>
    <w:rsid w:val="00C60BE1"/>
    <w:rsid w:val="00C62814"/>
    <w:rsid w:val="00C63393"/>
    <w:rsid w:val="00C65EFB"/>
    <w:rsid w:val="00C66FB8"/>
    <w:rsid w:val="00C7240E"/>
    <w:rsid w:val="00C74937"/>
    <w:rsid w:val="00C76F92"/>
    <w:rsid w:val="00C815E9"/>
    <w:rsid w:val="00C8468F"/>
    <w:rsid w:val="00C86C6A"/>
    <w:rsid w:val="00C87470"/>
    <w:rsid w:val="00C933BF"/>
    <w:rsid w:val="00CA2972"/>
    <w:rsid w:val="00CB1FEC"/>
    <w:rsid w:val="00CC7044"/>
    <w:rsid w:val="00CD322E"/>
    <w:rsid w:val="00CD631C"/>
    <w:rsid w:val="00CD692C"/>
    <w:rsid w:val="00CE10F6"/>
    <w:rsid w:val="00CE5025"/>
    <w:rsid w:val="00CF29EE"/>
    <w:rsid w:val="00D06912"/>
    <w:rsid w:val="00D11A9D"/>
    <w:rsid w:val="00D22348"/>
    <w:rsid w:val="00D2270B"/>
    <w:rsid w:val="00D27CE8"/>
    <w:rsid w:val="00D32972"/>
    <w:rsid w:val="00D36C4B"/>
    <w:rsid w:val="00D42521"/>
    <w:rsid w:val="00D57D7F"/>
    <w:rsid w:val="00D606F8"/>
    <w:rsid w:val="00D61308"/>
    <w:rsid w:val="00D62826"/>
    <w:rsid w:val="00D64555"/>
    <w:rsid w:val="00D73137"/>
    <w:rsid w:val="00D741A0"/>
    <w:rsid w:val="00D7649F"/>
    <w:rsid w:val="00D807C4"/>
    <w:rsid w:val="00D84547"/>
    <w:rsid w:val="00D8493E"/>
    <w:rsid w:val="00D859D6"/>
    <w:rsid w:val="00D956B7"/>
    <w:rsid w:val="00D96460"/>
    <w:rsid w:val="00DA625C"/>
    <w:rsid w:val="00DB1307"/>
    <w:rsid w:val="00DB1B5A"/>
    <w:rsid w:val="00DB7268"/>
    <w:rsid w:val="00DD4535"/>
    <w:rsid w:val="00DD50DE"/>
    <w:rsid w:val="00DD5112"/>
    <w:rsid w:val="00DE3062"/>
    <w:rsid w:val="00DE35F1"/>
    <w:rsid w:val="00DE7D80"/>
    <w:rsid w:val="00DF2137"/>
    <w:rsid w:val="00DF5635"/>
    <w:rsid w:val="00E03502"/>
    <w:rsid w:val="00E05016"/>
    <w:rsid w:val="00E12375"/>
    <w:rsid w:val="00E204DD"/>
    <w:rsid w:val="00E2145E"/>
    <w:rsid w:val="00E353EC"/>
    <w:rsid w:val="00E462D4"/>
    <w:rsid w:val="00E53C24"/>
    <w:rsid w:val="00E54469"/>
    <w:rsid w:val="00E625BC"/>
    <w:rsid w:val="00E644FF"/>
    <w:rsid w:val="00E65606"/>
    <w:rsid w:val="00E65F46"/>
    <w:rsid w:val="00E6645F"/>
    <w:rsid w:val="00E7269B"/>
    <w:rsid w:val="00E73BB7"/>
    <w:rsid w:val="00E919A3"/>
    <w:rsid w:val="00E97275"/>
    <w:rsid w:val="00E974D4"/>
    <w:rsid w:val="00EA6F23"/>
    <w:rsid w:val="00EB28AD"/>
    <w:rsid w:val="00EB444D"/>
    <w:rsid w:val="00EB5FD3"/>
    <w:rsid w:val="00EC3942"/>
    <w:rsid w:val="00EC7AB9"/>
    <w:rsid w:val="00ED1253"/>
    <w:rsid w:val="00EE1942"/>
    <w:rsid w:val="00EE2C64"/>
    <w:rsid w:val="00EF33F1"/>
    <w:rsid w:val="00EF5797"/>
    <w:rsid w:val="00F02294"/>
    <w:rsid w:val="00F05614"/>
    <w:rsid w:val="00F15EEB"/>
    <w:rsid w:val="00F25254"/>
    <w:rsid w:val="00F34413"/>
    <w:rsid w:val="00F35F57"/>
    <w:rsid w:val="00F378AC"/>
    <w:rsid w:val="00F50467"/>
    <w:rsid w:val="00F562A0"/>
    <w:rsid w:val="00F73FF4"/>
    <w:rsid w:val="00F754FE"/>
    <w:rsid w:val="00F76C9E"/>
    <w:rsid w:val="00F84D62"/>
    <w:rsid w:val="00F90812"/>
    <w:rsid w:val="00F92CCF"/>
    <w:rsid w:val="00F97886"/>
    <w:rsid w:val="00FA14A5"/>
    <w:rsid w:val="00FA2177"/>
    <w:rsid w:val="00FA5934"/>
    <w:rsid w:val="00FB0A28"/>
    <w:rsid w:val="00FC0738"/>
    <w:rsid w:val="00FC72DD"/>
    <w:rsid w:val="00FD01DA"/>
    <w:rsid w:val="00FD439E"/>
    <w:rsid w:val="00FD4988"/>
    <w:rsid w:val="00FD528F"/>
    <w:rsid w:val="00FD5327"/>
    <w:rsid w:val="00FD66C8"/>
    <w:rsid w:val="00FD76CB"/>
    <w:rsid w:val="00FD7D24"/>
    <w:rsid w:val="00FE191C"/>
    <w:rsid w:val="00FE1BA7"/>
    <w:rsid w:val="00FE3E63"/>
    <w:rsid w:val="00FE7917"/>
    <w:rsid w:val="00FF052F"/>
    <w:rsid w:val="00FF35A6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AB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AB3"/>
    <w:rPr>
      <w:rFonts w:ascii="Times New Roman" w:hAnsi="Times New Roman" w:cs="Times New Roman"/>
      <w:sz w:val="20"/>
      <w:szCs w:val="20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796A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B3"/>
    <w:rPr>
      <w:rFonts w:ascii="Segoe UI" w:hAnsi="Segoe UI" w:cs="Segoe UI"/>
      <w:sz w:val="18"/>
      <w:szCs w:val="18"/>
      <w:lang w:val="en-GB" w:eastAsia="ja-JP"/>
    </w:rPr>
  </w:style>
  <w:style w:type="paragraph" w:styleId="FootnoteText">
    <w:name w:val="footnote text"/>
    <w:aliases w:val="footnote text,ft,Footnotes,Footnote ak,fn cafc,fn Char,footnote text Char,Footnotes Char,Footnote ak Char,Footnotes Char Char,Footnote Text Char Char,fn Char Char,footnote text Char Char Char Ch,Footnote Text Char1,Footnote Text Char2,f"/>
    <w:basedOn w:val="Normal"/>
    <w:link w:val="FootnoteTextChar"/>
    <w:uiPriority w:val="99"/>
    <w:unhideWhenUsed/>
    <w:rsid w:val="00796AB3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1,ft Char,Footnotes Char1,Footnote ak Char1,fn cafc Char,fn Char Char1,footnote text Char Char,Footnotes Char Char1,Footnote ak Char Char,Footnotes Char Char Char,Footnote Text Char Char Char,fn Char Char Char,f Char"/>
    <w:basedOn w:val="DefaultParagraphFont"/>
    <w:link w:val="FootnoteText"/>
    <w:uiPriority w:val="99"/>
    <w:rsid w:val="00796AB3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o,Appel note de bas de p,Style 12,Style 124,Error-Fußnotenzeichen5,Error-Fußnotenzeichen6,Error-Fußnotenzeichen3,Style 13,fr,Style 3,FR,Style 17,Style 6,Footnote Reference/,Style 4,Footnote Reference1,Style 7,Style 34,Style 9"/>
    <w:basedOn w:val="DefaultParagraphFont"/>
    <w:uiPriority w:val="99"/>
    <w:unhideWhenUsed/>
    <w:rsid w:val="00796AB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70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E5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F7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7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NoSpacing">
    <w:name w:val="No Spacing"/>
    <w:uiPriority w:val="1"/>
    <w:qFormat/>
    <w:rsid w:val="00683227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B50CF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a.dekanic@fc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jarianpb@stat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ma.com/newsroom/wp-content/uploads//SGP.02_v3.2_updated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0511"/>
    <w:rsid w:val="00037F0A"/>
    <w:rsid w:val="000A36B3"/>
    <w:rsid w:val="001D51AD"/>
    <w:rsid w:val="001D7105"/>
    <w:rsid w:val="00256D54"/>
    <w:rsid w:val="00275689"/>
    <w:rsid w:val="0028244D"/>
    <w:rsid w:val="00307D31"/>
    <w:rsid w:val="00325869"/>
    <w:rsid w:val="00341B31"/>
    <w:rsid w:val="003A6252"/>
    <w:rsid w:val="003E3757"/>
    <w:rsid w:val="003F520B"/>
    <w:rsid w:val="00400FFE"/>
    <w:rsid w:val="00403A9C"/>
    <w:rsid w:val="00460F84"/>
    <w:rsid w:val="00534325"/>
    <w:rsid w:val="005833FE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841EC"/>
    <w:rsid w:val="008A3D52"/>
    <w:rsid w:val="008D554D"/>
    <w:rsid w:val="00947D8D"/>
    <w:rsid w:val="0096239C"/>
    <w:rsid w:val="009A0E9E"/>
    <w:rsid w:val="00A33DD7"/>
    <w:rsid w:val="00A3586C"/>
    <w:rsid w:val="00AC7F00"/>
    <w:rsid w:val="00AF3CAC"/>
    <w:rsid w:val="00C537FF"/>
    <w:rsid w:val="00C7519D"/>
    <w:rsid w:val="00C8314B"/>
    <w:rsid w:val="00C96992"/>
    <w:rsid w:val="00D40096"/>
    <w:rsid w:val="00DB6F21"/>
    <w:rsid w:val="00E02C8E"/>
    <w:rsid w:val="00E24248"/>
    <w:rsid w:val="00F96566"/>
    <w:rsid w:val="00FA695C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9 - 18 April 2018</When>
    <Meeting xmlns="3f6fad35-1f81-480e-a4e5-6e5474dcfb96" xsi:nil="true"/>
    <IsReservedDoc xmlns="3f6fad35-1f81-480e-a4e5-6e5474dcfb96">false</IsReservedDoc>
    <SgText xmlns="3f6fad35-1f81-480e-a4e5-6e5474dcfb96">STUDY GROUP 3</SgText>
    <IsRevision xmlns="3f6fad35-1f81-480e-a4e5-6e5474dcfb96">false</IsRevision>
    <Purpose1 xmlns="3f6fad35-1f81-480e-a4e5-6e5474dcfb96">Discussion</Purpose1>
    <Abstract xmlns="3f6fad35-1f81-480e-a4e5-6e5474dcfb96">The United States does not support a new draft Recommendation on M2M roaming.  Not only is such a draft Recommendation unwarranted, for a number of reasons, but it is particularly premature for ITU-T Study Group 3 to suggest any course of action before a planned Rapporteur Group e-meeting for Q7/3 has taken place.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7/3</QuestionText>
    <DocTypeText xmlns="3f6fad35-1f81-480e-a4e5-6e5474dcfb96">CONTRIBUTION</DocTypeText>
    <CategoryDescription xmlns="http://schemas.microsoft.com/sharepoint.v3" xsi:nil="true"/>
    <ShortName xmlns="3f6fad35-1f81-480e-a4e5-6e5474dcfb96">SG3-C196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United States of America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3860B-914F-4A6E-831A-711FF127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Views on proposed work under D.M2MRoaming.</vt:lpstr>
    </vt:vector>
  </TitlesOfParts>
  <Company>ITU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Views on proposed work under D.M2MRoaming</dc:title>
  <dc:subject/>
  <dc:creator>Guy, Florence</dc:creator>
  <cp:keywords>D.M2MRoaming; D.IoTRoaming; D.IoTpolicy</cp:keywords>
  <dc:description/>
  <cp:lastModifiedBy>Paul Najarian</cp:lastModifiedBy>
  <cp:revision>2</cp:revision>
  <cp:lastPrinted>2018-03-15T12:37:00Z</cp:lastPrinted>
  <dcterms:created xsi:type="dcterms:W3CDTF">2018-03-25T08:32:00Z</dcterms:created>
  <dcterms:modified xsi:type="dcterms:W3CDTF">2018-03-25T08:32:00Z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