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rsidTr="009B75B3">
        <w:trPr>
          <w:cantSplit/>
          <w:jc w:val="center"/>
        </w:trPr>
        <w:tc>
          <w:tcPr>
            <w:tcW w:w="1134" w:type="dxa"/>
            <w:vMerge w:val="restart"/>
            <w:vAlign w:val="center"/>
          </w:tcPr>
          <w:p w:rsidR="00691C94" w:rsidRPr="007F664D" w:rsidRDefault="00691C94" w:rsidP="00691C94">
            <w:pPr>
              <w:jc w:val="center"/>
              <w:rPr>
                <w:sz w:val="20"/>
                <w:szCs w:val="20"/>
              </w:rPr>
            </w:pPr>
            <w:r>
              <w:rPr>
                <w:noProof/>
                <w:sz w:val="20"/>
                <w:szCs w:val="20"/>
                <w:lang w:val="en-US" w:eastAsia="en-US"/>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rsidR="00691C94" w:rsidRPr="00F70513" w:rsidRDefault="00691C94" w:rsidP="00691C94">
            <w:pPr>
              <w:rPr>
                <w:sz w:val="16"/>
                <w:szCs w:val="16"/>
              </w:rPr>
            </w:pPr>
            <w:r w:rsidRPr="00F70513">
              <w:rPr>
                <w:sz w:val="16"/>
                <w:szCs w:val="16"/>
              </w:rPr>
              <w:t>INTERNATIONAL TELECOMMUNICATION UNION</w:t>
            </w:r>
          </w:p>
          <w:p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rsidR="00691C94" w:rsidRPr="00314630" w:rsidRDefault="008A465F" w:rsidP="00691C94">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8505F2" w:rsidRPr="008A465F">
                  <w:rPr>
                    <w:lang w:val="en-US"/>
                  </w:rPr>
                  <w:t>SG3</w:t>
                </w:r>
                <w:r w:rsidR="00A54BCF" w:rsidRPr="008A465F">
                  <w:rPr>
                    <w:lang w:val="en-US"/>
                  </w:rPr>
                  <w:t>-C</w:t>
                </w:r>
                <w:r w:rsidRPr="008A465F">
                  <w:rPr>
                    <w:lang w:val="en-US"/>
                  </w:rPr>
                  <w:t>298</w:t>
                </w:r>
              </w:sdtContent>
            </w:sdt>
            <w:bookmarkStart w:id="0" w:name="_GoBack"/>
            <w:bookmarkEnd w:id="0"/>
          </w:p>
        </w:tc>
      </w:tr>
      <w:tr w:rsidR="00691C94" w:rsidRPr="0037415F" w:rsidTr="009B75B3">
        <w:trPr>
          <w:cantSplit/>
          <w:jc w:val="center"/>
        </w:trPr>
        <w:tc>
          <w:tcPr>
            <w:tcW w:w="1134" w:type="dxa"/>
            <w:vMerge/>
          </w:tcPr>
          <w:p w:rsidR="00691C94" w:rsidRPr="00072A4E" w:rsidRDefault="00691C94" w:rsidP="00691C94">
            <w:pPr>
              <w:rPr>
                <w:smallCaps/>
                <w:sz w:val="20"/>
              </w:rPr>
            </w:pPr>
          </w:p>
        </w:tc>
        <w:tc>
          <w:tcPr>
            <w:tcW w:w="3969" w:type="dxa"/>
            <w:gridSpan w:val="2"/>
            <w:vMerge/>
          </w:tcPr>
          <w:p w:rsidR="00691C94" w:rsidRPr="00072A4E" w:rsidRDefault="00691C94" w:rsidP="00691C94">
            <w:pPr>
              <w:rPr>
                <w:smallCaps/>
                <w:sz w:val="20"/>
              </w:rPr>
            </w:pPr>
            <w:bookmarkStart w:id="1"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rsidR="00691C94" w:rsidRPr="00715CA6" w:rsidRDefault="00691C94" w:rsidP="008505F2">
                <w:pPr>
                  <w:jc w:val="right"/>
                  <w:rPr>
                    <w:b/>
                    <w:bCs/>
                    <w:sz w:val="28"/>
                    <w:szCs w:val="28"/>
                  </w:rPr>
                </w:pPr>
                <w:r w:rsidRPr="008505F2">
                  <w:rPr>
                    <w:b/>
                    <w:bCs/>
                    <w:sz w:val="28"/>
                    <w:szCs w:val="28"/>
                    <w:lang w:val="en-US"/>
                  </w:rPr>
                  <w:t xml:space="preserve">STUDY GROUP </w:t>
                </w:r>
                <w:r w:rsidR="008505F2" w:rsidRPr="008505F2">
                  <w:rPr>
                    <w:b/>
                    <w:bCs/>
                    <w:sz w:val="28"/>
                    <w:szCs w:val="28"/>
                    <w:lang w:val="en-US"/>
                  </w:rPr>
                  <w:t>3</w:t>
                </w:r>
              </w:p>
            </w:tc>
          </w:sdtContent>
        </w:sdt>
      </w:tr>
      <w:tr w:rsidR="00691C94" w:rsidRPr="0037415F" w:rsidTr="009B75B3">
        <w:trPr>
          <w:cantSplit/>
          <w:jc w:val="center"/>
        </w:trPr>
        <w:tc>
          <w:tcPr>
            <w:tcW w:w="1134" w:type="dxa"/>
            <w:vMerge/>
            <w:tcBorders>
              <w:bottom w:val="single" w:sz="12" w:space="0" w:color="auto"/>
            </w:tcBorders>
          </w:tcPr>
          <w:p w:rsidR="00691C94" w:rsidRPr="0037415F" w:rsidRDefault="00691C94" w:rsidP="00691C94">
            <w:pPr>
              <w:rPr>
                <w:b/>
                <w:bCs/>
                <w:sz w:val="26"/>
              </w:rPr>
            </w:pPr>
          </w:p>
        </w:tc>
        <w:tc>
          <w:tcPr>
            <w:tcW w:w="3969" w:type="dxa"/>
            <w:gridSpan w:val="2"/>
            <w:vMerge/>
            <w:tcBorders>
              <w:bottom w:val="single" w:sz="12" w:space="0" w:color="auto"/>
            </w:tcBorders>
          </w:tcPr>
          <w:p w:rsidR="00691C94" w:rsidRPr="0037415F" w:rsidRDefault="00691C94" w:rsidP="00691C94">
            <w:pPr>
              <w:rPr>
                <w:b/>
                <w:bCs/>
                <w:sz w:val="26"/>
              </w:rPr>
            </w:pPr>
            <w:bookmarkStart w:id="2" w:name="dorlang" w:colFirst="2" w:colLast="2"/>
            <w:bookmarkEnd w:id="1"/>
          </w:p>
        </w:tc>
        <w:tc>
          <w:tcPr>
            <w:tcW w:w="4537" w:type="dxa"/>
            <w:gridSpan w:val="3"/>
            <w:tcBorders>
              <w:bottom w:val="single" w:sz="12" w:space="0" w:color="auto"/>
            </w:tcBorders>
            <w:vAlign w:val="center"/>
          </w:tcPr>
          <w:p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rsidTr="00D57D7F">
        <w:trPr>
          <w:cantSplit/>
          <w:jc w:val="center"/>
        </w:trPr>
        <w:tc>
          <w:tcPr>
            <w:tcW w:w="1418" w:type="dxa"/>
            <w:gridSpan w:val="2"/>
          </w:tcPr>
          <w:p w:rsidR="00691C94" w:rsidRPr="0037415F" w:rsidRDefault="00691C94" w:rsidP="00691C94">
            <w:pPr>
              <w:rPr>
                <w:b/>
                <w:bCs/>
              </w:rPr>
            </w:pPr>
            <w:bookmarkStart w:id="3" w:name="dbluepink" w:colFirst="1" w:colLast="1"/>
            <w:bookmarkEnd w:id="2"/>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rsidR="00691C94" w:rsidRPr="0037415F" w:rsidRDefault="00D87961" w:rsidP="007F7EC6">
                <w:r>
                  <w:t>Q</w:t>
                </w:r>
                <w:r w:rsidR="00AC7A67">
                  <w:t>12</w:t>
                </w:r>
                <w:r>
                  <w:t>/3</w:t>
                </w:r>
              </w:p>
            </w:tc>
          </w:sdtContent>
        </w:sdt>
        <w:tc>
          <w:tcPr>
            <w:tcW w:w="4395" w:type="dxa"/>
            <w:gridSpan w:val="2"/>
          </w:tcPr>
          <w:p w:rsidR="00691C94" w:rsidRPr="0037415F" w:rsidRDefault="008A465F" w:rsidP="00D87961">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D87961">
                  <w:t>Geneva</w:t>
                </w:r>
              </w:sdtContent>
            </w:sdt>
            <w:r w:rsidR="00691C94">
              <w:t xml:space="preserve">, </w:t>
            </w:r>
            <w:r w:rsidR="00D87961">
              <w:t xml:space="preserve">23 April – 2 May 2019 </w:t>
            </w:r>
          </w:p>
        </w:tc>
      </w:tr>
      <w:bookmarkEnd w:id="3"/>
      <w:tr w:rsidR="00691C94" w:rsidRPr="00A4045F" w:rsidTr="00BC1FAE">
        <w:trPr>
          <w:cantSplit/>
          <w:jc w:val="center"/>
        </w:trPr>
        <w:tc>
          <w:tcPr>
            <w:tcW w:w="9640" w:type="dxa"/>
            <w:gridSpan w:val="6"/>
          </w:tcPr>
          <w:p w:rsidR="00691C94" w:rsidRPr="007E656A" w:rsidRDefault="008A465F"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rsidTr="00D57D7F">
        <w:trPr>
          <w:cantSplit/>
          <w:jc w:val="center"/>
        </w:trPr>
        <w:tc>
          <w:tcPr>
            <w:tcW w:w="1418" w:type="dxa"/>
            <w:gridSpan w:val="2"/>
          </w:tcPr>
          <w:p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rsidR="00691C94" w:rsidRDefault="00D87961" w:rsidP="00D87961">
                <w:r>
                  <w:t>United States of America</w:t>
                </w:r>
              </w:p>
            </w:tc>
          </w:sdtContent>
        </w:sdt>
      </w:tr>
      <w:tr w:rsidR="00691C94" w:rsidRPr="0037415F" w:rsidTr="00D57D7F">
        <w:trPr>
          <w:cantSplit/>
          <w:jc w:val="center"/>
        </w:trPr>
        <w:tc>
          <w:tcPr>
            <w:tcW w:w="1418" w:type="dxa"/>
            <w:gridSpan w:val="2"/>
          </w:tcPr>
          <w:p w:rsidR="00691C94" w:rsidRPr="0037415F" w:rsidRDefault="00691C94" w:rsidP="00691C94">
            <w:r w:rsidRPr="0037415F">
              <w:rPr>
                <w:b/>
                <w:bCs/>
              </w:rPr>
              <w:t>Title:</w:t>
            </w:r>
          </w:p>
        </w:tc>
        <w:tc>
          <w:tcPr>
            <w:tcW w:w="8222" w:type="dxa"/>
            <w:gridSpan w:val="4"/>
          </w:tcPr>
          <w:p w:rsidR="00691C94" w:rsidRPr="0037415F" w:rsidRDefault="008A465F" w:rsidP="007F7EC6">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7F7EC6">
                  <w:t>Assessment of Work Programme of Q</w:t>
                </w:r>
                <w:r w:rsidR="00AC7A67">
                  <w:t>12/3</w:t>
                </w:r>
              </w:sdtContent>
            </w:sdt>
          </w:p>
        </w:tc>
      </w:tr>
      <w:tr w:rsidR="00691C94" w:rsidRPr="0037415F" w:rsidTr="00D21374">
        <w:trPr>
          <w:cantSplit/>
          <w:trHeight w:val="477"/>
          <w:jc w:val="center"/>
        </w:trPr>
        <w:tc>
          <w:tcPr>
            <w:tcW w:w="1418" w:type="dxa"/>
            <w:gridSpan w:val="2"/>
            <w:tcBorders>
              <w:bottom w:val="single" w:sz="6" w:space="0" w:color="auto"/>
            </w:tcBorders>
          </w:tcPr>
          <w:p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rsidR="00691C94" w:rsidRPr="00B4174C" w:rsidRDefault="00D1651B" w:rsidP="00691C94">
                <w:r>
                  <w:t>Proposal</w:t>
                </w:r>
              </w:p>
            </w:tc>
          </w:sdtContent>
        </w:sdt>
      </w:tr>
      <w:tr w:rsidR="00691C94" w:rsidRPr="0037415F" w:rsidTr="00D21374">
        <w:trPr>
          <w:cantSplit/>
          <w:trHeight w:val="1056"/>
          <w:jc w:val="center"/>
        </w:trPr>
        <w:tc>
          <w:tcPr>
            <w:tcW w:w="1418" w:type="dxa"/>
            <w:gridSpan w:val="2"/>
            <w:tcBorders>
              <w:top w:val="single" w:sz="6" w:space="0" w:color="auto"/>
              <w:bottom w:val="single" w:sz="6" w:space="0" w:color="auto"/>
            </w:tcBorders>
          </w:tcPr>
          <w:p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rsidR="00691C94" w:rsidRDefault="008A465F" w:rsidP="00691C94">
            <w:sdt>
              <w:sdtPr>
                <w:alias w:val="ContactNameOrgCountry"/>
                <w:tag w:val="ContactNameOrgCountry"/>
                <w:id w:val="-450624836"/>
                <w:placeholder>
                  <w:docPart w:val="B83B1DB948E34C538D1C0FE920AD6F8A"/>
                </w:placeholder>
                <w:text w:multiLine="1"/>
              </w:sdtPr>
              <w:sdtEndPr/>
              <w:sdtContent>
                <w:r w:rsidR="00D21374" w:rsidRPr="00D21374">
                  <w:t>Paul B. Najarian</w:t>
                </w:r>
                <w:r w:rsidR="00691C94" w:rsidRPr="00D21374">
                  <w:br/>
                </w:r>
                <w:r w:rsidR="00D21374" w:rsidRPr="00D21374">
                  <w:t>U.S. Department of State</w:t>
                </w:r>
                <w:r w:rsidR="00691C94" w:rsidRPr="00D21374">
                  <w:br/>
                </w:r>
                <w:r w:rsidR="00D21374" w:rsidRPr="00D21374">
                  <w:t>United States of America</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rsidR="00691C94" w:rsidRDefault="00691C94" w:rsidP="00691C94">
                <w:r>
                  <w:t>Tel: +</w:t>
                </w:r>
                <w:r w:rsidR="00D21374">
                  <w:t>1 (202) 647-7847</w:t>
                </w:r>
                <w:r>
                  <w:br/>
                  <w:t xml:space="preserve">Fax: </w:t>
                </w:r>
                <w:r w:rsidR="00D21374">
                  <w:t>+1 (202) 647-5957</w:t>
                </w:r>
                <w:r>
                  <w:br/>
                  <w:t xml:space="preserve">E-mail: </w:t>
                </w:r>
                <w:hyperlink r:id="rId11" w:history="1">
                  <w:r w:rsidR="00D21374" w:rsidRPr="00484E77">
                    <w:rPr>
                      <w:rStyle w:val="Hyperlink"/>
                      <w:rFonts w:ascii="Times New Roman" w:hAnsi="Times New Roman"/>
                    </w:rPr>
                    <w:t>najarianpb@state.gov</w:t>
                  </w:r>
                </w:hyperlink>
              </w:p>
            </w:tc>
          </w:sdtContent>
        </w:sdt>
      </w:tr>
      <w:tr w:rsidR="0089088E" w:rsidRPr="0037415F" w:rsidTr="00D57D7F">
        <w:trPr>
          <w:cantSplit/>
          <w:jc w:val="center"/>
        </w:trPr>
        <w:tc>
          <w:tcPr>
            <w:tcW w:w="1418" w:type="dxa"/>
            <w:gridSpan w:val="2"/>
          </w:tcPr>
          <w:p w:rsidR="0089088E" w:rsidRPr="008F7104" w:rsidRDefault="0089088E" w:rsidP="00EB6775">
            <w:pPr>
              <w:rPr>
                <w:b/>
                <w:bCs/>
              </w:rPr>
            </w:pPr>
            <w:bookmarkStart w:id="4" w:name="dtitle1" w:colFirst="1" w:colLast="1"/>
            <w:r w:rsidRPr="008F7104">
              <w:rPr>
                <w:b/>
                <w:bCs/>
              </w:rPr>
              <w:t>Keywords:</w:t>
            </w:r>
          </w:p>
        </w:tc>
        <w:tc>
          <w:tcPr>
            <w:tcW w:w="8222" w:type="dxa"/>
            <w:gridSpan w:val="4"/>
          </w:tcPr>
          <w:p w:rsidR="0089088E" w:rsidRDefault="008A465F" w:rsidP="00AC7A67">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AC7A67">
                  <w:t>Mobile Financial Services (MFS)</w:t>
                </w:r>
              </w:sdtContent>
            </w:sdt>
          </w:p>
        </w:tc>
      </w:tr>
      <w:tr w:rsidR="0089088E" w:rsidRPr="0037415F" w:rsidTr="00D57D7F">
        <w:trPr>
          <w:cantSplit/>
          <w:jc w:val="center"/>
        </w:trPr>
        <w:tc>
          <w:tcPr>
            <w:tcW w:w="1418" w:type="dxa"/>
            <w:gridSpan w:val="2"/>
          </w:tcPr>
          <w:p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gridSpan w:val="4"/>
              </w:tcPr>
              <w:p w:rsidR="0089088E" w:rsidRDefault="0082498A" w:rsidP="00AC7A67">
                <w:r>
                  <w:t xml:space="preserve">The United States </w:t>
                </w:r>
                <w:r w:rsidR="00AC7A67">
                  <w:t>requests a comprehensive review/discussion on the work programme of Q12/3 aimed at understanding the goals and objectives of the current and proposed work items, and to focus on those work items that are relevant to the ICT/</w:t>
                </w:r>
                <w:r w:rsidR="00F913FB">
                  <w:t>t</w:t>
                </w:r>
                <w:r w:rsidR="00AC7A67">
                  <w:t>elecom sector.</w:t>
                </w:r>
              </w:p>
            </w:tc>
          </w:sdtContent>
        </w:sdt>
      </w:tr>
      <w:bookmarkEnd w:id="4"/>
    </w:tbl>
    <w:p w:rsidR="0089088E" w:rsidRDefault="0089088E" w:rsidP="0089088E"/>
    <w:p w:rsidR="005F3E06" w:rsidRDefault="005F3E06" w:rsidP="00D21374">
      <w:pPr>
        <w:spacing w:before="0"/>
        <w:contextualSpacing/>
        <w:rPr>
          <w:rFonts w:eastAsia="SimSun"/>
          <w:b/>
          <w:bCs/>
        </w:rPr>
      </w:pPr>
      <w:r w:rsidRPr="005D5226">
        <w:rPr>
          <w:rFonts w:eastAsia="SimSun"/>
          <w:b/>
          <w:bCs/>
        </w:rPr>
        <w:t>1</w:t>
      </w:r>
      <w:r>
        <w:rPr>
          <w:rFonts w:eastAsia="SimSun"/>
          <w:b/>
          <w:bCs/>
        </w:rPr>
        <w:t xml:space="preserve"> </w:t>
      </w:r>
      <w:r w:rsidRPr="005D5226">
        <w:rPr>
          <w:rFonts w:eastAsia="SimSun"/>
          <w:b/>
          <w:bCs/>
        </w:rPr>
        <w:t xml:space="preserve"> Introduction</w:t>
      </w:r>
    </w:p>
    <w:p w:rsidR="005F3E06" w:rsidRDefault="005F3E06" w:rsidP="00D21374">
      <w:pPr>
        <w:spacing w:before="0"/>
        <w:contextualSpacing/>
        <w:rPr>
          <w:rFonts w:eastAsia="SimSun"/>
          <w:bCs/>
        </w:rPr>
      </w:pPr>
    </w:p>
    <w:p w:rsidR="0055302B" w:rsidRDefault="002C6BF0" w:rsidP="00D21374">
      <w:pPr>
        <w:spacing w:before="0"/>
        <w:contextualSpacing/>
        <w:rPr>
          <w:rFonts w:eastAsia="SimSun"/>
          <w:bCs/>
        </w:rPr>
      </w:pPr>
      <w:r>
        <w:rPr>
          <w:rFonts w:eastAsia="SimSun"/>
          <w:bCs/>
        </w:rPr>
        <w:t xml:space="preserve">At WTSA-16, the United States supported the adoption of </w:t>
      </w:r>
      <w:hyperlink r:id="rId12" w:history="1">
        <w:r w:rsidR="0055302B" w:rsidRPr="0055302B">
          <w:rPr>
            <w:rStyle w:val="Hyperlink"/>
            <w:rFonts w:ascii="Times New Roman" w:eastAsia="SimSun" w:hAnsi="Times New Roman"/>
            <w:bCs/>
          </w:rPr>
          <w:t>Resolution 89 (Hammamet, 2016) - Promoting the use of information and communication technologies to bridge the financial inclusion gap</w:t>
        </w:r>
      </w:hyperlink>
      <w:r w:rsidR="0055302B">
        <w:rPr>
          <w:rFonts w:eastAsia="SimSun"/>
          <w:bCs/>
        </w:rPr>
        <w:t>.</w:t>
      </w:r>
      <w:r>
        <w:rPr>
          <w:rFonts w:eastAsia="SimSun"/>
          <w:bCs/>
        </w:rPr>
        <w:t xml:space="preserve">  At the 2018 Plenipotentiary Conference, the U</w:t>
      </w:r>
      <w:r w:rsidR="00F913FB">
        <w:rPr>
          <w:rFonts w:eastAsia="SimSun"/>
          <w:bCs/>
        </w:rPr>
        <w:t>nited States</w:t>
      </w:r>
      <w:r>
        <w:rPr>
          <w:rFonts w:eastAsia="SimSun"/>
          <w:bCs/>
        </w:rPr>
        <w:t xml:space="preserve"> supported the adoption of Res. 204 (Dubai, 2018) on the “Use of ICTs to bridge the financial inclusion gap.”</w:t>
      </w:r>
    </w:p>
    <w:p w:rsidR="0055302B" w:rsidRDefault="0055302B" w:rsidP="00D21374">
      <w:pPr>
        <w:spacing w:before="0"/>
        <w:contextualSpacing/>
        <w:rPr>
          <w:rFonts w:eastAsia="SimSun"/>
          <w:bCs/>
        </w:rPr>
      </w:pPr>
    </w:p>
    <w:p w:rsidR="005F3E06" w:rsidRPr="005D5226" w:rsidRDefault="0055302B" w:rsidP="00D21374">
      <w:pPr>
        <w:spacing w:before="0"/>
        <w:contextualSpacing/>
        <w:rPr>
          <w:rFonts w:eastAsia="SimSun"/>
          <w:bCs/>
        </w:rPr>
      </w:pPr>
      <w:r>
        <w:rPr>
          <w:rFonts w:eastAsia="SimSun"/>
          <w:bCs/>
        </w:rPr>
        <w:t>The adoption of these Resolutions, however, does not entitle the ITU, and in particular ITU-T Study Group 3, to expand its scope and mandat</w:t>
      </w:r>
      <w:r w:rsidR="007A0671">
        <w:rPr>
          <w:rFonts w:eastAsia="SimSun"/>
          <w:bCs/>
        </w:rPr>
        <w:t>e beyond the ICT/</w:t>
      </w:r>
      <w:r w:rsidR="00F913FB">
        <w:rPr>
          <w:rFonts w:eastAsia="SimSun"/>
          <w:bCs/>
        </w:rPr>
        <w:t>t</w:t>
      </w:r>
      <w:r w:rsidR="007A0671">
        <w:rPr>
          <w:rFonts w:eastAsia="SimSun"/>
          <w:bCs/>
        </w:rPr>
        <w:t xml:space="preserve">elecom sector in addressing the needs of </w:t>
      </w:r>
      <w:r w:rsidR="00F913FB">
        <w:rPr>
          <w:rFonts w:eastAsia="SimSun"/>
          <w:bCs/>
        </w:rPr>
        <w:t>mobile financial services (</w:t>
      </w:r>
      <w:r w:rsidR="007A0671">
        <w:rPr>
          <w:rFonts w:eastAsia="SimSun"/>
          <w:bCs/>
        </w:rPr>
        <w:t>MFS</w:t>
      </w:r>
      <w:r w:rsidR="00F913FB">
        <w:rPr>
          <w:rFonts w:eastAsia="SimSun"/>
          <w:bCs/>
        </w:rPr>
        <w:t>)</w:t>
      </w:r>
      <w:r w:rsidR="007A0671">
        <w:rPr>
          <w:rFonts w:eastAsia="SimSun"/>
          <w:bCs/>
        </w:rPr>
        <w:t>.</w:t>
      </w:r>
    </w:p>
    <w:p w:rsidR="005F3E06" w:rsidRPr="005D5226" w:rsidRDefault="005F3E06" w:rsidP="00D21374">
      <w:pPr>
        <w:spacing w:before="0"/>
        <w:contextualSpacing/>
        <w:rPr>
          <w:rFonts w:eastAsia="SimSun"/>
          <w:bCs/>
        </w:rPr>
      </w:pPr>
    </w:p>
    <w:p w:rsidR="005F3E06" w:rsidRDefault="005F3E06" w:rsidP="00D21374">
      <w:pPr>
        <w:spacing w:before="0"/>
        <w:contextualSpacing/>
        <w:rPr>
          <w:rFonts w:eastAsia="SimSun"/>
          <w:b/>
          <w:bCs/>
        </w:rPr>
      </w:pPr>
      <w:r w:rsidRPr="005D5226">
        <w:rPr>
          <w:rFonts w:eastAsia="SimSun"/>
          <w:b/>
          <w:bCs/>
        </w:rPr>
        <w:t>2</w:t>
      </w:r>
      <w:r>
        <w:rPr>
          <w:rFonts w:eastAsia="SimSun"/>
          <w:b/>
          <w:bCs/>
        </w:rPr>
        <w:t xml:space="preserve"> </w:t>
      </w:r>
      <w:r w:rsidRPr="005D5226">
        <w:rPr>
          <w:rFonts w:eastAsia="SimSun"/>
          <w:b/>
          <w:bCs/>
        </w:rPr>
        <w:t xml:space="preserve"> Discussion</w:t>
      </w:r>
    </w:p>
    <w:p w:rsidR="00AC7A67" w:rsidRDefault="00AC7A67" w:rsidP="00D21374">
      <w:pPr>
        <w:autoSpaceDE w:val="0"/>
        <w:autoSpaceDN w:val="0"/>
        <w:adjustRightInd w:val="0"/>
        <w:spacing w:before="0"/>
        <w:contextualSpacing/>
      </w:pPr>
    </w:p>
    <w:p w:rsidR="005A5670" w:rsidRDefault="0055302B" w:rsidP="005A5670">
      <w:pPr>
        <w:contextualSpacing/>
        <w:rPr>
          <w:bCs/>
          <w:lang w:val="en-US"/>
        </w:rPr>
      </w:pPr>
      <w:r>
        <w:t xml:space="preserve">Currently, the work programme of </w:t>
      </w:r>
      <w:hyperlink r:id="rId13" w:history="1">
        <w:r w:rsidRPr="0055302B">
          <w:rPr>
            <w:rStyle w:val="Hyperlink"/>
            <w:rFonts w:ascii="Times New Roman" w:hAnsi="Times New Roman"/>
          </w:rPr>
          <w:t>Question 12/3</w:t>
        </w:r>
      </w:hyperlink>
      <w:r w:rsidR="005A5670">
        <w:t xml:space="preserve"> on “</w:t>
      </w:r>
      <w:r w:rsidR="005A5670" w:rsidRPr="005A5670">
        <w:rPr>
          <w:bCs/>
          <w:lang w:val="en-US"/>
        </w:rPr>
        <w:t>Tariffs, Economic and Policy Issues Pertaining to Mobile Financial Services (MFS)</w:t>
      </w:r>
      <w:r w:rsidR="005A5670">
        <w:rPr>
          <w:bCs/>
          <w:lang w:val="en-US"/>
        </w:rPr>
        <w:t xml:space="preserve">” and its associated </w:t>
      </w:r>
      <w:hyperlink r:id="rId14" w:history="1">
        <w:r w:rsidR="005A5670" w:rsidRPr="005A5670">
          <w:rPr>
            <w:rStyle w:val="Hyperlink"/>
            <w:rFonts w:ascii="Times New Roman" w:hAnsi="Times New Roman"/>
            <w:bCs/>
            <w:lang w:val="en-US"/>
          </w:rPr>
          <w:t>Work Items</w:t>
        </w:r>
      </w:hyperlink>
      <w:r w:rsidR="005A5670">
        <w:rPr>
          <w:bCs/>
          <w:lang w:val="en-US"/>
        </w:rPr>
        <w:t xml:space="preserve"> are entirely based on the output of the former Focus Group on Digital Financial Service (</w:t>
      </w:r>
      <w:hyperlink r:id="rId15" w:history="1">
        <w:r w:rsidR="005A5670" w:rsidRPr="00D54A3B">
          <w:rPr>
            <w:rStyle w:val="Hyperlink"/>
            <w:rFonts w:ascii="Times New Roman" w:hAnsi="Times New Roman"/>
            <w:bCs/>
            <w:lang w:val="en-US"/>
          </w:rPr>
          <w:t>FG DFS</w:t>
        </w:r>
      </w:hyperlink>
      <w:r w:rsidR="005A5670">
        <w:rPr>
          <w:bCs/>
          <w:lang w:val="en-US"/>
        </w:rPr>
        <w:t>).</w:t>
      </w:r>
    </w:p>
    <w:p w:rsidR="00D54A3B" w:rsidRDefault="00D54A3B" w:rsidP="005A5670">
      <w:pPr>
        <w:contextualSpacing/>
        <w:rPr>
          <w:bCs/>
          <w:lang w:val="en-US"/>
        </w:rPr>
      </w:pPr>
    </w:p>
    <w:p w:rsidR="00D54A3B" w:rsidRDefault="00D54A3B" w:rsidP="005A5670">
      <w:pPr>
        <w:contextualSpacing/>
        <w:rPr>
          <w:bCs/>
        </w:rPr>
      </w:pPr>
      <w:r>
        <w:rPr>
          <w:bCs/>
          <w:lang w:val="en-US"/>
        </w:rPr>
        <w:t xml:space="preserve">FG DFS, which was funded and supported by the Bill and Melinda Gates Foundation as well as a broad range of multistakeholder experts covering both the telecom and financial sectors, issued more than </w:t>
      </w:r>
      <w:hyperlink r:id="rId16" w:history="1">
        <w:r w:rsidRPr="00D54A3B">
          <w:rPr>
            <w:rStyle w:val="Hyperlink"/>
            <w:rFonts w:ascii="Times New Roman" w:hAnsi="Times New Roman"/>
            <w:bCs/>
          </w:rPr>
          <w:t>85 policy recommendations and 28 technical reports</w:t>
        </w:r>
      </w:hyperlink>
      <w:r w:rsidRPr="00D54A3B">
        <w:rPr>
          <w:bCs/>
        </w:rPr>
        <w:t> </w:t>
      </w:r>
      <w:r>
        <w:rPr>
          <w:bCs/>
        </w:rPr>
        <w:t>t</w:t>
      </w:r>
      <w:r w:rsidRPr="00D54A3B">
        <w:rPr>
          <w:bCs/>
        </w:rPr>
        <w:t xml:space="preserve">o support </w:t>
      </w:r>
      <w:r>
        <w:rPr>
          <w:bCs/>
        </w:rPr>
        <w:t>the implementation of a digital</w:t>
      </w:r>
      <w:r w:rsidRPr="00D54A3B">
        <w:rPr>
          <w:bCs/>
        </w:rPr>
        <w:t xml:space="preserve"> financial inclusion strategy and </w:t>
      </w:r>
      <w:r>
        <w:rPr>
          <w:bCs/>
        </w:rPr>
        <w:t>the promotion of MFS.</w:t>
      </w:r>
    </w:p>
    <w:p w:rsidR="00D54A3B" w:rsidRDefault="00D54A3B" w:rsidP="005A5670">
      <w:pPr>
        <w:contextualSpacing/>
        <w:rPr>
          <w:bCs/>
        </w:rPr>
      </w:pPr>
    </w:p>
    <w:p w:rsidR="007A0671" w:rsidRDefault="00D01B07" w:rsidP="005A5670">
      <w:pPr>
        <w:contextualSpacing/>
        <w:rPr>
          <w:bCs/>
        </w:rPr>
      </w:pPr>
      <w:r>
        <w:rPr>
          <w:bCs/>
        </w:rPr>
        <w:t xml:space="preserve">There are many policy recommendations as well as technical reports (or parts thereof) issued by FG DFS that are intended to the banking/financial sector and </w:t>
      </w:r>
      <w:r w:rsidR="00F913FB">
        <w:rPr>
          <w:bCs/>
        </w:rPr>
        <w:t xml:space="preserve">to </w:t>
      </w:r>
      <w:r>
        <w:rPr>
          <w:bCs/>
        </w:rPr>
        <w:t>regulators that are clearly outside the jurisdiction of the ITU.  They are also outside the target audience of the ITU.</w:t>
      </w:r>
      <w:r w:rsidR="007A0671">
        <w:rPr>
          <w:bCs/>
        </w:rPr>
        <w:t xml:space="preserve">  A substantial body of this work is currently ongoing through the Financial Inclusion Global Initiative (</w:t>
      </w:r>
      <w:hyperlink r:id="rId17" w:history="1">
        <w:r w:rsidR="007A0671" w:rsidRPr="007A0671">
          <w:rPr>
            <w:rStyle w:val="Hyperlink"/>
            <w:rFonts w:ascii="Times New Roman" w:hAnsi="Times New Roman"/>
            <w:bCs/>
          </w:rPr>
          <w:t>FIGI</w:t>
        </w:r>
      </w:hyperlink>
      <w:r w:rsidR="007A0671">
        <w:rPr>
          <w:bCs/>
        </w:rPr>
        <w:t xml:space="preserve">), </w:t>
      </w:r>
      <w:r w:rsidR="00F913FB">
        <w:rPr>
          <w:bCs/>
        </w:rPr>
        <w:t xml:space="preserve">co-organized by the ITU, </w:t>
      </w:r>
      <w:r w:rsidR="007A0671">
        <w:rPr>
          <w:bCs/>
        </w:rPr>
        <w:t>which is the more relevant audience.</w:t>
      </w:r>
    </w:p>
    <w:p w:rsidR="007A0671" w:rsidRDefault="007A0671" w:rsidP="005A5670">
      <w:pPr>
        <w:contextualSpacing/>
        <w:rPr>
          <w:bCs/>
        </w:rPr>
      </w:pPr>
    </w:p>
    <w:p w:rsidR="00D54A3B" w:rsidRDefault="00D54A3B" w:rsidP="005A5670">
      <w:pPr>
        <w:contextualSpacing/>
        <w:rPr>
          <w:bCs/>
        </w:rPr>
      </w:pPr>
      <w:r>
        <w:rPr>
          <w:bCs/>
        </w:rPr>
        <w:lastRenderedPageBreak/>
        <w:t xml:space="preserve">While </w:t>
      </w:r>
      <w:r w:rsidRPr="00D54A3B">
        <w:rPr>
          <w:bCs/>
        </w:rPr>
        <w:t xml:space="preserve">TSAG endorsed the </w:t>
      </w:r>
      <w:r>
        <w:rPr>
          <w:bCs/>
        </w:rPr>
        <w:t>output of FG DFS at its meeting in May 2017, it was clearly not the intent of TSAG, nor the intent of the experts of FG DFS, that each output of FG DFS should have a corresponding ITU-T text (either as a Recommendation, Report, etc.).</w:t>
      </w:r>
    </w:p>
    <w:p w:rsidR="00DD1707" w:rsidRDefault="00DD1707" w:rsidP="005A5670">
      <w:pPr>
        <w:contextualSpacing/>
        <w:rPr>
          <w:bCs/>
        </w:rPr>
      </w:pPr>
    </w:p>
    <w:p w:rsidR="0020211D" w:rsidRPr="0020211D" w:rsidRDefault="00DD1707" w:rsidP="0020211D">
      <w:pPr>
        <w:contextualSpacing/>
        <w:rPr>
          <w:bCs/>
          <w:lang w:val="en-US"/>
        </w:rPr>
      </w:pPr>
      <w:r>
        <w:rPr>
          <w:bCs/>
        </w:rPr>
        <w:t>In fact, converting the output of FG DFS to ITU-T text, subject to additional modifications and revisions outside the peer review of the FG DFS experts, would undermine the credible work of the FG DFS.</w:t>
      </w:r>
      <w:r w:rsidR="0020211D">
        <w:rPr>
          <w:bCs/>
        </w:rPr>
        <w:t xml:space="preserve">  </w:t>
      </w:r>
      <w:r w:rsidR="0020211D" w:rsidRPr="0020211D">
        <w:rPr>
          <w:bCs/>
          <w:lang w:val="en-US"/>
        </w:rPr>
        <w:t xml:space="preserve">Indeed, the Standardization Committee for Vocabulary (SCV) already noted that the “Digital Financial Services Glossary” </w:t>
      </w:r>
      <w:r w:rsidR="001008CF">
        <w:rPr>
          <w:bCs/>
          <w:lang w:val="en-US"/>
        </w:rPr>
        <w:t>we</w:t>
      </w:r>
      <w:r w:rsidR="0020211D" w:rsidRPr="0020211D">
        <w:rPr>
          <w:bCs/>
          <w:lang w:val="en-US"/>
        </w:rPr>
        <w:t xml:space="preserve"> adopted without change at last year’s meeting requires editing to make the terms and format consistent with ITU-T standards</w:t>
      </w:r>
      <w:r w:rsidR="00DA2FEA">
        <w:rPr>
          <w:bCs/>
          <w:lang w:val="en-US"/>
        </w:rPr>
        <w:t xml:space="preserve">, </w:t>
      </w:r>
      <w:hyperlink r:id="rId18" w:history="1">
        <w:r w:rsidR="0020211D" w:rsidRPr="0020211D">
          <w:rPr>
            <w:rStyle w:val="Hyperlink"/>
            <w:rFonts w:ascii="Times New Roman" w:hAnsi="Times New Roman"/>
            <w:bCs/>
            <w:lang w:val="en-US"/>
          </w:rPr>
          <w:t>SG3-TD137/GEN</w:t>
        </w:r>
      </w:hyperlink>
      <w:r w:rsidR="0020211D" w:rsidRPr="0020211D">
        <w:rPr>
          <w:bCs/>
          <w:lang w:val="en-US"/>
        </w:rPr>
        <w:t>.</w:t>
      </w:r>
    </w:p>
    <w:p w:rsidR="00DD1707" w:rsidRPr="001008CF" w:rsidRDefault="0020211D" w:rsidP="005A5670">
      <w:pPr>
        <w:contextualSpacing/>
        <w:rPr>
          <w:bCs/>
          <w:lang w:val="en-US"/>
        </w:rPr>
      </w:pPr>
      <w:r w:rsidRPr="0020211D">
        <w:rPr>
          <w:bCs/>
          <w:lang w:val="en-US"/>
        </w:rPr>
        <w:t> </w:t>
      </w:r>
    </w:p>
    <w:p w:rsidR="00472844" w:rsidRDefault="00472844" w:rsidP="005A5670">
      <w:pPr>
        <w:contextualSpacing/>
        <w:rPr>
          <w:bCs/>
        </w:rPr>
      </w:pPr>
    </w:p>
    <w:p w:rsidR="005F3E06" w:rsidRDefault="005F3E06" w:rsidP="00D21374">
      <w:pPr>
        <w:spacing w:before="0"/>
        <w:contextualSpacing/>
        <w:rPr>
          <w:rFonts w:eastAsia="SimSun"/>
          <w:b/>
          <w:bCs/>
        </w:rPr>
      </w:pPr>
      <w:r w:rsidRPr="005D5226">
        <w:rPr>
          <w:rFonts w:eastAsia="SimSun"/>
          <w:b/>
          <w:bCs/>
        </w:rPr>
        <w:t xml:space="preserve">3 </w:t>
      </w:r>
      <w:r w:rsidR="00253257">
        <w:rPr>
          <w:rFonts w:eastAsia="SimSun"/>
          <w:b/>
          <w:bCs/>
        </w:rPr>
        <w:t xml:space="preserve"> </w:t>
      </w:r>
      <w:r w:rsidRPr="005D5226">
        <w:rPr>
          <w:rFonts w:eastAsia="SimSun"/>
          <w:b/>
          <w:bCs/>
        </w:rPr>
        <w:t>Proposal</w:t>
      </w:r>
    </w:p>
    <w:p w:rsidR="0082498A" w:rsidRDefault="0082498A" w:rsidP="00D21374">
      <w:pPr>
        <w:spacing w:before="0"/>
        <w:contextualSpacing/>
        <w:rPr>
          <w:rFonts w:eastAsia="SimSun"/>
          <w:bCs/>
        </w:rPr>
      </w:pPr>
    </w:p>
    <w:p w:rsidR="007810FE" w:rsidRDefault="007810FE" w:rsidP="007810FE">
      <w:pPr>
        <w:contextualSpacing/>
        <w:rPr>
          <w:bCs/>
        </w:rPr>
      </w:pPr>
      <w:r>
        <w:rPr>
          <w:bCs/>
        </w:rPr>
        <w:t>If necessary, the United States does not object to converting the output of FG DFS to ITU-T Technical Reports, provided that they address the need</w:t>
      </w:r>
      <w:r w:rsidR="00F913FB">
        <w:rPr>
          <w:bCs/>
        </w:rPr>
        <w:t>s</w:t>
      </w:r>
      <w:r>
        <w:rPr>
          <w:bCs/>
        </w:rPr>
        <w:t xml:space="preserve"> of MFS, and in response to Res. 89 (Hammamet, 2016) or Res. 204 (Dubai, 2018).</w:t>
      </w:r>
    </w:p>
    <w:p w:rsidR="007810FE" w:rsidRDefault="007810FE" w:rsidP="00D21374">
      <w:pPr>
        <w:spacing w:before="0"/>
        <w:contextualSpacing/>
        <w:rPr>
          <w:rFonts w:eastAsia="SimSun"/>
          <w:bCs/>
        </w:rPr>
      </w:pPr>
    </w:p>
    <w:p w:rsidR="007810FE" w:rsidRDefault="007810FE" w:rsidP="00D21374">
      <w:pPr>
        <w:spacing w:before="0"/>
        <w:contextualSpacing/>
        <w:rPr>
          <w:rFonts w:eastAsia="SimSun"/>
          <w:bCs/>
        </w:rPr>
      </w:pPr>
      <w:r>
        <w:rPr>
          <w:rFonts w:eastAsia="SimSun"/>
          <w:bCs/>
        </w:rPr>
        <w:t>The United States does not support the conversion of the output of FG DFS to ITU-T Recommendations, unless such a Recommendation provides an “added value” to the ICT/</w:t>
      </w:r>
      <w:r w:rsidR="00F913FB">
        <w:rPr>
          <w:rFonts w:eastAsia="SimSun"/>
          <w:bCs/>
        </w:rPr>
        <w:t>t</w:t>
      </w:r>
      <w:r>
        <w:rPr>
          <w:rFonts w:eastAsia="SimSun"/>
          <w:bCs/>
        </w:rPr>
        <w:t>elecom sector in terms of specific guidance that is not currently covered by the FG DFS report.</w:t>
      </w:r>
    </w:p>
    <w:p w:rsidR="007810FE" w:rsidRDefault="007810FE" w:rsidP="00D21374">
      <w:pPr>
        <w:spacing w:before="0"/>
        <w:contextualSpacing/>
        <w:rPr>
          <w:rFonts w:eastAsia="SimSun"/>
          <w:bCs/>
        </w:rPr>
      </w:pPr>
    </w:p>
    <w:p w:rsidR="007810FE" w:rsidRDefault="007810FE" w:rsidP="00D21374">
      <w:pPr>
        <w:spacing w:before="0"/>
        <w:contextualSpacing/>
        <w:rPr>
          <w:rFonts w:eastAsia="SimSun"/>
          <w:bCs/>
        </w:rPr>
      </w:pPr>
      <w:r>
        <w:rPr>
          <w:rFonts w:eastAsia="SimSun"/>
          <w:bCs/>
        </w:rPr>
        <w:t>Such Recommendation</w:t>
      </w:r>
      <w:r w:rsidR="00F913FB">
        <w:rPr>
          <w:rFonts w:eastAsia="SimSun"/>
          <w:bCs/>
        </w:rPr>
        <w:t>(s)</w:t>
      </w:r>
      <w:r>
        <w:rPr>
          <w:rFonts w:eastAsia="SimSun"/>
          <w:bCs/>
        </w:rPr>
        <w:t xml:space="preserve"> must also be entirely within the mandate of the ITU, namely</w:t>
      </w:r>
      <w:r w:rsidR="00F913FB">
        <w:rPr>
          <w:rFonts w:eastAsia="SimSun"/>
          <w:bCs/>
        </w:rPr>
        <w:t>,</w:t>
      </w:r>
      <w:r>
        <w:rPr>
          <w:rFonts w:eastAsia="SimSun"/>
          <w:bCs/>
        </w:rPr>
        <w:t xml:space="preserve"> addressing the needs of the ICT/</w:t>
      </w:r>
      <w:r w:rsidR="00F913FB">
        <w:rPr>
          <w:rFonts w:eastAsia="SimSun"/>
          <w:bCs/>
        </w:rPr>
        <w:t>t</w:t>
      </w:r>
      <w:r>
        <w:rPr>
          <w:rFonts w:eastAsia="SimSun"/>
          <w:bCs/>
        </w:rPr>
        <w:t>elecom sector, and not related to the banking/financial sector.  Such Recommendation</w:t>
      </w:r>
      <w:r w:rsidR="00F913FB">
        <w:rPr>
          <w:rFonts w:eastAsia="SimSun"/>
          <w:bCs/>
        </w:rPr>
        <w:t>(s)</w:t>
      </w:r>
      <w:r>
        <w:rPr>
          <w:rFonts w:eastAsia="SimSun"/>
          <w:bCs/>
        </w:rPr>
        <w:t xml:space="preserve"> should not contain any provision(s) that are incumbent upon the banking/financial sector, </w:t>
      </w:r>
      <w:r w:rsidR="00F913FB">
        <w:rPr>
          <w:rFonts w:eastAsia="SimSun"/>
          <w:bCs/>
        </w:rPr>
        <w:t xml:space="preserve">upon which </w:t>
      </w:r>
      <w:r>
        <w:rPr>
          <w:rFonts w:eastAsia="SimSun"/>
          <w:bCs/>
        </w:rPr>
        <w:t>ITU-T Recommendations cannot be imposed.</w:t>
      </w:r>
    </w:p>
    <w:p w:rsidR="007810FE" w:rsidRDefault="007810FE" w:rsidP="00D21374">
      <w:pPr>
        <w:spacing w:before="0"/>
        <w:contextualSpacing/>
        <w:rPr>
          <w:rFonts w:eastAsia="SimSun"/>
          <w:bCs/>
        </w:rPr>
      </w:pPr>
    </w:p>
    <w:p w:rsidR="007810FE" w:rsidRDefault="007810FE" w:rsidP="00D21374">
      <w:pPr>
        <w:spacing w:before="0"/>
        <w:contextualSpacing/>
        <w:rPr>
          <w:rFonts w:eastAsia="SimSun"/>
          <w:bCs/>
        </w:rPr>
      </w:pPr>
      <w:r>
        <w:rPr>
          <w:rFonts w:eastAsia="SimSun"/>
          <w:bCs/>
        </w:rPr>
        <w:t xml:space="preserve">The United States seeks a </w:t>
      </w:r>
      <w:r w:rsidRPr="007810FE">
        <w:rPr>
          <w:rFonts w:eastAsia="SimSun"/>
          <w:bCs/>
        </w:rPr>
        <w:t xml:space="preserve">comprehensive review/discussion on the work programme of Q12/3 aimed at understanding the goals and objectives of </w:t>
      </w:r>
      <w:r>
        <w:rPr>
          <w:rFonts w:eastAsia="SimSun"/>
          <w:bCs/>
        </w:rPr>
        <w:t xml:space="preserve">each of the </w:t>
      </w:r>
      <w:r w:rsidR="00BA46F4">
        <w:rPr>
          <w:rFonts w:eastAsia="SimSun"/>
          <w:bCs/>
        </w:rPr>
        <w:t>current and proposed work items consistent with this proposal.</w:t>
      </w:r>
    </w:p>
    <w:p w:rsidR="007810FE" w:rsidRDefault="007810FE" w:rsidP="00D21374">
      <w:pPr>
        <w:spacing w:before="0"/>
        <w:contextualSpacing/>
        <w:rPr>
          <w:rFonts w:eastAsia="SimSun"/>
          <w:bCs/>
        </w:rPr>
      </w:pPr>
    </w:p>
    <w:p w:rsidR="00DA2FEA" w:rsidRDefault="00BA46F4" w:rsidP="00D21374">
      <w:pPr>
        <w:spacing w:before="0"/>
        <w:contextualSpacing/>
        <w:rPr>
          <w:rFonts w:eastAsia="SimSun"/>
          <w:bCs/>
        </w:rPr>
      </w:pPr>
      <w:r>
        <w:rPr>
          <w:rFonts w:eastAsia="SimSun"/>
          <w:bCs/>
        </w:rPr>
        <w:t xml:space="preserve">The United States </w:t>
      </w:r>
      <w:r w:rsidR="005F3E06" w:rsidRPr="005D5226">
        <w:rPr>
          <w:rFonts w:eastAsia="SimSun"/>
          <w:bCs/>
        </w:rPr>
        <w:t xml:space="preserve">appreciates the </w:t>
      </w:r>
      <w:r>
        <w:rPr>
          <w:rFonts w:eastAsia="SimSun"/>
          <w:bCs/>
        </w:rPr>
        <w:t>work undertaken in Q12/3.  This work, however, must demonstrate an “added value” above</w:t>
      </w:r>
      <w:r w:rsidR="00F913FB">
        <w:rPr>
          <w:rFonts w:eastAsia="SimSun"/>
          <w:bCs/>
        </w:rPr>
        <w:t xml:space="preserve"> </w:t>
      </w:r>
      <w:r>
        <w:rPr>
          <w:rFonts w:eastAsia="SimSun"/>
          <w:bCs/>
        </w:rPr>
        <w:t>and</w:t>
      </w:r>
      <w:r w:rsidR="00F913FB">
        <w:rPr>
          <w:rFonts w:eastAsia="SimSun"/>
          <w:bCs/>
        </w:rPr>
        <w:t xml:space="preserve"> </w:t>
      </w:r>
      <w:r>
        <w:rPr>
          <w:rFonts w:eastAsia="SimSun"/>
          <w:bCs/>
        </w:rPr>
        <w:t>beyond the output of FG DFS, and must be restricted to the mandate of the ITU consistent with Res. 89 (Hammamet, 2016) and Res. 204 (Dubai, 2018).</w:t>
      </w:r>
      <w:r w:rsidR="00253257">
        <w:rPr>
          <w:rFonts w:eastAsia="SimSun"/>
          <w:bCs/>
        </w:rPr>
        <w:t xml:space="preserve"> </w:t>
      </w:r>
    </w:p>
    <w:p w:rsidR="00DA2FEA" w:rsidRDefault="00DA2FEA" w:rsidP="00D21374">
      <w:pPr>
        <w:spacing w:before="0"/>
        <w:contextualSpacing/>
        <w:rPr>
          <w:rFonts w:eastAsia="SimSun"/>
          <w:bCs/>
        </w:rPr>
      </w:pPr>
    </w:p>
    <w:p w:rsidR="00DA2FEA" w:rsidRDefault="00DA2FEA" w:rsidP="00D21374">
      <w:pPr>
        <w:spacing w:before="0"/>
        <w:contextualSpacing/>
        <w:rPr>
          <w:rFonts w:eastAsia="SimSun"/>
          <w:bCs/>
        </w:rPr>
      </w:pPr>
    </w:p>
    <w:p w:rsidR="00DA2FEA" w:rsidRDefault="00DA2FEA" w:rsidP="00DA2FEA">
      <w:pPr>
        <w:spacing w:before="0"/>
        <w:contextualSpacing/>
      </w:pPr>
      <w:r>
        <w:t xml:space="preserve">The United States requests that this contribution be made available publicly without restriction. </w:t>
      </w:r>
    </w:p>
    <w:p w:rsidR="00394DBF" w:rsidRDefault="00394DBF" w:rsidP="00394DBF">
      <w:pPr>
        <w:jc w:val="center"/>
      </w:pPr>
      <w:r>
        <w:t>_______________________</w:t>
      </w:r>
    </w:p>
    <w:p w:rsidR="00794F4F" w:rsidRDefault="00794F4F" w:rsidP="0089088E"/>
    <w:sectPr w:rsidR="00794F4F" w:rsidSect="00C42125">
      <w:headerReference w:type="default" r:id="rId19"/>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37" w:rsidRDefault="00947637" w:rsidP="00C42125">
      <w:pPr>
        <w:spacing w:before="0"/>
      </w:pPr>
      <w:r>
        <w:separator/>
      </w:r>
    </w:p>
  </w:endnote>
  <w:endnote w:type="continuationSeparator" w:id="0">
    <w:p w:rsidR="00947637" w:rsidRDefault="0094763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37" w:rsidRDefault="00947637" w:rsidP="00C42125">
      <w:pPr>
        <w:spacing w:before="0"/>
      </w:pPr>
      <w:r>
        <w:separator/>
      </w:r>
    </w:p>
  </w:footnote>
  <w:footnote w:type="continuationSeparator" w:id="0">
    <w:p w:rsidR="00947637" w:rsidRDefault="0094763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8A465F">
      <w:rPr>
        <w:noProof/>
      </w:rPr>
      <w:t>2</w:t>
    </w:r>
    <w:r w:rsidRPr="00C42125">
      <w:fldChar w:fldCharType="end"/>
    </w:r>
    <w:r w:rsidRPr="00C42125">
      <w:t xml:space="preserve"> -</w:t>
    </w:r>
  </w:p>
  <w:p w:rsidR="00C42125" w:rsidRPr="00C42125" w:rsidRDefault="00253DBE" w:rsidP="007E53E4">
    <w:pPr>
      <w:pStyle w:val="Header"/>
    </w:pPr>
    <w:r>
      <w:fldChar w:fldCharType="begin"/>
    </w:r>
    <w:r>
      <w:instrText xml:space="preserve"> STYLEREF  Docnumber  </w:instrText>
    </w:r>
    <w:r>
      <w:fldChar w:fldCharType="separate"/>
    </w:r>
    <w:r w:rsidR="008A465F">
      <w:rPr>
        <w:noProof/>
      </w:rPr>
      <w:t>SG3-Cn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37538"/>
    <w:rsid w:val="00043D75"/>
    <w:rsid w:val="00057000"/>
    <w:rsid w:val="000640E0"/>
    <w:rsid w:val="000A5CA2"/>
    <w:rsid w:val="000B25B1"/>
    <w:rsid w:val="001008CF"/>
    <w:rsid w:val="001251DA"/>
    <w:rsid w:val="00125432"/>
    <w:rsid w:val="00137F40"/>
    <w:rsid w:val="00162176"/>
    <w:rsid w:val="00170FCA"/>
    <w:rsid w:val="001871EC"/>
    <w:rsid w:val="001A670F"/>
    <w:rsid w:val="001C62B8"/>
    <w:rsid w:val="001E7B0E"/>
    <w:rsid w:val="001F141D"/>
    <w:rsid w:val="00200A06"/>
    <w:rsid w:val="0020211D"/>
    <w:rsid w:val="00241832"/>
    <w:rsid w:val="00253257"/>
    <w:rsid w:val="00253DBE"/>
    <w:rsid w:val="002622FA"/>
    <w:rsid w:val="00263518"/>
    <w:rsid w:val="002759E7"/>
    <w:rsid w:val="00275ED1"/>
    <w:rsid w:val="00277326"/>
    <w:rsid w:val="00282FD4"/>
    <w:rsid w:val="002A25D6"/>
    <w:rsid w:val="002A49E0"/>
    <w:rsid w:val="002C015C"/>
    <w:rsid w:val="002C0A77"/>
    <w:rsid w:val="002C26C0"/>
    <w:rsid w:val="002C2BC5"/>
    <w:rsid w:val="002C6BF0"/>
    <w:rsid w:val="002D0CAB"/>
    <w:rsid w:val="002E79CB"/>
    <w:rsid w:val="002F7F55"/>
    <w:rsid w:val="0030745F"/>
    <w:rsid w:val="00314630"/>
    <w:rsid w:val="0032090A"/>
    <w:rsid w:val="00321CDE"/>
    <w:rsid w:val="00333E15"/>
    <w:rsid w:val="00336046"/>
    <w:rsid w:val="00350492"/>
    <w:rsid w:val="0037422B"/>
    <w:rsid w:val="00385D9B"/>
    <w:rsid w:val="0038715D"/>
    <w:rsid w:val="00394DBF"/>
    <w:rsid w:val="003957A6"/>
    <w:rsid w:val="00395C05"/>
    <w:rsid w:val="003A43EF"/>
    <w:rsid w:val="003C3728"/>
    <w:rsid w:val="003C7445"/>
    <w:rsid w:val="003D2CC8"/>
    <w:rsid w:val="003E2505"/>
    <w:rsid w:val="003F2BED"/>
    <w:rsid w:val="00443878"/>
    <w:rsid w:val="004539A8"/>
    <w:rsid w:val="004712CA"/>
    <w:rsid w:val="00472844"/>
    <w:rsid w:val="0047422E"/>
    <w:rsid w:val="0049674B"/>
    <w:rsid w:val="004C0673"/>
    <w:rsid w:val="004C4E4E"/>
    <w:rsid w:val="004F3816"/>
    <w:rsid w:val="00543D41"/>
    <w:rsid w:val="00552142"/>
    <w:rsid w:val="0055221E"/>
    <w:rsid w:val="0055302B"/>
    <w:rsid w:val="0055782F"/>
    <w:rsid w:val="00566EDA"/>
    <w:rsid w:val="00572654"/>
    <w:rsid w:val="00583CED"/>
    <w:rsid w:val="005A5670"/>
    <w:rsid w:val="005B3023"/>
    <w:rsid w:val="005B5629"/>
    <w:rsid w:val="005C0300"/>
    <w:rsid w:val="005F3E06"/>
    <w:rsid w:val="005F4B6A"/>
    <w:rsid w:val="006010F3"/>
    <w:rsid w:val="00615A0A"/>
    <w:rsid w:val="00616487"/>
    <w:rsid w:val="006333D4"/>
    <w:rsid w:val="006369B2"/>
    <w:rsid w:val="00647525"/>
    <w:rsid w:val="006570B0"/>
    <w:rsid w:val="00691C94"/>
    <w:rsid w:val="0069210B"/>
    <w:rsid w:val="006A4055"/>
    <w:rsid w:val="006B7910"/>
    <w:rsid w:val="006C5641"/>
    <w:rsid w:val="006D1089"/>
    <w:rsid w:val="006D1B86"/>
    <w:rsid w:val="006D7355"/>
    <w:rsid w:val="006F2ACE"/>
    <w:rsid w:val="00715CA6"/>
    <w:rsid w:val="00731135"/>
    <w:rsid w:val="007324AF"/>
    <w:rsid w:val="007409B4"/>
    <w:rsid w:val="00741974"/>
    <w:rsid w:val="0075525E"/>
    <w:rsid w:val="00756D3D"/>
    <w:rsid w:val="007745D0"/>
    <w:rsid w:val="007806C2"/>
    <w:rsid w:val="007810FE"/>
    <w:rsid w:val="007903F8"/>
    <w:rsid w:val="00794F4F"/>
    <w:rsid w:val="007974BE"/>
    <w:rsid w:val="007A0671"/>
    <w:rsid w:val="007A0916"/>
    <w:rsid w:val="007A0DFD"/>
    <w:rsid w:val="007A6474"/>
    <w:rsid w:val="007C7122"/>
    <w:rsid w:val="007D3F11"/>
    <w:rsid w:val="007E53E4"/>
    <w:rsid w:val="007E656A"/>
    <w:rsid w:val="007F664D"/>
    <w:rsid w:val="007F7EC6"/>
    <w:rsid w:val="008128CE"/>
    <w:rsid w:val="0082498A"/>
    <w:rsid w:val="00841217"/>
    <w:rsid w:val="00842137"/>
    <w:rsid w:val="008505F2"/>
    <w:rsid w:val="00854EC6"/>
    <w:rsid w:val="008806C3"/>
    <w:rsid w:val="0089088E"/>
    <w:rsid w:val="00892297"/>
    <w:rsid w:val="008A465F"/>
    <w:rsid w:val="008B6F4A"/>
    <w:rsid w:val="008E0172"/>
    <w:rsid w:val="00914912"/>
    <w:rsid w:val="0093471F"/>
    <w:rsid w:val="009406B5"/>
    <w:rsid w:val="00942EB4"/>
    <w:rsid w:val="00946166"/>
    <w:rsid w:val="00947637"/>
    <w:rsid w:val="0096564E"/>
    <w:rsid w:val="0097564A"/>
    <w:rsid w:val="00983164"/>
    <w:rsid w:val="009972EF"/>
    <w:rsid w:val="009B75B3"/>
    <w:rsid w:val="009C3160"/>
    <w:rsid w:val="009E766E"/>
    <w:rsid w:val="009F1960"/>
    <w:rsid w:val="009F715E"/>
    <w:rsid w:val="00A10DBB"/>
    <w:rsid w:val="00A26466"/>
    <w:rsid w:val="00A31D47"/>
    <w:rsid w:val="00A4013E"/>
    <w:rsid w:val="00A4045F"/>
    <w:rsid w:val="00A427CD"/>
    <w:rsid w:val="00A45C12"/>
    <w:rsid w:val="00A4600B"/>
    <w:rsid w:val="00A50506"/>
    <w:rsid w:val="00A51EF0"/>
    <w:rsid w:val="00A54BCF"/>
    <w:rsid w:val="00A67A81"/>
    <w:rsid w:val="00A730A6"/>
    <w:rsid w:val="00A971A0"/>
    <w:rsid w:val="00AA1F22"/>
    <w:rsid w:val="00AB0B51"/>
    <w:rsid w:val="00AB7B0F"/>
    <w:rsid w:val="00AC7A67"/>
    <w:rsid w:val="00B05821"/>
    <w:rsid w:val="00B26C28"/>
    <w:rsid w:val="00B4174C"/>
    <w:rsid w:val="00B453F5"/>
    <w:rsid w:val="00B61624"/>
    <w:rsid w:val="00B718A5"/>
    <w:rsid w:val="00B85CE7"/>
    <w:rsid w:val="00BA46F4"/>
    <w:rsid w:val="00BC1FAE"/>
    <w:rsid w:val="00BC62E2"/>
    <w:rsid w:val="00C42125"/>
    <w:rsid w:val="00C62814"/>
    <w:rsid w:val="00C74937"/>
    <w:rsid w:val="00C760BE"/>
    <w:rsid w:val="00D01B07"/>
    <w:rsid w:val="00D1651B"/>
    <w:rsid w:val="00D21374"/>
    <w:rsid w:val="00D54A3B"/>
    <w:rsid w:val="00D57D7F"/>
    <w:rsid w:val="00D73137"/>
    <w:rsid w:val="00D87961"/>
    <w:rsid w:val="00DA2FEA"/>
    <w:rsid w:val="00DB1307"/>
    <w:rsid w:val="00DD1707"/>
    <w:rsid w:val="00DD50DE"/>
    <w:rsid w:val="00DE3062"/>
    <w:rsid w:val="00E204DD"/>
    <w:rsid w:val="00E2145E"/>
    <w:rsid w:val="00E353EC"/>
    <w:rsid w:val="00E53C24"/>
    <w:rsid w:val="00E625BC"/>
    <w:rsid w:val="00EB1E9B"/>
    <w:rsid w:val="00EB444D"/>
    <w:rsid w:val="00F02294"/>
    <w:rsid w:val="00F25254"/>
    <w:rsid w:val="00F35F57"/>
    <w:rsid w:val="00F50467"/>
    <w:rsid w:val="00F562A0"/>
    <w:rsid w:val="00F913FB"/>
    <w:rsid w:val="00FA2177"/>
    <w:rsid w:val="00FA4BB8"/>
    <w:rsid w:val="00FB0A28"/>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8ED324"/>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ListParagraph">
    <w:name w:val="List Paragraph"/>
    <w:basedOn w:val="Normal"/>
    <w:uiPriority w:val="34"/>
    <w:qFormat/>
    <w:rsid w:val="00D21374"/>
    <w:pPr>
      <w:ind w:left="720"/>
      <w:contextualSpacing/>
    </w:pPr>
  </w:style>
  <w:style w:type="character" w:styleId="CommentReference">
    <w:name w:val="annotation reference"/>
    <w:basedOn w:val="DefaultParagraphFont"/>
    <w:uiPriority w:val="99"/>
    <w:semiHidden/>
    <w:unhideWhenUsed/>
    <w:rsid w:val="006B7910"/>
    <w:rPr>
      <w:sz w:val="16"/>
      <w:szCs w:val="16"/>
    </w:rPr>
  </w:style>
  <w:style w:type="paragraph" w:styleId="CommentText">
    <w:name w:val="annotation text"/>
    <w:basedOn w:val="Normal"/>
    <w:link w:val="CommentTextChar"/>
    <w:uiPriority w:val="99"/>
    <w:semiHidden/>
    <w:unhideWhenUsed/>
    <w:rsid w:val="006B7910"/>
    <w:rPr>
      <w:sz w:val="20"/>
      <w:szCs w:val="20"/>
    </w:rPr>
  </w:style>
  <w:style w:type="character" w:customStyle="1" w:styleId="CommentTextChar">
    <w:name w:val="Comment Text Char"/>
    <w:basedOn w:val="DefaultParagraphFont"/>
    <w:link w:val="CommentText"/>
    <w:uiPriority w:val="99"/>
    <w:semiHidden/>
    <w:rsid w:val="006B791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B7910"/>
    <w:rPr>
      <w:b/>
      <w:bCs/>
    </w:rPr>
  </w:style>
  <w:style w:type="character" w:customStyle="1" w:styleId="CommentSubjectChar">
    <w:name w:val="Comment Subject Char"/>
    <w:basedOn w:val="CommentTextChar"/>
    <w:link w:val="CommentSubject"/>
    <w:uiPriority w:val="99"/>
    <w:semiHidden/>
    <w:rsid w:val="006B7910"/>
    <w:rPr>
      <w:rFonts w:ascii="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6B791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910"/>
    <w:rPr>
      <w:rFonts w:ascii="Segoe UI" w:hAnsi="Segoe UI" w:cs="Segoe UI"/>
      <w:sz w:val="18"/>
      <w:szCs w:val="18"/>
      <w:lang w:val="en-GB" w:eastAsia="ja-JP"/>
    </w:rPr>
  </w:style>
  <w:style w:type="character" w:styleId="FollowedHyperlink">
    <w:name w:val="FollowedHyperlink"/>
    <w:basedOn w:val="DefaultParagraphFont"/>
    <w:uiPriority w:val="99"/>
    <w:semiHidden/>
    <w:unhideWhenUsed/>
    <w:rsid w:val="003C37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45518">
      <w:bodyDiv w:val="1"/>
      <w:marLeft w:val="0"/>
      <w:marRight w:val="0"/>
      <w:marTop w:val="0"/>
      <w:marBottom w:val="0"/>
      <w:divBdr>
        <w:top w:val="none" w:sz="0" w:space="0" w:color="auto"/>
        <w:left w:val="none" w:sz="0" w:space="0" w:color="auto"/>
        <w:bottom w:val="none" w:sz="0" w:space="0" w:color="auto"/>
        <w:right w:val="none" w:sz="0" w:space="0" w:color="auto"/>
      </w:divBdr>
    </w:div>
    <w:div w:id="1332832858">
      <w:bodyDiv w:val="1"/>
      <w:marLeft w:val="0"/>
      <w:marRight w:val="0"/>
      <w:marTop w:val="0"/>
      <w:marBottom w:val="0"/>
      <w:divBdr>
        <w:top w:val="none" w:sz="0" w:space="0" w:color="auto"/>
        <w:left w:val="none" w:sz="0" w:space="0" w:color="auto"/>
        <w:bottom w:val="none" w:sz="0" w:space="0" w:color="auto"/>
        <w:right w:val="none" w:sz="0" w:space="0" w:color="auto"/>
      </w:divBdr>
    </w:div>
    <w:div w:id="18940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studygroups/2017-2020/03/Pages/q12.aspx" TargetMode="External"/><Relationship Id="rId18" Type="http://schemas.openxmlformats.org/officeDocument/2006/relationships/hyperlink" Target="https://gcc01.safelinks.protection.outlook.com/?url=https%3A%2F%2Fwww.itu.int%2Fdms_inf%2Fitu-t%2Fmd%2F17%2Fsg03%2Ftd%2F190423%2FGEN%2FT17-SG03-190423-TD-GEN-0137!!MSW-E.docx&amp;data=02%7C01%7CCFrank%40ntia.gov%7C2c0ab2ab33ff4b12f1f808d6b77f0be4%7Cd6cff1bd67dd4ce8945dd07dc775672f%7C0%7C1%7C636898153625966961&amp;sdata=tpqbSxdxIc%2BKCmPOyBrSrRLWHANrBfX5HK0NbiITV8A%3D&amp;reserved=0"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itu.int/pub/publications.aspx?lang=en&amp;parent=T-RES-T.89-2016" TargetMode="External"/><Relationship Id="rId17" Type="http://schemas.openxmlformats.org/officeDocument/2006/relationships/hyperlink" Target="https://www.itu.int/en/ITU-T/extcoop/figisymposium/Pages/default.aspx" TargetMode="External"/><Relationship Id="rId2" Type="http://schemas.openxmlformats.org/officeDocument/2006/relationships/customXml" Target="../customXml/item2.xml"/><Relationship Id="rId16" Type="http://schemas.openxmlformats.org/officeDocument/2006/relationships/hyperlink" Target="https://www.itu.int/en/ITU-T/focusgroups/dfs/Pages/deliverable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jarianpb@state.gov" TargetMode="External"/><Relationship Id="rId5" Type="http://schemas.openxmlformats.org/officeDocument/2006/relationships/styles" Target="styles.xml"/><Relationship Id="rId15" Type="http://schemas.openxmlformats.org/officeDocument/2006/relationships/hyperlink" Target="https://www.itu.int/en/ITU-T/focusgroups/dfs/Pages/default.aspx" TargetMode="Externa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TU-T/workprog/wp_search.aspx?sg=3&amp;q=1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A36B3"/>
    <w:rsid w:val="00256D54"/>
    <w:rsid w:val="00307D31"/>
    <w:rsid w:val="00325869"/>
    <w:rsid w:val="003E3757"/>
    <w:rsid w:val="003F520B"/>
    <w:rsid w:val="00400FFE"/>
    <w:rsid w:val="00403A9C"/>
    <w:rsid w:val="00597798"/>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947D8D"/>
    <w:rsid w:val="00A33DD7"/>
    <w:rsid w:val="00A3586C"/>
    <w:rsid w:val="00AC7F00"/>
    <w:rsid w:val="00AF3CAC"/>
    <w:rsid w:val="00C537FF"/>
    <w:rsid w:val="00C7519D"/>
    <w:rsid w:val="00C96992"/>
    <w:rsid w:val="00D40096"/>
    <w:rsid w:val="00E02C8E"/>
    <w:rsid w:val="00E24248"/>
    <w:rsid w:val="00EF2C1D"/>
    <w:rsid w:val="00F96566"/>
    <w:rsid w:val="00FD12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2D9"/>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02AE85D8FB1D4CCCA4EF9F7078EF3987">
    <w:name w:val="02AE85D8FB1D4CCCA4EF9F7078EF3987"/>
    <w:rsid w:val="00FD12D9"/>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STUDY GROUP 3</SgText>
    <IsRevision xmlns="3f6fad35-1f81-480e-a4e5-6e5474dcfb96">false</IsRevision>
    <Purpose1 xmlns="3f6fad35-1f81-480e-a4e5-6e5474dcfb96">Proposal</Purpose1>
    <Abstract xmlns="3f6fad35-1f81-480e-a4e5-6e5474dcfb96">The United States requests a comprehensive review/discussion on the work programme of Q12/3 aimed at understanding the goals and objectives of the current and proposed work items, and to focus on those work items that are relevant to the ICT/telecom sector.</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Q12/3</QuestionText>
    <DocTypeText xmlns="3f6fad35-1f81-480e-a4e5-6e5474dcfb96">CONTRIBUTION</DocTypeText>
    <CategoryDescription xmlns="http://schemas.microsoft.com/sharepoint.v3" xsi:nil="true"/>
    <ShortName xmlns="3f6fad35-1f81-480e-a4e5-6e5474dcfb96">SG3-C298</ShortName>
    <Place xmlns="3f6fad35-1f81-480e-a4e5-6e5474dcfb96">Geneva</Place>
    <IsTooLateSubmitted xmlns="3f6fad35-1f81-480e-a4e5-6e5474dcfb96">false</IsTooLateSubmitted>
    <Observations xmlns="3f6fad35-1f81-480e-a4e5-6e5474dcfb96" xsi:nil="true"/>
    <DocumentSource xmlns="3f6fad35-1f81-480e-a4e5-6e5474dcfb96">United States of America</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3f6fad35-1f81-480e-a4e5-6e5474dcfb96"/>
    <ds:schemaRef ds:uri="http://www.w3.org/XML/1998/namespace"/>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7</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Assessment of Work Programme of Q12/3</vt:lpstr>
    </vt:vector>
  </TitlesOfParts>
  <Company>ITU</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Work Programme of Q12/3</dc:title>
  <dc:subject/>
  <dc:creator>Guy, Florence</dc:creator>
  <cp:keywords>Mobile Financial Services (MFS)</cp:keywords>
  <dc:description/>
  <cp:lastModifiedBy>Najarian, Paul B</cp:lastModifiedBy>
  <cp:revision>6</cp:revision>
  <cp:lastPrinted>2019-04-02T13:31:00Z</cp:lastPrinted>
  <dcterms:created xsi:type="dcterms:W3CDTF">2019-04-02T15:24:00Z</dcterms:created>
  <dcterms:modified xsi:type="dcterms:W3CDTF">2019-04-09T13:26:00Z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