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143"/>
        <w:gridCol w:w="4210"/>
        <w:gridCol w:w="287"/>
        <w:gridCol w:w="606"/>
        <w:gridCol w:w="234"/>
        <w:gridCol w:w="3026"/>
      </w:tblGrid>
      <w:tr w:rsidR="001A2CAE" w:rsidRPr="00A86565" w:rsidTr="00756796">
        <w:trPr>
          <w:cantSplit/>
        </w:trPr>
        <w:tc>
          <w:tcPr>
            <w:tcW w:w="1417" w:type="dxa"/>
            <w:vMerge w:val="restart"/>
          </w:tcPr>
          <w:p w:rsidR="001A2CAE" w:rsidRPr="00A86565" w:rsidRDefault="001A2CAE" w:rsidP="00B07249">
            <w:pPr>
              <w:rPr>
                <w:lang w:val="fr-CH"/>
              </w:rPr>
            </w:pPr>
            <w:bookmarkStart w:id="0" w:name="InsertLogo"/>
            <w:bookmarkStart w:id="1" w:name="dnum" w:colFirst="2" w:colLast="2"/>
            <w:bookmarkStart w:id="2" w:name="dtableau"/>
            <w:bookmarkEnd w:id="0"/>
            <w:r w:rsidRPr="00A86565">
              <w:rPr>
                <w:b/>
                <w:noProof/>
                <w:sz w:val="36"/>
                <w:lang w:val="en-GB" w:eastAsia="en-GB"/>
              </w:rPr>
              <w:drawing>
                <wp:inline distT="0" distB="0" distL="0" distR="0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  <w:gridSpan w:val="5"/>
          </w:tcPr>
          <w:p w:rsidR="001A2CAE" w:rsidRPr="00A86565" w:rsidRDefault="001A2CAE" w:rsidP="00B07249">
            <w:pPr>
              <w:rPr>
                <w:sz w:val="20"/>
                <w:lang w:val="fr-CH"/>
              </w:rPr>
            </w:pPr>
            <w:r w:rsidRPr="00A86565">
              <w:rPr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026" w:type="dxa"/>
          </w:tcPr>
          <w:p w:rsidR="001A2CAE" w:rsidRPr="009A546D" w:rsidRDefault="002005AB" w:rsidP="00B07249">
            <w:pPr>
              <w:jc w:val="right"/>
              <w:rPr>
                <w:b/>
                <w:bCs/>
                <w:sz w:val="28"/>
                <w:lang w:val="fr-CH"/>
              </w:rPr>
            </w:pPr>
            <w:r w:rsidRPr="009A546D">
              <w:rPr>
                <w:b/>
                <w:bCs/>
                <w:sz w:val="32"/>
                <w:szCs w:val="22"/>
                <w:lang w:val="fr-CH"/>
              </w:rPr>
              <w:t>SG</w:t>
            </w:r>
            <w:r w:rsidR="00B91DC5">
              <w:rPr>
                <w:b/>
                <w:bCs/>
                <w:sz w:val="32"/>
                <w:szCs w:val="22"/>
                <w:lang w:val="fr-CH"/>
              </w:rPr>
              <w:t>3</w:t>
            </w:r>
            <w:r w:rsidR="00661931" w:rsidRPr="009A546D">
              <w:rPr>
                <w:b/>
                <w:bCs/>
                <w:sz w:val="32"/>
                <w:szCs w:val="22"/>
                <w:lang w:val="fr-CH"/>
              </w:rPr>
              <w:t>-</w:t>
            </w:r>
            <w:r w:rsidR="001A2CAE" w:rsidRPr="009A546D">
              <w:rPr>
                <w:b/>
                <w:bCs/>
                <w:sz w:val="32"/>
                <w:szCs w:val="22"/>
                <w:lang w:val="fr-CH"/>
              </w:rPr>
              <w:t>C</w:t>
            </w:r>
            <w:r w:rsidR="00B91DC5">
              <w:rPr>
                <w:b/>
                <w:bCs/>
                <w:sz w:val="32"/>
                <w:szCs w:val="22"/>
                <w:lang w:val="fr-CH"/>
              </w:rPr>
              <w:t>299</w:t>
            </w:r>
            <w:r w:rsidR="00EE1D80">
              <w:rPr>
                <w:b/>
                <w:bCs/>
                <w:sz w:val="32"/>
                <w:szCs w:val="22"/>
                <w:lang w:val="fr-CH"/>
              </w:rPr>
              <w:t>-F</w:t>
            </w:r>
          </w:p>
        </w:tc>
      </w:tr>
      <w:tr w:rsidR="001A2CAE" w:rsidRPr="00A86565" w:rsidTr="00756796">
        <w:trPr>
          <w:cantSplit/>
          <w:trHeight w:val="355"/>
        </w:trPr>
        <w:tc>
          <w:tcPr>
            <w:tcW w:w="1417" w:type="dxa"/>
            <w:vMerge/>
          </w:tcPr>
          <w:p w:rsidR="001A2CAE" w:rsidRPr="00A86565" w:rsidRDefault="001A2CAE" w:rsidP="00B07249">
            <w:pPr>
              <w:rPr>
                <w:lang w:val="fr-CH"/>
              </w:rPr>
            </w:pPr>
            <w:bookmarkStart w:id="3" w:name="ddate" w:colFirst="2" w:colLast="2"/>
            <w:bookmarkEnd w:id="1"/>
          </w:p>
        </w:tc>
        <w:tc>
          <w:tcPr>
            <w:tcW w:w="4640" w:type="dxa"/>
            <w:gridSpan w:val="3"/>
            <w:vMerge w:val="restart"/>
          </w:tcPr>
          <w:p w:rsidR="001A2CAE" w:rsidRPr="00A86565" w:rsidRDefault="001A2CAE" w:rsidP="00B07249">
            <w:pPr>
              <w:rPr>
                <w:b/>
                <w:bCs/>
                <w:sz w:val="26"/>
                <w:lang w:val="fr-CH"/>
              </w:rPr>
            </w:pPr>
            <w:r w:rsidRPr="00A86565">
              <w:rPr>
                <w:b/>
                <w:bCs/>
                <w:sz w:val="26"/>
                <w:lang w:val="fr-CH"/>
              </w:rPr>
              <w:t>SECTEUR DE LA NORMALISATION DES TÉLÉCOMMUNICATIONS</w:t>
            </w:r>
          </w:p>
          <w:p w:rsidR="001A2CAE" w:rsidRPr="00A86565" w:rsidRDefault="00AA2C77" w:rsidP="00B07249">
            <w:pPr>
              <w:rPr>
                <w:smallCaps/>
                <w:sz w:val="20"/>
                <w:lang w:val="fr-CH"/>
              </w:rPr>
            </w:pPr>
            <w:r>
              <w:rPr>
                <w:sz w:val="20"/>
                <w:lang w:val="fr-CH"/>
              </w:rPr>
              <w:t>PÉRIODE D'</w:t>
            </w:r>
            <w:r w:rsidR="001A2CAE" w:rsidRPr="00A86565">
              <w:rPr>
                <w:sz w:val="20"/>
                <w:lang w:val="fr-CH"/>
              </w:rPr>
              <w:t>ÉTUDES 2017-2020</w:t>
            </w:r>
          </w:p>
        </w:tc>
        <w:tc>
          <w:tcPr>
            <w:tcW w:w="3866" w:type="dxa"/>
            <w:gridSpan w:val="3"/>
          </w:tcPr>
          <w:p w:rsidR="001A2CAE" w:rsidRPr="009A546D" w:rsidRDefault="001A2CAE" w:rsidP="00B07249">
            <w:pPr>
              <w:jc w:val="right"/>
              <w:rPr>
                <w:b/>
                <w:bCs/>
                <w:sz w:val="28"/>
                <w:lang w:val="fr-CH"/>
              </w:rPr>
            </w:pPr>
            <w:r w:rsidRPr="009A546D">
              <w:rPr>
                <w:b/>
                <w:bCs/>
                <w:sz w:val="28"/>
                <w:lang w:val="fr-CH"/>
              </w:rPr>
              <w:t xml:space="preserve">COMMISSION D'ÉTUDES </w:t>
            </w:r>
            <w:r w:rsidR="004D62C3">
              <w:rPr>
                <w:b/>
                <w:bCs/>
                <w:sz w:val="28"/>
                <w:lang w:val="fr-CH"/>
              </w:rPr>
              <w:t>3</w:t>
            </w:r>
          </w:p>
        </w:tc>
      </w:tr>
      <w:tr w:rsidR="001A2CAE" w:rsidRPr="00A86565" w:rsidTr="00EE1D80">
        <w:trPr>
          <w:cantSplit/>
          <w:trHeight w:val="633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1A2CAE" w:rsidRPr="00A86565" w:rsidRDefault="001A2CAE" w:rsidP="00B07249">
            <w:pPr>
              <w:rPr>
                <w:lang w:val="fr-CH"/>
              </w:rPr>
            </w:pPr>
            <w:bookmarkStart w:id="4" w:name="dorlang" w:colFirst="2" w:colLast="2"/>
            <w:bookmarkEnd w:id="3"/>
          </w:p>
        </w:tc>
        <w:tc>
          <w:tcPr>
            <w:tcW w:w="4640" w:type="dxa"/>
            <w:gridSpan w:val="3"/>
            <w:vMerge/>
            <w:tcBorders>
              <w:bottom w:val="single" w:sz="12" w:space="0" w:color="auto"/>
            </w:tcBorders>
          </w:tcPr>
          <w:p w:rsidR="001A2CAE" w:rsidRPr="00A86565" w:rsidRDefault="001A2CAE" w:rsidP="00B07249">
            <w:pPr>
              <w:rPr>
                <w:b/>
                <w:bCs/>
                <w:sz w:val="26"/>
                <w:lang w:val="fr-CH"/>
              </w:rPr>
            </w:pPr>
          </w:p>
        </w:tc>
        <w:tc>
          <w:tcPr>
            <w:tcW w:w="3866" w:type="dxa"/>
            <w:gridSpan w:val="3"/>
            <w:tcBorders>
              <w:bottom w:val="single" w:sz="12" w:space="0" w:color="auto"/>
            </w:tcBorders>
            <w:vAlign w:val="center"/>
          </w:tcPr>
          <w:p w:rsidR="001A2CAE" w:rsidRPr="00A86565" w:rsidRDefault="001A2CAE" w:rsidP="00B07249">
            <w:pPr>
              <w:jc w:val="right"/>
              <w:rPr>
                <w:b/>
                <w:bCs/>
                <w:sz w:val="28"/>
                <w:lang w:val="fr-CH"/>
              </w:rPr>
            </w:pPr>
            <w:r w:rsidRPr="00A86565">
              <w:rPr>
                <w:b/>
                <w:bCs/>
                <w:sz w:val="28"/>
                <w:lang w:val="fr-CH"/>
              </w:rPr>
              <w:t>Original: anglais</w:t>
            </w:r>
          </w:p>
        </w:tc>
      </w:tr>
      <w:tr w:rsidR="001A2CAE" w:rsidRPr="00A86565" w:rsidTr="00756796">
        <w:trPr>
          <w:cantSplit/>
          <w:trHeight w:val="357"/>
        </w:trPr>
        <w:tc>
          <w:tcPr>
            <w:tcW w:w="1560" w:type="dxa"/>
            <w:gridSpan w:val="2"/>
          </w:tcPr>
          <w:p w:rsidR="001A2CAE" w:rsidRPr="00A86565" w:rsidRDefault="00F577AB" w:rsidP="00B07249">
            <w:pPr>
              <w:rPr>
                <w:b/>
                <w:bCs/>
                <w:lang w:val="fr-CH"/>
              </w:rPr>
            </w:pPr>
            <w:bookmarkStart w:id="5" w:name="dbluepink" w:colFirst="1" w:colLast="1"/>
            <w:bookmarkStart w:id="6" w:name="dmeeting" w:colFirst="2" w:colLast="2"/>
            <w:bookmarkEnd w:id="4"/>
            <w:r>
              <w:rPr>
                <w:b/>
                <w:bCs/>
                <w:lang w:val="fr-CH"/>
              </w:rPr>
              <w:t>Question</w:t>
            </w:r>
            <w:r w:rsidR="001A2CAE" w:rsidRPr="00A86565">
              <w:rPr>
                <w:b/>
                <w:bCs/>
                <w:lang w:val="fr-CH"/>
              </w:rPr>
              <w:t>:</w:t>
            </w:r>
          </w:p>
        </w:tc>
        <w:tc>
          <w:tcPr>
            <w:tcW w:w="5103" w:type="dxa"/>
            <w:gridSpan w:val="3"/>
          </w:tcPr>
          <w:p w:rsidR="001A2CAE" w:rsidRPr="00B91DC5" w:rsidRDefault="00B91DC5" w:rsidP="00B07249">
            <w:pPr>
              <w:rPr>
                <w:lang w:val="fr-CH"/>
              </w:rPr>
            </w:pPr>
            <w:r w:rsidRPr="00B91DC5">
              <w:rPr>
                <w:lang w:val="fr-CH"/>
              </w:rPr>
              <w:t>13/3</w:t>
            </w:r>
          </w:p>
        </w:tc>
        <w:tc>
          <w:tcPr>
            <w:tcW w:w="3260" w:type="dxa"/>
            <w:gridSpan w:val="2"/>
          </w:tcPr>
          <w:p w:rsidR="001A2CAE" w:rsidRPr="00A86565" w:rsidRDefault="00B91DC5" w:rsidP="00B07249">
            <w:pPr>
              <w:jc w:val="right"/>
              <w:rPr>
                <w:lang w:val="fr-CH"/>
              </w:rPr>
            </w:pPr>
            <w:r>
              <w:rPr>
                <w:lang w:val="fr-CH"/>
              </w:rPr>
              <w:t xml:space="preserve">Genève, 23 avril </w:t>
            </w:r>
            <w:r w:rsidR="00F577AB" w:rsidRPr="00F577AB">
              <w:rPr>
                <w:lang w:val="fr-CH"/>
              </w:rPr>
              <w:t>–</w:t>
            </w:r>
            <w:r>
              <w:rPr>
                <w:lang w:val="fr-CH"/>
              </w:rPr>
              <w:t xml:space="preserve"> 2 mai 2019</w:t>
            </w:r>
          </w:p>
        </w:tc>
      </w:tr>
      <w:tr w:rsidR="001A2CAE" w:rsidRPr="00A86565" w:rsidTr="00756796">
        <w:trPr>
          <w:cantSplit/>
          <w:trHeight w:val="357"/>
        </w:trPr>
        <w:tc>
          <w:tcPr>
            <w:tcW w:w="9923" w:type="dxa"/>
            <w:gridSpan w:val="7"/>
          </w:tcPr>
          <w:p w:rsidR="001A2CAE" w:rsidRPr="00A86565" w:rsidRDefault="008C1EA9" w:rsidP="00B07249">
            <w:pPr>
              <w:jc w:val="center"/>
              <w:rPr>
                <w:b/>
                <w:bCs/>
                <w:lang w:val="fr-CH"/>
              </w:rPr>
            </w:pPr>
            <w:bookmarkStart w:id="7" w:name="dtitle" w:colFirst="0" w:colLast="0"/>
            <w:bookmarkEnd w:id="5"/>
            <w:bookmarkEnd w:id="6"/>
            <w:r w:rsidRPr="00A86565">
              <w:rPr>
                <w:b/>
                <w:bCs/>
                <w:lang w:val="fr-CH"/>
              </w:rPr>
              <w:t>CONTRIBUTION</w:t>
            </w:r>
          </w:p>
        </w:tc>
      </w:tr>
      <w:tr w:rsidR="001A2CAE" w:rsidRPr="00A86565" w:rsidTr="00756796">
        <w:trPr>
          <w:cantSplit/>
          <w:trHeight w:val="357"/>
        </w:trPr>
        <w:tc>
          <w:tcPr>
            <w:tcW w:w="1560" w:type="dxa"/>
            <w:gridSpan w:val="2"/>
          </w:tcPr>
          <w:p w:rsidR="001A2CAE" w:rsidRPr="00A86565" w:rsidRDefault="001A2CAE" w:rsidP="00EE1D80">
            <w:pPr>
              <w:rPr>
                <w:b/>
                <w:bCs/>
                <w:lang w:val="fr-CH"/>
              </w:rPr>
            </w:pPr>
            <w:bookmarkStart w:id="8" w:name="dsource" w:colFirst="1" w:colLast="1"/>
            <w:bookmarkEnd w:id="7"/>
            <w:r w:rsidRPr="00A86565">
              <w:rPr>
                <w:b/>
                <w:bCs/>
                <w:lang w:val="fr-CH"/>
              </w:rPr>
              <w:t>Origine:</w:t>
            </w:r>
          </w:p>
        </w:tc>
        <w:tc>
          <w:tcPr>
            <w:tcW w:w="8363" w:type="dxa"/>
            <w:gridSpan w:val="5"/>
          </w:tcPr>
          <w:p w:rsidR="001A2CAE" w:rsidRPr="00A86565" w:rsidRDefault="00B91DC5" w:rsidP="00EE1D80">
            <w:pPr>
              <w:rPr>
                <w:lang w:val="fr-CH"/>
              </w:rPr>
            </w:pPr>
            <w:r>
              <w:rPr>
                <w:lang w:val="fr-CH"/>
              </w:rPr>
              <w:t>États-Unis d'Amérique</w:t>
            </w:r>
          </w:p>
        </w:tc>
      </w:tr>
      <w:tr w:rsidR="001A2CAE" w:rsidRPr="00A86565" w:rsidTr="00756796">
        <w:trPr>
          <w:cantSplit/>
          <w:trHeight w:val="357"/>
        </w:trPr>
        <w:tc>
          <w:tcPr>
            <w:tcW w:w="1560" w:type="dxa"/>
            <w:gridSpan w:val="2"/>
          </w:tcPr>
          <w:p w:rsidR="001A2CAE" w:rsidRPr="00A86565" w:rsidRDefault="001A2CAE" w:rsidP="00EE1D80">
            <w:pPr>
              <w:rPr>
                <w:b/>
                <w:bCs/>
                <w:lang w:val="fr-CH"/>
              </w:rPr>
            </w:pPr>
            <w:bookmarkStart w:id="9" w:name="dtitle1" w:colFirst="1" w:colLast="1"/>
            <w:bookmarkEnd w:id="8"/>
            <w:r w:rsidRPr="00A86565">
              <w:rPr>
                <w:b/>
                <w:bCs/>
                <w:lang w:val="fr-CH"/>
              </w:rPr>
              <w:t>Titre:</w:t>
            </w:r>
          </w:p>
        </w:tc>
        <w:tc>
          <w:tcPr>
            <w:tcW w:w="8363" w:type="dxa"/>
            <w:gridSpan w:val="5"/>
          </w:tcPr>
          <w:p w:rsidR="001A2CAE" w:rsidRPr="00A86565" w:rsidRDefault="00CC6A5B" w:rsidP="00EE1D80">
            <w:pPr>
              <w:rPr>
                <w:lang w:val="fr-CH"/>
              </w:rPr>
            </w:pPr>
            <w:r>
              <w:rPr>
                <w:lang w:val="fr-CH"/>
              </w:rPr>
              <w:t xml:space="preserve">Position concernant le projet de nouvelle Recommandation UIT-T </w:t>
            </w:r>
            <w:r w:rsidRPr="00957A70">
              <w:t>D.ModelTTC</w:t>
            </w:r>
          </w:p>
        </w:tc>
      </w:tr>
      <w:tr w:rsidR="001A2CAE" w:rsidRPr="00A86565" w:rsidTr="00756796">
        <w:trPr>
          <w:cantSplit/>
          <w:trHeight w:val="357"/>
        </w:trPr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:rsidR="001A2CAE" w:rsidRPr="00A86565" w:rsidRDefault="00FA76C3" w:rsidP="00EE1D80">
            <w:pPr>
              <w:rPr>
                <w:b/>
                <w:bCs/>
                <w:lang w:val="fr-CH"/>
              </w:rPr>
            </w:pPr>
            <w:r w:rsidRPr="00A86565">
              <w:rPr>
                <w:b/>
                <w:bCs/>
                <w:lang w:val="fr-CH"/>
              </w:rPr>
              <w:t>Objet:</w:t>
            </w:r>
          </w:p>
        </w:tc>
        <w:tc>
          <w:tcPr>
            <w:tcW w:w="8363" w:type="dxa"/>
            <w:gridSpan w:val="5"/>
            <w:tcBorders>
              <w:bottom w:val="single" w:sz="12" w:space="0" w:color="auto"/>
            </w:tcBorders>
          </w:tcPr>
          <w:p w:rsidR="001A2CAE" w:rsidRPr="00A86565" w:rsidRDefault="00CC6A5B" w:rsidP="00EE1D80">
            <w:pPr>
              <w:rPr>
                <w:lang w:val="fr-CH"/>
              </w:rPr>
            </w:pPr>
            <w:r>
              <w:rPr>
                <w:lang w:val="fr-CH"/>
              </w:rPr>
              <w:t>Proposition</w:t>
            </w:r>
          </w:p>
        </w:tc>
      </w:tr>
      <w:tr w:rsidR="00756796" w:rsidRPr="00756796" w:rsidTr="008C04EA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56796" w:rsidRPr="00756796" w:rsidRDefault="00756796" w:rsidP="00B072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b/>
                <w:bCs/>
                <w:szCs w:val="24"/>
                <w:lang w:val="fr-CH" w:eastAsia="ja-JP"/>
              </w:rPr>
            </w:pPr>
            <w:r w:rsidRPr="00756796">
              <w:rPr>
                <w:rFonts w:eastAsia="SimSun"/>
                <w:b/>
                <w:bCs/>
                <w:szCs w:val="24"/>
                <w:lang w:val="fr-CH" w:eastAsia="ja-JP"/>
              </w:rPr>
              <w:t>Contact:</w:t>
            </w:r>
          </w:p>
        </w:tc>
        <w:tc>
          <w:tcPr>
            <w:tcW w:w="4210" w:type="dxa"/>
            <w:tcBorders>
              <w:top w:val="single" w:sz="6" w:space="0" w:color="auto"/>
              <w:bottom w:val="single" w:sz="6" w:space="0" w:color="auto"/>
            </w:tcBorders>
          </w:tcPr>
          <w:p w:rsidR="00756796" w:rsidRPr="00756796" w:rsidRDefault="00EE1D80" w:rsidP="00B072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highlight w:val="yellow"/>
                <w:lang w:val="fr-CH" w:eastAsia="ja-JP"/>
              </w:rPr>
            </w:pPr>
            <w:sdt>
              <w:sdtPr>
                <w:alias w:val="ContactNameOrgCountry"/>
                <w:tag w:val="ContactNameOrgCountry"/>
                <w:id w:val="-450624836"/>
                <w:placeholder>
                  <w:docPart w:val="474A147D31E84D9BBAEABFCCD1529A32"/>
                </w:placeholder>
                <w:text w:multiLine="1"/>
              </w:sdtPr>
              <w:sdtEndPr/>
              <w:sdtContent>
                <w:r w:rsidR="00AF1C99">
                  <w:t>Paul B. Najarian</w:t>
                </w:r>
                <w:r w:rsidR="00AF1C99">
                  <w:br/>
                  <w:t>Département d'État des États-Unis</w:t>
                </w:r>
                <w:r w:rsidR="00AF1C99" w:rsidRPr="00957A70">
                  <w:t xml:space="preserve"> </w:t>
                </w:r>
                <w:r w:rsidR="00CC6A5B" w:rsidRPr="00957A70">
                  <w:br/>
                </w:r>
                <w:r w:rsidR="00AF1C99">
                  <w:t>États-Unis d'Amérique</w:t>
                </w:r>
              </w:sdtContent>
            </w:sdt>
          </w:p>
        </w:tc>
        <w:tc>
          <w:tcPr>
            <w:tcW w:w="415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56796" w:rsidRPr="009A546D" w:rsidRDefault="00756796" w:rsidP="00B072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szCs w:val="24"/>
                <w:lang w:val="fr-CH" w:eastAsia="ja-JP"/>
              </w:rPr>
            </w:pPr>
            <w:r w:rsidRPr="009A546D">
              <w:rPr>
                <w:rFonts w:eastAsia="SimSun"/>
                <w:szCs w:val="24"/>
                <w:lang w:val="fr-CH" w:eastAsia="ja-JP"/>
              </w:rPr>
              <w:t>Tél</w:t>
            </w:r>
            <w:r w:rsidR="00F30C0F" w:rsidRPr="009A546D">
              <w:rPr>
                <w:rFonts w:eastAsia="SimSun"/>
                <w:szCs w:val="24"/>
                <w:lang w:val="fr-CH" w:eastAsia="ja-JP"/>
              </w:rPr>
              <w:t>.</w:t>
            </w:r>
            <w:r w:rsidRPr="009A546D">
              <w:rPr>
                <w:rFonts w:eastAsia="SimSun"/>
                <w:szCs w:val="24"/>
                <w:lang w:val="fr-CH" w:eastAsia="ja-JP"/>
              </w:rPr>
              <w:t xml:space="preserve">: </w:t>
            </w:r>
            <w:r w:rsidR="00CC6A5B" w:rsidRPr="00957A70">
              <w:t>+1 (202) 647-7847</w:t>
            </w:r>
          </w:p>
          <w:p w:rsidR="00756796" w:rsidRPr="009A546D" w:rsidRDefault="009A546D" w:rsidP="00B072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fr-CH" w:eastAsia="ja-JP"/>
              </w:rPr>
            </w:pPr>
            <w:r>
              <w:rPr>
                <w:rFonts w:eastAsia="SimSun"/>
                <w:szCs w:val="24"/>
                <w:lang w:val="fr-CH" w:eastAsia="ja-JP"/>
              </w:rPr>
              <w:t>Télécopie</w:t>
            </w:r>
            <w:r w:rsidR="00756796" w:rsidRPr="009A546D">
              <w:rPr>
                <w:rFonts w:eastAsia="SimSun"/>
                <w:szCs w:val="24"/>
                <w:lang w:val="fr-CH" w:eastAsia="ja-JP"/>
              </w:rPr>
              <w:t xml:space="preserve">: </w:t>
            </w:r>
            <w:r w:rsidR="00CC6A5B" w:rsidRPr="00957A70">
              <w:t>+1 (202) 647-5957</w:t>
            </w:r>
          </w:p>
          <w:p w:rsidR="00756796" w:rsidRPr="009A546D" w:rsidRDefault="009A546D" w:rsidP="00F577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40"/>
              <w:textAlignment w:val="auto"/>
              <w:rPr>
                <w:rFonts w:eastAsia="SimSun"/>
                <w:szCs w:val="24"/>
                <w:lang w:val="fr-CH" w:eastAsia="ja-JP"/>
              </w:rPr>
            </w:pPr>
            <w:r>
              <w:rPr>
                <w:rFonts w:eastAsia="SimSun"/>
                <w:szCs w:val="24"/>
                <w:lang w:val="fr-CH" w:eastAsia="ja-JP"/>
              </w:rPr>
              <w:t>Courriel</w:t>
            </w:r>
            <w:r w:rsidR="00756796" w:rsidRPr="009A546D">
              <w:rPr>
                <w:rFonts w:eastAsia="SimSun"/>
                <w:szCs w:val="24"/>
                <w:lang w:val="fr-CH" w:eastAsia="ja-JP"/>
              </w:rPr>
              <w:t xml:space="preserve">: </w:t>
            </w:r>
            <w:hyperlink r:id="rId9" w:history="1">
              <w:r w:rsidR="00CC6A5B" w:rsidRPr="00957A70">
                <w:rPr>
                  <w:rStyle w:val="Hyperlink"/>
                </w:rPr>
                <w:t>najarianpb@state.gov</w:t>
              </w:r>
            </w:hyperlink>
          </w:p>
        </w:tc>
      </w:tr>
      <w:bookmarkEnd w:id="2"/>
      <w:bookmarkEnd w:id="9"/>
    </w:tbl>
    <w:p w:rsidR="00FA76C3" w:rsidRPr="00A86565" w:rsidRDefault="00FA76C3" w:rsidP="00B07249">
      <w:pPr>
        <w:rPr>
          <w:lang w:val="fr-CH"/>
        </w:rPr>
      </w:pPr>
    </w:p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FA76C3" w:rsidRPr="00A86565" w:rsidTr="00756796">
        <w:trPr>
          <w:cantSplit/>
        </w:trPr>
        <w:tc>
          <w:tcPr>
            <w:tcW w:w="1560" w:type="dxa"/>
          </w:tcPr>
          <w:p w:rsidR="00FA76C3" w:rsidRPr="00A86565" w:rsidRDefault="00FA76C3" w:rsidP="00B07249">
            <w:pPr>
              <w:rPr>
                <w:b/>
                <w:bCs/>
                <w:lang w:val="fr-CH"/>
              </w:rPr>
            </w:pPr>
            <w:r w:rsidRPr="00A86565">
              <w:rPr>
                <w:b/>
                <w:bCs/>
                <w:lang w:val="fr-CH"/>
              </w:rPr>
              <w:t>Mots clés:</w:t>
            </w:r>
          </w:p>
        </w:tc>
        <w:tc>
          <w:tcPr>
            <w:tcW w:w="8221" w:type="dxa"/>
          </w:tcPr>
          <w:p w:rsidR="00FA76C3" w:rsidRPr="00A86565" w:rsidRDefault="00CC6A5B" w:rsidP="00B07249">
            <w:pPr>
              <w:rPr>
                <w:lang w:val="fr-CH"/>
              </w:rPr>
            </w:pPr>
            <w:r>
              <w:rPr>
                <w:lang w:val="fr-CH"/>
              </w:rPr>
              <w:t xml:space="preserve">câble terrestre, réseau </w:t>
            </w:r>
            <w:r w:rsidR="00BB0400">
              <w:rPr>
                <w:lang w:val="fr-CH"/>
              </w:rPr>
              <w:t>de câble terrestre multinationa</w:t>
            </w:r>
            <w:r w:rsidR="004D62C3">
              <w:rPr>
                <w:lang w:val="fr-CH"/>
              </w:rPr>
              <w:t>l</w:t>
            </w:r>
            <w:r w:rsidR="00BB0400">
              <w:rPr>
                <w:lang w:val="fr-CH"/>
              </w:rPr>
              <w:t xml:space="preserve"> de bout en bout</w:t>
            </w:r>
            <w:r>
              <w:rPr>
                <w:lang w:val="fr-CH"/>
              </w:rPr>
              <w:t>, D.10</w:t>
            </w:r>
          </w:p>
        </w:tc>
      </w:tr>
      <w:tr w:rsidR="00FA76C3" w:rsidRPr="00A86565" w:rsidTr="00756796">
        <w:trPr>
          <w:cantSplit/>
        </w:trPr>
        <w:tc>
          <w:tcPr>
            <w:tcW w:w="1560" w:type="dxa"/>
          </w:tcPr>
          <w:p w:rsidR="00FA76C3" w:rsidRPr="00A86565" w:rsidRDefault="005232FD" w:rsidP="00B07249">
            <w:pPr>
              <w:rPr>
                <w:b/>
                <w:bCs/>
                <w:lang w:val="fr-CH"/>
              </w:rPr>
            </w:pPr>
            <w:r w:rsidRPr="00A86565">
              <w:rPr>
                <w:b/>
                <w:bCs/>
                <w:lang w:val="fr-CH"/>
              </w:rPr>
              <w:t>Résumé</w:t>
            </w:r>
            <w:r w:rsidR="00FA76C3" w:rsidRPr="00A86565">
              <w:rPr>
                <w:b/>
                <w:bCs/>
                <w:lang w:val="fr-CH"/>
              </w:rPr>
              <w:t>:</w:t>
            </w:r>
          </w:p>
        </w:tc>
        <w:tc>
          <w:tcPr>
            <w:tcW w:w="8221" w:type="dxa"/>
          </w:tcPr>
          <w:p w:rsidR="00FA76C3" w:rsidRPr="00A86565" w:rsidRDefault="00CC6A5B" w:rsidP="00B07249">
            <w:pPr>
              <w:rPr>
                <w:lang w:val="fr-CH"/>
              </w:rPr>
            </w:pPr>
            <w:r>
              <w:rPr>
                <w:lang w:val="fr-CH"/>
              </w:rPr>
              <w:t xml:space="preserve">Les États-Unis décrivent les </w:t>
            </w:r>
            <w:r w:rsidR="00AF1C99">
              <w:rPr>
                <w:lang w:val="fr-CH"/>
              </w:rPr>
              <w:t>problèmes que pose le</w:t>
            </w:r>
            <w:r w:rsidR="004D62C3">
              <w:rPr>
                <w:lang w:val="fr-CH"/>
              </w:rPr>
              <w:t xml:space="preserve"> projet de Recommandation UIT</w:t>
            </w:r>
            <w:r w:rsidR="004D62C3">
              <w:rPr>
                <w:lang w:val="fr-CH"/>
              </w:rPr>
              <w:noBreakHyphen/>
            </w:r>
            <w:r>
              <w:rPr>
                <w:lang w:val="fr-CH"/>
              </w:rPr>
              <w:t xml:space="preserve">T D.ModelTTC et </w:t>
            </w:r>
            <w:r w:rsidR="004D62C3">
              <w:rPr>
                <w:lang w:val="fr-CH"/>
              </w:rPr>
              <w:t xml:space="preserve">proposent une suite à donner </w:t>
            </w:r>
            <w:r>
              <w:rPr>
                <w:lang w:val="fr-CH"/>
              </w:rPr>
              <w:t>pour faire avancer les travaux</w:t>
            </w:r>
            <w:r w:rsidR="004D62C3">
              <w:rPr>
                <w:lang w:val="fr-CH"/>
              </w:rPr>
              <w:t>.</w:t>
            </w:r>
          </w:p>
        </w:tc>
      </w:tr>
    </w:tbl>
    <w:p w:rsidR="00CF2805" w:rsidRDefault="00CC6A5B" w:rsidP="00B07249">
      <w:pPr>
        <w:pStyle w:val="Heading1"/>
        <w:rPr>
          <w:lang w:val="fr-CH"/>
        </w:rPr>
      </w:pPr>
      <w:r>
        <w:rPr>
          <w:lang w:val="fr-CH"/>
        </w:rPr>
        <w:t>1</w:t>
      </w:r>
      <w:r>
        <w:rPr>
          <w:lang w:val="fr-CH"/>
        </w:rPr>
        <w:tab/>
        <w:t>Introduction</w:t>
      </w:r>
    </w:p>
    <w:p w:rsidR="00CC6A5B" w:rsidRDefault="004768DE" w:rsidP="00B07249">
      <w:pPr>
        <w:rPr>
          <w:lang w:val="fr-CH"/>
        </w:rPr>
      </w:pPr>
      <w:r>
        <w:rPr>
          <w:lang w:val="fr-CH"/>
        </w:rPr>
        <w:t>Lors des précédentes réunions de la Commission d'études 3, mais aussi récemment</w:t>
      </w:r>
      <w:r w:rsidR="00AF1C99">
        <w:rPr>
          <w:lang w:val="fr-CH"/>
        </w:rPr>
        <w:t>, à l'occasion</w:t>
      </w:r>
      <w:r>
        <w:rPr>
          <w:lang w:val="fr-CH"/>
        </w:rPr>
        <w:t xml:space="preserve"> de la réunion du Groupe du Rapporteur pour la Question 13/3 (22 j</w:t>
      </w:r>
      <w:r w:rsidR="00CB6D73">
        <w:rPr>
          <w:lang w:val="fr-CH"/>
        </w:rPr>
        <w:t>anvier 2019, Genève), les États</w:t>
      </w:r>
      <w:r w:rsidR="00CB6D73">
        <w:rPr>
          <w:lang w:val="fr-CH"/>
        </w:rPr>
        <w:noBreakHyphen/>
      </w:r>
      <w:r>
        <w:rPr>
          <w:lang w:val="fr-CH"/>
        </w:rPr>
        <w:t xml:space="preserve">Unis ont fait part de leurs vives inquiétudes concernant </w:t>
      </w:r>
      <w:r w:rsidR="004D62C3">
        <w:rPr>
          <w:lang w:val="fr-CH"/>
        </w:rPr>
        <w:t>le</w:t>
      </w:r>
      <w:r>
        <w:rPr>
          <w:lang w:val="fr-CH"/>
        </w:rPr>
        <w:t xml:space="preserve"> modèle</w:t>
      </w:r>
      <w:r w:rsidR="004D62C3">
        <w:rPr>
          <w:lang w:val="fr-CH"/>
        </w:rPr>
        <w:t xml:space="preserve"> proposé</w:t>
      </w:r>
      <w:r>
        <w:rPr>
          <w:lang w:val="fr-CH"/>
        </w:rPr>
        <w:t xml:space="preserve"> </w:t>
      </w:r>
      <w:r w:rsidR="004D62C3">
        <w:rPr>
          <w:lang w:val="fr-CH"/>
        </w:rPr>
        <w:t xml:space="preserve">dans le projet de Recommandation UIT-T D.ModelTTC pour les </w:t>
      </w:r>
      <w:r>
        <w:rPr>
          <w:lang w:val="fr-CH"/>
        </w:rPr>
        <w:t>réseau</w:t>
      </w:r>
      <w:r w:rsidR="004D62C3">
        <w:rPr>
          <w:lang w:val="fr-CH"/>
        </w:rPr>
        <w:t>x</w:t>
      </w:r>
      <w:r>
        <w:rPr>
          <w:lang w:val="fr-CH"/>
        </w:rPr>
        <w:t xml:space="preserve"> </w:t>
      </w:r>
      <w:r w:rsidR="00BB0400">
        <w:rPr>
          <w:lang w:val="fr-CH"/>
        </w:rPr>
        <w:t>de câble terrestre</w:t>
      </w:r>
      <w:r w:rsidR="004D62C3">
        <w:rPr>
          <w:lang w:val="fr-CH"/>
        </w:rPr>
        <w:t xml:space="preserve"> multinational</w:t>
      </w:r>
      <w:r w:rsidR="00BB0400">
        <w:rPr>
          <w:lang w:val="fr-CH"/>
        </w:rPr>
        <w:t xml:space="preserve"> de bout en bout</w:t>
      </w:r>
      <w:r>
        <w:rPr>
          <w:lang w:val="fr-CH"/>
        </w:rPr>
        <w:t xml:space="preserve"> (voir le Document </w:t>
      </w:r>
      <w:hyperlink r:id="rId10" w:history="1">
        <w:r w:rsidRPr="004768DE">
          <w:rPr>
            <w:rStyle w:val="Hyperlink"/>
            <w:rFonts w:ascii="Times New Roman" w:hAnsi="Times New Roman"/>
            <w:lang w:val="fr-CH"/>
          </w:rPr>
          <w:t>TD24/WP1</w:t>
        </w:r>
      </w:hyperlink>
      <w:r>
        <w:rPr>
          <w:lang w:val="fr-CH"/>
        </w:rPr>
        <w:t>).</w:t>
      </w:r>
    </w:p>
    <w:p w:rsidR="004768DE" w:rsidRDefault="00825C87" w:rsidP="00B07249">
      <w:pPr>
        <w:rPr>
          <w:lang w:val="fr-CH"/>
        </w:rPr>
      </w:pPr>
      <w:r>
        <w:rPr>
          <w:lang w:val="fr-CH"/>
        </w:rPr>
        <w:t xml:space="preserve">Dans </w:t>
      </w:r>
      <w:r w:rsidR="004D62C3">
        <w:rPr>
          <w:lang w:val="fr-CH"/>
        </w:rPr>
        <w:t>le projet de texte actuel</w:t>
      </w:r>
      <w:r>
        <w:rPr>
          <w:lang w:val="fr-CH"/>
        </w:rPr>
        <w:t xml:space="preserve">, le cadre qui se veut "fondé sur un modèle de répartition proportionnelle" est tout simplement </w:t>
      </w:r>
      <w:r w:rsidR="004D62C3">
        <w:rPr>
          <w:lang w:val="fr-CH"/>
        </w:rPr>
        <w:t>inadéquat</w:t>
      </w:r>
      <w:r>
        <w:rPr>
          <w:lang w:val="fr-CH"/>
        </w:rPr>
        <w:t>. Le modèle actuel</w:t>
      </w:r>
      <w:r w:rsidR="00AF1C99">
        <w:rPr>
          <w:lang w:val="fr-CH"/>
        </w:rPr>
        <w:t>lement</w:t>
      </w:r>
      <w:r>
        <w:rPr>
          <w:lang w:val="fr-CH"/>
        </w:rPr>
        <w:t xml:space="preserve"> proposé aboutit en effet à une solution </w:t>
      </w:r>
      <w:r w:rsidR="004F1D06">
        <w:rPr>
          <w:lang w:val="fr-CH"/>
        </w:rPr>
        <w:t>déséquilibrée</w:t>
      </w:r>
      <w:r>
        <w:rPr>
          <w:lang w:val="fr-CH"/>
        </w:rPr>
        <w:t xml:space="preserve"> qui </w:t>
      </w:r>
      <w:r w:rsidR="004D62C3">
        <w:rPr>
          <w:lang w:val="fr-CH"/>
        </w:rPr>
        <w:t xml:space="preserve">incontestablement </w:t>
      </w:r>
      <w:r>
        <w:rPr>
          <w:lang w:val="fr-CH"/>
        </w:rPr>
        <w:t xml:space="preserve">n'est </w:t>
      </w:r>
      <w:r w:rsidRPr="00825C87">
        <w:rPr>
          <w:u w:val="single"/>
          <w:lang w:val="fr-CH"/>
        </w:rPr>
        <w:t>pas équitable</w:t>
      </w:r>
      <w:r>
        <w:rPr>
          <w:lang w:val="fr-CH"/>
        </w:rPr>
        <w:t xml:space="preserve"> pour les États Membres et les entités </w:t>
      </w:r>
      <w:r w:rsidR="004D62C3">
        <w:rPr>
          <w:lang w:val="fr-CH"/>
        </w:rPr>
        <w:t xml:space="preserve">situées </w:t>
      </w:r>
      <w:r>
        <w:rPr>
          <w:lang w:val="fr-CH"/>
        </w:rPr>
        <w:t xml:space="preserve">le long du </w:t>
      </w:r>
      <w:r w:rsidR="004D62C3">
        <w:rPr>
          <w:lang w:val="fr-CH"/>
        </w:rPr>
        <w:t>câble</w:t>
      </w:r>
      <w:r>
        <w:rPr>
          <w:lang w:val="fr-CH"/>
        </w:rPr>
        <w:t>.</w:t>
      </w:r>
    </w:p>
    <w:p w:rsidR="00235C3C" w:rsidRDefault="00EB539D" w:rsidP="00B07249">
      <w:pPr>
        <w:rPr>
          <w:lang w:val="fr-CH"/>
        </w:rPr>
      </w:pPr>
      <w:r>
        <w:rPr>
          <w:lang w:val="fr-CH"/>
        </w:rPr>
        <w:t>Les</w:t>
      </w:r>
      <w:r w:rsidR="00235C3C">
        <w:rPr>
          <w:lang w:val="fr-CH"/>
        </w:rPr>
        <w:t xml:space="preserve"> États-Unis appuient sur le principe l'élaboration d'un modèle pour les taxes de transit </w:t>
      </w:r>
      <w:r>
        <w:rPr>
          <w:lang w:val="fr-CH"/>
        </w:rPr>
        <w:t>applicables</w:t>
      </w:r>
      <w:r w:rsidR="00235C3C">
        <w:rPr>
          <w:lang w:val="fr-CH"/>
        </w:rPr>
        <w:t xml:space="preserve"> aux câbles terrestres qui tienne</w:t>
      </w:r>
      <w:r w:rsidR="003A1A87">
        <w:rPr>
          <w:lang w:val="fr-CH"/>
        </w:rPr>
        <w:t xml:space="preserve"> </w:t>
      </w:r>
      <w:r w:rsidR="00235C3C">
        <w:rPr>
          <w:lang w:val="fr-CH"/>
        </w:rPr>
        <w:t>compte des b</w:t>
      </w:r>
      <w:r w:rsidR="003A1A87">
        <w:rPr>
          <w:lang w:val="fr-CH"/>
        </w:rPr>
        <w:t xml:space="preserve">esoins des pays sans littoral. Or, il y a dans </w:t>
      </w:r>
      <w:r w:rsidR="00235C3C">
        <w:rPr>
          <w:lang w:val="fr-CH"/>
        </w:rPr>
        <w:t xml:space="preserve">ce document </w:t>
      </w:r>
      <w:r w:rsidR="003A1A87">
        <w:rPr>
          <w:lang w:val="fr-CH"/>
        </w:rPr>
        <w:t xml:space="preserve">des anomalies </w:t>
      </w:r>
      <w:r w:rsidR="00235C3C">
        <w:rPr>
          <w:lang w:val="fr-CH"/>
        </w:rPr>
        <w:t xml:space="preserve">particulièrement </w:t>
      </w:r>
      <w:r w:rsidR="003A1A87">
        <w:rPr>
          <w:lang w:val="fr-CH"/>
        </w:rPr>
        <w:t>graves qui</w:t>
      </w:r>
      <w:r w:rsidR="00235C3C">
        <w:rPr>
          <w:lang w:val="fr-CH"/>
        </w:rPr>
        <w:t xml:space="preserve"> pourrai</w:t>
      </w:r>
      <w:r w:rsidR="003A1A87">
        <w:rPr>
          <w:lang w:val="fr-CH"/>
        </w:rPr>
        <w:t>en</w:t>
      </w:r>
      <w:r w:rsidR="00235C3C">
        <w:rPr>
          <w:lang w:val="fr-CH"/>
        </w:rPr>
        <w:t>t dans les fait</w:t>
      </w:r>
      <w:r w:rsidR="003A1A87">
        <w:rPr>
          <w:lang w:val="fr-CH"/>
        </w:rPr>
        <w:t>s</w:t>
      </w:r>
      <w:r w:rsidR="00235C3C">
        <w:rPr>
          <w:lang w:val="fr-CH"/>
        </w:rPr>
        <w:t xml:space="preserve"> porter préjudice aux pays en développement.</w:t>
      </w:r>
    </w:p>
    <w:p w:rsidR="00235C3C" w:rsidRDefault="00235C3C" w:rsidP="00B07249">
      <w:pPr>
        <w:rPr>
          <w:lang w:val="fr-CH"/>
        </w:rPr>
      </w:pPr>
      <w:r>
        <w:rPr>
          <w:lang w:val="fr-CH"/>
        </w:rPr>
        <w:t>Les États-Unis encouragent les États Membres, en particulier les pays sans littoral, à examiner le contenu de ce modèle avant de poursuivre les travaux.</w:t>
      </w:r>
    </w:p>
    <w:p w:rsidR="00A833D0" w:rsidRDefault="00235C3C" w:rsidP="00B07249">
      <w:pPr>
        <w:rPr>
          <w:lang w:val="fr-CH"/>
        </w:rPr>
      </w:pPr>
      <w:r>
        <w:rPr>
          <w:lang w:val="fr-CH"/>
        </w:rPr>
        <w:t xml:space="preserve">Les États-Unis demandent en outre </w:t>
      </w:r>
      <w:r w:rsidR="00EB539D">
        <w:rPr>
          <w:lang w:val="fr-CH"/>
        </w:rPr>
        <w:t xml:space="preserve">au </w:t>
      </w:r>
      <w:r>
        <w:rPr>
          <w:lang w:val="fr-CH"/>
        </w:rPr>
        <w:t>TSB d'examiner</w:t>
      </w:r>
      <w:r w:rsidR="00A833D0">
        <w:rPr>
          <w:lang w:val="fr-CH"/>
        </w:rPr>
        <w:t xml:space="preserve"> cet avant-projet de Recommandation avant </w:t>
      </w:r>
      <w:r w:rsidR="00EB539D">
        <w:rPr>
          <w:lang w:val="fr-CH"/>
        </w:rPr>
        <w:t>qu'il soit approuvé</w:t>
      </w:r>
      <w:r w:rsidR="00A833D0">
        <w:rPr>
          <w:lang w:val="fr-CH"/>
        </w:rPr>
        <w:t>/</w:t>
      </w:r>
      <w:r w:rsidR="00EB539D">
        <w:rPr>
          <w:lang w:val="fr-CH"/>
        </w:rPr>
        <w:t>publié</w:t>
      </w:r>
      <w:r w:rsidR="00A833D0">
        <w:rPr>
          <w:lang w:val="fr-CH"/>
        </w:rPr>
        <w:t xml:space="preserve">. Les </w:t>
      </w:r>
      <w:r w:rsidR="00E0646B">
        <w:rPr>
          <w:lang w:val="fr-CH"/>
        </w:rPr>
        <w:t xml:space="preserve">anomalies figurant dans la version actuelle pourraient </w:t>
      </w:r>
      <w:r w:rsidR="00A833D0">
        <w:rPr>
          <w:lang w:val="fr-CH"/>
        </w:rPr>
        <w:t>porter atteinte à la cré</w:t>
      </w:r>
      <w:r w:rsidR="00E0646B">
        <w:rPr>
          <w:lang w:val="fr-CH"/>
        </w:rPr>
        <w:t>dibilité de l'UIT-T en tant qu'</w:t>
      </w:r>
      <w:r w:rsidR="00A833D0">
        <w:rPr>
          <w:lang w:val="fr-CH"/>
        </w:rPr>
        <w:t>organisme international de normalisation.</w:t>
      </w:r>
    </w:p>
    <w:p w:rsidR="00A833D0" w:rsidRDefault="00A833D0" w:rsidP="004C632F">
      <w:pPr>
        <w:keepNext/>
        <w:keepLines/>
        <w:rPr>
          <w:lang w:val="fr-CH"/>
        </w:rPr>
      </w:pPr>
      <w:r>
        <w:rPr>
          <w:lang w:val="fr-CH"/>
        </w:rPr>
        <w:t>Dans la présente contribution, les États-Unis</w:t>
      </w:r>
      <w:r w:rsidRPr="00A833D0">
        <w:rPr>
          <w:lang w:val="fr-CH"/>
        </w:rPr>
        <w:t xml:space="preserve"> </w:t>
      </w:r>
      <w:r>
        <w:rPr>
          <w:lang w:val="fr-CH"/>
        </w:rPr>
        <w:t>présenteront les éléments suivants:</w:t>
      </w:r>
    </w:p>
    <w:p w:rsidR="00A833D0" w:rsidRDefault="00B407E0" w:rsidP="004C632F">
      <w:pPr>
        <w:pStyle w:val="enumlev1"/>
        <w:keepNext/>
        <w:keepLines/>
        <w:rPr>
          <w:lang w:val="fr-CH"/>
        </w:rPr>
      </w:pPr>
      <w:r w:rsidRPr="00B407E0">
        <w:rPr>
          <w:lang w:val="fr-CH"/>
        </w:rPr>
        <w:t>•</w:t>
      </w:r>
      <w:r>
        <w:rPr>
          <w:lang w:val="fr-CH"/>
        </w:rPr>
        <w:tab/>
      </w:r>
      <w:r w:rsidR="00CB6D73">
        <w:rPr>
          <w:lang w:val="fr-CH"/>
        </w:rPr>
        <w:t>S</w:t>
      </w:r>
      <w:r w:rsidR="00A833D0">
        <w:rPr>
          <w:lang w:val="fr-CH"/>
        </w:rPr>
        <w:t xml:space="preserve">cénarios mettant en évidence les </w:t>
      </w:r>
      <w:r w:rsidR="000D2622">
        <w:rPr>
          <w:lang w:val="fr-CH"/>
        </w:rPr>
        <w:t xml:space="preserve">anomalies contenues dans </w:t>
      </w:r>
      <w:r w:rsidR="00A833D0">
        <w:rPr>
          <w:lang w:val="fr-CH"/>
        </w:rPr>
        <w:t>le projet de Recommandation UIT-T</w:t>
      </w:r>
      <w:r w:rsidR="00A833D0" w:rsidRPr="00A833D0">
        <w:rPr>
          <w:lang w:val="fr-CH"/>
        </w:rPr>
        <w:t xml:space="preserve"> </w:t>
      </w:r>
      <w:r w:rsidR="00CB6D73">
        <w:rPr>
          <w:lang w:val="fr-CH"/>
        </w:rPr>
        <w:t>D.ModelTTC.</w:t>
      </w:r>
    </w:p>
    <w:p w:rsidR="00A833D0" w:rsidRDefault="00B407E0" w:rsidP="00B07249">
      <w:pPr>
        <w:pStyle w:val="enumlev1"/>
        <w:rPr>
          <w:lang w:val="fr-CH"/>
        </w:rPr>
      </w:pPr>
      <w:r w:rsidRPr="00B407E0">
        <w:rPr>
          <w:lang w:val="fr-CH"/>
        </w:rPr>
        <w:t>•</w:t>
      </w:r>
      <w:r>
        <w:rPr>
          <w:lang w:val="fr-CH"/>
        </w:rPr>
        <w:tab/>
      </w:r>
      <w:r w:rsidR="00CB6D73">
        <w:rPr>
          <w:lang w:val="fr-CH"/>
        </w:rPr>
        <w:t>S</w:t>
      </w:r>
      <w:r w:rsidR="00A833D0">
        <w:rPr>
          <w:lang w:val="fr-CH"/>
        </w:rPr>
        <w:t xml:space="preserve">ujets qu'il a précédemment été demandé </w:t>
      </w:r>
      <w:r w:rsidR="000D2622">
        <w:rPr>
          <w:lang w:val="fr-CH"/>
        </w:rPr>
        <w:t>d'</w:t>
      </w:r>
      <w:r w:rsidR="00A833D0">
        <w:rPr>
          <w:lang w:val="fr-CH"/>
        </w:rPr>
        <w:t xml:space="preserve">examiner </w:t>
      </w:r>
      <w:r w:rsidR="00CB6D73">
        <w:rPr>
          <w:lang w:val="fr-CH"/>
        </w:rPr>
        <w:t>afin d'avancer dans les travaux.</w:t>
      </w:r>
    </w:p>
    <w:p w:rsidR="00AF1C99" w:rsidRDefault="00B407E0" w:rsidP="00B07249">
      <w:pPr>
        <w:pStyle w:val="enumlev1"/>
        <w:rPr>
          <w:lang w:val="fr-CH"/>
        </w:rPr>
      </w:pPr>
      <w:r w:rsidRPr="00B407E0">
        <w:rPr>
          <w:lang w:val="fr-CH"/>
        </w:rPr>
        <w:lastRenderedPageBreak/>
        <w:t>•</w:t>
      </w:r>
      <w:r>
        <w:rPr>
          <w:lang w:val="fr-CH"/>
        </w:rPr>
        <w:tab/>
      </w:r>
      <w:r w:rsidR="00CB6D73">
        <w:rPr>
          <w:lang w:val="fr-CH"/>
        </w:rPr>
        <w:t>P</w:t>
      </w:r>
      <w:r w:rsidR="00A833D0">
        <w:rPr>
          <w:lang w:val="fr-CH"/>
        </w:rPr>
        <w:t xml:space="preserve">lusieurs </w:t>
      </w:r>
      <w:r w:rsidR="000D2622">
        <w:rPr>
          <w:lang w:val="fr-CH"/>
        </w:rPr>
        <w:t xml:space="preserve">possibilités de marche à suivre </w:t>
      </w:r>
      <w:r w:rsidR="00A833D0">
        <w:rPr>
          <w:lang w:val="fr-CH"/>
        </w:rPr>
        <w:t>pour faire avancer et mener à bien les travaux.</w:t>
      </w:r>
    </w:p>
    <w:p w:rsidR="00A833D0" w:rsidRPr="00A833D0" w:rsidRDefault="00A833D0" w:rsidP="00B07249">
      <w:pPr>
        <w:pStyle w:val="Heading1"/>
        <w:rPr>
          <w:lang w:val="fr-CH"/>
        </w:rPr>
      </w:pPr>
      <w:r w:rsidRPr="00A833D0">
        <w:rPr>
          <w:lang w:val="fr-CH"/>
        </w:rPr>
        <w:t>2</w:t>
      </w:r>
      <w:r w:rsidRPr="00A833D0">
        <w:rPr>
          <w:lang w:val="fr-CH"/>
        </w:rPr>
        <w:tab/>
        <w:t>Scénarios</w:t>
      </w:r>
    </w:p>
    <w:p w:rsidR="00A833D0" w:rsidRDefault="00A833D0" w:rsidP="00B07249">
      <w:pPr>
        <w:rPr>
          <w:lang w:val="fr-CH"/>
        </w:rPr>
      </w:pPr>
      <w:r>
        <w:rPr>
          <w:lang w:val="fr-CH"/>
        </w:rPr>
        <w:t>On trouvera dans la présente section trois (3) exemples mettant en évidence le</w:t>
      </w:r>
      <w:r w:rsidR="000D2622">
        <w:rPr>
          <w:lang w:val="fr-CH"/>
        </w:rPr>
        <w:t>s</w:t>
      </w:r>
      <w:r>
        <w:rPr>
          <w:lang w:val="fr-CH"/>
        </w:rPr>
        <w:t xml:space="preserve"> </w:t>
      </w:r>
      <w:r w:rsidR="000D2622">
        <w:rPr>
          <w:lang w:val="fr-CH"/>
        </w:rPr>
        <w:t xml:space="preserve">anomalies figurant dans </w:t>
      </w:r>
      <w:r>
        <w:rPr>
          <w:lang w:val="fr-CH"/>
        </w:rPr>
        <w:t>ce modèle:</w:t>
      </w:r>
    </w:p>
    <w:p w:rsidR="00A833D0" w:rsidRDefault="00A833D0" w:rsidP="00B07249">
      <w:pPr>
        <w:rPr>
          <w:lang w:val="fr-CH"/>
        </w:rPr>
      </w:pPr>
      <w:r w:rsidRPr="008C2438">
        <w:rPr>
          <w:b/>
          <w:bCs/>
          <w:lang w:val="fr-CH"/>
        </w:rPr>
        <w:t>Exemple 1</w:t>
      </w:r>
      <w:r>
        <w:rPr>
          <w:lang w:val="fr-CH"/>
        </w:rPr>
        <w:t>: Construction d'un câble terrestre partant de Montevideo (Uruguay</w:t>
      </w:r>
      <w:r w:rsidR="000D2622">
        <w:rPr>
          <w:lang w:val="fr-CH"/>
        </w:rPr>
        <w:t>,</w:t>
      </w:r>
      <w:r>
        <w:rPr>
          <w:lang w:val="fr-CH"/>
        </w:rPr>
        <w:t xml:space="preserve"> sur la côte atlantique), traversant l'Argentine, passant par Assomption (Paraguay), La Paz (Bolivie) et terminant au point d'atterrissement le plus proche sur l'océan Pacifique au Pérou, d'une longueur d'environ 1</w:t>
      </w:r>
      <w:r w:rsidR="003A280E">
        <w:rPr>
          <w:lang w:val="fr-CH"/>
        </w:rPr>
        <w:t> </w:t>
      </w:r>
      <w:r>
        <w:rPr>
          <w:lang w:val="fr-CH"/>
        </w:rPr>
        <w:t>750</w:t>
      </w:r>
      <w:r w:rsidR="003A280E">
        <w:rPr>
          <w:lang w:val="fr-CH"/>
        </w:rPr>
        <w:t> </w:t>
      </w:r>
      <w:r>
        <w:rPr>
          <w:lang w:val="fr-CH"/>
        </w:rPr>
        <w:t>km. Plus de la moitié de ce câble serait située au Paraguay et en Bolivie (500</w:t>
      </w:r>
      <w:r w:rsidR="003A280E">
        <w:rPr>
          <w:lang w:val="fr-CH"/>
        </w:rPr>
        <w:t> </w:t>
      </w:r>
      <w:r>
        <w:rPr>
          <w:lang w:val="fr-CH"/>
        </w:rPr>
        <w:t>km dans chaque pays), qui sont tous deux des pays sans littoral.</w:t>
      </w:r>
    </w:p>
    <w:p w:rsidR="008C2438" w:rsidRDefault="00A833D0" w:rsidP="00B07249">
      <w:pPr>
        <w:rPr>
          <w:lang w:val="fr-CH"/>
        </w:rPr>
      </w:pPr>
      <w:r>
        <w:rPr>
          <w:lang w:val="fr-CH"/>
        </w:rPr>
        <w:t>Ainsi, même si ces deux pays n'avaient besoin que de 25</w:t>
      </w:r>
      <w:r w:rsidR="004D2160">
        <w:rPr>
          <w:lang w:val="fr-CH"/>
        </w:rPr>
        <w:t>%</w:t>
      </w:r>
      <w:r>
        <w:rPr>
          <w:lang w:val="fr-CH"/>
        </w:rPr>
        <w:t xml:space="preserve"> de la capacité, il</w:t>
      </w:r>
      <w:r w:rsidR="003A280E">
        <w:rPr>
          <w:lang w:val="fr-CH"/>
        </w:rPr>
        <w:t>s</w:t>
      </w:r>
      <w:r>
        <w:rPr>
          <w:lang w:val="fr-CH"/>
        </w:rPr>
        <w:t xml:space="preserve"> devrai</w:t>
      </w:r>
      <w:r w:rsidR="003A280E">
        <w:rPr>
          <w:lang w:val="fr-CH"/>
        </w:rPr>
        <w:t>en</w:t>
      </w:r>
      <w:r>
        <w:rPr>
          <w:lang w:val="fr-CH"/>
        </w:rPr>
        <w:t>t s'acquitter à eux deux de plus de 50</w:t>
      </w:r>
      <w:r w:rsidR="004D2160">
        <w:rPr>
          <w:lang w:val="fr-CH"/>
        </w:rPr>
        <w:t>%</w:t>
      </w:r>
      <w:r>
        <w:rPr>
          <w:lang w:val="fr-CH"/>
        </w:rPr>
        <w:t xml:space="preserve"> du coût de construction et d'exploitation du câble. En quoi </w:t>
      </w:r>
      <w:r w:rsidR="008C2438">
        <w:rPr>
          <w:lang w:val="fr-CH"/>
        </w:rPr>
        <w:t>l'application de cette Recommandation internationale aboutirait à un résultat équitable?</w:t>
      </w:r>
    </w:p>
    <w:p w:rsidR="00EE66AA" w:rsidRDefault="008C2438" w:rsidP="00B07249">
      <w:pPr>
        <w:rPr>
          <w:lang w:val="fr-CH"/>
        </w:rPr>
      </w:pPr>
      <w:r w:rsidRPr="008C2438">
        <w:rPr>
          <w:b/>
          <w:bCs/>
          <w:lang w:val="fr-CH"/>
        </w:rPr>
        <w:t>Exemple 2</w:t>
      </w:r>
      <w:r>
        <w:rPr>
          <w:lang w:val="fr-CH"/>
        </w:rPr>
        <w:t>: Câble</w:t>
      </w:r>
      <w:r w:rsidR="00807473">
        <w:rPr>
          <w:lang w:val="fr-CH"/>
        </w:rPr>
        <w:t xml:space="preserve"> terrestre</w:t>
      </w:r>
      <w:r>
        <w:rPr>
          <w:lang w:val="fr-CH"/>
        </w:rPr>
        <w:t xml:space="preserve"> à fibre </w:t>
      </w:r>
      <w:r w:rsidR="00807473">
        <w:rPr>
          <w:lang w:val="fr-CH"/>
        </w:rPr>
        <w:t xml:space="preserve">reliant </w:t>
      </w:r>
      <w:r>
        <w:rPr>
          <w:lang w:val="fr-CH"/>
        </w:rPr>
        <w:t xml:space="preserve">la frontière de la Chine et les capitales des pays suivants: Kazakhstan, Kirghizistan, Tadjikistan, </w:t>
      </w:r>
      <w:r w:rsidR="00807473">
        <w:rPr>
          <w:lang w:val="fr-CH"/>
        </w:rPr>
        <w:t>Ouzbékistan</w:t>
      </w:r>
      <w:r>
        <w:rPr>
          <w:lang w:val="fr-CH"/>
        </w:rPr>
        <w:t>, Turkménistan et Azerbaïdjan.</w:t>
      </w:r>
      <w:r w:rsidR="00EE66AA">
        <w:rPr>
          <w:lang w:val="fr-CH"/>
        </w:rPr>
        <w:t xml:space="preserve"> Pour ce câble, le </w:t>
      </w:r>
      <w:r w:rsidR="00675E93">
        <w:rPr>
          <w:lang w:val="fr-CH"/>
        </w:rPr>
        <w:t>rou</w:t>
      </w:r>
      <w:r w:rsidR="00EE66AA">
        <w:rPr>
          <w:lang w:val="fr-CH"/>
        </w:rPr>
        <w:t xml:space="preserve">tage à moindre coût serait </w:t>
      </w:r>
      <w:r w:rsidR="00675E93">
        <w:rPr>
          <w:lang w:val="fr-CH"/>
        </w:rPr>
        <w:t xml:space="preserve">le </w:t>
      </w:r>
      <w:r w:rsidR="00EE66AA">
        <w:rPr>
          <w:lang w:val="fr-CH"/>
        </w:rPr>
        <w:t>suivant:</w:t>
      </w:r>
    </w:p>
    <w:p w:rsidR="00AC1933" w:rsidRDefault="00EE66AA" w:rsidP="00B07249">
      <w:pPr>
        <w:pStyle w:val="enumlev1"/>
      </w:pPr>
      <w:r>
        <w:rPr>
          <w:lang w:val="fr-CH"/>
        </w:rPr>
        <w:t>A)</w:t>
      </w:r>
      <w:r>
        <w:rPr>
          <w:lang w:val="fr-CH"/>
        </w:rPr>
        <w:tab/>
        <w:t xml:space="preserve">400 km au </w:t>
      </w:r>
      <w:r w:rsidRPr="00AC1933">
        <w:t>Kazakhstan</w:t>
      </w:r>
      <w:r w:rsidR="00284D5F">
        <w:t>;</w:t>
      </w:r>
    </w:p>
    <w:p w:rsidR="00AC1933" w:rsidRDefault="00EE66AA" w:rsidP="00B07249">
      <w:pPr>
        <w:pStyle w:val="enumlev1"/>
      </w:pPr>
      <w:r w:rsidRPr="00AC1933">
        <w:t>B)</w:t>
      </w:r>
      <w:r w:rsidRPr="00AC1933">
        <w:tab/>
        <w:t>900 km au Kirghizistan (à cause des ramifications)</w:t>
      </w:r>
      <w:r w:rsidR="00284D5F">
        <w:t>;</w:t>
      </w:r>
    </w:p>
    <w:p w:rsidR="00AC1933" w:rsidRDefault="00EE66AA" w:rsidP="00B07249">
      <w:pPr>
        <w:pStyle w:val="enumlev1"/>
      </w:pPr>
      <w:r w:rsidRPr="00AC1933">
        <w:t>C)</w:t>
      </w:r>
      <w:r w:rsidRPr="00AC1933">
        <w:tab/>
        <w:t xml:space="preserve">300 km </w:t>
      </w:r>
      <w:r w:rsidR="00AC1933" w:rsidRPr="00AC1933">
        <w:t xml:space="preserve">au </w:t>
      </w:r>
      <w:r w:rsidRPr="00AC1933">
        <w:t>Tadjikistan</w:t>
      </w:r>
      <w:r w:rsidR="00284D5F">
        <w:t>;</w:t>
      </w:r>
    </w:p>
    <w:p w:rsidR="00AC1933" w:rsidRDefault="00EE66AA" w:rsidP="00B07249">
      <w:pPr>
        <w:pStyle w:val="enumlev1"/>
      </w:pPr>
      <w:r w:rsidRPr="00AC1933">
        <w:t>D)</w:t>
      </w:r>
      <w:r w:rsidRPr="00AC1933">
        <w:tab/>
        <w:t>1</w:t>
      </w:r>
      <w:r w:rsidR="00AC1933" w:rsidRPr="00AC1933">
        <w:t> </w:t>
      </w:r>
      <w:r w:rsidRPr="00AC1933">
        <w:t>000 km au Turkménistan</w:t>
      </w:r>
      <w:r w:rsidR="00284D5F">
        <w:t>;</w:t>
      </w:r>
    </w:p>
    <w:p w:rsidR="00AC1933" w:rsidRDefault="00EE66AA" w:rsidP="00AD0242">
      <w:pPr>
        <w:pStyle w:val="enumlev1"/>
      </w:pPr>
      <w:r w:rsidRPr="00AC1933">
        <w:t>E)</w:t>
      </w:r>
      <w:r w:rsidRPr="00AC1933">
        <w:tab/>
        <w:t xml:space="preserve">300 km sous la mer </w:t>
      </w:r>
      <w:r w:rsidR="00AC1933" w:rsidRPr="00AC1933">
        <w:t>C</w:t>
      </w:r>
      <w:r w:rsidRPr="00AC1933">
        <w:t>aspienne (</w:t>
      </w:r>
      <w:r w:rsidR="00AD0242">
        <w:t>N</w:t>
      </w:r>
      <w:r w:rsidRPr="00AC1933">
        <w:t>ote: non pris en compte dans la formule donnée dans le Document TD</w:t>
      </w:r>
      <w:r w:rsidR="004C632F">
        <w:noBreakHyphen/>
      </w:r>
      <w:r w:rsidRPr="00AC1933">
        <w:t xml:space="preserve">24, mais on part du principe que les coûts seraient </w:t>
      </w:r>
      <w:r w:rsidR="00C2350D">
        <w:t>répartis</w:t>
      </w:r>
      <w:r w:rsidRPr="00AC1933">
        <w:t xml:space="preserve"> de manière égale </w:t>
      </w:r>
      <w:r w:rsidR="00C2350D">
        <w:t xml:space="preserve">entre </w:t>
      </w:r>
      <w:r w:rsidRPr="00AC1933">
        <w:t>tous les propriétaires du câble)</w:t>
      </w:r>
      <w:r w:rsidR="00284D5F">
        <w:t>;</w:t>
      </w:r>
    </w:p>
    <w:p w:rsidR="00EE66AA" w:rsidRDefault="00EE66AA" w:rsidP="00B07249">
      <w:pPr>
        <w:pStyle w:val="enumlev1"/>
        <w:rPr>
          <w:lang w:val="fr-CH"/>
        </w:rPr>
      </w:pPr>
      <w:r w:rsidRPr="00AC1933">
        <w:t>F)</w:t>
      </w:r>
      <w:r w:rsidRPr="00AC1933">
        <w:tab/>
        <w:t>30 km en A</w:t>
      </w:r>
      <w:r>
        <w:rPr>
          <w:lang w:val="fr-CH"/>
        </w:rPr>
        <w:t>zerbaïdjan.</w:t>
      </w:r>
    </w:p>
    <w:p w:rsidR="002E3313" w:rsidRDefault="002E3313" w:rsidP="00B07249">
      <w:pPr>
        <w:rPr>
          <w:lang w:val="fr-CH"/>
        </w:rPr>
      </w:pPr>
      <w:r>
        <w:rPr>
          <w:lang w:val="fr-CH"/>
        </w:rPr>
        <w:t>Dans cet exemple, la longueur totale du câble serait d'environ 3</w:t>
      </w:r>
      <w:r w:rsidR="000600ED">
        <w:rPr>
          <w:lang w:val="fr-CH"/>
        </w:rPr>
        <w:t> </w:t>
      </w:r>
      <w:r>
        <w:rPr>
          <w:lang w:val="fr-CH"/>
        </w:rPr>
        <w:t>000</w:t>
      </w:r>
      <w:r w:rsidR="000600ED">
        <w:rPr>
          <w:lang w:val="fr-CH"/>
        </w:rPr>
        <w:t> </w:t>
      </w:r>
      <w:r>
        <w:rPr>
          <w:lang w:val="fr-CH"/>
        </w:rPr>
        <w:t>km. Le Turkménistan et le Kirghizistan paierai</w:t>
      </w:r>
      <w:r w:rsidR="00C2350D">
        <w:rPr>
          <w:lang w:val="fr-CH"/>
        </w:rPr>
        <w:t>en</w:t>
      </w:r>
      <w:r>
        <w:rPr>
          <w:lang w:val="fr-CH"/>
        </w:rPr>
        <w:t xml:space="preserve">t chacun environ un tiers des coûts de construction et d'exploitation, </w:t>
      </w:r>
      <w:r w:rsidR="00C2350D">
        <w:rPr>
          <w:lang w:val="fr-CH"/>
        </w:rPr>
        <w:t xml:space="preserve">coûts </w:t>
      </w:r>
      <w:r>
        <w:rPr>
          <w:lang w:val="fr-CH"/>
        </w:rPr>
        <w:t xml:space="preserve">correspondant à la traversée de la mer </w:t>
      </w:r>
      <w:r w:rsidR="00C2350D">
        <w:rPr>
          <w:lang w:val="fr-CH"/>
        </w:rPr>
        <w:t>C</w:t>
      </w:r>
      <w:r>
        <w:rPr>
          <w:lang w:val="fr-CH"/>
        </w:rPr>
        <w:t>aspienne compris.</w:t>
      </w:r>
    </w:p>
    <w:p w:rsidR="002E3313" w:rsidRDefault="002E3313" w:rsidP="00AD0242">
      <w:pPr>
        <w:rPr>
          <w:lang w:val="fr-CH"/>
        </w:rPr>
      </w:pPr>
      <w:r>
        <w:rPr>
          <w:lang w:val="fr-CH"/>
        </w:rPr>
        <w:t>Si l</w:t>
      </w:r>
      <w:r w:rsidR="000600ED">
        <w:rPr>
          <w:lang w:val="fr-CH"/>
        </w:rPr>
        <w:t>'on prend pour hypothèse que 75</w:t>
      </w:r>
      <w:r>
        <w:rPr>
          <w:lang w:val="fr-CH"/>
        </w:rPr>
        <w:t xml:space="preserve">% du trafic qui </w:t>
      </w:r>
      <w:r w:rsidR="00AD0242">
        <w:rPr>
          <w:lang w:val="fr-CH"/>
        </w:rPr>
        <w:t>est acheminé</w:t>
      </w:r>
      <w:r>
        <w:rPr>
          <w:lang w:val="fr-CH"/>
        </w:rPr>
        <w:t xml:space="preserve"> par le câble terrestre va du Kazakhstan au Kirghizistan, ces deux pays</w:t>
      </w:r>
      <w:r w:rsidR="00C2350D">
        <w:rPr>
          <w:lang w:val="fr-CH"/>
        </w:rPr>
        <w:t>, qui ont payé et continuent de payer</w:t>
      </w:r>
      <w:r>
        <w:rPr>
          <w:lang w:val="fr-CH"/>
        </w:rPr>
        <w:t xml:space="preserve"> </w:t>
      </w:r>
      <w:r w:rsidR="000600ED">
        <w:rPr>
          <w:lang w:val="fr-CH"/>
        </w:rPr>
        <w:t>40</w:t>
      </w:r>
      <w:r>
        <w:rPr>
          <w:lang w:val="fr-CH"/>
        </w:rPr>
        <w:t xml:space="preserve">% des coûts, </w:t>
      </w:r>
      <w:r w:rsidR="00C2350D">
        <w:rPr>
          <w:lang w:val="fr-CH"/>
        </w:rPr>
        <w:t xml:space="preserve">ont </w:t>
      </w:r>
      <w:r>
        <w:rPr>
          <w:lang w:val="fr-CH"/>
        </w:rPr>
        <w:t xml:space="preserve">accès </w:t>
      </w:r>
      <w:r w:rsidR="00C2350D">
        <w:rPr>
          <w:lang w:val="fr-CH"/>
        </w:rPr>
        <w:t xml:space="preserve">à </w:t>
      </w:r>
      <w:r>
        <w:rPr>
          <w:lang w:val="fr-CH"/>
        </w:rPr>
        <w:t>trois quarts de la capacité du câble.</w:t>
      </w:r>
    </w:p>
    <w:p w:rsidR="002E3313" w:rsidRDefault="002E3313" w:rsidP="00B07249">
      <w:pPr>
        <w:rPr>
          <w:lang w:val="fr-CH"/>
        </w:rPr>
      </w:pPr>
      <w:r>
        <w:rPr>
          <w:lang w:val="fr-CH"/>
        </w:rPr>
        <w:t>Là encore, le modèle représente une solution déséquilibrée qui n'est pas équitable pour les États Membres le long du trajet.</w:t>
      </w:r>
    </w:p>
    <w:p w:rsidR="002E3313" w:rsidRDefault="002E3313" w:rsidP="00B07249">
      <w:pPr>
        <w:rPr>
          <w:lang w:val="fr-CH"/>
        </w:rPr>
      </w:pPr>
      <w:r w:rsidRPr="00AD0D6C">
        <w:rPr>
          <w:b/>
          <w:bCs/>
          <w:lang w:val="fr-CH"/>
        </w:rPr>
        <w:t>Exemple 3</w:t>
      </w:r>
      <w:r>
        <w:rPr>
          <w:lang w:val="fr-CH"/>
        </w:rPr>
        <w:t xml:space="preserve">: Afin de donner un exemple analogue pour l'Afrique, prenons un câble qui doit être construit entre </w:t>
      </w:r>
      <w:r w:rsidR="00CD408F">
        <w:rPr>
          <w:lang w:val="fr-CH"/>
        </w:rPr>
        <w:t>Port</w:t>
      </w:r>
      <w:r w:rsidR="00CD408F">
        <w:rPr>
          <w:lang w:val="fr-CH"/>
        </w:rPr>
        <w:noBreakHyphen/>
      </w:r>
      <w:r>
        <w:rPr>
          <w:lang w:val="fr-CH"/>
        </w:rPr>
        <w:t xml:space="preserve">Soudan (Soudan), passant par le Tchad, </w:t>
      </w:r>
      <w:r w:rsidR="001D08D0">
        <w:rPr>
          <w:lang w:val="fr-CH"/>
        </w:rPr>
        <w:t xml:space="preserve">le </w:t>
      </w:r>
      <w:r>
        <w:rPr>
          <w:lang w:val="fr-CH"/>
        </w:rPr>
        <w:t xml:space="preserve">Niger, </w:t>
      </w:r>
      <w:r w:rsidR="001D08D0">
        <w:rPr>
          <w:lang w:val="fr-CH"/>
        </w:rPr>
        <w:t xml:space="preserve">le </w:t>
      </w:r>
      <w:r>
        <w:rPr>
          <w:lang w:val="fr-CH"/>
        </w:rPr>
        <w:t>Mali et la Côte d'Ivoire, aboutissant à Abidjan.</w:t>
      </w:r>
    </w:p>
    <w:p w:rsidR="002E3313" w:rsidRDefault="002E3313" w:rsidP="00B07249">
      <w:pPr>
        <w:rPr>
          <w:lang w:val="fr-CH"/>
        </w:rPr>
      </w:pPr>
      <w:r>
        <w:rPr>
          <w:lang w:val="fr-CH"/>
        </w:rPr>
        <w:t>Le trajet est réparti comme suit:</w:t>
      </w:r>
    </w:p>
    <w:p w:rsidR="001D08D0" w:rsidRPr="00EE1D80" w:rsidRDefault="002E3313" w:rsidP="00B07249">
      <w:pPr>
        <w:pStyle w:val="enumlev1"/>
        <w:rPr>
          <w:lang w:val="en-GB"/>
        </w:rPr>
      </w:pPr>
      <w:r w:rsidRPr="00EE1D80">
        <w:rPr>
          <w:lang w:val="en-GB"/>
        </w:rPr>
        <w:t>A)</w:t>
      </w:r>
      <w:r w:rsidRPr="00EE1D80">
        <w:rPr>
          <w:lang w:val="en-GB"/>
        </w:rPr>
        <w:tab/>
        <w:t>Soudan: 1</w:t>
      </w:r>
      <w:r w:rsidR="003B08D3" w:rsidRPr="00EE1D80">
        <w:rPr>
          <w:lang w:val="en-GB"/>
        </w:rPr>
        <w:t xml:space="preserve"> </w:t>
      </w:r>
      <w:r w:rsidRPr="00EE1D80">
        <w:rPr>
          <w:lang w:val="en-GB"/>
        </w:rPr>
        <w:t>100 km</w:t>
      </w:r>
    </w:p>
    <w:p w:rsidR="001D08D0" w:rsidRPr="00EE1D80" w:rsidRDefault="002E3313" w:rsidP="00B07249">
      <w:pPr>
        <w:pStyle w:val="enumlev1"/>
        <w:rPr>
          <w:lang w:val="en-GB"/>
        </w:rPr>
      </w:pPr>
      <w:r w:rsidRPr="00EE1D80">
        <w:rPr>
          <w:lang w:val="en-GB"/>
        </w:rPr>
        <w:t>B)</w:t>
      </w:r>
      <w:r w:rsidRPr="00EE1D80">
        <w:rPr>
          <w:lang w:val="en-GB"/>
        </w:rPr>
        <w:tab/>
      </w:r>
      <w:proofErr w:type="spellStart"/>
      <w:r w:rsidRPr="00EE1D80">
        <w:rPr>
          <w:lang w:val="en-GB"/>
        </w:rPr>
        <w:t>Tchad</w:t>
      </w:r>
      <w:proofErr w:type="spellEnd"/>
      <w:r w:rsidRPr="00EE1D80">
        <w:rPr>
          <w:lang w:val="en-GB"/>
        </w:rPr>
        <w:t>: 400 km</w:t>
      </w:r>
    </w:p>
    <w:p w:rsidR="001D08D0" w:rsidRPr="00EE1D80" w:rsidRDefault="002E3313" w:rsidP="00B07249">
      <w:pPr>
        <w:pStyle w:val="enumlev1"/>
        <w:rPr>
          <w:lang w:val="en-GB"/>
        </w:rPr>
      </w:pPr>
      <w:r w:rsidRPr="00EE1D80">
        <w:rPr>
          <w:lang w:val="en-GB"/>
        </w:rPr>
        <w:t>C)</w:t>
      </w:r>
      <w:r w:rsidRPr="00EE1D80">
        <w:rPr>
          <w:lang w:val="en-GB"/>
        </w:rPr>
        <w:tab/>
        <w:t>Niger: 800 km</w:t>
      </w:r>
    </w:p>
    <w:p w:rsidR="001D08D0" w:rsidRPr="00EE1D80" w:rsidRDefault="002E3313" w:rsidP="00B07249">
      <w:pPr>
        <w:pStyle w:val="enumlev1"/>
        <w:rPr>
          <w:lang w:val="en-GB"/>
        </w:rPr>
      </w:pPr>
      <w:r w:rsidRPr="00EE1D80">
        <w:rPr>
          <w:lang w:val="en-GB"/>
        </w:rPr>
        <w:t>D)</w:t>
      </w:r>
      <w:r w:rsidRPr="00EE1D80">
        <w:rPr>
          <w:lang w:val="en-GB"/>
        </w:rPr>
        <w:tab/>
        <w:t>Mali: 1</w:t>
      </w:r>
      <w:r w:rsidR="003B08D3" w:rsidRPr="00EE1D80">
        <w:rPr>
          <w:lang w:val="en-GB"/>
        </w:rPr>
        <w:t xml:space="preserve"> </w:t>
      </w:r>
      <w:r w:rsidRPr="00EE1D80">
        <w:rPr>
          <w:lang w:val="en-GB"/>
        </w:rPr>
        <w:t>000 km</w:t>
      </w:r>
    </w:p>
    <w:p w:rsidR="002E3313" w:rsidRDefault="002E3313" w:rsidP="00B07249">
      <w:pPr>
        <w:pStyle w:val="enumlev1"/>
        <w:rPr>
          <w:lang w:val="fr-CH"/>
        </w:rPr>
      </w:pPr>
      <w:r>
        <w:rPr>
          <w:lang w:val="fr-CH"/>
        </w:rPr>
        <w:t>E)</w:t>
      </w:r>
      <w:r>
        <w:rPr>
          <w:lang w:val="fr-CH"/>
        </w:rPr>
        <w:tab/>
        <w:t>Côte d'Ivoire: 500 km.</w:t>
      </w:r>
    </w:p>
    <w:p w:rsidR="002E3313" w:rsidRDefault="002E3313" w:rsidP="003B08D3">
      <w:pPr>
        <w:rPr>
          <w:lang w:val="fr-CH"/>
        </w:rPr>
      </w:pPr>
      <w:r>
        <w:rPr>
          <w:lang w:val="fr-CH"/>
        </w:rPr>
        <w:lastRenderedPageBreak/>
        <w:t>Dans cet exemple, la longueur totale du câble serait d'environ 3</w:t>
      </w:r>
      <w:r w:rsidR="003B08D3">
        <w:rPr>
          <w:lang w:val="fr-CH"/>
        </w:rPr>
        <w:t> </w:t>
      </w:r>
      <w:r>
        <w:rPr>
          <w:lang w:val="fr-CH"/>
        </w:rPr>
        <w:t>800 km. Selon la formule donnée dans le Document TD</w:t>
      </w:r>
      <w:r w:rsidR="00A53635">
        <w:rPr>
          <w:lang w:val="fr-CH"/>
        </w:rPr>
        <w:noBreakHyphen/>
      </w:r>
      <w:r>
        <w:rPr>
          <w:lang w:val="fr-CH"/>
        </w:rPr>
        <w:t>24, le Soudan s'acquitterait de 26</w:t>
      </w:r>
      <w:r w:rsidR="004D2160">
        <w:rPr>
          <w:lang w:val="fr-CH"/>
        </w:rPr>
        <w:t>%</w:t>
      </w:r>
      <w:r>
        <w:rPr>
          <w:lang w:val="fr-CH"/>
        </w:rPr>
        <w:t xml:space="preserve"> des coûts de construction et d'exploitation, </w:t>
      </w:r>
      <w:r w:rsidR="003E6BF7">
        <w:rPr>
          <w:lang w:val="fr-CH"/>
        </w:rPr>
        <w:t xml:space="preserve">le </w:t>
      </w:r>
      <w:r>
        <w:rPr>
          <w:lang w:val="fr-CH"/>
        </w:rPr>
        <w:t xml:space="preserve">Tchad </w:t>
      </w:r>
      <w:r w:rsidR="003E6BF7">
        <w:rPr>
          <w:lang w:val="fr-CH"/>
        </w:rPr>
        <w:t xml:space="preserve">de </w:t>
      </w:r>
      <w:r>
        <w:rPr>
          <w:lang w:val="fr-CH"/>
        </w:rPr>
        <w:t>seulement 11%, tandis que le Niger (2</w:t>
      </w:r>
      <w:r w:rsidR="003B08D3">
        <w:rPr>
          <w:lang w:val="fr-CH"/>
        </w:rPr>
        <w:t>1</w:t>
      </w:r>
      <w:r w:rsidR="004D2160">
        <w:rPr>
          <w:lang w:val="fr-CH"/>
        </w:rPr>
        <w:t>%</w:t>
      </w:r>
      <w:r>
        <w:rPr>
          <w:lang w:val="fr-CH"/>
        </w:rPr>
        <w:t>) et le Mali (26</w:t>
      </w:r>
      <w:r w:rsidR="004D2160">
        <w:rPr>
          <w:lang w:val="fr-CH"/>
        </w:rPr>
        <w:t>%</w:t>
      </w:r>
      <w:r>
        <w:rPr>
          <w:lang w:val="fr-CH"/>
        </w:rPr>
        <w:t>) paierai</w:t>
      </w:r>
      <w:r w:rsidR="00E1296B">
        <w:rPr>
          <w:lang w:val="fr-CH"/>
        </w:rPr>
        <w:t>en</w:t>
      </w:r>
      <w:r>
        <w:rPr>
          <w:lang w:val="fr-CH"/>
        </w:rPr>
        <w:t xml:space="preserve">t à </w:t>
      </w:r>
      <w:r w:rsidR="00E1296B">
        <w:rPr>
          <w:lang w:val="fr-CH"/>
        </w:rPr>
        <w:t xml:space="preserve">eux deux </w:t>
      </w:r>
      <w:r>
        <w:rPr>
          <w:lang w:val="fr-CH"/>
        </w:rPr>
        <w:t xml:space="preserve">plus de la moitié de ces </w:t>
      </w:r>
      <w:r w:rsidR="00E1296B">
        <w:rPr>
          <w:lang w:val="fr-CH"/>
        </w:rPr>
        <w:t>coûts</w:t>
      </w:r>
      <w:r>
        <w:rPr>
          <w:lang w:val="fr-CH"/>
        </w:rPr>
        <w:t xml:space="preserve">. Enfin, la Côte d'Ivoire </w:t>
      </w:r>
      <w:r w:rsidR="00E1296B">
        <w:rPr>
          <w:lang w:val="fr-CH"/>
        </w:rPr>
        <w:t xml:space="preserve">s'acquitterait de </w:t>
      </w:r>
      <w:r>
        <w:rPr>
          <w:lang w:val="fr-CH"/>
        </w:rPr>
        <w:t>17</w:t>
      </w:r>
      <w:r w:rsidR="004D2160">
        <w:rPr>
          <w:lang w:val="fr-CH"/>
        </w:rPr>
        <w:t>%</w:t>
      </w:r>
      <w:r>
        <w:rPr>
          <w:lang w:val="fr-CH"/>
        </w:rPr>
        <w:t xml:space="preserve"> des coûts de construction et d'exploitation. Pren</w:t>
      </w:r>
      <w:r w:rsidR="00E1296B">
        <w:rPr>
          <w:lang w:val="fr-CH"/>
        </w:rPr>
        <w:t>ons</w:t>
      </w:r>
      <w:r>
        <w:rPr>
          <w:lang w:val="fr-CH"/>
        </w:rPr>
        <w:t xml:space="preserve"> pour hypothèse que 48</w:t>
      </w:r>
      <w:r w:rsidR="004D2160">
        <w:rPr>
          <w:lang w:val="fr-CH"/>
        </w:rPr>
        <w:t>%</w:t>
      </w:r>
      <w:r>
        <w:rPr>
          <w:lang w:val="fr-CH"/>
        </w:rPr>
        <w:t xml:space="preserve"> du trafic se </w:t>
      </w:r>
      <w:r w:rsidR="00E1296B">
        <w:rPr>
          <w:lang w:val="fr-CH"/>
        </w:rPr>
        <w:t xml:space="preserve">fait </w:t>
      </w:r>
      <w:r>
        <w:rPr>
          <w:lang w:val="fr-CH"/>
        </w:rPr>
        <w:t xml:space="preserve">entre le Tchad </w:t>
      </w:r>
      <w:r w:rsidR="00E1296B">
        <w:rPr>
          <w:lang w:val="fr-CH"/>
        </w:rPr>
        <w:t xml:space="preserve">et </w:t>
      </w:r>
      <w:r>
        <w:rPr>
          <w:lang w:val="fr-CH"/>
        </w:rPr>
        <w:t xml:space="preserve">la Côte d'Ivoire, alors que ces deux pays ne payent à eux </w:t>
      </w:r>
      <w:r w:rsidR="00E1296B">
        <w:rPr>
          <w:lang w:val="fr-CH"/>
        </w:rPr>
        <w:t xml:space="preserve">deux </w:t>
      </w:r>
      <w:r>
        <w:rPr>
          <w:lang w:val="fr-CH"/>
        </w:rPr>
        <w:t>que 24</w:t>
      </w:r>
      <w:r w:rsidR="004D2160">
        <w:rPr>
          <w:lang w:val="fr-CH"/>
        </w:rPr>
        <w:t>%</w:t>
      </w:r>
      <w:r>
        <w:rPr>
          <w:lang w:val="fr-CH"/>
        </w:rPr>
        <w:t xml:space="preserve"> des coûts de construction et de gestion</w:t>
      </w:r>
      <w:r w:rsidR="00E1296B">
        <w:rPr>
          <w:lang w:val="fr-CH"/>
        </w:rPr>
        <w:t xml:space="preserve"> du câble</w:t>
      </w:r>
      <w:r>
        <w:rPr>
          <w:lang w:val="fr-CH"/>
        </w:rPr>
        <w:t>. Dans la pratique, le Soudan, le Niger et le Mali paierai</w:t>
      </w:r>
      <w:r w:rsidR="00A53635">
        <w:rPr>
          <w:lang w:val="fr-CH"/>
        </w:rPr>
        <w:t>en</w:t>
      </w:r>
      <w:r>
        <w:rPr>
          <w:lang w:val="fr-CH"/>
        </w:rPr>
        <w:t>t une partie du trafic du Tchad et de la Côte d'Ivoire.</w:t>
      </w:r>
    </w:p>
    <w:p w:rsidR="002E3313" w:rsidRDefault="00A53635" w:rsidP="003B08D3">
      <w:pPr>
        <w:rPr>
          <w:lang w:val="fr-CH"/>
        </w:rPr>
      </w:pPr>
      <w:r>
        <w:rPr>
          <w:lang w:val="fr-CH"/>
        </w:rPr>
        <w:t>L</w:t>
      </w:r>
      <w:r w:rsidR="002E3313">
        <w:rPr>
          <w:lang w:val="fr-CH"/>
        </w:rPr>
        <w:t xml:space="preserve">e problème ne vient </w:t>
      </w:r>
      <w:r>
        <w:rPr>
          <w:lang w:val="fr-CH"/>
        </w:rPr>
        <w:t xml:space="preserve">évidemment </w:t>
      </w:r>
      <w:r w:rsidR="002E3313">
        <w:rPr>
          <w:lang w:val="fr-CH"/>
        </w:rPr>
        <w:t xml:space="preserve">pas de la Côte d'Ivoire ou du Tchad, mais </w:t>
      </w:r>
      <w:r>
        <w:rPr>
          <w:lang w:val="fr-CH"/>
        </w:rPr>
        <w:t>bien</w:t>
      </w:r>
      <w:r w:rsidR="002E3313">
        <w:rPr>
          <w:lang w:val="fr-CH"/>
        </w:rPr>
        <w:t xml:space="preserve"> de la formule </w:t>
      </w:r>
      <w:r>
        <w:rPr>
          <w:lang w:val="fr-CH"/>
        </w:rPr>
        <w:t>utilisée</w:t>
      </w:r>
      <w:r w:rsidR="002E3313">
        <w:rPr>
          <w:lang w:val="fr-CH"/>
        </w:rPr>
        <w:t xml:space="preserve"> dans le Document TD</w:t>
      </w:r>
      <w:r>
        <w:rPr>
          <w:lang w:val="fr-CH"/>
        </w:rPr>
        <w:noBreakHyphen/>
      </w:r>
      <w:r w:rsidR="002E3313">
        <w:rPr>
          <w:lang w:val="fr-CH"/>
        </w:rPr>
        <w:t xml:space="preserve">24, qui ne tient pas compte des facteurs que l'industrie utilise </w:t>
      </w:r>
      <w:r>
        <w:rPr>
          <w:lang w:val="fr-CH"/>
        </w:rPr>
        <w:t xml:space="preserve">couramment </w:t>
      </w:r>
      <w:r w:rsidR="002E3313">
        <w:rPr>
          <w:lang w:val="fr-CH"/>
        </w:rPr>
        <w:t>pour la construction et la tarification des câble</w:t>
      </w:r>
      <w:r>
        <w:rPr>
          <w:lang w:val="fr-CH"/>
        </w:rPr>
        <w:t>s, qui sont pourtant déjà donné</w:t>
      </w:r>
      <w:r w:rsidR="002E3313">
        <w:rPr>
          <w:lang w:val="fr-CH"/>
        </w:rPr>
        <w:t xml:space="preserve">s dans une Recommandation UIT-T, à savoir la </w:t>
      </w:r>
      <w:r w:rsidR="006854C6">
        <w:rPr>
          <w:lang w:val="fr-CH"/>
        </w:rPr>
        <w:t>Recommandation </w:t>
      </w:r>
      <w:r w:rsidR="002E3313">
        <w:rPr>
          <w:lang w:val="fr-CH"/>
        </w:rPr>
        <w:t xml:space="preserve">UIT-T </w:t>
      </w:r>
      <w:hyperlink r:id="rId11" w:history="1">
        <w:r w:rsidR="002E3313" w:rsidRPr="002533A4">
          <w:rPr>
            <w:rStyle w:val="Hyperlink"/>
            <w:rFonts w:ascii="Times New Roman" w:hAnsi="Times New Roman"/>
            <w:lang w:val="fr-CH"/>
          </w:rPr>
          <w:t>D.10</w:t>
        </w:r>
      </w:hyperlink>
      <w:r w:rsidR="002E3313">
        <w:rPr>
          <w:lang w:val="fr-CH"/>
        </w:rPr>
        <w:t>.</w:t>
      </w:r>
    </w:p>
    <w:p w:rsidR="002E3313" w:rsidRPr="009C3C41" w:rsidRDefault="002E3313" w:rsidP="00B07249">
      <w:pPr>
        <w:pStyle w:val="Heading1"/>
        <w:rPr>
          <w:lang w:val="fr-CH"/>
        </w:rPr>
      </w:pPr>
      <w:r w:rsidRPr="009C3C41">
        <w:rPr>
          <w:lang w:val="fr-CH"/>
        </w:rPr>
        <w:t>3</w:t>
      </w:r>
      <w:r w:rsidRPr="009C3C41">
        <w:rPr>
          <w:lang w:val="fr-CH"/>
        </w:rPr>
        <w:tab/>
      </w:r>
      <w:r w:rsidR="00BC7973">
        <w:rPr>
          <w:lang w:val="fr-CH"/>
        </w:rPr>
        <w:t>Poursuite des travaux</w:t>
      </w:r>
    </w:p>
    <w:p w:rsidR="00BC7973" w:rsidRDefault="00BC7973" w:rsidP="00B07249">
      <w:pPr>
        <w:rPr>
          <w:lang w:val="fr-CH"/>
        </w:rPr>
      </w:pPr>
      <w:r>
        <w:rPr>
          <w:lang w:val="fr-CH"/>
        </w:rPr>
        <w:t xml:space="preserve">Plusieurs étapes sont présentées ci-après en vue de faire avancer </w:t>
      </w:r>
      <w:r w:rsidR="006854C6">
        <w:rPr>
          <w:lang w:val="fr-CH"/>
        </w:rPr>
        <w:t>les travaux sur ce point</w:t>
      </w:r>
      <w:r>
        <w:rPr>
          <w:lang w:val="fr-CH"/>
        </w:rPr>
        <w:t>:</w:t>
      </w:r>
    </w:p>
    <w:p w:rsidR="00BC7973" w:rsidRDefault="00263F6F" w:rsidP="002533A4">
      <w:pPr>
        <w:pStyle w:val="enumlev1"/>
        <w:rPr>
          <w:lang w:val="fr-CH"/>
        </w:rPr>
      </w:pPr>
      <w:r w:rsidRPr="00263F6F">
        <w:rPr>
          <w:lang w:val="fr-CH"/>
        </w:rPr>
        <w:t>•</w:t>
      </w:r>
      <w:r>
        <w:rPr>
          <w:lang w:val="fr-CH"/>
        </w:rPr>
        <w:tab/>
      </w:r>
      <w:r w:rsidR="00BC7973">
        <w:rPr>
          <w:lang w:val="fr-CH"/>
        </w:rPr>
        <w:t xml:space="preserve">Lors des précédentes réunions de la CE 3, les États-Unis ont demandé au groupe chargé de la Question 13/3 </w:t>
      </w:r>
      <w:r w:rsidR="00C22140">
        <w:rPr>
          <w:lang w:val="fr-CH"/>
        </w:rPr>
        <w:t>"</w:t>
      </w:r>
      <w:r w:rsidR="00BC7973" w:rsidRPr="00BC7973">
        <w:rPr>
          <w:lang w:val="fr-CH"/>
        </w:rPr>
        <w:t>qu'au cours de l'élaboration de cette Recommandation, les travaux soient coordonnés avec ceux menés au titre de la Question 6/3</w:t>
      </w:r>
      <w:r w:rsidR="00C22140">
        <w:rPr>
          <w:lang w:val="fr-CH"/>
        </w:rPr>
        <w:t>"</w:t>
      </w:r>
      <w:r w:rsidR="00BC7973">
        <w:rPr>
          <w:lang w:val="fr-CH"/>
        </w:rPr>
        <w:t xml:space="preserve">, ce qui jusqu'à présent n'a pas été fait. </w:t>
      </w:r>
      <w:r w:rsidR="002533A4">
        <w:rPr>
          <w:lang w:val="fr-CH"/>
        </w:rPr>
        <w:t>Par ailleurs</w:t>
      </w:r>
      <w:r w:rsidR="00BC7973">
        <w:rPr>
          <w:lang w:val="fr-CH"/>
        </w:rPr>
        <w:t>, les États-Unis continuent de penser que la Question 6/3 est la Question qui offre le cadre le plus pertinent et approprié pour ce travail.</w:t>
      </w:r>
    </w:p>
    <w:p w:rsidR="00BC7973" w:rsidRDefault="00263F6F" w:rsidP="00B07249">
      <w:pPr>
        <w:pStyle w:val="enumlev1"/>
        <w:rPr>
          <w:lang w:val="fr-CH"/>
        </w:rPr>
      </w:pPr>
      <w:r w:rsidRPr="00263F6F">
        <w:rPr>
          <w:lang w:val="fr-CH"/>
        </w:rPr>
        <w:t>•</w:t>
      </w:r>
      <w:r>
        <w:rPr>
          <w:lang w:val="fr-CH"/>
        </w:rPr>
        <w:tab/>
      </w:r>
      <w:r w:rsidR="0034003A">
        <w:rPr>
          <w:lang w:val="fr-CH"/>
        </w:rPr>
        <w:t>Il convient d'effectuer</w:t>
      </w:r>
      <w:r w:rsidR="00BC7973">
        <w:rPr>
          <w:lang w:val="fr-CH"/>
        </w:rPr>
        <w:t xml:space="preserve"> une analyse du § 2.2.4 de la Recommandation UIT-T D.10, qui donne des facteurs à prendre en considération pour le calcul des taxes</w:t>
      </w:r>
      <w:r w:rsidR="0034003A">
        <w:rPr>
          <w:lang w:val="fr-CH"/>
        </w:rPr>
        <w:t>, facteurs</w:t>
      </w:r>
      <w:r w:rsidR="00BC7973">
        <w:rPr>
          <w:lang w:val="fr-CH"/>
        </w:rPr>
        <w:t xml:space="preserve"> dont il n'est pas tenu compte dans le Document TD 24-WP/1, par exemple:</w:t>
      </w:r>
    </w:p>
    <w:p w:rsidR="00EE66AA" w:rsidRDefault="00263F6F" w:rsidP="00B07249">
      <w:pPr>
        <w:pStyle w:val="enumlev2"/>
        <w:rPr>
          <w:lang w:val="fr-CH"/>
        </w:rPr>
      </w:pPr>
      <w:r w:rsidRPr="00263F6F">
        <w:rPr>
          <w:lang w:val="fr-CH"/>
        </w:rPr>
        <w:t>–</w:t>
      </w:r>
      <w:r w:rsidR="00BC7973">
        <w:rPr>
          <w:lang w:val="fr-CH"/>
        </w:rPr>
        <w:tab/>
      </w:r>
      <w:r w:rsidR="00BC7973" w:rsidRPr="00BC7973">
        <w:rPr>
          <w:lang w:val="fr-CH"/>
        </w:rPr>
        <w:t>les services complémentaires offerts aux usagers</w:t>
      </w:r>
      <w:r w:rsidR="002533A4">
        <w:rPr>
          <w:lang w:val="fr-CH"/>
        </w:rPr>
        <w:t>;</w:t>
      </w:r>
    </w:p>
    <w:p w:rsidR="00BC7973" w:rsidRDefault="00263F6F" w:rsidP="00B07249">
      <w:pPr>
        <w:pStyle w:val="enumlev2"/>
        <w:rPr>
          <w:lang w:val="fr-CH"/>
        </w:rPr>
      </w:pPr>
      <w:r w:rsidRPr="00263F6F">
        <w:rPr>
          <w:lang w:val="fr-CH"/>
        </w:rPr>
        <w:t>–</w:t>
      </w:r>
      <w:r w:rsidR="00BC7973">
        <w:rPr>
          <w:lang w:val="fr-CH"/>
        </w:rPr>
        <w:tab/>
      </w:r>
      <w:r w:rsidR="00BC7973" w:rsidRPr="00BC7973">
        <w:rPr>
          <w:lang w:val="fr-CH"/>
        </w:rPr>
        <w:t>le type de commutation</w:t>
      </w:r>
      <w:r w:rsidR="002533A4">
        <w:rPr>
          <w:lang w:val="fr-CH"/>
        </w:rPr>
        <w:t>;</w:t>
      </w:r>
    </w:p>
    <w:p w:rsidR="00BC7973" w:rsidRDefault="00263F6F" w:rsidP="00B07249">
      <w:pPr>
        <w:pStyle w:val="enumlev2"/>
        <w:rPr>
          <w:lang w:val="fr-CH"/>
        </w:rPr>
      </w:pPr>
      <w:r w:rsidRPr="00263F6F">
        <w:rPr>
          <w:lang w:val="fr-CH"/>
        </w:rPr>
        <w:t>–</w:t>
      </w:r>
      <w:r w:rsidR="00BC7973">
        <w:rPr>
          <w:lang w:val="fr-CH"/>
        </w:rPr>
        <w:tab/>
      </w:r>
      <w:r w:rsidR="00BC7973" w:rsidRPr="00BC7973">
        <w:rPr>
          <w:lang w:val="fr-CH"/>
        </w:rPr>
        <w:t>le volume des données et/ou durée de la communication</w:t>
      </w:r>
      <w:r w:rsidR="002533A4">
        <w:rPr>
          <w:lang w:val="fr-CH"/>
        </w:rPr>
        <w:t>;</w:t>
      </w:r>
    </w:p>
    <w:p w:rsidR="00BC7973" w:rsidRDefault="00263F6F" w:rsidP="00B07249">
      <w:pPr>
        <w:pStyle w:val="enumlev2"/>
        <w:rPr>
          <w:lang w:val="fr-CH"/>
        </w:rPr>
      </w:pPr>
      <w:r w:rsidRPr="00263F6F">
        <w:rPr>
          <w:lang w:val="fr-CH"/>
        </w:rPr>
        <w:t>–</w:t>
      </w:r>
      <w:r w:rsidR="00BC7973">
        <w:rPr>
          <w:lang w:val="fr-CH"/>
        </w:rPr>
        <w:tab/>
      </w:r>
      <w:r w:rsidR="00BC7973" w:rsidRPr="00BC7973">
        <w:rPr>
          <w:lang w:val="fr-CH"/>
        </w:rPr>
        <w:t>la distance</w:t>
      </w:r>
      <w:r w:rsidR="002533A4">
        <w:rPr>
          <w:lang w:val="fr-CH"/>
        </w:rPr>
        <w:t>;</w:t>
      </w:r>
    </w:p>
    <w:p w:rsidR="00BC7973" w:rsidRDefault="00263F6F" w:rsidP="00B07249">
      <w:pPr>
        <w:pStyle w:val="enumlev2"/>
        <w:rPr>
          <w:lang w:val="fr-CH"/>
        </w:rPr>
      </w:pPr>
      <w:r w:rsidRPr="00263F6F">
        <w:rPr>
          <w:lang w:val="fr-CH"/>
        </w:rPr>
        <w:t>–</w:t>
      </w:r>
      <w:r w:rsidR="00BC7973">
        <w:rPr>
          <w:lang w:val="fr-CH"/>
        </w:rPr>
        <w:tab/>
      </w:r>
      <w:r w:rsidR="00BC7973" w:rsidRPr="00BC7973">
        <w:rPr>
          <w:lang w:val="fr-CH"/>
        </w:rPr>
        <w:t>l'heure (chargée ou non chargée);</w:t>
      </w:r>
    </w:p>
    <w:p w:rsidR="00BC7973" w:rsidRDefault="00263F6F" w:rsidP="00B07249">
      <w:pPr>
        <w:pStyle w:val="enumlev2"/>
        <w:rPr>
          <w:lang w:val="fr-CH"/>
        </w:rPr>
      </w:pPr>
      <w:r w:rsidRPr="00263F6F">
        <w:rPr>
          <w:lang w:val="fr-CH"/>
        </w:rPr>
        <w:t>–</w:t>
      </w:r>
      <w:r w:rsidR="00BC7973">
        <w:rPr>
          <w:lang w:val="fr-CH"/>
        </w:rPr>
        <w:tab/>
        <w:t>l'itinéraire.</w:t>
      </w:r>
    </w:p>
    <w:p w:rsidR="00640A2D" w:rsidRDefault="00640A2D" w:rsidP="00B07249">
      <w:pPr>
        <w:rPr>
          <w:lang w:val="fr-CH"/>
        </w:rPr>
      </w:pPr>
      <w:r>
        <w:rPr>
          <w:lang w:val="fr-CH"/>
        </w:rPr>
        <w:t>La version actuelle du projet de Recommandation ne cite m</w:t>
      </w:r>
      <w:r w:rsidR="004C632F">
        <w:rPr>
          <w:lang w:val="fr-CH"/>
        </w:rPr>
        <w:t>ême pas la Recommandation UIT</w:t>
      </w:r>
      <w:r w:rsidR="004C632F">
        <w:rPr>
          <w:lang w:val="fr-CH"/>
        </w:rPr>
        <w:noBreakHyphen/>
        <w:t>T </w:t>
      </w:r>
      <w:r>
        <w:rPr>
          <w:lang w:val="fr-CH"/>
        </w:rPr>
        <w:t>D.10 en référence.</w:t>
      </w:r>
    </w:p>
    <w:p w:rsidR="00A833D0" w:rsidRPr="00640A2D" w:rsidRDefault="0034003A" w:rsidP="002533A4">
      <w:pPr>
        <w:pStyle w:val="enumlev1"/>
        <w:rPr>
          <w:lang w:val="fr-CH"/>
        </w:rPr>
      </w:pPr>
      <w:r w:rsidRPr="00263F6F">
        <w:rPr>
          <w:lang w:val="fr-CH"/>
        </w:rPr>
        <w:t>•</w:t>
      </w:r>
      <w:r>
        <w:rPr>
          <w:lang w:val="fr-CH"/>
        </w:rPr>
        <w:tab/>
      </w:r>
      <w:r w:rsidR="00640A2D">
        <w:rPr>
          <w:lang w:val="fr-CH"/>
        </w:rPr>
        <w:t xml:space="preserve">Lors des précédentes réunions de la CE 3, les États-Unis ont demandé que, </w:t>
      </w:r>
      <w:r w:rsidR="00640A2D" w:rsidRPr="00640A2D">
        <w:rPr>
          <w:lang w:val="fr-CH"/>
        </w:rPr>
        <w:t xml:space="preserve">pour le sujet d'étude D.ModelTTC, on ajoute une </w:t>
      </w:r>
      <w:r w:rsidR="002533A4">
        <w:rPr>
          <w:lang w:val="fr-CH"/>
        </w:rPr>
        <w:t>a</w:t>
      </w:r>
      <w:r w:rsidR="00640A2D" w:rsidRPr="00640A2D">
        <w:rPr>
          <w:lang w:val="fr-CH"/>
        </w:rPr>
        <w:t>nnexe contenant un débat sur différentes options qui justifient le modèle proposé pour la Recommandation</w:t>
      </w:r>
      <w:r w:rsidR="00640A2D">
        <w:rPr>
          <w:lang w:val="fr-CH"/>
        </w:rPr>
        <w:t>.</w:t>
      </w:r>
    </w:p>
    <w:p w:rsidR="00640A2D" w:rsidRDefault="00640A2D" w:rsidP="00B07249">
      <w:pPr>
        <w:rPr>
          <w:lang w:val="fr-CH"/>
        </w:rPr>
      </w:pPr>
      <w:r>
        <w:rPr>
          <w:lang w:val="fr-CH"/>
        </w:rPr>
        <w:t xml:space="preserve">Jusqu'à présent, aucune de ces </w:t>
      </w:r>
      <w:r w:rsidR="009C3EF8">
        <w:rPr>
          <w:lang w:val="fr-CH"/>
        </w:rPr>
        <w:t>options</w:t>
      </w:r>
      <w:r>
        <w:rPr>
          <w:lang w:val="fr-CH"/>
        </w:rPr>
        <w:t xml:space="preserve"> n'a été présentée, tandis que </w:t>
      </w:r>
      <w:r w:rsidR="009C3EF8">
        <w:rPr>
          <w:lang w:val="fr-CH"/>
        </w:rPr>
        <w:t xml:space="preserve">la seule solution figurant dans le projet de Recommandation contient </w:t>
      </w:r>
      <w:r>
        <w:rPr>
          <w:lang w:val="fr-CH"/>
        </w:rPr>
        <w:t xml:space="preserve">de </w:t>
      </w:r>
      <w:r w:rsidR="009C3EF8">
        <w:rPr>
          <w:lang w:val="fr-CH"/>
        </w:rPr>
        <w:t>graves anomalies</w:t>
      </w:r>
      <w:r>
        <w:rPr>
          <w:lang w:val="fr-CH"/>
        </w:rPr>
        <w:t>.</w:t>
      </w:r>
    </w:p>
    <w:p w:rsidR="00640A2D" w:rsidRDefault="004C632F" w:rsidP="004C632F">
      <w:pPr>
        <w:pStyle w:val="enumlev1"/>
        <w:rPr>
          <w:lang w:val="fr-CH"/>
        </w:rPr>
      </w:pPr>
      <w:r w:rsidRPr="00263F6F">
        <w:rPr>
          <w:lang w:val="fr-CH"/>
        </w:rPr>
        <w:t>•</w:t>
      </w:r>
      <w:r>
        <w:rPr>
          <w:lang w:val="fr-CH"/>
        </w:rPr>
        <w:tab/>
      </w:r>
      <w:r w:rsidR="00640A2D">
        <w:rPr>
          <w:lang w:val="fr-CH"/>
        </w:rPr>
        <w:t xml:space="preserve">Compte tenu de ce qui précède, il convient de poursuivre et </w:t>
      </w:r>
      <w:r w:rsidR="0025059C">
        <w:rPr>
          <w:lang w:val="fr-CH"/>
        </w:rPr>
        <w:t xml:space="preserve">de </w:t>
      </w:r>
      <w:r w:rsidR="00640A2D">
        <w:rPr>
          <w:lang w:val="fr-CH"/>
        </w:rPr>
        <w:t>mener à bien l'étude du sujet STUDY_TCST avant d'établir la version finale du projet de Recommandation. Cette étude pourra</w:t>
      </w:r>
      <w:r w:rsidR="0025059C">
        <w:rPr>
          <w:lang w:val="fr-CH"/>
        </w:rPr>
        <w:t>it</w:t>
      </w:r>
      <w:r w:rsidR="00640A2D">
        <w:rPr>
          <w:lang w:val="fr-CH"/>
        </w:rPr>
        <w:t xml:space="preserve"> peut-être aboutir à l'analyse de</w:t>
      </w:r>
      <w:r w:rsidR="00D046B3">
        <w:rPr>
          <w:lang w:val="fr-CH"/>
        </w:rPr>
        <w:t>s</w:t>
      </w:r>
      <w:r w:rsidR="00640A2D">
        <w:rPr>
          <w:lang w:val="fr-CH"/>
        </w:rPr>
        <w:t xml:space="preserve"> diverses options qui ne figurent </w:t>
      </w:r>
      <w:r w:rsidR="00D046B3">
        <w:rPr>
          <w:lang w:val="fr-CH"/>
        </w:rPr>
        <w:t xml:space="preserve">pour le moment </w:t>
      </w:r>
      <w:r w:rsidR="00640A2D">
        <w:rPr>
          <w:lang w:val="fr-CH"/>
        </w:rPr>
        <w:t xml:space="preserve">pas dans le projet de Recommandation UIT-T et, partant, </w:t>
      </w:r>
      <w:r w:rsidR="00D046B3">
        <w:rPr>
          <w:lang w:val="fr-CH"/>
        </w:rPr>
        <w:t xml:space="preserve">déboucher sur </w:t>
      </w:r>
      <w:r w:rsidR="00640A2D">
        <w:rPr>
          <w:lang w:val="fr-CH"/>
        </w:rPr>
        <w:t>un résultat plus crédible.</w:t>
      </w:r>
    </w:p>
    <w:p w:rsidR="00640A2D" w:rsidRDefault="004C632F" w:rsidP="004C632F">
      <w:pPr>
        <w:pStyle w:val="enumlev1"/>
        <w:rPr>
          <w:lang w:val="fr-CH"/>
        </w:rPr>
      </w:pPr>
      <w:r w:rsidRPr="00263F6F">
        <w:rPr>
          <w:lang w:val="fr-CH"/>
        </w:rPr>
        <w:t>•</w:t>
      </w:r>
      <w:r>
        <w:rPr>
          <w:lang w:val="fr-CH"/>
        </w:rPr>
        <w:tab/>
      </w:r>
      <w:r w:rsidR="00640A2D">
        <w:rPr>
          <w:lang w:val="fr-CH"/>
        </w:rPr>
        <w:t xml:space="preserve">Les États-Unis proposent de tenir une </w:t>
      </w:r>
      <w:r w:rsidR="00640A2D" w:rsidRPr="00640A2D">
        <w:rPr>
          <w:lang w:val="fr-CH"/>
        </w:rPr>
        <w:t>réunion du Groupe du Rapporteur</w:t>
      </w:r>
      <w:r w:rsidR="00640A2D">
        <w:rPr>
          <w:lang w:val="fr-CH"/>
        </w:rPr>
        <w:t xml:space="preserve"> pour poursuivre les travaux</w:t>
      </w:r>
      <w:r w:rsidR="00D046B3">
        <w:rPr>
          <w:lang w:val="fr-CH"/>
        </w:rPr>
        <w:t>;</w:t>
      </w:r>
      <w:r w:rsidR="00640A2D">
        <w:rPr>
          <w:lang w:val="fr-CH"/>
        </w:rPr>
        <w:t xml:space="preserve"> </w:t>
      </w:r>
      <w:r w:rsidR="00D046B3">
        <w:rPr>
          <w:lang w:val="fr-CH"/>
        </w:rPr>
        <w:t xml:space="preserve">cette réunion </w:t>
      </w:r>
      <w:r w:rsidR="00640A2D">
        <w:rPr>
          <w:lang w:val="fr-CH"/>
        </w:rPr>
        <w:t xml:space="preserve">pourrait avoir lieu conjointement avec une réunion du Groupe du Rapporteur </w:t>
      </w:r>
      <w:r w:rsidR="00D046B3">
        <w:rPr>
          <w:lang w:val="fr-CH"/>
        </w:rPr>
        <w:t>pour</w:t>
      </w:r>
      <w:r w:rsidR="00640A2D">
        <w:rPr>
          <w:lang w:val="fr-CH"/>
        </w:rPr>
        <w:t xml:space="preserve"> la Question 6/3.</w:t>
      </w:r>
    </w:p>
    <w:p w:rsidR="00A833D0" w:rsidRPr="00640A2D" w:rsidRDefault="00640A2D" w:rsidP="00B07249">
      <w:pPr>
        <w:pStyle w:val="Heading1"/>
        <w:rPr>
          <w:lang w:val="fr-CH"/>
        </w:rPr>
      </w:pPr>
      <w:r w:rsidRPr="00640A2D">
        <w:rPr>
          <w:lang w:val="fr-CH"/>
        </w:rPr>
        <w:lastRenderedPageBreak/>
        <w:t>4</w:t>
      </w:r>
      <w:r w:rsidRPr="00640A2D">
        <w:rPr>
          <w:lang w:val="fr-CH"/>
        </w:rPr>
        <w:tab/>
        <w:t>Conclusion</w:t>
      </w:r>
    </w:p>
    <w:p w:rsidR="00DD4A23" w:rsidRDefault="00DD4A23" w:rsidP="00B07249">
      <w:pPr>
        <w:rPr>
          <w:lang w:val="fr-CH"/>
        </w:rPr>
      </w:pPr>
      <w:r>
        <w:rPr>
          <w:lang w:val="fr-CH"/>
        </w:rPr>
        <w:t>Les États-Unis affirment de nouveau qu'ils appuient sur le principe l'élaboration d'un modèle équitable de calcul des taxes de transit applicable</w:t>
      </w:r>
      <w:r w:rsidR="008C0F1A">
        <w:rPr>
          <w:lang w:val="fr-CH"/>
        </w:rPr>
        <w:t>s</w:t>
      </w:r>
      <w:r>
        <w:rPr>
          <w:lang w:val="fr-CH"/>
        </w:rPr>
        <w:t xml:space="preserve"> aux câbles terrestres </w:t>
      </w:r>
      <w:r w:rsidR="008C0F1A">
        <w:rPr>
          <w:lang w:val="fr-CH"/>
        </w:rPr>
        <w:t>tenant</w:t>
      </w:r>
      <w:r>
        <w:rPr>
          <w:lang w:val="fr-CH"/>
        </w:rPr>
        <w:t xml:space="preserve"> compte des besoins des pays sans littoral.</w:t>
      </w:r>
    </w:p>
    <w:p w:rsidR="00DD4A23" w:rsidRDefault="00DD4A23" w:rsidP="00B07249">
      <w:pPr>
        <w:rPr>
          <w:lang w:val="fr-CH"/>
        </w:rPr>
      </w:pPr>
      <w:r>
        <w:rPr>
          <w:lang w:val="fr-CH"/>
        </w:rPr>
        <w:t>Le problème concerne essentiellement les taxes de transit élevé que les pays ayant des stations d'atterrissement imposent aux pays sans littoral (en particulier</w:t>
      </w:r>
      <w:r w:rsidR="008C0F1A">
        <w:rPr>
          <w:lang w:val="fr-CH"/>
        </w:rPr>
        <w:t>,</w:t>
      </w:r>
      <w:r>
        <w:rPr>
          <w:lang w:val="fr-CH"/>
        </w:rPr>
        <w:t xml:space="preserve"> aux pays en développement).</w:t>
      </w:r>
    </w:p>
    <w:p w:rsidR="00F2159F" w:rsidRDefault="00F2159F" w:rsidP="00B07249">
      <w:pPr>
        <w:rPr>
          <w:lang w:val="fr-CH"/>
        </w:rPr>
      </w:pPr>
      <w:r>
        <w:rPr>
          <w:lang w:val="fr-CH"/>
        </w:rPr>
        <w:t xml:space="preserve">Dans sa forme actuelle, le </w:t>
      </w:r>
      <w:r w:rsidR="008C0F1A">
        <w:rPr>
          <w:lang w:val="fr-CH"/>
        </w:rPr>
        <w:t>p</w:t>
      </w:r>
      <w:r>
        <w:rPr>
          <w:lang w:val="fr-CH"/>
        </w:rPr>
        <w:t xml:space="preserve">rojet de Recommandation UIT-T </w:t>
      </w:r>
      <w:r w:rsidRPr="00640A2D">
        <w:rPr>
          <w:lang w:val="fr-CH"/>
        </w:rPr>
        <w:t>D.ModelTTC</w:t>
      </w:r>
      <w:r w:rsidR="008C0F1A">
        <w:rPr>
          <w:lang w:val="fr-CH"/>
        </w:rPr>
        <w:t xml:space="preserve"> définit</w:t>
      </w:r>
      <w:r>
        <w:rPr>
          <w:lang w:val="fr-CH"/>
        </w:rPr>
        <w:t xml:space="preserve"> une approche qui non seulement s'inscrit dans une vision à court terme</w:t>
      </w:r>
      <w:r w:rsidR="008C0F1A">
        <w:rPr>
          <w:lang w:val="fr-CH"/>
        </w:rPr>
        <w:t>,</w:t>
      </w:r>
      <w:r>
        <w:rPr>
          <w:lang w:val="fr-CH"/>
        </w:rPr>
        <w:t xml:space="preserve"> mais </w:t>
      </w:r>
      <w:r w:rsidR="008C0F1A">
        <w:rPr>
          <w:lang w:val="fr-CH"/>
        </w:rPr>
        <w:t xml:space="preserve">contient </w:t>
      </w:r>
      <w:r>
        <w:rPr>
          <w:lang w:val="fr-CH"/>
        </w:rPr>
        <w:t>en outre de</w:t>
      </w:r>
      <w:r w:rsidR="008C0F1A">
        <w:rPr>
          <w:lang w:val="fr-CH"/>
        </w:rPr>
        <w:t xml:space="preserve"> grave</w:t>
      </w:r>
      <w:r>
        <w:rPr>
          <w:lang w:val="fr-CH"/>
        </w:rPr>
        <w:t xml:space="preserve">s </w:t>
      </w:r>
      <w:r w:rsidR="008C0F1A">
        <w:rPr>
          <w:lang w:val="fr-CH"/>
        </w:rPr>
        <w:t>anomalies</w:t>
      </w:r>
      <w:r>
        <w:rPr>
          <w:lang w:val="fr-CH"/>
        </w:rPr>
        <w:t>.</w:t>
      </w:r>
    </w:p>
    <w:p w:rsidR="00640A2D" w:rsidRDefault="00F2159F" w:rsidP="00B07249">
      <w:pPr>
        <w:rPr>
          <w:lang w:val="fr-CH"/>
        </w:rPr>
      </w:pPr>
      <w:r w:rsidRPr="00F2159F">
        <w:rPr>
          <w:lang w:val="fr-CH"/>
        </w:rPr>
        <w:t xml:space="preserve">Les </w:t>
      </w:r>
      <w:r>
        <w:rPr>
          <w:lang w:val="fr-CH"/>
        </w:rPr>
        <w:t>É</w:t>
      </w:r>
      <w:r w:rsidRPr="00F2159F">
        <w:rPr>
          <w:lang w:val="fr-CH"/>
        </w:rPr>
        <w:t>tats-Unis demandent que la présente contribution soit accessible au public sans aucune restriction</w:t>
      </w:r>
      <w:r>
        <w:rPr>
          <w:lang w:val="fr-CH"/>
        </w:rPr>
        <w:t>.</w:t>
      </w:r>
    </w:p>
    <w:p w:rsidR="0067186A" w:rsidRPr="00EE1D80" w:rsidRDefault="0067186A" w:rsidP="00411C49">
      <w:pPr>
        <w:pStyle w:val="Reasons"/>
        <w:rPr>
          <w:lang w:val="fr-FR"/>
        </w:rPr>
      </w:pPr>
    </w:p>
    <w:p w:rsidR="0067186A" w:rsidRPr="00EE1D80" w:rsidRDefault="0067186A" w:rsidP="00EE1D80">
      <w:pPr>
        <w:jc w:val="center"/>
      </w:pPr>
      <w:r>
        <w:t>______________</w:t>
      </w:r>
      <w:bookmarkStart w:id="10" w:name="_GoBack"/>
      <w:bookmarkEnd w:id="10"/>
    </w:p>
    <w:sectPr w:rsidR="0067186A" w:rsidRPr="00EE1D80" w:rsidSect="001A2CAE">
      <w:headerReference w:type="default" r:id="rId12"/>
      <w:footerReference w:type="even" r:id="rId13"/>
      <w:pgSz w:w="11907" w:h="16834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B62" w:rsidRDefault="00AC2B62">
      <w:r>
        <w:separator/>
      </w:r>
    </w:p>
  </w:endnote>
  <w:endnote w:type="continuationSeparator" w:id="0">
    <w:p w:rsidR="00AC2B62" w:rsidRDefault="00AC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62" w:rsidRPr="008C1EA9" w:rsidRDefault="00825C87">
    <w:pPr>
      <w:pStyle w:val="Footer"/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\p \* MERGEFORMAT </w:instrText>
    </w:r>
    <w:r>
      <w:rPr>
        <w:lang w:val="fr-CH"/>
      </w:rPr>
      <w:fldChar w:fldCharType="separate"/>
    </w:r>
    <w:r w:rsidR="00F577AB">
      <w:rPr>
        <w:lang w:val="fr-CH"/>
      </w:rPr>
      <w:t>P</w:t>
    </w:r>
    <w:r w:rsidR="00F577AB" w:rsidRPr="00F577AB">
      <w:t>:\FRA\ITU-T\COM-T\COM03\C\299F.DOCX</w:t>
    </w:r>
    <w:r>
      <w:fldChar w:fldCharType="end"/>
    </w:r>
    <w:r w:rsidR="00AC2B62" w:rsidRPr="008C1EA9">
      <w:rPr>
        <w:lang w:val="fr-CH"/>
      </w:rPr>
      <w:tab/>
    </w:r>
    <w:r w:rsidR="00AC2B62">
      <w:fldChar w:fldCharType="begin"/>
    </w:r>
    <w:r w:rsidR="00AC2B62">
      <w:instrText xml:space="preserve"> savedate \@ dd.MM.yy </w:instrText>
    </w:r>
    <w:r w:rsidR="00AC2B62">
      <w:fldChar w:fldCharType="separate"/>
    </w:r>
    <w:r w:rsidR="00EE1D80">
      <w:t>15.04.19</w:t>
    </w:r>
    <w:r w:rsidR="00AC2B62">
      <w:fldChar w:fldCharType="end"/>
    </w:r>
    <w:r w:rsidR="00AC2B62" w:rsidRPr="008C1EA9">
      <w:rPr>
        <w:lang w:val="fr-CH"/>
      </w:rPr>
      <w:tab/>
    </w:r>
    <w:r w:rsidR="00AC2B62">
      <w:fldChar w:fldCharType="begin"/>
    </w:r>
    <w:r w:rsidR="00AC2B62">
      <w:instrText xml:space="preserve"> printdate \@ dd.MM.yy </w:instrText>
    </w:r>
    <w:r w:rsidR="00AC2B62">
      <w:fldChar w:fldCharType="separate"/>
    </w:r>
    <w:r w:rsidR="00F577AB">
      <w:t>15.04.19</w:t>
    </w:r>
    <w:r w:rsidR="00AC2B6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B62" w:rsidRDefault="00AC2B62">
      <w:r>
        <w:t>____________________</w:t>
      </w:r>
    </w:p>
  </w:footnote>
  <w:footnote w:type="continuationSeparator" w:id="0">
    <w:p w:rsidR="00AC2B62" w:rsidRDefault="00AC2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62" w:rsidRPr="001A2CAE" w:rsidRDefault="00AC2B62" w:rsidP="001A2CAE">
    <w:pPr>
      <w:pStyle w:val="Header"/>
    </w:pPr>
    <w:r w:rsidRPr="001A2CAE">
      <w:t xml:space="preserve">- </w:t>
    </w:r>
    <w:r w:rsidRPr="001A2CAE">
      <w:fldChar w:fldCharType="begin"/>
    </w:r>
    <w:r w:rsidRPr="001A2CAE">
      <w:instrText xml:space="preserve"> PAGE  \* MERGEFORMAT </w:instrText>
    </w:r>
    <w:r w:rsidRPr="001A2CAE">
      <w:fldChar w:fldCharType="separate"/>
    </w:r>
    <w:r w:rsidR="00EE1D80">
      <w:rPr>
        <w:noProof/>
      </w:rPr>
      <w:t>4</w:t>
    </w:r>
    <w:r w:rsidRPr="001A2CAE">
      <w:fldChar w:fldCharType="end"/>
    </w:r>
    <w:r w:rsidRPr="001A2CAE">
      <w:t xml:space="preserve"> -</w:t>
    </w:r>
  </w:p>
  <w:p w:rsidR="00AC2B62" w:rsidRPr="001A2CAE" w:rsidRDefault="00AC2B62" w:rsidP="00D969C1">
    <w:pPr>
      <w:pStyle w:val="Header"/>
      <w:spacing w:after="240"/>
    </w:pPr>
    <w:r>
      <w:t>SG</w:t>
    </w:r>
    <w:r w:rsidR="00D969C1">
      <w:t>3-C299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7D4"/>
    <w:multiLevelType w:val="hybridMultilevel"/>
    <w:tmpl w:val="452641FE"/>
    <w:lvl w:ilvl="0" w:tplc="1F208C98">
      <w:start w:val="1"/>
      <w:numFmt w:val="decimal"/>
      <w:lvlText w:val="[%1]"/>
      <w:lvlJc w:val="left"/>
      <w:pPr>
        <w:tabs>
          <w:tab w:val="num" w:pos="1418"/>
        </w:tabs>
        <w:ind w:left="1418" w:hanging="1418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A0235"/>
    <w:multiLevelType w:val="hybridMultilevel"/>
    <w:tmpl w:val="B22CC3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819E8"/>
    <w:multiLevelType w:val="hybridMultilevel"/>
    <w:tmpl w:val="0DC21FB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12120"/>
    <w:multiLevelType w:val="hybridMultilevel"/>
    <w:tmpl w:val="17F0CB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4820"/>
    <w:multiLevelType w:val="multilevel"/>
    <w:tmpl w:val="0409001F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555E486B"/>
    <w:multiLevelType w:val="multilevel"/>
    <w:tmpl w:val="9D508614"/>
    <w:lvl w:ilvl="0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13ABE"/>
    <w:multiLevelType w:val="multilevel"/>
    <w:tmpl w:val="5C00DA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5E108D5"/>
    <w:multiLevelType w:val="hybridMultilevel"/>
    <w:tmpl w:val="F6DE37B2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83B6DB9-A64A-41C6-A77E-A0C707EFD9DD}"/>
    <w:docVar w:name="dgnword-eventsink" w:val="694386568"/>
  </w:docVars>
  <w:rsids>
    <w:rsidRoot w:val="001A2CAE"/>
    <w:rsid w:val="00011210"/>
    <w:rsid w:val="0002234A"/>
    <w:rsid w:val="000236FA"/>
    <w:rsid w:val="000600ED"/>
    <w:rsid w:val="000D2622"/>
    <w:rsid w:val="000E7BB1"/>
    <w:rsid w:val="0014207F"/>
    <w:rsid w:val="00167192"/>
    <w:rsid w:val="00196B41"/>
    <w:rsid w:val="001A2CAE"/>
    <w:rsid w:val="001A61C1"/>
    <w:rsid w:val="001B4265"/>
    <w:rsid w:val="001C15F5"/>
    <w:rsid w:val="001C7FA9"/>
    <w:rsid w:val="001D08D0"/>
    <w:rsid w:val="001D35B6"/>
    <w:rsid w:val="002005AB"/>
    <w:rsid w:val="00221EF5"/>
    <w:rsid w:val="002272B2"/>
    <w:rsid w:val="00235C3C"/>
    <w:rsid w:val="0024705C"/>
    <w:rsid w:val="0025059C"/>
    <w:rsid w:val="002533A4"/>
    <w:rsid w:val="00260B8F"/>
    <w:rsid w:val="00263F6F"/>
    <w:rsid w:val="00264644"/>
    <w:rsid w:val="002712F7"/>
    <w:rsid w:val="00277D10"/>
    <w:rsid w:val="00284D5F"/>
    <w:rsid w:val="002946C5"/>
    <w:rsid w:val="002E0C4F"/>
    <w:rsid w:val="002E3313"/>
    <w:rsid w:val="00311E3F"/>
    <w:rsid w:val="00321A27"/>
    <w:rsid w:val="0034003A"/>
    <w:rsid w:val="00372185"/>
    <w:rsid w:val="00390287"/>
    <w:rsid w:val="003A1A87"/>
    <w:rsid w:val="003A280E"/>
    <w:rsid w:val="003B08D3"/>
    <w:rsid w:val="003B1AFE"/>
    <w:rsid w:val="003E5CE0"/>
    <w:rsid w:val="003E6BF7"/>
    <w:rsid w:val="004179C7"/>
    <w:rsid w:val="004331DC"/>
    <w:rsid w:val="004609CA"/>
    <w:rsid w:val="004768DE"/>
    <w:rsid w:val="00485EA2"/>
    <w:rsid w:val="00492B58"/>
    <w:rsid w:val="004A711D"/>
    <w:rsid w:val="004C2DA2"/>
    <w:rsid w:val="004C319C"/>
    <w:rsid w:val="004C3534"/>
    <w:rsid w:val="004C41D8"/>
    <w:rsid w:val="004C632F"/>
    <w:rsid w:val="004D2160"/>
    <w:rsid w:val="004D62C3"/>
    <w:rsid w:val="004F1D06"/>
    <w:rsid w:val="005232FD"/>
    <w:rsid w:val="005B24D0"/>
    <w:rsid w:val="005F3EFF"/>
    <w:rsid w:val="00640A2D"/>
    <w:rsid w:val="00661931"/>
    <w:rsid w:val="00663564"/>
    <w:rsid w:val="006703BA"/>
    <w:rsid w:val="0067186A"/>
    <w:rsid w:val="0067383F"/>
    <w:rsid w:val="00675E93"/>
    <w:rsid w:val="006854C6"/>
    <w:rsid w:val="006C10C6"/>
    <w:rsid w:val="006D033A"/>
    <w:rsid w:val="006E6EC4"/>
    <w:rsid w:val="006F1322"/>
    <w:rsid w:val="00740E5B"/>
    <w:rsid w:val="00756796"/>
    <w:rsid w:val="00776214"/>
    <w:rsid w:val="00785423"/>
    <w:rsid w:val="007C6AE1"/>
    <w:rsid w:val="007D6E86"/>
    <w:rsid w:val="007F470E"/>
    <w:rsid w:val="00807473"/>
    <w:rsid w:val="00814054"/>
    <w:rsid w:val="00825C87"/>
    <w:rsid w:val="0082711E"/>
    <w:rsid w:val="00873CDD"/>
    <w:rsid w:val="008804EE"/>
    <w:rsid w:val="00894DA2"/>
    <w:rsid w:val="008C04EA"/>
    <w:rsid w:val="008C0F1A"/>
    <w:rsid w:val="008C1EA9"/>
    <w:rsid w:val="008C2438"/>
    <w:rsid w:val="008F38A5"/>
    <w:rsid w:val="008F4E69"/>
    <w:rsid w:val="008F5698"/>
    <w:rsid w:val="00907563"/>
    <w:rsid w:val="009212A2"/>
    <w:rsid w:val="00923748"/>
    <w:rsid w:val="00972B00"/>
    <w:rsid w:val="00980BC3"/>
    <w:rsid w:val="009A546D"/>
    <w:rsid w:val="009A5CE0"/>
    <w:rsid w:val="009C3C41"/>
    <w:rsid w:val="009C3EF8"/>
    <w:rsid w:val="009F2DCD"/>
    <w:rsid w:val="00A10A8A"/>
    <w:rsid w:val="00A25636"/>
    <w:rsid w:val="00A46659"/>
    <w:rsid w:val="00A53635"/>
    <w:rsid w:val="00A833D0"/>
    <w:rsid w:val="00A86565"/>
    <w:rsid w:val="00A87110"/>
    <w:rsid w:val="00A926D3"/>
    <w:rsid w:val="00A969B2"/>
    <w:rsid w:val="00AA2C77"/>
    <w:rsid w:val="00AB0CF1"/>
    <w:rsid w:val="00AC1933"/>
    <w:rsid w:val="00AC2B62"/>
    <w:rsid w:val="00AD0242"/>
    <w:rsid w:val="00AD0D6C"/>
    <w:rsid w:val="00AE494E"/>
    <w:rsid w:val="00AF1C99"/>
    <w:rsid w:val="00AF2D55"/>
    <w:rsid w:val="00B07249"/>
    <w:rsid w:val="00B10435"/>
    <w:rsid w:val="00B17D64"/>
    <w:rsid w:val="00B210F4"/>
    <w:rsid w:val="00B407E0"/>
    <w:rsid w:val="00B42129"/>
    <w:rsid w:val="00B676F4"/>
    <w:rsid w:val="00B70DAD"/>
    <w:rsid w:val="00B87A10"/>
    <w:rsid w:val="00B91DC5"/>
    <w:rsid w:val="00BB0400"/>
    <w:rsid w:val="00BB13DC"/>
    <w:rsid w:val="00BB1D05"/>
    <w:rsid w:val="00BC7973"/>
    <w:rsid w:val="00BD0EE6"/>
    <w:rsid w:val="00C02C3C"/>
    <w:rsid w:val="00C14D7E"/>
    <w:rsid w:val="00C22140"/>
    <w:rsid w:val="00C2350D"/>
    <w:rsid w:val="00C47BA9"/>
    <w:rsid w:val="00CA45DB"/>
    <w:rsid w:val="00CB22B0"/>
    <w:rsid w:val="00CB3521"/>
    <w:rsid w:val="00CB6D73"/>
    <w:rsid w:val="00CC6A5B"/>
    <w:rsid w:val="00CD408F"/>
    <w:rsid w:val="00CE6C75"/>
    <w:rsid w:val="00CF2805"/>
    <w:rsid w:val="00D01BB2"/>
    <w:rsid w:val="00D046B3"/>
    <w:rsid w:val="00D200BE"/>
    <w:rsid w:val="00D27983"/>
    <w:rsid w:val="00D969C1"/>
    <w:rsid w:val="00DD4A23"/>
    <w:rsid w:val="00DF0365"/>
    <w:rsid w:val="00E0646B"/>
    <w:rsid w:val="00E072F7"/>
    <w:rsid w:val="00E1296B"/>
    <w:rsid w:val="00E801CB"/>
    <w:rsid w:val="00E81757"/>
    <w:rsid w:val="00E8412C"/>
    <w:rsid w:val="00EB539D"/>
    <w:rsid w:val="00EE1D80"/>
    <w:rsid w:val="00EE66AA"/>
    <w:rsid w:val="00F10474"/>
    <w:rsid w:val="00F2159F"/>
    <w:rsid w:val="00F30C0F"/>
    <w:rsid w:val="00F528A6"/>
    <w:rsid w:val="00F577AB"/>
    <w:rsid w:val="00F67291"/>
    <w:rsid w:val="00F97D3E"/>
    <w:rsid w:val="00FA76C3"/>
    <w:rsid w:val="00FC02D5"/>
    <w:rsid w:val="00FD21EE"/>
    <w:rsid w:val="00F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8548BBE"/>
  <w15:docId w15:val="{72B251EC-AD4A-410C-B246-58B3F36D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372185"/>
    <w:rPr>
      <w:rFonts w:ascii="Times New Roman" w:hAnsi="Times New Roman"/>
      <w:b/>
      <w:sz w:val="24"/>
      <w:lang w:val="fr-FR" w:eastAsia="en-US"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customStyle="1" w:styleId="AnnexNotitleChar">
    <w:name w:val="Annex_No &amp; title Char"/>
    <w:link w:val="AnnexNotitle"/>
    <w:locked/>
    <w:rsid w:val="00372185"/>
    <w:rPr>
      <w:rFonts w:ascii="Times New Roman" w:hAnsi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372185"/>
    <w:rPr>
      <w:rFonts w:ascii="Times New Roman" w:hAnsi="Times New Roman"/>
      <w:sz w:val="24"/>
      <w:lang w:val="fr-FR"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qFormat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qFormat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"/>
    <w:locked/>
    <w:rsid w:val="00372185"/>
    <w:rPr>
      <w:rFonts w:ascii="Times New Roman" w:hAnsi="Times New Roman"/>
      <w:sz w:val="22"/>
      <w:lang w:val="fr-FR" w:eastAsia="en-US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72185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character" w:customStyle="1" w:styleId="FootnoteTextChar">
    <w:name w:val="Footnote Text Char"/>
    <w:basedOn w:val="DefaultParagraphFont"/>
    <w:link w:val="FootnoteText"/>
    <w:rsid w:val="00372185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72185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372185"/>
    <w:rPr>
      <w:rFonts w:ascii="Times New Roman" w:hAnsi="Times New Roman"/>
      <w:b/>
      <w:sz w:val="24"/>
      <w:lang w:val="fr-FR" w:eastAsia="en-US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  <w:qFormat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PageNumber">
    <w:name w:val="page number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2185"/>
    <w:rPr>
      <w:rFonts w:ascii="Times New Roman" w:hAnsi="Times New Roman"/>
      <w:lang w:val="fr-FR" w:eastAsia="en-US"/>
    </w:rPr>
  </w:style>
  <w:style w:type="character" w:styleId="Hyperlink">
    <w:name w:val="Hyperlink"/>
    <w:basedOn w:val="DefaultParagraphFont"/>
    <w:rsid w:val="00FA76C3"/>
    <w:rPr>
      <w:rFonts w:asciiTheme="majorBidi" w:hAnsiTheme="majorBidi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A76C3"/>
  </w:style>
  <w:style w:type="paragraph" w:styleId="TableofFigures">
    <w:name w:val="table of figures"/>
    <w:basedOn w:val="Normal"/>
    <w:next w:val="Normal"/>
    <w:uiPriority w:val="99"/>
    <w:rsid w:val="00372185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val="en-GB" w:eastAsia="ja-JP"/>
    </w:rPr>
  </w:style>
  <w:style w:type="paragraph" w:styleId="Caption">
    <w:name w:val="caption"/>
    <w:basedOn w:val="Normal"/>
    <w:next w:val="Normal"/>
    <w:semiHidden/>
    <w:unhideWhenUsed/>
    <w:qFormat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Theme="minorEastAsia"/>
      <w:i/>
      <w:iCs/>
      <w:color w:val="1F497D" w:themeColor="text2"/>
      <w:sz w:val="18"/>
      <w:szCs w:val="18"/>
      <w:lang w:val="en-GB" w:eastAsia="ja-JP"/>
    </w:rPr>
  </w:style>
  <w:style w:type="character" w:styleId="Emphasis">
    <w:name w:val="Emphasis"/>
    <w:basedOn w:val="DefaultParagraphFont"/>
    <w:rsid w:val="00372185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372185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customStyle="1" w:styleId="SubtitleChar">
    <w:name w:val="Subtitle Char"/>
    <w:basedOn w:val="DefaultParagraphFont"/>
    <w:link w:val="Subtitle"/>
    <w:rsid w:val="003721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trong">
    <w:name w:val="Strong"/>
    <w:basedOn w:val="DefaultParagraphFont"/>
    <w:rsid w:val="0037218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404040" w:themeColor="text1" w:themeTint="BF"/>
      <w:szCs w:val="24"/>
      <w:lang w:val="en-GB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72185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styleId="FollowedHyperlink">
    <w:name w:val="FollowedHyperlink"/>
    <w:basedOn w:val="DefaultParagraphFont"/>
    <w:semiHidden/>
    <w:unhideWhenUsed/>
    <w:rsid w:val="0037218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val="en-GB" w:eastAsia="ja-JP"/>
    </w:rPr>
  </w:style>
  <w:style w:type="paragraph" w:styleId="NormalIndent">
    <w:name w:val="Normal Indent"/>
    <w:basedOn w:val="Normal"/>
    <w:unhideWhenUsed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134"/>
      <w:textAlignment w:val="auto"/>
    </w:pPr>
    <w:rPr>
      <w:rFonts w:eastAsiaTheme="minorEastAsia"/>
      <w:szCs w:val="24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37218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Theme="minorEastAsia" w:hAnsi="Tahoma" w:cs="Tahoma"/>
      <w:sz w:val="16"/>
      <w:szCs w:val="16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semiHidden/>
    <w:rsid w:val="00372185"/>
    <w:rPr>
      <w:rFonts w:ascii="Tahoma" w:eastAsiaTheme="minorEastAsia" w:hAnsi="Tahoma" w:cs="Tahoma"/>
      <w:sz w:val="16"/>
      <w:szCs w:val="16"/>
      <w:lang w:val="en-GB" w:eastAsia="ja-JP"/>
    </w:rPr>
  </w:style>
  <w:style w:type="paragraph" w:styleId="Revision">
    <w:name w:val="Revision"/>
    <w:uiPriority w:val="99"/>
    <w:semiHidden/>
    <w:rsid w:val="00372185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Reasons">
    <w:name w:val="Reasons"/>
    <w:basedOn w:val="Normal"/>
    <w:qFormat/>
    <w:rsid w:val="00372185"/>
    <w:pPr>
      <w:tabs>
        <w:tab w:val="clear" w:pos="794"/>
        <w:tab w:val="clear" w:pos="1191"/>
      </w:tabs>
      <w:overflowPunct/>
      <w:autoSpaceDE/>
      <w:autoSpaceDN/>
      <w:adjustRightInd/>
      <w:textAlignment w:val="auto"/>
    </w:pPr>
    <w:rPr>
      <w:rFonts w:eastAsiaTheme="minorEastAsia"/>
      <w:szCs w:val="24"/>
      <w:lang w:val="en-GB" w:eastAsia="ja-JP"/>
    </w:rPr>
  </w:style>
  <w:style w:type="table" w:styleId="TableGrid">
    <w:name w:val="Table Grid"/>
    <w:basedOn w:val="TableNormal"/>
    <w:rsid w:val="00372185"/>
    <w:rPr>
      <w:rFonts w:ascii="Times New Roman" w:eastAsiaTheme="minorEastAsia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185"/>
    <w:pPr>
      <w:ind w:left="720"/>
      <w:contextualSpacing/>
    </w:pPr>
    <w:rPr>
      <w:lang w:val="en-GB"/>
    </w:rPr>
  </w:style>
  <w:style w:type="paragraph" w:customStyle="1" w:styleId="a2">
    <w:name w:val="a2"/>
    <w:basedOn w:val="Heading2"/>
    <w:link w:val="a2Char"/>
    <w:qFormat/>
    <w:rsid w:val="00372185"/>
    <w:pPr>
      <w:keepLines w:val="0"/>
      <w:pageBreakBefore/>
      <w:numPr>
        <w:ilvl w:val="1"/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lang w:val="en-GB"/>
    </w:rPr>
  </w:style>
  <w:style w:type="character" w:customStyle="1" w:styleId="a2Char">
    <w:name w:val="a2 Char"/>
    <w:basedOn w:val="Heading2Char"/>
    <w:link w:val="a2"/>
    <w:rsid w:val="00372185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recommendations/rec.aspx?rec=203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itu.int/md/T17-SG03-190423-TD-WP1-0024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jarianpb@state.gov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TSB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4A147D31E84D9BBAEABFCCD1529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DE18B-55B1-43DF-94AC-7AD81143ABC7}"/>
      </w:docPartPr>
      <w:docPartBody>
        <w:p w:rsidR="00EC73A2" w:rsidRDefault="004E7236" w:rsidP="004E7236">
          <w:pPr>
            <w:pStyle w:val="474A147D31E84D9BBAEABFCCD1529A32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36"/>
    <w:rsid w:val="004E7236"/>
    <w:rsid w:val="00E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7236"/>
    <w:rPr>
      <w:rFonts w:ascii="Times New Roman" w:hAnsi="Times New Roman"/>
      <w:color w:val="808080"/>
    </w:rPr>
  </w:style>
  <w:style w:type="paragraph" w:customStyle="1" w:styleId="474A147D31E84D9BBAEABFCCD1529A32">
    <w:name w:val="474A147D31E84D9BBAEABFCCD1529A32"/>
    <w:rsid w:val="004E7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81F10-3635-40CA-A6F6-BA850338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</Template>
  <TotalTime>63</TotalTime>
  <Pages>4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D'ÉTUDES 15 – CONTRIBUTION 001</vt:lpstr>
    </vt:vector>
  </TitlesOfParts>
  <Manager>ITU-T</Manager>
  <Company>International Telecommunication Union (ITU)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D'ÉTUDES 15 – CONTRIBUTION 001</dc:title>
  <dc:subject/>
  <dc:creator>Alidra, Patricia</dc:creator>
  <cp:keywords/>
  <dc:description/>
  <cp:lastModifiedBy>Author</cp:lastModifiedBy>
  <cp:revision>44</cp:revision>
  <cp:lastPrinted>2019-04-15T07:04:00Z</cp:lastPrinted>
  <dcterms:created xsi:type="dcterms:W3CDTF">2019-04-15T06:35:00Z</dcterms:created>
  <dcterms:modified xsi:type="dcterms:W3CDTF">2019-04-22T10:31:00Z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15 – C 001 – F</vt:lpwstr>
  </property>
  <property fmtid="{D5CDD505-2E9C-101B-9397-08002B2CF9AE}" pid="3" name="Docdate">
    <vt:lpwstr>Juin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