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F9444F" w14:paraId="1984ABB7" w14:textId="77777777" w:rsidTr="00067FCB">
        <w:trPr>
          <w:cantSplit/>
          <w:trHeight w:val="15"/>
        </w:trPr>
        <w:tc>
          <w:tcPr>
            <w:tcW w:w="1418" w:type="dxa"/>
            <w:gridSpan w:val="2"/>
            <w:vAlign w:val="center"/>
          </w:tcPr>
          <w:p w14:paraId="49B5DA3E" w14:textId="77777777" w:rsidR="002C3E7B" w:rsidRPr="00F9444F" w:rsidRDefault="000A402E" w:rsidP="00067FCB">
            <w:pPr>
              <w:spacing w:before="0"/>
              <w:jc w:val="center"/>
              <w:rPr>
                <w:rFonts w:cs="Times New Roman Bold"/>
                <w:b/>
                <w:bCs/>
                <w:smallCaps/>
                <w:sz w:val="26"/>
                <w:szCs w:val="26"/>
                <w:lang w:val="es-ES_tradnl"/>
              </w:rPr>
            </w:pPr>
            <w:r w:rsidRPr="00F9444F">
              <w:rPr>
                <w:noProof/>
                <w:lang w:val="es-ES_tradnl"/>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F9444F" w:rsidRDefault="002C3E7B" w:rsidP="00067FCB">
            <w:pPr>
              <w:spacing w:before="0"/>
              <w:rPr>
                <w:rFonts w:ascii="Calibri" w:hAnsi="Calibri" w:cs="Times New Roman Bold"/>
                <w:b/>
                <w:bCs/>
                <w:smallCaps/>
                <w:sz w:val="26"/>
                <w:szCs w:val="26"/>
                <w:lang w:val="es-ES_tradnl"/>
              </w:rPr>
            </w:pPr>
            <w:r w:rsidRPr="00F9444F">
              <w:rPr>
                <w:rFonts w:ascii="Calibri" w:hAnsi="Calibri"/>
                <w:b/>
                <w:bCs/>
                <w:smallCaps/>
                <w:sz w:val="36"/>
                <w:szCs w:val="36"/>
                <w:lang w:val="es-ES_tradnl"/>
              </w:rPr>
              <w:t>Unión Internacional de Telecomunicaciones</w:t>
            </w:r>
          </w:p>
          <w:p w14:paraId="02CAC460" w14:textId="77777777" w:rsidR="002C3E7B" w:rsidRPr="00F9444F" w:rsidRDefault="002C3E7B" w:rsidP="00067FCB">
            <w:pPr>
              <w:spacing w:before="0"/>
              <w:rPr>
                <w:rFonts w:ascii="Verdana" w:hAnsi="Verdana"/>
                <w:color w:val="FFFFFF"/>
                <w:sz w:val="26"/>
                <w:szCs w:val="26"/>
                <w:lang w:val="es-ES_tradnl"/>
              </w:rPr>
            </w:pPr>
            <w:r w:rsidRPr="00F9444F">
              <w:rPr>
                <w:rFonts w:ascii="Calibri" w:hAnsi="Calibri"/>
                <w:b/>
                <w:bCs/>
                <w:iCs/>
                <w:smallCaps/>
                <w:sz w:val="28"/>
                <w:szCs w:val="28"/>
                <w:lang w:val="es-ES_tradnl"/>
              </w:rPr>
              <w:t>Oficina de Normalización de las Telecomunicaciones</w:t>
            </w:r>
            <w:r w:rsidRPr="00F9444F">
              <w:rPr>
                <w:b/>
                <w:bCs/>
                <w:iCs/>
                <w:smallCaps/>
                <w:sz w:val="28"/>
                <w:szCs w:val="28"/>
                <w:lang w:val="es-ES_tradnl"/>
              </w:rPr>
              <w:t xml:space="preserve"> </w:t>
            </w:r>
          </w:p>
        </w:tc>
        <w:tc>
          <w:tcPr>
            <w:tcW w:w="2127" w:type="dxa"/>
            <w:vAlign w:val="center"/>
          </w:tcPr>
          <w:p w14:paraId="37DC4D0D" w14:textId="77777777" w:rsidR="002C3E7B" w:rsidRPr="00F9444F" w:rsidRDefault="002C3E7B" w:rsidP="00067FCB">
            <w:pPr>
              <w:spacing w:before="0"/>
              <w:jc w:val="center"/>
              <w:rPr>
                <w:rFonts w:ascii="Verdana" w:hAnsi="Verdana"/>
                <w:color w:val="FFFFFF"/>
                <w:sz w:val="26"/>
                <w:szCs w:val="26"/>
                <w:lang w:val="es-ES_tradnl"/>
              </w:rPr>
            </w:pPr>
          </w:p>
        </w:tc>
      </w:tr>
      <w:tr w:rsidR="000305E1" w:rsidRPr="00F9444F" w14:paraId="72667DE4" w14:textId="77777777" w:rsidTr="001C4B8C">
        <w:trPr>
          <w:cantSplit/>
          <w:trHeight w:val="818"/>
        </w:trPr>
        <w:tc>
          <w:tcPr>
            <w:tcW w:w="5387" w:type="dxa"/>
            <w:gridSpan w:val="3"/>
            <w:vAlign w:val="center"/>
          </w:tcPr>
          <w:p w14:paraId="11BC5A9C" w14:textId="77777777" w:rsidR="000305E1" w:rsidRPr="00F9444F" w:rsidRDefault="000305E1" w:rsidP="00067FCB">
            <w:pPr>
              <w:pStyle w:val="Tabletext"/>
              <w:jc w:val="right"/>
              <w:rPr>
                <w:lang w:val="es-ES_tradnl"/>
              </w:rPr>
            </w:pPr>
          </w:p>
        </w:tc>
        <w:tc>
          <w:tcPr>
            <w:tcW w:w="4678" w:type="dxa"/>
            <w:gridSpan w:val="2"/>
            <w:vAlign w:val="center"/>
          </w:tcPr>
          <w:p w14:paraId="01ECBEF5" w14:textId="6872A597" w:rsidR="000305E1" w:rsidRPr="00F9444F" w:rsidRDefault="000305E1" w:rsidP="005B6EE3">
            <w:pPr>
              <w:pStyle w:val="Tabletext"/>
              <w:spacing w:before="240" w:after="120"/>
              <w:rPr>
                <w:lang w:val="es-ES_tradnl"/>
              </w:rPr>
            </w:pPr>
            <w:r w:rsidRPr="00F9444F">
              <w:rPr>
                <w:lang w:val="es-ES_tradnl"/>
              </w:rPr>
              <w:t xml:space="preserve">Ginebra, </w:t>
            </w:r>
            <w:r w:rsidR="00C747FC" w:rsidRPr="00F9444F">
              <w:rPr>
                <w:lang w:val="es-ES_tradnl"/>
              </w:rPr>
              <w:t>2</w:t>
            </w:r>
            <w:r w:rsidR="00C747FC">
              <w:rPr>
                <w:lang w:val="es-ES_tradnl"/>
              </w:rPr>
              <w:t>4</w:t>
            </w:r>
            <w:r w:rsidR="00C747FC" w:rsidRPr="00F9444F">
              <w:rPr>
                <w:lang w:val="es-ES_tradnl"/>
              </w:rPr>
              <w:t xml:space="preserve"> </w:t>
            </w:r>
            <w:r w:rsidRPr="00F9444F">
              <w:rPr>
                <w:lang w:val="es-ES_tradnl"/>
              </w:rPr>
              <w:t xml:space="preserve">de </w:t>
            </w:r>
            <w:r w:rsidR="00C747FC">
              <w:rPr>
                <w:lang w:val="es-ES_tradnl"/>
              </w:rPr>
              <w:t>febrero</w:t>
            </w:r>
            <w:r w:rsidR="00C747FC" w:rsidRPr="00F9444F">
              <w:rPr>
                <w:lang w:val="es-ES_tradnl"/>
              </w:rPr>
              <w:t xml:space="preserve"> </w:t>
            </w:r>
            <w:r w:rsidRPr="00F9444F">
              <w:rPr>
                <w:lang w:val="es-ES_tradnl"/>
              </w:rPr>
              <w:t xml:space="preserve">de </w:t>
            </w:r>
            <w:r w:rsidR="00C747FC" w:rsidRPr="00F9444F">
              <w:rPr>
                <w:lang w:val="es-ES_tradnl"/>
              </w:rPr>
              <w:t>202</w:t>
            </w:r>
            <w:r w:rsidR="00C747FC">
              <w:rPr>
                <w:lang w:val="es-ES_tradnl"/>
              </w:rPr>
              <w:t>1</w:t>
            </w:r>
          </w:p>
        </w:tc>
      </w:tr>
      <w:tr w:rsidR="0038260B" w:rsidRPr="00F9444F" w14:paraId="71F96702" w14:textId="77777777" w:rsidTr="00067FCB">
        <w:trPr>
          <w:cantSplit/>
          <w:trHeight w:val="746"/>
        </w:trPr>
        <w:tc>
          <w:tcPr>
            <w:tcW w:w="993" w:type="dxa"/>
          </w:tcPr>
          <w:p w14:paraId="60F87935" w14:textId="77777777" w:rsidR="0038260B" w:rsidRPr="00F9444F" w:rsidRDefault="0038260B" w:rsidP="00067FCB">
            <w:pPr>
              <w:pStyle w:val="Tabletext"/>
              <w:rPr>
                <w:rFonts w:ascii="Futura Lt BT" w:hAnsi="Futura Lt BT"/>
                <w:lang w:val="es-ES_tradnl"/>
              </w:rPr>
            </w:pPr>
            <w:bookmarkStart w:id="0" w:name="Adress_E" w:colFirst="2" w:colLast="2"/>
            <w:r w:rsidRPr="00F9444F">
              <w:rPr>
                <w:lang w:val="es-ES_tradnl"/>
              </w:rPr>
              <w:t>Ref.:</w:t>
            </w:r>
          </w:p>
        </w:tc>
        <w:tc>
          <w:tcPr>
            <w:tcW w:w="4394" w:type="dxa"/>
            <w:gridSpan w:val="2"/>
          </w:tcPr>
          <w:p w14:paraId="374ECDE1" w14:textId="1147779C" w:rsidR="0038260B" w:rsidRPr="00F9444F" w:rsidRDefault="0038260B" w:rsidP="00B64AC9">
            <w:pPr>
              <w:pStyle w:val="Tabletext"/>
              <w:ind w:left="57"/>
              <w:rPr>
                <w:b/>
                <w:lang w:val="es-ES_tradnl"/>
              </w:rPr>
            </w:pPr>
            <w:r w:rsidRPr="00F9444F">
              <w:rPr>
                <w:b/>
                <w:lang w:val="es-ES_tradnl"/>
              </w:rPr>
              <w:t xml:space="preserve">Carta </w:t>
            </w:r>
            <w:r w:rsidR="001E0D64" w:rsidRPr="00F9444F">
              <w:rPr>
                <w:b/>
                <w:lang w:val="es-ES_tradnl"/>
              </w:rPr>
              <w:t>C</w:t>
            </w:r>
            <w:r w:rsidRPr="00F9444F">
              <w:rPr>
                <w:b/>
                <w:lang w:val="es-ES_tradnl"/>
              </w:rPr>
              <w:t xml:space="preserve">olectiva TSB </w:t>
            </w:r>
            <w:r w:rsidR="00C747FC">
              <w:rPr>
                <w:b/>
                <w:lang w:val="es-ES_tradnl"/>
              </w:rPr>
              <w:t>4</w:t>
            </w:r>
            <w:r w:rsidR="005B6EE3" w:rsidRPr="00F9444F">
              <w:rPr>
                <w:b/>
                <w:lang w:val="es-ES_tradnl"/>
              </w:rPr>
              <w:t>/SG3RG-LAC</w:t>
            </w:r>
          </w:p>
          <w:p w14:paraId="653D1298" w14:textId="05F5CEC8" w:rsidR="00C87A03" w:rsidRPr="009F7D9F" w:rsidRDefault="00632FCB" w:rsidP="00B64AC9">
            <w:pPr>
              <w:pStyle w:val="Tabletext"/>
              <w:ind w:left="57"/>
              <w:rPr>
                <w:b/>
                <w:bCs/>
                <w:lang w:val="es-ES_tradnl"/>
              </w:rPr>
            </w:pPr>
            <w:r w:rsidRPr="009F7D9F">
              <w:rPr>
                <w:b/>
                <w:bCs/>
                <w:lang w:val="es-ES_tradnl"/>
              </w:rPr>
              <w:t>SG3/</w:t>
            </w:r>
            <w:r w:rsidR="00B64AC9" w:rsidRPr="009F7D9F">
              <w:rPr>
                <w:b/>
                <w:bCs/>
                <w:lang w:val="es-ES_tradnl"/>
              </w:rPr>
              <w:t>ME</w:t>
            </w:r>
          </w:p>
        </w:tc>
        <w:tc>
          <w:tcPr>
            <w:tcW w:w="4678" w:type="dxa"/>
            <w:gridSpan w:val="2"/>
            <w:vMerge w:val="restart"/>
          </w:tcPr>
          <w:p w14:paraId="437B941D" w14:textId="77777777" w:rsidR="00AE2816" w:rsidRPr="00F9444F" w:rsidRDefault="00AE2816" w:rsidP="00B64AC9">
            <w:pPr>
              <w:pStyle w:val="Tabletext"/>
              <w:ind w:left="283" w:hanging="283"/>
              <w:rPr>
                <w:lang w:val="es-ES_tradnl"/>
              </w:rPr>
            </w:pPr>
            <w:r w:rsidRPr="00F9444F">
              <w:rPr>
                <w:lang w:val="es-ES_tradnl"/>
              </w:rPr>
              <w:t>A:</w:t>
            </w:r>
          </w:p>
          <w:p w14:paraId="76EDF3AC" w14:textId="0E5D7FB5" w:rsidR="00AE2816"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r>
            <w:r w:rsidR="009F7D9F">
              <w:rPr>
                <w:lang w:val="es-ES_tradnl"/>
              </w:rPr>
              <w:t>l</w:t>
            </w:r>
            <w:r w:rsidRPr="00F9444F">
              <w:rPr>
                <w:lang w:val="es-ES_tradnl"/>
              </w:rPr>
              <w:t xml:space="preserve">as Administraciones de los Estados Miembros </w:t>
            </w:r>
            <w:r w:rsidR="00C612B7" w:rsidRPr="00F9444F">
              <w:rPr>
                <w:lang w:val="es-ES_tradnl"/>
              </w:rPr>
              <w:t>que participan en las labores del GRCE3-LAC</w:t>
            </w:r>
            <w:r w:rsidRPr="00F9444F">
              <w:rPr>
                <w:lang w:val="es-ES_tradnl"/>
              </w:rPr>
              <w:t>;</w:t>
            </w:r>
          </w:p>
          <w:p w14:paraId="21AA1734" w14:textId="741EA3AB" w:rsidR="00AE2816"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r>
            <w:r w:rsidR="009F7D9F">
              <w:rPr>
                <w:lang w:val="es-ES_tradnl"/>
              </w:rPr>
              <w:t>l</w:t>
            </w:r>
            <w:r w:rsidRPr="00F9444F">
              <w:rPr>
                <w:lang w:val="es-ES_tradnl"/>
              </w:rPr>
              <w:t xml:space="preserve">os Miembros </w:t>
            </w:r>
            <w:r w:rsidR="00C612B7">
              <w:rPr>
                <w:lang w:val="es-ES_tradnl"/>
              </w:rPr>
              <w:t xml:space="preserve">de Sector </w:t>
            </w:r>
            <w:r w:rsidRPr="00F9444F">
              <w:rPr>
                <w:lang w:val="es-ES_tradnl"/>
              </w:rPr>
              <w:t>del UIT</w:t>
            </w:r>
            <w:r w:rsidRPr="00F9444F">
              <w:rPr>
                <w:lang w:val="es-ES_tradnl"/>
              </w:rPr>
              <w:noBreakHyphen/>
              <w:t>T</w:t>
            </w:r>
            <w:r w:rsidR="00B64AC9" w:rsidRPr="00F9444F">
              <w:rPr>
                <w:lang w:val="es-ES_tradnl"/>
              </w:rPr>
              <w:t xml:space="preserve"> que participan en las labores del GRCE3-LAC</w:t>
            </w:r>
            <w:r w:rsidRPr="00F9444F">
              <w:rPr>
                <w:lang w:val="es-ES_tradnl"/>
              </w:rPr>
              <w:t>;</w:t>
            </w:r>
          </w:p>
          <w:p w14:paraId="1883A573" w14:textId="18B6FA63" w:rsidR="00F3799F"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r>
            <w:r w:rsidR="009F7D9F">
              <w:rPr>
                <w:lang w:val="es-ES_tradnl"/>
              </w:rPr>
              <w:t>l</w:t>
            </w:r>
            <w:r w:rsidRPr="00F9444F">
              <w:rPr>
                <w:lang w:val="es-ES_tradnl"/>
              </w:rPr>
              <w:t xml:space="preserve">os Asociados </w:t>
            </w:r>
            <w:r w:rsidR="00C612B7">
              <w:rPr>
                <w:lang w:val="es-ES_tradnl"/>
              </w:rPr>
              <w:t>del UIT-</w:t>
            </w:r>
            <w:r w:rsidR="00B64AC9" w:rsidRPr="00F9444F">
              <w:rPr>
                <w:lang w:val="es-ES_tradnl"/>
              </w:rPr>
              <w:t>T que participan en las labores del GRCE3-LAC</w:t>
            </w:r>
            <w:r w:rsidRPr="00F9444F">
              <w:rPr>
                <w:lang w:val="es-ES_tradnl"/>
              </w:rPr>
              <w:t>;</w:t>
            </w:r>
          </w:p>
          <w:p w14:paraId="18258203" w14:textId="127F43E2" w:rsidR="0038260B" w:rsidRPr="00F9444F" w:rsidRDefault="00F3799F" w:rsidP="00C612B7">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r>
            <w:r w:rsidR="009F7D9F">
              <w:rPr>
                <w:lang w:val="es-ES_tradnl"/>
              </w:rPr>
              <w:t>l</w:t>
            </w:r>
            <w:r w:rsidR="00AE2816" w:rsidRPr="00F9444F">
              <w:rPr>
                <w:lang w:val="es-ES_tradnl"/>
              </w:rPr>
              <w:t>as Instituciones Académicas de la UIT</w:t>
            </w:r>
            <w:r w:rsidR="00B64AC9" w:rsidRPr="00F9444F">
              <w:rPr>
                <w:lang w:val="es-ES_tradnl"/>
              </w:rPr>
              <w:t xml:space="preserve"> que participan en las labores del GRCE3-LAC</w:t>
            </w:r>
          </w:p>
        </w:tc>
      </w:tr>
      <w:bookmarkEnd w:id="0"/>
      <w:tr w:rsidR="0038260B" w:rsidRPr="00F9444F" w14:paraId="2F6ED5D0" w14:textId="77777777" w:rsidTr="00067FCB">
        <w:trPr>
          <w:cantSplit/>
          <w:trHeight w:val="221"/>
        </w:trPr>
        <w:tc>
          <w:tcPr>
            <w:tcW w:w="993" w:type="dxa"/>
          </w:tcPr>
          <w:p w14:paraId="07F1A13B" w14:textId="77777777" w:rsidR="0038260B" w:rsidRPr="00F9444F" w:rsidRDefault="0038260B" w:rsidP="00067FCB">
            <w:pPr>
              <w:pStyle w:val="Tabletext"/>
              <w:rPr>
                <w:lang w:val="es-ES_tradnl"/>
              </w:rPr>
            </w:pPr>
            <w:r w:rsidRPr="00F9444F">
              <w:rPr>
                <w:lang w:val="es-ES_tradnl"/>
              </w:rPr>
              <w:t>Tel.:</w:t>
            </w:r>
          </w:p>
        </w:tc>
        <w:tc>
          <w:tcPr>
            <w:tcW w:w="4394" w:type="dxa"/>
            <w:gridSpan w:val="2"/>
          </w:tcPr>
          <w:p w14:paraId="5BC2FE51" w14:textId="17565CD3" w:rsidR="0038260B" w:rsidRPr="00F9444F" w:rsidRDefault="005B6EE3" w:rsidP="00BB2F68">
            <w:pPr>
              <w:pStyle w:val="Tabletext"/>
              <w:ind w:left="57"/>
              <w:rPr>
                <w:b/>
                <w:lang w:val="es-ES_tradnl"/>
              </w:rPr>
            </w:pPr>
            <w:r w:rsidRPr="00F9444F">
              <w:rPr>
                <w:lang w:val="es-ES_tradnl"/>
              </w:rPr>
              <w:t>+41 22 730 5866</w:t>
            </w:r>
          </w:p>
        </w:tc>
        <w:tc>
          <w:tcPr>
            <w:tcW w:w="4678" w:type="dxa"/>
            <w:gridSpan w:val="2"/>
            <w:vMerge/>
          </w:tcPr>
          <w:p w14:paraId="62A357DE" w14:textId="77777777" w:rsidR="0038260B" w:rsidRPr="00F9444F" w:rsidRDefault="0038260B" w:rsidP="00067FCB">
            <w:pPr>
              <w:pStyle w:val="Tabletext"/>
              <w:ind w:left="283" w:hanging="283"/>
              <w:rPr>
                <w:lang w:val="es-ES_tradnl"/>
              </w:rPr>
            </w:pPr>
          </w:p>
        </w:tc>
      </w:tr>
      <w:tr w:rsidR="0038260B" w:rsidRPr="00F9444F" w14:paraId="55F90A61" w14:textId="77777777" w:rsidTr="00067FCB">
        <w:trPr>
          <w:cantSplit/>
          <w:trHeight w:val="282"/>
        </w:trPr>
        <w:tc>
          <w:tcPr>
            <w:tcW w:w="993" w:type="dxa"/>
          </w:tcPr>
          <w:p w14:paraId="4A0D5132" w14:textId="77777777" w:rsidR="0038260B" w:rsidRPr="00F9444F" w:rsidRDefault="0038260B" w:rsidP="00067FCB">
            <w:pPr>
              <w:pStyle w:val="Tabletext"/>
              <w:rPr>
                <w:lang w:val="es-ES_tradnl"/>
              </w:rPr>
            </w:pPr>
            <w:r w:rsidRPr="00F9444F">
              <w:rPr>
                <w:lang w:val="es-ES_tradnl"/>
              </w:rPr>
              <w:t>Fax:</w:t>
            </w:r>
          </w:p>
        </w:tc>
        <w:tc>
          <w:tcPr>
            <w:tcW w:w="4394" w:type="dxa"/>
            <w:gridSpan w:val="2"/>
          </w:tcPr>
          <w:p w14:paraId="7BF0D3B0" w14:textId="57E7A0A3" w:rsidR="0038260B" w:rsidRPr="00F9444F" w:rsidRDefault="005B6EE3" w:rsidP="00BB2F68">
            <w:pPr>
              <w:pStyle w:val="Tabletext"/>
              <w:ind w:left="57"/>
              <w:rPr>
                <w:b/>
                <w:lang w:val="es-ES_tradnl"/>
              </w:rPr>
            </w:pPr>
            <w:r w:rsidRPr="00F9444F">
              <w:rPr>
                <w:lang w:val="es-ES_tradnl"/>
              </w:rPr>
              <w:t>+41 22 730 5853</w:t>
            </w:r>
          </w:p>
        </w:tc>
        <w:tc>
          <w:tcPr>
            <w:tcW w:w="4678" w:type="dxa"/>
            <w:gridSpan w:val="2"/>
            <w:vMerge/>
          </w:tcPr>
          <w:p w14:paraId="60F5EFB0" w14:textId="77777777" w:rsidR="0038260B" w:rsidRPr="00F9444F" w:rsidRDefault="0038260B" w:rsidP="00067FCB">
            <w:pPr>
              <w:pStyle w:val="Tabletext"/>
              <w:ind w:left="283" w:hanging="283"/>
              <w:rPr>
                <w:lang w:val="es-ES_tradnl"/>
              </w:rPr>
            </w:pPr>
          </w:p>
        </w:tc>
      </w:tr>
      <w:tr w:rsidR="0038260B" w:rsidRPr="00F9444F" w14:paraId="5510E25B" w14:textId="77777777" w:rsidTr="00067FCB">
        <w:trPr>
          <w:cantSplit/>
          <w:trHeight w:val="376"/>
        </w:trPr>
        <w:tc>
          <w:tcPr>
            <w:tcW w:w="993" w:type="dxa"/>
          </w:tcPr>
          <w:p w14:paraId="4E10041A" w14:textId="77777777" w:rsidR="0038260B" w:rsidRPr="00F9444F" w:rsidRDefault="0038260B" w:rsidP="00067FCB">
            <w:pPr>
              <w:pStyle w:val="Tabletext"/>
              <w:rPr>
                <w:lang w:val="es-ES_tradnl"/>
              </w:rPr>
            </w:pPr>
            <w:r w:rsidRPr="00F9444F">
              <w:rPr>
                <w:lang w:val="es-ES_tradnl"/>
              </w:rPr>
              <w:t>Correo-e:</w:t>
            </w:r>
          </w:p>
        </w:tc>
        <w:tc>
          <w:tcPr>
            <w:tcW w:w="4394" w:type="dxa"/>
            <w:gridSpan w:val="2"/>
          </w:tcPr>
          <w:p w14:paraId="577A439E" w14:textId="4A1522D7" w:rsidR="0038260B" w:rsidRPr="00F9444F" w:rsidRDefault="006B49EA" w:rsidP="00BB2F68">
            <w:pPr>
              <w:pStyle w:val="Tabletext"/>
              <w:ind w:left="57"/>
              <w:rPr>
                <w:lang w:val="es-ES_tradnl"/>
              </w:rPr>
            </w:pPr>
            <w:hyperlink r:id="rId9" w:history="1">
              <w:r w:rsidR="005B6EE3" w:rsidRPr="00F9444F">
                <w:rPr>
                  <w:rStyle w:val="Hyperlink"/>
                  <w:lang w:val="es-ES_tradnl"/>
                </w:rPr>
                <w:t>tsbsg3@itu.int</w:t>
              </w:r>
            </w:hyperlink>
          </w:p>
        </w:tc>
        <w:tc>
          <w:tcPr>
            <w:tcW w:w="4678" w:type="dxa"/>
            <w:gridSpan w:val="2"/>
            <w:vMerge/>
          </w:tcPr>
          <w:p w14:paraId="0880ED01" w14:textId="77777777" w:rsidR="0038260B" w:rsidRPr="00F9444F" w:rsidRDefault="0038260B" w:rsidP="00067FCB">
            <w:pPr>
              <w:pStyle w:val="Tabletext"/>
              <w:ind w:left="283" w:hanging="283"/>
              <w:rPr>
                <w:lang w:val="es-ES_tradnl"/>
              </w:rPr>
            </w:pPr>
          </w:p>
        </w:tc>
      </w:tr>
      <w:tr w:rsidR="0038260B" w:rsidRPr="00F9444F" w14:paraId="2105FC0C" w14:textId="77777777" w:rsidTr="001C4B8C">
        <w:trPr>
          <w:cantSplit/>
          <w:trHeight w:val="809"/>
        </w:trPr>
        <w:tc>
          <w:tcPr>
            <w:tcW w:w="993" w:type="dxa"/>
          </w:tcPr>
          <w:p w14:paraId="03C8903C" w14:textId="77777777" w:rsidR="0038260B" w:rsidRPr="00F9444F" w:rsidRDefault="0038260B" w:rsidP="00067FCB">
            <w:pPr>
              <w:pStyle w:val="Tabletext"/>
              <w:rPr>
                <w:lang w:val="es-ES_tradnl"/>
              </w:rPr>
            </w:pPr>
            <w:r w:rsidRPr="00F9444F">
              <w:rPr>
                <w:lang w:val="es-ES_tradnl"/>
              </w:rPr>
              <w:t>Web:</w:t>
            </w:r>
          </w:p>
        </w:tc>
        <w:tc>
          <w:tcPr>
            <w:tcW w:w="4394" w:type="dxa"/>
            <w:gridSpan w:val="2"/>
          </w:tcPr>
          <w:p w14:paraId="4051F2BD" w14:textId="4257C469" w:rsidR="0038260B" w:rsidRPr="00F9444F" w:rsidRDefault="006B49EA" w:rsidP="00BB2F68">
            <w:pPr>
              <w:pStyle w:val="Tabletext"/>
              <w:ind w:left="57"/>
              <w:rPr>
                <w:lang w:val="es-ES_tradnl"/>
              </w:rPr>
            </w:pPr>
            <w:hyperlink r:id="rId10" w:history="1">
              <w:bookmarkStart w:id="1" w:name="lt_pId035"/>
              <w:r w:rsidR="005B6EE3" w:rsidRPr="00F9444F">
                <w:rPr>
                  <w:rStyle w:val="Hyperlink"/>
                  <w:lang w:val="es-ES_tradnl"/>
                </w:rPr>
                <w:t>http:</w:t>
              </w:r>
              <w:bookmarkStart w:id="2" w:name="lt_pId036"/>
              <w:bookmarkEnd w:id="1"/>
              <w:r w:rsidR="005B6EE3" w:rsidRPr="00F9444F">
                <w:rPr>
                  <w:rStyle w:val="Hyperlink"/>
                  <w:lang w:val="es-ES_tradnl"/>
                </w:rPr>
                <w:t>//itu.int/go/tsg03</w:t>
              </w:r>
              <w:bookmarkEnd w:id="2"/>
            </w:hyperlink>
          </w:p>
        </w:tc>
        <w:tc>
          <w:tcPr>
            <w:tcW w:w="4678" w:type="dxa"/>
            <w:gridSpan w:val="2"/>
            <w:vMerge/>
          </w:tcPr>
          <w:p w14:paraId="22DA0531" w14:textId="77777777" w:rsidR="0038260B" w:rsidRPr="00F9444F" w:rsidRDefault="0038260B" w:rsidP="00067FCB">
            <w:pPr>
              <w:pStyle w:val="Tabletext"/>
              <w:rPr>
                <w:lang w:val="es-ES_tradnl"/>
              </w:rPr>
            </w:pPr>
          </w:p>
        </w:tc>
      </w:tr>
      <w:tr w:rsidR="00951309" w:rsidRPr="00F9444F" w14:paraId="684BD708" w14:textId="77777777" w:rsidTr="00067FCB">
        <w:trPr>
          <w:cantSplit/>
          <w:trHeight w:val="80"/>
        </w:trPr>
        <w:tc>
          <w:tcPr>
            <w:tcW w:w="993" w:type="dxa"/>
          </w:tcPr>
          <w:p w14:paraId="7DA32AA1" w14:textId="77777777" w:rsidR="00951309" w:rsidRPr="00BF1B7E" w:rsidRDefault="00951309" w:rsidP="00B64AC9">
            <w:pPr>
              <w:pStyle w:val="Tabletext"/>
              <w:spacing w:before="120" w:after="120"/>
              <w:rPr>
                <w:bCs/>
                <w:lang w:val="es-ES_tradnl"/>
              </w:rPr>
            </w:pPr>
            <w:r w:rsidRPr="00AA0D01">
              <w:rPr>
                <w:b/>
                <w:lang w:val="es-ES_tradnl"/>
              </w:rPr>
              <w:t>Asunto</w:t>
            </w:r>
            <w:r w:rsidRPr="00BF1B7E">
              <w:rPr>
                <w:bCs/>
                <w:lang w:val="es-ES_tradnl"/>
              </w:rPr>
              <w:t>:</w:t>
            </w:r>
          </w:p>
        </w:tc>
        <w:tc>
          <w:tcPr>
            <w:tcW w:w="9072" w:type="dxa"/>
            <w:gridSpan w:val="4"/>
          </w:tcPr>
          <w:p w14:paraId="77A74D42" w14:textId="4C10A7FC" w:rsidR="00951309" w:rsidRPr="00F9444F" w:rsidRDefault="00F07607" w:rsidP="00B64AC9">
            <w:pPr>
              <w:pStyle w:val="Tabletext"/>
              <w:spacing w:before="120" w:after="120"/>
              <w:ind w:left="57"/>
              <w:rPr>
                <w:lang w:val="es-ES_tradnl"/>
              </w:rPr>
            </w:pPr>
            <w:bookmarkStart w:id="3" w:name="_Hlk41899088"/>
            <w:r w:rsidRPr="00F9444F">
              <w:rPr>
                <w:b/>
                <w:bCs/>
                <w:lang w:val="es-ES_tradnl"/>
              </w:rPr>
              <w:t>Reunión virtual de</w:t>
            </w:r>
            <w:r w:rsidR="00B64AC9" w:rsidRPr="00F9444F">
              <w:rPr>
                <w:b/>
                <w:bCs/>
                <w:lang w:val="es-ES_tradnl"/>
              </w:rPr>
              <w:t xml:space="preserve">l Grupo Regional de la Comisión de Estudio 3 del UIT-T para </w:t>
            </w:r>
            <w:r w:rsidR="00D44B25" w:rsidRPr="00F9444F">
              <w:rPr>
                <w:b/>
                <w:bCs/>
                <w:lang w:val="es-ES_tradnl"/>
              </w:rPr>
              <w:t xml:space="preserve">América Latina </w:t>
            </w:r>
            <w:r w:rsidR="00B64AC9" w:rsidRPr="00F9444F">
              <w:rPr>
                <w:b/>
                <w:bCs/>
                <w:lang w:val="es-ES_tradnl"/>
              </w:rPr>
              <w:t>y el Caribe (GRCE3-LAC)</w:t>
            </w:r>
            <w:r w:rsidRPr="00F9444F">
              <w:rPr>
                <w:b/>
                <w:bCs/>
                <w:lang w:val="es-ES_tradnl"/>
              </w:rPr>
              <w:t xml:space="preserve">, </w:t>
            </w:r>
            <w:bookmarkEnd w:id="3"/>
            <w:r w:rsidR="00C747FC">
              <w:rPr>
                <w:b/>
                <w:bCs/>
                <w:lang w:val="es-ES_tradnl"/>
              </w:rPr>
              <w:t>12-14 de abril de 2021</w:t>
            </w:r>
          </w:p>
        </w:tc>
      </w:tr>
    </w:tbl>
    <w:p w14:paraId="40854A10" w14:textId="461AE0FD" w:rsidR="000B46FB" w:rsidRPr="00F9444F" w:rsidRDefault="000B46FB" w:rsidP="001C4B8C">
      <w:pPr>
        <w:spacing w:before="240"/>
        <w:rPr>
          <w:lang w:val="es-ES_tradnl"/>
        </w:rPr>
      </w:pPr>
      <w:r w:rsidRPr="00F9444F">
        <w:rPr>
          <w:lang w:val="es-ES_tradnl"/>
        </w:rPr>
        <w:t>Muy Señora mía/Muy Señor mío</w:t>
      </w:r>
      <w:r w:rsidR="006E3EA8">
        <w:rPr>
          <w:lang w:val="es-ES_tradnl"/>
        </w:rPr>
        <w:t>,</w:t>
      </w:r>
    </w:p>
    <w:p w14:paraId="1C232508" w14:textId="342B6A86" w:rsidR="00C92138" w:rsidRPr="00F9444F" w:rsidRDefault="001C0948" w:rsidP="000A10D5">
      <w:pPr>
        <w:rPr>
          <w:rFonts w:cstheme="minorHAnsi"/>
          <w:lang w:val="es-ES_tradnl"/>
        </w:rPr>
      </w:pPr>
      <w:r w:rsidRPr="00F9444F">
        <w:rPr>
          <w:lang w:val="es-ES_tradnl"/>
        </w:rPr>
        <w:t xml:space="preserve">Me complace invitarle a asistir a </w:t>
      </w:r>
      <w:bookmarkStart w:id="4" w:name="_Hlk39737428"/>
      <w:r w:rsidRPr="00F9444F">
        <w:rPr>
          <w:lang w:val="es-ES_tradnl"/>
        </w:rPr>
        <w:t>la próxima reunión</w:t>
      </w:r>
      <w:r w:rsidR="00B64AC9" w:rsidRPr="00F9444F">
        <w:rPr>
          <w:lang w:val="es-ES_tradnl"/>
        </w:rPr>
        <w:t xml:space="preserve"> del </w:t>
      </w:r>
      <w:r w:rsidR="00B64AC9" w:rsidRPr="00271540">
        <w:rPr>
          <w:b/>
          <w:lang w:val="es-ES_tradnl"/>
        </w:rPr>
        <w:t xml:space="preserve">Grupo Regional de la Comisión de Estudio 3 del UIT-T para </w:t>
      </w:r>
      <w:r w:rsidR="00D44B25" w:rsidRPr="00271540">
        <w:rPr>
          <w:b/>
          <w:lang w:val="es-ES_tradnl"/>
        </w:rPr>
        <w:t xml:space="preserve">América Latina </w:t>
      </w:r>
      <w:r w:rsidR="00B64AC9" w:rsidRPr="00271540">
        <w:rPr>
          <w:b/>
          <w:lang w:val="es-ES_tradnl"/>
        </w:rPr>
        <w:t>y el Caribe (GRCE3-LAC)</w:t>
      </w:r>
      <w:r w:rsidR="00B64AC9" w:rsidRPr="00F9444F">
        <w:rPr>
          <w:lang w:val="es-ES_tradnl"/>
        </w:rPr>
        <w:t xml:space="preserve">, </w:t>
      </w:r>
      <w:r w:rsidR="000A10D5" w:rsidRPr="00F9444F">
        <w:rPr>
          <w:lang w:val="es-ES_tradnl"/>
        </w:rPr>
        <w:t xml:space="preserve">que está previsto celebrar en formato completamente virtual del </w:t>
      </w:r>
      <w:r w:rsidR="00C747FC">
        <w:rPr>
          <w:lang w:val="es-ES_tradnl"/>
        </w:rPr>
        <w:t>12</w:t>
      </w:r>
      <w:r w:rsidR="00C747FC" w:rsidRPr="00F9444F">
        <w:rPr>
          <w:lang w:val="es-ES_tradnl"/>
        </w:rPr>
        <w:t xml:space="preserve"> </w:t>
      </w:r>
      <w:r w:rsidR="000A10D5" w:rsidRPr="00F9444F">
        <w:rPr>
          <w:lang w:val="es-ES_tradnl"/>
        </w:rPr>
        <w:t xml:space="preserve">al </w:t>
      </w:r>
      <w:r w:rsidR="00C747FC">
        <w:rPr>
          <w:lang w:val="es-ES_tradnl"/>
        </w:rPr>
        <w:t>14</w:t>
      </w:r>
      <w:r w:rsidR="00C747FC" w:rsidRPr="00F9444F">
        <w:rPr>
          <w:lang w:val="es-ES_tradnl"/>
        </w:rPr>
        <w:t xml:space="preserve"> </w:t>
      </w:r>
      <w:r w:rsidR="00B64AC9" w:rsidRPr="00F9444F">
        <w:rPr>
          <w:lang w:val="es-ES_tradnl"/>
        </w:rPr>
        <w:t xml:space="preserve">de </w:t>
      </w:r>
      <w:r w:rsidR="00C747FC">
        <w:rPr>
          <w:lang w:val="es-ES_tradnl"/>
        </w:rPr>
        <w:t>abril</w:t>
      </w:r>
      <w:r w:rsidR="00C747FC" w:rsidRPr="00F9444F">
        <w:rPr>
          <w:lang w:val="es-ES_tradnl"/>
        </w:rPr>
        <w:t xml:space="preserve"> </w:t>
      </w:r>
      <w:r w:rsidR="00B64AC9" w:rsidRPr="00F9444F">
        <w:rPr>
          <w:lang w:val="es-ES_tradnl"/>
        </w:rPr>
        <w:t xml:space="preserve">de </w:t>
      </w:r>
      <w:r w:rsidR="00C747FC" w:rsidRPr="00F9444F">
        <w:rPr>
          <w:lang w:val="es-ES_tradnl"/>
        </w:rPr>
        <w:t>202</w:t>
      </w:r>
      <w:r w:rsidR="00C747FC">
        <w:rPr>
          <w:lang w:val="es-ES_tradnl"/>
        </w:rPr>
        <w:t>1</w:t>
      </w:r>
      <w:r w:rsidR="000A10D5" w:rsidRPr="00F9444F">
        <w:rPr>
          <w:lang w:val="es-ES_tradnl"/>
        </w:rPr>
        <w:t xml:space="preserve">, </w:t>
      </w:r>
      <w:bookmarkEnd w:id="4"/>
      <w:r w:rsidRPr="00F9444F">
        <w:rPr>
          <w:lang w:val="es-ES_tradnl"/>
        </w:rPr>
        <w:t>ambos inclusive.</w:t>
      </w:r>
    </w:p>
    <w:p w14:paraId="392FFCE3" w14:textId="7A0CCE33" w:rsidR="008955F8" w:rsidRPr="00F9444F" w:rsidRDefault="00D7262C" w:rsidP="001C4B8C">
      <w:pPr>
        <w:rPr>
          <w:rFonts w:cstheme="minorHAnsi"/>
          <w:lang w:val="es-ES_tradnl"/>
        </w:rPr>
      </w:pPr>
      <w:r w:rsidRPr="00F9444F">
        <w:rPr>
          <w:lang w:val="es-ES_tradnl"/>
        </w:rPr>
        <w:t xml:space="preserve">Tenga </w:t>
      </w:r>
      <w:r w:rsidR="00F3799F" w:rsidRPr="00F9444F">
        <w:rPr>
          <w:lang w:val="es-ES_tradnl"/>
        </w:rPr>
        <w:t>presente</w:t>
      </w:r>
      <w:r w:rsidRPr="00F9444F">
        <w:rPr>
          <w:lang w:val="es-ES_tradnl"/>
        </w:rPr>
        <w:t xml:space="preserve"> que no se concederán becas y que la reunión se celebrará íntegramente en inglés, sin interpretación.</w:t>
      </w:r>
    </w:p>
    <w:p w14:paraId="761F11D1" w14:textId="289FFE08" w:rsidR="005B6EE3" w:rsidRPr="00F9444F" w:rsidRDefault="00690F23" w:rsidP="005B6EE3">
      <w:pPr>
        <w:spacing w:after="120"/>
        <w:rPr>
          <w:szCs w:val="22"/>
          <w:lang w:val="es-ES_tradnl"/>
        </w:rPr>
      </w:pPr>
      <w:bookmarkStart w:id="5" w:name="lt_pId042"/>
      <w:r w:rsidRPr="00F9444F">
        <w:rPr>
          <w:szCs w:val="22"/>
          <w:lang w:val="es-ES_tradnl"/>
        </w:rPr>
        <w:t xml:space="preserve">La reunión comenzará a las </w:t>
      </w:r>
      <w:r w:rsidR="005B6EE3" w:rsidRPr="00F9444F">
        <w:rPr>
          <w:szCs w:val="22"/>
          <w:lang w:val="es-ES_tradnl"/>
        </w:rPr>
        <w:t xml:space="preserve">16.00 </w:t>
      </w:r>
      <w:r w:rsidRPr="00F9444F">
        <w:rPr>
          <w:szCs w:val="22"/>
          <w:lang w:val="es-ES_tradnl"/>
        </w:rPr>
        <w:t xml:space="preserve">horas, hora de Ginebra, del primer día utilizando </w:t>
      </w:r>
      <w:bookmarkStart w:id="6" w:name="_Hlk41901999"/>
      <w:r w:rsidRPr="00F9444F">
        <w:rPr>
          <w:szCs w:val="22"/>
          <w:lang w:val="es-ES_tradnl"/>
        </w:rPr>
        <w:t xml:space="preserve">la </w:t>
      </w:r>
      <w:hyperlink r:id="rId11" w:history="1">
        <w:r w:rsidRPr="00F9444F">
          <w:rPr>
            <w:rStyle w:val="Hyperlink"/>
            <w:szCs w:val="22"/>
            <w:lang w:val="es-ES_tradnl"/>
          </w:rPr>
          <w:t>herramienta de participación a distancia MyMeetings</w:t>
        </w:r>
      </w:hyperlink>
      <w:r w:rsidRPr="00F9444F">
        <w:rPr>
          <w:szCs w:val="22"/>
          <w:lang w:val="es-ES_tradnl"/>
        </w:rPr>
        <w:t xml:space="preserve">. </w:t>
      </w:r>
      <w:bookmarkEnd w:id="5"/>
      <w:bookmarkEnd w:id="6"/>
    </w:p>
    <w:p w14:paraId="6B9D77B8" w14:textId="4093EDF3" w:rsidR="00A129C1" w:rsidRPr="00F9444F" w:rsidRDefault="00A129C1" w:rsidP="009F7D9F">
      <w:pPr>
        <w:pStyle w:val="Headingb"/>
        <w:spacing w:after="120"/>
        <w:rPr>
          <w:lang w:val="es-ES_tradnl"/>
        </w:rPr>
      </w:pPr>
      <w:r w:rsidRPr="00F9444F">
        <w:rPr>
          <w:lang w:val="es-ES_tradnl"/>
        </w:rPr>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025A7B" w:rsidRPr="00F9444F" w14:paraId="771886C9" w14:textId="77777777" w:rsidTr="00F3799F">
        <w:tc>
          <w:tcPr>
            <w:tcW w:w="2695" w:type="dxa"/>
            <w:shd w:val="clear" w:color="auto" w:fill="auto"/>
            <w:vAlign w:val="center"/>
          </w:tcPr>
          <w:p w14:paraId="1306B493" w14:textId="57A9BD1F" w:rsidR="00025A7B" w:rsidRPr="00F9444F" w:rsidRDefault="005B6EE3" w:rsidP="00690F23">
            <w:pPr>
              <w:pStyle w:val="TableText0"/>
              <w:keepNext/>
              <w:keepLines/>
              <w:jc w:val="center"/>
              <w:rPr>
                <w:rFonts w:asciiTheme="minorHAnsi" w:hAnsiTheme="minorHAnsi"/>
                <w:szCs w:val="22"/>
                <w:lang w:val="es-ES_tradnl"/>
              </w:rPr>
            </w:pPr>
            <w:r w:rsidRPr="00F9444F">
              <w:rPr>
                <w:rFonts w:asciiTheme="minorHAnsi" w:hAnsiTheme="minorHAnsi"/>
                <w:szCs w:val="22"/>
                <w:lang w:val="es-ES_tradnl"/>
              </w:rPr>
              <w:t>15</w:t>
            </w:r>
            <w:r w:rsidR="00A27EEA" w:rsidRPr="00F9444F">
              <w:rPr>
                <w:rFonts w:asciiTheme="minorHAnsi" w:hAnsiTheme="minorHAnsi"/>
                <w:szCs w:val="22"/>
                <w:lang w:val="es-ES_tradnl"/>
              </w:rPr>
              <w:t xml:space="preserve"> de </w:t>
            </w:r>
            <w:r w:rsidR="00C747FC">
              <w:rPr>
                <w:rFonts w:asciiTheme="minorHAnsi" w:hAnsiTheme="minorHAnsi"/>
                <w:szCs w:val="22"/>
                <w:lang w:val="es-ES_tradnl"/>
              </w:rPr>
              <w:t>marzo de 2021</w:t>
            </w:r>
          </w:p>
        </w:tc>
        <w:tc>
          <w:tcPr>
            <w:tcW w:w="6953" w:type="dxa"/>
            <w:shd w:val="clear" w:color="auto" w:fill="auto"/>
          </w:tcPr>
          <w:p w14:paraId="4DBD6D57" w14:textId="1F591345" w:rsidR="00025A7B" w:rsidRPr="00F9444F" w:rsidRDefault="005B6EE3" w:rsidP="00FE0026">
            <w:pPr>
              <w:pStyle w:val="TableText0"/>
              <w:keepNext/>
              <w:keepLines/>
              <w:ind w:left="172" w:hanging="207"/>
              <w:rPr>
                <w:rFonts w:asciiTheme="minorHAnsi" w:hAnsiTheme="minorHAnsi"/>
                <w:szCs w:val="22"/>
                <w:lang w:val="es-ES_tradnl"/>
              </w:rPr>
            </w:pPr>
            <w:r w:rsidRPr="00F9444F">
              <w:rPr>
                <w:lang w:val="es-ES_tradnl"/>
              </w:rPr>
              <w:t>–</w:t>
            </w:r>
            <w:r w:rsidRPr="00F9444F">
              <w:rPr>
                <w:lang w:val="es-ES_tradnl"/>
              </w:rPr>
              <w:tab/>
            </w:r>
            <w:r w:rsidRPr="00F9444F">
              <w:rPr>
                <w:rFonts w:asciiTheme="minorHAnsi" w:hAnsiTheme="minorHAnsi"/>
                <w:lang w:val="es-ES_tradnl"/>
              </w:rPr>
              <w:t xml:space="preserve">inscripción (en línea </w:t>
            </w:r>
            <w:r w:rsidR="00690F23" w:rsidRPr="00F9444F">
              <w:rPr>
                <w:rFonts w:asciiTheme="minorHAnsi" w:hAnsiTheme="minorHAnsi"/>
                <w:lang w:val="es-ES_tradnl"/>
              </w:rPr>
              <w:t xml:space="preserve">a través </w:t>
            </w:r>
            <w:r w:rsidRPr="00F9444F">
              <w:rPr>
                <w:rFonts w:asciiTheme="minorHAnsi" w:hAnsiTheme="minorHAnsi"/>
                <w:lang w:val="es-ES_tradnl"/>
              </w:rPr>
              <w:t xml:space="preserve">de la </w:t>
            </w:r>
            <w:hyperlink r:id="rId12" w:history="1">
              <w:r w:rsidRPr="00F9444F">
                <w:rPr>
                  <w:rStyle w:val="Hyperlink"/>
                  <w:rFonts w:asciiTheme="minorHAnsi" w:hAnsiTheme="minorHAnsi"/>
                  <w:lang w:val="es-ES_tradnl"/>
                </w:rPr>
                <w:t>página principal de</w:t>
              </w:r>
              <w:r w:rsidR="00FE0026" w:rsidRPr="00F9444F">
                <w:rPr>
                  <w:rStyle w:val="Hyperlink"/>
                  <w:rFonts w:asciiTheme="minorHAnsi" w:hAnsiTheme="minorHAnsi"/>
                  <w:lang w:val="es-ES_tradnl"/>
                </w:rPr>
                <w:t>l Grupo Regional</w:t>
              </w:r>
            </w:hyperlink>
            <w:r w:rsidRPr="00F9444F">
              <w:rPr>
                <w:rFonts w:asciiTheme="minorHAnsi" w:hAnsiTheme="minorHAnsi"/>
                <w:lang w:val="es-ES_tradnl"/>
              </w:rPr>
              <w:t>)</w:t>
            </w:r>
          </w:p>
        </w:tc>
      </w:tr>
      <w:tr w:rsidR="00BC398D" w:rsidRPr="00F9444F" w14:paraId="65C07B2D" w14:textId="77777777" w:rsidTr="00F3799F">
        <w:tc>
          <w:tcPr>
            <w:tcW w:w="2695" w:type="dxa"/>
            <w:shd w:val="clear" w:color="auto" w:fill="auto"/>
            <w:vAlign w:val="center"/>
          </w:tcPr>
          <w:p w14:paraId="6158C20F" w14:textId="31C0B75C" w:rsidR="00BC398D" w:rsidRPr="00F9444F" w:rsidRDefault="00C747FC" w:rsidP="00690F23">
            <w:pPr>
              <w:pStyle w:val="TableText0"/>
              <w:jc w:val="center"/>
              <w:rPr>
                <w:rFonts w:asciiTheme="minorHAnsi" w:hAnsiTheme="minorHAnsi"/>
                <w:szCs w:val="22"/>
                <w:lang w:val="es-ES_tradnl"/>
              </w:rPr>
            </w:pPr>
            <w:r>
              <w:rPr>
                <w:rFonts w:asciiTheme="minorHAnsi" w:hAnsiTheme="minorHAnsi"/>
                <w:szCs w:val="22"/>
                <w:lang w:val="es-ES_tradnl"/>
              </w:rPr>
              <w:t>30 de marzo de 2021</w:t>
            </w:r>
          </w:p>
        </w:tc>
        <w:tc>
          <w:tcPr>
            <w:tcW w:w="6953" w:type="dxa"/>
            <w:shd w:val="clear" w:color="auto" w:fill="auto"/>
          </w:tcPr>
          <w:p w14:paraId="2519B1A3" w14:textId="095AA655" w:rsidR="00BC398D" w:rsidRPr="00F9444F" w:rsidRDefault="005F4BA8" w:rsidP="002C62C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es-ES_tradnl"/>
              </w:rPr>
            </w:pPr>
            <w:r w:rsidRPr="00F9444F">
              <w:rPr>
                <w:lang w:val="es-ES_tradnl"/>
              </w:rPr>
              <w:t>–</w:t>
            </w:r>
            <w:r w:rsidRPr="00F9444F">
              <w:rPr>
                <w:lang w:val="es-ES_tradnl"/>
              </w:rPr>
              <w:tab/>
            </w:r>
            <w:r w:rsidR="00BB2F68" w:rsidRPr="00F9444F">
              <w:rPr>
                <w:rFonts w:asciiTheme="minorHAnsi" w:hAnsiTheme="minorHAnsi"/>
                <w:szCs w:val="22"/>
                <w:lang w:val="es-ES_tradnl"/>
              </w:rPr>
              <w:t>p</w:t>
            </w:r>
            <w:r w:rsidR="00BC398D" w:rsidRPr="00F9444F">
              <w:rPr>
                <w:rFonts w:asciiTheme="minorHAnsi" w:hAnsiTheme="minorHAnsi"/>
                <w:szCs w:val="22"/>
                <w:lang w:val="es-ES_tradnl"/>
              </w:rPr>
              <w:t>resentación de las contribuciones de los Miembros del UIT-T (</w:t>
            </w:r>
            <w:r w:rsidR="00690F23" w:rsidRPr="00F9444F">
              <w:rPr>
                <w:rFonts w:asciiTheme="minorHAnsi" w:hAnsiTheme="minorHAnsi"/>
                <w:szCs w:val="22"/>
                <w:lang w:val="es-ES_tradnl"/>
              </w:rPr>
              <w:t>por</w:t>
            </w:r>
            <w:r w:rsidR="002C62C9">
              <w:rPr>
                <w:rFonts w:asciiTheme="minorHAnsi" w:hAnsiTheme="minorHAnsi"/>
                <w:szCs w:val="22"/>
                <w:lang w:val="es-ES_tradnl"/>
              </w:rPr>
              <w:t> </w:t>
            </w:r>
            <w:r w:rsidR="00690F23" w:rsidRPr="00F9444F">
              <w:rPr>
                <w:rFonts w:asciiTheme="minorHAnsi" w:hAnsiTheme="minorHAnsi"/>
                <w:szCs w:val="22"/>
                <w:lang w:val="es-ES_tradnl"/>
              </w:rPr>
              <w:t>correo-e a</w:t>
            </w:r>
            <w:r w:rsidR="005B6EE3" w:rsidRPr="00F9444F">
              <w:rPr>
                <w:rFonts w:asciiTheme="minorHAnsi" w:hAnsiTheme="minorHAnsi"/>
                <w:szCs w:val="22"/>
                <w:lang w:val="es-ES_tradnl"/>
              </w:rPr>
              <w:t xml:space="preserve"> </w:t>
            </w:r>
            <w:hyperlink r:id="rId13" w:history="1">
              <w:r w:rsidR="005B6EE3" w:rsidRPr="00F9444F">
                <w:rPr>
                  <w:rStyle w:val="Hyperlink"/>
                  <w:rFonts w:asciiTheme="minorHAnsi" w:hAnsiTheme="minorHAnsi"/>
                  <w:szCs w:val="22"/>
                  <w:lang w:val="es-ES_tradnl"/>
                </w:rPr>
                <w:t>tsbsg3@itu.int</w:t>
              </w:r>
            </w:hyperlink>
            <w:r w:rsidR="00BC398D" w:rsidRPr="00F9444F">
              <w:rPr>
                <w:rFonts w:asciiTheme="minorHAnsi" w:hAnsiTheme="minorHAnsi"/>
                <w:szCs w:val="22"/>
                <w:lang w:val="es-ES_tradnl"/>
              </w:rPr>
              <w:t>)</w:t>
            </w:r>
          </w:p>
        </w:tc>
      </w:tr>
    </w:tbl>
    <w:p w14:paraId="06BE3896" w14:textId="65AD6FEA" w:rsidR="002C2F80" w:rsidRPr="00F9444F" w:rsidRDefault="00E617E9" w:rsidP="00690F23">
      <w:pPr>
        <w:spacing w:before="240"/>
        <w:rPr>
          <w:lang w:val="es-ES_tradnl"/>
        </w:rPr>
      </w:pPr>
      <w:r w:rsidRPr="00F9444F">
        <w:rPr>
          <w:lang w:val="es-ES_tradnl"/>
        </w:rPr>
        <w:t xml:space="preserve">En el </w:t>
      </w:r>
      <w:r w:rsidRPr="00F9444F">
        <w:rPr>
          <w:b/>
          <w:bCs/>
          <w:lang w:val="es-ES_tradnl"/>
        </w:rPr>
        <w:t>Anexo A</w:t>
      </w:r>
      <w:r w:rsidRPr="00F9444F">
        <w:rPr>
          <w:lang w:val="es-ES_tradnl"/>
        </w:rPr>
        <w:t xml:space="preserve"> se facilita información práctica. </w:t>
      </w:r>
      <w:r w:rsidR="00690F23" w:rsidRPr="00F9444F">
        <w:rPr>
          <w:lang w:val="es-ES_tradnl"/>
        </w:rPr>
        <w:t xml:space="preserve">En el </w:t>
      </w:r>
      <w:r w:rsidR="00690F23" w:rsidRPr="00F9444F">
        <w:rPr>
          <w:b/>
          <w:bCs/>
          <w:lang w:val="es-ES_tradnl"/>
        </w:rPr>
        <w:t>Anexo B</w:t>
      </w:r>
      <w:r w:rsidR="00690F23" w:rsidRPr="00F9444F">
        <w:rPr>
          <w:lang w:val="es-ES_tradnl"/>
        </w:rPr>
        <w:t xml:space="preserve"> figura e</w:t>
      </w:r>
      <w:r w:rsidRPr="00F9444F">
        <w:rPr>
          <w:lang w:val="es-ES_tradnl"/>
        </w:rPr>
        <w:t xml:space="preserve">l proyecto de </w:t>
      </w:r>
      <w:r w:rsidRPr="00F9444F">
        <w:rPr>
          <w:b/>
          <w:bCs/>
          <w:lang w:val="es-ES_tradnl"/>
        </w:rPr>
        <w:t>orden del día</w:t>
      </w:r>
      <w:r w:rsidRPr="00F9444F">
        <w:rPr>
          <w:lang w:val="es-ES_tradnl"/>
        </w:rPr>
        <w:t xml:space="preserve"> de la reunión, preparado por </w:t>
      </w:r>
      <w:r w:rsidR="00C747FC">
        <w:rPr>
          <w:lang w:val="es-ES_tradnl"/>
        </w:rPr>
        <w:t xml:space="preserve">el Sr. </w:t>
      </w:r>
      <w:r w:rsidR="00690F23" w:rsidRPr="00F9444F">
        <w:rPr>
          <w:lang w:val="es-ES_tradnl"/>
        </w:rPr>
        <w:t>Tito López</w:t>
      </w:r>
      <w:r w:rsidRPr="00F9444F">
        <w:rPr>
          <w:lang w:val="es-ES_tradnl"/>
        </w:rPr>
        <w:t xml:space="preserve"> (</w:t>
      </w:r>
      <w:r w:rsidR="00690F23" w:rsidRPr="00F9444F">
        <w:rPr>
          <w:lang w:val="es-ES_tradnl"/>
        </w:rPr>
        <w:t>Paraguay)</w:t>
      </w:r>
      <w:r w:rsidRPr="00F9444F">
        <w:rPr>
          <w:lang w:val="es-ES_tradnl"/>
        </w:rPr>
        <w:t>.</w:t>
      </w:r>
    </w:p>
    <w:p w14:paraId="2077CE2B" w14:textId="77777777" w:rsidR="000B46FB" w:rsidRPr="00F9444F" w:rsidRDefault="001C0948" w:rsidP="00690F23">
      <w:pPr>
        <w:keepNext/>
        <w:keepLines/>
        <w:spacing w:before="240"/>
        <w:rPr>
          <w:lang w:val="es-ES_tradnl"/>
        </w:rPr>
      </w:pPr>
      <w:r w:rsidRPr="00F9444F">
        <w:rPr>
          <w:lang w:val="es-ES_tradnl"/>
        </w:rPr>
        <w:t>Le deseo una reunión productiva y agradable.</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F9444F" w14:paraId="3FB46215" w14:textId="77777777" w:rsidTr="001C4B8C">
        <w:trPr>
          <w:cantSplit/>
          <w:trHeight w:val="1955"/>
        </w:trPr>
        <w:tc>
          <w:tcPr>
            <w:tcW w:w="6753" w:type="dxa"/>
            <w:vMerge w:val="restart"/>
            <w:tcBorders>
              <w:right w:val="single" w:sz="4" w:space="0" w:color="auto"/>
            </w:tcBorders>
          </w:tcPr>
          <w:p w14:paraId="3903704B" w14:textId="32937278" w:rsidR="00415D86" w:rsidRPr="00F9444F" w:rsidRDefault="00415D86" w:rsidP="00690F23">
            <w:pPr>
              <w:keepNext/>
              <w:keepLines/>
              <w:spacing w:before="480"/>
              <w:rPr>
                <w:lang w:val="es-ES_tradnl"/>
              </w:rPr>
            </w:pPr>
            <w:r w:rsidRPr="00F9444F">
              <w:rPr>
                <w:lang w:val="es-ES_tradnl"/>
              </w:rPr>
              <w:t>Atentamente,</w:t>
            </w:r>
          </w:p>
          <w:p w14:paraId="0D1E21D4" w14:textId="5D9B35FE" w:rsidR="0057770B" w:rsidRPr="00F9444F" w:rsidRDefault="006B49EA" w:rsidP="00A22ACD">
            <w:pPr>
              <w:keepNext/>
              <w:keepLines/>
              <w:spacing w:before="960"/>
              <w:rPr>
                <w:lang w:val="es-ES_tradnl"/>
              </w:rPr>
            </w:pPr>
            <w:r w:rsidRPr="00F9444F">
              <w:rPr>
                <w:noProof/>
                <w:lang w:val="es-ES_tradnl"/>
              </w:rPr>
              <w:drawing>
                <wp:anchor distT="0" distB="0" distL="114300" distR="114300" simplePos="0" relativeHeight="251659264" behindDoc="1" locked="0" layoutInCell="1" allowOverlap="1" wp14:anchorId="27552617" wp14:editId="2D8BD4E2">
                  <wp:simplePos x="0" y="0"/>
                  <wp:positionH relativeFrom="column">
                    <wp:posOffset>-12700</wp:posOffset>
                  </wp:positionH>
                  <wp:positionV relativeFrom="paragraph">
                    <wp:posOffset>149225</wp:posOffset>
                  </wp:positionV>
                  <wp:extent cx="803652" cy="36195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4">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415D86" w:rsidRPr="00F9444F">
              <w:rPr>
                <w:lang w:val="es-ES_tradnl"/>
              </w:rPr>
              <w:t>Chaesub Lee</w:t>
            </w:r>
            <w:r w:rsidR="00415D86" w:rsidRPr="00F9444F">
              <w:rPr>
                <w:lang w:val="es-ES_tradnl"/>
              </w:rPr>
              <w:br/>
            </w:r>
            <w:proofErr w:type="gramStart"/>
            <w:r w:rsidR="00415D86" w:rsidRPr="00F9444F">
              <w:rPr>
                <w:lang w:val="es-ES_tradnl"/>
              </w:rPr>
              <w:t>Director</w:t>
            </w:r>
            <w:proofErr w:type="gramEnd"/>
            <w:r w:rsidR="00415D86" w:rsidRPr="00F9444F">
              <w:rPr>
                <w:lang w:val="es-ES_tradnl"/>
              </w:rPr>
              <w:t xml:space="preserve"> de la Oficina de Normalización</w:t>
            </w:r>
            <w:r w:rsidR="00A22ACD">
              <w:rPr>
                <w:lang w:val="es-ES_tradnl"/>
              </w:rPr>
              <w:br/>
            </w:r>
            <w:r w:rsidR="00415D86" w:rsidRPr="00F9444F">
              <w:rPr>
                <w:lang w:val="es-ES_tradnl"/>
              </w:rPr>
              <w:t>de las Telecomunicaciones</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0CB4111B" w:rsidR="0057770B" w:rsidRPr="00F9444F" w:rsidRDefault="003F0F77" w:rsidP="00690F23">
            <w:pPr>
              <w:keepNext/>
              <w:keepLines/>
              <w:spacing w:before="0"/>
              <w:ind w:left="113" w:right="113"/>
              <w:jc w:val="center"/>
              <w:rPr>
                <w:lang w:val="es-ES_tradnl"/>
              </w:rPr>
            </w:pPr>
            <w:r>
              <w:rPr>
                <w:noProof/>
                <w:lang w:val="en-US"/>
              </w:rPr>
              <w:drawing>
                <wp:inline distT="0" distB="0" distL="0" distR="0" wp14:anchorId="7300DF05" wp14:editId="0378B516">
                  <wp:extent cx="953403" cy="9534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30" cy="986130"/>
                          </a:xfrm>
                          <a:prstGeom prst="rect">
                            <a:avLst/>
                          </a:prstGeom>
                          <a:noFill/>
                          <a:ln>
                            <a:noFill/>
                          </a:ln>
                        </pic:spPr>
                      </pic:pic>
                    </a:graphicData>
                  </a:graphic>
                </wp:inline>
              </w:drawing>
            </w:r>
            <w:r w:rsidR="00253664" w:rsidRPr="00F9444F">
              <w:rPr>
                <w:sz w:val="16"/>
                <w:lang w:val="es-ES_tradnl"/>
              </w:rPr>
              <w:t xml:space="preserve"> </w:t>
            </w:r>
            <w:r w:rsidR="00253664" w:rsidRPr="00F9444F">
              <w:rPr>
                <w:rFonts w:ascii="Calibri" w:hAnsi="Calibri"/>
                <w:sz w:val="20"/>
                <w:lang w:val="es-ES_tradnl"/>
              </w:rPr>
              <w:t>UIT-T GRCE3-LAC</w:t>
            </w:r>
          </w:p>
        </w:tc>
      </w:tr>
      <w:tr w:rsidR="0057770B" w:rsidRPr="00F9444F" w14:paraId="333562F7" w14:textId="77777777" w:rsidTr="001C4B8C">
        <w:trPr>
          <w:cantSplit/>
          <w:trHeight w:val="227"/>
        </w:trPr>
        <w:tc>
          <w:tcPr>
            <w:tcW w:w="6753" w:type="dxa"/>
            <w:vMerge/>
            <w:tcBorders>
              <w:right w:val="single" w:sz="4" w:space="0" w:color="auto"/>
            </w:tcBorders>
          </w:tcPr>
          <w:p w14:paraId="06238F48" w14:textId="77777777" w:rsidR="0057770B" w:rsidRPr="00F9444F" w:rsidRDefault="0057770B" w:rsidP="00690F23">
            <w:pPr>
              <w:spacing w:before="480"/>
              <w:rPr>
                <w:lang w:val="es-ES_tradnl"/>
              </w:rPr>
            </w:pPr>
          </w:p>
        </w:tc>
        <w:tc>
          <w:tcPr>
            <w:tcW w:w="3118" w:type="dxa"/>
            <w:tcBorders>
              <w:left w:val="single" w:sz="4" w:space="0" w:color="auto"/>
              <w:bottom w:val="single" w:sz="4" w:space="0" w:color="auto"/>
              <w:right w:val="single" w:sz="4" w:space="0" w:color="auto"/>
            </w:tcBorders>
            <w:vAlign w:val="center"/>
          </w:tcPr>
          <w:p w14:paraId="1D3C73DB" w14:textId="33E5943F" w:rsidR="0057770B" w:rsidRPr="00F9444F" w:rsidRDefault="00415D86" w:rsidP="00690F23">
            <w:pPr>
              <w:spacing w:before="0"/>
              <w:jc w:val="center"/>
              <w:rPr>
                <w:rFonts w:ascii="Calibri" w:eastAsia="SimSun" w:hAnsi="Calibri" w:cs="Arial"/>
                <w:noProof/>
                <w:sz w:val="16"/>
                <w:szCs w:val="16"/>
                <w:lang w:val="es-ES_tradnl"/>
              </w:rPr>
            </w:pPr>
            <w:r w:rsidRPr="00F9444F">
              <w:rPr>
                <w:sz w:val="20"/>
                <w:szCs w:val="18"/>
                <w:lang w:val="es-ES_tradnl"/>
              </w:rPr>
              <w:t>Información más reciente</w:t>
            </w:r>
            <w:r w:rsidRPr="00F9444F">
              <w:rPr>
                <w:sz w:val="20"/>
                <w:szCs w:val="18"/>
                <w:lang w:val="es-ES_tradnl"/>
              </w:rPr>
              <w:br/>
            </w:r>
            <w:r w:rsidR="0057770B" w:rsidRPr="00F9444F">
              <w:rPr>
                <w:sz w:val="20"/>
                <w:szCs w:val="18"/>
                <w:lang w:val="es-ES_tradnl"/>
              </w:rPr>
              <w:t>sobre la reunión</w:t>
            </w:r>
          </w:p>
        </w:tc>
      </w:tr>
    </w:tbl>
    <w:p w14:paraId="22225F5F" w14:textId="458E1D9B" w:rsidR="00384E5D" w:rsidRPr="00F9444F" w:rsidRDefault="0024485F" w:rsidP="00690F23">
      <w:pPr>
        <w:spacing w:before="240"/>
        <w:rPr>
          <w:lang w:val="es-ES_tradnl"/>
        </w:rPr>
      </w:pPr>
      <w:r w:rsidRPr="00F9444F">
        <w:rPr>
          <w:b/>
          <w:bCs/>
          <w:lang w:val="es-ES_tradnl"/>
        </w:rPr>
        <w:t>Anexos</w:t>
      </w:r>
      <w:r w:rsidRPr="00F9444F">
        <w:rPr>
          <w:lang w:val="es-ES_tradnl"/>
        </w:rPr>
        <w:t>: 2</w:t>
      </w:r>
      <w:r w:rsidRPr="00F9444F">
        <w:rPr>
          <w:lang w:val="es-ES_tradnl"/>
        </w:rPr>
        <w:br w:type="page"/>
      </w:r>
    </w:p>
    <w:p w14:paraId="1BB1777C" w14:textId="61867C9D" w:rsidR="00AC2918" w:rsidRPr="00F9444F" w:rsidRDefault="00D33EE4" w:rsidP="00442C9B">
      <w:pPr>
        <w:pStyle w:val="Annextitle"/>
        <w:rPr>
          <w:lang w:val="es-ES_tradnl"/>
        </w:rPr>
      </w:pPr>
      <w:r w:rsidRPr="00F9444F">
        <w:rPr>
          <w:lang w:val="es-ES_tradnl"/>
        </w:rPr>
        <w:lastRenderedPageBreak/>
        <w:t>ANEXO A</w:t>
      </w:r>
      <w:r w:rsidR="0000653E" w:rsidRPr="00F9444F">
        <w:rPr>
          <w:lang w:val="es-ES_tradnl"/>
        </w:rPr>
        <w:br/>
      </w:r>
      <w:r w:rsidRPr="00F9444F">
        <w:rPr>
          <w:lang w:val="es-ES_tradnl"/>
        </w:rPr>
        <w:br/>
        <w:t>Información práctica sobre la reunión</w:t>
      </w:r>
    </w:p>
    <w:p w14:paraId="02419DD4" w14:textId="77777777" w:rsidR="00384E5D" w:rsidRPr="00F9444F" w:rsidRDefault="00384E5D" w:rsidP="00D442B4">
      <w:pPr>
        <w:tabs>
          <w:tab w:val="left" w:pos="1418"/>
          <w:tab w:val="left" w:pos="1702"/>
          <w:tab w:val="left" w:pos="2160"/>
        </w:tabs>
        <w:spacing w:before="80" w:after="120"/>
        <w:ind w:right="91"/>
        <w:jc w:val="center"/>
        <w:rPr>
          <w:b/>
          <w:bCs/>
          <w:szCs w:val="24"/>
          <w:lang w:val="es-ES_tradnl"/>
        </w:rPr>
      </w:pPr>
      <w:r w:rsidRPr="00F9444F">
        <w:rPr>
          <w:b/>
          <w:bCs/>
          <w:szCs w:val="24"/>
          <w:lang w:val="es-ES_tradnl"/>
        </w:rPr>
        <w:t>MÉTODOS DE TRABAJO E INSTALACIONES</w:t>
      </w:r>
    </w:p>
    <w:p w14:paraId="2A506FF6" w14:textId="2D8B3B10" w:rsidR="00B61795" w:rsidRPr="00F9444F" w:rsidRDefault="00B61795" w:rsidP="009F7D9F">
      <w:pPr>
        <w:spacing w:before="360" w:after="120"/>
        <w:rPr>
          <w:rFonts w:eastAsia="SimSun"/>
          <w:b/>
          <w:bCs/>
          <w:szCs w:val="22"/>
          <w:lang w:val="es-ES_tradnl"/>
        </w:rPr>
      </w:pPr>
      <w:r w:rsidRPr="00F9444F">
        <w:rPr>
          <w:b/>
          <w:bCs/>
          <w:szCs w:val="22"/>
          <w:lang w:val="es-ES_tradnl"/>
        </w:rPr>
        <w:t>PRESENTACIÓN DE DOCUMENTOS Y ACCESO A LOS MISMOS</w:t>
      </w:r>
      <w:r w:rsidRPr="00F9444F">
        <w:rPr>
          <w:lang w:val="es-ES_tradnl"/>
        </w:rPr>
        <w:t>:</w:t>
      </w:r>
      <w:r w:rsidRPr="00F9444F">
        <w:rPr>
          <w:b/>
          <w:bCs/>
          <w:szCs w:val="22"/>
          <w:lang w:val="es-ES_tradnl"/>
        </w:rPr>
        <w:t xml:space="preserve"> </w:t>
      </w:r>
      <w:r w:rsidRPr="00F9444F">
        <w:rPr>
          <w:lang w:val="es-ES_tradnl"/>
        </w:rPr>
        <w:t xml:space="preserve">Las contribuciones de los Miembros </w:t>
      </w:r>
      <w:r w:rsidR="00690F23" w:rsidRPr="00F9444F">
        <w:rPr>
          <w:lang w:val="es-ES_tradnl"/>
        </w:rPr>
        <w:t xml:space="preserve">y los proyectos de DT </w:t>
      </w:r>
      <w:r w:rsidRPr="00F9444F">
        <w:rPr>
          <w:lang w:val="es-ES_tradnl"/>
        </w:rPr>
        <w:t xml:space="preserve">deben remitirse por correo-e a la </w:t>
      </w:r>
      <w:r w:rsidR="00690F23" w:rsidRPr="00F9444F">
        <w:rPr>
          <w:lang w:val="es-ES_tradnl"/>
        </w:rPr>
        <w:t xml:space="preserve">dirección </w:t>
      </w:r>
      <w:hyperlink r:id="rId16" w:history="1">
        <w:r w:rsidR="00690F23" w:rsidRPr="00F9444F">
          <w:rPr>
            <w:rStyle w:val="Hyperlink"/>
            <w:lang w:val="es-ES_tradnl"/>
          </w:rPr>
          <w:t>tsbsg3@itu.int</w:t>
        </w:r>
      </w:hyperlink>
      <w:r w:rsidR="00690F23" w:rsidRPr="00F9444F">
        <w:rPr>
          <w:lang w:val="es-ES_tradnl"/>
        </w:rPr>
        <w:t xml:space="preserve"> </w:t>
      </w:r>
      <w:r w:rsidRPr="00F9444F">
        <w:rPr>
          <w:lang w:val="es-ES_tradnl"/>
        </w:rPr>
        <w:t xml:space="preserve">utilizando la </w:t>
      </w:r>
      <w:hyperlink r:id="rId17" w:history="1">
        <w:r w:rsidRPr="00F9444F">
          <w:rPr>
            <w:rStyle w:val="Hyperlink"/>
            <w:lang w:val="es-ES_tradnl"/>
          </w:rPr>
          <w:t>plantilla correspondiente</w:t>
        </w:r>
      </w:hyperlink>
      <w:r w:rsidRPr="00F9444F">
        <w:rPr>
          <w:lang w:val="es-ES_tradnl"/>
        </w:rPr>
        <w:t xml:space="preserve">. El acceso a los documentos de la reunión se facilita a partir de la página principal de la Comisión de Estudio, y está restringido a los Miembros del UIT-T que disponen de </w:t>
      </w:r>
      <w:hyperlink r:id="rId18" w:history="1">
        <w:r w:rsidRPr="00F9444F">
          <w:rPr>
            <w:rStyle w:val="Hyperlink"/>
            <w:lang w:val="es-ES_tradnl"/>
          </w:rPr>
          <w:t>cuenta de usuario de la UIT</w:t>
        </w:r>
      </w:hyperlink>
      <w:r w:rsidRPr="00F9444F">
        <w:rPr>
          <w:lang w:val="es-ES_tradnl"/>
        </w:rPr>
        <w:t xml:space="preserve"> con acceso TIES.</w:t>
      </w:r>
    </w:p>
    <w:p w14:paraId="6AE3EEB5" w14:textId="2677B779" w:rsidR="00384E5D" w:rsidRPr="00F9444F" w:rsidRDefault="005B6EE3" w:rsidP="00E04D7C">
      <w:pPr>
        <w:rPr>
          <w:szCs w:val="22"/>
          <w:lang w:val="es-ES_tradnl"/>
        </w:rPr>
      </w:pPr>
      <w:r w:rsidRPr="00F9444F">
        <w:rPr>
          <w:b/>
          <w:bCs/>
          <w:szCs w:val="22"/>
          <w:lang w:val="es-ES_tradnl"/>
        </w:rPr>
        <w:t>IDIOMA DE TRABAJO</w:t>
      </w:r>
      <w:r w:rsidR="00D43416" w:rsidRPr="00F9444F">
        <w:rPr>
          <w:lang w:val="es-ES_tradnl"/>
        </w:rPr>
        <w:t xml:space="preserve">: </w:t>
      </w:r>
      <w:r w:rsidR="00690F23" w:rsidRPr="00F9444F">
        <w:rPr>
          <w:lang w:val="es-ES_tradnl"/>
        </w:rPr>
        <w:t>De acuerdo con el Presidente del Grupo, el idioma de trabajo de la</w:t>
      </w:r>
      <w:r w:rsidR="00D43416" w:rsidRPr="00F9444F">
        <w:rPr>
          <w:lang w:val="es-ES_tradnl"/>
        </w:rPr>
        <w:t xml:space="preserve"> reunión </w:t>
      </w:r>
      <w:r w:rsidR="00690F23" w:rsidRPr="00F9444F">
        <w:rPr>
          <w:lang w:val="es-ES_tradnl"/>
        </w:rPr>
        <w:t>será únicamente el</w:t>
      </w:r>
      <w:r w:rsidR="00D43416" w:rsidRPr="00F9444F">
        <w:rPr>
          <w:lang w:val="es-ES_tradnl"/>
        </w:rPr>
        <w:t xml:space="preserve"> inglés.</w:t>
      </w:r>
    </w:p>
    <w:p w14:paraId="7DCDABBF" w14:textId="6F3C4C92" w:rsidR="00601975" w:rsidRPr="00F9444F" w:rsidRDefault="009560AB" w:rsidP="00E04D7C">
      <w:pPr>
        <w:snapToGrid w:val="0"/>
        <w:spacing w:after="120"/>
        <w:rPr>
          <w:szCs w:val="22"/>
          <w:lang w:val="es-ES_tradnl"/>
        </w:rPr>
      </w:pPr>
      <w:r w:rsidRPr="00F9444F">
        <w:rPr>
          <w:b/>
          <w:bCs/>
          <w:szCs w:val="22"/>
          <w:lang w:val="es-ES_tradnl"/>
        </w:rPr>
        <w:t>PARTICIPACIÓN INTERACTIVA A DISTANCIA</w:t>
      </w:r>
      <w:r w:rsidRPr="00F9444F">
        <w:rPr>
          <w:lang w:val="es-ES_tradnl"/>
        </w:rPr>
        <w:t xml:space="preserve">: Se utilizará la herramienta </w:t>
      </w:r>
      <w:hyperlink r:id="rId19" w:history="1">
        <w:r w:rsidRPr="00F9444F">
          <w:rPr>
            <w:rStyle w:val="Hyperlink"/>
            <w:lang w:val="es-ES_tradnl"/>
          </w:rPr>
          <w:t>MyMeetings</w:t>
        </w:r>
      </w:hyperlink>
      <w:r w:rsidRPr="00F9444F">
        <w:rPr>
          <w:lang w:val="es-ES_tradnl"/>
        </w:rPr>
        <w:t xml:space="preserve"> para facilitar la participación a distancia en todas las sesiones, incluidas aquellas en que se adopten decisiones, como las plenarias de los Grupos de Trabajo y de las Comisiones de Estudio. Los delegados deben inscribirse en la reunión e identificarse </w:t>
      </w:r>
      <w:r w:rsidR="00F3799F" w:rsidRPr="00F9444F">
        <w:rPr>
          <w:lang w:val="es-ES_tradnl"/>
        </w:rPr>
        <w:t>mencionando</w:t>
      </w:r>
      <w:r w:rsidRPr="00F9444F">
        <w:rPr>
          <w:lang w:val="es-ES_tradnl"/>
        </w:rPr>
        <w:t xml:space="preserve">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w:t>
      </w:r>
      <w:r w:rsidR="00E04D7C" w:rsidRPr="00F9444F">
        <w:rPr>
          <w:lang w:val="es-ES_tradnl"/>
        </w:rPr>
        <w:t>, a discreción del Presidente</w:t>
      </w:r>
      <w:r w:rsidRPr="00F9444F">
        <w:rPr>
          <w:lang w:val="es-ES_tradnl"/>
        </w:rPr>
        <w:t>. Si la calidad de la voz de un participante a distancia se considera insuficiente, el Presidente podrá interrumpirlo y abstenerse de concederle la palabra hasta que haya indicios de que el problema se ha resuelto.</w:t>
      </w:r>
      <w:r w:rsidR="005B6EE3" w:rsidRPr="00F9444F">
        <w:rPr>
          <w:lang w:val="es-ES_tradnl"/>
        </w:rPr>
        <w:t xml:space="preserve"> </w:t>
      </w:r>
      <w:r w:rsidR="00E04D7C" w:rsidRPr="00F9444F">
        <w:rPr>
          <w:lang w:val="es-ES_tradnl"/>
        </w:rPr>
        <w:t xml:space="preserve">El chat de la reunión forma parte de la reunión, y se alienta a utilizarlo para la gestión eficaz del tiempo durante las sesiones. </w:t>
      </w:r>
    </w:p>
    <w:p w14:paraId="5B13699F" w14:textId="5AB397FC" w:rsidR="00384E5D" w:rsidRPr="00F9444F" w:rsidRDefault="00426BDA" w:rsidP="006E3EA8">
      <w:pPr>
        <w:tabs>
          <w:tab w:val="clear" w:pos="794"/>
          <w:tab w:val="clear" w:pos="1191"/>
          <w:tab w:val="clear" w:pos="1588"/>
          <w:tab w:val="clear" w:pos="1985"/>
        </w:tabs>
        <w:spacing w:before="240" w:after="120"/>
        <w:ind w:right="91"/>
        <w:jc w:val="center"/>
        <w:rPr>
          <w:b/>
          <w:bCs/>
          <w:szCs w:val="24"/>
          <w:lang w:val="es-ES_tradnl"/>
        </w:rPr>
      </w:pPr>
      <w:r w:rsidRPr="00F9444F">
        <w:rPr>
          <w:b/>
          <w:bCs/>
          <w:szCs w:val="24"/>
          <w:lang w:val="es-ES_tradnl"/>
        </w:rPr>
        <w:t>INSCRIPCIÓN</w:t>
      </w:r>
      <w:r w:rsidR="005B6EE3" w:rsidRPr="00F9444F">
        <w:rPr>
          <w:b/>
          <w:bCs/>
          <w:szCs w:val="24"/>
          <w:lang w:val="es-ES_tradnl"/>
        </w:rPr>
        <w:t xml:space="preserve">, </w:t>
      </w:r>
      <w:r w:rsidR="00E04D7C" w:rsidRPr="00F9444F">
        <w:rPr>
          <w:b/>
          <w:bCs/>
          <w:szCs w:val="24"/>
          <w:lang w:val="es-ES_tradnl"/>
        </w:rPr>
        <w:t>NUEVOS DELEGADOS, BECAS Y APOYO PARA LA OBTENCIÓN DEL VISADO</w:t>
      </w:r>
      <w:r w:rsidR="005B6EE3" w:rsidRPr="00F9444F">
        <w:rPr>
          <w:b/>
          <w:bCs/>
          <w:szCs w:val="24"/>
          <w:lang w:val="es-ES_tradnl"/>
        </w:rPr>
        <w:t xml:space="preserve"> </w:t>
      </w:r>
    </w:p>
    <w:p w14:paraId="07E2A908" w14:textId="23A61722" w:rsidR="00E04D7C" w:rsidRPr="00F9444F" w:rsidRDefault="00384E5D" w:rsidP="00E04D7C">
      <w:pPr>
        <w:rPr>
          <w:lang w:val="es-ES_tradnl"/>
        </w:rPr>
      </w:pPr>
      <w:r w:rsidRPr="00F9444F">
        <w:rPr>
          <w:b/>
          <w:bCs/>
          <w:lang w:val="es-ES_tradnl"/>
        </w:rPr>
        <w:t>INSCRIPCIÓN</w:t>
      </w:r>
      <w:r w:rsidRPr="00F9444F">
        <w:rPr>
          <w:lang w:val="es-ES_tradnl"/>
        </w:rPr>
        <w:t>: La inscripción es obligatoria y se efectúa en línea a través de la página principal d</w:t>
      </w:r>
      <w:r w:rsidR="00C747FC">
        <w:rPr>
          <w:lang w:val="es-ES_tradnl"/>
        </w:rPr>
        <w:t>el grupo regional</w:t>
      </w:r>
      <w:r w:rsidRPr="00F9444F">
        <w:rPr>
          <w:lang w:val="es-ES_tradnl"/>
        </w:rPr>
        <w:t xml:space="preserve"> </w:t>
      </w:r>
      <w:r w:rsidRPr="00F9444F">
        <w:rPr>
          <w:b/>
          <w:bCs/>
          <w:lang w:val="es-ES_tradnl"/>
        </w:rPr>
        <w:t>a más tardar un mes antes de la reunión</w:t>
      </w:r>
      <w:r w:rsidRPr="00F9444F">
        <w:rPr>
          <w:lang w:val="es-ES_tradnl"/>
        </w:rPr>
        <w:t xml:space="preserve">. </w:t>
      </w:r>
      <w:r w:rsidR="00B027CC" w:rsidRPr="00F9444F">
        <w:rPr>
          <w:lang w:val="es-ES_tradnl"/>
        </w:rPr>
        <w:t xml:space="preserve">Según lo indicado en la </w:t>
      </w:r>
      <w:hyperlink r:id="rId20" w:history="1">
        <w:r w:rsidR="00B027CC" w:rsidRPr="00F9444F">
          <w:rPr>
            <w:rStyle w:val="Hyperlink"/>
            <w:lang w:val="es-ES_tradnl"/>
          </w:rPr>
          <w:t>Circular 68 de la TSB</w:t>
        </w:r>
      </w:hyperlink>
      <w:r w:rsidR="00B027CC" w:rsidRPr="00F9444F">
        <w:rPr>
          <w:lang w:val="es-ES_tradnl"/>
        </w:rPr>
        <w:t xml:space="preserve">, el sistema de inscripción del UIT-T requiere la aprobación de las solicitudes de inscripción por los </w:t>
      </w:r>
      <w:r w:rsidR="00894681" w:rsidRPr="00F9444F">
        <w:rPr>
          <w:lang w:val="es-ES_tradnl"/>
        </w:rPr>
        <w:t>coordinadores</w:t>
      </w:r>
      <w:r w:rsidR="00B027CC" w:rsidRPr="00F9444F">
        <w:rPr>
          <w:lang w:val="es-ES_tradnl"/>
        </w:rPr>
        <w:t xml:space="preserve">; en la </w:t>
      </w:r>
      <w:hyperlink r:id="rId21" w:history="1">
        <w:r w:rsidR="00B027CC" w:rsidRPr="00F9444F">
          <w:rPr>
            <w:rStyle w:val="Hyperlink"/>
            <w:lang w:val="es-ES_tradnl"/>
          </w:rPr>
          <w:t>Circular</w:t>
        </w:r>
        <w:r w:rsidR="00F64297">
          <w:rPr>
            <w:rStyle w:val="Hyperlink"/>
            <w:lang w:val="es-ES_tradnl"/>
          </w:rPr>
          <w:t> </w:t>
        </w:r>
        <w:r w:rsidR="00B027CC" w:rsidRPr="00F9444F">
          <w:rPr>
            <w:rStyle w:val="Hyperlink"/>
            <w:lang w:val="es-ES_tradnl"/>
          </w:rPr>
          <w:t>118 de la TSB</w:t>
        </w:r>
      </w:hyperlink>
      <w:r w:rsidR="00B027CC" w:rsidRPr="00F9444F">
        <w:rPr>
          <w:lang w:val="es-ES_tradnl"/>
        </w:rPr>
        <w:t xml:space="preserve"> se describe cómo </w:t>
      </w:r>
      <w:r w:rsidR="00E04D7C" w:rsidRPr="00F9444F">
        <w:rPr>
          <w:lang w:val="es-ES_tradnl"/>
        </w:rPr>
        <w:t xml:space="preserve">configurar </w:t>
      </w:r>
      <w:r w:rsidR="00B027CC" w:rsidRPr="00F9444F">
        <w:rPr>
          <w:lang w:val="es-ES_tradnl"/>
        </w:rPr>
        <w:t xml:space="preserve">la autorización automática de dichas solicitudes. </w:t>
      </w:r>
      <w:r w:rsidR="00E04D7C" w:rsidRPr="00F9444F">
        <w:rPr>
          <w:lang w:val="es-ES_tradnl"/>
        </w:rPr>
        <w:t xml:space="preserve">Algunas opciones del formulario de inscripción se aplican únicamente a los Estados Miembros. </w:t>
      </w:r>
      <w:r w:rsidR="00D442B4" w:rsidRPr="00F9444F">
        <w:rPr>
          <w:lang w:val="es-ES_tradnl"/>
        </w:rPr>
        <w:t>Se invita a los miembros a incluir mujeres en sus delegaciones siempre que sea posible.</w:t>
      </w:r>
    </w:p>
    <w:p w14:paraId="2AF53EE7" w14:textId="14BF9C6E" w:rsidR="00D44B25" w:rsidRPr="00F9444F" w:rsidRDefault="00D44B25" w:rsidP="00E04D7C">
      <w:pPr>
        <w:rPr>
          <w:lang w:val="es-ES_tradnl"/>
        </w:rPr>
      </w:pPr>
      <w:r w:rsidRPr="00F9444F">
        <w:rPr>
          <w:lang w:val="es-ES_tradnl"/>
        </w:rPr>
        <w:t xml:space="preserve">La inscripción es obligatoria y se efectúa en línea a través de la </w:t>
      </w:r>
      <w:hyperlink r:id="rId22" w:history="1">
        <w:r w:rsidRPr="00F9444F">
          <w:rPr>
            <w:rStyle w:val="Hyperlink"/>
            <w:lang w:val="es-ES_tradnl"/>
          </w:rPr>
          <w:t>página principal de</w:t>
        </w:r>
        <w:r w:rsidR="00C747FC">
          <w:rPr>
            <w:rStyle w:val="Hyperlink"/>
            <w:lang w:val="es-ES_tradnl"/>
          </w:rPr>
          <w:t>l grupo regional</w:t>
        </w:r>
      </w:hyperlink>
      <w:r w:rsidRPr="00F9444F">
        <w:rPr>
          <w:lang w:val="es-ES_tradnl"/>
        </w:rPr>
        <w:t xml:space="preserve">. Sin inscripción, los delegados no podrán acceder a la </w:t>
      </w:r>
      <w:hyperlink r:id="rId23" w:history="1">
        <w:r w:rsidRPr="00F9444F">
          <w:rPr>
            <w:rStyle w:val="Hyperlink"/>
            <w:lang w:val="es-ES_tradnl"/>
          </w:rPr>
          <w:t>herramienta de participación a distancia MyMeetings</w:t>
        </w:r>
      </w:hyperlink>
      <w:r w:rsidRPr="00F9444F">
        <w:rPr>
          <w:lang w:val="es-ES_tradnl"/>
        </w:rPr>
        <w:t xml:space="preserve">. </w:t>
      </w:r>
    </w:p>
    <w:p w14:paraId="1F5DD17D" w14:textId="187CBFEA" w:rsidR="00FC6515" w:rsidRPr="00F9444F" w:rsidRDefault="00D44B25" w:rsidP="00E04D7C">
      <w:pPr>
        <w:rPr>
          <w:szCs w:val="24"/>
          <w:lang w:val="es-ES_tradnl"/>
        </w:rPr>
      </w:pPr>
      <w:r w:rsidRPr="00F9444F">
        <w:rPr>
          <w:b/>
          <w:bCs/>
          <w:szCs w:val="24"/>
          <w:lang w:val="es-ES_tradnl"/>
        </w:rPr>
        <w:t>NUEVOS DELEGADOS, BECAS Y APOYO PARA LA OBTENCIÓN DEL VISADO</w:t>
      </w:r>
      <w:r w:rsidRPr="00F9444F">
        <w:rPr>
          <w:szCs w:val="24"/>
          <w:lang w:val="es-ES_tradnl"/>
        </w:rPr>
        <w:t xml:space="preserve">: Dado que, para las reuniones virtuales, no hay desplazamiento implicado, no se conceden becas ni apoyo para la obtención del visado. Se organizarán sesiones de orientación para nuevos delegados cuando el </w:t>
      </w:r>
      <w:r w:rsidR="005B51F5" w:rsidRPr="00F9444F">
        <w:rPr>
          <w:szCs w:val="24"/>
          <w:lang w:val="es-ES_tradnl"/>
        </w:rPr>
        <w:t>presidente</w:t>
      </w:r>
      <w:r w:rsidRPr="00F9444F">
        <w:rPr>
          <w:szCs w:val="24"/>
          <w:lang w:val="es-ES_tradnl"/>
        </w:rPr>
        <w:t xml:space="preserve"> </w:t>
      </w:r>
      <w:r w:rsidR="00C747FC">
        <w:rPr>
          <w:szCs w:val="24"/>
          <w:lang w:val="es-ES_tradnl"/>
        </w:rPr>
        <w:t>del grupo regional</w:t>
      </w:r>
      <w:r w:rsidR="006F0CE8">
        <w:rPr>
          <w:szCs w:val="24"/>
          <w:lang w:val="es-ES_tradnl"/>
        </w:rPr>
        <w:t xml:space="preserve"> </w:t>
      </w:r>
      <w:r w:rsidRPr="00F9444F">
        <w:rPr>
          <w:szCs w:val="24"/>
          <w:lang w:val="es-ES_tradnl"/>
        </w:rPr>
        <w:t>lo considere apropiado.</w:t>
      </w:r>
    </w:p>
    <w:p w14:paraId="2A4DEACF" w14:textId="77777777" w:rsidR="00FC6515" w:rsidRPr="00F9444F" w:rsidRDefault="00FC6515" w:rsidP="00E04D7C">
      <w:pPr>
        <w:rPr>
          <w:szCs w:val="24"/>
          <w:lang w:val="es-ES_tradnl"/>
        </w:rPr>
      </w:pPr>
    </w:p>
    <w:p w14:paraId="36F626CD" w14:textId="5ED847F8" w:rsidR="00000FC7" w:rsidRPr="00F9444F" w:rsidRDefault="00000FC7" w:rsidP="00E04D7C">
      <w:pPr>
        <w:rPr>
          <w:b/>
          <w:bCs/>
          <w:lang w:val="es-ES_tradnl"/>
        </w:rPr>
      </w:pPr>
      <w:r w:rsidRPr="00F9444F">
        <w:rPr>
          <w:lang w:val="es-ES_tradnl"/>
        </w:rPr>
        <w:br w:type="page"/>
      </w:r>
    </w:p>
    <w:p w14:paraId="67D81A50" w14:textId="2B4E40CE" w:rsidR="0000653E" w:rsidRPr="00F9444F" w:rsidRDefault="0000653E" w:rsidP="0000653E">
      <w:pPr>
        <w:pStyle w:val="Annextitle"/>
        <w:rPr>
          <w:lang w:val="es-ES_tradnl"/>
        </w:rPr>
      </w:pPr>
      <w:r w:rsidRPr="00F9444F">
        <w:rPr>
          <w:lang w:val="es-ES_tradnl"/>
        </w:rPr>
        <w:lastRenderedPageBreak/>
        <w:t>ANEXO B</w:t>
      </w:r>
      <w:r w:rsidRPr="00F9444F">
        <w:rPr>
          <w:lang w:val="es-ES_tradnl"/>
        </w:rPr>
        <w:br/>
      </w:r>
      <w:r w:rsidRPr="00F9444F">
        <w:rPr>
          <w:lang w:val="es-ES_tradnl"/>
        </w:rPr>
        <w:br/>
        <w:t>Proyecto de orden del día</w:t>
      </w:r>
      <w:r w:rsidR="00E604DC">
        <w:rPr>
          <w:lang w:val="es-ES_tradnl"/>
        </w:rPr>
        <w:br/>
      </w:r>
      <w:r w:rsidRPr="00F9444F">
        <w:rPr>
          <w:lang w:val="es-ES_tradnl"/>
        </w:rPr>
        <w:br/>
        <w:t>Reunión virtual del Grupo Regional de la CE 3 del UIT-T</w:t>
      </w:r>
      <w:r w:rsidRPr="00F9444F">
        <w:rPr>
          <w:lang w:val="es-ES_tradnl"/>
        </w:rPr>
        <w:br/>
        <w:t>para América Latina y el Caribe (GRCE3-LAC)</w:t>
      </w:r>
      <w:r w:rsidR="006F0CE8">
        <w:rPr>
          <w:lang w:val="es-ES_tradnl"/>
        </w:rPr>
        <w:br/>
      </w:r>
      <w:r w:rsidR="00C747FC">
        <w:rPr>
          <w:lang w:val="es-ES_tradnl"/>
        </w:rPr>
        <w:t>12-14</w:t>
      </w:r>
      <w:r w:rsidRPr="00F9444F">
        <w:rPr>
          <w:lang w:val="es-ES_tradnl"/>
        </w:rPr>
        <w:t xml:space="preserve"> de </w:t>
      </w:r>
      <w:r w:rsidR="00C747FC">
        <w:rPr>
          <w:lang w:val="es-ES_tradnl"/>
        </w:rPr>
        <w:t>abril</w:t>
      </w:r>
      <w:r w:rsidR="00C747FC" w:rsidRPr="00F9444F">
        <w:rPr>
          <w:lang w:val="es-ES_tradnl"/>
        </w:rPr>
        <w:t xml:space="preserve"> </w:t>
      </w:r>
      <w:r w:rsidRPr="00F9444F">
        <w:rPr>
          <w:lang w:val="es-ES_tradnl"/>
        </w:rPr>
        <w:t xml:space="preserve">de </w:t>
      </w:r>
      <w:r w:rsidR="00C747FC" w:rsidRPr="00F9444F">
        <w:rPr>
          <w:lang w:val="es-ES_tradnl"/>
        </w:rPr>
        <w:t>202</w:t>
      </w:r>
      <w:r w:rsidR="00C747FC">
        <w:rPr>
          <w:lang w:val="es-ES_tradnl"/>
        </w:rPr>
        <w:t>1</w:t>
      </w:r>
    </w:p>
    <w:p w14:paraId="68765B08" w14:textId="77777777" w:rsidR="0000653E" w:rsidRPr="00F9444F" w:rsidRDefault="0000653E" w:rsidP="0000653E">
      <w:pPr>
        <w:pStyle w:val="Normalaftertitle"/>
        <w:rPr>
          <w:lang w:val="es-ES_tradnl" w:eastAsia="zh-CN"/>
        </w:rPr>
      </w:pPr>
    </w:p>
    <w:tbl>
      <w:tblPr>
        <w:tblW w:w="9923" w:type="dxa"/>
        <w:jc w:val="center"/>
        <w:tblCellMar>
          <w:left w:w="0" w:type="dxa"/>
          <w:right w:w="0" w:type="dxa"/>
        </w:tblCellMar>
        <w:tblLook w:val="04A0" w:firstRow="1" w:lastRow="0" w:firstColumn="1" w:lastColumn="0" w:noHBand="0" w:noVBand="1"/>
      </w:tblPr>
      <w:tblGrid>
        <w:gridCol w:w="841"/>
        <w:gridCol w:w="9082"/>
      </w:tblGrid>
      <w:tr w:rsidR="0000653E" w:rsidRPr="00F9444F" w14:paraId="2386FCA7" w14:textId="77777777" w:rsidTr="000B584F">
        <w:trPr>
          <w:jc w:val="center"/>
        </w:trPr>
        <w:tc>
          <w:tcPr>
            <w:tcW w:w="8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14:paraId="23FC4404" w14:textId="77777777" w:rsidR="0000653E" w:rsidRPr="00F9444F" w:rsidRDefault="0000653E" w:rsidP="000B584F">
            <w:pPr>
              <w:pStyle w:val="Tabletext"/>
              <w:jc w:val="center"/>
              <w:rPr>
                <w:b/>
                <w:bCs/>
                <w:lang w:val="es-ES_tradnl"/>
              </w:rPr>
            </w:pP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A00A2" w14:textId="56BD831A" w:rsidR="0000653E" w:rsidRPr="00F9444F" w:rsidRDefault="00D44B25" w:rsidP="000B584F">
            <w:pPr>
              <w:pStyle w:val="Tabletext"/>
              <w:rPr>
                <w:lang w:val="es-ES_tradnl"/>
              </w:rPr>
            </w:pPr>
            <w:r w:rsidRPr="00F9444F">
              <w:rPr>
                <w:i/>
                <w:lang w:val="es-ES_tradnl"/>
              </w:rPr>
              <w:t xml:space="preserve">Punto del orden del día </w:t>
            </w:r>
          </w:p>
        </w:tc>
      </w:tr>
      <w:tr w:rsidR="0000653E" w:rsidRPr="00F9444F" w14:paraId="51F9F12E" w14:textId="77777777" w:rsidTr="000B584F">
        <w:trPr>
          <w:jc w:val="center"/>
        </w:trPr>
        <w:tc>
          <w:tcPr>
            <w:tcW w:w="8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F8F384C" w14:textId="77777777" w:rsidR="0000653E" w:rsidRPr="00F9444F" w:rsidRDefault="0000653E" w:rsidP="000B584F">
            <w:pPr>
              <w:pStyle w:val="Tabletext"/>
              <w:jc w:val="center"/>
              <w:rPr>
                <w:b/>
                <w:bCs/>
                <w:lang w:val="es-ES_tradnl"/>
              </w:rPr>
            </w:pPr>
            <w:r w:rsidRPr="00F9444F">
              <w:rPr>
                <w:b/>
                <w:bCs/>
                <w:lang w:val="es-ES_tradnl"/>
              </w:rPr>
              <w:t>1</w:t>
            </w: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6F6EC9" w14:textId="77777777" w:rsidR="0000653E" w:rsidRPr="00F9444F" w:rsidRDefault="0000653E" w:rsidP="000B584F">
            <w:pPr>
              <w:pStyle w:val="Tabletext"/>
              <w:rPr>
                <w:lang w:val="es-ES_tradnl"/>
              </w:rPr>
            </w:pPr>
            <w:r w:rsidRPr="00F9444F">
              <w:rPr>
                <w:lang w:val="es-ES_tradnl"/>
              </w:rPr>
              <w:t>Apertura de la reunión</w:t>
            </w:r>
          </w:p>
        </w:tc>
      </w:tr>
      <w:tr w:rsidR="0000653E" w:rsidRPr="00F9444F" w14:paraId="483C7C2F"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CA65B95" w14:textId="77777777" w:rsidR="0000653E" w:rsidRPr="00F9444F" w:rsidRDefault="0000653E" w:rsidP="000B584F">
            <w:pPr>
              <w:pStyle w:val="Tabletext"/>
              <w:jc w:val="center"/>
              <w:rPr>
                <w:b/>
                <w:bCs/>
                <w:lang w:val="es-ES_tradnl"/>
              </w:rPr>
            </w:pPr>
            <w:r w:rsidRPr="00F9444F">
              <w:rPr>
                <w:b/>
                <w:bCs/>
                <w:lang w:val="es-ES_tradnl"/>
              </w:rPr>
              <w:t>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5639" w14:textId="77777777" w:rsidR="0000653E" w:rsidRPr="00F9444F" w:rsidRDefault="0000653E" w:rsidP="000B584F">
            <w:pPr>
              <w:pStyle w:val="Tabletext"/>
              <w:rPr>
                <w:lang w:val="es-ES_tradnl"/>
              </w:rPr>
            </w:pPr>
            <w:r w:rsidRPr="00F9444F">
              <w:rPr>
                <w:lang w:val="es-ES_tradnl"/>
              </w:rPr>
              <w:t xml:space="preserve">Adopción del orden del día </w:t>
            </w:r>
          </w:p>
        </w:tc>
      </w:tr>
      <w:tr w:rsidR="0000653E" w:rsidRPr="00F9444F" w14:paraId="0F1D6085"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374E8BF" w14:textId="77777777" w:rsidR="0000653E" w:rsidRPr="00F9444F" w:rsidRDefault="0000653E" w:rsidP="000B584F">
            <w:pPr>
              <w:pStyle w:val="Tabletext"/>
              <w:jc w:val="center"/>
              <w:rPr>
                <w:b/>
                <w:bCs/>
                <w:lang w:val="es-ES_tradnl"/>
              </w:rPr>
            </w:pPr>
            <w:r w:rsidRPr="00F9444F">
              <w:rPr>
                <w:b/>
                <w:bCs/>
                <w:lang w:val="es-ES_tradnl"/>
              </w:rPr>
              <w:t>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1C0C7" w14:textId="77777777" w:rsidR="0000653E" w:rsidRPr="00F9444F" w:rsidRDefault="0000653E" w:rsidP="000B584F">
            <w:pPr>
              <w:pStyle w:val="Tabletext"/>
              <w:rPr>
                <w:lang w:val="es-ES_tradnl"/>
              </w:rPr>
            </w:pPr>
            <w:r w:rsidRPr="00F9444F">
              <w:rPr>
                <w:lang w:val="es-ES_tradnl"/>
              </w:rPr>
              <w:t>Documentos disponibles (Contribuciones y DT)</w:t>
            </w:r>
          </w:p>
        </w:tc>
      </w:tr>
      <w:tr w:rsidR="0000653E" w:rsidRPr="00F9444F" w14:paraId="570C58F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50C9A11" w14:textId="77777777" w:rsidR="0000653E" w:rsidRPr="00F9444F" w:rsidRDefault="0000653E" w:rsidP="000B584F">
            <w:pPr>
              <w:pStyle w:val="Tabletext"/>
              <w:jc w:val="center"/>
              <w:rPr>
                <w:b/>
                <w:bCs/>
                <w:lang w:val="es-ES_tradnl"/>
              </w:rPr>
            </w:pPr>
            <w:r w:rsidRPr="00F9444F">
              <w:rPr>
                <w:b/>
                <w:bCs/>
                <w:lang w:val="es-ES_tradnl"/>
              </w:rPr>
              <w:t>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F7083" w14:textId="77777777" w:rsidR="0000653E" w:rsidRPr="00F9444F" w:rsidRDefault="0000653E" w:rsidP="000B584F">
            <w:pPr>
              <w:pStyle w:val="Tabletext"/>
              <w:rPr>
                <w:lang w:val="es-ES_tradnl"/>
              </w:rPr>
            </w:pPr>
            <w:r w:rsidRPr="00F9444F">
              <w:rPr>
                <w:lang w:val="es-ES_tradnl"/>
              </w:rPr>
              <w:t>Descripción general de la Comisión de Estudio 3 y métodos de trabajo</w:t>
            </w:r>
          </w:p>
        </w:tc>
      </w:tr>
      <w:tr w:rsidR="0000653E" w:rsidRPr="00F9444F" w14:paraId="4286E9E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FBE9E15" w14:textId="77777777" w:rsidR="0000653E" w:rsidRPr="00F9444F" w:rsidRDefault="0000653E" w:rsidP="000B584F">
            <w:pPr>
              <w:pStyle w:val="Tabletext"/>
              <w:jc w:val="center"/>
              <w:rPr>
                <w:b/>
                <w:bCs/>
                <w:lang w:val="es-ES_tradnl"/>
              </w:rPr>
            </w:pPr>
            <w:r w:rsidRPr="00F9444F">
              <w:rPr>
                <w:b/>
                <w:bCs/>
                <w:lang w:val="es-ES_tradnl"/>
              </w:rPr>
              <w:t>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339A3" w14:textId="7D570F0D" w:rsidR="0000653E" w:rsidRPr="00F9444F" w:rsidRDefault="0000653E">
            <w:pPr>
              <w:pStyle w:val="Tabletext"/>
              <w:rPr>
                <w:lang w:val="es-ES_tradnl"/>
              </w:rPr>
            </w:pPr>
            <w:r w:rsidRPr="00F9444F">
              <w:rPr>
                <w:lang w:val="es-ES_tradnl"/>
              </w:rPr>
              <w:t>Examen de reuniones anteriores de la Comisión de Estudio Rectora y de</w:t>
            </w:r>
            <w:r w:rsidR="00D44B25" w:rsidRPr="00F9444F">
              <w:rPr>
                <w:lang w:val="es-ES_tradnl"/>
              </w:rPr>
              <w:t xml:space="preserve"> </w:t>
            </w:r>
            <w:r w:rsidRPr="00F9444F">
              <w:rPr>
                <w:lang w:val="es-ES_tradnl"/>
              </w:rPr>
              <w:t>l</w:t>
            </w:r>
            <w:r w:rsidR="00D44B25" w:rsidRPr="00F9444F">
              <w:rPr>
                <w:lang w:val="es-ES_tradnl"/>
              </w:rPr>
              <w:t>os</w:t>
            </w:r>
            <w:r w:rsidRPr="00F9444F">
              <w:rPr>
                <w:lang w:val="es-ES_tradnl"/>
              </w:rPr>
              <w:t xml:space="preserve"> Grupo</w:t>
            </w:r>
            <w:r w:rsidR="00D44B25" w:rsidRPr="00F9444F">
              <w:rPr>
                <w:lang w:val="es-ES_tradnl"/>
              </w:rPr>
              <w:t>s</w:t>
            </w:r>
            <w:r w:rsidRPr="00F9444F">
              <w:rPr>
                <w:lang w:val="es-ES_tradnl"/>
              </w:rPr>
              <w:t xml:space="preserve"> Regional</w:t>
            </w:r>
            <w:r w:rsidR="00D44B25" w:rsidRPr="00F9444F">
              <w:rPr>
                <w:lang w:val="es-ES_tradnl"/>
              </w:rPr>
              <w:t>es</w:t>
            </w:r>
            <w:r w:rsidRPr="00F9444F">
              <w:rPr>
                <w:lang w:val="es-ES_tradnl"/>
              </w:rPr>
              <w:t xml:space="preserve"> </w:t>
            </w:r>
          </w:p>
        </w:tc>
      </w:tr>
      <w:tr w:rsidR="0000653E" w:rsidRPr="00F9444F" w14:paraId="498E38DD" w14:textId="77777777" w:rsidTr="00D44B25">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30736C1C" w14:textId="3A374086" w:rsidR="0000653E" w:rsidRPr="00F9444F" w:rsidRDefault="0000653E" w:rsidP="0000653E">
            <w:pPr>
              <w:pStyle w:val="Tabletext"/>
              <w:jc w:val="center"/>
              <w:rPr>
                <w:b/>
                <w:bCs/>
                <w:lang w:val="es-ES_tradnl"/>
              </w:rPr>
            </w:pPr>
            <w:r w:rsidRPr="00F9444F">
              <w:rPr>
                <w:b/>
                <w:bCs/>
                <w:lang w:val="es-ES_tradnl"/>
              </w:rPr>
              <w:t>6</w:t>
            </w:r>
          </w:p>
        </w:tc>
        <w:tc>
          <w:tcPr>
            <w:tcW w:w="9082" w:type="dxa"/>
            <w:tcBorders>
              <w:top w:val="nil"/>
              <w:left w:val="nil"/>
              <w:bottom w:val="single" w:sz="8" w:space="0" w:color="auto"/>
              <w:right w:val="single" w:sz="8" w:space="0" w:color="auto"/>
            </w:tcBorders>
            <w:tcMar>
              <w:top w:w="0" w:type="dxa"/>
              <w:left w:w="108" w:type="dxa"/>
              <w:bottom w:w="0" w:type="dxa"/>
              <w:right w:w="108" w:type="dxa"/>
            </w:tcMar>
          </w:tcPr>
          <w:p w14:paraId="57072E76" w14:textId="51D734A1" w:rsidR="0000653E" w:rsidRPr="00F9444F" w:rsidRDefault="00D44B25" w:rsidP="0000653E">
            <w:pPr>
              <w:pStyle w:val="Tabletext"/>
              <w:rPr>
                <w:lang w:val="es-ES_tradnl"/>
              </w:rPr>
            </w:pPr>
            <w:r w:rsidRPr="00F9444F">
              <w:rPr>
                <w:rFonts w:eastAsia="SimSun" w:cstheme="minorHAnsi"/>
                <w:szCs w:val="22"/>
                <w:lang w:val="es-ES_tradnl" w:eastAsia="ja-JP"/>
              </w:rPr>
              <w:t>Preparación de la AMNT-20</w:t>
            </w:r>
          </w:p>
        </w:tc>
      </w:tr>
      <w:tr w:rsidR="0000653E" w:rsidRPr="00F9444F" w14:paraId="474F549F" w14:textId="77777777" w:rsidTr="00D44B25">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5F3CF5C2" w14:textId="1768C8DF" w:rsidR="0000653E" w:rsidRPr="00F9444F" w:rsidRDefault="0000653E" w:rsidP="0000653E">
            <w:pPr>
              <w:pStyle w:val="Tabletext"/>
              <w:jc w:val="center"/>
              <w:rPr>
                <w:b/>
                <w:bCs/>
                <w:lang w:val="es-ES_tradnl"/>
              </w:rPr>
            </w:pPr>
            <w:r w:rsidRPr="00F9444F">
              <w:rPr>
                <w:b/>
                <w:bCs/>
                <w:lang w:val="es-ES_tradnl"/>
              </w:rPr>
              <w:t>7</w:t>
            </w:r>
          </w:p>
        </w:tc>
        <w:tc>
          <w:tcPr>
            <w:tcW w:w="9082" w:type="dxa"/>
            <w:tcBorders>
              <w:top w:val="nil"/>
              <w:left w:val="nil"/>
              <w:bottom w:val="single" w:sz="8" w:space="0" w:color="auto"/>
              <w:right w:val="single" w:sz="8" w:space="0" w:color="auto"/>
            </w:tcBorders>
            <w:tcMar>
              <w:top w:w="0" w:type="dxa"/>
              <w:left w:w="108" w:type="dxa"/>
              <w:bottom w:w="0" w:type="dxa"/>
              <w:right w:w="108" w:type="dxa"/>
            </w:tcMar>
          </w:tcPr>
          <w:p w14:paraId="40ACFC14" w14:textId="3953DBFF" w:rsidR="0000653E" w:rsidRPr="00F9444F" w:rsidRDefault="00D44B25" w:rsidP="0000653E">
            <w:pPr>
              <w:pStyle w:val="Tabletext"/>
              <w:rPr>
                <w:lang w:val="es-ES_tradnl"/>
              </w:rPr>
            </w:pPr>
            <w:bookmarkStart w:id="7" w:name="lt_pId109"/>
            <w:r w:rsidRPr="00F9444F">
              <w:rPr>
                <w:rFonts w:eastAsia="SimSun" w:cstheme="minorHAnsi"/>
                <w:szCs w:val="22"/>
                <w:lang w:val="es-ES_tradnl" w:eastAsia="ja-JP"/>
              </w:rPr>
              <w:t>Situación del programa de trabajo de la CE</w:t>
            </w:r>
            <w:r w:rsidR="006F0CE8">
              <w:rPr>
                <w:rFonts w:eastAsia="SimSun" w:cstheme="minorHAnsi"/>
                <w:szCs w:val="22"/>
                <w:lang w:val="es-ES_tradnl" w:eastAsia="ja-JP"/>
              </w:rPr>
              <w:t xml:space="preserve"> </w:t>
            </w:r>
            <w:r w:rsidRPr="00F9444F">
              <w:rPr>
                <w:rFonts w:eastAsia="SimSun" w:cstheme="minorHAnsi"/>
                <w:szCs w:val="22"/>
                <w:lang w:val="es-ES_tradnl" w:eastAsia="ja-JP"/>
              </w:rPr>
              <w:t xml:space="preserve">3, examen de los temas de trabajo pendientes </w:t>
            </w:r>
            <w:bookmarkEnd w:id="7"/>
          </w:p>
        </w:tc>
      </w:tr>
      <w:tr w:rsidR="0000653E" w:rsidRPr="00F9444F" w14:paraId="612146CD"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CC8D60E" w14:textId="65EFF87E" w:rsidR="0000653E" w:rsidRPr="00F9444F" w:rsidRDefault="00D44B25" w:rsidP="000B584F">
            <w:pPr>
              <w:pStyle w:val="Tabletext"/>
              <w:jc w:val="center"/>
              <w:rPr>
                <w:b/>
                <w:bCs/>
                <w:lang w:val="es-ES_tradnl"/>
              </w:rPr>
            </w:pPr>
            <w:r w:rsidRPr="00F9444F">
              <w:rPr>
                <w:b/>
                <w:bCs/>
                <w:lang w:val="es-ES_tradnl"/>
              </w:rPr>
              <w:t>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8B053" w14:textId="77777777" w:rsidR="0000653E" w:rsidRPr="00F9444F" w:rsidRDefault="0000653E" w:rsidP="000B584F">
            <w:pPr>
              <w:pStyle w:val="Tabletext"/>
              <w:rPr>
                <w:lang w:val="es-ES_tradnl"/>
              </w:rPr>
            </w:pPr>
            <w:r w:rsidRPr="00F9444F">
              <w:rPr>
                <w:lang w:val="es-ES_tradnl"/>
              </w:rPr>
              <w:t xml:space="preserve">Repercusión económica de los OTT </w:t>
            </w:r>
          </w:p>
        </w:tc>
      </w:tr>
      <w:tr w:rsidR="0000653E" w:rsidRPr="00F9444F" w14:paraId="1975603D"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4A620D4" w14:textId="232B8E4E" w:rsidR="0000653E" w:rsidRPr="00F9444F" w:rsidRDefault="00D44B25" w:rsidP="000B584F">
            <w:pPr>
              <w:pStyle w:val="Tabletext"/>
              <w:jc w:val="center"/>
              <w:rPr>
                <w:b/>
                <w:bCs/>
                <w:lang w:val="es-ES_tradnl"/>
              </w:rPr>
            </w:pPr>
            <w:r w:rsidRPr="00F9444F">
              <w:rPr>
                <w:b/>
                <w:bCs/>
                <w:lang w:val="es-ES_tradnl"/>
              </w:rPr>
              <w:t>9</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569C" w14:textId="77777777" w:rsidR="0000653E" w:rsidRPr="00F9444F" w:rsidRDefault="0000653E" w:rsidP="000B584F">
            <w:pPr>
              <w:pStyle w:val="Tabletext"/>
              <w:rPr>
                <w:lang w:val="es-ES_tradnl"/>
              </w:rPr>
            </w:pPr>
            <w:r w:rsidRPr="00F9444F">
              <w:rPr>
                <w:lang w:val="es-ES_tradnl"/>
              </w:rPr>
              <w:t>Estudio relativo a las cuestiones de tasación y tarifas de los acuerdos de liquidación de circuitos de cables terrenales transmultinacionales</w:t>
            </w:r>
          </w:p>
        </w:tc>
      </w:tr>
      <w:tr w:rsidR="0000653E" w:rsidRPr="00F9444F" w14:paraId="67026C76"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6F9B52A" w14:textId="0F27E8E1" w:rsidR="0000653E" w:rsidRPr="00F9444F" w:rsidRDefault="00D44B25" w:rsidP="000B584F">
            <w:pPr>
              <w:pStyle w:val="Tabletext"/>
              <w:jc w:val="center"/>
              <w:rPr>
                <w:b/>
                <w:bCs/>
                <w:lang w:val="es-ES_tradnl"/>
              </w:rPr>
            </w:pPr>
            <w:r w:rsidRPr="00F9444F">
              <w:rPr>
                <w:b/>
                <w:bCs/>
                <w:lang w:val="es-ES_tradnl"/>
              </w:rPr>
              <w:t>10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7DE27" w14:textId="77777777" w:rsidR="0000653E" w:rsidRPr="00F9444F" w:rsidRDefault="0000653E" w:rsidP="000B584F">
            <w:pPr>
              <w:pStyle w:val="Tabletext"/>
              <w:rPr>
                <w:lang w:val="es-ES_tradnl"/>
              </w:rPr>
            </w:pPr>
            <w:r w:rsidRPr="00F9444F">
              <w:rPr>
                <w:lang w:val="es-ES_tradnl"/>
              </w:rPr>
              <w:t>Servicios financieros móviles</w:t>
            </w:r>
          </w:p>
        </w:tc>
      </w:tr>
      <w:tr w:rsidR="0000653E" w:rsidRPr="00F9444F" w14:paraId="54020AFE"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307D317" w14:textId="169CA9E8" w:rsidR="0000653E" w:rsidRPr="00F9444F" w:rsidRDefault="00D44B25" w:rsidP="000B584F">
            <w:pPr>
              <w:pStyle w:val="Tabletext"/>
              <w:jc w:val="center"/>
              <w:rPr>
                <w:b/>
                <w:bCs/>
                <w:lang w:val="es-ES_tradnl"/>
              </w:rPr>
            </w:pPr>
            <w:r w:rsidRPr="00F9444F">
              <w:rPr>
                <w:b/>
                <w:bCs/>
                <w:lang w:val="es-ES_tradnl"/>
              </w:rPr>
              <w:t>11</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0C98" w14:textId="77777777" w:rsidR="0000653E" w:rsidRPr="00F9444F" w:rsidRDefault="0000653E" w:rsidP="000B584F">
            <w:pPr>
              <w:pStyle w:val="Tabletext"/>
              <w:rPr>
                <w:lang w:val="es-ES_tradnl"/>
              </w:rPr>
            </w:pPr>
            <w:r w:rsidRPr="00F9444F">
              <w:rPr>
                <w:lang w:val="es-ES_tradnl"/>
              </w:rPr>
              <w:t xml:space="preserve">Itinerancia internacional </w:t>
            </w:r>
          </w:p>
        </w:tc>
      </w:tr>
      <w:tr w:rsidR="0000653E" w:rsidRPr="00F9444F" w14:paraId="34BA2AAF"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D6CA210" w14:textId="13C419D8" w:rsidR="0000653E" w:rsidRPr="00F9444F" w:rsidRDefault="00D44B25">
            <w:pPr>
              <w:pStyle w:val="Tabletext"/>
              <w:jc w:val="center"/>
              <w:rPr>
                <w:b/>
                <w:bCs/>
                <w:lang w:val="es-ES_tradnl"/>
              </w:rPr>
            </w:pPr>
            <w:r w:rsidRPr="00F9444F">
              <w:rPr>
                <w:b/>
                <w:bCs/>
                <w:lang w:val="es-ES_tradnl"/>
              </w:rPr>
              <w:t>12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4050" w14:textId="25B403CD" w:rsidR="0000653E" w:rsidRPr="00F9444F" w:rsidRDefault="0000653E" w:rsidP="000B584F">
            <w:pPr>
              <w:pStyle w:val="Tabletext"/>
              <w:rPr>
                <w:lang w:val="es-ES_tradnl"/>
              </w:rPr>
            </w:pPr>
            <w:r w:rsidRPr="00F9444F">
              <w:rPr>
                <w:lang w:val="es-ES_tradnl"/>
              </w:rPr>
              <w:t xml:space="preserve">Definición de mercados pertinentes e identificación de operadores con capacidad para influir en el mercado (SMP) </w:t>
            </w:r>
          </w:p>
        </w:tc>
      </w:tr>
      <w:tr w:rsidR="0000653E" w:rsidRPr="00F9444F" w14:paraId="49124588"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5044B85" w14:textId="6AB56727" w:rsidR="0000653E" w:rsidRPr="00F9444F" w:rsidRDefault="00D44B25">
            <w:pPr>
              <w:pStyle w:val="Tabletext"/>
              <w:jc w:val="center"/>
              <w:rPr>
                <w:b/>
                <w:bCs/>
                <w:lang w:val="es-ES_tradnl"/>
              </w:rPr>
            </w:pPr>
            <w:r w:rsidRPr="00F9444F">
              <w:rPr>
                <w:b/>
                <w:bCs/>
                <w:lang w:val="es-ES_tradnl"/>
              </w:rPr>
              <w:t>13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2263F" w14:textId="77777777" w:rsidR="0000653E" w:rsidRPr="00F9444F" w:rsidRDefault="0000653E" w:rsidP="000B584F">
            <w:pPr>
              <w:pStyle w:val="Tabletext"/>
              <w:rPr>
                <w:lang w:val="es-ES_tradnl"/>
              </w:rPr>
            </w:pPr>
            <w:r w:rsidRPr="00F9444F">
              <w:rPr>
                <w:lang w:val="es-ES_tradnl"/>
              </w:rPr>
              <w:t xml:space="preserve">Macrodatos e identidad digital </w:t>
            </w:r>
          </w:p>
        </w:tc>
      </w:tr>
      <w:tr w:rsidR="0000653E" w:rsidRPr="00F9444F" w14:paraId="22B0CA61"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D025BFB" w14:textId="21A03EFC" w:rsidR="0000653E" w:rsidRPr="00F9444F" w:rsidRDefault="00D44B25">
            <w:pPr>
              <w:pStyle w:val="Tabletext"/>
              <w:jc w:val="center"/>
              <w:rPr>
                <w:b/>
                <w:bCs/>
                <w:lang w:val="es-ES_tradnl"/>
              </w:rPr>
            </w:pPr>
            <w:r w:rsidRPr="00F9444F">
              <w:rPr>
                <w:b/>
                <w:bCs/>
                <w:lang w:val="es-ES_tradnl"/>
              </w:rPr>
              <w:t>14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F8367" w14:textId="77777777" w:rsidR="0000653E" w:rsidRPr="00F9444F" w:rsidRDefault="0000653E" w:rsidP="000B584F">
            <w:pPr>
              <w:pStyle w:val="Tabletext"/>
              <w:rPr>
                <w:lang w:val="es-ES_tradnl"/>
              </w:rPr>
            </w:pPr>
            <w:r w:rsidRPr="00F9444F">
              <w:rPr>
                <w:lang w:val="es-ES_tradnl"/>
              </w:rPr>
              <w:t xml:space="preserve">Conectividad Internacional a Internet </w:t>
            </w:r>
          </w:p>
        </w:tc>
      </w:tr>
      <w:tr w:rsidR="0000653E" w:rsidRPr="00F9444F" w14:paraId="5E2FB1C1"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350BB69" w14:textId="3567239C" w:rsidR="0000653E" w:rsidRPr="00F9444F" w:rsidRDefault="00D44B25">
            <w:pPr>
              <w:pStyle w:val="Tabletext"/>
              <w:jc w:val="center"/>
              <w:rPr>
                <w:b/>
                <w:bCs/>
                <w:lang w:val="es-ES_tradnl"/>
              </w:rPr>
            </w:pPr>
            <w:r w:rsidRPr="00F9444F">
              <w:rPr>
                <w:b/>
                <w:bCs/>
                <w:lang w:val="es-ES_tradnl"/>
              </w:rPr>
              <w:t>15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2929E" w14:textId="77777777" w:rsidR="0000653E" w:rsidRPr="00F9444F" w:rsidRDefault="0000653E" w:rsidP="000B584F">
            <w:pPr>
              <w:pStyle w:val="Tabletext"/>
              <w:rPr>
                <w:lang w:val="es-ES_tradnl"/>
              </w:rPr>
            </w:pPr>
            <w:r w:rsidRPr="00F9444F">
              <w:rPr>
                <w:lang w:val="es-ES_tradnl"/>
              </w:rPr>
              <w:t>Solución de controversias</w:t>
            </w:r>
          </w:p>
        </w:tc>
      </w:tr>
      <w:tr w:rsidR="0000653E" w:rsidRPr="00F9444F" w14:paraId="6D801BAE"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6C32AC7" w14:textId="375B7D77" w:rsidR="0000653E" w:rsidRPr="00F9444F" w:rsidRDefault="00D44B25">
            <w:pPr>
              <w:pStyle w:val="Tabletext"/>
              <w:jc w:val="center"/>
              <w:rPr>
                <w:b/>
                <w:bCs/>
                <w:lang w:val="es-ES_tradnl"/>
              </w:rPr>
            </w:pPr>
            <w:r w:rsidRPr="00F9444F">
              <w:rPr>
                <w:b/>
                <w:bCs/>
                <w:lang w:val="es-ES_tradnl"/>
              </w:rPr>
              <w:t>16</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D032F" w14:textId="77777777" w:rsidR="0000653E" w:rsidRPr="00F9444F" w:rsidRDefault="0000653E" w:rsidP="000B584F">
            <w:pPr>
              <w:pStyle w:val="Tabletext"/>
              <w:rPr>
                <w:lang w:val="es-ES_tradnl"/>
              </w:rPr>
            </w:pPr>
            <w:r w:rsidRPr="00F9444F">
              <w:rPr>
                <w:lang w:val="es-ES_tradnl"/>
              </w:rPr>
              <w:t>Repercusión económica de la fijación de precios de licencias</w:t>
            </w:r>
          </w:p>
        </w:tc>
      </w:tr>
      <w:tr w:rsidR="0000653E" w:rsidRPr="00F9444F" w14:paraId="06C48CE3"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6B2DAD8" w14:textId="105F827A" w:rsidR="0000653E" w:rsidRPr="00F9444F" w:rsidRDefault="00D44B25">
            <w:pPr>
              <w:pStyle w:val="Tabletext"/>
              <w:jc w:val="center"/>
              <w:rPr>
                <w:b/>
                <w:bCs/>
                <w:lang w:val="es-ES_tradnl"/>
              </w:rPr>
            </w:pPr>
            <w:r w:rsidRPr="00F9444F">
              <w:rPr>
                <w:b/>
                <w:bCs/>
                <w:lang w:val="es-ES_tradnl"/>
              </w:rPr>
              <w:t>17</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27B63" w14:textId="77777777" w:rsidR="0000653E" w:rsidRPr="00F9444F" w:rsidRDefault="0000653E" w:rsidP="000B584F">
            <w:pPr>
              <w:pStyle w:val="Tabletext"/>
              <w:rPr>
                <w:lang w:val="es-ES_tradnl"/>
              </w:rPr>
            </w:pPr>
            <w:r w:rsidRPr="00F9444F">
              <w:rPr>
                <w:lang w:val="es-ES_tradnl"/>
              </w:rPr>
              <w:t xml:space="preserve">Futuro programa de trabajo y lista de acciones para el GRCE3-LAC </w:t>
            </w:r>
          </w:p>
        </w:tc>
      </w:tr>
      <w:tr w:rsidR="0000653E" w:rsidRPr="00F9444F" w14:paraId="76BF861A"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3D5DA71F" w14:textId="570162CA" w:rsidR="0000653E" w:rsidRPr="00F9444F" w:rsidRDefault="00D44B25">
            <w:pPr>
              <w:pStyle w:val="Tabletext"/>
              <w:jc w:val="center"/>
              <w:rPr>
                <w:b/>
                <w:bCs/>
                <w:lang w:val="es-ES_tradnl"/>
              </w:rPr>
            </w:pPr>
            <w:r w:rsidRPr="00F9444F">
              <w:rPr>
                <w:b/>
                <w:bCs/>
                <w:lang w:val="es-ES_tradnl"/>
              </w:rPr>
              <w:t>18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1351D" w14:textId="117E4CB9" w:rsidR="0000653E" w:rsidRPr="00F9444F" w:rsidRDefault="0000653E" w:rsidP="0014313B">
            <w:pPr>
              <w:pStyle w:val="Tabletext"/>
              <w:rPr>
                <w:lang w:val="es-ES_tradnl"/>
              </w:rPr>
            </w:pPr>
            <w:r w:rsidRPr="00F9444F">
              <w:rPr>
                <w:lang w:val="es-ES_tradnl"/>
              </w:rPr>
              <w:t xml:space="preserve">Contribuciones del GRCE3-LAC y de los Miembros a la Comisión de Estudio 3 del UIT-T </w:t>
            </w:r>
            <w:r w:rsidR="00E604DC">
              <w:rPr>
                <w:lang w:val="es-ES_tradnl"/>
              </w:rPr>
              <w:br/>
            </w:r>
            <w:r w:rsidRPr="00F9444F">
              <w:rPr>
                <w:lang w:val="es-ES_tradnl"/>
              </w:rPr>
              <w:t xml:space="preserve">en </w:t>
            </w:r>
            <w:r w:rsidR="00C747FC">
              <w:rPr>
                <w:lang w:val="es-ES_tradnl"/>
              </w:rPr>
              <w:t>mayo de 2021</w:t>
            </w:r>
            <w:r w:rsidRPr="00F9444F">
              <w:rPr>
                <w:lang w:val="es-ES_tradnl"/>
              </w:rPr>
              <w:t xml:space="preserve"> </w:t>
            </w:r>
          </w:p>
        </w:tc>
      </w:tr>
      <w:tr w:rsidR="0000653E" w:rsidRPr="00F9444F" w14:paraId="0AB3CF2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C889B38" w14:textId="660F34EC" w:rsidR="0000653E" w:rsidRPr="00F9444F" w:rsidRDefault="00D44B25">
            <w:pPr>
              <w:pStyle w:val="Tabletext"/>
              <w:jc w:val="center"/>
              <w:rPr>
                <w:b/>
                <w:bCs/>
                <w:lang w:val="es-ES_tradnl"/>
              </w:rPr>
            </w:pPr>
            <w:r w:rsidRPr="00F9444F">
              <w:rPr>
                <w:b/>
                <w:bCs/>
                <w:lang w:val="es-ES_tradnl"/>
              </w:rPr>
              <w:t>19</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76BEB" w14:textId="77777777" w:rsidR="0000653E" w:rsidRPr="00F9444F" w:rsidRDefault="0000653E" w:rsidP="000B584F">
            <w:pPr>
              <w:pStyle w:val="Tabletext"/>
              <w:rPr>
                <w:lang w:val="es-ES_tradnl"/>
              </w:rPr>
            </w:pPr>
            <w:r w:rsidRPr="00F9444F">
              <w:rPr>
                <w:lang w:val="es-ES_tradnl"/>
              </w:rPr>
              <w:t>Lugar de celebración y fecha de la próxima reunión del GRCE3-LAC</w:t>
            </w:r>
          </w:p>
        </w:tc>
      </w:tr>
      <w:tr w:rsidR="0000653E" w:rsidRPr="00F9444F" w14:paraId="7566F33B"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F1F7253" w14:textId="21C79429" w:rsidR="0000653E" w:rsidRPr="00F9444F" w:rsidRDefault="00D44B25">
            <w:pPr>
              <w:pStyle w:val="Tabletext"/>
              <w:jc w:val="center"/>
              <w:rPr>
                <w:b/>
                <w:bCs/>
                <w:lang w:val="es-ES_tradnl"/>
              </w:rPr>
            </w:pPr>
            <w:r w:rsidRPr="00F9444F">
              <w:rPr>
                <w:b/>
                <w:bCs/>
                <w:lang w:val="es-ES_tradnl"/>
              </w:rPr>
              <w:t>20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9B7D" w14:textId="77777777" w:rsidR="0000653E" w:rsidRPr="00F9444F" w:rsidRDefault="0000653E" w:rsidP="000B584F">
            <w:pPr>
              <w:pStyle w:val="Tabletext"/>
              <w:rPr>
                <w:lang w:val="es-ES_tradnl"/>
              </w:rPr>
            </w:pPr>
            <w:r w:rsidRPr="00F9444F">
              <w:rPr>
                <w:lang w:val="es-ES_tradnl"/>
              </w:rPr>
              <w:t>Otros asuntos</w:t>
            </w:r>
          </w:p>
        </w:tc>
      </w:tr>
      <w:tr w:rsidR="0000653E" w:rsidRPr="00F9444F" w14:paraId="37E61925" w14:textId="77777777" w:rsidTr="0000653E">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98E230F" w14:textId="6E832ABF" w:rsidR="0000653E" w:rsidRPr="00F9444F" w:rsidRDefault="00D44B25" w:rsidP="000B584F">
            <w:pPr>
              <w:pStyle w:val="Tabletext"/>
              <w:jc w:val="center"/>
              <w:rPr>
                <w:b/>
                <w:bCs/>
                <w:lang w:val="es-ES_tradnl"/>
              </w:rPr>
            </w:pPr>
            <w:r w:rsidRPr="00F9444F">
              <w:rPr>
                <w:b/>
                <w:bCs/>
                <w:lang w:val="es-ES_tradnl"/>
              </w:rPr>
              <w:t>21</w:t>
            </w:r>
          </w:p>
        </w:tc>
        <w:tc>
          <w:tcPr>
            <w:tcW w:w="9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E3BD68" w14:textId="77777777" w:rsidR="0000653E" w:rsidRPr="00F9444F" w:rsidRDefault="0000653E" w:rsidP="000B584F">
            <w:pPr>
              <w:pStyle w:val="Tabletext"/>
              <w:rPr>
                <w:lang w:val="es-ES_tradnl"/>
              </w:rPr>
            </w:pPr>
            <w:r w:rsidRPr="00F9444F">
              <w:rPr>
                <w:lang w:val="es-ES_tradnl"/>
              </w:rPr>
              <w:t>Clausura de la reunión</w:t>
            </w:r>
          </w:p>
        </w:tc>
      </w:tr>
    </w:tbl>
    <w:p w14:paraId="5412FE0A" w14:textId="77777777" w:rsidR="00AE2816" w:rsidRPr="00F9444F" w:rsidRDefault="00AE2816" w:rsidP="00AE2816">
      <w:pPr>
        <w:spacing w:before="240" w:after="120"/>
        <w:jc w:val="center"/>
        <w:rPr>
          <w:lang w:val="es-ES_tradnl"/>
        </w:rPr>
      </w:pPr>
      <w:r w:rsidRPr="00F9444F">
        <w:rPr>
          <w:lang w:val="es-ES_tradnl"/>
        </w:rPr>
        <w:t>_____________________</w:t>
      </w:r>
    </w:p>
    <w:sectPr w:rsidR="00AE2816" w:rsidRPr="00F9444F" w:rsidSect="00AE2816">
      <w:headerReference w:type="default" r:id="rId24"/>
      <w:footerReference w:type="first" r:id="rId2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42B3" w14:textId="77777777" w:rsidR="005B6EE3" w:rsidRDefault="005B6EE3">
      <w:r>
        <w:separator/>
      </w:r>
    </w:p>
  </w:endnote>
  <w:endnote w:type="continuationSeparator" w:id="0">
    <w:p w14:paraId="6AF09D86" w14:textId="77777777" w:rsidR="005B6EE3" w:rsidRDefault="005B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C45D" w14:textId="77777777" w:rsidR="002C62C9" w:rsidRPr="00FC2051" w:rsidRDefault="002C62C9" w:rsidP="002C62C9">
    <w:pPr>
      <w:pStyle w:val="FirstFooter"/>
      <w:ind w:left="-397" w:right="-397"/>
      <w:jc w:val="center"/>
      <w:rPr>
        <w:color w:val="0070C0"/>
        <w:sz w:val="18"/>
        <w:szCs w:val="18"/>
      </w:rPr>
    </w:pPr>
    <w:r w:rsidRPr="00B37E9B">
      <w:rPr>
        <w:color w:val="0070C0"/>
        <w:sz w:val="18"/>
        <w:szCs w:val="18"/>
      </w:rPr>
      <w:t xml:space="preserve">Unión Internacional de Telecomunicaciones • Place des </w:t>
    </w:r>
    <w:proofErr w:type="spellStart"/>
    <w:r w:rsidRPr="00B37E9B">
      <w:rPr>
        <w:color w:val="0070C0"/>
        <w:sz w:val="18"/>
        <w:szCs w:val="18"/>
      </w:rPr>
      <w:t>Nations</w:t>
    </w:r>
    <w:proofErr w:type="spellEnd"/>
    <w:r w:rsidRPr="00B37E9B">
      <w:rPr>
        <w:color w:val="0070C0"/>
        <w:sz w:val="18"/>
        <w:szCs w:val="18"/>
      </w:rPr>
      <w:t xml:space="preserve"> • CH</w:t>
    </w:r>
    <w:r w:rsidRPr="00B37E9B">
      <w:rPr>
        <w:color w:val="0070C0"/>
        <w:sz w:val="18"/>
        <w:szCs w:val="18"/>
      </w:rPr>
      <w:noBreakHyphen/>
      <w:t>1211 Ginebra 20 • Suiza</w:t>
    </w:r>
    <w:r w:rsidRPr="00B37E9B">
      <w:rPr>
        <w:color w:val="0070C0"/>
        <w:sz w:val="18"/>
        <w:szCs w:val="18"/>
      </w:rPr>
      <w:br/>
      <w:t>Tel: +41 22 730 5111 •</w:t>
    </w:r>
    <w:r w:rsidRPr="00FC2051">
      <w:rPr>
        <w:color w:val="0070C0"/>
        <w:sz w:val="18"/>
        <w:szCs w:val="18"/>
      </w:rPr>
      <w:t xml:space="preserve"> </w:t>
    </w:r>
    <w:r w:rsidRPr="00B37E9B">
      <w:rPr>
        <w:color w:val="0070C0"/>
        <w:sz w:val="18"/>
        <w:szCs w:val="18"/>
      </w:rPr>
      <w:t xml:space="preserve">Correo-e: </w:t>
    </w:r>
    <w:hyperlink r:id="rId1" w:history="1">
      <w:r w:rsidRPr="00F42C8C">
        <w:rPr>
          <w:rStyle w:val="Hyperlink"/>
          <w:rFonts w:cs="Calibri"/>
          <w:sz w:val="18"/>
          <w:szCs w:val="18"/>
        </w:rPr>
        <w:t>itumail@itu.int</w:t>
      </w:r>
    </w:hyperlink>
    <w:r w:rsidRPr="00B37E9B">
      <w:rPr>
        <w:color w:val="0070C0"/>
        <w:sz w:val="18"/>
        <w:szCs w:val="18"/>
      </w:rPr>
      <w:t xml:space="preserve"> •</w:t>
    </w:r>
    <w:r>
      <w:rPr>
        <w:color w:val="0070C0"/>
        <w:sz w:val="18"/>
        <w:szCs w:val="18"/>
      </w:rPr>
      <w:t xml:space="preserve"> </w:t>
    </w:r>
    <w:r w:rsidRPr="00B37E9B">
      <w:rPr>
        <w:color w:val="0070C0"/>
        <w:sz w:val="18"/>
        <w:szCs w:val="18"/>
      </w:rPr>
      <w:t xml:space="preserve">Fax: +41 22 733 7256 </w:t>
    </w:r>
    <w:r w:rsidRPr="00FC2051">
      <w:rPr>
        <w:color w:val="0070C0"/>
        <w:sz w:val="18"/>
        <w:szCs w:val="18"/>
      </w:rPr>
      <w:t xml:space="preserve">• </w:t>
    </w:r>
    <w:hyperlink r:id="rId2" w:history="1">
      <w:r w:rsidRPr="00FC2051">
        <w:rPr>
          <w:rStyle w:val="Hyperlink"/>
          <w:rFonts w:cs="Calibri"/>
          <w:color w:val="0070C0"/>
          <w:sz w:val="18"/>
          <w:szCs w:val="18"/>
        </w:rPr>
        <w:t>www.itu.int</w:t>
      </w:r>
    </w:hyperlink>
    <w:r w:rsidRPr="00FC2051">
      <w:rPr>
        <w:color w:val="0070C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F3BD" w14:textId="77777777" w:rsidR="005B6EE3" w:rsidRDefault="005B6EE3">
      <w:r>
        <w:t>____________________</w:t>
      </w:r>
    </w:p>
  </w:footnote>
  <w:footnote w:type="continuationSeparator" w:id="0">
    <w:p w14:paraId="1912EC6C" w14:textId="77777777" w:rsidR="005B6EE3" w:rsidRDefault="005B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8E5B" w14:textId="5C3B0CCB" w:rsidR="005B6EE3" w:rsidRDefault="006B49EA" w:rsidP="0024485F">
    <w:pPr>
      <w:pStyle w:val="Header"/>
      <w:rPr>
        <w:noProof/>
      </w:rPr>
    </w:pPr>
    <w:sdt>
      <w:sdtPr>
        <w:id w:val="586744840"/>
        <w:docPartObj>
          <w:docPartGallery w:val="Page Numbers (Top of Page)"/>
          <w:docPartUnique/>
        </w:docPartObj>
      </w:sdtPr>
      <w:sdtEndPr>
        <w:rPr>
          <w:noProof/>
        </w:rPr>
      </w:sdtEndPr>
      <w:sdtContent>
        <w:r w:rsidR="005B6EE3">
          <w:t xml:space="preserve">- </w:t>
        </w:r>
        <w:r w:rsidR="005B6EE3">
          <w:fldChar w:fldCharType="begin"/>
        </w:r>
        <w:r w:rsidR="005B6EE3">
          <w:instrText xml:space="preserve"> PAGE   \* MERGEFORMAT </w:instrText>
        </w:r>
        <w:r w:rsidR="005B6EE3">
          <w:fldChar w:fldCharType="separate"/>
        </w:r>
        <w:r w:rsidR="0014313B">
          <w:rPr>
            <w:noProof/>
          </w:rPr>
          <w:t>4</w:t>
        </w:r>
        <w:r w:rsidR="005B6EE3">
          <w:fldChar w:fldCharType="end"/>
        </w:r>
      </w:sdtContent>
    </w:sdt>
    <w:r w:rsidR="005B6EE3">
      <w:t xml:space="preserve"> -</w:t>
    </w:r>
  </w:p>
  <w:p w14:paraId="3DC202DD" w14:textId="4CF24557" w:rsidR="005B6EE3" w:rsidRPr="00C740E1" w:rsidRDefault="005B6EE3" w:rsidP="006E3EA8">
    <w:pPr>
      <w:pStyle w:val="Header"/>
      <w:spacing w:after="240"/>
    </w:pPr>
    <w:r>
      <w:t xml:space="preserve">Carta </w:t>
    </w:r>
    <w:r w:rsidR="002C62C9">
      <w:t xml:space="preserve">Colectiva </w:t>
    </w:r>
    <w:r w:rsidR="00C747FC">
      <w:t>4</w:t>
    </w:r>
    <w:r>
      <w:t>/</w:t>
    </w:r>
    <w:r w:rsidR="00731ACD">
      <w:t>GRCE3-LAC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D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E4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4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622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729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A7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3C4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E6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2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E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2E"/>
    <w:rsid w:val="00000FC7"/>
    <w:rsid w:val="0000653E"/>
    <w:rsid w:val="000069D4"/>
    <w:rsid w:val="0000705A"/>
    <w:rsid w:val="000103B1"/>
    <w:rsid w:val="00010B0B"/>
    <w:rsid w:val="000174AD"/>
    <w:rsid w:val="00025A7B"/>
    <w:rsid w:val="00026977"/>
    <w:rsid w:val="000305E1"/>
    <w:rsid w:val="00040FCE"/>
    <w:rsid w:val="000473DF"/>
    <w:rsid w:val="00053AD3"/>
    <w:rsid w:val="00057223"/>
    <w:rsid w:val="00067FCB"/>
    <w:rsid w:val="00073152"/>
    <w:rsid w:val="00076490"/>
    <w:rsid w:val="000877A6"/>
    <w:rsid w:val="00095667"/>
    <w:rsid w:val="000957BD"/>
    <w:rsid w:val="00096C2F"/>
    <w:rsid w:val="000A10D5"/>
    <w:rsid w:val="000A402E"/>
    <w:rsid w:val="000A7199"/>
    <w:rsid w:val="000A7459"/>
    <w:rsid w:val="000A7D55"/>
    <w:rsid w:val="000B2F64"/>
    <w:rsid w:val="000B31A0"/>
    <w:rsid w:val="000B46FB"/>
    <w:rsid w:val="000B584F"/>
    <w:rsid w:val="000B7817"/>
    <w:rsid w:val="000C2E8E"/>
    <w:rsid w:val="000C4182"/>
    <w:rsid w:val="000C4C90"/>
    <w:rsid w:val="000C4D66"/>
    <w:rsid w:val="000D49FB"/>
    <w:rsid w:val="000E0AE4"/>
    <w:rsid w:val="000E0E7C"/>
    <w:rsid w:val="000E271C"/>
    <w:rsid w:val="000E6609"/>
    <w:rsid w:val="000F1B4B"/>
    <w:rsid w:val="000F30E4"/>
    <w:rsid w:val="000F63DE"/>
    <w:rsid w:val="000F6D51"/>
    <w:rsid w:val="00115DF1"/>
    <w:rsid w:val="00120B55"/>
    <w:rsid w:val="00124AE2"/>
    <w:rsid w:val="00126E71"/>
    <w:rsid w:val="00127127"/>
    <w:rsid w:val="0012744F"/>
    <w:rsid w:val="0013130F"/>
    <w:rsid w:val="00135065"/>
    <w:rsid w:val="0013699E"/>
    <w:rsid w:val="00136A91"/>
    <w:rsid w:val="0013702E"/>
    <w:rsid w:val="0014313B"/>
    <w:rsid w:val="0014326B"/>
    <w:rsid w:val="0014412C"/>
    <w:rsid w:val="00150FE5"/>
    <w:rsid w:val="001534F2"/>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0D64"/>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37A0E"/>
    <w:rsid w:val="00241934"/>
    <w:rsid w:val="0024485F"/>
    <w:rsid w:val="00253664"/>
    <w:rsid w:val="0026242A"/>
    <w:rsid w:val="00263CE7"/>
    <w:rsid w:val="00264BB6"/>
    <w:rsid w:val="00267A46"/>
    <w:rsid w:val="00271540"/>
    <w:rsid w:val="00282A23"/>
    <w:rsid w:val="002871C8"/>
    <w:rsid w:val="00287BF1"/>
    <w:rsid w:val="002A2F20"/>
    <w:rsid w:val="002A3D35"/>
    <w:rsid w:val="002A7FE2"/>
    <w:rsid w:val="002B07E5"/>
    <w:rsid w:val="002B7101"/>
    <w:rsid w:val="002B711C"/>
    <w:rsid w:val="002C0244"/>
    <w:rsid w:val="002C2F80"/>
    <w:rsid w:val="002C3E7B"/>
    <w:rsid w:val="002C62C9"/>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158D"/>
    <w:rsid w:val="00361BC7"/>
    <w:rsid w:val="00365034"/>
    <w:rsid w:val="003739EE"/>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0F21"/>
    <w:rsid w:val="003F0F77"/>
    <w:rsid w:val="0040250E"/>
    <w:rsid w:val="00405114"/>
    <w:rsid w:val="00412CEC"/>
    <w:rsid w:val="00413914"/>
    <w:rsid w:val="00414041"/>
    <w:rsid w:val="00414944"/>
    <w:rsid w:val="00415BB4"/>
    <w:rsid w:val="00415C7A"/>
    <w:rsid w:val="00415D86"/>
    <w:rsid w:val="004202CD"/>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4B34"/>
    <w:rsid w:val="00486C5A"/>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2690"/>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51F5"/>
    <w:rsid w:val="005B55B0"/>
    <w:rsid w:val="005B6EE3"/>
    <w:rsid w:val="005C19B3"/>
    <w:rsid w:val="005C580C"/>
    <w:rsid w:val="005C7E74"/>
    <w:rsid w:val="005D3724"/>
    <w:rsid w:val="005D71A2"/>
    <w:rsid w:val="005E1223"/>
    <w:rsid w:val="005E181C"/>
    <w:rsid w:val="005E5C10"/>
    <w:rsid w:val="005E5DE7"/>
    <w:rsid w:val="005E70E3"/>
    <w:rsid w:val="005F2C78"/>
    <w:rsid w:val="005F4BA8"/>
    <w:rsid w:val="005F5109"/>
    <w:rsid w:val="006006A3"/>
    <w:rsid w:val="00601975"/>
    <w:rsid w:val="00610AE6"/>
    <w:rsid w:val="006144E4"/>
    <w:rsid w:val="00617501"/>
    <w:rsid w:val="00622D0F"/>
    <w:rsid w:val="00624555"/>
    <w:rsid w:val="00632FCB"/>
    <w:rsid w:val="00650299"/>
    <w:rsid w:val="006513DD"/>
    <w:rsid w:val="00651669"/>
    <w:rsid w:val="006550C0"/>
    <w:rsid w:val="00655FC5"/>
    <w:rsid w:val="00655FDD"/>
    <w:rsid w:val="00656D19"/>
    <w:rsid w:val="00670B08"/>
    <w:rsid w:val="00675ABC"/>
    <w:rsid w:val="00680D49"/>
    <w:rsid w:val="006820A1"/>
    <w:rsid w:val="006868F5"/>
    <w:rsid w:val="00687BD5"/>
    <w:rsid w:val="006907AE"/>
    <w:rsid w:val="00690BFB"/>
    <w:rsid w:val="00690F23"/>
    <w:rsid w:val="006928AC"/>
    <w:rsid w:val="006A116C"/>
    <w:rsid w:val="006A184C"/>
    <w:rsid w:val="006B3467"/>
    <w:rsid w:val="006B3AF0"/>
    <w:rsid w:val="006B43D3"/>
    <w:rsid w:val="006B49EA"/>
    <w:rsid w:val="006B4EC7"/>
    <w:rsid w:val="006C44C1"/>
    <w:rsid w:val="006C53EB"/>
    <w:rsid w:val="006C6E0B"/>
    <w:rsid w:val="006D09A9"/>
    <w:rsid w:val="006D0E21"/>
    <w:rsid w:val="006D3A21"/>
    <w:rsid w:val="006D4085"/>
    <w:rsid w:val="006D6AF4"/>
    <w:rsid w:val="006D7202"/>
    <w:rsid w:val="006E3EA8"/>
    <w:rsid w:val="006E563F"/>
    <w:rsid w:val="006E616B"/>
    <w:rsid w:val="006F0CE8"/>
    <w:rsid w:val="006F1524"/>
    <w:rsid w:val="007073DC"/>
    <w:rsid w:val="00710D11"/>
    <w:rsid w:val="00713CDB"/>
    <w:rsid w:val="00725EBA"/>
    <w:rsid w:val="0072682D"/>
    <w:rsid w:val="0072755A"/>
    <w:rsid w:val="00731ACD"/>
    <w:rsid w:val="00737EA1"/>
    <w:rsid w:val="0074285D"/>
    <w:rsid w:val="0074650D"/>
    <w:rsid w:val="007542B3"/>
    <w:rsid w:val="0075739B"/>
    <w:rsid w:val="00763687"/>
    <w:rsid w:val="007648B6"/>
    <w:rsid w:val="00766333"/>
    <w:rsid w:val="00776750"/>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229"/>
    <w:rsid w:val="0087539F"/>
    <w:rsid w:val="00875B05"/>
    <w:rsid w:val="008768C5"/>
    <w:rsid w:val="008805EA"/>
    <w:rsid w:val="008813D2"/>
    <w:rsid w:val="00881BA1"/>
    <w:rsid w:val="00885066"/>
    <w:rsid w:val="00894681"/>
    <w:rsid w:val="008955F8"/>
    <w:rsid w:val="008979D8"/>
    <w:rsid w:val="008A0A55"/>
    <w:rsid w:val="008A6916"/>
    <w:rsid w:val="008B0087"/>
    <w:rsid w:val="008B677C"/>
    <w:rsid w:val="008C26B8"/>
    <w:rsid w:val="008C7E47"/>
    <w:rsid w:val="008D793B"/>
    <w:rsid w:val="008D79A4"/>
    <w:rsid w:val="008E3B48"/>
    <w:rsid w:val="008E51E1"/>
    <w:rsid w:val="008E7192"/>
    <w:rsid w:val="008F46DA"/>
    <w:rsid w:val="0090173C"/>
    <w:rsid w:val="00902D14"/>
    <w:rsid w:val="00905875"/>
    <w:rsid w:val="009069C7"/>
    <w:rsid w:val="0091099F"/>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5AFF"/>
    <w:rsid w:val="009C7222"/>
    <w:rsid w:val="009D1697"/>
    <w:rsid w:val="009D1DF9"/>
    <w:rsid w:val="009D720A"/>
    <w:rsid w:val="009E13BC"/>
    <w:rsid w:val="009E4F80"/>
    <w:rsid w:val="009F12DC"/>
    <w:rsid w:val="009F3E9B"/>
    <w:rsid w:val="009F6A52"/>
    <w:rsid w:val="009F7D9F"/>
    <w:rsid w:val="00A014F8"/>
    <w:rsid w:val="00A0151F"/>
    <w:rsid w:val="00A015F3"/>
    <w:rsid w:val="00A04BE0"/>
    <w:rsid w:val="00A11DCA"/>
    <w:rsid w:val="00A129C1"/>
    <w:rsid w:val="00A161DA"/>
    <w:rsid w:val="00A1765C"/>
    <w:rsid w:val="00A179A5"/>
    <w:rsid w:val="00A22ACD"/>
    <w:rsid w:val="00A27EEA"/>
    <w:rsid w:val="00A42000"/>
    <w:rsid w:val="00A47BC7"/>
    <w:rsid w:val="00A50646"/>
    <w:rsid w:val="00A5173C"/>
    <w:rsid w:val="00A57624"/>
    <w:rsid w:val="00A60FE3"/>
    <w:rsid w:val="00A61AEF"/>
    <w:rsid w:val="00A62FC0"/>
    <w:rsid w:val="00A72A49"/>
    <w:rsid w:val="00A75CB3"/>
    <w:rsid w:val="00A8676D"/>
    <w:rsid w:val="00A9233F"/>
    <w:rsid w:val="00A95848"/>
    <w:rsid w:val="00A9652E"/>
    <w:rsid w:val="00A96E4C"/>
    <w:rsid w:val="00A9718D"/>
    <w:rsid w:val="00AA0319"/>
    <w:rsid w:val="00AA0D01"/>
    <w:rsid w:val="00AA1543"/>
    <w:rsid w:val="00AA5940"/>
    <w:rsid w:val="00AB0FFD"/>
    <w:rsid w:val="00AC2918"/>
    <w:rsid w:val="00AC31EA"/>
    <w:rsid w:val="00AD32BA"/>
    <w:rsid w:val="00AD32FB"/>
    <w:rsid w:val="00AD7192"/>
    <w:rsid w:val="00AE03A7"/>
    <w:rsid w:val="00AE2816"/>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64AC9"/>
    <w:rsid w:val="00B70109"/>
    <w:rsid w:val="00B75797"/>
    <w:rsid w:val="00B778FF"/>
    <w:rsid w:val="00B805FC"/>
    <w:rsid w:val="00B83461"/>
    <w:rsid w:val="00B84A9F"/>
    <w:rsid w:val="00B85EA5"/>
    <w:rsid w:val="00B87021"/>
    <w:rsid w:val="00B93EA2"/>
    <w:rsid w:val="00B9685D"/>
    <w:rsid w:val="00BA5898"/>
    <w:rsid w:val="00BB0D50"/>
    <w:rsid w:val="00BB2F68"/>
    <w:rsid w:val="00BB7E82"/>
    <w:rsid w:val="00BC398D"/>
    <w:rsid w:val="00BC41E7"/>
    <w:rsid w:val="00BC5760"/>
    <w:rsid w:val="00BC7CCF"/>
    <w:rsid w:val="00BD38FF"/>
    <w:rsid w:val="00BD4DE3"/>
    <w:rsid w:val="00BD78D6"/>
    <w:rsid w:val="00BE1A8D"/>
    <w:rsid w:val="00BE3E02"/>
    <w:rsid w:val="00BE3F36"/>
    <w:rsid w:val="00BE470B"/>
    <w:rsid w:val="00BF1B7E"/>
    <w:rsid w:val="00BF35F1"/>
    <w:rsid w:val="00BF72E2"/>
    <w:rsid w:val="00C018E7"/>
    <w:rsid w:val="00C13A07"/>
    <w:rsid w:val="00C25538"/>
    <w:rsid w:val="00C34746"/>
    <w:rsid w:val="00C579DC"/>
    <w:rsid w:val="00C57A91"/>
    <w:rsid w:val="00C60568"/>
    <w:rsid w:val="00C612B7"/>
    <w:rsid w:val="00C641B0"/>
    <w:rsid w:val="00C740E1"/>
    <w:rsid w:val="00C747FC"/>
    <w:rsid w:val="00C75C0D"/>
    <w:rsid w:val="00C76E40"/>
    <w:rsid w:val="00C81884"/>
    <w:rsid w:val="00C87A03"/>
    <w:rsid w:val="00C87E56"/>
    <w:rsid w:val="00C91712"/>
    <w:rsid w:val="00C92138"/>
    <w:rsid w:val="00CA2AA1"/>
    <w:rsid w:val="00CA4D9F"/>
    <w:rsid w:val="00CB43AF"/>
    <w:rsid w:val="00CB6571"/>
    <w:rsid w:val="00CC01C2"/>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3416"/>
    <w:rsid w:val="00D4406D"/>
    <w:rsid w:val="00D442B4"/>
    <w:rsid w:val="00D44B25"/>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7577"/>
    <w:rsid w:val="00E01084"/>
    <w:rsid w:val="00E0115C"/>
    <w:rsid w:val="00E03A76"/>
    <w:rsid w:val="00E04D7C"/>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2218"/>
    <w:rsid w:val="00E5309E"/>
    <w:rsid w:val="00E5397E"/>
    <w:rsid w:val="00E604DC"/>
    <w:rsid w:val="00E617E9"/>
    <w:rsid w:val="00E6257C"/>
    <w:rsid w:val="00E63C59"/>
    <w:rsid w:val="00E64B03"/>
    <w:rsid w:val="00E6788D"/>
    <w:rsid w:val="00E67BF5"/>
    <w:rsid w:val="00E71A36"/>
    <w:rsid w:val="00E757C8"/>
    <w:rsid w:val="00E93E5E"/>
    <w:rsid w:val="00E958EF"/>
    <w:rsid w:val="00E96626"/>
    <w:rsid w:val="00EA0F08"/>
    <w:rsid w:val="00EA203D"/>
    <w:rsid w:val="00EA41F2"/>
    <w:rsid w:val="00EA4E6F"/>
    <w:rsid w:val="00EA789F"/>
    <w:rsid w:val="00EC0EF4"/>
    <w:rsid w:val="00EC0F1A"/>
    <w:rsid w:val="00EC21DF"/>
    <w:rsid w:val="00EE12EF"/>
    <w:rsid w:val="00EE1D23"/>
    <w:rsid w:val="00EE32F5"/>
    <w:rsid w:val="00EE72FD"/>
    <w:rsid w:val="00EF2CDC"/>
    <w:rsid w:val="00F07162"/>
    <w:rsid w:val="00F07607"/>
    <w:rsid w:val="00F30FBD"/>
    <w:rsid w:val="00F3799F"/>
    <w:rsid w:val="00F37AB8"/>
    <w:rsid w:val="00F40852"/>
    <w:rsid w:val="00F42EF2"/>
    <w:rsid w:val="00F443AE"/>
    <w:rsid w:val="00F54DF5"/>
    <w:rsid w:val="00F632AC"/>
    <w:rsid w:val="00F64297"/>
    <w:rsid w:val="00F64E8B"/>
    <w:rsid w:val="00F676CC"/>
    <w:rsid w:val="00F67C38"/>
    <w:rsid w:val="00F71053"/>
    <w:rsid w:val="00F717FE"/>
    <w:rsid w:val="00F720CC"/>
    <w:rsid w:val="00F80D39"/>
    <w:rsid w:val="00F8385A"/>
    <w:rsid w:val="00F85826"/>
    <w:rsid w:val="00F9282D"/>
    <w:rsid w:val="00F9444F"/>
    <w:rsid w:val="00F9496A"/>
    <w:rsid w:val="00F96FE8"/>
    <w:rsid w:val="00FA124A"/>
    <w:rsid w:val="00FA21D2"/>
    <w:rsid w:val="00FA4BFD"/>
    <w:rsid w:val="00FC08DD"/>
    <w:rsid w:val="00FC1CE1"/>
    <w:rsid w:val="00FC2316"/>
    <w:rsid w:val="00FC25B6"/>
    <w:rsid w:val="00FC2CFD"/>
    <w:rsid w:val="00FC6515"/>
    <w:rsid w:val="00FD06C7"/>
    <w:rsid w:val="00FD2B1B"/>
    <w:rsid w:val="00FD7E06"/>
    <w:rsid w:val="00FE0026"/>
    <w:rsid w:val="00FE091D"/>
    <w:rsid w:val="00FE0A5D"/>
    <w:rsid w:val="00FE19B3"/>
    <w:rsid w:val="00FE540B"/>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F78955"/>
  <w15:docId w15:val="{6F21CA95-2628-4031-A714-4A48E43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s-ES"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s-ES"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s-ES"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s-ES"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s-ES"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s-ES"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s-ES" w:eastAsia="en-US"/>
    </w:rPr>
  </w:style>
  <w:style w:type="paragraph" w:styleId="Revision">
    <w:name w:val="Revision"/>
    <w:hidden/>
    <w:uiPriority w:val="99"/>
    <w:semiHidden/>
    <w:rsid w:val="005444BD"/>
    <w:rPr>
      <w:rFonts w:asciiTheme="minorHAnsi" w:hAnsiTheme="minorHAnsi"/>
      <w:sz w:val="24"/>
      <w:lang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customStyle="1" w:styleId="UnresolvedMention2">
    <w:name w:val="Unresolved Mention2"/>
    <w:basedOn w:val="DefaultParagraphFont"/>
    <w:uiPriority w:val="99"/>
    <w:semiHidden/>
    <w:unhideWhenUsed/>
    <w:rsid w:val="0069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567179574">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es" TargetMode="External"/><Relationship Id="rId7" Type="http://schemas.openxmlformats.org/officeDocument/2006/relationships/endnotes" Target="endnotes.xml"/><Relationship Id="rId12" Type="http://schemas.openxmlformats.org/officeDocument/2006/relationships/hyperlink" Target="https://www.itu.int/en/ITU-T/studygroups/2017-2020/03/sg3rglac/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www.itu.int/en/ITU-T/studygroups/2017-2020/03/sg3rglac/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6114-A7FA-430E-9878-C2EB5E6A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143</TotalTime>
  <Pages>3</Pages>
  <Words>985</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SG3 Secretariat</dc:creator>
  <cp:keywords/>
  <dc:description/>
  <cp:lastModifiedBy>Olivia Charline Cécile Braud</cp:lastModifiedBy>
  <cp:revision>11</cp:revision>
  <cp:lastPrinted>2021-03-08T16:10:00Z</cp:lastPrinted>
  <dcterms:created xsi:type="dcterms:W3CDTF">2021-03-04T07:49:00Z</dcterms:created>
  <dcterms:modified xsi:type="dcterms:W3CDTF">2021-03-08T16:10:00Z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