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D3" w:rsidRDefault="00487CD3"/>
    <w:tbl>
      <w:tblPr>
        <w:tblpPr w:leftFromText="180" w:rightFromText="180" w:horzAnchor="margin" w:tblpXSpec="center" w:tblpY="-421"/>
        <w:tblW w:w="9781" w:type="dxa"/>
        <w:jc w:val="center"/>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8653A2">
        <w:trPr>
          <w:cantSplit/>
          <w:jc w:val="center"/>
        </w:trPr>
        <w:tc>
          <w:tcPr>
            <w:tcW w:w="1418" w:type="dxa"/>
            <w:vAlign w:val="center"/>
          </w:tcPr>
          <w:p w:rsidR="00427EA6" w:rsidRPr="00697BC1" w:rsidRDefault="00CD4AE3" w:rsidP="008653A2">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427EA6" w:rsidRPr="00161F9A" w:rsidRDefault="00427EA6" w:rsidP="008653A2">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8653A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8653A2">
            <w:pPr>
              <w:spacing w:before="0"/>
              <w:jc w:val="right"/>
              <w:rPr>
                <w:color w:val="FFFFFF"/>
                <w:sz w:val="26"/>
                <w:szCs w:val="26"/>
              </w:rPr>
            </w:pPr>
          </w:p>
        </w:tc>
      </w:tr>
    </w:tbl>
    <w:p w:rsidR="002545AA" w:rsidRPr="00E35001" w:rsidRDefault="002545AA" w:rsidP="004E0645">
      <w:pPr>
        <w:spacing w:before="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2545AA" w:rsidRPr="004E0645" w:rsidTr="00846713">
        <w:trPr>
          <w:cantSplit/>
        </w:trPr>
        <w:tc>
          <w:tcPr>
            <w:tcW w:w="1084" w:type="dxa"/>
          </w:tcPr>
          <w:p w:rsidR="002545AA" w:rsidRPr="004E0645" w:rsidRDefault="002545AA" w:rsidP="004E0645">
            <w:pPr>
              <w:ind w:left="57"/>
              <w:rPr>
                <w:lang w:val="es-ES"/>
              </w:rPr>
            </w:pPr>
          </w:p>
        </w:tc>
        <w:tc>
          <w:tcPr>
            <w:tcW w:w="3793" w:type="dxa"/>
          </w:tcPr>
          <w:p w:rsidR="002545AA" w:rsidRPr="004E0645" w:rsidRDefault="002545AA" w:rsidP="004E0645">
            <w:pPr>
              <w:ind w:left="57"/>
              <w:rPr>
                <w:lang w:val="es-ES"/>
              </w:rPr>
            </w:pPr>
          </w:p>
        </w:tc>
        <w:tc>
          <w:tcPr>
            <w:tcW w:w="4762" w:type="dxa"/>
          </w:tcPr>
          <w:p w:rsidR="002545AA" w:rsidRPr="004E0645" w:rsidRDefault="004E0645" w:rsidP="00846713">
            <w:pPr>
              <w:spacing w:after="120"/>
              <w:ind w:left="57"/>
              <w:rPr>
                <w:lang w:val="en-GB"/>
              </w:rPr>
            </w:pPr>
            <w:r w:rsidRPr="004E0645">
              <w:rPr>
                <w:lang w:val="en-GB"/>
              </w:rPr>
              <w:t>Ginebra, 1 de mayo de 2019</w:t>
            </w:r>
          </w:p>
        </w:tc>
      </w:tr>
      <w:tr w:rsidR="002545AA" w:rsidRPr="00E35001" w:rsidTr="00846713">
        <w:trPr>
          <w:cantSplit/>
        </w:trPr>
        <w:tc>
          <w:tcPr>
            <w:tcW w:w="1084" w:type="dxa"/>
          </w:tcPr>
          <w:p w:rsidR="002545AA" w:rsidRPr="004E0645" w:rsidRDefault="002545AA" w:rsidP="002C58A4">
            <w:pPr>
              <w:tabs>
                <w:tab w:val="left" w:pos="4111"/>
              </w:tabs>
              <w:spacing w:before="40" w:after="40"/>
              <w:ind w:left="57"/>
            </w:pPr>
            <w:r w:rsidRPr="004E0645">
              <w:t>Ref.:</w:t>
            </w:r>
          </w:p>
        </w:tc>
        <w:tc>
          <w:tcPr>
            <w:tcW w:w="3793" w:type="dxa"/>
          </w:tcPr>
          <w:p w:rsidR="002545AA" w:rsidRPr="00E35001" w:rsidRDefault="004E0645" w:rsidP="00846713">
            <w:pPr>
              <w:tabs>
                <w:tab w:val="left" w:pos="4111"/>
              </w:tabs>
              <w:spacing w:before="40" w:after="40"/>
              <w:ind w:left="57"/>
              <w:rPr>
                <w:u w:val="single"/>
              </w:rPr>
            </w:pPr>
            <w:r w:rsidRPr="004E0645">
              <w:rPr>
                <w:b/>
              </w:rPr>
              <w:t>Addéndum 2 a la</w:t>
            </w:r>
            <w:r w:rsidR="00846713">
              <w:rPr>
                <w:b/>
              </w:rPr>
              <w:br/>
            </w:r>
            <w:r w:rsidRPr="004E0645">
              <w:rPr>
                <w:b/>
              </w:rPr>
              <w:t>Carta Colectiva TSB 6/5</w:t>
            </w:r>
          </w:p>
        </w:tc>
        <w:tc>
          <w:tcPr>
            <w:tcW w:w="4762" w:type="dxa"/>
            <w:vMerge w:val="restart"/>
          </w:tcPr>
          <w:p w:rsidR="004E0645" w:rsidRDefault="004E0645" w:rsidP="004E0645">
            <w:pPr>
              <w:tabs>
                <w:tab w:val="clear" w:pos="794"/>
                <w:tab w:val="left" w:pos="360"/>
                <w:tab w:val="left" w:pos="4111"/>
              </w:tabs>
              <w:spacing w:before="40" w:after="40"/>
              <w:ind w:left="360" w:hanging="303"/>
            </w:pPr>
            <w:r w:rsidRPr="004E0645">
              <w:t>A:</w:t>
            </w:r>
          </w:p>
          <w:p w:rsidR="004E0645" w:rsidRPr="004E0645" w:rsidRDefault="004E0645" w:rsidP="004E0645">
            <w:pPr>
              <w:tabs>
                <w:tab w:val="clear" w:pos="794"/>
                <w:tab w:val="left" w:pos="360"/>
                <w:tab w:val="left" w:pos="4111"/>
              </w:tabs>
              <w:spacing w:before="40" w:after="40"/>
              <w:ind w:left="360" w:hanging="303"/>
              <w:rPr>
                <w:bCs/>
              </w:rPr>
            </w:pPr>
            <w:r>
              <w:t>–</w:t>
            </w:r>
            <w:r w:rsidRPr="004E0645">
              <w:tab/>
            </w:r>
            <w:r w:rsidRPr="004E0645">
              <w:rPr>
                <w:bCs/>
              </w:rPr>
              <w:t>las Administraci</w:t>
            </w:r>
            <w:r>
              <w:rPr>
                <w:bCs/>
              </w:rPr>
              <w:t>ones de los Estados Miembros de </w:t>
            </w:r>
            <w:r w:rsidRPr="004E0645">
              <w:rPr>
                <w:bCs/>
              </w:rPr>
              <w:t>la Unión;</w:t>
            </w:r>
          </w:p>
          <w:p w:rsidR="004E0645" w:rsidRPr="004E0645" w:rsidRDefault="004E0645" w:rsidP="004E0645">
            <w:pPr>
              <w:tabs>
                <w:tab w:val="clear" w:pos="794"/>
                <w:tab w:val="left" w:pos="360"/>
                <w:tab w:val="left" w:pos="4111"/>
              </w:tabs>
              <w:spacing w:before="40" w:after="40"/>
              <w:ind w:left="360" w:hanging="303"/>
              <w:rPr>
                <w:bCs/>
              </w:rPr>
            </w:pPr>
            <w:r>
              <w:rPr>
                <w:bCs/>
              </w:rPr>
              <w:t>–</w:t>
            </w:r>
            <w:r>
              <w:rPr>
                <w:bCs/>
              </w:rPr>
              <w:tab/>
            </w:r>
            <w:r w:rsidRPr="004E0645">
              <w:rPr>
                <w:bCs/>
              </w:rPr>
              <w:t>los Miembros del Sector UIT</w:t>
            </w:r>
            <w:r>
              <w:rPr>
                <w:bCs/>
              </w:rPr>
              <w:t>-</w:t>
            </w:r>
            <w:r w:rsidRPr="004E0645">
              <w:rPr>
                <w:bCs/>
              </w:rPr>
              <w:t>T;</w:t>
            </w:r>
          </w:p>
          <w:p w:rsidR="004E0645" w:rsidRPr="004E0645" w:rsidRDefault="004E0645" w:rsidP="004E0645">
            <w:pPr>
              <w:tabs>
                <w:tab w:val="clear" w:pos="794"/>
                <w:tab w:val="left" w:pos="360"/>
                <w:tab w:val="left" w:pos="4111"/>
              </w:tabs>
              <w:spacing w:before="40" w:after="40"/>
              <w:ind w:left="360" w:hanging="303"/>
              <w:rPr>
                <w:bCs/>
              </w:rPr>
            </w:pPr>
            <w:r>
              <w:rPr>
                <w:bCs/>
              </w:rPr>
              <w:t>–</w:t>
            </w:r>
            <w:r>
              <w:rPr>
                <w:bCs/>
              </w:rPr>
              <w:tab/>
            </w:r>
            <w:r w:rsidRPr="004E0645">
              <w:rPr>
                <w:bCs/>
              </w:rPr>
              <w:t>los Asociados de la C</w:t>
            </w:r>
            <w:r>
              <w:rPr>
                <w:bCs/>
              </w:rPr>
              <w:t>omisión de Estudio 5 del UIT-T;</w:t>
            </w:r>
          </w:p>
          <w:p w:rsidR="002545AA" w:rsidRPr="00E35001" w:rsidRDefault="004E0645" w:rsidP="004E0645">
            <w:pPr>
              <w:tabs>
                <w:tab w:val="clear" w:pos="794"/>
                <w:tab w:val="left" w:pos="360"/>
                <w:tab w:val="left" w:pos="4111"/>
              </w:tabs>
              <w:spacing w:before="40" w:after="40"/>
              <w:ind w:left="360" w:hanging="303"/>
              <w:rPr>
                <w:bCs/>
              </w:rPr>
            </w:pPr>
            <w:r>
              <w:rPr>
                <w:bCs/>
              </w:rPr>
              <w:t>–</w:t>
            </w:r>
            <w:r>
              <w:rPr>
                <w:bCs/>
              </w:rPr>
              <w:tab/>
            </w:r>
            <w:r w:rsidRPr="004E0645">
              <w:rPr>
                <w:bCs/>
              </w:rPr>
              <w:t>las Instituciones Académicas de la UIT</w:t>
            </w:r>
          </w:p>
        </w:tc>
      </w:tr>
      <w:tr w:rsidR="002545AA" w:rsidRPr="00E35001" w:rsidTr="00846713">
        <w:trPr>
          <w:cantSplit/>
        </w:trPr>
        <w:tc>
          <w:tcPr>
            <w:tcW w:w="1084" w:type="dxa"/>
          </w:tcPr>
          <w:p w:rsidR="002545AA" w:rsidRPr="004E0645" w:rsidRDefault="002545AA" w:rsidP="002C58A4">
            <w:pPr>
              <w:tabs>
                <w:tab w:val="left" w:pos="4111"/>
              </w:tabs>
              <w:spacing w:before="40" w:after="40"/>
              <w:ind w:left="57"/>
            </w:pPr>
            <w:r w:rsidRPr="004E0645">
              <w:t>Tel.:</w:t>
            </w:r>
          </w:p>
        </w:tc>
        <w:tc>
          <w:tcPr>
            <w:tcW w:w="3793" w:type="dxa"/>
          </w:tcPr>
          <w:p w:rsidR="002545AA" w:rsidRPr="00E35001" w:rsidRDefault="004E0645" w:rsidP="002C58A4">
            <w:pPr>
              <w:tabs>
                <w:tab w:val="left" w:pos="4111"/>
              </w:tabs>
              <w:spacing w:before="40" w:after="40"/>
              <w:ind w:left="57"/>
            </w:pPr>
            <w:r w:rsidRPr="004E0645">
              <w:t>+41 22 730 6301</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846713">
        <w:trPr>
          <w:cantSplit/>
        </w:trPr>
        <w:tc>
          <w:tcPr>
            <w:tcW w:w="1084" w:type="dxa"/>
          </w:tcPr>
          <w:p w:rsidR="002545AA" w:rsidRPr="004E0645" w:rsidRDefault="002545AA" w:rsidP="002C58A4">
            <w:pPr>
              <w:tabs>
                <w:tab w:val="left" w:pos="4111"/>
              </w:tabs>
              <w:spacing w:before="40" w:after="40"/>
              <w:ind w:left="57"/>
            </w:pPr>
            <w:r w:rsidRPr="004E0645">
              <w:t>Fax:</w:t>
            </w:r>
          </w:p>
        </w:tc>
        <w:tc>
          <w:tcPr>
            <w:tcW w:w="3793" w:type="dxa"/>
          </w:tcPr>
          <w:p w:rsidR="002545AA" w:rsidRPr="00E35001" w:rsidRDefault="004E0645" w:rsidP="002C58A4">
            <w:pPr>
              <w:tabs>
                <w:tab w:val="left" w:pos="4111"/>
              </w:tabs>
              <w:spacing w:before="40" w:after="40"/>
              <w:ind w:left="57"/>
            </w:pPr>
            <w:r w:rsidRPr="004E0645">
              <w:t>+41 22 730 5853</w:t>
            </w:r>
          </w:p>
        </w:tc>
        <w:tc>
          <w:tcPr>
            <w:tcW w:w="4762" w:type="dxa"/>
            <w:vMerge/>
          </w:tcPr>
          <w:p w:rsidR="002545AA" w:rsidRPr="00E35001" w:rsidRDefault="002545AA" w:rsidP="002C58A4">
            <w:pPr>
              <w:tabs>
                <w:tab w:val="left" w:pos="4111"/>
              </w:tabs>
              <w:spacing w:beforeLines="40" w:before="96" w:after="40"/>
              <w:ind w:left="57"/>
              <w:rPr>
                <w:bCs/>
              </w:rPr>
            </w:pPr>
          </w:p>
        </w:tc>
      </w:tr>
      <w:tr w:rsidR="002545AA" w:rsidRPr="00E35001" w:rsidTr="00846713">
        <w:trPr>
          <w:cantSplit/>
        </w:trPr>
        <w:tc>
          <w:tcPr>
            <w:tcW w:w="1084" w:type="dxa"/>
          </w:tcPr>
          <w:p w:rsidR="002545AA" w:rsidRPr="004E0645" w:rsidRDefault="002545AA" w:rsidP="002C58A4">
            <w:pPr>
              <w:tabs>
                <w:tab w:val="left" w:pos="4111"/>
              </w:tabs>
              <w:spacing w:before="40" w:after="40"/>
              <w:ind w:left="57"/>
            </w:pPr>
            <w:r w:rsidRPr="004E0645">
              <w:t>Correo-e:</w:t>
            </w:r>
          </w:p>
        </w:tc>
        <w:tc>
          <w:tcPr>
            <w:tcW w:w="3793" w:type="dxa"/>
          </w:tcPr>
          <w:p w:rsidR="002545AA" w:rsidRPr="00E35001" w:rsidRDefault="00191A58" w:rsidP="002C58A4">
            <w:pPr>
              <w:tabs>
                <w:tab w:val="left" w:pos="4111"/>
              </w:tabs>
              <w:spacing w:before="40" w:after="40"/>
              <w:ind w:left="57"/>
            </w:pPr>
            <w:hyperlink r:id="rId9" w:history="1">
              <w:r w:rsidR="004E0645" w:rsidRPr="00131F90">
                <w:rPr>
                  <w:rStyle w:val="Hyperlink"/>
                </w:rPr>
                <w:t>tsbsg5@itu.int</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846713">
        <w:trPr>
          <w:cantSplit/>
        </w:trPr>
        <w:tc>
          <w:tcPr>
            <w:tcW w:w="1084" w:type="dxa"/>
          </w:tcPr>
          <w:p w:rsidR="002545AA" w:rsidRPr="004E0645" w:rsidRDefault="002545AA" w:rsidP="002C58A4">
            <w:pPr>
              <w:tabs>
                <w:tab w:val="left" w:pos="4111"/>
              </w:tabs>
              <w:spacing w:before="40" w:after="40"/>
              <w:ind w:left="57"/>
            </w:pPr>
            <w:r w:rsidRPr="004E0645">
              <w:t>Web:</w:t>
            </w:r>
          </w:p>
        </w:tc>
        <w:tc>
          <w:tcPr>
            <w:tcW w:w="3793" w:type="dxa"/>
          </w:tcPr>
          <w:p w:rsidR="002545AA" w:rsidRPr="00E35001" w:rsidRDefault="00191A58" w:rsidP="002C58A4">
            <w:pPr>
              <w:tabs>
                <w:tab w:val="left" w:pos="4111"/>
              </w:tabs>
              <w:spacing w:before="40" w:after="40"/>
              <w:ind w:left="57"/>
            </w:pPr>
            <w:hyperlink r:id="rId10" w:history="1">
              <w:r w:rsidR="004E0645" w:rsidRPr="00131F90">
                <w:rPr>
                  <w:rStyle w:val="Hyperlink"/>
                </w:rPr>
                <w:t>http://itu.int/go/tsg5</w:t>
              </w:r>
            </w:hyperlink>
          </w:p>
        </w:tc>
        <w:tc>
          <w:tcPr>
            <w:tcW w:w="4762" w:type="dxa"/>
            <w:vMerge/>
          </w:tcPr>
          <w:p w:rsidR="002545AA" w:rsidRPr="00E35001" w:rsidRDefault="002545AA" w:rsidP="002C58A4">
            <w:pPr>
              <w:tabs>
                <w:tab w:val="left" w:pos="4111"/>
              </w:tabs>
              <w:spacing w:beforeLines="40" w:before="96" w:after="40"/>
              <w:ind w:left="57"/>
            </w:pPr>
          </w:p>
        </w:tc>
      </w:tr>
      <w:tr w:rsidR="002545AA" w:rsidRPr="00E35001" w:rsidTr="00846713">
        <w:trPr>
          <w:cantSplit/>
        </w:trPr>
        <w:tc>
          <w:tcPr>
            <w:tcW w:w="1084" w:type="dxa"/>
          </w:tcPr>
          <w:p w:rsidR="002545AA" w:rsidRPr="004E0645" w:rsidRDefault="002545AA" w:rsidP="004E0645">
            <w:pPr>
              <w:ind w:left="57"/>
            </w:pPr>
            <w:r w:rsidRPr="004E0645">
              <w:t>Asunto:</w:t>
            </w:r>
          </w:p>
        </w:tc>
        <w:tc>
          <w:tcPr>
            <w:tcW w:w="8555" w:type="dxa"/>
            <w:gridSpan w:val="2"/>
          </w:tcPr>
          <w:p w:rsidR="002545AA" w:rsidRPr="004E0645" w:rsidRDefault="004E0645" w:rsidP="00A63AD1">
            <w:pPr>
              <w:ind w:left="57"/>
              <w:rPr>
                <w:b/>
                <w:bCs/>
              </w:rPr>
            </w:pPr>
            <w:r w:rsidRPr="004E0645">
              <w:rPr>
                <w:b/>
                <w:bCs/>
              </w:rPr>
              <w:t>Eventos que se celebran coincidiendo con la reunión de la Comisión de Estudio 5 del UIT-T; Ginebra, del 13 al 22 de mayo de 2019</w:t>
            </w:r>
          </w:p>
        </w:tc>
      </w:tr>
    </w:tbl>
    <w:p w:rsidR="004E0645" w:rsidRPr="001D6C04" w:rsidRDefault="004E0645" w:rsidP="004E0645">
      <w:pPr>
        <w:pStyle w:val="Normalaftertitle0"/>
      </w:pPr>
      <w:bookmarkStart w:id="0" w:name="ditulogo"/>
      <w:bookmarkEnd w:id="0"/>
      <w:r w:rsidRPr="001D6C04">
        <w:t>Muy Señora mía/Muy Señor mío:</w:t>
      </w:r>
    </w:p>
    <w:p w:rsidR="004E0645" w:rsidRDefault="004E0645" w:rsidP="00A63AD1">
      <w:r>
        <w:t xml:space="preserve">Además de la </w:t>
      </w:r>
      <w:hyperlink r:id="rId11" w:history="1">
        <w:r w:rsidRPr="002214EE">
          <w:rPr>
            <w:rStyle w:val="Hyperlink"/>
          </w:rPr>
          <w:t>Carta Colectiva TSB 6/5</w:t>
        </w:r>
      </w:hyperlink>
      <w:r>
        <w:t xml:space="preserve"> del 5 de diciembre de 201</w:t>
      </w:r>
      <w:r w:rsidR="00A63AD1">
        <w:t>8</w:t>
      </w:r>
      <w:r>
        <w:t>, adjuntamos a la presente información adicional relativa a la reunión de la Comisión de Estudio 5 del UIT-T que se celebrará en Ginebra del 13 al 22 de mayo de 2019.</w:t>
      </w:r>
    </w:p>
    <w:p w:rsidR="004E0645" w:rsidRDefault="004E0645" w:rsidP="004E0645">
      <w:r>
        <w:t xml:space="preserve">Deseo informarle que el </w:t>
      </w:r>
      <w:hyperlink r:id="rId12" w:history="1">
        <w:r w:rsidRPr="00D642E7">
          <w:rPr>
            <w:rStyle w:val="Hyperlink"/>
          </w:rPr>
          <w:t>13º Simposio sobre TIC, medio ambiente y cambio climático</w:t>
        </w:r>
      </w:hyperlink>
      <w:r>
        <w:t xml:space="preserve"> tendrá lugar el 13 de mayo de 2019, de las 11.00 a las 17.30 horas. El tema del Simposio de este año es "El papel de las tecnologías de frontera en la lucha contra el cambio climático y el logro de una economía circular". Organizan el Simposio junto a la UIT las Convenciones de Basilea, Rotterdam y Estocolmo, el Programa de las Naciones Unidas para el Medio Ambiente, la Comisión Económica de las Naciones Unidas para Europa, la Convención Marco de las Naciones Unidas sobre el Cambio Climático, el Pacto Mundial de Naciones Unidas, el Programa de las Naciones Unidas para los Asentamientos Humanos, la Organización de las Naciones Unidas para el Desarrollo Industrial y ONU-Mujeres (</w:t>
      </w:r>
      <w:hyperlink r:id="rId13" w:history="1">
        <w:r w:rsidRPr="00832429">
          <w:rPr>
            <w:rStyle w:val="Hyperlink"/>
          </w:rPr>
          <w:t>Circular 162</w:t>
        </w:r>
      </w:hyperlink>
      <w:r>
        <w:t xml:space="preserve">). Se dispone de información adicional en la </w:t>
      </w:r>
      <w:hyperlink r:id="rId14" w:history="1">
        <w:r w:rsidRPr="00353475">
          <w:rPr>
            <w:rStyle w:val="Hyperlink"/>
          </w:rPr>
          <w:t>página web del Simposio</w:t>
        </w:r>
      </w:hyperlink>
      <w:r>
        <w:t>.</w:t>
      </w:r>
    </w:p>
    <w:p w:rsidR="004E0645" w:rsidRDefault="004E0645" w:rsidP="004E0645">
      <w:r>
        <w:t>Coincidiendo con la reunión de la Comisión de Estudio 5 del UIT-T, tendrán lugar los siguientes eventos:</w:t>
      </w:r>
    </w:p>
    <w:p w:rsidR="004E0645" w:rsidRDefault="004E0645" w:rsidP="004E0645">
      <w:pPr>
        <w:pStyle w:val="enumlev1"/>
      </w:pPr>
      <w:r>
        <w:t>•</w:t>
      </w:r>
      <w:r>
        <w:tab/>
      </w:r>
      <w:r w:rsidRPr="00947B34">
        <w:rPr>
          <w:i/>
          <w:iCs/>
        </w:rPr>
        <w:t>Panel de medio ambiente inteligente sobre trayectorias de los GEI para el sector de las TIC</w:t>
      </w:r>
      <w:r>
        <w:t>, 15 de mayo de 2019 (de las 10.00 a las 13.00 horas);</w:t>
      </w:r>
    </w:p>
    <w:p w:rsidR="004E0645" w:rsidRDefault="004E0645" w:rsidP="004E0645">
      <w:pPr>
        <w:pStyle w:val="enumlev1"/>
      </w:pPr>
      <w:r>
        <w:t>•</w:t>
      </w:r>
      <w:r>
        <w:tab/>
      </w:r>
      <w:r w:rsidRPr="00947B34">
        <w:rPr>
          <w:i/>
          <w:iCs/>
        </w:rPr>
        <w:t>Panel de medio ambiente inteligente sobre nuevas normas de la UIT para abordar medidas de error blando que afectan a los dispositivos de comunicación</w:t>
      </w:r>
      <w:r>
        <w:t>, 20 de mayo de 2019 (de las 18.00 a las 19.00 horas).</w:t>
      </w:r>
    </w:p>
    <w:p w:rsidR="004E0645" w:rsidRDefault="004E0645" w:rsidP="004E0645">
      <w:r>
        <w:t xml:space="preserve">Dispone de información adicional en la </w:t>
      </w:r>
      <w:hyperlink r:id="rId15" w:history="1">
        <w:r w:rsidRPr="00353475">
          <w:rPr>
            <w:rStyle w:val="Hyperlink"/>
          </w:rPr>
          <w:t>página principal de la CE 5 del UIT-T</w:t>
        </w:r>
      </w:hyperlink>
      <w:r>
        <w:t>.</w:t>
      </w:r>
    </w:p>
    <w:p w:rsidR="004E0645" w:rsidRDefault="004E0645" w:rsidP="004E0645">
      <w:r>
        <w:t xml:space="preserve">Los sitios web se actualizarán periódicamente a medida que se disponga de información nueva o modificada. Se ruega a los participantes los visiten regularmente para conocer las actualizaciones. </w:t>
      </w:r>
    </w:p>
    <w:p w:rsidR="004E0645" w:rsidRPr="00861C0A" w:rsidRDefault="004E0645" w:rsidP="004E0645">
      <w:pPr>
        <w:rPr>
          <w:szCs w:val="24"/>
          <w:lang w:val="es-ES"/>
        </w:rPr>
      </w:pPr>
      <w:r>
        <w:t>Les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75"/>
      </w:tblGrid>
      <w:tr w:rsidR="004E0645" w:rsidRPr="00B70109" w:rsidTr="00A63AD1">
        <w:trPr>
          <w:cantSplit/>
          <w:trHeight w:val="1830"/>
        </w:trPr>
        <w:tc>
          <w:tcPr>
            <w:tcW w:w="6379" w:type="dxa"/>
            <w:vMerge w:val="restart"/>
            <w:tcBorders>
              <w:right w:val="single" w:sz="4" w:space="0" w:color="auto"/>
            </w:tcBorders>
          </w:tcPr>
          <w:p w:rsidR="004E0645" w:rsidRPr="00861C0A" w:rsidRDefault="004E0645" w:rsidP="004E0645">
            <w:pPr>
              <w:rPr>
                <w:lang w:val="es-ES"/>
              </w:rPr>
            </w:pPr>
            <w:r>
              <w:t>Aten</w:t>
            </w:r>
            <w:r w:rsidRPr="00E35001">
              <w:t>tamente</w:t>
            </w:r>
            <w:r w:rsidRPr="00861C0A">
              <w:rPr>
                <w:lang w:val="es-ES"/>
              </w:rPr>
              <w:t>,</w:t>
            </w:r>
          </w:p>
          <w:p w:rsidR="004E0645" w:rsidRPr="004E0645" w:rsidRDefault="004E0645" w:rsidP="00846713">
            <w:pPr>
              <w:spacing w:before="360"/>
              <w:rPr>
                <w:i/>
                <w:iCs/>
                <w:lang w:val="es-ES"/>
              </w:rPr>
            </w:pPr>
            <w:r w:rsidRPr="004E0645">
              <w:rPr>
                <w:i/>
                <w:iCs/>
                <w:lang w:val="es-ES"/>
              </w:rPr>
              <w:t>(</w:t>
            </w:r>
            <w:r w:rsidRPr="004E0645">
              <w:rPr>
                <w:i/>
                <w:iCs/>
              </w:rPr>
              <w:t>firmado</w:t>
            </w:r>
            <w:r w:rsidRPr="004E0645">
              <w:rPr>
                <w:i/>
                <w:iCs/>
                <w:lang w:val="es-ES"/>
              </w:rPr>
              <w:t>)</w:t>
            </w:r>
            <w:bookmarkStart w:id="1" w:name="_GoBack"/>
            <w:bookmarkEnd w:id="1"/>
          </w:p>
          <w:p w:rsidR="004E0645" w:rsidRPr="00861C0A" w:rsidRDefault="004E0645" w:rsidP="004E0645">
            <w:pPr>
              <w:spacing w:before="360"/>
              <w:rPr>
                <w:lang w:val="es-ES"/>
              </w:rPr>
            </w:pPr>
            <w:r w:rsidRPr="00861C0A">
              <w:rPr>
                <w:szCs w:val="24"/>
                <w:lang w:val="es-ES"/>
              </w:rPr>
              <w:t>Chaesub Lee</w:t>
            </w:r>
            <w:r w:rsidRPr="00861C0A">
              <w:rPr>
                <w:lang w:val="es-ES"/>
              </w:rPr>
              <w:br/>
            </w:r>
            <w:r w:rsidRPr="00E35001">
              <w:t>Director de la Oficina de Normalización</w:t>
            </w:r>
            <w:r w:rsidRPr="00E35001">
              <w:br/>
              <w:t>de las Telecomunicaciones</w:t>
            </w:r>
          </w:p>
        </w:tc>
        <w:tc>
          <w:tcPr>
            <w:tcW w:w="3175" w:type="dxa"/>
            <w:tcBorders>
              <w:top w:val="single" w:sz="4" w:space="0" w:color="auto"/>
              <w:left w:val="single" w:sz="4" w:space="0" w:color="auto"/>
              <w:right w:val="single" w:sz="4" w:space="0" w:color="auto"/>
            </w:tcBorders>
            <w:textDirection w:val="btLr"/>
            <w:vAlign w:val="center"/>
          </w:tcPr>
          <w:p w:rsidR="004E0645" w:rsidRPr="00B70109" w:rsidRDefault="004E0645" w:rsidP="00664EB3">
            <w:pPr>
              <w:keepNext/>
              <w:keepLines/>
              <w:spacing w:before="0"/>
              <w:ind w:left="113" w:right="113"/>
              <w:jc w:val="center"/>
            </w:pPr>
            <w:r w:rsidRPr="00DF49A0">
              <w:rPr>
                <w:noProof/>
                <w:lang w:val="en-US" w:eastAsia="zh-CN"/>
              </w:rPr>
              <w:drawing>
                <wp:inline distT="0" distB="0" distL="0" distR="0" wp14:anchorId="5CD90447" wp14:editId="0C860830">
                  <wp:extent cx="1076960" cy="1076960"/>
                  <wp:effectExtent l="0" t="0" r="8890" b="889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Pr>
                <w:rFonts w:ascii="Calibri" w:eastAsia="SimSun" w:hAnsi="Calibri" w:cs="Arial"/>
                <w:sz w:val="20"/>
                <w:lang w:eastAsia="zh-CN"/>
              </w:rPr>
              <w:t xml:space="preserve">CE </w:t>
            </w:r>
            <w:r w:rsidRPr="00366521">
              <w:rPr>
                <w:rFonts w:ascii="Calibri" w:eastAsia="SimSun" w:hAnsi="Calibri" w:cs="Arial"/>
                <w:sz w:val="20"/>
                <w:lang w:eastAsia="zh-CN"/>
              </w:rPr>
              <w:t>5</w:t>
            </w:r>
            <w:r w:rsidR="00846713">
              <w:rPr>
                <w:rFonts w:ascii="Calibri" w:eastAsia="SimSun" w:hAnsi="Calibri" w:cs="Arial"/>
                <w:sz w:val="20"/>
                <w:lang w:eastAsia="zh-CN"/>
              </w:rPr>
              <w:t xml:space="preserve"> del</w:t>
            </w:r>
            <w:r>
              <w:rPr>
                <w:rFonts w:ascii="Calibri" w:eastAsia="SimSun" w:hAnsi="Calibri" w:cs="Arial"/>
                <w:sz w:val="20"/>
                <w:lang w:eastAsia="zh-CN"/>
              </w:rPr>
              <w:t xml:space="preserve"> UIT-T</w:t>
            </w:r>
          </w:p>
        </w:tc>
      </w:tr>
      <w:tr w:rsidR="004E0645" w:rsidRPr="00B70109" w:rsidTr="00A63AD1">
        <w:trPr>
          <w:cantSplit/>
          <w:trHeight w:val="74"/>
        </w:trPr>
        <w:tc>
          <w:tcPr>
            <w:tcW w:w="6379" w:type="dxa"/>
            <w:vMerge/>
            <w:tcBorders>
              <w:right w:val="single" w:sz="4" w:space="0" w:color="auto"/>
            </w:tcBorders>
          </w:tcPr>
          <w:p w:rsidR="004E0645" w:rsidRPr="00B70109" w:rsidRDefault="004E0645" w:rsidP="00664EB3">
            <w:pPr>
              <w:spacing w:before="480"/>
            </w:pPr>
          </w:p>
        </w:tc>
        <w:tc>
          <w:tcPr>
            <w:tcW w:w="3175" w:type="dxa"/>
            <w:tcBorders>
              <w:left w:val="single" w:sz="4" w:space="0" w:color="auto"/>
              <w:bottom w:val="single" w:sz="4" w:space="0" w:color="auto"/>
              <w:right w:val="single" w:sz="4" w:space="0" w:color="auto"/>
            </w:tcBorders>
            <w:vAlign w:val="center"/>
          </w:tcPr>
          <w:p w:rsidR="004E0645" w:rsidRPr="00B70109" w:rsidRDefault="00A63AD1" w:rsidP="00664EB3">
            <w:pPr>
              <w:spacing w:before="0"/>
              <w:jc w:val="center"/>
              <w:rPr>
                <w:rFonts w:ascii="Calibri" w:eastAsia="SimSun" w:hAnsi="Calibri" w:cs="Arial"/>
                <w:noProof/>
                <w:sz w:val="16"/>
                <w:szCs w:val="16"/>
                <w:lang w:eastAsia="zh-CN"/>
              </w:rPr>
            </w:pPr>
            <w:r>
              <w:rPr>
                <w:sz w:val="20"/>
                <w:szCs w:val="18"/>
              </w:rPr>
              <w:t xml:space="preserve">Última información </w:t>
            </w:r>
            <w:r w:rsidR="004E0645">
              <w:rPr>
                <w:sz w:val="20"/>
                <w:szCs w:val="18"/>
              </w:rPr>
              <w:t>sobre la reunión</w:t>
            </w:r>
          </w:p>
        </w:tc>
      </w:tr>
    </w:tbl>
    <w:p w:rsidR="002545AA" w:rsidRPr="006D23E9" w:rsidRDefault="002545AA" w:rsidP="00846713">
      <w:pPr>
        <w:spacing w:before="0"/>
        <w:rPr>
          <w:bCs/>
          <w:sz w:val="2"/>
          <w:szCs w:val="2"/>
        </w:rPr>
      </w:pPr>
    </w:p>
    <w:sectPr w:rsidR="002545AA" w:rsidRPr="006D23E9" w:rsidSect="002545AA">
      <w:headerReference w:type="even" r:id="rId17"/>
      <w:headerReference w:type="default" r:id="rId18"/>
      <w:footerReference w:type="even" r:id="rId19"/>
      <w:footerReference w:type="default" r:id="rId20"/>
      <w:footerReference w:type="first" r:id="rId21"/>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45" w:rsidRDefault="004E0645">
      <w:r>
        <w:separator/>
      </w:r>
    </w:p>
  </w:endnote>
  <w:endnote w:type="continuationSeparator" w:id="0">
    <w:p w:rsidR="004E0645" w:rsidRDefault="004E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7CA" w:rsidRDefault="005E67CA" w:rsidP="005E67C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Tel</w:t>
    </w:r>
    <w:r w:rsidR="004E0645">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45" w:rsidRDefault="004E0645">
      <w:r>
        <w:t>____________________</w:t>
      </w:r>
    </w:p>
  </w:footnote>
  <w:footnote w:type="continuationSeparator" w:id="0">
    <w:p w:rsidR="004E0645" w:rsidRDefault="004E0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90009"/>
      <w:docPartObj>
        <w:docPartGallery w:val="Page Numbers (Top of Page)"/>
        <w:docPartUnique/>
      </w:docPartObj>
    </w:sdtPr>
    <w:sdtEndPr>
      <w:rPr>
        <w:noProof/>
        <w:sz w:val="18"/>
        <w:szCs w:val="18"/>
      </w:rPr>
    </w:sdtEndPr>
    <w:sdtContent>
      <w:p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91A58">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4E0645">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91A58"/>
    <w:rsid w:val="001A2905"/>
    <w:rsid w:val="001A54CC"/>
    <w:rsid w:val="001C2FAD"/>
    <w:rsid w:val="001D1BA9"/>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87CD3"/>
    <w:rsid w:val="004C1AD1"/>
    <w:rsid w:val="004C4144"/>
    <w:rsid w:val="004E0645"/>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D23E9"/>
    <w:rsid w:val="006E24F0"/>
    <w:rsid w:val="006F6581"/>
    <w:rsid w:val="007079FA"/>
    <w:rsid w:val="007128A1"/>
    <w:rsid w:val="00715D93"/>
    <w:rsid w:val="00720BA2"/>
    <w:rsid w:val="00781E2A"/>
    <w:rsid w:val="007A6373"/>
    <w:rsid w:val="007B34FB"/>
    <w:rsid w:val="008134A7"/>
    <w:rsid w:val="00823E22"/>
    <w:rsid w:val="008258C2"/>
    <w:rsid w:val="00833CCA"/>
    <w:rsid w:val="00846713"/>
    <w:rsid w:val="00846D89"/>
    <w:rsid w:val="008505BD"/>
    <w:rsid w:val="00850C78"/>
    <w:rsid w:val="00855B98"/>
    <w:rsid w:val="008653A2"/>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63AD1"/>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62F1B"/>
    <w:rsid w:val="00C71699"/>
    <w:rsid w:val="00C717E3"/>
    <w:rsid w:val="00CB3300"/>
    <w:rsid w:val="00CC1DE4"/>
    <w:rsid w:val="00CD4AE3"/>
    <w:rsid w:val="00D027A3"/>
    <w:rsid w:val="00D119EC"/>
    <w:rsid w:val="00D642E7"/>
    <w:rsid w:val="00DA16FC"/>
    <w:rsid w:val="00DA7E46"/>
    <w:rsid w:val="00DD77C9"/>
    <w:rsid w:val="00DD790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4E0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TSB-CIR-0162/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ITU-T/climatechange/symposia/20190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5-COL-0006/es" TargetMode="External"/><Relationship Id="rId5" Type="http://schemas.openxmlformats.org/officeDocument/2006/relationships/webSettings" Target="webSettings.xml"/><Relationship Id="rId15" Type="http://schemas.openxmlformats.org/officeDocument/2006/relationships/hyperlink" Target="https://www.itu.int/en/ITU-T/studygroups/2017-2020/05/Pages/default.aspx" TargetMode="External"/><Relationship Id="rId23" Type="http://schemas.openxmlformats.org/officeDocument/2006/relationships/theme" Target="theme/theme1.xml"/><Relationship Id="rId10" Type="http://schemas.openxmlformats.org/officeDocument/2006/relationships/hyperlink" Target="http://itu.int/go/tsg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climatechange/symposia/201905/Pages/default.aspx"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3571-3F0F-4F9A-9F9F-40D52C80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439</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3122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Osvath, Alexandra</cp:lastModifiedBy>
  <cp:revision>4</cp:revision>
  <cp:lastPrinted>2019-05-10T07:39:00Z</cp:lastPrinted>
  <dcterms:created xsi:type="dcterms:W3CDTF">2019-05-07T14:39:00Z</dcterms:created>
  <dcterms:modified xsi:type="dcterms:W3CDTF">2019-05-10T07:39:00Z</dcterms:modified>
</cp:coreProperties>
</file>