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13660D" w14:paraId="755C9ED9" w14:textId="77777777" w:rsidTr="00427EA6">
        <w:trPr>
          <w:cantSplit/>
        </w:trPr>
        <w:tc>
          <w:tcPr>
            <w:tcW w:w="1418" w:type="dxa"/>
            <w:vAlign w:val="center"/>
          </w:tcPr>
          <w:p w14:paraId="55E31C38" w14:textId="77777777" w:rsidR="00427EA6" w:rsidRPr="0013660D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3660D">
              <w:rPr>
                <w:noProof/>
                <w:lang w:eastAsia="zh-CN"/>
              </w:rPr>
              <w:drawing>
                <wp:inline distT="0" distB="0" distL="0" distR="0" wp14:anchorId="5564872E" wp14:editId="0CA2D0E5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04BE732E" w14:textId="77777777" w:rsidR="00427EA6" w:rsidRPr="0013660D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3660D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9554F3B" w14:textId="77777777" w:rsidR="00427EA6" w:rsidRPr="0013660D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3660D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78CD41A7" w14:textId="77777777" w:rsidR="00427EA6" w:rsidRPr="0013660D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7D46DC58" w14:textId="77777777" w:rsidR="002545AA" w:rsidRPr="0013660D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13660D" w14:paraId="0BD8A5D2" w14:textId="77777777" w:rsidTr="009A385E">
        <w:trPr>
          <w:cantSplit/>
          <w:trHeight w:val="649"/>
        </w:trPr>
        <w:tc>
          <w:tcPr>
            <w:tcW w:w="1084" w:type="dxa"/>
            <w:gridSpan w:val="2"/>
          </w:tcPr>
          <w:p w14:paraId="2280235E" w14:textId="77777777" w:rsidR="002545AA" w:rsidRPr="0013660D" w:rsidRDefault="002545AA" w:rsidP="009A385E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28D98951" w14:textId="77777777" w:rsidR="002545AA" w:rsidRPr="0013660D" w:rsidRDefault="002545AA" w:rsidP="009A385E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3C75BCCC" w14:textId="308E7A9D" w:rsidR="002545AA" w:rsidRPr="0013660D" w:rsidRDefault="002545AA" w:rsidP="009A385E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13660D">
              <w:t xml:space="preserve">Ginebra, </w:t>
            </w:r>
            <w:r w:rsidR="009B18EF" w:rsidRPr="0013660D">
              <w:t>15 de abril de 2021</w:t>
            </w:r>
          </w:p>
        </w:tc>
      </w:tr>
      <w:tr w:rsidR="002545AA" w:rsidRPr="0013660D" w14:paraId="37122348" w14:textId="77777777" w:rsidTr="009A385E">
        <w:trPr>
          <w:cantSplit/>
          <w:trHeight w:val="649"/>
        </w:trPr>
        <w:tc>
          <w:tcPr>
            <w:tcW w:w="1084" w:type="dxa"/>
            <w:gridSpan w:val="2"/>
          </w:tcPr>
          <w:p w14:paraId="115E1640" w14:textId="77777777" w:rsidR="002545AA" w:rsidRPr="0013660D" w:rsidRDefault="002545AA" w:rsidP="001E69FE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13660D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61884820" w14:textId="4690BA24" w:rsidR="002545AA" w:rsidRPr="0013660D" w:rsidRDefault="002545AA" w:rsidP="009A385E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13660D">
              <w:rPr>
                <w:b/>
              </w:rPr>
              <w:t>Carta Colectiva TSB</w:t>
            </w:r>
            <w:r w:rsidR="00EE785B" w:rsidRPr="0013660D">
              <w:rPr>
                <w:b/>
              </w:rPr>
              <w:t>15</w:t>
            </w:r>
            <w:r w:rsidRPr="0013660D">
              <w:rPr>
                <w:b/>
                <w:szCs w:val="24"/>
              </w:rPr>
              <w:t>/</w:t>
            </w:r>
            <w:r w:rsidR="00EE785B" w:rsidRPr="0013660D">
              <w:rPr>
                <w:b/>
                <w:szCs w:val="24"/>
              </w:rPr>
              <w:t>11</w:t>
            </w:r>
          </w:p>
          <w:p w14:paraId="4443DA47" w14:textId="55A8E16E" w:rsidR="002545AA" w:rsidRPr="0013660D" w:rsidRDefault="002545AA" w:rsidP="009A385E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13660D">
              <w:t>CE </w:t>
            </w:r>
            <w:r w:rsidR="009B18EF" w:rsidRPr="0013660D">
              <w:t>11</w:t>
            </w:r>
            <w:r w:rsidRPr="0013660D">
              <w:t>/</w:t>
            </w:r>
            <w:bookmarkEnd w:id="0"/>
            <w:r w:rsidR="009B18EF" w:rsidRPr="0013660D">
              <w:t>DA</w:t>
            </w:r>
          </w:p>
        </w:tc>
        <w:tc>
          <w:tcPr>
            <w:tcW w:w="4762" w:type="dxa"/>
            <w:vMerge w:val="restart"/>
          </w:tcPr>
          <w:p w14:paraId="7A19A9C9" w14:textId="77777777" w:rsidR="002545AA" w:rsidRPr="0013660D" w:rsidRDefault="002545AA" w:rsidP="009A385E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13660D">
              <w:rPr>
                <w:bCs/>
              </w:rPr>
              <w:t>A:</w:t>
            </w:r>
          </w:p>
          <w:p w14:paraId="4593759C" w14:textId="77777777" w:rsidR="002545AA" w:rsidRPr="0013660D" w:rsidRDefault="002545AA" w:rsidP="009A385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13660D">
              <w:t>-</w:t>
            </w:r>
            <w:r w:rsidRPr="0013660D">
              <w:tab/>
              <w:t>Las Administraciones de los Estados Miembros de la Unión;</w:t>
            </w:r>
          </w:p>
          <w:p w14:paraId="4513C999" w14:textId="77777777" w:rsidR="002545AA" w:rsidRPr="0013660D" w:rsidRDefault="002545AA" w:rsidP="009A385E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13660D">
              <w:t>-</w:t>
            </w:r>
            <w:r w:rsidRPr="0013660D">
              <w:tab/>
              <w:t>Los Miembros del Sector UIT</w:t>
            </w:r>
            <w:r w:rsidRPr="0013660D">
              <w:noBreakHyphen/>
              <w:t>T;</w:t>
            </w:r>
          </w:p>
          <w:p w14:paraId="2329C9F3" w14:textId="2CC4DB5F" w:rsidR="002545AA" w:rsidRPr="0013660D" w:rsidRDefault="002545AA" w:rsidP="009A385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13660D">
              <w:t>-</w:t>
            </w:r>
            <w:r w:rsidRPr="0013660D">
              <w:tab/>
              <w:t>Los Asociados que participan en los trabajos de la Comisión de Estudio 1</w:t>
            </w:r>
            <w:r w:rsidR="00EE785B" w:rsidRPr="0013660D">
              <w:t>1</w:t>
            </w:r>
            <w:r w:rsidRPr="0013660D">
              <w:t>; y a</w:t>
            </w:r>
          </w:p>
          <w:p w14:paraId="1535412D" w14:textId="77777777" w:rsidR="002545AA" w:rsidRPr="0013660D" w:rsidRDefault="002545AA" w:rsidP="009A385E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13660D">
              <w:t>-</w:t>
            </w:r>
            <w:r w:rsidRPr="0013660D">
              <w:tab/>
              <w:t>Las Instituciones Académicas de la UIT</w:t>
            </w:r>
          </w:p>
        </w:tc>
      </w:tr>
      <w:tr w:rsidR="002545AA" w:rsidRPr="0013660D" w14:paraId="776EF9B1" w14:textId="77777777" w:rsidTr="009A385E">
        <w:trPr>
          <w:cantSplit/>
          <w:trHeight w:val="390"/>
        </w:trPr>
        <w:tc>
          <w:tcPr>
            <w:tcW w:w="1084" w:type="dxa"/>
            <w:gridSpan w:val="2"/>
          </w:tcPr>
          <w:p w14:paraId="4DE04305" w14:textId="77777777" w:rsidR="002545AA" w:rsidRPr="0013660D" w:rsidRDefault="002545AA" w:rsidP="001E69FE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13660D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2F77E3B2" w14:textId="48403E3F" w:rsidR="002545AA" w:rsidRPr="0013660D" w:rsidRDefault="002545AA" w:rsidP="009A385E">
            <w:pPr>
              <w:tabs>
                <w:tab w:val="left" w:pos="4111"/>
              </w:tabs>
              <w:spacing w:before="40" w:after="40"/>
              <w:ind w:left="57"/>
            </w:pPr>
            <w:r w:rsidRPr="0013660D">
              <w:t xml:space="preserve">+41 22 730 </w:t>
            </w:r>
            <w:r w:rsidR="00EE785B" w:rsidRPr="0013660D">
              <w:t>5780</w:t>
            </w:r>
          </w:p>
        </w:tc>
        <w:tc>
          <w:tcPr>
            <w:tcW w:w="4762" w:type="dxa"/>
            <w:vMerge/>
          </w:tcPr>
          <w:p w14:paraId="2566E514" w14:textId="77777777" w:rsidR="002545AA" w:rsidRPr="0013660D" w:rsidRDefault="002545AA" w:rsidP="009A385E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13660D" w14:paraId="6A9D77B1" w14:textId="77777777" w:rsidTr="009A385E">
        <w:trPr>
          <w:cantSplit/>
          <w:trHeight w:val="431"/>
        </w:trPr>
        <w:tc>
          <w:tcPr>
            <w:tcW w:w="1084" w:type="dxa"/>
            <w:gridSpan w:val="2"/>
          </w:tcPr>
          <w:p w14:paraId="776DFBCD" w14:textId="77777777" w:rsidR="002545AA" w:rsidRPr="0013660D" w:rsidRDefault="002545AA" w:rsidP="001E69FE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13660D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5161D518" w14:textId="77777777" w:rsidR="002545AA" w:rsidRPr="0013660D" w:rsidRDefault="002545AA" w:rsidP="009A385E">
            <w:pPr>
              <w:tabs>
                <w:tab w:val="left" w:pos="4111"/>
              </w:tabs>
              <w:spacing w:before="40" w:after="40"/>
              <w:ind w:left="57"/>
            </w:pPr>
            <w:r w:rsidRPr="0013660D">
              <w:t>+41 22 730 5853</w:t>
            </w:r>
          </w:p>
        </w:tc>
        <w:tc>
          <w:tcPr>
            <w:tcW w:w="4762" w:type="dxa"/>
            <w:vMerge/>
          </w:tcPr>
          <w:p w14:paraId="3138C9AB" w14:textId="77777777" w:rsidR="002545AA" w:rsidRPr="0013660D" w:rsidRDefault="002545AA" w:rsidP="009A385E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13660D" w14:paraId="6FCC54BD" w14:textId="77777777" w:rsidTr="009A385E">
        <w:trPr>
          <w:cantSplit/>
        </w:trPr>
        <w:tc>
          <w:tcPr>
            <w:tcW w:w="1084" w:type="dxa"/>
            <w:gridSpan w:val="2"/>
          </w:tcPr>
          <w:p w14:paraId="3605A196" w14:textId="77777777" w:rsidR="002545AA" w:rsidRPr="0013660D" w:rsidRDefault="002545AA" w:rsidP="001E69FE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13660D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1114BAA2" w14:textId="230F5B16" w:rsidR="002545AA" w:rsidRPr="0013660D" w:rsidRDefault="003E3A83" w:rsidP="009A385E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EE785B" w:rsidRPr="0013660D">
                <w:rPr>
                  <w:rStyle w:val="Hyperlink"/>
                  <w:szCs w:val="24"/>
                </w:rPr>
                <w:t>tsbsg11@itu.int</w:t>
              </w:r>
            </w:hyperlink>
          </w:p>
        </w:tc>
        <w:tc>
          <w:tcPr>
            <w:tcW w:w="4762" w:type="dxa"/>
            <w:vMerge/>
          </w:tcPr>
          <w:p w14:paraId="634882BC" w14:textId="77777777" w:rsidR="002545AA" w:rsidRPr="0013660D" w:rsidRDefault="002545AA" w:rsidP="009A385E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13660D" w14:paraId="7ED084A2" w14:textId="77777777" w:rsidTr="001E69FE">
        <w:trPr>
          <w:cantSplit/>
          <w:trHeight w:val="549"/>
        </w:trPr>
        <w:tc>
          <w:tcPr>
            <w:tcW w:w="1084" w:type="dxa"/>
            <w:gridSpan w:val="2"/>
          </w:tcPr>
          <w:p w14:paraId="0CDBCCD3" w14:textId="77777777" w:rsidR="002545AA" w:rsidRPr="0013660D" w:rsidRDefault="002545AA" w:rsidP="001E69FE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13660D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674D7F5C" w14:textId="32B8D275" w:rsidR="002545AA" w:rsidRPr="0013660D" w:rsidRDefault="003E3A83" w:rsidP="009A385E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EE785B" w:rsidRPr="0013660D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762" w:type="dxa"/>
            <w:vMerge/>
          </w:tcPr>
          <w:p w14:paraId="231BDBEB" w14:textId="77777777" w:rsidR="002545AA" w:rsidRPr="0013660D" w:rsidRDefault="002545AA" w:rsidP="009A385E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13660D" w14:paraId="243F01C8" w14:textId="77777777" w:rsidTr="009A385E">
        <w:trPr>
          <w:cantSplit/>
          <w:trHeight w:val="680"/>
        </w:trPr>
        <w:tc>
          <w:tcPr>
            <w:tcW w:w="1070" w:type="dxa"/>
          </w:tcPr>
          <w:p w14:paraId="207D38E2" w14:textId="77777777" w:rsidR="002545AA" w:rsidRPr="0013660D" w:rsidRDefault="002545AA" w:rsidP="001E69FE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1E69FE">
              <w:rPr>
                <w:b/>
                <w:bCs/>
                <w:szCs w:val="24"/>
              </w:rPr>
              <w:t>Asunto</w:t>
            </w:r>
            <w:r w:rsidRPr="0013660D">
              <w:rPr>
                <w:szCs w:val="24"/>
              </w:rPr>
              <w:t>:</w:t>
            </w:r>
          </w:p>
        </w:tc>
        <w:tc>
          <w:tcPr>
            <w:tcW w:w="8569" w:type="dxa"/>
            <w:gridSpan w:val="3"/>
          </w:tcPr>
          <w:p w14:paraId="7EFBFDA8" w14:textId="66A75CCE" w:rsidR="002545AA" w:rsidRPr="0013660D" w:rsidRDefault="00EE785B" w:rsidP="001E69FE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</w:rPr>
            </w:pPr>
            <w:r w:rsidRPr="0013660D">
              <w:rPr>
                <w:b/>
                <w:bCs/>
                <w:szCs w:val="24"/>
              </w:rPr>
              <w:t>Reuniones virtuales de los Grupos de Trabajo 1/11, 2/11 y 3/11, 15-16 de julio de 2021</w:t>
            </w:r>
          </w:p>
        </w:tc>
      </w:tr>
    </w:tbl>
    <w:p w14:paraId="46C9A6B6" w14:textId="77777777" w:rsidR="00EE785B" w:rsidRPr="0013660D" w:rsidRDefault="00EE785B" w:rsidP="001E69FE">
      <w:pPr>
        <w:pStyle w:val="Normalaftertitle"/>
        <w:spacing w:before="120"/>
      </w:pPr>
      <w:bookmarkStart w:id="1" w:name="ditulogo"/>
      <w:bookmarkEnd w:id="1"/>
      <w:r w:rsidRPr="0013660D">
        <w:t>Muy Señora mía/Muy Señor mío,</w:t>
      </w:r>
    </w:p>
    <w:p w14:paraId="410D7AC5" w14:textId="77777777" w:rsidR="00EE785B" w:rsidRPr="0013660D" w:rsidRDefault="00EE785B" w:rsidP="00EE785B">
      <w:pPr>
        <w:rPr>
          <w:rFonts w:cstheme="minorHAnsi"/>
          <w:szCs w:val="22"/>
        </w:rPr>
      </w:pPr>
      <w:r w:rsidRPr="0013660D">
        <w:t>Con mi acuerdo a la solicitud del Presidente de la Comisión de Estudio 11 (Sr. Andrey KUCHERYAVY) y según lo refrendado durante la reunión virtual de dicha Comisión (del 17 a 26 de marzo de 2021), tengo el placer de invitarle a las próximas reuniones del Grupo de Trabajo 1/11 (</w:t>
      </w:r>
      <w:r w:rsidRPr="0013660D">
        <w:rPr>
          <w:i/>
        </w:rPr>
        <w:t>Protocolos y requisitos de señalización para redes de telecomunicaciones incipientes</w:t>
      </w:r>
      <w:r w:rsidRPr="0013660D">
        <w:t>), del Grupo de Trabajo 2/11 (</w:t>
      </w:r>
      <w:r w:rsidRPr="0013660D">
        <w:rPr>
          <w:i/>
        </w:rPr>
        <w:t>Protocolos de gestión y control de las IMT-2020</w:t>
      </w:r>
      <w:r w:rsidRPr="0013660D">
        <w:t>) y del Grupo de Trabajo 3/11 (</w:t>
      </w:r>
      <w:r w:rsidRPr="0013660D">
        <w:rPr>
          <w:i/>
        </w:rPr>
        <w:t>Pruebas de conformidad e interoperabilidad</w:t>
      </w:r>
      <w:r w:rsidRPr="0013660D">
        <w:t>), que está previsto se celebren en formato completamente virtual del 15 al 16 de julio de 2021, ambos inclusive.</w:t>
      </w:r>
    </w:p>
    <w:p w14:paraId="3D2BAB90" w14:textId="3C4BE51B" w:rsidR="00EE785B" w:rsidRPr="0013660D" w:rsidRDefault="00EE785B" w:rsidP="00EE785B">
      <w:r w:rsidRPr="0013660D">
        <w:t xml:space="preserve">La reunión del Grupo de Trabajo 2/11 se celebrará el 15 de julio a las 09.00 horas (hora de Ginebra) y las de los Grupos de Trabajo 1/11 y 3/11 se celebrarán de manera consecutiva el 16 de julio de 2021, a partir de las 10.30 horas (hora de Ginebra). En las reuniones de los Grupos de Trabajo se utilizará la </w:t>
      </w:r>
      <w:hyperlink r:id="rId11">
        <w:r w:rsidRPr="0013660D">
          <w:rPr>
            <w:rStyle w:val="Hyperlink"/>
          </w:rPr>
          <w:t>herramienta de participación a distancia MyMeetings</w:t>
        </w:r>
      </w:hyperlink>
      <w:r w:rsidRPr="0013660D">
        <w:t xml:space="preserve">. Puede encontrar la documentación, los detalles relativos a la participación a distancia y otras informaciones conexas en la página principal de la Comisión de Estudio: </w:t>
      </w:r>
      <w:hyperlink r:id="rId12" w:history="1">
        <w:r w:rsidRPr="0013660D">
          <w:rPr>
            <w:rStyle w:val="Hyperlink"/>
          </w:rPr>
          <w:t>www.itu.int/go/tsg11</w:t>
        </w:r>
      </w:hyperlink>
      <w:r w:rsidRPr="0013660D">
        <w:t>.</w:t>
      </w:r>
    </w:p>
    <w:p w14:paraId="4F617E8A" w14:textId="77777777" w:rsidR="00EE785B" w:rsidRPr="0013660D" w:rsidRDefault="00EE785B" w:rsidP="00EE785B">
      <w:r w:rsidRPr="0013660D">
        <w:t>Tenga en cuenta que no se concederán becas, y que toda la reunión se llevará a cabo en inglés, sin interpretación.</w:t>
      </w:r>
    </w:p>
    <w:p w14:paraId="6A405C0E" w14:textId="77777777" w:rsidR="00EE785B" w:rsidRPr="0013660D" w:rsidRDefault="00EE785B" w:rsidP="00EE785B">
      <w:r w:rsidRPr="0013660D">
        <w:t xml:space="preserve">Los principales objetivos de estas reuniones es estudiar la posibilidad de iniciar el proceso de aprobación para los siguientes proyectos de Recomendaciones UIT-T, si procede, en función de los resultados de las </w:t>
      </w:r>
      <w:hyperlink r:id="rId13" w:history="1">
        <w:r w:rsidRPr="0013660D">
          <w:rPr>
            <w:rStyle w:val="Hyperlink"/>
          </w:rPr>
          <w:t>reuniones de los Grupos de Relator</w:t>
        </w:r>
      </w:hyperlink>
      <w:r w:rsidRPr="0013660D">
        <w:t xml:space="preserve"> que se celebren del 7 al 16 de julio de 2021:</w:t>
      </w:r>
    </w:p>
    <w:p w14:paraId="421882D1" w14:textId="77777777" w:rsidR="00EE785B" w:rsidRPr="0013660D" w:rsidRDefault="00EE785B" w:rsidP="00EE785B">
      <w:pPr>
        <w:pStyle w:val="headingb"/>
      </w:pPr>
      <w:r w:rsidRPr="0013660D">
        <w:t>GT 1/11:</w:t>
      </w:r>
    </w:p>
    <w:p w14:paraId="415F5DD3" w14:textId="4D9AF29E" w:rsidR="00EE785B" w:rsidRPr="0013660D" w:rsidRDefault="00EE785B" w:rsidP="00EE785B">
      <w:pPr>
        <w:pStyle w:val="enumlev1"/>
        <w:rPr>
          <w:szCs w:val="24"/>
        </w:rPr>
      </w:pPr>
      <w:r w:rsidRPr="0013660D">
        <w:t>–</w:t>
      </w:r>
      <w:r w:rsidRPr="0013660D">
        <w:tab/>
        <w:t>Proyecto de nueva Recomendación UIT-T </w:t>
      </w:r>
      <w:proofErr w:type="gramStart"/>
      <w:r w:rsidRPr="0013660D">
        <w:t>Q.SFPtr</w:t>
      </w:r>
      <w:proofErr w:type="gramEnd"/>
      <w:r w:rsidRPr="0013660D">
        <w:t xml:space="preserve"> "Requisitos de señalización para el </w:t>
      </w:r>
      <w:proofErr w:type="spellStart"/>
      <w:r w:rsidRPr="0013660D">
        <w:t>traceroute</w:t>
      </w:r>
      <w:proofErr w:type="spellEnd"/>
      <w:r w:rsidRPr="0013660D">
        <w:t xml:space="preserve"> con equilibrio de carga de trayectos de función de servicio en el SFC"</w:t>
      </w:r>
    </w:p>
    <w:p w14:paraId="029F2F96" w14:textId="2DAB5978" w:rsidR="00EE785B" w:rsidRPr="0013660D" w:rsidRDefault="00EE785B" w:rsidP="00EE785B">
      <w:pPr>
        <w:pStyle w:val="enumlev1"/>
        <w:rPr>
          <w:szCs w:val="24"/>
        </w:rPr>
      </w:pPr>
      <w:r w:rsidRPr="0013660D">
        <w:t>–</w:t>
      </w:r>
      <w:r w:rsidRPr="0013660D">
        <w:tab/>
        <w:t xml:space="preserve">Proyecto de nueva Recomendación UIT-T Q.BNG-P4switch "Procedimientos de programación de las </w:t>
      </w:r>
      <w:proofErr w:type="spellStart"/>
      <w:r w:rsidRPr="0013660D">
        <w:t>vBNG</w:t>
      </w:r>
      <w:proofErr w:type="spellEnd"/>
      <w:r w:rsidRPr="0013660D">
        <w:t xml:space="preserve"> con conmutación de procesadores de paquetes independientes del protocolo (p4)"</w:t>
      </w:r>
    </w:p>
    <w:p w14:paraId="2FF14F5B" w14:textId="77777777" w:rsidR="00EE785B" w:rsidRPr="0013660D" w:rsidRDefault="00EE785B" w:rsidP="00EE785B">
      <w:pPr>
        <w:pStyle w:val="headingb"/>
      </w:pPr>
      <w:r w:rsidRPr="0013660D">
        <w:t>GT 2/11:</w:t>
      </w:r>
    </w:p>
    <w:p w14:paraId="577E22F0" w14:textId="37C3A167" w:rsidR="00EE785B" w:rsidRPr="0013660D" w:rsidRDefault="00EE785B" w:rsidP="00EE785B">
      <w:pPr>
        <w:pStyle w:val="enumlev1"/>
        <w:rPr>
          <w:szCs w:val="22"/>
        </w:rPr>
      </w:pPr>
      <w:r w:rsidRPr="0013660D">
        <w:t>–</w:t>
      </w:r>
      <w:r w:rsidRPr="0013660D">
        <w:tab/>
        <w:t>Proyecto de nueva Recomendación UIT-T Q.INS-PM "Protocolo para gestionar la partición inteligente de recursos de red con análisis asistido por IA en la red IMT-2020"</w:t>
      </w:r>
    </w:p>
    <w:p w14:paraId="1D0F299B" w14:textId="04ED059C" w:rsidR="00EE785B" w:rsidRPr="0013660D" w:rsidRDefault="00EE785B" w:rsidP="00EE785B">
      <w:pPr>
        <w:pStyle w:val="enumlev1"/>
        <w:rPr>
          <w:szCs w:val="22"/>
        </w:rPr>
      </w:pPr>
      <w:r w:rsidRPr="0013660D">
        <w:t>–</w:t>
      </w:r>
      <w:r w:rsidRPr="0013660D">
        <w:tab/>
        <w:t xml:space="preserve">Proyecto de nueva Recomendación UIT-T </w:t>
      </w:r>
      <w:proofErr w:type="gramStart"/>
      <w:r w:rsidRPr="0013660D">
        <w:t>Q.HP</w:t>
      </w:r>
      <w:proofErr w:type="gramEnd"/>
      <w:r w:rsidRPr="0013660D">
        <w:t>2P-pp "Comunicaciones híbridas entre pares (P2P): protocolo para entidades pares"</w:t>
      </w:r>
    </w:p>
    <w:p w14:paraId="69BBDFAB" w14:textId="48857316" w:rsidR="00EE785B" w:rsidRPr="0013660D" w:rsidRDefault="00EE785B" w:rsidP="00EE785B">
      <w:pPr>
        <w:pStyle w:val="enumlev1"/>
        <w:rPr>
          <w:szCs w:val="24"/>
        </w:rPr>
      </w:pPr>
      <w:r w:rsidRPr="0013660D">
        <w:t>–</w:t>
      </w:r>
      <w:r w:rsidRPr="0013660D">
        <w:tab/>
        <w:t xml:space="preserve">Proyecto de nueva Recomendación UIT-T </w:t>
      </w:r>
      <w:proofErr w:type="gramStart"/>
      <w:r w:rsidRPr="0013660D">
        <w:t>Q.HP</w:t>
      </w:r>
      <w:proofErr w:type="gramEnd"/>
      <w:r w:rsidRPr="0013660D">
        <w:t>2P-recov "Comunicaciones híbridas P2P: procedimientos de recuperación de árboles y datos"</w:t>
      </w:r>
    </w:p>
    <w:p w14:paraId="6780A472" w14:textId="77777777" w:rsidR="00EE785B" w:rsidRPr="0013660D" w:rsidRDefault="00EE785B" w:rsidP="00EE785B">
      <w:pPr>
        <w:pStyle w:val="headingb"/>
      </w:pPr>
      <w:r w:rsidRPr="0013660D">
        <w:lastRenderedPageBreak/>
        <w:t>GT 3/11:</w:t>
      </w:r>
    </w:p>
    <w:p w14:paraId="4D3196E2" w14:textId="19AEE33C" w:rsidR="00EE785B" w:rsidRPr="0013660D" w:rsidRDefault="00EE785B" w:rsidP="00EE785B">
      <w:pPr>
        <w:pStyle w:val="enumlev1"/>
        <w:rPr>
          <w:szCs w:val="24"/>
        </w:rPr>
      </w:pPr>
      <w:r w:rsidRPr="0013660D">
        <w:t>–</w:t>
      </w:r>
      <w:r w:rsidRPr="0013660D">
        <w:tab/>
        <w:t xml:space="preserve">Proyecto de nueva Recomendación UIT-T </w:t>
      </w:r>
      <w:proofErr w:type="gramStart"/>
      <w:r w:rsidRPr="0013660D">
        <w:t>Q.API</w:t>
      </w:r>
      <w:proofErr w:type="gramEnd"/>
      <w:r w:rsidRPr="0013660D">
        <w:t>4TB "API abiertas para federaciones de bancos de pruebas interoperables"</w:t>
      </w:r>
    </w:p>
    <w:p w14:paraId="02764468" w14:textId="57B11D40" w:rsidR="00EE785B" w:rsidRPr="0013660D" w:rsidRDefault="00EE785B" w:rsidP="00EE785B">
      <w:pPr>
        <w:pStyle w:val="enumlev1"/>
        <w:rPr>
          <w:szCs w:val="22"/>
        </w:rPr>
      </w:pPr>
      <w:r w:rsidRPr="0013660D">
        <w:t>–</w:t>
      </w:r>
      <w:r w:rsidRPr="0013660D">
        <w:tab/>
        <w:t>Proyecto de nueva Recomendación UIT-T Q.vs-iop-ts "Serie de pruebas de interoperabilidad de una conmutación virtual"</w:t>
      </w:r>
    </w:p>
    <w:p w14:paraId="0E2AF744" w14:textId="77777777" w:rsidR="00EE785B" w:rsidRPr="0013660D" w:rsidRDefault="00EE785B" w:rsidP="00EE785B">
      <w:pPr>
        <w:keepNext/>
        <w:keepLines/>
        <w:tabs>
          <w:tab w:val="clear" w:pos="794"/>
          <w:tab w:val="left" w:pos="316"/>
          <w:tab w:val="left" w:pos="458"/>
        </w:tabs>
        <w:spacing w:before="240"/>
        <w:rPr>
          <w:szCs w:val="24"/>
        </w:rPr>
      </w:pPr>
      <w:r w:rsidRPr="0013660D">
        <w:t>Se organizarán también en paralelo las reuniones siguientes:</w:t>
      </w:r>
    </w:p>
    <w:p w14:paraId="215CA900" w14:textId="103C18E4" w:rsidR="00EE785B" w:rsidRPr="0013660D" w:rsidRDefault="004F6616" w:rsidP="004F6616">
      <w:pPr>
        <w:pStyle w:val="enumlev1"/>
        <w:rPr>
          <w:rFonts w:cstheme="minorHAnsi"/>
          <w:szCs w:val="22"/>
        </w:rPr>
      </w:pPr>
      <w:r w:rsidRPr="0013660D">
        <w:t>–</w:t>
      </w:r>
      <w:r w:rsidRPr="0013660D">
        <w:tab/>
      </w:r>
      <w:hyperlink r:id="rId14" w:history="1">
        <w:r w:rsidR="00EE785B" w:rsidRPr="0013660D">
          <w:rPr>
            <w:rStyle w:val="Hyperlink"/>
          </w:rPr>
          <w:t>Reuniones intermedias electrónicas del Grupo de Relator</w:t>
        </w:r>
      </w:hyperlink>
      <w:r w:rsidR="00EE785B" w:rsidRPr="0013660D">
        <w:t xml:space="preserve"> de la CE</w:t>
      </w:r>
      <w:r w:rsidR="009B18EF" w:rsidRPr="0013660D">
        <w:t> </w:t>
      </w:r>
      <w:r w:rsidR="00EE785B" w:rsidRPr="0013660D">
        <w:t>11 del UIT-T (7-16 de julio de 2021). Se facilitará más información en la página web de la CE</w:t>
      </w:r>
      <w:r w:rsidR="009B18EF" w:rsidRPr="0013660D">
        <w:t> </w:t>
      </w:r>
      <w:r w:rsidR="00EE785B" w:rsidRPr="0013660D">
        <w:t>11 del UIT-T (</w:t>
      </w:r>
      <w:hyperlink r:id="rId15" w:history="1">
        <w:r w:rsidR="00945FFB" w:rsidRPr="0013660D">
          <w:rPr>
            <w:rStyle w:val="Hyperlink"/>
          </w:rPr>
          <w:t>www.itu.int/go/tsg11</w:t>
        </w:r>
      </w:hyperlink>
      <w:r w:rsidR="00EE785B" w:rsidRPr="0013660D">
        <w:t>)</w:t>
      </w:r>
    </w:p>
    <w:p w14:paraId="03DF25F8" w14:textId="57475D8D" w:rsidR="00EE785B" w:rsidRPr="0013660D" w:rsidRDefault="004F6616" w:rsidP="004F6616">
      <w:pPr>
        <w:pStyle w:val="enumlev1"/>
      </w:pPr>
      <w:r w:rsidRPr="0013660D">
        <w:t>–</w:t>
      </w:r>
      <w:r w:rsidRPr="0013660D">
        <w:tab/>
      </w:r>
      <w:r w:rsidR="00EE785B" w:rsidRPr="0013660D">
        <w:t>Reuniones intermedias electrónicas de los Grupos de Relatores de la CE</w:t>
      </w:r>
      <w:r w:rsidR="00945FFB" w:rsidRPr="0013660D">
        <w:t> </w:t>
      </w:r>
      <w:r w:rsidR="00EE785B" w:rsidRPr="0013660D">
        <w:t>13 del UIT-T (5-16 de julio de</w:t>
      </w:r>
      <w:r w:rsidR="00945FFB" w:rsidRPr="0013660D">
        <w:t> </w:t>
      </w:r>
      <w:r w:rsidR="00EE785B" w:rsidRPr="0013660D">
        <w:t xml:space="preserve">2021) seguidas de reuniones virtuales de los Grupos de Trabajo 1, 2 y 3/13 (16 de julio de 2021). Podrá obtener más información al respecto en la </w:t>
      </w:r>
      <w:hyperlink r:id="rId16" w:history="1">
        <w:r w:rsidR="00EE785B" w:rsidRPr="0013660D">
          <w:rPr>
            <w:rStyle w:val="Hyperlink"/>
          </w:rPr>
          <w:t>Carta Colectiva TSB 15/13</w:t>
        </w:r>
      </w:hyperlink>
      <w:r w:rsidR="00EE785B" w:rsidRPr="0013660D">
        <w:t>.</w:t>
      </w:r>
    </w:p>
    <w:p w14:paraId="22C04E92" w14:textId="77777777" w:rsidR="00EE785B" w:rsidRPr="0013660D" w:rsidRDefault="00EE785B" w:rsidP="004F6616">
      <w:pPr>
        <w:pStyle w:val="headingb"/>
      </w:pPr>
      <w:r w:rsidRPr="0013660D">
        <w:t>Plazos clave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57"/>
        <w:gridCol w:w="7077"/>
      </w:tblGrid>
      <w:tr w:rsidR="00EE785B" w:rsidRPr="0013660D" w14:paraId="5BA6D473" w14:textId="77777777" w:rsidTr="009A385E">
        <w:tc>
          <w:tcPr>
            <w:tcW w:w="2557" w:type="dxa"/>
            <w:vAlign w:val="center"/>
          </w:tcPr>
          <w:p w14:paraId="469308B6" w14:textId="77777777" w:rsidR="00EE785B" w:rsidRPr="0013660D" w:rsidRDefault="00EE785B" w:rsidP="004F6616">
            <w:pPr>
              <w:pStyle w:val="Tabletext0"/>
              <w:rPr>
                <w:bCs/>
              </w:rPr>
            </w:pPr>
            <w:r w:rsidRPr="0013660D">
              <w:t>7 de mayo de 2021</w:t>
            </w:r>
          </w:p>
        </w:tc>
        <w:tc>
          <w:tcPr>
            <w:tcW w:w="7077" w:type="dxa"/>
          </w:tcPr>
          <w:p w14:paraId="11C20783" w14:textId="77777777" w:rsidR="00EE785B" w:rsidRPr="0013660D" w:rsidRDefault="00EE785B" w:rsidP="004F6616">
            <w:pPr>
              <w:pStyle w:val="Tabletext0"/>
              <w:ind w:left="284" w:hanging="284"/>
            </w:pPr>
            <w:r w:rsidRPr="0013660D">
              <w:t>–</w:t>
            </w:r>
            <w:r w:rsidRPr="0013660D">
              <w:tab/>
            </w:r>
            <w:hyperlink r:id="rId17" w:history="1">
              <w:r w:rsidRPr="0013660D">
                <w:rPr>
                  <w:rStyle w:val="Hyperlink"/>
                </w:rPr>
                <w:t>Presentación de las contribuciones de los Miembros del UIT-T</w:t>
              </w:r>
            </w:hyperlink>
            <w:r w:rsidRPr="0013660D">
              <w:t xml:space="preserve"> para las que se requiera traducción</w:t>
            </w:r>
          </w:p>
        </w:tc>
      </w:tr>
      <w:tr w:rsidR="00EE785B" w:rsidRPr="0013660D" w14:paraId="7A4B5480" w14:textId="77777777" w:rsidTr="009A385E">
        <w:tc>
          <w:tcPr>
            <w:tcW w:w="2557" w:type="dxa"/>
            <w:vAlign w:val="center"/>
          </w:tcPr>
          <w:p w14:paraId="2A3131E5" w14:textId="77777777" w:rsidR="00EE785B" w:rsidRPr="0013660D" w:rsidRDefault="00EE785B" w:rsidP="004F6616">
            <w:pPr>
              <w:pStyle w:val="Tabletext0"/>
              <w:rPr>
                <w:bCs/>
              </w:rPr>
            </w:pPr>
            <w:r w:rsidRPr="0013660D">
              <w:t>7 de junio de 2021</w:t>
            </w:r>
          </w:p>
        </w:tc>
        <w:tc>
          <w:tcPr>
            <w:tcW w:w="7077" w:type="dxa"/>
          </w:tcPr>
          <w:p w14:paraId="3C53EA2B" w14:textId="3219C0DD" w:rsidR="00EE785B" w:rsidRPr="0013660D" w:rsidRDefault="00EE785B" w:rsidP="004F6616">
            <w:pPr>
              <w:pStyle w:val="Tabletext0"/>
              <w:ind w:left="284" w:hanging="284"/>
            </w:pPr>
            <w:r w:rsidRPr="0013660D">
              <w:t>–</w:t>
            </w:r>
            <w:r w:rsidRPr="0013660D">
              <w:tab/>
              <w:t xml:space="preserve">Inscripción (en línea mediante el formulario de inscripción en línea de la página principal de la Comisión de Estudio en la dirección: </w:t>
            </w:r>
            <w:hyperlink r:id="rId18" w:history="1">
              <w:r w:rsidR="00945FFB" w:rsidRPr="0013660D">
                <w:rPr>
                  <w:rStyle w:val="Hyperlink"/>
                </w:rPr>
                <w:t>www.itu.int/go/tsg11</w:t>
              </w:r>
            </w:hyperlink>
            <w:r w:rsidRPr="0013660D">
              <w:t>)</w:t>
            </w:r>
          </w:p>
        </w:tc>
      </w:tr>
      <w:tr w:rsidR="00EE785B" w:rsidRPr="0013660D" w14:paraId="2CC81AB9" w14:textId="77777777" w:rsidTr="009A385E">
        <w:tc>
          <w:tcPr>
            <w:tcW w:w="2557" w:type="dxa"/>
            <w:vAlign w:val="center"/>
          </w:tcPr>
          <w:p w14:paraId="36F5AD62" w14:textId="77777777" w:rsidR="00EE785B" w:rsidRPr="0013660D" w:rsidRDefault="00EE785B" w:rsidP="004F6616">
            <w:pPr>
              <w:pStyle w:val="Tabletext0"/>
              <w:rPr>
                <w:bCs/>
              </w:rPr>
            </w:pPr>
            <w:r w:rsidRPr="0013660D">
              <w:t>24 de junio de 2021</w:t>
            </w:r>
          </w:p>
        </w:tc>
        <w:tc>
          <w:tcPr>
            <w:tcW w:w="7077" w:type="dxa"/>
          </w:tcPr>
          <w:p w14:paraId="0A095E40" w14:textId="77777777" w:rsidR="00EE785B" w:rsidRPr="0013660D" w:rsidRDefault="00EE785B" w:rsidP="004F6616">
            <w:pPr>
              <w:pStyle w:val="Tabletext0"/>
              <w:ind w:left="284" w:hanging="284"/>
            </w:pPr>
            <w:r w:rsidRPr="0013660D">
              <w:t>–</w:t>
            </w:r>
            <w:r w:rsidRPr="0013660D">
              <w:tab/>
              <w:t xml:space="preserve">Presentación de las contribuciones de los Miembros del UIT-T a los GT 1/11, GT 2/11 y GT 3/11 (15-16 de julio de 2021) (mediante la </w:t>
            </w:r>
            <w:hyperlink r:id="rId19" w:history="1">
              <w:r w:rsidRPr="0013660D">
                <w:rPr>
                  <w:rStyle w:val="Hyperlink"/>
                </w:rPr>
                <w:t>Publicación Directa de Documentos</w:t>
              </w:r>
            </w:hyperlink>
            <w:r w:rsidRPr="0013660D">
              <w:t>)</w:t>
            </w:r>
          </w:p>
          <w:p w14:paraId="247161F8" w14:textId="77777777" w:rsidR="00EE785B" w:rsidRPr="0013660D" w:rsidRDefault="00EE785B" w:rsidP="004F6616">
            <w:pPr>
              <w:pStyle w:val="Tabletext0"/>
              <w:ind w:left="284" w:hanging="284"/>
            </w:pPr>
            <w:r w:rsidRPr="0013660D">
              <w:t>–</w:t>
            </w:r>
            <w:r w:rsidRPr="0013660D">
              <w:tab/>
              <w:t xml:space="preserve">Presentación de los documentos a las reuniones intermedias electrónicas de los Grupos de Relatores (7-16 de julio de 2021) (mediante </w:t>
            </w:r>
            <w:hyperlink r:id="rId20" w:history="1">
              <w:r w:rsidRPr="0013660D">
                <w:rPr>
                  <w:rStyle w:val="Hyperlink"/>
                </w:rPr>
                <w:t>SharePoint</w:t>
              </w:r>
            </w:hyperlink>
            <w:r w:rsidRPr="0013660D">
              <w:t>)</w:t>
            </w:r>
          </w:p>
        </w:tc>
      </w:tr>
    </w:tbl>
    <w:p w14:paraId="440A074A" w14:textId="77777777" w:rsidR="00EE785B" w:rsidRPr="0013660D" w:rsidRDefault="00EE785B" w:rsidP="004F6616">
      <w:r w:rsidRPr="0013660D">
        <w:t xml:space="preserve">En el </w:t>
      </w:r>
      <w:r w:rsidRPr="0013660D">
        <w:rPr>
          <w:b/>
          <w:bCs/>
        </w:rPr>
        <w:t>Anexo A</w:t>
      </w:r>
      <w:r w:rsidRPr="0013660D">
        <w:t xml:space="preserve"> se facilita información práctica para la reunión. El proyecto de </w:t>
      </w:r>
      <w:r w:rsidRPr="0013660D">
        <w:rPr>
          <w:b/>
          <w:bCs/>
        </w:rPr>
        <w:t>orden del día</w:t>
      </w:r>
      <w:r w:rsidRPr="0013660D">
        <w:t xml:space="preserve"> de la reunión y el </w:t>
      </w:r>
      <w:r w:rsidRPr="0013660D">
        <w:rPr>
          <w:b/>
          <w:bCs/>
        </w:rPr>
        <w:t>plan de</w:t>
      </w:r>
      <w:r w:rsidRPr="0013660D">
        <w:t xml:space="preserve"> </w:t>
      </w:r>
      <w:r w:rsidRPr="0013660D">
        <w:rPr>
          <w:b/>
          <w:bCs/>
        </w:rPr>
        <w:t>gestión del tiempo</w:t>
      </w:r>
      <w:r w:rsidRPr="0013660D">
        <w:t xml:space="preserve">, preparados por los </w:t>
      </w:r>
      <w:proofErr w:type="gramStart"/>
      <w:r w:rsidRPr="0013660D">
        <w:t>Presidentes</w:t>
      </w:r>
      <w:proofErr w:type="gramEnd"/>
      <w:r w:rsidRPr="0013660D">
        <w:t xml:space="preserve"> de los Grupos de Trabajo 1/11, 2/11 y 3/11, figuran en el </w:t>
      </w:r>
      <w:r w:rsidRPr="0013660D">
        <w:rPr>
          <w:b/>
          <w:bCs/>
        </w:rPr>
        <w:t>Anexo B</w:t>
      </w:r>
      <w:r w:rsidRPr="0013660D">
        <w:t xml:space="preserve"> y el </w:t>
      </w:r>
      <w:r w:rsidRPr="0013660D">
        <w:rPr>
          <w:b/>
          <w:bCs/>
        </w:rPr>
        <w:t>Anexo C</w:t>
      </w:r>
      <w:r w:rsidRPr="0013660D">
        <w:t>, respectivamente.</w:t>
      </w:r>
    </w:p>
    <w:p w14:paraId="4FC670DB" w14:textId="77777777" w:rsidR="00EE785B" w:rsidRPr="0013660D" w:rsidRDefault="00EE785B" w:rsidP="004F6616">
      <w:pPr>
        <w:spacing w:after="120"/>
      </w:pPr>
      <w:bookmarkStart w:id="2" w:name="_Hlk51846706"/>
      <w:r w:rsidRPr="0013660D">
        <w:t>Le deseo una reunión agradable y productiva.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5954"/>
        <w:gridCol w:w="3675"/>
      </w:tblGrid>
      <w:tr w:rsidR="00EE785B" w:rsidRPr="0013660D" w14:paraId="07ACC34F" w14:textId="77777777" w:rsidTr="009A385E">
        <w:trPr>
          <w:cantSplit/>
          <w:trHeight w:val="1718"/>
        </w:trPr>
        <w:tc>
          <w:tcPr>
            <w:tcW w:w="5954" w:type="dxa"/>
            <w:vMerge w:val="restart"/>
            <w:tcBorders>
              <w:top w:val="nil"/>
              <w:left w:val="nil"/>
            </w:tcBorders>
          </w:tcPr>
          <w:bookmarkEnd w:id="2"/>
          <w:p w14:paraId="0AE46CA2" w14:textId="420BA889" w:rsidR="00EE785B" w:rsidRPr="0013660D" w:rsidRDefault="00EE785B" w:rsidP="009A385E">
            <w:pPr>
              <w:ind w:left="-110"/>
              <w:rPr>
                <w:bCs/>
              </w:rPr>
            </w:pPr>
            <w:r w:rsidRPr="0013660D">
              <w:rPr>
                <w:bCs/>
              </w:rPr>
              <w:t>Atentamente,</w:t>
            </w:r>
          </w:p>
          <w:p w14:paraId="78284BFA" w14:textId="544D682F" w:rsidR="00EE785B" w:rsidRPr="0013660D" w:rsidRDefault="003E3A83" w:rsidP="009A385E">
            <w:pPr>
              <w:spacing w:before="960"/>
              <w:ind w:left="-110" w:right="91"/>
            </w:pPr>
            <w:r>
              <w:rPr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4DCA13A4" wp14:editId="30285923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138430</wp:posOffset>
                  </wp:positionV>
                  <wp:extent cx="796290" cy="358775"/>
                  <wp:effectExtent l="0" t="0" r="381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785B" w:rsidRPr="0013660D">
              <w:t>Chaesub Lee</w:t>
            </w:r>
            <w:r w:rsidR="00EE785B" w:rsidRPr="0013660D">
              <w:br/>
            </w:r>
            <w:proofErr w:type="gramStart"/>
            <w:r w:rsidR="00EE785B" w:rsidRPr="0013660D">
              <w:t>Director</w:t>
            </w:r>
            <w:proofErr w:type="gramEnd"/>
            <w:r w:rsidR="00EE785B" w:rsidRPr="0013660D">
              <w:t xml:space="preserve"> de la Oficina de Normalización</w:t>
            </w:r>
            <w:r w:rsidR="00EE785B" w:rsidRPr="0013660D">
              <w:br/>
              <w:t>de las Telecomunicaciones</w:t>
            </w:r>
          </w:p>
        </w:tc>
        <w:tc>
          <w:tcPr>
            <w:tcW w:w="3675" w:type="dxa"/>
            <w:tcBorders>
              <w:bottom w:val="nil"/>
            </w:tcBorders>
            <w:textDirection w:val="btLr"/>
            <w:vAlign w:val="center"/>
          </w:tcPr>
          <w:p w14:paraId="3CF7C0D0" w14:textId="23DF74E0" w:rsidR="00EE785B" w:rsidRPr="0013660D" w:rsidRDefault="00EE785B" w:rsidP="009A385E">
            <w:pPr>
              <w:ind w:left="113" w:right="11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3660D">
              <w:rPr>
                <w:noProof/>
                <w:sz w:val="16"/>
              </w:rPr>
              <w:drawing>
                <wp:inline distT="0" distB="0" distL="0" distR="0" wp14:anchorId="53AEE05D" wp14:editId="76E2366F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60D">
              <w:t>CE</w:t>
            </w:r>
            <w:r w:rsidR="00945FFB" w:rsidRPr="0013660D">
              <w:t> </w:t>
            </w:r>
            <w:r w:rsidRPr="0013660D">
              <w:t>11 del UIT-T</w:t>
            </w:r>
          </w:p>
        </w:tc>
      </w:tr>
      <w:tr w:rsidR="00EE785B" w:rsidRPr="0013660D" w14:paraId="2251C8F0" w14:textId="77777777" w:rsidTr="009A385E">
        <w:tc>
          <w:tcPr>
            <w:tcW w:w="5954" w:type="dxa"/>
            <w:vMerge/>
            <w:tcBorders>
              <w:left w:val="nil"/>
              <w:bottom w:val="nil"/>
            </w:tcBorders>
          </w:tcPr>
          <w:p w14:paraId="09CD55B7" w14:textId="77777777" w:rsidR="00EE785B" w:rsidRPr="0013660D" w:rsidRDefault="00EE785B" w:rsidP="009A385E">
            <w:pPr>
              <w:rPr>
                <w:bCs/>
              </w:rPr>
            </w:pPr>
          </w:p>
        </w:tc>
        <w:tc>
          <w:tcPr>
            <w:tcW w:w="3675" w:type="dxa"/>
            <w:tcBorders>
              <w:top w:val="nil"/>
            </w:tcBorders>
            <w:vAlign w:val="center"/>
          </w:tcPr>
          <w:p w14:paraId="255E00CF" w14:textId="77777777" w:rsidR="00EE785B" w:rsidRPr="0013660D" w:rsidRDefault="00EE785B" w:rsidP="009A385E">
            <w:pPr>
              <w:spacing w:before="0"/>
              <w:jc w:val="center"/>
              <w:rPr>
                <w:bCs/>
              </w:rPr>
            </w:pPr>
            <w:r w:rsidRPr="0013660D">
              <w:t>Información más reciente sobre la reunión</w:t>
            </w:r>
          </w:p>
        </w:tc>
      </w:tr>
    </w:tbl>
    <w:p w14:paraId="36965A75" w14:textId="77777777" w:rsidR="00EE785B" w:rsidRPr="0013660D" w:rsidRDefault="00EE785B" w:rsidP="00EE785B">
      <w:pPr>
        <w:spacing w:before="480"/>
      </w:pPr>
      <w:r w:rsidRPr="0013660D">
        <w:rPr>
          <w:b/>
          <w:bCs/>
        </w:rPr>
        <w:t>Anexos</w:t>
      </w:r>
      <w:r w:rsidRPr="0013660D">
        <w:t>: 3</w:t>
      </w:r>
    </w:p>
    <w:p w14:paraId="411907FB" w14:textId="77777777" w:rsidR="00EE785B" w:rsidRPr="0013660D" w:rsidRDefault="00EE785B" w:rsidP="00EE785B">
      <w:pPr>
        <w:ind w:right="91"/>
        <w:rPr>
          <w:bCs/>
        </w:rPr>
      </w:pPr>
      <w:r w:rsidRPr="0013660D">
        <w:rPr>
          <w:bCs/>
        </w:rPr>
        <w:br w:type="page"/>
      </w:r>
    </w:p>
    <w:p w14:paraId="7853FAFA" w14:textId="77777777" w:rsidR="00EE785B" w:rsidRPr="0013660D" w:rsidRDefault="00EE785B" w:rsidP="00EE785B">
      <w:pPr>
        <w:pStyle w:val="AnnexNotitle"/>
      </w:pPr>
      <w:r w:rsidRPr="0013660D">
        <w:lastRenderedPageBreak/>
        <w:t>Anexo A</w:t>
      </w:r>
      <w:r w:rsidRPr="0013660D">
        <w:br/>
        <w:t>Información práctica sobre la reunión</w:t>
      </w:r>
    </w:p>
    <w:p w14:paraId="48D03E02" w14:textId="77777777" w:rsidR="00EE785B" w:rsidRPr="0013660D" w:rsidRDefault="00EE785B" w:rsidP="00EE785B">
      <w:pPr>
        <w:spacing w:before="360"/>
        <w:jc w:val="center"/>
        <w:rPr>
          <w:b/>
          <w:bCs/>
        </w:rPr>
      </w:pPr>
      <w:r w:rsidRPr="0013660D">
        <w:rPr>
          <w:b/>
          <w:bCs/>
        </w:rPr>
        <w:t>MÉTODOS DE TRABAJO E INSTALACIONES</w:t>
      </w:r>
    </w:p>
    <w:p w14:paraId="77E7AFDC" w14:textId="498BAAA5" w:rsidR="00EE785B" w:rsidRDefault="00EE785B" w:rsidP="00EE785B">
      <w:bookmarkStart w:id="3" w:name="lt_pId081"/>
      <w:r w:rsidRPr="0013660D">
        <w:rPr>
          <w:b/>
          <w:bCs/>
        </w:rPr>
        <w:t>PRESENTACIÓN DE DOCUMENTOS Y ACCESO A LOS MISMOS</w:t>
      </w:r>
      <w:r w:rsidRPr="0013660D">
        <w:t xml:space="preserve">: Las contribuciones de los Miembros dirigidas a los GT 1/11, GT 2/11 y GT 3/11 deben presentarse utilizando la </w:t>
      </w:r>
      <w:hyperlink r:id="rId23" w:history="1">
        <w:r w:rsidRPr="0013660D">
          <w:rPr>
            <w:rStyle w:val="Hyperlink"/>
          </w:rPr>
          <w:t>Publicación Directa de Documentos</w:t>
        </w:r>
      </w:hyperlink>
      <w:r w:rsidRPr="0013660D">
        <w:t xml:space="preserve">; los proyectos de DT deben remitirse por correo-e a la secretaría de la Comisión de Estudio utilizando la </w:t>
      </w:r>
      <w:hyperlink r:id="rId24" w:history="1">
        <w:r w:rsidRPr="0013660D">
          <w:rPr>
            <w:rStyle w:val="Hyperlink"/>
          </w:rPr>
          <w:t>plantilla correspondiente</w:t>
        </w:r>
      </w:hyperlink>
      <w:r w:rsidRPr="0013660D">
        <w:t xml:space="preserve">. El acceso a los documentos de la reunión se facilita a partir de la página principal de la Comisión de Estudio, y está restringido a los Miembros del UIT-T que disponen de </w:t>
      </w:r>
      <w:hyperlink r:id="rId25" w:history="1">
        <w:r w:rsidRPr="0013660D">
          <w:rPr>
            <w:rStyle w:val="Hyperlink"/>
          </w:rPr>
          <w:t>cuenta de usuario de la UIT con acceso TIES</w:t>
        </w:r>
      </w:hyperlink>
      <w:r w:rsidRPr="0013660D">
        <w:t>.</w:t>
      </w:r>
    </w:p>
    <w:p w14:paraId="0E1E68E4" w14:textId="027E984F" w:rsidR="003C00B2" w:rsidRPr="0013660D" w:rsidRDefault="003C00B2" w:rsidP="00EE785B">
      <w:r w:rsidRPr="003C00B2">
        <w:t>Las contribuciones dirigidas a las reuniones intermedias electrónicas del Grupo de Relator de la CE</w:t>
      </w:r>
      <w:r w:rsidR="00765069">
        <w:t> </w:t>
      </w:r>
      <w:r w:rsidRPr="003C00B2">
        <w:t xml:space="preserve">11 deben enviarse a la sección correspondiente de </w:t>
      </w:r>
      <w:hyperlink r:id="rId26" w:history="1">
        <w:r w:rsidRPr="003C00B2">
          <w:rPr>
            <w:rStyle w:val="Hyperlink"/>
          </w:rPr>
          <w:t>SharePoint</w:t>
        </w:r>
      </w:hyperlink>
      <w:r>
        <w:t>.</w:t>
      </w:r>
    </w:p>
    <w:p w14:paraId="0E5282A9" w14:textId="77777777" w:rsidR="00EE785B" w:rsidRPr="0013660D" w:rsidRDefault="00EE785B" w:rsidP="00EE785B">
      <w:r w:rsidRPr="0013660D">
        <w:rPr>
          <w:b/>
          <w:bCs/>
        </w:rPr>
        <w:t>IDIOMA DE TRABAJO</w:t>
      </w:r>
      <w:r w:rsidRPr="0013660D">
        <w:t>: La reunión se celebrará únicamente en inglés.</w:t>
      </w:r>
      <w:bookmarkEnd w:id="3"/>
    </w:p>
    <w:p w14:paraId="0E6B4B10" w14:textId="2E676275" w:rsidR="00EE785B" w:rsidRPr="0013660D" w:rsidRDefault="00EE785B" w:rsidP="00EE785B">
      <w:bookmarkStart w:id="4" w:name="lt_pId082"/>
      <w:r w:rsidRPr="0013660D">
        <w:rPr>
          <w:b/>
          <w:bCs/>
        </w:rPr>
        <w:t>PARTICIPACIÓN A DISTANCIA INTERACTIVA</w:t>
      </w:r>
      <w:r w:rsidRPr="0013660D">
        <w:t xml:space="preserve">: Se utilizará la herramienta </w:t>
      </w:r>
      <w:hyperlink r:id="rId27" w:tgtFrame="_blank" w:history="1">
        <w:r w:rsidRPr="0013660D">
          <w:rPr>
            <w:rStyle w:val="Hyperlink"/>
          </w:rPr>
          <w:t>MyMeetings</w:t>
        </w:r>
      </w:hyperlink>
      <w:r w:rsidRPr="0013660D">
        <w:t xml:space="preserve"> para ofrecer la participación a distancia en todas las sesiones, incluidas las sesiones de toma de decisiones tales como las plenarias de los Grupos de Trabajo y de las Comisiones de Estudio. Los delegados deben inscribirse para la reunión e identificarse y dar a conocer su afiliación al hacer uso de la palabra. La participación a distancia se proporciona sobre la base del mejor esfuerzo. Los participantes deben tener presente que la reunión no se retrasará ni se interrumpirá por la incapacidad de un participante a distancia para conectarse, escuchar o ser escuchado, según el criterio del </w:t>
      </w:r>
      <w:proofErr w:type="gramStart"/>
      <w:r w:rsidRPr="0013660D">
        <w:t>Presidente</w:t>
      </w:r>
      <w:proofErr w:type="gramEnd"/>
      <w:r w:rsidRPr="0013660D">
        <w:t xml:space="preserve">. Si se considera que la calidad de la voz de un participante a distancia es insuficiente, el </w:t>
      </w:r>
      <w:proofErr w:type="gramStart"/>
      <w:r w:rsidRPr="0013660D">
        <w:t>Presidente</w:t>
      </w:r>
      <w:proofErr w:type="gramEnd"/>
      <w:r w:rsidRPr="0013660D">
        <w:t xml:space="preserve"> podrá interrumpirlo y abstenerse de concederle la palabra hasta que se indique que el problema se ha resuelto. </w:t>
      </w:r>
      <w:bookmarkEnd w:id="4"/>
      <w:r w:rsidRPr="0013660D">
        <w:t>El chat de la reunión forma parte de la reunión, y se alienta a utilizarlo para la gestión eficaz del tiempo durante las sesiones.</w:t>
      </w:r>
    </w:p>
    <w:p w14:paraId="452B6B18" w14:textId="77777777" w:rsidR="00EE785B" w:rsidRPr="0013660D" w:rsidRDefault="00EE785B" w:rsidP="00EE785B">
      <w:pPr>
        <w:spacing w:before="360"/>
        <w:jc w:val="center"/>
        <w:rPr>
          <w:b/>
          <w:bCs/>
        </w:rPr>
      </w:pPr>
      <w:r w:rsidRPr="0013660D">
        <w:rPr>
          <w:b/>
          <w:bCs/>
        </w:rPr>
        <w:t>INSCRIPCIÓN</w:t>
      </w:r>
    </w:p>
    <w:p w14:paraId="2DB86018" w14:textId="3A19F0B3" w:rsidR="00EE785B" w:rsidRPr="0013660D" w:rsidRDefault="00EE785B" w:rsidP="00EE785B">
      <w:r w:rsidRPr="0013660D">
        <w:rPr>
          <w:b/>
          <w:bCs/>
        </w:rPr>
        <w:t>INSCRIPCIÓN</w:t>
      </w:r>
      <w:r w:rsidRPr="0013660D">
        <w:t xml:space="preserve">: La inscripción es obligatoria y se efectúa en línea a través de la página principal de la Comisión de Estudio </w:t>
      </w:r>
      <w:r w:rsidRPr="0013660D">
        <w:rPr>
          <w:b/>
          <w:bCs/>
        </w:rPr>
        <w:t>a más tardar un mes antes de la reunión</w:t>
      </w:r>
      <w:r w:rsidRPr="0013660D">
        <w:t xml:space="preserve">. Según lo indicado en la </w:t>
      </w:r>
      <w:hyperlink r:id="rId28">
        <w:r w:rsidRPr="0013660D">
          <w:rPr>
            <w:rStyle w:val="Hyperlink"/>
          </w:rPr>
          <w:t>Circular 68 de la TSB</w:t>
        </w:r>
      </w:hyperlink>
      <w:r w:rsidRPr="0013660D">
        <w:t xml:space="preserve">, el sistema de inscripción del UIT-T requiere la aprobación de las solicitudes de inscripción por los Coordinadores; en la </w:t>
      </w:r>
      <w:hyperlink r:id="rId29">
        <w:r w:rsidRPr="0013660D">
          <w:rPr>
            <w:rStyle w:val="Hyperlink"/>
          </w:rPr>
          <w:t>Circular 118 de la TSB</w:t>
        </w:r>
      </w:hyperlink>
      <w:r w:rsidRPr="0013660D">
        <w:t xml:space="preserve"> se describe cómo instalar la autorización automática de dichas solicitudes. Algunas opciones del formulario de inscripción se aplican únicamente a los Estados Miembros. Se invita a los miembros a incluir mujeres en sus delegaciones siempre que sea posible.</w:t>
      </w:r>
    </w:p>
    <w:p w14:paraId="273052BB" w14:textId="0313C93D" w:rsidR="00EE785B" w:rsidRPr="0013660D" w:rsidRDefault="00EE785B" w:rsidP="00EE785B">
      <w:bookmarkStart w:id="5" w:name="lt_pId090"/>
      <w:r w:rsidRPr="0013660D">
        <w:t xml:space="preserve">La inscripción es obligatoria mediante el formulario de inscripción en línea disponible en la página </w:t>
      </w:r>
      <w:hyperlink r:id="rId30" w:history="1">
        <w:r w:rsidRPr="0013660D">
          <w:rPr>
            <w:rStyle w:val="Hyperlink"/>
          </w:rPr>
          <w:t>www.itu.int/go/tsg11</w:t>
        </w:r>
      </w:hyperlink>
      <w:r w:rsidRPr="0013660D">
        <w:t xml:space="preserve">. Sin inscripción, los delegados no podrán acceder a la </w:t>
      </w:r>
      <w:hyperlink r:id="rId31" w:history="1">
        <w:r w:rsidRPr="0013660D">
          <w:rPr>
            <w:rStyle w:val="Hyperlink"/>
          </w:rPr>
          <w:t>herramienta de participación a distancia MyMeetings</w:t>
        </w:r>
      </w:hyperlink>
      <w:r w:rsidRPr="0013660D">
        <w:t>.</w:t>
      </w:r>
    </w:p>
    <w:bookmarkEnd w:id="5"/>
    <w:p w14:paraId="03E2A308" w14:textId="77777777" w:rsidR="00EE785B" w:rsidRPr="0013660D" w:rsidRDefault="00EE785B" w:rsidP="00EE785B">
      <w:r w:rsidRPr="0013660D">
        <w:br w:type="page"/>
      </w:r>
    </w:p>
    <w:p w14:paraId="59C87F59" w14:textId="0B00F30A" w:rsidR="002F0C4B" w:rsidRPr="00151CEF" w:rsidRDefault="002F0C4B" w:rsidP="002F0C4B">
      <w:pPr>
        <w:pStyle w:val="Annextitle0"/>
        <w:rPr>
          <w:bCs/>
          <w:szCs w:val="28"/>
          <w:lang w:val="en-GB"/>
        </w:rPr>
      </w:pPr>
      <w:r w:rsidRPr="00151CEF">
        <w:rPr>
          <w:lang w:val="en-GB"/>
        </w:rPr>
        <w:lastRenderedPageBreak/>
        <w:t>ANNEX B</w:t>
      </w:r>
      <w:r w:rsidRPr="00151CEF">
        <w:rPr>
          <w:lang w:val="en-GB"/>
        </w:rPr>
        <w:br/>
      </w:r>
      <w:r w:rsidRPr="00151CEF">
        <w:rPr>
          <w:lang w:val="en-GB"/>
        </w:rPr>
        <w:br/>
        <w:t xml:space="preserve">Draft Agenda of WP1/11, WP2/11 and WP3/11 </w:t>
      </w:r>
      <w:r w:rsidRPr="00151CEF">
        <w:rPr>
          <w:lang w:val="en-GB"/>
        </w:rPr>
        <w:br/>
        <w:t>Virtual, 15-16 July 2021</w:t>
      </w:r>
    </w:p>
    <w:p w14:paraId="7BCA520B" w14:textId="77777777" w:rsidR="002F0C4B" w:rsidRPr="00151CEF" w:rsidRDefault="002F0C4B" w:rsidP="002F0C4B">
      <w:pPr>
        <w:pStyle w:val="enumlev1"/>
        <w:numPr>
          <w:ilvl w:val="0"/>
          <w:numId w:val="9"/>
        </w:numPr>
        <w:spacing w:before="360"/>
        <w:rPr>
          <w:lang w:val="en-GB"/>
        </w:rPr>
      </w:pPr>
      <w:r w:rsidRPr="00151CEF">
        <w:rPr>
          <w:lang w:val="en-GB"/>
        </w:rPr>
        <w:t>Opening remarks</w:t>
      </w:r>
    </w:p>
    <w:p w14:paraId="1BBA7299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Adoption of the agenda for the plenary meetings of Working Parties 1/11, 2/11 and 3/11</w:t>
      </w:r>
    </w:p>
    <w:p w14:paraId="5ACB2222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proofErr w:type="gramStart"/>
      <w:r w:rsidRPr="00151CEF">
        <w:rPr>
          <w:lang w:val="en-GB"/>
        </w:rPr>
        <w:t>Documents</w:t>
      </w:r>
      <w:proofErr w:type="gramEnd"/>
      <w:r w:rsidRPr="00151CEF">
        <w:rPr>
          <w:lang w:val="en-GB"/>
        </w:rPr>
        <w:t xml:space="preserve"> allocation</w:t>
      </w:r>
    </w:p>
    <w:p w14:paraId="3DE9684A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Discussion of received contributions</w:t>
      </w:r>
    </w:p>
    <w:p w14:paraId="3E52B4FA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Review and approve the reports and outputs of Rapporteur Group meetings</w:t>
      </w:r>
    </w:p>
    <w:p w14:paraId="05F5A959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Consent of draft Recommendations</w:t>
      </w:r>
    </w:p>
    <w:p w14:paraId="3C6E7C98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Agreement on other deliverables</w:t>
      </w:r>
    </w:p>
    <w:p w14:paraId="75AEB512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Agreement on new work items</w:t>
      </w:r>
    </w:p>
    <w:p w14:paraId="4A657C48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Agreement on future activities</w:t>
      </w:r>
    </w:p>
    <w:p w14:paraId="325DC307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Approval of outgoing liaison statements</w:t>
      </w:r>
    </w:p>
    <w:p w14:paraId="520FBA76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Work Programme</w:t>
      </w:r>
    </w:p>
    <w:p w14:paraId="40710F51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Future meetings</w:t>
      </w:r>
    </w:p>
    <w:p w14:paraId="4C657715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AOB</w:t>
      </w:r>
    </w:p>
    <w:p w14:paraId="6B96469B" w14:textId="77777777" w:rsidR="002F0C4B" w:rsidRPr="00151CEF" w:rsidRDefault="002F0C4B" w:rsidP="002F0C4B">
      <w:pPr>
        <w:pStyle w:val="enumlev1"/>
        <w:numPr>
          <w:ilvl w:val="0"/>
          <w:numId w:val="9"/>
        </w:numPr>
        <w:rPr>
          <w:lang w:val="en-GB"/>
        </w:rPr>
      </w:pPr>
      <w:r w:rsidRPr="00151CEF">
        <w:rPr>
          <w:lang w:val="en-GB"/>
        </w:rPr>
        <w:t>Closure of the meeting</w:t>
      </w:r>
    </w:p>
    <w:p w14:paraId="7F1F8A50" w14:textId="77777777" w:rsidR="002F0C4B" w:rsidRPr="00151CEF" w:rsidRDefault="002F0C4B" w:rsidP="002F0C4B">
      <w:pPr>
        <w:rPr>
          <w:b/>
          <w:szCs w:val="22"/>
          <w:lang w:val="en-GB"/>
        </w:rPr>
      </w:pPr>
      <w:r w:rsidRPr="00151CEF">
        <w:rPr>
          <w:szCs w:val="22"/>
          <w:lang w:val="en-GB"/>
        </w:rPr>
        <w:t xml:space="preserve">NOTE ‒ Updates to the draft Agendas can be found in </w:t>
      </w:r>
      <w:hyperlink r:id="rId32" w:history="1">
        <w:r w:rsidRPr="00151CEF">
          <w:rPr>
            <w:rStyle w:val="Hyperlink"/>
            <w:lang w:val="en-GB"/>
          </w:rPr>
          <w:t>SG11-TD</w:t>
        </w:r>
        <w:r w:rsidRPr="00151CEF">
          <w:rPr>
            <w:rStyle w:val="Hyperlink"/>
            <w:szCs w:val="22"/>
            <w:lang w:val="en-GB"/>
          </w:rPr>
          <w:t>66</w:t>
        </w:r>
        <w:r w:rsidRPr="00151CEF">
          <w:rPr>
            <w:rStyle w:val="Hyperlink"/>
            <w:lang w:val="en-GB"/>
          </w:rPr>
          <w:t>/WP1</w:t>
        </w:r>
      </w:hyperlink>
      <w:r w:rsidRPr="00151CEF">
        <w:rPr>
          <w:szCs w:val="22"/>
          <w:lang w:val="en-GB"/>
        </w:rPr>
        <w:t xml:space="preserve">, </w:t>
      </w:r>
      <w:hyperlink r:id="rId33" w:history="1">
        <w:r w:rsidRPr="00151CEF">
          <w:rPr>
            <w:rStyle w:val="Hyperlink"/>
            <w:lang w:val="en-GB"/>
          </w:rPr>
          <w:t>SG11-TD</w:t>
        </w:r>
        <w:r w:rsidRPr="00151CEF">
          <w:rPr>
            <w:rStyle w:val="Hyperlink"/>
            <w:szCs w:val="22"/>
            <w:lang w:val="en-GB"/>
          </w:rPr>
          <w:t>71</w:t>
        </w:r>
        <w:r w:rsidRPr="00151CEF">
          <w:rPr>
            <w:rStyle w:val="Hyperlink"/>
            <w:lang w:val="en-GB"/>
          </w:rPr>
          <w:t>/WP2</w:t>
        </w:r>
      </w:hyperlink>
      <w:r w:rsidRPr="00151CEF">
        <w:rPr>
          <w:szCs w:val="22"/>
          <w:lang w:val="en-GB"/>
        </w:rPr>
        <w:t xml:space="preserve">, </w:t>
      </w:r>
      <w:hyperlink r:id="rId34" w:history="1">
        <w:r w:rsidRPr="00151CEF">
          <w:rPr>
            <w:rStyle w:val="Hyperlink"/>
            <w:lang w:val="en-GB"/>
          </w:rPr>
          <w:t>SG11-TD</w:t>
        </w:r>
        <w:r w:rsidRPr="00151CEF">
          <w:rPr>
            <w:rStyle w:val="Hyperlink"/>
            <w:szCs w:val="22"/>
            <w:lang w:val="en-GB"/>
          </w:rPr>
          <w:t>63</w:t>
        </w:r>
        <w:r w:rsidRPr="00151CEF">
          <w:rPr>
            <w:rStyle w:val="Hyperlink"/>
            <w:lang w:val="en-GB"/>
          </w:rPr>
          <w:t>/WP3</w:t>
        </w:r>
      </w:hyperlink>
      <w:r w:rsidRPr="00151CEF">
        <w:rPr>
          <w:szCs w:val="22"/>
          <w:lang w:val="en-GB"/>
        </w:rPr>
        <w:t xml:space="preserve"> respectively.</w:t>
      </w:r>
    </w:p>
    <w:p w14:paraId="780A0F60" w14:textId="77777777" w:rsidR="002F0C4B" w:rsidRPr="00151CEF" w:rsidRDefault="002F0C4B" w:rsidP="002F0C4B">
      <w:pPr>
        <w:pStyle w:val="Normalaftertitle"/>
        <w:tabs>
          <w:tab w:val="clear" w:pos="794"/>
          <w:tab w:val="clear" w:pos="1191"/>
          <w:tab w:val="clear" w:pos="1588"/>
          <w:tab w:val="clear" w:pos="1985"/>
        </w:tabs>
        <w:rPr>
          <w:szCs w:val="22"/>
          <w:lang w:val="en-GB"/>
        </w:rPr>
      </w:pPr>
    </w:p>
    <w:p w14:paraId="34FCE0DE" w14:textId="77777777" w:rsidR="002F0C4B" w:rsidRPr="00151CEF" w:rsidRDefault="002F0C4B" w:rsidP="002F0C4B">
      <w:pPr>
        <w:pStyle w:val="Annextitle0"/>
        <w:pageBreakBefore/>
        <w:rPr>
          <w:sz w:val="22"/>
          <w:szCs w:val="22"/>
          <w:highlight w:val="cyan"/>
          <w:lang w:val="en-GB"/>
        </w:rPr>
        <w:sectPr w:rsidR="002F0C4B" w:rsidRPr="00151CEF" w:rsidSect="00C815B2">
          <w:headerReference w:type="even" r:id="rId35"/>
          <w:headerReference w:type="default" r:id="rId36"/>
          <w:headerReference w:type="first" r:id="rId37"/>
          <w:footerReference w:type="first" r:id="rId38"/>
          <w:pgSz w:w="11907" w:h="16834" w:code="9"/>
          <w:pgMar w:top="1134" w:right="851" w:bottom="567" w:left="851" w:header="510" w:footer="567" w:gutter="0"/>
          <w:paperSrc w:first="15" w:other="15"/>
          <w:cols w:space="720"/>
          <w:titlePg/>
          <w:docGrid w:linePitch="299"/>
        </w:sectPr>
      </w:pPr>
    </w:p>
    <w:p w14:paraId="3EEFD6B4" w14:textId="68B7E288" w:rsidR="002F0C4B" w:rsidRPr="00151CEF" w:rsidRDefault="002F0C4B" w:rsidP="002F0C4B">
      <w:pPr>
        <w:pStyle w:val="Annextitle0"/>
        <w:rPr>
          <w:lang w:val="en-GB"/>
        </w:rPr>
      </w:pPr>
      <w:r w:rsidRPr="00151CEF">
        <w:rPr>
          <w:lang w:val="en-GB"/>
        </w:rPr>
        <w:lastRenderedPageBreak/>
        <w:t>ANNEX C</w:t>
      </w:r>
      <w:r w:rsidRPr="00151CEF">
        <w:rPr>
          <w:lang w:val="en-GB"/>
        </w:rPr>
        <w:br/>
      </w:r>
      <w:r w:rsidRPr="00151CEF">
        <w:rPr>
          <w:lang w:val="en-GB"/>
        </w:rPr>
        <w:br/>
        <w:t xml:space="preserve">Draft time plan of interim RGM e-meetings of SG11 followed by WP1/11, WP2/11 </w:t>
      </w:r>
      <w:r w:rsidRPr="00151CEF">
        <w:rPr>
          <w:lang w:val="en-GB"/>
        </w:rPr>
        <w:br/>
        <w:t>and WP3/11</w:t>
      </w:r>
      <w:r w:rsidRPr="00151CEF">
        <w:rPr>
          <w:lang w:val="en-GB"/>
        </w:rPr>
        <w:br/>
        <w:t>Virtual, 7-16 July 2021</w:t>
      </w:r>
    </w:p>
    <w:p w14:paraId="120C9115" w14:textId="77777777" w:rsidR="002F0C4B" w:rsidRPr="00151CEF" w:rsidRDefault="002F0C4B" w:rsidP="002F0C4B">
      <w:pPr>
        <w:snapToGrid w:val="0"/>
        <w:spacing w:after="240"/>
        <w:jc w:val="center"/>
        <w:rPr>
          <w:rFonts w:eastAsia="Calibri"/>
          <w:b/>
          <w:szCs w:val="18"/>
          <w:lang w:val="en-GB"/>
        </w:rPr>
      </w:pPr>
      <w:r w:rsidRPr="00151CEF">
        <w:rPr>
          <w:rFonts w:eastAsia="Calibri"/>
          <w:b/>
          <w:szCs w:val="18"/>
          <w:lang w:val="en-GB"/>
        </w:rPr>
        <w:t>(First week)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2F0C4B" w:rsidRPr="00151CEF" w14:paraId="6DF8F6A0" w14:textId="77777777" w:rsidTr="009A385E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726965E" w14:textId="77777777" w:rsidR="002F0C4B" w:rsidRPr="00151CEF" w:rsidRDefault="002F0C4B" w:rsidP="009A385E">
            <w:pPr>
              <w:spacing w:before="0" w:line="256" w:lineRule="auto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34F6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Wednesday, 7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A895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Thursday, 8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3EE4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Friday, 9 July 2021</w:t>
            </w:r>
          </w:p>
        </w:tc>
      </w:tr>
      <w:tr w:rsidR="002F0C4B" w:rsidRPr="00151CEF" w14:paraId="17ED99B1" w14:textId="77777777" w:rsidTr="009A385E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31A5A5B" w14:textId="77777777" w:rsidR="002F0C4B" w:rsidRPr="00151CEF" w:rsidRDefault="002F0C4B" w:rsidP="009A385E">
            <w:pPr>
              <w:spacing w:before="0" w:line="256" w:lineRule="auto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8FCD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8D59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7F57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206F2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1247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51C08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4C5B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1541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4F8E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DDFC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ECD0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0C696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5330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3180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E0D9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BB5B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746D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F638C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5</w:t>
            </w:r>
          </w:p>
        </w:tc>
      </w:tr>
      <w:tr w:rsidR="002F0C4B" w:rsidRPr="00151CEF" w14:paraId="71400984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12DDBE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59835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34F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90F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69B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4402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E6047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45A19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1AB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D9CF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9C92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70C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04065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740A1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77C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586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EB6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26D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D87CF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6808ED24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BA06B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A0546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B68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35D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81AD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E09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EA468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A0163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1E54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64D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8140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43A2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7821F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BBF03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B9F5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7DE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1B0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59F8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760E2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59D819A8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7E602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3BD5D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935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0017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62D2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AD4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9A1F2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AB363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14F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A6B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1A9E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BA3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77ABC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056BA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8DC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2BD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A0F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075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1904C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70AC103E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25D2F0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E2EA9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F5F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32D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6273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6E8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2B189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5A341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1FC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3C2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B81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3A02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A487B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F70EC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FB4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A15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 w:eastAsia="zh-CN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AE2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A0F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0E610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7C3601FF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F8132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03D07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0D3B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408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69EB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946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037A9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840BE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8F36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C4D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EAD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8E9F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738B3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B1379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726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AB1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90D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542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986A6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7E0ED9DB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F7900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5CD76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434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1C7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9A6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62D2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AFE05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3F33F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5EF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706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47B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CEB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FEDB6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34F78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FDE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D35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983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378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2E80C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17915A2D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C8B40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AF21A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A9A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494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D14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6ADE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DAE66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C551E2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6D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047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416B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7F08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04200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4E497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5E8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851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3B8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279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9DE61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0B2446C1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3D250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C2254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C12C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C9F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E8D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41E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D4DA3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C3736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011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CB9A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C1862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04F1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C6862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16A3B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CFC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A2FF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F81A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E85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DA05F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2C9DC1FF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BB020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4A7F7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004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3852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0992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02E4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1C542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D5276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359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6C5C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C21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276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DF761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C2905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819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2611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43A0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2E3B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463CF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06CE2C53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B282D8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6852D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BD8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7BF3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E5CA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E9D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29596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571B3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9DF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D5A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C40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489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28837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48D46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7C7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D1A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5D26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49D7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2AC4D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40F9A6B2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8712D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E9AB4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83F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0F1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0C0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C80E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80948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CFF2C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1013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C8F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0A2E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173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C6562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E3EB9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1B60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110F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4DF8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0D57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B9839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31CA0CD1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CE403" w14:textId="77777777" w:rsidR="002F0C4B" w:rsidRPr="002B75B6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fr-CH"/>
              </w:rPr>
            </w:pPr>
            <w:r w:rsidRPr="002B75B6">
              <w:rPr>
                <w:b/>
                <w:sz w:val="16"/>
                <w:szCs w:val="16"/>
                <w:lang w:val="fr-CH"/>
              </w:rPr>
              <w:t>Joint Q16/11 and ETSI TC INT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442FC5" w14:textId="77777777" w:rsidR="002F0C4B" w:rsidRPr="002B75B6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4288" w14:textId="77777777" w:rsidR="002F0C4B" w:rsidRPr="002B75B6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A0418" w14:textId="77777777" w:rsidR="002F0C4B" w:rsidRPr="002B75B6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D867" w14:textId="77777777" w:rsidR="002F0C4B" w:rsidRPr="002B75B6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9191" w14:textId="77777777" w:rsidR="002F0C4B" w:rsidRPr="002B75B6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3234F8" w14:textId="77777777" w:rsidR="002F0C4B" w:rsidRPr="002B75B6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26BC4A" w14:textId="77777777" w:rsidR="002F0C4B" w:rsidRPr="002B75B6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228D5" w14:textId="77777777" w:rsidR="002F0C4B" w:rsidRPr="002B75B6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402E" w14:textId="77777777" w:rsidR="002F0C4B" w:rsidRPr="002B75B6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058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8CD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54FA7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1A5F2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61E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31F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969F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27E1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FC515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27005C4B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5A720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D5A16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E57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27A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908B4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CA97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4BDD9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80E8C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355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5D8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9327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20A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FF377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00511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85F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65D4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F1E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E9EE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922E1F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3C3D6381" w14:textId="77777777" w:rsidTr="009A385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E1600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2D713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C225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5C23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74F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8282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D96D1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3B9846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8BC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701D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8A30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366A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37EB1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7FFB4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CEB9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279A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2E665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D96F8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457F9D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F0C4B" w:rsidRPr="00151CEF" w14:paraId="33407762" w14:textId="77777777" w:rsidTr="009A385E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F31EB" w14:textId="77777777" w:rsidR="002F0C4B" w:rsidRPr="00151CEF" w:rsidRDefault="002F0C4B" w:rsidP="009A385E">
            <w:pPr>
              <w:spacing w:before="0" w:after="40" w:line="257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Sessions times (Geneva time)</w:t>
            </w:r>
          </w:p>
          <w:p w14:paraId="39CAC6FC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Session 0: 0900-1015;        Session 1: 1030-1145;         Session 2: 1200-1315;         Session 3: 1330-1445;</w:t>
            </w:r>
            <w:r w:rsidRPr="00151CEF">
              <w:rPr>
                <w:b/>
                <w:bCs/>
                <w:sz w:val="16"/>
                <w:szCs w:val="16"/>
                <w:lang w:val="en-GB"/>
              </w:rPr>
              <w:br/>
              <w:t>Session 4: 1500-1615;         Session 5: 1630-1745</w:t>
            </w:r>
          </w:p>
        </w:tc>
      </w:tr>
      <w:tr w:rsidR="002F0C4B" w:rsidRPr="00151CEF" w14:paraId="6C3A4FFF" w14:textId="77777777" w:rsidTr="009A385E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0A92B" w14:textId="77777777" w:rsidR="002F0C4B" w:rsidRPr="00151CEF" w:rsidRDefault="002F0C4B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Key: E – e-meeting via ITU MyMeetings        V – virtual meeting via ITU MyMeetings</w:t>
            </w:r>
          </w:p>
          <w:p w14:paraId="24D6A3CD" w14:textId="77777777" w:rsidR="002F0C4B" w:rsidRPr="00151CEF" w:rsidRDefault="002F0C4B" w:rsidP="009A385E">
            <w:pPr>
              <w:spacing w:before="40" w:after="40" w:line="256" w:lineRule="auto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Note:</w:t>
            </w:r>
          </w:p>
          <w:p w14:paraId="5956A665" w14:textId="77777777" w:rsidR="002F0C4B" w:rsidRPr="00151CEF" w:rsidRDefault="002F0C4B" w:rsidP="009A385E">
            <w:pPr>
              <w:spacing w:before="40" w:after="40" w:line="256" w:lineRule="auto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1 – e-meeting via Zoom</w:t>
            </w:r>
          </w:p>
        </w:tc>
      </w:tr>
    </w:tbl>
    <w:p w14:paraId="70D09068" w14:textId="77777777" w:rsidR="008C4699" w:rsidRPr="00151CEF" w:rsidRDefault="008C4699" w:rsidP="008C4699">
      <w:pPr>
        <w:rPr>
          <w:szCs w:val="22"/>
          <w:highlight w:val="cyan"/>
          <w:lang w:val="en-GB"/>
        </w:rPr>
      </w:pPr>
    </w:p>
    <w:p w14:paraId="0C40E144" w14:textId="77777777" w:rsidR="008C4699" w:rsidRPr="00151CEF" w:rsidRDefault="008C4699" w:rsidP="008C4699">
      <w:pPr>
        <w:pageBreakBefore/>
        <w:spacing w:before="0" w:after="240"/>
        <w:jc w:val="center"/>
        <w:rPr>
          <w:rFonts w:eastAsia="Calibri"/>
          <w:b/>
          <w:bCs/>
          <w:szCs w:val="24"/>
          <w:lang w:val="en-GB"/>
        </w:rPr>
      </w:pPr>
      <w:r w:rsidRPr="00151CEF">
        <w:rPr>
          <w:rFonts w:eastAsia="Calibri"/>
          <w:b/>
          <w:bCs/>
          <w:szCs w:val="24"/>
          <w:lang w:val="en-GB"/>
        </w:rPr>
        <w:lastRenderedPageBreak/>
        <w:t>(Second week)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C4699" w:rsidRPr="00151CEF" w14:paraId="436320CB" w14:textId="77777777" w:rsidTr="009A385E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00EAE5E" w14:textId="77777777" w:rsidR="008C4699" w:rsidRPr="00151CEF" w:rsidRDefault="008C4699" w:rsidP="009A385E">
            <w:pPr>
              <w:spacing w:before="0" w:line="256" w:lineRule="auto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41C9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Monday, 12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ADCB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Tuesday, 13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3752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Wednesday, 14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3783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Thursday, 15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43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Friday, 16 July 2021</w:t>
            </w:r>
          </w:p>
        </w:tc>
      </w:tr>
      <w:tr w:rsidR="008C4699" w:rsidRPr="00151CEF" w14:paraId="25B504BD" w14:textId="77777777" w:rsidTr="009A385E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CEDE489" w14:textId="77777777" w:rsidR="008C4699" w:rsidRPr="00151CEF" w:rsidRDefault="008C4699" w:rsidP="009A385E">
            <w:pPr>
              <w:spacing w:before="0" w:line="256" w:lineRule="auto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53EF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DC32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584B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050F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0002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63D1B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1D7D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3067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BBA2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1497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CA8F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CA9E7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DFE7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70C4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E770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917C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28ED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5E2AD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D588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B4E7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E60C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3B6E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D1C2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62EDD2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66C0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BC42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0E40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9EFC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FDD4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B9245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151CEF">
              <w:rPr>
                <w:sz w:val="16"/>
                <w:szCs w:val="16"/>
                <w:lang w:val="en-GB"/>
              </w:rPr>
              <w:t>5</w:t>
            </w:r>
          </w:p>
        </w:tc>
      </w:tr>
      <w:tr w:rsidR="008C4699" w:rsidRPr="00151CEF" w14:paraId="65E3C110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83914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699A6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56199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1FC4F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D30F4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FE7D7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21557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D8987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5DC5B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7748C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2F32A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B764B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9FD33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75CB4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05344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B3191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D6D2B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5E68E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EB6F7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20D4C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8F529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617B6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C8BA2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9AFF0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368F9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2FDB8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0619B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167B5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86B95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80CDF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6A5FA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4CF5CEAE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72734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BD5D4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81F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201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357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4D5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83733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E74EF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E84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5BA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5207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518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412F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47926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2DA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DD9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09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262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3C623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90B7F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4C5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1FC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4755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F56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643AB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2E926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3F55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7651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170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C62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5930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10FB0AC5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06B4F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5933B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87A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4CB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59DF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F1A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A877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AC32E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A59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20B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24E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DD7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D8500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83447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6188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5BE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0EC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813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625A3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2CD8C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7B5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BC16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19E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A76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49121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488C6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D35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9A3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B67B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64CE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A195C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3D5AB8E8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D8F28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DBBE3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1F4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2A4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7E22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C9FE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F4CB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FFD73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0ED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8BF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 w:eastAsia="zh-CN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8DD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7638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1CD2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18BB2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1449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A11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68C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DB4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C15D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1F049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F29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93B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475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C4A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1BF6C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D81E0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6FD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AB6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700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04A4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0D82A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1B2B6FFD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746D8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9C3C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9CC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BB0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4375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AD96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92CFA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35437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E12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91F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AEE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F5F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D5C07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45F2C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33D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37C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3B7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14F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F6E01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FF60B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2E1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223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92C6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8D4F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3DE88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0D9D9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85F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517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C65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442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A8AE1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73FF0A26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C74094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942CB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B57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5089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86C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B9A0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0FD3E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423AC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6FFE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304C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AF5F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A32D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D013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E3E9F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FD9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D86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FEBD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AF4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C5A1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97E9C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92E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257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869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734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0DDF6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41985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148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41F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357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022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62ED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0E8982EC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35482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1E76E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C4819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AC597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F2164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4E9EE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31F0D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F1061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82F9E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BA7F5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B3232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59BD7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C6F7D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1DE87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CDBE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3CF44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73121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89EA3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EA8B4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EF14F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0320B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0AEB0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E7C15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EFFC5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B187F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BA55F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80BDF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04B9B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56A86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8682D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55E6F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19999AC4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70434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D1760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9FD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AE2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42A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989E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5CB02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DE690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15AA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DDB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59B4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D3D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D5281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70879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DE4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6304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DFE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031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2A4D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9A558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B15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AD3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15FC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745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42DF6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8282C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F39B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419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F912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67B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7126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0C72DDA2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D2FE2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6D442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B30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015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F1A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553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48FC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5D7D8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2D3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440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6CF7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1BDC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7B5CC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A423E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13D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EEC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4F8F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713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D8639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71E7C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BF8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1F5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5AA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14D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D9CFC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04E44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7441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630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FC56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4F3A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45BC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07CDF3D7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AD43A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083EA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9156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6D2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4FA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6F4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62C4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CD2A5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ED65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06B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9B53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AB5B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69C4C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AF196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673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A60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7872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B65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26190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9A019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1F7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375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309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FF6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8C966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736BF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247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0C53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B77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FED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230F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66A7CC79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102CB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9119E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9B016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9147B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7866D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0ECEA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1BAB0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7BE50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0F43E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AD758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835A4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2ADDD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8C38C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9DC7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3B9C5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E9B10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38A02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64A66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5073A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E722E1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5E8FA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8EF9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CBBD4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2A508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60E45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24195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ED32F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C8FA1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2ED4F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ADD42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B20CF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094BCFE3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E5C240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DE49B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E443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23A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F16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669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59745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D12F9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C2CD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24A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C76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97EC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907EC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5BF81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C6B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73A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1ABF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EB66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29B7D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7E5BB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166B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DDE7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C0AE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A53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52224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F8CC3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F211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314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0DE1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4FC0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74C8E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1BB37B9E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72F10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4C6C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9723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7AB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395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19D8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B5964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5388F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9F3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62D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B16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E50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66058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EE014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CB5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E4E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66E5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5276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355BA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0B041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EE1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FA8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689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FE1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486EC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CF70C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AAD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8E4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2EA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F70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F6DE1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6B7DBBAB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9A0CB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E71B7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045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627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0F1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2D4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BD0EA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E73C1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ECA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BF32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AE36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928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3D048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E3E96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713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A37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8FD4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8705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EAAF9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601D7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024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F92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BF6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DC4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898A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55465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935B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FEA0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2024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5C8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3D79F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669242A5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958A6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EA7D6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EF2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9CB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806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104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5399F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4607A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354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098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771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125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EC4AA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F9BC1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B81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10B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C2B8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FBB0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76F09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F8537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756D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83E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F50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2068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F07CB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EC9FF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2994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457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449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13F7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8B5D9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6C9FA34B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13973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9D330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BBA52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BABA0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8087A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DFC51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99C80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9B5A8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ECF0D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E0556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3A10F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A9897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0B210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FFB78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2FAA2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9F6F4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7D2A8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D60D5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CA52D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D9D21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5D5BC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95B2B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F5C16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09DC7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5CB79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FB482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0C2AD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D4E50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62423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92EC5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8237B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5282A6F7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48693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F904E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EB67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C55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3C47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DAD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80833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36A58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0FF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8F5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DC8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346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919D0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41A79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902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9790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564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3835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202A5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05F4D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F21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B0EB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381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6C2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EC49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57FBE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828E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318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314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3D9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0D11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5B1946B4" w14:textId="77777777" w:rsidTr="009A385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C275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151CEF">
              <w:rPr>
                <w:b/>
                <w:sz w:val="16"/>
                <w:szCs w:val="16"/>
                <w:lang w:val="en-GB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8F58F3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62C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59EA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C35E2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EAB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87DFC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A157D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D9C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3AA57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BFE6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08A6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6BA0C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041E8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F7C4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ED4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674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0E5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4C659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E14179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97D1B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7B9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4A8E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247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F6E53C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C5203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9E4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B72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426F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9268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FCAA2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C4699" w:rsidRPr="00151CEF" w14:paraId="283009E5" w14:textId="77777777" w:rsidTr="009A385E">
        <w:trPr>
          <w:trHeight w:val="575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A56BB" w14:textId="77777777" w:rsidR="008C4699" w:rsidRPr="00151CEF" w:rsidRDefault="008C4699" w:rsidP="009A385E">
            <w:pPr>
              <w:spacing w:before="0" w:after="40" w:line="257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Sessions times (Geneva time)</w:t>
            </w:r>
          </w:p>
          <w:p w14:paraId="4E9E40FD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Session 0: 0900-1015;           Session 1: 1030-1145;           Session 2: 1200-1315;           Session 3: 1330-1445;           Session 4: 1500-1615;           Session 5: 1630-1745</w:t>
            </w:r>
          </w:p>
        </w:tc>
      </w:tr>
      <w:tr w:rsidR="008C4699" w:rsidRPr="00151CEF" w14:paraId="351A29A9" w14:textId="77777777" w:rsidTr="009A385E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863D1" w14:textId="77777777" w:rsidR="008C4699" w:rsidRPr="00151CEF" w:rsidRDefault="008C4699" w:rsidP="009A385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1CEF">
              <w:rPr>
                <w:b/>
                <w:bCs/>
                <w:sz w:val="16"/>
                <w:szCs w:val="16"/>
                <w:lang w:val="en-GB"/>
              </w:rPr>
              <w:t>Key: E – e-meeting via ITU MyMeetings        V – virtual meeting via ITU MyMeetings</w:t>
            </w:r>
          </w:p>
        </w:tc>
      </w:tr>
    </w:tbl>
    <w:p w14:paraId="47BCFEFA" w14:textId="77777777" w:rsidR="008C4699" w:rsidRPr="00151CEF" w:rsidRDefault="008C4699" w:rsidP="008C4699">
      <w:pPr>
        <w:rPr>
          <w:szCs w:val="22"/>
          <w:highlight w:val="cyan"/>
          <w:lang w:val="en-GB"/>
        </w:rPr>
      </w:pPr>
    </w:p>
    <w:p w14:paraId="388E9AB5" w14:textId="77777777" w:rsidR="008C4699" w:rsidRPr="00151CEF" w:rsidRDefault="008C4699" w:rsidP="008C4699">
      <w:pPr>
        <w:rPr>
          <w:lang w:val="en-GB"/>
        </w:rPr>
      </w:pPr>
      <w:r w:rsidRPr="00151CEF">
        <w:rPr>
          <w:szCs w:val="22"/>
          <w:lang w:val="en-GB"/>
        </w:rPr>
        <w:t xml:space="preserve">NOTE ‒ Updates to the timetable can be found in </w:t>
      </w:r>
      <w:hyperlink r:id="rId39" w:history="1">
        <w:r w:rsidRPr="00151CEF">
          <w:rPr>
            <w:rStyle w:val="Hyperlink"/>
            <w:lang w:val="en-GB"/>
          </w:rPr>
          <w:t>SG11-TD</w:t>
        </w:r>
        <w:r w:rsidRPr="00151CEF">
          <w:rPr>
            <w:rStyle w:val="Hyperlink"/>
            <w:szCs w:val="22"/>
            <w:lang w:val="en-GB"/>
          </w:rPr>
          <w:t>67</w:t>
        </w:r>
        <w:r w:rsidRPr="00151CEF">
          <w:rPr>
            <w:rStyle w:val="Hyperlink"/>
            <w:lang w:val="en-GB"/>
          </w:rPr>
          <w:t>/WP1</w:t>
        </w:r>
      </w:hyperlink>
      <w:r w:rsidRPr="00151CEF">
        <w:rPr>
          <w:szCs w:val="22"/>
          <w:lang w:val="en-GB"/>
        </w:rPr>
        <w:t xml:space="preserve">, </w:t>
      </w:r>
      <w:hyperlink r:id="rId40" w:history="1">
        <w:r w:rsidRPr="00151CEF">
          <w:rPr>
            <w:rStyle w:val="Hyperlink"/>
            <w:lang w:val="en-GB"/>
          </w:rPr>
          <w:t>SG11-TD</w:t>
        </w:r>
        <w:r w:rsidRPr="00151CEF">
          <w:rPr>
            <w:rStyle w:val="Hyperlink"/>
            <w:szCs w:val="22"/>
            <w:lang w:val="en-GB"/>
          </w:rPr>
          <w:t>72</w:t>
        </w:r>
        <w:r w:rsidRPr="00151CEF">
          <w:rPr>
            <w:rStyle w:val="Hyperlink"/>
            <w:lang w:val="en-GB"/>
          </w:rPr>
          <w:t>/WP2</w:t>
        </w:r>
      </w:hyperlink>
      <w:r w:rsidRPr="00151CEF">
        <w:rPr>
          <w:szCs w:val="22"/>
          <w:lang w:val="en-GB"/>
        </w:rPr>
        <w:t xml:space="preserve">, </w:t>
      </w:r>
      <w:hyperlink r:id="rId41" w:history="1">
        <w:r w:rsidRPr="00151CEF">
          <w:rPr>
            <w:rStyle w:val="Hyperlink"/>
            <w:lang w:val="en-GB"/>
          </w:rPr>
          <w:t>SG11-TD</w:t>
        </w:r>
        <w:r w:rsidRPr="00151CEF">
          <w:rPr>
            <w:rStyle w:val="Hyperlink"/>
            <w:szCs w:val="22"/>
            <w:lang w:val="en-GB"/>
          </w:rPr>
          <w:t>64</w:t>
        </w:r>
        <w:r w:rsidRPr="00151CEF">
          <w:rPr>
            <w:rStyle w:val="Hyperlink"/>
            <w:lang w:val="en-GB"/>
          </w:rPr>
          <w:t>/WP3</w:t>
        </w:r>
      </w:hyperlink>
      <w:r w:rsidRPr="00151CEF">
        <w:rPr>
          <w:szCs w:val="22"/>
          <w:lang w:val="en-GB"/>
        </w:rPr>
        <w:t xml:space="preserve"> respectively.</w:t>
      </w:r>
    </w:p>
    <w:p w14:paraId="186C77C6" w14:textId="77777777" w:rsidR="008C4699" w:rsidRPr="00151CEF" w:rsidRDefault="008C4699" w:rsidP="009A385E">
      <w:pPr>
        <w:pStyle w:val="Reasons"/>
        <w:rPr>
          <w:lang w:val="en-GB"/>
        </w:rPr>
      </w:pPr>
    </w:p>
    <w:p w14:paraId="03EDD081" w14:textId="174E8DFD" w:rsidR="00C34772" w:rsidRPr="00151CEF" w:rsidRDefault="008C4699" w:rsidP="00151CEF">
      <w:pPr>
        <w:jc w:val="center"/>
        <w:rPr>
          <w:lang w:val="en-GB"/>
        </w:rPr>
      </w:pPr>
      <w:r w:rsidRPr="00151CEF">
        <w:rPr>
          <w:lang w:val="en-GB"/>
        </w:rPr>
        <w:t>______________</w:t>
      </w:r>
    </w:p>
    <w:sectPr w:rsidR="00C34772" w:rsidRPr="00151CEF" w:rsidSect="002F0C4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40" w:h="11907" w:orient="landscape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B560" w14:textId="77777777" w:rsidR="009A385E" w:rsidRDefault="009A385E">
      <w:r>
        <w:separator/>
      </w:r>
    </w:p>
  </w:endnote>
  <w:endnote w:type="continuationSeparator" w:id="0">
    <w:p w14:paraId="36FD6B70" w14:textId="77777777" w:rsidR="009A385E" w:rsidRDefault="009A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3949" w14:textId="5AE23E42" w:rsidR="009A385E" w:rsidRPr="00C815B2" w:rsidRDefault="009A385E" w:rsidP="00C815B2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 xml:space="preserve">Tel: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38E9" w14:textId="2105243F" w:rsidR="009A385E" w:rsidRPr="002B75B6" w:rsidRDefault="009A385E" w:rsidP="002B7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B62" w14:textId="77777777" w:rsidR="009A385E" w:rsidRPr="006B5061" w:rsidRDefault="009A385E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AC71" w14:textId="20F63969" w:rsidR="009A385E" w:rsidRPr="002B75B6" w:rsidRDefault="009A385E" w:rsidP="002B7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AB38" w14:textId="77777777" w:rsidR="009A385E" w:rsidRDefault="009A385E">
      <w:r>
        <w:t>____________________</w:t>
      </w:r>
    </w:p>
  </w:footnote>
  <w:footnote w:type="continuationSeparator" w:id="0">
    <w:p w14:paraId="413F073A" w14:textId="77777777" w:rsidR="009A385E" w:rsidRDefault="009A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14807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15E8ED63" w14:textId="79C8EE3C" w:rsidR="009A385E" w:rsidRPr="00C815B2" w:rsidRDefault="009A385E" w:rsidP="00C815B2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>Carta Colectiva</w:t>
        </w:r>
        <w:r w:rsidR="00765069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>15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30775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3C68AEEE" w14:textId="4B4A0BFB" w:rsidR="009A385E" w:rsidRPr="00C815B2" w:rsidRDefault="009A385E" w:rsidP="00C815B2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15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9E01" w14:textId="159276D3" w:rsidR="009A385E" w:rsidRPr="00C815B2" w:rsidRDefault="009A385E" w:rsidP="00C815B2">
    <w:pPr>
      <w:pStyle w:val="Header"/>
      <w:spacing w:after="240"/>
      <w:rPr>
        <w:noProof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339BD1C" w14:textId="33A52145" w:rsidR="009A385E" w:rsidRPr="00BC1FB8" w:rsidRDefault="009A385E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15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1A3A3CE6" w14:textId="77777777" w:rsidR="009A385E" w:rsidRPr="00BC1FB8" w:rsidRDefault="009A385E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09466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2A40DDE" w14:textId="6DDA4957" w:rsidR="009A385E" w:rsidRPr="00C815B2" w:rsidRDefault="009A385E" w:rsidP="00C815B2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15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60D"/>
    <w:rsid w:val="00136FC2"/>
    <w:rsid w:val="00141CB4"/>
    <w:rsid w:val="00151CEF"/>
    <w:rsid w:val="001671BC"/>
    <w:rsid w:val="001A2905"/>
    <w:rsid w:val="001A54CC"/>
    <w:rsid w:val="001C2FAD"/>
    <w:rsid w:val="001D1BA9"/>
    <w:rsid w:val="001E69FE"/>
    <w:rsid w:val="001F0D48"/>
    <w:rsid w:val="002021BB"/>
    <w:rsid w:val="00212668"/>
    <w:rsid w:val="00221C83"/>
    <w:rsid w:val="002545AA"/>
    <w:rsid w:val="00257FB4"/>
    <w:rsid w:val="00271D3E"/>
    <w:rsid w:val="0027571F"/>
    <w:rsid w:val="00285F6F"/>
    <w:rsid w:val="002B75B6"/>
    <w:rsid w:val="002C1570"/>
    <w:rsid w:val="002F0C4B"/>
    <w:rsid w:val="00303D62"/>
    <w:rsid w:val="00313DBB"/>
    <w:rsid w:val="00324783"/>
    <w:rsid w:val="00327BC9"/>
    <w:rsid w:val="00335367"/>
    <w:rsid w:val="0033768F"/>
    <w:rsid w:val="00370C2D"/>
    <w:rsid w:val="003B60AA"/>
    <w:rsid w:val="003C00B2"/>
    <w:rsid w:val="003C00D3"/>
    <w:rsid w:val="003C2ECD"/>
    <w:rsid w:val="003D1E8D"/>
    <w:rsid w:val="003D4DFE"/>
    <w:rsid w:val="003D673B"/>
    <w:rsid w:val="003E3A83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4F6616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C5563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65069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C4699"/>
    <w:rsid w:val="008D02CD"/>
    <w:rsid w:val="008F29BD"/>
    <w:rsid w:val="0091255A"/>
    <w:rsid w:val="00934054"/>
    <w:rsid w:val="00945FFB"/>
    <w:rsid w:val="0095172A"/>
    <w:rsid w:val="00963CD8"/>
    <w:rsid w:val="00975A06"/>
    <w:rsid w:val="009900B7"/>
    <w:rsid w:val="009A385E"/>
    <w:rsid w:val="009B18EF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815B2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E785B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60A822A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,超链接1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785B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link w:val="AnnextitleChar"/>
    <w:rsid w:val="00EE78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sz w:val="28"/>
    </w:rPr>
  </w:style>
  <w:style w:type="character" w:customStyle="1" w:styleId="AnnextitleChar">
    <w:name w:val="Annex_title Char"/>
    <w:basedOn w:val="DefaultParagraphFont"/>
    <w:link w:val="Annextitle0"/>
    <w:rsid w:val="00EE785B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net/ITU-T/lists/rgm.aspx?Group=11&amp;type=interim" TargetMode="External"/><Relationship Id="rId18" Type="http://schemas.openxmlformats.org/officeDocument/2006/relationships/hyperlink" Target="http://www.itu.int/go/tsg11" TargetMode="External"/><Relationship Id="rId26" Type="http://schemas.openxmlformats.org/officeDocument/2006/relationships/hyperlink" Target="https://extranet.itu.int/meetings/ITU-T/T17-SG11RGM/SitePages/Welcome.aspx" TargetMode="External"/><Relationship Id="rId39" Type="http://schemas.openxmlformats.org/officeDocument/2006/relationships/hyperlink" Target="https://www.itu.int/md/T17-SG11-210715-TD-WP1-0067/en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www.itu.int/md/T17-SG11-210715-TD-WP3-0063/en" TargetMode="External"/><Relationship Id="rId42" Type="http://schemas.openxmlformats.org/officeDocument/2006/relationships/header" Target="header4.xml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SG13-COL-0015/es" TargetMode="External"/><Relationship Id="rId29" Type="http://schemas.openxmlformats.org/officeDocument/2006/relationships/hyperlink" Target="https://www.itu.int/md/T17-TSB-CIR-0118/es" TargetMode="Externa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https://www.itu.int/md/T17-SG11-210715-TD-WP1-0066/en" TargetMode="External"/><Relationship Id="rId37" Type="http://schemas.openxmlformats.org/officeDocument/2006/relationships/header" Target="header3.xml"/><Relationship Id="rId40" Type="http://schemas.openxmlformats.org/officeDocument/2006/relationships/hyperlink" Target="https://www.itu.int/md/T17-SG11-210715-TD-WP2-0072/en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tsg11" TargetMode="External"/><Relationship Id="rId23" Type="http://schemas.openxmlformats.org/officeDocument/2006/relationships/hyperlink" Target="https://www.itu.int/net/ITU-T/ddp/Default.aspx?groupid=T17-SG11" TargetMode="External"/><Relationship Id="rId28" Type="http://schemas.openxmlformats.org/officeDocument/2006/relationships/hyperlink" Target="https://www.itu.int/md/T17-TSB-CIR-0068/es" TargetMode="External"/><Relationship Id="rId36" Type="http://schemas.openxmlformats.org/officeDocument/2006/relationships/header" Target="header2.xml"/><Relationship Id="rId49" Type="http://schemas.openxmlformats.org/officeDocument/2006/relationships/theme" Target="theme/theme1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s://www.itu.int/net/ITU-T/ddp/Default.aspx?groupid=T17-SG11" TargetMode="External"/><Relationship Id="rId31" Type="http://schemas.openxmlformats.org/officeDocument/2006/relationships/hyperlink" Target="https://remote.itu.int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lists/rgm.aspx?Group=11&amp;type=interim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remote.itu.int/" TargetMode="External"/><Relationship Id="rId30" Type="http://schemas.openxmlformats.org/officeDocument/2006/relationships/hyperlink" Target="https://www.itu.int/es/ITU-T/studygroups/2017-2020/11/Pages/default.aspx" TargetMode="External"/><Relationship Id="rId35" Type="http://schemas.openxmlformats.org/officeDocument/2006/relationships/header" Target="header1.xml"/><Relationship Id="rId43" Type="http://schemas.openxmlformats.org/officeDocument/2006/relationships/header" Target="header5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es/ITU-T/studygroups/2017-2020/11/Pages/default.aspx" TargetMode="External"/><Relationship Id="rId17" Type="http://schemas.openxmlformats.org/officeDocument/2006/relationships/hyperlink" Target="https://www.itu.int/net/ITU-T/ddp/Default.aspx?groupid=T17-SG11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hyperlink" Target="https://www.itu.int/md/T17-SG11-210715-TD-WP2-0071/en" TargetMode="External"/><Relationship Id="rId38" Type="http://schemas.openxmlformats.org/officeDocument/2006/relationships/footer" Target="footer1.xml"/><Relationship Id="rId46" Type="http://schemas.openxmlformats.org/officeDocument/2006/relationships/header" Target="header6.xml"/><Relationship Id="rId20" Type="http://schemas.openxmlformats.org/officeDocument/2006/relationships/hyperlink" Target="https://extranet.itu.int/meetings/ITU-T/T17-SG11RGM/SitePages/Welcome.aspx" TargetMode="External"/><Relationship Id="rId41" Type="http://schemas.openxmlformats.org/officeDocument/2006/relationships/hyperlink" Target="https://www.itu.int/md/T17-SG11-210715-TD-WP3-0064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446-A7FA-4DB2-81C2-D7DAF5B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68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12348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Braud, Olivia</cp:lastModifiedBy>
  <cp:revision>8</cp:revision>
  <cp:lastPrinted>2021-05-06T09:55:00Z</cp:lastPrinted>
  <dcterms:created xsi:type="dcterms:W3CDTF">2021-04-26T10:53:00Z</dcterms:created>
  <dcterms:modified xsi:type="dcterms:W3CDTF">2021-05-06T09:56:00Z</dcterms:modified>
</cp:coreProperties>
</file>