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E6788D" w:rsidRPr="002A38B4" w:rsidTr="007D26E7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:rsidR="00E6788D" w:rsidRPr="002A38B4" w:rsidRDefault="00E6788D" w:rsidP="007D26E7">
            <w:pPr>
              <w:pStyle w:val="Tabletext"/>
              <w:jc w:val="center"/>
            </w:pPr>
            <w:bookmarkStart w:id="0" w:name="ditulogo"/>
            <w:bookmarkEnd w:id="0"/>
            <w:r w:rsidRPr="002A38B4">
              <w:rPr>
                <w:noProof/>
                <w:lang w:val="en-US" w:eastAsia="zh-CN"/>
              </w:rPr>
              <w:drawing>
                <wp:inline distT="0" distB="0" distL="0" distR="0" wp14:anchorId="347FE8E4" wp14:editId="2A164EFE">
                  <wp:extent cx="735373" cy="819150"/>
                  <wp:effectExtent l="0" t="0" r="7620" b="0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:rsidR="007D0DC2" w:rsidRPr="002A38B4" w:rsidRDefault="007D0DC2" w:rsidP="007D26E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2A38B4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E6788D" w:rsidRPr="002A38B4" w:rsidRDefault="007D0DC2" w:rsidP="007D26E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2A38B4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:rsidR="00E6788D" w:rsidRPr="002A38B4" w:rsidRDefault="00E6788D" w:rsidP="007D26E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2A38B4" w:rsidTr="007D26E7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:rsidR="000305E1" w:rsidRPr="002A38B4" w:rsidRDefault="000305E1" w:rsidP="007D26E7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0305E1" w:rsidRPr="002A38B4" w:rsidRDefault="000305E1" w:rsidP="00AB3061">
            <w:pPr>
              <w:pStyle w:val="Tabletext"/>
              <w:spacing w:before="240" w:after="120"/>
            </w:pPr>
            <w:r w:rsidRPr="002A38B4">
              <w:t xml:space="preserve">Geneva, </w:t>
            </w:r>
            <w:r w:rsidR="000E1FAA">
              <w:t>2</w:t>
            </w:r>
            <w:r w:rsidR="00AB3061">
              <w:t>8</w:t>
            </w:r>
            <w:r w:rsidR="00BA194B" w:rsidRPr="002A38B4">
              <w:t xml:space="preserve"> </w:t>
            </w:r>
            <w:r w:rsidR="000E1FAA">
              <w:t xml:space="preserve">February </w:t>
            </w:r>
            <w:r w:rsidR="00BA194B" w:rsidRPr="002A38B4">
              <w:t>201</w:t>
            </w:r>
            <w:r w:rsidR="000E1FAA">
              <w:t>7</w:t>
            </w:r>
          </w:p>
        </w:tc>
      </w:tr>
      <w:tr w:rsidR="007D0DC2" w:rsidRPr="002A38B4" w:rsidTr="007D26E7">
        <w:trPr>
          <w:cantSplit/>
          <w:trHeight w:val="746"/>
        </w:trPr>
        <w:tc>
          <w:tcPr>
            <w:tcW w:w="1098" w:type="dxa"/>
          </w:tcPr>
          <w:p w:rsidR="007D0DC2" w:rsidRPr="002A38B4" w:rsidRDefault="007D0DC2" w:rsidP="007D26E7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2A38B4">
              <w:t>Ref:</w:t>
            </w:r>
          </w:p>
        </w:tc>
        <w:tc>
          <w:tcPr>
            <w:tcW w:w="4289" w:type="dxa"/>
            <w:gridSpan w:val="2"/>
          </w:tcPr>
          <w:p w:rsidR="00B72257" w:rsidRPr="002A38B4" w:rsidRDefault="00B72257" w:rsidP="007D26E7">
            <w:pPr>
              <w:pStyle w:val="Tabletext"/>
              <w:rPr>
                <w:b/>
              </w:rPr>
            </w:pPr>
            <w:r w:rsidRPr="002A38B4">
              <w:rPr>
                <w:b/>
              </w:rPr>
              <w:t xml:space="preserve">Addendum 1 to </w:t>
            </w:r>
          </w:p>
          <w:p w:rsidR="0020077E" w:rsidRDefault="00B72257" w:rsidP="0020077E">
            <w:pPr>
              <w:pStyle w:val="Tabletext"/>
              <w:rPr>
                <w:b/>
              </w:rPr>
            </w:pPr>
            <w:r w:rsidRPr="002A38B4">
              <w:rPr>
                <w:b/>
              </w:rPr>
              <w:t xml:space="preserve">TSB Collective letter </w:t>
            </w:r>
            <w:r w:rsidR="000E1FAA">
              <w:rPr>
                <w:b/>
              </w:rPr>
              <w:t xml:space="preserve">1/SG11RG-AFR </w:t>
            </w:r>
          </w:p>
          <w:p w:rsidR="007D0DC2" w:rsidRPr="002A38B4" w:rsidRDefault="000E1FAA" w:rsidP="0020077E">
            <w:pPr>
              <w:pStyle w:val="Tabletext"/>
            </w:pPr>
            <w:r w:rsidRPr="002A38B4">
              <w:rPr>
                <w:b/>
              </w:rPr>
              <w:t xml:space="preserve">TSB Collective letter </w:t>
            </w:r>
            <w:r>
              <w:rPr>
                <w:b/>
              </w:rPr>
              <w:t>1/SG13RG-AFR</w:t>
            </w:r>
          </w:p>
        </w:tc>
        <w:tc>
          <w:tcPr>
            <w:tcW w:w="4394" w:type="dxa"/>
            <w:gridSpan w:val="2"/>
            <w:vMerge w:val="restart"/>
          </w:tcPr>
          <w:p w:rsidR="00E73A4D" w:rsidRDefault="000E1FAA" w:rsidP="00E73A4D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Administrations of Member States of the Union; </w:t>
            </w:r>
          </w:p>
          <w:p w:rsidR="000E1FAA" w:rsidRDefault="00D30F74" w:rsidP="00E73A4D">
            <w:pPr>
              <w:pStyle w:val="Tabletext"/>
              <w:ind w:left="283" w:hanging="283"/>
            </w:pPr>
            <w:r>
              <w:t>-</w:t>
            </w:r>
            <w:r w:rsidR="00E73A4D">
              <w:tab/>
            </w:r>
            <w:r w:rsidR="000E1FAA">
              <w:t>To ITU-T Sector Members;</w:t>
            </w:r>
          </w:p>
          <w:p w:rsidR="000E1FAA" w:rsidRDefault="000E1FAA" w:rsidP="000E1FAA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ITU-T Associates participating in the work of Study Groups 11 &amp; 13; </w:t>
            </w:r>
          </w:p>
          <w:p w:rsidR="000E1FAA" w:rsidRDefault="000E1FAA" w:rsidP="000E1FAA">
            <w:pPr>
              <w:pStyle w:val="Tabletext"/>
              <w:ind w:left="283" w:hanging="283"/>
            </w:pPr>
            <w:r>
              <w:t>-</w:t>
            </w:r>
            <w:r>
              <w:tab/>
              <w:t>To the African Telecommunications Union;</w:t>
            </w:r>
          </w:p>
          <w:p w:rsidR="000E1FAA" w:rsidRDefault="000E1FAA" w:rsidP="000E1FAA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the ITU Regional Office for </w:t>
            </w:r>
            <w:r w:rsidR="00443C0A">
              <w:t xml:space="preserve">the </w:t>
            </w:r>
            <w:r>
              <w:t>Africa Region;</w:t>
            </w:r>
          </w:p>
          <w:p w:rsidR="000E1FAA" w:rsidRDefault="000E1FAA" w:rsidP="000E1FAA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the ITU Regional Office for </w:t>
            </w:r>
            <w:r w:rsidR="00443C0A">
              <w:t xml:space="preserve">the </w:t>
            </w:r>
            <w:r>
              <w:t>Arab Region;</w:t>
            </w:r>
          </w:p>
          <w:p w:rsidR="007D0DC2" w:rsidRPr="002A38B4" w:rsidRDefault="000E1FAA" w:rsidP="000E1FAA">
            <w:pPr>
              <w:pStyle w:val="Tabletext"/>
              <w:spacing w:before="20" w:after="20"/>
              <w:ind w:left="283" w:hanging="283"/>
            </w:pPr>
            <w:r>
              <w:t>-</w:t>
            </w:r>
            <w:r>
              <w:tab/>
              <w:t>To the League of Arab States</w:t>
            </w:r>
          </w:p>
        </w:tc>
      </w:tr>
      <w:bookmarkEnd w:id="1"/>
      <w:tr w:rsidR="00B72257" w:rsidRPr="002A38B4" w:rsidTr="007D26E7">
        <w:trPr>
          <w:cantSplit/>
          <w:trHeight w:val="221"/>
        </w:trPr>
        <w:tc>
          <w:tcPr>
            <w:tcW w:w="1098" w:type="dxa"/>
          </w:tcPr>
          <w:p w:rsidR="00B72257" w:rsidRPr="002A38B4" w:rsidRDefault="00B72257" w:rsidP="007D26E7">
            <w:pPr>
              <w:pStyle w:val="Tabletext"/>
            </w:pPr>
            <w:r w:rsidRPr="002A38B4">
              <w:t>Tel:</w:t>
            </w:r>
          </w:p>
        </w:tc>
        <w:tc>
          <w:tcPr>
            <w:tcW w:w="4289" w:type="dxa"/>
            <w:gridSpan w:val="2"/>
          </w:tcPr>
          <w:p w:rsidR="00B72257" w:rsidRPr="002A38B4" w:rsidRDefault="00B72257" w:rsidP="000E1FAA">
            <w:pPr>
              <w:pStyle w:val="Tabletext"/>
              <w:rPr>
                <w:b/>
              </w:rPr>
            </w:pPr>
            <w:r w:rsidRPr="002A38B4">
              <w:t xml:space="preserve">+41 22 730 </w:t>
            </w:r>
            <w:r w:rsidR="000E1FAA">
              <w:t>5126</w:t>
            </w:r>
            <w:r w:rsidR="00CA6E7C">
              <w:t>/</w:t>
            </w:r>
            <w:r w:rsidR="00AB3061">
              <w:t>5780</w:t>
            </w:r>
          </w:p>
        </w:tc>
        <w:tc>
          <w:tcPr>
            <w:tcW w:w="4394" w:type="dxa"/>
            <w:gridSpan w:val="2"/>
            <w:vMerge/>
          </w:tcPr>
          <w:p w:rsidR="00B72257" w:rsidRPr="002A38B4" w:rsidRDefault="00B72257" w:rsidP="007D26E7">
            <w:pPr>
              <w:pStyle w:val="Tabletext"/>
              <w:ind w:left="142" w:hanging="142"/>
            </w:pPr>
          </w:p>
        </w:tc>
      </w:tr>
      <w:tr w:rsidR="00443C0A" w:rsidRPr="002A38B4" w:rsidTr="007D26E7">
        <w:trPr>
          <w:cantSplit/>
          <w:trHeight w:val="221"/>
        </w:trPr>
        <w:tc>
          <w:tcPr>
            <w:tcW w:w="1098" w:type="dxa"/>
          </w:tcPr>
          <w:p w:rsidR="00443C0A" w:rsidRPr="002A38B4" w:rsidRDefault="00443C0A" w:rsidP="00443C0A">
            <w:pPr>
              <w:pStyle w:val="Tabletext"/>
            </w:pPr>
            <w:r w:rsidRPr="002A38B4">
              <w:t>Fax:</w:t>
            </w:r>
          </w:p>
        </w:tc>
        <w:tc>
          <w:tcPr>
            <w:tcW w:w="4289" w:type="dxa"/>
            <w:gridSpan w:val="2"/>
          </w:tcPr>
          <w:p w:rsidR="00443C0A" w:rsidRPr="002A38B4" w:rsidRDefault="00443C0A" w:rsidP="00443C0A">
            <w:pPr>
              <w:pStyle w:val="Tabletext"/>
              <w:rPr>
                <w:b/>
              </w:rPr>
            </w:pPr>
            <w:r w:rsidRPr="002A38B4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443C0A" w:rsidRPr="002A38B4" w:rsidRDefault="00443C0A" w:rsidP="00443C0A">
            <w:pPr>
              <w:pStyle w:val="Tabletext"/>
              <w:ind w:left="142" w:hanging="142"/>
            </w:pPr>
          </w:p>
        </w:tc>
      </w:tr>
      <w:tr w:rsidR="00443C0A" w:rsidRPr="002A38B4" w:rsidTr="007D26E7">
        <w:trPr>
          <w:cantSplit/>
          <w:trHeight w:val="282"/>
        </w:trPr>
        <w:tc>
          <w:tcPr>
            <w:tcW w:w="1098" w:type="dxa"/>
          </w:tcPr>
          <w:p w:rsidR="00443C0A" w:rsidRPr="002A38B4" w:rsidRDefault="00443C0A" w:rsidP="00443C0A">
            <w:pPr>
              <w:pStyle w:val="Tabletext"/>
            </w:pPr>
            <w:r w:rsidRPr="002A38B4">
              <w:t>E-mail:</w:t>
            </w:r>
          </w:p>
        </w:tc>
        <w:tc>
          <w:tcPr>
            <w:tcW w:w="4289" w:type="dxa"/>
            <w:gridSpan w:val="2"/>
          </w:tcPr>
          <w:p w:rsidR="00443C0A" w:rsidRPr="002A38B4" w:rsidRDefault="008A563D" w:rsidP="00443C0A">
            <w:pPr>
              <w:pStyle w:val="Tabletext"/>
            </w:pPr>
            <w:hyperlink r:id="rId9" w:history="1">
              <w:r w:rsidR="00443C0A" w:rsidRPr="005954F3">
                <w:rPr>
                  <w:rStyle w:val="Hyperlink"/>
                  <w:szCs w:val="22"/>
                </w:rPr>
                <w:t>tsbsg11@itu.int</w:t>
              </w:r>
            </w:hyperlink>
            <w:r w:rsidR="00443C0A" w:rsidRPr="00B74F51">
              <w:rPr>
                <w:rStyle w:val="Hyperlink"/>
                <w:color w:val="auto"/>
                <w:szCs w:val="22"/>
                <w:u w:val="none"/>
              </w:rPr>
              <w:t xml:space="preserve">; </w:t>
            </w:r>
            <w:hyperlink r:id="rId10" w:history="1">
              <w:r w:rsidR="00443C0A">
                <w:rPr>
                  <w:rStyle w:val="Hyperlink"/>
                </w:rPr>
                <w:t>tsbsg13@itu.int</w:t>
              </w:r>
            </w:hyperlink>
            <w:r w:rsidR="00443C0A" w:rsidRPr="002A38B4">
              <w:t xml:space="preserve"> </w:t>
            </w:r>
          </w:p>
        </w:tc>
        <w:tc>
          <w:tcPr>
            <w:tcW w:w="4394" w:type="dxa"/>
            <w:gridSpan w:val="2"/>
            <w:vMerge/>
          </w:tcPr>
          <w:p w:rsidR="00443C0A" w:rsidRPr="002A38B4" w:rsidRDefault="00443C0A" w:rsidP="00443C0A">
            <w:pPr>
              <w:pStyle w:val="Tabletext"/>
              <w:ind w:left="142" w:hanging="142"/>
            </w:pPr>
          </w:p>
        </w:tc>
      </w:tr>
      <w:tr w:rsidR="00443C0A" w:rsidRPr="002A38B4" w:rsidTr="007D26E7">
        <w:trPr>
          <w:cantSplit/>
          <w:trHeight w:val="376"/>
        </w:trPr>
        <w:tc>
          <w:tcPr>
            <w:tcW w:w="1098" w:type="dxa"/>
          </w:tcPr>
          <w:p w:rsidR="00443C0A" w:rsidRPr="002A38B4" w:rsidRDefault="00443C0A" w:rsidP="00443C0A">
            <w:pPr>
              <w:pStyle w:val="Tabletext"/>
            </w:pPr>
          </w:p>
        </w:tc>
        <w:tc>
          <w:tcPr>
            <w:tcW w:w="4289" w:type="dxa"/>
            <w:gridSpan w:val="2"/>
          </w:tcPr>
          <w:p w:rsidR="00443C0A" w:rsidRPr="002A38B4" w:rsidRDefault="00443C0A" w:rsidP="00443C0A">
            <w:pPr>
              <w:pStyle w:val="Tabletext"/>
            </w:pPr>
          </w:p>
        </w:tc>
        <w:tc>
          <w:tcPr>
            <w:tcW w:w="4394" w:type="dxa"/>
            <w:gridSpan w:val="2"/>
          </w:tcPr>
          <w:p w:rsidR="00443C0A" w:rsidRPr="002A38B4" w:rsidRDefault="00443C0A" w:rsidP="00443C0A">
            <w:pPr>
              <w:pStyle w:val="Tabletext"/>
              <w:ind w:left="283" w:hanging="283"/>
            </w:pPr>
          </w:p>
        </w:tc>
      </w:tr>
      <w:tr w:rsidR="00443C0A" w:rsidRPr="002A38B4" w:rsidTr="007D26E7">
        <w:trPr>
          <w:cantSplit/>
          <w:trHeight w:val="80"/>
        </w:trPr>
        <w:tc>
          <w:tcPr>
            <w:tcW w:w="1098" w:type="dxa"/>
          </w:tcPr>
          <w:p w:rsidR="00443C0A" w:rsidRPr="002A38B4" w:rsidRDefault="00443C0A" w:rsidP="00443C0A">
            <w:pPr>
              <w:pStyle w:val="Tabletext"/>
            </w:pPr>
            <w:r w:rsidRPr="002A38B4">
              <w:t>Subject:</w:t>
            </w:r>
          </w:p>
        </w:tc>
        <w:tc>
          <w:tcPr>
            <w:tcW w:w="8683" w:type="dxa"/>
            <w:gridSpan w:val="4"/>
          </w:tcPr>
          <w:p w:rsidR="00443C0A" w:rsidRPr="009B6449" w:rsidRDefault="00443C0A" w:rsidP="00443C0A">
            <w:pPr>
              <w:pStyle w:val="Tabletext"/>
            </w:pPr>
            <w:r w:rsidRPr="009E0E56">
              <w:rPr>
                <w:b/>
                <w:bCs/>
              </w:rPr>
              <w:t>Meeting</w:t>
            </w:r>
            <w:r>
              <w:rPr>
                <w:b/>
                <w:bCs/>
              </w:rPr>
              <w:t>s</w:t>
            </w:r>
            <w:r w:rsidRPr="009E0E56">
              <w:rPr>
                <w:b/>
                <w:bCs/>
              </w:rPr>
              <w:t xml:space="preserve"> of </w:t>
            </w:r>
            <w:r>
              <w:rPr>
                <w:b/>
                <w:bCs/>
              </w:rPr>
              <w:t xml:space="preserve">ITU-T </w:t>
            </w:r>
            <w:r w:rsidRPr="009E0E56">
              <w:rPr>
                <w:b/>
                <w:bCs/>
              </w:rPr>
              <w:t xml:space="preserve">Study Group </w:t>
            </w:r>
            <w:r>
              <w:rPr>
                <w:b/>
                <w:bCs/>
              </w:rPr>
              <w:t>11 Regional Group for Africa (SG11RG-AFR), Study Group 13 Regional Group for Africa (SG13RG-AFR) and</w:t>
            </w:r>
            <w:r>
              <w:t xml:space="preserve"> </w:t>
            </w:r>
            <w:r w:rsidRPr="00906699">
              <w:rPr>
                <w:b/>
                <w:bCs/>
              </w:rPr>
              <w:t>Bridging the Standardization Gap (BSG) Hands-on Training</w:t>
            </w:r>
            <w:r>
              <w:rPr>
                <w:b/>
                <w:bCs/>
              </w:rPr>
              <w:t>; Cairo</w:t>
            </w:r>
            <w:r w:rsidRPr="009E0E56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Egypt, 2-6 April 2017</w:t>
            </w:r>
          </w:p>
        </w:tc>
      </w:tr>
    </w:tbl>
    <w:p w:rsidR="000E1FAA" w:rsidRDefault="000E1FAA" w:rsidP="000E1FAA">
      <w:bookmarkStart w:id="2" w:name="StartTyping_E"/>
      <w:bookmarkEnd w:id="2"/>
    </w:p>
    <w:p w:rsidR="000E1FAA" w:rsidRDefault="000E1FAA" w:rsidP="000E1FAA">
      <w:r>
        <w:t>Dear Sir/Madam,</w:t>
      </w:r>
    </w:p>
    <w:p w:rsidR="000E1FAA" w:rsidRPr="000E1FAA" w:rsidRDefault="000E1FAA" w:rsidP="00B74F51"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  <w:t xml:space="preserve">As stated in Collective </w:t>
      </w:r>
      <w:r w:rsidRPr="000E1FAA">
        <w:t>letter 1/SG11RG-AFR and Collective letter 1/SG13RG-AFR</w:t>
      </w:r>
      <w:r>
        <w:t xml:space="preserve"> of 3</w:t>
      </w:r>
      <w:r w:rsidR="00B74F51">
        <w:t> </w:t>
      </w:r>
      <w:r>
        <w:t>February 2017, please find herewith additional information related to the m</w:t>
      </w:r>
      <w:r w:rsidRPr="000E1FAA">
        <w:t>eetings of ITU-T Study Group 11 Regional Group for Africa (SG11RG-AFR), Study Group 13 Regional Group for Africa (SG13RG-AFR) and Bridging the Standardization Gap (BSG) Hands-on Training</w:t>
      </w:r>
      <w:r>
        <w:t>,</w:t>
      </w:r>
      <w:r w:rsidRPr="000E1FAA">
        <w:t xml:space="preserve"> </w:t>
      </w:r>
      <w:r w:rsidR="006B62C3">
        <w:t>which will be hel</w:t>
      </w:r>
      <w:r w:rsidR="002B1CEB">
        <w:t>d</w:t>
      </w:r>
      <w:r w:rsidR="006B62C3">
        <w:t xml:space="preserve"> in </w:t>
      </w:r>
      <w:r w:rsidRPr="000E1FAA">
        <w:t xml:space="preserve">Cairo, </w:t>
      </w:r>
      <w:r w:rsidR="006B62C3">
        <w:t xml:space="preserve">Egypt from </w:t>
      </w:r>
      <w:r w:rsidRPr="000E1FAA">
        <w:t>2</w:t>
      </w:r>
      <w:r w:rsidR="006B62C3">
        <w:t xml:space="preserve"> to </w:t>
      </w:r>
      <w:r w:rsidRPr="000E1FAA">
        <w:t>6 April 2017.</w:t>
      </w:r>
    </w:p>
    <w:p w:rsidR="000E1FAA" w:rsidRDefault="000E1FAA" w:rsidP="006B62C3">
      <w:pPr>
        <w:rPr>
          <w:bCs/>
        </w:rPr>
      </w:pPr>
      <w:r>
        <w:t>2</w:t>
      </w:r>
      <w:r>
        <w:tab/>
        <w:t xml:space="preserve">Practical information as provided by the host organization is given in </w:t>
      </w:r>
      <w:r>
        <w:rPr>
          <w:b/>
        </w:rPr>
        <w:t>Annex 1</w:t>
      </w:r>
      <w:r>
        <w:rPr>
          <w:bCs/>
        </w:rPr>
        <w:t xml:space="preserve">. </w:t>
      </w:r>
    </w:p>
    <w:p w:rsidR="00B72257" w:rsidRDefault="00B72257" w:rsidP="00B72257">
      <w:pPr>
        <w:spacing w:before="480"/>
      </w:pPr>
      <w:r w:rsidRPr="002A38B4">
        <w:t>Yours faithfully,</w:t>
      </w:r>
    </w:p>
    <w:p w:rsidR="00473BFD" w:rsidRDefault="00473BFD" w:rsidP="00473BFD">
      <w:pPr>
        <w:spacing w:before="0"/>
      </w:pPr>
    </w:p>
    <w:p w:rsidR="008A563D" w:rsidRDefault="008A563D" w:rsidP="00473BFD">
      <w:pPr>
        <w:spacing w:before="0"/>
      </w:pPr>
    </w:p>
    <w:p w:rsidR="008A563D" w:rsidRPr="002A38B4" w:rsidRDefault="008A563D" w:rsidP="00473BFD">
      <w:pPr>
        <w:spacing w:before="0"/>
      </w:pPr>
      <w:bookmarkStart w:id="5" w:name="_GoBack"/>
      <w:bookmarkEnd w:id="5"/>
    </w:p>
    <w:p w:rsidR="00384E5D" w:rsidRDefault="00B72257" w:rsidP="00473BFD">
      <w:pPr>
        <w:spacing w:before="0"/>
      </w:pPr>
      <w:r w:rsidRPr="002A38B4">
        <w:rPr>
          <w:szCs w:val="24"/>
        </w:rPr>
        <w:t>Chaesub Lee</w:t>
      </w:r>
      <w:r w:rsidRPr="002A38B4">
        <w:br/>
        <w:t>Director of the Telecommunication</w:t>
      </w:r>
      <w:r w:rsidRPr="002A38B4">
        <w:br/>
        <w:t>Standardization Bureau</w:t>
      </w:r>
    </w:p>
    <w:p w:rsidR="005B6724" w:rsidRDefault="002B1CEB" w:rsidP="002B1CEB">
      <w:pPr>
        <w:spacing w:before="1080"/>
        <w:rPr>
          <w:b/>
          <w:bCs/>
        </w:rPr>
      </w:pPr>
      <w:r w:rsidRPr="002B1CEB">
        <w:rPr>
          <w:b/>
          <w:bCs/>
        </w:rPr>
        <w:t>Annex</w:t>
      </w:r>
      <w:r w:rsidR="00B74F51" w:rsidRPr="007A5E91">
        <w:t>:</w:t>
      </w:r>
      <w:r w:rsidRPr="007A5E91">
        <w:t xml:space="preserve"> 1</w:t>
      </w:r>
    </w:p>
    <w:p w:rsidR="005B6724" w:rsidRDefault="005B67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tbl>
      <w:tblPr>
        <w:tblpPr w:leftFromText="181" w:rightFromText="181" w:vertAnchor="page" w:horzAnchor="margin" w:tblpXSpec="center" w:tblpY="664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520"/>
        <w:gridCol w:w="1843"/>
      </w:tblGrid>
      <w:tr w:rsidR="008544FB" w:rsidTr="002C7333">
        <w:trPr>
          <w:cantSplit/>
          <w:trHeight w:val="15"/>
        </w:trPr>
        <w:tc>
          <w:tcPr>
            <w:tcW w:w="1560" w:type="dxa"/>
            <w:vAlign w:val="center"/>
          </w:tcPr>
          <w:p w:rsidR="008544FB" w:rsidRPr="00F50108" w:rsidRDefault="008544FB" w:rsidP="002C7333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lastRenderedPageBreak/>
              <w:drawing>
                <wp:inline distT="0" distB="0" distL="0" distR="0" wp14:anchorId="73E2AF78" wp14:editId="5A729504">
                  <wp:extent cx="612775" cy="682585"/>
                  <wp:effectExtent l="0" t="0" r="0" b="3810"/>
                  <wp:docPr id="6" name="Picture 6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951" cy="700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9C797A" w:rsidRDefault="009C797A" w:rsidP="00801917">
            <w:pPr>
              <w:spacing w:before="720"/>
              <w:ind w:right="-142"/>
              <w:jc w:val="center"/>
              <w:rPr>
                <w:b/>
                <w:bCs/>
                <w:szCs w:val="24"/>
                <w:lang w:bidi="ar-EG"/>
              </w:rPr>
            </w:pPr>
            <w:r w:rsidRPr="0020077E">
              <w:rPr>
                <w:b/>
                <w:bCs/>
                <w:szCs w:val="24"/>
                <w:lang w:bidi="ar-EG"/>
              </w:rPr>
              <w:t>ANNEX 1</w:t>
            </w:r>
          </w:p>
          <w:p w:rsidR="00AC2600" w:rsidRDefault="006E5DD6" w:rsidP="00AC2600">
            <w:pPr>
              <w:pStyle w:val="Tabletext"/>
              <w:jc w:val="center"/>
              <w:rPr>
                <w:lang w:val="en-US"/>
              </w:rPr>
            </w:pPr>
            <w:r w:rsidRPr="006317B2">
              <w:rPr>
                <w:lang w:val="en-US"/>
              </w:rPr>
              <w:t>(to Addendum 1 to</w:t>
            </w:r>
          </w:p>
          <w:p w:rsidR="0020077E" w:rsidRPr="0020077E" w:rsidRDefault="006E5DD6" w:rsidP="00AC2600">
            <w:pPr>
              <w:pStyle w:val="Tabletext"/>
              <w:jc w:val="center"/>
              <w:rPr>
                <w:lang w:val="en-US"/>
              </w:rPr>
            </w:pPr>
            <w:r w:rsidRPr="006317B2">
              <w:rPr>
                <w:lang w:val="en-US"/>
              </w:rPr>
              <w:t xml:space="preserve">TSB Collective letter </w:t>
            </w:r>
            <w:r w:rsidR="0020077E" w:rsidRPr="0020077E">
              <w:rPr>
                <w:lang w:val="en-US"/>
              </w:rPr>
              <w:t>1/SG11RG-AFR</w:t>
            </w:r>
          </w:p>
          <w:p w:rsidR="006E5DD6" w:rsidRPr="0020077E" w:rsidRDefault="0020077E" w:rsidP="00AC2600">
            <w:pPr>
              <w:pStyle w:val="Tabletext"/>
              <w:spacing w:after="0"/>
              <w:jc w:val="center"/>
              <w:rPr>
                <w:b/>
                <w:bCs/>
                <w:szCs w:val="24"/>
                <w:lang w:val="en-US" w:bidi="ar-EG"/>
              </w:rPr>
            </w:pPr>
            <w:r w:rsidRPr="0020077E">
              <w:rPr>
                <w:lang w:val="en-US"/>
              </w:rPr>
              <w:t>TSB Collective letter 1/SG13RG-AFR)</w:t>
            </w:r>
          </w:p>
          <w:p w:rsidR="008544FB" w:rsidRPr="0020077E" w:rsidRDefault="008544FB" w:rsidP="00801917">
            <w:pPr>
              <w:spacing w:before="600"/>
              <w:ind w:right="-142"/>
              <w:jc w:val="center"/>
              <w:rPr>
                <w:color w:val="C00000"/>
                <w:sz w:val="28"/>
                <w:szCs w:val="28"/>
                <w:lang w:bidi="ar-EG"/>
              </w:rPr>
            </w:pPr>
            <w:r w:rsidRPr="0020077E">
              <w:rPr>
                <w:sz w:val="28"/>
                <w:szCs w:val="28"/>
                <w:lang w:bidi="ar-EG"/>
              </w:rPr>
              <w:t xml:space="preserve">ITU-T SG11 and SG13 Regional Groups for Africa meetings and workshops </w:t>
            </w:r>
          </w:p>
          <w:p w:rsidR="008544FB" w:rsidRPr="00F50108" w:rsidRDefault="008544FB" w:rsidP="00801917">
            <w:pPr>
              <w:ind w:right="-142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r w:rsidRPr="0020077E">
              <w:rPr>
                <w:sz w:val="28"/>
                <w:szCs w:val="28"/>
                <w:lang w:bidi="ar-EG"/>
              </w:rPr>
              <w:t>Practical Information</w:t>
            </w:r>
            <w:r w:rsidRPr="0020077E">
              <w:rPr>
                <w:noProof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 wp14:anchorId="60FEC40F" wp14:editId="28B4608C">
                  <wp:simplePos x="0" y="0"/>
                  <wp:positionH relativeFrom="column">
                    <wp:posOffset>3976370</wp:posOffset>
                  </wp:positionH>
                  <wp:positionV relativeFrom="paragraph">
                    <wp:posOffset>9810115</wp:posOffset>
                  </wp:positionV>
                  <wp:extent cx="2166620" cy="1543050"/>
                  <wp:effectExtent l="0" t="0" r="5080" b="0"/>
                  <wp:wrapNone/>
                  <wp:docPr id="8" name="Picture 8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620" cy="154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0077E">
              <w:rPr>
                <w:sz w:val="28"/>
                <w:szCs w:val="28"/>
                <w:lang w:bidi="ar-EG"/>
              </w:rPr>
              <w:t xml:space="preserve"> for Participants</w:t>
            </w:r>
          </w:p>
        </w:tc>
        <w:tc>
          <w:tcPr>
            <w:tcW w:w="1843" w:type="dxa"/>
            <w:vAlign w:val="center"/>
          </w:tcPr>
          <w:p w:rsidR="008544FB" w:rsidRPr="00F50108" w:rsidRDefault="0020077E" w:rsidP="008544F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039963" cy="511791"/>
                  <wp:effectExtent l="0" t="0" r="8255" b="0"/>
                  <wp:docPr id="5" name="Picture 5" descr="C:\Users\demoulin\AppData\Local\Microsoft\Windows\Temporary Internet Files\Content.Word\NTRA Logo 2016 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moulin\AppData\Local\Microsoft\Windows\Temporary Internet Files\Content.Word\NTRA Logo 2016 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954" cy="51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6724" w:rsidRPr="0020077E" w:rsidRDefault="005B6724" w:rsidP="005B6724">
      <w:pPr>
        <w:rPr>
          <w:b/>
          <w:bCs/>
          <w:szCs w:val="24"/>
          <w:lang w:bidi="ar-EG"/>
        </w:rPr>
      </w:pPr>
      <w:r w:rsidRPr="0020077E">
        <w:rPr>
          <w:b/>
          <w:bCs/>
          <w:szCs w:val="24"/>
          <w:lang w:bidi="ar-EG"/>
        </w:rPr>
        <w:t>Venue</w:t>
      </w:r>
    </w:p>
    <w:p w:rsidR="002C7333" w:rsidRPr="003E7D39" w:rsidRDefault="002C7333" w:rsidP="002C7333">
      <w:pPr>
        <w:pStyle w:val="Heading1"/>
        <w:shd w:val="clear" w:color="auto" w:fill="FFFFFF"/>
        <w:spacing w:before="0"/>
        <w:rPr>
          <w:b w:val="0"/>
          <w:bCs/>
          <w:color w:val="000000"/>
          <w:sz w:val="24"/>
          <w:szCs w:val="24"/>
          <w:lang w:bidi="ar-EG"/>
        </w:rPr>
      </w:pPr>
      <w:r w:rsidRPr="003E7D39">
        <w:rPr>
          <w:b w:val="0"/>
          <w:bCs/>
          <w:color w:val="000000"/>
          <w:sz w:val="24"/>
          <w:szCs w:val="24"/>
          <w:lang w:bidi="ar-EG"/>
        </w:rPr>
        <w:t>Novotel Cairo Airport</w:t>
      </w:r>
    </w:p>
    <w:p w:rsidR="005B6724" w:rsidRPr="00F7790E" w:rsidRDefault="005B6724" w:rsidP="005B6724">
      <w:pPr>
        <w:rPr>
          <w:b/>
          <w:bCs/>
          <w:sz w:val="28"/>
          <w:szCs w:val="28"/>
          <w:lang w:bidi="ar-EG"/>
        </w:rPr>
      </w:pPr>
      <w:r>
        <w:rPr>
          <w:b/>
          <w:bCs/>
          <w:noProof/>
          <w:sz w:val="28"/>
          <w:szCs w:val="28"/>
          <w:lang w:val="en-US" w:eastAsia="zh-CN"/>
        </w:rPr>
        <w:drawing>
          <wp:inline distT="0" distB="0" distL="0" distR="0" wp14:anchorId="68278C26" wp14:editId="50387BA6">
            <wp:extent cx="4131194" cy="2054431"/>
            <wp:effectExtent l="0" t="0" r="3175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194" cy="205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724" w:rsidRPr="00A764E0" w:rsidRDefault="005B6724" w:rsidP="002C7333">
      <w:pPr>
        <w:pStyle w:val="Heading1"/>
        <w:shd w:val="clear" w:color="auto" w:fill="FFFFFF"/>
        <w:spacing w:before="0"/>
        <w:rPr>
          <w:bCs/>
          <w:color w:val="000000"/>
          <w:sz w:val="24"/>
          <w:szCs w:val="24"/>
          <w:lang w:bidi="ar-EG"/>
        </w:rPr>
      </w:pPr>
      <w:r w:rsidRPr="003E09ED">
        <w:rPr>
          <w:b w:val="0"/>
          <w:bCs/>
          <w:noProof/>
          <w:color w:val="000000"/>
          <w:sz w:val="18"/>
          <w:szCs w:val="18"/>
          <w:lang w:val="en-US" w:eastAsia="zh-CN"/>
        </w:rPr>
        <w:drawing>
          <wp:anchor distT="0" distB="0" distL="114300" distR="114300" simplePos="0" relativeHeight="251660288" behindDoc="0" locked="0" layoutInCell="1" allowOverlap="1" wp14:anchorId="21EC7416" wp14:editId="072E2F3C">
            <wp:simplePos x="0" y="0"/>
            <wp:positionH relativeFrom="column">
              <wp:posOffset>4128770</wp:posOffset>
            </wp:positionH>
            <wp:positionV relativeFrom="paragraph">
              <wp:posOffset>9585960</wp:posOffset>
            </wp:positionV>
            <wp:extent cx="2166620" cy="1543050"/>
            <wp:effectExtent l="0" t="0" r="5080" b="0"/>
            <wp:wrapNone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6724" w:rsidRPr="002C7333" w:rsidRDefault="008C40D6" w:rsidP="005B6724">
      <w:pPr>
        <w:pStyle w:val="plist"/>
        <w:spacing w:before="0" w:after="0" w:line="240" w:lineRule="auto"/>
        <w:ind w:left="0"/>
        <w:rPr>
          <w:rFonts w:asciiTheme="minorHAnsi" w:hAnsiTheme="minorHAnsi"/>
          <w:sz w:val="24"/>
          <w:szCs w:val="24"/>
          <w:lang w:val="en-GB" w:bidi="ar-EG"/>
        </w:rPr>
      </w:pPr>
      <w:r>
        <w:rPr>
          <w:rFonts w:asciiTheme="minorHAnsi" w:hAnsiTheme="minorHAnsi"/>
          <w:sz w:val="24"/>
          <w:szCs w:val="24"/>
          <w:lang w:val="en-GB" w:bidi="ar-EG"/>
        </w:rPr>
        <w:t xml:space="preserve">Address: </w:t>
      </w:r>
      <w:r w:rsidR="005B6724" w:rsidRPr="002C7333">
        <w:rPr>
          <w:rFonts w:asciiTheme="minorHAnsi" w:hAnsiTheme="minorHAnsi"/>
          <w:sz w:val="24"/>
          <w:szCs w:val="24"/>
          <w:lang w:val="en-GB" w:bidi="ar-EG"/>
        </w:rPr>
        <w:t>Cairo Airport Road, Heliopolis, 11776 Cairo, Egypt </w:t>
      </w:r>
      <w:r w:rsidR="005B6724" w:rsidRPr="002C7333" w:rsidDel="00A764E0">
        <w:rPr>
          <w:rFonts w:asciiTheme="minorHAnsi" w:hAnsiTheme="minorHAnsi"/>
          <w:sz w:val="24"/>
          <w:szCs w:val="24"/>
          <w:lang w:val="en-GB" w:bidi="ar-EG"/>
        </w:rPr>
        <w:t xml:space="preserve"> </w:t>
      </w:r>
    </w:p>
    <w:p w:rsidR="005B6724" w:rsidRPr="00443C0A" w:rsidRDefault="005B6724" w:rsidP="008C40D6">
      <w:pPr>
        <w:spacing w:before="0"/>
        <w:rPr>
          <w:color w:val="000000"/>
          <w:szCs w:val="24"/>
          <w:lang w:val="de-CH" w:bidi="ar-EG"/>
        </w:rPr>
      </w:pPr>
      <w:r w:rsidRPr="00443C0A">
        <w:rPr>
          <w:color w:val="000000"/>
          <w:szCs w:val="24"/>
          <w:lang w:val="de-CH" w:bidi="ar-EG"/>
        </w:rPr>
        <w:t>Tel.:   +202 22918520</w:t>
      </w:r>
    </w:p>
    <w:p w:rsidR="005B6724" w:rsidRPr="00443C0A" w:rsidRDefault="005B6724" w:rsidP="008C40D6">
      <w:pPr>
        <w:spacing w:before="0"/>
        <w:rPr>
          <w:color w:val="000000"/>
          <w:szCs w:val="24"/>
          <w:lang w:val="de-CH" w:bidi="ar-EG"/>
        </w:rPr>
      </w:pPr>
      <w:r w:rsidRPr="00443C0A">
        <w:rPr>
          <w:color w:val="000000"/>
          <w:szCs w:val="24"/>
          <w:lang w:val="de-CH" w:bidi="ar-EG"/>
        </w:rPr>
        <w:t>E-mail: </w:t>
      </w:r>
      <w:r w:rsidRPr="00443C0A" w:rsidDel="00DF7A28">
        <w:rPr>
          <w:color w:val="000000"/>
          <w:szCs w:val="24"/>
          <w:lang w:val="de-CH" w:bidi="ar-EG"/>
        </w:rPr>
        <w:t xml:space="preserve"> </w:t>
      </w:r>
      <w:hyperlink r:id="rId14" w:history="1">
        <w:r w:rsidRPr="00443C0A">
          <w:rPr>
            <w:rStyle w:val="Hyperlink"/>
            <w:szCs w:val="24"/>
            <w:lang w:val="de-CH" w:bidi="ar-EG"/>
          </w:rPr>
          <w:t>H0502-SL2@accor.com</w:t>
        </w:r>
      </w:hyperlink>
    </w:p>
    <w:p w:rsidR="001C6734" w:rsidRDefault="005B6724" w:rsidP="001C6734">
      <w:pPr>
        <w:pStyle w:val="plist"/>
        <w:spacing w:before="120" w:after="0" w:line="240" w:lineRule="auto"/>
        <w:ind w:left="0"/>
        <w:rPr>
          <w:rFonts w:asciiTheme="minorHAnsi" w:hAnsiTheme="minorHAnsi"/>
          <w:sz w:val="24"/>
          <w:szCs w:val="24"/>
          <w:lang w:val="en-GB" w:bidi="ar-EG"/>
        </w:rPr>
      </w:pPr>
      <w:r w:rsidRPr="002C7333">
        <w:rPr>
          <w:rFonts w:asciiTheme="minorHAnsi" w:hAnsiTheme="minorHAnsi"/>
          <w:sz w:val="24"/>
          <w:szCs w:val="24"/>
          <w:lang w:val="en-GB" w:bidi="ar-EG"/>
        </w:rPr>
        <w:t>This upscale</w:t>
      </w:r>
      <w:r w:rsidR="00EA7D4B">
        <w:rPr>
          <w:rFonts w:asciiTheme="minorHAnsi" w:hAnsiTheme="minorHAnsi"/>
          <w:sz w:val="24"/>
          <w:szCs w:val="24"/>
          <w:lang w:val="en-GB" w:bidi="ar-EG"/>
        </w:rPr>
        <w:t>,</w:t>
      </w:r>
      <w:r w:rsidRPr="002C7333">
        <w:rPr>
          <w:rFonts w:asciiTheme="minorHAnsi" w:hAnsiTheme="minorHAnsi"/>
          <w:sz w:val="24"/>
          <w:szCs w:val="24"/>
          <w:lang w:val="en-GB" w:bidi="ar-EG"/>
        </w:rPr>
        <w:t xml:space="preserve"> modern hotel is near Cairo International Airport.</w:t>
      </w:r>
    </w:p>
    <w:p w:rsidR="005B6724" w:rsidRPr="0020077E" w:rsidRDefault="005B6724" w:rsidP="001C6734">
      <w:pPr>
        <w:pStyle w:val="plist"/>
        <w:spacing w:before="120" w:after="0" w:line="240" w:lineRule="auto"/>
        <w:ind w:left="0"/>
        <w:rPr>
          <w:rFonts w:asciiTheme="minorHAnsi" w:eastAsiaTheme="minorHAnsi" w:hAnsiTheme="minorHAnsi" w:cstheme="minorBidi"/>
          <w:b/>
          <w:bCs/>
          <w:color w:val="auto"/>
          <w:sz w:val="32"/>
          <w:szCs w:val="32"/>
          <w:lang w:bidi="ar-EG"/>
        </w:rPr>
      </w:pPr>
      <w:r w:rsidRPr="0020077E">
        <w:rPr>
          <w:rFonts w:asciiTheme="minorHAnsi" w:hAnsiTheme="minorHAnsi"/>
          <w:b/>
          <w:bCs/>
          <w:color w:val="auto"/>
          <w:sz w:val="24"/>
          <w:szCs w:val="24"/>
          <w:lang w:bidi="ar-EG"/>
        </w:rPr>
        <w:t>Visa requirements and entry formalities</w:t>
      </w:r>
    </w:p>
    <w:p w:rsidR="005B6724" w:rsidRPr="009B2227" w:rsidRDefault="005B6724" w:rsidP="0020077E">
      <w:pPr>
        <w:rPr>
          <w:lang w:bidi="ar-EG"/>
        </w:rPr>
      </w:pPr>
      <w:r w:rsidRPr="009B2227">
        <w:rPr>
          <w:lang w:bidi="ar-EG"/>
        </w:rPr>
        <w:t xml:space="preserve">A valid passport and a visa are required to enter Egypt. All participants are requested to send a copy of their passport together with the Registration Confirmation message from ITU to the Egyptian Embassy or Consulate in their country of origin or residence in order to obtain a visa. </w:t>
      </w:r>
    </w:p>
    <w:p w:rsidR="005B6724" w:rsidRPr="009B2227" w:rsidRDefault="005B6724" w:rsidP="0020077E">
      <w:pPr>
        <w:rPr>
          <w:lang w:bidi="ar-EG"/>
        </w:rPr>
      </w:pPr>
      <w:r w:rsidRPr="009B2227">
        <w:t xml:space="preserve">Participants who are nationals of countries where there is no Egyptian representation should contact </w:t>
      </w:r>
      <w:r w:rsidR="00EA7D4B">
        <w:t xml:space="preserve">Mr </w:t>
      </w:r>
      <w:r>
        <w:t>Basel El-</w:t>
      </w:r>
      <w:proofErr w:type="spellStart"/>
      <w:r>
        <w:t>Tabei</w:t>
      </w:r>
      <w:proofErr w:type="spellEnd"/>
      <w:r>
        <w:t xml:space="preserve"> via e-mail: </w:t>
      </w:r>
      <w:hyperlink r:id="rId15" w:history="1">
        <w:r w:rsidRPr="009B2227">
          <w:rPr>
            <w:rStyle w:val="Hyperlink"/>
            <w:lang w:bidi="ar-EG"/>
          </w:rPr>
          <w:t>Beltabie@tra.gov.eg</w:t>
        </w:r>
      </w:hyperlink>
      <w:r>
        <w:rPr>
          <w:rStyle w:val="Hyperlink"/>
          <w:lang w:bidi="ar-EG"/>
        </w:rPr>
        <w:t xml:space="preserve"> </w:t>
      </w:r>
      <w:r w:rsidRPr="00A764E0">
        <w:t>or landline:</w:t>
      </w:r>
      <w:r w:rsidR="00EA7D4B">
        <w:t xml:space="preserve"> </w:t>
      </w:r>
      <w:r w:rsidRPr="00A764E0">
        <w:t xml:space="preserve">+20235344261 </w:t>
      </w:r>
      <w:r w:rsidRPr="009B2227">
        <w:t>for</w:t>
      </w:r>
      <w:r w:rsidRPr="009B2227">
        <w:rPr>
          <w:lang w:bidi="ar-EG"/>
        </w:rPr>
        <w:t xml:space="preserve"> the </w:t>
      </w:r>
      <w:r w:rsidRPr="009B2227">
        <w:t>special arrangements that have been made by the host country to facilitate the delivery of visas or entry permits, as required.</w:t>
      </w:r>
    </w:p>
    <w:p w:rsidR="005B6724" w:rsidRPr="009B2227" w:rsidRDefault="005B6724">
      <w:pPr>
        <w:rPr>
          <w:rStyle w:val="Hyperlink"/>
        </w:rPr>
      </w:pPr>
      <w:r w:rsidRPr="009B2227">
        <w:t xml:space="preserve">For more information on visas and entry permits, please visit the website of Egypt’s Ministry of Foreign Affairs at: </w:t>
      </w:r>
      <w:hyperlink r:id="rId16" w:history="1">
        <w:r w:rsidRPr="009B2227">
          <w:rPr>
            <w:rStyle w:val="Hyperlink"/>
          </w:rPr>
          <w:t>http://www.mfa.gov.eg/English/Embassies/Pages/Listing.aspx</w:t>
        </w:r>
      </w:hyperlink>
      <w:r w:rsidR="00EA7D4B" w:rsidRPr="00EA7D4B">
        <w:rPr>
          <w:rStyle w:val="Hyperlink"/>
          <w:color w:val="auto"/>
          <w:u w:val="none"/>
        </w:rPr>
        <w:t>.</w:t>
      </w:r>
    </w:p>
    <w:p w:rsidR="005B6724" w:rsidRPr="0020077E" w:rsidRDefault="005B6724" w:rsidP="003E7D39">
      <w:pPr>
        <w:rPr>
          <w:rFonts w:cstheme="minorBidi"/>
          <w:b/>
          <w:bCs/>
          <w:sz w:val="32"/>
          <w:szCs w:val="32"/>
          <w:lang w:bidi="ar-EG"/>
        </w:rPr>
      </w:pPr>
      <w:r w:rsidRPr="0020077E">
        <w:rPr>
          <w:b/>
          <w:bCs/>
          <w:szCs w:val="24"/>
          <w:lang w:bidi="ar-EG"/>
        </w:rPr>
        <w:t>Vaccinations</w:t>
      </w:r>
    </w:p>
    <w:p w:rsidR="005B6724" w:rsidRPr="008C40D6" w:rsidRDefault="005B6724" w:rsidP="001C6734">
      <w:pPr>
        <w:pStyle w:val="Default"/>
        <w:keepNext/>
        <w:keepLines/>
        <w:spacing w:before="120"/>
        <w:rPr>
          <w:rFonts w:asciiTheme="minorHAnsi" w:eastAsiaTheme="minorEastAsia" w:hAnsiTheme="minorHAnsi" w:cstheme="minorBidi"/>
          <w:color w:val="auto"/>
          <w:lang w:eastAsia="zh-CN"/>
        </w:rPr>
      </w:pPr>
      <w:r w:rsidRPr="008C40D6">
        <w:rPr>
          <w:rFonts w:asciiTheme="minorHAnsi" w:eastAsiaTheme="minorEastAsia" w:hAnsiTheme="minorHAnsi" w:cstheme="minorBidi"/>
          <w:color w:val="auto"/>
          <w:lang w:eastAsia="zh-CN"/>
        </w:rPr>
        <w:t xml:space="preserve">For information about vaccination requirements and health information for </w:t>
      </w:r>
      <w:r w:rsidR="00EA7D4B">
        <w:rPr>
          <w:rFonts w:asciiTheme="minorHAnsi" w:eastAsiaTheme="minorEastAsia" w:hAnsiTheme="minorHAnsi" w:cstheme="minorBidi"/>
          <w:color w:val="auto"/>
          <w:lang w:eastAsia="zh-CN"/>
        </w:rPr>
        <w:t>travelers,</w:t>
      </w:r>
      <w:r w:rsidRPr="008C40D6">
        <w:rPr>
          <w:rFonts w:asciiTheme="minorHAnsi" w:eastAsiaTheme="minorEastAsia" w:hAnsiTheme="minorHAnsi" w:cstheme="minorBidi"/>
          <w:color w:val="auto"/>
          <w:lang w:eastAsia="zh-CN"/>
        </w:rPr>
        <w:t xml:space="preserve"> please consult the World Health Organization’s (WHO) website at</w:t>
      </w:r>
      <w:r w:rsidR="00EA7D4B">
        <w:rPr>
          <w:rFonts w:asciiTheme="minorHAnsi" w:eastAsiaTheme="minorEastAsia" w:hAnsiTheme="minorHAnsi" w:cstheme="minorBidi"/>
          <w:color w:val="auto"/>
          <w:lang w:eastAsia="zh-CN"/>
        </w:rPr>
        <w:t>:</w:t>
      </w:r>
      <w:r w:rsidRPr="008C40D6">
        <w:rPr>
          <w:rFonts w:asciiTheme="minorHAnsi" w:eastAsiaTheme="minorEastAsia" w:hAnsiTheme="minorHAnsi" w:cstheme="minorBidi"/>
          <w:color w:val="auto"/>
          <w:lang w:eastAsia="zh-CN"/>
        </w:rPr>
        <w:t xml:space="preserve"> </w:t>
      </w:r>
    </w:p>
    <w:p w:rsidR="005B6724" w:rsidRPr="008C40D6" w:rsidRDefault="008A563D" w:rsidP="0074136E">
      <w:pPr>
        <w:pStyle w:val="Default"/>
        <w:keepNext/>
        <w:keepLines/>
        <w:rPr>
          <w:rFonts w:asciiTheme="minorHAnsi" w:hAnsiTheme="minorHAnsi" w:cstheme="minorBidi"/>
          <w:b/>
          <w:bCs/>
          <w:color w:val="auto"/>
          <w:lang w:bidi="ar-EG"/>
        </w:rPr>
      </w:pPr>
      <w:hyperlink r:id="rId17" w:history="1">
        <w:r w:rsidR="005B6724" w:rsidRPr="008C40D6">
          <w:rPr>
            <w:rStyle w:val="Hyperlink"/>
            <w:rFonts w:asciiTheme="minorHAnsi" w:eastAsiaTheme="minorEastAsia" w:hAnsiTheme="minorHAnsi" w:cstheme="minorBidi"/>
            <w:lang w:eastAsia="zh-CN"/>
          </w:rPr>
          <w:t>http://www.who.int/countries/egy/en/</w:t>
        </w:r>
      </w:hyperlink>
      <w:r w:rsidR="005B6724" w:rsidRPr="00EA7D4B">
        <w:rPr>
          <w:rFonts w:asciiTheme="minorHAnsi" w:eastAsiaTheme="minorEastAsia" w:hAnsiTheme="minorHAnsi" w:cstheme="minorBidi"/>
          <w:color w:val="auto"/>
          <w:lang w:eastAsia="zh-CN"/>
        </w:rPr>
        <w:t>.</w:t>
      </w:r>
    </w:p>
    <w:p w:rsidR="00EA7D4B" w:rsidRDefault="00EA7D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lang w:bidi="ar-EG"/>
        </w:rPr>
      </w:pPr>
      <w:r>
        <w:rPr>
          <w:b/>
          <w:bCs/>
          <w:szCs w:val="24"/>
          <w:lang w:bidi="ar-EG"/>
        </w:rPr>
        <w:br w:type="page"/>
      </w:r>
    </w:p>
    <w:p w:rsidR="005B6724" w:rsidRPr="0020077E" w:rsidRDefault="0074136E" w:rsidP="003E7D39">
      <w:pPr>
        <w:rPr>
          <w:rFonts w:cstheme="minorBidi"/>
          <w:b/>
          <w:bCs/>
          <w:sz w:val="32"/>
          <w:szCs w:val="32"/>
          <w:lang w:bidi="ar-EG"/>
        </w:rPr>
      </w:pPr>
      <w:r w:rsidRPr="0020077E">
        <w:rPr>
          <w:b/>
          <w:bCs/>
          <w:szCs w:val="24"/>
          <w:lang w:bidi="ar-EG"/>
        </w:rPr>
        <w:lastRenderedPageBreak/>
        <w:t>Transportation</w:t>
      </w:r>
    </w:p>
    <w:p w:rsidR="005B6724" w:rsidRPr="009B2227" w:rsidRDefault="005B6724" w:rsidP="0020077E">
      <w:pPr>
        <w:keepNext/>
        <w:keepLines/>
      </w:pPr>
      <w:r w:rsidRPr="009B2227">
        <w:t>Transport from the venue to the hotel</w:t>
      </w:r>
      <w:r w:rsidR="003C227A">
        <w:t>s</w:t>
      </w:r>
      <w:r w:rsidRPr="009B2227">
        <w:t xml:space="preserve"> and vice versa will be provided by NTRA to all participants.</w:t>
      </w:r>
    </w:p>
    <w:p w:rsidR="00EA7D4B" w:rsidRDefault="005B6724" w:rsidP="00EA7D4B">
      <w:pPr>
        <w:keepNext/>
        <w:keepLines/>
        <w:spacing w:before="0"/>
      </w:pPr>
      <w:r w:rsidRPr="009B2227">
        <w:t xml:space="preserve">It is very important that participants send their exact hotel </w:t>
      </w:r>
      <w:r>
        <w:t>information to Mrs Maha Badr via e</w:t>
      </w:r>
      <w:r w:rsidR="00B74F51">
        <w:noBreakHyphen/>
      </w:r>
      <w:r>
        <w:t xml:space="preserve">mail: </w:t>
      </w:r>
      <w:hyperlink r:id="rId18" w:history="1">
        <w:r w:rsidRPr="009B2227">
          <w:rPr>
            <w:rStyle w:val="Hyperlink"/>
          </w:rPr>
          <w:t>mahab@tra.gov.eg</w:t>
        </w:r>
      </w:hyperlink>
      <w:r>
        <w:rPr>
          <w:rStyle w:val="Hyperlink"/>
        </w:rPr>
        <w:t xml:space="preserve"> </w:t>
      </w:r>
      <w:r w:rsidRPr="00A764E0">
        <w:t>or landline: +20235344108.</w:t>
      </w:r>
    </w:p>
    <w:p w:rsidR="005B6724" w:rsidRPr="009B2227" w:rsidRDefault="005B6724" w:rsidP="00EA7D4B">
      <w:pPr>
        <w:keepNext/>
        <w:keepLines/>
      </w:pPr>
      <w:r w:rsidRPr="009B2227">
        <w:t xml:space="preserve">A pick-up from and to the airport </w:t>
      </w:r>
      <w:r w:rsidRPr="009B2227">
        <w:rPr>
          <w:b/>
          <w:bCs/>
        </w:rPr>
        <w:t>is not provided</w:t>
      </w:r>
      <w:r w:rsidRPr="009B2227">
        <w:t xml:space="preserve"> by the host. Local transportation can be found at the airport with reasonable fare</w:t>
      </w:r>
      <w:r w:rsidR="00B74F51">
        <w:t>s</w:t>
      </w:r>
      <w:r w:rsidRPr="009B2227">
        <w:t>.</w:t>
      </w:r>
    </w:p>
    <w:p w:rsidR="005B6724" w:rsidRPr="0020077E" w:rsidRDefault="0074136E" w:rsidP="003E7D39">
      <w:pPr>
        <w:rPr>
          <w:b/>
          <w:bCs/>
          <w:sz w:val="32"/>
          <w:szCs w:val="32"/>
          <w:lang w:bidi="ar-EG"/>
        </w:rPr>
      </w:pPr>
      <w:r w:rsidRPr="0020077E">
        <w:rPr>
          <w:b/>
          <w:bCs/>
          <w:szCs w:val="24"/>
          <w:lang w:bidi="ar-EG"/>
        </w:rPr>
        <w:t>Accommodation</w:t>
      </w:r>
    </w:p>
    <w:p w:rsidR="005B6724" w:rsidRPr="008C40D6" w:rsidRDefault="005B6724" w:rsidP="001C6734">
      <w:pPr>
        <w:pStyle w:val="Default"/>
        <w:spacing w:before="120"/>
        <w:jc w:val="both"/>
      </w:pPr>
      <w:r w:rsidRPr="008C40D6">
        <w:rPr>
          <w:rFonts w:asciiTheme="minorHAnsi" w:hAnsiTheme="minorHAnsi" w:cstheme="minorBidi"/>
          <w:color w:val="auto"/>
        </w:rPr>
        <w:t xml:space="preserve">Special rates have been negotiated with </w:t>
      </w:r>
      <w:r w:rsidRPr="008C40D6">
        <w:rPr>
          <w:rFonts w:asciiTheme="minorHAnsi" w:hAnsiTheme="minorHAnsi" w:cstheme="minorBidi"/>
          <w:color w:val="auto"/>
          <w:lang w:val="en-GB"/>
        </w:rPr>
        <w:t xml:space="preserve">Novotel Cairo Airport </w:t>
      </w:r>
      <w:r w:rsidRPr="008C40D6">
        <w:rPr>
          <w:rFonts w:asciiTheme="minorHAnsi" w:hAnsiTheme="minorHAnsi" w:cstheme="minorBidi"/>
          <w:color w:val="auto"/>
        </w:rPr>
        <w:t xml:space="preserve">Hotel (Venue) for the meeting participants. </w:t>
      </w:r>
    </w:p>
    <w:p w:rsidR="005B6724" w:rsidRPr="008C40D6" w:rsidRDefault="005B6724" w:rsidP="009B415C">
      <w:pPr>
        <w:pStyle w:val="Default"/>
        <w:spacing w:before="120" w:after="120"/>
        <w:jc w:val="both"/>
        <w:rPr>
          <w:rFonts w:asciiTheme="minorHAnsi" w:hAnsiTheme="minorHAnsi" w:cstheme="minorBidi"/>
          <w:color w:val="0000FF" w:themeColor="hyperlink"/>
          <w:u w:val="single"/>
        </w:rPr>
      </w:pPr>
      <w:r w:rsidRPr="008C40D6">
        <w:rPr>
          <w:rFonts w:asciiTheme="minorHAnsi" w:hAnsiTheme="minorHAnsi" w:cstheme="minorBidi"/>
          <w:color w:val="auto"/>
        </w:rPr>
        <w:t xml:space="preserve">Participants should book their own accommodation directly with the contact person mentioned below and must copy the </w:t>
      </w:r>
      <w:r w:rsidRPr="008C40D6">
        <w:rPr>
          <w:rFonts w:asciiTheme="minorHAnsi" w:hAnsiTheme="minorHAnsi"/>
        </w:rPr>
        <w:t>National Telecommunication Regulatory Authority</w:t>
      </w:r>
      <w:r w:rsidRPr="008C40D6">
        <w:rPr>
          <w:rFonts w:asciiTheme="minorHAnsi" w:hAnsiTheme="minorHAnsi" w:cstheme="minorBidi"/>
          <w:color w:val="auto"/>
        </w:rPr>
        <w:t xml:space="preserve"> (NTRA)</w:t>
      </w:r>
      <w:r w:rsidR="00B74F51">
        <w:rPr>
          <w:rFonts w:asciiTheme="minorHAnsi" w:hAnsiTheme="minorHAnsi" w:cstheme="minorBidi"/>
          <w:color w:val="auto"/>
        </w:rPr>
        <w:t>,</w:t>
      </w:r>
      <w:r w:rsidR="00EA7D4B">
        <w:rPr>
          <w:rFonts w:asciiTheme="minorHAnsi" w:hAnsiTheme="minorHAnsi" w:cstheme="minorBidi"/>
          <w:color w:val="auto"/>
        </w:rPr>
        <w:t xml:space="preserve"> </w:t>
      </w:r>
      <w:proofErr w:type="spellStart"/>
      <w:r w:rsidR="00EA7D4B">
        <w:rPr>
          <w:rFonts w:asciiTheme="minorHAnsi" w:hAnsiTheme="minorHAnsi" w:cstheme="minorBidi"/>
          <w:color w:val="auto"/>
        </w:rPr>
        <w:t>Mrs</w:t>
      </w:r>
      <w:proofErr w:type="spellEnd"/>
      <w:r w:rsidRPr="008C40D6">
        <w:rPr>
          <w:rFonts w:asciiTheme="minorHAnsi" w:hAnsiTheme="minorHAnsi" w:cstheme="minorBidi"/>
          <w:color w:val="auto"/>
        </w:rPr>
        <w:t xml:space="preserve"> </w:t>
      </w:r>
      <w:proofErr w:type="spellStart"/>
      <w:r w:rsidRPr="008C40D6">
        <w:rPr>
          <w:rFonts w:asciiTheme="minorHAnsi" w:hAnsiTheme="minorHAnsi" w:cstheme="minorBidi"/>
          <w:color w:val="auto"/>
        </w:rPr>
        <w:t>Noha</w:t>
      </w:r>
      <w:proofErr w:type="spellEnd"/>
      <w:r w:rsidRPr="008C40D6">
        <w:rPr>
          <w:rFonts w:asciiTheme="minorHAnsi" w:hAnsiTheme="minorHAnsi" w:cstheme="minorBidi"/>
          <w:color w:val="auto"/>
        </w:rPr>
        <w:t xml:space="preserve"> </w:t>
      </w:r>
      <w:proofErr w:type="spellStart"/>
      <w:r w:rsidRPr="008C40D6">
        <w:rPr>
          <w:rFonts w:asciiTheme="minorHAnsi" w:hAnsiTheme="minorHAnsi" w:cstheme="minorBidi"/>
          <w:color w:val="auto"/>
        </w:rPr>
        <w:t>Nashaat</w:t>
      </w:r>
      <w:proofErr w:type="spellEnd"/>
      <w:r w:rsidR="00B74F51">
        <w:rPr>
          <w:rFonts w:asciiTheme="minorHAnsi" w:hAnsiTheme="minorHAnsi" w:cstheme="minorBidi"/>
          <w:color w:val="auto"/>
        </w:rPr>
        <w:t>,</w:t>
      </w:r>
      <w:r w:rsidRPr="008C40D6">
        <w:rPr>
          <w:rFonts w:asciiTheme="minorHAnsi" w:hAnsiTheme="minorHAnsi" w:cstheme="minorBidi"/>
          <w:color w:val="auto"/>
        </w:rPr>
        <w:t xml:space="preserve"> via e-mail: </w:t>
      </w:r>
      <w:r w:rsidRPr="008C40D6">
        <w:rPr>
          <w:rStyle w:val="Hyperlink"/>
          <w:rFonts w:asciiTheme="minorHAnsi" w:hAnsiTheme="minorHAnsi" w:cstheme="minorBidi"/>
        </w:rPr>
        <w:t>nohan@tra.gov.eg</w:t>
      </w:r>
      <w:r w:rsidRPr="008C40D6">
        <w:t xml:space="preserve"> when making their booking.</w:t>
      </w:r>
    </w:p>
    <w:p w:rsidR="005B6724" w:rsidRPr="0020077E" w:rsidRDefault="005B6724" w:rsidP="0020077E">
      <w:pPr>
        <w:ind w:right="-341"/>
        <w:rPr>
          <w:b/>
          <w:bCs/>
          <w:szCs w:val="24"/>
          <w:lang w:bidi="ar-EG"/>
        </w:rPr>
      </w:pPr>
      <w:r w:rsidRPr="0020077E">
        <w:rPr>
          <w:b/>
          <w:bCs/>
          <w:szCs w:val="24"/>
          <w:lang w:bidi="ar-EG"/>
        </w:rPr>
        <w:t>Hotel list</w:t>
      </w:r>
      <w:r w:rsidRPr="0020077E">
        <w:rPr>
          <w:b/>
          <w:bCs/>
          <w:noProof/>
          <w:szCs w:val="24"/>
          <w:lang w:val="en-US" w:eastAsia="zh-CN"/>
        </w:rPr>
        <w:drawing>
          <wp:anchor distT="0" distB="0" distL="114300" distR="114300" simplePos="0" relativeHeight="251662336" behindDoc="0" locked="0" layoutInCell="1" allowOverlap="1" wp14:anchorId="11D6CFF7" wp14:editId="78F4EEEC">
            <wp:simplePos x="0" y="0"/>
            <wp:positionH relativeFrom="column">
              <wp:posOffset>3976370</wp:posOffset>
            </wp:positionH>
            <wp:positionV relativeFrom="paragraph">
              <wp:posOffset>9810115</wp:posOffset>
            </wp:positionV>
            <wp:extent cx="2166620" cy="1543050"/>
            <wp:effectExtent l="0" t="0" r="5080" b="0"/>
            <wp:wrapNone/>
            <wp:docPr id="9" name="Picture 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6724" w:rsidRDefault="005B6724">
      <w:pPr>
        <w:spacing w:after="120"/>
        <w:ind w:right="84"/>
        <w:rPr>
          <w:lang w:bidi="ar-EG"/>
        </w:rPr>
      </w:pPr>
      <w:r w:rsidRPr="00591B4E">
        <w:rPr>
          <w:lang w:bidi="ar-EG"/>
        </w:rPr>
        <w:t xml:space="preserve">The </w:t>
      </w:r>
      <w:r>
        <w:rPr>
          <w:lang w:bidi="ar-EG"/>
        </w:rPr>
        <w:t xml:space="preserve">negotiated </w:t>
      </w:r>
      <w:r w:rsidRPr="00591B4E">
        <w:rPr>
          <w:lang w:bidi="ar-EG"/>
        </w:rPr>
        <w:t xml:space="preserve">rates </w:t>
      </w:r>
      <w:r>
        <w:rPr>
          <w:lang w:bidi="ar-EG"/>
        </w:rPr>
        <w:t xml:space="preserve">below </w:t>
      </w:r>
      <w:r w:rsidRPr="00591B4E">
        <w:rPr>
          <w:lang w:bidi="ar-EG"/>
        </w:rPr>
        <w:t xml:space="preserve">are </w:t>
      </w:r>
      <w:r>
        <w:rPr>
          <w:lang w:bidi="ar-EG"/>
        </w:rPr>
        <w:t>for</w:t>
      </w:r>
      <w:r w:rsidRPr="00591B4E">
        <w:rPr>
          <w:lang w:bidi="ar-EG"/>
        </w:rPr>
        <w:t xml:space="preserve"> bed</w:t>
      </w:r>
      <w:r>
        <w:rPr>
          <w:lang w:bidi="ar-EG"/>
        </w:rPr>
        <w:t xml:space="preserve"> and</w:t>
      </w:r>
      <w:r w:rsidRPr="00591B4E">
        <w:rPr>
          <w:lang w:bidi="ar-EG"/>
        </w:rPr>
        <w:t xml:space="preserve"> breakfast</w:t>
      </w:r>
      <w:r>
        <w:rPr>
          <w:lang w:bidi="ar-EG"/>
        </w:rPr>
        <w:t xml:space="preserve"> (t</w:t>
      </w:r>
      <w:r w:rsidRPr="00591B4E">
        <w:rPr>
          <w:lang w:bidi="ar-EG"/>
        </w:rPr>
        <w:t>axes</w:t>
      </w:r>
      <w:r>
        <w:rPr>
          <w:lang w:bidi="ar-EG"/>
        </w:rPr>
        <w:t xml:space="preserve"> and </w:t>
      </w:r>
      <w:r w:rsidRPr="00D060A5">
        <w:rPr>
          <w:lang w:bidi="ar-EG"/>
        </w:rPr>
        <w:t>service charge</w:t>
      </w:r>
      <w:r w:rsidR="00B74F51">
        <w:rPr>
          <w:lang w:bidi="ar-EG"/>
        </w:rPr>
        <w:t>s</w:t>
      </w:r>
      <w:r w:rsidRPr="00D060A5">
        <w:rPr>
          <w:lang w:bidi="ar-EG"/>
        </w:rPr>
        <w:t xml:space="preserve"> </w:t>
      </w:r>
      <w:r>
        <w:rPr>
          <w:lang w:bidi="ar-EG"/>
        </w:rPr>
        <w:t xml:space="preserve">are </w:t>
      </w:r>
      <w:r w:rsidRPr="00591B4E">
        <w:rPr>
          <w:lang w:bidi="ar-EG"/>
        </w:rPr>
        <w:t>included</w:t>
      </w:r>
      <w:r>
        <w:rPr>
          <w:lang w:bidi="ar-EG"/>
        </w:rPr>
        <w:t>)</w:t>
      </w:r>
      <w:r w:rsidR="001C6734">
        <w:rPr>
          <w:lang w:bidi="ar-EG"/>
        </w:rPr>
        <w:t>:</w:t>
      </w:r>
    </w:p>
    <w:tbl>
      <w:tblPr>
        <w:tblStyle w:val="TableGrid"/>
        <w:tblW w:w="10206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851"/>
        <w:gridCol w:w="1134"/>
        <w:gridCol w:w="1134"/>
        <w:gridCol w:w="4682"/>
      </w:tblGrid>
      <w:tr w:rsidR="005B6724" w:rsidTr="007A5E91">
        <w:tc>
          <w:tcPr>
            <w:tcW w:w="421" w:type="dxa"/>
            <w:vAlign w:val="center"/>
          </w:tcPr>
          <w:p w:rsidR="005B6724" w:rsidRPr="007A4E29" w:rsidRDefault="005B6724" w:rsidP="007A5E91">
            <w:pPr>
              <w:spacing w:after="120"/>
              <w:ind w:right="84"/>
              <w:jc w:val="center"/>
              <w:rPr>
                <w:b/>
                <w:bCs/>
                <w:sz w:val="22"/>
              </w:rPr>
            </w:pPr>
            <w:r w:rsidRPr="007A4E29">
              <w:rPr>
                <w:b/>
                <w:bCs/>
                <w:sz w:val="22"/>
              </w:rPr>
              <w:t>#</w:t>
            </w:r>
          </w:p>
        </w:tc>
        <w:tc>
          <w:tcPr>
            <w:tcW w:w="1984" w:type="dxa"/>
            <w:vAlign w:val="center"/>
          </w:tcPr>
          <w:p w:rsidR="005B6724" w:rsidRPr="007A4E29" w:rsidRDefault="005B6724" w:rsidP="007A5E91">
            <w:pPr>
              <w:spacing w:after="120"/>
              <w:ind w:right="84"/>
              <w:jc w:val="center"/>
              <w:rPr>
                <w:b/>
                <w:bCs/>
                <w:sz w:val="22"/>
              </w:rPr>
            </w:pPr>
            <w:r w:rsidRPr="007A4E29">
              <w:rPr>
                <w:b/>
                <w:bCs/>
                <w:sz w:val="22"/>
              </w:rPr>
              <w:t>Name of hotel</w:t>
            </w:r>
          </w:p>
        </w:tc>
        <w:tc>
          <w:tcPr>
            <w:tcW w:w="851" w:type="dxa"/>
            <w:vAlign w:val="center"/>
          </w:tcPr>
          <w:p w:rsidR="005B6724" w:rsidRPr="007A4E29" w:rsidRDefault="005B6724" w:rsidP="007A5E91">
            <w:pPr>
              <w:spacing w:after="120"/>
              <w:ind w:right="84"/>
              <w:jc w:val="center"/>
              <w:rPr>
                <w:b/>
                <w:bCs/>
                <w:sz w:val="22"/>
              </w:rPr>
            </w:pPr>
            <w:r w:rsidRPr="007A4E29">
              <w:rPr>
                <w:b/>
                <w:bCs/>
                <w:sz w:val="22"/>
              </w:rPr>
              <w:t>Star rating</w:t>
            </w:r>
          </w:p>
        </w:tc>
        <w:tc>
          <w:tcPr>
            <w:tcW w:w="1134" w:type="dxa"/>
            <w:vAlign w:val="center"/>
          </w:tcPr>
          <w:p w:rsidR="005B6724" w:rsidRPr="007A4E29" w:rsidRDefault="005B6724" w:rsidP="007A5E91">
            <w:pPr>
              <w:spacing w:after="120"/>
              <w:ind w:right="84"/>
              <w:jc w:val="center"/>
              <w:rPr>
                <w:b/>
                <w:bCs/>
                <w:sz w:val="22"/>
              </w:rPr>
            </w:pPr>
            <w:r w:rsidRPr="007A4E29">
              <w:rPr>
                <w:b/>
                <w:bCs/>
                <w:sz w:val="22"/>
              </w:rPr>
              <w:t>Single (USD)</w:t>
            </w:r>
          </w:p>
        </w:tc>
        <w:tc>
          <w:tcPr>
            <w:tcW w:w="1134" w:type="dxa"/>
            <w:vAlign w:val="center"/>
          </w:tcPr>
          <w:p w:rsidR="005B6724" w:rsidRPr="007A4E29" w:rsidRDefault="005B6724" w:rsidP="007A5E91">
            <w:pPr>
              <w:spacing w:after="120"/>
              <w:ind w:right="84"/>
              <w:jc w:val="center"/>
              <w:rPr>
                <w:b/>
                <w:bCs/>
                <w:sz w:val="22"/>
              </w:rPr>
            </w:pPr>
            <w:r w:rsidRPr="007A4E29">
              <w:rPr>
                <w:b/>
                <w:bCs/>
                <w:sz w:val="22"/>
              </w:rPr>
              <w:t>Double (USD)</w:t>
            </w:r>
          </w:p>
        </w:tc>
        <w:tc>
          <w:tcPr>
            <w:tcW w:w="4682" w:type="dxa"/>
            <w:vAlign w:val="center"/>
          </w:tcPr>
          <w:p w:rsidR="005B6724" w:rsidRPr="007A4E29" w:rsidRDefault="005B6724" w:rsidP="007A5E91">
            <w:pPr>
              <w:spacing w:after="120"/>
              <w:ind w:right="84"/>
              <w:jc w:val="center"/>
              <w:rPr>
                <w:b/>
                <w:bCs/>
                <w:sz w:val="22"/>
              </w:rPr>
            </w:pPr>
            <w:r w:rsidRPr="007A4E29">
              <w:rPr>
                <w:b/>
                <w:bCs/>
                <w:sz w:val="22"/>
              </w:rPr>
              <w:t>Contact person</w:t>
            </w:r>
          </w:p>
        </w:tc>
      </w:tr>
      <w:tr w:rsidR="005B6724" w:rsidTr="007A5E91">
        <w:tc>
          <w:tcPr>
            <w:tcW w:w="421" w:type="dxa"/>
            <w:vMerge w:val="restart"/>
            <w:vAlign w:val="center"/>
          </w:tcPr>
          <w:p w:rsidR="005B6724" w:rsidRPr="0074136E" w:rsidRDefault="005B6724" w:rsidP="007A5E91">
            <w:pPr>
              <w:spacing w:after="120"/>
              <w:ind w:right="84"/>
              <w:jc w:val="center"/>
              <w:rPr>
                <w:sz w:val="22"/>
                <w:lang w:bidi="ar-EG"/>
              </w:rPr>
            </w:pPr>
            <w:r w:rsidRPr="0074136E">
              <w:rPr>
                <w:sz w:val="22"/>
                <w:lang w:bidi="ar-EG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5B6724" w:rsidRPr="0074136E" w:rsidRDefault="005B6724" w:rsidP="007A5E91">
            <w:pPr>
              <w:spacing w:after="120"/>
              <w:ind w:right="84"/>
              <w:jc w:val="center"/>
              <w:rPr>
                <w:sz w:val="22"/>
                <w:lang w:bidi="ar-EG"/>
              </w:rPr>
            </w:pPr>
            <w:r w:rsidRPr="0074136E">
              <w:rPr>
                <w:sz w:val="22"/>
                <w:lang w:bidi="ar-EG"/>
              </w:rPr>
              <w:t>Novotel Cairo Airport (Venue)</w:t>
            </w:r>
          </w:p>
        </w:tc>
        <w:tc>
          <w:tcPr>
            <w:tcW w:w="851" w:type="dxa"/>
            <w:vMerge w:val="restart"/>
            <w:vAlign w:val="center"/>
          </w:tcPr>
          <w:p w:rsidR="005B6724" w:rsidRPr="0074136E" w:rsidRDefault="005B6724" w:rsidP="007A5E91">
            <w:pPr>
              <w:spacing w:after="120"/>
              <w:ind w:right="84"/>
              <w:jc w:val="center"/>
              <w:rPr>
                <w:sz w:val="22"/>
                <w:lang w:bidi="ar-EG"/>
              </w:rPr>
            </w:pPr>
            <w:r w:rsidRPr="0074136E">
              <w:rPr>
                <w:sz w:val="22"/>
                <w:lang w:bidi="ar-EG"/>
              </w:rPr>
              <w:t>4</w:t>
            </w:r>
          </w:p>
        </w:tc>
        <w:tc>
          <w:tcPr>
            <w:tcW w:w="1134" w:type="dxa"/>
            <w:vAlign w:val="center"/>
          </w:tcPr>
          <w:p w:rsidR="005B6724" w:rsidRPr="0074136E" w:rsidRDefault="005B6724" w:rsidP="007A5E91">
            <w:pPr>
              <w:spacing w:after="120"/>
              <w:jc w:val="center"/>
              <w:rPr>
                <w:sz w:val="22"/>
                <w:lang w:bidi="ar-EG"/>
              </w:rPr>
            </w:pPr>
            <w:r w:rsidRPr="0074136E">
              <w:rPr>
                <w:sz w:val="22"/>
                <w:lang w:bidi="ar-EG"/>
              </w:rPr>
              <w:t>Standard Room</w:t>
            </w:r>
          </w:p>
          <w:p w:rsidR="005B6724" w:rsidRPr="0074136E" w:rsidRDefault="005B6724" w:rsidP="007A5E91">
            <w:pPr>
              <w:spacing w:after="120"/>
              <w:jc w:val="center"/>
              <w:rPr>
                <w:sz w:val="22"/>
                <w:lang w:bidi="ar-EG"/>
              </w:rPr>
            </w:pPr>
            <w:r w:rsidRPr="0074136E">
              <w:rPr>
                <w:sz w:val="22"/>
                <w:lang w:bidi="ar-EG"/>
              </w:rPr>
              <w:t>70</w:t>
            </w:r>
          </w:p>
        </w:tc>
        <w:tc>
          <w:tcPr>
            <w:tcW w:w="1134" w:type="dxa"/>
            <w:vAlign w:val="center"/>
          </w:tcPr>
          <w:p w:rsidR="005B6724" w:rsidRPr="0074136E" w:rsidRDefault="005B6724" w:rsidP="007A5E91">
            <w:pPr>
              <w:spacing w:after="120"/>
              <w:jc w:val="center"/>
              <w:rPr>
                <w:sz w:val="22"/>
                <w:lang w:bidi="ar-EG"/>
              </w:rPr>
            </w:pPr>
            <w:r w:rsidRPr="0074136E">
              <w:rPr>
                <w:sz w:val="22"/>
                <w:lang w:bidi="ar-EG"/>
              </w:rPr>
              <w:t>Standard Room</w:t>
            </w:r>
          </w:p>
          <w:p w:rsidR="005B6724" w:rsidRPr="0074136E" w:rsidRDefault="005B6724" w:rsidP="007A5E91">
            <w:pPr>
              <w:spacing w:after="120"/>
              <w:jc w:val="center"/>
              <w:rPr>
                <w:sz w:val="22"/>
                <w:lang w:bidi="ar-EG"/>
              </w:rPr>
            </w:pPr>
            <w:r w:rsidRPr="0074136E">
              <w:rPr>
                <w:sz w:val="22"/>
                <w:lang w:bidi="ar-EG"/>
              </w:rPr>
              <w:t>80</w:t>
            </w:r>
          </w:p>
        </w:tc>
        <w:tc>
          <w:tcPr>
            <w:tcW w:w="4682" w:type="dxa"/>
            <w:vMerge w:val="restart"/>
            <w:vAlign w:val="center"/>
          </w:tcPr>
          <w:p w:rsidR="005B6724" w:rsidRPr="0074136E" w:rsidRDefault="005B6724" w:rsidP="007A4E29">
            <w:pPr>
              <w:spacing w:after="120"/>
              <w:rPr>
                <w:sz w:val="22"/>
                <w:lang w:bidi="ar-EG"/>
              </w:rPr>
            </w:pPr>
            <w:r w:rsidRPr="0074136E">
              <w:rPr>
                <w:b/>
                <w:bCs/>
                <w:sz w:val="22"/>
                <w:lang w:bidi="ar-EG"/>
              </w:rPr>
              <w:t xml:space="preserve">Mr </w:t>
            </w:r>
            <w:proofErr w:type="spellStart"/>
            <w:r w:rsidRPr="0074136E">
              <w:rPr>
                <w:b/>
                <w:bCs/>
                <w:sz w:val="22"/>
                <w:lang w:bidi="ar-EG"/>
              </w:rPr>
              <w:t>Hisham</w:t>
            </w:r>
            <w:proofErr w:type="spellEnd"/>
            <w:r w:rsidRPr="0074136E">
              <w:rPr>
                <w:b/>
                <w:bCs/>
                <w:sz w:val="22"/>
                <w:lang w:bidi="ar-EG"/>
              </w:rPr>
              <w:t xml:space="preserve"> Ramadan</w:t>
            </w:r>
            <w:r w:rsidRPr="0074136E">
              <w:rPr>
                <w:sz w:val="22"/>
                <w:lang w:bidi="ar-EG"/>
              </w:rPr>
              <w:t>| Sales Manager</w:t>
            </w:r>
          </w:p>
          <w:p w:rsidR="005B6724" w:rsidRPr="0074136E" w:rsidRDefault="005B6724" w:rsidP="007A5E91">
            <w:pPr>
              <w:spacing w:after="120"/>
              <w:rPr>
                <w:sz w:val="22"/>
                <w:lang w:bidi="ar-EG"/>
              </w:rPr>
            </w:pPr>
            <w:r w:rsidRPr="0074136E">
              <w:rPr>
                <w:sz w:val="22"/>
                <w:lang w:bidi="ar-EG"/>
              </w:rPr>
              <w:t>NOVOTEL CAIRO AIRPORT</w:t>
            </w:r>
          </w:p>
          <w:p w:rsidR="005B6724" w:rsidRPr="0074136E" w:rsidRDefault="005B6724" w:rsidP="007A5E91">
            <w:pPr>
              <w:spacing w:after="120"/>
              <w:rPr>
                <w:sz w:val="22"/>
                <w:lang w:bidi="ar-EG"/>
              </w:rPr>
            </w:pPr>
            <w:r w:rsidRPr="0074136E">
              <w:rPr>
                <w:sz w:val="22"/>
                <w:lang w:bidi="ar-EG"/>
              </w:rPr>
              <w:t xml:space="preserve">Mobile: +2 (010) 66624054    </w:t>
            </w:r>
          </w:p>
          <w:p w:rsidR="005B6724" w:rsidRPr="0074136E" w:rsidRDefault="005B6724" w:rsidP="007A5E91">
            <w:pPr>
              <w:spacing w:after="120"/>
              <w:rPr>
                <w:sz w:val="22"/>
                <w:lang w:bidi="ar-EG"/>
              </w:rPr>
            </w:pPr>
            <w:r w:rsidRPr="0074136E">
              <w:rPr>
                <w:sz w:val="22"/>
                <w:lang w:bidi="ar-EG"/>
              </w:rPr>
              <w:t xml:space="preserve">Reservation Direct: +2 (02)22 69 67 14   </w:t>
            </w:r>
          </w:p>
          <w:p w:rsidR="005B6724" w:rsidRPr="0074136E" w:rsidRDefault="005B6724" w:rsidP="007A5E91">
            <w:pPr>
              <w:spacing w:after="120"/>
              <w:rPr>
                <w:sz w:val="22"/>
                <w:lang w:bidi="ar-EG"/>
              </w:rPr>
            </w:pPr>
            <w:r w:rsidRPr="0074136E">
              <w:rPr>
                <w:sz w:val="22"/>
                <w:lang w:bidi="ar-EG"/>
              </w:rPr>
              <w:t>Bus: +2 (011) 47404400</w:t>
            </w:r>
          </w:p>
          <w:p w:rsidR="005B6724" w:rsidRPr="0074136E" w:rsidRDefault="008A563D" w:rsidP="007A5E91">
            <w:pPr>
              <w:spacing w:after="120"/>
              <w:rPr>
                <w:rStyle w:val="Hyperlink"/>
                <w:sz w:val="22"/>
              </w:rPr>
            </w:pPr>
            <w:hyperlink r:id="rId19" w:history="1">
              <w:r w:rsidR="005B6724" w:rsidRPr="0074136E">
                <w:rPr>
                  <w:rStyle w:val="Hyperlink"/>
                  <w:sz w:val="22"/>
                </w:rPr>
                <w:t>h0502-sl2@accor.com</w:t>
              </w:r>
            </w:hyperlink>
            <w:r w:rsidR="005B6724" w:rsidRPr="0074136E">
              <w:rPr>
                <w:rStyle w:val="Hyperlink"/>
                <w:sz w:val="22"/>
              </w:rPr>
              <w:t xml:space="preserve">   </w:t>
            </w:r>
          </w:p>
          <w:p w:rsidR="005B6724" w:rsidRPr="0074136E" w:rsidRDefault="008A563D" w:rsidP="007A5E91">
            <w:pPr>
              <w:spacing w:after="120"/>
              <w:rPr>
                <w:rStyle w:val="Hyperlink"/>
                <w:rFonts w:cs="Times New Roman"/>
                <w:sz w:val="22"/>
                <w:szCs w:val="20"/>
              </w:rPr>
            </w:pPr>
            <w:hyperlink r:id="rId20" w:history="1">
              <w:r w:rsidR="005B6724" w:rsidRPr="0074136E">
                <w:rPr>
                  <w:rStyle w:val="Hyperlink"/>
                  <w:sz w:val="22"/>
                </w:rPr>
                <w:t>novotel.com</w:t>
              </w:r>
            </w:hyperlink>
            <w:r w:rsidR="005B6724" w:rsidRPr="0074136E">
              <w:rPr>
                <w:rStyle w:val="Hyperlink"/>
                <w:sz w:val="22"/>
              </w:rPr>
              <w:t xml:space="preserve">  </w:t>
            </w:r>
          </w:p>
          <w:p w:rsidR="005B6724" w:rsidRPr="0074136E" w:rsidRDefault="008A563D" w:rsidP="007A5E91">
            <w:pPr>
              <w:spacing w:after="120"/>
              <w:rPr>
                <w:sz w:val="22"/>
                <w:u w:val="single"/>
                <w:lang w:bidi="ar-EG"/>
              </w:rPr>
            </w:pPr>
            <w:hyperlink r:id="rId21" w:history="1">
              <w:r w:rsidR="005B6724" w:rsidRPr="0074136E">
                <w:rPr>
                  <w:rStyle w:val="Hyperlink"/>
                  <w:sz w:val="22"/>
                </w:rPr>
                <w:t>accorhotels.com</w:t>
              </w:r>
            </w:hyperlink>
          </w:p>
        </w:tc>
      </w:tr>
      <w:tr w:rsidR="005B6724" w:rsidTr="007A5E91">
        <w:tc>
          <w:tcPr>
            <w:tcW w:w="421" w:type="dxa"/>
            <w:vMerge/>
            <w:vAlign w:val="center"/>
          </w:tcPr>
          <w:p w:rsidR="005B6724" w:rsidRPr="0074136E" w:rsidRDefault="005B6724" w:rsidP="007A5E91">
            <w:pPr>
              <w:spacing w:after="120"/>
              <w:ind w:right="84"/>
              <w:jc w:val="center"/>
              <w:rPr>
                <w:sz w:val="22"/>
                <w:lang w:bidi="ar-EG"/>
              </w:rPr>
            </w:pPr>
          </w:p>
        </w:tc>
        <w:tc>
          <w:tcPr>
            <w:tcW w:w="1984" w:type="dxa"/>
            <w:vMerge/>
            <w:vAlign w:val="center"/>
          </w:tcPr>
          <w:p w:rsidR="005B6724" w:rsidRPr="0074136E" w:rsidRDefault="005B6724" w:rsidP="007A5E91">
            <w:pPr>
              <w:spacing w:after="120"/>
              <w:ind w:right="84"/>
              <w:jc w:val="center"/>
              <w:rPr>
                <w:sz w:val="22"/>
                <w:lang w:bidi="ar-EG"/>
              </w:rPr>
            </w:pPr>
          </w:p>
        </w:tc>
        <w:tc>
          <w:tcPr>
            <w:tcW w:w="851" w:type="dxa"/>
            <w:vMerge/>
            <w:vAlign w:val="center"/>
          </w:tcPr>
          <w:p w:rsidR="005B6724" w:rsidRPr="0074136E" w:rsidRDefault="005B6724" w:rsidP="007A5E91">
            <w:pPr>
              <w:spacing w:after="120"/>
              <w:ind w:right="84"/>
              <w:jc w:val="center"/>
              <w:rPr>
                <w:sz w:val="22"/>
                <w:lang w:bidi="ar-EG"/>
              </w:rPr>
            </w:pPr>
          </w:p>
        </w:tc>
        <w:tc>
          <w:tcPr>
            <w:tcW w:w="1134" w:type="dxa"/>
            <w:vAlign w:val="center"/>
          </w:tcPr>
          <w:p w:rsidR="005B6724" w:rsidRPr="0074136E" w:rsidRDefault="005B6724" w:rsidP="007A5E91">
            <w:pPr>
              <w:spacing w:after="120"/>
              <w:jc w:val="center"/>
              <w:rPr>
                <w:sz w:val="22"/>
                <w:lang w:bidi="ar-EG"/>
              </w:rPr>
            </w:pPr>
            <w:r w:rsidRPr="0074136E">
              <w:rPr>
                <w:sz w:val="22"/>
                <w:lang w:bidi="ar-EG"/>
              </w:rPr>
              <w:t>Superior Room</w:t>
            </w:r>
          </w:p>
          <w:p w:rsidR="005B6724" w:rsidRPr="0074136E" w:rsidRDefault="005B6724" w:rsidP="007A5E91">
            <w:pPr>
              <w:spacing w:after="120"/>
              <w:jc w:val="center"/>
              <w:rPr>
                <w:sz w:val="22"/>
                <w:lang w:bidi="ar-EG"/>
              </w:rPr>
            </w:pPr>
            <w:r w:rsidRPr="0074136E">
              <w:rPr>
                <w:sz w:val="22"/>
                <w:lang w:bidi="ar-EG"/>
              </w:rPr>
              <w:t>85</w:t>
            </w:r>
          </w:p>
        </w:tc>
        <w:tc>
          <w:tcPr>
            <w:tcW w:w="1134" w:type="dxa"/>
            <w:vAlign w:val="center"/>
          </w:tcPr>
          <w:p w:rsidR="005B6724" w:rsidRPr="0074136E" w:rsidRDefault="005B6724" w:rsidP="007A5E91">
            <w:pPr>
              <w:spacing w:after="120"/>
              <w:jc w:val="center"/>
              <w:rPr>
                <w:sz w:val="22"/>
                <w:lang w:bidi="ar-EG"/>
              </w:rPr>
            </w:pPr>
            <w:r w:rsidRPr="0074136E">
              <w:rPr>
                <w:sz w:val="22"/>
                <w:lang w:bidi="ar-EG"/>
              </w:rPr>
              <w:t>Superior Room</w:t>
            </w:r>
          </w:p>
          <w:p w:rsidR="005B6724" w:rsidRPr="0074136E" w:rsidRDefault="005B6724" w:rsidP="007A5E91">
            <w:pPr>
              <w:spacing w:after="120"/>
              <w:jc w:val="center"/>
              <w:rPr>
                <w:sz w:val="22"/>
                <w:lang w:bidi="ar-EG"/>
              </w:rPr>
            </w:pPr>
            <w:r w:rsidRPr="0074136E">
              <w:rPr>
                <w:sz w:val="22"/>
                <w:lang w:bidi="ar-EG"/>
              </w:rPr>
              <w:t>95</w:t>
            </w:r>
          </w:p>
        </w:tc>
        <w:tc>
          <w:tcPr>
            <w:tcW w:w="4682" w:type="dxa"/>
            <w:vMerge/>
            <w:vAlign w:val="center"/>
          </w:tcPr>
          <w:p w:rsidR="005B6724" w:rsidRPr="0074136E" w:rsidRDefault="005B6724" w:rsidP="007A5E91">
            <w:pPr>
              <w:spacing w:after="120"/>
              <w:rPr>
                <w:sz w:val="22"/>
                <w:lang w:bidi="ar-EG"/>
              </w:rPr>
            </w:pPr>
          </w:p>
        </w:tc>
      </w:tr>
      <w:tr w:rsidR="005B6724" w:rsidTr="007A5E91">
        <w:tc>
          <w:tcPr>
            <w:tcW w:w="421" w:type="dxa"/>
            <w:vAlign w:val="center"/>
          </w:tcPr>
          <w:p w:rsidR="005B6724" w:rsidRPr="0074136E" w:rsidRDefault="005B6724" w:rsidP="007A5E91">
            <w:pPr>
              <w:spacing w:after="120"/>
              <w:ind w:right="84"/>
              <w:jc w:val="center"/>
              <w:rPr>
                <w:sz w:val="22"/>
                <w:lang w:bidi="ar-EG"/>
              </w:rPr>
            </w:pPr>
            <w:r w:rsidRPr="0074136E">
              <w:rPr>
                <w:sz w:val="22"/>
                <w:lang w:bidi="ar-EG"/>
              </w:rPr>
              <w:t>2</w:t>
            </w:r>
          </w:p>
        </w:tc>
        <w:tc>
          <w:tcPr>
            <w:tcW w:w="1984" w:type="dxa"/>
            <w:vAlign w:val="center"/>
          </w:tcPr>
          <w:p w:rsidR="005B6724" w:rsidRPr="0074136E" w:rsidRDefault="004353A9" w:rsidP="007A5E91">
            <w:pPr>
              <w:spacing w:after="120"/>
              <w:ind w:right="84"/>
              <w:jc w:val="center"/>
              <w:rPr>
                <w:sz w:val="22"/>
                <w:lang w:bidi="ar-EG"/>
              </w:rPr>
            </w:pPr>
            <w:r w:rsidRPr="0020077E">
              <w:rPr>
                <w:sz w:val="22"/>
                <w:lang w:bidi="ar-EG"/>
              </w:rPr>
              <w:t>Le Passage Hotel &amp; Casino</w:t>
            </w:r>
          </w:p>
        </w:tc>
        <w:tc>
          <w:tcPr>
            <w:tcW w:w="851" w:type="dxa"/>
            <w:vAlign w:val="center"/>
          </w:tcPr>
          <w:p w:rsidR="005B6724" w:rsidRPr="0074136E" w:rsidRDefault="005B6724" w:rsidP="007A5E91">
            <w:pPr>
              <w:spacing w:after="120"/>
              <w:ind w:right="84"/>
              <w:jc w:val="center"/>
              <w:rPr>
                <w:sz w:val="22"/>
                <w:lang w:bidi="ar-EG"/>
              </w:rPr>
            </w:pPr>
            <w:r w:rsidRPr="0074136E">
              <w:rPr>
                <w:sz w:val="22"/>
                <w:lang w:bidi="ar-EG"/>
              </w:rPr>
              <w:t>5</w:t>
            </w:r>
          </w:p>
        </w:tc>
        <w:tc>
          <w:tcPr>
            <w:tcW w:w="1134" w:type="dxa"/>
            <w:vAlign w:val="center"/>
          </w:tcPr>
          <w:p w:rsidR="005B6724" w:rsidRPr="0074136E" w:rsidRDefault="004353A9" w:rsidP="007A5E91">
            <w:pPr>
              <w:spacing w:after="120"/>
              <w:jc w:val="center"/>
              <w:rPr>
                <w:sz w:val="22"/>
                <w:lang w:bidi="ar-EG"/>
              </w:rPr>
            </w:pPr>
            <w:r>
              <w:rPr>
                <w:sz w:val="22"/>
                <w:lang w:bidi="ar-EG"/>
              </w:rPr>
              <w:t>47</w:t>
            </w:r>
          </w:p>
        </w:tc>
        <w:tc>
          <w:tcPr>
            <w:tcW w:w="1134" w:type="dxa"/>
            <w:vAlign w:val="center"/>
          </w:tcPr>
          <w:p w:rsidR="005B6724" w:rsidRPr="0074136E" w:rsidRDefault="004353A9" w:rsidP="007A5E91">
            <w:pPr>
              <w:spacing w:after="120"/>
              <w:jc w:val="center"/>
              <w:rPr>
                <w:sz w:val="22"/>
                <w:lang w:bidi="ar-EG"/>
              </w:rPr>
            </w:pPr>
            <w:r>
              <w:rPr>
                <w:sz w:val="22"/>
                <w:lang w:bidi="ar-EG"/>
              </w:rPr>
              <w:t>60</w:t>
            </w:r>
          </w:p>
        </w:tc>
        <w:tc>
          <w:tcPr>
            <w:tcW w:w="4682" w:type="dxa"/>
            <w:vAlign w:val="center"/>
          </w:tcPr>
          <w:p w:rsidR="005B6724" w:rsidRPr="0074136E" w:rsidRDefault="005B6724" w:rsidP="007A5E91">
            <w:pPr>
              <w:spacing w:after="120"/>
              <w:rPr>
                <w:color w:val="0000FF" w:themeColor="hyperlink"/>
                <w:sz w:val="22"/>
                <w:u w:val="single"/>
              </w:rPr>
            </w:pPr>
            <w:r w:rsidRPr="0074136E">
              <w:rPr>
                <w:sz w:val="22"/>
                <w:lang w:bidi="ar-EG"/>
              </w:rPr>
              <w:t xml:space="preserve">Through </w:t>
            </w:r>
            <w:hyperlink r:id="rId22" w:history="1">
              <w:r w:rsidR="0020077E" w:rsidRPr="00C13DB2">
                <w:rPr>
                  <w:rStyle w:val="Hyperlink"/>
                  <w:sz w:val="22"/>
                </w:rPr>
                <w:t>www.booking.com</w:t>
              </w:r>
            </w:hyperlink>
            <w:r w:rsidRPr="0074136E">
              <w:rPr>
                <w:rStyle w:val="Hyperlink"/>
                <w:sz w:val="22"/>
              </w:rPr>
              <w:t xml:space="preserve"> </w:t>
            </w:r>
          </w:p>
        </w:tc>
      </w:tr>
      <w:tr w:rsidR="0020077E" w:rsidTr="007A5E91">
        <w:tc>
          <w:tcPr>
            <w:tcW w:w="421" w:type="dxa"/>
            <w:vAlign w:val="center"/>
          </w:tcPr>
          <w:p w:rsidR="0020077E" w:rsidRPr="0074136E" w:rsidRDefault="0020077E" w:rsidP="007A5E91">
            <w:pPr>
              <w:spacing w:after="120"/>
              <w:ind w:right="84"/>
              <w:jc w:val="center"/>
              <w:rPr>
                <w:sz w:val="22"/>
                <w:lang w:bidi="ar-EG"/>
              </w:rPr>
            </w:pPr>
            <w:r>
              <w:rPr>
                <w:sz w:val="22"/>
                <w:lang w:bidi="ar-EG"/>
              </w:rPr>
              <w:t>3</w:t>
            </w:r>
          </w:p>
        </w:tc>
        <w:tc>
          <w:tcPr>
            <w:tcW w:w="1984" w:type="dxa"/>
            <w:vAlign w:val="center"/>
          </w:tcPr>
          <w:p w:rsidR="0020077E" w:rsidRPr="0074136E" w:rsidRDefault="004353A9" w:rsidP="007A5E91">
            <w:pPr>
              <w:spacing w:after="120"/>
              <w:ind w:right="84"/>
              <w:jc w:val="center"/>
              <w:rPr>
                <w:sz w:val="22"/>
                <w:lang w:bidi="ar-EG"/>
              </w:rPr>
            </w:pPr>
            <w:r w:rsidRPr="0074136E">
              <w:rPr>
                <w:sz w:val="22"/>
                <w:lang w:bidi="ar-EG"/>
              </w:rPr>
              <w:t xml:space="preserve">Le </w:t>
            </w:r>
            <w:proofErr w:type="spellStart"/>
            <w:r w:rsidRPr="0074136E">
              <w:rPr>
                <w:sz w:val="22"/>
                <w:lang w:bidi="ar-EG"/>
              </w:rPr>
              <w:t>Méridien</w:t>
            </w:r>
            <w:proofErr w:type="spellEnd"/>
            <w:r w:rsidRPr="0074136E">
              <w:rPr>
                <w:sz w:val="22"/>
                <w:lang w:bidi="ar-EG"/>
              </w:rPr>
              <w:t xml:space="preserve"> Cairo Airport</w:t>
            </w:r>
          </w:p>
        </w:tc>
        <w:tc>
          <w:tcPr>
            <w:tcW w:w="851" w:type="dxa"/>
            <w:vAlign w:val="center"/>
          </w:tcPr>
          <w:p w:rsidR="0020077E" w:rsidRPr="0074136E" w:rsidRDefault="00121D3F" w:rsidP="007A5E91">
            <w:pPr>
              <w:spacing w:after="120"/>
              <w:ind w:right="84"/>
              <w:jc w:val="center"/>
              <w:rPr>
                <w:sz w:val="22"/>
                <w:lang w:bidi="ar-EG"/>
              </w:rPr>
            </w:pPr>
            <w:r>
              <w:rPr>
                <w:sz w:val="22"/>
                <w:lang w:bidi="ar-EG"/>
              </w:rPr>
              <w:t>5</w:t>
            </w:r>
          </w:p>
        </w:tc>
        <w:tc>
          <w:tcPr>
            <w:tcW w:w="1134" w:type="dxa"/>
            <w:vAlign w:val="center"/>
          </w:tcPr>
          <w:p w:rsidR="0020077E" w:rsidRPr="0074136E" w:rsidRDefault="00121D3F" w:rsidP="007A5E91">
            <w:pPr>
              <w:spacing w:after="120"/>
              <w:jc w:val="center"/>
              <w:rPr>
                <w:sz w:val="22"/>
                <w:lang w:bidi="ar-EG"/>
              </w:rPr>
            </w:pPr>
            <w:r>
              <w:rPr>
                <w:sz w:val="22"/>
                <w:lang w:bidi="ar-EG"/>
              </w:rPr>
              <w:t>145</w:t>
            </w:r>
          </w:p>
        </w:tc>
        <w:tc>
          <w:tcPr>
            <w:tcW w:w="1134" w:type="dxa"/>
            <w:vAlign w:val="center"/>
          </w:tcPr>
          <w:p w:rsidR="0020077E" w:rsidRPr="0074136E" w:rsidRDefault="00121D3F" w:rsidP="007A5E91">
            <w:pPr>
              <w:spacing w:after="120"/>
              <w:jc w:val="center"/>
              <w:rPr>
                <w:sz w:val="22"/>
                <w:lang w:bidi="ar-EG"/>
              </w:rPr>
            </w:pPr>
            <w:r>
              <w:rPr>
                <w:sz w:val="22"/>
                <w:lang w:bidi="ar-EG"/>
              </w:rPr>
              <w:t>195</w:t>
            </w:r>
          </w:p>
        </w:tc>
        <w:tc>
          <w:tcPr>
            <w:tcW w:w="4682" w:type="dxa"/>
            <w:vAlign w:val="center"/>
          </w:tcPr>
          <w:p w:rsidR="0020077E" w:rsidRPr="00121D3F" w:rsidRDefault="00B74F51" w:rsidP="007A5E91">
            <w:pPr>
              <w:spacing w:after="120"/>
              <w:rPr>
                <w:sz w:val="22"/>
                <w:lang w:bidi="ar-EG"/>
              </w:rPr>
            </w:pPr>
            <w:r>
              <w:t xml:space="preserve"> </w:t>
            </w:r>
            <w:r w:rsidRPr="0074136E">
              <w:rPr>
                <w:sz w:val="22"/>
                <w:lang w:bidi="ar-EG"/>
              </w:rPr>
              <w:t xml:space="preserve">Through </w:t>
            </w:r>
            <w:hyperlink r:id="rId23" w:history="1">
              <w:r w:rsidRPr="00C13DB2">
                <w:rPr>
                  <w:rStyle w:val="Hyperlink"/>
                  <w:sz w:val="22"/>
                </w:rPr>
                <w:t>www.booking.com</w:t>
              </w:r>
            </w:hyperlink>
          </w:p>
        </w:tc>
      </w:tr>
    </w:tbl>
    <w:p w:rsidR="005B6724" w:rsidRDefault="005B6724" w:rsidP="005B6724">
      <w:pPr>
        <w:ind w:right="84"/>
        <w:rPr>
          <w:lang w:bidi="ar-EG"/>
        </w:rPr>
      </w:pPr>
    </w:p>
    <w:p w:rsidR="005B6724" w:rsidRPr="0020077E" w:rsidRDefault="005B6724" w:rsidP="007A5E9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32"/>
          <w:szCs w:val="32"/>
          <w:lang w:bidi="ar-EG"/>
        </w:rPr>
      </w:pPr>
      <w:r w:rsidRPr="0020077E">
        <w:rPr>
          <w:b/>
          <w:bCs/>
          <w:szCs w:val="24"/>
          <w:lang w:bidi="ar-EG"/>
        </w:rPr>
        <w:t>Good to know</w:t>
      </w:r>
      <w:r w:rsidRPr="0020077E">
        <w:rPr>
          <w:b/>
          <w:bCs/>
          <w:sz w:val="32"/>
          <w:szCs w:val="32"/>
          <w:lang w:bidi="ar-EG"/>
        </w:rPr>
        <w:t xml:space="preserve"> </w:t>
      </w:r>
    </w:p>
    <w:p w:rsidR="005B6724" w:rsidRPr="009B2227" w:rsidRDefault="005B6724" w:rsidP="005B6724">
      <w:pPr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9B2227">
        <w:rPr>
          <w:rFonts w:ascii="Calibri" w:hAnsi="Calibri" w:cs="Calibri"/>
          <w:b/>
          <w:bCs/>
          <w:color w:val="000000"/>
        </w:rPr>
        <w:t>About Cairo</w:t>
      </w:r>
    </w:p>
    <w:p w:rsidR="005B6724" w:rsidRPr="009B2227" w:rsidRDefault="005B6724" w:rsidP="005B6724">
      <w:pPr>
        <w:jc w:val="both"/>
      </w:pPr>
      <w:r w:rsidRPr="009B2227">
        <w:t xml:space="preserve">Cairo, Egypt’s sprawling capital, is set on the Nile River. At its heart is </w:t>
      </w:r>
      <w:proofErr w:type="spellStart"/>
      <w:r w:rsidRPr="009B2227">
        <w:t>Tahrir</w:t>
      </w:r>
      <w:proofErr w:type="spellEnd"/>
      <w:r w:rsidRPr="009B2227">
        <w:t xml:space="preserve"> Square and the vast Egyptian Museum, a trove of antiquities including the royal mummies and gilded King Tutankhamun </w:t>
      </w:r>
      <w:proofErr w:type="gramStart"/>
      <w:r w:rsidR="00B74F51" w:rsidRPr="009B2227">
        <w:t>artefacts</w:t>
      </w:r>
      <w:r w:rsidRPr="009B2227">
        <w:t>.</w:t>
      </w:r>
      <w:proofErr w:type="gramEnd"/>
      <w:r w:rsidRPr="009B2227">
        <w:t xml:space="preserve"> Nearby, Giza is</w:t>
      </w:r>
      <w:r w:rsidR="00B74F51">
        <w:t xml:space="preserve"> the</w:t>
      </w:r>
      <w:r w:rsidRPr="009B2227">
        <w:t xml:space="preserve"> site of the iconic pyramids and Great Sphinx, dating to the 26th century B.C.E. In Gezira Island’s leafy Zamalek district, </w:t>
      </w:r>
      <w:r w:rsidR="00B74F51">
        <w:t xml:space="preserve">the </w:t>
      </w:r>
      <w:r w:rsidRPr="009B2227">
        <w:t>187m Cairo Tower affords panoramic city views.</w:t>
      </w:r>
    </w:p>
    <w:p w:rsidR="00C9061B" w:rsidRDefault="00C906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br w:type="page"/>
      </w:r>
    </w:p>
    <w:p w:rsidR="005B6724" w:rsidRPr="009B2227" w:rsidRDefault="005B6724" w:rsidP="005B6724">
      <w:pPr>
        <w:jc w:val="both"/>
        <w:rPr>
          <w:rFonts w:ascii="Calibri" w:hAnsi="Calibri" w:cs="Calibri"/>
          <w:b/>
          <w:bCs/>
          <w:color w:val="000000"/>
        </w:rPr>
      </w:pPr>
      <w:r w:rsidRPr="009B2227">
        <w:rPr>
          <w:rFonts w:ascii="Calibri" w:hAnsi="Calibri" w:cs="Calibri"/>
          <w:b/>
          <w:bCs/>
          <w:color w:val="000000"/>
        </w:rPr>
        <w:lastRenderedPageBreak/>
        <w:t>Weather</w:t>
      </w:r>
    </w:p>
    <w:p w:rsidR="005B6724" w:rsidRPr="00B74F51" w:rsidRDefault="005B6724" w:rsidP="0074136E">
      <w:pPr>
        <w:jc w:val="both"/>
        <w:rPr>
          <w:lang w:bidi="ar-EG"/>
        </w:rPr>
      </w:pPr>
      <w:r w:rsidRPr="009B2227">
        <w:rPr>
          <w:lang w:bidi="ar-EG"/>
        </w:rPr>
        <w:t>In April, average temperatures in Cairo range between 13°C and 29°C. There are 10 hours of sunshine a day.</w:t>
      </w:r>
      <w:r w:rsidR="0074136E">
        <w:rPr>
          <w:lang w:bidi="ar-EG"/>
        </w:rPr>
        <w:t xml:space="preserve"> </w:t>
      </w:r>
      <w:r w:rsidRPr="00B74F51">
        <w:rPr>
          <w:lang w:bidi="ar-EG"/>
        </w:rPr>
        <w:t>The expected temperatures during</w:t>
      </w:r>
      <w:r w:rsidR="00B74F51" w:rsidRPr="00B74F51">
        <w:rPr>
          <w:lang w:bidi="ar-EG"/>
        </w:rPr>
        <w:t xml:space="preserve"> the</w:t>
      </w:r>
      <w:r w:rsidRPr="00B74F51">
        <w:rPr>
          <w:lang w:bidi="ar-EG"/>
        </w:rPr>
        <w:t xml:space="preserve"> ITU-T SG11 and SG13 Regional Groups for Africa meetings are: </w:t>
      </w:r>
    </w:p>
    <w:tbl>
      <w:tblPr>
        <w:tblStyle w:val="LightShading1"/>
        <w:tblW w:w="0" w:type="auto"/>
        <w:jc w:val="center"/>
        <w:tblLook w:val="04A0" w:firstRow="1" w:lastRow="0" w:firstColumn="1" w:lastColumn="0" w:noHBand="0" w:noVBand="1"/>
      </w:tblPr>
      <w:tblGrid>
        <w:gridCol w:w="1491"/>
        <w:gridCol w:w="1491"/>
        <w:gridCol w:w="1491"/>
        <w:gridCol w:w="1491"/>
        <w:gridCol w:w="1491"/>
      </w:tblGrid>
      <w:tr w:rsidR="005B6724" w:rsidRPr="00B74F51" w:rsidTr="007149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5B6724" w:rsidRPr="007A5E91" w:rsidRDefault="005B6724" w:rsidP="008C40D6">
            <w:pPr>
              <w:pStyle w:val="ListParagraph"/>
              <w:spacing w:before="0"/>
              <w:ind w:left="0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7A5E91">
              <w:rPr>
                <w:rFonts w:asciiTheme="minorHAnsi" w:hAnsiTheme="minorHAnsi"/>
              </w:rPr>
              <w:t>2 April 2017</w:t>
            </w:r>
          </w:p>
        </w:tc>
        <w:tc>
          <w:tcPr>
            <w:tcW w:w="1491" w:type="dxa"/>
          </w:tcPr>
          <w:p w:rsidR="005B6724" w:rsidRPr="007A5E91" w:rsidRDefault="005B6724" w:rsidP="005B672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</w:rPr>
            </w:pPr>
            <w:r w:rsidRPr="007A5E91">
              <w:rPr>
                <w:rFonts w:asciiTheme="minorHAnsi" w:hAnsiTheme="minorHAnsi"/>
              </w:rPr>
              <w:t>3 April 2017</w:t>
            </w:r>
          </w:p>
        </w:tc>
        <w:tc>
          <w:tcPr>
            <w:tcW w:w="1491" w:type="dxa"/>
          </w:tcPr>
          <w:p w:rsidR="005B6724" w:rsidRPr="007A5E91" w:rsidDel="000B75F4" w:rsidRDefault="005B6724" w:rsidP="005B672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</w:rPr>
            </w:pPr>
            <w:r w:rsidRPr="007A5E91">
              <w:rPr>
                <w:rFonts w:asciiTheme="minorHAnsi" w:hAnsiTheme="minorHAnsi"/>
              </w:rPr>
              <w:t>4 April 2017</w:t>
            </w:r>
          </w:p>
        </w:tc>
        <w:tc>
          <w:tcPr>
            <w:tcW w:w="1491" w:type="dxa"/>
          </w:tcPr>
          <w:p w:rsidR="005B6724" w:rsidRPr="007A5E91" w:rsidDel="000B75F4" w:rsidRDefault="005B6724" w:rsidP="005B672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</w:rPr>
            </w:pPr>
            <w:r w:rsidRPr="007A5E91">
              <w:rPr>
                <w:rFonts w:asciiTheme="minorHAnsi" w:hAnsiTheme="minorHAnsi"/>
              </w:rPr>
              <w:t>5 April 2017</w:t>
            </w:r>
          </w:p>
        </w:tc>
        <w:tc>
          <w:tcPr>
            <w:tcW w:w="1491" w:type="dxa"/>
          </w:tcPr>
          <w:p w:rsidR="005B6724" w:rsidRPr="007A5E91" w:rsidDel="000B75F4" w:rsidRDefault="005B6724" w:rsidP="005B672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</w:rPr>
            </w:pPr>
            <w:r w:rsidRPr="007A5E91">
              <w:rPr>
                <w:rFonts w:asciiTheme="minorHAnsi" w:hAnsiTheme="minorHAnsi"/>
              </w:rPr>
              <w:t>6 April 2017</w:t>
            </w:r>
          </w:p>
        </w:tc>
      </w:tr>
      <w:tr w:rsidR="005B6724" w:rsidRPr="00B74F51" w:rsidTr="00714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shd w:val="clear" w:color="auto" w:fill="F2F2F2" w:themeFill="background1" w:themeFillShade="F2"/>
          </w:tcPr>
          <w:p w:rsidR="005B6724" w:rsidRPr="005A03F5" w:rsidRDefault="005B6724" w:rsidP="005B6724">
            <w:pPr>
              <w:pStyle w:val="ListParagraph"/>
              <w:ind w:left="0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5A03F5">
              <w:rPr>
                <w:rFonts w:asciiTheme="minorHAnsi" w:hAnsiTheme="minorHAnsi"/>
                <w:b w:val="0"/>
                <w:bCs w:val="0"/>
              </w:rPr>
              <w:t>Average</w:t>
            </w:r>
          </w:p>
          <w:p w:rsidR="005B6724" w:rsidRPr="00B74F51" w:rsidRDefault="005B6724" w:rsidP="005B6724">
            <w:pPr>
              <w:jc w:val="center"/>
              <w:rPr>
                <w:lang w:bidi="ar-EG"/>
              </w:rPr>
            </w:pPr>
            <w:r w:rsidRPr="005A03F5">
              <w:rPr>
                <w:b w:val="0"/>
                <w:bCs w:val="0"/>
              </w:rPr>
              <w:t>High:</w:t>
            </w:r>
            <w:r w:rsidR="00C9061B" w:rsidRPr="005A03F5">
              <w:rPr>
                <w:b w:val="0"/>
                <w:bCs w:val="0"/>
              </w:rPr>
              <w:t xml:space="preserve"> </w:t>
            </w:r>
            <w:r w:rsidRPr="005A03F5">
              <w:rPr>
                <w:b w:val="0"/>
                <w:bCs w:val="0"/>
              </w:rPr>
              <w:t xml:space="preserve">29°C </w:t>
            </w:r>
            <w:r w:rsidRPr="005A03F5">
              <w:rPr>
                <w:b w:val="0"/>
                <w:bCs w:val="0"/>
              </w:rPr>
              <w:br/>
              <w:t>Low:</w:t>
            </w:r>
            <w:r w:rsidR="00C9061B" w:rsidRPr="005A03F5">
              <w:rPr>
                <w:b w:val="0"/>
                <w:bCs w:val="0"/>
              </w:rPr>
              <w:t xml:space="preserve"> </w:t>
            </w:r>
            <w:r w:rsidRPr="005A03F5">
              <w:rPr>
                <w:b w:val="0"/>
                <w:bCs w:val="0"/>
              </w:rPr>
              <w:t>11°C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5B6724" w:rsidRPr="00B74F51" w:rsidRDefault="005B6724" w:rsidP="005B6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EG"/>
              </w:rPr>
            </w:pPr>
            <w:r w:rsidRPr="00B74F51">
              <w:rPr>
                <w:lang w:bidi="ar-EG"/>
              </w:rPr>
              <w:t>Average</w:t>
            </w:r>
          </w:p>
          <w:p w:rsidR="005B6724" w:rsidRPr="00B74F51" w:rsidRDefault="005B6724" w:rsidP="005B6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EG"/>
              </w:rPr>
            </w:pPr>
            <w:r w:rsidRPr="00B74F51">
              <w:t>High:</w:t>
            </w:r>
            <w:r w:rsidR="00C9061B">
              <w:t xml:space="preserve"> </w:t>
            </w:r>
            <w:r w:rsidRPr="00B74F51">
              <w:t xml:space="preserve">25°C </w:t>
            </w:r>
            <w:r w:rsidRPr="00B74F51">
              <w:br/>
              <w:t>Low:</w:t>
            </w:r>
            <w:r w:rsidR="00C9061B">
              <w:t xml:space="preserve"> </w:t>
            </w:r>
            <w:r w:rsidRPr="00B74F51">
              <w:t>12°C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5B6724" w:rsidRPr="00B74F51" w:rsidRDefault="005B6724" w:rsidP="005B6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EG"/>
              </w:rPr>
            </w:pPr>
            <w:r w:rsidRPr="00B74F51">
              <w:rPr>
                <w:lang w:bidi="ar-EG"/>
              </w:rPr>
              <w:t>Average</w:t>
            </w:r>
          </w:p>
          <w:p w:rsidR="005B6724" w:rsidRPr="00B74F51" w:rsidRDefault="005B6724" w:rsidP="005B6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4F51">
              <w:t>High:</w:t>
            </w:r>
            <w:r w:rsidR="00C9061B">
              <w:t xml:space="preserve"> </w:t>
            </w:r>
            <w:r w:rsidRPr="00B74F51">
              <w:t>25°C</w:t>
            </w:r>
          </w:p>
          <w:p w:rsidR="005B6724" w:rsidRPr="00B74F51" w:rsidRDefault="005B6724" w:rsidP="008C40D6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EG"/>
              </w:rPr>
            </w:pPr>
            <w:r w:rsidRPr="00B74F51">
              <w:t>Low:</w:t>
            </w:r>
            <w:r w:rsidR="00C9061B">
              <w:t xml:space="preserve"> </w:t>
            </w:r>
            <w:r w:rsidRPr="00B74F51">
              <w:t>10°C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5B6724" w:rsidRPr="00B74F51" w:rsidRDefault="005B6724" w:rsidP="005B6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EG"/>
              </w:rPr>
            </w:pPr>
            <w:r w:rsidRPr="00B74F51">
              <w:rPr>
                <w:lang w:bidi="ar-EG"/>
              </w:rPr>
              <w:t>Average</w:t>
            </w:r>
          </w:p>
          <w:p w:rsidR="005B6724" w:rsidRPr="00B74F51" w:rsidRDefault="005B6724" w:rsidP="005B6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4F51">
              <w:t>High:</w:t>
            </w:r>
            <w:r w:rsidR="00C9061B">
              <w:t xml:space="preserve"> </w:t>
            </w:r>
            <w:r w:rsidRPr="00B74F51">
              <w:t>24°C</w:t>
            </w:r>
          </w:p>
          <w:p w:rsidR="005B6724" w:rsidRPr="00B74F51" w:rsidRDefault="005B6724" w:rsidP="008C40D6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EG"/>
              </w:rPr>
            </w:pPr>
            <w:r w:rsidRPr="00B74F51">
              <w:t>Low:</w:t>
            </w:r>
            <w:r w:rsidR="00C9061B">
              <w:t xml:space="preserve"> </w:t>
            </w:r>
            <w:r w:rsidRPr="00B74F51">
              <w:t>13°C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5B6724" w:rsidRPr="00B74F51" w:rsidRDefault="005B6724" w:rsidP="005B6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EG"/>
              </w:rPr>
            </w:pPr>
            <w:r w:rsidRPr="00B74F51">
              <w:rPr>
                <w:lang w:bidi="ar-EG"/>
              </w:rPr>
              <w:t>Average</w:t>
            </w:r>
          </w:p>
          <w:p w:rsidR="005B6724" w:rsidRPr="00B74F51" w:rsidRDefault="005B6724" w:rsidP="005B6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4F51">
              <w:t>High:</w:t>
            </w:r>
            <w:r w:rsidR="00C9061B">
              <w:t xml:space="preserve"> </w:t>
            </w:r>
            <w:r w:rsidRPr="00B74F51">
              <w:t>28°C</w:t>
            </w:r>
          </w:p>
          <w:p w:rsidR="005B6724" w:rsidRPr="00B74F51" w:rsidRDefault="005B6724" w:rsidP="008C40D6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EG"/>
              </w:rPr>
            </w:pPr>
            <w:r w:rsidRPr="00B74F51">
              <w:t>Low:</w:t>
            </w:r>
            <w:r w:rsidR="00C9061B">
              <w:t xml:space="preserve"> </w:t>
            </w:r>
            <w:r w:rsidRPr="00B74F51">
              <w:t>13°C</w:t>
            </w:r>
          </w:p>
        </w:tc>
      </w:tr>
    </w:tbl>
    <w:p w:rsidR="00B544CA" w:rsidRDefault="005B6724" w:rsidP="007A5E91">
      <w:pPr>
        <w:keepNext/>
        <w:keepLines/>
        <w:spacing w:after="120"/>
        <w:rPr>
          <w:rFonts w:ascii="Calibri" w:hAnsi="Calibri" w:cs="Calibri"/>
          <w:b/>
          <w:bCs/>
          <w:color w:val="000000"/>
        </w:rPr>
      </w:pPr>
      <w:r w:rsidRPr="009B2227">
        <w:rPr>
          <w:rFonts w:ascii="Calibri" w:hAnsi="Calibri" w:cs="Calibri"/>
          <w:b/>
          <w:bCs/>
          <w:color w:val="000000"/>
        </w:rPr>
        <w:t>Time zone</w:t>
      </w:r>
    </w:p>
    <w:p w:rsidR="005B6724" w:rsidRPr="009B2227" w:rsidRDefault="005B6724" w:rsidP="007A5E91">
      <w:pPr>
        <w:keepNext/>
        <w:keepLines/>
        <w:spacing w:after="120"/>
        <w:rPr>
          <w:lang w:bidi="ar-EG"/>
        </w:rPr>
      </w:pPr>
      <w:r w:rsidRPr="009B2227">
        <w:rPr>
          <w:lang w:bidi="ar-EG"/>
        </w:rPr>
        <w:t>The Arab Republic of Egypt is on Eastern Europe Time – Greenwich Mean Time (GMT) plus 2 hours.</w:t>
      </w:r>
    </w:p>
    <w:p w:rsidR="005B6724" w:rsidRPr="009B2227" w:rsidRDefault="005B6724" w:rsidP="00B544CA">
      <w:pPr>
        <w:spacing w:after="120"/>
        <w:jc w:val="both"/>
        <w:rPr>
          <w:rFonts w:ascii="Calibri" w:hAnsi="Calibri" w:cs="Calibri"/>
          <w:b/>
          <w:bCs/>
          <w:color w:val="000000"/>
        </w:rPr>
      </w:pPr>
      <w:r w:rsidRPr="009B2227">
        <w:rPr>
          <w:rFonts w:ascii="Calibri" w:hAnsi="Calibri" w:cs="Calibri"/>
          <w:b/>
          <w:bCs/>
          <w:color w:val="000000"/>
        </w:rPr>
        <w:t xml:space="preserve">Currency and banking </w:t>
      </w:r>
    </w:p>
    <w:p w:rsidR="005B6724" w:rsidRPr="009B2227" w:rsidRDefault="005B6724">
      <w:pPr>
        <w:spacing w:before="0"/>
        <w:rPr>
          <w:lang w:bidi="ar-EG"/>
        </w:rPr>
      </w:pPr>
      <w:r w:rsidRPr="009B2227">
        <w:rPr>
          <w:lang w:bidi="ar-EG"/>
        </w:rPr>
        <w:t>The official currency of Egypt is the Egyptian Pound (EGP). Visa, American Express, Access/MasterCard can be used. Banks are open from Sunday to Thursday, from 8.30 a.m. to 2</w:t>
      </w:r>
      <w:r w:rsidR="00B74F51">
        <w:rPr>
          <w:lang w:bidi="ar-EG"/>
        </w:rPr>
        <w:t>.00 </w:t>
      </w:r>
      <w:r w:rsidRPr="009B2227">
        <w:rPr>
          <w:lang w:bidi="ar-EG"/>
        </w:rPr>
        <w:t>p.m. The exchange rates in Egypt can be found at the below link:</w:t>
      </w:r>
    </w:p>
    <w:p w:rsidR="005B6724" w:rsidRPr="009B2227" w:rsidRDefault="008A563D" w:rsidP="005B6724">
      <w:pPr>
        <w:tabs>
          <w:tab w:val="left" w:pos="8190"/>
        </w:tabs>
        <w:ind w:right="116"/>
        <w:jc w:val="both"/>
        <w:rPr>
          <w:lang w:bidi="ar-EG"/>
        </w:rPr>
      </w:pPr>
      <w:hyperlink r:id="rId24" w:history="1">
        <w:r w:rsidR="005B6724" w:rsidRPr="009B2227">
          <w:rPr>
            <w:rStyle w:val="Hyperlink"/>
            <w:lang w:bidi="ar-EG"/>
          </w:rPr>
          <w:t>http://www.cbe.org.eg/en/EconomicResearch/Statistics/Pages/ExchangeRatesListing.aspx</w:t>
        </w:r>
      </w:hyperlink>
      <w:r w:rsidR="005B6724" w:rsidRPr="009B2227">
        <w:rPr>
          <w:lang w:bidi="ar-EG"/>
        </w:rPr>
        <w:t xml:space="preserve"> </w:t>
      </w:r>
    </w:p>
    <w:p w:rsidR="005B6724" w:rsidRPr="009B2227" w:rsidRDefault="005B6724" w:rsidP="005B6724">
      <w:pPr>
        <w:jc w:val="both"/>
        <w:rPr>
          <w:rFonts w:cs="Calibri"/>
          <w:b/>
          <w:bCs/>
          <w:color w:val="000000"/>
        </w:rPr>
      </w:pPr>
      <w:r w:rsidRPr="009B2227">
        <w:rPr>
          <w:rFonts w:cs="Calibri"/>
          <w:b/>
          <w:bCs/>
          <w:color w:val="000000"/>
        </w:rPr>
        <w:t>Electricity</w:t>
      </w:r>
    </w:p>
    <w:p w:rsidR="005B6724" w:rsidRDefault="005B6724" w:rsidP="00B74F51">
      <w:pPr>
        <w:ind w:right="90"/>
        <w:jc w:val="both"/>
        <w:rPr>
          <w:lang w:bidi="ar-EG"/>
        </w:rPr>
      </w:pPr>
      <w:r w:rsidRPr="007A5E91">
        <w:t>AC power voltage in Egypt is 220V, frequency ~50Hz. Most electrical outlets are as shown below</w:t>
      </w:r>
      <w:r w:rsidRPr="009B2227">
        <w:rPr>
          <w:lang w:bidi="ar-EG"/>
        </w:rPr>
        <w:t>.</w:t>
      </w:r>
    </w:p>
    <w:p w:rsidR="00943626" w:rsidRPr="009B2227" w:rsidRDefault="00943626" w:rsidP="00943626">
      <w:pPr>
        <w:ind w:right="3628"/>
        <w:jc w:val="center"/>
        <w:rPr>
          <w:rFonts w:ascii="Calibri" w:hAnsi="Calibri" w:cs="Calibri"/>
          <w:noProof/>
          <w:color w:val="000000"/>
          <w:szCs w:val="24"/>
        </w:rPr>
      </w:pPr>
      <w:r w:rsidRPr="009B2227">
        <w:rPr>
          <w:rFonts w:ascii="Calibri" w:hAnsi="Calibri" w:cs="Calibri"/>
          <w:noProof/>
          <w:color w:val="000000"/>
          <w:szCs w:val="24"/>
          <w:lang w:val="en-US" w:eastAsia="zh-CN"/>
        </w:rPr>
        <w:drawing>
          <wp:inline distT="0" distB="0" distL="0" distR="0">
            <wp:extent cx="1559625" cy="682820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625" cy="68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51" w:rsidRDefault="005B6724">
      <w:pPr>
        <w:jc w:val="both"/>
      </w:pPr>
      <w:r w:rsidRPr="009B2227">
        <w:rPr>
          <w:rFonts w:cs="Calibri"/>
          <w:b/>
          <w:bCs/>
          <w:color w:val="000000"/>
        </w:rPr>
        <w:t>Important telephone numbers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4"/>
        <w:gridCol w:w="1278"/>
      </w:tblGrid>
      <w:tr w:rsidR="0074136E" w:rsidTr="007A5E91">
        <w:trPr>
          <w:jc w:val="center"/>
        </w:trPr>
        <w:tc>
          <w:tcPr>
            <w:tcW w:w="2124" w:type="dxa"/>
          </w:tcPr>
          <w:p w:rsidR="0074136E" w:rsidRDefault="0074136E" w:rsidP="007A5E91">
            <w:r w:rsidRPr="009B2227">
              <w:rPr>
                <w:lang w:bidi="ar-EG"/>
              </w:rPr>
              <w:t>General emergency</w:t>
            </w:r>
          </w:p>
        </w:tc>
        <w:tc>
          <w:tcPr>
            <w:tcW w:w="1278" w:type="dxa"/>
          </w:tcPr>
          <w:p w:rsidR="0074136E" w:rsidRPr="0074136E" w:rsidRDefault="0074136E" w:rsidP="007A5E91">
            <w:pPr>
              <w:rPr>
                <w:lang w:bidi="ar-EG"/>
              </w:rPr>
            </w:pPr>
            <w:r w:rsidRPr="009B2227">
              <w:rPr>
                <w:lang w:bidi="ar-EG"/>
              </w:rPr>
              <w:t>112</w:t>
            </w:r>
          </w:p>
        </w:tc>
      </w:tr>
      <w:tr w:rsidR="0074136E" w:rsidTr="007A5E91">
        <w:trPr>
          <w:jc w:val="center"/>
        </w:trPr>
        <w:tc>
          <w:tcPr>
            <w:tcW w:w="2124" w:type="dxa"/>
          </w:tcPr>
          <w:p w:rsidR="0074136E" w:rsidRDefault="0074136E" w:rsidP="007A5E91">
            <w:r w:rsidRPr="009B2227">
              <w:rPr>
                <w:lang w:bidi="ar-EG"/>
              </w:rPr>
              <w:t>Fire Department</w:t>
            </w:r>
          </w:p>
        </w:tc>
        <w:tc>
          <w:tcPr>
            <w:tcW w:w="1278" w:type="dxa"/>
          </w:tcPr>
          <w:p w:rsidR="0074136E" w:rsidRDefault="0074136E" w:rsidP="007A5E91">
            <w:r w:rsidRPr="009B2227">
              <w:rPr>
                <w:lang w:bidi="ar-EG"/>
              </w:rPr>
              <w:t>180</w:t>
            </w:r>
          </w:p>
        </w:tc>
      </w:tr>
      <w:tr w:rsidR="0074136E" w:rsidTr="007A5E91">
        <w:trPr>
          <w:jc w:val="center"/>
        </w:trPr>
        <w:tc>
          <w:tcPr>
            <w:tcW w:w="2124" w:type="dxa"/>
          </w:tcPr>
          <w:p w:rsidR="0074136E" w:rsidRDefault="0074136E" w:rsidP="007A5E91">
            <w:r w:rsidRPr="009B2227">
              <w:rPr>
                <w:lang w:bidi="ar-EG"/>
              </w:rPr>
              <w:t>Ambulance</w:t>
            </w:r>
          </w:p>
        </w:tc>
        <w:tc>
          <w:tcPr>
            <w:tcW w:w="1278" w:type="dxa"/>
          </w:tcPr>
          <w:p w:rsidR="0074136E" w:rsidRDefault="0074136E" w:rsidP="007A5E91">
            <w:r w:rsidRPr="009B2227">
              <w:rPr>
                <w:lang w:bidi="ar-EG"/>
              </w:rPr>
              <w:t>123</w:t>
            </w:r>
          </w:p>
        </w:tc>
      </w:tr>
      <w:tr w:rsidR="0074136E" w:rsidTr="007A5E91">
        <w:trPr>
          <w:jc w:val="center"/>
        </w:trPr>
        <w:tc>
          <w:tcPr>
            <w:tcW w:w="2124" w:type="dxa"/>
          </w:tcPr>
          <w:p w:rsidR="0074136E" w:rsidRDefault="0074136E" w:rsidP="007A5E91">
            <w:r w:rsidRPr="009B2227">
              <w:rPr>
                <w:lang w:bidi="ar-EG"/>
              </w:rPr>
              <w:t>Police</w:t>
            </w:r>
          </w:p>
        </w:tc>
        <w:tc>
          <w:tcPr>
            <w:tcW w:w="1278" w:type="dxa"/>
          </w:tcPr>
          <w:p w:rsidR="0074136E" w:rsidRDefault="0074136E" w:rsidP="007A5E91">
            <w:r w:rsidRPr="009B2227">
              <w:rPr>
                <w:lang w:bidi="ar-EG"/>
              </w:rPr>
              <w:t>122</w:t>
            </w:r>
          </w:p>
        </w:tc>
      </w:tr>
    </w:tbl>
    <w:p w:rsidR="005B6724" w:rsidRPr="0020077E" w:rsidRDefault="00943626" w:rsidP="005B6724">
      <w:pPr>
        <w:rPr>
          <w:b/>
          <w:bCs/>
          <w:sz w:val="32"/>
          <w:szCs w:val="32"/>
          <w:lang w:bidi="ar-EG"/>
        </w:rPr>
      </w:pPr>
      <w:r w:rsidRPr="0020077E">
        <w:rPr>
          <w:b/>
          <w:bCs/>
          <w:szCs w:val="24"/>
          <w:lang w:bidi="ar-EG"/>
        </w:rPr>
        <w:t>Host country contact</w:t>
      </w:r>
    </w:p>
    <w:p w:rsidR="005B6724" w:rsidRPr="00CD75ED" w:rsidRDefault="0050239F" w:rsidP="00943626">
      <w:pPr>
        <w:pStyle w:val="Default"/>
        <w:spacing w:before="120"/>
        <w:jc w:val="both"/>
        <w:rPr>
          <w:rFonts w:asciiTheme="minorHAnsi" w:hAnsiTheme="minorHAnsi" w:cstheme="minorBidi"/>
          <w:b/>
          <w:bCs/>
          <w:color w:val="auto"/>
        </w:rPr>
      </w:pPr>
      <w:proofErr w:type="spellStart"/>
      <w:r>
        <w:rPr>
          <w:rFonts w:asciiTheme="minorHAnsi" w:hAnsiTheme="minorHAnsi" w:cstheme="minorBidi"/>
          <w:b/>
          <w:bCs/>
          <w:color w:val="auto"/>
        </w:rPr>
        <w:t>Mrs</w:t>
      </w:r>
      <w:proofErr w:type="spellEnd"/>
      <w:r w:rsidR="005B6724" w:rsidRPr="00CD75ED">
        <w:rPr>
          <w:rFonts w:asciiTheme="minorHAnsi" w:hAnsiTheme="minorHAnsi" w:cstheme="minorBidi"/>
          <w:b/>
          <w:bCs/>
          <w:color w:val="auto"/>
        </w:rPr>
        <w:t xml:space="preserve"> </w:t>
      </w:r>
      <w:proofErr w:type="spellStart"/>
      <w:r w:rsidR="005B6724" w:rsidRPr="00CD75ED">
        <w:rPr>
          <w:rFonts w:asciiTheme="minorHAnsi" w:hAnsiTheme="minorHAnsi" w:cstheme="minorBidi"/>
          <w:b/>
          <w:bCs/>
          <w:color w:val="auto"/>
        </w:rPr>
        <w:t>Shahira</w:t>
      </w:r>
      <w:proofErr w:type="spellEnd"/>
      <w:r w:rsidR="005B6724" w:rsidRPr="00CD75ED">
        <w:rPr>
          <w:rFonts w:asciiTheme="minorHAnsi" w:hAnsiTheme="minorHAnsi" w:cstheme="minorBidi"/>
          <w:b/>
          <w:bCs/>
          <w:color w:val="auto"/>
        </w:rPr>
        <w:t xml:space="preserve"> </w:t>
      </w:r>
      <w:proofErr w:type="spellStart"/>
      <w:r w:rsidR="005B6724" w:rsidRPr="00CD75ED">
        <w:rPr>
          <w:rFonts w:asciiTheme="minorHAnsi" w:hAnsiTheme="minorHAnsi" w:cstheme="minorBidi"/>
          <w:b/>
          <w:bCs/>
          <w:color w:val="auto"/>
        </w:rPr>
        <w:t>Selim</w:t>
      </w:r>
      <w:proofErr w:type="spellEnd"/>
    </w:p>
    <w:p w:rsidR="005B6724" w:rsidRPr="00CD75ED" w:rsidRDefault="005B6724" w:rsidP="0074136E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CD75ED">
        <w:rPr>
          <w:rFonts w:asciiTheme="minorHAnsi" w:hAnsiTheme="minorHAnsi" w:cstheme="minorBidi"/>
          <w:color w:val="auto"/>
        </w:rPr>
        <w:t>Senior Manager, ITU Affairs</w:t>
      </w:r>
      <w:r w:rsidR="0074136E">
        <w:rPr>
          <w:rFonts w:asciiTheme="minorHAnsi" w:hAnsiTheme="minorHAnsi" w:cstheme="minorBidi"/>
          <w:color w:val="auto"/>
        </w:rPr>
        <w:t xml:space="preserve">, </w:t>
      </w:r>
      <w:r w:rsidRPr="00CD75ED">
        <w:rPr>
          <w:rFonts w:asciiTheme="minorHAnsi" w:hAnsiTheme="minorHAnsi" w:cstheme="minorBidi"/>
          <w:color w:val="auto"/>
        </w:rPr>
        <w:t>International Relations Department</w:t>
      </w:r>
    </w:p>
    <w:p w:rsidR="005B6724" w:rsidRPr="00CD75ED" w:rsidRDefault="005B6724" w:rsidP="005B6724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CD75ED">
        <w:rPr>
          <w:rFonts w:asciiTheme="minorHAnsi" w:hAnsiTheme="minorHAnsi" w:cstheme="minorBidi"/>
          <w:color w:val="auto"/>
        </w:rPr>
        <w:t>The National Telecom Regulatory Authority (NTRA), Egypt</w:t>
      </w:r>
    </w:p>
    <w:p w:rsidR="005B6724" w:rsidRPr="00CD75ED" w:rsidRDefault="005B6724" w:rsidP="0074136E">
      <w:pPr>
        <w:pStyle w:val="Default"/>
        <w:jc w:val="both"/>
        <w:rPr>
          <w:rStyle w:val="Hyperlink"/>
        </w:rPr>
      </w:pPr>
      <w:r w:rsidRPr="00CD75ED">
        <w:rPr>
          <w:rFonts w:asciiTheme="minorHAnsi" w:hAnsiTheme="minorHAnsi" w:cstheme="minorBidi"/>
          <w:color w:val="auto"/>
        </w:rPr>
        <w:t>Tel: +20 2 35344259</w:t>
      </w:r>
      <w:r w:rsidR="0074136E">
        <w:rPr>
          <w:rFonts w:asciiTheme="minorHAnsi" w:hAnsiTheme="minorHAnsi" w:cstheme="minorBidi"/>
          <w:color w:val="auto"/>
        </w:rPr>
        <w:t xml:space="preserve">, </w:t>
      </w:r>
      <w:r w:rsidRPr="00CD75ED">
        <w:rPr>
          <w:rFonts w:asciiTheme="minorHAnsi" w:hAnsiTheme="minorHAnsi" w:cstheme="minorBidi"/>
          <w:color w:val="auto"/>
        </w:rPr>
        <w:t>Fax: +20 2 35344155</w:t>
      </w:r>
      <w:r w:rsidR="0074136E">
        <w:rPr>
          <w:rFonts w:asciiTheme="minorHAnsi" w:hAnsiTheme="minorHAnsi" w:cstheme="minorBidi"/>
          <w:color w:val="auto"/>
        </w:rPr>
        <w:t xml:space="preserve">, </w:t>
      </w:r>
      <w:r w:rsidRPr="00CD75ED">
        <w:rPr>
          <w:rFonts w:asciiTheme="minorHAnsi" w:hAnsiTheme="minorHAnsi" w:cstheme="minorBidi"/>
          <w:color w:val="auto"/>
        </w:rPr>
        <w:t>E</w:t>
      </w:r>
      <w:r w:rsidR="00BC1759">
        <w:rPr>
          <w:rFonts w:asciiTheme="minorHAnsi" w:hAnsiTheme="minorHAnsi" w:cstheme="minorBidi"/>
          <w:color w:val="auto"/>
        </w:rPr>
        <w:t>-</w:t>
      </w:r>
      <w:r w:rsidRPr="00CD75ED">
        <w:rPr>
          <w:rFonts w:asciiTheme="minorHAnsi" w:hAnsiTheme="minorHAnsi" w:cstheme="minorBidi"/>
          <w:color w:val="auto"/>
        </w:rPr>
        <w:t>mail:</w:t>
      </w:r>
      <w:r w:rsidRPr="00CD75ED">
        <w:rPr>
          <w:color w:val="1F497D"/>
        </w:rPr>
        <w:t xml:space="preserve"> </w:t>
      </w:r>
      <w:hyperlink r:id="rId26" w:history="1">
        <w:r w:rsidRPr="00CD75ED">
          <w:rPr>
            <w:rStyle w:val="Hyperlink"/>
          </w:rPr>
          <w:t>shahiras@ntra.gov.eg</w:t>
        </w:r>
      </w:hyperlink>
    </w:p>
    <w:p w:rsidR="002B1CEB" w:rsidRDefault="00943626" w:rsidP="0074136E">
      <w:pPr>
        <w:spacing w:before="240"/>
        <w:jc w:val="center"/>
      </w:pPr>
      <w:r>
        <w:t>__________________</w:t>
      </w:r>
    </w:p>
    <w:sectPr w:rsidR="002B1CEB" w:rsidSect="00936D00">
      <w:headerReference w:type="default" r:id="rId27"/>
      <w:footerReference w:type="default" r:id="rId28"/>
      <w:footerReference w:type="first" r:id="rId29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647" w:rsidRDefault="00F76647">
      <w:r>
        <w:separator/>
      </w:r>
    </w:p>
  </w:endnote>
  <w:endnote w:type="continuationSeparator" w:id="0">
    <w:p w:rsidR="00F76647" w:rsidRDefault="00F7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333" w:rsidRPr="009B415C" w:rsidRDefault="002C7333" w:rsidP="009B415C">
    <w:pPr>
      <w:pStyle w:val="Footer"/>
      <w:rPr>
        <w:lang w:val="fr-CH"/>
      </w:rPr>
    </w:pPr>
    <w:r w:rsidRPr="001809AC">
      <w:rPr>
        <w:lang w:val="fr-FR"/>
      </w:rPr>
      <w:t>ITU-T\COM-T\COM</w:t>
    </w:r>
    <w:r>
      <w:rPr>
        <w:lang w:val="fr-FR"/>
      </w:rPr>
      <w:t>11RG-AFR&amp;COM13RG-AFR</w:t>
    </w:r>
    <w:r w:rsidRPr="001809AC">
      <w:rPr>
        <w:lang w:val="fr-FR"/>
      </w:rPr>
      <w:t>\COLL</w:t>
    </w:r>
    <w:r>
      <w:rPr>
        <w:lang w:val="fr-FR"/>
      </w:rPr>
      <w:t>\001</w:t>
    </w:r>
    <w:r>
      <w:t>ADD1E</w:t>
    </w:r>
    <w:r w:rsidRPr="001809AC">
      <w:rPr>
        <w:lang w:val="fr-FR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51" w:rsidRPr="00B74F51" w:rsidRDefault="00B74F51" w:rsidP="00B74F51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B74F51">
      <w:rPr>
        <w:rFonts w:ascii="Calibri" w:hAnsi="Calibri"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B74F51">
      <w:rPr>
        <w:rFonts w:ascii="Calibri" w:hAnsi="Calibri" w:cs="Calibri"/>
        <w:caps/>
        <w:noProof/>
        <w:color w:val="0070C0"/>
        <w:sz w:val="18"/>
        <w:szCs w:val="18"/>
        <w:lang w:val="fr-CH"/>
      </w:rPr>
      <w:t>•</w:t>
    </w:r>
    <w:r w:rsidRPr="00B74F51">
      <w:rPr>
        <w:rFonts w:ascii="Calibri" w:hAnsi="Calibri" w:cs="Calibri"/>
        <w:noProof/>
        <w:color w:val="0070C0"/>
        <w:sz w:val="18"/>
        <w:szCs w:val="18"/>
        <w:lang w:val="fr-CH"/>
      </w:rPr>
      <w:t xml:space="preserve"> CH</w:t>
    </w:r>
    <w:r w:rsidRPr="00B74F51">
      <w:rPr>
        <w:rFonts w:ascii="Calibri" w:hAnsi="Calibri"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B74F51">
      <w:rPr>
        <w:rFonts w:ascii="Calibri" w:hAnsi="Calibri" w:cs="Calibri"/>
        <w:caps/>
        <w:noProof/>
        <w:color w:val="0070C0"/>
        <w:sz w:val="18"/>
        <w:szCs w:val="18"/>
        <w:lang w:val="fr-CH"/>
      </w:rPr>
      <w:t>•</w:t>
    </w:r>
    <w:r w:rsidRPr="00B74F51">
      <w:rPr>
        <w:rFonts w:ascii="Calibri" w:hAnsi="Calibri" w:cs="Calibri"/>
        <w:noProof/>
        <w:color w:val="0070C0"/>
        <w:sz w:val="18"/>
        <w:szCs w:val="18"/>
        <w:lang w:val="fr-CH"/>
      </w:rPr>
      <w:t xml:space="preserve"> Switzerland </w:t>
    </w:r>
    <w:r w:rsidRPr="00B74F51">
      <w:rPr>
        <w:rFonts w:ascii="Calibri" w:hAnsi="Calibri" w:cs="Calibri"/>
        <w:caps/>
        <w:noProof/>
        <w:color w:val="0070C0"/>
        <w:sz w:val="18"/>
        <w:szCs w:val="18"/>
        <w:lang w:val="fr-CH"/>
      </w:rPr>
      <w:br/>
    </w:r>
    <w:r w:rsidRPr="00B74F51">
      <w:rPr>
        <w:rFonts w:ascii="Calibri" w:hAnsi="Calibri" w:cs="Calibri"/>
        <w:noProof/>
        <w:color w:val="0070C0"/>
        <w:sz w:val="18"/>
        <w:szCs w:val="18"/>
        <w:lang w:val="fr-CH"/>
      </w:rPr>
      <w:t>Tel:</w:t>
    </w:r>
    <w:r w:rsidRPr="00B74F51">
      <w:rPr>
        <w:rFonts w:ascii="Calibri" w:hAnsi="Calibri"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B74F51">
      <w:rPr>
        <w:rFonts w:ascii="Calibri" w:hAnsi="Calibri" w:cs="Calibri"/>
        <w:noProof/>
        <w:color w:val="0070C0"/>
        <w:sz w:val="18"/>
        <w:szCs w:val="18"/>
        <w:lang w:val="fr-CH"/>
      </w:rPr>
      <w:t>Fax</w:t>
    </w:r>
    <w:r w:rsidRPr="00B74F51">
      <w:rPr>
        <w:rFonts w:ascii="Calibri" w:hAnsi="Calibri" w:cs="Calibri"/>
        <w:caps/>
        <w:noProof/>
        <w:color w:val="0070C0"/>
        <w:sz w:val="18"/>
        <w:szCs w:val="18"/>
        <w:lang w:val="fr-CH"/>
      </w:rPr>
      <w:t>: +41 22 733 7256 • E-</w:t>
    </w:r>
    <w:r w:rsidRPr="00B74F51">
      <w:rPr>
        <w:rFonts w:ascii="Calibri" w:hAnsi="Calibri" w:cs="Calibri"/>
        <w:noProof/>
        <w:color w:val="0070C0"/>
        <w:sz w:val="18"/>
        <w:szCs w:val="18"/>
        <w:lang w:val="fr-CH"/>
      </w:rPr>
      <w:t>mail</w:t>
    </w:r>
    <w:r w:rsidRPr="00B74F51">
      <w:rPr>
        <w:rFonts w:ascii="Calibri" w:hAnsi="Calibri"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B74F51">
        <w:rPr>
          <w:rFonts w:ascii="Calibri" w:hAnsi="Calibri"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B74F51">
      <w:rPr>
        <w:rFonts w:ascii="Calibri" w:hAnsi="Calibri"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B74F51">
        <w:rPr>
          <w:rFonts w:ascii="Calibri" w:hAnsi="Calibri"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  <w:p w:rsidR="002C7333" w:rsidRPr="00C345C7" w:rsidRDefault="002C7333" w:rsidP="00DA6274">
    <w:pPr>
      <w:pStyle w:val="Footer"/>
      <w:spacing w:before="1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647" w:rsidRDefault="00F76647">
      <w:r>
        <w:t>____________________</w:t>
      </w:r>
    </w:p>
  </w:footnote>
  <w:footnote w:type="continuationSeparator" w:id="0">
    <w:p w:rsidR="00F76647" w:rsidRDefault="00F76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333" w:rsidRDefault="008A563D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7333">
          <w:t xml:space="preserve">- </w:t>
        </w:r>
        <w:r w:rsidR="002C7333">
          <w:fldChar w:fldCharType="begin"/>
        </w:r>
        <w:r w:rsidR="002C7333">
          <w:instrText xml:space="preserve"> PAGE   \* MERGEFORMAT </w:instrText>
        </w:r>
        <w:r w:rsidR="002C7333">
          <w:fldChar w:fldCharType="separate"/>
        </w:r>
        <w:r>
          <w:rPr>
            <w:noProof/>
          </w:rPr>
          <w:t>4</w:t>
        </w:r>
        <w:r w:rsidR="002C7333">
          <w:rPr>
            <w:noProof/>
          </w:rPr>
          <w:fldChar w:fldCharType="end"/>
        </w:r>
      </w:sdtContent>
    </w:sdt>
    <w:r w:rsidR="002C7333"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38"/>
    <w:rsid w:val="000069D4"/>
    <w:rsid w:val="000103B1"/>
    <w:rsid w:val="000174AD"/>
    <w:rsid w:val="000305E1"/>
    <w:rsid w:val="000473DF"/>
    <w:rsid w:val="00053AD3"/>
    <w:rsid w:val="000A7D55"/>
    <w:rsid w:val="000B46FB"/>
    <w:rsid w:val="000B7817"/>
    <w:rsid w:val="000C2E8E"/>
    <w:rsid w:val="000D49FB"/>
    <w:rsid w:val="000E0E7C"/>
    <w:rsid w:val="000E1FAA"/>
    <w:rsid w:val="000F1B4B"/>
    <w:rsid w:val="000F2E1E"/>
    <w:rsid w:val="001179B1"/>
    <w:rsid w:val="00121D3F"/>
    <w:rsid w:val="00124AE2"/>
    <w:rsid w:val="00126E71"/>
    <w:rsid w:val="0012744F"/>
    <w:rsid w:val="00156DFF"/>
    <w:rsid w:val="00156F66"/>
    <w:rsid w:val="001809AC"/>
    <w:rsid w:val="00182528"/>
    <w:rsid w:val="0018500B"/>
    <w:rsid w:val="001863B9"/>
    <w:rsid w:val="00196A19"/>
    <w:rsid w:val="00196AB1"/>
    <w:rsid w:val="001C0948"/>
    <w:rsid w:val="001C3CDB"/>
    <w:rsid w:val="001C6734"/>
    <w:rsid w:val="0020077E"/>
    <w:rsid w:val="00202DC1"/>
    <w:rsid w:val="00204C84"/>
    <w:rsid w:val="002116EE"/>
    <w:rsid w:val="00223220"/>
    <w:rsid w:val="002309D8"/>
    <w:rsid w:val="00251858"/>
    <w:rsid w:val="00263CE7"/>
    <w:rsid w:val="00287BF1"/>
    <w:rsid w:val="002A38B4"/>
    <w:rsid w:val="002A7FE2"/>
    <w:rsid w:val="002B1CEB"/>
    <w:rsid w:val="002B711C"/>
    <w:rsid w:val="002C0244"/>
    <w:rsid w:val="002C7333"/>
    <w:rsid w:val="002C7D60"/>
    <w:rsid w:val="002E1B4F"/>
    <w:rsid w:val="002F2E67"/>
    <w:rsid w:val="002F6530"/>
    <w:rsid w:val="00300095"/>
    <w:rsid w:val="00301488"/>
    <w:rsid w:val="00315546"/>
    <w:rsid w:val="0031577B"/>
    <w:rsid w:val="003172EE"/>
    <w:rsid w:val="00330567"/>
    <w:rsid w:val="00351DA5"/>
    <w:rsid w:val="00383598"/>
    <w:rsid w:val="00384E5D"/>
    <w:rsid w:val="00386A9D"/>
    <w:rsid w:val="00391081"/>
    <w:rsid w:val="003B2789"/>
    <w:rsid w:val="003B362E"/>
    <w:rsid w:val="003B4186"/>
    <w:rsid w:val="003B7FF4"/>
    <w:rsid w:val="003C13CE"/>
    <w:rsid w:val="003C227A"/>
    <w:rsid w:val="003E2518"/>
    <w:rsid w:val="003E7D39"/>
    <w:rsid w:val="003F0DED"/>
    <w:rsid w:val="00413914"/>
    <w:rsid w:val="004314A2"/>
    <w:rsid w:val="004353A9"/>
    <w:rsid w:val="00443C0A"/>
    <w:rsid w:val="00473BFD"/>
    <w:rsid w:val="004748F4"/>
    <w:rsid w:val="004B1EF7"/>
    <w:rsid w:val="004B3FAD"/>
    <w:rsid w:val="004D170F"/>
    <w:rsid w:val="004E3CF9"/>
    <w:rsid w:val="004F7071"/>
    <w:rsid w:val="00501DCA"/>
    <w:rsid w:val="00501F4A"/>
    <w:rsid w:val="0050239F"/>
    <w:rsid w:val="00513A47"/>
    <w:rsid w:val="005408DF"/>
    <w:rsid w:val="005444BD"/>
    <w:rsid w:val="0055318D"/>
    <w:rsid w:val="00573344"/>
    <w:rsid w:val="00583F9B"/>
    <w:rsid w:val="00584AFA"/>
    <w:rsid w:val="005A03F5"/>
    <w:rsid w:val="005B6724"/>
    <w:rsid w:val="005C7E74"/>
    <w:rsid w:val="005D71A2"/>
    <w:rsid w:val="005E1223"/>
    <w:rsid w:val="005E5C10"/>
    <w:rsid w:val="005E70E3"/>
    <w:rsid w:val="005F2C78"/>
    <w:rsid w:val="006006A3"/>
    <w:rsid w:val="006144E4"/>
    <w:rsid w:val="00624555"/>
    <w:rsid w:val="00650299"/>
    <w:rsid w:val="006550C0"/>
    <w:rsid w:val="00655FC5"/>
    <w:rsid w:val="00670EAF"/>
    <w:rsid w:val="00687BD5"/>
    <w:rsid w:val="006B43D3"/>
    <w:rsid w:val="006B62C3"/>
    <w:rsid w:val="006D4085"/>
    <w:rsid w:val="006D6AF4"/>
    <w:rsid w:val="006E5DD6"/>
    <w:rsid w:val="006F5B36"/>
    <w:rsid w:val="0071495A"/>
    <w:rsid w:val="0074136E"/>
    <w:rsid w:val="007A4E29"/>
    <w:rsid w:val="007A5E91"/>
    <w:rsid w:val="007D0DC2"/>
    <w:rsid w:val="007D26E7"/>
    <w:rsid w:val="007D2F64"/>
    <w:rsid w:val="007E0EF2"/>
    <w:rsid w:val="007E51DC"/>
    <w:rsid w:val="00801031"/>
    <w:rsid w:val="00801917"/>
    <w:rsid w:val="00802953"/>
    <w:rsid w:val="00807FF1"/>
    <w:rsid w:val="00810A26"/>
    <w:rsid w:val="00822581"/>
    <w:rsid w:val="008309DD"/>
    <w:rsid w:val="0083227A"/>
    <w:rsid w:val="00843171"/>
    <w:rsid w:val="008544FB"/>
    <w:rsid w:val="00857C67"/>
    <w:rsid w:val="00862CC9"/>
    <w:rsid w:val="00866900"/>
    <w:rsid w:val="00870336"/>
    <w:rsid w:val="0087300D"/>
    <w:rsid w:val="0087539F"/>
    <w:rsid w:val="00881BA1"/>
    <w:rsid w:val="008A0A55"/>
    <w:rsid w:val="008A563D"/>
    <w:rsid w:val="008B0087"/>
    <w:rsid w:val="008C26B8"/>
    <w:rsid w:val="008C40D6"/>
    <w:rsid w:val="009273EC"/>
    <w:rsid w:val="00932E45"/>
    <w:rsid w:val="00936D00"/>
    <w:rsid w:val="00943626"/>
    <w:rsid w:val="00951309"/>
    <w:rsid w:val="00964CF0"/>
    <w:rsid w:val="00982084"/>
    <w:rsid w:val="00991A72"/>
    <w:rsid w:val="00995963"/>
    <w:rsid w:val="009A54D9"/>
    <w:rsid w:val="009B415C"/>
    <w:rsid w:val="009B61EB"/>
    <w:rsid w:val="009B6449"/>
    <w:rsid w:val="009C2064"/>
    <w:rsid w:val="009C797A"/>
    <w:rsid w:val="009D1697"/>
    <w:rsid w:val="009D1DF9"/>
    <w:rsid w:val="009E13BC"/>
    <w:rsid w:val="009E4F80"/>
    <w:rsid w:val="00A014F8"/>
    <w:rsid w:val="00A11DCA"/>
    <w:rsid w:val="00A5173C"/>
    <w:rsid w:val="00A57624"/>
    <w:rsid w:val="00A60FE3"/>
    <w:rsid w:val="00A61AEF"/>
    <w:rsid w:val="00A738BC"/>
    <w:rsid w:val="00A9652E"/>
    <w:rsid w:val="00AA1543"/>
    <w:rsid w:val="00AB0FFD"/>
    <w:rsid w:val="00AB3061"/>
    <w:rsid w:val="00AC2600"/>
    <w:rsid w:val="00AC2918"/>
    <w:rsid w:val="00AD7192"/>
    <w:rsid w:val="00AF10F1"/>
    <w:rsid w:val="00AF173A"/>
    <w:rsid w:val="00B066A4"/>
    <w:rsid w:val="00B07A13"/>
    <w:rsid w:val="00B143E2"/>
    <w:rsid w:val="00B4279B"/>
    <w:rsid w:val="00B45FC9"/>
    <w:rsid w:val="00B544CA"/>
    <w:rsid w:val="00B72257"/>
    <w:rsid w:val="00B74F51"/>
    <w:rsid w:val="00B83461"/>
    <w:rsid w:val="00BA194B"/>
    <w:rsid w:val="00BA2B7A"/>
    <w:rsid w:val="00BC1759"/>
    <w:rsid w:val="00BC7CCF"/>
    <w:rsid w:val="00BE470B"/>
    <w:rsid w:val="00BE7E38"/>
    <w:rsid w:val="00C018E7"/>
    <w:rsid w:val="00C25538"/>
    <w:rsid w:val="00C57A91"/>
    <w:rsid w:val="00C740E1"/>
    <w:rsid w:val="00C75C0D"/>
    <w:rsid w:val="00C9061B"/>
    <w:rsid w:val="00CA2AA1"/>
    <w:rsid w:val="00CA4D9F"/>
    <w:rsid w:val="00CA6E7C"/>
    <w:rsid w:val="00CB43AF"/>
    <w:rsid w:val="00CC01C2"/>
    <w:rsid w:val="00CD75ED"/>
    <w:rsid w:val="00CF141F"/>
    <w:rsid w:val="00CF21F2"/>
    <w:rsid w:val="00D02712"/>
    <w:rsid w:val="00D214D0"/>
    <w:rsid w:val="00D30F74"/>
    <w:rsid w:val="00D6546B"/>
    <w:rsid w:val="00DA6274"/>
    <w:rsid w:val="00DC36AC"/>
    <w:rsid w:val="00DC4133"/>
    <w:rsid w:val="00DD4BED"/>
    <w:rsid w:val="00DE39F0"/>
    <w:rsid w:val="00DF0AF3"/>
    <w:rsid w:val="00E06CA9"/>
    <w:rsid w:val="00E17CCC"/>
    <w:rsid w:val="00E21FE2"/>
    <w:rsid w:val="00E27D7E"/>
    <w:rsid w:val="00E34935"/>
    <w:rsid w:val="00E42E13"/>
    <w:rsid w:val="00E434E5"/>
    <w:rsid w:val="00E6257C"/>
    <w:rsid w:val="00E63C59"/>
    <w:rsid w:val="00E6788D"/>
    <w:rsid w:val="00E73A4D"/>
    <w:rsid w:val="00EA4E6F"/>
    <w:rsid w:val="00EA7D4B"/>
    <w:rsid w:val="00EC0EF4"/>
    <w:rsid w:val="00EE32F5"/>
    <w:rsid w:val="00F54DF5"/>
    <w:rsid w:val="00F76647"/>
    <w:rsid w:val="00F85826"/>
    <w:rsid w:val="00FA124A"/>
    <w:rsid w:val="00FA21D2"/>
    <w:rsid w:val="00FC08DD"/>
    <w:rsid w:val="00FC2316"/>
    <w:rsid w:val="00FC2CFD"/>
    <w:rsid w:val="00FC4BB4"/>
    <w:rsid w:val="00FD06C7"/>
    <w:rsid w:val="00FD2B1B"/>
    <w:rsid w:val="00FE091D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53667760-CEB5-4EE0-84EB-1868CCCF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table" w:styleId="TableGrid">
    <w:name w:val="Table Grid"/>
    <w:basedOn w:val="TableNormal"/>
    <w:uiPriority w:val="59"/>
    <w:rsid w:val="005B67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ist">
    <w:name w:val="plist"/>
    <w:basedOn w:val="Normal"/>
    <w:rsid w:val="005B672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paragraph" w:customStyle="1" w:styleId="Default">
    <w:name w:val="Default"/>
    <w:rsid w:val="005B672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5B6724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hyperlink" Target="mailto:mahab@tra.gov.eg" TargetMode="External"/><Relationship Id="rId26" Type="http://schemas.openxmlformats.org/officeDocument/2006/relationships/hyperlink" Target="mailto:basmaa@ntra.gov.e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ccorhotels.com/gb/middle-east/index.s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who.int/countries/egy/en/" TargetMode="Externa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ww.mfa.gov.eg/English/Embassies/Pages/Listing.aspx" TargetMode="External"/><Relationship Id="rId20" Type="http://schemas.openxmlformats.org/officeDocument/2006/relationships/hyperlink" Target="http://www.novotel.com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www.cbe.org.eg/en/EconomicResearch/Statistics/Pages/ExchangeRatesListing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ltabie@tra.gov.eg" TargetMode="External"/><Relationship Id="rId23" Type="http://schemas.openxmlformats.org/officeDocument/2006/relationships/hyperlink" Target="http://www.booking.com" TargetMode="External"/><Relationship Id="rId28" Type="http://schemas.openxmlformats.org/officeDocument/2006/relationships/footer" Target="footer1.xml"/><Relationship Id="rId10" Type="http://schemas.openxmlformats.org/officeDocument/2006/relationships/hyperlink" Target="mailto:tsbsg13@itu.int" TargetMode="External"/><Relationship Id="rId19" Type="http://schemas.openxmlformats.org/officeDocument/2006/relationships/hyperlink" Target="mailto:h0502-sl2@accor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mailto:H0502-SL2@accor.com" TargetMode="External"/><Relationship Id="rId22" Type="http://schemas.openxmlformats.org/officeDocument/2006/relationships/hyperlink" Target="http://www.booking.com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50058-C673-4D2D-9639-9D338206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cp:keywords/>
  <dc:description>SG15-Coll7E_Add1.docx  For: _x000d_Document date: _x000d_Saved by ITU51010110 at 16:28:34 on 15/01/16</dc:description>
  <cp:lastModifiedBy>Osvath, Alexandra</cp:lastModifiedBy>
  <cp:revision>14</cp:revision>
  <cp:lastPrinted>2017-02-28T14:10:00Z</cp:lastPrinted>
  <dcterms:created xsi:type="dcterms:W3CDTF">2017-02-27T17:29:00Z</dcterms:created>
  <dcterms:modified xsi:type="dcterms:W3CDTF">2017-02-28T14:11:00Z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SG15-Coll7E_Add1.docx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