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:rsidTr="008272D5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2C3E7B" w:rsidRPr="00B70109" w:rsidRDefault="000A402E" w:rsidP="008272D5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C3E7B" w:rsidRPr="00B70109" w:rsidRDefault="002C3E7B" w:rsidP="008272D5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2C3E7B" w:rsidRPr="00B70109" w:rsidRDefault="002C3E7B" w:rsidP="008272D5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2C3E7B" w:rsidRPr="00B70109" w:rsidRDefault="002C3E7B" w:rsidP="008272D5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:rsidTr="008272D5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Pr="00B70109" w:rsidRDefault="000305E1" w:rsidP="008272D5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:rsidR="000305E1" w:rsidRPr="00B70109" w:rsidRDefault="000305E1" w:rsidP="008272D5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B64053">
              <w:t>11</w:t>
            </w:r>
            <w:bookmarkStart w:id="0" w:name="_GoBack"/>
            <w:bookmarkEnd w:id="0"/>
            <w:r w:rsidR="008272D5">
              <w:t xml:space="preserve"> July 2019</w:t>
            </w:r>
          </w:p>
        </w:tc>
      </w:tr>
      <w:tr w:rsidR="0038260B" w:rsidRPr="00B70109" w:rsidTr="008272D5">
        <w:trPr>
          <w:cantSplit/>
          <w:trHeight w:val="746"/>
        </w:trPr>
        <w:tc>
          <w:tcPr>
            <w:tcW w:w="993" w:type="dxa"/>
          </w:tcPr>
          <w:p w:rsidR="0038260B" w:rsidRPr="00B70109" w:rsidRDefault="0038260B" w:rsidP="008272D5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:rsidR="0038260B" w:rsidRPr="005755E7" w:rsidRDefault="0038260B" w:rsidP="008272D5">
            <w:pPr>
              <w:pStyle w:val="Tabletext"/>
              <w:rPr>
                <w:b/>
                <w:lang w:val="fr-FR"/>
              </w:rPr>
            </w:pPr>
            <w:r w:rsidRPr="005755E7">
              <w:rPr>
                <w:b/>
                <w:lang w:val="fr-FR"/>
              </w:rPr>
              <w:t xml:space="preserve">TSB Collective letter </w:t>
            </w:r>
            <w:r w:rsidR="008272D5" w:rsidRPr="005755E7">
              <w:rPr>
                <w:b/>
                <w:lang w:val="fr-FR"/>
              </w:rPr>
              <w:t>7/12</w:t>
            </w:r>
          </w:p>
          <w:p w:rsidR="00C87A03" w:rsidRPr="005755E7" w:rsidRDefault="00C87A03" w:rsidP="008272D5">
            <w:pPr>
              <w:pStyle w:val="Tabletext"/>
              <w:rPr>
                <w:lang w:val="fr-FR"/>
              </w:rPr>
            </w:pPr>
            <w:r w:rsidRPr="005755E7">
              <w:rPr>
                <w:lang w:val="fr-FR"/>
              </w:rPr>
              <w:t>SG</w:t>
            </w:r>
            <w:r w:rsidR="008272D5" w:rsidRPr="005755E7">
              <w:rPr>
                <w:lang w:val="fr-FR"/>
              </w:rPr>
              <w:t>12/MA</w:t>
            </w:r>
          </w:p>
        </w:tc>
        <w:tc>
          <w:tcPr>
            <w:tcW w:w="4678" w:type="dxa"/>
            <w:gridSpan w:val="2"/>
            <w:vMerge w:val="restart"/>
          </w:tcPr>
          <w:p w:rsidR="0038260B" w:rsidRPr="00B70109" w:rsidRDefault="0038260B" w:rsidP="008272D5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:rsidR="0038260B" w:rsidRPr="00B70109" w:rsidRDefault="0038260B" w:rsidP="008272D5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:rsidR="0038260B" w:rsidRPr="00B70109" w:rsidRDefault="0038260B" w:rsidP="008272D5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8272D5">
              <w:t>12</w:t>
            </w:r>
            <w:r w:rsidRPr="00B70109">
              <w:t xml:space="preserve">; </w:t>
            </w:r>
          </w:p>
          <w:p w:rsidR="0038260B" w:rsidRPr="00B70109" w:rsidRDefault="0038260B" w:rsidP="008272D5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1"/>
      <w:tr w:rsidR="0038260B" w:rsidRPr="00B70109" w:rsidTr="008272D5">
        <w:trPr>
          <w:cantSplit/>
          <w:trHeight w:val="221"/>
        </w:trPr>
        <w:tc>
          <w:tcPr>
            <w:tcW w:w="993" w:type="dxa"/>
          </w:tcPr>
          <w:p w:rsidR="0038260B" w:rsidRPr="00B70109" w:rsidRDefault="0038260B" w:rsidP="008272D5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:rsidR="0038260B" w:rsidRPr="00B70109" w:rsidRDefault="0038260B" w:rsidP="008272D5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8272D5">
              <w:t>6828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8272D5">
            <w:pPr>
              <w:pStyle w:val="Tabletext"/>
              <w:ind w:left="283" w:hanging="283"/>
            </w:pPr>
          </w:p>
        </w:tc>
      </w:tr>
      <w:tr w:rsidR="0038260B" w:rsidRPr="00B70109" w:rsidTr="008272D5">
        <w:trPr>
          <w:cantSplit/>
          <w:trHeight w:val="282"/>
        </w:trPr>
        <w:tc>
          <w:tcPr>
            <w:tcW w:w="993" w:type="dxa"/>
          </w:tcPr>
          <w:p w:rsidR="0038260B" w:rsidRPr="00B70109" w:rsidRDefault="0038260B" w:rsidP="008272D5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:rsidR="0038260B" w:rsidRPr="00B70109" w:rsidRDefault="0038260B" w:rsidP="008272D5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8272D5">
            <w:pPr>
              <w:pStyle w:val="Tabletext"/>
              <w:ind w:left="283" w:hanging="283"/>
            </w:pPr>
          </w:p>
        </w:tc>
      </w:tr>
      <w:tr w:rsidR="0038260B" w:rsidRPr="00B70109" w:rsidTr="008272D5">
        <w:trPr>
          <w:cantSplit/>
          <w:trHeight w:val="376"/>
        </w:trPr>
        <w:tc>
          <w:tcPr>
            <w:tcW w:w="993" w:type="dxa"/>
          </w:tcPr>
          <w:p w:rsidR="0038260B" w:rsidRPr="00B70109" w:rsidRDefault="0038260B" w:rsidP="008272D5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:rsidR="0038260B" w:rsidRPr="008272D5" w:rsidRDefault="00B64053" w:rsidP="008272D5">
            <w:pPr>
              <w:pStyle w:val="Tabletext"/>
            </w:pPr>
            <w:hyperlink r:id="rId9" w:history="1">
              <w:r w:rsidR="008272D5" w:rsidRPr="00C667FB">
                <w:rPr>
                  <w:rStyle w:val="Hyperlink"/>
                </w:rPr>
                <w:t>tsbsg12@itu.int</w:t>
              </w:r>
            </w:hyperlink>
            <w:r w:rsidR="008272D5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38260B" w:rsidRPr="008272D5" w:rsidRDefault="0038260B" w:rsidP="008272D5">
            <w:pPr>
              <w:pStyle w:val="Tabletext"/>
              <w:ind w:left="283" w:hanging="283"/>
            </w:pPr>
          </w:p>
        </w:tc>
      </w:tr>
      <w:tr w:rsidR="0038260B" w:rsidRPr="00B70109" w:rsidTr="008272D5">
        <w:trPr>
          <w:cantSplit/>
          <w:trHeight w:val="80"/>
        </w:trPr>
        <w:tc>
          <w:tcPr>
            <w:tcW w:w="993" w:type="dxa"/>
          </w:tcPr>
          <w:p w:rsidR="0038260B" w:rsidRPr="00B70109" w:rsidRDefault="0038260B" w:rsidP="008272D5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:rsidR="0038260B" w:rsidRPr="00B70109" w:rsidRDefault="00B64053" w:rsidP="008272D5">
            <w:pPr>
              <w:pStyle w:val="Tabletext"/>
            </w:pPr>
            <w:hyperlink r:id="rId10" w:history="1">
              <w:r w:rsidR="008272D5" w:rsidRPr="00C667FB">
                <w:rPr>
                  <w:rStyle w:val="Hyperlink"/>
                </w:rPr>
                <w:t>https://itu.int/go/tsg12</w:t>
              </w:r>
            </w:hyperlink>
            <w:r w:rsidR="008272D5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8272D5">
            <w:pPr>
              <w:pStyle w:val="Tabletext"/>
            </w:pPr>
          </w:p>
        </w:tc>
      </w:tr>
      <w:tr w:rsidR="00951309" w:rsidRPr="00B70109" w:rsidTr="008272D5">
        <w:trPr>
          <w:cantSplit/>
          <w:trHeight w:val="80"/>
        </w:trPr>
        <w:tc>
          <w:tcPr>
            <w:tcW w:w="993" w:type="dxa"/>
          </w:tcPr>
          <w:p w:rsidR="00951309" w:rsidRPr="00B70109" w:rsidRDefault="00951309" w:rsidP="008272D5">
            <w:pPr>
              <w:pStyle w:val="Tabletext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:rsidR="00951309" w:rsidRPr="00B70109" w:rsidRDefault="008272D5" w:rsidP="008272D5">
            <w:pPr>
              <w:pStyle w:val="Tabletext"/>
            </w:pPr>
            <w:r w:rsidRPr="00B70109">
              <w:rPr>
                <w:b/>
                <w:bCs/>
              </w:rPr>
              <w:t xml:space="preserve">Meeting of </w:t>
            </w:r>
            <w:r>
              <w:rPr>
                <w:b/>
                <w:bCs/>
              </w:rPr>
              <w:t xml:space="preserve">Working Party 3 of ITU-T </w:t>
            </w:r>
            <w:r w:rsidRPr="00B70109">
              <w:rPr>
                <w:b/>
                <w:bCs/>
              </w:rPr>
              <w:t xml:space="preserve">Study Group </w:t>
            </w:r>
            <w:r>
              <w:rPr>
                <w:b/>
                <w:bCs/>
              </w:rPr>
              <w:t>12</w:t>
            </w:r>
            <w:r w:rsidRPr="00B70109">
              <w:rPr>
                <w:b/>
                <w:bCs/>
              </w:rPr>
              <w:t xml:space="preserve">; </w:t>
            </w:r>
            <w:r>
              <w:rPr>
                <w:b/>
                <w:bCs/>
              </w:rPr>
              <w:t xml:space="preserve">Stockholm, </w:t>
            </w:r>
            <w:r w:rsidR="00C43295">
              <w:rPr>
                <w:b/>
                <w:bCs/>
              </w:rPr>
              <w:t xml:space="preserve">Sweden, </w:t>
            </w:r>
            <w:r>
              <w:rPr>
                <w:b/>
                <w:bCs/>
              </w:rPr>
              <w:t>4 September 2019</w:t>
            </w:r>
          </w:p>
        </w:tc>
      </w:tr>
    </w:tbl>
    <w:p w:rsidR="000B46FB" w:rsidRPr="00B70109" w:rsidRDefault="000B46FB" w:rsidP="00CE218B">
      <w:pPr>
        <w:spacing w:before="240"/>
      </w:pPr>
      <w:bookmarkStart w:id="2" w:name="StartTyping_E"/>
      <w:bookmarkEnd w:id="2"/>
      <w:r w:rsidRPr="00B70109">
        <w:t>Dear Sir/Madam,</w:t>
      </w:r>
    </w:p>
    <w:p w:rsidR="008272D5" w:rsidRPr="008272D5" w:rsidRDefault="008272D5" w:rsidP="008272D5">
      <w:r w:rsidRPr="008272D5">
        <w:t xml:space="preserve">At the kind invitation of Telefon AB – LM Ericsson, and in accordance with the agreement reached at the last Study Group 12 meeting (Geneva, 7-16 May 2019), it is my pleasure to invite you to attend the next meeting of </w:t>
      </w:r>
      <w:r w:rsidRPr="008272D5">
        <w:rPr>
          <w:b/>
          <w:bCs/>
        </w:rPr>
        <w:t xml:space="preserve">Working Party 3 (Multimedia QoS and QoE) of </w:t>
      </w:r>
      <w:r w:rsidR="005C10FB">
        <w:rPr>
          <w:b/>
          <w:bCs/>
        </w:rPr>
        <w:t xml:space="preserve">ITU-T </w:t>
      </w:r>
      <w:r w:rsidRPr="008272D5">
        <w:rPr>
          <w:b/>
          <w:bCs/>
        </w:rPr>
        <w:t>Study Group 12 (Performance, QoS and QoE)</w:t>
      </w:r>
      <w:r w:rsidRPr="008272D5">
        <w:t>, which will be held at Ericsson headquarters, Stockholm/Kista, Sweden, on 4 September 2019.</w:t>
      </w:r>
    </w:p>
    <w:p w:rsidR="008272D5" w:rsidRPr="008272D5" w:rsidRDefault="008272D5" w:rsidP="008272D5">
      <w:r w:rsidRPr="008272D5">
        <w:t>The objective of the Working Party 3/12 meeting is to consider giving consent to new and revised ITU-T Recommendations developed under Questions 13</w:t>
      </w:r>
      <w:r w:rsidR="005755E7">
        <w:t>/12</w:t>
      </w:r>
      <w:r w:rsidRPr="008272D5">
        <w:t xml:space="preserve"> and 17/12: G.DFS, G.IPTV-MP, G.QoE-VR, Y.1540 new </w:t>
      </w:r>
      <w:r w:rsidR="005755E7">
        <w:br/>
      </w:r>
      <w:r w:rsidRPr="008272D5">
        <w:t>Annex B.</w:t>
      </w:r>
    </w:p>
    <w:p w:rsidR="008E51E1" w:rsidRPr="00B70109" w:rsidRDefault="008272D5" w:rsidP="008272D5">
      <w:r w:rsidRPr="008272D5">
        <w:t>Working Party 3/12 will open at 1400 hours on 4 September 2019. The meeting will be preceded by rapporteur group meetings of Questions 13/12, 14/12 and 17/12 taking place from 2 to 4 September 2019 at the same venue.</w:t>
      </w:r>
    </w:p>
    <w:p w:rsidR="00A129C1" w:rsidRPr="00B70109" w:rsidRDefault="00A129C1" w:rsidP="00A129C1">
      <w:r w:rsidRPr="00B70109">
        <w:rPr>
          <w:b/>
          <w:bCs/>
        </w:rPr>
        <w:t>Key deadlines</w:t>
      </w:r>
      <w:r w:rsidRPr="00B7010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52"/>
      </w:tblGrid>
      <w:tr w:rsidR="00BC398D" w:rsidRPr="00B70109" w:rsidTr="000C4D66">
        <w:tc>
          <w:tcPr>
            <w:tcW w:w="1696" w:type="dxa"/>
            <w:shd w:val="clear" w:color="auto" w:fill="auto"/>
            <w:vAlign w:val="center"/>
          </w:tcPr>
          <w:p w:rsidR="00BC398D" w:rsidRPr="00B70109" w:rsidRDefault="008272D5" w:rsidP="00792A3A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 w:rsidRPr="008272D5">
              <w:rPr>
                <w:rFonts w:asciiTheme="minorHAnsi" w:hAnsiTheme="minorHAnsi"/>
                <w:szCs w:val="22"/>
              </w:rPr>
              <w:t>7 August 2019</w:t>
            </w:r>
          </w:p>
        </w:tc>
        <w:tc>
          <w:tcPr>
            <w:tcW w:w="7952" w:type="dxa"/>
            <w:shd w:val="clear" w:color="auto" w:fill="auto"/>
          </w:tcPr>
          <w:p w:rsidR="00BC398D" w:rsidRPr="00B70109" w:rsidRDefault="00B027CC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B70109">
              <w:rPr>
                <w:rFonts w:asciiTheme="minorHAnsi" w:hAnsiTheme="minorHAnsi"/>
              </w:rPr>
              <w:t>-</w:t>
            </w:r>
            <w:r w:rsidRPr="00B70109">
              <w:rPr>
                <w:rFonts w:asciiTheme="minorHAnsi" w:hAnsiTheme="minorHAnsi"/>
                <w:szCs w:val="22"/>
              </w:rPr>
              <w:tab/>
            </w:r>
            <w:r w:rsidR="007A3B5D" w:rsidRPr="00B70109">
              <w:rPr>
                <w:rFonts w:asciiTheme="minorHAnsi" w:hAnsiTheme="minorHAnsi"/>
              </w:rPr>
              <w:t>Pre</w:t>
            </w:r>
            <w:r w:rsidR="00BC398D" w:rsidRPr="00B70109">
              <w:rPr>
                <w:rFonts w:asciiTheme="minorHAnsi" w:hAnsiTheme="minorHAnsi"/>
              </w:rPr>
              <w:t>-registration</w:t>
            </w:r>
            <w:r w:rsidR="00010B0B" w:rsidRPr="00B70109">
              <w:rPr>
                <w:rFonts w:asciiTheme="minorHAnsi" w:hAnsiTheme="minorHAnsi"/>
              </w:rPr>
              <w:t xml:space="preserve"> (via the</w:t>
            </w:r>
            <w:r w:rsidR="00206F31" w:rsidRPr="00B70109">
              <w:rPr>
                <w:rFonts w:asciiTheme="minorHAnsi" w:hAnsiTheme="minorHAnsi"/>
              </w:rPr>
              <w:t xml:space="preserve"> online registration form on the</w:t>
            </w:r>
            <w:r w:rsidR="00010B0B" w:rsidRPr="00B70109">
              <w:rPr>
                <w:rFonts w:asciiTheme="minorHAnsi" w:hAnsiTheme="minorHAnsi"/>
              </w:rPr>
              <w:t xml:space="preserve"> </w:t>
            </w:r>
            <w:hyperlink r:id="rId11" w:history="1">
              <w:r w:rsidR="00010B0B" w:rsidRPr="008272D5">
                <w:rPr>
                  <w:rStyle w:val="Hyperlink"/>
                  <w:rFonts w:asciiTheme="minorHAnsi" w:hAnsiTheme="minorHAnsi"/>
                </w:rPr>
                <w:t>study group homepage</w:t>
              </w:r>
            </w:hyperlink>
            <w:r w:rsidR="00010B0B" w:rsidRPr="00B70109">
              <w:rPr>
                <w:rFonts w:asciiTheme="minorHAnsi" w:hAnsiTheme="minorHAnsi"/>
              </w:rPr>
              <w:t>)</w:t>
            </w:r>
          </w:p>
          <w:p w:rsidR="00BC398D" w:rsidRPr="00B70109" w:rsidRDefault="00B027CC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B70109">
              <w:rPr>
                <w:rFonts w:asciiTheme="minorHAnsi" w:hAnsiTheme="minorHAnsi"/>
                <w:szCs w:val="22"/>
              </w:rPr>
              <w:t>-</w:t>
            </w:r>
            <w:r w:rsidRPr="00B70109">
              <w:rPr>
                <w:rFonts w:asciiTheme="minorHAnsi" w:hAnsiTheme="minorHAnsi"/>
                <w:szCs w:val="22"/>
              </w:rPr>
              <w:tab/>
            </w:r>
            <w:r w:rsidR="00E40E7B" w:rsidRPr="00B70109">
              <w:rPr>
                <w:rFonts w:asciiTheme="minorHAnsi" w:hAnsiTheme="minorHAnsi"/>
                <w:szCs w:val="22"/>
              </w:rPr>
              <w:t>Submit r</w:t>
            </w:r>
            <w:r w:rsidR="007A3B5D" w:rsidRPr="00B70109">
              <w:rPr>
                <w:rFonts w:asciiTheme="minorHAnsi" w:hAnsiTheme="minorHAnsi"/>
                <w:szCs w:val="22"/>
              </w:rPr>
              <w:t xml:space="preserve">equests </w:t>
            </w:r>
            <w:r w:rsidR="00BC398D" w:rsidRPr="00B70109">
              <w:rPr>
                <w:rFonts w:asciiTheme="minorHAnsi" w:hAnsiTheme="minorHAnsi"/>
                <w:szCs w:val="22"/>
              </w:rPr>
              <w:t>for visa support letters</w:t>
            </w:r>
            <w:r w:rsidR="00010B0B" w:rsidRPr="00B70109">
              <w:rPr>
                <w:rFonts w:asciiTheme="minorHAnsi" w:hAnsiTheme="minorHAnsi"/>
                <w:szCs w:val="22"/>
              </w:rPr>
              <w:t xml:space="preserve"> (</w:t>
            </w:r>
            <w:r w:rsidR="00206F31" w:rsidRPr="00B70109">
              <w:rPr>
                <w:rFonts w:asciiTheme="minorHAnsi" w:hAnsiTheme="minorHAnsi"/>
                <w:szCs w:val="22"/>
              </w:rPr>
              <w:t>via the online registration form; see details in Annex A</w:t>
            </w:r>
            <w:r w:rsidR="00817BB4" w:rsidRPr="00B70109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8272D5" w:rsidRPr="005755E7" w:rsidTr="00BC0C6D">
        <w:tc>
          <w:tcPr>
            <w:tcW w:w="1696" w:type="dxa"/>
            <w:shd w:val="clear" w:color="auto" w:fill="auto"/>
            <w:vAlign w:val="center"/>
          </w:tcPr>
          <w:p w:rsidR="008272D5" w:rsidRPr="002F3DFA" w:rsidRDefault="008272D5" w:rsidP="008272D5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2F3DFA">
              <w:rPr>
                <w:rFonts w:asciiTheme="minorHAnsi" w:hAnsiTheme="minorHAnsi"/>
                <w:szCs w:val="22"/>
              </w:rPr>
              <w:t>2</w:t>
            </w:r>
            <w:r>
              <w:rPr>
                <w:rFonts w:asciiTheme="minorHAnsi" w:hAnsiTheme="minorHAnsi"/>
                <w:szCs w:val="22"/>
              </w:rPr>
              <w:t>2</w:t>
            </w:r>
            <w:r w:rsidRPr="002F3DFA">
              <w:rPr>
                <w:rFonts w:asciiTheme="minorHAnsi" w:hAnsiTheme="minorHAnsi"/>
                <w:szCs w:val="22"/>
              </w:rPr>
              <w:t xml:space="preserve"> August 2019</w:t>
            </w:r>
          </w:p>
        </w:tc>
        <w:tc>
          <w:tcPr>
            <w:tcW w:w="7952" w:type="dxa"/>
            <w:shd w:val="clear" w:color="auto" w:fill="auto"/>
          </w:tcPr>
          <w:p w:rsidR="008272D5" w:rsidRPr="00B20A67" w:rsidRDefault="008272D5" w:rsidP="00BC0C6D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FR"/>
              </w:rPr>
            </w:pPr>
            <w:r w:rsidRPr="002F3DFA">
              <w:rPr>
                <w:rFonts w:asciiTheme="minorHAnsi" w:hAnsiTheme="minorHAnsi"/>
                <w:szCs w:val="22"/>
                <w:lang w:val="fr-FR"/>
              </w:rPr>
              <w:t>-</w:t>
            </w:r>
            <w:r w:rsidRPr="002F3DFA">
              <w:rPr>
                <w:rFonts w:asciiTheme="minorHAnsi" w:hAnsiTheme="minorHAnsi"/>
                <w:szCs w:val="22"/>
                <w:lang w:val="fr-FR"/>
              </w:rPr>
              <w:tab/>
            </w:r>
            <w:hyperlink r:id="rId12" w:history="1">
              <w:r w:rsidRPr="002F3DFA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Submit ITU-T Member contributions (via Direct Document Posting)</w:t>
              </w:r>
            </w:hyperlink>
          </w:p>
        </w:tc>
      </w:tr>
    </w:tbl>
    <w:p w:rsidR="001C0948" w:rsidRPr="00B70109" w:rsidRDefault="008272D5" w:rsidP="0040250E">
      <w:r w:rsidRPr="00B70109">
        <w:t xml:space="preserve">Practical meeting information is set out in </w:t>
      </w:r>
      <w:r w:rsidRPr="00B70109">
        <w:rPr>
          <w:b/>
          <w:bCs/>
        </w:rPr>
        <w:t>Annex A</w:t>
      </w:r>
      <w:r w:rsidRPr="00B70109">
        <w:t xml:space="preserve">. A draft meeting </w:t>
      </w:r>
      <w:r w:rsidRPr="00B70109">
        <w:rPr>
          <w:b/>
          <w:bCs/>
        </w:rPr>
        <w:t>agenda</w:t>
      </w:r>
      <w:r w:rsidRPr="00B70109">
        <w:t xml:space="preserve">, prepared by </w:t>
      </w:r>
      <w:r w:rsidR="005755E7">
        <w:t>SG12 Chairman Mr</w:t>
      </w:r>
      <w:r w:rsidR="000F17B7">
        <w:t> </w:t>
      </w:r>
      <w:r>
        <w:t>Kwame Baah-Acheamfuor (Ghana) and WP3/12 Acting Chairman Mr Al Morton (United States)</w:t>
      </w:r>
      <w:r w:rsidRPr="00B70109">
        <w:t xml:space="preserve">, </w:t>
      </w:r>
      <w:r>
        <w:t xml:space="preserve">is </w:t>
      </w:r>
      <w:r w:rsidRPr="00B70109">
        <w:t xml:space="preserve">set out in </w:t>
      </w:r>
      <w:r w:rsidRPr="00B70109">
        <w:rPr>
          <w:b/>
          <w:bCs/>
        </w:rPr>
        <w:t>Annex B</w:t>
      </w:r>
      <w:r w:rsidRPr="00B70109">
        <w:t>.</w:t>
      </w:r>
      <w:r>
        <w:t xml:space="preserve"> Any a</w:t>
      </w:r>
      <w:r w:rsidRPr="00DC34C7">
        <w:rPr>
          <w:szCs w:val="24"/>
        </w:rPr>
        <w:t xml:space="preserve">dditional information will be </w:t>
      </w:r>
      <w:r w:rsidR="005C10FB">
        <w:rPr>
          <w:szCs w:val="24"/>
        </w:rPr>
        <w:t>posted on</w:t>
      </w:r>
      <w:r w:rsidRPr="00DC34C7">
        <w:rPr>
          <w:szCs w:val="24"/>
        </w:rPr>
        <w:t xml:space="preserve"> the </w:t>
      </w:r>
      <w:r>
        <w:rPr>
          <w:szCs w:val="24"/>
        </w:rPr>
        <w:t xml:space="preserve">WP3/12, </w:t>
      </w:r>
      <w:r w:rsidR="005C10FB">
        <w:rPr>
          <w:szCs w:val="24"/>
        </w:rPr>
        <w:t xml:space="preserve">and </w:t>
      </w:r>
      <w:r w:rsidRPr="00DC34C7">
        <w:rPr>
          <w:szCs w:val="24"/>
        </w:rPr>
        <w:t>Q13, 14 and 17/12 mailing lists.</w:t>
      </w:r>
    </w:p>
    <w:p w:rsidR="000B46FB" w:rsidRPr="00B70109" w:rsidRDefault="001C0948" w:rsidP="00491EEB">
      <w:pPr>
        <w:keepNext/>
        <w:keepLines/>
        <w:spacing w:before="240"/>
      </w:pPr>
      <w:r w:rsidRPr="00B70109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8272D5" w:rsidRPr="00B70109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8272D5" w:rsidRDefault="008272D5" w:rsidP="005755E7">
            <w:pPr>
              <w:keepNext/>
              <w:keepLines/>
              <w:spacing w:before="240"/>
            </w:pPr>
            <w:r w:rsidRPr="00B70109">
              <w:t>Yours faithfully,</w:t>
            </w:r>
          </w:p>
          <w:p w:rsidR="008272D5" w:rsidRDefault="008272D5" w:rsidP="008272D5">
            <w:pPr>
              <w:keepNext/>
              <w:keepLines/>
              <w:spacing w:before="0"/>
            </w:pPr>
          </w:p>
          <w:p w:rsidR="008272D5" w:rsidRPr="003B418D" w:rsidRDefault="003B418D" w:rsidP="008272D5">
            <w:pPr>
              <w:keepNext/>
              <w:keepLines/>
              <w:spacing w:before="0"/>
              <w:rPr>
                <w:i/>
              </w:rPr>
            </w:pPr>
            <w:r w:rsidRPr="003B418D">
              <w:rPr>
                <w:i/>
              </w:rPr>
              <w:t>(signed)</w:t>
            </w:r>
          </w:p>
          <w:p w:rsidR="008272D5" w:rsidRPr="00B70109" w:rsidRDefault="008272D5" w:rsidP="008272D5">
            <w:pPr>
              <w:keepNext/>
              <w:keepLines/>
              <w:spacing w:before="0"/>
            </w:pPr>
          </w:p>
          <w:p w:rsidR="008272D5" w:rsidRPr="00B70109" w:rsidRDefault="008272D5" w:rsidP="008272D5">
            <w:pPr>
              <w:keepNext/>
              <w:keepLines/>
              <w:spacing w:before="0"/>
            </w:pPr>
            <w:r w:rsidRPr="00B70109">
              <w:rPr>
                <w:szCs w:val="24"/>
              </w:rPr>
              <w:t>Chaesub Lee</w:t>
            </w:r>
            <w:r w:rsidRPr="00B70109">
              <w:br/>
              <w:t>Director of the Telecommunication</w:t>
            </w:r>
            <w:r w:rsidRPr="00B70109">
              <w:br/>
              <w:t>Standardization Bureau</w:t>
            </w:r>
            <w:r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2D5" w:rsidRPr="003F78B8" w:rsidRDefault="008272D5" w:rsidP="008272D5">
            <w:pPr>
              <w:spacing w:before="0"/>
              <w:ind w:left="113" w:right="113"/>
              <w:jc w:val="center"/>
            </w:pPr>
            <w:r w:rsidRPr="003F78B8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D2A484B" wp14:editId="7A24339E">
                  <wp:extent cx="1086416" cy="1086416"/>
                  <wp:effectExtent l="0" t="0" r="0" b="0"/>
                  <wp:docPr id="2" name="Picture 2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8B8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3F78B8">
              <w:rPr>
                <w:rFonts w:ascii="Calibri" w:eastAsia="SimSun" w:hAnsi="Calibri" w:cs="Arial"/>
                <w:sz w:val="20"/>
                <w:lang w:eastAsia="zh-CN"/>
              </w:rPr>
              <w:t>ITU-T SG12</w:t>
            </w:r>
          </w:p>
        </w:tc>
      </w:tr>
      <w:tr w:rsidR="0057770B" w:rsidRPr="00B70109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:rsidR="00384E5D" w:rsidRPr="00B70109" w:rsidRDefault="0024485F" w:rsidP="00CE218B">
      <w:pPr>
        <w:spacing w:before="240"/>
      </w:pPr>
      <w:r w:rsidRPr="008272D5">
        <w:rPr>
          <w:b/>
          <w:bCs/>
        </w:rPr>
        <w:t>Annexes</w:t>
      </w:r>
      <w:r w:rsidRPr="008272D5">
        <w:t xml:space="preserve">: </w:t>
      </w:r>
      <w:r w:rsidR="002A3D35" w:rsidRPr="008272D5">
        <w:t>2</w:t>
      </w:r>
      <w:r w:rsidR="00384E5D" w:rsidRPr="00B70109">
        <w:br w:type="page"/>
      </w:r>
    </w:p>
    <w:p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:rsidR="00384E5D" w:rsidRPr="00B70109" w:rsidRDefault="00384E5D" w:rsidP="00C43295">
      <w:pPr>
        <w:tabs>
          <w:tab w:val="left" w:pos="1418"/>
          <w:tab w:val="left" w:pos="1702"/>
          <w:tab w:val="left" w:pos="2160"/>
        </w:tabs>
        <w:spacing w:before="80" w:after="120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:rsidR="00B61795" w:rsidRPr="00B70109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</w:t>
      </w:r>
      <w:r w:rsidR="0020709B"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b/>
          <w:bCs/>
          <w:szCs w:val="22"/>
          <w:lang w:eastAsia="zh-CN"/>
        </w:rPr>
        <w:t>S</w:t>
      </w:r>
      <w:r w:rsidR="0020709B" w:rsidRPr="00B701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szCs w:val="22"/>
          <w:lang w:eastAsia="zh-CN"/>
        </w:rPr>
        <w:t xml:space="preserve">The meeting will be run paperless. </w:t>
      </w:r>
      <w:r w:rsidR="0020709B" w:rsidRPr="00B70109">
        <w:rPr>
          <w:rFonts w:eastAsia="SimSun"/>
          <w:szCs w:val="22"/>
          <w:lang w:eastAsia="zh-CN"/>
        </w:rPr>
        <w:t xml:space="preserve">Member </w:t>
      </w:r>
      <w:r w:rsidR="00875B05" w:rsidRPr="00B70109">
        <w:rPr>
          <w:rFonts w:eastAsia="SimSun"/>
          <w:szCs w:val="22"/>
          <w:lang w:eastAsia="zh-CN"/>
        </w:rPr>
        <w:t xml:space="preserve">contributions </w:t>
      </w:r>
      <w:r w:rsidR="0020709B" w:rsidRPr="00B70109">
        <w:rPr>
          <w:rFonts w:eastAsia="SimSun"/>
          <w:szCs w:val="22"/>
          <w:lang w:eastAsia="zh-CN"/>
        </w:rPr>
        <w:t xml:space="preserve">should be submitted using </w:t>
      </w:r>
      <w:hyperlink r:id="rId14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B70109">
        <w:rPr>
          <w:rFonts w:eastAsia="SimSun"/>
          <w:szCs w:val="22"/>
          <w:lang w:eastAsia="zh-CN"/>
        </w:rPr>
        <w:t>;</w:t>
      </w:r>
      <w:r w:rsidR="0020709B" w:rsidRPr="00B70109">
        <w:rPr>
          <w:rFonts w:eastAsia="SimSun"/>
          <w:szCs w:val="22"/>
          <w:lang w:eastAsia="zh-CN"/>
        </w:rPr>
        <w:t xml:space="preserve"> draft TDs should be submitted by e</w:t>
      </w:r>
      <w:r w:rsidR="00905875">
        <w:rPr>
          <w:rFonts w:eastAsia="SimSun"/>
          <w:szCs w:val="22"/>
          <w:lang w:eastAsia="zh-CN"/>
        </w:rPr>
        <w:t>-</w:t>
      </w:r>
      <w:r w:rsidR="0020709B" w:rsidRPr="00B70109">
        <w:rPr>
          <w:rFonts w:eastAsia="SimSun"/>
          <w:szCs w:val="22"/>
          <w:lang w:eastAsia="zh-CN"/>
        </w:rPr>
        <w:t>mail to the study</w:t>
      </w:r>
      <w:r w:rsidR="00000FC7" w:rsidRPr="00B70109">
        <w:rPr>
          <w:rFonts w:eastAsia="SimSun"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group secretariat using the </w:t>
      </w:r>
      <w:hyperlink r:id="rId15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B70109">
        <w:rPr>
          <w:rFonts w:eastAsia="SimSun"/>
          <w:szCs w:val="22"/>
          <w:lang w:eastAsia="zh-CN"/>
        </w:rPr>
        <w:t xml:space="preserve">. </w:t>
      </w:r>
      <w:r w:rsidRPr="00B70109">
        <w:rPr>
          <w:rFonts w:eastAsia="SimSun"/>
          <w:szCs w:val="22"/>
          <w:lang w:eastAsia="zh-CN"/>
        </w:rPr>
        <w:t>Access to meeting documents i</w:t>
      </w:r>
      <w:r w:rsidR="00000FC7" w:rsidRPr="00B70109">
        <w:rPr>
          <w:rFonts w:eastAsia="SimSun"/>
          <w:szCs w:val="22"/>
          <w:lang w:eastAsia="zh-CN"/>
        </w:rPr>
        <w:t xml:space="preserve">s provided from the study </w:t>
      </w:r>
      <w:r w:rsidRPr="00B70109">
        <w:rPr>
          <w:rFonts w:eastAsia="SimSun"/>
          <w:szCs w:val="22"/>
          <w:lang w:eastAsia="zh-CN"/>
        </w:rPr>
        <w:t>group homepage</w:t>
      </w:r>
      <w:r w:rsidR="00902D14" w:rsidRPr="00B70109">
        <w:rPr>
          <w:rFonts w:eastAsia="SimSun"/>
          <w:szCs w:val="22"/>
          <w:lang w:eastAsia="zh-CN"/>
        </w:rPr>
        <w:t xml:space="preserve">, and is </w:t>
      </w:r>
      <w:r w:rsidR="00655FDD" w:rsidRPr="00B70109">
        <w:rPr>
          <w:rFonts w:eastAsia="SimSun"/>
          <w:szCs w:val="22"/>
          <w:lang w:eastAsia="zh-CN"/>
        </w:rPr>
        <w:t>restricted to ITU-T Members</w:t>
      </w:r>
      <w:r w:rsidR="00DA7519">
        <w:rPr>
          <w:rFonts w:eastAsia="SimSun"/>
          <w:szCs w:val="22"/>
          <w:lang w:eastAsia="zh-CN"/>
        </w:rPr>
        <w:t xml:space="preserve"> who have an </w:t>
      </w:r>
      <w:hyperlink r:id="rId16" w:history="1">
        <w:r w:rsidR="00DA7519"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>
        <w:rPr>
          <w:rFonts w:eastAsia="SimSun"/>
          <w:szCs w:val="22"/>
          <w:lang w:eastAsia="zh-CN"/>
        </w:rPr>
        <w:t xml:space="preserve"> with TIES access.</w:t>
      </w:r>
    </w:p>
    <w:p w:rsidR="00384E5D" w:rsidRPr="00B70109" w:rsidRDefault="00B60D37" w:rsidP="00830DBC">
      <w:pPr>
        <w:rPr>
          <w:szCs w:val="22"/>
        </w:rPr>
      </w:pPr>
      <w:r w:rsidRPr="00B70109">
        <w:rPr>
          <w:rFonts w:cstheme="majorBidi"/>
          <w:b/>
          <w:bCs/>
          <w:szCs w:val="22"/>
        </w:rPr>
        <w:t>INTE</w:t>
      </w:r>
      <w:r w:rsidR="004976A9" w:rsidRPr="00B70109">
        <w:rPr>
          <w:rFonts w:cstheme="majorBidi"/>
          <w:b/>
          <w:bCs/>
          <w:szCs w:val="22"/>
        </w:rPr>
        <w:t>R</w:t>
      </w:r>
      <w:r w:rsidRPr="00B70109">
        <w:rPr>
          <w:rFonts w:cstheme="majorBidi"/>
          <w:b/>
          <w:bCs/>
          <w:szCs w:val="22"/>
        </w:rPr>
        <w:t>PRETATION</w:t>
      </w:r>
      <w:r w:rsidRPr="00B70109">
        <w:rPr>
          <w:rFonts w:cstheme="majorBidi"/>
          <w:szCs w:val="22"/>
        </w:rPr>
        <w:t xml:space="preserve">: </w:t>
      </w:r>
      <w:r w:rsidR="008272D5" w:rsidRPr="00B70109">
        <w:rPr>
          <w:rFonts w:cstheme="majorBidi"/>
          <w:szCs w:val="22"/>
        </w:rPr>
        <w:t>Due to budget restrictions,</w:t>
      </w:r>
      <w:r w:rsidR="008272D5" w:rsidRPr="00B70109">
        <w:rPr>
          <w:rFonts w:cstheme="majorBidi"/>
          <w:b/>
          <w:bCs/>
          <w:szCs w:val="22"/>
        </w:rPr>
        <w:t xml:space="preserve"> </w:t>
      </w:r>
      <w:r w:rsidR="008272D5">
        <w:rPr>
          <w:rFonts w:cstheme="majorBidi"/>
          <w:szCs w:val="22"/>
        </w:rPr>
        <w:t>the meeting will be held in English without interpretation</w:t>
      </w:r>
      <w:r w:rsidR="008272D5" w:rsidRPr="00B70109">
        <w:rPr>
          <w:szCs w:val="22"/>
        </w:rPr>
        <w:t>.</w:t>
      </w:r>
    </w:p>
    <w:p w:rsidR="008272D5" w:rsidRPr="00B70109" w:rsidRDefault="008272D5" w:rsidP="00C43295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PRE-REGISTRATION, NEW DELEGATES, FELLOWSHIPS AND VISA SUPPORT</w:t>
      </w:r>
    </w:p>
    <w:p w:rsidR="008272D5" w:rsidRPr="00B70109" w:rsidRDefault="008272D5" w:rsidP="008272D5">
      <w:pPr>
        <w:rPr>
          <w:b/>
          <w:bCs/>
        </w:rPr>
      </w:pPr>
      <w:r w:rsidRPr="00B70109">
        <w:rPr>
          <w:b/>
          <w:bCs/>
        </w:rPr>
        <w:t>PRE-REGISTRATION</w:t>
      </w:r>
      <w:r w:rsidRPr="00E93E5E">
        <w:t>:</w:t>
      </w:r>
      <w:r w:rsidRPr="00B70109">
        <w:rPr>
          <w:b/>
          <w:bCs/>
        </w:rPr>
        <w:t xml:space="preserve"> </w:t>
      </w:r>
      <w:r w:rsidRPr="00B70109">
        <w:t xml:space="preserve">Pre-registration is mandatory and is to be done online via the study group home page </w:t>
      </w:r>
      <w:r w:rsidRPr="00B70109">
        <w:rPr>
          <w:b/>
          <w:bCs/>
        </w:rPr>
        <w:t>at least one month before the start of the meeting</w:t>
      </w:r>
      <w:r w:rsidRPr="00B70109">
        <w:t xml:space="preserve">. As outlined in </w:t>
      </w:r>
      <w:hyperlink r:id="rId17" w:history="1">
        <w:r w:rsidRPr="00B70109">
          <w:rPr>
            <w:rStyle w:val="Hyperlink"/>
          </w:rPr>
          <w:t>TSB Circular 68</w:t>
        </w:r>
      </w:hyperlink>
      <w:r w:rsidRPr="00B70109">
        <w:t>, the new registration system requires focal-point approval for all registration requests. The membership is invited to include women in their delegations whenever possible.</w:t>
      </w:r>
    </w:p>
    <w:p w:rsidR="008272D5" w:rsidRPr="003478F0" w:rsidRDefault="008272D5" w:rsidP="008272D5">
      <w:pPr>
        <w:spacing w:before="60"/>
        <w:rPr>
          <w:rStyle w:val="Hyperlink"/>
          <w:iCs/>
          <w:color w:val="auto"/>
          <w:szCs w:val="22"/>
          <w:u w:val="none"/>
        </w:rPr>
      </w:pPr>
      <w:r w:rsidRPr="002255CA">
        <w:rPr>
          <w:b/>
          <w:iCs/>
          <w:szCs w:val="22"/>
        </w:rPr>
        <w:t>VISA SUPPORT</w:t>
      </w:r>
      <w:r w:rsidRPr="002255CA">
        <w:rPr>
          <w:iCs/>
          <w:szCs w:val="22"/>
        </w:rPr>
        <w:t xml:space="preserve">: As this meeting is organized outside Switzerland, visa support requests are to be addressed directly to the host of the meeting. Instructions are found </w:t>
      </w:r>
      <w:r w:rsidR="000F17B7">
        <w:rPr>
          <w:iCs/>
          <w:szCs w:val="22"/>
        </w:rPr>
        <w:t>below</w:t>
      </w:r>
      <w:r>
        <w:rPr>
          <w:iCs/>
          <w:szCs w:val="22"/>
        </w:rPr>
        <w:t>.</w:t>
      </w:r>
    </w:p>
    <w:p w:rsidR="008272D5" w:rsidRPr="003478F0" w:rsidRDefault="008272D5" w:rsidP="00C43295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jc w:val="center"/>
        <w:rPr>
          <w:b/>
          <w:bCs/>
          <w:szCs w:val="24"/>
        </w:rPr>
      </w:pPr>
      <w:r w:rsidRPr="003478F0">
        <w:rPr>
          <w:b/>
          <w:bCs/>
          <w:szCs w:val="24"/>
        </w:rPr>
        <w:t xml:space="preserve">VENUE </w:t>
      </w:r>
    </w:p>
    <w:p w:rsidR="000F17B7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 xml:space="preserve">The </w:t>
      </w:r>
      <w:r w:rsidR="000F17B7">
        <w:rPr>
          <w:bCs/>
          <w:lang w:val="en-US"/>
        </w:rPr>
        <w:t xml:space="preserve">Q13, Q14 and Q17/12 </w:t>
      </w:r>
      <w:r w:rsidRPr="003478F0">
        <w:rPr>
          <w:bCs/>
          <w:lang w:val="en-US"/>
        </w:rPr>
        <w:t>interim meeting</w:t>
      </w:r>
      <w:r w:rsidR="000F17B7">
        <w:rPr>
          <w:bCs/>
          <w:lang w:val="en-US"/>
        </w:rPr>
        <w:t>s</w:t>
      </w:r>
      <w:r w:rsidRPr="003478F0">
        <w:rPr>
          <w:bCs/>
          <w:lang w:val="en-US"/>
        </w:rPr>
        <w:t xml:space="preserve"> will be held</w:t>
      </w:r>
      <w:r w:rsidR="00C43295">
        <w:rPr>
          <w:bCs/>
          <w:lang w:val="en-US"/>
        </w:rPr>
        <w:t xml:space="preserve"> from</w:t>
      </w:r>
      <w:r w:rsidRPr="003478F0">
        <w:rPr>
          <w:bCs/>
          <w:lang w:val="en-US"/>
        </w:rPr>
        <w:t xml:space="preserve"> 2</w:t>
      </w:r>
      <w:r w:rsidR="000F17B7">
        <w:rPr>
          <w:bCs/>
          <w:lang w:val="en-US"/>
        </w:rPr>
        <w:t>-</w:t>
      </w:r>
      <w:r w:rsidRPr="003478F0">
        <w:rPr>
          <w:bCs/>
          <w:lang w:val="en-US"/>
        </w:rPr>
        <w:t>4 September and the WP3</w:t>
      </w:r>
      <w:r w:rsidR="000F17B7">
        <w:rPr>
          <w:bCs/>
          <w:lang w:val="en-US"/>
        </w:rPr>
        <w:t>/12</w:t>
      </w:r>
      <w:r w:rsidRPr="003478F0">
        <w:rPr>
          <w:bCs/>
          <w:lang w:val="en-US"/>
        </w:rPr>
        <w:t xml:space="preserve"> meeting </w:t>
      </w:r>
      <w:r w:rsidR="00C43295">
        <w:rPr>
          <w:bCs/>
          <w:lang w:val="en-US"/>
        </w:rPr>
        <w:t xml:space="preserve">on </w:t>
      </w:r>
      <w:r w:rsidR="00C43295">
        <w:rPr>
          <w:bCs/>
          <w:lang w:val="en-US"/>
        </w:rPr>
        <w:br/>
      </w:r>
      <w:r w:rsidRPr="003478F0">
        <w:rPr>
          <w:bCs/>
          <w:lang w:val="en-US"/>
        </w:rPr>
        <w:t xml:space="preserve">4 September in Kista, Stockholm. 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 xml:space="preserve">The main meeting room </w:t>
      </w:r>
      <w:r w:rsidR="00C43295">
        <w:rPr>
          <w:bCs/>
          <w:lang w:val="en-US"/>
        </w:rPr>
        <w:t>is named</w:t>
      </w:r>
      <w:r w:rsidRPr="003478F0">
        <w:rPr>
          <w:bCs/>
          <w:lang w:val="en-US"/>
        </w:rPr>
        <w:t xml:space="preserve"> “Helge” and is located at the entrance floor of the Ericsson headquarter</w:t>
      </w:r>
      <w:r w:rsidR="00C43295">
        <w:rPr>
          <w:bCs/>
          <w:lang w:val="en-US"/>
        </w:rPr>
        <w:t>s</w:t>
      </w:r>
      <w:r w:rsidRPr="003478F0">
        <w:rPr>
          <w:bCs/>
          <w:lang w:val="en-US"/>
        </w:rPr>
        <w:t xml:space="preserve"> building. The </w:t>
      </w:r>
      <w:hyperlink r:id="rId18" w:history="1">
        <w:r w:rsidRPr="003478F0">
          <w:rPr>
            <w:rStyle w:val="Hyperlink"/>
            <w:bCs/>
            <w:lang w:val="en-US"/>
          </w:rPr>
          <w:t>address</w:t>
        </w:r>
      </w:hyperlink>
      <w:r w:rsidRPr="003478F0">
        <w:rPr>
          <w:bCs/>
          <w:lang w:val="en-US"/>
        </w:rPr>
        <w:t xml:space="preserve"> is:</w:t>
      </w:r>
    </w:p>
    <w:p w:rsidR="008272D5" w:rsidRPr="003478F0" w:rsidRDefault="008272D5" w:rsidP="008272D5">
      <w:pPr>
        <w:spacing w:before="60"/>
        <w:ind w:left="720"/>
        <w:rPr>
          <w:b/>
          <w:bCs/>
          <w:lang w:val="sv-SE"/>
        </w:rPr>
      </w:pPr>
      <w:r w:rsidRPr="003478F0">
        <w:rPr>
          <w:b/>
          <w:bCs/>
          <w:lang w:val="sv-SE"/>
        </w:rPr>
        <w:t>Ericsson</w:t>
      </w:r>
      <w:r w:rsidRPr="003478F0">
        <w:rPr>
          <w:b/>
          <w:bCs/>
          <w:lang w:val="sv-SE"/>
        </w:rPr>
        <w:br/>
        <w:t>Torshamnsgatan 21</w:t>
      </w:r>
      <w:r w:rsidRPr="003478F0">
        <w:rPr>
          <w:b/>
          <w:bCs/>
          <w:lang w:val="sv-SE"/>
        </w:rPr>
        <w:br/>
        <w:t>Kista</w:t>
      </w:r>
      <w:r w:rsidRPr="003478F0">
        <w:rPr>
          <w:b/>
          <w:bCs/>
          <w:lang w:val="sv-SE"/>
        </w:rPr>
        <w:br/>
        <w:t>164 80 Stockholm</w:t>
      </w:r>
      <w:r w:rsidRPr="003478F0">
        <w:rPr>
          <w:b/>
          <w:bCs/>
          <w:lang w:val="sv-SE"/>
        </w:rPr>
        <w:br/>
        <w:t>Sweden</w:t>
      </w:r>
    </w:p>
    <w:p w:rsidR="008272D5" w:rsidRPr="003478F0" w:rsidRDefault="008272D5" w:rsidP="00C43295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jc w:val="center"/>
        <w:rPr>
          <w:b/>
          <w:bCs/>
          <w:szCs w:val="24"/>
        </w:rPr>
      </w:pPr>
      <w:r w:rsidRPr="003478F0">
        <w:rPr>
          <w:b/>
          <w:bCs/>
          <w:szCs w:val="24"/>
        </w:rPr>
        <w:t>FINDING YOUR WAY AROUND KISTA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>Kista is strategically located between highways E4 and E18 and is serviced by subway trai</w:t>
      </w:r>
      <w:r w:rsidR="00C43295">
        <w:rPr>
          <w:bCs/>
          <w:lang w:val="en-US"/>
        </w:rPr>
        <w:t>ns, commuter trains and buses. You may consult this l</w:t>
      </w:r>
      <w:r w:rsidRPr="003478F0">
        <w:rPr>
          <w:bCs/>
          <w:lang w:val="en-US"/>
        </w:rPr>
        <w:t xml:space="preserve">ink to </w:t>
      </w:r>
      <w:hyperlink r:id="rId19" w:history="1">
        <w:r w:rsidRPr="003478F0">
          <w:rPr>
            <w:rStyle w:val="Hyperlink"/>
            <w:bCs/>
            <w:lang w:val="en-US"/>
          </w:rPr>
          <w:t>Google Maps and the meeting venue</w:t>
        </w:r>
      </w:hyperlink>
      <w:r w:rsidRPr="003478F0">
        <w:rPr>
          <w:bCs/>
          <w:lang w:val="en-US"/>
        </w:rPr>
        <w:t xml:space="preserve">. </w:t>
      </w:r>
    </w:p>
    <w:p w:rsidR="008272D5" w:rsidRPr="003478F0" w:rsidRDefault="00C43295" w:rsidP="00C43295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jc w:val="center"/>
        <w:rPr>
          <w:b/>
          <w:bCs/>
          <w:szCs w:val="24"/>
        </w:rPr>
      </w:pPr>
      <w:r w:rsidRPr="003478F0">
        <w:rPr>
          <w:b/>
          <w:bCs/>
          <w:szCs w:val="24"/>
        </w:rPr>
        <w:t>GET</w:t>
      </w:r>
      <w:r>
        <w:rPr>
          <w:b/>
          <w:bCs/>
          <w:szCs w:val="24"/>
        </w:rPr>
        <w:t>TING</w:t>
      </w:r>
      <w:r w:rsidRPr="003478F0">
        <w:rPr>
          <w:b/>
          <w:bCs/>
          <w:szCs w:val="24"/>
        </w:rPr>
        <w:t xml:space="preserve"> </w:t>
      </w:r>
      <w:r w:rsidR="008272D5" w:rsidRPr="003478F0">
        <w:rPr>
          <w:b/>
          <w:bCs/>
          <w:szCs w:val="24"/>
        </w:rPr>
        <w:t>TO KISTA BY PUBLIC TRANSPORTATION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 xml:space="preserve">Using </w:t>
      </w:r>
      <w:hyperlink r:id="rId20" w:history="1">
        <w:r w:rsidRPr="003478F0">
          <w:rPr>
            <w:rStyle w:val="Hyperlink"/>
            <w:bCs/>
            <w:lang w:val="en-US"/>
          </w:rPr>
          <w:t>public transportation</w:t>
        </w:r>
      </w:hyperlink>
      <w:r w:rsidRPr="003478F0">
        <w:rPr>
          <w:bCs/>
          <w:lang w:val="en-US"/>
        </w:rPr>
        <w:t xml:space="preserve"> travelling from T-Centralen (Central Station) to Kista, the blue line </w:t>
      </w:r>
      <w:r w:rsidR="00C43295">
        <w:rPr>
          <w:bCs/>
          <w:lang w:val="en-US"/>
        </w:rPr>
        <w:t xml:space="preserve">subway </w:t>
      </w:r>
      <w:r w:rsidRPr="003478F0">
        <w:rPr>
          <w:bCs/>
          <w:lang w:val="en-US"/>
        </w:rPr>
        <w:t xml:space="preserve">to Akalla takes 18 minutes. </w:t>
      </w:r>
      <w:r w:rsidR="00C43295">
        <w:rPr>
          <w:bCs/>
          <w:lang w:val="en-US"/>
        </w:rPr>
        <w:t>Another option is</w:t>
      </w:r>
      <w:r w:rsidRPr="003478F0">
        <w:rPr>
          <w:bCs/>
          <w:lang w:val="en-US"/>
        </w:rPr>
        <w:t xml:space="preserve"> the commuter train to Helenelund, which takes 12 minutes, and then a short walk or bu</w:t>
      </w:r>
      <w:r w:rsidR="00C43295">
        <w:rPr>
          <w:bCs/>
          <w:lang w:val="en-US"/>
        </w:rPr>
        <w:t>s ride to Kista. Numerous buses travel</w:t>
      </w:r>
      <w:r w:rsidRPr="003478F0">
        <w:rPr>
          <w:bCs/>
          <w:lang w:val="en-US"/>
        </w:rPr>
        <w:t xml:space="preserve"> from Stockholm’s western and northern suburbs to Kista Centre and the industrial area.</w:t>
      </w:r>
    </w:p>
    <w:p w:rsidR="008272D5" w:rsidRPr="003478F0" w:rsidRDefault="008272D5" w:rsidP="00C43295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jc w:val="center"/>
        <w:rPr>
          <w:b/>
          <w:bCs/>
          <w:szCs w:val="24"/>
        </w:rPr>
      </w:pPr>
      <w:r w:rsidRPr="003478F0">
        <w:rPr>
          <w:b/>
          <w:bCs/>
          <w:szCs w:val="24"/>
        </w:rPr>
        <w:t>GET</w:t>
      </w:r>
      <w:r w:rsidR="00C43295">
        <w:rPr>
          <w:b/>
          <w:bCs/>
          <w:szCs w:val="24"/>
        </w:rPr>
        <w:t>TING</w:t>
      </w:r>
      <w:r w:rsidRPr="003478F0">
        <w:rPr>
          <w:b/>
          <w:bCs/>
          <w:szCs w:val="24"/>
        </w:rPr>
        <w:t xml:space="preserve"> TO KISTA FROM ARLANDA AND BROMMA AIRPORTS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 xml:space="preserve">From </w:t>
      </w:r>
      <w:hyperlink r:id="rId21" w:history="1">
        <w:r w:rsidRPr="003478F0">
          <w:rPr>
            <w:rStyle w:val="Hyperlink"/>
            <w:bCs/>
            <w:lang w:val="en-US"/>
          </w:rPr>
          <w:t>Arlanda</w:t>
        </w:r>
      </w:hyperlink>
      <w:r w:rsidRPr="003478F0">
        <w:rPr>
          <w:bCs/>
          <w:lang w:val="en-US"/>
        </w:rPr>
        <w:t xml:space="preserve"> and </w:t>
      </w:r>
      <w:hyperlink r:id="rId22" w:history="1">
        <w:r w:rsidRPr="003478F0">
          <w:rPr>
            <w:rStyle w:val="Hyperlink"/>
            <w:bCs/>
            <w:lang w:val="en-US"/>
          </w:rPr>
          <w:t>Bromma</w:t>
        </w:r>
      </w:hyperlink>
      <w:r w:rsidRPr="003478F0">
        <w:rPr>
          <w:bCs/>
          <w:lang w:val="en-US"/>
        </w:rPr>
        <w:t xml:space="preserve"> airport</w:t>
      </w:r>
      <w:r w:rsidR="00C43295">
        <w:rPr>
          <w:bCs/>
          <w:lang w:val="en-US"/>
        </w:rPr>
        <w:t>s</w:t>
      </w:r>
      <w:r w:rsidRPr="003478F0">
        <w:rPr>
          <w:bCs/>
          <w:lang w:val="en-US"/>
        </w:rPr>
        <w:t xml:space="preserve">, you can reach Kista either by taxi or by going to Stockholm Central Station with </w:t>
      </w:r>
      <w:hyperlink r:id="rId23" w:history="1">
        <w:r w:rsidRPr="003478F0">
          <w:rPr>
            <w:rStyle w:val="Hyperlink"/>
            <w:bCs/>
            <w:lang w:val="en-US"/>
          </w:rPr>
          <w:t>airport coaches</w:t>
        </w:r>
      </w:hyperlink>
      <w:r w:rsidRPr="003478F0">
        <w:rPr>
          <w:bCs/>
          <w:lang w:val="en-US"/>
        </w:rPr>
        <w:t xml:space="preserve"> or </w:t>
      </w:r>
      <w:hyperlink r:id="rId24" w:history="1">
        <w:r w:rsidRPr="003478F0">
          <w:rPr>
            <w:rStyle w:val="Hyperlink"/>
            <w:bCs/>
            <w:lang w:val="en-US"/>
          </w:rPr>
          <w:t>Arlanda express</w:t>
        </w:r>
      </w:hyperlink>
      <w:r w:rsidRPr="003478F0">
        <w:rPr>
          <w:bCs/>
          <w:lang w:val="en-US"/>
        </w:rPr>
        <w:t xml:space="preserve">, and then further on to Kista with </w:t>
      </w:r>
      <w:hyperlink r:id="rId25" w:history="1">
        <w:r w:rsidRPr="003478F0">
          <w:rPr>
            <w:rStyle w:val="Hyperlink"/>
            <w:bCs/>
            <w:lang w:val="en-US"/>
          </w:rPr>
          <w:t>subway or commuter trains</w:t>
        </w:r>
      </w:hyperlink>
      <w:r w:rsidRPr="003478F0">
        <w:rPr>
          <w:bCs/>
          <w:lang w:val="en-US"/>
        </w:rPr>
        <w:t xml:space="preserve">. You can also take the commuter train from Arlanda directly to Kista. </w:t>
      </w:r>
    </w:p>
    <w:p w:rsidR="008272D5" w:rsidRPr="003478F0" w:rsidRDefault="008272D5" w:rsidP="00C43295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jc w:val="center"/>
        <w:rPr>
          <w:b/>
          <w:bCs/>
          <w:szCs w:val="24"/>
        </w:rPr>
      </w:pPr>
      <w:r w:rsidRPr="003478F0">
        <w:rPr>
          <w:b/>
          <w:bCs/>
          <w:szCs w:val="24"/>
        </w:rPr>
        <w:t>GET</w:t>
      </w:r>
      <w:r w:rsidR="00C43295">
        <w:rPr>
          <w:b/>
          <w:bCs/>
          <w:szCs w:val="24"/>
        </w:rPr>
        <w:t>TING</w:t>
      </w:r>
      <w:r w:rsidRPr="003478F0">
        <w:rPr>
          <w:b/>
          <w:bCs/>
          <w:szCs w:val="24"/>
        </w:rPr>
        <w:t xml:space="preserve"> TO KISTA BY TAXI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 xml:space="preserve">Ericsson recommends </w:t>
      </w:r>
      <w:hyperlink r:id="rId26" w:history="1">
        <w:r w:rsidRPr="003478F0">
          <w:rPr>
            <w:rStyle w:val="Hyperlink"/>
            <w:bCs/>
            <w:lang w:val="en-US"/>
          </w:rPr>
          <w:t>Sverigetaxi</w:t>
        </w:r>
      </w:hyperlink>
      <w:r w:rsidRPr="003478F0">
        <w:rPr>
          <w:bCs/>
          <w:lang w:val="en-US"/>
        </w:rPr>
        <w:t xml:space="preserve">, </w:t>
      </w:r>
      <w:hyperlink r:id="rId27" w:history="1">
        <w:r w:rsidRPr="003478F0">
          <w:rPr>
            <w:rStyle w:val="Hyperlink"/>
            <w:bCs/>
            <w:lang w:val="en-US"/>
          </w:rPr>
          <w:t>Taxi Kurir</w:t>
        </w:r>
      </w:hyperlink>
      <w:r w:rsidRPr="003478F0">
        <w:rPr>
          <w:bCs/>
          <w:lang w:val="en-US"/>
        </w:rPr>
        <w:t xml:space="preserve"> and </w:t>
      </w:r>
      <w:hyperlink r:id="rId28" w:history="1">
        <w:r w:rsidRPr="003478F0">
          <w:rPr>
            <w:rStyle w:val="Hyperlink"/>
            <w:bCs/>
            <w:lang w:val="en-US"/>
          </w:rPr>
          <w:t>Taxi Stockholm</w:t>
        </w:r>
      </w:hyperlink>
      <w:r w:rsidRPr="003478F0">
        <w:rPr>
          <w:bCs/>
          <w:lang w:val="en-US"/>
        </w:rPr>
        <w:t>. To and from Arlanda</w:t>
      </w:r>
      <w:r w:rsidR="00C43295">
        <w:rPr>
          <w:bCs/>
          <w:lang w:val="en-US"/>
        </w:rPr>
        <w:t xml:space="preserve"> Airport,</w:t>
      </w:r>
      <w:r w:rsidRPr="003478F0">
        <w:rPr>
          <w:bCs/>
          <w:lang w:val="en-US"/>
        </w:rPr>
        <w:t xml:space="preserve"> the fixed price is about 535 – 570 SEK for a car taking 1-4 persons. To and from Bromma Airport, the price is </w:t>
      </w:r>
      <w:r w:rsidR="00C43295">
        <w:rPr>
          <w:bCs/>
          <w:lang w:val="en-US"/>
        </w:rPr>
        <w:t>lower</w:t>
      </w:r>
      <w:r w:rsidRPr="003478F0">
        <w:rPr>
          <w:bCs/>
          <w:lang w:val="en-US"/>
        </w:rPr>
        <w:t xml:space="preserve"> than the price to/from Arlanda. All the three taxi companies have web sites and mobile apps for booking. </w:t>
      </w:r>
    </w:p>
    <w:p w:rsidR="008272D5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>Taxi Kurir Ericsson phone number: +46 8 744 94 84</w:t>
      </w:r>
      <w:r w:rsidRPr="003478F0">
        <w:rPr>
          <w:bCs/>
          <w:lang w:val="en-US"/>
        </w:rPr>
        <w:br/>
        <w:t>Sverigetaxi Ericsson phone number: +46 8 20 90 40</w:t>
      </w:r>
      <w:r w:rsidRPr="003478F0">
        <w:rPr>
          <w:bCs/>
          <w:lang w:val="en-US"/>
        </w:rPr>
        <w:br/>
        <w:t>Taxi Stockholm phone number: +46 8 15 00 00</w:t>
      </w:r>
    </w:p>
    <w:p w:rsidR="008272D5" w:rsidRPr="003478F0" w:rsidRDefault="008272D5" w:rsidP="00C43295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jc w:val="center"/>
        <w:rPr>
          <w:b/>
          <w:bCs/>
          <w:szCs w:val="24"/>
        </w:rPr>
      </w:pPr>
      <w:r w:rsidRPr="003478F0">
        <w:rPr>
          <w:b/>
          <w:bCs/>
          <w:szCs w:val="24"/>
        </w:rPr>
        <w:lastRenderedPageBreak/>
        <w:t>HOTELS CLOSE TO KISTA OFFICE (LESS THAN 10 MIN</w:t>
      </w:r>
      <w:r w:rsidR="00C43295">
        <w:rPr>
          <w:b/>
          <w:bCs/>
          <w:szCs w:val="24"/>
        </w:rPr>
        <w:t>.</w:t>
      </w:r>
      <w:r w:rsidRPr="003478F0">
        <w:rPr>
          <w:b/>
          <w:bCs/>
          <w:szCs w:val="24"/>
        </w:rPr>
        <w:t xml:space="preserve"> WALK):</w:t>
      </w:r>
    </w:p>
    <w:p w:rsidR="008272D5" w:rsidRPr="003478F0" w:rsidRDefault="00B64053" w:rsidP="008272D5">
      <w:pPr>
        <w:spacing w:before="60"/>
        <w:rPr>
          <w:bCs/>
          <w:lang w:val="en-US"/>
        </w:rPr>
      </w:pPr>
      <w:hyperlink r:id="rId29" w:history="1">
        <w:r w:rsidR="008272D5" w:rsidRPr="003478F0">
          <w:rPr>
            <w:rStyle w:val="Hyperlink"/>
            <w:bCs/>
            <w:lang w:val="en-US"/>
          </w:rPr>
          <w:t>Scandic Victoria Tower</w:t>
        </w:r>
      </w:hyperlink>
      <w:r w:rsidR="008272D5" w:rsidRPr="003478F0">
        <w:rPr>
          <w:bCs/>
          <w:lang w:val="en-US"/>
        </w:rPr>
        <w:t xml:space="preserve">, </w:t>
      </w:r>
      <w:hyperlink r:id="rId30" w:history="1">
        <w:r w:rsidR="008272D5" w:rsidRPr="003478F0">
          <w:rPr>
            <w:rStyle w:val="Hyperlink"/>
            <w:bCs/>
            <w:lang w:val="en-US"/>
          </w:rPr>
          <w:t>Scandic Kista</w:t>
        </w:r>
      </w:hyperlink>
      <w:r w:rsidR="008272D5" w:rsidRPr="003478F0">
        <w:rPr>
          <w:bCs/>
          <w:lang w:val="en-US"/>
        </w:rPr>
        <w:t xml:space="preserve">, </w:t>
      </w:r>
      <w:hyperlink r:id="rId31" w:history="1">
        <w:r w:rsidR="00C43295">
          <w:rPr>
            <w:rStyle w:val="Hyperlink"/>
            <w:bCs/>
            <w:lang w:val="en-US"/>
          </w:rPr>
          <w:t>Memory H</w:t>
        </w:r>
        <w:r w:rsidR="008272D5" w:rsidRPr="003478F0">
          <w:rPr>
            <w:rStyle w:val="Hyperlink"/>
            <w:bCs/>
            <w:lang w:val="en-US"/>
          </w:rPr>
          <w:t>otel</w:t>
        </w:r>
      </w:hyperlink>
      <w:r w:rsidR="008272D5" w:rsidRPr="003478F0">
        <w:rPr>
          <w:bCs/>
          <w:lang w:val="en-US"/>
        </w:rPr>
        <w:t xml:space="preserve">, </w:t>
      </w:r>
      <w:hyperlink r:id="rId32" w:history="1">
        <w:r w:rsidR="008272D5" w:rsidRPr="003478F0">
          <w:rPr>
            <w:rStyle w:val="Hyperlink"/>
            <w:bCs/>
            <w:lang w:val="en-US"/>
          </w:rPr>
          <w:t>Connect Hotel</w:t>
        </w:r>
      </w:hyperlink>
    </w:p>
    <w:p w:rsidR="008272D5" w:rsidRPr="003478F0" w:rsidRDefault="008272D5" w:rsidP="00C43295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jc w:val="center"/>
        <w:rPr>
          <w:b/>
          <w:bCs/>
          <w:szCs w:val="24"/>
        </w:rPr>
      </w:pPr>
      <w:r w:rsidRPr="003478F0">
        <w:rPr>
          <w:b/>
          <w:bCs/>
          <w:szCs w:val="24"/>
        </w:rPr>
        <w:t>HOTELS IN STOCKHOLM CITY</w:t>
      </w:r>
    </w:p>
    <w:p w:rsidR="008272D5" w:rsidRPr="003478F0" w:rsidRDefault="008272D5" w:rsidP="008272D5">
      <w:pPr>
        <w:spacing w:before="60"/>
        <w:rPr>
          <w:rStyle w:val="Hyperlink"/>
          <w:bCs/>
          <w:lang w:val="en-US"/>
        </w:rPr>
      </w:pPr>
      <w:r w:rsidRPr="003478F0">
        <w:rPr>
          <w:bCs/>
          <w:lang w:val="en-US"/>
        </w:rPr>
        <w:t xml:space="preserve">Stockholm has numerous hotels in the city center. Where you want to stay depends on your preferences and your budget, but just to give a few examples of hotels with good or decent commuting options to Kista: </w:t>
      </w:r>
      <w:r w:rsidRPr="003478F0">
        <w:rPr>
          <w:bCs/>
          <w:lang w:val="en-US"/>
        </w:rPr>
        <w:fldChar w:fldCharType="begin"/>
      </w:r>
      <w:r w:rsidRPr="003478F0">
        <w:rPr>
          <w:bCs/>
          <w:lang w:val="en-US"/>
        </w:rPr>
        <w:instrText xml:space="preserve"> HYPERLINK "https://www.nordicchoicehotels.com/hotels/sweden/stockholm/clarion-hotel-amaranten/" </w:instrText>
      </w:r>
      <w:r w:rsidRPr="003478F0">
        <w:rPr>
          <w:bCs/>
          <w:lang w:val="en-US"/>
        </w:rPr>
        <w:fldChar w:fldCharType="separate"/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rStyle w:val="Hyperlink"/>
          <w:bCs/>
          <w:lang w:val="en-US"/>
        </w:rPr>
        <w:t>Clarion Hotel Amaranten</w:t>
      </w:r>
      <w:r w:rsidRPr="003478F0">
        <w:rPr>
          <w:bCs/>
        </w:rPr>
        <w:fldChar w:fldCharType="end"/>
      </w:r>
      <w:r w:rsidRPr="003478F0">
        <w:rPr>
          <w:bCs/>
          <w:lang w:val="en-US"/>
        </w:rPr>
        <w:t xml:space="preserve">, </w:t>
      </w:r>
      <w:hyperlink r:id="rId33" w:history="1">
        <w:r w:rsidRPr="003478F0">
          <w:rPr>
            <w:rStyle w:val="Hyperlink"/>
            <w:bCs/>
            <w:lang w:val="en-US"/>
          </w:rPr>
          <w:t>Haymarket by Scandic</w:t>
        </w:r>
      </w:hyperlink>
      <w:r w:rsidRPr="003478F0">
        <w:rPr>
          <w:bCs/>
          <w:lang w:val="en-US"/>
        </w:rPr>
        <w:t xml:space="preserve">, </w:t>
      </w:r>
      <w:hyperlink r:id="rId34" w:history="1">
        <w:r w:rsidRPr="003478F0">
          <w:rPr>
            <w:rStyle w:val="Hyperlink"/>
            <w:bCs/>
            <w:lang w:val="en-US"/>
          </w:rPr>
          <w:t>Scandic Malmen</w:t>
        </w:r>
      </w:hyperlink>
      <w:r w:rsidRPr="003478F0">
        <w:rPr>
          <w:bCs/>
          <w:lang w:val="en-US"/>
        </w:rPr>
        <w:t xml:space="preserve">, </w:t>
      </w:r>
      <w:hyperlink r:id="rId35" w:history="1">
        <w:r w:rsidRPr="003478F0">
          <w:rPr>
            <w:rStyle w:val="Hyperlink"/>
            <w:bCs/>
            <w:lang w:val="en-US"/>
          </w:rPr>
          <w:t>Scandic Continental</w:t>
        </w:r>
      </w:hyperlink>
    </w:p>
    <w:p w:rsidR="008272D5" w:rsidRPr="003478F0" w:rsidRDefault="008272D5" w:rsidP="00C43295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jc w:val="center"/>
        <w:rPr>
          <w:b/>
          <w:bCs/>
          <w:szCs w:val="24"/>
        </w:rPr>
      </w:pPr>
      <w:r w:rsidRPr="003478F0">
        <w:rPr>
          <w:b/>
          <w:bCs/>
          <w:szCs w:val="24"/>
        </w:rPr>
        <w:t>KISTA GALLERIA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>Kista G</w:t>
      </w:r>
      <w:r w:rsidR="00C43295">
        <w:rPr>
          <w:bCs/>
          <w:lang w:val="en-US"/>
        </w:rPr>
        <w:t xml:space="preserve">alleria is a big mall where you will find a </w:t>
      </w:r>
      <w:r w:rsidRPr="003478F0">
        <w:rPr>
          <w:bCs/>
          <w:lang w:val="en-US"/>
        </w:rPr>
        <w:t xml:space="preserve">health care centre, dentists, pharmacies, banks, foreign exchange, cinemas, </w:t>
      </w:r>
      <w:r w:rsidR="00C43295">
        <w:rPr>
          <w:bCs/>
          <w:lang w:val="en-US"/>
        </w:rPr>
        <w:t xml:space="preserve">a </w:t>
      </w:r>
      <w:r w:rsidRPr="003478F0">
        <w:rPr>
          <w:bCs/>
          <w:lang w:val="en-US"/>
        </w:rPr>
        <w:t>bowling</w:t>
      </w:r>
      <w:r w:rsidR="00C43295">
        <w:rPr>
          <w:bCs/>
          <w:lang w:val="en-US"/>
        </w:rPr>
        <w:t xml:space="preserve"> alley</w:t>
      </w:r>
      <w:r w:rsidRPr="003478F0">
        <w:rPr>
          <w:bCs/>
          <w:lang w:val="en-US"/>
        </w:rPr>
        <w:t xml:space="preserve"> and a large selection of shops as well a</w:t>
      </w:r>
      <w:r w:rsidR="00C43295">
        <w:rPr>
          <w:bCs/>
          <w:lang w:val="en-US"/>
        </w:rPr>
        <w:t xml:space="preserve">s restaurants featuring a </w:t>
      </w:r>
      <w:r w:rsidRPr="003478F0">
        <w:rPr>
          <w:bCs/>
          <w:lang w:val="en-US"/>
        </w:rPr>
        <w:t>wide selection of food.</w:t>
      </w:r>
    </w:p>
    <w:p w:rsidR="008272D5" w:rsidRPr="003478F0" w:rsidRDefault="008272D5" w:rsidP="00C43295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jc w:val="center"/>
        <w:rPr>
          <w:b/>
          <w:bCs/>
          <w:szCs w:val="24"/>
        </w:rPr>
      </w:pPr>
      <w:r w:rsidRPr="003478F0">
        <w:rPr>
          <w:b/>
          <w:bCs/>
          <w:szCs w:val="24"/>
        </w:rPr>
        <w:t>FACILITIES AT THE MEETING VENUE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>Wireless LAN will be prov</w:t>
      </w:r>
      <w:r w:rsidR="00C43295">
        <w:rPr>
          <w:bCs/>
          <w:lang w:val="en-US"/>
        </w:rPr>
        <w:t>ided. Each meeting room has USB-</w:t>
      </w:r>
      <w:r w:rsidRPr="003478F0">
        <w:rPr>
          <w:bCs/>
          <w:lang w:val="en-US"/>
        </w:rPr>
        <w:t xml:space="preserve">connected conference equipment for remote participation, and Ericsson’s Skype for Business meetings will be available on request. 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>The time zone of the meeting is CEST</w:t>
      </w:r>
      <w:r w:rsidR="00C43295">
        <w:rPr>
          <w:bCs/>
          <w:lang w:val="en-US"/>
        </w:rPr>
        <w:t>.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 xml:space="preserve">The power supply in Sweden is 230 V. Be sure to bring </w:t>
      </w:r>
      <w:r w:rsidR="00C43295">
        <w:rPr>
          <w:bCs/>
          <w:lang w:val="en-US"/>
        </w:rPr>
        <w:t xml:space="preserve">the </w:t>
      </w:r>
      <w:r w:rsidRPr="003478F0">
        <w:rPr>
          <w:bCs/>
          <w:lang w:val="en-US"/>
        </w:rPr>
        <w:t xml:space="preserve">correct adapter. </w:t>
      </w:r>
    </w:p>
    <w:p w:rsidR="008272D5" w:rsidRPr="003478F0" w:rsidRDefault="008272D5" w:rsidP="00C43295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jc w:val="center"/>
        <w:rPr>
          <w:b/>
          <w:bCs/>
          <w:szCs w:val="24"/>
        </w:rPr>
      </w:pPr>
      <w:r w:rsidRPr="003478F0">
        <w:rPr>
          <w:b/>
          <w:bCs/>
          <w:szCs w:val="24"/>
        </w:rPr>
        <w:t>VISA</w:t>
      </w:r>
      <w:r w:rsidR="00C43295">
        <w:rPr>
          <w:b/>
          <w:bCs/>
          <w:szCs w:val="24"/>
        </w:rPr>
        <w:t>S</w:t>
      </w:r>
    </w:p>
    <w:p w:rsidR="00C43295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 xml:space="preserve">If you need an invitation letter for </w:t>
      </w:r>
      <w:r w:rsidR="00C43295">
        <w:rPr>
          <w:bCs/>
          <w:lang w:val="en-US"/>
        </w:rPr>
        <w:t>a</w:t>
      </w:r>
      <w:r w:rsidRPr="003478F0">
        <w:rPr>
          <w:bCs/>
          <w:lang w:val="en-US"/>
        </w:rPr>
        <w:t xml:space="preserve"> visa, please contact Jörgen Gustafsson, </w:t>
      </w:r>
      <w:bookmarkStart w:id="3" w:name="_Hlk13612100"/>
      <w:r w:rsidRPr="003478F0">
        <w:rPr>
          <w:bCs/>
          <w:lang w:val="en-US"/>
        </w:rPr>
        <w:fldChar w:fldCharType="begin"/>
      </w:r>
      <w:r w:rsidRPr="003478F0">
        <w:rPr>
          <w:bCs/>
          <w:lang w:val="en-US"/>
        </w:rPr>
        <w:instrText xml:space="preserve"> HYPERLINK "mailto:jorgen.gustafsson@ericsson.com" </w:instrText>
      </w:r>
      <w:r w:rsidRPr="003478F0">
        <w:rPr>
          <w:bCs/>
          <w:lang w:val="en-US"/>
        </w:rPr>
        <w:fldChar w:fldCharType="separate"/>
      </w:r>
      <w:r w:rsidRPr="003478F0">
        <w:rPr>
          <w:rStyle w:val="Hyperlink"/>
          <w:bCs/>
          <w:lang w:val="en-US"/>
        </w:rPr>
        <w:t>jorgen.gustafsson@ericsson.com</w:t>
      </w:r>
      <w:r w:rsidRPr="003478F0">
        <w:rPr>
          <w:bCs/>
        </w:rPr>
        <w:fldChar w:fldCharType="end"/>
      </w:r>
      <w:bookmarkEnd w:id="3"/>
      <w:r w:rsidRPr="003478F0">
        <w:rPr>
          <w:bCs/>
          <w:lang w:val="en-US"/>
        </w:rPr>
        <w:t>. Provide the information you require for the invitation letter, typically:</w:t>
      </w:r>
    </w:p>
    <w:p w:rsidR="008272D5" w:rsidRPr="00C43295" w:rsidRDefault="008272D5" w:rsidP="00C43295">
      <w:pPr>
        <w:spacing w:before="120"/>
        <w:rPr>
          <w:bCs/>
          <w:lang w:val="en-US"/>
        </w:rPr>
      </w:pPr>
      <w:r w:rsidRPr="003478F0">
        <w:rPr>
          <w:bCs/>
          <w:lang w:val="sv-SE"/>
        </w:rPr>
        <w:t>Address the letter should be sent to (embassy)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>First name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>Last name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>Function/title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>Date of birth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>Passport number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>Date of issue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>Date of expiry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>Company name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>Company postal code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>Company country</w:t>
      </w:r>
    </w:p>
    <w:p w:rsidR="008272D5" w:rsidRPr="003478F0" w:rsidRDefault="00C43295" w:rsidP="008272D5">
      <w:pPr>
        <w:spacing w:before="60"/>
        <w:rPr>
          <w:bCs/>
          <w:lang w:val="en-US"/>
        </w:rPr>
      </w:pPr>
      <w:r>
        <w:rPr>
          <w:bCs/>
          <w:lang w:val="en-US"/>
        </w:rPr>
        <w:t>Visa applicant’s c</w:t>
      </w:r>
      <w:r w:rsidR="008272D5" w:rsidRPr="003478F0">
        <w:rPr>
          <w:bCs/>
          <w:lang w:val="en-US"/>
        </w:rPr>
        <w:t>ontact info/e</w:t>
      </w:r>
      <w:r>
        <w:rPr>
          <w:bCs/>
          <w:lang w:val="en-US"/>
        </w:rPr>
        <w:t>-</w:t>
      </w:r>
      <w:r w:rsidR="008272D5" w:rsidRPr="003478F0">
        <w:rPr>
          <w:bCs/>
          <w:lang w:val="en-US"/>
        </w:rPr>
        <w:t xml:space="preserve">mail  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 xml:space="preserve">Please verify that all information is accurate and will be valid at the time of the meeting. </w:t>
      </w:r>
    </w:p>
    <w:p w:rsidR="008272D5" w:rsidRPr="003478F0" w:rsidRDefault="008272D5" w:rsidP="00C43295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jc w:val="center"/>
        <w:rPr>
          <w:b/>
          <w:bCs/>
          <w:szCs w:val="24"/>
        </w:rPr>
      </w:pPr>
      <w:r w:rsidRPr="003478F0">
        <w:rPr>
          <w:b/>
          <w:bCs/>
          <w:szCs w:val="24"/>
        </w:rPr>
        <w:t>CONTACT PERSON AND QUESTIONS</w:t>
      </w:r>
    </w:p>
    <w:p w:rsidR="008272D5" w:rsidRPr="003478F0" w:rsidRDefault="008272D5" w:rsidP="008272D5">
      <w:pPr>
        <w:spacing w:before="60"/>
        <w:rPr>
          <w:bCs/>
          <w:lang w:val="en-US"/>
        </w:rPr>
      </w:pPr>
      <w:r w:rsidRPr="003478F0">
        <w:rPr>
          <w:bCs/>
          <w:lang w:val="en-US"/>
        </w:rPr>
        <w:t>Please contact Jörgen Gustafsson</w:t>
      </w:r>
    </w:p>
    <w:p w:rsidR="008272D5" w:rsidRPr="005755E7" w:rsidRDefault="008272D5" w:rsidP="008272D5">
      <w:pPr>
        <w:spacing w:before="60"/>
        <w:rPr>
          <w:bCs/>
          <w:lang w:val="fr-FR"/>
        </w:rPr>
      </w:pPr>
      <w:r w:rsidRPr="005755E7">
        <w:rPr>
          <w:bCs/>
          <w:lang w:val="fr-FR"/>
        </w:rPr>
        <w:t>E</w:t>
      </w:r>
      <w:r w:rsidR="00C43295">
        <w:rPr>
          <w:bCs/>
          <w:lang w:val="fr-FR"/>
        </w:rPr>
        <w:t>-</w:t>
      </w:r>
      <w:r w:rsidRPr="005755E7">
        <w:rPr>
          <w:bCs/>
          <w:lang w:val="fr-FR"/>
        </w:rPr>
        <w:t xml:space="preserve">mail: </w:t>
      </w:r>
      <w:hyperlink r:id="rId36" w:history="1">
        <w:r w:rsidRPr="005755E7">
          <w:rPr>
            <w:rStyle w:val="Hyperlink"/>
            <w:bCs/>
            <w:lang w:val="fr-FR"/>
          </w:rPr>
          <w:t>jorgen.gustafsson@ericsson.com</w:t>
        </w:r>
      </w:hyperlink>
    </w:p>
    <w:p w:rsidR="008272D5" w:rsidRPr="005755E7" w:rsidRDefault="008272D5" w:rsidP="008272D5">
      <w:pPr>
        <w:spacing w:before="60"/>
        <w:rPr>
          <w:bCs/>
          <w:lang w:val="fr-FR"/>
        </w:rPr>
      </w:pPr>
      <w:r w:rsidRPr="005755E7">
        <w:rPr>
          <w:bCs/>
          <w:lang w:val="fr-FR"/>
        </w:rPr>
        <w:t>Mobile phone: +46 730 78 32 82</w:t>
      </w:r>
    </w:p>
    <w:p w:rsidR="00462660" w:rsidRPr="005755E7" w:rsidRDefault="00462660" w:rsidP="00931D00">
      <w:pPr>
        <w:spacing w:after="120"/>
        <w:rPr>
          <w:rStyle w:val="Hyperlink"/>
          <w:color w:val="auto"/>
          <w:szCs w:val="22"/>
          <w:u w:val="none"/>
          <w:lang w:val="fr-FR"/>
        </w:rPr>
      </w:pPr>
    </w:p>
    <w:p w:rsidR="00000FC7" w:rsidRPr="005755E7" w:rsidRDefault="00000FC7" w:rsidP="00000FC7">
      <w:pPr>
        <w:spacing w:before="60"/>
        <w:rPr>
          <w:b/>
          <w:bCs/>
          <w:lang w:val="fr-FR"/>
        </w:rPr>
      </w:pPr>
      <w:r w:rsidRPr="005755E7">
        <w:rPr>
          <w:b/>
          <w:bCs/>
          <w:lang w:val="fr-FR"/>
        </w:rPr>
        <w:br w:type="page"/>
      </w:r>
    </w:p>
    <w:p w:rsidR="00AE03A7" w:rsidRPr="00B70109" w:rsidRDefault="00D33EE4" w:rsidP="008272D5">
      <w:pPr>
        <w:pStyle w:val="Annextitle"/>
        <w:rPr>
          <w:b w:val="0"/>
        </w:rPr>
      </w:pPr>
      <w:r w:rsidRPr="00B70109">
        <w:lastRenderedPageBreak/>
        <w:t>ANNEX B</w:t>
      </w:r>
      <w:r w:rsidR="00AE03A7" w:rsidRPr="00B70109">
        <w:br/>
      </w:r>
      <w:r w:rsidR="008C7E47" w:rsidRPr="00B70109">
        <w:t>Draft agenda</w:t>
      </w:r>
    </w:p>
    <w:p w:rsidR="008272D5" w:rsidRPr="00ED0F51" w:rsidRDefault="008272D5" w:rsidP="008272D5">
      <w:pPr>
        <w:numPr>
          <w:ilvl w:val="0"/>
          <w:numId w:val="15"/>
        </w:numPr>
        <w:overflowPunct/>
        <w:autoSpaceDE/>
        <w:autoSpaceDN/>
        <w:adjustRightInd/>
        <w:spacing w:before="240"/>
        <w:ind w:left="1151" w:right="91" w:hanging="794"/>
        <w:textAlignment w:val="auto"/>
      </w:pPr>
      <w:r w:rsidRPr="00ED0F51">
        <w:t>Opening of the meeting</w:t>
      </w:r>
    </w:p>
    <w:p w:rsidR="008272D5" w:rsidRPr="00ED0F51" w:rsidRDefault="008272D5" w:rsidP="008272D5">
      <w:pPr>
        <w:numPr>
          <w:ilvl w:val="0"/>
          <w:numId w:val="15"/>
        </w:numPr>
        <w:overflowPunct/>
        <w:autoSpaceDE/>
        <w:autoSpaceDN/>
        <w:adjustRightInd/>
        <w:spacing w:before="240"/>
        <w:ind w:left="1151" w:right="91" w:hanging="794"/>
        <w:textAlignment w:val="auto"/>
      </w:pPr>
      <w:r w:rsidRPr="00ED0F51">
        <w:t>Adoption of the agenda</w:t>
      </w:r>
    </w:p>
    <w:p w:rsidR="008272D5" w:rsidRDefault="008272D5" w:rsidP="008272D5">
      <w:pPr>
        <w:numPr>
          <w:ilvl w:val="0"/>
          <w:numId w:val="15"/>
        </w:numPr>
        <w:overflowPunct/>
        <w:autoSpaceDE/>
        <w:autoSpaceDN/>
        <w:adjustRightInd/>
        <w:spacing w:before="240"/>
        <w:ind w:left="1151" w:right="91" w:hanging="794"/>
        <w:textAlignment w:val="auto"/>
      </w:pPr>
      <w:r w:rsidRPr="00D968BC">
        <w:t xml:space="preserve">Call for any IPR </w:t>
      </w:r>
      <w:r>
        <w:t>d</w:t>
      </w:r>
      <w:r w:rsidRPr="00D968BC">
        <w:t xml:space="preserve">eclarations as per ITU-T </w:t>
      </w:r>
      <w:r>
        <w:t>p</w:t>
      </w:r>
      <w:r w:rsidRPr="00D968BC">
        <w:t>olicy</w:t>
      </w:r>
    </w:p>
    <w:p w:rsidR="008272D5" w:rsidRDefault="008272D5" w:rsidP="008272D5">
      <w:pPr>
        <w:numPr>
          <w:ilvl w:val="0"/>
          <w:numId w:val="15"/>
        </w:numPr>
        <w:overflowPunct/>
        <w:autoSpaceDE/>
        <w:autoSpaceDN/>
        <w:adjustRightInd/>
        <w:spacing w:before="240"/>
        <w:ind w:left="1151" w:right="91" w:hanging="794"/>
        <w:textAlignment w:val="auto"/>
      </w:pPr>
      <w:r w:rsidRPr="00ED0F51">
        <w:t xml:space="preserve">Document </w:t>
      </w:r>
      <w:r>
        <w:t>allocation and review</w:t>
      </w:r>
    </w:p>
    <w:p w:rsidR="008272D5" w:rsidRDefault="008272D5" w:rsidP="008272D5">
      <w:pPr>
        <w:numPr>
          <w:ilvl w:val="0"/>
          <w:numId w:val="15"/>
        </w:numPr>
        <w:overflowPunct/>
        <w:autoSpaceDE/>
        <w:autoSpaceDN/>
        <w:adjustRightInd/>
        <w:spacing w:before="240"/>
        <w:ind w:left="1151" w:right="91" w:hanging="794"/>
        <w:textAlignment w:val="auto"/>
      </w:pPr>
      <w:r>
        <w:t>C</w:t>
      </w:r>
      <w:r w:rsidRPr="00ED0F51">
        <w:t>onsent of Recommendations</w:t>
      </w:r>
    </w:p>
    <w:p w:rsidR="008272D5" w:rsidRDefault="008272D5" w:rsidP="008272D5">
      <w:pPr>
        <w:numPr>
          <w:ilvl w:val="0"/>
          <w:numId w:val="15"/>
        </w:numPr>
        <w:overflowPunct/>
        <w:autoSpaceDE/>
        <w:autoSpaceDN/>
        <w:adjustRightInd/>
        <w:spacing w:before="240"/>
        <w:ind w:left="1151" w:right="91" w:hanging="794"/>
        <w:textAlignment w:val="auto"/>
      </w:pPr>
      <w:r>
        <w:t>Approval of o</w:t>
      </w:r>
      <w:r w:rsidRPr="000E4357">
        <w:t>utgoing liaison statements</w:t>
      </w:r>
    </w:p>
    <w:p w:rsidR="008272D5" w:rsidRPr="00ED0F51" w:rsidRDefault="008272D5" w:rsidP="008272D5">
      <w:pPr>
        <w:numPr>
          <w:ilvl w:val="0"/>
          <w:numId w:val="15"/>
        </w:numPr>
        <w:overflowPunct/>
        <w:autoSpaceDE/>
        <w:autoSpaceDN/>
        <w:adjustRightInd/>
        <w:spacing w:before="240"/>
        <w:ind w:left="1151" w:right="91" w:hanging="794"/>
        <w:textAlignment w:val="auto"/>
      </w:pPr>
      <w:r>
        <w:t>Any o</w:t>
      </w:r>
      <w:r w:rsidRPr="00ED0F51">
        <w:t>ther business</w:t>
      </w:r>
    </w:p>
    <w:p w:rsidR="008272D5" w:rsidRPr="00ED0F51" w:rsidRDefault="008272D5" w:rsidP="008272D5">
      <w:pPr>
        <w:numPr>
          <w:ilvl w:val="0"/>
          <w:numId w:val="15"/>
        </w:numPr>
        <w:overflowPunct/>
        <w:autoSpaceDE/>
        <w:autoSpaceDN/>
        <w:adjustRightInd/>
        <w:spacing w:before="240"/>
        <w:ind w:left="1151" w:right="91" w:hanging="794"/>
        <w:textAlignment w:val="auto"/>
      </w:pPr>
      <w:r w:rsidRPr="00ED0F51">
        <w:t>Acknowledgments and closure of the meeting</w:t>
      </w:r>
    </w:p>
    <w:p w:rsidR="00384E5D" w:rsidRPr="00B70109" w:rsidRDefault="00384E5D" w:rsidP="00A129C1">
      <w:pPr>
        <w:pStyle w:val="Normalaftertitle0"/>
      </w:pPr>
    </w:p>
    <w:p w:rsidR="00977A25" w:rsidRPr="00B70109" w:rsidRDefault="00977A25" w:rsidP="00977A25">
      <w:pPr>
        <w:jc w:val="center"/>
      </w:pPr>
      <w:r w:rsidRPr="00B70109">
        <w:t>_____________________</w:t>
      </w:r>
    </w:p>
    <w:sectPr w:rsidR="00977A25" w:rsidRPr="00B70109" w:rsidSect="00D442B4">
      <w:headerReference w:type="default" r:id="rId37"/>
      <w:footerReference w:type="default" r:id="rId38"/>
      <w:footerReference w:type="first" r:id="rId39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24" w:rsidRDefault="00C27124">
      <w:r>
        <w:separator/>
      </w:r>
    </w:p>
  </w:endnote>
  <w:endnote w:type="continuationSeparator" w:id="0">
    <w:p w:rsidR="00C27124" w:rsidRDefault="00C2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24" w:rsidRDefault="00C27124">
      <w:r>
        <w:t>____________________</w:t>
      </w:r>
    </w:p>
  </w:footnote>
  <w:footnote w:type="continuationSeparator" w:id="0">
    <w:p w:rsidR="00C27124" w:rsidRDefault="00C2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E1" w:rsidRDefault="00B64053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4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8272D5">
      <w:rPr>
        <w:noProof/>
      </w:rPr>
      <w:t>7/12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2244"/>
        </w:tabs>
        <w:ind w:left="2244" w:hanging="795"/>
      </w:pPr>
    </w:lvl>
    <w:lvl w:ilvl="1" w:tplc="73AAAC3C">
      <w:numFmt w:val="none"/>
      <w:lvlText w:val=""/>
      <w:lvlJc w:val="left"/>
      <w:pPr>
        <w:tabs>
          <w:tab w:val="num" w:pos="1449"/>
        </w:tabs>
        <w:ind w:left="1089" w:firstLine="0"/>
      </w:pPr>
    </w:lvl>
    <w:lvl w:ilvl="2" w:tplc="F11453DC">
      <w:numFmt w:val="none"/>
      <w:lvlText w:val=""/>
      <w:lvlJc w:val="left"/>
      <w:pPr>
        <w:tabs>
          <w:tab w:val="num" w:pos="1449"/>
        </w:tabs>
        <w:ind w:left="1089" w:firstLine="0"/>
      </w:pPr>
    </w:lvl>
    <w:lvl w:ilvl="3" w:tplc="8D7C34A6">
      <w:numFmt w:val="none"/>
      <w:lvlText w:val=""/>
      <w:lvlJc w:val="left"/>
      <w:pPr>
        <w:tabs>
          <w:tab w:val="num" w:pos="1449"/>
        </w:tabs>
        <w:ind w:left="1089" w:firstLine="0"/>
      </w:pPr>
    </w:lvl>
    <w:lvl w:ilvl="4" w:tplc="3438C7F6">
      <w:numFmt w:val="none"/>
      <w:lvlText w:val=""/>
      <w:lvlJc w:val="left"/>
      <w:pPr>
        <w:tabs>
          <w:tab w:val="num" w:pos="1449"/>
        </w:tabs>
        <w:ind w:left="1089" w:firstLine="0"/>
      </w:pPr>
    </w:lvl>
    <w:lvl w:ilvl="5" w:tplc="C58C12C0">
      <w:numFmt w:val="none"/>
      <w:lvlText w:val=""/>
      <w:lvlJc w:val="left"/>
      <w:pPr>
        <w:tabs>
          <w:tab w:val="num" w:pos="1449"/>
        </w:tabs>
        <w:ind w:left="1089" w:firstLine="0"/>
      </w:pPr>
    </w:lvl>
    <w:lvl w:ilvl="6" w:tplc="AD38D9D4">
      <w:numFmt w:val="none"/>
      <w:lvlText w:val=""/>
      <w:lvlJc w:val="left"/>
      <w:pPr>
        <w:tabs>
          <w:tab w:val="num" w:pos="1449"/>
        </w:tabs>
        <w:ind w:left="1089" w:firstLine="0"/>
      </w:pPr>
    </w:lvl>
    <w:lvl w:ilvl="7" w:tplc="317CEEBE">
      <w:numFmt w:val="none"/>
      <w:lvlText w:val=""/>
      <w:lvlJc w:val="left"/>
      <w:pPr>
        <w:tabs>
          <w:tab w:val="num" w:pos="1449"/>
        </w:tabs>
        <w:ind w:left="1089" w:firstLine="0"/>
      </w:pPr>
    </w:lvl>
    <w:lvl w:ilvl="8" w:tplc="9EC0D0AE">
      <w:numFmt w:val="none"/>
      <w:lvlText w:val=""/>
      <w:lvlJc w:val="left"/>
      <w:pPr>
        <w:tabs>
          <w:tab w:val="num" w:pos="1449"/>
        </w:tabs>
        <w:ind w:left="1089" w:firstLine="0"/>
      </w:p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D5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F17B7"/>
    <w:rsid w:val="000F1B4B"/>
    <w:rsid w:val="000F6D51"/>
    <w:rsid w:val="00115DF1"/>
    <w:rsid w:val="00120B55"/>
    <w:rsid w:val="00124AE2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E2029"/>
    <w:rsid w:val="001E50C0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418D"/>
    <w:rsid w:val="003B7FF4"/>
    <w:rsid w:val="003C13CE"/>
    <w:rsid w:val="003C29A6"/>
    <w:rsid w:val="003D1461"/>
    <w:rsid w:val="003E2518"/>
    <w:rsid w:val="003F0DED"/>
    <w:rsid w:val="003F407B"/>
    <w:rsid w:val="0040250E"/>
    <w:rsid w:val="00413914"/>
    <w:rsid w:val="00414944"/>
    <w:rsid w:val="00415C7A"/>
    <w:rsid w:val="00426BDA"/>
    <w:rsid w:val="004275B6"/>
    <w:rsid w:val="0043040C"/>
    <w:rsid w:val="004314A2"/>
    <w:rsid w:val="00442C9B"/>
    <w:rsid w:val="00446E76"/>
    <w:rsid w:val="00447690"/>
    <w:rsid w:val="00451284"/>
    <w:rsid w:val="00453805"/>
    <w:rsid w:val="00462660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7179C"/>
    <w:rsid w:val="005729DB"/>
    <w:rsid w:val="00573344"/>
    <w:rsid w:val="005755E7"/>
    <w:rsid w:val="00576D0E"/>
    <w:rsid w:val="0057770B"/>
    <w:rsid w:val="00583F9B"/>
    <w:rsid w:val="00584AFA"/>
    <w:rsid w:val="005A569C"/>
    <w:rsid w:val="005C10FB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43D3"/>
    <w:rsid w:val="006C44C1"/>
    <w:rsid w:val="006C6E0B"/>
    <w:rsid w:val="006D4085"/>
    <w:rsid w:val="006D6AF4"/>
    <w:rsid w:val="006D7202"/>
    <w:rsid w:val="00710D11"/>
    <w:rsid w:val="00713CDB"/>
    <w:rsid w:val="0075739B"/>
    <w:rsid w:val="00766333"/>
    <w:rsid w:val="00776750"/>
    <w:rsid w:val="00783E10"/>
    <w:rsid w:val="00792A3A"/>
    <w:rsid w:val="007A3B5D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2581"/>
    <w:rsid w:val="008272D5"/>
    <w:rsid w:val="008309DD"/>
    <w:rsid w:val="00830DBC"/>
    <w:rsid w:val="00831A6E"/>
    <w:rsid w:val="0083227A"/>
    <w:rsid w:val="00834B1E"/>
    <w:rsid w:val="00835B8B"/>
    <w:rsid w:val="008415AD"/>
    <w:rsid w:val="00843171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26B8"/>
    <w:rsid w:val="008C7E47"/>
    <w:rsid w:val="008D79A4"/>
    <w:rsid w:val="008E51E1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4642E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47BC7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64053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25538"/>
    <w:rsid w:val="00C27124"/>
    <w:rsid w:val="00C43295"/>
    <w:rsid w:val="00C57A91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1E01"/>
    <w:rsid w:val="00D442B4"/>
    <w:rsid w:val="00D44F90"/>
    <w:rsid w:val="00D50796"/>
    <w:rsid w:val="00D565B5"/>
    <w:rsid w:val="00D6546B"/>
    <w:rsid w:val="00D80150"/>
    <w:rsid w:val="00D82A2A"/>
    <w:rsid w:val="00D8684E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4B03"/>
    <w:rsid w:val="00E6788D"/>
    <w:rsid w:val="00E757C8"/>
    <w:rsid w:val="00E93E5E"/>
    <w:rsid w:val="00EA4E6F"/>
    <w:rsid w:val="00EA789F"/>
    <w:rsid w:val="00EC0EF4"/>
    <w:rsid w:val="00EC21DF"/>
    <w:rsid w:val="00EE12EF"/>
    <w:rsid w:val="00EE1D23"/>
    <w:rsid w:val="00EE32F5"/>
    <w:rsid w:val="00EE72FD"/>
    <w:rsid w:val="00F07162"/>
    <w:rsid w:val="00F3687A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8198C8"/>
  <w15:docId w15:val="{FBBFC7E4-E34F-47F7-AE25-19506549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goo.gl/maps/EQakx8TkcGtksG5A7" TargetMode="External"/><Relationship Id="rId26" Type="http://schemas.openxmlformats.org/officeDocument/2006/relationships/hyperlink" Target="https://www.sverigetaxi.se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swedavia.se/en/arlanda/" TargetMode="External"/><Relationship Id="rId34" Type="http://schemas.openxmlformats.org/officeDocument/2006/relationships/hyperlink" Target="https://www.scandichotels.com/hotels/sweden/stockholm/scandic-continent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12" TargetMode="External"/><Relationship Id="rId17" Type="http://schemas.openxmlformats.org/officeDocument/2006/relationships/hyperlink" Target="https://www.itu.int/md/T17-TSB-CIR-0068" TargetMode="External"/><Relationship Id="rId25" Type="http://schemas.openxmlformats.org/officeDocument/2006/relationships/hyperlink" Target="https://sl.se/en/" TargetMode="External"/><Relationship Id="rId33" Type="http://schemas.openxmlformats.org/officeDocument/2006/relationships/hyperlink" Target="https://www.scandichotels.com/hotels/sweden/stockholm/haymarket-by-scandic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TIES/" TargetMode="External"/><Relationship Id="rId20" Type="http://schemas.openxmlformats.org/officeDocument/2006/relationships/hyperlink" Target="https://sl.se/en/" TargetMode="External"/><Relationship Id="rId29" Type="http://schemas.openxmlformats.org/officeDocument/2006/relationships/hyperlink" Target="https://www.scandichotels.com/hotels/sweden/stockholm/scandic-victoria-tower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tsg12" TargetMode="External"/><Relationship Id="rId24" Type="http://schemas.openxmlformats.org/officeDocument/2006/relationships/hyperlink" Target="https://www.arlandaexpress.com/" TargetMode="External"/><Relationship Id="rId32" Type="http://schemas.openxmlformats.org/officeDocument/2006/relationships/hyperlink" Target="https://connecthotels.se/kista/?lang=en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Pages/templates.aspx" TargetMode="External"/><Relationship Id="rId23" Type="http://schemas.openxmlformats.org/officeDocument/2006/relationships/hyperlink" Target="https://www.flygbussarna.se/en" TargetMode="External"/><Relationship Id="rId28" Type="http://schemas.openxmlformats.org/officeDocument/2006/relationships/hyperlink" Target="https://www.taxistockholm.se/en/" TargetMode="External"/><Relationship Id="rId36" Type="http://schemas.openxmlformats.org/officeDocument/2006/relationships/hyperlink" Target="mailto:jorgen.gustafsson@ericsson.com" TargetMode="External"/><Relationship Id="rId10" Type="http://schemas.openxmlformats.org/officeDocument/2006/relationships/hyperlink" Target="https://itu.int/go/tsg12" TargetMode="External"/><Relationship Id="rId19" Type="http://schemas.openxmlformats.org/officeDocument/2006/relationships/hyperlink" Target="https://goo.gl/maps/EQakx8TkcGtksG5A7" TargetMode="External"/><Relationship Id="rId31" Type="http://schemas.openxmlformats.org/officeDocument/2006/relationships/hyperlink" Target="http://www.memoryhotel.se/en-us/star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swedavia.se/en/bromma/" TargetMode="External"/><Relationship Id="rId27" Type="http://schemas.openxmlformats.org/officeDocument/2006/relationships/hyperlink" Target="https://www.taxikurir.se/" TargetMode="External"/><Relationship Id="rId30" Type="http://schemas.openxmlformats.org/officeDocument/2006/relationships/hyperlink" Target="https://www.scandichotels.com/hotels/sweden/stockholm/scandic-kista" TargetMode="External"/><Relationship Id="rId35" Type="http://schemas.openxmlformats.org/officeDocument/2006/relationships/hyperlink" Target="https://www.scandichotels.com/hotels/sweden/stockholm/scandic-continent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lph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2615-BC82-4422-A3A0-132758D9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22</TotalTime>
  <Pages>4</Pages>
  <Words>1117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Adolph, Martin</dc:creator>
  <dc:description>collective 7 stockholm.docx  For: _x000d_Document date: _x000d_Saved by ITU51011775 at 11:50:35 on 10/07/2019</dc:description>
  <cp:lastModifiedBy>Osvath, Alexandra</cp:lastModifiedBy>
  <cp:revision>11</cp:revision>
  <cp:lastPrinted>2019-07-10T11:29:00Z</cp:lastPrinted>
  <dcterms:created xsi:type="dcterms:W3CDTF">2019-07-10T07:35:00Z</dcterms:created>
  <dcterms:modified xsi:type="dcterms:W3CDTF">2019-07-11T12:27:00Z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collective 7 stockholm.docx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