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46706DD4" w14:textId="77777777" w:rsidTr="001A5498">
        <w:trPr>
          <w:cantSplit/>
          <w:trHeight w:val="1418"/>
        </w:trPr>
        <w:tc>
          <w:tcPr>
            <w:tcW w:w="798" w:type="pct"/>
          </w:tcPr>
          <w:p w14:paraId="5AA6BB72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D1765A" wp14:editId="74B643D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971DAE2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FE6DB1B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7DA5C5A4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23241BE" w14:textId="77777777" w:rsidR="00AB0E56" w:rsidRPr="00E06C01" w:rsidRDefault="00AB0E56" w:rsidP="003F13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734" w:type="pct"/>
          </w:tcPr>
          <w:p w14:paraId="3D110D29" w14:textId="77777777" w:rsidR="00AB0E56" w:rsidRPr="00E06C01" w:rsidRDefault="00AB0E56" w:rsidP="003F13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470" w:type="pct"/>
          </w:tcPr>
          <w:p w14:paraId="5232B064" w14:textId="058997B1" w:rsidR="00AB0E56" w:rsidRPr="00E06C01" w:rsidRDefault="00AB0E56" w:rsidP="003F13F3">
            <w:pPr>
              <w:pStyle w:val="Tabletex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E57B0">
              <w:rPr>
                <w:rFonts w:eastAsiaTheme="minorEastAsia"/>
                <w:lang w:eastAsia="zh-CN"/>
              </w:rPr>
              <w:t>30</w:t>
            </w:r>
            <w:r w:rsidR="00EC318F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EE57B0">
              <w:rPr>
                <w:rFonts w:eastAsiaTheme="minorEastAsia" w:hint="cs"/>
                <w:rtl/>
                <w:lang w:eastAsia="zh-CN"/>
              </w:rPr>
              <w:t>أكتوبر</w:t>
            </w:r>
            <w:r w:rsidR="00EC318F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EC318F">
              <w:rPr>
                <w:rFonts w:eastAsiaTheme="minorEastAsia"/>
                <w:lang w:eastAsia="zh-CN"/>
              </w:rPr>
              <w:t>2019</w:t>
            </w:r>
          </w:p>
        </w:tc>
      </w:tr>
      <w:tr w:rsidR="00E06C01" w:rsidRPr="00E06C01" w14:paraId="0A26EB1D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5B9C1232" w14:textId="77777777" w:rsidR="00E06C01" w:rsidRPr="00E06C01" w:rsidRDefault="00E06C01" w:rsidP="003F13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734" w:type="pct"/>
          </w:tcPr>
          <w:p w14:paraId="0D72FE7B" w14:textId="77777777" w:rsidR="00E06C01" w:rsidRPr="00E06C01" w:rsidRDefault="00E06C01" w:rsidP="003F13F3">
            <w:pPr>
              <w:pStyle w:val="Tabletext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470" w:type="pct"/>
          </w:tcPr>
          <w:p w14:paraId="0F9960E5" w14:textId="77777777" w:rsidR="00E06C01" w:rsidRPr="00E06C01" w:rsidRDefault="00E06C01" w:rsidP="003F13F3">
            <w:pPr>
              <w:pStyle w:val="Tabletex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14:paraId="051BEE7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2167AAD" w14:textId="77777777" w:rsidR="00636C69" w:rsidRPr="00C76F18" w:rsidRDefault="00636C69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32EE7E6B" w14:textId="4E24AF0B" w:rsidR="00EE57B0" w:rsidRPr="00E76A48" w:rsidRDefault="00EE57B0" w:rsidP="003F13F3">
            <w:pPr>
              <w:pStyle w:val="Tabletext"/>
              <w:jc w:val="left"/>
              <w:rPr>
                <w:rFonts w:eastAsiaTheme="minorEastAsia"/>
                <w:b/>
                <w:sz w:val="22"/>
                <w:szCs w:val="30"/>
                <w:rtl/>
                <w:lang w:val="en-US" w:eastAsia="zh-CN"/>
              </w:rPr>
            </w:pPr>
            <w:r w:rsidRPr="00C76F18">
              <w:rPr>
                <w:rFonts w:eastAsiaTheme="minorEastAsia" w:hint="cs"/>
                <w:bCs/>
                <w:sz w:val="22"/>
                <w:szCs w:val="30"/>
                <w:rtl/>
                <w:lang w:val="fr-CH" w:eastAsia="zh-CN"/>
              </w:rPr>
              <w:t>الإضافة</w:t>
            </w:r>
            <w:r w:rsidRPr="00C76F18">
              <w:rPr>
                <w:rFonts w:eastAsiaTheme="minorEastAsia" w:hint="cs"/>
                <w:b/>
                <w:sz w:val="22"/>
                <w:szCs w:val="30"/>
                <w:rtl/>
                <w:lang w:val="fr-CH" w:eastAsia="zh-CN"/>
              </w:rPr>
              <w:t xml:space="preserve"> </w:t>
            </w:r>
            <w:r w:rsidRPr="00C76F18">
              <w:rPr>
                <w:rFonts w:eastAsiaTheme="minorEastAsia"/>
                <w:b/>
                <w:sz w:val="22"/>
                <w:szCs w:val="30"/>
                <w:lang w:eastAsia="zh-CN"/>
              </w:rPr>
              <w:t>1</w:t>
            </w:r>
            <w:r w:rsidRPr="00C76F18">
              <w:rPr>
                <w:rFonts w:eastAsiaTheme="minorEastAsia" w:hint="cs"/>
                <w:b/>
                <w:sz w:val="22"/>
                <w:szCs w:val="30"/>
                <w:rtl/>
                <w:lang w:val="en-GB" w:eastAsia="zh-CN"/>
              </w:rPr>
              <w:t xml:space="preserve"> </w:t>
            </w:r>
            <w:r w:rsidRPr="00C76F18">
              <w:rPr>
                <w:rFonts w:eastAsiaTheme="minorEastAsia" w:hint="cs"/>
                <w:bCs/>
                <w:sz w:val="22"/>
                <w:szCs w:val="30"/>
                <w:rtl/>
                <w:lang w:val="en-GB" w:eastAsia="zh-CN"/>
              </w:rPr>
              <w:t>للرسالة الجماعية</w:t>
            </w:r>
            <w:r w:rsidR="00E76A48">
              <w:rPr>
                <w:rFonts w:eastAsiaTheme="minorEastAsia" w:hint="cs"/>
                <w:bCs/>
                <w:sz w:val="22"/>
                <w:szCs w:val="30"/>
                <w:rtl/>
                <w:lang w:val="en-GB" w:eastAsia="zh-CN"/>
              </w:rPr>
              <w:t xml:space="preserve"> </w:t>
            </w:r>
            <w:r w:rsidR="00E76A48" w:rsidRPr="00C76F18">
              <w:rPr>
                <w:rFonts w:eastAsiaTheme="minorEastAsia"/>
                <w:b/>
                <w:sz w:val="22"/>
                <w:szCs w:val="30"/>
                <w:lang w:val="fr-CH" w:eastAsia="zh-CN"/>
              </w:rPr>
              <w:t>8/12</w:t>
            </w:r>
          </w:p>
          <w:p w14:paraId="036CE8BD" w14:textId="79039805" w:rsidR="00636C69" w:rsidRPr="00C76F18" w:rsidRDefault="00C76F18" w:rsidP="003F13F3">
            <w:pPr>
              <w:pStyle w:val="Tabletext"/>
              <w:jc w:val="left"/>
              <w:rPr>
                <w:rFonts w:eastAsiaTheme="minorEastAsia"/>
                <w:bCs/>
                <w:sz w:val="22"/>
                <w:szCs w:val="30"/>
                <w:lang w:val="fr-CH" w:eastAsia="zh-CN"/>
              </w:rPr>
            </w:pPr>
            <w:bookmarkStart w:id="0" w:name="_GoBack"/>
            <w:r w:rsidRPr="00194DD7">
              <w:rPr>
                <w:rFonts w:eastAsiaTheme="minorEastAsia" w:hint="cs"/>
                <w:bCs/>
                <w:sz w:val="22"/>
                <w:szCs w:val="30"/>
                <w:rtl/>
                <w:lang w:val="fr-CH" w:eastAsia="zh-CN"/>
              </w:rPr>
              <w:t>لمكتب تقييس الاتصالات</w:t>
            </w:r>
            <w:bookmarkEnd w:id="0"/>
            <w:r w:rsidR="0011776F" w:rsidRPr="00C76F18">
              <w:rPr>
                <w:rFonts w:eastAsiaTheme="minorEastAsia"/>
                <w:b/>
                <w:sz w:val="22"/>
                <w:szCs w:val="30"/>
                <w:lang w:val="fr-CH" w:eastAsia="zh-CN"/>
              </w:rPr>
              <w:br/>
            </w:r>
            <w:r w:rsidR="0011776F" w:rsidRPr="00C76F18">
              <w:rPr>
                <w:rFonts w:eastAsiaTheme="minorEastAsia"/>
                <w:bCs/>
                <w:sz w:val="22"/>
                <w:szCs w:val="30"/>
                <w:lang w:val="fr-CH" w:eastAsia="zh-CN"/>
              </w:rPr>
              <w:t>SG12/MA</w:t>
            </w:r>
          </w:p>
        </w:tc>
        <w:tc>
          <w:tcPr>
            <w:tcW w:w="2470" w:type="pct"/>
            <w:vMerge w:val="restart"/>
          </w:tcPr>
          <w:p w14:paraId="04293C62" w14:textId="77777777" w:rsidR="00636C69" w:rsidRPr="00C76F18" w:rsidRDefault="00636C69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إلى:</w:t>
            </w:r>
          </w:p>
          <w:p w14:paraId="3CFE250A" w14:textId="77777777" w:rsidR="00636C69" w:rsidRPr="00C76F18" w:rsidRDefault="00636C69" w:rsidP="004E52DD">
            <w:pPr>
              <w:pStyle w:val="Tabletext"/>
              <w:tabs>
                <w:tab w:val="clear" w:pos="1134"/>
                <w:tab w:val="left" w:pos="365"/>
              </w:tabs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-</w:t>
            </w:r>
            <w:r w:rsidRPr="00C76F18">
              <w:rPr>
                <w:rFonts w:eastAsiaTheme="minorEastAsia"/>
                <w:sz w:val="22"/>
                <w:szCs w:val="30"/>
                <w:rtl/>
                <w:lang w:eastAsia="zh-CN"/>
              </w:rPr>
              <w:tab/>
            </w: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إدارات الدول الأعضاء في الاتحاد؛</w:t>
            </w:r>
          </w:p>
          <w:p w14:paraId="7CDFB544" w14:textId="77777777" w:rsidR="00636C69" w:rsidRPr="00C76F18" w:rsidRDefault="00636C69" w:rsidP="004E52DD">
            <w:pPr>
              <w:pStyle w:val="Tabletext"/>
              <w:tabs>
                <w:tab w:val="clear" w:pos="1134"/>
                <w:tab w:val="left" w:pos="365"/>
              </w:tabs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-</w:t>
            </w:r>
            <w:r w:rsidRPr="00C76F18">
              <w:rPr>
                <w:rFonts w:eastAsiaTheme="minorEastAsia"/>
                <w:sz w:val="22"/>
                <w:szCs w:val="30"/>
                <w:rtl/>
                <w:lang w:eastAsia="zh-CN"/>
              </w:rPr>
              <w:tab/>
            </w: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أعضاء قطاع تقييس الاتصالات في الاتحاد؛</w:t>
            </w:r>
          </w:p>
          <w:p w14:paraId="2D39DA3B" w14:textId="195BA397" w:rsidR="00636C69" w:rsidRPr="00C76F18" w:rsidRDefault="00636C69" w:rsidP="004E52DD">
            <w:pPr>
              <w:pStyle w:val="Tabletext"/>
              <w:tabs>
                <w:tab w:val="clear" w:pos="1134"/>
                <w:tab w:val="left" w:pos="365"/>
              </w:tabs>
              <w:ind w:left="363" w:hanging="363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-</w:t>
            </w:r>
            <w:r w:rsidRPr="00C76F18">
              <w:rPr>
                <w:rFonts w:eastAsiaTheme="minorEastAsia"/>
                <w:sz w:val="22"/>
                <w:szCs w:val="30"/>
                <w:rtl/>
                <w:lang w:eastAsia="zh-CN"/>
              </w:rPr>
              <w:tab/>
            </w:r>
            <w:r w:rsidR="00FE043E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المنتسبين إلى قطاع تقييس</w:t>
            </w:r>
            <w:r w:rsidR="00FE043E" w:rsidRPr="00C76F18">
              <w:rPr>
                <w:rFonts w:eastAsiaTheme="minorEastAsia" w:hint="eastAsia"/>
                <w:sz w:val="22"/>
                <w:szCs w:val="30"/>
                <w:rtl/>
                <w:lang w:eastAsia="zh-CN"/>
              </w:rPr>
              <w:t> </w:t>
            </w:r>
            <w:r w:rsidR="00FE043E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الاتصالات</w:t>
            </w:r>
            <w:r w:rsidR="00320D11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 المشاركين في</w:t>
            </w:r>
            <w:r w:rsidR="0071539A" w:rsidRPr="00C76F18">
              <w:rPr>
                <w:rFonts w:eastAsiaTheme="minorEastAsia" w:hint="eastAsia"/>
                <w:sz w:val="22"/>
                <w:szCs w:val="30"/>
                <w:rtl/>
                <w:lang w:eastAsia="zh-CN"/>
              </w:rPr>
              <w:t> </w:t>
            </w:r>
            <w:r w:rsidR="00A67D61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أعمال </w:t>
            </w:r>
            <w:r w:rsidR="00320D11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لجنة الدراسات </w:t>
            </w:r>
            <w:r w:rsidR="00320D11" w:rsidRPr="00C76F18">
              <w:rPr>
                <w:rFonts w:eastAsiaTheme="minorEastAsia"/>
                <w:sz w:val="22"/>
                <w:szCs w:val="30"/>
                <w:lang w:eastAsia="zh-CN"/>
              </w:rPr>
              <w:t>12</w:t>
            </w: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؛</w:t>
            </w:r>
          </w:p>
          <w:p w14:paraId="1F75CBE6" w14:textId="77777777" w:rsidR="00636C69" w:rsidRPr="00C76F18" w:rsidRDefault="00636C69" w:rsidP="004E52DD">
            <w:pPr>
              <w:pStyle w:val="Tabletext"/>
              <w:tabs>
                <w:tab w:val="clear" w:pos="1134"/>
                <w:tab w:val="left" w:pos="365"/>
              </w:tabs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-</w:t>
            </w:r>
            <w:r w:rsidRPr="00C76F18">
              <w:rPr>
                <w:rFonts w:eastAsiaTheme="minorEastAsia"/>
                <w:sz w:val="22"/>
                <w:szCs w:val="30"/>
                <w:rtl/>
                <w:lang w:eastAsia="zh-CN"/>
              </w:rPr>
              <w:tab/>
            </w: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الهيئات الأكاديمية المنضمة إلى </w:t>
            </w:r>
            <w:r w:rsidR="00EA3862"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الاتحاد</w:t>
            </w:r>
          </w:p>
        </w:tc>
      </w:tr>
      <w:tr w:rsidR="00B85ACA" w:rsidRPr="00E06C01" w14:paraId="13593A01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B979EF3" w14:textId="52D12EF1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الهاتف:</w:t>
            </w:r>
          </w:p>
        </w:tc>
        <w:tc>
          <w:tcPr>
            <w:tcW w:w="1734" w:type="pct"/>
          </w:tcPr>
          <w:p w14:paraId="22B99CB5" w14:textId="3E02BCB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  <w:r w:rsidRPr="00C76F18">
              <w:rPr>
                <w:rFonts w:eastAsiaTheme="minorEastAsia"/>
                <w:sz w:val="22"/>
                <w:szCs w:val="30"/>
                <w:lang w:eastAsia="zh-CN"/>
              </w:rPr>
              <w:t>+41 22 730 6828</w:t>
            </w:r>
          </w:p>
        </w:tc>
        <w:tc>
          <w:tcPr>
            <w:tcW w:w="2470" w:type="pct"/>
            <w:vMerge/>
          </w:tcPr>
          <w:p w14:paraId="45BD89B8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</w:tr>
      <w:tr w:rsidR="00B85ACA" w:rsidRPr="00E06C01" w14:paraId="2440A988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112E9E4" w14:textId="0A0E7C85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DA3AC24" w14:textId="68CBAB18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b/>
                <w:sz w:val="22"/>
                <w:szCs w:val="30"/>
                <w:lang w:eastAsia="zh-CN"/>
              </w:rPr>
            </w:pPr>
            <w:r w:rsidRPr="00C76F18">
              <w:rPr>
                <w:rFonts w:eastAsiaTheme="minorEastAsia"/>
                <w:sz w:val="22"/>
                <w:szCs w:val="30"/>
                <w:lang w:eastAsia="zh-CN"/>
              </w:rPr>
              <w:t>+41 22 730 5853</w:t>
            </w:r>
          </w:p>
        </w:tc>
        <w:tc>
          <w:tcPr>
            <w:tcW w:w="2470" w:type="pct"/>
            <w:vMerge/>
          </w:tcPr>
          <w:p w14:paraId="7B0FB286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</w:tr>
      <w:tr w:rsidR="00B85ACA" w:rsidRPr="00E06C01" w14:paraId="68C5EF72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5FB47AC8" w14:textId="686F9B12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29D72339" w14:textId="1C9CFC33" w:rsidR="00B85ACA" w:rsidRPr="00C76F18" w:rsidRDefault="00194DD7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  <w:hyperlink r:id="rId11" w:history="1">
              <w:r w:rsidR="00B85ACA" w:rsidRPr="00C76F18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470" w:type="pct"/>
            <w:vMerge/>
          </w:tcPr>
          <w:p w14:paraId="3D6F1002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</w:tr>
      <w:tr w:rsidR="00B85ACA" w:rsidRPr="00E06C01" w14:paraId="0D170607" w14:textId="77777777" w:rsidTr="004270DC">
        <w:trPr>
          <w:cantSplit/>
          <w:jc w:val="center"/>
        </w:trPr>
        <w:tc>
          <w:tcPr>
            <w:tcW w:w="796" w:type="pct"/>
          </w:tcPr>
          <w:p w14:paraId="0C7FD6A3" w14:textId="4D83F144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 w:rsidRPr="00C76F18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14:paraId="1F59E61C" w14:textId="59CB9525" w:rsidR="00B85ACA" w:rsidRPr="00C76F18" w:rsidRDefault="00194DD7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  <w:hyperlink r:id="rId12" w:history="1">
              <w:r w:rsidR="00B85ACA" w:rsidRPr="00C76F18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2470" w:type="pct"/>
            <w:vMerge/>
          </w:tcPr>
          <w:p w14:paraId="56DD912B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</w:tr>
      <w:tr w:rsidR="00B85ACA" w:rsidRPr="00E06C01" w14:paraId="1784E6D3" w14:textId="77777777" w:rsidTr="004270DC">
        <w:trPr>
          <w:cantSplit/>
          <w:jc w:val="center"/>
        </w:trPr>
        <w:tc>
          <w:tcPr>
            <w:tcW w:w="796" w:type="pct"/>
          </w:tcPr>
          <w:p w14:paraId="474EE122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  <w:tc>
          <w:tcPr>
            <w:tcW w:w="1734" w:type="pct"/>
          </w:tcPr>
          <w:p w14:paraId="381F9DBC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lang w:eastAsia="zh-CN"/>
              </w:rPr>
            </w:pPr>
          </w:p>
        </w:tc>
        <w:tc>
          <w:tcPr>
            <w:tcW w:w="2470" w:type="pct"/>
          </w:tcPr>
          <w:p w14:paraId="2FF2FA9B" w14:textId="77777777" w:rsidR="00B85ACA" w:rsidRPr="00C76F18" w:rsidRDefault="00B85ACA" w:rsidP="003F13F3">
            <w:pPr>
              <w:pStyle w:val="Tabletext"/>
              <w:jc w:val="left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</w:p>
        </w:tc>
      </w:tr>
      <w:tr w:rsidR="00B85ACA" w:rsidRPr="00E06C01" w14:paraId="36943C2B" w14:textId="77777777" w:rsidTr="004270DC">
        <w:trPr>
          <w:cantSplit/>
          <w:jc w:val="center"/>
        </w:trPr>
        <w:tc>
          <w:tcPr>
            <w:tcW w:w="796" w:type="pct"/>
          </w:tcPr>
          <w:p w14:paraId="6097F050" w14:textId="77777777" w:rsidR="00B85ACA" w:rsidRPr="00C76F18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C76F18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EB07BA" w14:textId="5C4F4F8A" w:rsidR="00B85ACA" w:rsidRPr="00C76F18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C76F18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C76F18">
              <w:rPr>
                <w:rFonts w:eastAsiaTheme="minorEastAsia"/>
                <w:b/>
                <w:bCs/>
                <w:lang w:eastAsia="zh-CN"/>
              </w:rPr>
              <w:t>12</w:t>
            </w:r>
            <w:r w:rsidRPr="00C76F18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C76F1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C76F18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C76F18">
              <w:rPr>
                <w:rFonts w:eastAsiaTheme="minorEastAsia"/>
                <w:b/>
                <w:bCs/>
                <w:lang w:eastAsia="zh-CN"/>
              </w:rPr>
              <w:t>26</w:t>
            </w:r>
            <w:r w:rsidRPr="00C76F18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نوفمبر - </w:t>
            </w:r>
            <w:r w:rsidRPr="00C76F18">
              <w:rPr>
                <w:rFonts w:eastAsiaTheme="minorEastAsia"/>
                <w:b/>
                <w:bCs/>
                <w:lang w:eastAsia="zh-CN"/>
              </w:rPr>
              <w:t>5</w:t>
            </w:r>
            <w:r w:rsidRPr="00C76F18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ديسمبر</w:t>
            </w:r>
            <w:r w:rsidRPr="00C76F1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C76F18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14:paraId="6FD5100A" w14:textId="77777777" w:rsidR="00E06C01" w:rsidRPr="00E06C01" w:rsidRDefault="00E06C01" w:rsidP="00DA7A3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BD54857" w14:textId="165E2750"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48EB4F10" w14:textId="5810837D" w:rsidR="00C757D3" w:rsidRDefault="00C757D3" w:rsidP="00C757D3">
      <w:pPr>
        <w:rPr>
          <w:color w:val="000000"/>
          <w:rtl/>
        </w:rPr>
      </w:pPr>
      <w:r>
        <w:rPr>
          <w:color w:val="000000"/>
          <w:rtl/>
        </w:rPr>
        <w:t xml:space="preserve">وردت تعليقات بشأن </w:t>
      </w:r>
      <w:r>
        <w:rPr>
          <w:rFonts w:hint="cs"/>
          <w:color w:val="000000"/>
          <w:rtl/>
        </w:rPr>
        <w:t>بند العمل التالي</w:t>
      </w:r>
      <w:r>
        <w:rPr>
          <w:color w:val="000000"/>
          <w:rtl/>
        </w:rPr>
        <w:t xml:space="preserve"> في إطار عملية ال</w:t>
      </w:r>
      <w:r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موافقة البديلة </w:t>
      </w:r>
      <w:r>
        <w:rPr>
          <w:color w:val="000000"/>
        </w:rPr>
        <w:t>(AAP)</w:t>
      </w:r>
      <w:r>
        <w:rPr>
          <w:color w:val="000000"/>
          <w:rtl/>
        </w:rPr>
        <w:t xml:space="preserve"> خلال فترة النداء </w:t>
      </w:r>
      <w:r>
        <w:rPr>
          <w:rFonts w:hint="cs"/>
          <w:color w:val="000000"/>
          <w:rtl/>
        </w:rPr>
        <w:t xml:space="preserve">الإضافية </w:t>
      </w:r>
      <w:r>
        <w:rPr>
          <w:color w:val="000000"/>
          <w:rtl/>
        </w:rPr>
        <w:t>كما هو مبين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الإعلان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AAP-66</w:t>
      </w:r>
      <w:r>
        <w:rPr>
          <w:color w:val="000000"/>
          <w:rtl/>
        </w:rPr>
        <w:t xml:space="preserve">، وسيتم </w:t>
      </w:r>
      <w:r>
        <w:rPr>
          <w:rFonts w:hint="cs"/>
          <w:color w:val="000000"/>
          <w:rtl/>
        </w:rPr>
        <w:t>تقدي‍م البند</w:t>
      </w:r>
      <w:r>
        <w:rPr>
          <w:color w:val="000000"/>
          <w:rtl/>
        </w:rPr>
        <w:t xml:space="preserve"> بغرض ال</w:t>
      </w:r>
      <w:r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موافقة عليه في </w:t>
      </w:r>
      <w:r w:rsidR="006A3115">
        <w:rPr>
          <w:rFonts w:hint="cs"/>
          <w:color w:val="000000"/>
          <w:rtl/>
        </w:rPr>
        <w:t>ال</w:t>
      </w:r>
      <w:r>
        <w:rPr>
          <w:color w:val="000000"/>
          <w:rtl/>
        </w:rPr>
        <w:t xml:space="preserve">اجتماع </w:t>
      </w:r>
      <w:r w:rsidR="006A3115">
        <w:rPr>
          <w:rFonts w:hint="cs"/>
          <w:color w:val="000000"/>
          <w:rtl/>
        </w:rPr>
        <w:t>المقبل ل</w:t>
      </w:r>
      <w:r>
        <w:rPr>
          <w:color w:val="000000"/>
          <w:rtl/>
        </w:rPr>
        <w:t>ل</w:t>
      </w:r>
      <w:r>
        <w:rPr>
          <w:rFonts w:hint="cs"/>
          <w:color w:val="000000"/>
          <w:rtl/>
        </w:rPr>
        <w:t>‍</w:t>
      </w:r>
      <w:r>
        <w:rPr>
          <w:color w:val="000000"/>
          <w:rtl/>
        </w:rPr>
        <w:t>جنة الدراسات</w:t>
      </w:r>
      <w:r>
        <w:rPr>
          <w:rFonts w:hint="cs"/>
          <w:color w:val="000000"/>
          <w:rtl/>
        </w:rPr>
        <w:t> </w:t>
      </w:r>
      <w:r w:rsidR="006A3115">
        <w:rPr>
          <w:color w:val="000000"/>
        </w:rPr>
        <w:t>12</w:t>
      </w:r>
      <w:r>
        <w:rPr>
          <w:color w:val="000000"/>
          <w:rtl/>
        </w:rPr>
        <w:t xml:space="preserve"> </w:t>
      </w:r>
      <w:r w:rsidR="003F13F3">
        <w:rPr>
          <w:rFonts w:hint="cs"/>
          <w:color w:val="000000"/>
          <w:rtl/>
        </w:rPr>
        <w:t>لقطاع تقييس الاتصالات الذي سي</w:t>
      </w:r>
      <w:r w:rsidR="004E52DD">
        <w:rPr>
          <w:rFonts w:hint="cs"/>
          <w:color w:val="000000"/>
          <w:rtl/>
        </w:rPr>
        <w:t>ُ</w:t>
      </w:r>
      <w:r w:rsidR="003F13F3">
        <w:rPr>
          <w:rFonts w:hint="cs"/>
          <w:color w:val="000000"/>
          <w:rtl/>
        </w:rPr>
        <w:t xml:space="preserve">عقد </w:t>
      </w:r>
      <w:r>
        <w:rPr>
          <w:color w:val="000000"/>
          <w:rtl/>
        </w:rPr>
        <w:t>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جنيف في الفترة من </w:t>
      </w:r>
      <w:r w:rsidR="006A3115">
        <w:rPr>
          <w:color w:val="000000"/>
        </w:rPr>
        <w:t>26</w:t>
      </w:r>
      <w:r>
        <w:rPr>
          <w:rFonts w:hint="cs"/>
          <w:color w:val="000000"/>
          <w:rtl/>
        </w:rPr>
        <w:t xml:space="preserve"> </w:t>
      </w:r>
      <w:r w:rsidR="006A3115">
        <w:rPr>
          <w:rFonts w:hint="cs"/>
          <w:color w:val="000000"/>
          <w:rtl/>
        </w:rPr>
        <w:t>نوفمبر إلى</w:t>
      </w:r>
      <w:r>
        <w:rPr>
          <w:color w:val="000000"/>
          <w:rtl/>
        </w:rPr>
        <w:t xml:space="preserve"> </w:t>
      </w:r>
      <w:r w:rsidR="006A3115">
        <w:rPr>
          <w:color w:val="000000"/>
        </w:rPr>
        <w:t>5</w:t>
      </w:r>
      <w:r>
        <w:rPr>
          <w:color w:val="000000"/>
          <w:rtl/>
        </w:rPr>
        <w:t xml:space="preserve"> </w:t>
      </w:r>
      <w:r w:rsidR="006A3115">
        <w:rPr>
          <w:rFonts w:hint="cs"/>
          <w:color w:val="000000"/>
          <w:rtl/>
        </w:rPr>
        <w:t>ديسمبر</w:t>
      </w:r>
      <w:r>
        <w:rPr>
          <w:color w:val="000000"/>
          <w:rtl/>
        </w:rPr>
        <w:t xml:space="preserve"> </w:t>
      </w:r>
      <w:r>
        <w:rPr>
          <w:color w:val="000000"/>
        </w:rPr>
        <w:t>201</w:t>
      </w:r>
      <w:r w:rsidR="006A3115">
        <w:rPr>
          <w:color w:val="000000"/>
        </w:rPr>
        <w:t>9</w:t>
      </w:r>
      <w:r>
        <w:rPr>
          <w:color w:val="000000"/>
          <w:rtl/>
        </w:rPr>
        <w:t>:</w:t>
      </w:r>
    </w:p>
    <w:p w14:paraId="034ED97B" w14:textId="0E236B23" w:rsidR="005244A6" w:rsidRPr="00F83B0A" w:rsidRDefault="005244A6" w:rsidP="00743286">
      <w:pPr>
        <w:ind w:left="1134" w:hanging="1134"/>
        <w:rPr>
          <w:rtl/>
          <w:lang w:bidi="ar-EG"/>
        </w:rPr>
      </w:pPr>
      <w:r>
        <w:rPr>
          <w:rFonts w:ascii="Traditional Arabic" w:eastAsiaTheme="minorEastAsia" w:hAnsi="Traditional Arabic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75276C" w:rsidRPr="0075276C">
        <w:rPr>
          <w:rFonts w:eastAsiaTheme="minorEastAsia" w:hint="cs"/>
          <w:b/>
          <w:bCs/>
          <w:rtl/>
          <w:lang w:eastAsia="zh-CN"/>
        </w:rPr>
        <w:t xml:space="preserve">مشروع مراجعة </w:t>
      </w:r>
      <w:r w:rsidRPr="0075276C">
        <w:rPr>
          <w:rFonts w:hint="cs"/>
          <w:b/>
          <w:bCs/>
          <w:rtl/>
        </w:rPr>
        <w:t xml:space="preserve">التوصية </w:t>
      </w:r>
      <w:r w:rsidRPr="0075276C">
        <w:rPr>
          <w:b/>
          <w:bCs/>
        </w:rPr>
        <w:t>ITU-T Y.1540</w:t>
      </w:r>
      <w:r w:rsidR="0075276C">
        <w:rPr>
          <w:rFonts w:hint="cs"/>
          <w:rtl/>
        </w:rPr>
        <w:t>:</w:t>
      </w:r>
      <w:r w:rsidRPr="00F83B0A">
        <w:rPr>
          <w:rFonts w:hint="cs"/>
          <w:rtl/>
        </w:rPr>
        <w:t xml:space="preserve"> </w:t>
      </w:r>
      <w:r w:rsidRPr="00F83B0A">
        <w:rPr>
          <w:i/>
          <w:iCs/>
          <w:rtl/>
        </w:rPr>
        <w:t xml:space="preserve">خدمة اتصالات البيانات </w:t>
      </w:r>
      <w:r w:rsidR="003F13F3">
        <w:rPr>
          <w:rFonts w:hint="cs"/>
          <w:i/>
          <w:iCs/>
          <w:rtl/>
          <w:lang w:bidi="ar-EG"/>
        </w:rPr>
        <w:t xml:space="preserve">باستعمال </w:t>
      </w:r>
      <w:r w:rsidRPr="00F83B0A">
        <w:rPr>
          <w:i/>
          <w:iCs/>
          <w:rtl/>
        </w:rPr>
        <w:t xml:space="preserve">بروتوكول الإنترنت - نقل رزم بروتوكول الإنترنت ومعلمات </w:t>
      </w:r>
      <w:r w:rsidR="00D14460">
        <w:rPr>
          <w:rFonts w:hint="cs"/>
          <w:i/>
          <w:iCs/>
          <w:rtl/>
        </w:rPr>
        <w:t>ال</w:t>
      </w:r>
      <w:r w:rsidRPr="00F83B0A">
        <w:rPr>
          <w:i/>
          <w:iCs/>
          <w:rtl/>
        </w:rPr>
        <w:t>أداء</w:t>
      </w:r>
      <w:r w:rsidR="00D14460">
        <w:rPr>
          <w:rFonts w:hint="cs"/>
          <w:i/>
          <w:iCs/>
          <w:rtl/>
        </w:rPr>
        <w:t xml:space="preserve"> من حيث</w:t>
      </w:r>
      <w:r w:rsidRPr="00F83B0A">
        <w:rPr>
          <w:i/>
          <w:iCs/>
          <w:rtl/>
        </w:rPr>
        <w:t xml:space="preserve"> التيسر</w:t>
      </w:r>
      <w:r w:rsidRPr="00F83B0A">
        <w:rPr>
          <w:rFonts w:hint="cs"/>
          <w:i/>
          <w:iCs/>
          <w:rtl/>
        </w:rPr>
        <w:t>.</w:t>
      </w:r>
    </w:p>
    <w:p w14:paraId="1D9439AB" w14:textId="1764C894" w:rsidR="008A076F" w:rsidRDefault="008A076F" w:rsidP="008A076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 xml:space="preserve">ويمكن الاطلاع على مشروع </w:t>
      </w:r>
      <w:r w:rsidR="00E8000C">
        <w:rPr>
          <w:rFonts w:eastAsiaTheme="minorEastAsia" w:hint="cs"/>
          <w:rtl/>
          <w:lang w:eastAsia="zh-CN" w:bidi="ar-EG"/>
        </w:rPr>
        <w:t xml:space="preserve">النص والتعليقات </w:t>
      </w:r>
      <w:r w:rsidR="00B6238A">
        <w:rPr>
          <w:rFonts w:eastAsiaTheme="minorEastAsia" w:hint="cs"/>
          <w:rtl/>
          <w:lang w:eastAsia="zh-CN" w:bidi="ar-EG"/>
        </w:rPr>
        <w:t>التي وردت أثناء فترة النداء الأخير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E8000C">
        <w:rPr>
          <w:rFonts w:eastAsiaTheme="minorEastAsia" w:hint="cs"/>
          <w:rtl/>
          <w:lang w:eastAsia="zh-CN"/>
        </w:rPr>
        <w:t xml:space="preserve">والاستعراض الإضافي </w:t>
      </w:r>
      <w:r w:rsidR="00B6238A">
        <w:rPr>
          <w:rFonts w:eastAsiaTheme="minorEastAsia" w:hint="cs"/>
          <w:rtl/>
          <w:lang w:eastAsia="zh-CN"/>
        </w:rPr>
        <w:t xml:space="preserve">في العنوان الإلكتروني </w:t>
      </w:r>
      <w:hyperlink r:id="rId13" w:history="1">
        <w:r w:rsidR="00B6238A" w:rsidRPr="00A02E97">
          <w:rPr>
            <w:rStyle w:val="Hyperlink"/>
            <w:szCs w:val="24"/>
          </w:rPr>
          <w:t>https://www.itu.int/ITU-T/aap/AAPRecDetails.aspx?AAPSeqNo=8439</w:t>
        </w:r>
      </w:hyperlink>
      <w:r w:rsidR="00B6238A" w:rsidRPr="00B6238A">
        <w:rPr>
          <w:rStyle w:val="Hyperlink"/>
          <w:rFonts w:hint="cs"/>
          <w:szCs w:val="24"/>
          <w:u w:val="none"/>
          <w:rtl/>
        </w:rPr>
        <w:t>.</w:t>
      </w:r>
    </w:p>
    <w:p w14:paraId="485DC38D" w14:textId="77777777" w:rsidR="00FE043E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73" w:type="pc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0"/>
        <w:gridCol w:w="3830"/>
      </w:tblGrid>
      <w:tr w:rsidR="00FE043E" w14:paraId="0ABE209B" w14:textId="77777777" w:rsidTr="005C359F">
        <w:trPr>
          <w:trHeight w:val="2516"/>
        </w:trPr>
        <w:tc>
          <w:tcPr>
            <w:tcW w:w="3042" w:type="pct"/>
            <w:vAlign w:val="center"/>
          </w:tcPr>
          <w:p w14:paraId="5023C46D" w14:textId="77777777" w:rsidR="00FE043E" w:rsidRDefault="00FE043E" w:rsidP="00526E23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07335907" w14:textId="77777777" w:rsidR="00FE043E" w:rsidRPr="00184085" w:rsidRDefault="00FE043E" w:rsidP="00526E23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14:paraId="57EB0356" w14:textId="7F5B4332" w:rsidR="00FE043E" w:rsidRDefault="00FE043E" w:rsidP="00526E23">
            <w:pPr>
              <w:jc w:val="left"/>
              <w:rPr>
                <w:rFonts w:eastAsiaTheme="minorEastAsia"/>
                <w:rtl/>
                <w:lang w:eastAsia="zh-CN"/>
              </w:rPr>
            </w:pPr>
            <w:proofErr w:type="spellStart"/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proofErr w:type="spellEnd"/>
            <w:r w:rsidR="00B85ACA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58" w:type="pct"/>
          </w:tcPr>
          <w:p w14:paraId="6DEBD102" w14:textId="77777777" w:rsidR="00FE043E" w:rsidRDefault="00FE043E" w:rsidP="00526E23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AB86C78" wp14:editId="10261E2D">
                      <wp:simplePos x="0" y="0"/>
                      <wp:positionH relativeFrom="column">
                        <wp:posOffset>422613</wp:posOffset>
                      </wp:positionH>
                      <wp:positionV relativeFrom="paragraph">
                        <wp:posOffset>122744</wp:posOffset>
                      </wp:positionV>
                      <wp:extent cx="1817370" cy="1649987"/>
                      <wp:effectExtent l="0" t="0" r="11430" b="26670"/>
                      <wp:wrapThrough wrapText="bothSides">
                        <wp:wrapPolygon edited="0">
                          <wp:start x="16302" y="0"/>
                          <wp:lineTo x="0" y="0"/>
                          <wp:lineTo x="0" y="21700"/>
                          <wp:lineTo x="21509" y="21700"/>
                          <wp:lineTo x="21509" y="0"/>
                          <wp:lineTo x="16302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49987"/>
                                <a:chOff x="0" y="-23764"/>
                                <a:chExt cx="1817580" cy="1650611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1D6766" w14:textId="77777777" w:rsidR="00FE043E" w:rsidRDefault="00FE043E" w:rsidP="00FE043E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rFonts w:eastAsiaTheme="minorEastAsia"/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60B7DF5F" wp14:editId="09011BC1">
                                          <wp:extent cx="1119600" cy="1080000"/>
                                          <wp:effectExtent l="0" t="0" r="4445" b="635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31466C9" w14:textId="77777777" w:rsidR="00FE043E" w:rsidRPr="002D3794" w:rsidRDefault="00FE043E" w:rsidP="00FE043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-23764"/>
                                  <a:ext cx="409516" cy="129773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925F3B" w14:textId="77777777" w:rsidR="00FE043E" w:rsidRPr="002D3794" w:rsidRDefault="00FE043E" w:rsidP="00FE043E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12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86C78" id="Group 9" o:spid="_x0000_s1026" style="position:absolute;left:0;text-align:left;margin-left:33.3pt;margin-top:9.65pt;width:143.1pt;height:129.9pt;z-index:-251657216;mso-height-relative:margin" coordorigin=",-237" coordsize="18175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01D6766" w14:textId="77777777" w:rsidR="00FE043E" w:rsidRDefault="00FE043E" w:rsidP="00FE043E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rFonts w:eastAsiaTheme="minorEastAsia"/>
                                  <w:noProof/>
                                  <w:rtl/>
                                  <w:lang w:val="en-GB" w:eastAsia="en-GB"/>
                                </w:rPr>
                                <w:drawing>
                                  <wp:inline distT="0" distB="0" distL="0" distR="0" wp14:anchorId="60B7DF5F" wp14:editId="09011BC1">
                                    <wp:extent cx="1119600" cy="1080000"/>
                                    <wp:effectExtent l="0" t="0" r="4445" b="635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466C9" w14:textId="77777777" w:rsidR="00FE043E" w:rsidRPr="002D3794" w:rsidRDefault="00FE043E" w:rsidP="00FE043E">
                              <w:pPr>
                                <w:spacing w:before="24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-237;width:4095;height:1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A925F3B" w14:textId="77777777" w:rsidR="00FE043E" w:rsidRPr="002D3794" w:rsidRDefault="00FE043E" w:rsidP="00FE043E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12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7B91CF90" w14:textId="03384148" w:rsidR="00FE043E" w:rsidRDefault="00FE043E" w:rsidP="00FE043E">
      <w:pPr>
        <w:rPr>
          <w:rtl/>
          <w:lang w:bidi="ar-EG"/>
        </w:rPr>
      </w:pPr>
    </w:p>
    <w:sectPr w:rsidR="00FE043E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2EBD" w14:textId="77777777" w:rsidR="007E26FC" w:rsidRDefault="007E26FC" w:rsidP="00E07379">
      <w:pPr>
        <w:spacing w:before="0" w:line="240" w:lineRule="auto"/>
      </w:pPr>
      <w:r>
        <w:separator/>
      </w:r>
    </w:p>
  </w:endnote>
  <w:endnote w:type="continuationSeparator" w:id="0">
    <w:p w14:paraId="038A3F89" w14:textId="77777777" w:rsidR="007E26FC" w:rsidRDefault="007E26F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C808" w14:textId="77777777" w:rsidR="00B85ACA" w:rsidRPr="00B85ACA" w:rsidRDefault="00B85ACA" w:rsidP="00B85ACA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B85ACA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85ACA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B85ACA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85ACA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br/>
    </w:r>
    <w:r w:rsidRPr="00B85ACA">
      <w:rPr>
        <w:rFonts w:cs="Calibri"/>
        <w:noProof/>
        <w:color w:val="0070C0"/>
        <w:sz w:val="18"/>
        <w:szCs w:val="18"/>
        <w:lang w:val="fr-CH"/>
      </w:rPr>
      <w:t>Tel: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85ACA">
      <w:rPr>
        <w:rFonts w:cs="Calibri"/>
        <w:noProof/>
        <w:color w:val="0070C0"/>
        <w:sz w:val="18"/>
        <w:szCs w:val="18"/>
        <w:lang w:val="fr-CH"/>
      </w:rPr>
      <w:t>Fax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B85ACA">
      <w:rPr>
        <w:rFonts w:cs="Calibri"/>
        <w:noProof/>
        <w:color w:val="0070C0"/>
        <w:sz w:val="18"/>
        <w:szCs w:val="18"/>
        <w:lang w:val="fr-CH"/>
      </w:rPr>
      <w:t>mail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85ACA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85ACA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85ACA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146A" w14:textId="77777777" w:rsidR="007E26FC" w:rsidRDefault="007E26FC" w:rsidP="00E07379">
      <w:pPr>
        <w:spacing w:before="0" w:line="240" w:lineRule="auto"/>
      </w:pPr>
      <w:r>
        <w:separator/>
      </w:r>
    </w:p>
  </w:footnote>
  <w:footnote w:type="continuationSeparator" w:id="0">
    <w:p w14:paraId="1ABEB931" w14:textId="77777777" w:rsidR="007E26FC" w:rsidRDefault="007E26F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0239" w14:textId="353686E1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7227B1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30D822BE" w14:textId="66097371" w:rsidR="00EA3862" w:rsidRPr="00EA3862" w:rsidRDefault="00EA3862" w:rsidP="00EA386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FE043E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FE043E" w:rsidRPr="00FE043E">
      <w:rPr>
        <w:rStyle w:val="PageNumber"/>
        <w:rFonts w:cs="Traditional Arabic"/>
        <w:szCs w:val="26"/>
        <w:lang w:bidi="ar-EG"/>
      </w:rPr>
      <w:t>8</w:t>
    </w:r>
    <w:r w:rsidRPr="00FE043E">
      <w:rPr>
        <w:rStyle w:val="PageNumber"/>
        <w:rFonts w:cs="Traditional Arabic"/>
        <w:szCs w:val="26"/>
        <w:lang w:val="en-GB" w:bidi="ar-EG"/>
      </w:rPr>
      <w:t>/</w:t>
    </w:r>
    <w:r w:rsidR="00FE043E" w:rsidRPr="00FE043E">
      <w:rPr>
        <w:rStyle w:val="PageNumber"/>
        <w:rFonts w:cs="Traditional Arabic"/>
        <w:szCs w:val="26"/>
        <w:lang w:val="en-GB" w:bidi="ar-EG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AA04E7"/>
    <w:multiLevelType w:val="hybridMultilevel"/>
    <w:tmpl w:val="4EB6F2EA"/>
    <w:lvl w:ilvl="0" w:tplc="BFEA152A">
      <w:start w:val="2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E8"/>
    <w:rsid w:val="000124CC"/>
    <w:rsid w:val="0003716B"/>
    <w:rsid w:val="00041F8B"/>
    <w:rsid w:val="00046444"/>
    <w:rsid w:val="0006023B"/>
    <w:rsid w:val="0008638B"/>
    <w:rsid w:val="00090574"/>
    <w:rsid w:val="00092FC2"/>
    <w:rsid w:val="000A1677"/>
    <w:rsid w:val="000A4754"/>
    <w:rsid w:val="000B407F"/>
    <w:rsid w:val="000C13C2"/>
    <w:rsid w:val="000D4C64"/>
    <w:rsid w:val="000F0B1C"/>
    <w:rsid w:val="000F1D42"/>
    <w:rsid w:val="000F4D07"/>
    <w:rsid w:val="00102A03"/>
    <w:rsid w:val="001040A3"/>
    <w:rsid w:val="001052FC"/>
    <w:rsid w:val="00113E6E"/>
    <w:rsid w:val="0011776F"/>
    <w:rsid w:val="00127C2B"/>
    <w:rsid w:val="001310C2"/>
    <w:rsid w:val="00173915"/>
    <w:rsid w:val="00176521"/>
    <w:rsid w:val="00194DD7"/>
    <w:rsid w:val="001B5576"/>
    <w:rsid w:val="0022345D"/>
    <w:rsid w:val="00225854"/>
    <w:rsid w:val="00230B5D"/>
    <w:rsid w:val="0023283D"/>
    <w:rsid w:val="00252E0C"/>
    <w:rsid w:val="00276881"/>
    <w:rsid w:val="0027751F"/>
    <w:rsid w:val="002916BE"/>
    <w:rsid w:val="002978F4"/>
    <w:rsid w:val="002B028D"/>
    <w:rsid w:val="002B435E"/>
    <w:rsid w:val="002B6F68"/>
    <w:rsid w:val="002C4DAE"/>
    <w:rsid w:val="002D6669"/>
    <w:rsid w:val="002E6541"/>
    <w:rsid w:val="002F5560"/>
    <w:rsid w:val="0030486B"/>
    <w:rsid w:val="00320D11"/>
    <w:rsid w:val="003231B9"/>
    <w:rsid w:val="003275AC"/>
    <w:rsid w:val="00333D29"/>
    <w:rsid w:val="003409F4"/>
    <w:rsid w:val="00357185"/>
    <w:rsid w:val="003B4267"/>
    <w:rsid w:val="003C106D"/>
    <w:rsid w:val="003C475F"/>
    <w:rsid w:val="003E4132"/>
    <w:rsid w:val="003F13F3"/>
    <w:rsid w:val="003F678F"/>
    <w:rsid w:val="004258D6"/>
    <w:rsid w:val="0042686F"/>
    <w:rsid w:val="004367CE"/>
    <w:rsid w:val="00443869"/>
    <w:rsid w:val="004712C6"/>
    <w:rsid w:val="00485E15"/>
    <w:rsid w:val="00497703"/>
    <w:rsid w:val="004A6A68"/>
    <w:rsid w:val="004B0153"/>
    <w:rsid w:val="004E52DD"/>
    <w:rsid w:val="004F0F06"/>
    <w:rsid w:val="00501E0E"/>
    <w:rsid w:val="00504FA8"/>
    <w:rsid w:val="005204D7"/>
    <w:rsid w:val="005244A6"/>
    <w:rsid w:val="00530420"/>
    <w:rsid w:val="00552BC5"/>
    <w:rsid w:val="0055516A"/>
    <w:rsid w:val="0056374C"/>
    <w:rsid w:val="0056614F"/>
    <w:rsid w:val="0057656F"/>
    <w:rsid w:val="00576731"/>
    <w:rsid w:val="00591C87"/>
    <w:rsid w:val="0059285F"/>
    <w:rsid w:val="00593A81"/>
    <w:rsid w:val="005A24B1"/>
    <w:rsid w:val="005B7B8A"/>
    <w:rsid w:val="005C359F"/>
    <w:rsid w:val="005D6476"/>
    <w:rsid w:val="005D6C0D"/>
    <w:rsid w:val="005E5283"/>
    <w:rsid w:val="005E58F5"/>
    <w:rsid w:val="00606660"/>
    <w:rsid w:val="006157A3"/>
    <w:rsid w:val="00620E60"/>
    <w:rsid w:val="006301E8"/>
    <w:rsid w:val="0063315A"/>
    <w:rsid w:val="00636C69"/>
    <w:rsid w:val="006473E8"/>
    <w:rsid w:val="0065591D"/>
    <w:rsid w:val="00662C5A"/>
    <w:rsid w:val="00670AF5"/>
    <w:rsid w:val="006837D9"/>
    <w:rsid w:val="006A3115"/>
    <w:rsid w:val="006C1556"/>
    <w:rsid w:val="006E015F"/>
    <w:rsid w:val="006F267F"/>
    <w:rsid w:val="006F63F7"/>
    <w:rsid w:val="006F6F03"/>
    <w:rsid w:val="00706D7A"/>
    <w:rsid w:val="0071539A"/>
    <w:rsid w:val="007227B1"/>
    <w:rsid w:val="00726AEC"/>
    <w:rsid w:val="00743286"/>
    <w:rsid w:val="0075276C"/>
    <w:rsid w:val="007530CA"/>
    <w:rsid w:val="00761701"/>
    <w:rsid w:val="0079553D"/>
    <w:rsid w:val="007A241A"/>
    <w:rsid w:val="007B01CC"/>
    <w:rsid w:val="007B4B05"/>
    <w:rsid w:val="007D4F32"/>
    <w:rsid w:val="007E26FC"/>
    <w:rsid w:val="007E7C6C"/>
    <w:rsid w:val="007E7F43"/>
    <w:rsid w:val="007F6238"/>
    <w:rsid w:val="007F646C"/>
    <w:rsid w:val="007F6DBB"/>
    <w:rsid w:val="00801FCD"/>
    <w:rsid w:val="00803D7E"/>
    <w:rsid w:val="00803F08"/>
    <w:rsid w:val="008235CD"/>
    <w:rsid w:val="00823A07"/>
    <w:rsid w:val="00835FEC"/>
    <w:rsid w:val="008513CB"/>
    <w:rsid w:val="00852B79"/>
    <w:rsid w:val="00874D9C"/>
    <w:rsid w:val="008A076F"/>
    <w:rsid w:val="008A1810"/>
    <w:rsid w:val="008B1EAD"/>
    <w:rsid w:val="008B5B5D"/>
    <w:rsid w:val="009140F9"/>
    <w:rsid w:val="00917694"/>
    <w:rsid w:val="009263CD"/>
    <w:rsid w:val="00930E6D"/>
    <w:rsid w:val="00972CA2"/>
    <w:rsid w:val="00982B28"/>
    <w:rsid w:val="00984EA5"/>
    <w:rsid w:val="0098758F"/>
    <w:rsid w:val="00992593"/>
    <w:rsid w:val="009C17E1"/>
    <w:rsid w:val="009C35ED"/>
    <w:rsid w:val="009C7409"/>
    <w:rsid w:val="009F1C12"/>
    <w:rsid w:val="00A124CB"/>
    <w:rsid w:val="00A2167A"/>
    <w:rsid w:val="00A25A43"/>
    <w:rsid w:val="00A3295B"/>
    <w:rsid w:val="00A42AE5"/>
    <w:rsid w:val="00A52B61"/>
    <w:rsid w:val="00A64820"/>
    <w:rsid w:val="00A67D61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AF517D"/>
    <w:rsid w:val="00B02F46"/>
    <w:rsid w:val="00B2000C"/>
    <w:rsid w:val="00B20ADE"/>
    <w:rsid w:val="00B23C4B"/>
    <w:rsid w:val="00B6238A"/>
    <w:rsid w:val="00B66B9A"/>
    <w:rsid w:val="00B82089"/>
    <w:rsid w:val="00B84142"/>
    <w:rsid w:val="00B84CAF"/>
    <w:rsid w:val="00B85ACA"/>
    <w:rsid w:val="00B970AE"/>
    <w:rsid w:val="00BA1427"/>
    <w:rsid w:val="00BD0C50"/>
    <w:rsid w:val="00BD1EAF"/>
    <w:rsid w:val="00BE49D0"/>
    <w:rsid w:val="00BF2C38"/>
    <w:rsid w:val="00C23331"/>
    <w:rsid w:val="00C265DA"/>
    <w:rsid w:val="00C442F2"/>
    <w:rsid w:val="00C4492D"/>
    <w:rsid w:val="00C563F9"/>
    <w:rsid w:val="00C674FE"/>
    <w:rsid w:val="00C7297D"/>
    <w:rsid w:val="00C75633"/>
    <w:rsid w:val="00C757D3"/>
    <w:rsid w:val="00C76F18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D24"/>
    <w:rsid w:val="00CF3FFD"/>
    <w:rsid w:val="00CF5ED3"/>
    <w:rsid w:val="00CF71CC"/>
    <w:rsid w:val="00D0494C"/>
    <w:rsid w:val="00D14460"/>
    <w:rsid w:val="00D14BEB"/>
    <w:rsid w:val="00D21C89"/>
    <w:rsid w:val="00D45542"/>
    <w:rsid w:val="00D77D0F"/>
    <w:rsid w:val="00DA1CF0"/>
    <w:rsid w:val="00DA7A31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17437"/>
    <w:rsid w:val="00E22744"/>
    <w:rsid w:val="00E32189"/>
    <w:rsid w:val="00E45211"/>
    <w:rsid w:val="00E7380C"/>
    <w:rsid w:val="00E74BE7"/>
    <w:rsid w:val="00E76A48"/>
    <w:rsid w:val="00E8000C"/>
    <w:rsid w:val="00E81683"/>
    <w:rsid w:val="00E86CC9"/>
    <w:rsid w:val="00E96624"/>
    <w:rsid w:val="00EA3862"/>
    <w:rsid w:val="00EC318F"/>
    <w:rsid w:val="00EE57B0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75055"/>
    <w:rsid w:val="00F84366"/>
    <w:rsid w:val="00F85089"/>
    <w:rsid w:val="00F85564"/>
    <w:rsid w:val="00F86CFA"/>
    <w:rsid w:val="00FD2867"/>
    <w:rsid w:val="00FD58B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A89861"/>
  <w15:chartTrackingRefBased/>
  <w15:docId w15:val="{6A8127AE-B5BD-4BAF-90F1-B1179A5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E043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Normal"/>
    <w:qFormat/>
    <w:rsid w:val="00FE043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styleId="ListParagraph">
    <w:name w:val="List Paragraph"/>
    <w:basedOn w:val="Normal"/>
    <w:uiPriority w:val="34"/>
    <w:qFormat/>
    <w:rsid w:val="00FE04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aap/AAPRecDetails.aspx?AAPSeqNo=843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3934F-B397-45F5-89D5-708834D3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Ajlouni, Nour</cp:lastModifiedBy>
  <cp:revision>10</cp:revision>
  <cp:lastPrinted>2019-10-31T17:17:00Z</cp:lastPrinted>
  <dcterms:created xsi:type="dcterms:W3CDTF">2019-10-31T16:46:00Z</dcterms:created>
  <dcterms:modified xsi:type="dcterms:W3CDTF">2019-10-31T17:27:00Z</dcterms:modified>
  <cp:category>Conference document</cp:category>
</cp:coreProperties>
</file>