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42"/>
        <w:gridCol w:w="4260"/>
        <w:gridCol w:w="2051"/>
        <w:gridCol w:w="2052"/>
      </w:tblGrid>
      <w:tr w:rsidR="00231040" w14:paraId="57A3DDD7" w14:textId="77777777" w:rsidTr="00711F94">
        <w:trPr>
          <w:cantSplit/>
          <w:trHeight w:val="1418"/>
        </w:trPr>
        <w:tc>
          <w:tcPr>
            <w:tcW w:w="1410" w:type="dxa"/>
            <w:gridSpan w:val="2"/>
          </w:tcPr>
          <w:p w14:paraId="1CEEE6E1" w14:textId="77777777" w:rsidR="00231040" w:rsidRPr="00390EC6" w:rsidRDefault="00231040" w:rsidP="00615F21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47BB5BA" wp14:editId="08F771A5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1" w:type="dxa"/>
            <w:gridSpan w:val="2"/>
            <w:vAlign w:val="center"/>
          </w:tcPr>
          <w:p w14:paraId="141BFDB6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0E0FCE5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2252A580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231040" w14:paraId="037B17E3" w14:textId="77777777" w:rsidTr="00615F21">
        <w:trPr>
          <w:cantSplit/>
          <w:trHeight w:val="340"/>
        </w:trPr>
        <w:tc>
          <w:tcPr>
            <w:tcW w:w="5670" w:type="dxa"/>
            <w:gridSpan w:val="3"/>
          </w:tcPr>
          <w:p w14:paraId="44825FBD" w14:textId="77777777" w:rsidR="00231040" w:rsidRPr="00FA540A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14:paraId="589FBF4F" w14:textId="01518D52" w:rsidR="00231040" w:rsidRPr="0033229B" w:rsidRDefault="00B81042" w:rsidP="00615F21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2020</w:t>
            </w:r>
            <w:r w:rsidR="00231040" w:rsidRPr="00FA540A">
              <w:rPr>
                <w:rFonts w:hint="eastAsia"/>
                <w:szCs w:val="24"/>
                <w:lang w:eastAsia="zh-CN"/>
              </w:rPr>
              <w:t>年</w:t>
            </w:r>
            <w:r w:rsidR="008A7A8F">
              <w:rPr>
                <w:szCs w:val="24"/>
                <w:lang w:eastAsia="zh-CN"/>
              </w:rPr>
              <w:t>3</w:t>
            </w:r>
            <w:r w:rsidR="00231040" w:rsidRPr="00FA540A">
              <w:rPr>
                <w:rFonts w:hint="eastAsia"/>
                <w:szCs w:val="24"/>
                <w:lang w:eastAsia="zh-CN"/>
              </w:rPr>
              <w:t>月</w:t>
            </w:r>
            <w:r w:rsidR="008A7A8F">
              <w:rPr>
                <w:szCs w:val="24"/>
                <w:lang w:eastAsia="zh-CN"/>
              </w:rPr>
              <w:t>20</w:t>
            </w:r>
            <w:r w:rsidR="00231040" w:rsidRPr="00FA540A">
              <w:rPr>
                <w:rFonts w:hint="eastAsia"/>
                <w:szCs w:val="24"/>
                <w:lang w:eastAsia="zh-CN"/>
              </w:rPr>
              <w:t>日</w:t>
            </w:r>
            <w:r w:rsidR="00231040">
              <w:rPr>
                <w:rFonts w:hint="eastAsia"/>
                <w:lang w:eastAsia="zh-CN"/>
              </w:rPr>
              <w:t>，日内瓦</w:t>
            </w:r>
          </w:p>
        </w:tc>
      </w:tr>
      <w:tr w:rsidR="00231040" w14:paraId="3F3F56BE" w14:textId="77777777" w:rsidTr="00615F21">
        <w:trPr>
          <w:cantSplit/>
          <w:trHeight w:val="340"/>
        </w:trPr>
        <w:tc>
          <w:tcPr>
            <w:tcW w:w="1268" w:type="dxa"/>
          </w:tcPr>
          <w:p w14:paraId="24501F4E" w14:textId="77777777" w:rsidR="00231040" w:rsidRPr="002D772E" w:rsidRDefault="00231040" w:rsidP="00615F2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30CDC3E3" w14:textId="663FED6C" w:rsidR="00231040" w:rsidRPr="00FA540A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="00711F94"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第</w:t>
            </w:r>
            <w:r w:rsidR="00B81042">
              <w:rPr>
                <w:b/>
                <w:bCs/>
                <w:iCs/>
                <w:szCs w:val="24"/>
                <w:lang w:eastAsia="zh-CN"/>
              </w:rPr>
              <w:t>9</w:t>
            </w:r>
            <w:r w:rsidRPr="00FA540A">
              <w:rPr>
                <w:b/>
                <w:bCs/>
                <w:iCs/>
                <w:szCs w:val="24"/>
                <w:lang w:eastAsia="zh-CN"/>
              </w:rPr>
              <w:t>/</w:t>
            </w:r>
            <w:r>
              <w:rPr>
                <w:b/>
                <w:bCs/>
                <w:iCs/>
                <w:szCs w:val="24"/>
                <w:lang w:eastAsia="zh-CN"/>
              </w:rPr>
              <w:t>12</w:t>
            </w: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  <w:r w:rsidR="008A7A8F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勘误</w:t>
            </w:r>
            <w:r w:rsidR="008A7A8F">
              <w:rPr>
                <w:b/>
                <w:bCs/>
                <w:iCs/>
                <w:szCs w:val="24"/>
                <w:lang w:eastAsia="zh-CN"/>
              </w:rPr>
              <w:t>1</w:t>
            </w:r>
          </w:p>
          <w:p w14:paraId="235C93C4" w14:textId="40C5431E" w:rsidR="00231040" w:rsidRPr="005134F4" w:rsidRDefault="00231040" w:rsidP="00615F21">
            <w:pPr>
              <w:tabs>
                <w:tab w:val="left" w:pos="4111"/>
              </w:tabs>
              <w:spacing w:before="0"/>
              <w:ind w:left="57"/>
            </w:pPr>
            <w:bookmarkStart w:id="0" w:name="lt_pId018"/>
            <w:r w:rsidRPr="00A40F32">
              <w:t>SG</w:t>
            </w:r>
            <w:r>
              <w:t>12</w:t>
            </w:r>
            <w:r w:rsidRPr="00A40F32">
              <w:t>/</w:t>
            </w:r>
            <w:bookmarkEnd w:id="0"/>
            <w:r>
              <w:t>MA</w:t>
            </w:r>
          </w:p>
        </w:tc>
        <w:tc>
          <w:tcPr>
            <w:tcW w:w="4103" w:type="dxa"/>
            <w:gridSpan w:val="2"/>
            <w:vMerge w:val="restart"/>
          </w:tcPr>
          <w:p w14:paraId="319D8C56" w14:textId="77777777" w:rsidR="00231040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041D99AF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7E9D8B43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7CF48E7C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2</w:t>
            </w:r>
            <w:r w:rsidRPr="00FA540A">
              <w:rPr>
                <w:rFonts w:hint="eastAsia"/>
                <w:szCs w:val="24"/>
                <w:lang w:eastAsia="zh-CN"/>
              </w:rPr>
              <w:t>研究组的</w:t>
            </w: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4D0B22B5" w14:textId="77777777" w:rsidR="00231040" w:rsidRPr="00FA540A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231040" w14:paraId="0F9988C8" w14:textId="77777777" w:rsidTr="00615F21">
        <w:trPr>
          <w:cantSplit/>
        </w:trPr>
        <w:tc>
          <w:tcPr>
            <w:tcW w:w="1268" w:type="dxa"/>
          </w:tcPr>
          <w:p w14:paraId="7BEF7A75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电话：</w:t>
            </w:r>
          </w:p>
          <w:p w14:paraId="2D39C6A0" w14:textId="77777777" w:rsidR="00231040" w:rsidRPr="002D772E" w:rsidRDefault="00231040" w:rsidP="00615F21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14:paraId="1C85C62A" w14:textId="77777777" w:rsidR="00231040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 xml:space="preserve">+41 22 730 </w:t>
            </w:r>
            <w:r>
              <w:t>6828</w:t>
            </w:r>
          </w:p>
          <w:p w14:paraId="530FEB29" w14:textId="77777777" w:rsidR="00231040" w:rsidRPr="0033229B" w:rsidRDefault="00231040" w:rsidP="00615F21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14:paraId="24BD5CB0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231040" w14:paraId="6DB2235C" w14:textId="77777777" w:rsidTr="00615F21">
        <w:trPr>
          <w:cantSplit/>
          <w:trHeight w:val="531"/>
        </w:trPr>
        <w:tc>
          <w:tcPr>
            <w:tcW w:w="1268" w:type="dxa"/>
          </w:tcPr>
          <w:p w14:paraId="10212704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62E28D6E" w14:textId="77777777" w:rsidR="00231040" w:rsidRPr="003A6C6A" w:rsidRDefault="00656698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8" w:history="1">
              <w:r w:rsidR="00231040" w:rsidRPr="00870C70">
                <w:rPr>
                  <w:rStyle w:val="Hyperlink"/>
                  <w:szCs w:val="22"/>
                </w:rPr>
                <w:t>tsbsg12@itu.int</w:t>
              </w:r>
            </w:hyperlink>
          </w:p>
        </w:tc>
        <w:tc>
          <w:tcPr>
            <w:tcW w:w="4103" w:type="dxa"/>
            <w:gridSpan w:val="2"/>
          </w:tcPr>
          <w:p w14:paraId="2858B205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231040" w14:paraId="5583A65C" w14:textId="77777777" w:rsidTr="00615F21">
        <w:trPr>
          <w:cantSplit/>
          <w:trHeight w:val="442"/>
        </w:trPr>
        <w:tc>
          <w:tcPr>
            <w:tcW w:w="1268" w:type="dxa"/>
          </w:tcPr>
          <w:p w14:paraId="66036D71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网页：</w:t>
            </w:r>
          </w:p>
        </w:tc>
        <w:bookmarkStart w:id="1" w:name="lt_pId034"/>
        <w:tc>
          <w:tcPr>
            <w:tcW w:w="8505" w:type="dxa"/>
            <w:gridSpan w:val="4"/>
          </w:tcPr>
          <w:p w14:paraId="2C8A6CFB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r>
              <w:fldChar w:fldCharType="begin"/>
            </w:r>
            <w:r>
              <w:instrText xml:space="preserve"> HYPERLINK "</w:instrText>
            </w:r>
            <w:r w:rsidRPr="00BC794D">
              <w:instrText>http://itu.int/go/tsg12</w:instrText>
            </w:r>
            <w:r>
              <w:instrText xml:space="preserve">" </w:instrText>
            </w:r>
            <w:r>
              <w:fldChar w:fldCharType="separate"/>
            </w:r>
            <w:r w:rsidRPr="00870C70">
              <w:rPr>
                <w:rStyle w:val="Hyperlink"/>
              </w:rPr>
              <w:t>http:</w:t>
            </w:r>
            <w:bookmarkStart w:id="2" w:name="lt_pId035"/>
            <w:bookmarkEnd w:id="1"/>
            <w:r w:rsidRPr="00870C70">
              <w:rPr>
                <w:rStyle w:val="Hyperlink"/>
              </w:rPr>
              <w:t>//itu.int/go/tsg12</w:t>
            </w:r>
            <w:bookmarkEnd w:id="2"/>
            <w:r>
              <w:fldChar w:fldCharType="end"/>
            </w:r>
          </w:p>
        </w:tc>
      </w:tr>
      <w:tr w:rsidR="00231040" w14:paraId="0E2D7874" w14:textId="77777777" w:rsidTr="00615F21">
        <w:trPr>
          <w:cantSplit/>
          <w:trHeight w:val="442"/>
        </w:trPr>
        <w:tc>
          <w:tcPr>
            <w:tcW w:w="1268" w:type="dxa"/>
          </w:tcPr>
          <w:p w14:paraId="3691F4B5" w14:textId="77777777" w:rsidR="00231040" w:rsidRPr="00A10C99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  <w:lang w:eastAsia="zh-CN"/>
              </w:rPr>
            </w:pPr>
            <w:r w:rsidRPr="00A10C99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4"/>
          </w:tcPr>
          <w:p w14:paraId="1865A311" w14:textId="386B3AFC" w:rsidR="00231040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Pr="00FA540A">
              <w:rPr>
                <w:b/>
                <w:bCs/>
                <w:szCs w:val="24"/>
                <w:lang w:eastAsia="zh-CN"/>
              </w:rPr>
              <w:t>会议；</w:t>
            </w:r>
            <w:r w:rsidR="00B81042">
              <w:rPr>
                <w:rFonts w:hint="eastAsia"/>
                <w:b/>
                <w:bCs/>
                <w:szCs w:val="24"/>
                <w:lang w:eastAsia="zh-CN"/>
              </w:rPr>
              <w:t>2020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81042">
              <w:rPr>
                <w:b/>
                <w:bCs/>
                <w:lang w:eastAsia="zh-CN"/>
              </w:rPr>
              <w:t>4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 w:rsidR="00B81042">
              <w:rPr>
                <w:b/>
                <w:bCs/>
                <w:lang w:eastAsia="zh-CN"/>
              </w:rPr>
              <w:t>15-24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FA540A">
              <w:rPr>
                <w:b/>
                <w:bCs/>
                <w:szCs w:val="24"/>
                <w:lang w:eastAsia="zh-CN"/>
              </w:rPr>
              <w:t>，日内瓦</w:t>
            </w:r>
          </w:p>
        </w:tc>
      </w:tr>
    </w:tbl>
    <w:p w14:paraId="0172B33D" w14:textId="77777777" w:rsidR="00231040" w:rsidRDefault="00231040" w:rsidP="00357194">
      <w:pPr>
        <w:spacing w:before="240"/>
        <w:rPr>
          <w:szCs w:val="24"/>
          <w:lang w:eastAsia="zh-CN"/>
        </w:rPr>
      </w:pPr>
      <w:bookmarkStart w:id="3" w:name="StartTyping_E"/>
      <w:bookmarkEnd w:id="3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14:paraId="161E7415" w14:textId="28F0FA2D" w:rsidR="008A7A8F" w:rsidRDefault="008A7A8F" w:rsidP="00357194">
      <w:pPr>
        <w:spacing w:before="240"/>
        <w:ind w:firstLineChars="200" w:firstLine="480"/>
        <w:rPr>
          <w:lang w:eastAsia="zh-CN"/>
        </w:rPr>
      </w:pPr>
      <w:r w:rsidRPr="008A7A8F">
        <w:rPr>
          <w:rFonts w:hint="eastAsia"/>
          <w:lang w:eastAsia="zh-CN"/>
        </w:rPr>
        <w:t>为了响应各组织缩减各项活动和会议，</w:t>
      </w:r>
      <w:r w:rsidR="00A10C99">
        <w:rPr>
          <w:rFonts w:hint="eastAsia"/>
          <w:lang w:eastAsia="zh-CN"/>
        </w:rPr>
        <w:t>以便</w:t>
      </w:r>
      <w:r w:rsidRPr="008A7A8F">
        <w:rPr>
          <w:rFonts w:hint="eastAsia"/>
          <w:lang w:eastAsia="zh-CN"/>
        </w:rPr>
        <w:t>减</w:t>
      </w:r>
      <w:r w:rsidR="00A10C99">
        <w:rPr>
          <w:rFonts w:hint="eastAsia"/>
          <w:lang w:eastAsia="zh-CN"/>
        </w:rPr>
        <w:t>少</w:t>
      </w:r>
      <w:r w:rsidRPr="008A7A8F">
        <w:rPr>
          <w:rFonts w:hint="eastAsia"/>
          <w:lang w:eastAsia="zh-CN"/>
        </w:rPr>
        <w:t>迅速扩散的新冠肺炎疫情影响</w:t>
      </w:r>
      <w:r w:rsidR="00A10C99" w:rsidRPr="008A7A8F">
        <w:rPr>
          <w:rFonts w:hint="eastAsia"/>
          <w:lang w:eastAsia="zh-CN"/>
        </w:rPr>
        <w:t>的总体要求</w:t>
      </w:r>
      <w:r w:rsidRPr="008A7A8F">
        <w:rPr>
          <w:rFonts w:hint="eastAsia"/>
          <w:lang w:eastAsia="zh-CN"/>
        </w:rPr>
        <w:t>，我</w:t>
      </w:r>
      <w:proofErr w:type="gramStart"/>
      <w:r w:rsidRPr="008A7A8F">
        <w:rPr>
          <w:rFonts w:hint="eastAsia"/>
          <w:lang w:eastAsia="zh-CN"/>
        </w:rPr>
        <w:t>谨通知</w:t>
      </w:r>
      <w:proofErr w:type="gramEnd"/>
      <w:r w:rsidRPr="008A7A8F">
        <w:rPr>
          <w:rFonts w:hint="eastAsia"/>
          <w:lang w:eastAsia="zh-CN"/>
        </w:rPr>
        <w:t>您，国际电联管理层已</w:t>
      </w:r>
      <w:r w:rsidR="00A10C99">
        <w:rPr>
          <w:rFonts w:hint="eastAsia"/>
          <w:lang w:eastAsia="zh-CN"/>
        </w:rPr>
        <w:t>做出</w:t>
      </w:r>
      <w:r w:rsidRPr="008A7A8F">
        <w:rPr>
          <w:rFonts w:hint="eastAsia"/>
          <w:lang w:eastAsia="zh-CN"/>
        </w:rPr>
        <w:t>决定，自</w:t>
      </w:r>
      <w:r w:rsidRPr="008A7A8F">
        <w:rPr>
          <w:rFonts w:hint="eastAsia"/>
          <w:lang w:eastAsia="zh-CN"/>
        </w:rPr>
        <w:t>2020</w:t>
      </w:r>
      <w:r w:rsidRPr="008A7A8F">
        <w:rPr>
          <w:rFonts w:hint="eastAsia"/>
          <w:lang w:eastAsia="zh-CN"/>
        </w:rPr>
        <w:t>年</w:t>
      </w:r>
      <w:r w:rsidRPr="008A7A8F">
        <w:rPr>
          <w:rFonts w:hint="eastAsia"/>
          <w:lang w:eastAsia="zh-CN"/>
        </w:rPr>
        <w:t>3</w:t>
      </w:r>
      <w:r w:rsidRPr="008A7A8F">
        <w:rPr>
          <w:rFonts w:hint="eastAsia"/>
          <w:lang w:eastAsia="zh-CN"/>
        </w:rPr>
        <w:t>月</w:t>
      </w:r>
      <w:r w:rsidRPr="008A7A8F">
        <w:rPr>
          <w:rFonts w:hint="eastAsia"/>
          <w:lang w:eastAsia="zh-CN"/>
        </w:rPr>
        <w:t>16</w:t>
      </w:r>
      <w:r w:rsidRPr="008A7A8F">
        <w:rPr>
          <w:rFonts w:hint="eastAsia"/>
          <w:lang w:eastAsia="zh-CN"/>
        </w:rPr>
        <w:t>日（星期一）起，</w:t>
      </w:r>
      <w:r w:rsidR="00A10C99">
        <w:rPr>
          <w:rFonts w:hint="eastAsia"/>
          <w:lang w:eastAsia="zh-CN"/>
        </w:rPr>
        <w:t>到</w:t>
      </w:r>
      <w:r w:rsidRPr="008A7A8F">
        <w:rPr>
          <w:rFonts w:hint="eastAsia"/>
          <w:lang w:eastAsia="zh-CN"/>
        </w:rPr>
        <w:t>另行通知</w:t>
      </w:r>
      <w:r w:rsidR="00A10C99">
        <w:rPr>
          <w:rFonts w:hint="eastAsia"/>
          <w:lang w:eastAsia="zh-CN"/>
        </w:rPr>
        <w:t>之</w:t>
      </w:r>
      <w:r w:rsidRPr="008A7A8F">
        <w:rPr>
          <w:rFonts w:hint="eastAsia"/>
          <w:lang w:eastAsia="zh-CN"/>
        </w:rPr>
        <w:t>前，</w:t>
      </w:r>
      <w:r w:rsidR="00A10C99">
        <w:rPr>
          <w:rFonts w:hint="eastAsia"/>
          <w:lang w:eastAsia="zh-CN"/>
        </w:rPr>
        <w:t>原</w:t>
      </w:r>
      <w:r w:rsidRPr="008A7A8F">
        <w:rPr>
          <w:rFonts w:hint="eastAsia"/>
          <w:lang w:eastAsia="zh-CN"/>
        </w:rPr>
        <w:t>定于</w:t>
      </w:r>
      <w:r w:rsidR="00A10C99">
        <w:rPr>
          <w:rFonts w:hint="eastAsia"/>
          <w:lang w:eastAsia="zh-CN"/>
        </w:rPr>
        <w:t>在</w:t>
      </w:r>
      <w:r w:rsidRPr="008A7A8F">
        <w:rPr>
          <w:rFonts w:hint="eastAsia"/>
          <w:lang w:eastAsia="zh-CN"/>
        </w:rPr>
        <w:t>日内瓦国际电联总部举</w:t>
      </w:r>
      <w:r w:rsidR="00A10C99">
        <w:rPr>
          <w:rFonts w:hint="eastAsia"/>
          <w:lang w:eastAsia="zh-CN"/>
        </w:rPr>
        <w:t>办</w:t>
      </w:r>
      <w:r w:rsidRPr="008A7A8F">
        <w:rPr>
          <w:rFonts w:hint="eastAsia"/>
          <w:lang w:eastAsia="zh-CN"/>
        </w:rPr>
        <w:t>的国际会议将一律</w:t>
      </w:r>
      <w:r w:rsidR="00A10C99">
        <w:rPr>
          <w:rFonts w:hint="eastAsia"/>
          <w:lang w:eastAsia="zh-CN"/>
        </w:rPr>
        <w:t>仅</w:t>
      </w:r>
      <w:r w:rsidRPr="008A7A8F">
        <w:rPr>
          <w:rFonts w:hint="eastAsia"/>
          <w:lang w:eastAsia="zh-CN"/>
        </w:rPr>
        <w:t>以远程参会方式进行。</w:t>
      </w:r>
      <w:r w:rsidRPr="008A7A8F">
        <w:rPr>
          <w:lang w:eastAsia="zh-CN"/>
        </w:rPr>
        <w:t>在此期间，代表们将无法进入</w:t>
      </w:r>
      <w:r w:rsidR="00A10C99" w:rsidRPr="008A7A8F">
        <w:rPr>
          <w:lang w:eastAsia="zh-CN"/>
        </w:rPr>
        <w:t>日内瓦</w:t>
      </w:r>
      <w:r w:rsidRPr="008A7A8F">
        <w:rPr>
          <w:lang w:eastAsia="zh-CN"/>
        </w:rPr>
        <w:t>国际电联的办公场所。</w:t>
      </w:r>
    </w:p>
    <w:p w14:paraId="34537AD0" w14:textId="2367F88F" w:rsidR="008A7A8F" w:rsidRDefault="009C51B2" w:rsidP="00357194">
      <w:pPr>
        <w:spacing w:before="240"/>
        <w:ind w:firstLineChars="200" w:firstLine="480"/>
        <w:rPr>
          <w:rFonts w:ascii="Calibri" w:hAnsi="Calibri"/>
          <w:lang w:eastAsia="zh-CN"/>
        </w:rPr>
      </w:pPr>
      <w:r w:rsidRPr="009C51B2">
        <w:rPr>
          <w:rFonts w:ascii="Calibri" w:hAnsi="Calibri" w:hint="eastAsia"/>
          <w:lang w:eastAsia="zh-CN"/>
        </w:rPr>
        <w:t>因此，</w:t>
      </w:r>
      <w:r w:rsidR="001C5E92">
        <w:rPr>
          <w:rFonts w:ascii="Calibri" w:hAnsi="Calibri" w:hint="eastAsia"/>
          <w:lang w:eastAsia="zh-CN"/>
        </w:rPr>
        <w:t>并</w:t>
      </w:r>
      <w:r w:rsidRPr="009C51B2">
        <w:rPr>
          <w:rFonts w:ascii="Calibri" w:hAnsi="Calibri" w:hint="eastAsia"/>
          <w:lang w:eastAsia="zh-CN"/>
        </w:rPr>
        <w:t>经与第</w:t>
      </w:r>
      <w:r w:rsidR="001C5E92">
        <w:rPr>
          <w:rFonts w:ascii="Calibri" w:hAnsi="Calibri" w:hint="eastAsia"/>
          <w:lang w:eastAsia="zh-CN"/>
        </w:rPr>
        <w:t>12</w:t>
      </w:r>
      <w:r w:rsidRPr="009C51B2">
        <w:rPr>
          <w:rFonts w:ascii="Calibri" w:hAnsi="Calibri" w:hint="eastAsia"/>
          <w:lang w:eastAsia="zh-CN"/>
        </w:rPr>
        <w:t>研究组</w:t>
      </w:r>
      <w:r w:rsidR="001C5E92">
        <w:rPr>
          <w:rFonts w:ascii="Calibri" w:hAnsi="Calibri" w:hint="eastAsia"/>
          <w:lang w:eastAsia="zh-CN"/>
        </w:rPr>
        <w:t>管理团队</w:t>
      </w:r>
      <w:r w:rsidRPr="009C51B2">
        <w:rPr>
          <w:rFonts w:ascii="Calibri" w:hAnsi="Calibri" w:hint="eastAsia"/>
          <w:lang w:eastAsia="zh-CN"/>
        </w:rPr>
        <w:t>协调，</w:t>
      </w:r>
      <w:r w:rsidRPr="001C5E92">
        <w:rPr>
          <w:rFonts w:ascii="Calibri" w:hAnsi="Calibri" w:hint="eastAsia"/>
          <w:b/>
          <w:bCs/>
          <w:lang w:eastAsia="zh-CN"/>
        </w:rPr>
        <w:t>第</w:t>
      </w:r>
      <w:r w:rsidR="001C5E92" w:rsidRPr="001C5E92">
        <w:rPr>
          <w:rFonts w:ascii="Calibri" w:hAnsi="Calibri" w:hint="eastAsia"/>
          <w:b/>
          <w:bCs/>
          <w:lang w:eastAsia="zh-CN"/>
        </w:rPr>
        <w:t>12</w:t>
      </w:r>
      <w:r w:rsidRPr="001C5E92">
        <w:rPr>
          <w:rFonts w:ascii="Calibri" w:hAnsi="Calibri" w:hint="eastAsia"/>
          <w:b/>
          <w:bCs/>
          <w:lang w:eastAsia="zh-CN"/>
        </w:rPr>
        <w:t>研究组会议</w:t>
      </w:r>
      <w:r w:rsidRPr="009C51B2">
        <w:rPr>
          <w:rFonts w:ascii="Calibri" w:hAnsi="Calibri" w:hint="eastAsia"/>
          <w:lang w:eastAsia="zh-CN"/>
        </w:rPr>
        <w:t>（</w:t>
      </w:r>
      <w:r w:rsidRPr="001C5E92">
        <w:rPr>
          <w:rFonts w:ascii="Calibri" w:hAnsi="Calibri"/>
          <w:b/>
          <w:bCs/>
          <w:lang w:eastAsia="zh-CN"/>
        </w:rPr>
        <w:t>2020</w:t>
      </w:r>
      <w:r w:rsidRPr="001C5E92">
        <w:rPr>
          <w:rFonts w:ascii="Calibri" w:hAnsi="Calibri" w:hint="eastAsia"/>
          <w:b/>
          <w:bCs/>
          <w:lang w:eastAsia="zh-CN"/>
        </w:rPr>
        <w:t>年</w:t>
      </w:r>
      <w:r w:rsidR="001C5E92" w:rsidRPr="001C5E92">
        <w:rPr>
          <w:rFonts w:ascii="Calibri" w:hAnsi="Calibri" w:hint="eastAsia"/>
          <w:b/>
          <w:bCs/>
          <w:lang w:eastAsia="zh-CN"/>
        </w:rPr>
        <w:t>4</w:t>
      </w:r>
      <w:r w:rsidRPr="001C5E92">
        <w:rPr>
          <w:rFonts w:ascii="Calibri" w:hAnsi="Calibri" w:hint="eastAsia"/>
          <w:b/>
          <w:bCs/>
          <w:lang w:eastAsia="zh-CN"/>
        </w:rPr>
        <w:t>月</w:t>
      </w:r>
      <w:r w:rsidRPr="001C5E92">
        <w:rPr>
          <w:rFonts w:ascii="Calibri" w:hAnsi="Calibri"/>
          <w:b/>
          <w:bCs/>
          <w:lang w:eastAsia="zh-CN"/>
        </w:rPr>
        <w:t>1</w:t>
      </w:r>
      <w:r w:rsidR="001C5E92" w:rsidRPr="001C5E92">
        <w:rPr>
          <w:rFonts w:ascii="Calibri" w:hAnsi="Calibri" w:hint="eastAsia"/>
          <w:b/>
          <w:bCs/>
          <w:lang w:eastAsia="zh-CN"/>
        </w:rPr>
        <w:t>5-24</w:t>
      </w:r>
      <w:r w:rsidRPr="001C5E92">
        <w:rPr>
          <w:rFonts w:ascii="Calibri" w:hAnsi="Calibri" w:hint="eastAsia"/>
          <w:b/>
          <w:bCs/>
          <w:lang w:eastAsia="zh-CN"/>
        </w:rPr>
        <w:t>日</w:t>
      </w:r>
      <w:r w:rsidRPr="009C51B2">
        <w:rPr>
          <w:rFonts w:ascii="Calibri" w:hAnsi="Calibri" w:hint="eastAsia"/>
          <w:lang w:eastAsia="zh-CN"/>
        </w:rPr>
        <w:t>）</w:t>
      </w:r>
      <w:r w:rsidRPr="001C5E92">
        <w:rPr>
          <w:rFonts w:ascii="Calibri" w:hAnsi="Calibri" w:hint="eastAsia"/>
          <w:b/>
          <w:bCs/>
          <w:lang w:eastAsia="zh-CN"/>
        </w:rPr>
        <w:t>现将成为一次全虚拟会议</w:t>
      </w:r>
      <w:r w:rsidRPr="009C51B2">
        <w:rPr>
          <w:rFonts w:ascii="Calibri" w:hAnsi="Calibri" w:hint="eastAsia"/>
          <w:lang w:eastAsia="zh-CN"/>
        </w:rPr>
        <w:t>，所有与会补贴</w:t>
      </w:r>
      <w:r w:rsidR="00EA5257">
        <w:rPr>
          <w:rFonts w:ascii="Calibri" w:hAnsi="Calibri" w:hint="eastAsia"/>
          <w:lang w:eastAsia="zh-CN"/>
        </w:rPr>
        <w:t>均</w:t>
      </w:r>
      <w:r w:rsidRPr="009C51B2">
        <w:rPr>
          <w:rFonts w:ascii="Calibri" w:hAnsi="Calibri" w:hint="eastAsia"/>
          <w:lang w:eastAsia="zh-CN"/>
        </w:rPr>
        <w:t>将被取消，</w:t>
      </w:r>
      <w:r w:rsidR="00EA5257">
        <w:rPr>
          <w:rFonts w:ascii="Calibri" w:hAnsi="Calibri" w:hint="eastAsia"/>
          <w:lang w:eastAsia="zh-CN"/>
        </w:rPr>
        <w:t>而</w:t>
      </w:r>
      <w:r w:rsidRPr="009C51B2">
        <w:rPr>
          <w:rFonts w:ascii="Calibri" w:hAnsi="Calibri" w:hint="eastAsia"/>
          <w:lang w:eastAsia="zh-CN"/>
        </w:rPr>
        <w:t>且将不提供口译服务。整个会议将以英文进行。</w:t>
      </w:r>
    </w:p>
    <w:p w14:paraId="7553DE04" w14:textId="7CD8CA82" w:rsidR="00EA5257" w:rsidRDefault="009C51B2" w:rsidP="00357194">
      <w:pPr>
        <w:spacing w:before="240"/>
        <w:ind w:firstLineChars="200" w:firstLine="480"/>
        <w:rPr>
          <w:rFonts w:ascii="Calibri" w:hAnsi="Calibri"/>
          <w:lang w:eastAsia="zh-CN"/>
        </w:rPr>
      </w:pPr>
      <w:r w:rsidRPr="009C51B2">
        <w:rPr>
          <w:rFonts w:ascii="Calibri" w:hAnsi="Calibri" w:hint="eastAsia"/>
          <w:lang w:eastAsia="zh-CN"/>
        </w:rPr>
        <w:t>最新</w:t>
      </w:r>
      <w:r w:rsidR="00EA5257">
        <w:rPr>
          <w:rFonts w:ascii="Calibri" w:hAnsi="Calibri" w:hint="eastAsia"/>
          <w:lang w:eastAsia="zh-CN"/>
        </w:rPr>
        <w:t>、经压缩</w:t>
      </w:r>
      <w:r w:rsidRPr="009C51B2">
        <w:rPr>
          <w:rFonts w:ascii="Calibri" w:hAnsi="Calibri" w:hint="eastAsia"/>
          <w:lang w:eastAsia="zh-CN"/>
        </w:rPr>
        <w:t>的议程</w:t>
      </w:r>
      <w:r w:rsidR="00EA5257">
        <w:rPr>
          <w:rFonts w:ascii="Calibri" w:hAnsi="Calibri" w:hint="eastAsia"/>
          <w:lang w:eastAsia="zh-CN"/>
        </w:rPr>
        <w:t>草案</w:t>
      </w:r>
      <w:r w:rsidRPr="009C51B2">
        <w:rPr>
          <w:rFonts w:ascii="Calibri" w:hAnsi="Calibri" w:hint="eastAsia"/>
          <w:lang w:eastAsia="zh-CN"/>
        </w:rPr>
        <w:t>和时间计划草案</w:t>
      </w:r>
      <w:r w:rsidR="00EA5257" w:rsidRPr="009C51B2">
        <w:rPr>
          <w:rFonts w:ascii="Calibri" w:hAnsi="Calibri" w:hint="eastAsia"/>
          <w:lang w:eastAsia="zh-CN"/>
        </w:rPr>
        <w:t>将</w:t>
      </w:r>
      <w:r w:rsidR="00EA5257">
        <w:rPr>
          <w:rFonts w:ascii="Calibri" w:hAnsi="Calibri" w:hint="eastAsia"/>
          <w:lang w:eastAsia="zh-CN"/>
        </w:rPr>
        <w:t>予以公</w:t>
      </w:r>
      <w:r w:rsidR="00EA5257" w:rsidRPr="009C51B2">
        <w:rPr>
          <w:rFonts w:ascii="Calibri" w:hAnsi="Calibri" w:hint="eastAsia"/>
          <w:lang w:eastAsia="zh-CN"/>
        </w:rPr>
        <w:t>布</w:t>
      </w:r>
      <w:r w:rsidRPr="009C51B2">
        <w:rPr>
          <w:rFonts w:ascii="Calibri" w:hAnsi="Calibri" w:hint="eastAsia"/>
          <w:lang w:eastAsia="zh-CN"/>
        </w:rPr>
        <w:t>，</w:t>
      </w:r>
      <w:r w:rsidR="00EA5257" w:rsidRPr="00EA5257">
        <w:rPr>
          <w:rFonts w:ascii="inherit" w:hAnsi="inherit" w:hint="eastAsia"/>
          <w:color w:val="222222"/>
          <w:szCs w:val="24"/>
          <w:lang w:eastAsia="zh-CN"/>
        </w:rPr>
        <w:t>将</w:t>
      </w:r>
      <w:r w:rsidR="00EA5257" w:rsidRPr="00EA5257">
        <w:rPr>
          <w:rFonts w:ascii="inherit" w:hAnsi="inherit" w:hint="eastAsia"/>
          <w:b/>
          <w:bCs/>
          <w:color w:val="222222"/>
          <w:szCs w:val="24"/>
          <w:lang w:eastAsia="zh-CN"/>
        </w:rPr>
        <w:t>决策性全体会议</w:t>
      </w:r>
      <w:r w:rsidR="00EA5257" w:rsidRPr="00EA5257">
        <w:rPr>
          <w:rFonts w:ascii="inherit" w:hAnsi="inherit" w:hint="eastAsia"/>
          <w:color w:val="222222"/>
          <w:szCs w:val="24"/>
          <w:lang w:eastAsia="zh-CN"/>
        </w:rPr>
        <w:t>和</w:t>
      </w:r>
      <w:r w:rsidR="00EA5257" w:rsidRPr="00EA5257">
        <w:rPr>
          <w:rFonts w:ascii="inherit" w:hAnsi="inherit" w:hint="eastAsia"/>
          <w:b/>
          <w:bCs/>
          <w:color w:val="222222"/>
          <w:szCs w:val="24"/>
          <w:lang w:eastAsia="zh-CN"/>
        </w:rPr>
        <w:t>每项课题有限的几次会议</w:t>
      </w:r>
      <w:r w:rsidR="00EA5257" w:rsidRPr="00EA5257">
        <w:rPr>
          <w:rFonts w:ascii="inherit" w:hAnsi="inherit" w:hint="eastAsia"/>
          <w:color w:val="222222"/>
          <w:szCs w:val="24"/>
          <w:lang w:eastAsia="zh-CN"/>
        </w:rPr>
        <w:t>安排</w:t>
      </w:r>
      <w:r w:rsidR="00EA5257" w:rsidRPr="00EA5257">
        <w:rPr>
          <w:rFonts w:ascii="inherit" w:hAnsi="inherit" w:hint="eastAsia"/>
          <w:b/>
          <w:bCs/>
          <w:color w:val="222222"/>
          <w:szCs w:val="24"/>
          <w:lang w:eastAsia="zh-CN"/>
        </w:rPr>
        <w:t>在核心时间</w:t>
      </w:r>
      <w:r w:rsidR="00EA5257" w:rsidRPr="00EA5257">
        <w:rPr>
          <w:rFonts w:ascii="inherit" w:hAnsi="inherit" w:hint="eastAsia"/>
          <w:color w:val="222222"/>
          <w:szCs w:val="24"/>
          <w:lang w:eastAsia="zh-CN"/>
        </w:rPr>
        <w:t>（</w:t>
      </w:r>
      <w:r w:rsidR="00EA5257" w:rsidRPr="00711F94">
        <w:rPr>
          <w:rFonts w:cstheme="minorHAnsi"/>
          <w:b/>
          <w:bCs/>
          <w:color w:val="222222"/>
          <w:szCs w:val="24"/>
          <w:lang w:eastAsia="zh-CN"/>
        </w:rPr>
        <w:t>11:30-13:00</w:t>
      </w:r>
      <w:r w:rsidR="00EA5257" w:rsidRPr="00711F94">
        <w:rPr>
          <w:rFonts w:cstheme="minorHAnsi"/>
          <w:b/>
          <w:bCs/>
          <w:color w:val="222222"/>
          <w:szCs w:val="24"/>
          <w:lang w:eastAsia="zh-CN"/>
        </w:rPr>
        <w:t>和</w:t>
      </w:r>
      <w:r w:rsidR="00EA5257" w:rsidRPr="00711F94">
        <w:rPr>
          <w:rFonts w:cstheme="minorHAnsi"/>
          <w:b/>
          <w:bCs/>
          <w:color w:val="222222"/>
          <w:szCs w:val="24"/>
          <w:lang w:eastAsia="zh-CN"/>
        </w:rPr>
        <w:t>13:30-15:00</w:t>
      </w:r>
      <w:r w:rsidR="00EA5257" w:rsidRPr="00EA5257">
        <w:rPr>
          <w:rFonts w:ascii="inherit" w:hAnsi="inherit" w:hint="eastAsia"/>
          <w:b/>
          <w:bCs/>
          <w:color w:val="222222"/>
          <w:szCs w:val="24"/>
          <w:lang w:eastAsia="zh-CN"/>
        </w:rPr>
        <w:t>日内瓦时间</w:t>
      </w:r>
      <w:r w:rsidR="00EA5257" w:rsidRPr="00EA5257">
        <w:rPr>
          <w:rFonts w:ascii="inherit" w:hAnsi="inherit" w:hint="eastAsia"/>
          <w:color w:val="222222"/>
          <w:szCs w:val="24"/>
          <w:lang w:eastAsia="zh-CN"/>
        </w:rPr>
        <w:t>）</w:t>
      </w:r>
      <w:r w:rsidR="00EA5257" w:rsidRPr="00EA5257">
        <w:rPr>
          <w:rFonts w:ascii="inherit" w:hAnsi="inherit" w:hint="eastAsia"/>
          <w:b/>
          <w:bCs/>
          <w:color w:val="222222"/>
          <w:szCs w:val="24"/>
          <w:lang w:eastAsia="zh-CN"/>
        </w:rPr>
        <w:t>之内</w:t>
      </w:r>
      <w:r w:rsidR="00EA5257" w:rsidRPr="00EA5257">
        <w:rPr>
          <w:rFonts w:ascii="Calibri" w:hAnsi="Calibri" w:hint="eastAsia"/>
          <w:lang w:eastAsia="zh-CN"/>
        </w:rPr>
        <w:t>，并且尽可能顾及远程参与者之间的时差。</w:t>
      </w:r>
    </w:p>
    <w:p w14:paraId="795A0530" w14:textId="177CA90A" w:rsidR="009C51B2" w:rsidRPr="009C51B2" w:rsidRDefault="00F16E6B" w:rsidP="002714BF">
      <w:pPr>
        <w:spacing w:before="240"/>
        <w:ind w:firstLineChars="200" w:firstLine="480"/>
        <w:rPr>
          <w:rFonts w:ascii="Calibri" w:eastAsia="Calibri" w:hAnsi="Calibri" w:cs="Calibri"/>
          <w:sz w:val="22"/>
          <w:lang w:eastAsia="zh-CN"/>
        </w:rPr>
      </w:pPr>
      <w:r w:rsidRPr="002714BF">
        <w:rPr>
          <w:rFonts w:ascii="Calibri" w:hAnsi="Calibri" w:hint="eastAsia"/>
          <w:lang w:eastAsia="zh-CN"/>
        </w:rPr>
        <w:t>报告人可以在</w:t>
      </w:r>
      <w:r w:rsidR="002714BF" w:rsidRPr="002714BF">
        <w:rPr>
          <w:rFonts w:ascii="Calibri" w:hAnsi="Calibri" w:hint="eastAsia"/>
          <w:lang w:eastAsia="zh-CN"/>
        </w:rPr>
        <w:t>邻近</w:t>
      </w:r>
      <w:r w:rsidRPr="002714BF">
        <w:rPr>
          <w:rFonts w:ascii="Calibri" w:hAnsi="Calibri" w:hint="eastAsia"/>
          <w:lang w:eastAsia="zh-CN"/>
        </w:rPr>
        <w:t>核心时间</w:t>
      </w:r>
      <w:r w:rsidR="002714BF" w:rsidRPr="002714BF">
        <w:rPr>
          <w:rFonts w:ascii="Calibri" w:hAnsi="Calibri" w:hint="eastAsia"/>
          <w:lang w:eastAsia="zh-CN"/>
        </w:rPr>
        <w:t>时</w:t>
      </w:r>
      <w:r w:rsidRPr="002714BF">
        <w:rPr>
          <w:rFonts w:ascii="Calibri" w:hAnsi="Calibri" w:hint="eastAsia"/>
          <w:lang w:eastAsia="zh-CN"/>
        </w:rPr>
        <w:t>安排其他会议，进行技术讨论。还可根据需要安排在线编辑</w:t>
      </w:r>
      <w:r w:rsidR="002714BF" w:rsidRPr="002714BF">
        <w:rPr>
          <w:rFonts w:ascii="Calibri" w:hAnsi="Calibri" w:hint="eastAsia"/>
          <w:lang w:eastAsia="zh-CN"/>
        </w:rPr>
        <w:t>会议</w:t>
      </w:r>
      <w:r w:rsidRPr="002714BF">
        <w:rPr>
          <w:rFonts w:ascii="Calibri" w:hAnsi="Calibri" w:hint="eastAsia"/>
          <w:lang w:eastAsia="zh-CN"/>
        </w:rPr>
        <w:t>。</w:t>
      </w:r>
    </w:p>
    <w:p w14:paraId="0D860531" w14:textId="346AB058" w:rsidR="009C51B2" w:rsidRPr="009C51B2" w:rsidRDefault="009C51B2" w:rsidP="00711F94">
      <w:pPr>
        <w:spacing w:before="100"/>
        <w:ind w:firstLineChars="200" w:firstLine="480"/>
        <w:rPr>
          <w:rFonts w:ascii="Calibri" w:eastAsia="Times New Roman" w:hAnsi="Calibri" w:cs="Calibri"/>
          <w:b/>
          <w:color w:val="800000"/>
          <w:sz w:val="22"/>
          <w:lang w:eastAsia="zh-CN"/>
        </w:rPr>
      </w:pPr>
      <w:r w:rsidRPr="009C51B2">
        <w:rPr>
          <w:rFonts w:ascii="Calibri" w:hAnsi="Calibri" w:hint="eastAsia"/>
          <w:lang w:eastAsia="zh-CN"/>
        </w:rPr>
        <w:t>请注意，必须（通过</w:t>
      </w:r>
      <w:r w:rsidR="00EE5DAF" w:rsidRPr="00711F94">
        <w:fldChar w:fldCharType="begin"/>
      </w:r>
      <w:r w:rsidR="00EE5DAF" w:rsidRPr="00711F94">
        <w:instrText xml:space="preserve"> HYPERLINK "https://itu.int/go/tsg12" </w:instrText>
      </w:r>
      <w:r w:rsidR="00EE5DAF" w:rsidRPr="00711F94">
        <w:fldChar w:fldCharType="separate"/>
      </w:r>
      <w:r w:rsidR="002714BF" w:rsidRPr="00711F94">
        <w:rPr>
          <w:rFonts w:ascii="Calibri" w:eastAsia="Times New Roman" w:hAnsi="Calibri"/>
          <w:color w:val="0000FF"/>
          <w:sz w:val="22"/>
          <w:u w:val="single"/>
        </w:rPr>
        <w:t>https://itu.int/go/tsg12</w:t>
      </w:r>
      <w:r w:rsidR="00EE5DAF" w:rsidRPr="00711F94">
        <w:rPr>
          <w:rFonts w:ascii="Calibri" w:eastAsia="Times New Roman" w:hAnsi="Calibri"/>
          <w:color w:val="0000FF"/>
          <w:sz w:val="22"/>
          <w:u w:val="single"/>
        </w:rPr>
        <w:fldChar w:fldCharType="end"/>
      </w:r>
      <w:r w:rsidRPr="009C51B2">
        <w:rPr>
          <w:rFonts w:ascii="Calibri" w:hAnsi="Calibri" w:hint="eastAsia"/>
          <w:lang w:eastAsia="zh-CN"/>
        </w:rPr>
        <w:t>的在线注册表格）</w:t>
      </w:r>
      <w:r w:rsidR="002714BF" w:rsidRPr="009C51B2">
        <w:rPr>
          <w:rFonts w:ascii="Calibri" w:hAnsi="Calibri" w:hint="eastAsia"/>
          <w:lang w:eastAsia="zh-CN"/>
        </w:rPr>
        <w:t>进行注册</w:t>
      </w:r>
      <w:r w:rsidRPr="009C51B2">
        <w:rPr>
          <w:rFonts w:ascii="Calibri" w:hAnsi="Calibri" w:hint="eastAsia"/>
          <w:lang w:eastAsia="zh-CN"/>
        </w:rPr>
        <w:t>。没有注册，</w:t>
      </w:r>
      <w:r w:rsidR="002714BF" w:rsidRPr="009C51B2">
        <w:rPr>
          <w:rFonts w:ascii="Calibri" w:hAnsi="Calibri" w:hint="eastAsia"/>
          <w:lang w:eastAsia="zh-CN"/>
        </w:rPr>
        <w:t>将无法</w:t>
      </w:r>
      <w:r w:rsidR="002714BF">
        <w:rPr>
          <w:rFonts w:ascii="Calibri" w:hAnsi="Calibri" w:hint="eastAsia"/>
          <w:lang w:eastAsia="zh-CN"/>
        </w:rPr>
        <w:t>获取</w:t>
      </w:r>
      <w:r w:rsidRPr="009C51B2">
        <w:rPr>
          <w:rFonts w:ascii="Calibri" w:hAnsi="Calibri" w:hint="eastAsia"/>
          <w:lang w:eastAsia="zh-CN"/>
        </w:rPr>
        <w:t>远程参会工具。</w:t>
      </w:r>
    </w:p>
    <w:p w14:paraId="69D284D4" w14:textId="39F67736" w:rsidR="009C51B2" w:rsidRPr="002714BF" w:rsidRDefault="002714BF" w:rsidP="009C51B2">
      <w:pPr>
        <w:spacing w:before="240"/>
        <w:ind w:firstLineChars="200" w:firstLine="480"/>
        <w:rPr>
          <w:rFonts w:ascii="Calibri" w:hAnsi="Calibri"/>
          <w:lang w:eastAsia="zh-CN"/>
        </w:rPr>
      </w:pPr>
      <w:bookmarkStart w:id="4" w:name="lt_pId052"/>
      <w:r w:rsidRPr="002714BF">
        <w:rPr>
          <w:rFonts w:ascii="Calibri" w:hAnsi="Calibri" w:hint="eastAsia"/>
          <w:lang w:eastAsia="zh-CN"/>
        </w:rPr>
        <w:t>我还</w:t>
      </w:r>
      <w:proofErr w:type="gramStart"/>
      <w:r w:rsidRPr="002714BF">
        <w:rPr>
          <w:rFonts w:ascii="Calibri" w:hAnsi="Calibri" w:hint="eastAsia"/>
          <w:lang w:eastAsia="zh-CN"/>
        </w:rPr>
        <w:t>鼓励您</w:t>
      </w:r>
      <w:proofErr w:type="gramEnd"/>
      <w:r w:rsidRPr="002714BF">
        <w:rPr>
          <w:rFonts w:ascii="Calibri" w:hAnsi="Calibri" w:hint="eastAsia"/>
          <w:lang w:eastAsia="zh-CN"/>
        </w:rPr>
        <w:t>通过</w:t>
      </w:r>
      <w:r w:rsidR="00EE5DAF">
        <w:fldChar w:fldCharType="begin"/>
      </w:r>
      <w:r w:rsidR="00EE5DAF">
        <w:rPr>
          <w:lang w:eastAsia="zh-CN"/>
        </w:rPr>
        <w:instrText xml:space="preserve"> HYPERLINK "https://www.itu.int/myworkspace/" \l "/my-workspace/mails" </w:instrText>
      </w:r>
      <w:r w:rsidR="00EE5DAF">
        <w:fldChar w:fldCharType="separate"/>
      </w:r>
      <w:r w:rsidRPr="009C51B2">
        <w:rPr>
          <w:rFonts w:ascii="Calibri" w:eastAsia="Times New Roman" w:hAnsi="Calibri"/>
          <w:color w:val="0000FF"/>
          <w:sz w:val="22"/>
          <w:u w:val="single"/>
          <w:lang w:eastAsia="zh-CN"/>
        </w:rPr>
        <w:t>https://www.itu.int/myworkspace/#/my-workspace/mails</w:t>
      </w:r>
      <w:r w:rsidR="00EE5DAF">
        <w:rPr>
          <w:rFonts w:ascii="Calibri" w:eastAsia="Times New Roman" w:hAnsi="Calibri"/>
          <w:color w:val="0000FF"/>
          <w:sz w:val="22"/>
          <w:u w:val="single"/>
        </w:rPr>
        <w:fldChar w:fldCharType="end"/>
      </w:r>
      <w:r w:rsidRPr="002714BF">
        <w:rPr>
          <w:rFonts w:ascii="Calibri" w:hAnsi="Calibri" w:hint="eastAsia"/>
          <w:lang w:eastAsia="zh-CN"/>
        </w:rPr>
        <w:t>利用</w:t>
      </w:r>
      <w:proofErr w:type="spellStart"/>
      <w:r w:rsidRPr="002714BF">
        <w:rPr>
          <w:rFonts w:ascii="Calibri" w:hAnsi="Calibri" w:hint="eastAsia"/>
          <w:lang w:eastAsia="zh-CN"/>
        </w:rPr>
        <w:t>MyWorkspace</w:t>
      </w:r>
      <w:proofErr w:type="spellEnd"/>
      <w:r w:rsidRPr="002714BF">
        <w:rPr>
          <w:rFonts w:ascii="Calibri" w:hAnsi="Calibri" w:hint="eastAsia"/>
          <w:lang w:eastAsia="zh-CN"/>
        </w:rPr>
        <w:t>申请参加</w:t>
      </w:r>
      <w:r w:rsidRPr="002714BF">
        <w:rPr>
          <w:rFonts w:ascii="Calibri" w:hAnsi="Calibri" w:hint="eastAsia"/>
          <w:lang w:eastAsia="zh-CN"/>
        </w:rPr>
        <w:t>SG12</w:t>
      </w:r>
      <w:r w:rsidRPr="002714BF">
        <w:rPr>
          <w:rFonts w:ascii="Calibri" w:hAnsi="Calibri" w:hint="eastAsia"/>
          <w:lang w:eastAsia="zh-CN"/>
        </w:rPr>
        <w:t>网上交流小组</w:t>
      </w:r>
      <w:bookmarkEnd w:id="4"/>
      <w:r>
        <w:rPr>
          <w:rFonts w:ascii="Calibri" w:hAnsi="Calibri" w:hint="eastAsia"/>
          <w:lang w:eastAsia="zh-CN"/>
        </w:rPr>
        <w:t>，了解最新信息</w:t>
      </w:r>
      <w:r w:rsidRPr="002714BF">
        <w:rPr>
          <w:rFonts w:ascii="Calibri" w:hAnsi="Calibri" w:hint="eastAsia"/>
          <w:lang w:eastAsia="zh-CN"/>
        </w:rPr>
        <w:t>。</w:t>
      </w:r>
    </w:p>
    <w:p w14:paraId="6098D084" w14:textId="7BFBE56D" w:rsidR="00231040" w:rsidRDefault="002714BF" w:rsidP="00711F94">
      <w:pPr>
        <w:spacing w:before="240" w:after="120"/>
        <w:ind w:firstLineChars="200" w:firstLine="480"/>
        <w:rPr>
          <w:b/>
          <w:bCs/>
          <w:lang w:eastAsia="zh-CN"/>
        </w:rPr>
      </w:pPr>
      <w:r w:rsidRPr="002714BF">
        <w:rPr>
          <w:rFonts w:ascii="Calibri" w:hAnsi="Calibri" w:hint="eastAsia"/>
          <w:lang w:eastAsia="zh-CN"/>
        </w:rPr>
        <w:t>提交文稿的截止日期保持不变：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399"/>
      </w:tblGrid>
      <w:tr w:rsidR="00231040" w14:paraId="50220528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B39" w14:textId="742BEC75" w:rsidR="00231040" w:rsidRPr="00357194" w:rsidRDefault="00B81042" w:rsidP="00615F21">
            <w:pPr>
              <w:spacing w:before="40" w:after="40"/>
              <w:rPr>
                <w:sz w:val="22"/>
                <w:szCs w:val="22"/>
                <w:lang w:val="en-US" w:eastAsia="zh-CN"/>
              </w:rPr>
            </w:pPr>
            <w:r w:rsidRPr="00357194">
              <w:rPr>
                <w:sz w:val="22"/>
                <w:szCs w:val="22"/>
                <w:lang w:val="en-US"/>
              </w:rPr>
              <w:t>2020</w:t>
            </w:r>
            <w:r w:rsidR="00231040" w:rsidRPr="00357194">
              <w:rPr>
                <w:rFonts w:hint="eastAsia"/>
                <w:sz w:val="22"/>
                <w:szCs w:val="22"/>
                <w:lang w:val="en-US" w:eastAsia="zh-CN"/>
              </w:rPr>
              <w:t>年</w:t>
            </w:r>
            <w:r w:rsidRPr="00357194"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 w:rsidR="00231040" w:rsidRPr="00357194">
              <w:rPr>
                <w:rFonts w:hint="eastAsia"/>
                <w:sz w:val="22"/>
                <w:szCs w:val="22"/>
                <w:lang w:val="en-US" w:eastAsia="zh-CN"/>
              </w:rPr>
              <w:t>月</w:t>
            </w:r>
            <w:r w:rsidRPr="00357194"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 w:rsidR="00231040" w:rsidRPr="00357194">
              <w:rPr>
                <w:rFonts w:hint="eastAsia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7011" w14:textId="77777777" w:rsidR="00231040" w:rsidRPr="00357194" w:rsidRDefault="00231040" w:rsidP="00615F21">
            <w:pPr>
              <w:tabs>
                <w:tab w:val="clear" w:pos="794"/>
                <w:tab w:val="left" w:pos="348"/>
              </w:tabs>
              <w:spacing w:before="40" w:after="40"/>
              <w:rPr>
                <w:sz w:val="22"/>
                <w:szCs w:val="22"/>
                <w:lang w:val="en-US" w:eastAsia="zh-CN"/>
              </w:rPr>
            </w:pPr>
            <w:r w:rsidRPr="00357194">
              <w:rPr>
                <w:sz w:val="22"/>
                <w:szCs w:val="22"/>
                <w:lang w:val="en-US" w:eastAsia="zh-CN"/>
              </w:rPr>
              <w:t>–</w:t>
            </w:r>
            <w:r w:rsidRPr="00357194">
              <w:rPr>
                <w:sz w:val="22"/>
                <w:szCs w:val="22"/>
                <w:lang w:val="en-US" w:eastAsia="zh-CN"/>
              </w:rPr>
              <w:tab/>
            </w:r>
            <w:r w:rsidRPr="00357194">
              <w:rPr>
                <w:rFonts w:hint="eastAsia"/>
                <w:sz w:val="22"/>
                <w:szCs w:val="22"/>
                <w:lang w:val="en-US" w:eastAsia="zh-CN"/>
              </w:rPr>
              <w:t>提交</w:t>
            </w:r>
            <w:r w:rsidRPr="00357194">
              <w:rPr>
                <w:rFonts w:hint="eastAsia"/>
                <w:sz w:val="22"/>
                <w:szCs w:val="22"/>
                <w:lang w:val="en-US" w:eastAsia="zh-CN"/>
              </w:rPr>
              <w:t>I</w:t>
            </w:r>
            <w:r w:rsidRPr="00357194">
              <w:rPr>
                <w:sz w:val="22"/>
                <w:szCs w:val="22"/>
                <w:lang w:val="en-US" w:eastAsia="zh-CN"/>
              </w:rPr>
              <w:t>TU-T</w:t>
            </w:r>
            <w:r w:rsidRPr="00357194">
              <w:rPr>
                <w:rFonts w:hint="eastAsia"/>
                <w:sz w:val="22"/>
                <w:szCs w:val="22"/>
                <w:lang w:val="en-US" w:eastAsia="zh-CN"/>
              </w:rPr>
              <w:t>成员文稿</w:t>
            </w:r>
            <w:r w:rsidRPr="00357194">
              <w:rPr>
                <w:rFonts w:hint="eastAsia"/>
                <w:sz w:val="22"/>
                <w:szCs w:val="22"/>
                <w:lang w:eastAsia="zh-CN"/>
              </w:rPr>
              <w:t>（</w:t>
            </w:r>
            <w:hyperlink r:id="rId9" w:history="1">
              <w:r w:rsidRPr="00357194">
                <w:rPr>
                  <w:rStyle w:val="Hyperlink"/>
                  <w:sz w:val="22"/>
                  <w:szCs w:val="22"/>
                  <w:lang w:eastAsia="zh-CN"/>
                </w:rPr>
                <w:t>通过文件</w:t>
              </w:r>
              <w:r w:rsidRPr="00357194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直</w:t>
              </w:r>
              <w:r w:rsidRPr="00357194">
                <w:rPr>
                  <w:rStyle w:val="Hyperlink"/>
                  <w:sz w:val="22"/>
                  <w:szCs w:val="22"/>
                  <w:lang w:eastAsia="zh-CN"/>
                </w:rPr>
                <w:t>传</w:t>
              </w:r>
            </w:hyperlink>
            <w:r w:rsidRPr="00357194">
              <w:rPr>
                <w:rFonts w:hint="eastAsia"/>
                <w:sz w:val="22"/>
                <w:szCs w:val="22"/>
                <w:lang w:val="en-US" w:eastAsia="zh-CN"/>
              </w:rPr>
              <w:t>）</w:t>
            </w:r>
          </w:p>
        </w:tc>
      </w:tr>
    </w:tbl>
    <w:p w14:paraId="77BA014A" w14:textId="62B3F5F7" w:rsidR="00711F94" w:rsidRDefault="00711F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22AD5A6" w14:textId="77777777" w:rsidR="00231040" w:rsidRDefault="00231040" w:rsidP="00711F9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祝您与会顺利且富有成效。</w:t>
      </w:r>
    </w:p>
    <w:p w14:paraId="1052F648" w14:textId="77777777" w:rsidR="00231040" w:rsidRDefault="00231040" w:rsidP="00231040">
      <w:pPr>
        <w:spacing w:before="240"/>
        <w:rPr>
          <w:lang w:eastAsia="zh-CN"/>
        </w:rPr>
      </w:pPr>
      <w:r w:rsidRPr="005134F4">
        <w:rPr>
          <w:rFonts w:hint="eastAsia"/>
          <w:lang w:eastAsia="zh-CN"/>
        </w:rPr>
        <w:t>顺致敬意！</w:t>
      </w: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A8F" w:rsidRPr="0057770B" w14:paraId="35D8AC4A" w14:textId="77777777" w:rsidTr="008A7A8F">
        <w:trPr>
          <w:cantSplit/>
          <w:trHeight w:val="1955"/>
        </w:trPr>
        <w:tc>
          <w:tcPr>
            <w:tcW w:w="9781" w:type="dxa"/>
            <w:vMerge w:val="restart"/>
          </w:tcPr>
          <w:p w14:paraId="0C66ABB9" w14:textId="1001D51A" w:rsidR="008A7A8F" w:rsidRPr="00455C71" w:rsidRDefault="008A7A8F" w:rsidP="00711F94">
            <w:pPr>
              <w:spacing w:before="600"/>
              <w:rPr>
                <w:rFonts w:ascii="STKaiti" w:eastAsia="STKaiti" w:hAnsi="STKaiti"/>
                <w:szCs w:val="24"/>
                <w:lang w:eastAsia="zh-CN"/>
              </w:rPr>
            </w:pPr>
            <w:r w:rsidRPr="00455C71">
              <w:rPr>
                <w:rFonts w:ascii="STKaiti" w:eastAsia="STKaiti" w:hAnsi="STKaiti" w:hint="eastAsia"/>
                <w:szCs w:val="24"/>
                <w:lang w:eastAsia="zh-CN"/>
              </w:rPr>
              <w:t>（原件已签）</w:t>
            </w:r>
          </w:p>
          <w:p w14:paraId="59D6878F" w14:textId="3158F7F9" w:rsidR="008A7A8F" w:rsidRPr="0065216E" w:rsidRDefault="008A7A8F" w:rsidP="00711F94">
            <w:pPr>
              <w:spacing w:before="600"/>
              <w:rPr>
                <w:lang w:eastAsia="zh-CN"/>
              </w:rPr>
            </w:pPr>
            <w:r w:rsidRPr="005134F4">
              <w:rPr>
                <w:rFonts w:asciiTheme="minorHAnsi" w:hAnsiTheme="minorHAnsi" w:hint="eastAsia"/>
                <w:lang w:val="en-GB" w:eastAsia="zh-CN"/>
              </w:rPr>
              <w:t>电信标准化局主任</w:t>
            </w:r>
            <w:r>
              <w:rPr>
                <w:rFonts w:asciiTheme="minorHAnsi" w:hAnsiTheme="minorHAnsi" w:hint="eastAsia"/>
                <w:lang w:val="en-GB" w:eastAsia="zh-CN"/>
              </w:rPr>
              <w:t>，</w:t>
            </w:r>
            <w:r w:rsidRPr="005134F4">
              <w:rPr>
                <w:rFonts w:asciiTheme="minorHAnsi" w:hAnsiTheme="minorHAnsi"/>
                <w:lang w:val="en-GB" w:eastAsia="zh-CN"/>
              </w:rPr>
              <w:br/>
            </w:r>
            <w:r w:rsidRPr="005134F4">
              <w:rPr>
                <w:rFonts w:asciiTheme="minorHAnsi" w:hAnsiTheme="minorHAnsi" w:hint="eastAsia"/>
                <w:lang w:val="en-GB" w:eastAsia="zh-CN"/>
              </w:rPr>
              <w:t>李在摄</w:t>
            </w:r>
          </w:p>
        </w:tc>
      </w:tr>
      <w:tr w:rsidR="008A7A8F" w:rsidRPr="0057770B" w14:paraId="69896A29" w14:textId="77777777" w:rsidTr="008A7A8F">
        <w:trPr>
          <w:cantSplit/>
          <w:trHeight w:val="756"/>
        </w:trPr>
        <w:tc>
          <w:tcPr>
            <w:tcW w:w="9781" w:type="dxa"/>
            <w:vMerge/>
          </w:tcPr>
          <w:p w14:paraId="545672DD" w14:textId="77777777" w:rsidR="008A7A8F" w:rsidRPr="0057770B" w:rsidRDefault="008A7A8F" w:rsidP="00615F21">
            <w:pPr>
              <w:spacing w:before="480"/>
              <w:rPr>
                <w:lang w:eastAsia="zh-CN"/>
              </w:rPr>
            </w:pPr>
          </w:p>
        </w:tc>
      </w:tr>
    </w:tbl>
    <w:p w14:paraId="0A66A69C" w14:textId="21782DF8" w:rsidR="00711F94" w:rsidRPr="00711F94" w:rsidRDefault="00711F94" w:rsidP="00711F94">
      <w:pPr>
        <w:tabs>
          <w:tab w:val="clear" w:pos="794"/>
          <w:tab w:val="clear" w:pos="1191"/>
          <w:tab w:val="clear" w:pos="1588"/>
          <w:tab w:val="clear" w:pos="1985"/>
          <w:tab w:val="left" w:pos="2595"/>
        </w:tabs>
        <w:rPr>
          <w:lang w:eastAsia="zh-CN"/>
        </w:rPr>
      </w:pPr>
    </w:p>
    <w:sectPr w:rsidR="00711F94" w:rsidRPr="00711F94" w:rsidSect="00DB2F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069BD" w14:textId="77777777" w:rsidR="00A62EA0" w:rsidRDefault="00405B21">
      <w:pPr>
        <w:spacing w:before="0"/>
      </w:pPr>
      <w:r>
        <w:separator/>
      </w:r>
    </w:p>
  </w:endnote>
  <w:endnote w:type="continuationSeparator" w:id="0">
    <w:p w14:paraId="3AA7D8A4" w14:textId="77777777" w:rsidR="00A62EA0" w:rsidRDefault="00405B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0BDB" w14:textId="77777777" w:rsidR="00656698" w:rsidRDefault="00656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0E3B" w14:textId="27A37549" w:rsidR="008A7A8F" w:rsidRPr="00EE5DAF" w:rsidRDefault="008A7A8F" w:rsidP="008A7A8F">
    <w:pPr>
      <w:pStyle w:val="Footer"/>
      <w:rPr>
        <w:sz w:val="16"/>
        <w:szCs w:val="16"/>
        <w:lang w:val="fr-CH"/>
      </w:rPr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D8AB" w14:textId="77777777" w:rsidR="00714829" w:rsidRPr="003F14E4" w:rsidRDefault="00487626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proofErr w:type="gramStart"/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AFA76" w14:textId="77777777" w:rsidR="00A62EA0" w:rsidRDefault="00405B21">
      <w:pPr>
        <w:spacing w:before="0"/>
      </w:pPr>
      <w:r>
        <w:separator/>
      </w:r>
    </w:p>
  </w:footnote>
  <w:footnote w:type="continuationSeparator" w:id="0">
    <w:p w14:paraId="39CC69F7" w14:textId="77777777" w:rsidR="00A62EA0" w:rsidRDefault="00405B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BAC9" w14:textId="77777777" w:rsidR="00656698" w:rsidRDefault="00656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ED029" w14:textId="3E366429" w:rsidR="00714829" w:rsidRPr="00F813A3" w:rsidRDefault="00487626" w:rsidP="00E71E73">
    <w:pPr>
      <w:pStyle w:val="Header"/>
      <w:spacing w:after="36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A75665">
      <w:rPr>
        <w:noProof/>
        <w:sz w:val="18"/>
        <w:szCs w:val="18"/>
        <w:lang w:eastAsia="zh-CN"/>
      </w:rPr>
      <w:t>5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E42FAC">
      <w:rPr>
        <w:iCs/>
        <w:sz w:val="18"/>
        <w:szCs w:val="18"/>
        <w:lang w:eastAsia="zh-CN"/>
      </w:rPr>
      <w:t>9</w:t>
    </w:r>
    <w:r w:rsidRPr="00F813A3">
      <w:rPr>
        <w:iCs/>
        <w:sz w:val="18"/>
        <w:szCs w:val="18"/>
        <w:lang w:eastAsia="zh-CN"/>
      </w:rPr>
      <w:t>/</w:t>
    </w:r>
    <w:r>
      <w:rPr>
        <w:rFonts w:hint="eastAsia"/>
        <w:iCs/>
        <w:sz w:val="18"/>
        <w:szCs w:val="18"/>
        <w:lang w:eastAsia="zh-CN"/>
      </w:rPr>
      <w:t>12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  <w:r w:rsidR="008A7A8F">
      <w:rPr>
        <w:rFonts w:ascii="SimSun" w:hAnsi="SimSun" w:hint="eastAsia"/>
        <w:iCs/>
        <w:sz w:val="18"/>
        <w:szCs w:val="18"/>
        <w:lang w:eastAsia="zh-CN"/>
      </w:rPr>
      <w:t>勘误</w:t>
    </w:r>
    <w:r w:rsidR="008A7A8F">
      <w:rPr>
        <w:rFonts w:hint="eastAsia"/>
        <w:iCs/>
        <w:sz w:val="18"/>
        <w:szCs w:val="18"/>
        <w:lang w:eastAsia="zh-CN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4DAB" w14:textId="77777777" w:rsidR="00656698" w:rsidRDefault="00656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C2"/>
    <w:rsid w:val="00045DC6"/>
    <w:rsid w:val="000F0394"/>
    <w:rsid w:val="00144627"/>
    <w:rsid w:val="00174356"/>
    <w:rsid w:val="001C5E92"/>
    <w:rsid w:val="001D753E"/>
    <w:rsid w:val="001F4CF2"/>
    <w:rsid w:val="00231040"/>
    <w:rsid w:val="002714BF"/>
    <w:rsid w:val="002D6080"/>
    <w:rsid w:val="00357194"/>
    <w:rsid w:val="00364619"/>
    <w:rsid w:val="00370474"/>
    <w:rsid w:val="0038515C"/>
    <w:rsid w:val="003F76B2"/>
    <w:rsid w:val="00401388"/>
    <w:rsid w:val="00405B21"/>
    <w:rsid w:val="00472EF4"/>
    <w:rsid w:val="00487626"/>
    <w:rsid w:val="00494F5C"/>
    <w:rsid w:val="004D1FF1"/>
    <w:rsid w:val="005134F4"/>
    <w:rsid w:val="00587B7D"/>
    <w:rsid w:val="005B22BC"/>
    <w:rsid w:val="00602FAA"/>
    <w:rsid w:val="00633C0E"/>
    <w:rsid w:val="006365DA"/>
    <w:rsid w:val="00640014"/>
    <w:rsid w:val="00656698"/>
    <w:rsid w:val="006A47B1"/>
    <w:rsid w:val="00703058"/>
    <w:rsid w:val="007053BB"/>
    <w:rsid w:val="00711F94"/>
    <w:rsid w:val="00835BD4"/>
    <w:rsid w:val="00863EC2"/>
    <w:rsid w:val="008667B5"/>
    <w:rsid w:val="008A7A8F"/>
    <w:rsid w:val="008D3E9D"/>
    <w:rsid w:val="00903539"/>
    <w:rsid w:val="00925DCF"/>
    <w:rsid w:val="00963510"/>
    <w:rsid w:val="009C51B2"/>
    <w:rsid w:val="009D43C1"/>
    <w:rsid w:val="00A10C99"/>
    <w:rsid w:val="00A62EA0"/>
    <w:rsid w:val="00A75665"/>
    <w:rsid w:val="00AB79CB"/>
    <w:rsid w:val="00B81042"/>
    <w:rsid w:val="00B9433A"/>
    <w:rsid w:val="00BA61D4"/>
    <w:rsid w:val="00BB6977"/>
    <w:rsid w:val="00CA2C85"/>
    <w:rsid w:val="00CE67FF"/>
    <w:rsid w:val="00D0093C"/>
    <w:rsid w:val="00D54DEE"/>
    <w:rsid w:val="00DB3FA0"/>
    <w:rsid w:val="00E2777F"/>
    <w:rsid w:val="00E41405"/>
    <w:rsid w:val="00E42FAC"/>
    <w:rsid w:val="00E60141"/>
    <w:rsid w:val="00E63E1A"/>
    <w:rsid w:val="00E71E73"/>
    <w:rsid w:val="00EA5257"/>
    <w:rsid w:val="00EC34AF"/>
    <w:rsid w:val="00EE5DAF"/>
    <w:rsid w:val="00F07105"/>
    <w:rsid w:val="00F16E6B"/>
    <w:rsid w:val="00F773BC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57A3"/>
  <w15:chartTrackingRefBased/>
  <w15:docId w15:val="{62B64E58-BBD5-4ECD-8131-1FCE3BCA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SimSu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1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rsid w:val="00231040"/>
    <w:rPr>
      <w:rFonts w:eastAsia="SimSun" w:cs="Times New Roman"/>
      <w:caps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231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31040"/>
    <w:rPr>
      <w:rFonts w:eastAsia="SimSun" w:cs="Times New Roman"/>
      <w:szCs w:val="20"/>
      <w:lang w:eastAsia="en-US"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sid w:val="002310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040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nnexTitle">
    <w:name w:val="Annex_Title"/>
    <w:basedOn w:val="Normal"/>
    <w:next w:val="Normal"/>
    <w:rsid w:val="0023104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231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LetterStart">
    <w:name w:val="Letter_Start"/>
    <w:basedOn w:val="Normal"/>
    <w:rsid w:val="00231040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Annextitle0">
    <w:name w:val="Annex_title"/>
    <w:basedOn w:val="Normal"/>
    <w:next w:val="Normal"/>
    <w:link w:val="AnnextitleChar"/>
    <w:rsid w:val="0023104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231040"/>
    <w:rPr>
      <w:rFonts w:ascii="Times New Roman Bold" w:eastAsia="SimSun" w:hAnsi="Times New Roman Bold" w:cs="Times New Roman"/>
      <w:b/>
      <w:sz w:val="28"/>
      <w:szCs w:val="20"/>
      <w:lang w:eastAsia="en-US"/>
    </w:rPr>
  </w:style>
  <w:style w:type="paragraph" w:customStyle="1" w:styleId="TableText">
    <w:name w:val="Table_Text"/>
    <w:basedOn w:val="Normal"/>
    <w:rsid w:val="00231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23104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53B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14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1E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65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9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25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net/ITU-T/ddp/Default.aspx?groupid=T17-SG12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Zixue</dc:creator>
  <cp:keywords/>
  <dc:description/>
  <cp:lastModifiedBy>Labare, Emmanuelle</cp:lastModifiedBy>
  <cp:revision>5</cp:revision>
  <cp:lastPrinted>2019-09-18T13:25:00Z</cp:lastPrinted>
  <dcterms:created xsi:type="dcterms:W3CDTF">2020-04-02T09:47:00Z</dcterms:created>
  <dcterms:modified xsi:type="dcterms:W3CDTF">2020-04-03T08:50:00Z</dcterms:modified>
</cp:coreProperties>
</file>