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701F13" w:rsidTr="00427EA6">
        <w:trPr>
          <w:cantSplit/>
        </w:trPr>
        <w:tc>
          <w:tcPr>
            <w:tcW w:w="1418" w:type="dxa"/>
            <w:vAlign w:val="center"/>
          </w:tcPr>
          <w:p w:rsidR="00427EA6" w:rsidRPr="00701F13" w:rsidRDefault="00CD4AE3" w:rsidP="00427EA6">
            <w:pPr>
              <w:tabs>
                <w:tab w:val="right" w:pos="8732"/>
              </w:tabs>
              <w:spacing w:before="0"/>
              <w:rPr>
                <w:b/>
                <w:bCs/>
                <w:iCs/>
                <w:color w:val="FFFFFF"/>
                <w:sz w:val="30"/>
                <w:szCs w:val="30"/>
              </w:rPr>
            </w:pPr>
            <w:r w:rsidRPr="00701F13">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27EA6" w:rsidRPr="00701F13" w:rsidRDefault="00427EA6" w:rsidP="00427EA6">
            <w:pPr>
              <w:spacing w:before="0"/>
              <w:rPr>
                <w:rFonts w:cs="Times New Roman Bold"/>
                <w:b/>
                <w:bCs/>
                <w:smallCaps/>
                <w:sz w:val="26"/>
                <w:szCs w:val="26"/>
              </w:rPr>
            </w:pPr>
            <w:r w:rsidRPr="00701F13">
              <w:rPr>
                <w:rFonts w:cs="Times New Roman Bold"/>
                <w:b/>
                <w:bCs/>
                <w:smallCaps/>
                <w:sz w:val="36"/>
                <w:szCs w:val="36"/>
              </w:rPr>
              <w:t>Unión Internacional de Telecomunicaciones</w:t>
            </w:r>
          </w:p>
          <w:p w:rsidR="00427EA6" w:rsidRPr="00701F13" w:rsidRDefault="00427EA6" w:rsidP="00427EA6">
            <w:pPr>
              <w:tabs>
                <w:tab w:val="right" w:pos="8732"/>
              </w:tabs>
              <w:spacing w:before="0"/>
              <w:rPr>
                <w:b/>
                <w:bCs/>
                <w:iCs/>
                <w:color w:val="FFFFFF"/>
                <w:sz w:val="30"/>
                <w:szCs w:val="30"/>
              </w:rPr>
            </w:pPr>
            <w:r w:rsidRPr="00701F13">
              <w:rPr>
                <w:rFonts w:cs="Times New Roman Bold"/>
                <w:b/>
                <w:bCs/>
                <w:iCs/>
                <w:smallCaps/>
                <w:sz w:val="28"/>
                <w:szCs w:val="28"/>
              </w:rPr>
              <w:t>Oficina de Normalización de las Telecomunicaciones</w:t>
            </w:r>
          </w:p>
        </w:tc>
        <w:tc>
          <w:tcPr>
            <w:tcW w:w="1984" w:type="dxa"/>
            <w:vAlign w:val="center"/>
          </w:tcPr>
          <w:p w:rsidR="00427EA6" w:rsidRPr="00701F13" w:rsidRDefault="00427EA6" w:rsidP="00427EA6">
            <w:pPr>
              <w:spacing w:before="0"/>
              <w:jc w:val="right"/>
              <w:rPr>
                <w:color w:val="FFFFFF"/>
                <w:sz w:val="26"/>
                <w:szCs w:val="26"/>
              </w:rPr>
            </w:pPr>
          </w:p>
        </w:tc>
      </w:tr>
    </w:tbl>
    <w:p w:rsidR="002545AA" w:rsidRPr="00701F13"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701F13" w:rsidTr="002C58A4">
        <w:trPr>
          <w:cantSplit/>
          <w:trHeight w:val="649"/>
        </w:trPr>
        <w:tc>
          <w:tcPr>
            <w:tcW w:w="1084" w:type="dxa"/>
            <w:gridSpan w:val="2"/>
          </w:tcPr>
          <w:p w:rsidR="002545AA" w:rsidRPr="00701F13" w:rsidRDefault="002545AA" w:rsidP="002C58A4">
            <w:pPr>
              <w:tabs>
                <w:tab w:val="left" w:pos="4111"/>
              </w:tabs>
              <w:spacing w:before="10"/>
              <w:ind w:left="57"/>
              <w:rPr>
                <w:sz w:val="24"/>
                <w:szCs w:val="24"/>
              </w:rPr>
            </w:pPr>
          </w:p>
        </w:tc>
        <w:tc>
          <w:tcPr>
            <w:tcW w:w="3793" w:type="dxa"/>
          </w:tcPr>
          <w:p w:rsidR="002545AA" w:rsidRPr="00701F13" w:rsidRDefault="002545AA" w:rsidP="002C58A4">
            <w:pPr>
              <w:tabs>
                <w:tab w:val="left" w:pos="4111"/>
              </w:tabs>
              <w:spacing w:before="10"/>
              <w:ind w:left="57"/>
              <w:rPr>
                <w:b/>
                <w:sz w:val="24"/>
                <w:szCs w:val="24"/>
              </w:rPr>
            </w:pPr>
          </w:p>
        </w:tc>
        <w:tc>
          <w:tcPr>
            <w:tcW w:w="4762" w:type="dxa"/>
          </w:tcPr>
          <w:p w:rsidR="002545AA" w:rsidRPr="00701F13" w:rsidRDefault="002545AA" w:rsidP="005E66CB">
            <w:pPr>
              <w:pStyle w:val="Tabletext0"/>
              <w:tabs>
                <w:tab w:val="clear" w:pos="1134"/>
                <w:tab w:val="clear" w:pos="2268"/>
                <w:tab w:val="left" w:pos="794"/>
                <w:tab w:val="left" w:pos="1191"/>
                <w:tab w:val="left" w:pos="1588"/>
              </w:tabs>
              <w:spacing w:before="240" w:after="120"/>
              <w:rPr>
                <w:bCs/>
                <w:sz w:val="24"/>
                <w:szCs w:val="24"/>
              </w:rPr>
            </w:pPr>
            <w:r w:rsidRPr="00701F13">
              <w:rPr>
                <w:sz w:val="24"/>
                <w:szCs w:val="24"/>
              </w:rPr>
              <w:t xml:space="preserve">Ginebra, </w:t>
            </w:r>
            <w:r w:rsidR="005E66CB" w:rsidRPr="00701F13">
              <w:rPr>
                <w:sz w:val="24"/>
                <w:szCs w:val="24"/>
              </w:rPr>
              <w:t xml:space="preserve">5 de abril </w:t>
            </w:r>
            <w:r w:rsidR="00930957" w:rsidRPr="00701F13">
              <w:rPr>
                <w:sz w:val="24"/>
                <w:szCs w:val="24"/>
              </w:rPr>
              <w:t>de 2019</w:t>
            </w:r>
          </w:p>
        </w:tc>
      </w:tr>
      <w:tr w:rsidR="002545AA" w:rsidRPr="00701F13" w:rsidTr="002C58A4">
        <w:trPr>
          <w:cantSplit/>
          <w:trHeight w:val="649"/>
        </w:trPr>
        <w:tc>
          <w:tcPr>
            <w:tcW w:w="1084" w:type="dxa"/>
            <w:gridSpan w:val="2"/>
          </w:tcPr>
          <w:p w:rsidR="002545AA" w:rsidRPr="00701F13" w:rsidRDefault="002545AA" w:rsidP="002C58A4">
            <w:pPr>
              <w:tabs>
                <w:tab w:val="left" w:pos="4111"/>
              </w:tabs>
              <w:spacing w:before="40" w:after="40"/>
              <w:ind w:left="57"/>
              <w:rPr>
                <w:sz w:val="24"/>
                <w:szCs w:val="24"/>
              </w:rPr>
            </w:pPr>
            <w:r w:rsidRPr="00701F13">
              <w:rPr>
                <w:sz w:val="24"/>
                <w:szCs w:val="24"/>
              </w:rPr>
              <w:t>Ref.:</w:t>
            </w:r>
          </w:p>
        </w:tc>
        <w:tc>
          <w:tcPr>
            <w:tcW w:w="3793" w:type="dxa"/>
          </w:tcPr>
          <w:p w:rsidR="002545AA" w:rsidRPr="00701F13" w:rsidRDefault="002545AA" w:rsidP="004F5F90">
            <w:pPr>
              <w:tabs>
                <w:tab w:val="left" w:pos="4111"/>
              </w:tabs>
              <w:spacing w:before="40" w:after="40"/>
              <w:ind w:left="57"/>
              <w:rPr>
                <w:sz w:val="24"/>
                <w:szCs w:val="24"/>
                <w:u w:val="single"/>
              </w:rPr>
            </w:pPr>
            <w:r w:rsidRPr="00701F13">
              <w:rPr>
                <w:b/>
                <w:sz w:val="24"/>
                <w:szCs w:val="24"/>
              </w:rPr>
              <w:t xml:space="preserve">Carta Colectiva </w:t>
            </w:r>
            <w:r w:rsidR="005E66CB" w:rsidRPr="00701F13">
              <w:rPr>
                <w:b/>
                <w:sz w:val="24"/>
                <w:szCs w:val="24"/>
              </w:rPr>
              <w:t>7</w:t>
            </w:r>
            <w:r w:rsidR="00930957" w:rsidRPr="00701F13">
              <w:rPr>
                <w:b/>
                <w:sz w:val="24"/>
                <w:szCs w:val="24"/>
              </w:rPr>
              <w:t>/</w:t>
            </w:r>
            <w:r w:rsidR="005E66CB" w:rsidRPr="00701F13">
              <w:rPr>
                <w:b/>
                <w:sz w:val="24"/>
                <w:szCs w:val="24"/>
              </w:rPr>
              <w:t>16</w:t>
            </w:r>
          </w:p>
        </w:tc>
        <w:tc>
          <w:tcPr>
            <w:tcW w:w="4762" w:type="dxa"/>
            <w:vMerge w:val="restart"/>
          </w:tcPr>
          <w:p w:rsidR="002545AA" w:rsidRPr="00701F13" w:rsidRDefault="00725B03" w:rsidP="002C58A4">
            <w:pPr>
              <w:tabs>
                <w:tab w:val="clear" w:pos="794"/>
                <w:tab w:val="left" w:pos="218"/>
              </w:tabs>
              <w:spacing w:before="0" w:after="40"/>
              <w:ind w:left="218" w:hanging="161"/>
              <w:rPr>
                <w:sz w:val="24"/>
                <w:szCs w:val="24"/>
              </w:rPr>
            </w:pPr>
            <w:r w:rsidRPr="00701F13">
              <w:rPr>
                <w:sz w:val="24"/>
                <w:szCs w:val="24"/>
              </w:rPr>
              <w:t>–</w:t>
            </w:r>
            <w:r w:rsidRPr="00701F13">
              <w:rPr>
                <w:sz w:val="24"/>
                <w:szCs w:val="24"/>
              </w:rPr>
              <w:tab/>
              <w:t>A las Administraciones de los Estados Miembros de la Unión;</w:t>
            </w:r>
          </w:p>
          <w:p w:rsidR="002545AA" w:rsidRPr="00701F13" w:rsidRDefault="00725B03" w:rsidP="002C58A4">
            <w:pPr>
              <w:tabs>
                <w:tab w:val="clear" w:pos="794"/>
                <w:tab w:val="left" w:pos="218"/>
              </w:tabs>
              <w:spacing w:before="0" w:after="40"/>
              <w:ind w:left="57"/>
              <w:rPr>
                <w:sz w:val="24"/>
                <w:szCs w:val="24"/>
              </w:rPr>
            </w:pPr>
            <w:r w:rsidRPr="00701F13">
              <w:rPr>
                <w:sz w:val="24"/>
                <w:szCs w:val="24"/>
              </w:rPr>
              <w:t>–</w:t>
            </w:r>
            <w:r w:rsidRPr="00701F13">
              <w:rPr>
                <w:sz w:val="24"/>
                <w:szCs w:val="24"/>
              </w:rPr>
              <w:tab/>
              <w:t>A los Miembros de Sector del UIT T</w:t>
            </w:r>
            <w:r w:rsidR="002545AA" w:rsidRPr="00701F13">
              <w:rPr>
                <w:sz w:val="24"/>
                <w:szCs w:val="24"/>
              </w:rPr>
              <w:t>;</w:t>
            </w:r>
          </w:p>
          <w:p w:rsidR="002545AA" w:rsidRPr="00701F13" w:rsidRDefault="00725B03" w:rsidP="005E66CB">
            <w:pPr>
              <w:tabs>
                <w:tab w:val="clear" w:pos="794"/>
                <w:tab w:val="left" w:pos="218"/>
              </w:tabs>
              <w:spacing w:before="0" w:after="40"/>
              <w:ind w:left="218" w:hanging="161"/>
              <w:rPr>
                <w:sz w:val="24"/>
                <w:szCs w:val="24"/>
              </w:rPr>
            </w:pPr>
            <w:r w:rsidRPr="00701F13">
              <w:rPr>
                <w:sz w:val="24"/>
                <w:szCs w:val="24"/>
              </w:rPr>
              <w:t>–</w:t>
            </w:r>
            <w:r w:rsidRPr="00701F13">
              <w:rPr>
                <w:sz w:val="24"/>
                <w:szCs w:val="24"/>
              </w:rPr>
              <w:tab/>
              <w:t xml:space="preserve">A los </w:t>
            </w:r>
            <w:r w:rsidR="002545AA" w:rsidRPr="00701F13">
              <w:rPr>
                <w:sz w:val="24"/>
                <w:szCs w:val="24"/>
              </w:rPr>
              <w:t xml:space="preserve">Asociados que participan en los trabajos de la Comisión de Estudio </w:t>
            </w:r>
            <w:r w:rsidR="005E66CB" w:rsidRPr="00701F13">
              <w:rPr>
                <w:sz w:val="24"/>
                <w:szCs w:val="24"/>
              </w:rPr>
              <w:t>16</w:t>
            </w:r>
            <w:r w:rsidR="007A57B9" w:rsidRPr="00701F13">
              <w:rPr>
                <w:sz w:val="24"/>
                <w:szCs w:val="24"/>
              </w:rPr>
              <w:t xml:space="preserve"> del UIT</w:t>
            </w:r>
            <w:r w:rsidR="007A57B9" w:rsidRPr="00701F13">
              <w:rPr>
                <w:sz w:val="24"/>
                <w:szCs w:val="24"/>
              </w:rPr>
              <w:noBreakHyphen/>
              <w:t>T</w:t>
            </w:r>
            <w:r w:rsidR="002A6A22" w:rsidRPr="00701F13">
              <w:rPr>
                <w:sz w:val="24"/>
                <w:szCs w:val="24"/>
              </w:rPr>
              <w:t>;</w:t>
            </w:r>
          </w:p>
          <w:p w:rsidR="002545AA" w:rsidRPr="00701F13" w:rsidRDefault="00725B03" w:rsidP="00725B03">
            <w:pPr>
              <w:tabs>
                <w:tab w:val="clear" w:pos="794"/>
                <w:tab w:val="left" w:pos="218"/>
              </w:tabs>
              <w:spacing w:before="0" w:after="40"/>
              <w:ind w:left="57"/>
              <w:rPr>
                <w:bCs/>
                <w:sz w:val="24"/>
                <w:szCs w:val="24"/>
              </w:rPr>
            </w:pPr>
            <w:r w:rsidRPr="00701F13">
              <w:rPr>
                <w:sz w:val="24"/>
                <w:szCs w:val="24"/>
              </w:rPr>
              <w:t>–</w:t>
            </w:r>
            <w:r w:rsidRPr="00701F13">
              <w:rPr>
                <w:sz w:val="24"/>
                <w:szCs w:val="24"/>
              </w:rPr>
              <w:tab/>
              <w:t xml:space="preserve">A las </w:t>
            </w:r>
            <w:r w:rsidR="002545AA" w:rsidRPr="00701F13">
              <w:rPr>
                <w:sz w:val="24"/>
                <w:szCs w:val="24"/>
              </w:rPr>
              <w:t>Instituciones Académicas de la UIT</w:t>
            </w:r>
          </w:p>
        </w:tc>
      </w:tr>
      <w:tr w:rsidR="002545AA" w:rsidRPr="00701F13" w:rsidTr="002C58A4">
        <w:trPr>
          <w:cantSplit/>
          <w:trHeight w:val="390"/>
        </w:trPr>
        <w:tc>
          <w:tcPr>
            <w:tcW w:w="1084" w:type="dxa"/>
            <w:gridSpan w:val="2"/>
          </w:tcPr>
          <w:p w:rsidR="002545AA" w:rsidRPr="00701F13" w:rsidRDefault="002545AA" w:rsidP="002C58A4">
            <w:pPr>
              <w:tabs>
                <w:tab w:val="left" w:pos="4111"/>
              </w:tabs>
              <w:spacing w:before="40" w:after="40"/>
              <w:ind w:left="57"/>
              <w:rPr>
                <w:sz w:val="24"/>
                <w:szCs w:val="24"/>
              </w:rPr>
            </w:pPr>
            <w:r w:rsidRPr="00701F13">
              <w:rPr>
                <w:sz w:val="24"/>
                <w:szCs w:val="24"/>
              </w:rPr>
              <w:t>Tel.:</w:t>
            </w:r>
          </w:p>
        </w:tc>
        <w:tc>
          <w:tcPr>
            <w:tcW w:w="3793" w:type="dxa"/>
          </w:tcPr>
          <w:p w:rsidR="002545AA" w:rsidRPr="00701F13" w:rsidRDefault="00930957" w:rsidP="005E66CB">
            <w:pPr>
              <w:tabs>
                <w:tab w:val="left" w:pos="4111"/>
              </w:tabs>
              <w:spacing w:before="40" w:after="40"/>
              <w:ind w:left="57"/>
              <w:rPr>
                <w:sz w:val="24"/>
                <w:szCs w:val="24"/>
              </w:rPr>
            </w:pPr>
            <w:r w:rsidRPr="00701F13">
              <w:rPr>
                <w:sz w:val="24"/>
                <w:szCs w:val="24"/>
              </w:rPr>
              <w:t>+41 22 730 6</w:t>
            </w:r>
            <w:r w:rsidR="005E66CB" w:rsidRPr="00701F13">
              <w:rPr>
                <w:sz w:val="24"/>
                <w:szCs w:val="24"/>
              </w:rPr>
              <w:t>805</w:t>
            </w:r>
          </w:p>
        </w:tc>
        <w:tc>
          <w:tcPr>
            <w:tcW w:w="4762" w:type="dxa"/>
            <w:vMerge/>
          </w:tcPr>
          <w:p w:rsidR="002545AA" w:rsidRPr="00701F13" w:rsidRDefault="002545AA" w:rsidP="002C58A4">
            <w:pPr>
              <w:tabs>
                <w:tab w:val="left" w:pos="4111"/>
              </w:tabs>
              <w:spacing w:beforeLines="40" w:before="96" w:after="40"/>
              <w:ind w:left="57"/>
              <w:rPr>
                <w:bCs/>
                <w:sz w:val="24"/>
                <w:szCs w:val="24"/>
              </w:rPr>
            </w:pPr>
          </w:p>
        </w:tc>
      </w:tr>
      <w:tr w:rsidR="002545AA" w:rsidRPr="00701F13" w:rsidTr="002C58A4">
        <w:trPr>
          <w:cantSplit/>
          <w:trHeight w:val="431"/>
        </w:trPr>
        <w:tc>
          <w:tcPr>
            <w:tcW w:w="1084" w:type="dxa"/>
            <w:gridSpan w:val="2"/>
          </w:tcPr>
          <w:p w:rsidR="002545AA" w:rsidRPr="00701F13" w:rsidRDefault="002545AA" w:rsidP="002C58A4">
            <w:pPr>
              <w:tabs>
                <w:tab w:val="left" w:pos="4111"/>
              </w:tabs>
              <w:spacing w:before="40" w:after="40"/>
              <w:ind w:left="57"/>
              <w:rPr>
                <w:sz w:val="24"/>
                <w:szCs w:val="24"/>
              </w:rPr>
            </w:pPr>
            <w:r w:rsidRPr="00701F13">
              <w:rPr>
                <w:sz w:val="24"/>
                <w:szCs w:val="24"/>
              </w:rPr>
              <w:t>Fax:</w:t>
            </w:r>
          </w:p>
        </w:tc>
        <w:tc>
          <w:tcPr>
            <w:tcW w:w="3793" w:type="dxa"/>
          </w:tcPr>
          <w:p w:rsidR="002545AA" w:rsidRPr="00701F13" w:rsidRDefault="002545AA" w:rsidP="002C58A4">
            <w:pPr>
              <w:tabs>
                <w:tab w:val="left" w:pos="4111"/>
              </w:tabs>
              <w:spacing w:before="40" w:after="40"/>
              <w:ind w:left="57"/>
              <w:rPr>
                <w:sz w:val="24"/>
                <w:szCs w:val="24"/>
              </w:rPr>
            </w:pPr>
            <w:r w:rsidRPr="00701F13">
              <w:rPr>
                <w:sz w:val="24"/>
                <w:szCs w:val="24"/>
              </w:rPr>
              <w:t>+41 22 730 5853</w:t>
            </w:r>
          </w:p>
        </w:tc>
        <w:tc>
          <w:tcPr>
            <w:tcW w:w="4762" w:type="dxa"/>
            <w:vMerge/>
          </w:tcPr>
          <w:p w:rsidR="002545AA" w:rsidRPr="00701F13" w:rsidRDefault="002545AA" w:rsidP="002C58A4">
            <w:pPr>
              <w:tabs>
                <w:tab w:val="left" w:pos="4111"/>
              </w:tabs>
              <w:spacing w:beforeLines="40" w:before="96" w:after="40"/>
              <w:ind w:left="57"/>
              <w:rPr>
                <w:bCs/>
                <w:sz w:val="24"/>
                <w:szCs w:val="24"/>
              </w:rPr>
            </w:pPr>
          </w:p>
        </w:tc>
      </w:tr>
      <w:tr w:rsidR="002545AA" w:rsidRPr="00701F13" w:rsidTr="002C58A4">
        <w:trPr>
          <w:cantSplit/>
        </w:trPr>
        <w:tc>
          <w:tcPr>
            <w:tcW w:w="1084" w:type="dxa"/>
            <w:gridSpan w:val="2"/>
          </w:tcPr>
          <w:p w:rsidR="002545AA" w:rsidRPr="00701F13" w:rsidRDefault="002545AA" w:rsidP="002C58A4">
            <w:pPr>
              <w:tabs>
                <w:tab w:val="left" w:pos="4111"/>
              </w:tabs>
              <w:spacing w:before="40" w:after="40"/>
              <w:ind w:left="57"/>
              <w:rPr>
                <w:sz w:val="24"/>
                <w:szCs w:val="24"/>
              </w:rPr>
            </w:pPr>
            <w:r w:rsidRPr="00701F13">
              <w:rPr>
                <w:sz w:val="24"/>
                <w:szCs w:val="24"/>
              </w:rPr>
              <w:t>Correo-e:</w:t>
            </w:r>
          </w:p>
        </w:tc>
        <w:tc>
          <w:tcPr>
            <w:tcW w:w="3793" w:type="dxa"/>
          </w:tcPr>
          <w:p w:rsidR="002545AA" w:rsidRPr="00701F13" w:rsidRDefault="00F91F74" w:rsidP="002C58A4">
            <w:pPr>
              <w:tabs>
                <w:tab w:val="left" w:pos="4111"/>
              </w:tabs>
              <w:spacing w:before="40" w:after="40"/>
              <w:ind w:left="57"/>
              <w:rPr>
                <w:sz w:val="24"/>
                <w:szCs w:val="24"/>
              </w:rPr>
            </w:pPr>
            <w:hyperlink r:id="rId9" w:history="1">
              <w:r w:rsidR="005E66CB" w:rsidRPr="004F5F90">
                <w:rPr>
                  <w:rStyle w:val="Hyperlink"/>
                  <w:sz w:val="24"/>
                  <w:szCs w:val="24"/>
                </w:rPr>
                <w:t>tsbsg16@itu.int</w:t>
              </w:r>
            </w:hyperlink>
          </w:p>
        </w:tc>
        <w:tc>
          <w:tcPr>
            <w:tcW w:w="4762" w:type="dxa"/>
            <w:vMerge/>
          </w:tcPr>
          <w:p w:rsidR="002545AA" w:rsidRPr="00701F13" w:rsidRDefault="002545AA" w:rsidP="002C58A4">
            <w:pPr>
              <w:tabs>
                <w:tab w:val="left" w:pos="4111"/>
              </w:tabs>
              <w:spacing w:beforeLines="40" w:before="96" w:after="40"/>
              <w:ind w:left="57"/>
              <w:rPr>
                <w:sz w:val="24"/>
                <w:szCs w:val="24"/>
              </w:rPr>
            </w:pPr>
          </w:p>
        </w:tc>
      </w:tr>
      <w:tr w:rsidR="002545AA" w:rsidRPr="00701F13" w:rsidTr="002C58A4">
        <w:trPr>
          <w:cantSplit/>
        </w:trPr>
        <w:tc>
          <w:tcPr>
            <w:tcW w:w="1084" w:type="dxa"/>
            <w:gridSpan w:val="2"/>
          </w:tcPr>
          <w:p w:rsidR="002545AA" w:rsidRPr="00701F13" w:rsidRDefault="002545AA" w:rsidP="002C58A4">
            <w:pPr>
              <w:tabs>
                <w:tab w:val="left" w:pos="4111"/>
              </w:tabs>
              <w:spacing w:before="40" w:after="40"/>
              <w:ind w:left="57"/>
              <w:rPr>
                <w:sz w:val="24"/>
                <w:szCs w:val="24"/>
              </w:rPr>
            </w:pPr>
            <w:r w:rsidRPr="00701F13">
              <w:rPr>
                <w:sz w:val="24"/>
                <w:szCs w:val="24"/>
              </w:rPr>
              <w:t>Web:</w:t>
            </w:r>
          </w:p>
        </w:tc>
        <w:tc>
          <w:tcPr>
            <w:tcW w:w="3793" w:type="dxa"/>
          </w:tcPr>
          <w:p w:rsidR="002545AA" w:rsidRPr="00701F13" w:rsidRDefault="00F91F74" w:rsidP="002C58A4">
            <w:pPr>
              <w:tabs>
                <w:tab w:val="left" w:pos="4111"/>
              </w:tabs>
              <w:spacing w:before="40" w:after="40"/>
              <w:ind w:left="57"/>
              <w:rPr>
                <w:sz w:val="24"/>
                <w:szCs w:val="24"/>
              </w:rPr>
            </w:pPr>
            <w:hyperlink r:id="rId10" w:history="1">
              <w:r w:rsidR="005E66CB" w:rsidRPr="004F5F90">
                <w:rPr>
                  <w:rStyle w:val="Hyperlink"/>
                  <w:sz w:val="24"/>
                  <w:szCs w:val="24"/>
                </w:rPr>
                <w:t>http://itu.int/go/tsg16</w:t>
              </w:r>
            </w:hyperlink>
          </w:p>
        </w:tc>
        <w:tc>
          <w:tcPr>
            <w:tcW w:w="4762" w:type="dxa"/>
            <w:vMerge/>
          </w:tcPr>
          <w:p w:rsidR="002545AA" w:rsidRPr="00701F13" w:rsidRDefault="002545AA" w:rsidP="002C58A4">
            <w:pPr>
              <w:tabs>
                <w:tab w:val="left" w:pos="4111"/>
              </w:tabs>
              <w:spacing w:beforeLines="40" w:before="96" w:after="40"/>
              <w:ind w:left="57"/>
              <w:rPr>
                <w:sz w:val="24"/>
                <w:szCs w:val="24"/>
              </w:rPr>
            </w:pPr>
          </w:p>
        </w:tc>
      </w:tr>
      <w:tr w:rsidR="002545AA" w:rsidRPr="00701F13" w:rsidTr="002C58A4">
        <w:trPr>
          <w:cantSplit/>
          <w:trHeight w:val="680"/>
        </w:trPr>
        <w:tc>
          <w:tcPr>
            <w:tcW w:w="1070" w:type="dxa"/>
          </w:tcPr>
          <w:p w:rsidR="002545AA" w:rsidRPr="00701F13" w:rsidRDefault="002545AA" w:rsidP="007A32AF">
            <w:pPr>
              <w:tabs>
                <w:tab w:val="left" w:pos="4111"/>
              </w:tabs>
              <w:spacing w:before="240" w:after="40"/>
              <w:ind w:left="57"/>
              <w:rPr>
                <w:sz w:val="24"/>
                <w:szCs w:val="24"/>
              </w:rPr>
            </w:pPr>
            <w:r w:rsidRPr="00701F13">
              <w:rPr>
                <w:sz w:val="24"/>
                <w:szCs w:val="24"/>
              </w:rPr>
              <w:t>Asunto:</w:t>
            </w:r>
          </w:p>
        </w:tc>
        <w:tc>
          <w:tcPr>
            <w:tcW w:w="8569" w:type="dxa"/>
            <w:gridSpan w:val="3"/>
          </w:tcPr>
          <w:p w:rsidR="002545AA" w:rsidRPr="00701F13" w:rsidRDefault="005E66CB" w:rsidP="007A32AF">
            <w:pPr>
              <w:tabs>
                <w:tab w:val="left" w:pos="4111"/>
              </w:tabs>
              <w:spacing w:before="240" w:after="40"/>
              <w:ind w:left="57"/>
              <w:rPr>
                <w:b/>
                <w:bCs/>
                <w:sz w:val="24"/>
                <w:szCs w:val="24"/>
              </w:rPr>
            </w:pPr>
            <w:r w:rsidRPr="00701F13">
              <w:rPr>
                <w:b/>
                <w:bCs/>
                <w:sz w:val="24"/>
                <w:szCs w:val="24"/>
              </w:rPr>
              <w:t>Reunión del Grupo de Trabajo 2/16; Ginebra, 14 de junio de 2019, 16.00-17.30 horas</w:t>
            </w:r>
          </w:p>
        </w:tc>
      </w:tr>
    </w:tbl>
    <w:p w:rsidR="00EF11DF" w:rsidRPr="00701F13" w:rsidRDefault="00EF11DF" w:rsidP="0097635E">
      <w:pPr>
        <w:pStyle w:val="Normalaftertitle0"/>
        <w:rPr>
          <w:sz w:val="24"/>
          <w:szCs w:val="24"/>
        </w:rPr>
      </w:pPr>
      <w:bookmarkStart w:id="0" w:name="ditulogo"/>
      <w:bookmarkEnd w:id="0"/>
      <w:r w:rsidRPr="00701F13">
        <w:rPr>
          <w:sz w:val="24"/>
          <w:szCs w:val="24"/>
        </w:rPr>
        <w:t>Muy Señora mía/Muy Señor mío</w:t>
      </w:r>
      <w:r w:rsidR="0097635E">
        <w:rPr>
          <w:sz w:val="24"/>
          <w:szCs w:val="24"/>
        </w:rPr>
        <w:t>,</w:t>
      </w:r>
    </w:p>
    <w:p w:rsidR="00EF11DF" w:rsidRPr="00701F13" w:rsidRDefault="005E66CB" w:rsidP="00B06FDB">
      <w:pPr>
        <w:rPr>
          <w:sz w:val="24"/>
          <w:szCs w:val="24"/>
        </w:rPr>
      </w:pPr>
      <w:r w:rsidRPr="00701F13">
        <w:rPr>
          <w:sz w:val="24"/>
          <w:szCs w:val="24"/>
        </w:rPr>
        <w:t>De acuerdo con las decisiones adoptadas en la última reunión de la Comisión de Estudio 16 en Ginebra (Suiza) del 19 al 29 de marzo de 2019, tengo el placer de invitarle a asistir a la reunión del Grupo de Trabajo 2/16 (Servicios electrónicos multimedios) que se celebrará en la Sede de la UIT en Ginebra el viernes 14 de junio de 2019. Su principal objetivo es dar el consentimiento para los temas de trabajo de las Cuestio</w:t>
      </w:r>
      <w:r w:rsidR="002B124A" w:rsidRPr="00701F13">
        <w:rPr>
          <w:sz w:val="24"/>
          <w:szCs w:val="24"/>
        </w:rPr>
        <w:t>nes del GT </w:t>
      </w:r>
      <w:r w:rsidRPr="00701F13">
        <w:rPr>
          <w:sz w:val="24"/>
          <w:szCs w:val="24"/>
        </w:rPr>
        <w:t xml:space="preserve">2/16 que estén lo suficientemente maduros y, en particular, para un proyecto de nueva Recomendación (véase el </w:t>
      </w:r>
      <w:r w:rsidRPr="00701F13">
        <w:rPr>
          <w:b/>
          <w:bCs/>
          <w:sz w:val="24"/>
          <w:szCs w:val="24"/>
        </w:rPr>
        <w:t>Anexo B</w:t>
      </w:r>
      <w:r w:rsidR="002B124A" w:rsidRPr="00701F13">
        <w:rPr>
          <w:sz w:val="24"/>
          <w:szCs w:val="24"/>
        </w:rPr>
        <w:t>, § </w:t>
      </w:r>
      <w:r w:rsidRPr="00701F13">
        <w:rPr>
          <w:sz w:val="24"/>
          <w:szCs w:val="24"/>
        </w:rPr>
        <w:t>8).</w:t>
      </w:r>
    </w:p>
    <w:p w:rsidR="00EF11DF" w:rsidRPr="00701F13" w:rsidRDefault="00110101" w:rsidP="00B06FDB">
      <w:pPr>
        <w:rPr>
          <w:sz w:val="24"/>
          <w:szCs w:val="24"/>
        </w:rPr>
      </w:pPr>
      <w:r w:rsidRPr="00701F13">
        <w:rPr>
          <w:sz w:val="24"/>
          <w:szCs w:val="24"/>
        </w:rPr>
        <w:t>La reunión del GT </w:t>
      </w:r>
      <w:r w:rsidR="005E66CB" w:rsidRPr="00701F13">
        <w:rPr>
          <w:sz w:val="24"/>
          <w:szCs w:val="24"/>
        </w:rPr>
        <w:t xml:space="preserve">2/16 irá precedida por reuniones de Grupo de Relator para las Cuestiones 26/16 y 28/16, que se celebrarán en el mismo lugar del 10 al 14 de junio de 2019. Se facilitarán en breve detalles sobre estas reuniones en la dirección </w:t>
      </w:r>
      <w:hyperlink r:id="rId11" w:history="1">
        <w:r w:rsidR="005E66CB" w:rsidRPr="00701F13">
          <w:rPr>
            <w:rStyle w:val="Hyperlink"/>
            <w:sz w:val="24"/>
            <w:szCs w:val="24"/>
          </w:rPr>
          <w:t>https://itu.int/go/rgm/tsg16</w:t>
        </w:r>
      </w:hyperlink>
      <w:r w:rsidR="005E66CB" w:rsidRPr="00701F13">
        <w:rPr>
          <w:sz w:val="24"/>
          <w:szCs w:val="24"/>
        </w:rPr>
        <w:t>.</w:t>
      </w:r>
    </w:p>
    <w:p w:rsidR="00EF11DF" w:rsidRPr="00701F13" w:rsidRDefault="006E0865" w:rsidP="00B06FDB">
      <w:pPr>
        <w:rPr>
          <w:sz w:val="24"/>
          <w:szCs w:val="24"/>
        </w:rPr>
      </w:pPr>
      <w:r w:rsidRPr="00701F13">
        <w:rPr>
          <w:sz w:val="24"/>
          <w:szCs w:val="24"/>
        </w:rPr>
        <w:t xml:space="preserve">La inscripción de los participantes comenzará a las 13.30 horas en la </w:t>
      </w:r>
      <w:hyperlink r:id="rId12" w:history="1">
        <w:r w:rsidRPr="00701F13">
          <w:rPr>
            <w:rStyle w:val="Hyperlink"/>
            <w:sz w:val="24"/>
            <w:szCs w:val="24"/>
          </w:rPr>
          <w:t xml:space="preserve">entrada del edificio de </w:t>
        </w:r>
        <w:proofErr w:type="spellStart"/>
        <w:r w:rsidRPr="00701F13">
          <w:rPr>
            <w:rStyle w:val="Hyperlink"/>
            <w:sz w:val="24"/>
            <w:szCs w:val="24"/>
          </w:rPr>
          <w:t>Montbrillant</w:t>
        </w:r>
        <w:proofErr w:type="spellEnd"/>
      </w:hyperlink>
      <w:r w:rsidRPr="00701F13">
        <w:rPr>
          <w:sz w:val="24"/>
          <w:szCs w:val="24"/>
        </w:rPr>
        <w:t xml:space="preserve">. Se dará información detallada sobre la sala de reunión en las pantallas situadas a la entrada de la Sede de la UIT. En el </w:t>
      </w:r>
      <w:r w:rsidRPr="00701F13">
        <w:rPr>
          <w:b/>
          <w:bCs/>
          <w:sz w:val="24"/>
          <w:szCs w:val="24"/>
        </w:rPr>
        <w:t>Anexo A</w:t>
      </w:r>
      <w:r w:rsidRPr="00701F13">
        <w:rPr>
          <w:sz w:val="24"/>
          <w:szCs w:val="24"/>
        </w:rPr>
        <w:t xml:space="preserve"> se facilita más información sobre la reunión. El proyecto de orden del día, preparado de acuerdo con los </w:t>
      </w:r>
      <w:r w:rsidR="0064549D" w:rsidRPr="00701F13">
        <w:rPr>
          <w:sz w:val="24"/>
          <w:szCs w:val="24"/>
        </w:rPr>
        <w:t xml:space="preserve">Copresidentes </w:t>
      </w:r>
      <w:r w:rsidRPr="00701F13">
        <w:rPr>
          <w:sz w:val="24"/>
          <w:szCs w:val="24"/>
        </w:rPr>
        <w:t xml:space="preserve">del Grupo de Trabajo 2/16, Sres. </w:t>
      </w:r>
      <w:proofErr w:type="spellStart"/>
      <w:r w:rsidRPr="00701F13">
        <w:rPr>
          <w:sz w:val="24"/>
          <w:szCs w:val="24"/>
        </w:rPr>
        <w:t>Mohannad</w:t>
      </w:r>
      <w:proofErr w:type="spellEnd"/>
      <w:r w:rsidRPr="00701F13">
        <w:rPr>
          <w:sz w:val="24"/>
          <w:szCs w:val="24"/>
        </w:rPr>
        <w:t xml:space="preserve"> El-</w:t>
      </w:r>
      <w:proofErr w:type="spellStart"/>
      <w:r w:rsidRPr="00701F13">
        <w:rPr>
          <w:sz w:val="24"/>
          <w:szCs w:val="24"/>
        </w:rPr>
        <w:t>Megharbel</w:t>
      </w:r>
      <w:proofErr w:type="spellEnd"/>
      <w:r w:rsidRPr="00701F13">
        <w:rPr>
          <w:sz w:val="24"/>
          <w:szCs w:val="24"/>
        </w:rPr>
        <w:t xml:space="preserve"> y </w:t>
      </w:r>
      <w:proofErr w:type="spellStart"/>
      <w:r w:rsidRPr="00701F13">
        <w:rPr>
          <w:sz w:val="24"/>
          <w:szCs w:val="24"/>
        </w:rPr>
        <w:t>Hideki</w:t>
      </w:r>
      <w:proofErr w:type="spellEnd"/>
      <w:r w:rsidRPr="00701F13">
        <w:rPr>
          <w:sz w:val="24"/>
          <w:szCs w:val="24"/>
        </w:rPr>
        <w:t xml:space="preserve"> </w:t>
      </w:r>
      <w:proofErr w:type="spellStart"/>
      <w:r w:rsidRPr="00701F13">
        <w:rPr>
          <w:sz w:val="24"/>
          <w:szCs w:val="24"/>
        </w:rPr>
        <w:t>Yamamoto</w:t>
      </w:r>
      <w:proofErr w:type="spellEnd"/>
      <w:r w:rsidRPr="00701F13">
        <w:rPr>
          <w:sz w:val="24"/>
          <w:szCs w:val="24"/>
        </w:rPr>
        <w:t xml:space="preserve">, figura en el </w:t>
      </w:r>
      <w:r w:rsidRPr="00701F13">
        <w:rPr>
          <w:b/>
          <w:bCs/>
          <w:sz w:val="24"/>
          <w:szCs w:val="24"/>
        </w:rPr>
        <w:t>Anexo B</w:t>
      </w:r>
      <w:r w:rsidRPr="00701F13">
        <w:rPr>
          <w:sz w:val="24"/>
          <w:szCs w:val="24"/>
        </w:rPr>
        <w:t>.</w:t>
      </w:r>
    </w:p>
    <w:p w:rsidR="00EF11DF" w:rsidRPr="00701F13" w:rsidRDefault="00EF11DF" w:rsidP="00B06FDB">
      <w:pPr>
        <w:spacing w:before="240" w:after="120"/>
        <w:rPr>
          <w:b/>
          <w:bCs/>
          <w:sz w:val="24"/>
          <w:szCs w:val="24"/>
        </w:rPr>
      </w:pPr>
      <w:r w:rsidRPr="00701F13">
        <w:rPr>
          <w:b/>
          <w:bCs/>
          <w:sz w:val="24"/>
          <w:szCs w:val="24"/>
        </w:rPr>
        <w:t>Plazos importantes</w:t>
      </w:r>
      <w:r w:rsidR="00EC185C" w:rsidRPr="00701F13">
        <w:rPr>
          <w:b/>
          <w:bCs/>
          <w:sz w:val="24"/>
          <w:szCs w:val="24"/>
        </w:rPr>
        <w:t xml:space="preserve"> (previos a la reunión)</w:t>
      </w:r>
      <w:r w:rsidRPr="00701F13">
        <w:rPr>
          <w:b/>
          <w:bCs/>
          <w:sz w:val="24"/>
          <w:szCs w:val="24"/>
        </w:rPr>
        <w:t>:</w:t>
      </w:r>
    </w:p>
    <w:tbl>
      <w:tblPr>
        <w:tblStyle w:val="TableGrid"/>
        <w:tblW w:w="9639" w:type="dxa"/>
        <w:tblLook w:val="04A0" w:firstRow="1" w:lastRow="0" w:firstColumn="1" w:lastColumn="0" w:noHBand="0" w:noVBand="1"/>
      </w:tblPr>
      <w:tblGrid>
        <w:gridCol w:w="1271"/>
        <w:gridCol w:w="1418"/>
        <w:gridCol w:w="6950"/>
      </w:tblGrid>
      <w:tr w:rsidR="0066435A" w:rsidRPr="00701F13" w:rsidTr="0066435A">
        <w:tc>
          <w:tcPr>
            <w:tcW w:w="1271" w:type="dxa"/>
          </w:tcPr>
          <w:p w:rsidR="0066435A" w:rsidRPr="00701F13" w:rsidRDefault="0066435A" w:rsidP="00EF11DF">
            <w:pPr>
              <w:spacing w:before="40" w:after="40"/>
              <w:rPr>
                <w:sz w:val="24"/>
                <w:szCs w:val="24"/>
              </w:rPr>
            </w:pPr>
            <w:r w:rsidRPr="00701F13">
              <w:rPr>
                <w:sz w:val="24"/>
                <w:szCs w:val="24"/>
              </w:rPr>
              <w:t>Dos meses</w:t>
            </w:r>
          </w:p>
        </w:tc>
        <w:tc>
          <w:tcPr>
            <w:tcW w:w="1418" w:type="dxa"/>
          </w:tcPr>
          <w:p w:rsidR="0066435A" w:rsidRPr="00701F13" w:rsidRDefault="0066435A" w:rsidP="0066435A">
            <w:pPr>
              <w:spacing w:before="40" w:after="40"/>
              <w:jc w:val="center"/>
              <w:rPr>
                <w:sz w:val="24"/>
                <w:szCs w:val="24"/>
              </w:rPr>
            </w:pPr>
            <w:r w:rsidRPr="00701F13">
              <w:rPr>
                <w:sz w:val="24"/>
                <w:szCs w:val="24"/>
              </w:rPr>
              <w:t>14-04-2019</w:t>
            </w:r>
          </w:p>
        </w:tc>
        <w:tc>
          <w:tcPr>
            <w:tcW w:w="6950" w:type="dxa"/>
          </w:tcPr>
          <w:p w:rsidR="0066435A" w:rsidRPr="00701F13" w:rsidRDefault="0066435A" w:rsidP="00EF11DF">
            <w:pPr>
              <w:tabs>
                <w:tab w:val="clear" w:pos="794"/>
                <w:tab w:val="left" w:pos="304"/>
              </w:tabs>
              <w:spacing w:before="40" w:after="40"/>
              <w:ind w:left="304" w:hanging="304"/>
              <w:rPr>
                <w:b/>
                <w:bCs/>
                <w:sz w:val="24"/>
                <w:szCs w:val="24"/>
              </w:rPr>
            </w:pPr>
            <w:r w:rsidRPr="00701F13">
              <w:rPr>
                <w:sz w:val="24"/>
                <w:szCs w:val="24"/>
              </w:rPr>
              <w:t>–</w:t>
            </w:r>
            <w:r w:rsidRPr="00701F13">
              <w:rPr>
                <w:sz w:val="24"/>
                <w:szCs w:val="24"/>
              </w:rPr>
              <w:tab/>
            </w:r>
            <w:hyperlink r:id="rId13" w:history="1">
              <w:r w:rsidRPr="00701F13">
                <w:rPr>
                  <w:rStyle w:val="Hyperlink"/>
                  <w:sz w:val="24"/>
                  <w:szCs w:val="24"/>
                </w:rPr>
                <w:t>Presentación de las contribuciones de los Miembros del UIT-T</w:t>
              </w:r>
            </w:hyperlink>
            <w:r w:rsidRPr="00701F13">
              <w:rPr>
                <w:sz w:val="24"/>
                <w:szCs w:val="24"/>
              </w:rPr>
              <w:t xml:space="preserve"> para las que se requiera traducción</w:t>
            </w:r>
          </w:p>
        </w:tc>
      </w:tr>
      <w:tr w:rsidR="0066435A" w:rsidRPr="00701F13" w:rsidTr="0066435A">
        <w:tc>
          <w:tcPr>
            <w:tcW w:w="1271" w:type="dxa"/>
          </w:tcPr>
          <w:p w:rsidR="0066435A" w:rsidRPr="00701F13" w:rsidRDefault="0066435A" w:rsidP="00EF11DF">
            <w:pPr>
              <w:spacing w:before="40" w:after="40"/>
              <w:rPr>
                <w:sz w:val="24"/>
                <w:szCs w:val="24"/>
              </w:rPr>
            </w:pPr>
            <w:r w:rsidRPr="00701F13">
              <w:rPr>
                <w:sz w:val="24"/>
                <w:szCs w:val="24"/>
              </w:rPr>
              <w:t>Un mes</w:t>
            </w:r>
          </w:p>
        </w:tc>
        <w:tc>
          <w:tcPr>
            <w:tcW w:w="1418" w:type="dxa"/>
          </w:tcPr>
          <w:p w:rsidR="0066435A" w:rsidRPr="00701F13" w:rsidRDefault="0066435A" w:rsidP="0066435A">
            <w:pPr>
              <w:spacing w:before="40" w:after="40"/>
              <w:jc w:val="center"/>
              <w:rPr>
                <w:sz w:val="24"/>
                <w:szCs w:val="24"/>
              </w:rPr>
            </w:pPr>
            <w:r w:rsidRPr="00701F13">
              <w:rPr>
                <w:sz w:val="24"/>
                <w:szCs w:val="24"/>
              </w:rPr>
              <w:t>14-05-2019</w:t>
            </w:r>
          </w:p>
        </w:tc>
        <w:tc>
          <w:tcPr>
            <w:tcW w:w="6950" w:type="dxa"/>
          </w:tcPr>
          <w:p w:rsidR="0066435A" w:rsidRPr="00701F13" w:rsidRDefault="0066435A" w:rsidP="0066435A">
            <w:pPr>
              <w:pStyle w:val="Tabletext0"/>
              <w:ind w:left="284" w:hanging="284"/>
              <w:rPr>
                <w:sz w:val="24"/>
                <w:szCs w:val="24"/>
              </w:rPr>
            </w:pPr>
            <w:r w:rsidRPr="00701F13">
              <w:rPr>
                <w:rFonts w:cs="Calibri"/>
                <w:color w:val="000000"/>
                <w:sz w:val="24"/>
                <w:szCs w:val="24"/>
                <w:lang w:eastAsia="zh-CN"/>
              </w:rPr>
              <w:t>–</w:t>
            </w:r>
            <w:r w:rsidRPr="00701F13">
              <w:rPr>
                <w:rFonts w:cs="Calibri"/>
                <w:color w:val="000000"/>
                <w:sz w:val="24"/>
                <w:szCs w:val="24"/>
                <w:lang w:eastAsia="zh-CN"/>
              </w:rPr>
              <w:tab/>
            </w:r>
            <w:r w:rsidRPr="00701F13">
              <w:rPr>
                <w:sz w:val="24"/>
                <w:szCs w:val="24"/>
              </w:rPr>
              <w:t xml:space="preserve">Preinscripción (mediante el formulario de inscripción que se encuentra en la </w:t>
            </w:r>
            <w:hyperlink r:id="rId14" w:history="1">
              <w:r w:rsidRPr="00701F13">
                <w:rPr>
                  <w:rStyle w:val="Hyperlink"/>
                  <w:sz w:val="24"/>
                  <w:szCs w:val="24"/>
                </w:rPr>
                <w:t>página web de la Comisión de Estudio</w:t>
              </w:r>
            </w:hyperlink>
            <w:r w:rsidRPr="00701F13">
              <w:rPr>
                <w:sz w:val="24"/>
                <w:szCs w:val="24"/>
              </w:rPr>
              <w:t>)</w:t>
            </w:r>
          </w:p>
          <w:p w:rsidR="0066435A" w:rsidRPr="00701F13" w:rsidRDefault="0066435A" w:rsidP="0066435A">
            <w:pPr>
              <w:tabs>
                <w:tab w:val="clear" w:pos="794"/>
                <w:tab w:val="left" w:pos="304"/>
              </w:tabs>
              <w:spacing w:before="40" w:after="40"/>
              <w:ind w:left="304" w:hanging="304"/>
              <w:rPr>
                <w:sz w:val="24"/>
                <w:szCs w:val="24"/>
              </w:rPr>
            </w:pPr>
            <w:r w:rsidRPr="00701F13">
              <w:rPr>
                <w:sz w:val="24"/>
                <w:szCs w:val="24"/>
              </w:rPr>
              <w:t>–</w:t>
            </w:r>
            <w:r w:rsidRPr="00701F13">
              <w:rPr>
                <w:sz w:val="24"/>
                <w:szCs w:val="24"/>
              </w:rPr>
              <w:tab/>
              <w:t>Presentación de solicitudes de cartas de ayuda a la obtención del visado (para más información, sírvase remitirse al Anexo A)</w:t>
            </w:r>
          </w:p>
        </w:tc>
      </w:tr>
      <w:tr w:rsidR="0066435A" w:rsidRPr="00701F13" w:rsidTr="0066435A">
        <w:tc>
          <w:tcPr>
            <w:tcW w:w="1271" w:type="dxa"/>
          </w:tcPr>
          <w:p w:rsidR="0066435A" w:rsidRPr="00701F13" w:rsidRDefault="0066435A" w:rsidP="000A6164">
            <w:pPr>
              <w:spacing w:before="40" w:after="40"/>
              <w:rPr>
                <w:sz w:val="24"/>
                <w:szCs w:val="24"/>
              </w:rPr>
            </w:pPr>
            <w:r w:rsidRPr="00701F13">
              <w:rPr>
                <w:sz w:val="24"/>
                <w:szCs w:val="24"/>
              </w:rPr>
              <w:t>12 días naturales</w:t>
            </w:r>
          </w:p>
        </w:tc>
        <w:tc>
          <w:tcPr>
            <w:tcW w:w="1418" w:type="dxa"/>
          </w:tcPr>
          <w:p w:rsidR="0066435A" w:rsidRPr="00701F13" w:rsidRDefault="0066435A" w:rsidP="0066435A">
            <w:pPr>
              <w:spacing w:before="40" w:after="40"/>
              <w:jc w:val="center"/>
              <w:rPr>
                <w:sz w:val="24"/>
                <w:szCs w:val="24"/>
              </w:rPr>
            </w:pPr>
            <w:r w:rsidRPr="00701F13">
              <w:rPr>
                <w:sz w:val="24"/>
                <w:szCs w:val="24"/>
              </w:rPr>
              <w:t>01-06-2019</w:t>
            </w:r>
          </w:p>
        </w:tc>
        <w:tc>
          <w:tcPr>
            <w:tcW w:w="6950" w:type="dxa"/>
          </w:tcPr>
          <w:p w:rsidR="0066435A" w:rsidRPr="00701F13" w:rsidRDefault="0066435A" w:rsidP="00EF11DF">
            <w:pPr>
              <w:tabs>
                <w:tab w:val="clear" w:pos="794"/>
                <w:tab w:val="left" w:pos="304"/>
              </w:tabs>
              <w:spacing w:before="40" w:after="40"/>
              <w:ind w:left="304" w:hanging="304"/>
              <w:rPr>
                <w:sz w:val="24"/>
                <w:szCs w:val="24"/>
              </w:rPr>
            </w:pPr>
            <w:r w:rsidRPr="00701F13">
              <w:rPr>
                <w:sz w:val="24"/>
                <w:szCs w:val="24"/>
              </w:rPr>
              <w:t>–</w:t>
            </w:r>
            <w:r w:rsidRPr="00701F13">
              <w:rPr>
                <w:sz w:val="24"/>
                <w:szCs w:val="24"/>
              </w:rPr>
              <w:tab/>
            </w:r>
            <w:r w:rsidRPr="00701F13">
              <w:rPr>
                <w:rStyle w:val="Hyperlink"/>
                <w:color w:val="auto"/>
                <w:sz w:val="24"/>
                <w:szCs w:val="24"/>
                <w:u w:val="none"/>
              </w:rPr>
              <w:t>Presentación de contribuciones de los Miembros del UIT-T (</w:t>
            </w:r>
            <w:hyperlink r:id="rId15" w:history="1">
              <w:r w:rsidRPr="00701F13">
                <w:rPr>
                  <w:rStyle w:val="Hyperlink"/>
                  <w:sz w:val="24"/>
                  <w:szCs w:val="24"/>
                </w:rPr>
                <w:t>mediante la Publicación Directa de Documentos</w:t>
              </w:r>
            </w:hyperlink>
            <w:r w:rsidRPr="00701F13">
              <w:rPr>
                <w:rStyle w:val="Hyperlink"/>
                <w:color w:val="auto"/>
                <w:sz w:val="24"/>
                <w:szCs w:val="24"/>
                <w:u w:val="none"/>
              </w:rPr>
              <w:t>)</w:t>
            </w:r>
          </w:p>
        </w:tc>
      </w:tr>
    </w:tbl>
    <w:p w:rsidR="0066435A" w:rsidRPr="00701F13" w:rsidRDefault="0066435A" w:rsidP="00EF11DF">
      <w:pPr>
        <w:rPr>
          <w:sz w:val="24"/>
          <w:szCs w:val="24"/>
        </w:rPr>
      </w:pPr>
      <w:r w:rsidRPr="00701F13">
        <w:rPr>
          <w:sz w:val="24"/>
          <w:szCs w:val="24"/>
        </w:rPr>
        <w:t>Los debates de esta reunión de medio día de duración se celebrarán únicamente en inglés y no habrá servicio de interpretación.</w:t>
      </w:r>
    </w:p>
    <w:p w:rsidR="0066435A" w:rsidRPr="00701F13" w:rsidRDefault="0066435A" w:rsidP="00EF11DF">
      <w:pPr>
        <w:rPr>
          <w:sz w:val="24"/>
          <w:szCs w:val="24"/>
        </w:rPr>
      </w:pPr>
      <w:r w:rsidRPr="00701F13">
        <w:rPr>
          <w:sz w:val="24"/>
          <w:szCs w:val="24"/>
        </w:rPr>
        <w:br w:type="page"/>
      </w:r>
    </w:p>
    <w:p w:rsidR="007B6D71" w:rsidRPr="00701F13" w:rsidRDefault="007B6D71" w:rsidP="008D2C27">
      <w:pPr>
        <w:spacing w:after="240"/>
        <w:rPr>
          <w:sz w:val="24"/>
          <w:szCs w:val="24"/>
        </w:rPr>
      </w:pPr>
      <w:r w:rsidRPr="00701F13">
        <w:rPr>
          <w:sz w:val="24"/>
          <w:szCs w:val="24"/>
        </w:rPr>
        <w:lastRenderedPageBreak/>
        <w:t>Le deseo una reunión agradable y productiva.</w:t>
      </w:r>
    </w:p>
    <w:tbl>
      <w:tblPr>
        <w:tblStyle w:val="TableGrid"/>
        <w:tblW w:w="0" w:type="auto"/>
        <w:tblLook w:val="04A0" w:firstRow="1" w:lastRow="0" w:firstColumn="1" w:lastColumn="0" w:noHBand="0" w:noVBand="1"/>
      </w:tblPr>
      <w:tblGrid>
        <w:gridCol w:w="6516"/>
        <w:gridCol w:w="3113"/>
      </w:tblGrid>
      <w:tr w:rsidR="002545AA" w:rsidRPr="00701F13" w:rsidTr="007064D4">
        <w:trPr>
          <w:trHeight w:val="2607"/>
        </w:trPr>
        <w:tc>
          <w:tcPr>
            <w:tcW w:w="6516" w:type="dxa"/>
            <w:tcBorders>
              <w:top w:val="nil"/>
              <w:left w:val="nil"/>
              <w:bottom w:val="nil"/>
              <w:right w:val="single" w:sz="4" w:space="0" w:color="auto"/>
            </w:tcBorders>
          </w:tcPr>
          <w:p w:rsidR="002545AA" w:rsidRDefault="002545AA" w:rsidP="002C58A4">
            <w:pPr>
              <w:rPr>
                <w:bCs/>
                <w:sz w:val="24"/>
                <w:szCs w:val="24"/>
              </w:rPr>
            </w:pPr>
            <w:r w:rsidRPr="00701F13">
              <w:rPr>
                <w:bCs/>
                <w:sz w:val="24"/>
                <w:szCs w:val="24"/>
              </w:rPr>
              <w:t>Atentamente,</w:t>
            </w:r>
            <w:bookmarkStart w:id="1" w:name="_GoBack"/>
            <w:bookmarkEnd w:id="1"/>
          </w:p>
          <w:p w:rsidR="00F91F74" w:rsidRDefault="00F91F74" w:rsidP="002C58A4">
            <w:pPr>
              <w:rPr>
                <w:bCs/>
                <w:sz w:val="24"/>
                <w:szCs w:val="24"/>
              </w:rPr>
            </w:pPr>
            <w:r>
              <w:rPr>
                <w:bCs/>
                <w:noProof/>
                <w:sz w:val="24"/>
                <w:szCs w:val="24"/>
                <w:lang w:val="en-GB" w:eastAsia="zh-CN"/>
              </w:rPr>
              <w:drawing>
                <wp:inline distT="0" distB="0" distL="0" distR="0">
                  <wp:extent cx="977071" cy="440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6">
                            <a:extLst>
                              <a:ext uri="{28A0092B-C50C-407E-A947-70E740481C1C}">
                                <a14:useLocalDpi xmlns:a14="http://schemas.microsoft.com/office/drawing/2010/main" val="0"/>
                              </a:ext>
                            </a:extLst>
                          </a:blip>
                          <a:stretch>
                            <a:fillRect/>
                          </a:stretch>
                        </pic:blipFill>
                        <pic:spPr>
                          <a:xfrm>
                            <a:off x="0" y="0"/>
                            <a:ext cx="981407" cy="442008"/>
                          </a:xfrm>
                          <a:prstGeom prst="rect">
                            <a:avLst/>
                          </a:prstGeom>
                        </pic:spPr>
                      </pic:pic>
                    </a:graphicData>
                  </a:graphic>
                </wp:inline>
              </w:drawing>
            </w:r>
          </w:p>
          <w:p w:rsidR="002545AA" w:rsidRPr="00701F13" w:rsidRDefault="002545AA" w:rsidP="00F91F74">
            <w:pPr>
              <w:spacing w:before="0"/>
              <w:ind w:right="91"/>
            </w:pPr>
            <w:r w:rsidRPr="00701F13">
              <w:rPr>
                <w:sz w:val="24"/>
                <w:szCs w:val="24"/>
              </w:rPr>
              <w:t>Chaesub Lee</w:t>
            </w:r>
            <w:r w:rsidRPr="00701F13">
              <w:rPr>
                <w:sz w:val="24"/>
                <w:szCs w:val="24"/>
              </w:rPr>
              <w:br/>
              <w:t>Director de la Oficina de Normalización</w:t>
            </w:r>
            <w:r w:rsidRPr="00701F13">
              <w:rPr>
                <w:sz w:val="24"/>
                <w:szCs w:val="24"/>
              </w:rPr>
              <w:br/>
              <w:t>de las Telecomunicaciones</w:t>
            </w:r>
          </w:p>
        </w:tc>
        <w:tc>
          <w:tcPr>
            <w:tcW w:w="3113" w:type="dxa"/>
            <w:tcBorders>
              <w:left w:val="single" w:sz="4" w:space="0" w:color="auto"/>
            </w:tcBorders>
          </w:tcPr>
          <w:tbl>
            <w:tblPr>
              <w:tblpPr w:vertAnchor="text" w:horzAnchor="margin" w:tblpXSpec="center" w:tblpY="-1388"/>
              <w:tblOverlap w:val="never"/>
              <w:tblW w:w="0" w:type="auto"/>
              <w:tblLook w:val="04A0" w:firstRow="1" w:lastRow="0" w:firstColumn="1" w:lastColumn="0" w:noHBand="0" w:noVBand="1"/>
            </w:tblPr>
            <w:tblGrid>
              <w:gridCol w:w="2325"/>
            </w:tblGrid>
            <w:tr w:rsidR="0066435A" w:rsidRPr="00701F13" w:rsidTr="001707E7">
              <w:trPr>
                <w:trHeight w:val="1955"/>
              </w:trPr>
              <w:tc>
                <w:tcPr>
                  <w:tcW w:w="2325" w:type="dxa"/>
                  <w:textDirection w:val="btLr"/>
                  <w:vAlign w:val="center"/>
                  <w:hideMark/>
                </w:tcPr>
                <w:p w:rsidR="0066435A" w:rsidRPr="00701F13" w:rsidRDefault="0066435A" w:rsidP="007064D4">
                  <w:pPr>
                    <w:spacing w:before="0"/>
                    <w:ind w:right="113"/>
                    <w:jc w:val="center"/>
                    <w:rPr>
                      <w:sz w:val="20"/>
                    </w:rPr>
                  </w:pPr>
                  <w:r w:rsidRPr="00701F13">
                    <w:rPr>
                      <w:noProof/>
                      <w:lang w:val="en-GB" w:eastAsia="zh-CN"/>
                    </w:rPr>
                    <w:drawing>
                      <wp:inline distT="0" distB="0" distL="0" distR="0" wp14:anchorId="424A8D59" wp14:editId="411D6247">
                        <wp:extent cx="1131683" cy="1131683"/>
                        <wp:effectExtent l="0" t="0" r="0" b="0"/>
                        <wp:docPr id="12" name="Picture 12" descr="This QR code redirects to the latest meeeting information at:&#10;http://handle.itu.int/11.1002/groups/sg16"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TSBDOC\2017-2020\Working_methods\Handle_IDs\Handle-IDs_per_group\SG16\Unitag_QRCode_148708940314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492" cy="1152492"/>
                                </a:xfrm>
                                <a:prstGeom prst="rect">
                                  <a:avLst/>
                                </a:prstGeom>
                                <a:noFill/>
                                <a:ln>
                                  <a:noFill/>
                                </a:ln>
                              </pic:spPr>
                            </pic:pic>
                          </a:graphicData>
                        </a:graphic>
                      </wp:inline>
                    </w:drawing>
                  </w:r>
                  <w:r w:rsidRPr="00701F13">
                    <w:rPr>
                      <w:rFonts w:eastAsia="SimSun" w:cs="Arial"/>
                      <w:sz w:val="20"/>
                      <w:lang w:eastAsia="zh-CN"/>
                    </w:rPr>
                    <w:t>CE 16 del UIT-T</w:t>
                  </w:r>
                </w:p>
              </w:tc>
            </w:tr>
            <w:tr w:rsidR="0066435A" w:rsidRPr="00701F13" w:rsidTr="001707E7">
              <w:trPr>
                <w:trHeight w:val="179"/>
              </w:trPr>
              <w:tc>
                <w:tcPr>
                  <w:tcW w:w="2325" w:type="dxa"/>
                  <w:vAlign w:val="center"/>
                  <w:hideMark/>
                </w:tcPr>
                <w:p w:rsidR="0066435A" w:rsidRPr="00701F13" w:rsidRDefault="0066435A" w:rsidP="007064D4">
                  <w:pPr>
                    <w:spacing w:before="0"/>
                    <w:jc w:val="center"/>
                    <w:rPr>
                      <w:rFonts w:eastAsia="SimSun" w:cs="Arial"/>
                      <w:sz w:val="20"/>
                      <w:lang w:eastAsia="zh-CN"/>
                    </w:rPr>
                  </w:pPr>
                  <w:r w:rsidRPr="00701F13">
                    <w:rPr>
                      <w:sz w:val="20"/>
                    </w:rPr>
                    <w:t xml:space="preserve">Última información sobre la reunión </w:t>
                  </w:r>
                </w:p>
              </w:tc>
            </w:tr>
          </w:tbl>
          <w:p w:rsidR="002545AA" w:rsidRPr="00701F13" w:rsidRDefault="002545AA" w:rsidP="002C58A4">
            <w:pPr>
              <w:jc w:val="center"/>
              <w:rPr>
                <w:bCs/>
              </w:rPr>
            </w:pPr>
          </w:p>
        </w:tc>
      </w:tr>
    </w:tbl>
    <w:p w:rsidR="00EF11DF" w:rsidRPr="00701F13" w:rsidRDefault="00EF11DF" w:rsidP="00EF11DF">
      <w:pPr>
        <w:spacing w:before="2640"/>
      </w:pPr>
      <w:r w:rsidRPr="00701F13">
        <w:rPr>
          <w:b/>
          <w:bCs/>
        </w:rPr>
        <w:t>Anexos</w:t>
      </w:r>
      <w:r w:rsidRPr="00701F13">
        <w:t>: 2</w:t>
      </w:r>
    </w:p>
    <w:p w:rsidR="002545AA" w:rsidRPr="00701F13" w:rsidRDefault="002545AA" w:rsidP="002545AA">
      <w:pPr>
        <w:ind w:right="91"/>
        <w:rPr>
          <w:bCs/>
        </w:rPr>
      </w:pPr>
      <w:r w:rsidRPr="00701F13">
        <w:rPr>
          <w:bCs/>
        </w:rPr>
        <w:br w:type="page"/>
      </w:r>
    </w:p>
    <w:p w:rsidR="00EF11DF" w:rsidRPr="00701F13" w:rsidRDefault="00EF11DF" w:rsidP="00EF11DF">
      <w:pPr>
        <w:pStyle w:val="AnnexNotitle"/>
      </w:pPr>
      <w:r w:rsidRPr="00701F13">
        <w:t>ANEXO A</w:t>
      </w:r>
    </w:p>
    <w:p w:rsidR="00BF3B66" w:rsidRPr="00701F13" w:rsidRDefault="00E6462F" w:rsidP="00F82F78">
      <w:pPr>
        <w:pStyle w:val="AnnexNotitle"/>
        <w:spacing w:before="120"/>
      </w:pPr>
      <w:r w:rsidRPr="00701F13">
        <w:t>Detalles adicionales para la reunión del GT 2/16</w:t>
      </w:r>
    </w:p>
    <w:p w:rsidR="00EF11DF" w:rsidRPr="00701F13" w:rsidRDefault="00EF11DF" w:rsidP="00457F05">
      <w:pPr>
        <w:spacing w:before="240" w:after="120"/>
        <w:jc w:val="center"/>
        <w:rPr>
          <w:b/>
          <w:bCs/>
          <w:sz w:val="24"/>
          <w:szCs w:val="24"/>
        </w:rPr>
      </w:pPr>
      <w:r w:rsidRPr="00701F13">
        <w:rPr>
          <w:b/>
          <w:bCs/>
          <w:sz w:val="24"/>
          <w:szCs w:val="24"/>
        </w:rPr>
        <w:t>MÉTODOS DE TRABAJO E INSTALACIONES</w:t>
      </w:r>
    </w:p>
    <w:p w:rsidR="00EF11DF" w:rsidRPr="00701F13" w:rsidRDefault="00E6462F" w:rsidP="00457F05">
      <w:pPr>
        <w:pStyle w:val="Normalaftertitle"/>
        <w:spacing w:before="120"/>
        <w:rPr>
          <w:sz w:val="24"/>
          <w:szCs w:val="24"/>
        </w:rPr>
      </w:pPr>
      <w:r w:rsidRPr="00701F13">
        <w:rPr>
          <w:b/>
          <w:bCs/>
          <w:sz w:val="24"/>
          <w:szCs w:val="24"/>
        </w:rPr>
        <w:t xml:space="preserve">PRESENTACIÓN DE Y </w:t>
      </w:r>
      <w:r w:rsidR="00EF11DF" w:rsidRPr="00701F13">
        <w:rPr>
          <w:b/>
          <w:bCs/>
          <w:sz w:val="24"/>
          <w:szCs w:val="24"/>
        </w:rPr>
        <w:t>ACCESO A LOS DOCUMENTOS</w:t>
      </w:r>
      <w:r w:rsidR="00EF11DF" w:rsidRPr="00701F13">
        <w:rPr>
          <w:sz w:val="24"/>
          <w:szCs w:val="24"/>
        </w:rPr>
        <w:t xml:space="preserve">: La reunión se celebrará sin hacer uso del papel. Las contribuciones deben presentarse utilizando la </w:t>
      </w:r>
      <w:hyperlink r:id="rId18" w:history="1">
        <w:r w:rsidR="00EF11DF" w:rsidRPr="00701F13">
          <w:rPr>
            <w:rStyle w:val="Hyperlink"/>
            <w:sz w:val="24"/>
            <w:szCs w:val="24"/>
          </w:rPr>
          <w:t>Publicación Directa de Documentos</w:t>
        </w:r>
      </w:hyperlink>
      <w:r w:rsidR="00EF11DF" w:rsidRPr="00701F13">
        <w:rPr>
          <w:sz w:val="24"/>
          <w:szCs w:val="24"/>
        </w:rPr>
        <w:t>; los proyectos de DT deben remitirse por correo-e a la secretaría de la Comisión de Estudio</w:t>
      </w:r>
      <w:r w:rsidRPr="00701F13">
        <w:rPr>
          <w:sz w:val="24"/>
          <w:szCs w:val="24"/>
        </w:rPr>
        <w:t xml:space="preserve"> (</w:t>
      </w:r>
      <w:hyperlink r:id="rId19" w:history="1">
        <w:r w:rsidRPr="00701F13">
          <w:rPr>
            <w:rStyle w:val="Hyperlink"/>
            <w:sz w:val="24"/>
            <w:szCs w:val="24"/>
          </w:rPr>
          <w:t>tsbsg16@itu.int</w:t>
        </w:r>
      </w:hyperlink>
      <w:r w:rsidRPr="00701F13">
        <w:rPr>
          <w:sz w:val="24"/>
          <w:szCs w:val="24"/>
        </w:rPr>
        <w:t>)</w:t>
      </w:r>
      <w:r w:rsidR="00EF11DF" w:rsidRPr="00701F13">
        <w:rPr>
          <w:sz w:val="24"/>
          <w:szCs w:val="24"/>
        </w:rPr>
        <w:t xml:space="preserve"> utilizando la </w:t>
      </w:r>
      <w:hyperlink r:id="rId20" w:history="1">
        <w:r w:rsidR="00EF11DF" w:rsidRPr="00701F13">
          <w:rPr>
            <w:rStyle w:val="Hyperlink"/>
            <w:sz w:val="24"/>
            <w:szCs w:val="24"/>
          </w:rPr>
          <w:t>plantilla correspondiente</w:t>
        </w:r>
      </w:hyperlink>
      <w:r w:rsidR="00EF11DF" w:rsidRPr="00701F13">
        <w:rPr>
          <w:sz w:val="24"/>
          <w:szCs w:val="24"/>
        </w:rPr>
        <w:t>. El acceso a los documentos de la reunión se facilita a partir de la página principal de la Comisión de Estudio, y está restringido a los Miembros del UIT-T/</w:t>
      </w:r>
      <w:hyperlink r:id="rId21" w:history="1">
        <w:r w:rsidR="00EF11DF" w:rsidRPr="00701F13">
          <w:rPr>
            <w:rStyle w:val="Hyperlink"/>
            <w:sz w:val="24"/>
            <w:szCs w:val="24"/>
          </w:rPr>
          <w:t>Titulares de cuenta TIES</w:t>
        </w:r>
      </w:hyperlink>
      <w:r w:rsidR="00EF11DF" w:rsidRPr="00701F13">
        <w:rPr>
          <w:sz w:val="24"/>
          <w:szCs w:val="24"/>
        </w:rPr>
        <w:t>.</w:t>
      </w:r>
    </w:p>
    <w:p w:rsidR="00EF11DF" w:rsidRPr="00701F13" w:rsidRDefault="00EF11DF" w:rsidP="00E6462F">
      <w:pPr>
        <w:rPr>
          <w:sz w:val="24"/>
          <w:szCs w:val="24"/>
        </w:rPr>
      </w:pPr>
      <w:r w:rsidRPr="00701F13">
        <w:rPr>
          <w:b/>
          <w:bCs/>
          <w:sz w:val="24"/>
          <w:szCs w:val="24"/>
        </w:rPr>
        <w:t>LAN INALÁMBRICA</w:t>
      </w:r>
      <w:r w:rsidRPr="00701F13">
        <w:rPr>
          <w:sz w:val="24"/>
          <w:szCs w:val="24"/>
        </w:rPr>
        <w:t xml:space="preserve">: </w:t>
      </w:r>
      <w:r w:rsidR="00E6462F" w:rsidRPr="00701F13">
        <w:rPr>
          <w:sz w:val="24"/>
          <w:szCs w:val="24"/>
        </w:rPr>
        <w:t>Los delegados dispondrán de instalaciones de red de área local inalámbrica en el lugar de reunión.</w:t>
      </w:r>
    </w:p>
    <w:p w:rsidR="00EF11DF" w:rsidRPr="00701F13" w:rsidRDefault="00EF11DF" w:rsidP="00E6462F">
      <w:pPr>
        <w:rPr>
          <w:sz w:val="24"/>
          <w:szCs w:val="24"/>
        </w:rPr>
      </w:pPr>
      <w:r w:rsidRPr="00701F13">
        <w:rPr>
          <w:b/>
          <w:bCs/>
          <w:sz w:val="24"/>
          <w:szCs w:val="24"/>
        </w:rPr>
        <w:t>IMPRESORAS</w:t>
      </w:r>
      <w:r w:rsidRPr="00701F13">
        <w:rPr>
          <w:sz w:val="24"/>
          <w:szCs w:val="24"/>
        </w:rPr>
        <w:t xml:space="preserve">: </w:t>
      </w:r>
      <w:r w:rsidR="00E6462F" w:rsidRPr="00701F13">
        <w:rPr>
          <w:sz w:val="24"/>
          <w:szCs w:val="24"/>
        </w:rPr>
        <w:t>Se pondrán a disposición de los delegados impresoras en el lugar de celebración del evento.</w:t>
      </w:r>
    </w:p>
    <w:p w:rsidR="00EF11DF" w:rsidRPr="00701F13" w:rsidRDefault="00EF11DF" w:rsidP="00E6462F">
      <w:pPr>
        <w:rPr>
          <w:sz w:val="24"/>
          <w:szCs w:val="24"/>
        </w:rPr>
      </w:pPr>
      <w:r w:rsidRPr="00701F13">
        <w:rPr>
          <w:b/>
          <w:bCs/>
          <w:sz w:val="24"/>
          <w:szCs w:val="24"/>
        </w:rPr>
        <w:t>PRÉSTAMO DE COMPUTADORAS PORTÁTILES</w:t>
      </w:r>
      <w:r w:rsidRPr="00701F13">
        <w:rPr>
          <w:sz w:val="24"/>
          <w:szCs w:val="24"/>
        </w:rPr>
        <w:t>: El Servicio de Asistencia de la UIT (</w:t>
      </w:r>
      <w:hyperlink r:id="rId22" w:history="1">
        <w:r w:rsidRPr="00701F13">
          <w:rPr>
            <w:rStyle w:val="Hyperlink"/>
            <w:sz w:val="24"/>
            <w:szCs w:val="24"/>
          </w:rPr>
          <w:t>servicedesk@itu.int</w:t>
        </w:r>
      </w:hyperlink>
      <w:r w:rsidRPr="00701F13">
        <w:rPr>
          <w:sz w:val="24"/>
          <w:szCs w:val="24"/>
        </w:rPr>
        <w:t xml:space="preserve">) </w:t>
      </w:r>
      <w:r w:rsidR="00E6462F" w:rsidRPr="00701F13">
        <w:rPr>
          <w:sz w:val="24"/>
          <w:szCs w:val="24"/>
        </w:rPr>
        <w:t>pondrá computadoras portátiles a disposición de los delegados, atendiendo las solicitudes por orden de presentación</w:t>
      </w:r>
      <w:r w:rsidRPr="00701F13">
        <w:rPr>
          <w:sz w:val="24"/>
          <w:szCs w:val="24"/>
        </w:rPr>
        <w:t>.</w:t>
      </w:r>
    </w:p>
    <w:p w:rsidR="00EF11DF" w:rsidRPr="00701F13" w:rsidRDefault="00EF11DF" w:rsidP="001E0933">
      <w:pPr>
        <w:pStyle w:val="Annextitle0"/>
        <w:spacing w:after="120"/>
        <w:rPr>
          <w:sz w:val="24"/>
          <w:szCs w:val="24"/>
        </w:rPr>
      </w:pPr>
      <w:r w:rsidRPr="00701F13">
        <w:rPr>
          <w:sz w:val="24"/>
          <w:szCs w:val="24"/>
        </w:rPr>
        <w:t>PREINSCRIPCIÓN</w:t>
      </w:r>
      <w:r w:rsidR="001E0933" w:rsidRPr="00701F13">
        <w:rPr>
          <w:sz w:val="24"/>
          <w:szCs w:val="24"/>
        </w:rPr>
        <w:t xml:space="preserve"> Y </w:t>
      </w:r>
      <w:r w:rsidRPr="00701F13">
        <w:rPr>
          <w:sz w:val="24"/>
          <w:szCs w:val="24"/>
        </w:rPr>
        <w:t>BECAS</w:t>
      </w:r>
    </w:p>
    <w:p w:rsidR="00EF11DF" w:rsidRPr="00701F13" w:rsidRDefault="00EF11DF" w:rsidP="00457F05">
      <w:pPr>
        <w:pStyle w:val="Normalaftertitle"/>
        <w:spacing w:before="120"/>
        <w:rPr>
          <w:sz w:val="24"/>
          <w:szCs w:val="24"/>
        </w:rPr>
      </w:pPr>
      <w:r w:rsidRPr="00701F13">
        <w:rPr>
          <w:b/>
          <w:bCs/>
          <w:sz w:val="24"/>
          <w:szCs w:val="24"/>
        </w:rPr>
        <w:t>PREINSCRIPCIÓN</w:t>
      </w:r>
      <w:r w:rsidRPr="00701F13">
        <w:rPr>
          <w:sz w:val="24"/>
          <w:szCs w:val="24"/>
        </w:rPr>
        <w:t xml:space="preserve">: La preinscripción es obligatoria y ha de hacerse en línea a través de la página principal de la Comisión de Estudio </w:t>
      </w:r>
      <w:r w:rsidRPr="00701F13">
        <w:rPr>
          <w:b/>
          <w:sz w:val="24"/>
          <w:szCs w:val="24"/>
        </w:rPr>
        <w:t>a más tardar un mes antes de la reunión</w:t>
      </w:r>
      <w:r w:rsidRPr="00701F13">
        <w:rPr>
          <w:bCs/>
          <w:sz w:val="24"/>
          <w:szCs w:val="24"/>
        </w:rPr>
        <w:t xml:space="preserve">. Según se indica en la </w:t>
      </w:r>
      <w:hyperlink r:id="rId23" w:history="1">
        <w:r w:rsidRPr="00701F13">
          <w:rPr>
            <w:rStyle w:val="Hyperlink"/>
            <w:bCs/>
            <w:sz w:val="24"/>
            <w:szCs w:val="24"/>
          </w:rPr>
          <w:t>Circular TSB 68</w:t>
        </w:r>
      </w:hyperlink>
      <w:r w:rsidRPr="00701F13">
        <w:rPr>
          <w:bCs/>
          <w:sz w:val="24"/>
          <w:szCs w:val="24"/>
        </w:rPr>
        <w:t xml:space="preserve">, el nuevo sistema de inscripción requiere la aprobación del coordinador para todas las solicitudes de inscripción. </w:t>
      </w:r>
      <w:r w:rsidRPr="00701F13">
        <w:rPr>
          <w:sz w:val="24"/>
          <w:szCs w:val="24"/>
        </w:rPr>
        <w:t xml:space="preserve">Se invita a los miembros a incluir mujeres en sus delegaciones siempre que </w:t>
      </w:r>
      <w:proofErr w:type="gramStart"/>
      <w:r w:rsidRPr="00701F13">
        <w:rPr>
          <w:sz w:val="24"/>
          <w:szCs w:val="24"/>
        </w:rPr>
        <w:t>sea</w:t>
      </w:r>
      <w:proofErr w:type="gramEnd"/>
      <w:r w:rsidRPr="00701F13">
        <w:rPr>
          <w:sz w:val="24"/>
          <w:szCs w:val="24"/>
        </w:rPr>
        <w:t xml:space="preserve"> posible.</w:t>
      </w:r>
    </w:p>
    <w:p w:rsidR="00EF11DF" w:rsidRPr="00701F13" w:rsidRDefault="00EF11DF" w:rsidP="00CC1434">
      <w:pPr>
        <w:rPr>
          <w:sz w:val="24"/>
          <w:szCs w:val="24"/>
        </w:rPr>
      </w:pPr>
      <w:r w:rsidRPr="00701F13">
        <w:rPr>
          <w:b/>
          <w:bCs/>
          <w:sz w:val="24"/>
          <w:szCs w:val="24"/>
        </w:rPr>
        <w:t>BECAS</w:t>
      </w:r>
      <w:r w:rsidRPr="00701F13">
        <w:rPr>
          <w:sz w:val="24"/>
          <w:szCs w:val="24"/>
        </w:rPr>
        <w:t xml:space="preserve">: </w:t>
      </w:r>
      <w:r w:rsidR="00CC1434" w:rsidRPr="00701F13">
        <w:rPr>
          <w:sz w:val="24"/>
          <w:szCs w:val="24"/>
        </w:rPr>
        <w:t>No se dispondrá de becas ni de interpretación para esta reunión de Grupo de Trabajo de medio día de duración</w:t>
      </w:r>
      <w:r w:rsidRPr="00701F13">
        <w:rPr>
          <w:sz w:val="24"/>
          <w:szCs w:val="24"/>
        </w:rPr>
        <w:t>.</w:t>
      </w:r>
    </w:p>
    <w:p w:rsidR="00EF11DF" w:rsidRPr="00701F13" w:rsidRDefault="00EF11DF" w:rsidP="00457F05">
      <w:pPr>
        <w:pStyle w:val="Annextitle0"/>
        <w:spacing w:after="120"/>
        <w:rPr>
          <w:sz w:val="24"/>
          <w:szCs w:val="24"/>
        </w:rPr>
      </w:pPr>
      <w:r w:rsidRPr="00701F13">
        <w:rPr>
          <w:sz w:val="24"/>
          <w:szCs w:val="24"/>
        </w:rPr>
        <w:t>VISITAS A GINEBRA: HOTELES</w:t>
      </w:r>
      <w:r w:rsidR="0035707B" w:rsidRPr="00701F13">
        <w:rPr>
          <w:sz w:val="24"/>
          <w:szCs w:val="24"/>
        </w:rPr>
        <w:t>,</w:t>
      </w:r>
      <w:r w:rsidR="00A149E8" w:rsidRPr="00701F13">
        <w:rPr>
          <w:sz w:val="24"/>
          <w:szCs w:val="24"/>
        </w:rPr>
        <w:t xml:space="preserve"> </w:t>
      </w:r>
      <w:r w:rsidRPr="00701F13">
        <w:rPr>
          <w:sz w:val="24"/>
          <w:szCs w:val="24"/>
        </w:rPr>
        <w:t>TRANSPORTE PÚBLICO</w:t>
      </w:r>
      <w:r w:rsidR="0035707B" w:rsidRPr="00701F13">
        <w:rPr>
          <w:sz w:val="24"/>
          <w:szCs w:val="24"/>
        </w:rPr>
        <w:t xml:space="preserve"> Y VISADOS</w:t>
      </w:r>
    </w:p>
    <w:p w:rsidR="00EF11DF" w:rsidRPr="00701F13" w:rsidRDefault="00EF11DF" w:rsidP="00457F05">
      <w:pPr>
        <w:pStyle w:val="Normalaftertitle"/>
        <w:keepNext/>
        <w:keepLines/>
        <w:spacing w:before="120"/>
        <w:rPr>
          <w:sz w:val="24"/>
          <w:szCs w:val="24"/>
        </w:rPr>
      </w:pPr>
      <w:r w:rsidRPr="00701F13">
        <w:rPr>
          <w:b/>
          <w:bCs/>
          <w:sz w:val="24"/>
          <w:szCs w:val="24"/>
        </w:rPr>
        <w:t>VISITAS A GINEBRA</w:t>
      </w:r>
      <w:r w:rsidRPr="00701F13">
        <w:rPr>
          <w:sz w:val="24"/>
          <w:szCs w:val="24"/>
        </w:rPr>
        <w:t xml:space="preserve">: Los delegados que asistan a reuniones de la UIT en Ginebra pueden encontrar información práctica en: </w:t>
      </w:r>
      <w:hyperlink r:id="rId24" w:history="1">
        <w:r w:rsidRPr="00701F13">
          <w:rPr>
            <w:rStyle w:val="Hyperlink"/>
            <w:sz w:val="24"/>
            <w:szCs w:val="24"/>
          </w:rPr>
          <w:t>http://itu.int/es/delegates-corner/</w:t>
        </w:r>
      </w:hyperlink>
      <w:r w:rsidRPr="00701F13">
        <w:rPr>
          <w:sz w:val="24"/>
          <w:szCs w:val="24"/>
        </w:rPr>
        <w:t>.</w:t>
      </w:r>
    </w:p>
    <w:p w:rsidR="00EF11DF" w:rsidRPr="00701F13" w:rsidRDefault="00EF11DF" w:rsidP="00EF11DF">
      <w:pPr>
        <w:keepNext/>
        <w:keepLines/>
        <w:rPr>
          <w:sz w:val="24"/>
          <w:szCs w:val="24"/>
        </w:rPr>
      </w:pPr>
      <w:r w:rsidRPr="00701F13">
        <w:rPr>
          <w:b/>
          <w:bCs/>
          <w:sz w:val="24"/>
          <w:szCs w:val="24"/>
        </w:rPr>
        <w:t>DESCUENTOS PARA HOTELES</w:t>
      </w:r>
      <w:r w:rsidRPr="00701F13">
        <w:rPr>
          <w:sz w:val="24"/>
          <w:szCs w:val="24"/>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25" w:anchor=".XFlED_ZFxaQ" w:history="1">
        <w:r w:rsidRPr="00701F13">
          <w:rPr>
            <w:rStyle w:val="Hyperlink"/>
            <w:sz w:val="24"/>
            <w:szCs w:val="24"/>
          </w:rPr>
          <w:t>http://www.itu.int/travel</w:t>
        </w:r>
      </w:hyperlink>
      <w:r w:rsidRPr="00701F13">
        <w:rPr>
          <w:sz w:val="24"/>
          <w:szCs w:val="24"/>
        </w:rPr>
        <w:t>.</w:t>
      </w:r>
    </w:p>
    <w:p w:rsidR="0035707B" w:rsidRPr="00701F13" w:rsidRDefault="0035707B" w:rsidP="0035707B">
      <w:pPr>
        <w:rPr>
          <w:sz w:val="24"/>
          <w:szCs w:val="24"/>
        </w:rPr>
      </w:pPr>
      <w:r w:rsidRPr="00701F13">
        <w:rPr>
          <w:b/>
          <w:bCs/>
          <w:sz w:val="24"/>
          <w:szCs w:val="24"/>
        </w:rPr>
        <w:t>AYUDA PARA LA SOLICITUD DE VISADOS</w:t>
      </w:r>
      <w:r w:rsidRPr="00701F13">
        <w:rPr>
          <w:sz w:val="24"/>
          <w:szCs w:val="24"/>
        </w:rPr>
        <w:t xml:space="preserve">: En su caso, los visados deben solicitarse </w:t>
      </w:r>
      <w:r w:rsidRPr="00701F13">
        <w:rPr>
          <w:b/>
          <w:bCs/>
          <w:sz w:val="24"/>
          <w:szCs w:val="24"/>
        </w:rPr>
        <w:t>antes de la fecha de llegada a Suiza</w:t>
      </w:r>
      <w:r w:rsidRPr="00701F13">
        <w:rPr>
          <w:sz w:val="24"/>
          <w:szCs w:val="24"/>
        </w:rPr>
        <w:t xml:space="preserve"> en la embajada o el consulado que representa a Suiza en su país o, en su defecto, en la más próxima a su país de partida. Los plazos difieren, por lo que se sugiere consultar directamente con la representación correspondiente y presentar la solicitud cuanto antes.</w:t>
      </w:r>
    </w:p>
    <w:p w:rsidR="0035707B" w:rsidRPr="00701F13" w:rsidRDefault="0035707B" w:rsidP="0035707B">
      <w:pPr>
        <w:rPr>
          <w:sz w:val="24"/>
          <w:szCs w:val="24"/>
        </w:rPr>
      </w:pPr>
      <w:r w:rsidRPr="00701F13">
        <w:rPr>
          <w:sz w:val="24"/>
          <w:szCs w:val="24"/>
        </w:rPr>
        <w:t xml:space="preserve">Si tropieza con problemas, la Unión puede, previa solicitud oficial de la administración o la entidad que usted representa, intervenir ante las autoridades suizas competentes para facilitar la expedición de ese visado. Las solicitudes deben efectuarse marcando la casilla correspondiente en el formulario de inscripción </w:t>
      </w:r>
      <w:r w:rsidRPr="00701F13">
        <w:rPr>
          <w:b/>
          <w:bCs/>
          <w:sz w:val="24"/>
          <w:szCs w:val="24"/>
        </w:rPr>
        <w:t>a más tardar un mes antes de la reunión</w:t>
      </w:r>
      <w:r w:rsidRPr="00701F13">
        <w:rPr>
          <w:sz w:val="24"/>
          <w:szCs w:val="24"/>
        </w:rPr>
        <w:t>. Las solicitudes de información deben enviarse a la Sección de Viajes de la UIT (</w:t>
      </w:r>
      <w:hyperlink r:id="rId26" w:history="1">
        <w:r w:rsidRPr="00701F13">
          <w:rPr>
            <w:rStyle w:val="Hyperlink"/>
            <w:sz w:val="24"/>
            <w:szCs w:val="24"/>
          </w:rPr>
          <w:t>travel@itu.int</w:t>
        </w:r>
      </w:hyperlink>
      <w:r w:rsidRPr="00701F13">
        <w:rPr>
          <w:sz w:val="24"/>
          <w:szCs w:val="24"/>
        </w:rPr>
        <w:t>), con las palabras "</w:t>
      </w:r>
      <w:r w:rsidRPr="00701F13">
        <w:rPr>
          <w:b/>
          <w:bCs/>
          <w:sz w:val="24"/>
          <w:szCs w:val="24"/>
        </w:rPr>
        <w:t>apoyo para la solicitud de visado</w:t>
      </w:r>
      <w:r w:rsidRPr="00701F13">
        <w:rPr>
          <w:sz w:val="24"/>
          <w:szCs w:val="24"/>
        </w:rPr>
        <w:t>".</w:t>
      </w:r>
    </w:p>
    <w:p w:rsidR="00EF11DF" w:rsidRPr="00701F13" w:rsidRDefault="00EF11DF" w:rsidP="00EF11DF">
      <w:r w:rsidRPr="00701F13">
        <w:br w:type="page"/>
      </w:r>
    </w:p>
    <w:p w:rsidR="00CD3405" w:rsidRPr="00701F13" w:rsidRDefault="00EF11DF" w:rsidP="00CD3405">
      <w:pPr>
        <w:pStyle w:val="AnnexNotitle"/>
      </w:pPr>
      <w:r w:rsidRPr="00701F13">
        <w:t>ANEXO B</w:t>
      </w:r>
    </w:p>
    <w:p w:rsidR="00EF11DF" w:rsidRPr="00701F13" w:rsidRDefault="007C12FA" w:rsidP="00CD3405">
      <w:pPr>
        <w:pStyle w:val="AnnexNotitle"/>
        <w:spacing w:before="120" w:after="120"/>
      </w:pPr>
      <w:r w:rsidRPr="00701F13">
        <w:t>Proyecto de orden del día</w:t>
      </w:r>
    </w:p>
    <w:tbl>
      <w:tblPr>
        <w:tblW w:w="9781" w:type="dxa"/>
        <w:jc w:val="center"/>
        <w:tblLook w:val="04A0" w:firstRow="1" w:lastRow="0" w:firstColumn="1" w:lastColumn="0" w:noHBand="0" w:noVBand="1"/>
      </w:tblPr>
      <w:tblGrid>
        <w:gridCol w:w="618"/>
        <w:gridCol w:w="516"/>
        <w:gridCol w:w="8647"/>
      </w:tblGrid>
      <w:tr w:rsidR="00CD3405" w:rsidRPr="00701F13" w:rsidTr="00D2512C">
        <w:trPr>
          <w:jc w:val="center"/>
        </w:trPr>
        <w:tc>
          <w:tcPr>
            <w:tcW w:w="618" w:type="dxa"/>
          </w:tcPr>
          <w:p w:rsidR="00CD3405" w:rsidRPr="00701F13" w:rsidRDefault="00CD3405" w:rsidP="007F6F8F">
            <w:pPr>
              <w:spacing w:after="120"/>
              <w:jc w:val="center"/>
              <w:rPr>
                <w:rFonts w:eastAsia="SimSun"/>
                <w:szCs w:val="22"/>
              </w:rPr>
            </w:pPr>
            <w:r w:rsidRPr="00701F13">
              <w:rPr>
                <w:rFonts w:cstheme="minorHAnsi"/>
                <w:szCs w:val="22"/>
              </w:rPr>
              <w:t>1</w:t>
            </w:r>
          </w:p>
        </w:tc>
        <w:tc>
          <w:tcPr>
            <w:tcW w:w="9163" w:type="dxa"/>
            <w:gridSpan w:val="2"/>
            <w:hideMark/>
          </w:tcPr>
          <w:p w:rsidR="00CD3405" w:rsidRPr="00701F13" w:rsidRDefault="00CD3405" w:rsidP="007F6F8F">
            <w:pPr>
              <w:spacing w:after="120"/>
              <w:textAlignment w:val="auto"/>
              <w:rPr>
                <w:rFonts w:eastAsia="SimSun"/>
                <w:szCs w:val="22"/>
              </w:rPr>
            </w:pPr>
            <w:r w:rsidRPr="00701F13">
              <w:rPr>
                <w:rFonts w:eastAsia="SimSun"/>
                <w:szCs w:val="22"/>
              </w:rPr>
              <w:t>Observaciones iniciales</w:t>
            </w:r>
          </w:p>
        </w:tc>
      </w:tr>
      <w:tr w:rsidR="00CD3405" w:rsidRPr="00701F13" w:rsidTr="00D2512C">
        <w:trPr>
          <w:jc w:val="center"/>
        </w:trPr>
        <w:tc>
          <w:tcPr>
            <w:tcW w:w="618" w:type="dxa"/>
          </w:tcPr>
          <w:p w:rsidR="00CD3405" w:rsidRPr="00701F13" w:rsidRDefault="00CD3405" w:rsidP="007F6F8F">
            <w:pPr>
              <w:spacing w:after="120"/>
              <w:jc w:val="center"/>
              <w:rPr>
                <w:rFonts w:eastAsia="SimSun"/>
                <w:szCs w:val="22"/>
              </w:rPr>
            </w:pPr>
            <w:r w:rsidRPr="00701F13">
              <w:rPr>
                <w:rFonts w:eastAsia="SimSun"/>
                <w:szCs w:val="22"/>
              </w:rPr>
              <w:t>2</w:t>
            </w:r>
          </w:p>
        </w:tc>
        <w:tc>
          <w:tcPr>
            <w:tcW w:w="9163" w:type="dxa"/>
            <w:gridSpan w:val="2"/>
            <w:hideMark/>
          </w:tcPr>
          <w:p w:rsidR="00CD3405" w:rsidRPr="00701F13" w:rsidRDefault="00CD3405" w:rsidP="007F6F8F">
            <w:pPr>
              <w:spacing w:after="120"/>
              <w:textAlignment w:val="auto"/>
              <w:rPr>
                <w:rFonts w:eastAsia="SimSun"/>
                <w:szCs w:val="22"/>
              </w:rPr>
            </w:pPr>
            <w:r w:rsidRPr="00701F13">
              <w:rPr>
                <w:rFonts w:eastAsia="SimSun"/>
                <w:szCs w:val="22"/>
              </w:rPr>
              <w:t>Aprobación del orden del día</w:t>
            </w:r>
          </w:p>
        </w:tc>
      </w:tr>
      <w:tr w:rsidR="00CD3405" w:rsidRPr="00701F13" w:rsidTr="00D2512C">
        <w:trPr>
          <w:jc w:val="center"/>
        </w:trPr>
        <w:tc>
          <w:tcPr>
            <w:tcW w:w="618" w:type="dxa"/>
          </w:tcPr>
          <w:p w:rsidR="00CD3405" w:rsidRPr="00701F13" w:rsidRDefault="00CD3405" w:rsidP="007F6F8F">
            <w:pPr>
              <w:spacing w:after="120"/>
              <w:jc w:val="center"/>
              <w:rPr>
                <w:rFonts w:eastAsia="SimSun"/>
                <w:szCs w:val="22"/>
              </w:rPr>
            </w:pPr>
            <w:r w:rsidRPr="00701F13">
              <w:rPr>
                <w:rFonts w:eastAsia="SimSun"/>
                <w:szCs w:val="22"/>
              </w:rPr>
              <w:t>3</w:t>
            </w:r>
          </w:p>
        </w:tc>
        <w:tc>
          <w:tcPr>
            <w:tcW w:w="9163" w:type="dxa"/>
            <w:gridSpan w:val="2"/>
            <w:hideMark/>
          </w:tcPr>
          <w:p w:rsidR="00CD3405" w:rsidRPr="00701F13" w:rsidRDefault="00CD3405" w:rsidP="007F6F8F">
            <w:pPr>
              <w:spacing w:after="120"/>
              <w:textAlignment w:val="auto"/>
              <w:rPr>
                <w:rFonts w:eastAsia="SimSun"/>
                <w:szCs w:val="22"/>
              </w:rPr>
            </w:pPr>
            <w:r w:rsidRPr="00701F13">
              <w:rPr>
                <w:rFonts w:eastAsia="SimSun"/>
                <w:szCs w:val="22"/>
              </w:rPr>
              <w:t>Atribución de documentos</w:t>
            </w:r>
          </w:p>
        </w:tc>
      </w:tr>
      <w:tr w:rsidR="00CD3405" w:rsidRPr="00701F13" w:rsidTr="00D2512C">
        <w:trPr>
          <w:jc w:val="center"/>
        </w:trPr>
        <w:tc>
          <w:tcPr>
            <w:tcW w:w="618" w:type="dxa"/>
          </w:tcPr>
          <w:p w:rsidR="00CD3405" w:rsidRPr="00701F13" w:rsidRDefault="00CD3405" w:rsidP="007F6F8F">
            <w:pPr>
              <w:spacing w:after="120"/>
              <w:jc w:val="center"/>
              <w:rPr>
                <w:rFonts w:eastAsia="SimSun"/>
                <w:szCs w:val="22"/>
              </w:rPr>
            </w:pPr>
            <w:r w:rsidRPr="00701F13">
              <w:rPr>
                <w:rFonts w:eastAsia="SimSun"/>
                <w:szCs w:val="22"/>
              </w:rPr>
              <w:t>4</w:t>
            </w:r>
          </w:p>
        </w:tc>
        <w:tc>
          <w:tcPr>
            <w:tcW w:w="9163" w:type="dxa"/>
            <w:gridSpan w:val="2"/>
            <w:hideMark/>
          </w:tcPr>
          <w:p w:rsidR="00CD3405" w:rsidRPr="00701F13" w:rsidRDefault="00CD3405" w:rsidP="007F6F8F">
            <w:pPr>
              <w:spacing w:after="120"/>
              <w:textAlignment w:val="auto"/>
              <w:rPr>
                <w:rFonts w:eastAsia="SimSun"/>
                <w:szCs w:val="22"/>
              </w:rPr>
            </w:pPr>
            <w:r w:rsidRPr="00701F13">
              <w:rPr>
                <w:rFonts w:eastAsia="SimSun"/>
                <w:szCs w:val="22"/>
              </w:rPr>
              <w:t>Ronda de DPI</w:t>
            </w:r>
          </w:p>
        </w:tc>
      </w:tr>
      <w:tr w:rsidR="00CD3405" w:rsidRPr="00701F13" w:rsidTr="00D2512C">
        <w:trPr>
          <w:jc w:val="center"/>
        </w:trPr>
        <w:tc>
          <w:tcPr>
            <w:tcW w:w="618" w:type="dxa"/>
          </w:tcPr>
          <w:p w:rsidR="00CD3405" w:rsidRPr="00701F13" w:rsidRDefault="00CD3405" w:rsidP="007F6F8F">
            <w:pPr>
              <w:spacing w:after="120"/>
              <w:jc w:val="center"/>
              <w:rPr>
                <w:rFonts w:eastAsia="SimSun"/>
                <w:szCs w:val="22"/>
              </w:rPr>
            </w:pPr>
            <w:r w:rsidRPr="00701F13">
              <w:rPr>
                <w:rFonts w:eastAsia="SimSun"/>
                <w:szCs w:val="22"/>
              </w:rPr>
              <w:t>5</w:t>
            </w:r>
          </w:p>
        </w:tc>
        <w:tc>
          <w:tcPr>
            <w:tcW w:w="9163" w:type="dxa"/>
            <w:gridSpan w:val="2"/>
            <w:hideMark/>
          </w:tcPr>
          <w:p w:rsidR="00CD3405" w:rsidRPr="00701F13" w:rsidRDefault="00CD3405" w:rsidP="007F6F8F">
            <w:pPr>
              <w:spacing w:after="120"/>
              <w:textAlignment w:val="auto"/>
              <w:rPr>
                <w:rFonts w:eastAsia="SimSun"/>
                <w:szCs w:val="22"/>
              </w:rPr>
            </w:pPr>
            <w:r w:rsidRPr="00701F13">
              <w:rPr>
                <w:rFonts w:eastAsia="SimSun"/>
                <w:szCs w:val="22"/>
              </w:rPr>
              <w:t>Informe de la anterior reunión del GT 2/16 (Ginebra, 19-29 de marzo de 2019, SG16-R17)</w:t>
            </w:r>
          </w:p>
        </w:tc>
      </w:tr>
      <w:tr w:rsidR="00CD3405" w:rsidRPr="00701F13" w:rsidTr="00D2512C">
        <w:trPr>
          <w:jc w:val="center"/>
        </w:trPr>
        <w:tc>
          <w:tcPr>
            <w:tcW w:w="618" w:type="dxa"/>
          </w:tcPr>
          <w:p w:rsidR="00CD3405" w:rsidRPr="00701F13" w:rsidRDefault="00CD3405" w:rsidP="007F6F8F">
            <w:pPr>
              <w:spacing w:after="120"/>
              <w:jc w:val="center"/>
              <w:rPr>
                <w:rFonts w:eastAsia="SimSun"/>
                <w:szCs w:val="22"/>
              </w:rPr>
            </w:pPr>
            <w:r w:rsidRPr="00701F13">
              <w:rPr>
                <w:rFonts w:eastAsia="SimSun"/>
                <w:szCs w:val="22"/>
              </w:rPr>
              <w:t>6</w:t>
            </w:r>
          </w:p>
        </w:tc>
        <w:tc>
          <w:tcPr>
            <w:tcW w:w="9163" w:type="dxa"/>
            <w:gridSpan w:val="2"/>
            <w:hideMark/>
          </w:tcPr>
          <w:p w:rsidR="00CD3405" w:rsidRPr="00701F13" w:rsidRDefault="00CD3405" w:rsidP="007F6F8F">
            <w:pPr>
              <w:spacing w:after="120"/>
              <w:textAlignment w:val="auto"/>
              <w:rPr>
                <w:rFonts w:eastAsia="SimSun"/>
                <w:szCs w:val="22"/>
                <w:lang w:eastAsia="ja-JP"/>
              </w:rPr>
            </w:pPr>
            <w:r w:rsidRPr="00701F13">
              <w:rPr>
                <w:rFonts w:eastAsia="SimSun"/>
                <w:szCs w:val="22"/>
              </w:rPr>
              <w:t>Informe</w:t>
            </w:r>
            <w:r w:rsidRPr="00701F13">
              <w:rPr>
                <w:rFonts w:eastAsia="SimSun"/>
                <w:szCs w:val="22"/>
                <w:lang w:eastAsia="ja-JP"/>
              </w:rPr>
              <w:t xml:space="preserve"> sobre las actividades intermedias del GT 2/16 (como corresponda)</w:t>
            </w:r>
          </w:p>
        </w:tc>
      </w:tr>
      <w:tr w:rsidR="00CD3405" w:rsidRPr="00701F13" w:rsidTr="00385152">
        <w:trPr>
          <w:jc w:val="center"/>
        </w:trPr>
        <w:tc>
          <w:tcPr>
            <w:tcW w:w="1134" w:type="dxa"/>
            <w:gridSpan w:val="2"/>
          </w:tcPr>
          <w:p w:rsidR="00CD3405" w:rsidRPr="00701F13" w:rsidRDefault="00CD3405" w:rsidP="007F6F8F">
            <w:pPr>
              <w:spacing w:after="120"/>
              <w:jc w:val="right"/>
              <w:rPr>
                <w:rFonts w:eastAsia="SimSun"/>
                <w:szCs w:val="22"/>
              </w:rPr>
            </w:pPr>
            <w:r w:rsidRPr="00701F13">
              <w:rPr>
                <w:rFonts w:eastAsia="SimSun"/>
                <w:szCs w:val="22"/>
              </w:rPr>
              <w:t>6.1</w:t>
            </w:r>
          </w:p>
        </w:tc>
        <w:tc>
          <w:tcPr>
            <w:tcW w:w="8647" w:type="dxa"/>
            <w:hideMark/>
          </w:tcPr>
          <w:p w:rsidR="00CD3405" w:rsidRPr="00701F13" w:rsidRDefault="00CD3405" w:rsidP="007F6F8F">
            <w:pPr>
              <w:spacing w:after="120"/>
              <w:textAlignment w:val="auto"/>
              <w:rPr>
                <w:rFonts w:eastAsia="SimSun"/>
                <w:szCs w:val="22"/>
                <w:lang w:eastAsia="ja-JP"/>
              </w:rPr>
            </w:pPr>
            <w:r w:rsidRPr="00701F13">
              <w:rPr>
                <w:rFonts w:eastAsia="SimSun"/>
                <w:szCs w:val="22"/>
                <w:lang w:eastAsia="ja-JP"/>
              </w:rPr>
              <w:t>C22/16 "Tecnologías de contabilidad distr</w:t>
            </w:r>
            <w:r w:rsidR="006A243F" w:rsidRPr="00701F13">
              <w:rPr>
                <w:rFonts w:eastAsia="SimSun"/>
                <w:szCs w:val="22"/>
                <w:lang w:eastAsia="ja-JP"/>
              </w:rPr>
              <w:t>ibuida y servicios electrónicos</w:t>
            </w:r>
            <w:r w:rsidRPr="00701F13">
              <w:rPr>
                <w:rFonts w:eastAsia="SimSun"/>
                <w:szCs w:val="22"/>
                <w:lang w:eastAsia="ja-JP"/>
              </w:rPr>
              <w:t>"</w:t>
            </w:r>
          </w:p>
        </w:tc>
      </w:tr>
      <w:tr w:rsidR="00CD3405" w:rsidRPr="00701F13" w:rsidTr="00385152">
        <w:trPr>
          <w:jc w:val="center"/>
        </w:trPr>
        <w:tc>
          <w:tcPr>
            <w:tcW w:w="1134" w:type="dxa"/>
            <w:gridSpan w:val="2"/>
          </w:tcPr>
          <w:p w:rsidR="00CD3405" w:rsidRPr="00701F13" w:rsidRDefault="00CD3405" w:rsidP="007F6F8F">
            <w:pPr>
              <w:spacing w:after="120"/>
              <w:jc w:val="right"/>
              <w:rPr>
                <w:rFonts w:eastAsia="SimSun"/>
                <w:szCs w:val="22"/>
              </w:rPr>
            </w:pPr>
            <w:r w:rsidRPr="00701F13">
              <w:rPr>
                <w:rFonts w:eastAsia="SimSun"/>
                <w:szCs w:val="22"/>
              </w:rPr>
              <w:t>6.2</w:t>
            </w:r>
          </w:p>
        </w:tc>
        <w:tc>
          <w:tcPr>
            <w:tcW w:w="8647" w:type="dxa"/>
            <w:hideMark/>
          </w:tcPr>
          <w:p w:rsidR="00CD3405" w:rsidRPr="00701F13" w:rsidRDefault="00CD3405" w:rsidP="007F6F8F">
            <w:pPr>
              <w:spacing w:after="120"/>
              <w:textAlignment w:val="auto"/>
              <w:rPr>
                <w:rFonts w:eastAsia="SimSun"/>
                <w:szCs w:val="22"/>
                <w:lang w:eastAsia="ja-JP"/>
              </w:rPr>
            </w:pPr>
            <w:r w:rsidRPr="00701F13">
              <w:rPr>
                <w:rFonts w:eastAsia="SimSun"/>
                <w:szCs w:val="22"/>
                <w:lang w:eastAsia="ja-JP"/>
              </w:rPr>
              <w:t>C24/16 "Factores humanos para mejorar la calidad de vida mediante las telecomunicaciones internacionales"</w:t>
            </w:r>
          </w:p>
        </w:tc>
      </w:tr>
      <w:tr w:rsidR="00CD3405" w:rsidRPr="00701F13" w:rsidTr="00385152">
        <w:trPr>
          <w:jc w:val="center"/>
        </w:trPr>
        <w:tc>
          <w:tcPr>
            <w:tcW w:w="1134" w:type="dxa"/>
            <w:gridSpan w:val="2"/>
          </w:tcPr>
          <w:p w:rsidR="00CD3405" w:rsidRPr="00701F13" w:rsidRDefault="00CD3405" w:rsidP="007F6F8F">
            <w:pPr>
              <w:spacing w:after="120"/>
              <w:jc w:val="right"/>
              <w:rPr>
                <w:rFonts w:eastAsia="SimSun"/>
                <w:szCs w:val="22"/>
              </w:rPr>
            </w:pPr>
            <w:r w:rsidRPr="00701F13">
              <w:rPr>
                <w:rFonts w:eastAsia="SimSun"/>
                <w:szCs w:val="22"/>
              </w:rPr>
              <w:t>6.3</w:t>
            </w:r>
          </w:p>
        </w:tc>
        <w:tc>
          <w:tcPr>
            <w:tcW w:w="8647" w:type="dxa"/>
            <w:hideMark/>
          </w:tcPr>
          <w:p w:rsidR="00CD3405" w:rsidRPr="00701F13" w:rsidRDefault="00CD3405" w:rsidP="007F6F8F">
            <w:pPr>
              <w:spacing w:after="120"/>
              <w:textAlignment w:val="auto"/>
              <w:rPr>
                <w:rFonts w:eastAsia="SimSun"/>
                <w:szCs w:val="22"/>
                <w:lang w:eastAsia="ja-JP"/>
              </w:rPr>
            </w:pPr>
            <w:r w:rsidRPr="00701F13">
              <w:rPr>
                <w:rFonts w:eastAsia="SimSun"/>
                <w:szCs w:val="22"/>
                <w:lang w:eastAsia="ja-JP"/>
              </w:rPr>
              <w:t>C26/16 "</w:t>
            </w:r>
            <w:r w:rsidRPr="00701F13">
              <w:t>A</w:t>
            </w:r>
            <w:r w:rsidRPr="00701F13">
              <w:rPr>
                <w:rFonts w:eastAsia="SimSun"/>
                <w:szCs w:val="22"/>
                <w:lang w:eastAsia="ja-JP"/>
              </w:rPr>
              <w:t>ccesibilidad a los sistemas y servicios multimedios"</w:t>
            </w:r>
          </w:p>
        </w:tc>
      </w:tr>
      <w:tr w:rsidR="00CD3405" w:rsidRPr="00701F13" w:rsidTr="00385152">
        <w:trPr>
          <w:jc w:val="center"/>
        </w:trPr>
        <w:tc>
          <w:tcPr>
            <w:tcW w:w="1134" w:type="dxa"/>
            <w:gridSpan w:val="2"/>
          </w:tcPr>
          <w:p w:rsidR="00CD3405" w:rsidRPr="00701F13" w:rsidRDefault="00CD3405" w:rsidP="007F6F8F">
            <w:pPr>
              <w:spacing w:after="120"/>
              <w:jc w:val="right"/>
              <w:rPr>
                <w:rFonts w:eastAsia="SimSun"/>
                <w:szCs w:val="22"/>
              </w:rPr>
            </w:pPr>
            <w:r w:rsidRPr="00701F13">
              <w:rPr>
                <w:rFonts w:eastAsia="SimSun"/>
                <w:szCs w:val="22"/>
              </w:rPr>
              <w:t>6.4</w:t>
            </w:r>
          </w:p>
        </w:tc>
        <w:tc>
          <w:tcPr>
            <w:tcW w:w="8647" w:type="dxa"/>
          </w:tcPr>
          <w:p w:rsidR="00CD3405" w:rsidRPr="00701F13" w:rsidRDefault="00CD3405" w:rsidP="007F6F8F">
            <w:pPr>
              <w:spacing w:after="120"/>
              <w:textAlignment w:val="auto"/>
              <w:rPr>
                <w:rFonts w:eastAsia="SimSun"/>
                <w:szCs w:val="22"/>
                <w:lang w:eastAsia="ja-JP"/>
              </w:rPr>
            </w:pPr>
            <w:r w:rsidRPr="00701F13">
              <w:rPr>
                <w:rFonts w:eastAsia="SimSun"/>
                <w:szCs w:val="22"/>
                <w:lang w:eastAsia="ja-JP"/>
              </w:rPr>
              <w:t>C27/16 "Plataforma de pasarela en vehículos para servicios y aplicaciones de telecomunicaciones y sist</w:t>
            </w:r>
            <w:r w:rsidR="006A243F" w:rsidRPr="00701F13">
              <w:rPr>
                <w:rFonts w:eastAsia="SimSun"/>
                <w:szCs w:val="22"/>
                <w:lang w:eastAsia="ja-JP"/>
              </w:rPr>
              <w:t>emas de transporte inteligentes</w:t>
            </w:r>
            <w:r w:rsidRPr="00701F13">
              <w:rPr>
                <w:rFonts w:eastAsia="SimSun"/>
                <w:szCs w:val="22"/>
                <w:lang w:eastAsia="ja-JP"/>
              </w:rPr>
              <w:t>"</w:t>
            </w:r>
          </w:p>
        </w:tc>
      </w:tr>
      <w:tr w:rsidR="00CD3405" w:rsidRPr="00701F13" w:rsidTr="00385152">
        <w:trPr>
          <w:jc w:val="center"/>
        </w:trPr>
        <w:tc>
          <w:tcPr>
            <w:tcW w:w="1134" w:type="dxa"/>
            <w:gridSpan w:val="2"/>
          </w:tcPr>
          <w:p w:rsidR="00CD3405" w:rsidRPr="00701F13" w:rsidRDefault="00CD3405" w:rsidP="007F6F8F">
            <w:pPr>
              <w:spacing w:after="120"/>
              <w:jc w:val="right"/>
              <w:rPr>
                <w:rFonts w:eastAsia="SimSun"/>
                <w:szCs w:val="22"/>
              </w:rPr>
            </w:pPr>
            <w:r w:rsidRPr="00701F13">
              <w:rPr>
                <w:rFonts w:eastAsia="SimSun"/>
                <w:szCs w:val="22"/>
              </w:rPr>
              <w:t>6.5</w:t>
            </w:r>
          </w:p>
        </w:tc>
        <w:tc>
          <w:tcPr>
            <w:tcW w:w="8647" w:type="dxa"/>
            <w:hideMark/>
          </w:tcPr>
          <w:p w:rsidR="00CD3405" w:rsidRPr="00701F13" w:rsidRDefault="00CD3405" w:rsidP="007F6F8F">
            <w:pPr>
              <w:spacing w:after="120"/>
              <w:textAlignment w:val="auto"/>
              <w:rPr>
                <w:rFonts w:eastAsia="SimSun"/>
                <w:szCs w:val="22"/>
                <w:lang w:eastAsia="ja-JP"/>
              </w:rPr>
            </w:pPr>
            <w:r w:rsidRPr="00701F13">
              <w:rPr>
                <w:rFonts w:eastAsia="SimSun"/>
                <w:szCs w:val="22"/>
                <w:lang w:eastAsia="ja-JP"/>
              </w:rPr>
              <w:t xml:space="preserve">C28/16 "Marco multimedios </w:t>
            </w:r>
            <w:r w:rsidR="006A243F" w:rsidRPr="00701F13">
              <w:rPr>
                <w:rFonts w:eastAsia="SimSun"/>
                <w:szCs w:val="22"/>
                <w:lang w:eastAsia="ja-JP"/>
              </w:rPr>
              <w:t xml:space="preserve">para aplicaciones de </w:t>
            </w:r>
            <w:proofErr w:type="spellStart"/>
            <w:r w:rsidR="006A243F" w:rsidRPr="00701F13">
              <w:rPr>
                <w:rFonts w:eastAsia="SimSun"/>
                <w:szCs w:val="22"/>
                <w:lang w:eastAsia="ja-JP"/>
              </w:rPr>
              <w:t>cibersalud</w:t>
            </w:r>
            <w:proofErr w:type="spellEnd"/>
            <w:r w:rsidRPr="00701F13">
              <w:rPr>
                <w:rFonts w:eastAsia="SimSun"/>
                <w:szCs w:val="22"/>
                <w:lang w:eastAsia="ja-JP"/>
              </w:rPr>
              <w:t>"</w:t>
            </w:r>
          </w:p>
        </w:tc>
      </w:tr>
      <w:tr w:rsidR="00CD3405" w:rsidRPr="00701F13" w:rsidTr="00D2512C">
        <w:trPr>
          <w:jc w:val="center"/>
        </w:trPr>
        <w:tc>
          <w:tcPr>
            <w:tcW w:w="618" w:type="dxa"/>
          </w:tcPr>
          <w:p w:rsidR="00CD3405" w:rsidRPr="00701F13" w:rsidRDefault="00CD3405" w:rsidP="007F6F8F">
            <w:pPr>
              <w:spacing w:after="120"/>
              <w:jc w:val="center"/>
              <w:rPr>
                <w:rFonts w:eastAsia="SimSun"/>
                <w:szCs w:val="22"/>
              </w:rPr>
            </w:pPr>
            <w:r w:rsidRPr="00701F13">
              <w:rPr>
                <w:rFonts w:eastAsia="SimSun"/>
                <w:szCs w:val="22"/>
              </w:rPr>
              <w:t>7</w:t>
            </w:r>
          </w:p>
        </w:tc>
        <w:tc>
          <w:tcPr>
            <w:tcW w:w="9163" w:type="dxa"/>
            <w:gridSpan w:val="2"/>
            <w:hideMark/>
          </w:tcPr>
          <w:p w:rsidR="00CD3405" w:rsidRPr="00701F13" w:rsidRDefault="00CD3405" w:rsidP="004652C6">
            <w:pPr>
              <w:spacing w:after="120"/>
              <w:textAlignment w:val="auto"/>
              <w:rPr>
                <w:rFonts w:eastAsia="SimSun"/>
                <w:szCs w:val="22"/>
              </w:rPr>
            </w:pPr>
            <w:r w:rsidRPr="00701F13">
              <w:rPr>
                <w:rFonts w:eastAsia="SimSun"/>
                <w:szCs w:val="22"/>
              </w:rPr>
              <w:t>Situación de las Recomendaciones del GT</w:t>
            </w:r>
            <w:r w:rsidR="00C62DB4" w:rsidRPr="00701F13">
              <w:rPr>
                <w:rFonts w:eastAsia="SimSun"/>
                <w:szCs w:val="22"/>
              </w:rPr>
              <w:t> </w:t>
            </w:r>
            <w:r w:rsidRPr="00701F13">
              <w:rPr>
                <w:rFonts w:eastAsia="SimSun"/>
                <w:szCs w:val="22"/>
              </w:rPr>
              <w:t xml:space="preserve">2/16 consentidas </w:t>
            </w:r>
            <w:r w:rsidRPr="004652C6">
              <w:rPr>
                <w:rFonts w:eastAsia="SimSun"/>
                <w:szCs w:val="22"/>
              </w:rPr>
              <w:t>el 2</w:t>
            </w:r>
            <w:r w:rsidR="004652C6" w:rsidRPr="004652C6">
              <w:rPr>
                <w:rFonts w:eastAsia="SimSun"/>
                <w:szCs w:val="22"/>
              </w:rPr>
              <w:t>9</w:t>
            </w:r>
            <w:r w:rsidRPr="004652C6">
              <w:rPr>
                <w:rFonts w:eastAsia="SimSun"/>
                <w:szCs w:val="22"/>
              </w:rPr>
              <w:t xml:space="preserve"> de </w:t>
            </w:r>
            <w:r w:rsidR="004652C6" w:rsidRPr="004652C6">
              <w:rPr>
                <w:rFonts w:eastAsia="SimSun"/>
                <w:szCs w:val="22"/>
              </w:rPr>
              <w:t>marz</w:t>
            </w:r>
            <w:r w:rsidRPr="004652C6">
              <w:rPr>
                <w:rFonts w:eastAsia="SimSun"/>
                <w:szCs w:val="22"/>
              </w:rPr>
              <w:t>o de 2019</w:t>
            </w:r>
          </w:p>
        </w:tc>
      </w:tr>
      <w:tr w:rsidR="00CD3405" w:rsidRPr="00701F13" w:rsidTr="00D2512C">
        <w:trPr>
          <w:jc w:val="center"/>
        </w:trPr>
        <w:tc>
          <w:tcPr>
            <w:tcW w:w="618" w:type="dxa"/>
          </w:tcPr>
          <w:p w:rsidR="00CD3405" w:rsidRPr="00701F13" w:rsidRDefault="00CD3405" w:rsidP="007F6F8F">
            <w:pPr>
              <w:spacing w:after="120"/>
              <w:jc w:val="center"/>
              <w:rPr>
                <w:rFonts w:eastAsia="SimSun"/>
                <w:szCs w:val="22"/>
              </w:rPr>
            </w:pPr>
            <w:bookmarkStart w:id="2" w:name="_Ref498615940" w:colFirst="0" w:colLast="0"/>
            <w:r w:rsidRPr="00701F13">
              <w:rPr>
                <w:rFonts w:eastAsia="SimSun"/>
                <w:szCs w:val="22"/>
              </w:rPr>
              <w:t>8</w:t>
            </w:r>
          </w:p>
        </w:tc>
        <w:tc>
          <w:tcPr>
            <w:tcW w:w="9163" w:type="dxa"/>
            <w:gridSpan w:val="2"/>
            <w:hideMark/>
          </w:tcPr>
          <w:p w:rsidR="00CD3405" w:rsidRPr="00701F13" w:rsidRDefault="00CD3405" w:rsidP="007F6F8F">
            <w:pPr>
              <w:spacing w:after="120"/>
              <w:textAlignment w:val="auto"/>
              <w:rPr>
                <w:rFonts w:eastAsia="SimSun"/>
                <w:szCs w:val="22"/>
              </w:rPr>
            </w:pPr>
            <w:r w:rsidRPr="00701F13">
              <w:rPr>
                <w:rFonts w:eastAsia="SimSun"/>
                <w:szCs w:val="22"/>
              </w:rPr>
              <w:t>Inicio del proceso de aprobación de Recomendaciones (Res</w:t>
            </w:r>
            <w:r w:rsidR="00C62DB4" w:rsidRPr="00701F13">
              <w:rPr>
                <w:rFonts w:eastAsia="SimSun"/>
                <w:szCs w:val="22"/>
              </w:rPr>
              <w:t xml:space="preserve">olución </w:t>
            </w:r>
            <w:r w:rsidRPr="00701F13">
              <w:rPr>
                <w:rFonts w:eastAsia="SimSun"/>
                <w:szCs w:val="22"/>
              </w:rPr>
              <w:t>1 de la AMNT-16 y UIT-T A.8)</w:t>
            </w:r>
          </w:p>
        </w:tc>
      </w:tr>
      <w:bookmarkEnd w:id="2"/>
      <w:tr w:rsidR="00CD3405" w:rsidRPr="00701F13" w:rsidTr="00385152">
        <w:trPr>
          <w:jc w:val="center"/>
        </w:trPr>
        <w:tc>
          <w:tcPr>
            <w:tcW w:w="1134" w:type="dxa"/>
            <w:gridSpan w:val="2"/>
          </w:tcPr>
          <w:p w:rsidR="00CD3405" w:rsidRPr="00701F13" w:rsidRDefault="00CD3405" w:rsidP="007F6F8F">
            <w:pPr>
              <w:spacing w:after="120"/>
              <w:textAlignment w:val="auto"/>
              <w:rPr>
                <w:rFonts w:eastAsia="SimSun"/>
                <w:szCs w:val="22"/>
              </w:rPr>
            </w:pPr>
          </w:p>
        </w:tc>
        <w:tc>
          <w:tcPr>
            <w:tcW w:w="8647" w:type="dxa"/>
          </w:tcPr>
          <w:p w:rsidR="00C95CAC" w:rsidRPr="00701F13" w:rsidRDefault="00C95CAC" w:rsidP="007F6F8F">
            <w:pPr>
              <w:spacing w:after="120"/>
              <w:textAlignment w:val="auto"/>
              <w:rPr>
                <w:rFonts w:eastAsia="SimSun"/>
                <w:szCs w:val="22"/>
                <w:lang w:eastAsia="ja-JP"/>
              </w:rPr>
            </w:pPr>
            <w:r w:rsidRPr="00701F13">
              <w:rPr>
                <w:lang w:eastAsia="ja-JP"/>
              </w:rPr>
              <w:t>a)</w:t>
            </w:r>
            <w:r w:rsidRPr="00701F13">
              <w:rPr>
                <w:lang w:eastAsia="ja-JP"/>
              </w:rPr>
              <w:tab/>
            </w:r>
            <w:hyperlink r:id="rId27" w:history="1">
              <w:r w:rsidRPr="00701F13">
                <w:rPr>
                  <w:rStyle w:val="Hyperlink"/>
                  <w:rFonts w:eastAsia="SimSun"/>
                </w:rPr>
                <w:t>F.WAAD</w:t>
              </w:r>
            </w:hyperlink>
            <w:r w:rsidRPr="00701F13">
              <w:rPr>
                <w:rFonts w:eastAsia="SimSun"/>
                <w:szCs w:val="22"/>
                <w:lang w:eastAsia="ja-JP"/>
              </w:rPr>
              <w:t xml:space="preserve"> "Requisitos de seguridad para los amplificadores de sonido personales"</w:t>
            </w:r>
          </w:p>
          <w:p w:rsidR="00CD3405" w:rsidRPr="00701F13" w:rsidRDefault="00C95CAC" w:rsidP="007F6F8F">
            <w:pPr>
              <w:spacing w:after="120"/>
              <w:textAlignment w:val="auto"/>
              <w:rPr>
                <w:rFonts w:eastAsia="SimSun"/>
                <w:szCs w:val="22"/>
                <w:lang w:eastAsia="ja-JP"/>
              </w:rPr>
            </w:pPr>
            <w:r w:rsidRPr="00701F13">
              <w:rPr>
                <w:rFonts w:eastAsia="SimSun"/>
                <w:szCs w:val="22"/>
                <w:lang w:eastAsia="ja-JP"/>
              </w:rPr>
              <w:t>b)</w:t>
            </w:r>
            <w:r w:rsidRPr="00701F13">
              <w:rPr>
                <w:rFonts w:eastAsia="SimSun"/>
                <w:szCs w:val="22"/>
                <w:lang w:eastAsia="ja-JP"/>
              </w:rPr>
              <w:tab/>
              <w:t>Otros textos del G T2/16 que puedan haber alcanzado la madurez</w:t>
            </w:r>
          </w:p>
        </w:tc>
      </w:tr>
      <w:tr w:rsidR="00CD3405" w:rsidRPr="00701F13" w:rsidTr="00D2512C">
        <w:trPr>
          <w:jc w:val="center"/>
        </w:trPr>
        <w:tc>
          <w:tcPr>
            <w:tcW w:w="618" w:type="dxa"/>
          </w:tcPr>
          <w:p w:rsidR="00CD3405" w:rsidRPr="00701F13" w:rsidRDefault="00CD3405" w:rsidP="006C7637">
            <w:pPr>
              <w:spacing w:after="120"/>
              <w:jc w:val="center"/>
              <w:rPr>
                <w:rFonts w:eastAsia="SimSun"/>
                <w:szCs w:val="22"/>
              </w:rPr>
            </w:pPr>
            <w:r w:rsidRPr="00701F13">
              <w:rPr>
                <w:rFonts w:eastAsia="SimSun"/>
                <w:szCs w:val="22"/>
              </w:rPr>
              <w:t>9</w:t>
            </w:r>
          </w:p>
        </w:tc>
        <w:tc>
          <w:tcPr>
            <w:tcW w:w="9163" w:type="dxa"/>
            <w:gridSpan w:val="2"/>
            <w:hideMark/>
          </w:tcPr>
          <w:p w:rsidR="00CD3405" w:rsidRPr="00701F13" w:rsidRDefault="00CD3405" w:rsidP="006C7637">
            <w:pPr>
              <w:spacing w:after="120"/>
              <w:textAlignment w:val="auto"/>
              <w:rPr>
                <w:rFonts w:eastAsia="SimSun"/>
                <w:szCs w:val="22"/>
              </w:rPr>
            </w:pPr>
            <w:r w:rsidRPr="00701F13">
              <w:rPr>
                <w:rFonts w:eastAsia="SimSun"/>
                <w:szCs w:val="22"/>
              </w:rPr>
              <w:t>Aprobación de declaraciones de coordinación salientes</w:t>
            </w:r>
          </w:p>
        </w:tc>
      </w:tr>
      <w:tr w:rsidR="00CD3405" w:rsidRPr="00701F13" w:rsidTr="00D2512C">
        <w:trPr>
          <w:jc w:val="center"/>
        </w:trPr>
        <w:tc>
          <w:tcPr>
            <w:tcW w:w="618" w:type="dxa"/>
          </w:tcPr>
          <w:p w:rsidR="00CD3405" w:rsidRPr="00701F13" w:rsidRDefault="00CD3405" w:rsidP="006C7637">
            <w:pPr>
              <w:spacing w:after="120"/>
              <w:jc w:val="center"/>
              <w:rPr>
                <w:rFonts w:eastAsia="SimSun"/>
                <w:szCs w:val="22"/>
              </w:rPr>
            </w:pPr>
            <w:r w:rsidRPr="00701F13">
              <w:rPr>
                <w:rFonts w:eastAsia="SimSun"/>
                <w:szCs w:val="22"/>
              </w:rPr>
              <w:t>10</w:t>
            </w:r>
          </w:p>
        </w:tc>
        <w:tc>
          <w:tcPr>
            <w:tcW w:w="9163" w:type="dxa"/>
            <w:gridSpan w:val="2"/>
            <w:hideMark/>
          </w:tcPr>
          <w:p w:rsidR="00CD3405" w:rsidRPr="00701F13" w:rsidRDefault="00CD3405" w:rsidP="006C7637">
            <w:pPr>
              <w:spacing w:after="120"/>
              <w:textAlignment w:val="auto"/>
              <w:rPr>
                <w:rFonts w:eastAsia="SimSun"/>
                <w:szCs w:val="22"/>
              </w:rPr>
            </w:pPr>
            <w:r w:rsidRPr="00701F13">
              <w:rPr>
                <w:rFonts w:eastAsia="SimSun"/>
                <w:szCs w:val="22"/>
              </w:rPr>
              <w:t>Futuras reuniones</w:t>
            </w:r>
          </w:p>
        </w:tc>
      </w:tr>
      <w:tr w:rsidR="00CD3405" w:rsidRPr="00701F13" w:rsidTr="00D2512C">
        <w:trPr>
          <w:jc w:val="center"/>
        </w:trPr>
        <w:tc>
          <w:tcPr>
            <w:tcW w:w="618" w:type="dxa"/>
          </w:tcPr>
          <w:p w:rsidR="00CD3405" w:rsidRPr="00701F13" w:rsidRDefault="00CD3405" w:rsidP="006C7637">
            <w:pPr>
              <w:spacing w:after="120"/>
              <w:jc w:val="center"/>
              <w:rPr>
                <w:rFonts w:eastAsia="SimSun"/>
                <w:szCs w:val="22"/>
              </w:rPr>
            </w:pPr>
            <w:r w:rsidRPr="00701F13">
              <w:rPr>
                <w:rFonts w:eastAsia="SimSun"/>
                <w:szCs w:val="22"/>
              </w:rPr>
              <w:t>11</w:t>
            </w:r>
          </w:p>
        </w:tc>
        <w:tc>
          <w:tcPr>
            <w:tcW w:w="9163" w:type="dxa"/>
            <w:gridSpan w:val="2"/>
            <w:hideMark/>
          </w:tcPr>
          <w:p w:rsidR="00CD3405" w:rsidRPr="00701F13" w:rsidRDefault="00CD3405" w:rsidP="006C7637">
            <w:pPr>
              <w:spacing w:after="120"/>
              <w:textAlignment w:val="auto"/>
              <w:rPr>
                <w:rFonts w:eastAsia="SimSun"/>
                <w:szCs w:val="22"/>
              </w:rPr>
            </w:pPr>
            <w:r w:rsidRPr="00701F13">
              <w:rPr>
                <w:rFonts w:eastAsia="SimSun"/>
                <w:szCs w:val="22"/>
              </w:rPr>
              <w:t>Otros asuntos</w:t>
            </w:r>
          </w:p>
        </w:tc>
      </w:tr>
      <w:tr w:rsidR="00CD3405" w:rsidRPr="00701F13" w:rsidTr="00D2512C">
        <w:trPr>
          <w:jc w:val="center"/>
        </w:trPr>
        <w:tc>
          <w:tcPr>
            <w:tcW w:w="618" w:type="dxa"/>
          </w:tcPr>
          <w:p w:rsidR="00CD3405" w:rsidRPr="00701F13" w:rsidRDefault="00CD3405" w:rsidP="006C7637">
            <w:pPr>
              <w:spacing w:after="120"/>
              <w:jc w:val="center"/>
              <w:rPr>
                <w:rFonts w:eastAsia="SimSun"/>
                <w:szCs w:val="22"/>
              </w:rPr>
            </w:pPr>
            <w:r w:rsidRPr="00701F13">
              <w:rPr>
                <w:rFonts w:eastAsia="SimSun"/>
                <w:szCs w:val="22"/>
              </w:rPr>
              <w:t>12</w:t>
            </w:r>
          </w:p>
        </w:tc>
        <w:tc>
          <w:tcPr>
            <w:tcW w:w="9163" w:type="dxa"/>
            <w:gridSpan w:val="2"/>
            <w:hideMark/>
          </w:tcPr>
          <w:p w:rsidR="00CD3405" w:rsidRPr="00701F13" w:rsidRDefault="00CD3405" w:rsidP="006C7637">
            <w:pPr>
              <w:spacing w:after="120"/>
              <w:textAlignment w:val="auto"/>
              <w:rPr>
                <w:rFonts w:eastAsia="SimSun"/>
                <w:szCs w:val="22"/>
              </w:rPr>
            </w:pPr>
            <w:r w:rsidRPr="00701F13">
              <w:rPr>
                <w:rFonts w:eastAsia="SimSun"/>
                <w:szCs w:val="22"/>
              </w:rPr>
              <w:t>Clausura de la reunión</w:t>
            </w:r>
          </w:p>
        </w:tc>
      </w:tr>
    </w:tbl>
    <w:p w:rsidR="00CD3405" w:rsidRPr="00701F13" w:rsidRDefault="00CD3405" w:rsidP="0032202E">
      <w:pPr>
        <w:pStyle w:val="Reasons"/>
        <w:rPr>
          <w:lang w:val="es-ES_tradnl"/>
        </w:rPr>
      </w:pPr>
    </w:p>
    <w:p w:rsidR="00CD3405" w:rsidRPr="00701F13" w:rsidRDefault="00CD3405">
      <w:pPr>
        <w:jc w:val="center"/>
      </w:pPr>
      <w:r w:rsidRPr="00701F13">
        <w:t>______________</w:t>
      </w:r>
    </w:p>
    <w:sectPr w:rsidR="00CD3405" w:rsidRPr="00701F13" w:rsidSect="002545AA">
      <w:headerReference w:type="even" r:id="rId28"/>
      <w:headerReference w:type="default" r:id="rId29"/>
      <w:footerReference w:type="first" r:id="rId30"/>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CA" w:rsidRPr="0055719E" w:rsidRDefault="005E67CA" w:rsidP="005E67C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B4" w:rsidRDefault="00141CB4">
      <w:r>
        <w:t>____________________</w:t>
      </w:r>
    </w:p>
  </w:footnote>
  <w:footnote w:type="continuationSeparator" w:id="0">
    <w:p w:rsidR="00141CB4" w:rsidRDefault="0014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4F5F90">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F91F74">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7064D4">
          <w:rPr>
            <w:bCs/>
            <w:sz w:val="18"/>
            <w:szCs w:val="18"/>
          </w:rPr>
          <w:t>7</w:t>
        </w:r>
        <w:r w:rsidRPr="001A50AB">
          <w:rPr>
            <w:bCs/>
            <w:sz w:val="18"/>
            <w:szCs w:val="18"/>
          </w:rPr>
          <w:t>/</w:t>
        </w:r>
        <w:r w:rsidR="007064D4">
          <w:rPr>
            <w:bCs/>
            <w:sz w:val="18"/>
            <w:szCs w:val="18"/>
          </w:rPr>
          <w:t>16</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BC1FB8" w:rsidRPr="00BC1FB8" w:rsidRDefault="00BC1FB8" w:rsidP="004F5F90">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F91F74">
          <w:rPr>
            <w:noProof/>
            <w:sz w:val="18"/>
            <w:szCs w:val="18"/>
          </w:rPr>
          <w:t>3</w:t>
        </w:r>
        <w:r w:rsidRPr="00F55157">
          <w:rPr>
            <w:noProof/>
            <w:sz w:val="18"/>
            <w:szCs w:val="18"/>
          </w:rPr>
          <w:fldChar w:fldCharType="end"/>
        </w:r>
        <w:r>
          <w:rPr>
            <w:noProof/>
            <w:sz w:val="18"/>
            <w:szCs w:val="18"/>
          </w:rPr>
          <w:t xml:space="preserve"> -</w:t>
        </w:r>
        <w:r>
          <w:rPr>
            <w:noProof/>
            <w:sz w:val="18"/>
            <w:szCs w:val="18"/>
          </w:rPr>
          <w:br/>
        </w:r>
        <w:r w:rsidR="00EF11DF" w:rsidRPr="001A50AB">
          <w:rPr>
            <w:bCs/>
            <w:sz w:val="18"/>
            <w:szCs w:val="18"/>
          </w:rPr>
          <w:t xml:space="preserve">Carta Colectiva </w:t>
        </w:r>
        <w:r w:rsidR="007064D4">
          <w:rPr>
            <w:bCs/>
            <w:sz w:val="18"/>
            <w:szCs w:val="18"/>
          </w:rPr>
          <w:t>7</w:t>
        </w:r>
        <w:r w:rsidR="00EF11DF" w:rsidRPr="001A50AB">
          <w:rPr>
            <w:bCs/>
            <w:sz w:val="18"/>
            <w:szCs w:val="18"/>
          </w:rPr>
          <w:t>/</w:t>
        </w:r>
        <w:r w:rsidR="007064D4">
          <w:rPr>
            <w:bCs/>
            <w:sz w:val="18"/>
            <w:szCs w:val="18"/>
          </w:rPr>
          <w:t>16</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46AA3C6E"/>
    <w:multiLevelType w:val="hybridMultilevel"/>
    <w:tmpl w:val="F9B05B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3F4A11"/>
    <w:multiLevelType w:val="hybridMultilevel"/>
    <w:tmpl w:val="F9B05B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4"/>
  </w:num>
  <w:num w:numId="6">
    <w:abstractNumId w:val="5"/>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55D6E"/>
    <w:rsid w:val="000678BB"/>
    <w:rsid w:val="00080F6C"/>
    <w:rsid w:val="000A6164"/>
    <w:rsid w:val="000C375D"/>
    <w:rsid w:val="000C382F"/>
    <w:rsid w:val="000F67AE"/>
    <w:rsid w:val="00110101"/>
    <w:rsid w:val="00114963"/>
    <w:rsid w:val="001173CC"/>
    <w:rsid w:val="00126D02"/>
    <w:rsid w:val="001344C2"/>
    <w:rsid w:val="0013587D"/>
    <w:rsid w:val="00136FC2"/>
    <w:rsid w:val="00141CB4"/>
    <w:rsid w:val="00162B29"/>
    <w:rsid w:val="001671BC"/>
    <w:rsid w:val="0016793C"/>
    <w:rsid w:val="001707E7"/>
    <w:rsid w:val="001822E4"/>
    <w:rsid w:val="001A2905"/>
    <w:rsid w:val="001A54CC"/>
    <w:rsid w:val="001B4621"/>
    <w:rsid w:val="001C1486"/>
    <w:rsid w:val="001C2FAD"/>
    <w:rsid w:val="001D1BA9"/>
    <w:rsid w:val="001E0933"/>
    <w:rsid w:val="001F0D48"/>
    <w:rsid w:val="001F464A"/>
    <w:rsid w:val="002021BB"/>
    <w:rsid w:val="00212668"/>
    <w:rsid w:val="00221C83"/>
    <w:rsid w:val="002545AA"/>
    <w:rsid w:val="00257FB4"/>
    <w:rsid w:val="00271D3E"/>
    <w:rsid w:val="0027571F"/>
    <w:rsid w:val="002A6A22"/>
    <w:rsid w:val="002B124A"/>
    <w:rsid w:val="002C1570"/>
    <w:rsid w:val="00303D62"/>
    <w:rsid w:val="00313DBB"/>
    <w:rsid w:val="00324783"/>
    <w:rsid w:val="00326DA6"/>
    <w:rsid w:val="00327BC9"/>
    <w:rsid w:val="00335367"/>
    <w:rsid w:val="0033768F"/>
    <w:rsid w:val="0035707B"/>
    <w:rsid w:val="00370C2D"/>
    <w:rsid w:val="00385152"/>
    <w:rsid w:val="003963E4"/>
    <w:rsid w:val="003B60AA"/>
    <w:rsid w:val="003C00D3"/>
    <w:rsid w:val="003C2ECD"/>
    <w:rsid w:val="003D1E8D"/>
    <w:rsid w:val="003D4DFE"/>
    <w:rsid w:val="003D673B"/>
    <w:rsid w:val="003F0402"/>
    <w:rsid w:val="003F073D"/>
    <w:rsid w:val="003F2855"/>
    <w:rsid w:val="003F52A8"/>
    <w:rsid w:val="00401C20"/>
    <w:rsid w:val="00402B00"/>
    <w:rsid w:val="00415BCA"/>
    <w:rsid w:val="00421116"/>
    <w:rsid w:val="00427EA6"/>
    <w:rsid w:val="00433690"/>
    <w:rsid w:val="00450C73"/>
    <w:rsid w:val="00457F05"/>
    <w:rsid w:val="004652C6"/>
    <w:rsid w:val="004C1AD1"/>
    <w:rsid w:val="004C4144"/>
    <w:rsid w:val="004E26E4"/>
    <w:rsid w:val="004F0A81"/>
    <w:rsid w:val="004F5584"/>
    <w:rsid w:val="004F5F90"/>
    <w:rsid w:val="00505119"/>
    <w:rsid w:val="005267F7"/>
    <w:rsid w:val="00535F99"/>
    <w:rsid w:val="00545669"/>
    <w:rsid w:val="00555E45"/>
    <w:rsid w:val="00560EDA"/>
    <w:rsid w:val="00567B54"/>
    <w:rsid w:val="0057186B"/>
    <w:rsid w:val="005827E3"/>
    <w:rsid w:val="00586B1D"/>
    <w:rsid w:val="005B4854"/>
    <w:rsid w:val="005B6711"/>
    <w:rsid w:val="005D2096"/>
    <w:rsid w:val="005E66CB"/>
    <w:rsid w:val="005E67CA"/>
    <w:rsid w:val="005F7E9D"/>
    <w:rsid w:val="00607393"/>
    <w:rsid w:val="00622CE3"/>
    <w:rsid w:val="00635FA2"/>
    <w:rsid w:val="0064235A"/>
    <w:rsid w:val="0064549D"/>
    <w:rsid w:val="00647213"/>
    <w:rsid w:val="00653A0E"/>
    <w:rsid w:val="00653B29"/>
    <w:rsid w:val="0066435A"/>
    <w:rsid w:val="0067009C"/>
    <w:rsid w:val="006760CF"/>
    <w:rsid w:val="006969B4"/>
    <w:rsid w:val="006A0C05"/>
    <w:rsid w:val="006A243F"/>
    <w:rsid w:val="006A335A"/>
    <w:rsid w:val="006B5061"/>
    <w:rsid w:val="006C7637"/>
    <w:rsid w:val="006E0865"/>
    <w:rsid w:val="006E24F0"/>
    <w:rsid w:val="006F6581"/>
    <w:rsid w:val="00701F13"/>
    <w:rsid w:val="007064D4"/>
    <w:rsid w:val="007128A1"/>
    <w:rsid w:val="00715D93"/>
    <w:rsid w:val="00720BA2"/>
    <w:rsid w:val="00725B03"/>
    <w:rsid w:val="0077708D"/>
    <w:rsid w:val="00781E2A"/>
    <w:rsid w:val="007A32AF"/>
    <w:rsid w:val="007A3E9A"/>
    <w:rsid w:val="007A57B9"/>
    <w:rsid w:val="007A6373"/>
    <w:rsid w:val="007B34FB"/>
    <w:rsid w:val="007B6D71"/>
    <w:rsid w:val="007C12FA"/>
    <w:rsid w:val="007C441D"/>
    <w:rsid w:val="007C4B59"/>
    <w:rsid w:val="007F6F8F"/>
    <w:rsid w:val="008134A7"/>
    <w:rsid w:val="00823E22"/>
    <w:rsid w:val="008258C2"/>
    <w:rsid w:val="00833CCA"/>
    <w:rsid w:val="00846D89"/>
    <w:rsid w:val="008505BD"/>
    <w:rsid w:val="00850C78"/>
    <w:rsid w:val="00855B98"/>
    <w:rsid w:val="008C17AD"/>
    <w:rsid w:val="008D02CD"/>
    <w:rsid w:val="008D2C27"/>
    <w:rsid w:val="008F29BD"/>
    <w:rsid w:val="0091255A"/>
    <w:rsid w:val="00930957"/>
    <w:rsid w:val="00934054"/>
    <w:rsid w:val="0095172A"/>
    <w:rsid w:val="00952AD6"/>
    <w:rsid w:val="00963CD8"/>
    <w:rsid w:val="00975A06"/>
    <w:rsid w:val="0097635E"/>
    <w:rsid w:val="009900B7"/>
    <w:rsid w:val="009D3E5C"/>
    <w:rsid w:val="009D4C42"/>
    <w:rsid w:val="009E76EE"/>
    <w:rsid w:val="009F0942"/>
    <w:rsid w:val="00A119A2"/>
    <w:rsid w:val="00A149E8"/>
    <w:rsid w:val="00A40B6A"/>
    <w:rsid w:val="00A41330"/>
    <w:rsid w:val="00A42718"/>
    <w:rsid w:val="00A54E47"/>
    <w:rsid w:val="00A6120F"/>
    <w:rsid w:val="00A85283"/>
    <w:rsid w:val="00AA30D4"/>
    <w:rsid w:val="00AA7111"/>
    <w:rsid w:val="00AD1512"/>
    <w:rsid w:val="00AE7093"/>
    <w:rsid w:val="00AF276D"/>
    <w:rsid w:val="00B00CEC"/>
    <w:rsid w:val="00B07A99"/>
    <w:rsid w:val="00B17920"/>
    <w:rsid w:val="00B321C3"/>
    <w:rsid w:val="00B422BC"/>
    <w:rsid w:val="00B43174"/>
    <w:rsid w:val="00B43F77"/>
    <w:rsid w:val="00B44D9D"/>
    <w:rsid w:val="00B56897"/>
    <w:rsid w:val="00B616C2"/>
    <w:rsid w:val="00B95F0A"/>
    <w:rsid w:val="00B96180"/>
    <w:rsid w:val="00BB7377"/>
    <w:rsid w:val="00BC172A"/>
    <w:rsid w:val="00BC1FB8"/>
    <w:rsid w:val="00BF3B66"/>
    <w:rsid w:val="00C0097C"/>
    <w:rsid w:val="00C02A3A"/>
    <w:rsid w:val="00C05882"/>
    <w:rsid w:val="00C1185A"/>
    <w:rsid w:val="00C17AC0"/>
    <w:rsid w:val="00C24BFC"/>
    <w:rsid w:val="00C31ED4"/>
    <w:rsid w:val="00C34772"/>
    <w:rsid w:val="00C36657"/>
    <w:rsid w:val="00C44C79"/>
    <w:rsid w:val="00C50A2D"/>
    <w:rsid w:val="00C62DB4"/>
    <w:rsid w:val="00C71699"/>
    <w:rsid w:val="00C717E3"/>
    <w:rsid w:val="00C95CAC"/>
    <w:rsid w:val="00CA37FA"/>
    <w:rsid w:val="00CB3300"/>
    <w:rsid w:val="00CC1434"/>
    <w:rsid w:val="00CC1DE4"/>
    <w:rsid w:val="00CD3405"/>
    <w:rsid w:val="00CD4AE3"/>
    <w:rsid w:val="00CF58E7"/>
    <w:rsid w:val="00D027A3"/>
    <w:rsid w:val="00D119EC"/>
    <w:rsid w:val="00D166E0"/>
    <w:rsid w:val="00DA16FC"/>
    <w:rsid w:val="00DA7E46"/>
    <w:rsid w:val="00DD77C9"/>
    <w:rsid w:val="00DD7900"/>
    <w:rsid w:val="00DF4D66"/>
    <w:rsid w:val="00DF5926"/>
    <w:rsid w:val="00DF61F3"/>
    <w:rsid w:val="00E169EF"/>
    <w:rsid w:val="00E25441"/>
    <w:rsid w:val="00E5040E"/>
    <w:rsid w:val="00E6462F"/>
    <w:rsid w:val="00E764E2"/>
    <w:rsid w:val="00E81A56"/>
    <w:rsid w:val="00E839B0"/>
    <w:rsid w:val="00E85734"/>
    <w:rsid w:val="00E92C09"/>
    <w:rsid w:val="00EA04AF"/>
    <w:rsid w:val="00EA3374"/>
    <w:rsid w:val="00EB4E19"/>
    <w:rsid w:val="00EC185C"/>
    <w:rsid w:val="00EF11DF"/>
    <w:rsid w:val="00EF4FA4"/>
    <w:rsid w:val="00EF65F3"/>
    <w:rsid w:val="00F17A0D"/>
    <w:rsid w:val="00F2491B"/>
    <w:rsid w:val="00F40F4E"/>
    <w:rsid w:val="00F453C5"/>
    <w:rsid w:val="00F55157"/>
    <w:rsid w:val="00F6461F"/>
    <w:rsid w:val="00F81188"/>
    <w:rsid w:val="00F82F78"/>
    <w:rsid w:val="00F8524F"/>
    <w:rsid w:val="00F85832"/>
    <w:rsid w:val="00F904D8"/>
    <w:rsid w:val="00F91F74"/>
    <w:rsid w:val="00FA4A45"/>
    <w:rsid w:val="00FB1841"/>
    <w:rsid w:val="00FD2B2D"/>
    <w:rsid w:val="00FD2B88"/>
    <w:rsid w:val="00FE3E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enumlev1Char">
    <w:name w:val="enumlev1 Char"/>
    <w:basedOn w:val="DefaultParagraphFont"/>
    <w:link w:val="enumlev1"/>
    <w:rsid w:val="00EF11DF"/>
    <w:rPr>
      <w:rFonts w:asciiTheme="minorHAnsi" w:hAnsiTheme="minorHAnsi"/>
      <w:sz w:val="22"/>
      <w:lang w:val="es-ES_tradnl" w:eastAsia="en-US"/>
    </w:rPr>
  </w:style>
  <w:style w:type="paragraph" w:customStyle="1" w:styleId="Annextitle0">
    <w:name w:val="Annex_title"/>
    <w:basedOn w:val="Normal"/>
    <w:next w:val="Normal"/>
    <w:link w:val="AnnextitleChar"/>
    <w:rsid w:val="00EF11DF"/>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EF11DF"/>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file:///C:\Users\peral\Downloads\travel@itu.int" TargetMode="External"/><Relationship Id="rId3" Type="http://schemas.openxmlformats.org/officeDocument/2006/relationships/styles" Target="styles.xml"/><Relationship Id="rId21" Type="http://schemas.openxmlformats.org/officeDocument/2006/relationships/hyperlink" Target="http://www.itu.int/TIES/"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image" Target="media/image3.png"/><Relationship Id="rId25" Type="http://schemas.openxmlformats.org/officeDocument/2006/relationships/hyperlink" Target="http://www.itu.int/net4/travel/index-es.aspx"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ttps://www.itu.int/en/ITU-T/studygroups/Pages/template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rgm/tsg16" TargetMode="External"/><Relationship Id="rId24" Type="http://schemas.openxmlformats.org/officeDocument/2006/relationships/hyperlink" Target="http://itu.int/es/delegates-corn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Default.aspx?groupid=T17-SG16" TargetMode="External"/><Relationship Id="rId23" Type="http://schemas.openxmlformats.org/officeDocument/2006/relationships/hyperlink" Target="https://www.itu.int/md/T17-TSB-CIR-0068/es" TargetMode="External"/><Relationship Id="rId28" Type="http://schemas.openxmlformats.org/officeDocument/2006/relationships/header" Target="header1.xml"/><Relationship Id="rId10" Type="http://schemas.openxmlformats.org/officeDocument/2006/relationships/hyperlink" Target="http://itu.int/go/tsg16" TargetMode="External"/><Relationship Id="rId19" Type="http://schemas.openxmlformats.org/officeDocument/2006/relationships/hyperlink" Target="file:///\\blue\dfs\tsb\SG_DOC\SG16\COLL\2017-2020\007\tsbsg16@itu.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s://www.itu.int/es/ITU-T/studygroups/2017-2020/16/Pages/default.aspx" TargetMode="External"/><Relationship Id="rId22" Type="http://schemas.openxmlformats.org/officeDocument/2006/relationships/hyperlink" Target="mailto:servicedesk@itu.int" TargetMode="External"/><Relationship Id="rId27" Type="http://schemas.openxmlformats.org/officeDocument/2006/relationships/hyperlink" Target="http://www.itu.int/ITU-T/workprog/wp_item.aspx?isn=14436"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60832-F2F8-4787-84A4-9830026F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22</TotalTime>
  <Pages>4</Pages>
  <Words>1108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8098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Millet, Lia</cp:lastModifiedBy>
  <cp:revision>5</cp:revision>
  <cp:lastPrinted>2019-04-29T13:15:00Z</cp:lastPrinted>
  <dcterms:created xsi:type="dcterms:W3CDTF">2019-04-24T12:35:00Z</dcterms:created>
  <dcterms:modified xsi:type="dcterms:W3CDTF">2019-04-29T13:16:00Z</dcterms:modified>
</cp:coreProperties>
</file>