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A51E67" w:rsidTr="00CB634F">
        <w:trPr>
          <w:cantSplit/>
        </w:trPr>
        <w:tc>
          <w:tcPr>
            <w:tcW w:w="1418" w:type="dxa"/>
            <w:vAlign w:val="center"/>
          </w:tcPr>
          <w:p w:rsidR="00884D12" w:rsidRPr="00A51E67" w:rsidRDefault="00884D12" w:rsidP="00CB634F">
            <w:pPr>
              <w:tabs>
                <w:tab w:val="right" w:pos="8732"/>
              </w:tabs>
              <w:spacing w:before="0"/>
              <w:rPr>
                <w:b/>
                <w:bCs/>
                <w:iCs/>
                <w:color w:val="FFFFFF"/>
                <w:sz w:val="30"/>
                <w:szCs w:val="30"/>
              </w:rPr>
            </w:pPr>
            <w:r w:rsidRPr="00A51E67">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A51E67" w:rsidRDefault="00884D12" w:rsidP="00884D12">
            <w:pPr>
              <w:spacing w:before="0"/>
              <w:rPr>
                <w:rFonts w:cs="Times New Roman Bold"/>
                <w:b/>
                <w:bCs/>
                <w:smallCaps/>
                <w:sz w:val="26"/>
                <w:szCs w:val="26"/>
              </w:rPr>
            </w:pPr>
            <w:r w:rsidRPr="00A51E67">
              <w:rPr>
                <w:rFonts w:cs="Times New Roman Bold"/>
                <w:b/>
                <w:bCs/>
                <w:smallCaps/>
                <w:sz w:val="36"/>
                <w:szCs w:val="36"/>
              </w:rPr>
              <w:t>Unión Internacional de Telecomunicaciones</w:t>
            </w:r>
          </w:p>
          <w:p w:rsidR="00884D12" w:rsidRPr="00A51E67" w:rsidRDefault="00884D12" w:rsidP="00884D12">
            <w:pPr>
              <w:tabs>
                <w:tab w:val="right" w:pos="8732"/>
              </w:tabs>
              <w:spacing w:before="0"/>
              <w:rPr>
                <w:b/>
                <w:bCs/>
                <w:iCs/>
                <w:color w:val="FFFFFF"/>
                <w:sz w:val="30"/>
                <w:szCs w:val="30"/>
              </w:rPr>
            </w:pPr>
            <w:r w:rsidRPr="00A51E67">
              <w:rPr>
                <w:rFonts w:cs="Times New Roman Bold"/>
                <w:b/>
                <w:bCs/>
                <w:iCs/>
                <w:smallCaps/>
                <w:sz w:val="28"/>
                <w:szCs w:val="28"/>
              </w:rPr>
              <w:t>Oficina de Normalización de las Telecomunicaciones</w:t>
            </w:r>
          </w:p>
        </w:tc>
        <w:tc>
          <w:tcPr>
            <w:tcW w:w="1984" w:type="dxa"/>
            <w:vAlign w:val="center"/>
          </w:tcPr>
          <w:p w:rsidR="00884D12" w:rsidRPr="00A51E67" w:rsidRDefault="00884D12" w:rsidP="00CB634F">
            <w:pPr>
              <w:spacing w:before="0"/>
              <w:jc w:val="right"/>
              <w:rPr>
                <w:color w:val="FFFFFF"/>
                <w:sz w:val="26"/>
                <w:szCs w:val="26"/>
              </w:rPr>
            </w:pPr>
          </w:p>
        </w:tc>
      </w:tr>
    </w:tbl>
    <w:p w:rsidR="00C34772" w:rsidRPr="00A51E67" w:rsidRDefault="00C34772" w:rsidP="00303D62">
      <w:pPr>
        <w:tabs>
          <w:tab w:val="clear" w:pos="794"/>
          <w:tab w:val="clear" w:pos="1191"/>
          <w:tab w:val="clear" w:pos="1588"/>
          <w:tab w:val="clear" w:pos="1985"/>
          <w:tab w:val="left" w:pos="4962"/>
        </w:tabs>
      </w:pPr>
    </w:p>
    <w:p w:rsidR="00C34772" w:rsidRPr="00A51E67" w:rsidRDefault="00C34772" w:rsidP="00303D62">
      <w:pPr>
        <w:tabs>
          <w:tab w:val="clear" w:pos="794"/>
          <w:tab w:val="clear" w:pos="1191"/>
          <w:tab w:val="clear" w:pos="1588"/>
          <w:tab w:val="clear" w:pos="1985"/>
          <w:tab w:val="left" w:pos="4962"/>
        </w:tabs>
      </w:pPr>
      <w:r w:rsidRPr="00A51E67">
        <w:tab/>
        <w:t xml:space="preserve">Ginebra, </w:t>
      </w:r>
      <w:r w:rsidR="00A31DEA" w:rsidRPr="00A51E67">
        <w:t>29 de junio de 2018</w:t>
      </w:r>
    </w:p>
    <w:p w:rsidR="00C34772" w:rsidRPr="00A51E67" w:rsidRDefault="00C34772" w:rsidP="00303D62">
      <w:pPr>
        <w:spacing w:before="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A31DEA" w:rsidRPr="00A51E67" w:rsidTr="001C53BA">
        <w:trPr>
          <w:cantSplit/>
        </w:trPr>
        <w:tc>
          <w:tcPr>
            <w:tcW w:w="1126" w:type="dxa"/>
          </w:tcPr>
          <w:p w:rsidR="00A31DEA" w:rsidRPr="00A51E67" w:rsidRDefault="00A31DEA" w:rsidP="001C53BA">
            <w:pPr>
              <w:tabs>
                <w:tab w:val="left" w:pos="4111"/>
              </w:tabs>
              <w:spacing w:before="10"/>
              <w:ind w:left="57"/>
              <w:rPr>
                <w:szCs w:val="24"/>
              </w:rPr>
            </w:pPr>
            <w:r w:rsidRPr="00A51E67">
              <w:rPr>
                <w:szCs w:val="24"/>
              </w:rPr>
              <w:t>Ref.:</w:t>
            </w:r>
          </w:p>
        </w:tc>
        <w:tc>
          <w:tcPr>
            <w:tcW w:w="3751" w:type="dxa"/>
          </w:tcPr>
          <w:p w:rsidR="00A31DEA" w:rsidRPr="00A51E67" w:rsidRDefault="00A31DEA" w:rsidP="00A31DEA">
            <w:pPr>
              <w:tabs>
                <w:tab w:val="left" w:pos="4111"/>
              </w:tabs>
              <w:spacing w:before="10"/>
              <w:ind w:left="57"/>
              <w:rPr>
                <w:u w:val="single"/>
              </w:rPr>
            </w:pPr>
            <w:r w:rsidRPr="00A51E67">
              <w:rPr>
                <w:b/>
              </w:rPr>
              <w:t xml:space="preserve">Carta Colectiva TSB </w:t>
            </w:r>
            <w:r w:rsidRPr="00A51E67">
              <w:rPr>
                <w:b/>
                <w:szCs w:val="24"/>
              </w:rPr>
              <w:t>5/</w:t>
            </w:r>
            <w:bookmarkStart w:id="0" w:name="lt_pId018"/>
            <w:r w:rsidRPr="00A51E67">
              <w:rPr>
                <w:b/>
                <w:szCs w:val="24"/>
              </w:rPr>
              <w:t>20</w:t>
            </w:r>
            <w:r w:rsidRPr="00A51E67">
              <w:rPr>
                <w:b/>
                <w:szCs w:val="24"/>
              </w:rPr>
              <w:br/>
            </w:r>
            <w:r w:rsidRPr="00A51E67">
              <w:t>CE 20/CB</w:t>
            </w:r>
            <w:bookmarkEnd w:id="0"/>
          </w:p>
        </w:tc>
        <w:tc>
          <w:tcPr>
            <w:tcW w:w="4762" w:type="dxa"/>
            <w:vMerge w:val="restart"/>
          </w:tcPr>
          <w:p w:rsidR="00A31DEA" w:rsidRPr="00A51E67" w:rsidRDefault="00A31DEA" w:rsidP="001C53BA">
            <w:pPr>
              <w:tabs>
                <w:tab w:val="left" w:pos="4111"/>
              </w:tabs>
              <w:spacing w:before="0"/>
              <w:ind w:left="57"/>
              <w:rPr>
                <w:bCs/>
              </w:rPr>
            </w:pPr>
            <w:r w:rsidRPr="00A51E67">
              <w:rPr>
                <w:bCs/>
              </w:rPr>
              <w:t>A:</w:t>
            </w:r>
          </w:p>
          <w:p w:rsidR="00A31DEA" w:rsidRPr="00A51E67" w:rsidRDefault="00A31DEA" w:rsidP="001C53BA">
            <w:pPr>
              <w:tabs>
                <w:tab w:val="clear" w:pos="794"/>
                <w:tab w:val="left" w:pos="644"/>
              </w:tabs>
              <w:spacing w:before="0"/>
              <w:ind w:left="340" w:hanging="283"/>
            </w:pPr>
            <w:r w:rsidRPr="00A51E67">
              <w:t>–</w:t>
            </w:r>
            <w:r w:rsidRPr="00A51E67">
              <w:tab/>
              <w:t>las Administraciones de los Estados Miembros de la Unión;</w:t>
            </w:r>
          </w:p>
          <w:p w:rsidR="00A31DEA" w:rsidRPr="00A51E67" w:rsidRDefault="00A31DEA" w:rsidP="001C53BA">
            <w:pPr>
              <w:tabs>
                <w:tab w:val="clear" w:pos="794"/>
                <w:tab w:val="left" w:pos="644"/>
              </w:tabs>
              <w:spacing w:before="0"/>
              <w:ind w:left="340" w:hanging="283"/>
            </w:pPr>
            <w:r w:rsidRPr="00A51E67">
              <w:t>–</w:t>
            </w:r>
            <w:r w:rsidRPr="00A51E67">
              <w:tab/>
              <w:t>los Miembros de Sector del UIT</w:t>
            </w:r>
            <w:r w:rsidRPr="00A51E67">
              <w:noBreakHyphen/>
              <w:t>T;</w:t>
            </w:r>
          </w:p>
          <w:p w:rsidR="00A31DEA" w:rsidRPr="00A51E67" w:rsidRDefault="00A31DEA" w:rsidP="00A31DEA">
            <w:pPr>
              <w:tabs>
                <w:tab w:val="clear" w:pos="794"/>
                <w:tab w:val="left" w:pos="644"/>
              </w:tabs>
              <w:spacing w:before="0"/>
              <w:ind w:left="340" w:hanging="283"/>
            </w:pPr>
            <w:r w:rsidRPr="00A51E67">
              <w:t>–</w:t>
            </w:r>
            <w:r w:rsidRPr="00A51E67">
              <w:tab/>
              <w:t>los Asociados de la Comisión de Estudio 20 del UIT-T;</w:t>
            </w:r>
          </w:p>
          <w:p w:rsidR="00A31DEA" w:rsidRPr="00A51E67" w:rsidRDefault="00A31DEA" w:rsidP="001C53BA">
            <w:pPr>
              <w:tabs>
                <w:tab w:val="clear" w:pos="794"/>
                <w:tab w:val="left" w:pos="644"/>
              </w:tabs>
              <w:spacing w:before="0"/>
              <w:ind w:left="340" w:hanging="283"/>
              <w:rPr>
                <w:bCs/>
              </w:rPr>
            </w:pPr>
            <w:r w:rsidRPr="00A51E67">
              <w:t>–</w:t>
            </w:r>
            <w:r w:rsidRPr="00A51E67">
              <w:tab/>
              <w:t>las Instituciones Académicas de la UIT</w:t>
            </w:r>
          </w:p>
        </w:tc>
      </w:tr>
      <w:tr w:rsidR="00A31DEA" w:rsidRPr="00A51E67" w:rsidTr="001C53BA">
        <w:trPr>
          <w:cantSplit/>
        </w:trPr>
        <w:tc>
          <w:tcPr>
            <w:tcW w:w="1126" w:type="dxa"/>
          </w:tcPr>
          <w:p w:rsidR="00A31DEA" w:rsidRPr="00A51E67" w:rsidRDefault="00A31DEA" w:rsidP="007874EC">
            <w:pPr>
              <w:tabs>
                <w:tab w:val="left" w:pos="4111"/>
              </w:tabs>
              <w:spacing w:before="40" w:after="40"/>
              <w:ind w:left="57"/>
              <w:rPr>
                <w:szCs w:val="24"/>
              </w:rPr>
            </w:pPr>
            <w:r w:rsidRPr="00A51E67">
              <w:rPr>
                <w:szCs w:val="24"/>
              </w:rPr>
              <w:t>Tel.:</w:t>
            </w:r>
          </w:p>
        </w:tc>
        <w:tc>
          <w:tcPr>
            <w:tcW w:w="3751" w:type="dxa"/>
          </w:tcPr>
          <w:p w:rsidR="00A31DEA" w:rsidRPr="00A51E67" w:rsidRDefault="00A31DEA" w:rsidP="007874EC">
            <w:pPr>
              <w:tabs>
                <w:tab w:val="left" w:pos="4111"/>
              </w:tabs>
              <w:spacing w:before="40" w:after="40"/>
              <w:ind w:left="57"/>
              <w:rPr>
                <w:sz w:val="22"/>
              </w:rPr>
            </w:pPr>
            <w:r w:rsidRPr="00A51E67">
              <w:t>+41 22 730 6301</w:t>
            </w:r>
          </w:p>
        </w:tc>
        <w:tc>
          <w:tcPr>
            <w:tcW w:w="4762" w:type="dxa"/>
            <w:vMerge/>
          </w:tcPr>
          <w:p w:rsidR="00A31DEA" w:rsidRPr="00A51E67" w:rsidRDefault="00A31DEA" w:rsidP="001C53BA">
            <w:pPr>
              <w:tabs>
                <w:tab w:val="left" w:pos="4111"/>
              </w:tabs>
              <w:spacing w:before="0"/>
              <w:ind w:left="57"/>
              <w:rPr>
                <w:bCs/>
              </w:rPr>
            </w:pPr>
          </w:p>
        </w:tc>
      </w:tr>
      <w:tr w:rsidR="00A31DEA" w:rsidRPr="00A51E67" w:rsidTr="001C53BA">
        <w:trPr>
          <w:cantSplit/>
        </w:trPr>
        <w:tc>
          <w:tcPr>
            <w:tcW w:w="1126" w:type="dxa"/>
          </w:tcPr>
          <w:p w:rsidR="00A31DEA" w:rsidRPr="00A51E67" w:rsidRDefault="00A31DEA" w:rsidP="007874EC">
            <w:pPr>
              <w:tabs>
                <w:tab w:val="left" w:pos="4111"/>
              </w:tabs>
              <w:spacing w:before="40" w:after="40"/>
              <w:ind w:left="57"/>
              <w:rPr>
                <w:szCs w:val="24"/>
              </w:rPr>
            </w:pPr>
            <w:r w:rsidRPr="00A51E67">
              <w:rPr>
                <w:szCs w:val="24"/>
              </w:rPr>
              <w:t>Fax:</w:t>
            </w:r>
          </w:p>
        </w:tc>
        <w:tc>
          <w:tcPr>
            <w:tcW w:w="3751" w:type="dxa"/>
          </w:tcPr>
          <w:p w:rsidR="00A31DEA" w:rsidRPr="00A51E67" w:rsidRDefault="00A31DEA" w:rsidP="007874EC">
            <w:pPr>
              <w:tabs>
                <w:tab w:val="left" w:pos="4111"/>
              </w:tabs>
              <w:spacing w:before="40" w:after="40"/>
              <w:ind w:left="57"/>
              <w:rPr>
                <w:sz w:val="22"/>
              </w:rPr>
            </w:pPr>
            <w:r w:rsidRPr="00A51E67">
              <w:t>+41 22 730 5853</w:t>
            </w:r>
          </w:p>
        </w:tc>
        <w:tc>
          <w:tcPr>
            <w:tcW w:w="4762" w:type="dxa"/>
            <w:vMerge/>
          </w:tcPr>
          <w:p w:rsidR="00A31DEA" w:rsidRPr="00A51E67" w:rsidRDefault="00A31DEA" w:rsidP="001C53BA">
            <w:pPr>
              <w:tabs>
                <w:tab w:val="left" w:pos="4111"/>
              </w:tabs>
              <w:spacing w:before="0"/>
              <w:ind w:left="57"/>
              <w:rPr>
                <w:bCs/>
              </w:rPr>
            </w:pPr>
          </w:p>
        </w:tc>
      </w:tr>
      <w:tr w:rsidR="00A31DEA" w:rsidRPr="00A51E67" w:rsidTr="001C53BA">
        <w:trPr>
          <w:cantSplit/>
        </w:trPr>
        <w:tc>
          <w:tcPr>
            <w:tcW w:w="1126" w:type="dxa"/>
          </w:tcPr>
          <w:p w:rsidR="00A31DEA" w:rsidRPr="00A51E67" w:rsidRDefault="00A31DEA" w:rsidP="007874EC">
            <w:pPr>
              <w:tabs>
                <w:tab w:val="left" w:pos="4111"/>
              </w:tabs>
              <w:spacing w:before="40" w:after="40"/>
              <w:ind w:left="57"/>
              <w:rPr>
                <w:szCs w:val="24"/>
              </w:rPr>
            </w:pPr>
            <w:r w:rsidRPr="00A51E67">
              <w:rPr>
                <w:szCs w:val="24"/>
              </w:rPr>
              <w:t>Correo-e:</w:t>
            </w:r>
          </w:p>
        </w:tc>
        <w:tc>
          <w:tcPr>
            <w:tcW w:w="3751" w:type="dxa"/>
          </w:tcPr>
          <w:p w:rsidR="00A31DEA" w:rsidRPr="00A51E67" w:rsidRDefault="00D4102A" w:rsidP="007874EC">
            <w:pPr>
              <w:tabs>
                <w:tab w:val="left" w:pos="4111"/>
              </w:tabs>
              <w:spacing w:before="40" w:after="40"/>
              <w:ind w:left="57"/>
            </w:pPr>
            <w:hyperlink r:id="rId9" w:history="1">
              <w:r w:rsidR="00A31DEA" w:rsidRPr="00A51E67">
                <w:rPr>
                  <w:rStyle w:val="Hyperlink"/>
                </w:rPr>
                <w:t>tsbsg20@itu.int</w:t>
              </w:r>
            </w:hyperlink>
          </w:p>
        </w:tc>
        <w:tc>
          <w:tcPr>
            <w:tcW w:w="4762" w:type="dxa"/>
            <w:vMerge/>
          </w:tcPr>
          <w:p w:rsidR="00A31DEA" w:rsidRPr="00A51E67" w:rsidRDefault="00A31DEA" w:rsidP="001C53BA">
            <w:pPr>
              <w:tabs>
                <w:tab w:val="left" w:pos="4111"/>
              </w:tabs>
              <w:spacing w:before="0"/>
              <w:ind w:left="57"/>
            </w:pPr>
          </w:p>
        </w:tc>
      </w:tr>
      <w:tr w:rsidR="00A31DEA" w:rsidRPr="00A51E67" w:rsidTr="001C53BA">
        <w:trPr>
          <w:cantSplit/>
        </w:trPr>
        <w:tc>
          <w:tcPr>
            <w:tcW w:w="1126" w:type="dxa"/>
          </w:tcPr>
          <w:p w:rsidR="00A31DEA" w:rsidRPr="00A51E67" w:rsidRDefault="00A31DEA" w:rsidP="007874EC">
            <w:pPr>
              <w:tabs>
                <w:tab w:val="left" w:pos="4111"/>
              </w:tabs>
              <w:spacing w:before="40" w:after="40"/>
              <w:ind w:left="57"/>
              <w:rPr>
                <w:szCs w:val="24"/>
              </w:rPr>
            </w:pPr>
            <w:r w:rsidRPr="00A51E67">
              <w:rPr>
                <w:szCs w:val="24"/>
              </w:rPr>
              <w:t>Web:</w:t>
            </w:r>
          </w:p>
        </w:tc>
        <w:tc>
          <w:tcPr>
            <w:tcW w:w="3751" w:type="dxa"/>
          </w:tcPr>
          <w:p w:rsidR="00A31DEA" w:rsidRPr="00A51E67" w:rsidRDefault="00D4102A" w:rsidP="007874EC">
            <w:pPr>
              <w:tabs>
                <w:tab w:val="left" w:pos="4111"/>
              </w:tabs>
              <w:spacing w:before="40" w:after="40"/>
              <w:ind w:left="57"/>
            </w:pPr>
            <w:hyperlink r:id="rId10" w:history="1">
              <w:r w:rsidR="00A31DEA" w:rsidRPr="00A51E67">
                <w:rPr>
                  <w:rStyle w:val="Hyperlink"/>
                </w:rPr>
                <w:t>http://itu.int/go/tsg20</w:t>
              </w:r>
            </w:hyperlink>
          </w:p>
        </w:tc>
        <w:tc>
          <w:tcPr>
            <w:tcW w:w="4762" w:type="dxa"/>
            <w:vMerge/>
          </w:tcPr>
          <w:p w:rsidR="00A31DEA" w:rsidRPr="00A51E67" w:rsidRDefault="00A31DEA" w:rsidP="001C53BA">
            <w:pPr>
              <w:tabs>
                <w:tab w:val="left" w:pos="4111"/>
              </w:tabs>
              <w:spacing w:before="0"/>
              <w:ind w:left="57"/>
            </w:pPr>
          </w:p>
        </w:tc>
      </w:tr>
      <w:tr w:rsidR="00A31DEA" w:rsidRPr="00A51E67" w:rsidTr="001C53BA">
        <w:trPr>
          <w:cantSplit/>
        </w:trPr>
        <w:tc>
          <w:tcPr>
            <w:tcW w:w="1126" w:type="dxa"/>
          </w:tcPr>
          <w:p w:rsidR="00A31DEA" w:rsidRPr="00A51E67" w:rsidRDefault="00A31DEA" w:rsidP="007874EC">
            <w:pPr>
              <w:tabs>
                <w:tab w:val="left" w:pos="4111"/>
              </w:tabs>
              <w:spacing w:before="80" w:after="80"/>
              <w:ind w:left="57"/>
              <w:rPr>
                <w:szCs w:val="24"/>
              </w:rPr>
            </w:pPr>
            <w:r w:rsidRPr="00A51E67">
              <w:rPr>
                <w:szCs w:val="24"/>
              </w:rPr>
              <w:t>Asunto:</w:t>
            </w:r>
          </w:p>
        </w:tc>
        <w:tc>
          <w:tcPr>
            <w:tcW w:w="8513" w:type="dxa"/>
            <w:gridSpan w:val="2"/>
          </w:tcPr>
          <w:p w:rsidR="00A31DEA" w:rsidRPr="00A51E67" w:rsidRDefault="00A31DEA" w:rsidP="007874EC">
            <w:pPr>
              <w:tabs>
                <w:tab w:val="left" w:pos="4111"/>
              </w:tabs>
              <w:spacing w:before="80" w:after="80"/>
              <w:ind w:left="57"/>
              <w:rPr>
                <w:b/>
                <w:bCs/>
              </w:rPr>
            </w:pPr>
            <w:r w:rsidRPr="00A51E67">
              <w:rPr>
                <w:b/>
                <w:bCs/>
                <w:szCs w:val="24"/>
              </w:rPr>
              <w:t>Reunión de la Comisión de Estudio 20, Wuxi (China)</w:t>
            </w:r>
            <w:r w:rsidRPr="00A51E67">
              <w:rPr>
                <w:b/>
                <w:bCs/>
                <w:szCs w:val="24"/>
              </w:rPr>
              <w:br/>
              <w:t>3</w:t>
            </w:r>
            <w:r w:rsidRPr="00A51E67">
              <w:rPr>
                <w:b/>
                <w:bCs/>
                <w:szCs w:val="24"/>
              </w:rPr>
              <w:noBreakHyphen/>
              <w:t>13 de diciembre de 2018</w:t>
            </w:r>
          </w:p>
        </w:tc>
      </w:tr>
    </w:tbl>
    <w:p w:rsidR="00C34772" w:rsidRPr="00A51E67" w:rsidRDefault="00C34772" w:rsidP="00A31DEA">
      <w:pPr>
        <w:pStyle w:val="Normalaftertitle"/>
      </w:pPr>
      <w:bookmarkStart w:id="1" w:name="StartTyping_S"/>
      <w:bookmarkStart w:id="2" w:name="suitetext"/>
      <w:bookmarkStart w:id="3" w:name="text"/>
      <w:bookmarkEnd w:id="1"/>
      <w:bookmarkEnd w:id="2"/>
      <w:bookmarkEnd w:id="3"/>
      <w:r w:rsidRPr="00A51E67">
        <w:t>Muy Señora mía/Muy Señor mío:</w:t>
      </w:r>
    </w:p>
    <w:p w:rsidR="00A31DEA" w:rsidRPr="00A51E67" w:rsidRDefault="00A31DEA" w:rsidP="00A31DEA">
      <w:r w:rsidRPr="00A51E67">
        <w:t>Me complace invitarle a asistir a la reunión de la Comisión de Estudio 20 (Internet de las cosas (IoT) y ciudades y comunidades inteligentes (C</w:t>
      </w:r>
      <w:r w:rsidR="000B5ED5" w:rsidRPr="00A51E67">
        <w:t>+</w:t>
      </w:r>
      <w:r w:rsidRPr="00A51E67">
        <w:t>CI)) que se celebrará, en Wuxi (China), del 3 al 13 de diciembre de 2018, ambos inclusive.</w:t>
      </w:r>
    </w:p>
    <w:p w:rsidR="00A31DEA" w:rsidRPr="00A51E67" w:rsidRDefault="001A4988" w:rsidP="001A4988">
      <w:bookmarkStart w:id="4" w:name="lt_pId043"/>
      <w:r w:rsidRPr="00A51E67">
        <w:t>De manera excepcional, la inscripción para esta reunión no requerirá la aprobación del coordinador anunciada en la Circular 68 de la TSB. Se aplican los procedimientos anteriores, según se detalla en el Anexo A.</w:t>
      </w:r>
      <w:bookmarkEnd w:id="4"/>
    </w:p>
    <w:p w:rsidR="00A31DEA" w:rsidRPr="00A51E67" w:rsidRDefault="00A31DEA" w:rsidP="001A4988">
      <w:r w:rsidRPr="00A51E67">
        <w:t xml:space="preserve">La reunión comenzará a las 16.30 horas del primer día, y la inscripción de los participantes comenzará a las 08.30 horas del 3 de diciembre de 2018. </w:t>
      </w:r>
      <w:r w:rsidR="001A4988" w:rsidRPr="00A51E67">
        <w:t>L</w:t>
      </w:r>
      <w:r w:rsidRPr="00A51E67">
        <w:t>a reunión</w:t>
      </w:r>
      <w:r w:rsidR="001A4988" w:rsidRPr="00A51E67">
        <w:t xml:space="preserve"> irá precedida de </w:t>
      </w:r>
      <w:r w:rsidRPr="00A51E67">
        <w:t>un Foro sobre "Inteligencia artificial, Internet de las cosas y ciudades inteligentes"</w:t>
      </w:r>
      <w:r w:rsidR="001A4988" w:rsidRPr="00A51E67">
        <w:t>, que tendrá lugar el 3 de diciembre de las 09</w:t>
      </w:r>
      <w:r w:rsidR="00F91D9D" w:rsidRPr="00A51E67">
        <w:t>.</w:t>
      </w:r>
      <w:r w:rsidR="001A4988" w:rsidRPr="00A51E67">
        <w:t>30 a las 16</w:t>
      </w:r>
      <w:r w:rsidR="00F91D9D" w:rsidRPr="00A51E67">
        <w:t>.</w:t>
      </w:r>
      <w:r w:rsidR="001A4988" w:rsidRPr="00A51E67">
        <w:t>00 horas</w:t>
      </w:r>
      <w:r w:rsidRPr="00A51E67">
        <w:t xml:space="preserve">. </w:t>
      </w:r>
      <w:bookmarkStart w:id="5" w:name="lt_pId047"/>
      <w:r w:rsidR="001A4988" w:rsidRPr="00A51E67">
        <w:t xml:space="preserve">Se facilitarán más detalles en el </w:t>
      </w:r>
      <w:hyperlink r:id="rId11" w:history="1">
        <w:r w:rsidRPr="00A51E67">
          <w:rPr>
            <w:rStyle w:val="Hyperlink"/>
          </w:rPr>
          <w:t>sitio web de la Comisión de Estudio 20</w:t>
        </w:r>
        <w:bookmarkEnd w:id="5"/>
      </w:hyperlink>
      <w:r w:rsidRPr="00A51E67">
        <w:t>.</w:t>
      </w:r>
    </w:p>
    <w:p w:rsidR="00A31DEA" w:rsidRPr="00A51E67" w:rsidRDefault="00A31DEA" w:rsidP="00A31DEA">
      <w:r w:rsidRPr="00A51E67">
        <w:t>Asimismo, el 6 de diciembre de 2018, de 14.00 a 16.00 horas, tendrá lugar la reunión de la Actividad Mixta de Coordinación sobre Internet de las cosas y ciudades y comunidades inteligentes (JCA-IoT y C</w:t>
      </w:r>
      <w:r w:rsidR="00C912D3" w:rsidRPr="00A51E67">
        <w:t>+</w:t>
      </w:r>
      <w:r w:rsidRPr="00A51E67">
        <w:t>CI).</w:t>
      </w:r>
    </w:p>
    <w:p w:rsidR="00A31DEA" w:rsidRPr="00A51E67" w:rsidRDefault="001A4988" w:rsidP="001A4988">
      <w:r w:rsidRPr="00A51E67">
        <w:t xml:space="preserve">Se facilitará información detallada acerca de las salas de reunión en el lugar de celebración y </w:t>
      </w:r>
      <w:r w:rsidR="00A412EB" w:rsidRPr="00A51E67">
        <w:t>en el mostrador de inscripción.</w:t>
      </w:r>
    </w:p>
    <w:p w:rsidR="00A31DEA" w:rsidRPr="00A51E67" w:rsidRDefault="00A31DEA" w:rsidP="00A412EB">
      <w:r w:rsidRPr="00A51E67">
        <w:br w:type="page"/>
      </w:r>
      <w:bookmarkStart w:id="6" w:name="_GoBack"/>
      <w:bookmarkEnd w:id="6"/>
    </w:p>
    <w:p w:rsidR="00A31DEA" w:rsidRPr="00A51E67" w:rsidRDefault="00A31DEA" w:rsidP="00A31DEA">
      <w:pPr>
        <w:pStyle w:val="Headingb0"/>
        <w:spacing w:after="120"/>
      </w:pPr>
      <w:r w:rsidRPr="00A51E67">
        <w:lastRenderedPageBreak/>
        <w:t>Plazos importantes</w:t>
      </w:r>
    </w:p>
    <w:tbl>
      <w:tblPr>
        <w:tblStyle w:val="TableGrid"/>
        <w:tblW w:w="9634" w:type="dxa"/>
        <w:tblLook w:val="04A0" w:firstRow="1" w:lastRow="0" w:firstColumn="1" w:lastColumn="0" w:noHBand="0" w:noVBand="1"/>
      </w:tblPr>
      <w:tblGrid>
        <w:gridCol w:w="2802"/>
        <w:gridCol w:w="6832"/>
      </w:tblGrid>
      <w:tr w:rsidR="00A31DEA" w:rsidRPr="00A51E67" w:rsidTr="00A31DEA">
        <w:tc>
          <w:tcPr>
            <w:tcW w:w="2802" w:type="dxa"/>
          </w:tcPr>
          <w:p w:rsidR="00A31DEA" w:rsidRPr="00A51E67" w:rsidRDefault="00A31DEA" w:rsidP="005A12A8">
            <w:pPr>
              <w:spacing w:before="40" w:after="40"/>
              <w:rPr>
                <w:b/>
              </w:rPr>
            </w:pPr>
            <w:r w:rsidRPr="00A51E67">
              <w:t>3 de octubre de 2018</w:t>
            </w:r>
          </w:p>
        </w:tc>
        <w:tc>
          <w:tcPr>
            <w:tcW w:w="6832" w:type="dxa"/>
          </w:tcPr>
          <w:p w:rsidR="00A31DEA" w:rsidRPr="00A51E67" w:rsidRDefault="00A31DEA" w:rsidP="005A12A8">
            <w:pPr>
              <w:pStyle w:val="enumlev1"/>
              <w:tabs>
                <w:tab w:val="clear" w:pos="794"/>
                <w:tab w:val="left" w:pos="318"/>
              </w:tabs>
              <w:spacing w:before="40" w:after="40"/>
              <w:ind w:left="318" w:hanging="318"/>
              <w:rPr>
                <w:b/>
                <w:bCs/>
              </w:rPr>
            </w:pPr>
            <w:r w:rsidRPr="00A51E67">
              <w:t>–</w:t>
            </w:r>
            <w:r w:rsidRPr="00A51E67">
              <w:tab/>
            </w:r>
            <w:hyperlink r:id="rId12" w:history="1">
              <w:r w:rsidRPr="00A51E67">
                <w:rPr>
                  <w:rStyle w:val="Hyperlink"/>
                </w:rPr>
                <w:t>Presentación de contribuciones de los Miembros del UIT-T</w:t>
              </w:r>
            </w:hyperlink>
            <w:r w:rsidRPr="00A51E67">
              <w:t xml:space="preserve"> para las que se requiera traducción</w:t>
            </w:r>
          </w:p>
        </w:tc>
      </w:tr>
      <w:tr w:rsidR="00A31DEA" w:rsidRPr="00A51E67" w:rsidTr="00A31DEA">
        <w:tc>
          <w:tcPr>
            <w:tcW w:w="2802" w:type="dxa"/>
          </w:tcPr>
          <w:p w:rsidR="00A31DEA" w:rsidRPr="00A51E67" w:rsidRDefault="00A31DEA" w:rsidP="005A12A8">
            <w:pPr>
              <w:spacing w:before="40" w:after="40"/>
            </w:pPr>
            <w:r w:rsidRPr="00A51E67">
              <w:t>22 de octubre de 2018</w:t>
            </w:r>
          </w:p>
        </w:tc>
        <w:tc>
          <w:tcPr>
            <w:tcW w:w="6832" w:type="dxa"/>
          </w:tcPr>
          <w:p w:rsidR="00A31DEA" w:rsidRPr="00A51E67" w:rsidRDefault="00A31DEA" w:rsidP="005A12A8">
            <w:pPr>
              <w:pStyle w:val="enumlev1"/>
              <w:tabs>
                <w:tab w:val="clear" w:pos="794"/>
                <w:tab w:val="left" w:pos="318"/>
              </w:tabs>
              <w:spacing w:before="40" w:after="40"/>
              <w:ind w:left="318" w:hanging="318"/>
            </w:pPr>
            <w:r w:rsidRPr="00A51E67">
              <w:t>–</w:t>
            </w:r>
            <w:r w:rsidRPr="00A51E67">
              <w:tab/>
            </w:r>
            <w:r w:rsidR="001A4988" w:rsidRPr="00A51E67">
              <w:t>Presentación de s</w:t>
            </w:r>
            <w:r w:rsidRPr="00A51E67">
              <w:t xml:space="preserve">olicitudes de beca (encontrará el formulario de solicitud y orientaciones </w:t>
            </w:r>
            <w:hyperlink r:id="rId13" w:history="1">
              <w:r w:rsidRPr="007A2EFC">
                <w:rPr>
                  <w:rStyle w:val="Hyperlink"/>
                </w:rPr>
                <w:t>aquí</w:t>
              </w:r>
            </w:hyperlink>
            <w:r w:rsidRPr="00A51E67">
              <w:t>)</w:t>
            </w:r>
          </w:p>
          <w:p w:rsidR="00A31DEA" w:rsidRPr="00A51E67" w:rsidRDefault="00A31DEA" w:rsidP="005A12A8">
            <w:pPr>
              <w:pStyle w:val="enumlev1"/>
              <w:tabs>
                <w:tab w:val="clear" w:pos="794"/>
                <w:tab w:val="left" w:pos="318"/>
              </w:tabs>
              <w:spacing w:before="40" w:after="40"/>
              <w:ind w:left="318" w:hanging="318"/>
            </w:pPr>
            <w:r w:rsidRPr="00A51E67">
              <w:t>–</w:t>
            </w:r>
            <w:r w:rsidRPr="00A51E67">
              <w:tab/>
            </w:r>
            <w:r w:rsidR="001A4988" w:rsidRPr="00A51E67">
              <w:t xml:space="preserve">Presentación de solicitudes </w:t>
            </w:r>
            <w:r w:rsidRPr="00A51E67">
              <w:t>interpretación (a través del formulario de preinscripción en línea)</w:t>
            </w:r>
          </w:p>
        </w:tc>
      </w:tr>
      <w:tr w:rsidR="00A31DEA" w:rsidRPr="00A51E67" w:rsidTr="00A31DEA">
        <w:tc>
          <w:tcPr>
            <w:tcW w:w="2802" w:type="dxa"/>
          </w:tcPr>
          <w:p w:rsidR="00A31DEA" w:rsidRPr="00A51E67" w:rsidRDefault="00A31DEA" w:rsidP="005A12A8">
            <w:pPr>
              <w:spacing w:before="40" w:after="40"/>
            </w:pPr>
            <w:r w:rsidRPr="00A51E67">
              <w:t>3 de noviembre de 2018</w:t>
            </w:r>
          </w:p>
        </w:tc>
        <w:tc>
          <w:tcPr>
            <w:tcW w:w="6832" w:type="dxa"/>
          </w:tcPr>
          <w:p w:rsidR="00A31DEA" w:rsidRPr="00A51E67" w:rsidRDefault="00A31DEA" w:rsidP="005A12A8">
            <w:pPr>
              <w:pStyle w:val="enumlev1"/>
              <w:tabs>
                <w:tab w:val="clear" w:pos="794"/>
                <w:tab w:val="left" w:pos="318"/>
              </w:tabs>
              <w:spacing w:before="40" w:after="40"/>
              <w:ind w:left="318" w:hanging="318"/>
            </w:pPr>
            <w:r w:rsidRPr="00A51E67">
              <w:t>–</w:t>
            </w:r>
            <w:r w:rsidRPr="00A51E67">
              <w:tab/>
              <w:t xml:space="preserve">Preinscripción (en línea a través de la </w:t>
            </w:r>
            <w:hyperlink r:id="rId14" w:history="1">
              <w:r w:rsidRPr="00A51E67">
                <w:rPr>
                  <w:rStyle w:val="Hyperlink"/>
                </w:rPr>
                <w:t>página principal de la Comisión de Estudio</w:t>
              </w:r>
            </w:hyperlink>
            <w:r w:rsidRPr="00A51E67">
              <w:t>)</w:t>
            </w:r>
          </w:p>
          <w:p w:rsidR="00A31DEA" w:rsidRPr="00A51E67" w:rsidRDefault="00A31DEA" w:rsidP="005A12A8">
            <w:pPr>
              <w:pStyle w:val="enumlev1"/>
              <w:tabs>
                <w:tab w:val="clear" w:pos="794"/>
                <w:tab w:val="left" w:pos="318"/>
              </w:tabs>
              <w:spacing w:before="40" w:after="40"/>
              <w:ind w:left="318" w:hanging="318"/>
            </w:pPr>
            <w:r w:rsidRPr="00A51E67">
              <w:t>–</w:t>
            </w:r>
            <w:r w:rsidRPr="00A51E67">
              <w:tab/>
            </w:r>
            <w:r w:rsidR="001A4988" w:rsidRPr="00A51E67">
              <w:t xml:space="preserve">Presentación de solicitudes de </w:t>
            </w:r>
            <w:r w:rsidRPr="00A51E67">
              <w:t>cartas para la obtención de visados</w:t>
            </w:r>
          </w:p>
        </w:tc>
      </w:tr>
      <w:tr w:rsidR="00A31DEA" w:rsidRPr="00A51E67" w:rsidTr="00A31DEA">
        <w:tc>
          <w:tcPr>
            <w:tcW w:w="2802" w:type="dxa"/>
          </w:tcPr>
          <w:p w:rsidR="00A31DEA" w:rsidRPr="00A51E67" w:rsidRDefault="00A31DEA" w:rsidP="005A12A8">
            <w:pPr>
              <w:spacing w:before="40" w:after="40"/>
            </w:pPr>
            <w:r w:rsidRPr="00A51E67">
              <w:t>20 de noviembre de 2018</w:t>
            </w:r>
          </w:p>
        </w:tc>
        <w:tc>
          <w:tcPr>
            <w:tcW w:w="6832" w:type="dxa"/>
          </w:tcPr>
          <w:p w:rsidR="00A31DEA" w:rsidRPr="00A51E67" w:rsidRDefault="00A31DEA" w:rsidP="005A12A8">
            <w:pPr>
              <w:pStyle w:val="enumlev1"/>
              <w:tabs>
                <w:tab w:val="clear" w:pos="794"/>
                <w:tab w:val="left" w:pos="318"/>
              </w:tabs>
              <w:spacing w:before="40" w:after="40"/>
              <w:ind w:left="318" w:hanging="318"/>
            </w:pPr>
            <w:r w:rsidRPr="00A51E67">
              <w:t>–</w:t>
            </w:r>
            <w:r w:rsidRPr="00A51E67">
              <w:tab/>
            </w:r>
            <w:hyperlink r:id="rId15" w:history="1">
              <w:r w:rsidRPr="00A51E67">
                <w:rPr>
                  <w:rStyle w:val="Hyperlink"/>
                </w:rPr>
                <w:t>Presentación de contribuciones de los Miembros del UIT-T</w:t>
              </w:r>
            </w:hyperlink>
            <w:r w:rsidRPr="00A51E67">
              <w:rPr>
                <w:rStyle w:val="Hyperlink"/>
              </w:rPr>
              <w:t xml:space="preserve"> (</w:t>
            </w:r>
            <w:r w:rsidR="001A4988" w:rsidRPr="00A51E67">
              <w:rPr>
                <w:rStyle w:val="Hyperlink"/>
              </w:rPr>
              <w:t>a través de la Publicación Directa de Documentos</w:t>
            </w:r>
            <w:r w:rsidRPr="00A51E67">
              <w:rPr>
                <w:rStyle w:val="Hyperlink"/>
              </w:rPr>
              <w:t>)</w:t>
            </w:r>
          </w:p>
        </w:tc>
      </w:tr>
    </w:tbl>
    <w:p w:rsidR="00A31DEA" w:rsidRPr="00A51E67" w:rsidRDefault="00A31DEA" w:rsidP="00A31DEA">
      <w:r w:rsidRPr="00A51E67">
        <w:t xml:space="preserve">En el </w:t>
      </w:r>
      <w:r w:rsidRPr="00A51E67">
        <w:rPr>
          <w:b/>
        </w:rPr>
        <w:t>Anexo A</w:t>
      </w:r>
      <w:r w:rsidRPr="00A51E67">
        <w:t xml:space="preserve"> se facilita información adicional acerca de la reunión. En el </w:t>
      </w:r>
      <w:r w:rsidRPr="00A51E67">
        <w:rPr>
          <w:b/>
        </w:rPr>
        <w:t>Anexo B</w:t>
      </w:r>
      <w:r w:rsidRPr="00A51E67">
        <w:t xml:space="preserve"> se recoge un proyecto de </w:t>
      </w:r>
      <w:r w:rsidRPr="00A51E67">
        <w:rPr>
          <w:b/>
          <w:bCs/>
        </w:rPr>
        <w:t>orden del día</w:t>
      </w:r>
      <w:r w:rsidRPr="00A51E67">
        <w:t xml:space="preserve"> de la reunión, preparado por el Presidente de la CE</w:t>
      </w:r>
      <w:r w:rsidR="00CD37B7" w:rsidRPr="00A51E67">
        <w:t> </w:t>
      </w:r>
      <w:r w:rsidRPr="00A51E67">
        <w:t>20, Sr. </w:t>
      </w:r>
      <w:r w:rsidRPr="00A51E67">
        <w:rPr>
          <w:rFonts w:ascii="Calibri" w:hAnsi="Calibri" w:cs="Arial"/>
          <w:szCs w:val="24"/>
        </w:rPr>
        <w:t>Nasser Al Marzouqi</w:t>
      </w:r>
      <w:r w:rsidRPr="00A51E67">
        <w:t xml:space="preserve"> (Emiratos Árabes Unidos). </w:t>
      </w:r>
      <w:r w:rsidRPr="00A51E67">
        <w:rPr>
          <w:color w:val="000000"/>
        </w:rPr>
        <w:t>El horario de reuniones provisional se publicará en</w:t>
      </w:r>
      <w:r w:rsidRPr="00A51E67">
        <w:rPr>
          <w:b/>
          <w:bCs/>
        </w:rPr>
        <w:t xml:space="preserve"> </w:t>
      </w:r>
      <w:hyperlink r:id="rId16" w:history="1">
        <w:r w:rsidRPr="00A51E67">
          <w:rPr>
            <w:rStyle w:val="Hyperlink"/>
          </w:rPr>
          <w:t>http://www.itu.int/ITU-T/go/sg20</w:t>
        </w:r>
      </w:hyperlink>
      <w:r w:rsidRPr="00A51E67">
        <w:t>.</w:t>
      </w:r>
    </w:p>
    <w:p w:rsidR="00A31DEA" w:rsidRPr="00A51E67" w:rsidRDefault="00A31DEA" w:rsidP="00A31DEA">
      <w:r w:rsidRPr="00A51E67">
        <w:t>Le deseo una reunión agradable y productiva.</w:t>
      </w:r>
    </w:p>
    <w:tbl>
      <w:tblPr>
        <w:tblStyle w:val="TableGrid"/>
        <w:tblW w:w="0" w:type="auto"/>
        <w:tblLook w:val="04A0" w:firstRow="1" w:lastRow="0" w:firstColumn="1" w:lastColumn="0" w:noHBand="0" w:noVBand="1"/>
      </w:tblPr>
      <w:tblGrid>
        <w:gridCol w:w="6237"/>
        <w:gridCol w:w="3392"/>
      </w:tblGrid>
      <w:tr w:rsidR="00A31DEA" w:rsidRPr="00A51E67" w:rsidTr="001C53BA">
        <w:tc>
          <w:tcPr>
            <w:tcW w:w="6237" w:type="dxa"/>
            <w:tcBorders>
              <w:top w:val="nil"/>
              <w:left w:val="nil"/>
              <w:bottom w:val="nil"/>
            </w:tcBorders>
          </w:tcPr>
          <w:p w:rsidR="00A31DEA" w:rsidRPr="00A51E67" w:rsidRDefault="00A31DEA" w:rsidP="001C53BA">
            <w:pPr>
              <w:rPr>
                <w:bCs/>
              </w:rPr>
            </w:pPr>
            <w:r w:rsidRPr="00A51E67">
              <w:rPr>
                <w:bCs/>
              </w:rPr>
              <w:t>Atentamente,</w:t>
            </w:r>
          </w:p>
          <w:p w:rsidR="00A31DEA" w:rsidRPr="00A51E67" w:rsidRDefault="00A31DEA" w:rsidP="001C53BA">
            <w:pPr>
              <w:spacing w:before="480"/>
              <w:rPr>
                <w:bCs/>
                <w:i/>
                <w:iCs/>
              </w:rPr>
            </w:pPr>
            <w:r w:rsidRPr="00A51E67">
              <w:rPr>
                <w:bCs/>
                <w:i/>
                <w:iCs/>
              </w:rPr>
              <w:t>(firmado)</w:t>
            </w:r>
          </w:p>
          <w:p w:rsidR="00A31DEA" w:rsidRPr="00A51E67" w:rsidRDefault="00A31DEA" w:rsidP="001C53BA">
            <w:pPr>
              <w:spacing w:before="480"/>
              <w:ind w:right="91"/>
            </w:pPr>
            <w:r w:rsidRPr="00A51E67">
              <w:t>Chaesub Lee</w:t>
            </w:r>
            <w:r w:rsidRPr="00A51E67">
              <w:br/>
              <w:t>Director de la Oficina de Normalización</w:t>
            </w:r>
            <w:r w:rsidRPr="00A51E67">
              <w:br/>
              <w:t>de las Telecomunicaciones</w:t>
            </w:r>
          </w:p>
        </w:tc>
        <w:tc>
          <w:tcPr>
            <w:tcW w:w="3392" w:type="dxa"/>
          </w:tcPr>
          <w:p w:rsidR="00A31DEA" w:rsidRPr="00A51E67" w:rsidRDefault="00A31DEA" w:rsidP="001C53BA">
            <w:pPr>
              <w:jc w:val="center"/>
              <w:rPr>
                <w:bCs/>
              </w:rPr>
            </w:pPr>
            <w:r w:rsidRPr="00A51E67">
              <w:rPr>
                <w:noProof/>
                <w:sz w:val="16"/>
                <w:szCs w:val="16"/>
                <w:lang w:val="en-US" w:eastAsia="zh-CN"/>
              </w:rPr>
              <w:drawing>
                <wp:inline distT="0" distB="0" distL="0" distR="0" wp14:anchorId="3418BA90" wp14:editId="33BA028D">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00215"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72418" cy="1172418"/>
                          </a:xfrm>
                          <a:prstGeom prst="rect">
                            <a:avLst/>
                          </a:prstGeom>
                          <a:noFill/>
                          <a:ln>
                            <a:noFill/>
                          </a:ln>
                        </pic:spPr>
                      </pic:pic>
                    </a:graphicData>
                  </a:graphic>
                </wp:inline>
              </w:drawing>
            </w:r>
          </w:p>
          <w:p w:rsidR="00A31DEA" w:rsidRPr="00A51E67" w:rsidRDefault="00A31DEA" w:rsidP="001C53BA">
            <w:pPr>
              <w:jc w:val="center"/>
              <w:rPr>
                <w:bCs/>
              </w:rPr>
            </w:pPr>
            <w:r w:rsidRPr="00A51E67">
              <w:rPr>
                <w:bCs/>
                <w:sz w:val="20"/>
                <w:szCs w:val="16"/>
              </w:rPr>
              <w:t>Última información sobre la reunión</w:t>
            </w:r>
          </w:p>
        </w:tc>
      </w:tr>
    </w:tbl>
    <w:p w:rsidR="00A31DEA" w:rsidRPr="00A51E67" w:rsidRDefault="00A31DEA" w:rsidP="00A31DEA">
      <w:pPr>
        <w:spacing w:before="720"/>
      </w:pPr>
      <w:r w:rsidRPr="00A51E67">
        <w:rPr>
          <w:b/>
          <w:bCs/>
        </w:rPr>
        <w:t>Anexos</w:t>
      </w:r>
      <w:r w:rsidRPr="00A51E67">
        <w:t>: 2</w:t>
      </w:r>
    </w:p>
    <w:p w:rsidR="000B7CD5" w:rsidRPr="00A51E67" w:rsidRDefault="000B7CD5" w:rsidP="00A31DEA">
      <w:pPr>
        <w:spacing w:before="720"/>
      </w:pPr>
      <w:r w:rsidRPr="00A51E67">
        <w:br w:type="page"/>
      </w:r>
    </w:p>
    <w:p w:rsidR="00833FF8" w:rsidRPr="00A51E67" w:rsidRDefault="00833FF8" w:rsidP="00833FF8">
      <w:pPr>
        <w:pStyle w:val="AnnexNotitle"/>
        <w:rPr>
          <w:bCs/>
          <w:szCs w:val="24"/>
        </w:rPr>
      </w:pPr>
      <w:r w:rsidRPr="00A51E67">
        <w:lastRenderedPageBreak/>
        <w:t>ANEXO A</w:t>
      </w:r>
      <w:r w:rsidRPr="00A51E67">
        <w:br/>
      </w:r>
      <w:r w:rsidRPr="00A51E67">
        <w:rPr>
          <w:bCs/>
          <w:szCs w:val="24"/>
        </w:rPr>
        <w:t>Información práctica para la reunión</w:t>
      </w:r>
    </w:p>
    <w:p w:rsidR="00833FF8" w:rsidRPr="00A51E67" w:rsidRDefault="00833FF8" w:rsidP="00833FF8">
      <w:pPr>
        <w:spacing w:before="360" w:after="240"/>
        <w:jc w:val="center"/>
        <w:rPr>
          <w:b/>
          <w:bCs/>
        </w:rPr>
      </w:pPr>
      <w:r w:rsidRPr="00A51E67">
        <w:rPr>
          <w:b/>
          <w:bCs/>
        </w:rPr>
        <w:t>MÉTODOS DE TRABAJO E INSTALACIONES</w:t>
      </w:r>
    </w:p>
    <w:p w:rsidR="00833FF8" w:rsidRPr="00A51E67" w:rsidRDefault="00833FF8" w:rsidP="00833FF8">
      <w:r w:rsidRPr="00A51E67">
        <w:rPr>
          <w:b/>
          <w:bCs/>
        </w:rPr>
        <w:t>ACCESO A LOS DOCUMENTOS</w:t>
      </w:r>
      <w:r w:rsidRPr="00A51E67">
        <w:t xml:space="preserve">: La reunión se celebrará sin hacer uso del papel. Las contribuciones deben presentarse utilizando la </w:t>
      </w:r>
      <w:hyperlink r:id="rId18" w:history="1">
        <w:r w:rsidRPr="00A51E67">
          <w:rPr>
            <w:rStyle w:val="Hyperlink"/>
          </w:rPr>
          <w:t>Publicación Directa de Documentos</w:t>
        </w:r>
      </w:hyperlink>
      <w:r w:rsidRPr="00A51E67">
        <w:t xml:space="preserve">; los proyectos de DT deben remitirse por correo-e a la secretaría de la Comisión de Estudio utilizando la </w:t>
      </w:r>
      <w:hyperlink r:id="rId19" w:history="1">
        <w:r w:rsidRPr="00A51E67">
          <w:rPr>
            <w:rStyle w:val="Hyperlink"/>
          </w:rPr>
          <w:t>plantilla correspondiente</w:t>
        </w:r>
      </w:hyperlink>
      <w:r w:rsidRPr="00A51E67">
        <w:t>. El acceso a los documentos de la reunión se facilita a partir de la página principal de la Comisión de Estudio, y está restringido a los Miembros del UIT-T/</w:t>
      </w:r>
      <w:hyperlink r:id="rId20" w:history="1">
        <w:r w:rsidRPr="00A51E67">
          <w:rPr>
            <w:rStyle w:val="Hyperlink"/>
          </w:rPr>
          <w:t>Titulares de cuenta TIES</w:t>
        </w:r>
      </w:hyperlink>
      <w:r w:rsidRPr="00A51E67">
        <w:t>.</w:t>
      </w:r>
    </w:p>
    <w:p w:rsidR="00833FF8" w:rsidRPr="00A51E67" w:rsidRDefault="00833FF8" w:rsidP="00833FF8">
      <w:pPr>
        <w:rPr>
          <w:b/>
          <w:bCs/>
        </w:rPr>
      </w:pPr>
      <w:r w:rsidRPr="00A51E67">
        <w:rPr>
          <w:b/>
          <w:bCs/>
        </w:rPr>
        <w:t>INTERPRETACIÓN</w:t>
      </w:r>
      <w:r w:rsidRPr="00A51E67">
        <w:t xml:space="preserve">: </w:t>
      </w:r>
      <w:r w:rsidRPr="00A51E67">
        <w:rPr>
          <w:color w:val="000000"/>
        </w:rPr>
        <w:t>Según lo acordado p</w:t>
      </w:r>
      <w:r w:rsidR="00BA0717" w:rsidRPr="00A51E67">
        <w:rPr>
          <w:color w:val="000000"/>
        </w:rPr>
        <w:t>or el equipo directivo de la CE </w:t>
      </w:r>
      <w:r w:rsidRPr="00A51E67">
        <w:rPr>
          <w:color w:val="000000"/>
        </w:rPr>
        <w:t>20 del UIT-T, esta reunión tendrá lugar exclusivamente en inglés</w:t>
      </w:r>
      <w:r w:rsidRPr="00A51E67">
        <w:t>.</w:t>
      </w:r>
    </w:p>
    <w:p w:rsidR="00833FF8" w:rsidRPr="00A51E67" w:rsidRDefault="00833FF8" w:rsidP="00833FF8">
      <w:r w:rsidRPr="00A51E67">
        <w:rPr>
          <w:b/>
          <w:bCs/>
        </w:rPr>
        <w:t>LAN INALÁMBRICA E IMPRESORAS</w:t>
      </w:r>
      <w:r w:rsidRPr="00A51E67">
        <w:t>: Los delegados dispondrán de estas instal</w:t>
      </w:r>
      <w:r w:rsidR="00BA0717" w:rsidRPr="00A51E67">
        <w:t>aciones en el lugar de reunión.</w:t>
      </w:r>
    </w:p>
    <w:p w:rsidR="00833FF8" w:rsidRPr="00A51E67" w:rsidRDefault="00833FF8" w:rsidP="00D15A11">
      <w:pPr>
        <w:spacing w:before="240" w:after="240"/>
        <w:jc w:val="center"/>
        <w:rPr>
          <w:b/>
          <w:bCs/>
        </w:rPr>
      </w:pPr>
      <w:r w:rsidRPr="00A51E67">
        <w:rPr>
          <w:b/>
          <w:bCs/>
        </w:rPr>
        <w:t>PREINSCRIPCIÓN Y BECAS</w:t>
      </w:r>
    </w:p>
    <w:p w:rsidR="00833FF8" w:rsidRPr="00A51E67" w:rsidRDefault="00833FF8" w:rsidP="00833FF8">
      <w:pPr>
        <w:rPr>
          <w:szCs w:val="24"/>
        </w:rPr>
      </w:pPr>
      <w:r w:rsidRPr="00A51E67">
        <w:rPr>
          <w:b/>
          <w:bCs/>
        </w:rPr>
        <w:t>PREINSCRIPCIÓN</w:t>
      </w:r>
      <w:r w:rsidRPr="00A51E67">
        <w:t xml:space="preserve">: La preinscripción </w:t>
      </w:r>
      <w:r w:rsidR="001A4988" w:rsidRPr="00A51E67">
        <w:t xml:space="preserve">es obligatoria y </w:t>
      </w:r>
      <w:r w:rsidRPr="00A51E67">
        <w:t xml:space="preserve">ha de hacerse en línea a través de la página principal de la Comisión de Estudio </w:t>
      </w:r>
      <w:r w:rsidRPr="00A51E67">
        <w:rPr>
          <w:b/>
        </w:rPr>
        <w:t>a más tardar un mes antes de la reunión</w:t>
      </w:r>
      <w:r w:rsidRPr="00A51E67">
        <w:rPr>
          <w:bCs/>
        </w:rPr>
        <w:t xml:space="preserve">. </w:t>
      </w:r>
      <w:r w:rsidRPr="00A51E67">
        <w:t xml:space="preserve">Se invita a los miembros a que, en la medida de la posible, incluyan mujeres en sus delegaciones. </w:t>
      </w:r>
      <w:r w:rsidRPr="00A51E67">
        <w:rPr>
          <w:bCs/>
        </w:rPr>
        <w:t xml:space="preserve">Además, se ruega a los </w:t>
      </w:r>
      <w:r w:rsidRPr="00A51E67">
        <w:t>coordinadores que, dentro del mismo plazo, envíen por correo electrónico (</w:t>
      </w:r>
      <w:hyperlink r:id="rId21" w:history="1">
        <w:r w:rsidRPr="00A51E67">
          <w:rPr>
            <w:rStyle w:val="Hyperlink"/>
          </w:rPr>
          <w:t>tsbreg@itu.int</w:t>
        </w:r>
      </w:hyperlink>
      <w:r w:rsidRPr="00A51E67">
        <w:t>), por carta o por fax, una lista de las personas autorizadas para representar a su organización, con el nombre del Jefe y el jefe adjunto de</w:t>
      </w:r>
      <w:r w:rsidR="001A4988" w:rsidRPr="00A51E67">
        <w:t xml:space="preserve"> la</w:t>
      </w:r>
      <w:r w:rsidRPr="00A51E67">
        <w:t xml:space="preserve"> Delegación.</w:t>
      </w:r>
    </w:p>
    <w:p w:rsidR="00833FF8" w:rsidRPr="00A51E67" w:rsidRDefault="00833FF8" w:rsidP="001A4988">
      <w:r w:rsidRPr="00A51E67">
        <w:rPr>
          <w:b/>
          <w:bCs/>
        </w:rPr>
        <w:t>BECAS</w:t>
      </w:r>
      <w:r w:rsidRPr="00A51E67">
        <w:t xml:space="preserve">: Podrán concederse dos becas parciales por administración, en función de los fondos disponibles, con objeto de facilitar la participación de </w:t>
      </w:r>
      <w:bookmarkStart w:id="7" w:name="_Hlk309803984"/>
      <w:r w:rsidRPr="00A51E67">
        <w:fldChar w:fldCharType="begin"/>
      </w:r>
      <w:r w:rsidRPr="00A51E67">
        <w:instrText>HYPERLINK "https://www.itu.int/en/ITU-T/gap/Documents/Fellowships_BSG_EligibleCountries.pdf"</w:instrText>
      </w:r>
      <w:r w:rsidRPr="00A51E67">
        <w:fldChar w:fldCharType="separate"/>
      </w:r>
      <w:r w:rsidRPr="00A51E67">
        <w:rPr>
          <w:rStyle w:val="Hyperlink"/>
        </w:rPr>
        <w:t>países menos adelantados y países de renta baja</w:t>
      </w:r>
      <w:r w:rsidRPr="00A51E67">
        <w:fldChar w:fldCharType="end"/>
      </w:r>
      <w:bookmarkEnd w:id="7"/>
      <w:r w:rsidRPr="00A51E67">
        <w:t xml:space="preserve">. </w:t>
      </w:r>
      <w:r w:rsidR="004E12EF" w:rsidRPr="00A51E67">
        <w:t xml:space="preserve">Rogamos tenga presente que, cuando se soliciten dos (2) becas parciales, al menos una de ellas debe ser un billete de avión en clase económica. La solicitud debe ser autorizada por la administración correspondiente del Estado Miembro de la UIT. La solicitud de beca (para la que debe utilizarse el </w:t>
      </w:r>
      <w:hyperlink r:id="rId22" w:history="1">
        <w:r w:rsidR="004E12EF" w:rsidRPr="00A51E67">
          <w:rPr>
            <w:rStyle w:val="Hyperlink"/>
            <w:b/>
            <w:bCs/>
          </w:rPr>
          <w:t xml:space="preserve">Formulario </w:t>
        </w:r>
        <w:r w:rsidR="004E12EF" w:rsidRPr="00A51E67">
          <w:rPr>
            <w:rStyle w:val="Hyperlink"/>
          </w:rPr>
          <w:t>en línea</w:t>
        </w:r>
      </w:hyperlink>
      <w:r w:rsidR="004E12EF" w:rsidRPr="00A51E67">
        <w:t xml:space="preserve">) deberá obrar en poder de la UIT a más tardar el </w:t>
      </w:r>
      <w:r w:rsidR="004E12EF" w:rsidRPr="00A51E67">
        <w:rPr>
          <w:b/>
          <w:bCs/>
        </w:rPr>
        <w:t>22 de octubre de 2018</w:t>
      </w:r>
      <w:r w:rsidR="004E12EF" w:rsidRPr="00A51E67">
        <w:t xml:space="preserve">. </w:t>
      </w:r>
      <w:r w:rsidR="001B155C" w:rsidRPr="00A51E67">
        <w:t>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r w:rsidRPr="00A51E67">
        <w:t xml:space="preserve"> La preinscripción para la </w:t>
      </w:r>
      <w:r w:rsidR="001A4988" w:rsidRPr="00A51E67">
        <w:t>reunión</w:t>
      </w:r>
      <w:r w:rsidRPr="00A51E67">
        <w:t xml:space="preserve"> es obligatoria.</w:t>
      </w:r>
    </w:p>
    <w:p w:rsidR="00833FF8" w:rsidRPr="00A51E67" w:rsidRDefault="00833FF8" w:rsidP="001A4988">
      <w:r w:rsidRPr="00A51E67">
        <w:rPr>
          <w:b/>
          <w:bCs/>
        </w:rPr>
        <w:t>VISADOS</w:t>
      </w:r>
      <w:r w:rsidRPr="00A51E67">
        <w:t xml:space="preserve">: </w:t>
      </w:r>
      <w:r w:rsidRPr="00A51E67">
        <w:rPr>
          <w:color w:val="000000"/>
        </w:rPr>
        <w:t xml:space="preserve">Para obtener un visado de entrada en </w:t>
      </w:r>
      <w:r w:rsidR="00786EF1" w:rsidRPr="00A51E67">
        <w:rPr>
          <w:color w:val="000000"/>
        </w:rPr>
        <w:t>China</w:t>
      </w:r>
      <w:r w:rsidRPr="00A51E67">
        <w:rPr>
          <w:color w:val="000000"/>
        </w:rPr>
        <w:t xml:space="preserve">, quizá tenga que presentar una carta de invitación del anfitrión en la Embajada o el Consulado de </w:t>
      </w:r>
      <w:r w:rsidR="00786EF1" w:rsidRPr="00A51E67">
        <w:rPr>
          <w:color w:val="000000"/>
        </w:rPr>
        <w:t>China</w:t>
      </w:r>
      <w:r w:rsidRPr="00A51E67">
        <w:rPr>
          <w:color w:val="000000"/>
        </w:rPr>
        <w:t xml:space="preserve"> de su zona.</w:t>
      </w:r>
      <w:r w:rsidRPr="00A51E67">
        <w:t xml:space="preserve"> El visado debe solicitarse </w:t>
      </w:r>
      <w:r w:rsidR="001A4988" w:rsidRPr="00A51E67">
        <w:t>y obtenerse</w:t>
      </w:r>
      <w:r w:rsidR="001A4988" w:rsidRPr="00A51E67">
        <w:rPr>
          <w:b/>
          <w:bCs/>
        </w:rPr>
        <w:t xml:space="preserve"> </w:t>
      </w:r>
      <w:r w:rsidRPr="00A51E67">
        <w:t xml:space="preserve">en la oficina (embajada o consulado) que represente a </w:t>
      </w:r>
      <w:r w:rsidR="001A4988" w:rsidRPr="00A51E67">
        <w:t>China</w:t>
      </w:r>
      <w:r w:rsidRPr="00A51E67">
        <w:t xml:space="preserve"> en su país o, en su defecto, en la más próxima a su país de partida. Tenga presente que la aprobación del visado puede llevar cierto tiempo, por lo que le recomendamos que presente su solicitud de visado lo antes posible.</w:t>
      </w:r>
    </w:p>
    <w:p w:rsidR="00F57031" w:rsidRPr="00A51E67" w:rsidRDefault="00CB18FF" w:rsidP="00CB18FF">
      <w:pPr>
        <w:tabs>
          <w:tab w:val="left" w:pos="1418"/>
          <w:tab w:val="left" w:pos="1702"/>
          <w:tab w:val="left" w:pos="2160"/>
        </w:tabs>
        <w:spacing w:after="120"/>
        <w:ind w:right="92"/>
        <w:rPr>
          <w:color w:val="000000"/>
          <w:szCs w:val="24"/>
        </w:rPr>
      </w:pPr>
      <w:bookmarkStart w:id="8" w:name="lt_pId101"/>
      <w:r w:rsidRPr="00A51E67">
        <w:rPr>
          <w:color w:val="000000"/>
          <w:szCs w:val="24"/>
        </w:rPr>
        <w:t>Coordinadores para la ayuda en relación con los visados en China</w:t>
      </w:r>
      <w:r w:rsidR="00F57031" w:rsidRPr="00A51E67">
        <w:rPr>
          <w:color w:val="000000"/>
          <w:szCs w:val="24"/>
        </w:rPr>
        <w:t>:</w:t>
      </w:r>
      <w:bookmarkEnd w:id="8"/>
    </w:p>
    <w:p w:rsidR="00F57031" w:rsidRPr="00A51E67" w:rsidRDefault="00F57031" w:rsidP="00F57031">
      <w:pPr>
        <w:rPr>
          <w:rFonts w:ascii="Calibri" w:hAnsi="Calibri"/>
          <w:szCs w:val="24"/>
          <w:lang w:eastAsia="zh-CN"/>
        </w:rPr>
      </w:pPr>
      <w:bookmarkStart w:id="9" w:name="lt_pId102"/>
      <w:r w:rsidRPr="00A51E67">
        <w:rPr>
          <w:szCs w:val="24"/>
          <w:lang w:eastAsia="zh-CN"/>
        </w:rPr>
        <w:t>Sra. Xiaoning SHI</w:t>
      </w:r>
      <w:bookmarkEnd w:id="9"/>
      <w:r w:rsidRPr="00A51E67">
        <w:rPr>
          <w:szCs w:val="24"/>
          <w:lang w:eastAsia="zh-CN"/>
        </w:rPr>
        <w:br/>
      </w:r>
      <w:bookmarkStart w:id="10" w:name="lt_pId103"/>
      <w:r w:rsidRPr="00A51E67">
        <w:rPr>
          <w:szCs w:val="24"/>
          <w:lang w:eastAsia="zh-CN"/>
        </w:rPr>
        <w:t xml:space="preserve">Correo-e: </w:t>
      </w:r>
      <w:hyperlink r:id="rId23" w:history="1">
        <w:r w:rsidRPr="00A51E67">
          <w:rPr>
            <w:rStyle w:val="Hyperlink"/>
            <w:szCs w:val="24"/>
            <w:lang w:eastAsia="zh-CN"/>
          </w:rPr>
          <w:t>shixiaoning@caict.ac.cn</w:t>
        </w:r>
      </w:hyperlink>
      <w:bookmarkEnd w:id="10"/>
      <w:r w:rsidRPr="00A51E67">
        <w:rPr>
          <w:color w:val="993366"/>
          <w:szCs w:val="24"/>
          <w:lang w:eastAsia="zh-CN"/>
        </w:rPr>
        <w:br/>
      </w:r>
      <w:bookmarkStart w:id="11" w:name="lt_pId104"/>
      <w:r w:rsidRPr="00A51E67">
        <w:rPr>
          <w:szCs w:val="24"/>
          <w:lang w:eastAsia="zh-CN"/>
        </w:rPr>
        <w:t>Tel.: +86 10 62304035</w:t>
      </w:r>
      <w:bookmarkEnd w:id="11"/>
    </w:p>
    <w:p w:rsidR="00F57031" w:rsidRPr="00A51E67" w:rsidRDefault="00F57031" w:rsidP="00F57031">
      <w:pPr>
        <w:rPr>
          <w:b/>
          <w:bCs/>
        </w:rPr>
      </w:pPr>
      <w:bookmarkStart w:id="12" w:name="lt_pId105"/>
      <w:r w:rsidRPr="00A51E67">
        <w:rPr>
          <w:szCs w:val="24"/>
          <w:lang w:eastAsia="zh-CN"/>
        </w:rPr>
        <w:t>Sra. Huan LIN</w:t>
      </w:r>
      <w:bookmarkEnd w:id="12"/>
      <w:r w:rsidRPr="00A51E67">
        <w:rPr>
          <w:szCs w:val="24"/>
          <w:lang w:eastAsia="zh-CN"/>
        </w:rPr>
        <w:br/>
      </w:r>
      <w:bookmarkStart w:id="13" w:name="lt_pId106"/>
      <w:r w:rsidRPr="00A51E67">
        <w:rPr>
          <w:szCs w:val="24"/>
          <w:lang w:eastAsia="zh-CN"/>
        </w:rPr>
        <w:t xml:space="preserve">Correo-e: </w:t>
      </w:r>
      <w:hyperlink r:id="rId24" w:history="1">
        <w:r w:rsidRPr="00A51E67">
          <w:rPr>
            <w:rStyle w:val="Hyperlink"/>
            <w:szCs w:val="24"/>
            <w:lang w:eastAsia="zh-CN"/>
          </w:rPr>
          <w:t>linhuan@caict.ac.cn</w:t>
        </w:r>
      </w:hyperlink>
      <w:bookmarkEnd w:id="13"/>
      <w:r w:rsidRPr="00A51E67">
        <w:rPr>
          <w:color w:val="993366"/>
          <w:szCs w:val="24"/>
          <w:lang w:eastAsia="zh-CN"/>
        </w:rPr>
        <w:br/>
      </w:r>
      <w:bookmarkStart w:id="14" w:name="lt_pId107"/>
      <w:r w:rsidRPr="00A51E67">
        <w:t>Tel.:</w:t>
      </w:r>
      <w:r w:rsidRPr="00A51E67">
        <w:rPr>
          <w:szCs w:val="24"/>
          <w:lang w:eastAsia="zh-CN"/>
        </w:rPr>
        <w:t xml:space="preserve"> </w:t>
      </w:r>
      <w:r w:rsidRPr="00A51E67">
        <w:t xml:space="preserve">+86 10 </w:t>
      </w:r>
      <w:r w:rsidRPr="00A51E67">
        <w:rPr>
          <w:szCs w:val="24"/>
          <w:lang w:eastAsia="zh-CN"/>
        </w:rPr>
        <w:t>62305887</w:t>
      </w:r>
      <w:bookmarkEnd w:id="14"/>
    </w:p>
    <w:p w:rsidR="00BA6AE9" w:rsidRPr="00A51E67" w:rsidRDefault="00BA6AE9" w:rsidP="002C2F9F">
      <w:pPr>
        <w:pStyle w:val="Annextitle0"/>
        <w:spacing w:after="120"/>
        <w:rPr>
          <w:lang w:val="es-ES_tradnl"/>
        </w:rPr>
      </w:pPr>
      <w:r w:rsidRPr="00A51E67">
        <w:rPr>
          <w:lang w:val="es-ES_tradnl"/>
        </w:rPr>
        <w:lastRenderedPageBreak/>
        <w:t>ANEXO B</w:t>
      </w:r>
      <w:r w:rsidRPr="00A51E67">
        <w:rPr>
          <w:lang w:val="es-ES_tradnl"/>
        </w:rPr>
        <w:br/>
        <w:t>Proyecto de orden del día</w:t>
      </w:r>
    </w:p>
    <w:tbl>
      <w:tblPr>
        <w:tblW w:w="5076" w:type="pct"/>
        <w:jc w:val="center"/>
        <w:tblLayout w:type="fixed"/>
        <w:tblLook w:val="04A0" w:firstRow="1" w:lastRow="0" w:firstColumn="1" w:lastColumn="0" w:noHBand="0" w:noVBand="1"/>
      </w:tblPr>
      <w:tblGrid>
        <w:gridCol w:w="703"/>
        <w:gridCol w:w="567"/>
        <w:gridCol w:w="7230"/>
        <w:gridCol w:w="1275"/>
      </w:tblGrid>
      <w:tr w:rsidR="00D96185" w:rsidRPr="00A51E67" w:rsidTr="00D96185">
        <w:trPr>
          <w:trHeight w:val="300"/>
          <w:tblHeader/>
          <w:jc w:val="center"/>
        </w:trPr>
        <w:tc>
          <w:tcPr>
            <w:tcW w:w="360"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BA6AE9" w:rsidRPr="00A51E67" w:rsidRDefault="00BA6AE9" w:rsidP="00D96185">
            <w:pPr>
              <w:pStyle w:val="Tablehead0"/>
              <w:spacing w:before="0" w:after="0"/>
              <w:rPr>
                <w:lang w:eastAsia="zh-CN"/>
              </w:rPr>
            </w:pPr>
            <w:bookmarkStart w:id="15" w:name="lt_pId110"/>
            <w:r w:rsidRPr="00A51E67">
              <w:rPr>
                <w:lang w:eastAsia="zh-CN"/>
              </w:rPr>
              <w:t>N</w:t>
            </w:r>
            <w:bookmarkEnd w:id="15"/>
            <w:r w:rsidRPr="00A51E67">
              <w:rPr>
                <w:lang w:eastAsia="zh-CN"/>
              </w:rPr>
              <w:t>º</w:t>
            </w:r>
          </w:p>
        </w:tc>
        <w:tc>
          <w:tcPr>
            <w:tcW w:w="3988" w:type="pct"/>
            <w:gridSpan w:val="2"/>
            <w:tcBorders>
              <w:top w:val="single" w:sz="4" w:space="0" w:color="auto"/>
              <w:left w:val="nil"/>
              <w:bottom w:val="single" w:sz="4" w:space="0" w:color="auto"/>
              <w:right w:val="single" w:sz="4" w:space="0" w:color="auto"/>
            </w:tcBorders>
            <w:shd w:val="clear" w:color="auto" w:fill="D9D9D9"/>
            <w:noWrap/>
            <w:vAlign w:val="bottom"/>
            <w:hideMark/>
          </w:tcPr>
          <w:p w:rsidR="00BA6AE9" w:rsidRPr="00A51E67" w:rsidRDefault="00CB18FF" w:rsidP="00D96185">
            <w:pPr>
              <w:pStyle w:val="Tablehead0"/>
              <w:spacing w:before="0" w:after="0"/>
              <w:rPr>
                <w:lang w:eastAsia="zh-CN"/>
              </w:rPr>
            </w:pPr>
            <w:r w:rsidRPr="00A51E67">
              <w:rPr>
                <w:lang w:eastAsia="zh-CN"/>
              </w:rPr>
              <w:t>Punto</w:t>
            </w:r>
          </w:p>
        </w:tc>
        <w:tc>
          <w:tcPr>
            <w:tcW w:w="652" w:type="pct"/>
            <w:tcBorders>
              <w:top w:val="single" w:sz="4" w:space="0" w:color="auto"/>
              <w:left w:val="nil"/>
              <w:bottom w:val="single" w:sz="4" w:space="0" w:color="auto"/>
              <w:right w:val="single" w:sz="4" w:space="0" w:color="auto"/>
            </w:tcBorders>
            <w:shd w:val="clear" w:color="auto" w:fill="D9D9D9"/>
            <w:vAlign w:val="bottom"/>
            <w:hideMark/>
          </w:tcPr>
          <w:p w:rsidR="00BA6AE9" w:rsidRPr="00A51E67" w:rsidRDefault="00BA6AE9" w:rsidP="00D96185">
            <w:pPr>
              <w:pStyle w:val="Tablehead0"/>
              <w:spacing w:before="0" w:after="0"/>
              <w:rPr>
                <w:lang w:eastAsia="zh-CN"/>
              </w:rPr>
            </w:pPr>
            <w:bookmarkStart w:id="16" w:name="lt_pId112"/>
            <w:r w:rsidRPr="00A51E67">
              <w:rPr>
                <w:lang w:eastAsia="zh-CN"/>
              </w:rPr>
              <w:t>Docs</w:t>
            </w:r>
            <w:bookmarkEnd w:id="16"/>
          </w:p>
        </w:tc>
      </w:tr>
      <w:tr w:rsidR="00D96185" w:rsidRPr="00A51E67" w:rsidTr="0037493A">
        <w:trPr>
          <w:trHeight w:val="235"/>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rFonts w:cstheme="majorBidi"/>
                <w:szCs w:val="22"/>
              </w:rPr>
              <w:t>Apertura de la reunión</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2</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szCs w:val="22"/>
              </w:rPr>
              <w:t>Adopción del orden del día</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3</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szCs w:val="22"/>
              </w:rPr>
              <w:t>Aprobación del informe de la segunda reunión</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56"/>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4</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szCs w:val="22"/>
              </w:rPr>
              <w:t>Lista de contribuciones</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5</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rFonts w:cstheme="majorBidi"/>
                <w:szCs w:val="22"/>
              </w:rPr>
              <w:t>Votación nominal sobre DPI</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6</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rFonts w:cstheme="majorBidi"/>
                <w:szCs w:val="22"/>
              </w:rPr>
              <w:t>Aspectos destacados de la PP-18</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7</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szCs w:val="22"/>
              </w:rPr>
              <w:t>Reuniones de los Grupos de Trabajo</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8</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szCs w:val="22"/>
              </w:rPr>
              <w:t>Paquete de bienvenida para quienes participan por primera vez en una reunión de la CE 20 del UIT-T</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650" w:type="pct"/>
            <w:gridSpan w:val="2"/>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bookmarkStart w:id="17" w:name="lt_pId129"/>
            <w:r w:rsidRPr="00A51E67">
              <w:rPr>
                <w:rFonts w:cstheme="majorBidi"/>
                <w:color w:val="000000"/>
                <w:szCs w:val="22"/>
                <w:lang w:eastAsia="zh-CN"/>
              </w:rPr>
              <w:t>a.</w:t>
            </w:r>
            <w:bookmarkEnd w:id="17"/>
          </w:p>
        </w:tc>
        <w:tc>
          <w:tcPr>
            <w:tcW w:w="3698" w:type="pct"/>
            <w:tcBorders>
              <w:top w:val="nil"/>
              <w:left w:val="single" w:sz="4" w:space="0" w:color="auto"/>
              <w:bottom w:val="single" w:sz="4" w:space="0" w:color="auto"/>
              <w:right w:val="single" w:sz="4" w:space="0" w:color="auto"/>
            </w:tcBorders>
            <w:vAlign w:val="bottom"/>
          </w:tcPr>
          <w:p w:rsidR="00BA6AE9" w:rsidRPr="00A51E67" w:rsidRDefault="00BA6AE9" w:rsidP="001C53BA">
            <w:pPr>
              <w:spacing w:before="40" w:line="256" w:lineRule="auto"/>
              <w:rPr>
                <w:rFonts w:cstheme="majorBidi"/>
                <w:szCs w:val="22"/>
              </w:rPr>
            </w:pPr>
            <w:r w:rsidRPr="00A51E67">
              <w:rPr>
                <w:szCs w:val="22"/>
              </w:rPr>
              <w:t>Portal global sobre IoT y ciudades y comunidades inteligentes</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9</w:t>
            </w:r>
          </w:p>
        </w:tc>
        <w:tc>
          <w:tcPr>
            <w:tcW w:w="3988" w:type="pct"/>
            <w:gridSpan w:val="2"/>
            <w:tcBorders>
              <w:top w:val="nil"/>
              <w:left w:val="nil"/>
              <w:bottom w:val="single" w:sz="4" w:space="0" w:color="auto"/>
              <w:right w:val="single" w:sz="4" w:space="0" w:color="auto"/>
            </w:tcBorders>
            <w:noWrap/>
          </w:tcPr>
          <w:p w:rsidR="00BA6AE9" w:rsidRPr="00A51E67" w:rsidRDefault="00BA6AE9" w:rsidP="00CB18FF">
            <w:pPr>
              <w:spacing w:before="40"/>
              <w:rPr>
                <w:rFonts w:cstheme="majorBidi"/>
                <w:szCs w:val="22"/>
              </w:rPr>
            </w:pPr>
            <w:r w:rsidRPr="00A51E67">
              <w:rPr>
                <w:rFonts w:cstheme="majorBidi"/>
                <w:szCs w:val="22"/>
              </w:rPr>
              <w:t>Informe de las declaraci</w:t>
            </w:r>
            <w:r w:rsidR="00CB18FF" w:rsidRPr="00A51E67">
              <w:rPr>
                <w:rFonts w:cstheme="majorBidi"/>
                <w:szCs w:val="22"/>
              </w:rPr>
              <w:t>o</w:t>
            </w:r>
            <w:r w:rsidRPr="00A51E67">
              <w:rPr>
                <w:rFonts w:cstheme="majorBidi"/>
                <w:szCs w:val="22"/>
              </w:rPr>
              <w:t>n</w:t>
            </w:r>
            <w:r w:rsidR="00CB18FF" w:rsidRPr="00A51E67">
              <w:rPr>
                <w:rFonts w:cstheme="majorBidi"/>
                <w:szCs w:val="22"/>
              </w:rPr>
              <w:t>es</w:t>
            </w:r>
            <w:r w:rsidRPr="00A51E67">
              <w:rPr>
                <w:rFonts w:cstheme="majorBidi"/>
                <w:szCs w:val="22"/>
              </w:rPr>
              <w:t xml:space="preserve"> de coordinación recibidas por la Comisión de Estudio 20 del UIT-T</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10</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rFonts w:cstheme="majorBidi"/>
                <w:szCs w:val="22"/>
              </w:rPr>
              <w:t>Nombramiento de Relatores, Relatores Asociados y coordinadores</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11</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rFonts w:cstheme="majorBidi"/>
                <w:szCs w:val="22"/>
              </w:rPr>
              <w:t>Actividad Conjunta de Coordinación sobre IoT y C</w:t>
            </w:r>
            <w:r w:rsidR="0037493A" w:rsidRPr="00A51E67">
              <w:rPr>
                <w:rFonts w:cstheme="majorBidi"/>
                <w:szCs w:val="22"/>
              </w:rPr>
              <w:t>+</w:t>
            </w:r>
            <w:r w:rsidRPr="00A51E67">
              <w:rPr>
                <w:rFonts w:cstheme="majorBidi"/>
                <w:szCs w:val="22"/>
              </w:rPr>
              <w:t>CI</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12</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rFonts w:cstheme="majorBidi"/>
                <w:szCs w:val="22"/>
              </w:rPr>
              <w:t>Grupo Temático del UIT-T para el tratamiento y la gestión de datos de loT y ciudades y comunidades inteligentes (FG</w:t>
            </w:r>
            <w:r w:rsidRPr="00A51E67">
              <w:rPr>
                <w:rFonts w:cstheme="majorBidi"/>
                <w:szCs w:val="22"/>
              </w:rPr>
              <w:noBreakHyphen/>
              <w:t>DPM)</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13</w:t>
            </w:r>
          </w:p>
        </w:tc>
        <w:tc>
          <w:tcPr>
            <w:tcW w:w="3988" w:type="pct"/>
            <w:gridSpan w:val="2"/>
            <w:tcBorders>
              <w:top w:val="nil"/>
              <w:left w:val="nil"/>
              <w:bottom w:val="single" w:sz="4" w:space="0" w:color="auto"/>
              <w:right w:val="single" w:sz="4" w:space="0" w:color="auto"/>
            </w:tcBorders>
            <w:noWrap/>
            <w:vAlign w:val="bottom"/>
          </w:tcPr>
          <w:p w:rsidR="00BA6AE9" w:rsidRPr="00A51E67" w:rsidRDefault="00BA6AE9" w:rsidP="00BA6AE9">
            <w:pPr>
              <w:spacing w:before="40"/>
              <w:rPr>
                <w:rFonts w:cstheme="majorBidi"/>
                <w:szCs w:val="22"/>
              </w:rPr>
            </w:pPr>
            <w:r w:rsidRPr="00A51E67">
              <w:rPr>
                <w:rFonts w:cstheme="majorBidi"/>
                <w:szCs w:val="22"/>
              </w:rPr>
              <w:t>Grupos Regionales de la CE 20 del UIT-T</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231"/>
          <w:jc w:val="center"/>
        </w:trPr>
        <w:tc>
          <w:tcPr>
            <w:tcW w:w="650" w:type="pct"/>
            <w:gridSpan w:val="2"/>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13.1</w:t>
            </w:r>
          </w:p>
        </w:tc>
        <w:tc>
          <w:tcPr>
            <w:tcW w:w="3698" w:type="pct"/>
            <w:tcBorders>
              <w:top w:val="nil"/>
              <w:left w:val="nil"/>
              <w:bottom w:val="single" w:sz="4" w:space="0" w:color="auto"/>
              <w:right w:val="single" w:sz="4" w:space="0" w:color="auto"/>
            </w:tcBorders>
          </w:tcPr>
          <w:p w:rsidR="00BA6AE9" w:rsidRPr="00A51E67" w:rsidRDefault="00BA6AE9" w:rsidP="00BA6AE9">
            <w:pPr>
              <w:spacing w:before="40"/>
              <w:rPr>
                <w:rFonts w:cstheme="majorBidi"/>
                <w:szCs w:val="22"/>
                <w:highlight w:val="yellow"/>
              </w:rPr>
            </w:pPr>
            <w:r w:rsidRPr="00A51E67">
              <w:rPr>
                <w:rFonts w:cstheme="majorBidi"/>
                <w:szCs w:val="22"/>
              </w:rPr>
              <w:t>Grupo Regional de la CE 20 del UIT-T para África (GRCE20-AFR)</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406"/>
          <w:jc w:val="center"/>
        </w:trPr>
        <w:tc>
          <w:tcPr>
            <w:tcW w:w="650" w:type="pct"/>
            <w:gridSpan w:val="2"/>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13.2</w:t>
            </w:r>
          </w:p>
        </w:tc>
        <w:tc>
          <w:tcPr>
            <w:tcW w:w="3698" w:type="pct"/>
            <w:tcBorders>
              <w:top w:val="nil"/>
              <w:left w:val="nil"/>
              <w:bottom w:val="single" w:sz="4" w:space="0" w:color="auto"/>
              <w:right w:val="single" w:sz="4" w:space="0" w:color="auto"/>
            </w:tcBorders>
          </w:tcPr>
          <w:p w:rsidR="00BA6AE9" w:rsidRPr="00A51E67" w:rsidRDefault="00BA6AE9" w:rsidP="00BA6AE9">
            <w:pPr>
              <w:spacing w:before="40"/>
              <w:rPr>
                <w:rFonts w:cstheme="majorBidi"/>
                <w:szCs w:val="22"/>
                <w:highlight w:val="yellow"/>
              </w:rPr>
            </w:pPr>
            <w:r w:rsidRPr="00A51E67">
              <w:rPr>
                <w:rFonts w:cstheme="majorBidi"/>
                <w:szCs w:val="22"/>
              </w:rPr>
              <w:t>Grupo Regional de la CE 20 del UIT</w:t>
            </w:r>
            <w:r w:rsidR="0037493A" w:rsidRPr="00A51E67">
              <w:rPr>
                <w:rFonts w:cstheme="majorBidi"/>
                <w:szCs w:val="22"/>
              </w:rPr>
              <w:t>-T para la Región Árabe (GRCE20</w:t>
            </w:r>
            <w:r w:rsidR="0037493A" w:rsidRPr="00A51E67">
              <w:rPr>
                <w:rFonts w:cstheme="majorBidi"/>
                <w:szCs w:val="22"/>
              </w:rPr>
              <w:noBreakHyphen/>
            </w:r>
            <w:r w:rsidRPr="00A51E67">
              <w:rPr>
                <w:rFonts w:cstheme="majorBidi"/>
                <w:szCs w:val="22"/>
              </w:rPr>
              <w:t>ARB)</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413"/>
          <w:jc w:val="center"/>
        </w:trPr>
        <w:tc>
          <w:tcPr>
            <w:tcW w:w="650" w:type="pct"/>
            <w:gridSpan w:val="2"/>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13.3</w:t>
            </w:r>
          </w:p>
        </w:tc>
        <w:tc>
          <w:tcPr>
            <w:tcW w:w="3698" w:type="pct"/>
            <w:tcBorders>
              <w:top w:val="nil"/>
              <w:left w:val="nil"/>
              <w:bottom w:val="single" w:sz="4" w:space="0" w:color="auto"/>
              <w:right w:val="single" w:sz="4" w:space="0" w:color="auto"/>
            </w:tcBorders>
          </w:tcPr>
          <w:p w:rsidR="00BA6AE9" w:rsidRPr="00A51E67" w:rsidRDefault="00BA6AE9" w:rsidP="00BA6AE9">
            <w:pPr>
              <w:spacing w:before="40"/>
              <w:rPr>
                <w:rFonts w:cstheme="majorBidi"/>
                <w:szCs w:val="22"/>
                <w:highlight w:val="yellow"/>
              </w:rPr>
            </w:pPr>
            <w:r w:rsidRPr="00A51E67">
              <w:rPr>
                <w:rFonts w:cstheme="majorBidi"/>
                <w:szCs w:val="22"/>
              </w:rPr>
              <w:t>Grupo Regional de la CE 20 del UI</w:t>
            </w:r>
            <w:r w:rsidR="0037493A" w:rsidRPr="00A51E67">
              <w:rPr>
                <w:rFonts w:cstheme="majorBidi"/>
                <w:szCs w:val="22"/>
              </w:rPr>
              <w:t>T-T para América Latina (GRCE20</w:t>
            </w:r>
            <w:r w:rsidR="0037493A" w:rsidRPr="00A51E67">
              <w:rPr>
                <w:rFonts w:cstheme="majorBidi"/>
                <w:szCs w:val="22"/>
              </w:rPr>
              <w:noBreakHyphen/>
            </w:r>
            <w:r w:rsidRPr="00A51E67">
              <w:rPr>
                <w:rFonts w:cstheme="majorBidi"/>
                <w:szCs w:val="22"/>
              </w:rPr>
              <w:t>LATAM)</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600"/>
          <w:jc w:val="center"/>
        </w:trPr>
        <w:tc>
          <w:tcPr>
            <w:tcW w:w="650" w:type="pct"/>
            <w:gridSpan w:val="2"/>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13.4</w:t>
            </w:r>
          </w:p>
        </w:tc>
        <w:tc>
          <w:tcPr>
            <w:tcW w:w="3698" w:type="pct"/>
            <w:tcBorders>
              <w:top w:val="nil"/>
              <w:left w:val="nil"/>
              <w:bottom w:val="single" w:sz="4" w:space="0" w:color="auto"/>
              <w:right w:val="single" w:sz="4" w:space="0" w:color="auto"/>
            </w:tcBorders>
          </w:tcPr>
          <w:p w:rsidR="00BA6AE9" w:rsidRPr="00A51E67" w:rsidRDefault="00BA6AE9" w:rsidP="00BA6AE9">
            <w:pPr>
              <w:spacing w:before="40"/>
              <w:rPr>
                <w:rFonts w:cstheme="majorBidi"/>
                <w:szCs w:val="22"/>
                <w:highlight w:val="yellow"/>
              </w:rPr>
            </w:pPr>
            <w:r w:rsidRPr="00A51E67">
              <w:rPr>
                <w:rFonts w:cstheme="majorBidi"/>
                <w:szCs w:val="22"/>
              </w:rPr>
              <w:t>Grupo Regional de la CE 20 del UIT-T para Europa Oriental, Asia Central y Transcaucásica (GRCE20-EECAT)</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D96185">
        <w:trPr>
          <w:trHeight w:val="300"/>
          <w:jc w:val="center"/>
        </w:trPr>
        <w:tc>
          <w:tcPr>
            <w:tcW w:w="360" w:type="pct"/>
            <w:tcBorders>
              <w:top w:val="nil"/>
              <w:left w:val="single" w:sz="4" w:space="0" w:color="auto"/>
              <w:bottom w:val="single" w:sz="4" w:space="0" w:color="auto"/>
              <w:right w:val="single" w:sz="4" w:space="0" w:color="auto"/>
            </w:tcBorders>
            <w:noWrap/>
            <w:vAlign w:val="bottom"/>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14</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rFonts w:cstheme="majorBidi"/>
                <w:szCs w:val="22"/>
              </w:rPr>
              <w:t>Colaboración e intercambio de información</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15</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szCs w:val="22"/>
              </w:rPr>
              <w:t>Planes de acción para la aplicación de la Resolución 78 (Rev. Hammamet, 2016) y la Resolución 98 (Hammamet, 2016) de la AMNT-16 (TIC para servicios de cibersalud; IoT y ciudades y comunidades inteligentes para el desarrollo mundial)</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16</w:t>
            </w:r>
          </w:p>
        </w:tc>
        <w:tc>
          <w:tcPr>
            <w:tcW w:w="3988" w:type="pct"/>
            <w:gridSpan w:val="2"/>
            <w:tcBorders>
              <w:top w:val="nil"/>
              <w:left w:val="nil"/>
              <w:bottom w:val="single" w:sz="4" w:space="0" w:color="auto"/>
              <w:right w:val="single" w:sz="4" w:space="0" w:color="auto"/>
            </w:tcBorders>
            <w:noWrap/>
          </w:tcPr>
          <w:p w:rsidR="00BA6AE9" w:rsidRPr="00A51E67" w:rsidRDefault="00BA6AE9" w:rsidP="001C53BA">
            <w:pPr>
              <w:spacing w:before="40"/>
              <w:rPr>
                <w:rFonts w:cstheme="majorBidi"/>
                <w:szCs w:val="22"/>
              </w:rPr>
            </w:pPr>
            <w:r w:rsidRPr="00A51E67">
              <w:rPr>
                <w:rFonts w:cstheme="majorBidi"/>
                <w:szCs w:val="22"/>
              </w:rPr>
              <w:t>Actividades de promoción y de reducción de la brecha de normalización</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650" w:type="pct"/>
            <w:gridSpan w:val="2"/>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bookmarkStart w:id="18" w:name="lt_pId155"/>
            <w:r w:rsidRPr="00A51E67">
              <w:rPr>
                <w:rFonts w:cstheme="majorBidi"/>
                <w:color w:val="000000"/>
                <w:szCs w:val="22"/>
                <w:lang w:eastAsia="zh-CN"/>
              </w:rPr>
              <w:t>a.</w:t>
            </w:r>
            <w:bookmarkEnd w:id="18"/>
          </w:p>
        </w:tc>
        <w:tc>
          <w:tcPr>
            <w:tcW w:w="3698" w:type="pct"/>
            <w:tcBorders>
              <w:top w:val="nil"/>
              <w:left w:val="nil"/>
              <w:bottom w:val="single" w:sz="4" w:space="0" w:color="auto"/>
              <w:right w:val="single" w:sz="4" w:space="0" w:color="auto"/>
            </w:tcBorders>
            <w:noWrap/>
            <w:vAlign w:val="bottom"/>
          </w:tcPr>
          <w:p w:rsidR="00BA6AE9" w:rsidRPr="00A51E67" w:rsidRDefault="00BA6AE9" w:rsidP="001C53BA">
            <w:pPr>
              <w:spacing w:before="40" w:line="256" w:lineRule="auto"/>
              <w:rPr>
                <w:rFonts w:cstheme="majorBidi"/>
                <w:color w:val="000000"/>
                <w:szCs w:val="22"/>
                <w:lang w:eastAsia="zh-CN"/>
              </w:rPr>
            </w:pPr>
            <w:r w:rsidRPr="00A51E67">
              <w:rPr>
                <w:szCs w:val="22"/>
              </w:rPr>
              <w:t>Talleres, cursillos y foros de interés para la CE 20</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17</w:t>
            </w:r>
          </w:p>
        </w:tc>
        <w:tc>
          <w:tcPr>
            <w:tcW w:w="3988" w:type="pct"/>
            <w:gridSpan w:val="2"/>
            <w:tcBorders>
              <w:top w:val="nil"/>
              <w:left w:val="nil"/>
              <w:bottom w:val="single" w:sz="4" w:space="0" w:color="auto"/>
              <w:right w:val="single" w:sz="4" w:space="0" w:color="auto"/>
            </w:tcBorders>
            <w:noWrap/>
          </w:tcPr>
          <w:p w:rsidR="00BA6AE9" w:rsidRPr="00A51E67" w:rsidRDefault="000F6AD7" w:rsidP="001C53BA">
            <w:pPr>
              <w:spacing w:before="40"/>
              <w:rPr>
                <w:rFonts w:cstheme="majorBidi"/>
                <w:szCs w:val="22"/>
              </w:rPr>
            </w:pPr>
            <w:r w:rsidRPr="00A51E67">
              <w:rPr>
                <w:szCs w:val="22"/>
              </w:rPr>
              <w:t>Informes de las reuniones de los Grupos de Trabajo</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18</w:t>
            </w:r>
          </w:p>
        </w:tc>
        <w:tc>
          <w:tcPr>
            <w:tcW w:w="3988" w:type="pct"/>
            <w:gridSpan w:val="2"/>
            <w:tcBorders>
              <w:top w:val="nil"/>
              <w:left w:val="nil"/>
              <w:bottom w:val="single" w:sz="4" w:space="0" w:color="auto"/>
              <w:right w:val="single" w:sz="4" w:space="0" w:color="auto"/>
            </w:tcBorders>
            <w:noWrap/>
          </w:tcPr>
          <w:p w:rsidR="00BA6AE9" w:rsidRPr="00A51E67" w:rsidRDefault="000F6AD7" w:rsidP="001C53BA">
            <w:pPr>
              <w:spacing w:before="40"/>
              <w:rPr>
                <w:rFonts w:cstheme="majorBidi"/>
                <w:szCs w:val="22"/>
              </w:rPr>
            </w:pPr>
            <w:r w:rsidRPr="00A51E67">
              <w:rPr>
                <w:rFonts w:cstheme="majorBidi"/>
                <w:szCs w:val="22"/>
              </w:rPr>
              <w:t>Consentimiento/determinación/aprobación/supresión de Recomendaciones</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19</w:t>
            </w:r>
          </w:p>
        </w:tc>
        <w:tc>
          <w:tcPr>
            <w:tcW w:w="3988" w:type="pct"/>
            <w:gridSpan w:val="2"/>
            <w:tcBorders>
              <w:top w:val="nil"/>
              <w:left w:val="nil"/>
              <w:bottom w:val="single" w:sz="4" w:space="0" w:color="auto"/>
              <w:right w:val="single" w:sz="4" w:space="0" w:color="auto"/>
            </w:tcBorders>
            <w:noWrap/>
          </w:tcPr>
          <w:p w:rsidR="00BA6AE9" w:rsidRPr="00A51E67" w:rsidRDefault="000F6AD7" w:rsidP="001C53BA">
            <w:pPr>
              <w:spacing w:before="40"/>
              <w:rPr>
                <w:rFonts w:cstheme="majorBidi"/>
                <w:szCs w:val="22"/>
              </w:rPr>
            </w:pPr>
            <w:r w:rsidRPr="00A51E67">
              <w:rPr>
                <w:rFonts w:cstheme="majorBidi"/>
                <w:szCs w:val="22"/>
              </w:rPr>
              <w:t>Aprobación de textos informativos</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20</w:t>
            </w:r>
          </w:p>
        </w:tc>
        <w:tc>
          <w:tcPr>
            <w:tcW w:w="3988" w:type="pct"/>
            <w:gridSpan w:val="2"/>
            <w:tcBorders>
              <w:top w:val="nil"/>
              <w:left w:val="nil"/>
              <w:bottom w:val="single" w:sz="4" w:space="0" w:color="auto"/>
              <w:right w:val="single" w:sz="4" w:space="0" w:color="auto"/>
            </w:tcBorders>
            <w:noWrap/>
          </w:tcPr>
          <w:p w:rsidR="00BA6AE9" w:rsidRPr="00A51E67" w:rsidRDefault="000F6AD7" w:rsidP="001C53BA">
            <w:pPr>
              <w:spacing w:before="40"/>
              <w:rPr>
                <w:rFonts w:cstheme="majorBidi"/>
                <w:szCs w:val="22"/>
              </w:rPr>
            </w:pPr>
            <w:r w:rsidRPr="00A51E67">
              <w:rPr>
                <w:szCs w:val="22"/>
              </w:rPr>
              <w:t>Examen del programa de trabajo</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tcPr>
          <w:p w:rsidR="00BA6AE9" w:rsidRPr="00A51E67" w:rsidRDefault="00BA6AE9" w:rsidP="001C53BA">
            <w:pPr>
              <w:spacing w:before="40" w:line="256" w:lineRule="auto"/>
              <w:jc w:val="right"/>
              <w:rPr>
                <w:rFonts w:cstheme="majorBidi"/>
                <w:color w:val="000000"/>
                <w:szCs w:val="22"/>
                <w:lang w:eastAsia="zh-CN"/>
              </w:rPr>
            </w:pPr>
            <w:r w:rsidRPr="00A51E67">
              <w:rPr>
                <w:rFonts w:cstheme="majorBidi"/>
                <w:color w:val="000000"/>
                <w:szCs w:val="22"/>
                <w:lang w:eastAsia="zh-CN"/>
              </w:rPr>
              <w:t>21</w:t>
            </w:r>
          </w:p>
        </w:tc>
        <w:tc>
          <w:tcPr>
            <w:tcW w:w="3988" w:type="pct"/>
            <w:gridSpan w:val="2"/>
            <w:tcBorders>
              <w:top w:val="nil"/>
              <w:left w:val="nil"/>
              <w:bottom w:val="single" w:sz="4" w:space="0" w:color="auto"/>
              <w:right w:val="single" w:sz="4" w:space="0" w:color="auto"/>
            </w:tcBorders>
            <w:noWrap/>
          </w:tcPr>
          <w:p w:rsidR="00BA6AE9" w:rsidRPr="00A51E67" w:rsidRDefault="000F6AD7" w:rsidP="001C53BA">
            <w:pPr>
              <w:spacing w:before="40"/>
              <w:rPr>
                <w:rFonts w:cstheme="majorBidi"/>
                <w:szCs w:val="22"/>
              </w:rPr>
            </w:pPr>
            <w:r w:rsidRPr="00A51E67">
              <w:rPr>
                <w:rFonts w:cstheme="majorBidi"/>
                <w:szCs w:val="22"/>
              </w:rPr>
              <w:t>Aprobación de las declaraciones de coordinación y comunicaciones remitidas</w:t>
            </w:r>
          </w:p>
        </w:tc>
        <w:tc>
          <w:tcPr>
            <w:tcW w:w="652" w:type="pct"/>
            <w:tcBorders>
              <w:top w:val="nil"/>
              <w:left w:val="nil"/>
              <w:bottom w:val="single" w:sz="4" w:space="0" w:color="auto"/>
              <w:right w:val="single" w:sz="4" w:space="0" w:color="auto"/>
            </w:tcBorders>
            <w:vAlign w:val="bottom"/>
          </w:tcPr>
          <w:p w:rsidR="00BA6AE9" w:rsidRPr="00A51E67" w:rsidRDefault="00BA6AE9" w:rsidP="001C53BA">
            <w:pPr>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tcPr>
          <w:p w:rsidR="00BA6AE9" w:rsidRPr="00A51E67" w:rsidRDefault="00BA6AE9" w:rsidP="0037493A">
            <w:pPr>
              <w:keepNext/>
              <w:keepLines/>
              <w:spacing w:before="40" w:line="256" w:lineRule="auto"/>
              <w:jc w:val="right"/>
              <w:rPr>
                <w:rFonts w:cstheme="majorBidi"/>
                <w:color w:val="000000"/>
                <w:szCs w:val="22"/>
                <w:lang w:eastAsia="zh-CN"/>
              </w:rPr>
            </w:pPr>
            <w:r w:rsidRPr="00A51E67">
              <w:rPr>
                <w:rFonts w:cstheme="majorBidi"/>
                <w:color w:val="000000"/>
                <w:szCs w:val="22"/>
                <w:lang w:eastAsia="zh-CN"/>
              </w:rPr>
              <w:lastRenderedPageBreak/>
              <w:t>22</w:t>
            </w:r>
          </w:p>
        </w:tc>
        <w:tc>
          <w:tcPr>
            <w:tcW w:w="3988" w:type="pct"/>
            <w:gridSpan w:val="2"/>
            <w:tcBorders>
              <w:top w:val="nil"/>
              <w:left w:val="nil"/>
              <w:bottom w:val="single" w:sz="4" w:space="0" w:color="auto"/>
              <w:right w:val="single" w:sz="4" w:space="0" w:color="auto"/>
            </w:tcBorders>
            <w:noWrap/>
          </w:tcPr>
          <w:p w:rsidR="00BA6AE9" w:rsidRPr="00A51E67" w:rsidRDefault="000F6AD7" w:rsidP="0037493A">
            <w:pPr>
              <w:keepNext/>
              <w:keepLines/>
              <w:spacing w:before="40"/>
              <w:rPr>
                <w:rFonts w:cstheme="majorBidi"/>
                <w:szCs w:val="22"/>
              </w:rPr>
            </w:pPr>
            <w:r w:rsidRPr="00A51E67">
              <w:rPr>
                <w:szCs w:val="22"/>
              </w:rPr>
              <w:t>Fut</w:t>
            </w:r>
            <w:r w:rsidR="00590F77">
              <w:rPr>
                <w:szCs w:val="22"/>
              </w:rPr>
              <w:t>u</w:t>
            </w:r>
            <w:r w:rsidRPr="00A51E67">
              <w:rPr>
                <w:szCs w:val="22"/>
              </w:rPr>
              <w:t>ras actividades</w:t>
            </w:r>
          </w:p>
        </w:tc>
        <w:tc>
          <w:tcPr>
            <w:tcW w:w="652" w:type="pct"/>
            <w:tcBorders>
              <w:top w:val="nil"/>
              <w:left w:val="nil"/>
              <w:bottom w:val="single" w:sz="4" w:space="0" w:color="auto"/>
              <w:right w:val="single" w:sz="4" w:space="0" w:color="auto"/>
            </w:tcBorders>
            <w:vAlign w:val="bottom"/>
          </w:tcPr>
          <w:p w:rsidR="00BA6AE9" w:rsidRPr="00A51E67" w:rsidRDefault="00BA6AE9" w:rsidP="0037493A">
            <w:pPr>
              <w:keepNext/>
              <w:keepLines/>
              <w:spacing w:before="40" w:line="256" w:lineRule="auto"/>
              <w:rPr>
                <w:rFonts w:cstheme="majorBidi"/>
                <w:color w:val="000000"/>
                <w:szCs w:val="22"/>
                <w:lang w:eastAsia="zh-CN"/>
              </w:rPr>
            </w:pPr>
          </w:p>
        </w:tc>
      </w:tr>
      <w:tr w:rsidR="00D96185" w:rsidRPr="00A51E67" w:rsidTr="00CB18FF">
        <w:trPr>
          <w:trHeight w:val="300"/>
          <w:jc w:val="center"/>
        </w:trPr>
        <w:tc>
          <w:tcPr>
            <w:tcW w:w="650" w:type="pct"/>
            <w:gridSpan w:val="2"/>
            <w:tcBorders>
              <w:top w:val="nil"/>
              <w:left w:val="single" w:sz="4" w:space="0" w:color="auto"/>
              <w:bottom w:val="single" w:sz="4" w:space="0" w:color="auto"/>
              <w:right w:val="single" w:sz="4" w:space="0" w:color="auto"/>
            </w:tcBorders>
            <w:noWrap/>
            <w:vAlign w:val="bottom"/>
          </w:tcPr>
          <w:p w:rsidR="00BA6AE9" w:rsidRPr="00A51E67" w:rsidRDefault="00BA6AE9" w:rsidP="0037493A">
            <w:pPr>
              <w:keepNext/>
              <w:keepLines/>
              <w:spacing w:before="40" w:line="256" w:lineRule="auto"/>
              <w:jc w:val="right"/>
              <w:rPr>
                <w:rFonts w:cstheme="majorBidi"/>
                <w:color w:val="000000"/>
                <w:szCs w:val="22"/>
                <w:lang w:eastAsia="zh-CN"/>
              </w:rPr>
            </w:pPr>
            <w:bookmarkStart w:id="19" w:name="lt_pId169"/>
            <w:r w:rsidRPr="00A51E67">
              <w:rPr>
                <w:rFonts w:cstheme="majorBidi"/>
                <w:color w:val="000000"/>
                <w:szCs w:val="22"/>
                <w:lang w:eastAsia="zh-CN"/>
              </w:rPr>
              <w:t>a.</w:t>
            </w:r>
            <w:bookmarkEnd w:id="19"/>
          </w:p>
        </w:tc>
        <w:tc>
          <w:tcPr>
            <w:tcW w:w="3698" w:type="pct"/>
            <w:tcBorders>
              <w:top w:val="nil"/>
              <w:left w:val="nil"/>
              <w:bottom w:val="single" w:sz="4" w:space="0" w:color="auto"/>
              <w:right w:val="single" w:sz="4" w:space="0" w:color="auto"/>
            </w:tcBorders>
          </w:tcPr>
          <w:p w:rsidR="00BA6AE9" w:rsidRPr="00A51E67" w:rsidRDefault="000F6AD7" w:rsidP="0037493A">
            <w:pPr>
              <w:keepNext/>
              <w:keepLines/>
              <w:spacing w:before="40"/>
              <w:rPr>
                <w:rFonts w:cstheme="majorBidi"/>
                <w:szCs w:val="22"/>
              </w:rPr>
            </w:pPr>
            <w:bookmarkStart w:id="20" w:name="lt_pId170"/>
            <w:r w:rsidRPr="00A51E67">
              <w:rPr>
                <w:szCs w:val="22"/>
              </w:rPr>
              <w:t xml:space="preserve">Reuniones previstas en </w:t>
            </w:r>
            <w:r w:rsidR="00BA6AE9" w:rsidRPr="00A51E67">
              <w:rPr>
                <w:rFonts w:cstheme="majorBidi"/>
                <w:szCs w:val="22"/>
              </w:rPr>
              <w:t>2019</w:t>
            </w:r>
            <w:bookmarkEnd w:id="20"/>
          </w:p>
        </w:tc>
        <w:tc>
          <w:tcPr>
            <w:tcW w:w="652" w:type="pct"/>
            <w:tcBorders>
              <w:top w:val="nil"/>
              <w:left w:val="nil"/>
              <w:bottom w:val="single" w:sz="4" w:space="0" w:color="auto"/>
              <w:right w:val="single" w:sz="4" w:space="0" w:color="auto"/>
            </w:tcBorders>
            <w:vAlign w:val="bottom"/>
          </w:tcPr>
          <w:p w:rsidR="00BA6AE9" w:rsidRPr="00A51E67" w:rsidRDefault="00BA6AE9" w:rsidP="0037493A">
            <w:pPr>
              <w:keepNext/>
              <w:keepLines/>
              <w:spacing w:before="40" w:line="256" w:lineRule="auto"/>
              <w:rPr>
                <w:rFonts w:cstheme="majorBidi"/>
                <w:color w:val="000000"/>
                <w:szCs w:val="22"/>
                <w:lang w:eastAsia="zh-CN"/>
              </w:rPr>
            </w:pPr>
          </w:p>
        </w:tc>
      </w:tr>
      <w:tr w:rsidR="00D96185" w:rsidRPr="00A51E67" w:rsidTr="00CB18FF">
        <w:trPr>
          <w:trHeight w:val="300"/>
          <w:jc w:val="center"/>
        </w:trPr>
        <w:tc>
          <w:tcPr>
            <w:tcW w:w="650" w:type="pct"/>
            <w:gridSpan w:val="2"/>
            <w:tcBorders>
              <w:top w:val="nil"/>
              <w:left w:val="single" w:sz="4" w:space="0" w:color="auto"/>
              <w:bottom w:val="single" w:sz="4" w:space="0" w:color="auto"/>
              <w:right w:val="single" w:sz="4" w:space="0" w:color="auto"/>
            </w:tcBorders>
            <w:noWrap/>
            <w:vAlign w:val="bottom"/>
          </w:tcPr>
          <w:p w:rsidR="00BA6AE9" w:rsidRPr="00A51E67" w:rsidRDefault="00BA6AE9" w:rsidP="0037493A">
            <w:pPr>
              <w:keepNext/>
              <w:keepLines/>
              <w:spacing w:before="40" w:line="256" w:lineRule="auto"/>
              <w:jc w:val="right"/>
              <w:rPr>
                <w:rFonts w:cstheme="majorBidi"/>
                <w:color w:val="000000"/>
                <w:szCs w:val="22"/>
                <w:lang w:eastAsia="zh-CN"/>
              </w:rPr>
            </w:pPr>
            <w:bookmarkStart w:id="21" w:name="lt_pId171"/>
            <w:r w:rsidRPr="00A51E67">
              <w:rPr>
                <w:rFonts w:cstheme="majorBidi"/>
                <w:color w:val="000000"/>
                <w:szCs w:val="22"/>
                <w:lang w:eastAsia="zh-CN"/>
              </w:rPr>
              <w:t>b.</w:t>
            </w:r>
            <w:bookmarkEnd w:id="21"/>
          </w:p>
        </w:tc>
        <w:tc>
          <w:tcPr>
            <w:tcW w:w="3698" w:type="pct"/>
            <w:tcBorders>
              <w:top w:val="nil"/>
              <w:left w:val="nil"/>
              <w:bottom w:val="single" w:sz="4" w:space="0" w:color="auto"/>
              <w:right w:val="single" w:sz="4" w:space="0" w:color="auto"/>
            </w:tcBorders>
          </w:tcPr>
          <w:p w:rsidR="00BA6AE9" w:rsidRPr="00A51E67" w:rsidRDefault="000F6AD7" w:rsidP="0037493A">
            <w:pPr>
              <w:keepNext/>
              <w:keepLines/>
              <w:spacing w:before="40"/>
              <w:rPr>
                <w:rFonts w:cstheme="majorBidi"/>
                <w:szCs w:val="22"/>
              </w:rPr>
            </w:pPr>
            <w:bookmarkStart w:id="22" w:name="lt_pId172"/>
            <w:r w:rsidRPr="00A51E67">
              <w:rPr>
                <w:szCs w:val="22"/>
              </w:rPr>
              <w:t xml:space="preserve">Reuniones electrónicas previstas en </w:t>
            </w:r>
            <w:r w:rsidR="00BA6AE9" w:rsidRPr="00A51E67">
              <w:rPr>
                <w:rFonts w:cstheme="majorBidi"/>
                <w:szCs w:val="22"/>
              </w:rPr>
              <w:t>2019</w:t>
            </w:r>
            <w:bookmarkEnd w:id="22"/>
          </w:p>
        </w:tc>
        <w:tc>
          <w:tcPr>
            <w:tcW w:w="652" w:type="pct"/>
            <w:tcBorders>
              <w:top w:val="nil"/>
              <w:left w:val="nil"/>
              <w:bottom w:val="single" w:sz="4" w:space="0" w:color="auto"/>
              <w:right w:val="single" w:sz="4" w:space="0" w:color="auto"/>
            </w:tcBorders>
            <w:vAlign w:val="bottom"/>
          </w:tcPr>
          <w:p w:rsidR="00BA6AE9" w:rsidRPr="00A51E67" w:rsidRDefault="00BA6AE9" w:rsidP="0037493A">
            <w:pPr>
              <w:keepNext/>
              <w:keepLines/>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37493A">
            <w:pPr>
              <w:keepNext/>
              <w:keepLines/>
              <w:spacing w:before="40" w:line="256" w:lineRule="auto"/>
              <w:jc w:val="right"/>
              <w:rPr>
                <w:rFonts w:cstheme="majorBidi"/>
                <w:color w:val="000000"/>
                <w:szCs w:val="22"/>
                <w:lang w:eastAsia="zh-CN"/>
              </w:rPr>
            </w:pPr>
            <w:r w:rsidRPr="00A51E67">
              <w:rPr>
                <w:rFonts w:cstheme="majorBidi"/>
                <w:color w:val="000000"/>
                <w:szCs w:val="22"/>
                <w:lang w:eastAsia="zh-CN"/>
              </w:rPr>
              <w:t>23</w:t>
            </w:r>
          </w:p>
        </w:tc>
        <w:tc>
          <w:tcPr>
            <w:tcW w:w="3988" w:type="pct"/>
            <w:gridSpan w:val="2"/>
            <w:tcBorders>
              <w:top w:val="nil"/>
              <w:left w:val="nil"/>
              <w:bottom w:val="single" w:sz="4" w:space="0" w:color="auto"/>
              <w:right w:val="single" w:sz="4" w:space="0" w:color="auto"/>
            </w:tcBorders>
            <w:noWrap/>
          </w:tcPr>
          <w:p w:rsidR="00BA6AE9" w:rsidRPr="00A51E67" w:rsidRDefault="000F6AD7" w:rsidP="0037493A">
            <w:pPr>
              <w:keepNext/>
              <w:keepLines/>
              <w:spacing w:before="40"/>
              <w:rPr>
                <w:rFonts w:cstheme="majorBidi"/>
                <w:szCs w:val="22"/>
              </w:rPr>
            </w:pPr>
            <w:r w:rsidRPr="00A51E67">
              <w:rPr>
                <w:szCs w:val="22"/>
              </w:rPr>
              <w:t>Otros asuntos</w:t>
            </w:r>
          </w:p>
        </w:tc>
        <w:tc>
          <w:tcPr>
            <w:tcW w:w="652" w:type="pct"/>
            <w:tcBorders>
              <w:top w:val="nil"/>
              <w:left w:val="nil"/>
              <w:bottom w:val="single" w:sz="4" w:space="0" w:color="auto"/>
              <w:right w:val="single" w:sz="4" w:space="0" w:color="auto"/>
            </w:tcBorders>
            <w:vAlign w:val="bottom"/>
          </w:tcPr>
          <w:p w:rsidR="00BA6AE9" w:rsidRPr="00A51E67" w:rsidRDefault="00BA6AE9" w:rsidP="0037493A">
            <w:pPr>
              <w:keepNext/>
              <w:keepLines/>
              <w:spacing w:before="40" w:line="256" w:lineRule="auto"/>
              <w:rPr>
                <w:rFonts w:cstheme="majorBidi"/>
                <w:color w:val="000000"/>
                <w:szCs w:val="22"/>
                <w:lang w:eastAsia="zh-CN"/>
              </w:rPr>
            </w:pPr>
          </w:p>
        </w:tc>
      </w:tr>
      <w:tr w:rsidR="00D96185" w:rsidRPr="00A51E67" w:rsidTr="0037493A">
        <w:trPr>
          <w:trHeight w:val="300"/>
          <w:jc w:val="center"/>
        </w:trPr>
        <w:tc>
          <w:tcPr>
            <w:tcW w:w="360" w:type="pct"/>
            <w:tcBorders>
              <w:top w:val="nil"/>
              <w:left w:val="single" w:sz="4" w:space="0" w:color="auto"/>
              <w:bottom w:val="single" w:sz="4" w:space="0" w:color="auto"/>
              <w:right w:val="single" w:sz="4" w:space="0" w:color="auto"/>
            </w:tcBorders>
            <w:noWrap/>
            <w:hideMark/>
          </w:tcPr>
          <w:p w:rsidR="00BA6AE9" w:rsidRPr="00A51E67" w:rsidRDefault="00BA6AE9" w:rsidP="0037493A">
            <w:pPr>
              <w:keepNext/>
              <w:keepLines/>
              <w:spacing w:before="40" w:line="256" w:lineRule="auto"/>
              <w:jc w:val="right"/>
              <w:rPr>
                <w:rFonts w:cstheme="majorBidi"/>
                <w:color w:val="000000"/>
                <w:szCs w:val="22"/>
                <w:lang w:eastAsia="zh-CN"/>
              </w:rPr>
            </w:pPr>
            <w:r w:rsidRPr="00A51E67">
              <w:rPr>
                <w:rFonts w:cstheme="majorBidi"/>
                <w:color w:val="000000"/>
                <w:szCs w:val="22"/>
                <w:lang w:eastAsia="zh-CN"/>
              </w:rPr>
              <w:t>24</w:t>
            </w:r>
          </w:p>
        </w:tc>
        <w:tc>
          <w:tcPr>
            <w:tcW w:w="3988" w:type="pct"/>
            <w:gridSpan w:val="2"/>
            <w:tcBorders>
              <w:top w:val="nil"/>
              <w:left w:val="nil"/>
              <w:bottom w:val="single" w:sz="4" w:space="0" w:color="auto"/>
              <w:right w:val="single" w:sz="4" w:space="0" w:color="auto"/>
            </w:tcBorders>
            <w:noWrap/>
          </w:tcPr>
          <w:p w:rsidR="00BA6AE9" w:rsidRPr="00A51E67" w:rsidRDefault="000F6AD7" w:rsidP="0037493A">
            <w:pPr>
              <w:keepNext/>
              <w:keepLines/>
              <w:spacing w:before="40"/>
              <w:rPr>
                <w:rFonts w:cstheme="majorBidi"/>
                <w:szCs w:val="22"/>
              </w:rPr>
            </w:pPr>
            <w:r w:rsidRPr="00A51E67">
              <w:rPr>
                <w:szCs w:val="22"/>
              </w:rPr>
              <w:t>Clausura de la reunión</w:t>
            </w:r>
          </w:p>
        </w:tc>
        <w:tc>
          <w:tcPr>
            <w:tcW w:w="652" w:type="pct"/>
            <w:tcBorders>
              <w:top w:val="nil"/>
              <w:left w:val="nil"/>
              <w:bottom w:val="single" w:sz="4" w:space="0" w:color="auto"/>
              <w:right w:val="single" w:sz="4" w:space="0" w:color="auto"/>
            </w:tcBorders>
            <w:vAlign w:val="bottom"/>
          </w:tcPr>
          <w:p w:rsidR="00BA6AE9" w:rsidRPr="00A51E67" w:rsidRDefault="00BA6AE9" w:rsidP="0037493A">
            <w:pPr>
              <w:keepNext/>
              <w:keepLines/>
              <w:spacing w:before="40" w:line="256" w:lineRule="auto"/>
              <w:rPr>
                <w:rFonts w:cstheme="majorBidi"/>
                <w:color w:val="000000"/>
                <w:szCs w:val="22"/>
                <w:lang w:eastAsia="zh-CN"/>
              </w:rPr>
            </w:pPr>
          </w:p>
        </w:tc>
      </w:tr>
    </w:tbl>
    <w:p w:rsidR="00BA6AE9" w:rsidRPr="00A51E67" w:rsidRDefault="00BA6AE9" w:rsidP="00CB18FF">
      <w:pPr>
        <w:rPr>
          <w:b/>
        </w:rPr>
      </w:pPr>
      <w:r w:rsidRPr="00A51E67">
        <w:t xml:space="preserve">NOTA – </w:t>
      </w:r>
      <w:r w:rsidR="00CB18FF" w:rsidRPr="00A51E67">
        <w:t>Pueden encontrarse actualizaciones a</w:t>
      </w:r>
      <w:r w:rsidRPr="00A51E67">
        <w:t>l orden del día en</w:t>
      </w:r>
      <w:r w:rsidR="00CB18FF" w:rsidRPr="00A51E67">
        <w:t xml:space="preserve"> el Documento</w:t>
      </w:r>
      <w:r w:rsidRPr="00A51E67">
        <w:t xml:space="preserve"> [</w:t>
      </w:r>
      <w:hyperlink r:id="rId25" w:history="1">
        <w:r w:rsidR="000F6AD7" w:rsidRPr="00A51E67">
          <w:rPr>
            <w:rStyle w:val="Hyperlink"/>
          </w:rPr>
          <w:t>SG20-TD871</w:t>
        </w:r>
      </w:hyperlink>
      <w:r w:rsidRPr="00A51E67">
        <w:t>].</w:t>
      </w:r>
    </w:p>
    <w:p w:rsidR="00BA6AE9" w:rsidRPr="00A51E67" w:rsidRDefault="00BA6AE9" w:rsidP="0032202E">
      <w:pPr>
        <w:pStyle w:val="Reasons"/>
        <w:rPr>
          <w:lang w:val="es-ES_tradnl"/>
        </w:rPr>
      </w:pPr>
    </w:p>
    <w:p w:rsidR="00BA6AE9" w:rsidRPr="00A51E67" w:rsidRDefault="00BA6AE9">
      <w:pPr>
        <w:jc w:val="center"/>
      </w:pPr>
      <w:r w:rsidRPr="00A51E67">
        <w:t>______________</w:t>
      </w:r>
    </w:p>
    <w:sectPr w:rsidR="00BA6AE9" w:rsidRPr="00A51E67" w:rsidSect="00B87E9E">
      <w:headerReference w:type="default" r:id="rId26"/>
      <w:footerReference w:type="first" r:id="rId2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DEA" w:rsidRDefault="00A31DEA">
      <w:r>
        <w:separator/>
      </w:r>
    </w:p>
  </w:endnote>
  <w:endnote w:type="continuationSeparator" w:id="0">
    <w:p w:rsidR="00A31DEA" w:rsidRDefault="00A3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7A2EFC" w:rsidRDefault="00D4102A" w:rsidP="00D4102A">
    <w:pPr>
      <w:pStyle w:val="Footer"/>
      <w:spacing w:before="120"/>
      <w:jc w:val="center"/>
    </w:pPr>
    <w:r w:rsidRPr="00D4102A">
      <w:rPr>
        <w:rFonts w:ascii="Calibri" w:hAnsi="Calibri" w:cs="Calibri"/>
        <w:caps w:val="0"/>
        <w:color w:val="0070C0"/>
        <w:szCs w:val="18"/>
      </w:rPr>
      <w:t xml:space="preserve">Unión Internacional de Telecomunicaciones • Place des </w:t>
    </w:r>
    <w:proofErr w:type="spellStart"/>
    <w:r w:rsidRPr="00D4102A">
      <w:rPr>
        <w:rFonts w:ascii="Calibri" w:hAnsi="Calibri" w:cs="Calibri"/>
        <w:caps w:val="0"/>
        <w:color w:val="0070C0"/>
        <w:szCs w:val="18"/>
      </w:rPr>
      <w:t>Nations</w:t>
    </w:r>
    <w:proofErr w:type="spellEnd"/>
    <w:r w:rsidRPr="00D4102A">
      <w:rPr>
        <w:rFonts w:ascii="Calibri" w:hAnsi="Calibri" w:cs="Calibri"/>
        <w:caps w:val="0"/>
        <w:color w:val="0070C0"/>
        <w:szCs w:val="18"/>
      </w:rPr>
      <w:t>, CH</w:t>
    </w:r>
    <w:r w:rsidRPr="00D4102A">
      <w:rPr>
        <w:rFonts w:ascii="Calibri" w:hAnsi="Calibri" w:cs="Calibri"/>
        <w:caps w:val="0"/>
        <w:color w:val="0070C0"/>
        <w:szCs w:val="18"/>
      </w:rPr>
      <w:noBreakHyphen/>
      <w:t>1211 Ginebra 20, Suiza</w:t>
    </w:r>
    <w:r w:rsidRPr="00D4102A">
      <w:rPr>
        <w:rFonts w:ascii="Calibri" w:hAnsi="Calibri" w:cs="Calibri"/>
        <w:caps w:val="0"/>
        <w:color w:val="0070C0"/>
        <w:szCs w:val="18"/>
      </w:rPr>
      <w:br/>
      <w:t xml:space="preserve">Tel.: +41 22 730 5111 • Fax: +41 22 733 7256 • Correo-e: </w:t>
    </w:r>
    <w:hyperlink r:id="rId1" w:history="1">
      <w:r w:rsidRPr="00D4102A">
        <w:rPr>
          <w:rStyle w:val="Hyperlink"/>
          <w:rFonts w:ascii="Calibri" w:hAnsi="Calibri" w:cs="Calibri"/>
          <w:caps w:val="0"/>
          <w:color w:val="0070C0"/>
          <w:szCs w:val="18"/>
        </w:rPr>
        <w:t>itumail@itu.int</w:t>
      </w:r>
    </w:hyperlink>
    <w:r w:rsidRPr="00D4102A">
      <w:rPr>
        <w:rFonts w:ascii="Calibri" w:hAnsi="Calibri" w:cs="Calibri"/>
        <w:caps w:val="0"/>
        <w:color w:val="0070C0"/>
        <w:szCs w:val="18"/>
      </w:rPr>
      <w:t xml:space="preserve"> • </w:t>
    </w:r>
    <w:hyperlink r:id="rId2" w:history="1">
      <w:r w:rsidRPr="00D4102A">
        <w:rPr>
          <w:rStyle w:val="Hyperlink"/>
          <w:rFonts w:ascii="Calibri" w:hAnsi="Calibri" w:cs="Calibri"/>
          <w:caps w:val="0"/>
          <w:color w:val="0070C0"/>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DEA" w:rsidRDefault="00A31DEA">
      <w:r>
        <w:t>____________________</w:t>
      </w:r>
    </w:p>
  </w:footnote>
  <w:footnote w:type="continuationSeparator" w:id="0">
    <w:p w:rsidR="00A31DEA" w:rsidRDefault="00A31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7181"/>
      <w:docPartObj>
        <w:docPartGallery w:val="Page Numbers (Top of Page)"/>
        <w:docPartUnique/>
      </w:docPartObj>
    </w:sdtPr>
    <w:sdtEndPr>
      <w:rPr>
        <w:noProof/>
        <w:sz w:val="18"/>
        <w:szCs w:val="18"/>
      </w:rPr>
    </w:sdtEndPr>
    <w:sdtContent>
      <w:p w:rsidR="006969B4" w:rsidRPr="00170D20" w:rsidRDefault="00170D20" w:rsidP="00170D2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D4102A">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CD5283">
          <w:rPr>
            <w:bCs/>
            <w:sz w:val="18"/>
            <w:szCs w:val="18"/>
          </w:rPr>
          <w:t xml:space="preserve">TSB </w:t>
        </w:r>
        <w:r>
          <w:rPr>
            <w:bCs/>
            <w:sz w:val="18"/>
            <w:szCs w:val="18"/>
          </w:rPr>
          <w:t>5</w:t>
        </w:r>
        <w:r w:rsidRPr="001A50AB">
          <w:rPr>
            <w:bCs/>
            <w:sz w:val="18"/>
            <w:szCs w:val="18"/>
          </w:rPr>
          <w:t>/</w:t>
        </w:r>
        <w:r>
          <w:rPr>
            <w:bCs/>
            <w:sz w:val="18"/>
            <w:szCs w:val="18"/>
          </w:rPr>
          <w:t>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EA"/>
    <w:rsid w:val="00002529"/>
    <w:rsid w:val="00085662"/>
    <w:rsid w:val="000B5ED5"/>
    <w:rsid w:val="000B7CD5"/>
    <w:rsid w:val="000C382F"/>
    <w:rsid w:val="000F28DD"/>
    <w:rsid w:val="000F6AD7"/>
    <w:rsid w:val="001173CC"/>
    <w:rsid w:val="0014464D"/>
    <w:rsid w:val="00170D20"/>
    <w:rsid w:val="001A4988"/>
    <w:rsid w:val="001A54CC"/>
    <w:rsid w:val="001B155C"/>
    <w:rsid w:val="00255059"/>
    <w:rsid w:val="00257FB4"/>
    <w:rsid w:val="002C2F9F"/>
    <w:rsid w:val="002E496E"/>
    <w:rsid w:val="00303D62"/>
    <w:rsid w:val="00335367"/>
    <w:rsid w:val="00370C2D"/>
    <w:rsid w:val="0037493A"/>
    <w:rsid w:val="003C0E31"/>
    <w:rsid w:val="003D1E8D"/>
    <w:rsid w:val="003D673B"/>
    <w:rsid w:val="003F2855"/>
    <w:rsid w:val="00401C20"/>
    <w:rsid w:val="00453A70"/>
    <w:rsid w:val="004A7957"/>
    <w:rsid w:val="004C4144"/>
    <w:rsid w:val="004E12EF"/>
    <w:rsid w:val="00556DED"/>
    <w:rsid w:val="00590F77"/>
    <w:rsid w:val="005A12A8"/>
    <w:rsid w:val="006969B4"/>
    <w:rsid w:val="006E4F7B"/>
    <w:rsid w:val="00781E2A"/>
    <w:rsid w:val="00786EF1"/>
    <w:rsid w:val="007874EC"/>
    <w:rsid w:val="007933A2"/>
    <w:rsid w:val="007A2EFC"/>
    <w:rsid w:val="007C4490"/>
    <w:rsid w:val="00814503"/>
    <w:rsid w:val="008258C2"/>
    <w:rsid w:val="00833FF8"/>
    <w:rsid w:val="008431D4"/>
    <w:rsid w:val="008505BD"/>
    <w:rsid w:val="00850C78"/>
    <w:rsid w:val="00884D12"/>
    <w:rsid w:val="00893EB8"/>
    <w:rsid w:val="008C17AD"/>
    <w:rsid w:val="008D02CD"/>
    <w:rsid w:val="0091370C"/>
    <w:rsid w:val="0095172A"/>
    <w:rsid w:val="009A0BA0"/>
    <w:rsid w:val="009D3212"/>
    <w:rsid w:val="009E04AA"/>
    <w:rsid w:val="009F7B8E"/>
    <w:rsid w:val="00A31DEA"/>
    <w:rsid w:val="00A412EB"/>
    <w:rsid w:val="00A429AF"/>
    <w:rsid w:val="00A51E67"/>
    <w:rsid w:val="00A54E47"/>
    <w:rsid w:val="00AB6E3A"/>
    <w:rsid w:val="00AE7093"/>
    <w:rsid w:val="00B422BC"/>
    <w:rsid w:val="00B43F77"/>
    <w:rsid w:val="00B55A3E"/>
    <w:rsid w:val="00B87E9E"/>
    <w:rsid w:val="00B95F0A"/>
    <w:rsid w:val="00B96180"/>
    <w:rsid w:val="00BA0717"/>
    <w:rsid w:val="00BA6AE9"/>
    <w:rsid w:val="00C116FE"/>
    <w:rsid w:val="00C17AC0"/>
    <w:rsid w:val="00C34772"/>
    <w:rsid w:val="00C5465A"/>
    <w:rsid w:val="00C912D3"/>
    <w:rsid w:val="00CB18FF"/>
    <w:rsid w:val="00CD37B7"/>
    <w:rsid w:val="00CD5283"/>
    <w:rsid w:val="00D15A11"/>
    <w:rsid w:val="00D4102A"/>
    <w:rsid w:val="00D54642"/>
    <w:rsid w:val="00D85DEB"/>
    <w:rsid w:val="00D96185"/>
    <w:rsid w:val="00DA276B"/>
    <w:rsid w:val="00DD77C9"/>
    <w:rsid w:val="00DF3538"/>
    <w:rsid w:val="00E6350E"/>
    <w:rsid w:val="00E839B0"/>
    <w:rsid w:val="00E92C09"/>
    <w:rsid w:val="00F14380"/>
    <w:rsid w:val="00F57031"/>
    <w:rsid w:val="00F6461F"/>
    <w:rsid w:val="00F91D9D"/>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565077-D8CA-4C7B-BD7B-3EA1BD21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rsid w:val="00A31DE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AE9"/>
    <w:pPr>
      <w:ind w:left="720"/>
      <w:contextualSpacing/>
    </w:pPr>
  </w:style>
  <w:style w:type="paragraph" w:customStyle="1" w:styleId="Reasons">
    <w:name w:val="Reasons"/>
    <w:basedOn w:val="Normal"/>
    <w:qFormat/>
    <w:rsid w:val="00BA6AE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BA6AE9"/>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20/Documents/SG20_Fellowships_dec18.docx" TargetMode="External"/><Relationship Id="rId18" Type="http://schemas.openxmlformats.org/officeDocument/2006/relationships/hyperlink" Target="http://itu.int/net/ITU-T/dd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image" Target="media/image2.png"/><Relationship Id="rId25" Type="http://schemas.openxmlformats.org/officeDocument/2006/relationships/hyperlink" Target="https://www.itu.int/md/T17-SG20-181203-TD-GEN-0871/en" TargetMode="External"/><Relationship Id="rId2" Type="http://schemas.openxmlformats.org/officeDocument/2006/relationships/numbering" Target="numbering.xml"/><Relationship Id="rId16" Type="http://schemas.openxmlformats.org/officeDocument/2006/relationships/hyperlink" Target="https://www.itu.int/es/ITU-T/studygroups/2017-2020/20/Pages/default.aspx" TargetMode="External"/><Relationship Id="rId20" Type="http://schemas.openxmlformats.org/officeDocument/2006/relationships/hyperlink" Target="http://www.itu.int/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studygroups/2017-2020/20/Pages/default.aspx" TargetMode="External"/><Relationship Id="rId24" Type="http://schemas.openxmlformats.org/officeDocument/2006/relationships/hyperlink" Target="mailto:linhuan@caict.ac.cn"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mailto:shixiaoning@caict.ac.cn" TargetMode="External"/><Relationship Id="rId28" Type="http://schemas.openxmlformats.org/officeDocument/2006/relationships/fontTable" Target="fontTable.xml"/><Relationship Id="rId10" Type="http://schemas.openxmlformats.org/officeDocument/2006/relationships/hyperlink" Target="http://itu.int/go/tsg20"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es/ITU-T/studygroups/2017-2020/20/Pages/default.aspx" TargetMode="External"/><Relationship Id="rId22" Type="http://schemas.openxmlformats.org/officeDocument/2006/relationships/hyperlink" Target="https://www.itu.int/en/ITU-T/studygroups/2017-2020/20/Documents/SG20_Fellowships_dec18.doc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D18D-835B-426C-BCB9-E8377759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36</TotalTime>
  <Pages>5</Pages>
  <Words>1291</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9168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29</cp:revision>
  <cp:lastPrinted>2011-04-15T08:24:00Z</cp:lastPrinted>
  <dcterms:created xsi:type="dcterms:W3CDTF">2018-07-20T08:47:00Z</dcterms:created>
  <dcterms:modified xsi:type="dcterms:W3CDTF">2018-08-01T13:09:00Z</dcterms:modified>
</cp:coreProperties>
</file>