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26"/>
        <w:gridCol w:w="3625"/>
        <w:gridCol w:w="143"/>
        <w:gridCol w:w="4539"/>
      </w:tblGrid>
      <w:tr w:rsidR="004E751A" w:rsidRPr="004E751A" w:rsidTr="003F6975">
        <w:trPr>
          <w:cantSplit/>
        </w:trPr>
        <w:tc>
          <w:tcPr>
            <w:tcW w:w="1191" w:type="dxa"/>
            <w:vMerge w:val="restart"/>
          </w:tcPr>
          <w:p w:rsidR="004E751A" w:rsidRPr="004E751A" w:rsidRDefault="004E751A" w:rsidP="004E751A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4E751A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4E751A" w:rsidRPr="004E751A" w:rsidRDefault="004E751A" w:rsidP="004E751A">
            <w:pPr>
              <w:rPr>
                <w:sz w:val="16"/>
                <w:szCs w:val="16"/>
              </w:rPr>
            </w:pPr>
            <w:r w:rsidRPr="004E751A">
              <w:rPr>
                <w:sz w:val="16"/>
                <w:szCs w:val="16"/>
              </w:rPr>
              <w:t>INTERNATIONAL TELECOMMUNICATION UNION</w:t>
            </w:r>
          </w:p>
          <w:p w:rsidR="004E751A" w:rsidRPr="004E751A" w:rsidRDefault="004E751A" w:rsidP="004E751A">
            <w:pPr>
              <w:rPr>
                <w:b/>
                <w:bCs/>
                <w:sz w:val="26"/>
                <w:szCs w:val="26"/>
              </w:rPr>
            </w:pPr>
            <w:r w:rsidRPr="004E751A">
              <w:rPr>
                <w:b/>
                <w:bCs/>
                <w:sz w:val="26"/>
                <w:szCs w:val="26"/>
              </w:rPr>
              <w:t>TELECOMMUNICATION</w:t>
            </w:r>
            <w:r w:rsidRPr="004E751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4E751A" w:rsidRPr="004E751A" w:rsidRDefault="004E751A" w:rsidP="004E751A">
            <w:pPr>
              <w:rPr>
                <w:sz w:val="20"/>
                <w:szCs w:val="20"/>
              </w:rPr>
            </w:pPr>
            <w:r w:rsidRPr="004E751A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4E751A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4E751A" w:rsidRPr="004E751A" w:rsidRDefault="004E751A" w:rsidP="004E751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TSAG-C033</w:t>
            </w:r>
          </w:p>
        </w:tc>
      </w:tr>
      <w:tr w:rsidR="004E751A" w:rsidRPr="004E751A" w:rsidTr="003F6975">
        <w:trPr>
          <w:cantSplit/>
        </w:trPr>
        <w:tc>
          <w:tcPr>
            <w:tcW w:w="1191" w:type="dxa"/>
            <w:vMerge/>
          </w:tcPr>
          <w:p w:rsidR="004E751A" w:rsidRPr="004E751A" w:rsidRDefault="004E751A" w:rsidP="004E751A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4E751A" w:rsidRPr="004E751A" w:rsidRDefault="004E751A" w:rsidP="004E751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4E751A" w:rsidRPr="004E751A" w:rsidRDefault="004E751A" w:rsidP="004E751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4E751A" w:rsidRPr="004E751A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4E751A" w:rsidRPr="004E751A" w:rsidRDefault="004E751A" w:rsidP="004E751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4E751A" w:rsidRPr="004E751A" w:rsidRDefault="004E751A" w:rsidP="004E751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4E751A" w:rsidRPr="004E751A" w:rsidRDefault="004E751A" w:rsidP="004E751A">
            <w:pPr>
              <w:jc w:val="right"/>
              <w:rPr>
                <w:b/>
                <w:bCs/>
                <w:sz w:val="28"/>
                <w:szCs w:val="28"/>
              </w:rPr>
            </w:pPr>
            <w:r w:rsidRPr="004E751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E751A" w:rsidRPr="004E751A" w:rsidTr="003F6975">
        <w:trPr>
          <w:cantSplit/>
        </w:trPr>
        <w:tc>
          <w:tcPr>
            <w:tcW w:w="1617" w:type="dxa"/>
            <w:gridSpan w:val="2"/>
          </w:tcPr>
          <w:p w:rsidR="004E751A" w:rsidRPr="004E751A" w:rsidRDefault="004E751A" w:rsidP="004E751A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4E751A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4E751A" w:rsidRPr="004E751A" w:rsidRDefault="004E751A" w:rsidP="004E751A">
            <w:r w:rsidRPr="004E751A">
              <w:t>N/A</w:t>
            </w:r>
          </w:p>
        </w:tc>
        <w:tc>
          <w:tcPr>
            <w:tcW w:w="4681" w:type="dxa"/>
            <w:gridSpan w:val="2"/>
          </w:tcPr>
          <w:p w:rsidR="004E751A" w:rsidRPr="004E751A" w:rsidRDefault="00C92718" w:rsidP="00C92718">
            <w:pPr>
              <w:jc w:val="right"/>
            </w:pPr>
            <w:r w:rsidRPr="00C92718">
              <w:t>Geneva, 26 February-2 March 2018</w:t>
            </w:r>
            <w:bookmarkStart w:id="6" w:name="_GoBack"/>
            <w:bookmarkEnd w:id="6"/>
            <w:r w:rsidR="004E751A" w:rsidRPr="004E751A">
              <w:t xml:space="preserve">   </w:t>
            </w:r>
          </w:p>
        </w:tc>
      </w:tr>
      <w:tr w:rsidR="004E751A" w:rsidRPr="004E751A" w:rsidTr="003F6975">
        <w:trPr>
          <w:cantSplit/>
        </w:trPr>
        <w:tc>
          <w:tcPr>
            <w:tcW w:w="9923" w:type="dxa"/>
            <w:gridSpan w:val="5"/>
          </w:tcPr>
          <w:p w:rsidR="004E751A" w:rsidRPr="004E751A" w:rsidRDefault="004E751A" w:rsidP="004E751A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4"/>
            <w:bookmarkEnd w:id="5"/>
            <w:r w:rsidRPr="004E751A">
              <w:rPr>
                <w:b/>
                <w:bCs/>
              </w:rPr>
              <w:t>TD</w:t>
            </w:r>
          </w:p>
        </w:tc>
      </w:tr>
      <w:tr w:rsidR="004E751A" w:rsidRPr="004E751A" w:rsidTr="003F6975">
        <w:trPr>
          <w:cantSplit/>
        </w:trPr>
        <w:tc>
          <w:tcPr>
            <w:tcW w:w="1617" w:type="dxa"/>
            <w:gridSpan w:val="2"/>
          </w:tcPr>
          <w:p w:rsidR="004E751A" w:rsidRPr="004E751A" w:rsidRDefault="004E751A" w:rsidP="004E751A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4E751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4E751A" w:rsidRPr="004E751A" w:rsidRDefault="004E751A" w:rsidP="004E751A">
            <w:r w:rsidRPr="004E751A">
              <w:t>India</w:t>
            </w:r>
          </w:p>
        </w:tc>
      </w:tr>
      <w:tr w:rsidR="004E751A" w:rsidRPr="004E751A" w:rsidTr="003F6975">
        <w:trPr>
          <w:cantSplit/>
        </w:trPr>
        <w:tc>
          <w:tcPr>
            <w:tcW w:w="1617" w:type="dxa"/>
            <w:gridSpan w:val="2"/>
          </w:tcPr>
          <w:p w:rsidR="004E751A" w:rsidRPr="004E751A" w:rsidRDefault="004E751A" w:rsidP="004E751A">
            <w:bookmarkStart w:id="9" w:name="dtitle1" w:colFirst="1" w:colLast="1"/>
            <w:bookmarkEnd w:id="8"/>
            <w:r w:rsidRPr="004E751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4E751A" w:rsidRPr="004E751A" w:rsidRDefault="004E751A" w:rsidP="004E751A">
            <w:r w:rsidRPr="004E751A">
              <w:t>The importance of ITU-T Regional Groups in Bridging the Standardization Gap</w:t>
            </w:r>
          </w:p>
        </w:tc>
      </w:tr>
      <w:tr w:rsidR="004E751A" w:rsidRPr="004E751A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4E751A" w:rsidRPr="004E751A" w:rsidRDefault="004E751A" w:rsidP="004E751A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4E751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4E751A" w:rsidRPr="004E751A" w:rsidRDefault="004E751A" w:rsidP="004E751A">
            <w:r w:rsidRPr="004E751A">
              <w:t>Proposal</w:t>
            </w:r>
          </w:p>
        </w:tc>
      </w:tr>
      <w:bookmarkEnd w:id="1"/>
      <w:bookmarkEnd w:id="10"/>
      <w:tr w:rsidR="0015424F" w:rsidRPr="00C719E0" w:rsidTr="0015424F">
        <w:tblPrEx>
          <w:jc w:val="center"/>
        </w:tblPrEx>
        <w:trPr>
          <w:cantSplit/>
          <w:jc w:val="center"/>
        </w:trPr>
        <w:tc>
          <w:tcPr>
            <w:tcW w:w="16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424F" w:rsidRPr="00EB6F9D" w:rsidRDefault="0015424F" w:rsidP="00471295">
            <w:pPr>
              <w:rPr>
                <w:b/>
                <w:bCs/>
              </w:rPr>
            </w:pPr>
            <w:r w:rsidRPr="00EB6F9D">
              <w:rPr>
                <w:b/>
                <w:bCs/>
              </w:rPr>
              <w:t>Contact:</w:t>
            </w:r>
          </w:p>
        </w:tc>
        <w:tc>
          <w:tcPr>
            <w:tcW w:w="3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424F" w:rsidRDefault="00CF1036" w:rsidP="00CF1036">
            <w:r>
              <w:t xml:space="preserve">Vinod </w:t>
            </w:r>
            <w:proofErr w:type="spellStart"/>
            <w:r>
              <w:t>Kotwal</w:t>
            </w:r>
            <w:proofErr w:type="spellEnd"/>
          </w:p>
        </w:tc>
        <w:tc>
          <w:tcPr>
            <w:tcW w:w="4539" w:type="dxa"/>
            <w:tcBorders>
              <w:top w:val="single" w:sz="6" w:space="0" w:color="auto"/>
              <w:bottom w:val="single" w:sz="6" w:space="0" w:color="auto"/>
            </w:tcBorders>
          </w:tcPr>
          <w:p w:rsidR="0015424F" w:rsidRPr="009D5961" w:rsidRDefault="009D5961" w:rsidP="009D5961">
            <w:pPr>
              <w:spacing w:line="256" w:lineRule="auto"/>
            </w:pPr>
            <w:r>
              <w:rPr>
                <w:lang w:val="de-DE"/>
              </w:rPr>
              <w:t>Email</w:t>
            </w:r>
            <w:r>
              <w:t xml:space="preserve">: </w:t>
            </w:r>
            <w:hyperlink r:id="rId8" w:history="1">
              <w:r w:rsidR="00E35718" w:rsidRPr="006543D3">
                <w:rPr>
                  <w:rStyle w:val="Hyperlink"/>
                </w:rPr>
                <w:t>vinod.kotwal@nic.in</w:t>
              </w:r>
            </w:hyperlink>
            <w:r w:rsidR="00E35718">
              <w:t xml:space="preserve"> </w:t>
            </w:r>
            <w:r>
              <w:t xml:space="preserve"> </w:t>
            </w:r>
            <w:r w:rsidR="00E35718">
              <w:t xml:space="preserve"> </w:t>
            </w:r>
          </w:p>
        </w:tc>
      </w:tr>
      <w:tr w:rsidR="0015424F" w:rsidRPr="00E54FBF" w:rsidTr="0015424F">
        <w:tblPrEx>
          <w:jc w:val="center"/>
        </w:tblPrEx>
        <w:trPr>
          <w:cantSplit/>
          <w:jc w:val="center"/>
        </w:trPr>
        <w:tc>
          <w:tcPr>
            <w:tcW w:w="16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424F" w:rsidRPr="00EB6F9D" w:rsidRDefault="0015424F" w:rsidP="00471295">
            <w:pPr>
              <w:rPr>
                <w:b/>
                <w:bCs/>
              </w:rPr>
            </w:pPr>
            <w:r w:rsidRPr="00EB6F9D">
              <w:rPr>
                <w:b/>
                <w:bCs/>
              </w:rPr>
              <w:t>Contact:</w:t>
            </w:r>
          </w:p>
        </w:tc>
        <w:tc>
          <w:tcPr>
            <w:tcW w:w="3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424F" w:rsidRPr="005B2C06" w:rsidRDefault="00CF1036" w:rsidP="00CF1036">
            <w:pPr>
              <w:rPr>
                <w:lang w:val="fr-CH"/>
              </w:rPr>
            </w:pPr>
            <w:r>
              <w:rPr>
                <w:lang w:val="fr-CH"/>
              </w:rPr>
              <w:t>Manish Gupta</w:t>
            </w:r>
          </w:p>
        </w:tc>
        <w:tc>
          <w:tcPr>
            <w:tcW w:w="4539" w:type="dxa"/>
            <w:tcBorders>
              <w:top w:val="single" w:sz="6" w:space="0" w:color="auto"/>
              <w:bottom w:val="single" w:sz="6" w:space="0" w:color="auto"/>
            </w:tcBorders>
          </w:tcPr>
          <w:p w:rsidR="0015424F" w:rsidRPr="00E54FBF" w:rsidRDefault="009D5961" w:rsidP="009D5961">
            <w:pPr>
              <w:spacing w:line="256" w:lineRule="auto"/>
              <w:rPr>
                <w:lang w:val="de-DE"/>
              </w:rPr>
            </w:pPr>
            <w:r>
              <w:rPr>
                <w:lang w:val="de-DE"/>
              </w:rPr>
              <w:t>Email</w:t>
            </w:r>
            <w:r>
              <w:t xml:space="preserve">: </w:t>
            </w:r>
            <w:hyperlink r:id="rId9" w:history="1">
              <w:r w:rsidR="00E35718" w:rsidRPr="006543D3">
                <w:rPr>
                  <w:rStyle w:val="Hyperlink"/>
                </w:rPr>
                <w:t>manishk.gupta81@nic.in</w:t>
              </w:r>
            </w:hyperlink>
            <w:r w:rsidR="00E35718">
              <w:t xml:space="preserve"> </w:t>
            </w:r>
          </w:p>
        </w:tc>
      </w:tr>
    </w:tbl>
    <w:p w:rsidR="0015424F" w:rsidRPr="00E54FBF" w:rsidRDefault="0015424F" w:rsidP="0015424F">
      <w:pPr>
        <w:spacing w:before="0"/>
        <w:jc w:val="both"/>
        <w:rPr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15424F" w:rsidRPr="00EB6F9D" w:rsidTr="00471295">
        <w:trPr>
          <w:cantSplit/>
        </w:trPr>
        <w:tc>
          <w:tcPr>
            <w:tcW w:w="1617" w:type="dxa"/>
          </w:tcPr>
          <w:p w:rsidR="0015424F" w:rsidRPr="00EB6F9D" w:rsidRDefault="0015424F" w:rsidP="00471295">
            <w:pPr>
              <w:jc w:val="both"/>
              <w:rPr>
                <w:b/>
                <w:bCs/>
              </w:rPr>
            </w:pPr>
            <w:bookmarkStart w:id="11" w:name="_Hlk476404353"/>
            <w:r w:rsidRPr="00EB6F9D">
              <w:rPr>
                <w:b/>
                <w:bCs/>
              </w:rPr>
              <w:t>Keywords:</w:t>
            </w:r>
          </w:p>
        </w:tc>
        <w:tc>
          <w:tcPr>
            <w:tcW w:w="8306" w:type="dxa"/>
          </w:tcPr>
          <w:p w:rsidR="0015424F" w:rsidRPr="00B708EB" w:rsidRDefault="0015424F" w:rsidP="00471295">
            <w:pPr>
              <w:spacing w:line="276" w:lineRule="auto"/>
              <w:jc w:val="both"/>
              <w:rPr>
                <w:rFonts w:eastAsia="Times New Roman"/>
                <w:bCs/>
                <w:lang w:val="en-US" w:eastAsia="fr-FR"/>
              </w:rPr>
            </w:pPr>
            <w:r>
              <w:rPr>
                <w:rFonts w:eastAsia="Times New Roman"/>
                <w:bCs/>
                <w:lang w:val="en-US" w:eastAsia="fr-FR"/>
              </w:rPr>
              <w:t xml:space="preserve">WTSA-16 </w:t>
            </w:r>
            <w:r w:rsidRPr="00B708EB">
              <w:rPr>
                <w:rFonts w:eastAsia="Times New Roman"/>
                <w:bCs/>
                <w:lang w:val="en-US" w:eastAsia="fr-FR"/>
              </w:rPr>
              <w:t>Res</w:t>
            </w:r>
            <w:r>
              <w:rPr>
                <w:rFonts w:eastAsia="Times New Roman"/>
                <w:bCs/>
                <w:lang w:val="en-US" w:eastAsia="fr-FR"/>
              </w:rPr>
              <w:t>olution</w:t>
            </w:r>
            <w:r w:rsidRPr="00B708EB">
              <w:rPr>
                <w:rFonts w:eastAsia="Times New Roman"/>
                <w:bCs/>
                <w:lang w:val="en-US" w:eastAsia="fr-FR"/>
              </w:rPr>
              <w:t xml:space="preserve"> 44</w:t>
            </w:r>
          </w:p>
        </w:tc>
      </w:tr>
    </w:tbl>
    <w:bookmarkEnd w:id="11"/>
    <w:p w:rsidR="007719CA" w:rsidRPr="007719CA" w:rsidRDefault="007719CA" w:rsidP="00117715">
      <w:pPr>
        <w:spacing w:before="240"/>
        <w:rPr>
          <w:b/>
          <w:bCs/>
        </w:rPr>
      </w:pPr>
      <w:r>
        <w:rPr>
          <w:b/>
          <w:bCs/>
        </w:rPr>
        <w:t>Introduction</w:t>
      </w:r>
    </w:p>
    <w:p w:rsidR="007719CA" w:rsidRPr="00E35718" w:rsidRDefault="00EF3087" w:rsidP="00E35718">
      <w:pPr>
        <w:widowControl w:val="0"/>
        <w:suppressLineNumbers/>
        <w:suppressAutoHyphens/>
        <w:rPr>
          <w:rFonts w:eastAsia="Arial Unicode MS"/>
          <w:kern w:val="1"/>
          <w:lang w:eastAsia="hi-IN" w:bidi="hi-IN"/>
        </w:rPr>
      </w:pPr>
      <w:r w:rsidRPr="00D21A9B">
        <w:rPr>
          <w:rFonts w:eastAsia="Batang"/>
          <w:bCs/>
          <w:lang w:eastAsia="hi-IN"/>
        </w:rPr>
        <w:t>There are six regional groups</w:t>
      </w:r>
      <w:r w:rsidR="00FA6473" w:rsidRPr="00D21A9B">
        <w:rPr>
          <w:rFonts w:eastAsia="Batang"/>
          <w:bCs/>
          <w:lang w:eastAsia="hi-IN"/>
        </w:rPr>
        <w:t xml:space="preserve"> of Study Group 3. From</w:t>
      </w:r>
      <w:r w:rsidR="007719CA" w:rsidRPr="00D21A9B">
        <w:rPr>
          <w:rFonts w:eastAsia="Batang"/>
          <w:bCs/>
          <w:lang w:eastAsia="hi-IN"/>
        </w:rPr>
        <w:t xml:space="preserve"> our experience </w:t>
      </w:r>
      <w:r w:rsidR="00FA6473" w:rsidRPr="00D21A9B">
        <w:rPr>
          <w:rFonts w:eastAsia="Batang"/>
          <w:bCs/>
          <w:lang w:eastAsia="hi-IN"/>
        </w:rPr>
        <w:t>of Asia-Oceania (AO)</w:t>
      </w:r>
      <w:r w:rsidR="007719CA" w:rsidRPr="00D21A9B">
        <w:rPr>
          <w:rFonts w:eastAsia="Batang"/>
          <w:bCs/>
          <w:lang w:eastAsia="hi-IN"/>
        </w:rPr>
        <w:t xml:space="preserve"> Region, we have seen </w:t>
      </w:r>
      <w:r w:rsidR="00FA6473" w:rsidRPr="00D21A9B">
        <w:rPr>
          <w:rFonts w:eastAsia="Batang"/>
          <w:bCs/>
          <w:lang w:eastAsia="hi-IN"/>
        </w:rPr>
        <w:t>that these regional groups provide a forum for e</w:t>
      </w:r>
      <w:r w:rsidR="007719CA" w:rsidRPr="00D21A9B">
        <w:rPr>
          <w:rFonts w:eastAsia="Batang"/>
          <w:bCs/>
          <w:lang w:eastAsia="hi-IN"/>
        </w:rPr>
        <w:t xml:space="preserve">xchange </w:t>
      </w:r>
      <w:r w:rsidR="00FA6473" w:rsidRPr="00D21A9B">
        <w:rPr>
          <w:rFonts w:eastAsia="Batang"/>
          <w:bCs/>
          <w:lang w:eastAsia="hi-IN"/>
        </w:rPr>
        <w:t xml:space="preserve">of </w:t>
      </w:r>
      <w:r w:rsidR="007719CA" w:rsidRPr="00D21A9B">
        <w:rPr>
          <w:rFonts w:eastAsia="Batang"/>
          <w:bCs/>
          <w:lang w:eastAsia="hi-IN"/>
        </w:rPr>
        <w:t xml:space="preserve">views, determine regional priorities and build consensus for the overall success of the parent meeting.  </w:t>
      </w:r>
      <w:r w:rsidR="00FA6473" w:rsidRPr="00D21A9B">
        <w:rPr>
          <w:rFonts w:eastAsia="Batang"/>
          <w:bCs/>
          <w:lang w:eastAsia="hi-IN"/>
        </w:rPr>
        <w:t>From the meeting reports of the other regional groups</w:t>
      </w:r>
      <w:r w:rsidR="00D21A9B" w:rsidRPr="00D21A9B">
        <w:rPr>
          <w:rFonts w:eastAsia="Batang"/>
          <w:bCs/>
          <w:lang w:eastAsia="hi-IN"/>
        </w:rPr>
        <w:t xml:space="preserve"> of SG3</w:t>
      </w:r>
      <w:r w:rsidR="00FA6473" w:rsidRPr="00D21A9B">
        <w:rPr>
          <w:rFonts w:eastAsia="Batang"/>
          <w:bCs/>
          <w:lang w:eastAsia="hi-IN"/>
        </w:rPr>
        <w:t>, it is evident that it</w:t>
      </w:r>
      <w:r w:rsidR="007719CA" w:rsidRPr="00D21A9B">
        <w:rPr>
          <w:rFonts w:eastAsia="Batang"/>
          <w:bCs/>
          <w:lang w:eastAsia="hi-IN"/>
        </w:rPr>
        <w:t xml:space="preserve"> is being done in all </w:t>
      </w:r>
      <w:r w:rsidR="00D21A9B" w:rsidRPr="00D21A9B">
        <w:rPr>
          <w:rFonts w:eastAsia="Batang"/>
          <w:bCs/>
          <w:lang w:eastAsia="hi-IN"/>
        </w:rPr>
        <w:t xml:space="preserve">other </w:t>
      </w:r>
      <w:r w:rsidR="007719CA" w:rsidRPr="00D21A9B">
        <w:rPr>
          <w:rFonts w:eastAsia="Batang"/>
          <w:bCs/>
          <w:lang w:eastAsia="hi-IN"/>
        </w:rPr>
        <w:t>regions of the world</w:t>
      </w:r>
      <w:r w:rsidR="00D21A9B" w:rsidRPr="00D21A9B">
        <w:rPr>
          <w:rFonts w:eastAsia="Batang"/>
          <w:bCs/>
          <w:lang w:eastAsia="hi-IN"/>
        </w:rPr>
        <w:t xml:space="preserve"> too.</w:t>
      </w:r>
      <w:r w:rsidR="007719CA" w:rsidRPr="00D21A9B">
        <w:rPr>
          <w:rFonts w:eastAsia="Batang"/>
          <w:bCs/>
          <w:lang w:eastAsia="hi-IN"/>
        </w:rPr>
        <w:t xml:space="preserve"> All these means should be encouraged by TSAG and different ITU bodies. </w:t>
      </w:r>
      <w:r w:rsidR="00D21A9B" w:rsidRPr="00D21A9B">
        <w:rPr>
          <w:rFonts w:eastAsia="Batang"/>
          <w:bCs/>
          <w:lang w:eastAsia="hi-IN"/>
        </w:rPr>
        <w:t>Res.54 of WTSA 16</w:t>
      </w:r>
      <w:r w:rsidR="00D21A9B" w:rsidRPr="00D21A9B">
        <w:rPr>
          <w:rFonts w:eastAsia="Arial Unicode MS"/>
          <w:i/>
          <w:iCs/>
          <w:kern w:val="1"/>
          <w:lang w:eastAsia="hi-IN" w:bidi="hi-IN"/>
        </w:rPr>
        <w:t xml:space="preserve"> </w:t>
      </w:r>
      <w:r w:rsidR="00DA5BB4" w:rsidRPr="00DA5BB4">
        <w:rPr>
          <w:rFonts w:eastAsia="Arial Unicode MS"/>
          <w:iCs/>
          <w:kern w:val="1"/>
          <w:lang w:eastAsia="hi-IN" w:bidi="hi-IN"/>
        </w:rPr>
        <w:t>also resolved</w:t>
      </w:r>
      <w:r w:rsidR="00D21A9B" w:rsidRPr="00D21A9B">
        <w:rPr>
          <w:rFonts w:eastAsia="Arial Unicode MS"/>
          <w:kern w:val="1"/>
          <w:lang w:eastAsia="hi-IN" w:bidi="hi-IN"/>
        </w:rPr>
        <w:t xml:space="preserve"> to support on a case by case basis the coordinated creation of regional groups and</w:t>
      </w:r>
      <w:r w:rsidR="00D21A9B" w:rsidRPr="00D21A9B">
        <w:t xml:space="preserve"> </w:t>
      </w:r>
      <w:r w:rsidR="00D21A9B" w:rsidRPr="00D21A9B">
        <w:rPr>
          <w:rFonts w:eastAsia="Arial Unicode MS"/>
          <w:kern w:val="1"/>
          <w:lang w:eastAsia="hi-IN" w:bidi="hi-IN"/>
        </w:rPr>
        <w:t>to encourage cooperation and collaboration of regional groups with regional standardization entities (regional organizations, regional standardization bodies, and so forth)</w:t>
      </w:r>
      <w:r w:rsidR="00DA5BB4">
        <w:rPr>
          <w:rFonts w:eastAsia="Arial Unicode MS"/>
          <w:kern w:val="1"/>
          <w:lang w:eastAsia="hi-IN" w:bidi="hi-IN"/>
        </w:rPr>
        <w:t xml:space="preserve">. It also invited to </w:t>
      </w:r>
      <w:r w:rsidR="00D21A9B" w:rsidRPr="00D21A9B">
        <w:rPr>
          <w:rFonts w:eastAsia="Arial Unicode MS"/>
          <w:kern w:val="1"/>
          <w:lang w:eastAsia="hi-IN" w:bidi="hi-IN"/>
        </w:rPr>
        <w:t>create regional standardization bodies, joint meetings of regional groups</w:t>
      </w:r>
      <w:r w:rsidR="00DA5BB4">
        <w:rPr>
          <w:rFonts w:eastAsia="Arial Unicode MS"/>
          <w:kern w:val="1"/>
          <w:lang w:eastAsia="hi-IN" w:bidi="hi-IN"/>
        </w:rPr>
        <w:t>.</w:t>
      </w:r>
      <w:r w:rsidR="00E35718">
        <w:rPr>
          <w:rFonts w:eastAsia="Arial Unicode MS"/>
          <w:kern w:val="1"/>
          <w:lang w:eastAsia="hi-IN" w:bidi="hi-IN"/>
        </w:rPr>
        <w:br/>
      </w:r>
    </w:p>
    <w:p w:rsidR="007719CA" w:rsidRDefault="00D21A9B" w:rsidP="00E3571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rPr>
          <w:rFonts w:eastAsia="Batang"/>
          <w:bCs/>
          <w:szCs w:val="20"/>
          <w:lang w:eastAsia="hi-IN"/>
        </w:rPr>
      </w:pPr>
      <w:r>
        <w:rPr>
          <w:rFonts w:eastAsia="Batang"/>
          <w:bCs/>
          <w:szCs w:val="20"/>
          <w:lang w:eastAsia="hi-IN"/>
        </w:rPr>
        <w:t>With the rapidly changing technological environment</w:t>
      </w:r>
      <w:r w:rsidR="007719CA" w:rsidRPr="00543980">
        <w:rPr>
          <w:rFonts w:eastAsia="Batang"/>
          <w:bCs/>
          <w:szCs w:val="20"/>
          <w:lang w:eastAsia="hi-IN"/>
        </w:rPr>
        <w:t>, i</w:t>
      </w:r>
      <w:r w:rsidR="007719CA">
        <w:rPr>
          <w:rFonts w:eastAsia="Batang"/>
          <w:bCs/>
          <w:szCs w:val="20"/>
          <w:lang w:eastAsia="hi-IN"/>
        </w:rPr>
        <w:t>t is important to maximize the o</w:t>
      </w:r>
      <w:r w:rsidR="007719CA" w:rsidRPr="00543980">
        <w:rPr>
          <w:rFonts w:eastAsia="Batang"/>
          <w:bCs/>
          <w:szCs w:val="20"/>
          <w:lang w:eastAsia="hi-IN"/>
        </w:rPr>
        <w:t xml:space="preserve">pportunities to collaborate </w:t>
      </w:r>
      <w:r w:rsidR="007F31D5">
        <w:rPr>
          <w:rFonts w:eastAsia="Batang"/>
          <w:bCs/>
          <w:szCs w:val="20"/>
          <w:lang w:eastAsia="hi-IN"/>
        </w:rPr>
        <w:t xml:space="preserve">and </w:t>
      </w:r>
      <w:r w:rsidR="007719CA" w:rsidRPr="00543980">
        <w:rPr>
          <w:rFonts w:eastAsia="Batang"/>
          <w:bCs/>
          <w:szCs w:val="20"/>
          <w:lang w:eastAsia="hi-IN"/>
        </w:rPr>
        <w:t xml:space="preserve">build </w:t>
      </w:r>
      <w:r w:rsidRPr="00543980">
        <w:rPr>
          <w:rFonts w:eastAsia="Batang"/>
          <w:bCs/>
          <w:szCs w:val="20"/>
          <w:lang w:eastAsia="hi-IN"/>
        </w:rPr>
        <w:t>consensus</w:t>
      </w:r>
      <w:r>
        <w:rPr>
          <w:rFonts w:eastAsia="Batang"/>
          <w:bCs/>
          <w:szCs w:val="20"/>
          <w:lang w:eastAsia="hi-IN"/>
        </w:rPr>
        <w:t>.</w:t>
      </w:r>
      <w:r w:rsidRPr="00543980">
        <w:rPr>
          <w:rFonts w:eastAsia="Batang"/>
          <w:bCs/>
          <w:szCs w:val="20"/>
          <w:lang w:eastAsia="hi-IN"/>
        </w:rPr>
        <w:t xml:space="preserve"> Regional</w:t>
      </w:r>
      <w:r w:rsidR="007719CA" w:rsidRPr="00543980">
        <w:rPr>
          <w:rFonts w:eastAsia="Batang"/>
          <w:bCs/>
          <w:szCs w:val="20"/>
          <w:lang w:eastAsia="hi-IN"/>
        </w:rPr>
        <w:t xml:space="preserve"> groups </w:t>
      </w:r>
      <w:r w:rsidR="007719CA">
        <w:rPr>
          <w:rFonts w:eastAsia="Batang"/>
          <w:bCs/>
          <w:szCs w:val="20"/>
          <w:lang w:eastAsia="hi-IN"/>
        </w:rPr>
        <w:t>of ITU-T SG3 for e</w:t>
      </w:r>
      <w:r w:rsidR="007F31D5">
        <w:rPr>
          <w:rFonts w:eastAsia="Batang"/>
          <w:bCs/>
          <w:szCs w:val="20"/>
          <w:lang w:eastAsia="hi-IN"/>
        </w:rPr>
        <w:t xml:space="preserve">xample enabled </w:t>
      </w:r>
      <w:r w:rsidR="007719CA">
        <w:rPr>
          <w:rFonts w:eastAsia="Batang"/>
          <w:bCs/>
          <w:szCs w:val="20"/>
          <w:lang w:eastAsia="hi-IN"/>
        </w:rPr>
        <w:t xml:space="preserve">wider participation </w:t>
      </w:r>
      <w:r w:rsidR="007F31D5">
        <w:rPr>
          <w:rFonts w:eastAsia="Batang"/>
          <w:bCs/>
          <w:szCs w:val="20"/>
          <w:lang w:eastAsia="hi-IN"/>
        </w:rPr>
        <w:t>in</w:t>
      </w:r>
      <w:r w:rsidR="007719CA">
        <w:rPr>
          <w:rFonts w:eastAsia="Batang"/>
          <w:bCs/>
          <w:szCs w:val="20"/>
          <w:lang w:eastAsia="hi-IN"/>
        </w:rPr>
        <w:t xml:space="preserve"> decision-making. SG3 parent meeting received written contributions from more than 70 Members to make it the most diverse Group in ITU-T</w:t>
      </w:r>
      <w:r w:rsidR="007F31D5">
        <w:rPr>
          <w:rFonts w:eastAsia="Batang"/>
          <w:bCs/>
          <w:szCs w:val="20"/>
          <w:lang w:eastAsia="hi-IN"/>
        </w:rPr>
        <w:t>.</w:t>
      </w:r>
    </w:p>
    <w:p w:rsidR="00D21A9B" w:rsidRDefault="00D21A9B" w:rsidP="00CF103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jc w:val="both"/>
        <w:rPr>
          <w:rFonts w:eastAsia="Batang"/>
          <w:bCs/>
          <w:szCs w:val="20"/>
          <w:lang w:eastAsia="hi-IN"/>
        </w:rPr>
      </w:pPr>
    </w:p>
    <w:p w:rsidR="007719CA" w:rsidRPr="007719CA" w:rsidRDefault="007719CA" w:rsidP="007719CA">
      <w:pPr>
        <w:rPr>
          <w:b/>
          <w:bCs/>
        </w:rPr>
      </w:pPr>
      <w:r w:rsidRPr="007719CA">
        <w:rPr>
          <w:b/>
          <w:bCs/>
        </w:rPr>
        <w:t>Role of ITU-T Regional Groups</w:t>
      </w:r>
    </w:p>
    <w:p w:rsidR="007719CA" w:rsidRDefault="007719CA" w:rsidP="00E35718">
      <w:pPr>
        <w:rPr>
          <w:rFonts w:asciiTheme="majorBidi" w:hAnsiTheme="majorBidi" w:cstheme="majorBidi"/>
          <w:sz w:val="22"/>
          <w:szCs w:val="22"/>
        </w:rPr>
      </w:pPr>
      <w:r w:rsidRPr="00FD0E5A">
        <w:rPr>
          <w:rFonts w:asciiTheme="majorBidi" w:hAnsiTheme="majorBidi" w:cstheme="majorBidi"/>
        </w:rPr>
        <w:t xml:space="preserve">Regional Groups within ITU-T Study Groups have proven effective mechanisms to assist in bridging the standardization gap by stimulating effective participation in ITU-T Study Groups and increasing the number and quality of contributions from developing countries that could eventually lead to standards. </w:t>
      </w:r>
    </w:p>
    <w:p w:rsidR="007719CA" w:rsidRDefault="007719CA" w:rsidP="00E35718">
      <w:r w:rsidRPr="009B1EF6">
        <w:t>The ITU</w:t>
      </w:r>
      <w:r w:rsidR="00D21A9B">
        <w:t>-T SG3 Regional Group for AO (SG3 RG-AO</w:t>
      </w:r>
      <w:r w:rsidRPr="009B1EF6">
        <w:t xml:space="preserve">) </w:t>
      </w:r>
      <w:r>
        <w:t xml:space="preserve">has been </w:t>
      </w:r>
      <w:r w:rsidR="00D21A9B">
        <w:t>quite</w:t>
      </w:r>
      <w:r w:rsidRPr="009B1EF6">
        <w:t xml:space="preserve"> active in shaping international </w:t>
      </w:r>
      <w:r>
        <w:t>standardization-making t</w:t>
      </w:r>
      <w:r w:rsidRPr="009B1EF6">
        <w:t xml:space="preserve">hrough </w:t>
      </w:r>
      <w:r w:rsidR="00D21A9B">
        <w:t xml:space="preserve">an increase </w:t>
      </w:r>
      <w:r>
        <w:t>in the number and quality of written contributions from</w:t>
      </w:r>
      <w:r w:rsidRPr="009B1EF6">
        <w:t xml:space="preserve"> </w:t>
      </w:r>
      <w:r w:rsidR="00D21A9B">
        <w:t>AO</w:t>
      </w:r>
      <w:r w:rsidRPr="009B1EF6">
        <w:t xml:space="preserve"> </w:t>
      </w:r>
      <w:r>
        <w:t xml:space="preserve">members to </w:t>
      </w:r>
      <w:r w:rsidRPr="009B1EF6">
        <w:t>S</w:t>
      </w:r>
      <w:r>
        <w:t xml:space="preserve">tudy </w:t>
      </w:r>
      <w:r w:rsidRPr="009B1EF6">
        <w:t>G</w:t>
      </w:r>
      <w:r>
        <w:t xml:space="preserve">roup </w:t>
      </w:r>
      <w:r w:rsidRPr="009B1EF6">
        <w:t xml:space="preserve">3 </w:t>
      </w:r>
      <w:r>
        <w:t xml:space="preserve">parent </w:t>
      </w:r>
      <w:r w:rsidRPr="009B1EF6">
        <w:t>meeting</w:t>
      </w:r>
      <w:r>
        <w:t>s</w:t>
      </w:r>
      <w:r w:rsidRPr="009B1EF6">
        <w:t xml:space="preserve"> in Geneva. </w:t>
      </w:r>
      <w:r w:rsidR="001F755E">
        <w:t xml:space="preserve">In the last meeting of SG3 AO held in Seoul in October 2017, nine contributions were sent for the main SG3 meeting. </w:t>
      </w:r>
      <w:r w:rsidR="00470D55">
        <w:t xml:space="preserve">Among the key topics for discussions in the forthcoming meetings, AO group is actively involved in the MFS, economic and policy issues of big data, guidelines for digital identity, trans-multi country terrestrial circuits, </w:t>
      </w:r>
      <w:proofErr w:type="spellStart"/>
      <w:r w:rsidR="00470D55">
        <w:t>IoT</w:t>
      </w:r>
      <w:proofErr w:type="spellEnd"/>
      <w:r w:rsidR="00470D55">
        <w:t xml:space="preserve"> &amp; M2M etc. </w:t>
      </w:r>
      <w:r w:rsidR="005834E9">
        <w:t xml:space="preserve">It is also important to note that </w:t>
      </w:r>
      <w:r w:rsidRPr="009B1EF6">
        <w:t xml:space="preserve">ITU-T SG3 Regional Group for </w:t>
      </w:r>
      <w:r w:rsidR="00CE1025">
        <w:t>AO (SG3 RG-AO</w:t>
      </w:r>
      <w:r w:rsidRPr="009B1EF6">
        <w:t xml:space="preserve">) </w:t>
      </w:r>
      <w:r w:rsidRPr="009B1EF6">
        <w:lastRenderedPageBreak/>
        <w:t xml:space="preserve">was one of the first Regional Groups that was created in 1968 by the </w:t>
      </w:r>
      <w:proofErr w:type="spellStart"/>
      <w:r w:rsidRPr="009B1EF6">
        <w:t>IV</w:t>
      </w:r>
      <w:r w:rsidRPr="009B1EF6">
        <w:rPr>
          <w:vertAlign w:val="superscript"/>
        </w:rPr>
        <w:t>th</w:t>
      </w:r>
      <w:proofErr w:type="spellEnd"/>
      <w:r w:rsidRPr="009B1EF6">
        <w:t xml:space="preserve"> Plenary Assembly of the </w:t>
      </w:r>
      <w:r w:rsidR="005834E9" w:rsidRPr="009B1EF6">
        <w:t>CI</w:t>
      </w:r>
      <w:r w:rsidR="005834E9">
        <w:t>TT together with the Regiona</w:t>
      </w:r>
      <w:r w:rsidR="00CE1025">
        <w:t>l Groups for Latin America, Africa</w:t>
      </w:r>
      <w:r w:rsidR="005834E9">
        <w:t xml:space="preserve"> and Europe.</w:t>
      </w:r>
    </w:p>
    <w:p w:rsidR="005834E9" w:rsidRDefault="005834E9" w:rsidP="007719CA"/>
    <w:p w:rsidR="007719CA" w:rsidRPr="009B1EF6" w:rsidRDefault="005834E9" w:rsidP="00CF1036">
      <w:pPr>
        <w:rPr>
          <w:b/>
          <w:bCs/>
        </w:rPr>
      </w:pPr>
      <w:r>
        <w:rPr>
          <w:b/>
          <w:bCs/>
        </w:rPr>
        <w:t>Bridging the Standardization efforts</w:t>
      </w:r>
    </w:p>
    <w:p w:rsidR="007719CA" w:rsidRDefault="00C4400F" w:rsidP="00E35718">
      <w:r>
        <w:t>The close collaboration between the Management team of the Regional group</w:t>
      </w:r>
      <w:r w:rsidR="00EC6220">
        <w:t>s</w:t>
      </w:r>
      <w:r>
        <w:t xml:space="preserve"> and </w:t>
      </w:r>
      <w:r w:rsidR="00EC6220">
        <w:t xml:space="preserve">the </w:t>
      </w:r>
      <w:r>
        <w:t xml:space="preserve">TSB secretariat for SG3 </w:t>
      </w:r>
      <w:r w:rsidR="00EC6220">
        <w:t xml:space="preserve">has </w:t>
      </w:r>
      <w:r>
        <w:t>enabled the implementation of BSG activities. Since the Sao Tome and Principe meeting, interactive hands-on session</w:t>
      </w:r>
      <w:r w:rsidR="007F31D5">
        <w:t xml:space="preserve"> delivered by the Counsellor</w:t>
      </w:r>
      <w:r>
        <w:t xml:space="preserve"> on working methods, drafting and presenting contribution have been implemented together with one-to-one coaching sessions. These efforts combined with a new Regional model for effective participation </w:t>
      </w:r>
      <w:r w:rsidR="00EC6220">
        <w:t xml:space="preserve">are leading to growth </w:t>
      </w:r>
      <w:r>
        <w:t xml:space="preserve">of the quantity of contributions </w:t>
      </w:r>
      <w:r w:rsidR="00EC6220">
        <w:t>from the AO region over a period of time.</w:t>
      </w:r>
    </w:p>
    <w:p w:rsidR="007719CA" w:rsidRDefault="00EC6220" w:rsidP="007719CA">
      <w:pPr>
        <w:rPr>
          <w:rFonts w:asciiTheme="majorBidi" w:hAnsiTheme="majorBidi" w:cstheme="majorBidi"/>
          <w:sz w:val="20"/>
          <w:szCs w:val="20"/>
        </w:rPr>
      </w:pPr>
      <w:r w:rsidRPr="00EC6220">
        <w:rPr>
          <w:rFonts w:asciiTheme="majorBidi" w:hAnsiTheme="majorBidi" w:cstheme="majorBidi"/>
          <w:noProof/>
          <w:sz w:val="20"/>
          <w:szCs w:val="20"/>
          <w:lang w:eastAsia="zh-CN"/>
        </w:rPr>
        <w:drawing>
          <wp:inline distT="0" distB="0" distL="0" distR="0">
            <wp:extent cx="6120244" cy="4419600"/>
            <wp:effectExtent l="0" t="0" r="0" b="0"/>
            <wp:docPr id="1" name="Picture 1" descr="F:\703\F drive\Seoul\DSCN6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703\F drive\Seoul\DSCN64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07" cy="442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0F" w:rsidRDefault="00504FAE" w:rsidP="00E35718">
      <w:r>
        <w:t>These efforts carried over the past 4 years enabled SG3 to be</w:t>
      </w:r>
      <w:r w:rsidR="00C161BA">
        <w:t>come the most</w:t>
      </w:r>
      <w:r>
        <w:t xml:space="preserve"> diverse group in ITU-</w:t>
      </w:r>
      <w:r w:rsidR="00C161BA">
        <w:t xml:space="preserve">T and to play </w:t>
      </w:r>
      <w:r>
        <w:t xml:space="preserve">its role of strengthening the ties between </w:t>
      </w:r>
      <w:r w:rsidRPr="00504FAE">
        <w:t>technology, business and policy</w:t>
      </w:r>
    </w:p>
    <w:p w:rsidR="00504FAE" w:rsidRPr="008D57D2" w:rsidRDefault="00504FAE" w:rsidP="00E35718">
      <w:pPr>
        <w:spacing w:before="240"/>
        <w:rPr>
          <w:b/>
          <w:bCs/>
        </w:rPr>
      </w:pPr>
      <w:r w:rsidRPr="008D57D2">
        <w:rPr>
          <w:b/>
          <w:bCs/>
        </w:rPr>
        <w:t>P</w:t>
      </w:r>
      <w:r w:rsidR="00C161BA" w:rsidRPr="008D57D2">
        <w:rPr>
          <w:b/>
          <w:bCs/>
        </w:rPr>
        <w:t>roposal</w:t>
      </w:r>
    </w:p>
    <w:p w:rsidR="0015424F" w:rsidRDefault="00EC6220" w:rsidP="00E35718">
      <w:r>
        <w:t xml:space="preserve">It is proposed </w:t>
      </w:r>
      <w:r w:rsidR="00C161BA">
        <w:t xml:space="preserve">to TSAG to invite Chairmen of ITU-T Study Groups to disseminate information </w:t>
      </w:r>
      <w:r w:rsidR="008D57D2">
        <w:t xml:space="preserve">i.e. TDs </w:t>
      </w:r>
      <w:r w:rsidR="00C161BA">
        <w:t>to their respective SG members on the</w:t>
      </w:r>
      <w:r w:rsidR="007F31D5">
        <w:t xml:space="preserve"> history and</w:t>
      </w:r>
      <w:r w:rsidR="00C161BA">
        <w:t xml:space="preserve"> importance of Regional Groups in Bridging the Standardization</w:t>
      </w:r>
      <w:r w:rsidR="007F31D5">
        <w:t xml:space="preserve"> Gap. </w:t>
      </w:r>
    </w:p>
    <w:p w:rsidR="00C161BA" w:rsidRDefault="0084511B" w:rsidP="00E35718">
      <w:r>
        <w:t xml:space="preserve">It is also </w:t>
      </w:r>
      <w:r w:rsidR="009D0D46">
        <w:t>requested to</w:t>
      </w:r>
      <w:r>
        <w:t xml:space="preserve"> </w:t>
      </w:r>
      <w:r w:rsidR="007F31D5">
        <w:t>TSAG to recognize the unique nature of the pioneer regional groups of ITU-T SG3, in term of their long history, size</w:t>
      </w:r>
      <w:r w:rsidR="007F3940">
        <w:t>,</w:t>
      </w:r>
      <w:r w:rsidR="007F31D5">
        <w:t xml:space="preserve"> diversity, effective participation and </w:t>
      </w:r>
      <w:r w:rsidR="0093268C">
        <w:t>ensure the</w:t>
      </w:r>
      <w:r w:rsidR="0015424F">
        <w:t xml:space="preserve"> allocation of</w:t>
      </w:r>
      <w:r w:rsidR="0093268C">
        <w:t xml:space="preserve"> appropriate/ proportionate support and resources. It is important to acknowledge that the success of SG3 RG under Res</w:t>
      </w:r>
      <w:r w:rsidR="002D5DD8">
        <w:t xml:space="preserve">. </w:t>
      </w:r>
      <w:r w:rsidR="0093268C">
        <w:t xml:space="preserve">26 led to </w:t>
      </w:r>
      <w:r w:rsidR="007F31D5">
        <w:t>the genesis and the evolution of WTSA Resolutions 54 and 44</w:t>
      </w:r>
      <w:r w:rsidR="002D5DD8">
        <w:t>.</w:t>
      </w:r>
    </w:p>
    <w:p w:rsidR="00471295" w:rsidRPr="00B71687" w:rsidRDefault="007719CA" w:rsidP="00B71687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__________________</w:t>
      </w:r>
    </w:p>
    <w:sectPr w:rsidR="00471295" w:rsidRPr="00B71687" w:rsidSect="004E751A">
      <w:headerReference w:type="default" r:id="rId11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48" w:rsidRDefault="008D4448">
      <w:pPr>
        <w:spacing w:before="0"/>
      </w:pPr>
      <w:r>
        <w:separator/>
      </w:r>
    </w:p>
  </w:endnote>
  <w:endnote w:type="continuationSeparator" w:id="0">
    <w:p w:rsidR="008D4448" w:rsidRDefault="008D44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48" w:rsidRDefault="008D4448">
      <w:pPr>
        <w:spacing w:before="0"/>
      </w:pPr>
      <w:r>
        <w:separator/>
      </w:r>
    </w:p>
  </w:footnote>
  <w:footnote w:type="continuationSeparator" w:id="0">
    <w:p w:rsidR="008D4448" w:rsidRDefault="008D44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95" w:rsidRPr="004E751A" w:rsidRDefault="004E751A" w:rsidP="004E751A">
    <w:pPr>
      <w:pStyle w:val="Header"/>
      <w:rPr>
        <w:sz w:val="18"/>
      </w:rPr>
    </w:pPr>
    <w:r w:rsidRPr="004E751A">
      <w:rPr>
        <w:sz w:val="18"/>
      </w:rPr>
      <w:t xml:space="preserve">- </w:t>
    </w:r>
    <w:r w:rsidRPr="004E751A">
      <w:rPr>
        <w:sz w:val="18"/>
      </w:rPr>
      <w:fldChar w:fldCharType="begin"/>
    </w:r>
    <w:r w:rsidRPr="004E751A">
      <w:rPr>
        <w:sz w:val="18"/>
      </w:rPr>
      <w:instrText xml:space="preserve"> PAGE  \* MERGEFORMAT </w:instrText>
    </w:r>
    <w:r w:rsidRPr="004E751A">
      <w:rPr>
        <w:sz w:val="18"/>
      </w:rPr>
      <w:fldChar w:fldCharType="separate"/>
    </w:r>
    <w:r w:rsidR="00C92718">
      <w:rPr>
        <w:noProof/>
        <w:sz w:val="18"/>
      </w:rPr>
      <w:t>2</w:t>
    </w:r>
    <w:r w:rsidRPr="004E751A">
      <w:rPr>
        <w:sz w:val="18"/>
      </w:rPr>
      <w:fldChar w:fldCharType="end"/>
    </w:r>
    <w:r w:rsidRPr="004E751A">
      <w:rPr>
        <w:sz w:val="18"/>
      </w:rPr>
      <w:t xml:space="preserve"> -</w:t>
    </w:r>
  </w:p>
  <w:p w:rsidR="004E751A" w:rsidRPr="004E751A" w:rsidRDefault="004E751A" w:rsidP="004E751A">
    <w:pPr>
      <w:pStyle w:val="Header"/>
      <w:spacing w:after="240"/>
      <w:rPr>
        <w:sz w:val="18"/>
      </w:rPr>
    </w:pPr>
    <w:r w:rsidRPr="004E751A">
      <w:rPr>
        <w:sz w:val="18"/>
      </w:rPr>
      <w:t>TSAG-C033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5D3E"/>
    <w:multiLevelType w:val="hybridMultilevel"/>
    <w:tmpl w:val="9DBC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90E35"/>
    <w:multiLevelType w:val="hybridMultilevel"/>
    <w:tmpl w:val="F7F89444"/>
    <w:lvl w:ilvl="0" w:tplc="9C7A59F8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CA"/>
    <w:rsid w:val="00043E59"/>
    <w:rsid w:val="00117715"/>
    <w:rsid w:val="0015424F"/>
    <w:rsid w:val="001C4EF3"/>
    <w:rsid w:val="001F755E"/>
    <w:rsid w:val="002D247C"/>
    <w:rsid w:val="002D5DD8"/>
    <w:rsid w:val="002F57A1"/>
    <w:rsid w:val="003A5969"/>
    <w:rsid w:val="00470D55"/>
    <w:rsid w:val="00471295"/>
    <w:rsid w:val="004E751A"/>
    <w:rsid w:val="00504FAE"/>
    <w:rsid w:val="005063D9"/>
    <w:rsid w:val="005834E9"/>
    <w:rsid w:val="005B2C06"/>
    <w:rsid w:val="006027E9"/>
    <w:rsid w:val="006F498D"/>
    <w:rsid w:val="00724427"/>
    <w:rsid w:val="007719CA"/>
    <w:rsid w:val="00790711"/>
    <w:rsid w:val="007C2CB9"/>
    <w:rsid w:val="007F31D5"/>
    <w:rsid w:val="007F3940"/>
    <w:rsid w:val="00812064"/>
    <w:rsid w:val="0084511B"/>
    <w:rsid w:val="00893C2E"/>
    <w:rsid w:val="008D4448"/>
    <w:rsid w:val="008D57D2"/>
    <w:rsid w:val="0093268C"/>
    <w:rsid w:val="009402E7"/>
    <w:rsid w:val="00940F1F"/>
    <w:rsid w:val="009D0D46"/>
    <w:rsid w:val="009D5961"/>
    <w:rsid w:val="00A46BA6"/>
    <w:rsid w:val="00AD469B"/>
    <w:rsid w:val="00B71687"/>
    <w:rsid w:val="00BF256E"/>
    <w:rsid w:val="00BF659D"/>
    <w:rsid w:val="00C1511E"/>
    <w:rsid w:val="00C161BA"/>
    <w:rsid w:val="00C4400F"/>
    <w:rsid w:val="00C53A47"/>
    <w:rsid w:val="00C92718"/>
    <w:rsid w:val="00CE1025"/>
    <w:rsid w:val="00CF1036"/>
    <w:rsid w:val="00D21A9B"/>
    <w:rsid w:val="00DA5BB4"/>
    <w:rsid w:val="00DB4F6F"/>
    <w:rsid w:val="00DC542E"/>
    <w:rsid w:val="00DD121D"/>
    <w:rsid w:val="00DE7C02"/>
    <w:rsid w:val="00E35718"/>
    <w:rsid w:val="00E66FDB"/>
    <w:rsid w:val="00EB4D35"/>
    <w:rsid w:val="00EC6220"/>
    <w:rsid w:val="00EE5460"/>
    <w:rsid w:val="00EF2091"/>
    <w:rsid w:val="00EF3087"/>
    <w:rsid w:val="00F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AFBF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C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9CA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719CA"/>
    <w:rPr>
      <w:rFonts w:ascii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7719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en-US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7719CA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66FD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6FDB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ocnumber">
    <w:name w:val="Docnumber"/>
    <w:basedOn w:val="Normal"/>
    <w:link w:val="DocnumberChar"/>
    <w:qFormat/>
    <w:rsid w:val="00E66F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E66FDB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styleId="Hyperlink">
    <w:name w:val="Hyperlink"/>
    <w:basedOn w:val="DefaultParagraphFont"/>
    <w:unhideWhenUsed/>
    <w:rsid w:val="0015424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5424F"/>
    <w:rPr>
      <w:rFonts w:ascii="Times New Roman" w:hAnsi="Times New Roman"/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F3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d.kotwal@ni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anishk.gupta81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3715</Characters>
  <Application>Microsoft Office Word</Application>
  <DocSecurity>0</DocSecurity>
  <Lines>86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importance of ITU-T Regional Groups in Bridging the Standardization Gap</dc:title>
  <dc:subject/>
  <dc:creator/>
  <cp:keywords/>
  <dc:description>TSAG-TDC033/GEN  For: Geneva, 29 January -9 February 2018_x000d_Document date: _x000d_Saved by ITU51011760 at 18:49:27 on 13/02/2018</dc:description>
  <cp:lastModifiedBy/>
  <cp:revision>1</cp:revision>
  <dcterms:created xsi:type="dcterms:W3CDTF">2018-02-12T22:37:00Z</dcterms:created>
  <dcterms:modified xsi:type="dcterms:W3CDTF">2018-02-13T17:50:00Z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TSAG-TDC033/GEN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29 January -9 February 2018</vt:lpwstr>
  </property>
  <property fmtid="{D5CDD505-2E9C-101B-9397-08002B2CF9AE}" pid="7" name="Docauthor">
    <vt:lpwstr>India</vt:lpwstr>
  </property>
</Properties>
</file>