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141"/>
        <w:gridCol w:w="3485"/>
        <w:gridCol w:w="142"/>
        <w:gridCol w:w="4538"/>
      </w:tblGrid>
      <w:tr w:rsidR="00126C84" w:rsidRPr="00C00620" w:rsidTr="003B1B1D">
        <w:trPr>
          <w:cantSplit/>
        </w:trPr>
        <w:tc>
          <w:tcPr>
            <w:tcW w:w="1191" w:type="dxa"/>
            <w:vMerge w:val="restart"/>
          </w:tcPr>
          <w:p w:rsidR="00126C84" w:rsidRPr="00126C84" w:rsidRDefault="00126C84" w:rsidP="003B1B1D">
            <w:pPr>
              <w:rPr>
                <w:rFonts w:ascii="Times New Roman" w:hAnsi="Times New Roman"/>
                <w:sz w:val="20"/>
              </w:rPr>
            </w:pPr>
            <w:bookmarkStart w:id="0" w:name="dnum" w:colFirst="2" w:colLast="2"/>
            <w:bookmarkStart w:id="1" w:name="dtableau"/>
            <w:r w:rsidRPr="00126C84">
              <w:rPr>
                <w:rFonts w:ascii="Times New Roman" w:hAnsi="Times New Roman"/>
                <w:noProof/>
                <w:sz w:val="20"/>
                <w:lang w:eastAsia="zh-CN"/>
              </w:rPr>
              <w:drawing>
                <wp:inline distT="0" distB="0" distL="0" distR="0" wp14:anchorId="4255F6AF" wp14:editId="76E5687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26C84" w:rsidRPr="00126C84" w:rsidRDefault="00126C84" w:rsidP="003B1B1D">
            <w:pPr>
              <w:rPr>
                <w:rFonts w:ascii="Times New Roman" w:hAnsi="Times New Roman"/>
                <w:sz w:val="16"/>
                <w:szCs w:val="16"/>
                <w:lang w:eastAsia="zh-CN"/>
              </w:rPr>
            </w:pPr>
            <w:r w:rsidRPr="00126C84">
              <w:rPr>
                <w:rFonts w:ascii="Times New Roman" w:hAnsi="Times New Roman"/>
                <w:sz w:val="16"/>
                <w:szCs w:val="16"/>
                <w:lang w:eastAsia="zh-CN"/>
              </w:rPr>
              <w:t>国际电信联盟</w:t>
            </w:r>
          </w:p>
          <w:p w:rsidR="00126C84" w:rsidRPr="00126C84" w:rsidRDefault="00126C84" w:rsidP="003B1B1D">
            <w:pPr>
              <w:rPr>
                <w:rFonts w:ascii="Times New Roman" w:hAnsi="Times New Roman"/>
                <w:b/>
                <w:bCs/>
                <w:sz w:val="26"/>
                <w:szCs w:val="26"/>
                <w:lang w:eastAsia="zh-CN"/>
              </w:rPr>
            </w:pPr>
            <w:r w:rsidRPr="00126C84">
              <w:rPr>
                <w:rFonts w:ascii="Times New Roman" w:hAnsi="Times New Roman"/>
                <w:b/>
                <w:bCs/>
                <w:sz w:val="26"/>
                <w:szCs w:val="26"/>
                <w:lang w:eastAsia="zh-CN"/>
              </w:rPr>
              <w:t>电信标准化部门</w:t>
            </w:r>
          </w:p>
          <w:p w:rsidR="00126C84" w:rsidRPr="00126C84" w:rsidRDefault="00126C84" w:rsidP="003B1B1D">
            <w:pPr>
              <w:rPr>
                <w:rFonts w:ascii="Times New Roman" w:hAnsi="Times New Roman"/>
                <w:sz w:val="20"/>
              </w:rPr>
            </w:pPr>
            <w:bookmarkStart w:id="2" w:name="dstudyperiod"/>
            <w:r w:rsidRPr="00126C84">
              <w:rPr>
                <w:rFonts w:ascii="Times New Roman" w:hAnsi="Times New Roman"/>
                <w:sz w:val="20"/>
              </w:rPr>
              <w:t>2017-2020</w:t>
            </w:r>
            <w:bookmarkEnd w:id="2"/>
            <w:r w:rsidRPr="00126C84">
              <w:rPr>
                <w:rFonts w:ascii="Times New Roman" w:hAnsi="Times New Roman"/>
                <w:sz w:val="20"/>
                <w:lang w:eastAsia="zh-CN"/>
              </w:rPr>
              <w:t>年研究期</w:t>
            </w:r>
          </w:p>
        </w:tc>
        <w:tc>
          <w:tcPr>
            <w:tcW w:w="4680" w:type="dxa"/>
            <w:gridSpan w:val="2"/>
            <w:vAlign w:val="center"/>
          </w:tcPr>
          <w:p w:rsidR="00126C84" w:rsidRPr="00126C84" w:rsidRDefault="00126C84" w:rsidP="003B1B1D">
            <w:pPr>
              <w:pStyle w:val="Docnumber"/>
            </w:pPr>
            <w:r w:rsidRPr="00126C84">
              <w:t>TSAG-C047</w:t>
            </w:r>
            <w:r w:rsidR="004B1BE2">
              <w:t>-C</w:t>
            </w:r>
            <w:bookmarkStart w:id="3" w:name="_GoBack"/>
            <w:bookmarkEnd w:id="3"/>
          </w:p>
        </w:tc>
      </w:tr>
      <w:tr w:rsidR="00126C84" w:rsidRPr="00C00620" w:rsidTr="003B1B1D">
        <w:trPr>
          <w:cantSplit/>
        </w:trPr>
        <w:tc>
          <w:tcPr>
            <w:tcW w:w="1191" w:type="dxa"/>
            <w:vMerge/>
          </w:tcPr>
          <w:p w:rsidR="00126C84" w:rsidRPr="00126C84" w:rsidRDefault="00126C84" w:rsidP="003B1B1D">
            <w:pPr>
              <w:rPr>
                <w:rFonts w:ascii="Times New Roman" w:hAnsi="Times New Roman"/>
                <w:smallCaps/>
                <w:sz w:val="20"/>
                <w:lang w:val="es-ES"/>
              </w:rPr>
            </w:pPr>
            <w:bookmarkStart w:id="4" w:name="dsg" w:colFirst="2" w:colLast="2"/>
            <w:bookmarkEnd w:id="0"/>
          </w:p>
        </w:tc>
        <w:tc>
          <w:tcPr>
            <w:tcW w:w="4052" w:type="dxa"/>
            <w:gridSpan w:val="3"/>
            <w:vMerge/>
          </w:tcPr>
          <w:p w:rsidR="00126C84" w:rsidRPr="00126C84" w:rsidRDefault="00126C84" w:rsidP="003B1B1D">
            <w:pPr>
              <w:rPr>
                <w:rFonts w:ascii="Times New Roman" w:hAnsi="Times New Roman"/>
                <w:smallCaps/>
                <w:sz w:val="20"/>
                <w:lang w:val="es-ES"/>
              </w:rPr>
            </w:pPr>
          </w:p>
        </w:tc>
        <w:tc>
          <w:tcPr>
            <w:tcW w:w="4680" w:type="dxa"/>
            <w:gridSpan w:val="2"/>
          </w:tcPr>
          <w:p w:rsidR="00126C84" w:rsidRPr="00126C84" w:rsidRDefault="00126C84" w:rsidP="003B1B1D">
            <w:pPr>
              <w:jc w:val="right"/>
              <w:rPr>
                <w:rFonts w:ascii="Times New Roman" w:hAnsi="Times New Roman"/>
                <w:b/>
                <w:bCs/>
                <w:sz w:val="28"/>
                <w:szCs w:val="28"/>
                <w:lang w:val="es-ES"/>
              </w:rPr>
            </w:pPr>
            <w:r w:rsidRPr="00126C84">
              <w:rPr>
                <w:rFonts w:ascii="Times New Roman" w:hAnsi="Times New Roman"/>
                <w:b/>
                <w:bCs/>
                <w:sz w:val="28"/>
                <w:szCs w:val="28"/>
                <w:lang w:val="es-ES"/>
              </w:rPr>
              <w:t>TSAG</w:t>
            </w:r>
          </w:p>
        </w:tc>
      </w:tr>
      <w:bookmarkEnd w:id="4"/>
      <w:tr w:rsidR="00126C84" w:rsidRPr="00E27148" w:rsidTr="003B1B1D">
        <w:trPr>
          <w:cantSplit/>
        </w:trPr>
        <w:tc>
          <w:tcPr>
            <w:tcW w:w="1191" w:type="dxa"/>
            <w:vMerge/>
            <w:tcBorders>
              <w:bottom w:val="single" w:sz="12" w:space="0" w:color="auto"/>
            </w:tcBorders>
          </w:tcPr>
          <w:p w:rsidR="00126C84" w:rsidRPr="00126C84" w:rsidRDefault="00126C84" w:rsidP="003B1B1D">
            <w:pPr>
              <w:rPr>
                <w:rFonts w:ascii="Times New Roman" w:hAnsi="Times New Roman"/>
                <w:b/>
                <w:bCs/>
                <w:sz w:val="26"/>
                <w:lang w:val="es-ES"/>
              </w:rPr>
            </w:pPr>
          </w:p>
        </w:tc>
        <w:tc>
          <w:tcPr>
            <w:tcW w:w="4052" w:type="dxa"/>
            <w:gridSpan w:val="3"/>
            <w:vMerge/>
            <w:tcBorders>
              <w:bottom w:val="single" w:sz="12" w:space="0" w:color="auto"/>
            </w:tcBorders>
          </w:tcPr>
          <w:p w:rsidR="00126C84" w:rsidRPr="00126C84" w:rsidRDefault="00126C84" w:rsidP="003B1B1D">
            <w:pPr>
              <w:rPr>
                <w:rFonts w:ascii="Times New Roman" w:hAnsi="Times New Roman"/>
                <w:b/>
                <w:bCs/>
                <w:sz w:val="26"/>
                <w:lang w:val="es-ES"/>
              </w:rPr>
            </w:pPr>
          </w:p>
        </w:tc>
        <w:tc>
          <w:tcPr>
            <w:tcW w:w="4680" w:type="dxa"/>
            <w:gridSpan w:val="2"/>
            <w:tcBorders>
              <w:bottom w:val="single" w:sz="12" w:space="0" w:color="auto"/>
            </w:tcBorders>
            <w:vAlign w:val="center"/>
          </w:tcPr>
          <w:p w:rsidR="00126C84" w:rsidRPr="00126C84" w:rsidRDefault="00126C84" w:rsidP="003B1B1D">
            <w:pPr>
              <w:jc w:val="right"/>
              <w:rPr>
                <w:rFonts w:ascii="Times New Roman" w:hAnsi="Times New Roman"/>
                <w:b/>
                <w:bCs/>
                <w:sz w:val="28"/>
                <w:szCs w:val="28"/>
              </w:rPr>
            </w:pPr>
            <w:r w:rsidRPr="00126C84">
              <w:rPr>
                <w:rFonts w:ascii="Times New Roman" w:hAnsi="Times New Roman"/>
                <w:b/>
                <w:bCs/>
                <w:sz w:val="28"/>
                <w:szCs w:val="28"/>
                <w:lang w:eastAsia="zh-CN"/>
              </w:rPr>
              <w:t>原文：英文</w:t>
            </w:r>
          </w:p>
        </w:tc>
      </w:tr>
      <w:tr w:rsidR="00126C84" w:rsidRPr="00E27148" w:rsidTr="00126C84">
        <w:trPr>
          <w:cantSplit/>
        </w:trPr>
        <w:tc>
          <w:tcPr>
            <w:tcW w:w="1758" w:type="dxa"/>
            <w:gridSpan w:val="3"/>
          </w:tcPr>
          <w:p w:rsidR="00126C84" w:rsidRPr="00126C84" w:rsidRDefault="00126C84" w:rsidP="003B1B1D">
            <w:pPr>
              <w:rPr>
                <w:rFonts w:ascii="Times New Roman" w:hAnsi="Times New Roman"/>
              </w:rPr>
            </w:pPr>
            <w:bookmarkStart w:id="5" w:name="dbluepink" w:colFirst="1" w:colLast="1"/>
            <w:bookmarkStart w:id="6" w:name="dmeeting" w:colFirst="2" w:colLast="2"/>
            <w:r w:rsidRPr="00126C84">
              <w:rPr>
                <w:rFonts w:ascii="Times New Roman" w:hAnsi="Times New Roman"/>
                <w:b/>
                <w:bCs/>
                <w:lang w:eastAsia="zh-CN"/>
              </w:rPr>
              <w:t>课题：</w:t>
            </w:r>
          </w:p>
        </w:tc>
        <w:tc>
          <w:tcPr>
            <w:tcW w:w="3485" w:type="dxa"/>
          </w:tcPr>
          <w:p w:rsidR="00126C84" w:rsidRPr="00126C84" w:rsidRDefault="00126C84" w:rsidP="003B1B1D">
            <w:pPr>
              <w:rPr>
                <w:rFonts w:ascii="Times New Roman" w:hAnsi="Times New Roman"/>
              </w:rPr>
            </w:pPr>
            <w:r w:rsidRPr="00126C84">
              <w:rPr>
                <w:rFonts w:ascii="Times New Roman" w:hAnsi="Times New Roman"/>
                <w:lang w:eastAsia="zh-CN"/>
              </w:rPr>
              <w:t>非课题（</w:t>
            </w:r>
            <w:r w:rsidRPr="00126C84">
              <w:rPr>
                <w:rFonts w:ascii="Times New Roman" w:hAnsi="Times New Roman"/>
              </w:rPr>
              <w:t>N/A</w:t>
            </w:r>
            <w:r w:rsidRPr="00126C84">
              <w:rPr>
                <w:rFonts w:ascii="Times New Roman" w:hAnsi="Times New Roman"/>
                <w:lang w:eastAsia="zh-CN"/>
              </w:rPr>
              <w:t>）</w:t>
            </w:r>
          </w:p>
        </w:tc>
        <w:tc>
          <w:tcPr>
            <w:tcW w:w="4680" w:type="dxa"/>
            <w:gridSpan w:val="2"/>
          </w:tcPr>
          <w:p w:rsidR="00126C84" w:rsidRPr="00126C84" w:rsidRDefault="00126C84" w:rsidP="003B1B1D">
            <w:pPr>
              <w:jc w:val="right"/>
              <w:rPr>
                <w:rFonts w:ascii="Times New Roman" w:hAnsi="Times New Roman"/>
              </w:rPr>
            </w:pPr>
            <w:r w:rsidRPr="00126C84">
              <w:rPr>
                <w:rFonts w:ascii="Times New Roman" w:hAnsi="Times New Roman"/>
              </w:rPr>
              <w:t>2018</w:t>
            </w:r>
            <w:r w:rsidRPr="00126C84">
              <w:rPr>
                <w:rFonts w:ascii="Times New Roman" w:hAnsi="Times New Roman"/>
                <w:lang w:eastAsia="zh-CN"/>
              </w:rPr>
              <w:t>年</w:t>
            </w:r>
            <w:r w:rsidRPr="00126C84">
              <w:rPr>
                <w:rFonts w:ascii="Times New Roman" w:hAnsi="Times New Roman"/>
                <w:lang w:eastAsia="zh-CN"/>
              </w:rPr>
              <w:t>12</w:t>
            </w:r>
            <w:r w:rsidRPr="00126C84">
              <w:rPr>
                <w:rFonts w:ascii="Times New Roman" w:hAnsi="Times New Roman"/>
                <w:lang w:eastAsia="zh-CN"/>
              </w:rPr>
              <w:t>月</w:t>
            </w:r>
            <w:r w:rsidRPr="00126C84">
              <w:rPr>
                <w:rFonts w:ascii="Times New Roman" w:hAnsi="Times New Roman"/>
              </w:rPr>
              <w:t>10 – 14</w:t>
            </w:r>
            <w:r w:rsidRPr="00126C84">
              <w:rPr>
                <w:rFonts w:ascii="Times New Roman" w:hAnsi="Times New Roman"/>
                <w:lang w:eastAsia="zh-CN"/>
              </w:rPr>
              <w:t>日，日内瓦</w:t>
            </w:r>
          </w:p>
        </w:tc>
      </w:tr>
      <w:tr w:rsidR="00126C84" w:rsidRPr="00E27148" w:rsidTr="003B1B1D">
        <w:trPr>
          <w:cantSplit/>
        </w:trPr>
        <w:tc>
          <w:tcPr>
            <w:tcW w:w="9923" w:type="dxa"/>
            <w:gridSpan w:val="6"/>
          </w:tcPr>
          <w:p w:rsidR="00126C84" w:rsidRPr="00126C84" w:rsidRDefault="00126C84" w:rsidP="003B1B1D">
            <w:pPr>
              <w:jc w:val="center"/>
              <w:rPr>
                <w:rFonts w:ascii="Times New Roman" w:hAnsi="Times New Roman"/>
                <w:b/>
                <w:bCs/>
              </w:rPr>
            </w:pPr>
            <w:bookmarkStart w:id="7" w:name="ddoctype" w:colFirst="0" w:colLast="0"/>
            <w:bookmarkEnd w:id="5"/>
            <w:bookmarkEnd w:id="6"/>
            <w:r w:rsidRPr="00126C84">
              <w:rPr>
                <w:rFonts w:ascii="Times New Roman" w:hAnsi="Times New Roman"/>
                <w:b/>
                <w:bCs/>
                <w:lang w:eastAsia="zh-CN"/>
              </w:rPr>
              <w:t>文稿</w:t>
            </w:r>
          </w:p>
        </w:tc>
      </w:tr>
      <w:tr w:rsidR="00126C84" w:rsidRPr="00E27148" w:rsidTr="003B1B1D">
        <w:trPr>
          <w:cantSplit/>
        </w:trPr>
        <w:tc>
          <w:tcPr>
            <w:tcW w:w="1617" w:type="dxa"/>
            <w:gridSpan w:val="2"/>
          </w:tcPr>
          <w:p w:rsidR="00126C84" w:rsidRPr="00126C84" w:rsidRDefault="00126C84" w:rsidP="003B1B1D">
            <w:pPr>
              <w:rPr>
                <w:rFonts w:ascii="Times New Roman" w:hAnsi="Times New Roman"/>
                <w:b/>
                <w:bCs/>
              </w:rPr>
            </w:pPr>
            <w:bookmarkStart w:id="8" w:name="dsource" w:colFirst="1" w:colLast="1"/>
            <w:bookmarkEnd w:id="7"/>
            <w:r w:rsidRPr="00126C84">
              <w:rPr>
                <w:rFonts w:ascii="Times New Roman" w:hAnsi="Times New Roman"/>
                <w:b/>
                <w:bCs/>
                <w:lang w:eastAsia="zh-CN"/>
              </w:rPr>
              <w:t>来源：</w:t>
            </w:r>
          </w:p>
        </w:tc>
        <w:sdt>
          <w:sdtPr>
            <w:rPr>
              <w:rFonts w:ascii="Times New Roman" w:hAnsi="Times New Roman"/>
              <w:lang w:eastAsia="zh-CN"/>
            </w:rPr>
            <w:alias w:val="DocumentSource"/>
            <w:tag w:val="DocumentSource"/>
            <w:id w:val="-1547363769"/>
            <w:placeholder>
              <w:docPart w:val="75BF0A60CA8D439A87966265355FA93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6" w:type="dxa"/>
                <w:gridSpan w:val="4"/>
              </w:tcPr>
              <w:p w:rsidR="00126C84" w:rsidRPr="00126C84" w:rsidRDefault="00126C84" w:rsidP="003B1B1D">
                <w:pPr>
                  <w:rPr>
                    <w:rFonts w:ascii="Times New Roman" w:hAnsi="Times New Roman"/>
                    <w:lang w:eastAsia="zh-CN"/>
                  </w:rPr>
                </w:pPr>
                <w:r w:rsidRPr="00126C84">
                  <w:rPr>
                    <w:rFonts w:ascii="Times New Roman" w:hAnsi="Times New Roman"/>
                    <w:lang w:eastAsia="zh-CN"/>
                  </w:rPr>
                  <w:t>尼日利亚大学，尼日利亚</w:t>
                </w:r>
              </w:p>
            </w:tc>
          </w:sdtContent>
        </w:sdt>
      </w:tr>
      <w:tr w:rsidR="00126C84" w:rsidRPr="00E27148" w:rsidTr="003B1B1D">
        <w:trPr>
          <w:cantSplit/>
        </w:trPr>
        <w:tc>
          <w:tcPr>
            <w:tcW w:w="1617" w:type="dxa"/>
            <w:gridSpan w:val="2"/>
          </w:tcPr>
          <w:p w:rsidR="00126C84" w:rsidRPr="00126C84" w:rsidRDefault="00126C84" w:rsidP="003B1B1D">
            <w:pPr>
              <w:rPr>
                <w:rFonts w:ascii="Times New Roman" w:hAnsi="Times New Roman"/>
              </w:rPr>
            </w:pPr>
            <w:bookmarkStart w:id="9" w:name="dtitle1" w:colFirst="1" w:colLast="1"/>
            <w:bookmarkEnd w:id="8"/>
            <w:r w:rsidRPr="00126C84">
              <w:rPr>
                <w:rFonts w:ascii="Times New Roman" w:hAnsi="Times New Roman"/>
                <w:b/>
                <w:bCs/>
                <w:lang w:eastAsia="zh-CN"/>
              </w:rPr>
              <w:t>标题</w:t>
            </w:r>
            <w:r w:rsidRPr="00126C84">
              <w:rPr>
                <w:rFonts w:ascii="Times New Roman" w:hAnsi="Times New Roman"/>
                <w:b/>
                <w:bCs/>
                <w:lang w:eastAsia="zh-CN"/>
              </w:rPr>
              <w:t xml:space="preserve"> </w:t>
            </w:r>
            <w:r w:rsidRPr="00126C84">
              <w:rPr>
                <w:rFonts w:ascii="Times New Roman" w:hAnsi="Times New Roman"/>
                <w:b/>
                <w:bCs/>
                <w:lang w:eastAsia="zh-CN"/>
              </w:rPr>
              <w:t>：</w:t>
            </w:r>
          </w:p>
        </w:tc>
        <w:tc>
          <w:tcPr>
            <w:tcW w:w="8306" w:type="dxa"/>
            <w:gridSpan w:val="4"/>
          </w:tcPr>
          <w:p w:rsidR="00126C84" w:rsidRPr="00126C84" w:rsidRDefault="004B1BE2" w:rsidP="003B1B1D">
            <w:pPr>
              <w:rPr>
                <w:rFonts w:ascii="Times New Roman" w:hAnsi="Times New Roman"/>
                <w:lang w:eastAsia="zh-CN"/>
              </w:rPr>
            </w:pPr>
            <w:sdt>
              <w:sdtPr>
                <w:rPr>
                  <w:rFonts w:ascii="Times New Roman" w:hAnsi="Times New Roman" w:hint="eastAsia"/>
                  <w:lang w:eastAsia="zh-CN"/>
                </w:rPr>
                <w:alias w:val="Title"/>
                <w:tag w:val="Title"/>
                <w:id w:val="1877968201"/>
                <w:placeholder>
                  <w:docPart w:val="FA5B051C78AA4AB18D99A08A9E6D5B17"/>
                </w:placeholder>
                <w:dataBinding w:prefixMappings="xmlns:ns0='http://purl.org/dc/elements/1.1/' xmlns:ns1='http://schemas.openxmlformats.org/package/2006/metadata/core-properties' " w:xpath="/ns1:coreProperties[1]/ns0:title[1]" w:storeItemID="{6C3C8BC8-F283-45AE-878A-BAB7291924A1}"/>
                <w:text/>
              </w:sdtPr>
              <w:sdtEndPr/>
              <w:sdtContent>
                <w:r w:rsidR="00126C84">
                  <w:rPr>
                    <w:rFonts w:ascii="Times New Roman" w:hAnsi="Times New Roman" w:hint="eastAsia"/>
                    <w:lang w:eastAsia="zh-CN"/>
                  </w:rPr>
                  <w:t>落实</w:t>
                </w:r>
                <w:r w:rsidR="00126C84">
                  <w:rPr>
                    <w:rFonts w:ascii="Times New Roman" w:hAnsi="Times New Roman" w:hint="eastAsia"/>
                    <w:lang w:eastAsia="zh-CN"/>
                  </w:rPr>
                  <w:t>2016</w:t>
                </w:r>
                <w:r w:rsidR="00126C84">
                  <w:rPr>
                    <w:rFonts w:ascii="Times New Roman" w:hAnsi="Times New Roman" w:hint="eastAsia"/>
                    <w:lang w:eastAsia="zh-CN"/>
                  </w:rPr>
                  <w:t>年世界电信标准化全会（</w:t>
                </w:r>
                <w:r w:rsidR="00126C84">
                  <w:rPr>
                    <w:rFonts w:ascii="Times New Roman" w:hAnsi="Times New Roman" w:hint="eastAsia"/>
                    <w:lang w:eastAsia="zh-CN"/>
                  </w:rPr>
                  <w:t>WTSA-6</w:t>
                </w:r>
                <w:r w:rsidR="00126C84">
                  <w:rPr>
                    <w:rFonts w:ascii="Times New Roman" w:hAnsi="Times New Roman" w:hint="eastAsia"/>
                    <w:lang w:eastAsia="zh-CN"/>
                  </w:rPr>
                  <w:t>）第</w:t>
                </w:r>
                <w:r w:rsidR="00126C84">
                  <w:rPr>
                    <w:rFonts w:ascii="Times New Roman" w:hAnsi="Times New Roman" w:hint="eastAsia"/>
                    <w:lang w:eastAsia="zh-CN"/>
                  </w:rPr>
                  <w:t>44</w:t>
                </w:r>
                <w:r w:rsidR="00126C84">
                  <w:rPr>
                    <w:rFonts w:ascii="Times New Roman" w:hAnsi="Times New Roman" w:hint="eastAsia"/>
                    <w:lang w:eastAsia="zh-CN"/>
                  </w:rPr>
                  <w:t>号决议</w:t>
                </w:r>
              </w:sdtContent>
            </w:sdt>
          </w:p>
        </w:tc>
      </w:tr>
      <w:tr w:rsidR="00126C84" w:rsidRPr="00E27148" w:rsidTr="003B1B1D">
        <w:trPr>
          <w:cantSplit/>
        </w:trPr>
        <w:tc>
          <w:tcPr>
            <w:tcW w:w="1617" w:type="dxa"/>
            <w:gridSpan w:val="2"/>
            <w:tcBorders>
              <w:bottom w:val="single" w:sz="8" w:space="0" w:color="auto"/>
            </w:tcBorders>
          </w:tcPr>
          <w:p w:rsidR="00126C84" w:rsidRPr="00126C84" w:rsidRDefault="00126C84" w:rsidP="003B1B1D">
            <w:pPr>
              <w:rPr>
                <w:rFonts w:ascii="Times New Roman" w:hAnsi="Times New Roman"/>
                <w:b/>
                <w:bCs/>
              </w:rPr>
            </w:pPr>
            <w:bookmarkStart w:id="10" w:name="dpurpose" w:colFirst="1" w:colLast="1"/>
            <w:bookmarkEnd w:id="9"/>
            <w:r w:rsidRPr="00126C84">
              <w:rPr>
                <w:rFonts w:ascii="Times New Roman" w:hAnsi="Times New Roman"/>
                <w:b/>
                <w:bCs/>
                <w:lang w:eastAsia="zh-CN"/>
              </w:rPr>
              <w:t>目的：</w:t>
            </w:r>
          </w:p>
        </w:tc>
        <w:tc>
          <w:tcPr>
            <w:tcW w:w="8306" w:type="dxa"/>
            <w:gridSpan w:val="4"/>
            <w:tcBorders>
              <w:bottom w:val="single" w:sz="8" w:space="0" w:color="auto"/>
            </w:tcBorders>
          </w:tcPr>
          <w:p w:rsidR="00126C84" w:rsidRPr="00126C84" w:rsidRDefault="00126C84" w:rsidP="003B1B1D">
            <w:pPr>
              <w:rPr>
                <w:rFonts w:ascii="Times New Roman" w:hAnsi="Times New Roman"/>
              </w:rPr>
            </w:pPr>
            <w:r w:rsidRPr="00126C84">
              <w:rPr>
                <w:rFonts w:ascii="Times New Roman" w:hAnsi="Times New Roman"/>
                <w:lang w:eastAsia="zh-CN"/>
              </w:rPr>
              <w:t>建议</w:t>
            </w:r>
          </w:p>
        </w:tc>
      </w:tr>
      <w:bookmarkEnd w:id="1"/>
      <w:bookmarkEnd w:id="10"/>
      <w:tr w:rsidR="00126C84" w:rsidRPr="00C719E0" w:rsidTr="003B1B1D">
        <w:tblPrEx>
          <w:jc w:val="center"/>
        </w:tblPrEx>
        <w:trPr>
          <w:cantSplit/>
          <w:jc w:val="center"/>
        </w:trPr>
        <w:tc>
          <w:tcPr>
            <w:tcW w:w="1617" w:type="dxa"/>
            <w:gridSpan w:val="2"/>
            <w:tcBorders>
              <w:top w:val="single" w:sz="6" w:space="0" w:color="auto"/>
              <w:bottom w:val="single" w:sz="6" w:space="0" w:color="auto"/>
            </w:tcBorders>
          </w:tcPr>
          <w:p w:rsidR="00126C84" w:rsidRPr="00126C84" w:rsidRDefault="00126C84" w:rsidP="003B1B1D">
            <w:pPr>
              <w:rPr>
                <w:rFonts w:ascii="Times New Roman" w:hAnsi="Times New Roman"/>
                <w:b/>
                <w:bCs/>
              </w:rPr>
            </w:pPr>
            <w:r w:rsidRPr="00126C84">
              <w:rPr>
                <w:rFonts w:ascii="Times New Roman" w:hAnsi="Times New Roman"/>
                <w:b/>
                <w:bCs/>
                <w:lang w:eastAsia="zh-CN"/>
              </w:rPr>
              <w:t>联系人：</w:t>
            </w:r>
          </w:p>
        </w:tc>
        <w:tc>
          <w:tcPr>
            <w:tcW w:w="3768" w:type="dxa"/>
            <w:gridSpan w:val="3"/>
            <w:tcBorders>
              <w:top w:val="single" w:sz="6" w:space="0" w:color="auto"/>
              <w:bottom w:val="single" w:sz="6" w:space="0" w:color="auto"/>
            </w:tcBorders>
          </w:tcPr>
          <w:p w:rsidR="00126C84" w:rsidRPr="00126C84" w:rsidRDefault="004B1BE2" w:rsidP="003B1B1D">
            <w:pPr>
              <w:rPr>
                <w:rFonts w:ascii="Times New Roman" w:hAnsi="Times New Roman"/>
              </w:rPr>
            </w:pPr>
            <w:sdt>
              <w:sdtPr>
                <w:rPr>
                  <w:rFonts w:ascii="Times New Roman" w:hAnsi="Times New Roman"/>
                  <w:lang w:eastAsia="zh-CN"/>
                </w:rPr>
                <w:alias w:val="ContactNameOrgCountry"/>
                <w:tag w:val="ContactNameOrgCountry"/>
                <w:id w:val="-450624836"/>
                <w:placeholder>
                  <w:docPart w:val="1F46CC580F744535B7B496846AF00325"/>
                </w:placeholder>
                <w:text w:multiLine="1"/>
              </w:sdtPr>
              <w:sdtEndPr/>
              <w:sdtContent>
                <w:r w:rsidR="00126C84" w:rsidRPr="00126C84">
                  <w:rPr>
                    <w:rFonts w:ascii="Times New Roman" w:hAnsi="Times New Roman"/>
                    <w:lang w:eastAsia="zh-CN"/>
                  </w:rPr>
                  <w:t>尼日利亚，恩苏卡（</w:t>
                </w:r>
                <w:proofErr w:type="spellStart"/>
                <w:r w:rsidR="00126C84" w:rsidRPr="00126C84">
                  <w:rPr>
                    <w:rFonts w:ascii="Times New Roman" w:hAnsi="Times New Roman"/>
                    <w:lang w:eastAsia="zh-CN"/>
                  </w:rPr>
                  <w:t>Nsukka</w:t>
                </w:r>
                <w:proofErr w:type="spellEnd"/>
                <w:r w:rsidR="00126C84" w:rsidRPr="00126C84">
                  <w:rPr>
                    <w:rFonts w:ascii="Times New Roman" w:hAnsi="Times New Roman"/>
                    <w:lang w:eastAsia="zh-CN"/>
                  </w:rPr>
                  <w:t>）</w:t>
                </w:r>
                <w:r w:rsidR="00126C84" w:rsidRPr="00126C84">
                  <w:rPr>
                    <w:rFonts w:ascii="Times New Roman" w:hAnsi="Times New Roman"/>
                    <w:lang w:eastAsia="zh-CN"/>
                  </w:rPr>
                  <w:br/>
                </w:r>
                <w:r w:rsidR="00126C84" w:rsidRPr="00126C84">
                  <w:rPr>
                    <w:rFonts w:ascii="Times New Roman" w:hAnsi="Times New Roman"/>
                    <w:lang w:eastAsia="zh-CN"/>
                  </w:rPr>
                  <w:t>尼日利亚大学副校长办公室</w:t>
                </w:r>
                <w:r w:rsidR="00126C84" w:rsidRPr="00126C84">
                  <w:rPr>
                    <w:rFonts w:ascii="Times New Roman" w:hAnsi="Times New Roman"/>
                    <w:lang w:eastAsia="zh-CN"/>
                  </w:rPr>
                  <w:br/>
                </w:r>
                <w:r w:rsidR="00126C84" w:rsidRPr="00126C84">
                  <w:rPr>
                    <w:rFonts w:ascii="Times New Roman" w:hAnsi="Times New Roman"/>
                    <w:lang w:eastAsia="zh-CN"/>
                  </w:rPr>
                  <w:t>创新中心副主任</w:t>
                </w:r>
                <w:r w:rsidR="00126C84" w:rsidRPr="00126C84">
                  <w:rPr>
                    <w:rFonts w:ascii="Times New Roman" w:hAnsi="Times New Roman"/>
                    <w:lang w:eastAsia="zh-CN"/>
                  </w:rPr>
                  <w:br/>
                  <w:t xml:space="preserve">Eng. Charles </w:t>
                </w:r>
                <w:proofErr w:type="spellStart"/>
                <w:r w:rsidR="00126C84" w:rsidRPr="00126C84">
                  <w:rPr>
                    <w:rFonts w:ascii="Times New Roman" w:hAnsi="Times New Roman"/>
                    <w:lang w:eastAsia="zh-CN"/>
                  </w:rPr>
                  <w:t>Chike</w:t>
                </w:r>
                <w:proofErr w:type="spellEnd"/>
                <w:r w:rsidR="00126C84" w:rsidRPr="00126C84">
                  <w:rPr>
                    <w:rFonts w:ascii="Times New Roman" w:hAnsi="Times New Roman"/>
                    <w:lang w:eastAsia="zh-CN"/>
                  </w:rPr>
                  <w:t xml:space="preserve"> </w:t>
                </w:r>
                <w:proofErr w:type="spellStart"/>
                <w:r w:rsidR="00126C84" w:rsidRPr="00126C84">
                  <w:rPr>
                    <w:rFonts w:ascii="Times New Roman" w:hAnsi="Times New Roman"/>
                    <w:lang w:eastAsia="zh-CN"/>
                  </w:rPr>
                  <w:t>Asadu</w:t>
                </w:r>
                <w:proofErr w:type="spellEnd"/>
                <w:r w:rsidR="00126C84" w:rsidRPr="00126C84">
                  <w:rPr>
                    <w:rFonts w:ascii="Times New Roman" w:hAnsi="Times New Roman"/>
                    <w:lang w:eastAsia="zh-CN"/>
                  </w:rPr>
                  <w:br/>
                </w:r>
              </w:sdtContent>
            </w:sdt>
          </w:p>
        </w:tc>
        <w:tc>
          <w:tcPr>
            <w:tcW w:w="4538" w:type="dxa"/>
            <w:tcBorders>
              <w:top w:val="single" w:sz="6" w:space="0" w:color="auto"/>
              <w:bottom w:val="single" w:sz="6" w:space="0" w:color="auto"/>
            </w:tcBorders>
          </w:tcPr>
          <w:p w:rsidR="00126C84" w:rsidRPr="00126C84" w:rsidRDefault="00126C84" w:rsidP="003B1B1D">
            <w:pPr>
              <w:rPr>
                <w:rFonts w:ascii="Times New Roman" w:hAnsi="Times New Roman"/>
                <w:lang w:val="de-DE"/>
              </w:rPr>
            </w:pPr>
            <w:r w:rsidRPr="00126C84">
              <w:rPr>
                <w:rFonts w:ascii="Times New Roman" w:hAnsi="Times New Roman"/>
                <w:lang w:val="de-DE" w:eastAsia="zh-CN"/>
              </w:rPr>
              <w:t>电话：</w:t>
            </w:r>
            <w:r w:rsidRPr="00126C84">
              <w:rPr>
                <w:rFonts w:ascii="Times New Roman" w:hAnsi="Times New Roman"/>
                <w:lang w:val="de-DE"/>
              </w:rPr>
              <w:t>+234–706–126–2244</w:t>
            </w:r>
            <w:r w:rsidRPr="00126C84">
              <w:rPr>
                <w:rFonts w:ascii="Times New Roman" w:hAnsi="Times New Roman"/>
                <w:lang w:val="de-DE"/>
              </w:rPr>
              <w:br/>
            </w:r>
            <w:r w:rsidRPr="00126C84">
              <w:rPr>
                <w:rFonts w:ascii="Times New Roman" w:hAnsi="Times New Roman"/>
                <w:lang w:val="de-DE" w:eastAsia="zh-CN"/>
              </w:rPr>
              <w:t>电子邮件：</w:t>
            </w:r>
            <w:hyperlink r:id="rId8" w:history="1">
              <w:r w:rsidRPr="00126C84">
                <w:rPr>
                  <w:rStyle w:val="Hyperlink"/>
                  <w:rFonts w:ascii="Times New Roman" w:hAnsi="Times New Roman"/>
                  <w:lang w:val="de-DE"/>
                </w:rPr>
                <w:t>chike.asadu@unn.edu.ng</w:t>
              </w:r>
            </w:hyperlink>
            <w:r w:rsidRPr="00126C84">
              <w:rPr>
                <w:rStyle w:val="Hyperlink"/>
                <w:rFonts w:ascii="Times New Roman" w:hAnsi="Times New Roman"/>
                <w:lang w:val="de-DE"/>
              </w:rPr>
              <w:t xml:space="preserve"> </w:t>
            </w:r>
            <w:hyperlink r:id="rId9" w:history="1">
              <w:r w:rsidRPr="00126C84">
                <w:rPr>
                  <w:rStyle w:val="Hyperlink"/>
                  <w:rFonts w:ascii="Times New Roman" w:hAnsi="Times New Roman"/>
                  <w:lang w:val="de-DE"/>
                </w:rPr>
                <w:t>chikecasadu@yahoo.com</w:t>
              </w:r>
            </w:hyperlink>
            <w:r w:rsidRPr="00126C84">
              <w:rPr>
                <w:rStyle w:val="Hyperlink"/>
                <w:rFonts w:ascii="Times New Roman" w:hAnsi="Times New Roman"/>
                <w:lang w:val="de-DE"/>
              </w:rPr>
              <w:t xml:space="preserve"> </w:t>
            </w:r>
            <w:hyperlink r:id="rId10" w:history="1">
              <w:r w:rsidRPr="00126C84">
                <w:rPr>
                  <w:rStyle w:val="Hyperlink"/>
                  <w:rFonts w:ascii="Times New Roman" w:hAnsi="Times New Roman"/>
                  <w:lang w:val="de-DE"/>
                </w:rPr>
                <w:t>Charles.asadu@ties.itu.int</w:t>
              </w:r>
            </w:hyperlink>
          </w:p>
        </w:tc>
      </w:tr>
    </w:tbl>
    <w:p w:rsidR="00126C84" w:rsidRPr="00E54FBF" w:rsidRDefault="00126C84" w:rsidP="00126C84">
      <w:pPr>
        <w:spacing w:before="0"/>
        <w:jc w:val="both"/>
        <w:rPr>
          <w:lang w:val="de-DE"/>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126C84" w:rsidRPr="00EB6F9D" w:rsidTr="003B1B1D">
        <w:trPr>
          <w:cantSplit/>
        </w:trPr>
        <w:tc>
          <w:tcPr>
            <w:tcW w:w="1617" w:type="dxa"/>
          </w:tcPr>
          <w:p w:rsidR="00126C84" w:rsidRPr="00EB6F9D" w:rsidRDefault="00126C84" w:rsidP="003B1B1D">
            <w:pPr>
              <w:jc w:val="both"/>
              <w:rPr>
                <w:b/>
                <w:bCs/>
              </w:rPr>
            </w:pPr>
            <w:bookmarkStart w:id="11" w:name="_Hlk476404353"/>
            <w:r>
              <w:rPr>
                <w:rFonts w:hint="eastAsia"/>
                <w:b/>
                <w:bCs/>
                <w:lang w:val="de-DE" w:eastAsia="zh-CN"/>
              </w:rPr>
              <w:t>关键词：</w:t>
            </w:r>
          </w:p>
        </w:tc>
        <w:tc>
          <w:tcPr>
            <w:tcW w:w="8306" w:type="dxa"/>
          </w:tcPr>
          <w:p w:rsidR="00126C84" w:rsidRPr="00126C84" w:rsidRDefault="00126C84" w:rsidP="003B1B1D">
            <w:pPr>
              <w:jc w:val="both"/>
              <w:rPr>
                <w:rFonts w:ascii="Times New Roman" w:eastAsia="Times New Roman" w:hAnsi="Times New Roman"/>
                <w:bCs/>
                <w:lang w:val="en-US" w:eastAsia="fr-FR"/>
              </w:rPr>
            </w:pPr>
            <w:r w:rsidRPr="00126C84">
              <w:rPr>
                <w:rFonts w:ascii="Times New Roman" w:eastAsia="Times New Roman" w:hAnsi="Times New Roman"/>
                <w:bCs/>
                <w:lang w:val="en-US" w:eastAsia="fr-FR"/>
              </w:rPr>
              <w:t>WTSA-16</w:t>
            </w:r>
            <w:r w:rsidRPr="00126C84">
              <w:rPr>
                <w:rFonts w:ascii="Times New Roman" w:hAnsi="Times New Roman"/>
                <w:bCs/>
                <w:lang w:val="en-US" w:eastAsia="zh-CN"/>
              </w:rPr>
              <w:t>第</w:t>
            </w:r>
            <w:r w:rsidRPr="00126C84">
              <w:rPr>
                <w:rFonts w:ascii="Times New Roman" w:eastAsia="Times New Roman" w:hAnsi="Times New Roman"/>
                <w:bCs/>
                <w:lang w:val="en-US" w:eastAsia="fr-FR"/>
              </w:rPr>
              <w:t>44</w:t>
            </w:r>
            <w:r w:rsidRPr="00126C84">
              <w:rPr>
                <w:rFonts w:ascii="Times New Roman" w:hAnsi="Times New Roman"/>
                <w:bCs/>
                <w:lang w:val="en-US" w:eastAsia="fr-FR"/>
              </w:rPr>
              <w:t>号</w:t>
            </w:r>
            <w:r w:rsidRPr="00126C84">
              <w:rPr>
                <w:rFonts w:ascii="Times New Roman" w:hAnsi="Times New Roman"/>
                <w:bCs/>
                <w:lang w:val="en-US" w:eastAsia="zh-CN"/>
              </w:rPr>
              <w:t>决议；</w:t>
            </w:r>
          </w:p>
        </w:tc>
      </w:tr>
      <w:bookmarkEnd w:id="11"/>
      <w:tr w:rsidR="00126C84" w:rsidRPr="00EB6F9D" w:rsidTr="003B1B1D">
        <w:trPr>
          <w:cantSplit/>
        </w:trPr>
        <w:tc>
          <w:tcPr>
            <w:tcW w:w="1617" w:type="dxa"/>
          </w:tcPr>
          <w:p w:rsidR="00126C84" w:rsidRPr="00EB6F9D" w:rsidRDefault="00126C84" w:rsidP="003B1B1D">
            <w:pPr>
              <w:jc w:val="both"/>
              <w:rPr>
                <w:b/>
                <w:bCs/>
              </w:rPr>
            </w:pPr>
            <w:r>
              <w:rPr>
                <w:rFonts w:hint="eastAsia"/>
                <w:b/>
                <w:bCs/>
                <w:lang w:eastAsia="zh-CN"/>
              </w:rPr>
              <w:t>摘要：</w:t>
            </w:r>
          </w:p>
        </w:tc>
        <w:sdt>
          <w:sdtPr>
            <w:rPr>
              <w:rFonts w:ascii="Times New Roman" w:hAnsi="Times New Roman"/>
              <w:lang w:eastAsia="zh-CN"/>
            </w:rPr>
            <w:alias w:val="Abstract"/>
            <w:tag w:val="Abstract"/>
            <w:id w:val="-939903723"/>
            <w:placeholder>
              <w:docPart w:val="8A8B68A050B24328A3C1F5757580D1F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06" w:type="dxa"/>
              </w:tcPr>
              <w:p w:rsidR="00126C84" w:rsidRPr="00126C84" w:rsidRDefault="00126C84" w:rsidP="003B1B1D">
                <w:pPr>
                  <w:rPr>
                    <w:rFonts w:ascii="Times New Roman" w:hAnsi="Times New Roman"/>
                    <w:lang w:eastAsia="zh-CN"/>
                  </w:rPr>
                </w:pPr>
                <w:r w:rsidRPr="00126C84">
                  <w:rPr>
                    <w:rFonts w:ascii="Times New Roman" w:hAnsi="Times New Roman"/>
                    <w:lang w:eastAsia="zh-CN"/>
                  </w:rPr>
                  <w:t>第</w:t>
                </w:r>
                <w:r w:rsidRPr="00126C84">
                  <w:rPr>
                    <w:rFonts w:ascii="Times New Roman" w:hAnsi="Times New Roman"/>
                    <w:lang w:eastAsia="zh-CN"/>
                  </w:rPr>
                  <w:t>44</w:t>
                </w:r>
                <w:r w:rsidRPr="00126C84">
                  <w:rPr>
                    <w:rFonts w:ascii="Times New Roman" w:hAnsi="Times New Roman"/>
                    <w:lang w:eastAsia="zh-CN"/>
                  </w:rPr>
                  <w:t>号决议（</w:t>
                </w:r>
                <w:r w:rsidRPr="00126C84">
                  <w:rPr>
                    <w:rFonts w:ascii="Times New Roman" w:hAnsi="Times New Roman"/>
                    <w:lang w:eastAsia="zh-CN"/>
                  </w:rPr>
                  <w:t>2016</w:t>
                </w:r>
                <w:r w:rsidRPr="00126C84">
                  <w:rPr>
                    <w:rFonts w:ascii="Times New Roman" w:hAnsi="Times New Roman"/>
                    <w:lang w:eastAsia="zh-CN"/>
                  </w:rPr>
                  <w:t>年，哈马马特，修订版）的精神是为大多数未充分具备落实</w:t>
                </w:r>
                <w:r w:rsidRPr="00126C84">
                  <w:rPr>
                    <w:rFonts w:ascii="Times New Roman" w:hAnsi="Times New Roman"/>
                    <w:lang w:eastAsia="zh-CN"/>
                  </w:rPr>
                  <w:t>ITU-T</w:t>
                </w:r>
                <w:r w:rsidRPr="00126C84">
                  <w:rPr>
                    <w:rFonts w:ascii="Times New Roman" w:hAnsi="Times New Roman"/>
                    <w:lang w:eastAsia="zh-CN"/>
                  </w:rPr>
                  <w:t>建议书能力的发展中国家提供帮助。但应看到，部分发达国家可能亦难以理解第</w:t>
                </w:r>
                <w:r w:rsidRPr="00126C84">
                  <w:rPr>
                    <w:rFonts w:ascii="Times New Roman" w:hAnsi="Times New Roman"/>
                    <w:lang w:eastAsia="zh-CN"/>
                  </w:rPr>
                  <w:t>44</w:t>
                </w:r>
                <w:r w:rsidRPr="00126C84">
                  <w:rPr>
                    <w:rFonts w:ascii="Times New Roman" w:hAnsi="Times New Roman"/>
                    <w:lang w:eastAsia="zh-CN"/>
                  </w:rPr>
                  <w:t>号决议（</w:t>
                </w:r>
                <w:r w:rsidRPr="00126C84">
                  <w:rPr>
                    <w:rFonts w:ascii="Times New Roman" w:hAnsi="Times New Roman"/>
                    <w:lang w:eastAsia="zh-CN"/>
                  </w:rPr>
                  <w:t>2016</w:t>
                </w:r>
                <w:r w:rsidRPr="00126C84">
                  <w:rPr>
                    <w:rFonts w:ascii="Times New Roman" w:hAnsi="Times New Roman"/>
                    <w:lang w:eastAsia="zh-CN"/>
                  </w:rPr>
                  <w:t>年，哈马马特，修订版），其原因在于该决议并不象所有其它</w:t>
                </w:r>
                <w:r w:rsidRPr="00126C84">
                  <w:rPr>
                    <w:rFonts w:ascii="Times New Roman" w:hAnsi="Times New Roman"/>
                    <w:lang w:eastAsia="zh-CN"/>
                  </w:rPr>
                  <w:t>ITU-T</w:t>
                </w:r>
                <w:r w:rsidRPr="00126C84">
                  <w:rPr>
                    <w:rFonts w:ascii="Times New Roman" w:hAnsi="Times New Roman"/>
                    <w:lang w:eastAsia="zh-CN"/>
                  </w:rPr>
                  <w:t>建议书那样条理清晰，易于理解。因此，我们认为无法理解是造成这些建议书落实率低的症结所在。</w:t>
                </w:r>
              </w:p>
            </w:tc>
          </w:sdtContent>
        </w:sdt>
      </w:tr>
    </w:tbl>
    <w:p w:rsidR="00126C84" w:rsidRPr="00EB6F9D" w:rsidRDefault="00126C84" w:rsidP="00126C84">
      <w:pPr>
        <w:jc w:val="both"/>
        <w:rPr>
          <w:b/>
          <w:sz w:val="28"/>
          <w:szCs w:val="28"/>
          <w:lang w:val="en-US" w:eastAsia="zh-CN"/>
        </w:rPr>
      </w:pPr>
    </w:p>
    <w:p w:rsidR="00126C84" w:rsidRDefault="00126C84" w:rsidP="000D7A2C">
      <w:pPr>
        <w:rPr>
          <w:lang w:eastAsia="zh-CN"/>
        </w:rPr>
      </w:pPr>
      <w:r>
        <w:rPr>
          <w:rFonts w:hint="eastAsia"/>
          <w:b/>
          <w:lang w:eastAsia="zh-CN"/>
        </w:rPr>
        <w:t>理由：</w:t>
      </w:r>
      <w:r w:rsidRPr="00B53FFE">
        <w:rPr>
          <w:rFonts w:hint="eastAsia"/>
          <w:lang w:eastAsia="zh-CN"/>
        </w:rPr>
        <w:t>多方均</w:t>
      </w:r>
      <w:r>
        <w:rPr>
          <w:rFonts w:hint="eastAsia"/>
          <w:lang w:eastAsia="zh-CN"/>
        </w:rPr>
        <w:t>在使用</w:t>
      </w:r>
      <w:r>
        <w:rPr>
          <w:lang w:eastAsia="zh-CN"/>
        </w:rPr>
        <w:t>ITU-T</w:t>
      </w:r>
      <w:r>
        <w:rPr>
          <w:rFonts w:hint="eastAsia"/>
          <w:lang w:eastAsia="zh-CN"/>
        </w:rPr>
        <w:t>建议书已是既成事实，这些使用方大多为制造商、政策制定者、监管机构和网络运营商。制造商和网络运营商可轻而易举地理解这些建议书。但其它团体对这些建议书的理解力有限。如今获得批准的建议书已达数千份，为每份建议书编写导则既任务繁重，亦成本过高。因此，就第</w:t>
      </w:r>
      <w:r>
        <w:rPr>
          <w:rFonts w:hint="eastAsia"/>
          <w:lang w:eastAsia="zh-CN"/>
        </w:rPr>
        <w:t>44</w:t>
      </w:r>
      <w:r>
        <w:rPr>
          <w:rFonts w:hint="eastAsia"/>
          <w:lang w:eastAsia="zh-CN"/>
        </w:rPr>
        <w:t>号决议（</w:t>
      </w:r>
      <w:r>
        <w:rPr>
          <w:rFonts w:hint="eastAsia"/>
          <w:lang w:eastAsia="zh-CN"/>
        </w:rPr>
        <w:t>2016</w:t>
      </w:r>
      <w:r>
        <w:rPr>
          <w:rFonts w:hint="eastAsia"/>
          <w:lang w:eastAsia="zh-CN"/>
        </w:rPr>
        <w:t>年，哈马马特，修订版）而言，重要的是要考虑该决议对成员国的重要性以及落实此项决议的成本。经验显示，发展中国家在落实部分（若非大多数）</w:t>
      </w:r>
      <w:r>
        <w:rPr>
          <w:lang w:eastAsia="zh-CN"/>
        </w:rPr>
        <w:t>ITU-T</w:t>
      </w:r>
      <w:r>
        <w:rPr>
          <w:rFonts w:hint="eastAsia"/>
          <w:lang w:eastAsia="zh-CN"/>
        </w:rPr>
        <w:t>决议时，有必要采取自上而下的方法。</w:t>
      </w:r>
    </w:p>
    <w:p w:rsidR="00126C84" w:rsidRDefault="00126C84" w:rsidP="000D7A2C">
      <w:pPr>
        <w:rPr>
          <w:lang w:eastAsia="zh-CN"/>
        </w:rPr>
      </w:pPr>
      <w:r>
        <w:rPr>
          <w:rFonts w:hint="eastAsia"/>
          <w:b/>
          <w:lang w:eastAsia="zh-CN"/>
        </w:rPr>
        <w:t>本文稿的目的：</w:t>
      </w:r>
      <w:r>
        <w:rPr>
          <w:rFonts w:hint="eastAsia"/>
          <w:lang w:eastAsia="zh-CN"/>
        </w:rPr>
        <w:t>世界电信标准化全会（</w:t>
      </w:r>
      <w:r>
        <w:rPr>
          <w:rFonts w:hint="eastAsia"/>
          <w:lang w:eastAsia="zh-CN"/>
        </w:rPr>
        <w:t>2016</w:t>
      </w:r>
      <w:r>
        <w:rPr>
          <w:rFonts w:hint="eastAsia"/>
          <w:lang w:eastAsia="zh-CN"/>
        </w:rPr>
        <w:t>年，哈马马特）忆及：</w:t>
      </w:r>
      <w:r w:rsidRPr="008C10D1">
        <w:rPr>
          <w:rFonts w:ascii="SimSun" w:hAnsi="SimSun" w:cs="SimSun" w:hint="eastAsia"/>
          <w:lang w:eastAsia="zh-CN"/>
        </w:rPr>
        <w:t>理事会第</w:t>
      </w:r>
      <w:r w:rsidRPr="008C10D1">
        <w:rPr>
          <w:rFonts w:eastAsia="Times New Roman" w:cstheme="minorHAnsi" w:hint="eastAsia"/>
          <w:lang w:eastAsia="zh-CN"/>
        </w:rPr>
        <w:t>1353</w:t>
      </w:r>
      <w:r w:rsidRPr="008C10D1">
        <w:rPr>
          <w:rFonts w:ascii="SimSun" w:hAnsi="SimSun" w:cs="SimSun" w:hint="eastAsia"/>
          <w:lang w:eastAsia="zh-CN"/>
        </w:rPr>
        <w:t>号决议认识到，电信和</w:t>
      </w:r>
      <w:r w:rsidRPr="008C10D1">
        <w:rPr>
          <w:rFonts w:eastAsia="Times New Roman" w:cstheme="minorHAnsi" w:hint="eastAsia"/>
          <w:lang w:eastAsia="zh-CN"/>
        </w:rPr>
        <w:t>ICT</w:t>
      </w:r>
      <w:r w:rsidRPr="008C10D1">
        <w:rPr>
          <w:rFonts w:ascii="SimSun" w:hAnsi="SimSun" w:cs="SimSun" w:hint="eastAsia"/>
          <w:lang w:eastAsia="zh-CN"/>
        </w:rPr>
        <w:t>是发达国家和发展中国家实现可持续发展的重要组成部分，并责成秘书长与各局主任开展协作，明确国际电联应开展的新活动，以便为发展中国家通过电信和</w:t>
      </w:r>
      <w:r w:rsidRPr="008C10D1">
        <w:rPr>
          <w:rFonts w:eastAsia="Times New Roman" w:cstheme="minorHAnsi" w:hint="eastAsia"/>
          <w:lang w:eastAsia="zh-CN"/>
        </w:rPr>
        <w:t>ICT</w:t>
      </w:r>
      <w:r w:rsidRPr="008C10D1">
        <w:rPr>
          <w:rFonts w:ascii="SimSun" w:hAnsi="SimSun" w:cs="SimSun" w:hint="eastAsia"/>
          <w:lang w:eastAsia="zh-CN"/>
        </w:rPr>
        <w:t>实现可持续发展提供支持</w:t>
      </w:r>
      <w:r>
        <w:rPr>
          <w:rFonts w:ascii="SimSun" w:hAnsi="SimSun" w:cs="SimSun" w:hint="eastAsia"/>
          <w:lang w:eastAsia="zh-CN"/>
        </w:rPr>
        <w:t>。因此，在理解</w:t>
      </w:r>
      <w:r>
        <w:rPr>
          <w:rFonts w:hint="eastAsia"/>
          <w:lang w:eastAsia="zh-CN"/>
        </w:rPr>
        <w:t>第</w:t>
      </w:r>
      <w:r>
        <w:rPr>
          <w:rFonts w:hint="eastAsia"/>
          <w:lang w:eastAsia="zh-CN"/>
        </w:rPr>
        <w:t>44</w:t>
      </w:r>
      <w:r>
        <w:rPr>
          <w:rFonts w:hint="eastAsia"/>
          <w:lang w:eastAsia="zh-CN"/>
        </w:rPr>
        <w:t>号决议（</w:t>
      </w:r>
      <w:r>
        <w:rPr>
          <w:rFonts w:hint="eastAsia"/>
          <w:lang w:eastAsia="zh-CN"/>
        </w:rPr>
        <w:t>2016</w:t>
      </w:r>
      <w:r>
        <w:rPr>
          <w:rFonts w:hint="eastAsia"/>
          <w:lang w:eastAsia="zh-CN"/>
        </w:rPr>
        <w:t>年，哈马马特，修订版）时需要考虑两个部分</w:t>
      </w:r>
      <w:r>
        <w:rPr>
          <w:lang w:eastAsia="zh-CN"/>
        </w:rPr>
        <w:t xml:space="preserve">– </w:t>
      </w:r>
      <w:r>
        <w:rPr>
          <w:rFonts w:hint="eastAsia"/>
          <w:lang w:eastAsia="zh-CN"/>
        </w:rPr>
        <w:t>落实部分和在主管部门层面建立相关认识的必要性。</w:t>
      </w:r>
    </w:p>
    <w:p w:rsidR="00126C84" w:rsidRPr="001262F5" w:rsidRDefault="00126C84" w:rsidP="00126C84">
      <w:pPr>
        <w:ind w:firstLineChars="200" w:firstLine="480"/>
        <w:rPr>
          <w:lang w:eastAsia="zh-CN"/>
        </w:rPr>
      </w:pPr>
      <w:r>
        <w:rPr>
          <w:rFonts w:hint="eastAsia"/>
          <w:lang w:eastAsia="zh-CN"/>
        </w:rPr>
        <w:t>确保有效落实某建议书的恰当机制应考虑到：</w:t>
      </w:r>
      <w:r>
        <w:rPr>
          <w:lang w:eastAsia="zh-CN"/>
        </w:rPr>
        <w:t xml:space="preserve">1. </w:t>
      </w:r>
      <w:r>
        <w:rPr>
          <w:rFonts w:hint="eastAsia"/>
          <w:lang w:eastAsia="zh-CN"/>
        </w:rPr>
        <w:t>供制造商使用的建议书不应考虑为其编写导则；</w:t>
      </w:r>
      <w:r>
        <w:rPr>
          <w:lang w:eastAsia="zh-CN"/>
        </w:rPr>
        <w:t xml:space="preserve">2. </w:t>
      </w:r>
      <w:r>
        <w:rPr>
          <w:rFonts w:hint="eastAsia"/>
          <w:lang w:eastAsia="zh-CN"/>
        </w:rPr>
        <w:t>应为编写新建议书导则规定截止日期；</w:t>
      </w:r>
      <w:r>
        <w:rPr>
          <w:lang w:eastAsia="zh-CN"/>
        </w:rPr>
        <w:t xml:space="preserve">3. </w:t>
      </w:r>
      <w:r>
        <w:rPr>
          <w:rFonts w:hint="eastAsia"/>
          <w:lang w:eastAsia="zh-CN"/>
        </w:rPr>
        <w:t>应考虑在哪一时点开始编写导则。因此，可选择在讨论和考虑是否通过相关建议书的过程之中，或获得成员国批准之后，抑或在成员或编辑人员起草建议书的过程中开始编写导则。所以，在必要时应邀请非洲和其它发展中国家主管部门的高级别代表参与，作为团队成员的一部分，树立落实这些重要</w:t>
      </w:r>
      <w:r w:rsidRPr="001262F5">
        <w:rPr>
          <w:lang w:eastAsia="zh-CN"/>
        </w:rPr>
        <w:t>ITU-T</w:t>
      </w:r>
      <w:r>
        <w:rPr>
          <w:rFonts w:hint="eastAsia"/>
          <w:lang w:eastAsia="zh-CN"/>
        </w:rPr>
        <w:t>决议的意识。</w:t>
      </w:r>
    </w:p>
    <w:p w:rsidR="000D7A2C" w:rsidRDefault="000D7A2C">
      <w:pPr>
        <w:tabs>
          <w:tab w:val="clear" w:pos="794"/>
          <w:tab w:val="clear" w:pos="1191"/>
          <w:tab w:val="clear" w:pos="1588"/>
          <w:tab w:val="clear" w:pos="1985"/>
        </w:tabs>
        <w:spacing w:before="0"/>
        <w:rPr>
          <w:b/>
          <w:lang w:eastAsia="zh-CN"/>
        </w:rPr>
      </w:pPr>
      <w:r>
        <w:rPr>
          <w:b/>
          <w:lang w:eastAsia="zh-CN"/>
        </w:rPr>
        <w:br w:type="page"/>
      </w:r>
    </w:p>
    <w:p w:rsidR="00126C84" w:rsidRDefault="00126C84" w:rsidP="000D7A2C">
      <w:pPr>
        <w:tabs>
          <w:tab w:val="left" w:pos="2985"/>
        </w:tabs>
        <w:spacing w:after="120"/>
        <w:rPr>
          <w:lang w:eastAsia="zh-CN"/>
        </w:rPr>
      </w:pPr>
      <w:r>
        <w:rPr>
          <w:rFonts w:hint="eastAsia"/>
          <w:b/>
          <w:lang w:eastAsia="zh-CN"/>
        </w:rPr>
        <w:lastRenderedPageBreak/>
        <w:t>建议：</w:t>
      </w:r>
      <w:r>
        <w:rPr>
          <w:rFonts w:hint="eastAsia"/>
          <w:bCs/>
          <w:lang w:eastAsia="zh-CN"/>
        </w:rPr>
        <w:t>因此</w:t>
      </w:r>
      <w:r w:rsidRPr="00F25C56">
        <w:rPr>
          <w:rFonts w:hint="eastAsia"/>
          <w:lang w:eastAsia="zh-CN"/>
        </w:rPr>
        <w:t>尼日利亚大学</w:t>
      </w:r>
      <w:r>
        <w:rPr>
          <w:rFonts w:hint="eastAsia"/>
          <w:lang w:eastAsia="zh-CN"/>
        </w:rPr>
        <w:t>建议</w:t>
      </w:r>
    </w:p>
    <w:p w:rsidR="00126C84" w:rsidRPr="000D7A2C" w:rsidRDefault="000D7A2C" w:rsidP="000D7A2C">
      <w:pPr>
        <w:pStyle w:val="enumlev1"/>
        <w:rPr>
          <w:rFonts w:ascii="Times New Roman" w:hAnsi="Times New Roman"/>
          <w:lang w:eastAsia="zh-CN"/>
        </w:rPr>
      </w:pPr>
      <w:proofErr w:type="gramStart"/>
      <w:r>
        <w:rPr>
          <w:rFonts w:ascii="Times New Roman" w:hAnsi="Times New Roman" w:hint="eastAsia"/>
          <w:lang w:eastAsia="zh-CN"/>
        </w:rPr>
        <w:t>1</w:t>
      </w:r>
      <w:proofErr w:type="gramEnd"/>
      <w:r>
        <w:rPr>
          <w:rFonts w:ascii="Times New Roman" w:hAnsi="Times New Roman"/>
          <w:lang w:eastAsia="zh-CN"/>
        </w:rPr>
        <w:tab/>
      </w:r>
      <w:r w:rsidR="00126C84" w:rsidRPr="000D7A2C">
        <w:rPr>
          <w:rFonts w:ascii="Times New Roman" w:hAnsi="Times New Roman"/>
          <w:lang w:eastAsia="zh-CN"/>
        </w:rPr>
        <w:t>在电信标准化顾问组（</w:t>
      </w:r>
      <w:r w:rsidR="00126C84" w:rsidRPr="000D7A2C">
        <w:rPr>
          <w:rFonts w:ascii="Times New Roman" w:hAnsi="Times New Roman"/>
          <w:lang w:eastAsia="zh-CN"/>
        </w:rPr>
        <w:t>TSAG</w:t>
      </w:r>
      <w:r w:rsidR="00126C84" w:rsidRPr="000D7A2C">
        <w:rPr>
          <w:rFonts w:ascii="Times New Roman" w:hAnsi="Times New Roman"/>
          <w:lang w:eastAsia="zh-CN"/>
        </w:rPr>
        <w:t>）工作计划中引入一个有关编写导则的工作项目，藉此让高级代表能在信息通信技术（</w:t>
      </w:r>
      <w:r w:rsidR="00126C84" w:rsidRPr="000D7A2C">
        <w:rPr>
          <w:rFonts w:ascii="Times New Roman" w:hAnsi="Times New Roman"/>
          <w:lang w:eastAsia="zh-CN"/>
        </w:rPr>
        <w:t>ICT</w:t>
      </w:r>
      <w:r w:rsidR="00126C84" w:rsidRPr="000D7A2C">
        <w:rPr>
          <w:rFonts w:ascii="Times New Roman" w:hAnsi="Times New Roman"/>
          <w:lang w:eastAsia="zh-CN"/>
        </w:rPr>
        <w:t>）问题上发挥最大的作用；</w:t>
      </w:r>
    </w:p>
    <w:p w:rsidR="00126C84" w:rsidRPr="000D7A2C" w:rsidRDefault="000D7A2C" w:rsidP="000D7A2C">
      <w:pPr>
        <w:pStyle w:val="enumlev1"/>
        <w:rPr>
          <w:rFonts w:ascii="Times New Roman" w:hAnsi="Times New Roman"/>
          <w:lang w:eastAsia="zh-CN"/>
        </w:rPr>
      </w:pPr>
      <w:proofErr w:type="gramStart"/>
      <w:r>
        <w:rPr>
          <w:rFonts w:ascii="Times New Roman" w:hAnsi="Times New Roman" w:hint="eastAsia"/>
          <w:lang w:eastAsia="zh-CN"/>
        </w:rPr>
        <w:t>2</w:t>
      </w:r>
      <w:proofErr w:type="gramEnd"/>
      <w:r>
        <w:rPr>
          <w:rFonts w:ascii="Times New Roman" w:hAnsi="Times New Roman"/>
          <w:lang w:eastAsia="zh-CN"/>
        </w:rPr>
        <w:tab/>
      </w:r>
      <w:r w:rsidR="00126C84" w:rsidRPr="000D7A2C">
        <w:rPr>
          <w:rFonts w:ascii="Times New Roman" w:hAnsi="Times New Roman"/>
          <w:lang w:eastAsia="zh-CN"/>
        </w:rPr>
        <w:t>针对主管部门采用长期导则和为</w:t>
      </w:r>
      <w:r w:rsidR="00126C84" w:rsidRPr="000D7A2C">
        <w:rPr>
          <w:rFonts w:ascii="Times New Roman" w:hAnsi="Times New Roman"/>
          <w:lang w:eastAsia="zh-CN"/>
        </w:rPr>
        <w:t>ITU-T</w:t>
      </w:r>
      <w:r w:rsidR="00126C84" w:rsidRPr="000D7A2C">
        <w:rPr>
          <w:rFonts w:ascii="Times New Roman" w:hAnsi="Times New Roman"/>
          <w:lang w:eastAsia="zh-CN"/>
        </w:rPr>
        <w:t>建立国家标准化秘书处的问题开展调查；</w:t>
      </w:r>
    </w:p>
    <w:p w:rsidR="00126C84" w:rsidRPr="000D7A2C" w:rsidRDefault="000D7A2C" w:rsidP="000D7A2C">
      <w:pPr>
        <w:pStyle w:val="enumlev1"/>
        <w:rPr>
          <w:rFonts w:ascii="Times New Roman" w:hAnsi="Times New Roman"/>
          <w:lang w:eastAsia="zh-CN"/>
        </w:rPr>
      </w:pPr>
      <w:proofErr w:type="gramStart"/>
      <w:r>
        <w:rPr>
          <w:rFonts w:ascii="Times New Roman" w:hAnsi="Times New Roman" w:hint="eastAsia"/>
          <w:lang w:eastAsia="zh-CN"/>
        </w:rPr>
        <w:t>3</w:t>
      </w:r>
      <w:proofErr w:type="gramEnd"/>
      <w:r>
        <w:rPr>
          <w:rFonts w:ascii="Times New Roman" w:hAnsi="Times New Roman"/>
          <w:lang w:eastAsia="zh-CN"/>
        </w:rPr>
        <w:tab/>
      </w:r>
      <w:r w:rsidR="00126C84" w:rsidRPr="000D7A2C">
        <w:rPr>
          <w:rFonts w:ascii="Times New Roman" w:hAnsi="Times New Roman"/>
          <w:lang w:eastAsia="zh-CN"/>
        </w:rPr>
        <w:t>呼吁提交有关如何降低设备成本、推出网络和设施的建议，同时考虑到发展中国家的需要和要求；</w:t>
      </w:r>
    </w:p>
    <w:p w:rsidR="00126C84" w:rsidRPr="000D7A2C" w:rsidRDefault="000D7A2C" w:rsidP="000D7A2C">
      <w:pPr>
        <w:pStyle w:val="enumlev1"/>
        <w:rPr>
          <w:rFonts w:ascii="Times New Roman" w:hAnsi="Times New Roman"/>
          <w:lang w:eastAsia="zh-CN"/>
        </w:rPr>
      </w:pPr>
      <w:proofErr w:type="gramStart"/>
      <w:r>
        <w:rPr>
          <w:rFonts w:ascii="Times New Roman" w:hAnsi="Times New Roman" w:hint="eastAsia"/>
          <w:lang w:eastAsia="zh-CN"/>
        </w:rPr>
        <w:t>4</w:t>
      </w:r>
      <w:proofErr w:type="gramEnd"/>
      <w:r>
        <w:rPr>
          <w:rFonts w:ascii="Times New Roman" w:hAnsi="Times New Roman"/>
          <w:lang w:eastAsia="zh-CN"/>
        </w:rPr>
        <w:tab/>
      </w:r>
      <w:r w:rsidR="00126C84" w:rsidRPr="000D7A2C">
        <w:rPr>
          <w:rFonts w:ascii="Times New Roman" w:hAnsi="Times New Roman"/>
          <w:lang w:eastAsia="zh-CN"/>
        </w:rPr>
        <w:t>就参与制定和广泛使用电信标准开展差距分析，请发展中国家向</w:t>
      </w:r>
      <w:r w:rsidR="00126C84" w:rsidRPr="000D7A2C">
        <w:rPr>
          <w:rFonts w:ascii="Times New Roman" w:eastAsia="Times New Roman" w:hAnsi="Times New Roman"/>
          <w:lang w:eastAsia="zh-CN"/>
        </w:rPr>
        <w:t xml:space="preserve">ITU-T </w:t>
      </w:r>
      <w:r w:rsidR="00126C84" w:rsidRPr="000D7A2C">
        <w:rPr>
          <w:rFonts w:ascii="Times New Roman" w:hAnsi="Times New Roman"/>
          <w:lang w:eastAsia="zh-CN"/>
        </w:rPr>
        <w:t>研究组提交更多文稿，以便为</w:t>
      </w:r>
      <w:r w:rsidR="00126C84" w:rsidRPr="000D7A2C">
        <w:rPr>
          <w:rFonts w:ascii="Times New Roman" w:eastAsia="Times New Roman" w:hAnsi="Times New Roman"/>
          <w:lang w:eastAsia="zh-CN"/>
        </w:rPr>
        <w:t>ITU-T</w:t>
      </w:r>
      <w:r w:rsidR="00126C84" w:rsidRPr="000D7A2C">
        <w:rPr>
          <w:rFonts w:ascii="Times New Roman" w:hAnsi="Times New Roman"/>
          <w:lang w:eastAsia="zh-CN"/>
        </w:rPr>
        <w:t>的工作做出贡献；</w:t>
      </w:r>
    </w:p>
    <w:p w:rsidR="00126C84" w:rsidRPr="000D7A2C" w:rsidRDefault="000D7A2C" w:rsidP="000D7A2C">
      <w:pPr>
        <w:pStyle w:val="enumlev1"/>
        <w:rPr>
          <w:rFonts w:ascii="Times New Roman" w:hAnsi="Times New Roman"/>
          <w:lang w:eastAsia="zh-CN"/>
        </w:rPr>
      </w:pPr>
      <w:proofErr w:type="gramStart"/>
      <w:r>
        <w:rPr>
          <w:rFonts w:ascii="Times New Roman" w:hAnsi="Times New Roman" w:hint="eastAsia"/>
          <w:lang w:eastAsia="zh-CN"/>
        </w:rPr>
        <w:t>5</w:t>
      </w:r>
      <w:proofErr w:type="gramEnd"/>
      <w:r>
        <w:rPr>
          <w:rFonts w:ascii="Times New Roman" w:hAnsi="Times New Roman"/>
          <w:lang w:eastAsia="zh-CN"/>
        </w:rPr>
        <w:tab/>
      </w:r>
      <w:r w:rsidR="00126C84" w:rsidRPr="000D7A2C">
        <w:rPr>
          <w:rFonts w:ascii="Times New Roman" w:hAnsi="Times New Roman"/>
          <w:lang w:eastAsia="zh-CN"/>
        </w:rPr>
        <w:t>呼吁就发展中国家参与</w:t>
      </w:r>
      <w:r w:rsidR="00126C84" w:rsidRPr="000D7A2C">
        <w:rPr>
          <w:rFonts w:ascii="Times New Roman" w:hAnsi="Times New Roman"/>
          <w:lang w:eastAsia="zh-CN"/>
        </w:rPr>
        <w:t xml:space="preserve">ITU-T </w:t>
      </w:r>
      <w:r w:rsidR="00126C84" w:rsidRPr="000D7A2C">
        <w:rPr>
          <w:rFonts w:ascii="Times New Roman" w:hAnsi="Times New Roman"/>
          <w:lang w:eastAsia="zh-CN"/>
        </w:rPr>
        <w:t>研究活动少的原因提交文稿；</w:t>
      </w:r>
    </w:p>
    <w:p w:rsidR="00126C84" w:rsidRPr="000D7A2C" w:rsidRDefault="000D7A2C" w:rsidP="000D7A2C">
      <w:pPr>
        <w:pStyle w:val="enumlev1"/>
        <w:rPr>
          <w:rFonts w:ascii="Times New Roman" w:hAnsi="Times New Roman"/>
          <w:lang w:eastAsia="zh-CN"/>
        </w:rPr>
      </w:pPr>
      <w:proofErr w:type="gramStart"/>
      <w:r>
        <w:rPr>
          <w:rFonts w:ascii="Times New Roman" w:hAnsi="Times New Roman" w:hint="eastAsia"/>
          <w:lang w:eastAsia="zh-CN"/>
        </w:rPr>
        <w:t>6</w:t>
      </w:r>
      <w:proofErr w:type="gramEnd"/>
      <w:r>
        <w:rPr>
          <w:rFonts w:ascii="Times New Roman" w:hAnsi="Times New Roman"/>
          <w:lang w:eastAsia="zh-CN"/>
        </w:rPr>
        <w:tab/>
      </w:r>
      <w:r w:rsidR="00126C84" w:rsidRPr="000D7A2C">
        <w:rPr>
          <w:rFonts w:ascii="Times New Roman" w:hAnsi="Times New Roman"/>
          <w:lang w:eastAsia="zh-CN"/>
        </w:rPr>
        <w:t>国际电联非洲区域代表处应与非洲联盟（</w:t>
      </w:r>
      <w:r w:rsidR="00126C84" w:rsidRPr="000D7A2C">
        <w:rPr>
          <w:rFonts w:ascii="Times New Roman" w:hAnsi="Times New Roman"/>
          <w:lang w:eastAsia="zh-CN"/>
        </w:rPr>
        <w:t>AU</w:t>
      </w:r>
      <w:r w:rsidR="00126C84" w:rsidRPr="000D7A2C">
        <w:rPr>
          <w:rFonts w:ascii="Times New Roman" w:hAnsi="Times New Roman"/>
          <w:lang w:eastAsia="zh-CN"/>
        </w:rPr>
        <w:t>）建立密切联系。非洲联盟应设立</w:t>
      </w:r>
      <w:r w:rsidR="00126C84" w:rsidRPr="000D7A2C">
        <w:rPr>
          <w:rFonts w:ascii="Times New Roman" w:hAnsi="Times New Roman"/>
          <w:lang w:eastAsia="zh-CN"/>
        </w:rPr>
        <w:t>ICT/</w:t>
      </w:r>
      <w:r w:rsidR="00126C84" w:rsidRPr="000D7A2C">
        <w:rPr>
          <w:rFonts w:ascii="Times New Roman" w:hAnsi="Times New Roman"/>
          <w:lang w:eastAsia="zh-CN"/>
        </w:rPr>
        <w:t>电信事务常设代表处，其人员由国际电联批准并任命。例如，国际电联非洲联盟代表处的职能应是，定期就国际电联的发展情况为</w:t>
      </w:r>
      <w:r w:rsidR="00126C84" w:rsidRPr="000D7A2C">
        <w:rPr>
          <w:rFonts w:ascii="Times New Roman" w:hAnsi="Times New Roman"/>
          <w:lang w:eastAsia="zh-CN"/>
        </w:rPr>
        <w:t>ICT</w:t>
      </w:r>
      <w:r w:rsidR="00126C84" w:rsidRPr="000D7A2C">
        <w:rPr>
          <w:rFonts w:ascii="Times New Roman" w:hAnsi="Times New Roman"/>
          <w:lang w:eastAsia="zh-CN"/>
        </w:rPr>
        <w:t>行业的高级别代表（包括国家元首）举办大会、讲习班和研讨会等；因此，预计</w:t>
      </w:r>
      <w:r w:rsidR="00126C84" w:rsidRPr="000D7A2C">
        <w:rPr>
          <w:rFonts w:ascii="Times New Roman" w:hAnsi="Times New Roman"/>
          <w:lang w:eastAsia="zh-CN"/>
        </w:rPr>
        <w:t>ITU-T</w:t>
      </w:r>
      <w:r w:rsidR="00126C84" w:rsidRPr="000D7A2C">
        <w:rPr>
          <w:rFonts w:ascii="Times New Roman" w:hAnsi="Times New Roman"/>
          <w:lang w:eastAsia="zh-CN"/>
        </w:rPr>
        <w:t>或整个国际电联将通过上述区域代表处的专职官员定期举办会议、讲习班和研讨会等活动，使高级别代表们能够了解</w:t>
      </w:r>
      <w:r w:rsidR="00126C84" w:rsidRPr="000D7A2C">
        <w:rPr>
          <w:rFonts w:ascii="Times New Roman" w:hAnsi="Times New Roman"/>
          <w:lang w:eastAsia="zh-CN"/>
        </w:rPr>
        <w:t>ITU-T</w:t>
      </w:r>
      <w:r w:rsidR="00126C84" w:rsidRPr="000D7A2C">
        <w:rPr>
          <w:rFonts w:ascii="Times New Roman" w:hAnsi="Times New Roman"/>
          <w:lang w:eastAsia="zh-CN"/>
        </w:rPr>
        <w:t>的现行决议，进而通过各自的主管部门落实这些决议。经验显示，通过高级别代表发布指令实施这些决议见效更快，而由主管部门代表将意见带回并通过相关部委向执行委员会提交备忘录，经审批后再由主管部门执行的方式通常可能需要几年时间。但第一种方式可能仅需几天或数月。</w:t>
      </w:r>
    </w:p>
    <w:p w:rsidR="00126C84" w:rsidRPr="000D7A2C" w:rsidRDefault="000D7A2C" w:rsidP="000D7A2C">
      <w:pPr>
        <w:pStyle w:val="enumlev1"/>
        <w:rPr>
          <w:rFonts w:ascii="Times New Roman" w:hAnsi="Times New Roman"/>
          <w:lang w:eastAsia="zh-CN"/>
        </w:rPr>
      </w:pPr>
      <w:r>
        <w:rPr>
          <w:rFonts w:ascii="Times New Roman" w:hAnsi="Times New Roman" w:hint="eastAsia"/>
          <w:lang w:eastAsia="zh-CN"/>
        </w:rPr>
        <w:t>7</w:t>
      </w:r>
      <w:r>
        <w:rPr>
          <w:rFonts w:ascii="Times New Roman" w:hAnsi="Times New Roman"/>
          <w:lang w:eastAsia="zh-CN"/>
        </w:rPr>
        <w:tab/>
      </w:r>
      <w:r w:rsidR="00126C84" w:rsidRPr="000D7A2C">
        <w:rPr>
          <w:rFonts w:ascii="Times New Roman" w:hAnsi="Times New Roman"/>
          <w:lang w:eastAsia="zh-CN"/>
        </w:rPr>
        <w:t>ITU-T</w:t>
      </w:r>
      <w:r w:rsidR="00126C84" w:rsidRPr="000D7A2C">
        <w:rPr>
          <w:rFonts w:ascii="Times New Roman" w:hAnsi="Times New Roman"/>
          <w:lang w:eastAsia="zh-CN"/>
        </w:rPr>
        <w:t>呼吁国际电联内外的专家就创建次区域代表处，以及就</w:t>
      </w:r>
      <w:r w:rsidR="00126C84" w:rsidRPr="000D7A2C">
        <w:rPr>
          <w:rFonts w:ascii="Times New Roman" w:hAnsi="Times New Roman"/>
          <w:lang w:eastAsia="zh-CN"/>
        </w:rPr>
        <w:t>ITU-T</w:t>
      </w:r>
      <w:r w:rsidR="00126C84" w:rsidRPr="000D7A2C">
        <w:rPr>
          <w:rFonts w:ascii="Times New Roman" w:hAnsi="Times New Roman"/>
          <w:lang w:eastAsia="zh-CN"/>
        </w:rPr>
        <w:t>问题开展次区域小组活动提交文稿。</w:t>
      </w:r>
    </w:p>
    <w:p w:rsidR="00126C84" w:rsidRPr="000D7A2C" w:rsidRDefault="000D7A2C" w:rsidP="000D7A2C">
      <w:pPr>
        <w:pStyle w:val="enumlev2"/>
        <w:rPr>
          <w:rFonts w:ascii="Times New Roman" w:hAnsi="Times New Roman"/>
          <w:lang w:eastAsia="zh-CN"/>
        </w:rPr>
      </w:pPr>
      <w:r>
        <w:rPr>
          <w:lang w:eastAsia="zh-CN"/>
        </w:rPr>
        <w:t>–</w:t>
      </w:r>
      <w:r>
        <w:rPr>
          <w:lang w:eastAsia="zh-CN"/>
        </w:rPr>
        <w:tab/>
      </w:r>
      <w:r w:rsidR="00126C84" w:rsidRPr="000D7A2C">
        <w:rPr>
          <w:rFonts w:ascii="Times New Roman" w:hAnsi="Times New Roman"/>
          <w:lang w:eastAsia="zh-CN"/>
        </w:rPr>
        <w:t>此代表处可融入次区域机构，例如非洲的西非国家经济共同体（</w:t>
      </w:r>
      <w:r w:rsidR="00126C84" w:rsidRPr="000D7A2C">
        <w:rPr>
          <w:rFonts w:ascii="Times New Roman" w:hAnsi="Times New Roman"/>
          <w:lang w:eastAsia="zh-CN"/>
        </w:rPr>
        <w:t>ECOWAS</w:t>
      </w:r>
      <w:r w:rsidR="00126C84" w:rsidRPr="000D7A2C">
        <w:rPr>
          <w:rFonts w:ascii="Times New Roman" w:hAnsi="Times New Roman"/>
          <w:lang w:eastAsia="zh-CN"/>
        </w:rPr>
        <w:t>）、南部非洲发展共同体（</w:t>
      </w:r>
      <w:r w:rsidR="00126C84" w:rsidRPr="000D7A2C">
        <w:rPr>
          <w:rFonts w:ascii="Times New Roman" w:hAnsi="Times New Roman"/>
          <w:lang w:eastAsia="zh-CN"/>
        </w:rPr>
        <w:t>SADEC</w:t>
      </w:r>
      <w:r w:rsidR="00126C84" w:rsidRPr="000D7A2C">
        <w:rPr>
          <w:rFonts w:ascii="Times New Roman" w:hAnsi="Times New Roman"/>
          <w:lang w:eastAsia="zh-CN"/>
        </w:rPr>
        <w:t>）、</w:t>
      </w:r>
      <w:r w:rsidR="00126C84" w:rsidRPr="000D7A2C">
        <w:rPr>
          <w:rFonts w:ascii="Times New Roman" w:hAnsi="Times New Roman"/>
          <w:lang w:eastAsia="zh-CN"/>
        </w:rPr>
        <w:t>EAST AFRICA NORTH AFRICA</w:t>
      </w:r>
      <w:r w:rsidR="00126C84" w:rsidRPr="000D7A2C">
        <w:rPr>
          <w:rFonts w:ascii="Times New Roman" w:hAnsi="Times New Roman"/>
          <w:lang w:eastAsia="zh-CN"/>
        </w:rPr>
        <w:t>。</w:t>
      </w:r>
    </w:p>
    <w:p w:rsidR="00126C84" w:rsidRPr="000D7A2C" w:rsidRDefault="000D7A2C" w:rsidP="000D7A2C">
      <w:pPr>
        <w:pStyle w:val="enumlev1"/>
        <w:rPr>
          <w:rFonts w:ascii="Times New Roman" w:eastAsia="Times New Roman" w:hAnsi="Times New Roman"/>
          <w:lang w:eastAsia="zh-CN"/>
        </w:rPr>
      </w:pPr>
      <w:r w:rsidRPr="000D7A2C">
        <w:rPr>
          <w:rFonts w:ascii="Times New Roman" w:eastAsiaTheme="minorEastAsia" w:hAnsi="Times New Roman"/>
          <w:lang w:eastAsia="zh-CN"/>
        </w:rPr>
        <w:t>8</w:t>
      </w:r>
      <w:r w:rsidRPr="000D7A2C">
        <w:rPr>
          <w:rFonts w:ascii="Times New Roman" w:eastAsia="Times New Roman" w:hAnsi="Times New Roman"/>
          <w:lang w:eastAsia="zh-CN"/>
        </w:rPr>
        <w:tab/>
      </w:r>
      <w:r w:rsidR="00126C84" w:rsidRPr="000D7A2C">
        <w:rPr>
          <w:rFonts w:ascii="Times New Roman" w:eastAsia="Times New Roman" w:hAnsi="Times New Roman"/>
          <w:lang w:eastAsia="zh-CN"/>
        </w:rPr>
        <w:t>ITU-T</w:t>
      </w:r>
      <w:r w:rsidR="00126C84" w:rsidRPr="000D7A2C">
        <w:rPr>
          <w:rFonts w:ascii="Times New Roman" w:hAnsi="Times New Roman"/>
          <w:lang w:eastAsia="zh-CN"/>
        </w:rPr>
        <w:t>呼吁国际电联内外的专家提交文稿，以确保为</w:t>
      </w:r>
      <w:r w:rsidR="00126C84" w:rsidRPr="000D7A2C">
        <w:rPr>
          <w:rFonts w:ascii="Times New Roman" w:eastAsia="Times New Roman" w:hAnsi="Times New Roman"/>
          <w:lang w:eastAsia="zh-CN"/>
        </w:rPr>
        <w:t>ITU-T</w:t>
      </w:r>
      <w:r w:rsidR="00126C84" w:rsidRPr="000D7A2C">
        <w:rPr>
          <w:rFonts w:ascii="Times New Roman" w:hAnsi="Times New Roman"/>
          <w:lang w:eastAsia="zh-CN"/>
        </w:rPr>
        <w:t>工作做出贡献但可能因财务原因难以参加国际电联会议的学术界成员提供相应的与会补贴。</w:t>
      </w:r>
    </w:p>
    <w:p w:rsidR="00126C84" w:rsidRDefault="00126C84" w:rsidP="00126C84">
      <w:pPr>
        <w:tabs>
          <w:tab w:val="left" w:pos="2985"/>
        </w:tabs>
        <w:spacing w:before="240" w:after="120"/>
        <w:rPr>
          <w:b/>
          <w:lang w:eastAsia="zh-CN"/>
        </w:rPr>
      </w:pPr>
      <w:r>
        <w:rPr>
          <w:rFonts w:hint="eastAsia"/>
          <w:b/>
          <w:lang w:eastAsia="zh-CN"/>
        </w:rPr>
        <w:t>结论：</w:t>
      </w:r>
    </w:p>
    <w:p w:rsidR="00126C84" w:rsidRPr="000D7A2C" w:rsidRDefault="00126C84" w:rsidP="000D7A2C">
      <w:pPr>
        <w:tabs>
          <w:tab w:val="left" w:pos="2985"/>
        </w:tabs>
        <w:spacing w:before="240" w:after="120"/>
        <w:ind w:firstLineChars="200" w:firstLine="480"/>
        <w:rPr>
          <w:rFonts w:ascii="Times New Roman" w:eastAsia="MS Mincho" w:hAnsi="Times New Roman"/>
          <w:lang w:eastAsia="zh-CN"/>
        </w:rPr>
      </w:pPr>
      <w:r w:rsidRPr="000D7A2C">
        <w:rPr>
          <w:rFonts w:ascii="Times New Roman" w:hAnsi="Times New Roman"/>
          <w:bCs/>
          <w:lang w:eastAsia="zh-CN"/>
        </w:rPr>
        <w:t>尼日利亚大学建议在</w:t>
      </w:r>
      <w:r w:rsidRPr="000D7A2C">
        <w:rPr>
          <w:rFonts w:ascii="Times New Roman" w:hAnsi="Times New Roman"/>
          <w:lang w:eastAsia="zh-CN"/>
        </w:rPr>
        <w:t>TSAG</w:t>
      </w:r>
      <w:r w:rsidRPr="000D7A2C">
        <w:rPr>
          <w:rFonts w:ascii="Times New Roman" w:hAnsi="Times New Roman"/>
          <w:lang w:eastAsia="zh-CN"/>
        </w:rPr>
        <w:t>下建立一个新的工作项目：</w:t>
      </w:r>
    </w:p>
    <w:p w:rsidR="00126C84" w:rsidRPr="000D7A2C" w:rsidRDefault="000D7A2C" w:rsidP="000D7A2C">
      <w:pPr>
        <w:pStyle w:val="enumlev1"/>
        <w:rPr>
          <w:rFonts w:ascii="Times New Roman" w:hAnsi="Times New Roman"/>
          <w:lang w:eastAsia="zh-CN"/>
        </w:rPr>
      </w:pPr>
      <w:r w:rsidRPr="000D7A2C">
        <w:rPr>
          <w:rFonts w:ascii="Times New Roman" w:hAnsi="Times New Roman"/>
          <w:lang w:eastAsia="zh-CN"/>
        </w:rPr>
        <w:t>–</w:t>
      </w:r>
      <w:r w:rsidRPr="000D7A2C">
        <w:rPr>
          <w:rFonts w:ascii="Times New Roman" w:hAnsi="Times New Roman"/>
          <w:lang w:eastAsia="zh-CN"/>
        </w:rPr>
        <w:tab/>
      </w:r>
      <w:r w:rsidR="00126C84" w:rsidRPr="000D7A2C">
        <w:rPr>
          <w:rFonts w:ascii="Times New Roman" w:hAnsi="Times New Roman"/>
          <w:lang w:eastAsia="zh-CN"/>
        </w:rPr>
        <w:t>有必要通过在非洲联盟等区域性实体，非洲次区域层面和其它大陆设立代表处等方式，建立对执行第</w:t>
      </w:r>
      <w:r w:rsidR="00126C84" w:rsidRPr="000D7A2C">
        <w:rPr>
          <w:rFonts w:ascii="Times New Roman" w:hAnsi="Times New Roman"/>
          <w:lang w:eastAsia="zh-CN"/>
        </w:rPr>
        <w:t>44</w:t>
      </w:r>
      <w:r w:rsidR="00126C84" w:rsidRPr="000D7A2C">
        <w:rPr>
          <w:rFonts w:ascii="Times New Roman" w:hAnsi="Times New Roman"/>
          <w:lang w:eastAsia="zh-CN"/>
        </w:rPr>
        <w:t>号决议的认识并了解其给</w:t>
      </w:r>
      <w:r w:rsidR="00126C84" w:rsidRPr="000D7A2C">
        <w:rPr>
          <w:rFonts w:ascii="Times New Roman" w:hAnsi="Times New Roman"/>
          <w:lang w:eastAsia="zh-CN"/>
        </w:rPr>
        <w:t>ITU-T</w:t>
      </w:r>
      <w:r w:rsidR="00126C84" w:rsidRPr="000D7A2C">
        <w:rPr>
          <w:rFonts w:ascii="Times New Roman" w:hAnsi="Times New Roman"/>
          <w:lang w:eastAsia="zh-CN"/>
        </w:rPr>
        <w:t>和成员国带来的益处与影响；</w:t>
      </w:r>
    </w:p>
    <w:p w:rsidR="00126C84" w:rsidRPr="000D7A2C" w:rsidRDefault="000D7A2C" w:rsidP="000D7A2C">
      <w:pPr>
        <w:pStyle w:val="enumlev1"/>
        <w:rPr>
          <w:rFonts w:ascii="Times New Roman" w:hAnsi="Times New Roman"/>
          <w:lang w:eastAsia="zh-CN"/>
        </w:rPr>
      </w:pPr>
      <w:r w:rsidRPr="000D7A2C">
        <w:rPr>
          <w:rFonts w:ascii="Times New Roman" w:hAnsi="Times New Roman"/>
          <w:lang w:eastAsia="zh-CN"/>
        </w:rPr>
        <w:t>–</w:t>
      </w:r>
      <w:r w:rsidRPr="000D7A2C">
        <w:rPr>
          <w:rFonts w:ascii="Times New Roman" w:hAnsi="Times New Roman"/>
          <w:lang w:eastAsia="zh-CN"/>
        </w:rPr>
        <w:tab/>
      </w:r>
      <w:r w:rsidR="00126C84" w:rsidRPr="000D7A2C">
        <w:rPr>
          <w:rFonts w:ascii="Times New Roman" w:hAnsi="Times New Roman"/>
          <w:lang w:eastAsia="zh-CN"/>
        </w:rPr>
        <w:t>请</w:t>
      </w:r>
      <w:r w:rsidR="00126C84" w:rsidRPr="000D7A2C">
        <w:rPr>
          <w:rFonts w:ascii="Times New Roman" w:eastAsia="Times New Roman" w:hAnsi="Times New Roman"/>
          <w:lang w:eastAsia="zh-CN"/>
        </w:rPr>
        <w:t>ITU-T</w:t>
      </w:r>
      <w:r w:rsidR="00126C84" w:rsidRPr="000D7A2C">
        <w:rPr>
          <w:rFonts w:ascii="Times New Roman" w:hAnsi="Times New Roman"/>
          <w:lang w:eastAsia="zh-CN"/>
        </w:rPr>
        <w:t>确定需求，特别是</w:t>
      </w:r>
      <w:r w:rsidR="00126C84" w:rsidRPr="000D7A2C">
        <w:rPr>
          <w:rFonts w:ascii="Times New Roman" w:eastAsia="Times New Roman" w:hAnsi="Times New Roman"/>
          <w:lang w:eastAsia="zh-CN"/>
        </w:rPr>
        <w:t>ITU-T</w:t>
      </w:r>
      <w:r w:rsidR="00126C84" w:rsidRPr="000D7A2C">
        <w:rPr>
          <w:rFonts w:ascii="Times New Roman" w:hAnsi="Times New Roman"/>
          <w:lang w:eastAsia="zh-CN"/>
        </w:rPr>
        <w:t>区域组会议的培训需求，以支持（尤其是在能力建设方面）有效提交各区域感兴趣的建议文稿并提供更多与会补贴奖励。</w:t>
      </w:r>
    </w:p>
    <w:p w:rsidR="00126C84" w:rsidRPr="001262F5" w:rsidRDefault="000D7A2C" w:rsidP="000D7A2C">
      <w:pPr>
        <w:pStyle w:val="enumlev1"/>
        <w:rPr>
          <w:rFonts w:eastAsia="Times New Roman" w:cstheme="minorHAnsi"/>
          <w:lang w:eastAsia="zh-CN"/>
        </w:rPr>
      </w:pPr>
      <w:r w:rsidRPr="000D7A2C">
        <w:rPr>
          <w:rFonts w:ascii="Times New Roman" w:hAnsi="Times New Roman"/>
          <w:lang w:eastAsia="zh-CN"/>
        </w:rPr>
        <w:t>–</w:t>
      </w:r>
      <w:r w:rsidRPr="000D7A2C">
        <w:rPr>
          <w:rFonts w:ascii="Times New Roman" w:hAnsi="Times New Roman"/>
          <w:lang w:eastAsia="zh-CN"/>
        </w:rPr>
        <w:tab/>
      </w:r>
      <w:r w:rsidR="00126C84" w:rsidRPr="000D7A2C">
        <w:rPr>
          <w:rFonts w:ascii="Times New Roman" w:hAnsi="Times New Roman"/>
          <w:lang w:eastAsia="zh-CN"/>
        </w:rPr>
        <w:t>确保为</w:t>
      </w:r>
      <w:r w:rsidR="00126C84" w:rsidRPr="000D7A2C">
        <w:rPr>
          <w:rFonts w:ascii="Times New Roman" w:eastAsia="Times New Roman" w:hAnsi="Times New Roman"/>
          <w:lang w:eastAsia="zh-CN"/>
        </w:rPr>
        <w:t>ITU-T</w:t>
      </w:r>
      <w:r w:rsidR="00126C84" w:rsidRPr="000D7A2C">
        <w:rPr>
          <w:rFonts w:ascii="Times New Roman" w:hAnsi="Times New Roman"/>
          <w:lang w:eastAsia="zh-CN"/>
        </w:rPr>
        <w:t>工作做出贡献但可能因财务原因难以参加国际电联会议的学术界成员提供相应的与会补贴。</w:t>
      </w:r>
    </w:p>
    <w:p w:rsidR="00126C84" w:rsidRDefault="00126C84" w:rsidP="00126C84">
      <w:pPr>
        <w:tabs>
          <w:tab w:val="left" w:pos="720"/>
        </w:tabs>
        <w:spacing w:after="120"/>
        <w:rPr>
          <w:b/>
          <w:bCs/>
          <w:lang w:eastAsia="zh-CN"/>
        </w:rPr>
      </w:pPr>
    </w:p>
    <w:p w:rsidR="000D7A2C" w:rsidRDefault="000D7A2C" w:rsidP="00126C84">
      <w:pPr>
        <w:tabs>
          <w:tab w:val="left" w:pos="720"/>
        </w:tabs>
        <w:spacing w:after="120"/>
        <w:rPr>
          <w:b/>
          <w:bCs/>
          <w:lang w:eastAsia="zh-CN"/>
        </w:rPr>
      </w:pPr>
    </w:p>
    <w:p w:rsidR="00126C84" w:rsidRPr="000D7A2C" w:rsidRDefault="00126C84" w:rsidP="00126C84">
      <w:pPr>
        <w:tabs>
          <w:tab w:val="left" w:pos="720"/>
        </w:tabs>
        <w:spacing w:after="120"/>
        <w:rPr>
          <w:rFonts w:ascii="Times New Roman" w:hAnsi="Times New Roman"/>
          <w:lang w:eastAsia="zh-CN"/>
        </w:rPr>
      </w:pPr>
      <w:r w:rsidRPr="000D7A2C">
        <w:rPr>
          <w:rFonts w:ascii="Times New Roman" w:hAnsi="Times New Roman"/>
          <w:b/>
          <w:bCs/>
          <w:lang w:eastAsia="zh-CN"/>
        </w:rPr>
        <w:t>参考文件：</w:t>
      </w:r>
      <w:r w:rsidRPr="000D7A2C">
        <w:rPr>
          <w:rFonts w:ascii="Times New Roman" w:hAnsi="Times New Roman"/>
          <w:lang w:eastAsia="zh-CN"/>
        </w:rPr>
        <w:t>第</w:t>
      </w:r>
      <w:r w:rsidRPr="000D7A2C">
        <w:rPr>
          <w:rFonts w:ascii="Times New Roman" w:hAnsi="Times New Roman"/>
          <w:lang w:eastAsia="zh-CN"/>
        </w:rPr>
        <w:t>44</w:t>
      </w:r>
      <w:r w:rsidRPr="000D7A2C">
        <w:rPr>
          <w:rFonts w:ascii="Times New Roman" w:hAnsi="Times New Roman"/>
          <w:lang w:eastAsia="zh-CN"/>
        </w:rPr>
        <w:t>号决议（</w:t>
      </w:r>
      <w:r w:rsidRPr="000D7A2C">
        <w:rPr>
          <w:rFonts w:ascii="Times New Roman" w:hAnsi="Times New Roman"/>
          <w:lang w:eastAsia="zh-CN"/>
        </w:rPr>
        <w:t>2016</w:t>
      </w:r>
      <w:r w:rsidRPr="000D7A2C">
        <w:rPr>
          <w:rFonts w:ascii="Times New Roman" w:hAnsi="Times New Roman"/>
          <w:lang w:eastAsia="zh-CN"/>
        </w:rPr>
        <w:t>年，哈马马特，修订版）。</w:t>
      </w:r>
    </w:p>
    <w:p w:rsidR="00126C84" w:rsidRDefault="00126C84" w:rsidP="00126C84">
      <w:pPr>
        <w:tabs>
          <w:tab w:val="left" w:pos="720"/>
        </w:tabs>
        <w:spacing w:after="120"/>
        <w:rPr>
          <w:lang w:eastAsia="zh-CN"/>
        </w:rPr>
      </w:pPr>
    </w:p>
    <w:p w:rsidR="00126C84" w:rsidRDefault="00126C84" w:rsidP="00126C84">
      <w:pPr>
        <w:jc w:val="center"/>
      </w:pPr>
      <w:r>
        <w:t>______________</w:t>
      </w:r>
    </w:p>
    <w:p w:rsidR="00746E31" w:rsidRPr="00126C84" w:rsidRDefault="00746E31" w:rsidP="00126C84"/>
    <w:sectPr w:rsidR="00746E31" w:rsidRPr="00126C84" w:rsidSect="00D518FF">
      <w:headerReference w:type="even" r:id="rId11"/>
      <w:headerReference w:type="default" r:id="rId12"/>
      <w:footerReference w:type="even" r:id="rId13"/>
      <w:footerReference w:type="default" r:id="rId14"/>
      <w:headerReference w:type="first" r:id="rId15"/>
      <w:footerReference w:type="first" r:id="rId16"/>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C84" w:rsidRDefault="00126C84">
      <w:r>
        <w:separator/>
      </w:r>
    </w:p>
  </w:endnote>
  <w:endnote w:type="continuationSeparator" w:id="0">
    <w:p w:rsidR="00126C84" w:rsidRDefault="0012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20" w:rsidRDefault="00B23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E7C" w:rsidRPr="00656B42" w:rsidRDefault="00230E7C" w:rsidP="00656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C84" w:rsidRPr="008F10F9" w:rsidRDefault="000E4C84" w:rsidP="00656B42">
    <w:pPr>
      <w:pStyle w:val="Header"/>
      <w:spacing w:after="12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C84" w:rsidRDefault="00126C84">
      <w:r>
        <w:t>____________________</w:t>
      </w:r>
    </w:p>
  </w:footnote>
  <w:footnote w:type="continuationSeparator" w:id="0">
    <w:p w:rsidR="00126C84" w:rsidRDefault="0012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20" w:rsidRDefault="00B23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C84" w:rsidRPr="00B23820" w:rsidRDefault="004B1BE2" w:rsidP="00126C84">
    <w:pPr>
      <w:pStyle w:val="Header"/>
      <w:spacing w:after="120"/>
      <w:rPr>
        <w:rFonts w:ascii="Times New Roman" w:hAnsi="Times New Roman"/>
        <w:noProof/>
        <w:szCs w:val="18"/>
      </w:rPr>
    </w:pPr>
    <w:sdt>
      <w:sdtPr>
        <w:rPr>
          <w:rFonts w:ascii="Times New Roman" w:hAnsi="Times New Roman"/>
          <w:szCs w:val="18"/>
        </w:rPr>
        <w:id w:val="-1925645089"/>
        <w:docPartObj>
          <w:docPartGallery w:val="Page Numbers (Top of Page)"/>
          <w:docPartUnique/>
        </w:docPartObj>
      </w:sdtPr>
      <w:sdtEndPr>
        <w:rPr>
          <w:noProof/>
        </w:rPr>
      </w:sdtEndPr>
      <w:sdtContent>
        <w:r w:rsidR="00126C84" w:rsidRPr="00B23820">
          <w:rPr>
            <w:rFonts w:ascii="Times New Roman" w:hAnsi="Times New Roman"/>
          </w:rPr>
          <w:t xml:space="preserve">- </w:t>
        </w:r>
        <w:r w:rsidR="00126C84" w:rsidRPr="00B23820">
          <w:rPr>
            <w:rFonts w:ascii="Times New Roman" w:hAnsi="Times New Roman"/>
          </w:rPr>
          <w:fldChar w:fldCharType="begin"/>
        </w:r>
        <w:r w:rsidR="00126C84" w:rsidRPr="00B23820">
          <w:rPr>
            <w:rFonts w:ascii="Times New Roman" w:hAnsi="Times New Roman"/>
          </w:rPr>
          <w:instrText xml:space="preserve"> PAGE  \* MERGEFORMAT </w:instrText>
        </w:r>
        <w:r w:rsidR="00126C84" w:rsidRPr="00B23820">
          <w:rPr>
            <w:rFonts w:ascii="Times New Roman" w:hAnsi="Times New Roman"/>
          </w:rPr>
          <w:fldChar w:fldCharType="separate"/>
        </w:r>
        <w:r>
          <w:rPr>
            <w:rFonts w:ascii="Times New Roman" w:hAnsi="Times New Roman"/>
            <w:noProof/>
          </w:rPr>
          <w:t>2</w:t>
        </w:r>
        <w:r w:rsidR="00126C84" w:rsidRPr="00B23820">
          <w:rPr>
            <w:rFonts w:ascii="Times New Roman" w:hAnsi="Times New Roman"/>
          </w:rPr>
          <w:fldChar w:fldCharType="end"/>
        </w:r>
        <w:r w:rsidR="00126C84" w:rsidRPr="00B23820">
          <w:rPr>
            <w:rFonts w:ascii="Times New Roman" w:hAnsi="Times New Roman"/>
          </w:rPr>
          <w:t xml:space="preserve"> -</w:t>
        </w:r>
        <w:r w:rsidR="00126C84" w:rsidRPr="00B23820">
          <w:rPr>
            <w:rFonts w:ascii="Times New Roman" w:hAnsi="Times New Roman"/>
          </w:rPr>
          <w:br/>
          <w:t>TSAG-C047</w:t>
        </w:r>
      </w:sdtContent>
    </w:sdt>
    <w:r w:rsidR="00B23820">
      <w:rPr>
        <w:rFonts w:ascii="Times New Roman" w:hAnsi="Times New Roman" w:hint="eastAsia"/>
        <w:noProof/>
        <w:szCs w:val="18"/>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820" w:rsidRPr="00B23820" w:rsidRDefault="00B23820">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5E0F"/>
    <w:multiLevelType w:val="hybridMultilevel"/>
    <w:tmpl w:val="23C6AEA8"/>
    <w:lvl w:ilvl="0" w:tplc="94CA9C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376E7A"/>
    <w:multiLevelType w:val="hybridMultilevel"/>
    <w:tmpl w:val="08B8BC2A"/>
    <w:lvl w:ilvl="0" w:tplc="94CA9C3E">
      <w:numFmt w:val="bullet"/>
      <w:lvlText w:val="-"/>
      <w:lvlJc w:val="left"/>
      <w:pPr>
        <w:ind w:left="783" w:hanging="360"/>
      </w:pPr>
      <w:rPr>
        <w:rFonts w:ascii="Times New Roman" w:eastAsia="Calibr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AD29B8"/>
    <w:multiLevelType w:val="hybridMultilevel"/>
    <w:tmpl w:val="410C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930D9"/>
    <w:rsid w:val="00095181"/>
    <w:rsid w:val="000C3BA3"/>
    <w:rsid w:val="000D7A2C"/>
    <w:rsid w:val="000E4C84"/>
    <w:rsid w:val="000E5D32"/>
    <w:rsid w:val="00126C84"/>
    <w:rsid w:val="00140132"/>
    <w:rsid w:val="00141AC3"/>
    <w:rsid w:val="001B529A"/>
    <w:rsid w:val="001C21C8"/>
    <w:rsid w:val="001C6E36"/>
    <w:rsid w:val="002045B8"/>
    <w:rsid w:val="00230E7C"/>
    <w:rsid w:val="00247133"/>
    <w:rsid w:val="00257A9E"/>
    <w:rsid w:val="00281589"/>
    <w:rsid w:val="002C1710"/>
    <w:rsid w:val="00317A4D"/>
    <w:rsid w:val="00341C67"/>
    <w:rsid w:val="003625BB"/>
    <w:rsid w:val="00374E32"/>
    <w:rsid w:val="00390EC6"/>
    <w:rsid w:val="00402D95"/>
    <w:rsid w:val="00455B87"/>
    <w:rsid w:val="004B1BE2"/>
    <w:rsid w:val="005365E4"/>
    <w:rsid w:val="00572454"/>
    <w:rsid w:val="00574C43"/>
    <w:rsid w:val="0059425B"/>
    <w:rsid w:val="005A0956"/>
    <w:rsid w:val="00624CB1"/>
    <w:rsid w:val="00656B42"/>
    <w:rsid w:val="006C08CA"/>
    <w:rsid w:val="006D4F29"/>
    <w:rsid w:val="006E6A13"/>
    <w:rsid w:val="006F7DA1"/>
    <w:rsid w:val="00703CBA"/>
    <w:rsid w:val="00743D83"/>
    <w:rsid w:val="0074438F"/>
    <w:rsid w:val="00746E31"/>
    <w:rsid w:val="007626DE"/>
    <w:rsid w:val="00762E1B"/>
    <w:rsid w:val="00795532"/>
    <w:rsid w:val="007E183E"/>
    <w:rsid w:val="00841B06"/>
    <w:rsid w:val="008847B5"/>
    <w:rsid w:val="008D26A4"/>
    <w:rsid w:val="008F10F9"/>
    <w:rsid w:val="009704E7"/>
    <w:rsid w:val="0098410B"/>
    <w:rsid w:val="009C749B"/>
    <w:rsid w:val="00A23824"/>
    <w:rsid w:val="00A36E53"/>
    <w:rsid w:val="00AC10DE"/>
    <w:rsid w:val="00AF2746"/>
    <w:rsid w:val="00B23820"/>
    <w:rsid w:val="00B50E4F"/>
    <w:rsid w:val="00B67F39"/>
    <w:rsid w:val="00BA55A0"/>
    <w:rsid w:val="00BA5BFF"/>
    <w:rsid w:val="00BB7187"/>
    <w:rsid w:val="00BE0D94"/>
    <w:rsid w:val="00BF5BC1"/>
    <w:rsid w:val="00C115D3"/>
    <w:rsid w:val="00C925C9"/>
    <w:rsid w:val="00D2432E"/>
    <w:rsid w:val="00D518FF"/>
    <w:rsid w:val="00D6135E"/>
    <w:rsid w:val="00D91AAD"/>
    <w:rsid w:val="00DE65BB"/>
    <w:rsid w:val="00E3619F"/>
    <w:rsid w:val="00E36387"/>
    <w:rsid w:val="00E73313"/>
    <w:rsid w:val="00EE2A77"/>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D0B871"/>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Docnumber">
    <w:name w:val="Docnumber"/>
    <w:basedOn w:val="Normal"/>
    <w:link w:val="DocnumberChar"/>
    <w:qFormat/>
    <w:rsid w:val="00126C84"/>
    <w:pPr>
      <w:overflowPunct w:val="0"/>
      <w:autoSpaceDE w:val="0"/>
      <w:autoSpaceDN w:val="0"/>
      <w:adjustRightInd w:val="0"/>
      <w:jc w:val="right"/>
      <w:textAlignment w:val="baseline"/>
    </w:pPr>
    <w:rPr>
      <w:rFonts w:ascii="Times New Roman" w:hAnsi="Times New Roman"/>
      <w:b/>
      <w:sz w:val="32"/>
    </w:rPr>
  </w:style>
  <w:style w:type="character" w:customStyle="1" w:styleId="DocnumberChar">
    <w:name w:val="Docnumber Char"/>
    <w:link w:val="Docnumber"/>
    <w:rsid w:val="00126C84"/>
    <w:rPr>
      <w:rFonts w:ascii="Times New Roman" w:hAnsi="Times New Roman"/>
      <w:b/>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ke.asadu@unn.edu.ng"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harles.asadu@ties.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hikecasadu@yahoo.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BF0A60CA8D439A87966265355FA930"/>
        <w:category>
          <w:name w:val="General"/>
          <w:gallery w:val="placeholder"/>
        </w:category>
        <w:types>
          <w:type w:val="bbPlcHdr"/>
        </w:types>
        <w:behaviors>
          <w:behavior w:val="content"/>
        </w:behaviors>
        <w:guid w:val="{A011B112-0254-4F84-8C8F-8E8EE21FC80D}"/>
      </w:docPartPr>
      <w:docPartBody>
        <w:p w:rsidR="00683CD6" w:rsidRDefault="00D70DF5" w:rsidP="00D70DF5">
          <w:pPr>
            <w:pStyle w:val="75BF0A60CA8D439A87966265355FA930"/>
          </w:pPr>
          <w:r w:rsidRPr="00543D41">
            <w:rPr>
              <w:rStyle w:val="PlaceholderText"/>
              <w:highlight w:val="yellow"/>
            </w:rPr>
            <w:t>Insert source(s)</w:t>
          </w:r>
        </w:p>
      </w:docPartBody>
    </w:docPart>
    <w:docPart>
      <w:docPartPr>
        <w:name w:val="FA5B051C78AA4AB18D99A08A9E6D5B17"/>
        <w:category>
          <w:name w:val="General"/>
          <w:gallery w:val="placeholder"/>
        </w:category>
        <w:types>
          <w:type w:val="bbPlcHdr"/>
        </w:types>
        <w:behaviors>
          <w:behavior w:val="content"/>
        </w:behaviors>
        <w:guid w:val="{FA8422C2-936A-49AA-A86A-4D0440DAF0E4}"/>
      </w:docPartPr>
      <w:docPartBody>
        <w:p w:rsidR="00683CD6" w:rsidRDefault="00D70DF5" w:rsidP="00D70DF5">
          <w:pPr>
            <w:pStyle w:val="FA5B051C78AA4AB18D99A08A9E6D5B17"/>
          </w:pPr>
          <w:r w:rsidRPr="00543D41">
            <w:rPr>
              <w:rStyle w:val="PlaceholderText"/>
              <w:highlight w:val="yellow"/>
            </w:rPr>
            <w:t>Insert title (always in ENGLISH)</w:t>
          </w:r>
        </w:p>
      </w:docPartBody>
    </w:docPart>
    <w:docPart>
      <w:docPartPr>
        <w:name w:val="1F46CC580F744535B7B496846AF00325"/>
        <w:category>
          <w:name w:val="General"/>
          <w:gallery w:val="placeholder"/>
        </w:category>
        <w:types>
          <w:type w:val="bbPlcHdr"/>
        </w:types>
        <w:behaviors>
          <w:behavior w:val="content"/>
        </w:behaviors>
        <w:guid w:val="{3B2D3FC4-DF84-47CE-AC73-B94485B0E4BF}"/>
      </w:docPartPr>
      <w:docPartBody>
        <w:p w:rsidR="00683CD6" w:rsidRDefault="00D70DF5" w:rsidP="00D70DF5">
          <w:pPr>
            <w:pStyle w:val="1F46CC580F744535B7B496846AF00325"/>
          </w:pPr>
          <w:r w:rsidRPr="001229A4">
            <w:rPr>
              <w:rStyle w:val="PlaceholderText"/>
            </w:rPr>
            <w:t>Click here to enter text.</w:t>
          </w:r>
        </w:p>
      </w:docPartBody>
    </w:docPart>
    <w:docPart>
      <w:docPartPr>
        <w:name w:val="8A8B68A050B24328A3C1F5757580D1F1"/>
        <w:category>
          <w:name w:val="General"/>
          <w:gallery w:val="placeholder"/>
        </w:category>
        <w:types>
          <w:type w:val="bbPlcHdr"/>
        </w:types>
        <w:behaviors>
          <w:behavior w:val="content"/>
        </w:behaviors>
        <w:guid w:val="{358853DB-692E-476C-864D-56E643AFBF78}"/>
      </w:docPartPr>
      <w:docPartBody>
        <w:p w:rsidR="00683CD6" w:rsidRDefault="00D70DF5" w:rsidP="00D70DF5">
          <w:pPr>
            <w:pStyle w:val="8A8B68A050B24328A3C1F5757580D1F1"/>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F5"/>
    <w:rsid w:val="00683CD6"/>
    <w:rsid w:val="00D70D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DF5"/>
    <w:rPr>
      <w:rFonts w:ascii="Times New Roman" w:hAnsi="Times New Roman"/>
      <w:color w:val="808080"/>
    </w:rPr>
  </w:style>
  <w:style w:type="paragraph" w:customStyle="1" w:styleId="75BF0A60CA8D439A87966265355FA930">
    <w:name w:val="75BF0A60CA8D439A87966265355FA930"/>
    <w:rsid w:val="00D70DF5"/>
  </w:style>
  <w:style w:type="paragraph" w:customStyle="1" w:styleId="FA5B051C78AA4AB18D99A08A9E6D5B17">
    <w:name w:val="FA5B051C78AA4AB18D99A08A9E6D5B17"/>
    <w:rsid w:val="00D70DF5"/>
  </w:style>
  <w:style w:type="paragraph" w:customStyle="1" w:styleId="1F46CC580F744535B7B496846AF00325">
    <w:name w:val="1F46CC580F744535B7B496846AF00325"/>
    <w:rsid w:val="00D70DF5"/>
  </w:style>
  <w:style w:type="paragraph" w:customStyle="1" w:styleId="8A8B68A050B24328A3C1F5757580D1F1">
    <w:name w:val="8A8B68A050B24328A3C1F5757580D1F1"/>
    <w:rsid w:val="00D70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1829</Words>
  <Characters>566</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落实2016年世界电信标准化全会（WTSA-6）第44号决议</vt:lpstr>
    </vt:vector>
  </TitlesOfParts>
  <Company>ITU</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落实2016年世界电信标准化全会（WTSA-6）第44号决议</dc:title>
  <dc:creator>Yuan, Tianxiang</dc:creator>
  <cp:lastModifiedBy>Al-Mnini, Lara</cp:lastModifiedBy>
  <cp:revision>6</cp:revision>
  <cp:lastPrinted>2012-02-21T08:04:00Z</cp:lastPrinted>
  <dcterms:created xsi:type="dcterms:W3CDTF">2018-10-11T12:26:00Z</dcterms:created>
  <dcterms:modified xsi:type="dcterms:W3CDTF">2018-10-19T08:27:00Z</dcterms:modified>
</cp:coreProperties>
</file>