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377D13" w14:paraId="625A4BC7" w14:textId="77777777" w:rsidTr="001A5498">
        <w:trPr>
          <w:cantSplit/>
          <w:trHeight w:val="1418"/>
        </w:trPr>
        <w:tc>
          <w:tcPr>
            <w:tcW w:w="798" w:type="pct"/>
          </w:tcPr>
          <w:p w14:paraId="4FAED6BE" w14:textId="77777777" w:rsidR="007B4B05" w:rsidRPr="00377D13" w:rsidRDefault="007B4B05" w:rsidP="001A5498">
            <w:pPr>
              <w:spacing w:before="0" w:line="240" w:lineRule="auto"/>
              <w:jc w:val="left"/>
              <w:rPr>
                <w:rFonts w:ascii="Dubai" w:hAnsi="Dubai" w:cs="Dubai"/>
                <w:b/>
                <w:bCs/>
                <w:szCs w:val="22"/>
                <w:rtl/>
                <w:lang w:bidi="ar-EG"/>
              </w:rPr>
            </w:pPr>
            <w:r w:rsidRPr="00377D13">
              <w:rPr>
                <w:rFonts w:ascii="Dubai" w:hAnsi="Dubai" w:cs="Dubai"/>
                <w:noProof/>
                <w:szCs w:val="22"/>
                <w:lang w:val="en-GB" w:eastAsia="zh-CN"/>
              </w:rPr>
              <w:drawing>
                <wp:inline distT="0" distB="0" distL="0" distR="0" wp14:anchorId="7E620F97" wp14:editId="12FCFE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171210D" w14:textId="77777777" w:rsidR="007B4B05" w:rsidRPr="009C7118" w:rsidRDefault="007B4B05" w:rsidP="001A5498">
            <w:pPr>
              <w:spacing w:before="240"/>
              <w:jc w:val="left"/>
              <w:rPr>
                <w:rFonts w:ascii="Dubai" w:hAnsi="Dubai" w:cs="Dubai"/>
                <w:b/>
                <w:bCs/>
                <w:w w:val="120"/>
                <w:sz w:val="32"/>
                <w:szCs w:val="32"/>
                <w:rtl/>
              </w:rPr>
            </w:pPr>
            <w:r w:rsidRPr="009C7118">
              <w:rPr>
                <w:rFonts w:ascii="Dubai" w:hAnsi="Dubai" w:cs="Dubai" w:hint="cs"/>
                <w:b/>
                <w:bCs/>
                <w:w w:val="120"/>
                <w:sz w:val="32"/>
                <w:szCs w:val="32"/>
                <w:rtl/>
              </w:rPr>
              <w:t>الاتحـاد الدولـي للاتصـالات</w:t>
            </w:r>
          </w:p>
          <w:p w14:paraId="6C0DA405" w14:textId="77777777" w:rsidR="007B4B05" w:rsidRPr="009C7118" w:rsidRDefault="007B4B05" w:rsidP="001A5498">
            <w:pPr>
              <w:spacing w:before="0"/>
              <w:jc w:val="left"/>
              <w:rPr>
                <w:rFonts w:ascii="Dubai" w:hAnsi="Dubai" w:cs="Dubai"/>
                <w:b/>
                <w:bCs/>
                <w:sz w:val="28"/>
                <w:szCs w:val="28"/>
                <w:rtl/>
                <w:lang w:bidi="ar-EG"/>
              </w:rPr>
            </w:pPr>
            <w:r w:rsidRPr="009C711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377D13" w14:paraId="6518EE9E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3D19EF54" w14:textId="77777777" w:rsidR="00AB0E56" w:rsidRPr="00377D13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1734" w:type="pct"/>
          </w:tcPr>
          <w:p w14:paraId="26FF41C8" w14:textId="77777777" w:rsidR="00AB0E56" w:rsidRPr="00377D13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2470" w:type="pct"/>
          </w:tcPr>
          <w:p w14:paraId="298B6E73" w14:textId="33A5DF15" w:rsidR="00AB0E56" w:rsidRPr="00377D13" w:rsidRDefault="00AB0E56" w:rsidP="008C13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 xml:space="preserve">جنيف، </w:t>
            </w:r>
            <w:r w:rsidR="00AE7A0F">
              <w:rPr>
                <w:rFonts w:ascii="Dubai" w:eastAsiaTheme="minorEastAsia" w:hAnsi="Dubai" w:cs="Dubai"/>
                <w:szCs w:val="22"/>
                <w:lang w:eastAsia="zh-CN"/>
              </w:rPr>
              <w:t>7</w:t>
            </w:r>
            <w:r w:rsidR="00EC318F" w:rsidRPr="00377D13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 xml:space="preserve"> </w:t>
            </w:r>
            <w:r w:rsidR="00AE7A0F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>أكتوبر</w:t>
            </w:r>
            <w:r w:rsidR="00EC318F" w:rsidRPr="00377D13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 xml:space="preserve"> </w:t>
            </w:r>
            <w:r w:rsidR="00EC318F" w:rsidRPr="00377D13">
              <w:rPr>
                <w:rFonts w:ascii="Dubai" w:eastAsiaTheme="minorEastAsia" w:hAnsi="Dubai" w:cs="Dubai"/>
                <w:szCs w:val="22"/>
                <w:lang w:eastAsia="zh-CN" w:bidi="ar-EG"/>
              </w:rPr>
              <w:t>20</w:t>
            </w:r>
            <w:r w:rsidR="00377D13" w:rsidRPr="00377D13">
              <w:rPr>
                <w:rFonts w:ascii="Dubai" w:eastAsiaTheme="minorEastAsia" w:hAnsi="Dubai" w:cs="Dubai"/>
                <w:szCs w:val="22"/>
                <w:lang w:eastAsia="zh-CN" w:bidi="ar-EG"/>
              </w:rPr>
              <w:t>20</w:t>
            </w:r>
          </w:p>
        </w:tc>
      </w:tr>
      <w:tr w:rsidR="00E06C01" w:rsidRPr="00377D13" w14:paraId="4B0DC8E3" w14:textId="77777777" w:rsidTr="00AB0E56">
        <w:trPr>
          <w:cantSplit/>
          <w:trHeight w:val="148"/>
          <w:jc w:val="center"/>
        </w:trPr>
        <w:tc>
          <w:tcPr>
            <w:tcW w:w="796" w:type="pct"/>
          </w:tcPr>
          <w:p w14:paraId="08871020" w14:textId="77777777" w:rsidR="00E06C01" w:rsidRPr="00377D13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1734" w:type="pct"/>
          </w:tcPr>
          <w:p w14:paraId="40823E3E" w14:textId="77777777" w:rsidR="00E06C01" w:rsidRPr="00377D13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2470" w:type="pct"/>
          </w:tcPr>
          <w:p w14:paraId="5F9AA737" w14:textId="77777777" w:rsidR="00E06C01" w:rsidRPr="00377D13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</w:p>
        </w:tc>
      </w:tr>
      <w:tr w:rsidR="0003672C" w:rsidRPr="00377D13" w14:paraId="397070AB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AE0997C" w14:textId="77777777" w:rsidR="0003672C" w:rsidRPr="00377D13" w:rsidRDefault="0003672C" w:rsidP="00BB4F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456D0EE6" w14:textId="30D047FC" w:rsidR="0003672C" w:rsidRPr="00377D13" w:rsidRDefault="0003672C" w:rsidP="00BB4F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</w:pPr>
            <w:r w:rsidRPr="00377D13"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  <w:t xml:space="preserve">TSB Collective letter </w:t>
            </w:r>
            <w:r w:rsidR="00AE7A0F"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  <w:t>7</w:t>
            </w:r>
            <w:r w:rsidRPr="00377D13"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  <w:br/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TSAG/</w:t>
            </w:r>
            <w:r w:rsidR="00041567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BJ</w:t>
            </w:r>
          </w:p>
        </w:tc>
        <w:tc>
          <w:tcPr>
            <w:tcW w:w="2470" w:type="pct"/>
            <w:vMerge w:val="restart"/>
          </w:tcPr>
          <w:p w14:paraId="03E17A48" w14:textId="77777777" w:rsidR="0003672C" w:rsidRPr="00377D13" w:rsidRDefault="0003672C" w:rsidP="00BB4F9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إلى:</w:t>
            </w:r>
          </w:p>
          <w:p w14:paraId="7C1CBEC5" w14:textId="77777777" w:rsidR="0003672C" w:rsidRPr="00377D13" w:rsidRDefault="0003672C" w:rsidP="001D7736">
            <w:pPr>
              <w:tabs>
                <w:tab w:val="clear" w:pos="1134"/>
                <w:tab w:val="left" w:pos="367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إدارات الدول الأعضاء في الاتحاد؛</w:t>
            </w:r>
          </w:p>
          <w:p w14:paraId="75CF889E" w14:textId="77777777" w:rsidR="0003672C" w:rsidRPr="00377D13" w:rsidRDefault="0003672C" w:rsidP="001D7736">
            <w:pPr>
              <w:tabs>
                <w:tab w:val="clear" w:pos="1134"/>
                <w:tab w:val="left" w:pos="367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أعضاء قطاع تقييس الاتصالات في الاتحاد؛</w:t>
            </w:r>
          </w:p>
          <w:p w14:paraId="35B91BBF" w14:textId="77777777" w:rsidR="0003672C" w:rsidRPr="00377D13" w:rsidRDefault="0003672C" w:rsidP="001D7736">
            <w:pPr>
              <w:tabs>
                <w:tab w:val="clear" w:pos="1134"/>
                <w:tab w:val="left" w:pos="367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 xml:space="preserve">الهيئات الأكاديمية المنضمة إلى </w:t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الاتحاد</w:t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؛</w:t>
            </w:r>
          </w:p>
          <w:p w14:paraId="196A3C17" w14:textId="77777777" w:rsidR="0003672C" w:rsidRPr="00377D13" w:rsidRDefault="0003672C" w:rsidP="001D7736">
            <w:pPr>
              <w:tabs>
                <w:tab w:val="clear" w:pos="1134"/>
                <w:tab w:val="left" w:pos="367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الأمين العام للاتحاد؛</w:t>
            </w:r>
          </w:p>
          <w:p w14:paraId="1B8FFFB2" w14:textId="77777777" w:rsidR="0003672C" w:rsidRPr="00377D13" w:rsidRDefault="0003672C" w:rsidP="001D7736">
            <w:pPr>
              <w:tabs>
                <w:tab w:val="clear" w:pos="1134"/>
                <w:tab w:val="left" w:pos="367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مدير مكتب الاتصالات الراديوية؛</w:t>
            </w:r>
          </w:p>
          <w:p w14:paraId="7E51121F" w14:textId="77777777" w:rsidR="0003672C" w:rsidRPr="00377D13" w:rsidRDefault="0003672C" w:rsidP="001D7736">
            <w:pPr>
              <w:tabs>
                <w:tab w:val="clear" w:pos="1134"/>
                <w:tab w:val="left" w:pos="367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مديرة مكتب تنمية الاتصالات؛</w:t>
            </w:r>
          </w:p>
          <w:p w14:paraId="073133E3" w14:textId="77777777" w:rsidR="0003672C" w:rsidRPr="00377D13" w:rsidRDefault="0003672C" w:rsidP="001D7736">
            <w:pPr>
              <w:tabs>
                <w:tab w:val="clear" w:pos="1134"/>
                <w:tab w:val="left" w:pos="367"/>
              </w:tabs>
              <w:spacing w:before="40" w:after="40" w:line="260" w:lineRule="exact"/>
              <w:ind w:left="369" w:hanging="369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رؤساء لجان دراسات قطاع تقييس الاتصالات</w:t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؛</w:t>
            </w:r>
          </w:p>
          <w:p w14:paraId="05A0526D" w14:textId="5AB38072" w:rsidR="0003672C" w:rsidRPr="00377D13" w:rsidRDefault="0003672C" w:rsidP="001D7736">
            <w:pPr>
              <w:tabs>
                <w:tab w:val="clear" w:pos="1134"/>
                <w:tab w:val="left" w:pos="367"/>
              </w:tabs>
              <w:spacing w:before="40" w:after="40" w:line="260" w:lineRule="exact"/>
              <w:ind w:left="369" w:hanging="369"/>
              <w:jc w:val="left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ر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 xml:space="preserve">ؤساء الأفرقة الإقليمية التابعة للجان </w:t>
            </w:r>
            <w:r w:rsidR="00657494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دراسات قطاع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 xml:space="preserve"> تقييس الاتصالات</w:t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؛</w:t>
            </w:r>
          </w:p>
          <w:p w14:paraId="7286D398" w14:textId="77777777" w:rsidR="0003672C" w:rsidRPr="00377D13" w:rsidRDefault="0003672C" w:rsidP="005776C7">
            <w:pPr>
              <w:tabs>
                <w:tab w:val="clear" w:pos="1134"/>
                <w:tab w:val="left" w:pos="367"/>
              </w:tabs>
              <w:spacing w:before="40" w:after="40" w:line="260" w:lineRule="exact"/>
              <w:ind w:left="369" w:hanging="369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 w:bidi="ar-EG"/>
              </w:rPr>
              <w:tab/>
            </w:r>
            <w:r w:rsidRPr="00314E67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رئيس لجنة التقييس المعنية بالمفردات التابعة لقطاع تقييس</w:t>
            </w:r>
            <w:r w:rsidRPr="00314E67">
              <w:rPr>
                <w:rFonts w:ascii="Dubai" w:eastAsiaTheme="minorEastAsia" w:hAnsi="Dubai" w:cs="Dubai" w:hint="eastAsia"/>
                <w:position w:val="2"/>
                <w:szCs w:val="22"/>
                <w:rtl/>
                <w:lang w:eastAsia="zh-CN" w:bidi="ar-EG"/>
              </w:rPr>
              <w:t> </w:t>
            </w:r>
            <w:r w:rsidRPr="00314E67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الاتصالات</w:t>
            </w:r>
          </w:p>
        </w:tc>
      </w:tr>
      <w:tr w:rsidR="00E96AED" w:rsidRPr="00377D13" w14:paraId="2F317625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299F331A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>ال</w:t>
            </w: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 w:bidi="ar-SY"/>
              </w:rPr>
              <w:t>هاتف</w:t>
            </w: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5B784443" w14:textId="275B191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</w:pPr>
            <w:r w:rsidRPr="00377D13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+41 22 730 </w:t>
            </w:r>
            <w:r w:rsidR="00041567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6311</w:t>
            </w:r>
          </w:p>
        </w:tc>
        <w:tc>
          <w:tcPr>
            <w:tcW w:w="2470" w:type="pct"/>
            <w:vMerge/>
          </w:tcPr>
          <w:p w14:paraId="2FDF93AF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377D13" w14:paraId="0869F135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178E2D8E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44765855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r w:rsidRPr="00377D13">
              <w:rPr>
                <w:rFonts w:ascii="Dubai" w:eastAsiaTheme="minorEastAsia" w:hAnsi="Dubai" w:cs="Dubai"/>
                <w:szCs w:val="22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0B27941E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377D13" w14:paraId="539D069C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3573B78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249153CC" w14:textId="77777777" w:rsidR="00E96AED" w:rsidRPr="00377D13" w:rsidRDefault="002B5CB4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hyperlink r:id="rId11" w:history="1">
              <w:r w:rsidR="00E96AED" w:rsidRPr="00377D13">
                <w:rPr>
                  <w:rStyle w:val="Hyperlink"/>
                  <w:rFonts w:ascii="Dubai" w:eastAsiaTheme="minorEastAsia" w:hAnsi="Dubai" w:cs="Dubai"/>
                  <w:position w:val="2"/>
                  <w:szCs w:val="22"/>
                  <w:lang w:val="en-GB" w:eastAsia="zh-CN" w:bidi="ar-SY"/>
                </w:rPr>
                <w:t>tsbtsag@itu.int</w:t>
              </w:r>
            </w:hyperlink>
          </w:p>
        </w:tc>
        <w:tc>
          <w:tcPr>
            <w:tcW w:w="2470" w:type="pct"/>
            <w:vMerge/>
          </w:tcPr>
          <w:p w14:paraId="76486D7B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377D13" w14:paraId="5D7E6727" w14:textId="77777777" w:rsidTr="004270DC">
        <w:trPr>
          <w:cantSplit/>
          <w:jc w:val="center"/>
        </w:trPr>
        <w:tc>
          <w:tcPr>
            <w:tcW w:w="796" w:type="pct"/>
          </w:tcPr>
          <w:p w14:paraId="4A13837C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14:paraId="69A80CB4" w14:textId="77777777" w:rsidR="00E96AED" w:rsidRPr="00377D13" w:rsidRDefault="002B5CB4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hyperlink r:id="rId12" w:history="1">
              <w:r w:rsidR="00E96AED" w:rsidRPr="00377D13">
                <w:rPr>
                  <w:rStyle w:val="Hyperlink"/>
                  <w:rFonts w:ascii="Dubai" w:eastAsiaTheme="minorEastAsia" w:hAnsi="Dubai" w:cs="Dubai"/>
                  <w:position w:val="2"/>
                  <w:szCs w:val="22"/>
                  <w:lang w:val="en-GB" w:eastAsia="zh-CN" w:bidi="ar-SY"/>
                </w:rPr>
                <w:t>http://itu.int/go/tsag</w:t>
              </w:r>
            </w:hyperlink>
          </w:p>
        </w:tc>
        <w:tc>
          <w:tcPr>
            <w:tcW w:w="2470" w:type="pct"/>
            <w:vMerge/>
          </w:tcPr>
          <w:p w14:paraId="6EFC3B5E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377D13" w14:paraId="35535978" w14:textId="77777777" w:rsidTr="004270DC">
        <w:trPr>
          <w:cantSplit/>
          <w:jc w:val="center"/>
        </w:trPr>
        <w:tc>
          <w:tcPr>
            <w:tcW w:w="796" w:type="pct"/>
          </w:tcPr>
          <w:p w14:paraId="5548337C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14:paraId="4DEC009A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14:paraId="71DFE4A4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3B4397" w:rsidRPr="003B4397" w14:paraId="632CD180" w14:textId="77777777" w:rsidTr="004270DC">
        <w:trPr>
          <w:cantSplit/>
          <w:jc w:val="center"/>
        </w:trPr>
        <w:tc>
          <w:tcPr>
            <w:tcW w:w="796" w:type="pct"/>
          </w:tcPr>
          <w:p w14:paraId="599C2E07" w14:textId="77777777" w:rsidR="00E96AED" w:rsidRPr="003B4397" w:rsidRDefault="00E96AED" w:rsidP="00BB4F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ascii="Dubai" w:eastAsiaTheme="minorEastAsia" w:hAnsi="Dubai" w:cs="Dubai"/>
                <w:position w:val="2"/>
                <w:szCs w:val="22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14:paraId="579EAFCA" w14:textId="77777777" w:rsidR="00E96AED" w:rsidRPr="003B4397" w:rsidRDefault="00E96AED" w:rsidP="00BB4F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Style w:val="Hyperlink"/>
                <w:rFonts w:ascii="Dubai" w:eastAsiaTheme="minorEastAsia" w:hAnsi="Dubai" w:cs="Dubai"/>
                <w:color w:val="auto"/>
                <w:position w:val="2"/>
                <w:szCs w:val="22"/>
                <w:lang w:val="en-GB" w:eastAsia="zh-CN" w:bidi="ar-SY"/>
              </w:rPr>
            </w:pPr>
          </w:p>
        </w:tc>
        <w:tc>
          <w:tcPr>
            <w:tcW w:w="2470" w:type="pct"/>
          </w:tcPr>
          <w:p w14:paraId="7DCAABC6" w14:textId="77777777" w:rsidR="00E96AED" w:rsidRPr="003B4397" w:rsidRDefault="00E96AED" w:rsidP="00BB4F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377D13" w14:paraId="621C647F" w14:textId="77777777" w:rsidTr="004270DC">
        <w:trPr>
          <w:cantSplit/>
          <w:jc w:val="center"/>
        </w:trPr>
        <w:tc>
          <w:tcPr>
            <w:tcW w:w="796" w:type="pct"/>
          </w:tcPr>
          <w:p w14:paraId="496DFE08" w14:textId="77777777" w:rsidR="00E96AED" w:rsidRPr="009C7118" w:rsidRDefault="00E96AED" w:rsidP="00BE572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="Dubai" w:eastAsiaTheme="minorEastAsia" w:hAnsi="Dubai" w:cs="Dubai"/>
                <w:sz w:val="24"/>
                <w:szCs w:val="24"/>
                <w:rtl/>
                <w:lang w:eastAsia="zh-CN"/>
              </w:rPr>
            </w:pPr>
            <w:r w:rsidRPr="009C7118">
              <w:rPr>
                <w:rFonts w:ascii="Dubai" w:eastAsiaTheme="minorEastAsia" w:hAnsi="Dubai" w:cs="Dubai" w:hint="cs"/>
                <w:sz w:val="24"/>
                <w:szCs w:val="24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BB74D47" w14:textId="4927D658" w:rsidR="00E96AED" w:rsidRPr="00063C9D" w:rsidRDefault="00E96AED" w:rsidP="00501FE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="Dubai" w:eastAsiaTheme="minorEastAsia" w:hAnsi="Dubai" w:cs="Dubai"/>
                <w:sz w:val="24"/>
                <w:szCs w:val="24"/>
                <w:lang w:eastAsia="zh-CN"/>
              </w:rPr>
            </w:pPr>
            <w:r w:rsidRPr="009C7118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 w:bidi="ar-EG"/>
              </w:rPr>
              <w:t xml:space="preserve">الاجتماع </w:t>
            </w:r>
            <w:r w:rsidR="00AE7A0F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/>
              </w:rPr>
              <w:t>السابع</w:t>
            </w:r>
            <w:r w:rsidRPr="009C7118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 w:bidi="ar-EG"/>
              </w:rPr>
              <w:t xml:space="preserve"> للفريق الاستشاري لتقييس الاتصالات </w:t>
            </w:r>
            <w:r w:rsidRPr="009C7118">
              <w:rPr>
                <w:rFonts w:ascii="Dubai" w:eastAsiaTheme="minorEastAsia" w:hAnsi="Dubai" w:cs="Dubai"/>
                <w:b/>
                <w:bCs/>
                <w:sz w:val="24"/>
                <w:szCs w:val="24"/>
                <w:lang w:eastAsia="zh-CN"/>
              </w:rPr>
              <w:t>(TSAG)</w:t>
            </w:r>
            <w:r w:rsidRPr="009C7118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 w:bidi="ar-EG"/>
              </w:rPr>
              <w:t>،</w:t>
            </w:r>
            <w:r w:rsidR="00314E67">
              <w:rPr>
                <w:rFonts w:ascii="Dubai" w:eastAsiaTheme="minorEastAsia" w:hAnsi="Dubai" w:cs="Dubai"/>
                <w:b/>
                <w:bCs/>
                <w:sz w:val="24"/>
                <w:szCs w:val="24"/>
                <w:rtl/>
                <w:lang w:eastAsia="zh-CN" w:bidi="ar-EG"/>
              </w:rPr>
              <w:br/>
            </w:r>
            <w:r w:rsidR="00AE7A0F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 w:bidi="ar-EG"/>
              </w:rPr>
              <w:t>اجتماع افتراضي</w:t>
            </w:r>
            <w:r w:rsidRPr="009C7118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 w:bidi="ar-EG"/>
              </w:rPr>
              <w:t>،</w:t>
            </w:r>
            <w:r w:rsidR="00314E67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 w:bidi="ar-EG"/>
              </w:rPr>
              <w:t xml:space="preserve"> </w:t>
            </w:r>
            <w:r w:rsidR="00AE7A0F">
              <w:rPr>
                <w:rFonts w:ascii="Dubai" w:eastAsia="PMingLiU" w:hAnsi="Dubai" w:cs="Dubai"/>
                <w:b/>
                <w:bCs/>
                <w:sz w:val="24"/>
                <w:szCs w:val="24"/>
                <w:lang w:eastAsia="zh-TW" w:bidi="ar-EG"/>
              </w:rPr>
              <w:t>18-11</w:t>
            </w:r>
            <w:r w:rsidRPr="009C7118">
              <w:rPr>
                <w:rFonts w:ascii="Dubai" w:eastAsiaTheme="minorEastAsia" w:hAnsi="Dubai" w:cs="Dubai" w:hint="eastAsia"/>
                <w:b/>
                <w:bCs/>
                <w:sz w:val="24"/>
                <w:szCs w:val="24"/>
                <w:rtl/>
                <w:lang w:eastAsia="zh-CN"/>
              </w:rPr>
              <w:t> </w:t>
            </w:r>
            <w:r w:rsidR="00AE7A0F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/>
              </w:rPr>
              <w:t>يناير</w:t>
            </w:r>
            <w:r w:rsidRPr="009C7118">
              <w:rPr>
                <w:rFonts w:ascii="Dubai" w:eastAsiaTheme="minorEastAsia" w:hAnsi="Dubai" w:cs="Dubai" w:hint="eastAsia"/>
                <w:b/>
                <w:bCs/>
                <w:sz w:val="24"/>
                <w:szCs w:val="24"/>
                <w:rtl/>
                <w:lang w:eastAsia="zh-CN" w:bidi="ar-EG"/>
              </w:rPr>
              <w:t> </w:t>
            </w:r>
            <w:r w:rsidR="00AE7A0F">
              <w:rPr>
                <w:rFonts w:ascii="Dubai" w:eastAsiaTheme="minorEastAsia" w:hAnsi="Dubai" w:cs="Dubai"/>
                <w:b/>
                <w:bCs/>
                <w:sz w:val="24"/>
                <w:szCs w:val="24"/>
                <w:lang w:eastAsia="zh-CN"/>
              </w:rPr>
              <w:t>2021</w:t>
            </w:r>
          </w:p>
        </w:tc>
      </w:tr>
    </w:tbl>
    <w:p w14:paraId="764855D1" w14:textId="77777777" w:rsidR="00E06C01" w:rsidRPr="00377D13" w:rsidRDefault="00E06C01" w:rsidP="00314E6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ascii="Dubai" w:eastAsiaTheme="minorEastAsia" w:hAnsi="Dubai" w:cs="Dubai"/>
          <w:szCs w:val="22"/>
          <w:rtl/>
          <w:lang w:eastAsia="zh-CN" w:bidi="ar-SY"/>
        </w:rPr>
      </w:pP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>حضرات السادة والسيدات،</w:t>
      </w:r>
    </w:p>
    <w:p w14:paraId="50113287" w14:textId="77777777" w:rsidR="00E06C01" w:rsidRPr="00377D13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>تحية طيبة وبعد،</w:t>
      </w:r>
    </w:p>
    <w:p w14:paraId="3ECC4BC5" w14:textId="61F5CCEE" w:rsidR="008C137A" w:rsidRPr="00377D13" w:rsidRDefault="00AE7A0F" w:rsidP="00AE7A0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AE7A0F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استجابةً للوضع الراهن من جراء فيروس كورونا المستجد </w:t>
      </w:r>
      <w:r w:rsidRPr="00AE7A0F">
        <w:rPr>
          <w:rFonts w:ascii="Dubai" w:eastAsiaTheme="minorEastAsia" w:hAnsi="Dubai" w:cs="Dubai"/>
          <w:szCs w:val="22"/>
          <w:lang w:eastAsia="zh-CN" w:bidi="ar-SY"/>
        </w:rPr>
        <w:t>(COVID-19)</w:t>
      </w:r>
      <w:r w:rsidRPr="00AE7A0F">
        <w:rPr>
          <w:rFonts w:ascii="Dubai" w:eastAsiaTheme="minorEastAsia" w:hAnsi="Dubai" w:cs="Dubai" w:hint="cs"/>
          <w:szCs w:val="22"/>
          <w:rtl/>
          <w:lang w:eastAsia="zh-CN" w:bidi="ar-EG"/>
        </w:rPr>
        <w:t>، الذي يتضمن القيود القائمة المطبقة في</w:t>
      </w:r>
      <w:r w:rsidRPr="00AE7A0F">
        <w:rPr>
          <w:rFonts w:ascii="Dubai" w:eastAsiaTheme="minorEastAsia" w:hAnsi="Dubai" w:cs="Dubai" w:hint="eastAsia"/>
          <w:szCs w:val="22"/>
          <w:rtl/>
          <w:lang w:eastAsia="zh-CN" w:bidi="ar-EG"/>
        </w:rPr>
        <w:t> </w:t>
      </w:r>
      <w:r w:rsidRPr="00AE7A0F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سويسرا المتعلقة بالحد من عدد المشاركين، وكذلك القيود المفروضة على السفر الدولي، </w:t>
      </w:r>
      <w:r w:rsidR="008C137A"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يسعدني أن أدعوكم إلى حضور الاجتماع </w:t>
      </w:r>
      <w:r>
        <w:rPr>
          <w:rFonts w:ascii="Dubai" w:eastAsiaTheme="minorEastAsia" w:hAnsi="Dubai" w:cs="Dubai" w:hint="cs"/>
          <w:szCs w:val="22"/>
          <w:rtl/>
          <w:lang w:eastAsia="zh-CN"/>
        </w:rPr>
        <w:t>السابع</w:t>
      </w:r>
      <w:r w:rsidR="008C137A"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للفريق الاستشاري لتقييس الاتصالات</w:t>
      </w:r>
      <w:r w:rsidR="008C137A" w:rsidRPr="00377D13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="008C137A" w:rsidRPr="00377D13">
        <w:rPr>
          <w:rFonts w:ascii="Dubai" w:eastAsiaTheme="minorEastAsia" w:hAnsi="Dubai" w:cs="Dubai"/>
          <w:szCs w:val="22"/>
          <w:lang w:eastAsia="zh-CN" w:bidi="ar-SY"/>
        </w:rPr>
        <w:t>(TSAG)</w:t>
      </w:r>
      <w:r w:rsidR="008C137A"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</w:t>
      </w:r>
      <w:r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المخطط لعقده في الفترة </w:t>
      </w:r>
      <w:r>
        <w:rPr>
          <w:rFonts w:ascii="Dubai" w:eastAsiaTheme="minorEastAsia" w:hAnsi="Dubai" w:cs="Dubai"/>
          <w:szCs w:val="22"/>
          <w:lang w:eastAsia="zh-CN" w:bidi="ar-SY"/>
        </w:rPr>
        <w:t>18-11</w:t>
      </w:r>
      <w:r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يناير </w:t>
      </w:r>
      <w:r>
        <w:rPr>
          <w:rFonts w:ascii="Dubai" w:eastAsiaTheme="minorEastAsia" w:hAnsi="Dubai" w:cs="Dubai"/>
          <w:szCs w:val="22"/>
          <w:lang w:eastAsia="zh-CN" w:bidi="ar-EG"/>
        </w:rPr>
        <w:t>2021</w:t>
      </w:r>
      <w:r w:rsidR="008C137A"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، </w:t>
      </w:r>
      <w:r>
        <w:rPr>
          <w:rFonts w:ascii="Dubai" w:eastAsiaTheme="minorEastAsia" w:hAnsi="Dubai" w:cs="Dubai" w:hint="cs"/>
          <w:szCs w:val="22"/>
          <w:rtl/>
          <w:lang w:eastAsia="zh-CN" w:bidi="ar-EG"/>
        </w:rPr>
        <w:t>والذي سي</w:t>
      </w:r>
      <w:r w:rsidR="00E20A01">
        <w:rPr>
          <w:rFonts w:ascii="Dubai" w:eastAsiaTheme="minorEastAsia" w:hAnsi="Dubai" w:cs="Dubai" w:hint="cs"/>
          <w:szCs w:val="22"/>
          <w:rtl/>
          <w:lang w:eastAsia="zh-CN" w:bidi="ar-EG"/>
        </w:rPr>
        <w:t>ُ</w:t>
      </w:r>
      <w:r>
        <w:rPr>
          <w:rFonts w:ascii="Dubai" w:eastAsiaTheme="minorEastAsia" w:hAnsi="Dubai" w:cs="Dubai" w:hint="cs"/>
          <w:szCs w:val="22"/>
          <w:rtl/>
          <w:lang w:eastAsia="zh-CN" w:bidi="ar-EG"/>
        </w:rPr>
        <w:t>عقد كاجتماع افتراضي، ولن تمنح أي مِنح.</w:t>
      </w:r>
    </w:p>
    <w:p w14:paraId="5A8BEB83" w14:textId="07653062" w:rsidR="008C137A" w:rsidRPr="00377D13" w:rsidRDefault="00AE7A0F" w:rsidP="00AE7A0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AE7A0F">
        <w:rPr>
          <w:rFonts w:ascii="Dubai" w:eastAsiaTheme="minorEastAsia" w:hAnsi="Dubai" w:cs="Dubai" w:hint="cs"/>
          <w:szCs w:val="22"/>
          <w:rtl/>
          <w:lang w:eastAsia="zh-CN" w:bidi="ar-SY"/>
        </w:rPr>
        <w:t>سيُفتتح الاجتماع في الساعة</w:t>
      </w:r>
      <w:r w:rsidRPr="00AE7A0F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Pr="00AE7A0F">
        <w:rPr>
          <w:rFonts w:ascii="Dubai" w:eastAsiaTheme="minorEastAsia" w:hAnsi="Dubai" w:cs="Dubai"/>
          <w:szCs w:val="22"/>
          <w:lang w:eastAsia="zh-CN" w:bidi="ar-SY"/>
        </w:rPr>
        <w:t>12:30</w:t>
      </w:r>
      <w:r w:rsidR="00066B5A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</w:t>
      </w:r>
      <w:r w:rsidRPr="00AE7A0F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بتوقيت وسط أوروبا </w:t>
      </w:r>
      <w:r w:rsidRPr="00AE7A0F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من اليوم الأول والتسجيل إلزامي </w:t>
      </w:r>
      <w:r w:rsidRPr="00AE7A0F">
        <w:rPr>
          <w:rFonts w:ascii="Dubai" w:eastAsiaTheme="minorEastAsia" w:hAnsi="Dubai" w:cs="Dubai" w:hint="cs"/>
          <w:szCs w:val="22"/>
          <w:rtl/>
          <w:lang w:eastAsia="zh-CN"/>
        </w:rPr>
        <w:t>(</w:t>
      </w:r>
      <w:r w:rsidRPr="00AE7A0F">
        <w:rPr>
          <w:rFonts w:ascii="Dubai" w:eastAsiaTheme="minorEastAsia" w:hAnsi="Dubai" w:cs="Dubai"/>
          <w:szCs w:val="22"/>
          <w:rtl/>
          <w:lang w:eastAsia="zh-CN"/>
        </w:rPr>
        <w:t xml:space="preserve">من خلال نموذج التسجيل الإلكتروني </w:t>
      </w:r>
      <w:r w:rsidRPr="00AE7A0F">
        <w:rPr>
          <w:rFonts w:ascii="Dubai" w:eastAsiaTheme="minorEastAsia" w:hAnsi="Dubai" w:cs="Dubai" w:hint="cs"/>
          <w:szCs w:val="22"/>
          <w:rtl/>
          <w:lang w:eastAsia="zh-CN"/>
        </w:rPr>
        <w:t xml:space="preserve">المتاح في الموقع </w:t>
      </w:r>
      <w:hyperlink r:id="rId13" w:history="1">
        <w:r w:rsidRPr="00AE7A0F">
          <w:rPr>
            <w:rStyle w:val="Hyperlink"/>
            <w:rFonts w:ascii="Dubai" w:eastAsiaTheme="minorEastAsia" w:hAnsi="Dubai" w:cs="Dubai"/>
            <w:szCs w:val="22"/>
            <w:lang w:eastAsia="zh-CN" w:bidi="ar-SY"/>
          </w:rPr>
          <w:t>http://itu.int/go/tsag</w:t>
        </w:r>
      </w:hyperlink>
      <w:r w:rsidRPr="00AE7A0F">
        <w:rPr>
          <w:rFonts w:ascii="Dubai" w:eastAsiaTheme="minorEastAsia" w:hAnsi="Dubai" w:cs="Dubai" w:hint="cs"/>
          <w:szCs w:val="22"/>
          <w:rtl/>
          <w:lang w:eastAsia="zh-CN"/>
        </w:rPr>
        <w:t xml:space="preserve">). </w:t>
      </w:r>
      <w:r w:rsidRPr="00AE7A0F">
        <w:rPr>
          <w:rFonts w:ascii="Dubai" w:eastAsiaTheme="minorEastAsia" w:hAnsi="Dubai" w:cs="Dubai" w:hint="cs"/>
          <w:szCs w:val="22"/>
          <w:rtl/>
          <w:lang w:eastAsia="zh-CN" w:bidi="ar-EG"/>
        </w:rPr>
        <w:t>وبدون التسجيل لن يكون بالإمكان استعمال أداة المشاركة عن بُعد</w:t>
      </w:r>
      <w:r w:rsidR="009D77A6">
        <w:rPr>
          <w:rFonts w:ascii="Dubai" w:eastAsiaTheme="minorEastAsia" w:hAnsi="Dubai" w:cs="Dubai" w:hint="cs"/>
          <w:szCs w:val="22"/>
          <w:rtl/>
          <w:lang w:eastAsia="zh-CN" w:bidi="ar-EG"/>
        </w:rPr>
        <w:t>.</w:t>
      </w:r>
    </w:p>
    <w:p w14:paraId="44D6E8E4" w14:textId="77777777" w:rsidR="008C137A" w:rsidRPr="00377D13" w:rsidRDefault="008C137A" w:rsidP="005C18CC">
      <w:pPr>
        <w:pStyle w:val="Headingb"/>
        <w:spacing w:before="240" w:after="120"/>
        <w:rPr>
          <w:rFonts w:ascii="Dubai" w:eastAsiaTheme="minorEastAsia" w:hAnsi="Dubai" w:cs="Dubai"/>
          <w:sz w:val="22"/>
          <w:szCs w:val="22"/>
          <w:rtl/>
          <w:lang w:eastAsia="zh-CN"/>
        </w:rPr>
      </w:pPr>
      <w:r w:rsidRPr="00377D13">
        <w:rPr>
          <w:rFonts w:ascii="Dubai" w:eastAsiaTheme="minorEastAsia" w:hAnsi="Dubai" w:cs="Dubai" w:hint="cs"/>
          <w:sz w:val="22"/>
          <w:szCs w:val="22"/>
          <w:rtl/>
          <w:lang w:eastAsia="zh-CN"/>
        </w:rPr>
        <w:t>أهم المواعيد النهائية:</w:t>
      </w:r>
    </w:p>
    <w:tbl>
      <w:tblPr>
        <w:tblStyle w:val="TableGrid"/>
        <w:bidiVisual/>
        <w:tblW w:w="9526" w:type="dxa"/>
        <w:tblLook w:val="04A0" w:firstRow="1" w:lastRow="0" w:firstColumn="1" w:lastColumn="0" w:noHBand="0" w:noVBand="1"/>
      </w:tblPr>
      <w:tblGrid>
        <w:gridCol w:w="2124"/>
        <w:gridCol w:w="7402"/>
      </w:tblGrid>
      <w:tr w:rsidR="00647ED5" w:rsidRPr="00377D13" w14:paraId="5A8965C8" w14:textId="77777777" w:rsidTr="00B746EB">
        <w:tc>
          <w:tcPr>
            <w:tcW w:w="2124" w:type="dxa"/>
          </w:tcPr>
          <w:p w14:paraId="42F11824" w14:textId="577A707F" w:rsidR="00647ED5" w:rsidRPr="00711904" w:rsidRDefault="00647ED5" w:rsidP="00161BCC">
            <w:pPr>
              <w:spacing w:after="120" w:line="300" w:lineRule="exact"/>
              <w:jc w:val="left"/>
              <w:rPr>
                <w:rFonts w:ascii="Dubai" w:eastAsiaTheme="minorEastAsia" w:hAnsi="Dubai" w:cs="Dubai"/>
                <w:szCs w:val="22"/>
              </w:rPr>
            </w:pPr>
            <w:r w:rsidRPr="00711904">
              <w:rPr>
                <w:rFonts w:ascii="Dubai" w:hAnsi="Dubai" w:cs="Dubai"/>
              </w:rPr>
              <w:t>2020-</w:t>
            </w:r>
            <w:r w:rsidR="00951F76">
              <w:rPr>
                <w:rFonts w:ascii="Dubai" w:hAnsi="Dubai" w:cs="Dubai"/>
              </w:rPr>
              <w:t>11</w:t>
            </w:r>
            <w:r w:rsidRPr="00711904">
              <w:rPr>
                <w:rFonts w:ascii="Dubai" w:hAnsi="Dubai" w:cs="Dubai"/>
              </w:rPr>
              <w:t>-</w:t>
            </w:r>
            <w:r w:rsidR="00951F76">
              <w:rPr>
                <w:rFonts w:ascii="Dubai" w:hAnsi="Dubai" w:cs="Dubai"/>
              </w:rPr>
              <w:t>11</w:t>
            </w:r>
          </w:p>
        </w:tc>
        <w:tc>
          <w:tcPr>
            <w:tcW w:w="7402" w:type="dxa"/>
          </w:tcPr>
          <w:p w14:paraId="3637E6E2" w14:textId="515DEDB0" w:rsidR="00647ED5" w:rsidRPr="00377D13" w:rsidRDefault="00647ED5" w:rsidP="002A4913">
            <w:pPr>
              <w:tabs>
                <w:tab w:val="clear" w:pos="1134"/>
                <w:tab w:val="left" w:pos="332"/>
              </w:tabs>
              <w:spacing w:after="60" w:line="300" w:lineRule="exact"/>
              <w:rPr>
                <w:rFonts w:ascii="Dubai" w:hAnsi="Dubai" w:cs="Dubai"/>
                <w:color w:val="000000"/>
                <w:szCs w:val="22"/>
                <w:shd w:val="clear" w:color="auto" w:fill="F0F0F0"/>
                <w:rtl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-</w:t>
            </w:r>
            <w:r w:rsidRPr="00377D13">
              <w:rPr>
                <w:rFonts w:ascii="Dubai" w:eastAsiaTheme="minorEastAsia" w:hAnsi="Dubai" w:cs="Dubai"/>
                <w:szCs w:val="22"/>
                <w:rtl/>
              </w:rPr>
              <w:tab/>
            </w: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تقديم طلبات ل</w:t>
            </w:r>
            <w:r w:rsidR="00066B5A">
              <w:rPr>
                <w:rFonts w:ascii="Dubai" w:eastAsiaTheme="minorEastAsia" w:hAnsi="Dubai" w:cs="Dubai" w:hint="cs"/>
                <w:szCs w:val="22"/>
                <w:rtl/>
              </w:rPr>
              <w:t>ل</w:t>
            </w:r>
            <w:r w:rsidRPr="00377D13">
              <w:rPr>
                <w:rFonts w:ascii="Dubai" w:hAnsi="Dubai" w:cs="Dubai"/>
                <w:color w:val="000000"/>
                <w:szCs w:val="22"/>
                <w:shd w:val="clear" w:color="auto" w:fill="FFFFFF"/>
                <w:rtl/>
              </w:rPr>
              <w:t xml:space="preserve">عرض </w:t>
            </w:r>
            <w:r w:rsidR="00066B5A">
              <w:rPr>
                <w:rFonts w:ascii="Dubai" w:hAnsi="Dubai" w:cs="Dubai" w:hint="cs"/>
                <w:color w:val="000000"/>
                <w:szCs w:val="22"/>
                <w:shd w:val="clear" w:color="auto" w:fill="FFFFFF"/>
                <w:rtl/>
              </w:rPr>
              <w:t>ال</w:t>
            </w:r>
            <w:r w:rsidRPr="00377D13">
              <w:rPr>
                <w:rFonts w:ascii="Dubai" w:hAnsi="Dubai" w:cs="Dubai"/>
                <w:color w:val="000000"/>
                <w:szCs w:val="22"/>
                <w:shd w:val="clear" w:color="auto" w:fill="FFFFFF"/>
                <w:rtl/>
              </w:rPr>
              <w:t>نصي في الوقت الفعلي</w:t>
            </w:r>
            <w:r w:rsidRPr="00377D13">
              <w:rPr>
                <w:rFonts w:ascii="Dubai" w:hAnsi="Dubai" w:cs="Dubai" w:hint="cs"/>
                <w:color w:val="000000"/>
                <w:szCs w:val="22"/>
                <w:shd w:val="clear" w:color="auto" w:fill="FFFFFF"/>
                <w:rtl/>
              </w:rPr>
              <w:t xml:space="preserve"> و/أو</w:t>
            </w:r>
            <w:r w:rsidRPr="00377D13">
              <w:rPr>
                <w:rFonts w:ascii="Dubai" w:hAnsi="Dubai" w:cs="Dubai" w:hint="eastAsia"/>
                <w:color w:val="000000"/>
                <w:szCs w:val="22"/>
                <w:shd w:val="clear" w:color="auto" w:fill="FFFFFF"/>
              </w:rPr>
              <w:t> </w:t>
            </w:r>
            <w:r w:rsidRPr="00377D13">
              <w:rPr>
                <w:rFonts w:ascii="Dubai" w:hAnsi="Dubai" w:cs="Dubai"/>
                <w:color w:val="000000"/>
                <w:szCs w:val="22"/>
                <w:shd w:val="clear" w:color="auto" w:fill="FFFFFF"/>
                <w:rtl/>
              </w:rPr>
              <w:t xml:space="preserve">الترجمة </w:t>
            </w:r>
            <w:r w:rsidR="00951F76">
              <w:rPr>
                <w:rFonts w:ascii="Dubai" w:hAnsi="Dubai" w:cs="Dubai" w:hint="cs"/>
                <w:color w:val="000000"/>
                <w:szCs w:val="22"/>
                <w:shd w:val="clear" w:color="auto" w:fill="FFFFFF"/>
                <w:rtl/>
              </w:rPr>
              <w:t>الشفوية</w:t>
            </w:r>
          </w:p>
          <w:p w14:paraId="19A142B9" w14:textId="77777777" w:rsidR="00647ED5" w:rsidRPr="00377D13" w:rsidRDefault="00647ED5" w:rsidP="002A4913">
            <w:pPr>
              <w:tabs>
                <w:tab w:val="clear" w:pos="1134"/>
                <w:tab w:val="left" w:pos="332"/>
              </w:tabs>
              <w:spacing w:before="60" w:after="120" w:line="300" w:lineRule="exact"/>
              <w:rPr>
                <w:rFonts w:ascii="Dubai" w:eastAsiaTheme="minorEastAsia" w:hAnsi="Dubai" w:cs="Dubai"/>
                <w:szCs w:val="22"/>
                <w:rtl/>
              </w:rPr>
            </w:pPr>
            <w:r w:rsidRPr="00377D13">
              <w:rPr>
                <w:rFonts w:ascii="Dubai" w:hAnsi="Dubai" w:cs="Dubai" w:hint="cs"/>
                <w:color w:val="000000"/>
                <w:szCs w:val="22"/>
                <w:shd w:val="clear" w:color="auto" w:fill="FFFFFF"/>
                <w:rtl/>
              </w:rPr>
              <w:t>-</w:t>
            </w:r>
            <w:r w:rsidRPr="00377D13">
              <w:rPr>
                <w:rFonts w:ascii="Dubai" w:hAnsi="Dubai" w:cs="Dubai"/>
                <w:color w:val="000000"/>
                <w:szCs w:val="22"/>
                <w:shd w:val="clear" w:color="auto" w:fill="FFFFFF"/>
                <w:rtl/>
              </w:rPr>
              <w:tab/>
            </w:r>
            <w:hyperlink r:id="rId14" w:history="1">
              <w:r w:rsidRPr="00377D13">
                <w:rPr>
                  <w:rStyle w:val="Hyperlink"/>
                  <w:rFonts w:ascii="Dubai" w:eastAsiaTheme="minorEastAsia" w:hAnsi="Dubai" w:cs="Dubai" w:hint="cs"/>
                  <w:szCs w:val="22"/>
                  <w:rtl/>
                </w:rPr>
                <w:t>تقديم مساهمات أعضاء قطاع تقييس الاتصالات</w:t>
              </w:r>
            </w:hyperlink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 xml:space="preserve"> المطلوبة ترجمتها</w:t>
            </w:r>
          </w:p>
        </w:tc>
      </w:tr>
      <w:tr w:rsidR="00647ED5" w:rsidRPr="00377D13" w14:paraId="6B1F6623" w14:textId="77777777" w:rsidTr="00B746EB">
        <w:tc>
          <w:tcPr>
            <w:tcW w:w="2124" w:type="dxa"/>
          </w:tcPr>
          <w:p w14:paraId="38C96897" w14:textId="5CBDE21A" w:rsidR="00647ED5" w:rsidRPr="00711904" w:rsidRDefault="00647ED5" w:rsidP="00161BCC">
            <w:pPr>
              <w:spacing w:after="120" w:line="300" w:lineRule="exact"/>
              <w:jc w:val="left"/>
              <w:rPr>
                <w:rFonts w:ascii="Dubai" w:eastAsiaTheme="minorEastAsia" w:hAnsi="Dubai" w:cs="Dubai"/>
                <w:szCs w:val="22"/>
                <w:rtl/>
              </w:rPr>
            </w:pPr>
            <w:r w:rsidRPr="00711904">
              <w:rPr>
                <w:rFonts w:ascii="Dubai" w:hAnsi="Dubai" w:cs="Dubai"/>
              </w:rPr>
              <w:t>2020-</w:t>
            </w:r>
            <w:r w:rsidR="00951F76">
              <w:rPr>
                <w:rFonts w:ascii="Dubai" w:hAnsi="Dubai" w:cs="Dubai"/>
              </w:rPr>
              <w:t>12</w:t>
            </w:r>
            <w:r w:rsidRPr="00711904">
              <w:rPr>
                <w:rFonts w:ascii="Dubai" w:hAnsi="Dubai" w:cs="Dubai"/>
              </w:rPr>
              <w:t>-</w:t>
            </w:r>
            <w:r w:rsidR="00951F76">
              <w:rPr>
                <w:rFonts w:ascii="Dubai" w:hAnsi="Dubai" w:cs="Dubai"/>
              </w:rPr>
              <w:t>11</w:t>
            </w:r>
          </w:p>
        </w:tc>
        <w:tc>
          <w:tcPr>
            <w:tcW w:w="7402" w:type="dxa"/>
          </w:tcPr>
          <w:p w14:paraId="18A77425" w14:textId="2804365C" w:rsidR="00647ED5" w:rsidRPr="00377D13" w:rsidRDefault="00951F76" w:rsidP="00161BCC">
            <w:pPr>
              <w:tabs>
                <w:tab w:val="clear" w:pos="1134"/>
                <w:tab w:val="left" w:pos="332"/>
              </w:tabs>
              <w:spacing w:after="120" w:line="300" w:lineRule="exact"/>
              <w:ind w:left="335" w:hanging="335"/>
              <w:rPr>
                <w:rFonts w:ascii="Dubai" w:eastAsiaTheme="minorEastAsia" w:hAnsi="Dubai" w:cs="Dubai"/>
                <w:szCs w:val="22"/>
                <w:rtl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-</w:t>
            </w:r>
            <w:r w:rsidRPr="00377D13">
              <w:rPr>
                <w:rFonts w:ascii="Dubai" w:eastAsiaTheme="minorEastAsia" w:hAnsi="Dubai" w:cs="Dubai"/>
                <w:szCs w:val="22"/>
                <w:rtl/>
              </w:rPr>
              <w:tab/>
            </w: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التسجيل المسبق (</w:t>
            </w:r>
            <w:r w:rsidRPr="00377D13">
              <w:rPr>
                <w:rFonts w:ascii="Dubai" w:hAnsi="Dubai" w:cs="Dubai" w:hint="cs"/>
                <w:color w:val="000000"/>
                <w:szCs w:val="22"/>
                <w:shd w:val="clear" w:color="auto" w:fill="FFFFFF"/>
                <w:rtl/>
              </w:rPr>
              <w:t>م</w:t>
            </w:r>
            <w:r w:rsidRPr="00377D13">
              <w:rPr>
                <w:rFonts w:ascii="Dubai" w:hAnsi="Dubai" w:cs="Dubai"/>
                <w:color w:val="000000"/>
                <w:szCs w:val="22"/>
                <w:shd w:val="clear" w:color="auto" w:fill="FFFFFF"/>
                <w:rtl/>
              </w:rPr>
              <w:t xml:space="preserve">ن خلال نموذج التسجيل الإلكتروني في </w:t>
            </w:r>
            <w:hyperlink r:id="rId15" w:history="1">
              <w:r w:rsidRPr="00921A72">
                <w:rPr>
                  <w:rStyle w:val="Hyperlink"/>
                  <w:rFonts w:ascii="Dubai" w:hAnsi="Dubai" w:cs="Dubai"/>
                  <w:szCs w:val="22"/>
                  <w:shd w:val="clear" w:color="auto" w:fill="FFFFFF"/>
                  <w:rtl/>
                </w:rPr>
                <w:t xml:space="preserve">الصفحة الرئيسية </w:t>
              </w:r>
              <w:r w:rsidRPr="00921A72">
                <w:rPr>
                  <w:rStyle w:val="Hyperlink"/>
                  <w:rFonts w:ascii="Dubai" w:hAnsi="Dubai" w:cs="Dubai" w:hint="cs"/>
                  <w:szCs w:val="22"/>
                  <w:shd w:val="clear" w:color="auto" w:fill="FFFFFF"/>
                  <w:rtl/>
                </w:rPr>
                <w:t>للفريق الاستشاري لتقييس الاتصالات</w:t>
              </w:r>
            </w:hyperlink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)</w:t>
            </w:r>
          </w:p>
        </w:tc>
      </w:tr>
      <w:tr w:rsidR="00647ED5" w:rsidRPr="00377D13" w14:paraId="2942A9BF" w14:textId="77777777" w:rsidTr="00B746EB">
        <w:tc>
          <w:tcPr>
            <w:tcW w:w="2124" w:type="dxa"/>
          </w:tcPr>
          <w:p w14:paraId="07A97FC3" w14:textId="6C0729D1" w:rsidR="00647ED5" w:rsidRPr="00711904" w:rsidRDefault="00647ED5" w:rsidP="00161BCC">
            <w:pPr>
              <w:spacing w:after="120" w:line="300" w:lineRule="exact"/>
              <w:jc w:val="left"/>
              <w:rPr>
                <w:rFonts w:ascii="Dubai" w:eastAsiaTheme="minorEastAsia" w:hAnsi="Dubai" w:cs="Dubai"/>
                <w:szCs w:val="22"/>
              </w:rPr>
            </w:pPr>
            <w:r w:rsidRPr="00711904">
              <w:rPr>
                <w:rFonts w:ascii="Dubai" w:hAnsi="Dubai" w:cs="Dubai"/>
              </w:rPr>
              <w:t>2020-</w:t>
            </w:r>
            <w:r w:rsidR="00951F76">
              <w:rPr>
                <w:rFonts w:ascii="Dubai" w:hAnsi="Dubai" w:cs="Dubai"/>
              </w:rPr>
              <w:t>12</w:t>
            </w:r>
            <w:r w:rsidRPr="00711904">
              <w:rPr>
                <w:rFonts w:ascii="Dubai" w:hAnsi="Dubai" w:cs="Dubai"/>
              </w:rPr>
              <w:t>-</w:t>
            </w:r>
            <w:r w:rsidR="00951F76">
              <w:rPr>
                <w:rFonts w:ascii="Dubai" w:hAnsi="Dubai" w:cs="Dubai"/>
              </w:rPr>
              <w:t>24</w:t>
            </w:r>
          </w:p>
        </w:tc>
        <w:tc>
          <w:tcPr>
            <w:tcW w:w="7402" w:type="dxa"/>
          </w:tcPr>
          <w:p w14:paraId="1BEB3450" w14:textId="53F11C4A" w:rsidR="00647ED5" w:rsidRPr="00377D13" w:rsidRDefault="00B746EB" w:rsidP="00161BCC">
            <w:pPr>
              <w:tabs>
                <w:tab w:val="clear" w:pos="1134"/>
                <w:tab w:val="left" w:pos="332"/>
              </w:tabs>
              <w:spacing w:after="120" w:line="300" w:lineRule="exact"/>
              <w:ind w:left="335" w:hanging="335"/>
              <w:rPr>
                <w:rFonts w:ascii="Dubai" w:eastAsiaTheme="minorEastAsia" w:hAnsi="Dubai" w:cs="Dubai"/>
                <w:szCs w:val="22"/>
                <w:rtl/>
              </w:rPr>
            </w:pPr>
            <w:r w:rsidRPr="00956982">
              <w:rPr>
                <w:rFonts w:ascii="Dubai" w:eastAsiaTheme="minorEastAsia" w:hAnsi="Dubai" w:cs="Dubai" w:hint="cs"/>
                <w:szCs w:val="22"/>
                <w:rtl/>
              </w:rPr>
              <w:t>-</w:t>
            </w:r>
            <w:r w:rsidRPr="00956982">
              <w:rPr>
                <w:rFonts w:ascii="Dubai" w:eastAsiaTheme="minorEastAsia" w:hAnsi="Dubai" w:cs="Dubai"/>
                <w:szCs w:val="22"/>
                <w:rtl/>
              </w:rPr>
              <w:tab/>
            </w:r>
            <w:r w:rsidRPr="00956982">
              <w:rPr>
                <w:rFonts w:ascii="Dubai" w:eastAsiaTheme="minorEastAsia" w:hAnsi="Dubai" w:cs="Dubai" w:hint="cs"/>
                <w:szCs w:val="22"/>
                <w:rtl/>
              </w:rPr>
              <w:t>تقديم مساهمات أعضاء قطاع تقييس الاتصالات (</w:t>
            </w:r>
            <w:hyperlink r:id="rId16" w:history="1">
              <w:r w:rsidRPr="00956982">
                <w:rPr>
                  <w:rStyle w:val="Hyperlink"/>
                  <w:rFonts w:ascii="Dubai" w:eastAsiaTheme="minorEastAsia" w:hAnsi="Dubai" w:cs="Dubai"/>
                  <w:szCs w:val="22"/>
                  <w:rtl/>
                </w:rPr>
                <w:t>من خلال نظام النشر المباشر للوثائق</w:t>
              </w:r>
            </w:hyperlink>
            <w:r w:rsidRPr="00956982">
              <w:rPr>
                <w:rFonts w:ascii="Dubai" w:eastAsiaTheme="minorEastAsia" w:hAnsi="Dubai" w:cs="Dubai" w:hint="cs"/>
                <w:szCs w:val="22"/>
                <w:rtl/>
              </w:rPr>
              <w:t>)</w:t>
            </w:r>
          </w:p>
        </w:tc>
      </w:tr>
    </w:tbl>
    <w:p w14:paraId="7DECC748" w14:textId="6B09D14E" w:rsidR="008C137A" w:rsidRDefault="008C137A" w:rsidP="00293AC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ascii="Dubai" w:eastAsiaTheme="minorEastAsia" w:hAnsi="Dubai" w:cs="Dubai"/>
          <w:szCs w:val="22"/>
          <w:rtl/>
          <w:lang w:eastAsia="zh-CN" w:bidi="ar-EG"/>
        </w:rPr>
      </w:pP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>وترد معلومات عملية عن الاجتماع في</w:t>
      </w:r>
      <w:r w:rsidRPr="00377D13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Pr="00377D13">
        <w:rPr>
          <w:rFonts w:ascii="Dubai" w:eastAsiaTheme="minorEastAsia" w:hAnsi="Dubai" w:cs="Dubai" w:hint="cs"/>
          <w:b/>
          <w:bCs/>
          <w:szCs w:val="22"/>
          <w:rtl/>
          <w:lang w:eastAsia="zh-CN" w:bidi="ar-SY"/>
        </w:rPr>
        <w:t>الملحق</w:t>
      </w:r>
      <w:r w:rsidRPr="00377D13">
        <w:rPr>
          <w:rFonts w:ascii="Dubai" w:eastAsiaTheme="minorEastAsia" w:hAnsi="Dubai" w:cs="Dubai" w:hint="eastAsia"/>
          <w:b/>
          <w:bCs/>
          <w:szCs w:val="22"/>
          <w:rtl/>
          <w:lang w:eastAsia="zh-CN" w:bidi="ar-EG"/>
        </w:rPr>
        <w:t> </w:t>
      </w:r>
      <w:r w:rsidRPr="00377D13">
        <w:rPr>
          <w:rFonts w:ascii="Dubai" w:eastAsiaTheme="minorEastAsia" w:hAnsi="Dubai" w:cs="Dubai"/>
          <w:b/>
          <w:bCs/>
          <w:szCs w:val="22"/>
          <w:lang w:eastAsia="zh-CN"/>
        </w:rPr>
        <w:t>A</w:t>
      </w:r>
      <w:r w:rsidRPr="00377D13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أدناه. و</w:t>
      </w: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 xml:space="preserve">يرد 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في </w:t>
      </w:r>
      <w:r w:rsidRPr="00377D13">
        <w:rPr>
          <w:rFonts w:ascii="Dubai" w:eastAsiaTheme="minorEastAsia" w:hAnsi="Dubai" w:cs="Dubai" w:hint="cs"/>
          <w:b/>
          <w:bCs/>
          <w:szCs w:val="22"/>
          <w:rtl/>
          <w:lang w:eastAsia="zh-CN" w:bidi="ar-SY"/>
        </w:rPr>
        <w:t xml:space="preserve">الملحقين </w:t>
      </w:r>
      <w:r w:rsidRPr="00377D13">
        <w:rPr>
          <w:rFonts w:ascii="Dubai" w:eastAsiaTheme="minorEastAsia" w:hAnsi="Dubai" w:cs="Dubai"/>
          <w:b/>
          <w:bCs/>
          <w:szCs w:val="22"/>
          <w:lang w:eastAsia="zh-CN"/>
        </w:rPr>
        <w:t>B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</w:t>
      </w:r>
      <w:r w:rsidRPr="00066B5A">
        <w:rPr>
          <w:rFonts w:ascii="Dubai" w:eastAsiaTheme="minorEastAsia" w:hAnsi="Dubai" w:cs="Dubai" w:hint="cs"/>
          <w:b/>
          <w:bCs/>
          <w:szCs w:val="22"/>
          <w:rtl/>
          <w:lang w:eastAsia="zh-CN" w:bidi="ar-SY"/>
        </w:rPr>
        <w:t>و</w:t>
      </w:r>
      <w:r w:rsidRPr="00377D13">
        <w:rPr>
          <w:rFonts w:ascii="Dubai" w:eastAsiaTheme="minorEastAsia" w:hAnsi="Dubai" w:cs="Dubai"/>
          <w:b/>
          <w:bCs/>
          <w:szCs w:val="22"/>
          <w:lang w:eastAsia="zh-CN"/>
        </w:rPr>
        <w:t>C</w:t>
      </w: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 xml:space="preserve"> 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مشروع </w:t>
      </w:r>
      <w:r w:rsidRPr="00377D13">
        <w:rPr>
          <w:rFonts w:ascii="Dubai" w:eastAsiaTheme="minorEastAsia" w:hAnsi="Dubai" w:cs="Dubai" w:hint="cs"/>
          <w:b/>
          <w:bCs/>
          <w:szCs w:val="22"/>
          <w:rtl/>
          <w:lang w:eastAsia="zh-CN" w:bidi="ar-SY"/>
        </w:rPr>
        <w:t>جدول أعمال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الاجتماع </w:t>
      </w:r>
      <w:r w:rsidRPr="00377D13">
        <w:rPr>
          <w:rFonts w:ascii="Dubai" w:eastAsiaTheme="minorEastAsia" w:hAnsi="Dubai" w:cs="Dubai" w:hint="cs"/>
          <w:b/>
          <w:bCs/>
          <w:szCs w:val="22"/>
          <w:rtl/>
          <w:lang w:eastAsia="zh-CN" w:bidi="ar-SY"/>
        </w:rPr>
        <w:t>وجدوله</w:t>
      </w:r>
      <w:r w:rsidRPr="00377D13">
        <w:rPr>
          <w:rFonts w:ascii="Dubai" w:eastAsiaTheme="minorEastAsia" w:hAnsi="Dubai" w:cs="Dubai" w:hint="eastAsia"/>
          <w:b/>
          <w:bCs/>
          <w:szCs w:val="22"/>
          <w:rtl/>
          <w:lang w:eastAsia="zh-CN" w:bidi="ar-SY"/>
        </w:rPr>
        <w:t> </w:t>
      </w:r>
      <w:r w:rsidRPr="00377D13">
        <w:rPr>
          <w:rFonts w:ascii="Dubai" w:eastAsiaTheme="minorEastAsia" w:hAnsi="Dubai" w:cs="Dubai" w:hint="cs"/>
          <w:b/>
          <w:bCs/>
          <w:szCs w:val="22"/>
          <w:rtl/>
          <w:lang w:eastAsia="zh-CN" w:bidi="ar-SY"/>
        </w:rPr>
        <w:t>الزمني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اللذان أعدّهما رئيس الفريق الاستشاري</w:t>
      </w: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 xml:space="preserve"> </w:t>
      </w:r>
      <w:r w:rsidRPr="00377D13">
        <w:rPr>
          <w:rFonts w:ascii="Dubai" w:eastAsiaTheme="minorEastAsia" w:hAnsi="Dubai" w:cs="Dubai"/>
          <w:szCs w:val="22"/>
          <w:rtl/>
          <w:lang w:eastAsia="zh-CN"/>
        </w:rPr>
        <w:t xml:space="preserve">السيد بروس </w:t>
      </w:r>
      <w:r w:rsidRPr="00377D13">
        <w:rPr>
          <w:rFonts w:ascii="Dubai" w:eastAsiaTheme="minorEastAsia" w:hAnsi="Dubai" w:cs="Dubai"/>
          <w:szCs w:val="22"/>
          <w:rtl/>
          <w:lang w:eastAsia="zh-CN" w:bidi="ar-SY"/>
        </w:rPr>
        <w:t>غراسي</w:t>
      </w:r>
      <w:r w:rsidR="00366516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</w:t>
      </w:r>
      <w:r w:rsidR="00F13109">
        <w:rPr>
          <w:rFonts w:ascii="Dubai" w:eastAsiaTheme="minorEastAsia" w:hAnsi="Dubai" w:cs="Dubai" w:hint="cs"/>
          <w:szCs w:val="22"/>
          <w:rtl/>
          <w:lang w:eastAsia="zh-CN" w:bidi="ar-SY"/>
        </w:rPr>
        <w:t>وأُخِذ</w:t>
      </w:r>
      <w:r w:rsidR="00366516" w:rsidRPr="00366516">
        <w:rPr>
          <w:rFonts w:ascii="Dubai" w:eastAsiaTheme="minorEastAsia" w:hAnsi="Dubai" w:cs="Dubai"/>
          <w:szCs w:val="22"/>
          <w:rtl/>
          <w:lang w:eastAsia="zh-CN" w:bidi="ar-SY"/>
        </w:rPr>
        <w:t xml:space="preserve"> في الاعتبار قدر الإمكان فارق التوقيت فيما بين المشاركين عن بُعد</w:t>
      </w:r>
      <w:r w:rsidR="00366516" w:rsidRPr="00366516">
        <w:rPr>
          <w:rFonts w:ascii="Dubai" w:eastAsiaTheme="minorEastAsia" w:hAnsi="Dubai" w:cs="Dubai" w:hint="cs"/>
          <w:szCs w:val="22"/>
          <w:rtl/>
          <w:lang w:eastAsia="zh-CN" w:bidi="ar-SY"/>
        </w:rPr>
        <w:t>.</w:t>
      </w:r>
    </w:p>
    <w:p w14:paraId="6FA611F3" w14:textId="6E21838C" w:rsidR="0097453E" w:rsidRPr="00C727C7" w:rsidRDefault="00BC36AA" w:rsidP="008C13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lastRenderedPageBreak/>
        <w:t xml:space="preserve">وسيُعقد اجتماع أقاليمي للتحضير للجمعية </w:t>
      </w:r>
      <w:r w:rsidR="009C78B1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>العالمية</w:t>
      </w:r>
      <w:r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لتقييس الاتصالات لعام 2020 </w:t>
      </w:r>
      <w:r w:rsidRPr="002F4118">
        <w:rPr>
          <w:rFonts w:ascii="Dubai" w:eastAsiaTheme="minorEastAsia" w:hAnsi="Dubai" w:cs="Dubai"/>
          <w:szCs w:val="22"/>
          <w:lang w:val="en-GB" w:eastAsia="zh-CN" w:bidi="ar-EG"/>
        </w:rPr>
        <w:t>(WTSA-20)</w:t>
      </w:r>
      <w:r w:rsidR="0097453E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</w:t>
      </w:r>
      <w:r w:rsidR="00F13109">
        <w:rPr>
          <w:rFonts w:ascii="Dubai" w:eastAsiaTheme="minorEastAsia" w:hAnsi="Dubai" w:cs="Dubai" w:hint="cs"/>
          <w:szCs w:val="22"/>
          <w:rtl/>
          <w:lang w:eastAsia="zh-CN" w:bidi="ar-EG"/>
        </w:rPr>
        <w:t>كاجتماع</w:t>
      </w:r>
      <w:r w:rsidR="003B4397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افتراضي</w:t>
      </w:r>
      <w:r w:rsidR="0097453E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</w:t>
      </w:r>
      <w:r w:rsidR="003B4397">
        <w:rPr>
          <w:rFonts w:ascii="Dubai" w:eastAsiaTheme="minorEastAsia" w:hAnsi="Dubai" w:cs="Dubai" w:hint="cs"/>
          <w:szCs w:val="22"/>
          <w:rtl/>
          <w:lang w:eastAsia="zh-CN" w:bidi="ar-EG"/>
        </w:rPr>
        <w:t>في</w:t>
      </w:r>
      <w:r w:rsidR="00161BCC">
        <w:rPr>
          <w:rFonts w:ascii="Dubai" w:eastAsiaTheme="minorEastAsia" w:hAnsi="Dubai" w:cs="Dubai" w:hint="eastAsia"/>
          <w:szCs w:val="22"/>
          <w:rtl/>
          <w:lang w:eastAsia="zh-CN" w:bidi="ar-EG"/>
        </w:rPr>
        <w:t> </w:t>
      </w:r>
      <w:r w:rsidR="003B4397">
        <w:rPr>
          <w:rFonts w:ascii="Dubai" w:eastAsiaTheme="minorEastAsia" w:hAnsi="Dubai" w:cs="Dubai"/>
          <w:szCs w:val="22"/>
          <w:lang w:eastAsia="zh-CN"/>
        </w:rPr>
        <w:t>8</w:t>
      </w:r>
      <w:r w:rsidR="00161BCC">
        <w:rPr>
          <w:rFonts w:ascii="Dubai" w:eastAsiaTheme="minorEastAsia" w:hAnsi="Dubai" w:cs="Dubai" w:hint="eastAsia"/>
          <w:szCs w:val="22"/>
          <w:rtl/>
          <w:lang w:val="en-GB" w:eastAsia="zh-CN"/>
        </w:rPr>
        <w:t> </w:t>
      </w:r>
      <w:r w:rsidR="003B4397">
        <w:rPr>
          <w:rFonts w:ascii="Dubai" w:eastAsiaTheme="minorEastAsia" w:hAnsi="Dubai" w:cs="Dubai" w:hint="cs"/>
          <w:szCs w:val="22"/>
          <w:rtl/>
          <w:lang w:val="en-GB" w:eastAsia="zh-CN"/>
        </w:rPr>
        <w:t>يناير</w:t>
      </w:r>
      <w:r w:rsidR="00161BCC">
        <w:rPr>
          <w:rFonts w:ascii="Dubai" w:eastAsiaTheme="minorEastAsia" w:hAnsi="Dubai" w:cs="Dubai" w:hint="eastAsia"/>
          <w:szCs w:val="22"/>
          <w:rtl/>
          <w:lang w:val="en-GB" w:eastAsia="zh-CN"/>
        </w:rPr>
        <w:t> </w:t>
      </w:r>
      <w:r w:rsidR="003B4397">
        <w:rPr>
          <w:rFonts w:ascii="Dubai" w:eastAsiaTheme="minorEastAsia" w:hAnsi="Dubai" w:cs="Dubai"/>
          <w:szCs w:val="22"/>
          <w:lang w:eastAsia="zh-CN"/>
        </w:rPr>
        <w:t>2021</w:t>
      </w:r>
      <w:r w:rsidR="0097453E" w:rsidRPr="002F4118">
        <w:rPr>
          <w:rFonts w:ascii="Dubai" w:eastAsiaTheme="minorEastAsia" w:hAnsi="Dubai" w:cs="Dubai" w:hint="cs"/>
          <w:szCs w:val="22"/>
          <w:rtl/>
          <w:lang w:val="en-GB" w:eastAsia="zh-CN"/>
        </w:rPr>
        <w:t>،</w:t>
      </w:r>
      <w:r w:rsidR="00376C2F" w:rsidRPr="002F4118">
        <w:rPr>
          <w:rFonts w:ascii="Dubai" w:eastAsiaTheme="minorEastAsia" w:hAnsi="Dubai" w:cs="Dubai"/>
          <w:szCs w:val="22"/>
          <w:lang w:val="en-GB" w:eastAsia="zh-CN"/>
        </w:rPr>
        <w:t xml:space="preserve"> </w:t>
      </w:r>
      <w:r w:rsidR="00376C2F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وستُتاح تفاصيل هذا الاجتماع في </w:t>
      </w:r>
      <w:hyperlink r:id="rId17" w:history="1">
        <w:r w:rsidR="00376C2F" w:rsidRPr="003B4397">
          <w:rPr>
            <w:rStyle w:val="Hyperlink"/>
            <w:rFonts w:ascii="Dubai" w:eastAsiaTheme="minorEastAsia" w:hAnsi="Dubai" w:cs="Dubai" w:hint="cs"/>
            <w:szCs w:val="22"/>
            <w:rtl/>
            <w:lang w:eastAsia="zh-CN" w:bidi="ar-EG"/>
          </w:rPr>
          <w:t>الرسالة المعمّمة</w:t>
        </w:r>
        <w:r w:rsidR="00B20B66" w:rsidRPr="003B4397">
          <w:rPr>
            <w:rStyle w:val="Hyperlink"/>
            <w:rFonts w:ascii="Dubai" w:eastAsiaTheme="minorEastAsia" w:hAnsi="Dubai" w:cs="Dubai" w:hint="cs"/>
            <w:szCs w:val="22"/>
            <w:rtl/>
            <w:lang w:eastAsia="zh-CN" w:bidi="ar-EG"/>
          </w:rPr>
          <w:t xml:space="preserve"> </w:t>
        </w:r>
        <w:r w:rsidR="003B4397" w:rsidRPr="003B4397">
          <w:rPr>
            <w:rStyle w:val="Hyperlink"/>
            <w:rFonts w:ascii="Dubai" w:eastAsiaTheme="minorEastAsia" w:hAnsi="Dubai" w:cs="Dubai" w:hint="cs"/>
            <w:szCs w:val="22"/>
            <w:rtl/>
            <w:lang w:eastAsia="zh-CN" w:bidi="ar-EG"/>
          </w:rPr>
          <w:t>274</w:t>
        </w:r>
        <w:r w:rsidR="00376C2F" w:rsidRPr="003B4397">
          <w:rPr>
            <w:rStyle w:val="Hyperlink"/>
            <w:rFonts w:ascii="Dubai" w:eastAsiaTheme="minorEastAsia" w:hAnsi="Dubai" w:cs="Dubai" w:hint="cs"/>
            <w:szCs w:val="22"/>
            <w:rtl/>
            <w:lang w:eastAsia="zh-CN" w:bidi="ar-EG"/>
          </w:rPr>
          <w:t xml:space="preserve"> </w:t>
        </w:r>
        <w:r w:rsidR="00C727C7" w:rsidRPr="003B4397">
          <w:rPr>
            <w:rStyle w:val="Hyperlink"/>
            <w:rFonts w:ascii="Dubai" w:eastAsiaTheme="minorEastAsia" w:hAnsi="Dubai" w:cs="Dubai" w:hint="cs"/>
            <w:szCs w:val="22"/>
            <w:rtl/>
            <w:lang w:eastAsia="zh-CN" w:bidi="ar-EG"/>
          </w:rPr>
          <w:t>لمكتب تقييس الاتصالات</w:t>
        </w:r>
      </w:hyperlink>
      <w:r w:rsidR="00C727C7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>.</w:t>
      </w:r>
    </w:p>
    <w:p w14:paraId="7FA6156E" w14:textId="1D6ECD1E" w:rsidR="008C137A" w:rsidRDefault="008C137A" w:rsidP="008C13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ascii="Dubai" w:eastAsiaTheme="minorEastAsia" w:hAnsi="Dubai" w:cs="Dubai"/>
          <w:szCs w:val="22"/>
          <w:rtl/>
          <w:lang w:eastAsia="zh-CN"/>
        </w:rPr>
      </w:pP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>أتمنى لكم اجتماعاً مثمراً وممتعاً.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4B1FD0" w:rsidRPr="0024144A" w14:paraId="4C1DD2FB" w14:textId="77777777" w:rsidTr="008345DE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79C60930" w14:textId="77777777" w:rsidR="004B1FD0" w:rsidRPr="00C53620" w:rsidRDefault="004B1FD0" w:rsidP="008345DE">
            <w:pPr>
              <w:spacing w:before="240"/>
              <w:rPr>
                <w:rFonts w:ascii="Dubai" w:eastAsia="SimSun" w:hAnsi="Dubai" w:cs="Dubai"/>
                <w:szCs w:val="20"/>
                <w:rtl/>
                <w:lang w:eastAsia="zh-CN" w:bidi="ar-EG"/>
              </w:rPr>
            </w:pP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EG"/>
              </w:rPr>
              <w:t>وتفضلوا بقبول فائق التقدير والاحترام.</w:t>
            </w:r>
          </w:p>
          <w:p w14:paraId="3D5B6721" w14:textId="77777777" w:rsidR="004B1FD0" w:rsidRPr="00C53620" w:rsidRDefault="004B1FD0" w:rsidP="00797A8B">
            <w:pPr>
              <w:spacing w:before="600" w:after="600"/>
              <w:rPr>
                <w:rFonts w:ascii="Dubai" w:eastAsia="SimSun" w:hAnsi="Dubai" w:cs="Dubai"/>
                <w:i/>
                <w:iCs/>
                <w:szCs w:val="20"/>
                <w:rtl/>
                <w:lang w:eastAsia="zh-CN"/>
              </w:rPr>
            </w:pPr>
            <w:r w:rsidRPr="00C53620">
              <w:rPr>
                <w:rFonts w:ascii="Dubai" w:eastAsia="SimSun" w:hAnsi="Dubai" w:cs="Dubai" w:hint="cs"/>
                <w:i/>
                <w:iCs/>
                <w:szCs w:val="20"/>
                <w:rtl/>
                <w:lang w:eastAsia="zh-CN" w:bidi="ar-SY"/>
              </w:rPr>
              <w:t>(توقيع)</w:t>
            </w:r>
          </w:p>
          <w:p w14:paraId="76903E04" w14:textId="77777777" w:rsidR="004B1FD0" w:rsidRPr="0024144A" w:rsidRDefault="004B1FD0" w:rsidP="004B1FD0">
            <w:pPr>
              <w:spacing w:before="600"/>
              <w:ind w:left="-108"/>
              <w:rPr>
                <w:lang w:bidi="ar-SY"/>
              </w:rPr>
            </w:pP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SY"/>
              </w:rPr>
              <w:t>تشيساب لي</w:t>
            </w:r>
            <w:r w:rsidRPr="00C53620">
              <w:rPr>
                <w:rFonts w:ascii="Dubai" w:eastAsia="SimSun" w:hAnsi="Dubai" w:cs="Dubai"/>
                <w:szCs w:val="20"/>
                <w:rtl/>
                <w:lang w:eastAsia="zh-CN" w:bidi="ar-SY"/>
              </w:rPr>
              <w:br/>
            </w: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SY"/>
              </w:rPr>
              <w:t>مدير</w:t>
            </w:r>
            <w:r w:rsidRPr="00C53620">
              <w:rPr>
                <w:rFonts w:ascii="Dubai" w:eastAsia="SimSun" w:hAnsi="Dubai" w:cs="Dubai"/>
                <w:szCs w:val="20"/>
                <w:rtl/>
                <w:lang w:eastAsia="zh-CN" w:bidi="ar-SY"/>
              </w:rPr>
              <w:t xml:space="preserve"> </w:t>
            </w: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SY"/>
              </w:rPr>
              <w:t>مكتب</w:t>
            </w:r>
            <w:r w:rsidRPr="00C53620">
              <w:rPr>
                <w:rFonts w:ascii="Dubai" w:eastAsia="SimSun" w:hAnsi="Dubai" w:cs="Dubai"/>
                <w:szCs w:val="20"/>
                <w:rtl/>
                <w:lang w:eastAsia="zh-CN" w:bidi="ar-SY"/>
              </w:rPr>
              <w:t xml:space="preserve"> </w:t>
            </w: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SY"/>
              </w:rPr>
              <w:t>تقييس</w:t>
            </w:r>
            <w:r w:rsidRPr="00C53620">
              <w:rPr>
                <w:rFonts w:ascii="Dubai" w:eastAsia="SimSun" w:hAnsi="Dubai" w:cs="Dubai"/>
                <w:szCs w:val="20"/>
                <w:rtl/>
                <w:lang w:eastAsia="zh-CN" w:bidi="ar-SY"/>
              </w:rPr>
              <w:t xml:space="preserve"> </w:t>
            </w: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SY"/>
              </w:rPr>
              <w:t>الاتصالات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82846" w14:textId="0C65673B" w:rsidR="004B1FD0" w:rsidRPr="0024144A" w:rsidRDefault="004B1FD0" w:rsidP="008345DE">
            <w:pPr>
              <w:spacing w:before="0"/>
              <w:ind w:left="113" w:right="113"/>
              <w:jc w:val="center"/>
            </w:pPr>
            <w:r w:rsidRPr="0024144A">
              <w:rPr>
                <w:sz w:val="22"/>
              </w:rPr>
              <w:object w:dxaOrig="2445" w:dyaOrig="2385" w14:anchorId="5B26C7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80.25pt" o:ole="">
                  <v:imagedata r:id="rId18" o:title=""/>
                </v:shape>
                <o:OLEObject Type="Embed" ProgID="PBrush" ShapeID="_x0000_i1025" DrawAspect="Content" ObjectID="_1664199035" r:id="rId19"/>
              </w:object>
            </w:r>
            <w:r w:rsidRPr="0024144A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4B1FD0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>الفريق الاستشاري</w:t>
            </w:r>
            <w:r w:rsidRPr="004B1FD0">
              <w:rPr>
                <w:rFonts w:ascii="Dubai" w:eastAsia="SimSun" w:hAnsi="Dubai" w:cs="Dubai"/>
                <w:sz w:val="18"/>
                <w:szCs w:val="18"/>
                <w:rtl/>
                <w:lang w:eastAsia="zh-CN" w:bidi="ar-EG"/>
              </w:rPr>
              <w:br/>
            </w:r>
            <w:r w:rsidR="00560A32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>لقطاع تقييس</w:t>
            </w:r>
            <w:r w:rsidRPr="004B1FD0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 xml:space="preserve"> الاتصالات</w:t>
            </w:r>
          </w:p>
        </w:tc>
      </w:tr>
      <w:tr w:rsidR="004B1FD0" w:rsidRPr="0024144A" w14:paraId="4E2C1EB2" w14:textId="77777777" w:rsidTr="008345DE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2F33C0F3" w14:textId="77777777" w:rsidR="004B1FD0" w:rsidRPr="0024144A" w:rsidRDefault="004B1FD0" w:rsidP="008345DE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4FA" w14:textId="77777777" w:rsidR="004B1FD0" w:rsidRPr="004B1FD0" w:rsidRDefault="004B1FD0" w:rsidP="008345DE">
            <w:pPr>
              <w:spacing w:before="0"/>
              <w:jc w:val="center"/>
              <w:rPr>
                <w:rFonts w:eastAsia="SimSun" w:cs="Arial"/>
                <w:noProof/>
                <w:sz w:val="18"/>
                <w:szCs w:val="18"/>
                <w:lang w:eastAsia="zh-CN"/>
              </w:rPr>
            </w:pPr>
            <w:r w:rsidRPr="004B1FD0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>أحدث المعلومات عن الاجتماع</w:t>
            </w:r>
          </w:p>
        </w:tc>
      </w:tr>
    </w:tbl>
    <w:p w14:paraId="3EBFB245" w14:textId="77777777" w:rsidR="004B1FD0" w:rsidRPr="00377D13" w:rsidRDefault="004B1FD0" w:rsidP="008C13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ascii="Dubai" w:eastAsiaTheme="minorEastAsia" w:hAnsi="Dubai" w:cs="Dubai"/>
          <w:szCs w:val="22"/>
          <w:rtl/>
          <w:lang w:eastAsia="zh-CN"/>
        </w:rPr>
      </w:pPr>
    </w:p>
    <w:p w14:paraId="7EE78CC1" w14:textId="77777777" w:rsidR="008C137A" w:rsidRPr="00377D13" w:rsidRDefault="008C137A" w:rsidP="008C137A">
      <w:pPr>
        <w:spacing w:before="3000"/>
        <w:rPr>
          <w:rFonts w:ascii="Dubai" w:hAnsi="Dubai" w:cs="Dubai"/>
          <w:szCs w:val="22"/>
          <w:rtl/>
          <w:lang w:bidi="ar-EG"/>
        </w:rPr>
      </w:pPr>
      <w:r w:rsidRPr="00377D13">
        <w:rPr>
          <w:rFonts w:ascii="Dubai" w:hAnsi="Dubai" w:cs="Dubai" w:hint="cs"/>
          <w:b/>
          <w:bCs/>
          <w:szCs w:val="22"/>
          <w:rtl/>
          <w:lang w:bidi="ar-SY"/>
        </w:rPr>
        <w:t xml:space="preserve">الملحقات: </w:t>
      </w:r>
      <w:r w:rsidRPr="00377D13">
        <w:rPr>
          <w:rFonts w:ascii="Dubai" w:hAnsi="Dubai" w:cs="Dubai"/>
          <w:szCs w:val="22"/>
        </w:rPr>
        <w:t>3</w:t>
      </w:r>
    </w:p>
    <w:p w14:paraId="140FBA15" w14:textId="77777777" w:rsidR="008C137A" w:rsidRPr="00377D13" w:rsidRDefault="008C137A" w:rsidP="008C137A">
      <w:pPr>
        <w:pStyle w:val="AnnexNo0"/>
        <w:rPr>
          <w:rFonts w:ascii="Dubai" w:hAnsi="Dubai" w:cs="Dubai"/>
          <w:sz w:val="22"/>
          <w:szCs w:val="22"/>
          <w:rtl/>
        </w:rPr>
      </w:pPr>
      <w:r w:rsidRPr="00377D13">
        <w:rPr>
          <w:rFonts w:ascii="Dubai" w:hAnsi="Dubai" w:cs="Dubai"/>
          <w:sz w:val="22"/>
          <w:szCs w:val="22"/>
          <w:rtl/>
        </w:rPr>
        <w:br w:type="page"/>
      </w:r>
      <w:r w:rsidRPr="00377D13">
        <w:rPr>
          <w:rFonts w:ascii="Dubai" w:hAnsi="Dubai" w:cs="Dubai" w:hint="cs"/>
          <w:sz w:val="22"/>
          <w:szCs w:val="22"/>
          <w:rtl/>
        </w:rPr>
        <w:lastRenderedPageBreak/>
        <w:t xml:space="preserve">الملحق </w:t>
      </w:r>
      <w:r w:rsidRPr="00377D13">
        <w:rPr>
          <w:rFonts w:ascii="Dubai" w:hAnsi="Dubai" w:cs="Dubai"/>
          <w:sz w:val="22"/>
          <w:szCs w:val="22"/>
        </w:rPr>
        <w:t>A</w:t>
      </w:r>
    </w:p>
    <w:p w14:paraId="3A6275BF" w14:textId="77777777" w:rsidR="008C137A" w:rsidRPr="00377D13" w:rsidRDefault="008C137A" w:rsidP="00C00192">
      <w:pPr>
        <w:pStyle w:val="Annextitle"/>
        <w:spacing w:after="240"/>
        <w:rPr>
          <w:rFonts w:ascii="Dubai" w:eastAsia="Batang" w:hAnsi="Dubai" w:cs="Dubai"/>
          <w:sz w:val="22"/>
          <w:szCs w:val="22"/>
          <w:rtl/>
        </w:rPr>
      </w:pPr>
      <w:r w:rsidRPr="00377D13">
        <w:rPr>
          <w:rFonts w:ascii="Dubai" w:eastAsia="Batang" w:hAnsi="Dubai" w:cs="Dubai" w:hint="cs"/>
          <w:sz w:val="22"/>
          <w:szCs w:val="22"/>
          <w:rtl/>
        </w:rPr>
        <w:t>معلومات عملية عن الاجتماع</w:t>
      </w:r>
    </w:p>
    <w:p w14:paraId="6E4BEA1D" w14:textId="77777777" w:rsidR="008C137A" w:rsidRPr="00377D13" w:rsidRDefault="008C137A" w:rsidP="002C7AA5">
      <w:pPr>
        <w:spacing w:after="360"/>
        <w:jc w:val="center"/>
        <w:rPr>
          <w:rFonts w:ascii="Dubai" w:eastAsia="Batang" w:hAnsi="Dubai" w:cs="Dubai"/>
          <w:b/>
          <w:bCs/>
          <w:szCs w:val="22"/>
          <w:rtl/>
        </w:rPr>
      </w:pPr>
      <w:r w:rsidRPr="00377D13">
        <w:rPr>
          <w:rFonts w:ascii="Dubai" w:eastAsia="Batang" w:hAnsi="Dubai" w:cs="Dubai" w:hint="cs"/>
          <w:b/>
          <w:bCs/>
          <w:szCs w:val="22"/>
          <w:rtl/>
        </w:rPr>
        <w:t>أساليب العمل والمرافق المتاحة</w:t>
      </w:r>
    </w:p>
    <w:p w14:paraId="7161508B" w14:textId="40CE3329" w:rsidR="008C137A" w:rsidRPr="00377D13" w:rsidRDefault="008C137A" w:rsidP="008C137A">
      <w:pPr>
        <w:rPr>
          <w:rFonts w:ascii="Dubai" w:hAnsi="Dubai" w:cs="Dubai"/>
          <w:spacing w:val="4"/>
          <w:szCs w:val="22"/>
          <w:rtl/>
        </w:rPr>
      </w:pPr>
      <w:r w:rsidRPr="00377D13">
        <w:rPr>
          <w:rFonts w:ascii="Dubai" w:hAnsi="Dubai" w:cs="Dubai" w:hint="cs"/>
          <w:b/>
          <w:bCs/>
          <w:szCs w:val="22"/>
          <w:rtl/>
          <w:lang w:val="en-GB" w:bidi="ar-SY"/>
        </w:rPr>
        <w:t>تقديم الوثائق والحصول عليها:</w:t>
      </w:r>
      <w:r w:rsidRPr="00377D13">
        <w:rPr>
          <w:rFonts w:ascii="Dubai" w:hAnsi="Dubai" w:cs="Dubai" w:hint="cs"/>
          <w:szCs w:val="22"/>
          <w:rtl/>
          <w:lang w:val="en-GB"/>
        </w:rPr>
        <w:t xml:space="preserve"> سيجري الاجتماع بدون استخدام</w:t>
      </w:r>
      <w:r w:rsidRPr="00377D13">
        <w:rPr>
          <w:rFonts w:ascii="Dubai" w:hAnsi="Dubai" w:cs="Dubai" w:hint="eastAsia"/>
          <w:szCs w:val="22"/>
          <w:rtl/>
          <w:lang w:val="en-GB"/>
        </w:rPr>
        <w:t> </w:t>
      </w:r>
      <w:r w:rsidRPr="00377D13">
        <w:rPr>
          <w:rFonts w:ascii="Dubai" w:hAnsi="Dubai" w:cs="Dubai" w:hint="cs"/>
          <w:szCs w:val="22"/>
          <w:rtl/>
          <w:lang w:val="en-GB"/>
        </w:rPr>
        <w:t>الورق</w:t>
      </w:r>
      <w:r w:rsidRPr="00377D13">
        <w:rPr>
          <w:rFonts w:ascii="Dubai" w:hAnsi="Dubai" w:cs="Dubai" w:hint="cs"/>
          <w:b/>
          <w:bCs/>
          <w:szCs w:val="22"/>
          <w:rtl/>
          <w:lang w:val="en-GB"/>
        </w:rPr>
        <w:t>.</w:t>
      </w:r>
      <w:r w:rsidRPr="00377D13">
        <w:rPr>
          <w:rFonts w:ascii="Dubai" w:hAnsi="Dubai" w:cs="Dubai" w:hint="cs"/>
          <w:szCs w:val="22"/>
          <w:rtl/>
        </w:rPr>
        <w:t xml:space="preserve"> 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وينبغي تقديم مساهمات الأعضاء باستخدام </w:t>
      </w:r>
      <w:r w:rsidR="00F13109">
        <w:rPr>
          <w:rFonts w:ascii="Dubai" w:hAnsi="Dubai" w:cs="Dubai" w:hint="cs"/>
          <w:spacing w:val="4"/>
          <w:szCs w:val="22"/>
          <w:rtl/>
          <w:lang w:val="en-GB"/>
        </w:rPr>
        <w:t xml:space="preserve">نظام </w:t>
      </w:r>
      <w:hyperlink r:id="rId20" w:history="1">
        <w:r w:rsidRPr="00377D13">
          <w:rPr>
            <w:rFonts w:ascii="Dubai" w:hAnsi="Dubai" w:cs="Dubai" w:hint="cs"/>
            <w:color w:val="0000FF"/>
            <w:spacing w:val="4"/>
            <w:szCs w:val="22"/>
            <w:u w:val="single"/>
            <w:rtl/>
            <w:lang w:val="en-GB"/>
          </w:rPr>
          <w:t>النشر</w:t>
        </w:r>
        <w:r w:rsidRPr="00377D13">
          <w:rPr>
            <w:rFonts w:ascii="Dubai" w:hAnsi="Dubai" w:cs="Dubai" w:hint="eastAsia"/>
            <w:color w:val="0000FF"/>
            <w:spacing w:val="4"/>
            <w:szCs w:val="22"/>
            <w:u w:val="single"/>
            <w:rtl/>
            <w:lang w:val="en-GB"/>
          </w:rPr>
          <w:t> </w:t>
        </w:r>
        <w:r w:rsidRPr="00377D13">
          <w:rPr>
            <w:rFonts w:ascii="Dubai" w:hAnsi="Dubai" w:cs="Dubai" w:hint="cs"/>
            <w:color w:val="0000FF"/>
            <w:spacing w:val="4"/>
            <w:szCs w:val="22"/>
            <w:u w:val="single"/>
            <w:rtl/>
            <w:lang w:val="en-GB"/>
          </w:rPr>
          <w:t>المباشر للوثائق</w:t>
        </w:r>
      </w:hyperlink>
      <w:r w:rsidRPr="00377D13">
        <w:rPr>
          <w:rFonts w:ascii="Dubai" w:hAnsi="Dubai" w:cs="Dubai" w:hint="cs"/>
          <w:szCs w:val="22"/>
          <w:rtl/>
          <w:lang w:val="en-GB"/>
        </w:rPr>
        <w:t xml:space="preserve">؛ </w:t>
      </w:r>
      <w:r w:rsidRPr="00377D13">
        <w:rPr>
          <w:rFonts w:ascii="Dubai" w:hAnsi="Dubai" w:cs="Dubai"/>
          <w:szCs w:val="22"/>
          <w:rtl/>
          <w:lang w:val="en-GB"/>
        </w:rPr>
        <w:t xml:space="preserve">كما ينبغي </w:t>
      </w:r>
      <w:r w:rsidRPr="00377D13">
        <w:rPr>
          <w:rFonts w:ascii="Dubai" w:hAnsi="Dubai" w:cs="Dubai" w:hint="cs"/>
          <w:szCs w:val="22"/>
          <w:rtl/>
          <w:lang w:val="en-GB"/>
        </w:rPr>
        <w:t>إرسال</w:t>
      </w:r>
      <w:r w:rsidRPr="00377D13">
        <w:rPr>
          <w:rFonts w:ascii="Dubai" w:hAnsi="Dubai" w:cs="Dubai"/>
          <w:szCs w:val="22"/>
          <w:rtl/>
          <w:lang w:val="en-GB"/>
        </w:rPr>
        <w:t xml:space="preserve"> مشاريع الوثائق المؤقتة إلى أمانة </w:t>
      </w:r>
      <w:r w:rsidRPr="00377D13">
        <w:rPr>
          <w:rFonts w:ascii="Dubai" w:hAnsi="Dubai" w:cs="Dubai" w:hint="cs"/>
          <w:szCs w:val="22"/>
          <w:rtl/>
          <w:lang w:val="en-GB"/>
        </w:rPr>
        <w:t>الفريق الاستشاري لتقييس الاتصالات</w:t>
      </w:r>
      <w:r w:rsidRPr="00377D13">
        <w:rPr>
          <w:rFonts w:ascii="Dubai" w:hAnsi="Dubai" w:cs="Dubai"/>
          <w:szCs w:val="22"/>
          <w:rtl/>
          <w:lang w:val="en-GB"/>
        </w:rPr>
        <w:t xml:space="preserve"> 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من خلال رسالة إلكترونية وباستخدام </w:t>
      </w:r>
      <w:hyperlink r:id="rId21" w:history="1">
        <w:r w:rsidRPr="00377D13">
          <w:rPr>
            <w:rFonts w:ascii="Dubai" w:hAnsi="Dubai" w:cs="Dubai" w:hint="cs"/>
            <w:color w:val="0000FF"/>
            <w:spacing w:val="4"/>
            <w:szCs w:val="22"/>
            <w:u w:val="single"/>
            <w:rtl/>
            <w:lang w:val="en-GB"/>
          </w:rPr>
          <w:t>النموذج المناسب</w:t>
        </w:r>
      </w:hyperlink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. 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ويتاح </w:t>
      </w:r>
      <w:r w:rsidRPr="00377D13">
        <w:rPr>
          <w:rFonts w:ascii="Dubai" w:hAnsi="Dubai" w:cs="Dubai" w:hint="cs"/>
          <w:color w:val="000000"/>
          <w:spacing w:val="4"/>
          <w:szCs w:val="22"/>
          <w:rtl/>
        </w:rPr>
        <w:t>النفاذ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 </w:t>
      </w:r>
      <w:r w:rsidRPr="00377D13">
        <w:rPr>
          <w:rFonts w:ascii="Dubai" w:hAnsi="Dubai" w:cs="Dubai" w:hint="cs"/>
          <w:color w:val="000000"/>
          <w:spacing w:val="4"/>
          <w:szCs w:val="22"/>
          <w:rtl/>
        </w:rPr>
        <w:t>إ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لى وثائق الاجتماع من الصفحة الرئيسية </w:t>
      </w:r>
      <w:r w:rsidRPr="00377D13">
        <w:rPr>
          <w:rFonts w:ascii="Dubai" w:hAnsi="Dubai" w:cs="Dubai" w:hint="cs"/>
          <w:color w:val="000000"/>
          <w:spacing w:val="4"/>
          <w:szCs w:val="22"/>
          <w:rtl/>
        </w:rPr>
        <w:t>للفريق الاستشاري</w:t>
      </w:r>
      <w:r w:rsidRPr="00377D13">
        <w:rPr>
          <w:rFonts w:ascii="Dubai" w:hAnsi="Dubai" w:cs="Dubai" w:hint="cs"/>
          <w:szCs w:val="22"/>
          <w:rtl/>
        </w:rPr>
        <w:t>.</w:t>
      </w:r>
    </w:p>
    <w:p w14:paraId="3D5BE7FF" w14:textId="0B6DBD1A" w:rsidR="008C137A" w:rsidRPr="00377D13" w:rsidRDefault="008C137A" w:rsidP="008C137A">
      <w:pPr>
        <w:rPr>
          <w:rFonts w:ascii="Dubai" w:hAnsi="Dubai" w:cs="Dubai"/>
          <w:spacing w:val="4"/>
          <w:szCs w:val="22"/>
          <w:rtl/>
        </w:rPr>
      </w:pPr>
      <w:r w:rsidRPr="00377D13">
        <w:rPr>
          <w:rFonts w:ascii="Dubai" w:hAnsi="Dubai" w:cs="Dubai" w:hint="cs"/>
          <w:b/>
          <w:bCs/>
          <w:spacing w:val="4"/>
          <w:szCs w:val="22"/>
          <w:rtl/>
          <w:lang w:val="en-GB" w:bidi="ar-SY"/>
        </w:rPr>
        <w:t>الترجمة الشفوية</w:t>
      </w:r>
      <w:r w:rsidRPr="00377D13">
        <w:rPr>
          <w:rFonts w:ascii="Dubai" w:hAnsi="Dubai" w:cs="Dubai" w:hint="cs"/>
          <w:spacing w:val="4"/>
          <w:szCs w:val="22"/>
          <w:rtl/>
          <w:lang w:val="en-GB" w:bidi="ar-SY"/>
        </w:rPr>
        <w:t xml:space="preserve">: 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نظراً </w:t>
      </w:r>
      <w:r w:rsidR="002C7AA5">
        <w:rPr>
          <w:rFonts w:ascii="Dubai" w:hAnsi="Dubai" w:cs="Dubai" w:hint="cs"/>
          <w:spacing w:val="4"/>
          <w:szCs w:val="22"/>
          <w:rtl/>
          <w:lang w:val="en-GB"/>
        </w:rPr>
        <w:t>للقيود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 المفروضة على الميزانية، </w:t>
      </w:r>
      <w:r w:rsidRPr="00377D13">
        <w:rPr>
          <w:rFonts w:ascii="Dubai" w:hAnsi="Dubai" w:cs="Dubai" w:hint="cs"/>
          <w:spacing w:val="4"/>
          <w:szCs w:val="22"/>
          <w:rtl/>
          <w:lang w:val="en-GB" w:bidi="ar-SY"/>
        </w:rPr>
        <w:t xml:space="preserve">ستُتاح الترجمة الشفوية </w:t>
      </w:r>
      <w:r w:rsidRPr="00377D13">
        <w:rPr>
          <w:rFonts w:ascii="Dubai" w:hAnsi="Dubai" w:cs="Dubai" w:hint="cs"/>
          <w:spacing w:val="4"/>
          <w:szCs w:val="22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المربع المناسب من </w:t>
      </w:r>
      <w:r w:rsidRPr="00377D13">
        <w:rPr>
          <w:rFonts w:ascii="Dubai" w:hAnsi="Dubai" w:cs="Dubai" w:hint="cs"/>
          <w:color w:val="000000"/>
          <w:spacing w:val="4"/>
          <w:szCs w:val="22"/>
          <w:rtl/>
        </w:rPr>
        <w:t>نموذج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 التسجيل وذلك </w:t>
      </w:r>
      <w:r w:rsidRPr="00377D13">
        <w:rPr>
          <w:rFonts w:ascii="Dubai" w:hAnsi="Dubai" w:cs="Dubai"/>
          <w:b/>
          <w:bCs/>
          <w:color w:val="000000"/>
          <w:spacing w:val="4"/>
          <w:szCs w:val="22"/>
          <w:rtl/>
        </w:rPr>
        <w:t>قبل</w:t>
      </w:r>
      <w:r w:rsidRPr="00377D13">
        <w:rPr>
          <w:rFonts w:ascii="Dubai" w:hAnsi="Dubai" w:cs="Dubai" w:hint="cs"/>
          <w:b/>
          <w:bCs/>
          <w:color w:val="000000"/>
          <w:spacing w:val="4"/>
          <w:szCs w:val="22"/>
          <w:rtl/>
        </w:rPr>
        <w:t> </w:t>
      </w:r>
      <w:r w:rsidRPr="00377D13">
        <w:rPr>
          <w:rFonts w:ascii="Dubai" w:hAnsi="Dubai" w:cs="Dubai"/>
          <w:b/>
          <w:bCs/>
          <w:color w:val="000000"/>
          <w:spacing w:val="4"/>
          <w:szCs w:val="22"/>
          <w:rtl/>
        </w:rPr>
        <w:t xml:space="preserve">اليوم الأول للاجتماع </w:t>
      </w:r>
      <w:r w:rsidRPr="00377D13">
        <w:rPr>
          <w:rFonts w:ascii="Dubai" w:hAnsi="Dubai" w:cs="Dubai" w:hint="cs"/>
          <w:b/>
          <w:bCs/>
          <w:color w:val="000000"/>
          <w:spacing w:val="4"/>
          <w:szCs w:val="22"/>
          <w:rtl/>
        </w:rPr>
        <w:t>بستة أسابيع</w:t>
      </w:r>
      <w:r w:rsidRPr="00377D13">
        <w:rPr>
          <w:rFonts w:ascii="Dubai" w:hAnsi="Dubai" w:cs="Dubai"/>
          <w:b/>
          <w:bCs/>
          <w:color w:val="000000"/>
          <w:spacing w:val="4"/>
          <w:szCs w:val="22"/>
          <w:rtl/>
        </w:rPr>
        <w:t xml:space="preserve"> على</w:t>
      </w:r>
      <w:r w:rsidR="002C7AA5">
        <w:rPr>
          <w:rFonts w:ascii="Dubai" w:hAnsi="Dubai" w:cs="Dubai" w:hint="cs"/>
          <w:b/>
          <w:bCs/>
          <w:color w:val="000000"/>
          <w:spacing w:val="4"/>
          <w:szCs w:val="22"/>
          <w:rtl/>
        </w:rPr>
        <w:t> </w:t>
      </w:r>
      <w:r w:rsidRPr="00377D13">
        <w:rPr>
          <w:rFonts w:ascii="Dubai" w:hAnsi="Dubai" w:cs="Dubai"/>
          <w:b/>
          <w:bCs/>
          <w:color w:val="000000"/>
          <w:spacing w:val="4"/>
          <w:szCs w:val="22"/>
          <w:rtl/>
        </w:rPr>
        <w:t>الأقل</w:t>
      </w:r>
      <w:r w:rsidRPr="00377D13">
        <w:rPr>
          <w:rFonts w:ascii="Dubai" w:hAnsi="Dubai" w:cs="Dubai" w:hint="cs"/>
          <w:spacing w:val="4"/>
          <w:szCs w:val="22"/>
          <w:rtl/>
          <w:lang w:bidi="ar-EG"/>
        </w:rPr>
        <w:t>.</w:t>
      </w:r>
    </w:p>
    <w:p w14:paraId="26DA8152" w14:textId="3A734DDB" w:rsidR="008C137A" w:rsidRPr="00377D13" w:rsidRDefault="008C137A" w:rsidP="008C137A">
      <w:pPr>
        <w:keepNext/>
        <w:keepLines/>
        <w:spacing w:before="360"/>
        <w:ind w:left="1134" w:hanging="1134"/>
        <w:jc w:val="center"/>
        <w:outlineLvl w:val="0"/>
        <w:rPr>
          <w:rFonts w:ascii="Dubai" w:hAnsi="Dubai" w:cs="Dubai"/>
          <w:b/>
          <w:bCs/>
          <w:kern w:val="32"/>
          <w:szCs w:val="22"/>
          <w:rtl/>
        </w:rPr>
      </w:pPr>
      <w:r w:rsidRPr="00377D13">
        <w:rPr>
          <w:rFonts w:ascii="Dubai" w:hAnsi="Dubai" w:cs="Dubai" w:hint="cs"/>
          <w:b/>
          <w:bCs/>
          <w:kern w:val="32"/>
          <w:szCs w:val="22"/>
          <w:rtl/>
          <w:lang w:bidi="ar-EG"/>
        </w:rPr>
        <w:t>التسجيل المسبق</w:t>
      </w:r>
    </w:p>
    <w:p w14:paraId="279FF611" w14:textId="16849234" w:rsidR="008C137A" w:rsidRPr="00F57ED2" w:rsidRDefault="008C137A" w:rsidP="00157A5E">
      <w:pPr>
        <w:rPr>
          <w:rFonts w:ascii="Dubai" w:hAnsi="Dubai" w:cs="Dubai"/>
          <w:color w:val="000000"/>
          <w:szCs w:val="22"/>
          <w:rtl/>
        </w:rPr>
      </w:pPr>
      <w:r w:rsidRPr="00F57ED2">
        <w:rPr>
          <w:rFonts w:ascii="Dubai" w:hAnsi="Dubai" w:cs="Dubai" w:hint="cs"/>
          <w:b/>
          <w:bCs/>
          <w:szCs w:val="22"/>
          <w:rtl/>
          <w:lang w:bidi="ar-EG"/>
        </w:rPr>
        <w:t>التسجيل المسبق</w:t>
      </w:r>
      <w:r w:rsidRPr="00F57ED2">
        <w:rPr>
          <w:rFonts w:ascii="Dubai" w:hAnsi="Dubai" w:cs="Dubai" w:hint="cs"/>
          <w:szCs w:val="22"/>
          <w:rtl/>
          <w:lang w:bidi="ar-EG"/>
        </w:rPr>
        <w:t xml:space="preserve">: </w:t>
      </w:r>
      <w:r w:rsidRPr="00F57ED2">
        <w:rPr>
          <w:rFonts w:ascii="Dubai" w:hAnsi="Dubai" w:cs="Dubai"/>
          <w:color w:val="000000"/>
          <w:szCs w:val="22"/>
          <w:rtl/>
        </w:rPr>
        <w:t xml:space="preserve">التسجيل المسبق إلزامي ويجب أن يتم إلكترونياً من خلال الصفحة الرئيسية </w:t>
      </w:r>
      <w:r w:rsidR="00783C2D" w:rsidRPr="00F57ED2">
        <w:rPr>
          <w:rFonts w:ascii="Dubai" w:hAnsi="Dubai" w:cs="Dubai" w:hint="cs"/>
          <w:color w:val="000000"/>
          <w:szCs w:val="22"/>
          <w:rtl/>
        </w:rPr>
        <w:t>للفريق</w:t>
      </w:r>
      <w:r w:rsidR="00105080" w:rsidRPr="00F57ED2">
        <w:rPr>
          <w:rFonts w:ascii="Dubai" w:hAnsi="Dubai" w:cs="Dubai" w:hint="cs"/>
          <w:color w:val="000000"/>
          <w:szCs w:val="22"/>
          <w:rtl/>
        </w:rPr>
        <w:t xml:space="preserve"> الاستشاري لتقييس الاتصالات</w:t>
      </w:r>
      <w:r w:rsidR="00783C2D" w:rsidRPr="00F57ED2">
        <w:rPr>
          <w:rFonts w:ascii="Dubai" w:hAnsi="Dubai" w:cs="Dubai" w:hint="cs"/>
          <w:color w:val="000000"/>
          <w:szCs w:val="22"/>
          <w:rtl/>
        </w:rPr>
        <w:t xml:space="preserve"> </w:t>
      </w:r>
      <w:r w:rsidR="00105080" w:rsidRPr="00F57ED2">
        <w:rPr>
          <w:rFonts w:ascii="Dubai" w:hAnsi="Dubai" w:cs="Dubai"/>
          <w:color w:val="000000"/>
          <w:szCs w:val="22"/>
        </w:rPr>
        <w:t>(</w:t>
      </w:r>
      <w:r w:rsidR="00783C2D" w:rsidRPr="00F57ED2">
        <w:rPr>
          <w:rFonts w:ascii="Dubai" w:hAnsi="Dubai" w:cs="Dubai"/>
          <w:color w:val="000000"/>
          <w:szCs w:val="22"/>
        </w:rPr>
        <w:t>TSAG</w:t>
      </w:r>
      <w:r w:rsidR="00105080" w:rsidRPr="00F57ED2">
        <w:rPr>
          <w:rFonts w:ascii="Dubai" w:hAnsi="Dubai" w:cs="Dubai"/>
          <w:color w:val="000000"/>
          <w:szCs w:val="22"/>
        </w:rPr>
        <w:t>)</w:t>
      </w:r>
      <w:r w:rsidRPr="00F57ED2">
        <w:rPr>
          <w:rFonts w:ascii="Dubai" w:hAnsi="Dubai" w:cs="Dubai"/>
          <w:color w:val="000000"/>
          <w:szCs w:val="22"/>
          <w:rtl/>
        </w:rPr>
        <w:t xml:space="preserve"> </w:t>
      </w:r>
      <w:r w:rsidRPr="00F57ED2">
        <w:rPr>
          <w:rFonts w:ascii="Dubai" w:hAnsi="Dubai" w:cs="Dubai"/>
          <w:b/>
          <w:bCs/>
          <w:color w:val="000000"/>
          <w:szCs w:val="22"/>
          <w:rtl/>
        </w:rPr>
        <w:t>قبل بدء الاجتماع بشهر واحد على الأقل</w:t>
      </w:r>
      <w:r w:rsidRPr="00F57ED2">
        <w:rPr>
          <w:rFonts w:ascii="Dubai" w:hAnsi="Dubai" w:cs="Dubai" w:hint="cs"/>
          <w:b/>
          <w:bCs/>
          <w:color w:val="000000"/>
          <w:szCs w:val="22"/>
          <w:rtl/>
        </w:rPr>
        <w:t>.</w:t>
      </w:r>
      <w:r w:rsidRPr="00F57ED2">
        <w:rPr>
          <w:rFonts w:ascii="Dubai" w:hAnsi="Dubai" w:cs="Dubai" w:hint="cs"/>
          <w:color w:val="000000"/>
          <w:szCs w:val="22"/>
          <w:rtl/>
        </w:rPr>
        <w:t xml:space="preserve"> </w:t>
      </w:r>
      <w:r w:rsidRPr="00F57ED2">
        <w:rPr>
          <w:rFonts w:ascii="Dubai" w:hAnsi="Dubai" w:cs="Dubai" w:hint="cs"/>
          <w:szCs w:val="22"/>
          <w:rtl/>
        </w:rPr>
        <w:t xml:space="preserve">وكما هو مبين في </w:t>
      </w:r>
      <w:hyperlink r:id="rId22" w:history="1">
        <w:r w:rsidRPr="00F57ED2">
          <w:rPr>
            <w:rFonts w:ascii="Dubai" w:hAnsi="Dubai" w:cs="Dubai" w:hint="cs"/>
            <w:color w:val="0000FF"/>
            <w:szCs w:val="22"/>
            <w:u w:val="single"/>
            <w:rtl/>
          </w:rPr>
          <w:t xml:space="preserve">الرسالة المعممة </w:t>
        </w:r>
        <w:r w:rsidRPr="00F57ED2">
          <w:rPr>
            <w:rFonts w:ascii="Dubai" w:hAnsi="Dubai" w:cs="Dubai"/>
            <w:color w:val="0000FF"/>
            <w:szCs w:val="22"/>
            <w:u w:val="single"/>
          </w:rPr>
          <w:t>68</w:t>
        </w:r>
        <w:r w:rsidRPr="00F57ED2">
          <w:rPr>
            <w:rFonts w:ascii="Dubai" w:hAnsi="Dubai" w:cs="Dubai" w:hint="cs"/>
            <w:color w:val="0000FF"/>
            <w:szCs w:val="22"/>
            <w:u w:val="single"/>
            <w:rtl/>
            <w:lang w:bidi="ar-EG"/>
          </w:rPr>
          <w:t xml:space="preserve"> لمكتب تقييس الاتصالات</w:t>
        </w:r>
      </w:hyperlink>
      <w:r w:rsidRPr="00F57ED2">
        <w:rPr>
          <w:rFonts w:ascii="Dubai" w:hAnsi="Dubai" w:cs="Dubai" w:hint="cs"/>
          <w:szCs w:val="22"/>
          <w:rtl/>
          <w:lang w:bidi="ar-EG"/>
        </w:rPr>
        <w:t xml:space="preserve">، </w:t>
      </w:r>
      <w:r w:rsidRPr="00F57ED2">
        <w:rPr>
          <w:rFonts w:ascii="Dubai" w:hAnsi="Dubai" w:cs="Dubai"/>
          <w:szCs w:val="22"/>
          <w:rtl/>
          <w:lang w:bidi="ar-EG"/>
        </w:rPr>
        <w:t xml:space="preserve">يتطلب </w:t>
      </w:r>
      <w:r w:rsidRPr="00F57ED2">
        <w:rPr>
          <w:rFonts w:ascii="Dubai" w:hAnsi="Dubai" w:cs="Dubai" w:hint="cs"/>
          <w:szCs w:val="22"/>
          <w:rtl/>
          <w:lang w:bidi="ar-EG"/>
        </w:rPr>
        <w:t xml:space="preserve">نظام </w:t>
      </w:r>
      <w:r w:rsidRPr="00F57ED2">
        <w:rPr>
          <w:rFonts w:ascii="Dubai" w:hAnsi="Dubai" w:cs="Dubai"/>
          <w:szCs w:val="22"/>
          <w:rtl/>
          <w:lang w:bidi="ar-EG"/>
        </w:rPr>
        <w:t xml:space="preserve">التسجيل </w:t>
      </w:r>
      <w:r w:rsidRPr="00F57ED2">
        <w:rPr>
          <w:rFonts w:ascii="Dubai" w:hAnsi="Dubai" w:cs="Dubai" w:hint="cs"/>
          <w:szCs w:val="22"/>
          <w:rtl/>
          <w:lang w:bidi="ar-EG"/>
        </w:rPr>
        <w:t xml:space="preserve">الجديد </w:t>
      </w:r>
      <w:r w:rsidRPr="00F57ED2">
        <w:rPr>
          <w:rFonts w:ascii="Dubai" w:hAnsi="Dubai" w:cs="Dubai"/>
          <w:szCs w:val="22"/>
          <w:rtl/>
          <w:lang w:bidi="ar-EG"/>
        </w:rPr>
        <w:t>موافقة مسؤول الاتصال</w:t>
      </w:r>
      <w:r w:rsidRPr="00F57ED2">
        <w:rPr>
          <w:rFonts w:ascii="Dubai" w:hAnsi="Dubai" w:cs="Dubai" w:hint="cs"/>
          <w:szCs w:val="22"/>
          <w:rtl/>
          <w:lang w:bidi="ar-EG"/>
        </w:rPr>
        <w:t xml:space="preserve"> فيما</w:t>
      </w:r>
      <w:r w:rsidR="00157A5E" w:rsidRPr="00F57ED2">
        <w:rPr>
          <w:rFonts w:ascii="Dubai" w:hAnsi="Dubai" w:cs="Dubai" w:hint="eastAsia"/>
          <w:szCs w:val="22"/>
          <w:rtl/>
          <w:lang w:bidi="ar-EG"/>
        </w:rPr>
        <w:t> </w:t>
      </w:r>
      <w:r w:rsidRPr="00F57ED2">
        <w:rPr>
          <w:rFonts w:ascii="Dubai" w:hAnsi="Dubai" w:cs="Dubai" w:hint="cs"/>
          <w:szCs w:val="22"/>
          <w:rtl/>
          <w:lang w:bidi="ar-EG"/>
        </w:rPr>
        <w:t>يتعلق بجميع طلبات التسجيل</w:t>
      </w:r>
      <w:r w:rsidR="00F74784" w:rsidRPr="00F57ED2">
        <w:rPr>
          <w:rFonts w:ascii="Dubai" w:hAnsi="Dubai" w:cs="Dubai" w:hint="cs"/>
          <w:szCs w:val="22"/>
          <w:rtl/>
          <w:lang w:bidi="ar-EG"/>
        </w:rPr>
        <w:t xml:space="preserve">؛ </w:t>
      </w:r>
      <w:r w:rsidR="00F74784" w:rsidRPr="00F57ED2">
        <w:rPr>
          <w:rFonts w:ascii="Dubai" w:hAnsi="Dubai" w:cs="Dubai"/>
          <w:szCs w:val="22"/>
          <w:rtl/>
          <w:lang w:val="en-GB" w:bidi="ar-EG"/>
        </w:rPr>
        <w:t xml:space="preserve">وتوضح </w:t>
      </w:r>
      <w:hyperlink r:id="rId23" w:history="1">
        <w:r w:rsidR="00F74784" w:rsidRPr="00F57ED2">
          <w:rPr>
            <w:rStyle w:val="Hyperlink"/>
            <w:rFonts w:ascii="Dubai" w:hAnsi="Dubai" w:cs="Dubai"/>
            <w:szCs w:val="22"/>
            <w:rtl/>
            <w:lang w:val="en-GB" w:bidi="ar-EG"/>
          </w:rPr>
          <w:t xml:space="preserve">الرسالة المعممة </w:t>
        </w:r>
        <w:r w:rsidR="00F74784" w:rsidRPr="00F57ED2">
          <w:rPr>
            <w:rStyle w:val="Hyperlink"/>
            <w:rFonts w:ascii="Dubai" w:hAnsi="Dubai" w:cs="Dubai"/>
            <w:szCs w:val="22"/>
            <w:lang w:val="en-GB" w:bidi="ar-EG"/>
          </w:rPr>
          <w:t>118</w:t>
        </w:r>
        <w:r w:rsidR="00F74784" w:rsidRPr="00F57ED2">
          <w:rPr>
            <w:rStyle w:val="Hyperlink"/>
            <w:rFonts w:ascii="Dubai" w:hAnsi="Dubai" w:cs="Dubai"/>
            <w:szCs w:val="22"/>
            <w:rtl/>
            <w:lang w:val="en-GB" w:bidi="ar-EG"/>
          </w:rPr>
          <w:t xml:space="preserve"> لمكتب تقييس الاتصالات</w:t>
        </w:r>
      </w:hyperlink>
      <w:r w:rsidR="00F74784" w:rsidRPr="00F57ED2">
        <w:rPr>
          <w:rFonts w:ascii="Dubai" w:hAnsi="Dubai" w:cs="Dubai"/>
          <w:szCs w:val="22"/>
          <w:rtl/>
          <w:lang w:val="en-GB" w:bidi="ar-EG"/>
        </w:rPr>
        <w:t xml:space="preserve"> كيفية الموافقة الأوتوماتية على هذه الطلبات. وبعض الخيارات الواردة في استمارة </w:t>
      </w:r>
      <w:r w:rsidR="00F16141" w:rsidRPr="00F57ED2">
        <w:rPr>
          <w:rFonts w:ascii="Dubai" w:hAnsi="Dubai" w:cs="Dubai" w:hint="cs"/>
          <w:szCs w:val="22"/>
          <w:rtl/>
          <w:lang w:val="en-GB" w:bidi="ar-EG"/>
        </w:rPr>
        <w:t xml:space="preserve">التسجيل </w:t>
      </w:r>
      <w:r w:rsidR="00F74784" w:rsidRPr="00F57ED2">
        <w:rPr>
          <w:rFonts w:ascii="Dubai" w:hAnsi="Dubai" w:cs="Dubai"/>
          <w:szCs w:val="22"/>
          <w:rtl/>
          <w:lang w:val="en-GB" w:bidi="ar-EG"/>
        </w:rPr>
        <w:t>لا تنطبق إلا على الدول الأعضاء بما في ذلك: الوظيفة وطلبات الترجمة الشفوية وطلبات الحصول على الم</w:t>
      </w:r>
      <w:r w:rsidR="00F00CA9" w:rsidRPr="00F57ED2">
        <w:rPr>
          <w:rFonts w:ascii="Dubai" w:hAnsi="Dubai" w:cs="Dubai" w:hint="cs"/>
          <w:szCs w:val="22"/>
          <w:rtl/>
          <w:lang w:val="en-GB" w:bidi="ar-EG"/>
        </w:rPr>
        <w:t>ِ</w:t>
      </w:r>
      <w:r w:rsidR="00F74784" w:rsidRPr="00F57ED2">
        <w:rPr>
          <w:rFonts w:ascii="Dubai" w:hAnsi="Dubai" w:cs="Dubai"/>
          <w:szCs w:val="22"/>
          <w:rtl/>
          <w:lang w:val="en-GB" w:bidi="ar-EG"/>
        </w:rPr>
        <w:t>نح.</w:t>
      </w:r>
      <w:r w:rsidR="00F74784" w:rsidRPr="00F57ED2">
        <w:rPr>
          <w:rFonts w:ascii="Dubai" w:hAnsi="Dubai" w:cs="Dubai"/>
          <w:color w:val="000000"/>
          <w:szCs w:val="22"/>
          <w:rtl/>
          <w:lang w:bidi="ar-EG"/>
        </w:rPr>
        <w:t xml:space="preserve"> </w:t>
      </w:r>
      <w:r w:rsidRPr="00F57ED2">
        <w:rPr>
          <w:rFonts w:ascii="Dubai" w:hAnsi="Dubai" w:cs="Dubai"/>
          <w:color w:val="000000"/>
          <w:szCs w:val="22"/>
          <w:rtl/>
        </w:rPr>
        <w:t>وي</w:t>
      </w:r>
      <w:r w:rsidR="00DC5503">
        <w:rPr>
          <w:rFonts w:ascii="Dubai" w:hAnsi="Dubai" w:cs="Dubai" w:hint="cs"/>
          <w:color w:val="000000"/>
          <w:szCs w:val="22"/>
          <w:rtl/>
        </w:rPr>
        <w:t>ُ</w:t>
      </w:r>
      <w:r w:rsidRPr="00F57ED2">
        <w:rPr>
          <w:rFonts w:ascii="Dubai" w:hAnsi="Dubai" w:cs="Dubai"/>
          <w:color w:val="000000"/>
          <w:szCs w:val="22"/>
          <w:rtl/>
        </w:rPr>
        <w:t>دعى الأعضاء إلى إشراك النساء في وفودهم</w:t>
      </w:r>
      <w:r w:rsidRPr="00F57ED2">
        <w:rPr>
          <w:rFonts w:ascii="Dubai" w:hAnsi="Dubai" w:cs="Dubai" w:hint="cs"/>
          <w:color w:val="000000"/>
          <w:szCs w:val="22"/>
          <w:rtl/>
        </w:rPr>
        <w:t>.</w:t>
      </w:r>
    </w:p>
    <w:p w14:paraId="2CA5276D" w14:textId="77777777" w:rsidR="008C137A" w:rsidRPr="00377D13" w:rsidRDefault="008C137A" w:rsidP="008C137A">
      <w:pPr>
        <w:tabs>
          <w:tab w:val="clear" w:pos="1134"/>
        </w:tabs>
        <w:spacing w:before="0" w:after="160" w:line="259" w:lineRule="auto"/>
        <w:jc w:val="left"/>
        <w:rPr>
          <w:rFonts w:ascii="Dubai" w:hAnsi="Dubai" w:cs="Dubai"/>
          <w:szCs w:val="22"/>
          <w:rtl/>
          <w:lang w:bidi="ar-EG"/>
        </w:rPr>
      </w:pPr>
      <w:r w:rsidRPr="00377D13">
        <w:rPr>
          <w:rFonts w:ascii="Dubai" w:hAnsi="Dubai" w:cs="Dubai"/>
          <w:szCs w:val="22"/>
          <w:rtl/>
        </w:rPr>
        <w:br w:type="page"/>
      </w:r>
    </w:p>
    <w:p w14:paraId="56E6490D" w14:textId="77777777" w:rsidR="008C137A" w:rsidRPr="009A6927" w:rsidRDefault="008C137A" w:rsidP="00157A5E">
      <w:pPr>
        <w:pStyle w:val="AnnexNo"/>
        <w:bidi w:val="0"/>
        <w:rPr>
          <w:rFonts w:ascii="Dubai" w:hAnsi="Dubai" w:cs="Dubai"/>
          <w:b/>
          <w:sz w:val="22"/>
          <w:szCs w:val="22"/>
        </w:rPr>
      </w:pPr>
      <w:r w:rsidRPr="009A6927">
        <w:rPr>
          <w:rFonts w:ascii="Dubai" w:hAnsi="Dubai" w:cs="Dubai"/>
          <w:b/>
          <w:sz w:val="22"/>
          <w:szCs w:val="22"/>
        </w:rPr>
        <w:lastRenderedPageBreak/>
        <w:t>ANNEX B</w:t>
      </w:r>
      <w:r w:rsidRPr="009A6927">
        <w:rPr>
          <w:rFonts w:ascii="Dubai" w:hAnsi="Dubai" w:cs="Dubai"/>
          <w:b/>
          <w:sz w:val="22"/>
          <w:szCs w:val="22"/>
        </w:rPr>
        <w:br/>
        <w:t>Draft agenda</w:t>
      </w:r>
    </w:p>
    <w:p w14:paraId="5B8D6A5D" w14:textId="6068D8FF" w:rsidR="008C137A" w:rsidRPr="009A6927" w:rsidRDefault="008C137A" w:rsidP="00E17A55">
      <w:pPr>
        <w:bidi w:val="0"/>
        <w:spacing w:before="0"/>
        <w:rPr>
          <w:rFonts w:ascii="Dubai" w:hAnsi="Dubai" w:cs="Dubai"/>
          <w:szCs w:val="22"/>
          <w:highlight w:val="yellow"/>
        </w:rPr>
      </w:pPr>
    </w:p>
    <w:p w14:paraId="31599836" w14:textId="77777777" w:rsidR="009A6927" w:rsidRPr="009A6927" w:rsidRDefault="009A6927" w:rsidP="00E17A55">
      <w:pPr>
        <w:bidi w:val="0"/>
        <w:spacing w:before="0"/>
        <w:rPr>
          <w:rFonts w:ascii="Dubai" w:hAnsi="Dubai" w:cs="Dubai"/>
          <w:szCs w:val="22"/>
          <w:highlight w:val="yellow"/>
        </w:rPr>
      </w:pPr>
    </w:p>
    <w:p w14:paraId="3A75B272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Opening of the meeting</w:t>
      </w:r>
    </w:p>
    <w:p w14:paraId="504BA504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Opening remarks by the ITU Secretary-General</w:t>
      </w:r>
    </w:p>
    <w:p w14:paraId="01066FFC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Opening remarks by the Director, TSB</w:t>
      </w:r>
    </w:p>
    <w:p w14:paraId="6F02CEBE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Chairman’s comments and observations</w:t>
      </w:r>
    </w:p>
    <w:p w14:paraId="59C231B4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Approval of the agenda, time management plan and document allocation</w:t>
      </w:r>
    </w:p>
    <w:p w14:paraId="09F9B450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Report by the Director, TSB; including a status report on the activities of the AHG-IPR</w:t>
      </w:r>
    </w:p>
    <w:p w14:paraId="4B872672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Work Programme:</w:t>
      </w:r>
    </w:p>
    <w:p w14:paraId="1ADAC4E6" w14:textId="77777777" w:rsidR="009A6927" w:rsidRPr="009A6927" w:rsidRDefault="009A6927" w:rsidP="009A6927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Study group matters</w:t>
      </w:r>
    </w:p>
    <w:p w14:paraId="55C06B18" w14:textId="77777777" w:rsidR="009A6927" w:rsidRPr="009A6927" w:rsidRDefault="009A6927" w:rsidP="009A6927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Focus groups</w:t>
      </w:r>
    </w:p>
    <w:p w14:paraId="51D952C2" w14:textId="77777777" w:rsidR="009A6927" w:rsidRPr="009A6927" w:rsidRDefault="009A6927" w:rsidP="009A6927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Joint Coordination Activities</w:t>
      </w:r>
    </w:p>
    <w:p w14:paraId="1948AA8E" w14:textId="77777777" w:rsidR="009A6927" w:rsidRPr="009A6927" w:rsidRDefault="009A6927" w:rsidP="009A6927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Reports from CTO group meeting(s)</w:t>
      </w:r>
    </w:p>
    <w:p w14:paraId="13C3C768" w14:textId="77777777" w:rsidR="009A6927" w:rsidRPr="009A6927" w:rsidRDefault="009A6927" w:rsidP="009A6927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WTSA and PP Action Plans</w:t>
      </w:r>
    </w:p>
    <w:p w14:paraId="58C58EA3" w14:textId="77777777" w:rsidR="009A6927" w:rsidRPr="009A6927" w:rsidRDefault="009A6927" w:rsidP="009A6927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Preparations for WTSA; report from the second ITU-T interregional meeting</w:t>
      </w:r>
    </w:p>
    <w:p w14:paraId="2DFDE359" w14:textId="77777777" w:rsidR="009A6927" w:rsidRPr="009A6927" w:rsidRDefault="009A6927" w:rsidP="009A6927">
      <w:pPr>
        <w:numPr>
          <w:ilvl w:val="1"/>
          <w:numId w:val="12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 xml:space="preserve">Recommendations and other texts for </w:t>
      </w:r>
      <w:r w:rsidRPr="009A6927">
        <w:rPr>
          <w:rFonts w:ascii="Dubai" w:hAnsi="Dubai" w:cs="Dubai"/>
          <w:i/>
        </w:rPr>
        <w:t>determination/approval/agreement</w:t>
      </w:r>
      <w:r w:rsidRPr="009A6927">
        <w:rPr>
          <w:rFonts w:ascii="Dubai" w:hAnsi="Dubai" w:cs="Dubai"/>
        </w:rPr>
        <w:t xml:space="preserve"> at this TSAG meeting</w:t>
      </w:r>
    </w:p>
    <w:p w14:paraId="0007A8E6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Bridging the Standardization Gap</w:t>
      </w:r>
    </w:p>
    <w:p w14:paraId="40E731AF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External relations; reports from WSC, ISO-IEC-ITU-T SPGC, and ISO/IEC JTC 1.</w:t>
      </w:r>
    </w:p>
    <w:p w14:paraId="0069CDE9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Meeting of TSAG Rapporteur Groups</w:t>
      </w:r>
    </w:p>
    <w:p w14:paraId="760D21C2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Draft report from TSAG to WTSA</w:t>
      </w:r>
    </w:p>
    <w:p w14:paraId="70D4FF91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ITU-T meeting schedule including date of next TSAG meeting</w:t>
      </w:r>
    </w:p>
    <w:p w14:paraId="365D6213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Any other business</w:t>
      </w:r>
    </w:p>
    <w:p w14:paraId="37884B3E" w14:textId="77777777" w:rsidR="009A6927" w:rsidRPr="009A6927" w:rsidRDefault="009A6927" w:rsidP="009A6927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9A6927">
        <w:rPr>
          <w:rFonts w:ascii="Dubai" w:hAnsi="Dubai" w:cs="Dubai"/>
        </w:rPr>
        <w:t>Closing remarks by the Director, TSB</w:t>
      </w:r>
    </w:p>
    <w:p w14:paraId="53A56B55" w14:textId="02BB6949" w:rsidR="008C137A" w:rsidRPr="009A6927" w:rsidRDefault="009A6927" w:rsidP="009A6927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  <w:szCs w:val="22"/>
        </w:rPr>
      </w:pPr>
      <w:r w:rsidRPr="009A6927">
        <w:rPr>
          <w:rFonts w:ascii="Dubai" w:hAnsi="Dubai" w:cs="Dubai"/>
        </w:rPr>
        <w:t>Closure of meeting.</w:t>
      </w:r>
    </w:p>
    <w:p w14:paraId="281A5B46" w14:textId="77777777" w:rsidR="009A6927" w:rsidRPr="00FF0095" w:rsidRDefault="009A6927" w:rsidP="009A6927">
      <w:p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ind w:left="360"/>
        <w:jc w:val="left"/>
        <w:rPr>
          <w:rFonts w:ascii="Dubai" w:hAnsi="Dubai" w:cs="Dubai"/>
          <w:szCs w:val="22"/>
          <w:rtl/>
        </w:rPr>
      </w:pPr>
    </w:p>
    <w:p w14:paraId="0C136E14" w14:textId="77777777" w:rsidR="008C137A" w:rsidRPr="00377D13" w:rsidRDefault="008C137A" w:rsidP="008C137A">
      <w:pPr>
        <w:rPr>
          <w:rFonts w:ascii="Dubai" w:hAnsi="Dubai" w:cs="Dubai"/>
          <w:szCs w:val="22"/>
          <w:rtl/>
          <w:lang w:bidi="ar-EG"/>
        </w:rPr>
        <w:sectPr w:rsidR="008C137A" w:rsidRPr="00377D13" w:rsidSect="008B5B5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4E5BE4F4" w14:textId="77777777" w:rsidR="00660B0C" w:rsidRPr="00660B0C" w:rsidRDefault="00660B0C" w:rsidP="00C94ABF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jc w:val="center"/>
        <w:textAlignment w:val="baseline"/>
        <w:outlineLvl w:val="0"/>
        <w:rPr>
          <w:rFonts w:ascii="Dubai" w:hAnsi="Dubai" w:cs="Dubai"/>
          <w:b/>
          <w:bCs/>
          <w:szCs w:val="22"/>
          <w:lang w:val="en-GB"/>
        </w:rPr>
      </w:pPr>
      <w:r w:rsidRPr="00660B0C">
        <w:rPr>
          <w:rFonts w:ascii="Dubai" w:hAnsi="Dubai" w:cs="Dubai"/>
          <w:b/>
          <w:bCs/>
          <w:szCs w:val="22"/>
          <w:lang w:val="en-GB"/>
        </w:rPr>
        <w:lastRenderedPageBreak/>
        <w:t>ANNEX C</w:t>
      </w:r>
    </w:p>
    <w:p w14:paraId="366B44B3" w14:textId="77777777" w:rsidR="00660B0C" w:rsidRPr="00660B0C" w:rsidRDefault="00660B0C" w:rsidP="00C94ABF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after="120"/>
        <w:jc w:val="center"/>
        <w:textAlignment w:val="baseline"/>
        <w:rPr>
          <w:rFonts w:ascii="Dubai" w:hAnsi="Dubai" w:cs="Dubai"/>
          <w:szCs w:val="22"/>
          <w:lang w:val="en-GB"/>
        </w:rPr>
      </w:pPr>
      <w:r w:rsidRPr="00660B0C">
        <w:rPr>
          <w:rFonts w:ascii="Dubai" w:hAnsi="Dubai" w:cs="Dubai"/>
          <w:b/>
          <w:bCs/>
          <w:szCs w:val="22"/>
          <w:lang w:val="en-GB"/>
        </w:rPr>
        <w:t>DRAFT TIMEPLAN FOR TSAG AND RELATED RAPPORTEUR GROUP MEETINGS</w:t>
      </w:r>
      <w:r w:rsidRPr="00660B0C">
        <w:rPr>
          <w:rFonts w:ascii="Dubai" w:hAnsi="Dubai" w:cs="Dubai"/>
          <w:b/>
          <w:bCs/>
          <w:szCs w:val="22"/>
          <w:lang w:val="en-GB"/>
        </w:rPr>
        <w:br/>
      </w:r>
      <w:r w:rsidRPr="00660B0C">
        <w:rPr>
          <w:rFonts w:ascii="Dubai" w:hAnsi="Dubai" w:cs="Dubai"/>
          <w:szCs w:val="22"/>
          <w:lang w:val="en-GB"/>
        </w:rPr>
        <w:t>(additional ad hoc groups may be scheduled; the allocation of time slots to TSAG Rapporteur Groups is preliminary and subject to modification)</w:t>
      </w:r>
    </w:p>
    <w:tbl>
      <w:tblPr>
        <w:tblStyle w:val="TableGrid5"/>
        <w:tblW w:w="14178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1985"/>
        <w:gridCol w:w="2976"/>
        <w:gridCol w:w="2127"/>
        <w:gridCol w:w="1984"/>
        <w:gridCol w:w="1559"/>
        <w:gridCol w:w="1560"/>
      </w:tblGrid>
      <w:tr w:rsidR="00660B0C" w:rsidRPr="00660B0C" w14:paraId="270B6267" w14:textId="77777777" w:rsidTr="00AE4045">
        <w:trPr>
          <w:trHeight w:val="512"/>
          <w:jc w:val="center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DEDED"/>
          </w:tcPr>
          <w:p w14:paraId="4C375B9F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60" w:after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Session #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DEDED"/>
          </w:tcPr>
          <w:p w14:paraId="02C2BF61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Monday</w:t>
            </w:r>
          </w:p>
          <w:p w14:paraId="04348CD6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0" w:after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11 January 2021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DEDED"/>
          </w:tcPr>
          <w:p w14:paraId="6F0BA1BE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Tuesday</w:t>
            </w:r>
          </w:p>
          <w:p w14:paraId="2C48E91B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0" w:after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12 January 2021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14:paraId="04237B84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Wednesday</w:t>
            </w:r>
          </w:p>
          <w:p w14:paraId="60462E19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0" w:after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13 January 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DEDED"/>
          </w:tcPr>
          <w:p w14:paraId="7F63694B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Thursday</w:t>
            </w:r>
          </w:p>
          <w:p w14:paraId="23CB57E3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0" w:after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14 January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/>
          </w:tcPr>
          <w:p w14:paraId="4AF759D5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Friday</w:t>
            </w:r>
          </w:p>
          <w:p w14:paraId="0E3E2D54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0" w:after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15 January 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DEDED"/>
          </w:tcPr>
          <w:p w14:paraId="025DA70B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Monday</w:t>
            </w:r>
          </w:p>
          <w:p w14:paraId="5DDDF4F6" w14:textId="77777777" w:rsidR="00660B0C" w:rsidRPr="00660B0C" w:rsidRDefault="00660B0C" w:rsidP="00CB32A6">
            <w:pPr>
              <w:tabs>
                <w:tab w:val="clear" w:pos="1134"/>
              </w:tabs>
              <w:bidi w:val="0"/>
              <w:spacing w:before="0" w:after="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18 January 2021</w:t>
            </w:r>
          </w:p>
        </w:tc>
      </w:tr>
      <w:tr w:rsidR="00660B0C" w:rsidRPr="00CB32A6" w14:paraId="4679CEA2" w14:textId="77777777" w:rsidTr="00660B0C">
        <w:trPr>
          <w:trHeight w:val="681"/>
          <w:jc w:val="center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14:paraId="7ACADC83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Afternoon 1 (90”)</w:t>
            </w: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br/>
              <w:t>12:30 – 13:55 hours Geneva time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537A7849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Plenary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657B89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 w:after="120"/>
              <w:jc w:val="center"/>
              <w:rPr>
                <w:rFonts w:ascii="Dubai" w:hAnsi="Dubai" w:cs="Dubai"/>
                <w:b/>
                <w:sz w:val="18"/>
                <w:szCs w:val="18"/>
                <w:lang w:val="en-GB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Rapporteur Group on Standardization Strategy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7C4109A3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Rapporteur Group on Strengthening Collaboration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661BAE5E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Rapporteur Group on Work Programme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EFD4B9A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b/>
                <w:sz w:val="18"/>
                <w:szCs w:val="18"/>
                <w:lang w:val="en-GB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Plenary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664A2BA9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Plenary</w:t>
            </w:r>
          </w:p>
        </w:tc>
      </w:tr>
      <w:tr w:rsidR="00660B0C" w:rsidRPr="00CB32A6" w14:paraId="58BBDFE4" w14:textId="77777777" w:rsidTr="00660B0C">
        <w:trPr>
          <w:trHeight w:val="266"/>
          <w:jc w:val="center"/>
        </w:trPr>
        <w:tc>
          <w:tcPr>
            <w:tcW w:w="1987" w:type="dxa"/>
            <w:vMerge/>
            <w:shd w:val="clear" w:color="auto" w:fill="FFFFFF"/>
            <w:vAlign w:val="center"/>
          </w:tcPr>
          <w:p w14:paraId="49F8E754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6CCF707B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14:paraId="6D1B1F42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 w:after="12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Rapporteur Group on Working Methods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448B1B7D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27AA75A2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16F9EEB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23079C2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</w:tr>
      <w:tr w:rsidR="00660B0C" w:rsidRPr="00CB32A6" w14:paraId="1A912411" w14:textId="77777777" w:rsidTr="00660B0C">
        <w:trPr>
          <w:trHeight w:val="441"/>
          <w:jc w:val="center"/>
        </w:trPr>
        <w:tc>
          <w:tcPr>
            <w:tcW w:w="1987" w:type="dxa"/>
            <w:shd w:val="clear" w:color="auto" w:fill="F2F2F2"/>
            <w:vAlign w:val="center"/>
          </w:tcPr>
          <w:p w14:paraId="3A89148E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Break 1 (5”)</w:t>
            </w: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br/>
              <w:t>13:55 – 14:00</w:t>
            </w:r>
          </w:p>
          <w:p w14:paraId="37E6668D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i/>
                <w:sz w:val="18"/>
                <w:szCs w:val="18"/>
                <w:lang w:val="en-GB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Geneva time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F8F655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0EDCD2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3A11C5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C89638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37D283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93C249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</w:tr>
      <w:tr w:rsidR="00660B0C" w:rsidRPr="00CB32A6" w14:paraId="06EFE950" w14:textId="77777777" w:rsidTr="00660B0C">
        <w:trPr>
          <w:trHeight w:val="505"/>
          <w:jc w:val="center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14:paraId="4D2166D5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Afternoon 2 (90”)</w:t>
            </w: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br/>
              <w:t>14:00 – 15:30 hours Geneva time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1572DE3C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Plenary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14:paraId="72C46A00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Rapporteur Group on Working Methods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742389C4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Rapporteur Group on Work Programme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692981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Rapporteur Group on Strategic and Operational Plan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769F2BB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Plenary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6691EAF7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Plenary</w:t>
            </w:r>
          </w:p>
        </w:tc>
      </w:tr>
      <w:tr w:rsidR="00660B0C" w:rsidRPr="00CB32A6" w14:paraId="767840F6" w14:textId="77777777" w:rsidTr="00660B0C">
        <w:trPr>
          <w:trHeight w:val="505"/>
          <w:jc w:val="center"/>
        </w:trPr>
        <w:tc>
          <w:tcPr>
            <w:tcW w:w="1987" w:type="dxa"/>
            <w:vMerge/>
            <w:shd w:val="clear" w:color="auto" w:fill="FFFFFF"/>
            <w:vAlign w:val="center"/>
          </w:tcPr>
          <w:p w14:paraId="3CD664E6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E9A64C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9D63D0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0AF0DE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C72102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sz w:val="18"/>
                <w:szCs w:val="18"/>
                <w:lang w:val="en-GB" w:eastAsia="zh-CN"/>
              </w:rPr>
              <w:t>TSAG Rapporteur Group on Review of Resolutions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4A1195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16263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</w:tr>
      <w:tr w:rsidR="00660B0C" w:rsidRPr="00CB32A6" w14:paraId="6AD180AE" w14:textId="77777777" w:rsidTr="00660B0C">
        <w:trPr>
          <w:trHeight w:val="1403"/>
          <w:jc w:val="center"/>
        </w:trPr>
        <w:tc>
          <w:tcPr>
            <w:tcW w:w="1987" w:type="dxa"/>
            <w:vAlign w:val="center"/>
          </w:tcPr>
          <w:p w14:paraId="7E6104C4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Afternoon 3 (30”)</w:t>
            </w:r>
          </w:p>
          <w:p w14:paraId="6B00C684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15:30 – 16:00 hours Geneva time</w:t>
            </w:r>
          </w:p>
          <w:p w14:paraId="17CCA4C6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</w:pPr>
            <w:r w:rsidRPr="00660B0C">
              <w:rPr>
                <w:rFonts w:ascii="Dubai" w:hAnsi="Dubai" w:cs="Dubai"/>
                <w:b/>
                <w:bCs/>
                <w:sz w:val="18"/>
                <w:szCs w:val="18"/>
                <w:lang w:val="en-GB" w:eastAsia="zh-CN"/>
              </w:rPr>
              <w:t>(English only)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A0C49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14:paraId="68160384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F91C53B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6483FF4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CA2D1D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331713A" w14:textId="77777777" w:rsidR="00660B0C" w:rsidRPr="00660B0C" w:rsidRDefault="00660B0C" w:rsidP="00C94ABF">
            <w:pPr>
              <w:tabs>
                <w:tab w:val="clear" w:pos="1134"/>
              </w:tabs>
              <w:bidi w:val="0"/>
              <w:spacing w:before="0"/>
              <w:jc w:val="center"/>
              <w:rPr>
                <w:rFonts w:ascii="Dubai" w:hAnsi="Dubai" w:cs="Dubai"/>
                <w:sz w:val="18"/>
                <w:szCs w:val="18"/>
                <w:lang w:val="en-GB" w:eastAsia="zh-CN"/>
              </w:rPr>
            </w:pPr>
          </w:p>
        </w:tc>
      </w:tr>
    </w:tbl>
    <w:p w14:paraId="44BF6A69" w14:textId="058B317C" w:rsidR="008B5B5D" w:rsidRPr="00C94ABF" w:rsidRDefault="007502A1" w:rsidP="00C94ABF">
      <w:pPr>
        <w:spacing w:before="600"/>
        <w:jc w:val="center"/>
        <w:rPr>
          <w:rFonts w:ascii="Dubai" w:hAnsi="Dubai" w:cs="Dubai"/>
          <w:szCs w:val="22"/>
          <w:rtl/>
          <w:lang w:val="en-GB" w:bidi="ar-EG"/>
        </w:rPr>
      </w:pPr>
      <w:r w:rsidRPr="00C94ABF">
        <w:rPr>
          <w:rFonts w:ascii="Dubai" w:hAnsi="Dubai" w:cs="Dubai"/>
          <w:szCs w:val="2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sectPr w:rsidR="008B5B5D" w:rsidRPr="00C94ABF" w:rsidSect="00906148">
      <w:headerReference w:type="first" r:id="rId30"/>
      <w:footerReference w:type="first" r:id="rId31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970DC" w14:textId="77777777" w:rsidR="0047702C" w:rsidRDefault="0047702C" w:rsidP="00E07379">
      <w:pPr>
        <w:spacing w:before="0" w:line="240" w:lineRule="auto"/>
      </w:pPr>
      <w:r>
        <w:separator/>
      </w:r>
    </w:p>
  </w:endnote>
  <w:endnote w:type="continuationSeparator" w:id="0">
    <w:p w14:paraId="3B86301B" w14:textId="77777777" w:rsidR="0047702C" w:rsidRDefault="0047702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A058B" w14:textId="77777777" w:rsidR="002B5CB4" w:rsidRDefault="002B5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339EC" w14:textId="7FC34B96" w:rsidR="009A6927" w:rsidRPr="002B5CB4" w:rsidRDefault="009A6927" w:rsidP="002B5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D6518" w14:textId="77777777" w:rsidR="000A6054" w:rsidRPr="000A6054" w:rsidRDefault="000A6054" w:rsidP="000A6054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/>
      <w:jc w:val="center"/>
      <w:textAlignment w:val="baseline"/>
      <w:rPr>
        <w:rFonts w:ascii="Dubai" w:hAnsi="Dubai" w:cs="Dubai"/>
        <w:caps/>
        <w:noProof/>
        <w:sz w:val="16"/>
        <w:szCs w:val="20"/>
        <w:lang w:val="en-GB"/>
      </w:rPr>
    </w:pP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t>•</w:t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 xml:space="preserve"> CH</w:t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noBreakHyphen/>
      <w:t xml:space="preserve">1211 Geneva 20 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t>•</w:t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 xml:space="preserve"> Switzerland 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br/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>Tel: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t xml:space="preserve"> +41 22 730 5111 • </w:t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>Fax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t>: +41 22 733 7256 • E-</w:t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>mail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0A6054">
        <w:rPr>
          <w:rFonts w:ascii="Dubai" w:hAnsi="Dubai" w:cs="Duba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0A6054">
        <w:rPr>
          <w:rFonts w:ascii="Dubai" w:hAnsi="Dubai" w:cs="Duba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33C00" w14:textId="0237A59E" w:rsidR="007502A1" w:rsidRPr="002B5CB4" w:rsidRDefault="007502A1" w:rsidP="002B5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EE1E2" w14:textId="77777777" w:rsidR="0047702C" w:rsidRDefault="0047702C" w:rsidP="00E07379">
      <w:pPr>
        <w:spacing w:before="0" w:line="240" w:lineRule="auto"/>
      </w:pPr>
      <w:r>
        <w:separator/>
      </w:r>
    </w:p>
  </w:footnote>
  <w:footnote w:type="continuationSeparator" w:id="0">
    <w:p w14:paraId="30FDBD4C" w14:textId="77777777" w:rsidR="0047702C" w:rsidRDefault="0047702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7862" w14:textId="77777777" w:rsidR="002B5CB4" w:rsidRDefault="002B5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59899" w14:textId="77777777" w:rsidR="0022345D" w:rsidRPr="009954DC" w:rsidRDefault="00E06C01" w:rsidP="00EA3862">
    <w:pPr>
      <w:bidi w:val="0"/>
      <w:jc w:val="center"/>
      <w:rPr>
        <w:rStyle w:val="PageNumber"/>
        <w:rFonts w:ascii="Dubai" w:hAnsi="Dubai" w:cs="Dubai"/>
        <w:sz w:val="18"/>
        <w:szCs w:val="18"/>
        <w:lang w:bidi="ar-EG"/>
      </w:rPr>
    </w:pPr>
    <w:r w:rsidRPr="009954DC">
      <w:rPr>
        <w:rStyle w:val="PageNumber"/>
        <w:rFonts w:ascii="Dubai" w:hAnsi="Dubai" w:cs="Dubai"/>
        <w:sz w:val="18"/>
        <w:szCs w:val="18"/>
      </w:rPr>
      <w:t xml:space="preserve">- </w:t>
    </w:r>
    <w:r w:rsidR="0022345D" w:rsidRPr="009954DC">
      <w:rPr>
        <w:rStyle w:val="PageNumber"/>
        <w:rFonts w:ascii="Dubai" w:hAnsi="Dubai" w:cs="Dubai"/>
        <w:sz w:val="18"/>
        <w:szCs w:val="18"/>
      </w:rPr>
      <w:fldChar w:fldCharType="begin"/>
    </w:r>
    <w:r w:rsidR="0022345D" w:rsidRPr="009954DC">
      <w:rPr>
        <w:rStyle w:val="PageNumber"/>
        <w:rFonts w:ascii="Dubai" w:hAnsi="Dubai" w:cs="Dubai"/>
        <w:sz w:val="18"/>
        <w:szCs w:val="18"/>
      </w:rPr>
      <w:instrText xml:space="preserve"> PAGE </w:instrText>
    </w:r>
    <w:r w:rsidR="0022345D" w:rsidRPr="009954DC">
      <w:rPr>
        <w:rStyle w:val="PageNumber"/>
        <w:rFonts w:ascii="Dubai" w:hAnsi="Dubai" w:cs="Dubai"/>
        <w:sz w:val="18"/>
        <w:szCs w:val="18"/>
      </w:rPr>
      <w:fldChar w:fldCharType="separate"/>
    </w:r>
    <w:r w:rsidR="00671640" w:rsidRPr="009954DC">
      <w:rPr>
        <w:rStyle w:val="PageNumber"/>
        <w:rFonts w:ascii="Dubai" w:hAnsi="Dubai" w:cs="Dubai"/>
        <w:noProof/>
        <w:sz w:val="18"/>
        <w:szCs w:val="18"/>
      </w:rPr>
      <w:t>5</w:t>
    </w:r>
    <w:r w:rsidR="0022345D" w:rsidRPr="009954DC">
      <w:rPr>
        <w:rStyle w:val="PageNumber"/>
        <w:rFonts w:ascii="Dubai" w:hAnsi="Dubai" w:cs="Dubai"/>
        <w:sz w:val="18"/>
        <w:szCs w:val="18"/>
      </w:rPr>
      <w:fldChar w:fldCharType="end"/>
    </w:r>
    <w:r w:rsidRPr="009954DC">
      <w:rPr>
        <w:rStyle w:val="PageNumber"/>
        <w:rFonts w:ascii="Dubai" w:hAnsi="Dubai" w:cs="Dubai"/>
        <w:sz w:val="18"/>
        <w:szCs w:val="18"/>
      </w:rPr>
      <w:t xml:space="preserve"> -</w:t>
    </w:r>
  </w:p>
  <w:p w14:paraId="5B5C003E" w14:textId="72AA0A30" w:rsidR="00EA3862" w:rsidRPr="00EA3862" w:rsidRDefault="00EA3862" w:rsidP="000274D0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 w:rsidRPr="009954DC">
      <w:rPr>
        <w:rStyle w:val="PageNumber"/>
        <w:rFonts w:ascii="Dubai" w:hAnsi="Dubai" w:cs="Dubai"/>
        <w:sz w:val="18"/>
        <w:szCs w:val="18"/>
        <w:rtl/>
        <w:lang w:bidi="ar-EG"/>
      </w:rPr>
      <w:t>الرسالة الجماعية</w:t>
    </w:r>
    <w:r w:rsidR="0003672C" w:rsidRPr="009954DC">
      <w:rPr>
        <w:rStyle w:val="PageNumber"/>
        <w:rFonts w:ascii="Dubai" w:hAnsi="Dubai" w:cs="Dubai"/>
        <w:sz w:val="18"/>
        <w:szCs w:val="18"/>
        <w:rtl/>
        <w:lang w:bidi="ar-EG"/>
      </w:rPr>
      <w:t xml:space="preserve"> </w:t>
    </w:r>
    <w:r w:rsidR="003B4397">
      <w:rPr>
        <w:rStyle w:val="PageNumber"/>
        <w:rFonts w:ascii="Dubai" w:hAnsi="Dubai" w:cs="Dubai"/>
        <w:sz w:val="18"/>
        <w:szCs w:val="18"/>
        <w:lang w:bidi="ar-EG"/>
      </w:rPr>
      <w:t>7</w:t>
    </w:r>
    <w:r w:rsidRPr="009954DC">
      <w:rPr>
        <w:rStyle w:val="PageNumber"/>
        <w:rFonts w:ascii="Dubai" w:hAnsi="Dubai" w:cs="Dubai"/>
        <w:sz w:val="18"/>
        <w:szCs w:val="18"/>
        <w:lang w:val="en-GB" w:bidi="ar-EG"/>
      </w:rPr>
      <w:t>/</w:t>
    </w:r>
    <w:r w:rsidR="008C137A" w:rsidRPr="009954DC">
      <w:rPr>
        <w:rStyle w:val="PageNumber"/>
        <w:rFonts w:ascii="Dubai" w:hAnsi="Dubai" w:cs="Dubai"/>
        <w:sz w:val="18"/>
        <w:szCs w:val="18"/>
        <w:lang w:val="en-GB" w:bidi="ar-EG"/>
      </w:rPr>
      <w:t>TSAG</w:t>
    </w:r>
    <w:r w:rsidR="00BB4F90" w:rsidRPr="009954DC">
      <w:rPr>
        <w:rStyle w:val="PageNumber"/>
        <w:rFonts w:ascii="Dubai" w:hAnsi="Dubai" w:cs="Dubai"/>
        <w:sz w:val="18"/>
        <w:szCs w:val="18"/>
        <w:rtl/>
        <w:lang w:val="en-GB" w:bidi="ar-EG"/>
      </w:rPr>
      <w:t xml:space="preserve"> </w:t>
    </w:r>
    <w:r w:rsidR="00BB4F90" w:rsidRPr="009954DC">
      <w:rPr>
        <w:rStyle w:val="PageNumber"/>
        <w:rFonts w:ascii="Dubai" w:hAnsi="Dubai" w:cs="Dubai"/>
        <w:sz w:val="18"/>
        <w:szCs w:val="18"/>
        <w:rtl/>
        <w:lang w:bidi="ar-EG"/>
      </w:rPr>
      <w:t>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EF914" w14:textId="77777777" w:rsidR="002B5CB4" w:rsidRDefault="002B5C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FEF3" w14:textId="77777777" w:rsidR="00414CF9" w:rsidRPr="009954DC" w:rsidRDefault="00414CF9" w:rsidP="00414CF9">
    <w:pPr>
      <w:bidi w:val="0"/>
      <w:jc w:val="center"/>
      <w:rPr>
        <w:rStyle w:val="PageNumber"/>
        <w:rFonts w:ascii="Dubai" w:hAnsi="Dubai" w:cs="Dubai"/>
        <w:sz w:val="18"/>
        <w:szCs w:val="18"/>
        <w:lang w:bidi="ar-EG"/>
      </w:rPr>
    </w:pPr>
    <w:r w:rsidRPr="009954DC">
      <w:rPr>
        <w:rStyle w:val="PageNumber"/>
        <w:rFonts w:ascii="Dubai" w:hAnsi="Dubai" w:cs="Dubai"/>
        <w:sz w:val="18"/>
        <w:szCs w:val="18"/>
      </w:rPr>
      <w:t xml:space="preserve">- </w:t>
    </w:r>
    <w:r w:rsidRPr="009954DC">
      <w:rPr>
        <w:rStyle w:val="PageNumber"/>
        <w:rFonts w:ascii="Dubai" w:hAnsi="Dubai" w:cs="Dubai"/>
        <w:sz w:val="18"/>
        <w:szCs w:val="18"/>
      </w:rPr>
      <w:fldChar w:fldCharType="begin"/>
    </w:r>
    <w:r w:rsidRPr="009954DC">
      <w:rPr>
        <w:rStyle w:val="PageNumber"/>
        <w:rFonts w:ascii="Dubai" w:hAnsi="Dubai" w:cs="Dubai"/>
        <w:sz w:val="18"/>
        <w:szCs w:val="18"/>
      </w:rPr>
      <w:instrText xml:space="preserve"> PAGE </w:instrText>
    </w:r>
    <w:r w:rsidRPr="009954DC">
      <w:rPr>
        <w:rStyle w:val="PageNumber"/>
        <w:rFonts w:ascii="Dubai" w:hAnsi="Dubai" w:cs="Dubai"/>
        <w:sz w:val="18"/>
        <w:szCs w:val="18"/>
      </w:rPr>
      <w:fldChar w:fldCharType="separate"/>
    </w:r>
    <w:r>
      <w:rPr>
        <w:rStyle w:val="PageNumber"/>
        <w:rFonts w:ascii="Dubai" w:hAnsi="Dubai" w:cs="Dubai"/>
        <w:sz w:val="18"/>
        <w:szCs w:val="18"/>
      </w:rPr>
      <w:t>5</w:t>
    </w:r>
    <w:r w:rsidRPr="009954DC">
      <w:rPr>
        <w:rStyle w:val="PageNumber"/>
        <w:rFonts w:ascii="Dubai" w:hAnsi="Dubai" w:cs="Dubai"/>
        <w:sz w:val="18"/>
        <w:szCs w:val="18"/>
      </w:rPr>
      <w:fldChar w:fldCharType="end"/>
    </w:r>
    <w:r w:rsidRPr="009954DC">
      <w:rPr>
        <w:rStyle w:val="PageNumber"/>
        <w:rFonts w:ascii="Dubai" w:hAnsi="Dubai" w:cs="Dubai"/>
        <w:sz w:val="18"/>
        <w:szCs w:val="18"/>
      </w:rPr>
      <w:t xml:space="preserve"> -</w:t>
    </w:r>
  </w:p>
  <w:p w14:paraId="342D2505" w14:textId="20E1CF08" w:rsidR="00906148" w:rsidRPr="00414CF9" w:rsidRDefault="00414CF9" w:rsidP="009643E0">
    <w:pPr>
      <w:pStyle w:val="Header"/>
      <w:spacing w:after="240"/>
      <w:jc w:val="center"/>
      <w:rPr>
        <w:szCs w:val="22"/>
        <w:rtl/>
        <w:lang w:bidi="ar-EG"/>
      </w:rPr>
    </w:pPr>
    <w:r w:rsidRPr="009954DC">
      <w:rPr>
        <w:rStyle w:val="PageNumber"/>
        <w:rFonts w:ascii="Dubai" w:hAnsi="Dubai" w:cs="Dubai"/>
        <w:sz w:val="18"/>
        <w:szCs w:val="18"/>
        <w:rtl/>
        <w:lang w:bidi="ar-EG"/>
      </w:rPr>
      <w:t xml:space="preserve">الرسالة الجماعية </w:t>
    </w:r>
    <w:r w:rsidR="00B54A8D">
      <w:rPr>
        <w:rStyle w:val="PageNumber"/>
        <w:rFonts w:ascii="Dubai" w:hAnsi="Dubai" w:cs="Dubai"/>
        <w:sz w:val="18"/>
        <w:szCs w:val="18"/>
        <w:lang w:bidi="ar-EG"/>
      </w:rPr>
      <w:t>7</w:t>
    </w:r>
    <w:r w:rsidRPr="009954DC">
      <w:rPr>
        <w:rStyle w:val="PageNumber"/>
        <w:rFonts w:ascii="Dubai" w:hAnsi="Dubai" w:cs="Dubai"/>
        <w:sz w:val="18"/>
        <w:szCs w:val="18"/>
        <w:lang w:val="en-GB" w:bidi="ar-EG"/>
      </w:rPr>
      <w:t>/TSAG</w:t>
    </w:r>
    <w:r w:rsidRPr="009954DC">
      <w:rPr>
        <w:rStyle w:val="PageNumber"/>
        <w:rFonts w:ascii="Dubai" w:hAnsi="Dubai" w:cs="Dubai"/>
        <w:sz w:val="18"/>
        <w:szCs w:val="18"/>
        <w:rtl/>
        <w:lang w:val="en-GB" w:bidi="ar-EG"/>
      </w:rPr>
      <w:t xml:space="preserve"> </w:t>
    </w:r>
    <w:r w:rsidRPr="009954DC">
      <w:rPr>
        <w:rStyle w:val="PageNumber"/>
        <w:rFonts w:ascii="Dubai" w:hAnsi="Dubai" w:cs="Dubai"/>
        <w:sz w:val="18"/>
        <w:szCs w:val="18"/>
        <w:rtl/>
        <w:lang w:bidi="ar-EG"/>
      </w:rPr>
      <w:t>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Y" w:vendorID="64" w:dllVersion="6" w:nlCheck="1" w:checkStyle="0"/>
  <w:activeWritingStyle w:appName="MSWord" w:lang="en-GB" w:vendorID="64" w:dllVersion="6" w:nlCheck="1" w:checkStyle="1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2C"/>
    <w:rsid w:val="000124CC"/>
    <w:rsid w:val="000274D0"/>
    <w:rsid w:val="0003672C"/>
    <w:rsid w:val="00041567"/>
    <w:rsid w:val="00041F8B"/>
    <w:rsid w:val="00046444"/>
    <w:rsid w:val="0006023B"/>
    <w:rsid w:val="00063C9D"/>
    <w:rsid w:val="00066B5A"/>
    <w:rsid w:val="00070A30"/>
    <w:rsid w:val="0008638B"/>
    <w:rsid w:val="00090574"/>
    <w:rsid w:val="000920A9"/>
    <w:rsid w:val="00092FC2"/>
    <w:rsid w:val="000979AC"/>
    <w:rsid w:val="000A1677"/>
    <w:rsid w:val="000A5BF1"/>
    <w:rsid w:val="000A6054"/>
    <w:rsid w:val="000B407F"/>
    <w:rsid w:val="000C13C2"/>
    <w:rsid w:val="000D4C64"/>
    <w:rsid w:val="000F0B1C"/>
    <w:rsid w:val="000F1D42"/>
    <w:rsid w:val="000F4D07"/>
    <w:rsid w:val="00102A03"/>
    <w:rsid w:val="001040A3"/>
    <w:rsid w:val="00105080"/>
    <w:rsid w:val="0010774C"/>
    <w:rsid w:val="00157A5E"/>
    <w:rsid w:val="00161BCC"/>
    <w:rsid w:val="00173915"/>
    <w:rsid w:val="001A0C3E"/>
    <w:rsid w:val="001D1A01"/>
    <w:rsid w:val="001D7736"/>
    <w:rsid w:val="0021453B"/>
    <w:rsid w:val="0022345D"/>
    <w:rsid w:val="00225854"/>
    <w:rsid w:val="0023283D"/>
    <w:rsid w:val="00252E0C"/>
    <w:rsid w:val="00276881"/>
    <w:rsid w:val="00287003"/>
    <w:rsid w:val="002916BE"/>
    <w:rsid w:val="00293AC4"/>
    <w:rsid w:val="002978F4"/>
    <w:rsid w:val="002A4913"/>
    <w:rsid w:val="002B028D"/>
    <w:rsid w:val="002B435E"/>
    <w:rsid w:val="002B5CB4"/>
    <w:rsid w:val="002C4DAE"/>
    <w:rsid w:val="002C7AA5"/>
    <w:rsid w:val="002D3141"/>
    <w:rsid w:val="002D60EB"/>
    <w:rsid w:val="002D6669"/>
    <w:rsid w:val="002E6541"/>
    <w:rsid w:val="002F4118"/>
    <w:rsid w:val="002F5560"/>
    <w:rsid w:val="0030486B"/>
    <w:rsid w:val="00314E67"/>
    <w:rsid w:val="003231B9"/>
    <w:rsid w:val="003275AC"/>
    <w:rsid w:val="00333D29"/>
    <w:rsid w:val="003409F4"/>
    <w:rsid w:val="00357185"/>
    <w:rsid w:val="00366516"/>
    <w:rsid w:val="00374F26"/>
    <w:rsid w:val="003750A4"/>
    <w:rsid w:val="00376C2F"/>
    <w:rsid w:val="00377D13"/>
    <w:rsid w:val="0039388D"/>
    <w:rsid w:val="003B4397"/>
    <w:rsid w:val="003C106D"/>
    <w:rsid w:val="003C475F"/>
    <w:rsid w:val="003D71A2"/>
    <w:rsid w:val="003E4132"/>
    <w:rsid w:val="003F678F"/>
    <w:rsid w:val="00407B4A"/>
    <w:rsid w:val="00414CF9"/>
    <w:rsid w:val="004258D6"/>
    <w:rsid w:val="0042686F"/>
    <w:rsid w:val="004367CE"/>
    <w:rsid w:val="00440AE9"/>
    <w:rsid w:val="00442ABD"/>
    <w:rsid w:val="00443869"/>
    <w:rsid w:val="004712C6"/>
    <w:rsid w:val="0047702C"/>
    <w:rsid w:val="00497703"/>
    <w:rsid w:val="004A1097"/>
    <w:rsid w:val="004B0153"/>
    <w:rsid w:val="004B1FD0"/>
    <w:rsid w:val="004E001C"/>
    <w:rsid w:val="004F0F06"/>
    <w:rsid w:val="004F4E27"/>
    <w:rsid w:val="00501E0E"/>
    <w:rsid w:val="00501FEE"/>
    <w:rsid w:val="005204D7"/>
    <w:rsid w:val="00530420"/>
    <w:rsid w:val="00552BC5"/>
    <w:rsid w:val="0055516A"/>
    <w:rsid w:val="00560A32"/>
    <w:rsid w:val="0056374C"/>
    <w:rsid w:val="0056614F"/>
    <w:rsid w:val="0057656F"/>
    <w:rsid w:val="00576731"/>
    <w:rsid w:val="005776C7"/>
    <w:rsid w:val="0059285F"/>
    <w:rsid w:val="005A24B1"/>
    <w:rsid w:val="005B7B8A"/>
    <w:rsid w:val="005C18CC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47ED5"/>
    <w:rsid w:val="0065591D"/>
    <w:rsid w:val="00657494"/>
    <w:rsid w:val="00660B0C"/>
    <w:rsid w:val="00662C5A"/>
    <w:rsid w:val="00670AF5"/>
    <w:rsid w:val="00671640"/>
    <w:rsid w:val="006B3926"/>
    <w:rsid w:val="006C1556"/>
    <w:rsid w:val="006E7365"/>
    <w:rsid w:val="006F267F"/>
    <w:rsid w:val="006F4510"/>
    <w:rsid w:val="006F63F7"/>
    <w:rsid w:val="006F6F03"/>
    <w:rsid w:val="00706D7A"/>
    <w:rsid w:val="00707266"/>
    <w:rsid w:val="00711904"/>
    <w:rsid w:val="00726AEC"/>
    <w:rsid w:val="007502A1"/>
    <w:rsid w:val="007530CA"/>
    <w:rsid w:val="00763744"/>
    <w:rsid w:val="0076545F"/>
    <w:rsid w:val="007734FB"/>
    <w:rsid w:val="00783C2D"/>
    <w:rsid w:val="00791686"/>
    <w:rsid w:val="0079553D"/>
    <w:rsid w:val="00797A8B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0DC3"/>
    <w:rsid w:val="008A1810"/>
    <w:rsid w:val="008B5B5D"/>
    <w:rsid w:val="008C137A"/>
    <w:rsid w:val="008E0A23"/>
    <w:rsid w:val="008F51EB"/>
    <w:rsid w:val="00917694"/>
    <w:rsid w:val="00921A72"/>
    <w:rsid w:val="009263CD"/>
    <w:rsid w:val="00930E6D"/>
    <w:rsid w:val="009459F6"/>
    <w:rsid w:val="00951F76"/>
    <w:rsid w:val="00956982"/>
    <w:rsid w:val="009643E0"/>
    <w:rsid w:val="00971CA4"/>
    <w:rsid w:val="00972CA2"/>
    <w:rsid w:val="0097453E"/>
    <w:rsid w:val="00982B28"/>
    <w:rsid w:val="00984EA5"/>
    <w:rsid w:val="00992593"/>
    <w:rsid w:val="009954DC"/>
    <w:rsid w:val="009A6927"/>
    <w:rsid w:val="009C17E1"/>
    <w:rsid w:val="009C35ED"/>
    <w:rsid w:val="009C7118"/>
    <w:rsid w:val="009C78B1"/>
    <w:rsid w:val="009D77A6"/>
    <w:rsid w:val="009F1C12"/>
    <w:rsid w:val="00A034BD"/>
    <w:rsid w:val="00A03D80"/>
    <w:rsid w:val="00A124CB"/>
    <w:rsid w:val="00A2089D"/>
    <w:rsid w:val="00A2167A"/>
    <w:rsid w:val="00A25A43"/>
    <w:rsid w:val="00A3295B"/>
    <w:rsid w:val="00A32F9B"/>
    <w:rsid w:val="00A42AE5"/>
    <w:rsid w:val="00A52B61"/>
    <w:rsid w:val="00A53694"/>
    <w:rsid w:val="00A64820"/>
    <w:rsid w:val="00A71DD6"/>
    <w:rsid w:val="00A720D1"/>
    <w:rsid w:val="00A723C7"/>
    <w:rsid w:val="00A80E11"/>
    <w:rsid w:val="00A97F94"/>
    <w:rsid w:val="00AA51E3"/>
    <w:rsid w:val="00AB0E56"/>
    <w:rsid w:val="00AB1309"/>
    <w:rsid w:val="00AC2C52"/>
    <w:rsid w:val="00AD0686"/>
    <w:rsid w:val="00AD1503"/>
    <w:rsid w:val="00AD3B3B"/>
    <w:rsid w:val="00AE1CED"/>
    <w:rsid w:val="00AE7244"/>
    <w:rsid w:val="00AE7A0F"/>
    <w:rsid w:val="00AF3FEE"/>
    <w:rsid w:val="00B02F46"/>
    <w:rsid w:val="00B06060"/>
    <w:rsid w:val="00B2000C"/>
    <w:rsid w:val="00B20ADE"/>
    <w:rsid w:val="00B20B66"/>
    <w:rsid w:val="00B23C4B"/>
    <w:rsid w:val="00B44517"/>
    <w:rsid w:val="00B54A8D"/>
    <w:rsid w:val="00B66B9A"/>
    <w:rsid w:val="00B746EB"/>
    <w:rsid w:val="00B768C2"/>
    <w:rsid w:val="00B82089"/>
    <w:rsid w:val="00B970AE"/>
    <w:rsid w:val="00BA1427"/>
    <w:rsid w:val="00BB4F90"/>
    <w:rsid w:val="00BC36AA"/>
    <w:rsid w:val="00BD0C50"/>
    <w:rsid w:val="00BE49D0"/>
    <w:rsid w:val="00BE5728"/>
    <w:rsid w:val="00BF2C38"/>
    <w:rsid w:val="00C00192"/>
    <w:rsid w:val="00C23331"/>
    <w:rsid w:val="00C265DA"/>
    <w:rsid w:val="00C442F2"/>
    <w:rsid w:val="00C674FE"/>
    <w:rsid w:val="00C727C7"/>
    <w:rsid w:val="00C7297D"/>
    <w:rsid w:val="00C75633"/>
    <w:rsid w:val="00C8242E"/>
    <w:rsid w:val="00C82615"/>
    <w:rsid w:val="00C867DB"/>
    <w:rsid w:val="00C94ABF"/>
    <w:rsid w:val="00CA2A38"/>
    <w:rsid w:val="00CA50FF"/>
    <w:rsid w:val="00CB1780"/>
    <w:rsid w:val="00CB32A6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79E1"/>
    <w:rsid w:val="00D21C89"/>
    <w:rsid w:val="00D3604C"/>
    <w:rsid w:val="00D45542"/>
    <w:rsid w:val="00D77D0F"/>
    <w:rsid w:val="00DA1CF0"/>
    <w:rsid w:val="00DB2271"/>
    <w:rsid w:val="00DB5659"/>
    <w:rsid w:val="00DC24B4"/>
    <w:rsid w:val="00DC4E90"/>
    <w:rsid w:val="00DC5503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17A55"/>
    <w:rsid w:val="00E17A80"/>
    <w:rsid w:val="00E20A01"/>
    <w:rsid w:val="00E22744"/>
    <w:rsid w:val="00E32189"/>
    <w:rsid w:val="00E433C6"/>
    <w:rsid w:val="00E45211"/>
    <w:rsid w:val="00E50224"/>
    <w:rsid w:val="00E7380C"/>
    <w:rsid w:val="00E74BE7"/>
    <w:rsid w:val="00E86CC9"/>
    <w:rsid w:val="00E96624"/>
    <w:rsid w:val="00E96AED"/>
    <w:rsid w:val="00EA3862"/>
    <w:rsid w:val="00EC318F"/>
    <w:rsid w:val="00EC4AC9"/>
    <w:rsid w:val="00EC5776"/>
    <w:rsid w:val="00EE0CA5"/>
    <w:rsid w:val="00F00CA9"/>
    <w:rsid w:val="00F126F1"/>
    <w:rsid w:val="00F13109"/>
    <w:rsid w:val="00F157BA"/>
    <w:rsid w:val="00F16141"/>
    <w:rsid w:val="00F2106A"/>
    <w:rsid w:val="00F34120"/>
    <w:rsid w:val="00F3601B"/>
    <w:rsid w:val="00F36D8B"/>
    <w:rsid w:val="00F401D0"/>
    <w:rsid w:val="00F45F2B"/>
    <w:rsid w:val="00F51602"/>
    <w:rsid w:val="00F57AE4"/>
    <w:rsid w:val="00F57ED2"/>
    <w:rsid w:val="00F60B5A"/>
    <w:rsid w:val="00F6619E"/>
    <w:rsid w:val="00F67150"/>
    <w:rsid w:val="00F74784"/>
    <w:rsid w:val="00F84366"/>
    <w:rsid w:val="00F85089"/>
    <w:rsid w:val="00F85564"/>
    <w:rsid w:val="00F86CFA"/>
    <w:rsid w:val="00FD2867"/>
    <w:rsid w:val="00FD58BD"/>
    <w:rsid w:val="00FE7108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D4DF44D"/>
  <w15:chartTrackingRefBased/>
  <w15:docId w15:val="{99373090-3BB8-4745-9493-A19B5D7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uiPriority w:val="99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C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8C137A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table" w:customStyle="1" w:styleId="TableGrid4">
    <w:name w:val="Table Grid4"/>
    <w:basedOn w:val="TableNormal"/>
    <w:next w:val="TableGrid"/>
    <w:uiPriority w:val="39"/>
    <w:rsid w:val="008C137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C577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51E3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39388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4397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39"/>
    <w:rsid w:val="00660B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ag" TargetMode="External"/><Relationship Id="rId18" Type="http://schemas.openxmlformats.org/officeDocument/2006/relationships/image" Target="media/image2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tu.int/go/tsag" TargetMode="External"/><Relationship Id="rId17" Type="http://schemas.openxmlformats.org/officeDocument/2006/relationships/hyperlink" Target="https://www.itu.int/md/meetingdoc.asp?lang=en&amp;parent=T17-TSB-CIR-0274" TargetMode="External"/><Relationship Id="rId25" Type="http://schemas.openxmlformats.org/officeDocument/2006/relationships/header" Target="header2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ddp/Default.aspx?groupid=T17-TSAG" TargetMode="External"/><Relationship Id="rId20" Type="http://schemas.openxmlformats.org/officeDocument/2006/relationships/hyperlink" Target="https://www.itu.int/net/ITU-T/ddp/Default.aspx?groupid=T17-TSAG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tsag@itu.int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tsag/2017-2020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oleObject" Target="embeddings/oleObject1.bin"/><Relationship Id="rId31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8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Props1.xml><?xml version="1.0" encoding="utf-8"?>
<ds:datastoreItem xmlns:ds="http://schemas.openxmlformats.org/officeDocument/2006/customXml" ds:itemID="{1125A6E7-A8E4-4CC0-9114-8A97B1EDA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e10a323-94a9-4e93-88b4-ea964576960d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Al-Mnini, Lara</cp:lastModifiedBy>
  <cp:revision>7</cp:revision>
  <cp:lastPrinted>2019-05-29T14:24:00Z</cp:lastPrinted>
  <dcterms:created xsi:type="dcterms:W3CDTF">2020-10-13T12:43:00Z</dcterms:created>
  <dcterms:modified xsi:type="dcterms:W3CDTF">2020-10-14T14:44:00Z</dcterms:modified>
  <cp:category>Conference document</cp:category>
</cp:coreProperties>
</file>