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7"/>
        <w:gridCol w:w="67"/>
        <w:gridCol w:w="3493"/>
        <w:gridCol w:w="468"/>
        <w:gridCol w:w="372"/>
        <w:gridCol w:w="1080"/>
        <w:gridCol w:w="3026"/>
      </w:tblGrid>
      <w:tr w:rsidR="009D21D9" w:rsidRPr="00996C21" w:rsidTr="005568B6">
        <w:trPr>
          <w:cantSplit/>
        </w:trPr>
        <w:tc>
          <w:tcPr>
            <w:tcW w:w="1417" w:type="dxa"/>
            <w:vMerge w:val="restart"/>
          </w:tcPr>
          <w:p w:rsidR="009D21D9" w:rsidRPr="00996C21" w:rsidRDefault="009D21D9" w:rsidP="005568B6">
            <w:pPr>
              <w:rPr>
                <w:lang w:val="es-ES_tradnl"/>
              </w:rPr>
            </w:pPr>
            <w:bookmarkStart w:id="0" w:name="InsertLogo"/>
            <w:bookmarkStart w:id="1" w:name="dnum"/>
            <w:bookmarkStart w:id="2" w:name="dtableau"/>
            <w:bookmarkEnd w:id="0"/>
            <w:r w:rsidRPr="00996C21">
              <w:rPr>
                <w:b/>
                <w:noProof/>
                <w:sz w:val="36"/>
                <w:lang w:val="en-GB" w:eastAsia="zh-CN"/>
              </w:rPr>
              <w:drawing>
                <wp:inline distT="0" distB="0" distL="0" distR="0" wp14:anchorId="70FF205C" wp14:editId="0689504D">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rsidR="009D21D9" w:rsidRPr="00996C21" w:rsidRDefault="009D21D9" w:rsidP="005568B6">
            <w:pPr>
              <w:rPr>
                <w:sz w:val="20"/>
                <w:lang w:val="es-ES_tradnl"/>
              </w:rPr>
            </w:pPr>
            <w:r w:rsidRPr="00996C21">
              <w:rPr>
                <w:sz w:val="20"/>
                <w:lang w:val="es-ES_tradnl"/>
              </w:rPr>
              <w:t>UNIÓN INTERNACIONAL DE TELECOMUNICACIONES</w:t>
            </w:r>
          </w:p>
        </w:tc>
        <w:tc>
          <w:tcPr>
            <w:tcW w:w="3026" w:type="dxa"/>
          </w:tcPr>
          <w:p w:rsidR="009D21D9" w:rsidRPr="00996C21" w:rsidRDefault="007461E5" w:rsidP="00034C67">
            <w:pPr>
              <w:pStyle w:val="Docnumber"/>
              <w:rPr>
                <w:b w:val="0"/>
                <w:bCs/>
                <w:szCs w:val="22"/>
                <w:lang w:val="es-ES_tradnl"/>
              </w:rPr>
            </w:pPr>
            <w:r w:rsidRPr="00996C21">
              <w:rPr>
                <w:lang w:val="es-ES_tradnl"/>
              </w:rPr>
              <w:t>TSAG – R</w:t>
            </w:r>
            <w:r w:rsidR="008F0C89" w:rsidRPr="00996C21">
              <w:rPr>
                <w:lang w:val="es-ES_tradnl"/>
              </w:rPr>
              <w:t>2 – S</w:t>
            </w:r>
          </w:p>
        </w:tc>
      </w:tr>
      <w:tr w:rsidR="009D21D9" w:rsidRPr="00996C21" w:rsidTr="005568B6">
        <w:trPr>
          <w:cantSplit/>
          <w:trHeight w:val="355"/>
        </w:trPr>
        <w:tc>
          <w:tcPr>
            <w:tcW w:w="1417" w:type="dxa"/>
            <w:vMerge/>
          </w:tcPr>
          <w:p w:rsidR="009D21D9" w:rsidRPr="00996C21" w:rsidRDefault="009D21D9" w:rsidP="005568B6">
            <w:pPr>
              <w:rPr>
                <w:lang w:val="es-ES_tradnl"/>
              </w:rPr>
            </w:pPr>
            <w:bookmarkStart w:id="3" w:name="ddate"/>
            <w:bookmarkEnd w:id="1"/>
          </w:p>
        </w:tc>
        <w:tc>
          <w:tcPr>
            <w:tcW w:w="4400" w:type="dxa"/>
            <w:gridSpan w:val="4"/>
            <w:vMerge w:val="restart"/>
          </w:tcPr>
          <w:p w:rsidR="009D21D9" w:rsidRPr="00996C21" w:rsidRDefault="009D21D9" w:rsidP="005568B6">
            <w:pPr>
              <w:rPr>
                <w:b/>
                <w:bCs/>
                <w:sz w:val="26"/>
                <w:lang w:val="es-ES_tradnl"/>
              </w:rPr>
            </w:pPr>
            <w:r w:rsidRPr="00996C21">
              <w:rPr>
                <w:b/>
                <w:bCs/>
                <w:sz w:val="26"/>
                <w:lang w:val="es-ES_tradnl"/>
              </w:rPr>
              <w:t>SECTOR DE NORMALIZACIÓN DE LAS TELECOMUNICACIONES</w:t>
            </w:r>
          </w:p>
          <w:p w:rsidR="009D21D9" w:rsidRPr="00996C21" w:rsidRDefault="009D21D9" w:rsidP="005568B6">
            <w:pPr>
              <w:rPr>
                <w:smallCaps/>
                <w:sz w:val="20"/>
                <w:lang w:val="es-ES_tradnl"/>
              </w:rPr>
            </w:pPr>
            <w:r w:rsidRPr="00996C21">
              <w:rPr>
                <w:sz w:val="20"/>
                <w:lang w:val="es-ES_tradnl"/>
              </w:rPr>
              <w:t>PERIODO DE ESTUDIOS 2017-2020</w:t>
            </w:r>
          </w:p>
        </w:tc>
        <w:tc>
          <w:tcPr>
            <w:tcW w:w="4106" w:type="dxa"/>
            <w:gridSpan w:val="2"/>
            <w:vAlign w:val="center"/>
          </w:tcPr>
          <w:p w:rsidR="009D21D9" w:rsidRPr="00996C21" w:rsidRDefault="007461E5" w:rsidP="009D21D9">
            <w:pPr>
              <w:jc w:val="right"/>
              <w:rPr>
                <w:b/>
                <w:bCs/>
                <w:sz w:val="28"/>
                <w:lang w:val="es-ES_tradnl"/>
              </w:rPr>
            </w:pPr>
            <w:r w:rsidRPr="00996C21">
              <w:rPr>
                <w:b/>
                <w:bCs/>
                <w:sz w:val="28"/>
                <w:lang w:val="es-ES_tradnl"/>
              </w:rPr>
              <w:t xml:space="preserve">Abril de </w:t>
            </w:r>
            <w:r w:rsidR="00034C67" w:rsidRPr="00996C21">
              <w:rPr>
                <w:b/>
                <w:bCs/>
                <w:sz w:val="28"/>
                <w:lang w:val="es-ES_tradnl"/>
              </w:rPr>
              <w:t>2018</w:t>
            </w:r>
          </w:p>
        </w:tc>
      </w:tr>
      <w:tr w:rsidR="009D21D9" w:rsidRPr="00996C21" w:rsidTr="005568B6">
        <w:trPr>
          <w:cantSplit/>
          <w:trHeight w:val="780"/>
        </w:trPr>
        <w:tc>
          <w:tcPr>
            <w:tcW w:w="1417" w:type="dxa"/>
            <w:vMerge/>
            <w:tcBorders>
              <w:bottom w:val="single" w:sz="12" w:space="0" w:color="auto"/>
            </w:tcBorders>
          </w:tcPr>
          <w:p w:rsidR="009D21D9" w:rsidRPr="00996C21" w:rsidRDefault="009D21D9" w:rsidP="005568B6">
            <w:pPr>
              <w:rPr>
                <w:lang w:val="es-ES_tradnl"/>
              </w:rPr>
            </w:pPr>
            <w:bookmarkStart w:id="4" w:name="dorlang"/>
            <w:bookmarkEnd w:id="3"/>
          </w:p>
        </w:tc>
        <w:tc>
          <w:tcPr>
            <w:tcW w:w="4400" w:type="dxa"/>
            <w:gridSpan w:val="4"/>
            <w:vMerge/>
            <w:tcBorders>
              <w:bottom w:val="single" w:sz="12" w:space="0" w:color="auto"/>
            </w:tcBorders>
          </w:tcPr>
          <w:p w:rsidR="009D21D9" w:rsidRPr="00996C21" w:rsidRDefault="009D21D9" w:rsidP="005568B6">
            <w:pPr>
              <w:rPr>
                <w:b/>
                <w:bCs/>
                <w:sz w:val="26"/>
                <w:lang w:val="es-ES_tradnl"/>
              </w:rPr>
            </w:pPr>
          </w:p>
        </w:tc>
        <w:tc>
          <w:tcPr>
            <w:tcW w:w="4106" w:type="dxa"/>
            <w:gridSpan w:val="2"/>
            <w:tcBorders>
              <w:bottom w:val="single" w:sz="12" w:space="0" w:color="auto"/>
            </w:tcBorders>
            <w:vAlign w:val="center"/>
          </w:tcPr>
          <w:p w:rsidR="009D21D9" w:rsidRPr="00996C21" w:rsidRDefault="009D21D9" w:rsidP="005568B6">
            <w:pPr>
              <w:jc w:val="right"/>
              <w:rPr>
                <w:b/>
                <w:bCs/>
                <w:sz w:val="28"/>
                <w:lang w:val="es-ES_tradnl"/>
              </w:rPr>
            </w:pPr>
            <w:r w:rsidRPr="00996C21">
              <w:rPr>
                <w:b/>
                <w:bCs/>
                <w:sz w:val="28"/>
                <w:lang w:val="es-ES_tradnl"/>
              </w:rPr>
              <w:t>Original: inglés</w:t>
            </w:r>
          </w:p>
        </w:tc>
      </w:tr>
      <w:tr w:rsidR="009D21D9" w:rsidRPr="00996C21" w:rsidTr="00034C67">
        <w:trPr>
          <w:cantSplit/>
          <w:trHeight w:val="357"/>
        </w:trPr>
        <w:tc>
          <w:tcPr>
            <w:tcW w:w="1484" w:type="dxa"/>
            <w:gridSpan w:val="2"/>
          </w:tcPr>
          <w:p w:rsidR="009D21D9" w:rsidRPr="00996C21" w:rsidRDefault="009D21D9" w:rsidP="005568B6">
            <w:pPr>
              <w:rPr>
                <w:b/>
                <w:bCs/>
                <w:lang w:val="es-ES_tradnl"/>
              </w:rPr>
            </w:pPr>
            <w:bookmarkStart w:id="5" w:name="dbluepink"/>
            <w:bookmarkStart w:id="6" w:name="dmeeting"/>
            <w:bookmarkEnd w:id="4"/>
            <w:r w:rsidRPr="00996C21">
              <w:rPr>
                <w:b/>
                <w:bCs/>
                <w:lang w:val="es-ES_tradnl"/>
              </w:rPr>
              <w:t>Cuestión(es):</w:t>
            </w:r>
          </w:p>
        </w:tc>
        <w:tc>
          <w:tcPr>
            <w:tcW w:w="3493" w:type="dxa"/>
          </w:tcPr>
          <w:p w:rsidR="009D21D9" w:rsidRPr="00996C21" w:rsidRDefault="007461E5" w:rsidP="009D21D9">
            <w:pPr>
              <w:rPr>
                <w:lang w:val="es-ES_tradnl"/>
              </w:rPr>
            </w:pPr>
            <w:r w:rsidRPr="00996C21">
              <w:rPr>
                <w:lang w:val="es-ES_tradnl"/>
              </w:rPr>
              <w:t>–</w:t>
            </w:r>
          </w:p>
        </w:tc>
        <w:tc>
          <w:tcPr>
            <w:tcW w:w="4946" w:type="dxa"/>
            <w:gridSpan w:val="4"/>
          </w:tcPr>
          <w:p w:rsidR="009D21D9" w:rsidRPr="00996C21" w:rsidRDefault="009D21D9" w:rsidP="005568B6">
            <w:pPr>
              <w:jc w:val="right"/>
              <w:rPr>
                <w:lang w:val="es-ES_tradnl"/>
              </w:rPr>
            </w:pPr>
          </w:p>
        </w:tc>
      </w:tr>
      <w:tr w:rsidR="009D21D9" w:rsidRPr="00996C21" w:rsidTr="005568B6">
        <w:trPr>
          <w:cantSplit/>
          <w:trHeight w:val="357"/>
        </w:trPr>
        <w:tc>
          <w:tcPr>
            <w:tcW w:w="9923" w:type="dxa"/>
            <w:gridSpan w:val="7"/>
          </w:tcPr>
          <w:p w:rsidR="008F0C89" w:rsidRPr="00996C21" w:rsidRDefault="008F0C89" w:rsidP="005568B6">
            <w:pPr>
              <w:jc w:val="center"/>
              <w:rPr>
                <w:b/>
                <w:bCs/>
                <w:lang w:val="es-ES_tradnl"/>
              </w:rPr>
            </w:pPr>
            <w:bookmarkStart w:id="7" w:name="dtitle"/>
            <w:bookmarkEnd w:id="5"/>
            <w:bookmarkEnd w:id="6"/>
            <w:r w:rsidRPr="00996C21">
              <w:rPr>
                <w:b/>
                <w:bCs/>
                <w:lang w:val="es-ES_tradnl"/>
              </w:rPr>
              <w:t>GRUPO ASESOR DE NORMALIZACIÓN DE LAS TELECOMUNICACIONES</w:t>
            </w:r>
          </w:p>
          <w:p w:rsidR="009D21D9" w:rsidRPr="00996C21" w:rsidRDefault="009D21D9" w:rsidP="005568B6">
            <w:pPr>
              <w:jc w:val="center"/>
              <w:rPr>
                <w:b/>
                <w:bCs/>
                <w:lang w:val="es-ES_tradnl"/>
              </w:rPr>
            </w:pPr>
            <w:r w:rsidRPr="00996C21">
              <w:rPr>
                <w:b/>
                <w:bCs/>
                <w:lang w:val="es-ES_tradnl"/>
              </w:rPr>
              <w:t>INFORME 2</w:t>
            </w:r>
          </w:p>
        </w:tc>
      </w:tr>
      <w:tr w:rsidR="009D21D9" w:rsidRPr="00996C21" w:rsidTr="00034C67">
        <w:trPr>
          <w:cantSplit/>
          <w:trHeight w:val="357"/>
        </w:trPr>
        <w:tc>
          <w:tcPr>
            <w:tcW w:w="1484" w:type="dxa"/>
            <w:gridSpan w:val="2"/>
          </w:tcPr>
          <w:p w:rsidR="009D21D9" w:rsidRPr="00996C21" w:rsidRDefault="009D21D9" w:rsidP="005568B6">
            <w:pPr>
              <w:rPr>
                <w:b/>
                <w:bCs/>
                <w:lang w:val="es-ES_tradnl"/>
              </w:rPr>
            </w:pPr>
            <w:bookmarkStart w:id="8" w:name="dsource"/>
            <w:bookmarkEnd w:id="7"/>
            <w:r w:rsidRPr="00996C21">
              <w:rPr>
                <w:b/>
                <w:bCs/>
                <w:lang w:val="es-ES_tradnl"/>
              </w:rPr>
              <w:t>Origen:</w:t>
            </w:r>
          </w:p>
        </w:tc>
        <w:tc>
          <w:tcPr>
            <w:tcW w:w="8439" w:type="dxa"/>
            <w:gridSpan w:val="5"/>
          </w:tcPr>
          <w:p w:rsidR="009D21D9" w:rsidRPr="00996C21" w:rsidRDefault="00034C67" w:rsidP="005568B6">
            <w:pPr>
              <w:rPr>
                <w:lang w:val="es-ES_tradnl"/>
              </w:rPr>
            </w:pPr>
            <w:r w:rsidRPr="00996C21">
              <w:rPr>
                <w:lang w:val="es-ES_tradnl"/>
              </w:rPr>
              <w:t>Grupo Asesor de Normalización de las Telecomunicaciones</w:t>
            </w:r>
          </w:p>
        </w:tc>
      </w:tr>
      <w:tr w:rsidR="009D21D9" w:rsidRPr="00996C21" w:rsidTr="00034C67">
        <w:trPr>
          <w:cantSplit/>
          <w:trHeight w:val="357"/>
        </w:trPr>
        <w:tc>
          <w:tcPr>
            <w:tcW w:w="1484" w:type="dxa"/>
            <w:gridSpan w:val="2"/>
          </w:tcPr>
          <w:p w:rsidR="009D21D9" w:rsidRPr="00996C21" w:rsidRDefault="009D21D9" w:rsidP="005568B6">
            <w:pPr>
              <w:spacing w:after="120"/>
              <w:rPr>
                <w:b/>
                <w:bCs/>
                <w:lang w:val="es-ES_tradnl"/>
              </w:rPr>
            </w:pPr>
            <w:bookmarkStart w:id="9" w:name="dtitle1"/>
            <w:bookmarkEnd w:id="8"/>
            <w:r w:rsidRPr="00996C21">
              <w:rPr>
                <w:b/>
                <w:bCs/>
                <w:lang w:val="es-ES_tradnl"/>
              </w:rPr>
              <w:t>Título:</w:t>
            </w:r>
          </w:p>
        </w:tc>
        <w:tc>
          <w:tcPr>
            <w:tcW w:w="8439" w:type="dxa"/>
            <w:gridSpan w:val="5"/>
          </w:tcPr>
          <w:p w:rsidR="009D21D9" w:rsidRPr="00996C21" w:rsidRDefault="00034C67" w:rsidP="00034C67">
            <w:pPr>
              <w:rPr>
                <w:lang w:val="es-ES_tradnl"/>
              </w:rPr>
            </w:pPr>
            <w:r w:rsidRPr="00996C21">
              <w:rPr>
                <w:lang w:val="es-ES_tradnl"/>
              </w:rPr>
              <w:t>Informe de la segunda reunión del GANT, Ginebra</w:t>
            </w:r>
            <w:r w:rsidR="007461E5" w:rsidRPr="00996C21">
              <w:rPr>
                <w:lang w:val="es-ES_tradnl"/>
              </w:rPr>
              <w:t>, 26 de febrero – 2 de marzo de </w:t>
            </w:r>
            <w:r w:rsidRPr="00996C21">
              <w:rPr>
                <w:lang w:val="es-ES_tradnl"/>
              </w:rPr>
              <w:t>2018</w:t>
            </w:r>
          </w:p>
        </w:tc>
      </w:tr>
      <w:tr w:rsidR="009D21D9" w:rsidRPr="00996C21" w:rsidTr="00034C67">
        <w:trPr>
          <w:cantSplit/>
        </w:trPr>
        <w:tc>
          <w:tcPr>
            <w:tcW w:w="1484" w:type="dxa"/>
            <w:gridSpan w:val="2"/>
            <w:tcBorders>
              <w:bottom w:val="single" w:sz="12" w:space="0" w:color="auto"/>
            </w:tcBorders>
          </w:tcPr>
          <w:p w:rsidR="009D21D9" w:rsidRPr="00996C21" w:rsidRDefault="009D21D9" w:rsidP="005568B6">
            <w:pPr>
              <w:rPr>
                <w:b/>
                <w:bCs/>
                <w:lang w:val="es-ES_tradnl"/>
              </w:rPr>
            </w:pPr>
            <w:r w:rsidRPr="00996C21">
              <w:rPr>
                <w:b/>
                <w:bCs/>
                <w:lang w:val="es-ES_tradnl"/>
              </w:rPr>
              <w:t>Objetivo:</w:t>
            </w:r>
          </w:p>
        </w:tc>
        <w:tc>
          <w:tcPr>
            <w:tcW w:w="8439" w:type="dxa"/>
            <w:gridSpan w:val="5"/>
            <w:tcBorders>
              <w:bottom w:val="single" w:sz="12" w:space="0" w:color="auto"/>
            </w:tcBorders>
          </w:tcPr>
          <w:p w:rsidR="009D21D9" w:rsidRPr="00996C21" w:rsidRDefault="00034C67" w:rsidP="005568B6">
            <w:pPr>
              <w:rPr>
                <w:lang w:val="es-ES_tradnl"/>
              </w:rPr>
            </w:pPr>
            <w:r w:rsidRPr="00996C21">
              <w:rPr>
                <w:lang w:val="es-ES_tradnl"/>
              </w:rPr>
              <w:t>Información</w:t>
            </w:r>
          </w:p>
        </w:tc>
      </w:tr>
      <w:tr w:rsidR="009D21D9" w:rsidRPr="00996C21" w:rsidTr="007461E5">
        <w:tblPrEx>
          <w:tblLook w:val="04A0" w:firstRow="1" w:lastRow="0" w:firstColumn="1" w:lastColumn="0" w:noHBand="0" w:noVBand="1"/>
        </w:tblPrEx>
        <w:trPr>
          <w:cantSplit/>
          <w:trHeight w:val="678"/>
        </w:trPr>
        <w:tc>
          <w:tcPr>
            <w:tcW w:w="1484" w:type="dxa"/>
            <w:gridSpan w:val="2"/>
            <w:tcBorders>
              <w:top w:val="single" w:sz="8" w:space="0" w:color="auto"/>
              <w:left w:val="nil"/>
              <w:bottom w:val="single" w:sz="8" w:space="0" w:color="auto"/>
              <w:right w:val="nil"/>
            </w:tcBorders>
            <w:shd w:val="clear" w:color="auto" w:fill="auto"/>
            <w:hideMark/>
          </w:tcPr>
          <w:p w:rsidR="009D21D9" w:rsidRPr="00996C21" w:rsidRDefault="009D21D9" w:rsidP="005568B6">
            <w:pPr>
              <w:rPr>
                <w:lang w:val="es-ES_tradnl"/>
              </w:rPr>
            </w:pPr>
            <w:bookmarkStart w:id="10" w:name="lt_pId019"/>
            <w:bookmarkEnd w:id="2"/>
            <w:bookmarkEnd w:id="9"/>
            <w:r w:rsidRPr="00996C21">
              <w:rPr>
                <w:b/>
                <w:bCs/>
                <w:lang w:val="es-ES_tradnl"/>
              </w:rPr>
              <w:t>Contacto:</w:t>
            </w:r>
            <w:bookmarkEnd w:id="10"/>
            <w:r w:rsidRPr="00996C21">
              <w:rPr>
                <w:lang w:val="es-ES_tradnl"/>
              </w:rPr>
              <w:t xml:space="preserve"> </w:t>
            </w:r>
          </w:p>
        </w:tc>
        <w:tc>
          <w:tcPr>
            <w:tcW w:w="3961" w:type="dxa"/>
            <w:gridSpan w:val="2"/>
            <w:tcBorders>
              <w:top w:val="single" w:sz="8" w:space="0" w:color="auto"/>
              <w:left w:val="nil"/>
              <w:bottom w:val="single" w:sz="8" w:space="0" w:color="auto"/>
              <w:right w:val="nil"/>
            </w:tcBorders>
            <w:shd w:val="clear" w:color="auto" w:fill="auto"/>
            <w:hideMark/>
          </w:tcPr>
          <w:p w:rsidR="009D21D9" w:rsidRPr="00996C21" w:rsidRDefault="00034C67" w:rsidP="00034C67">
            <w:pPr>
              <w:rPr>
                <w:lang w:val="es-ES_tradnl"/>
              </w:rPr>
            </w:pPr>
            <w:r w:rsidRPr="00996C21">
              <w:rPr>
                <w:lang w:val="es-ES_tradnl"/>
              </w:rPr>
              <w:t>Bruce Gracie</w:t>
            </w:r>
            <w:r w:rsidRPr="00996C21">
              <w:rPr>
                <w:lang w:val="es-ES_tradnl"/>
              </w:rPr>
              <w:br/>
              <w:t>Presidente del GANT</w:t>
            </w:r>
          </w:p>
        </w:tc>
        <w:tc>
          <w:tcPr>
            <w:tcW w:w="4478" w:type="dxa"/>
            <w:gridSpan w:val="3"/>
            <w:tcBorders>
              <w:top w:val="single" w:sz="8" w:space="0" w:color="auto"/>
              <w:left w:val="nil"/>
              <w:bottom w:val="single" w:sz="8" w:space="0" w:color="auto"/>
              <w:right w:val="nil"/>
            </w:tcBorders>
            <w:shd w:val="clear" w:color="auto" w:fill="auto"/>
            <w:hideMark/>
          </w:tcPr>
          <w:p w:rsidR="009D21D9" w:rsidRPr="00996C21" w:rsidRDefault="009D21D9" w:rsidP="00034C67">
            <w:pPr>
              <w:rPr>
                <w:lang w:val="es-ES_tradnl"/>
              </w:rPr>
            </w:pPr>
            <w:bookmarkStart w:id="11" w:name="lt_pId021"/>
            <w:r w:rsidRPr="00996C21">
              <w:rPr>
                <w:lang w:val="es-ES_tradnl"/>
              </w:rPr>
              <w:t>Tel.:</w:t>
            </w:r>
            <w:bookmarkEnd w:id="11"/>
            <w:r w:rsidRPr="00996C21">
              <w:rPr>
                <w:lang w:val="es-ES_tradnl"/>
              </w:rPr>
              <w:tab/>
            </w:r>
            <w:r w:rsidRPr="00996C21">
              <w:rPr>
                <w:lang w:val="es-ES_tradnl"/>
              </w:rPr>
              <w:tab/>
              <w:t>+1 613 592-3180</w:t>
            </w:r>
            <w:r w:rsidRPr="00996C21">
              <w:rPr>
                <w:lang w:val="es-ES_tradnl"/>
              </w:rPr>
              <w:br/>
            </w:r>
            <w:bookmarkStart w:id="12" w:name="lt_pId025"/>
            <w:r w:rsidRPr="00996C21">
              <w:rPr>
                <w:lang w:val="es-ES_tradnl"/>
              </w:rPr>
              <w:t>Correo-e:</w:t>
            </w:r>
            <w:bookmarkEnd w:id="12"/>
            <w:r w:rsidRPr="00996C21">
              <w:rPr>
                <w:lang w:val="es-ES_tradnl"/>
              </w:rPr>
              <w:tab/>
            </w:r>
            <w:hyperlink r:id="rId9" w:history="1">
              <w:r w:rsidRPr="00996C21">
                <w:rPr>
                  <w:rStyle w:val="Hyperlink"/>
                  <w:lang w:val="es-ES_tradnl"/>
                </w:rPr>
                <w:t>bruce.gracie@ericsson.com</w:t>
              </w:r>
            </w:hyperlink>
          </w:p>
        </w:tc>
      </w:tr>
    </w:tbl>
    <w:p w:rsidR="007461E5" w:rsidRPr="00996C21" w:rsidRDefault="007461E5">
      <w:pPr>
        <w:rPr>
          <w:lang w:val="es-ES_tradnl"/>
        </w:rPr>
      </w:pPr>
    </w:p>
    <w:tbl>
      <w:tblPr>
        <w:tblW w:w="9923" w:type="dxa"/>
        <w:tblLayout w:type="fixed"/>
        <w:tblCellMar>
          <w:left w:w="57" w:type="dxa"/>
          <w:right w:w="57" w:type="dxa"/>
        </w:tblCellMar>
        <w:tblLook w:val="04A0" w:firstRow="1" w:lastRow="0" w:firstColumn="1" w:lastColumn="0" w:noHBand="0" w:noVBand="1"/>
      </w:tblPr>
      <w:tblGrid>
        <w:gridCol w:w="1701"/>
        <w:gridCol w:w="8222"/>
      </w:tblGrid>
      <w:tr w:rsidR="009D21D9" w:rsidRPr="00996C21" w:rsidTr="007461E5">
        <w:trPr>
          <w:cantSplit/>
          <w:trHeight w:val="299"/>
        </w:trPr>
        <w:tc>
          <w:tcPr>
            <w:tcW w:w="1701" w:type="dxa"/>
            <w:tcBorders>
              <w:left w:val="nil"/>
              <w:right w:val="nil"/>
            </w:tcBorders>
            <w:shd w:val="clear" w:color="auto" w:fill="auto"/>
          </w:tcPr>
          <w:p w:rsidR="009D21D9" w:rsidRPr="00996C21" w:rsidRDefault="009D21D9" w:rsidP="005568B6">
            <w:pPr>
              <w:rPr>
                <w:b/>
                <w:bCs/>
                <w:lang w:val="es-ES_tradnl"/>
              </w:rPr>
            </w:pPr>
            <w:r w:rsidRPr="00996C21">
              <w:rPr>
                <w:b/>
                <w:bCs/>
                <w:lang w:val="es-ES_tradnl"/>
              </w:rPr>
              <w:t>Palabras clave:</w:t>
            </w:r>
          </w:p>
        </w:tc>
        <w:tc>
          <w:tcPr>
            <w:tcW w:w="8222" w:type="dxa"/>
            <w:tcBorders>
              <w:left w:val="nil"/>
              <w:right w:val="nil"/>
            </w:tcBorders>
            <w:shd w:val="clear" w:color="auto" w:fill="auto"/>
          </w:tcPr>
          <w:p w:rsidR="009D21D9" w:rsidRPr="00996C21" w:rsidRDefault="00034C67" w:rsidP="005568B6">
            <w:pPr>
              <w:rPr>
                <w:lang w:val="es-ES_tradnl"/>
              </w:rPr>
            </w:pPr>
            <w:r w:rsidRPr="00996C21">
              <w:rPr>
                <w:lang w:val="es-ES_tradnl"/>
              </w:rPr>
              <w:t>GANT; informe</w:t>
            </w:r>
          </w:p>
        </w:tc>
      </w:tr>
      <w:tr w:rsidR="009D21D9" w:rsidRPr="00996C21" w:rsidTr="007461E5">
        <w:trPr>
          <w:cantSplit/>
          <w:trHeight w:val="839"/>
        </w:trPr>
        <w:tc>
          <w:tcPr>
            <w:tcW w:w="1701" w:type="dxa"/>
            <w:tcBorders>
              <w:left w:val="nil"/>
              <w:right w:val="nil"/>
            </w:tcBorders>
            <w:shd w:val="clear" w:color="auto" w:fill="auto"/>
          </w:tcPr>
          <w:p w:rsidR="009D21D9" w:rsidRPr="00996C21" w:rsidRDefault="009D21D9" w:rsidP="005568B6">
            <w:pPr>
              <w:rPr>
                <w:b/>
                <w:bCs/>
                <w:lang w:val="es-ES_tradnl"/>
              </w:rPr>
            </w:pPr>
            <w:r w:rsidRPr="00996C21">
              <w:rPr>
                <w:b/>
                <w:bCs/>
                <w:lang w:val="es-ES_tradnl"/>
              </w:rPr>
              <w:t>Resumen:</w:t>
            </w:r>
          </w:p>
        </w:tc>
        <w:tc>
          <w:tcPr>
            <w:tcW w:w="8222" w:type="dxa"/>
            <w:tcBorders>
              <w:left w:val="nil"/>
              <w:right w:val="nil"/>
            </w:tcBorders>
            <w:shd w:val="clear" w:color="auto" w:fill="auto"/>
          </w:tcPr>
          <w:p w:rsidR="009D21D9" w:rsidRPr="00996C21" w:rsidRDefault="00034C67" w:rsidP="007461E5">
            <w:pPr>
              <w:spacing w:after="120"/>
              <w:rPr>
                <w:lang w:val="es-ES_tradnl"/>
              </w:rPr>
            </w:pPr>
            <w:r w:rsidRPr="00996C21">
              <w:rPr>
                <w:lang w:val="es-ES_tradnl"/>
              </w:rPr>
              <w:t>Informe de la segunda reunión del Grupo Asesor de Normalización de las Telecomunicaciones del UIT-T (Ginebra, 26 de febrero – 2 de marzo de 2018) del periodo de estudios 2017-2020.</w:t>
            </w:r>
          </w:p>
        </w:tc>
      </w:tr>
    </w:tbl>
    <w:p w:rsidR="009D21D9" w:rsidRPr="00996C21" w:rsidRDefault="00034C67" w:rsidP="007461E5">
      <w:pPr>
        <w:pStyle w:val="Note"/>
        <w:rPr>
          <w:lang w:val="es-ES_tradnl"/>
        </w:rPr>
      </w:pPr>
      <w:r w:rsidRPr="00996C21">
        <w:rPr>
          <w:lang w:val="es-ES_tradnl"/>
        </w:rPr>
        <w:t>NOTA – Todos los documentos presentados y sobre los que se habló o tomó nota en esta reunión del GANT figuran en el orden del día</w:t>
      </w:r>
      <w:r w:rsidR="007461E5" w:rsidRPr="00996C21">
        <w:rPr>
          <w:lang w:val="es-ES_tradnl"/>
        </w:rPr>
        <w:t xml:space="preserve"> (Documentos</w:t>
      </w:r>
      <w:r w:rsidRPr="00996C21">
        <w:rPr>
          <w:lang w:val="es-ES_tradnl"/>
        </w:rPr>
        <w:t xml:space="preserve"> </w:t>
      </w:r>
      <w:hyperlink r:id="rId10" w:history="1">
        <w:r w:rsidRPr="00996C21">
          <w:rPr>
            <w:rStyle w:val="Hyperlink"/>
            <w:lang w:val="es-ES_tradnl"/>
          </w:rPr>
          <w:t>TD125-R1</w:t>
        </w:r>
      </w:hyperlink>
      <w:r w:rsidRPr="00996C21">
        <w:rPr>
          <w:lang w:val="es-ES_tradnl"/>
        </w:rPr>
        <w:t xml:space="preserve"> y </w:t>
      </w:r>
      <w:hyperlink r:id="rId11" w:history="1">
        <w:r w:rsidRPr="00996C21">
          <w:rPr>
            <w:rStyle w:val="Hyperlink"/>
            <w:lang w:val="es-ES_tradnl"/>
          </w:rPr>
          <w:t>TD125-R3</w:t>
        </w:r>
      </w:hyperlink>
      <w:r w:rsidR="007461E5" w:rsidRPr="00996C21">
        <w:rPr>
          <w:lang w:val="es-ES_tradnl"/>
        </w:rPr>
        <w:t>)</w:t>
      </w:r>
      <w:r w:rsidRPr="00996C21">
        <w:rPr>
          <w:lang w:val="es-ES_tradnl"/>
        </w:rPr>
        <w:t xml:space="preserve">. En este </w:t>
      </w:r>
      <w:r w:rsidR="007461E5" w:rsidRPr="00996C21">
        <w:rPr>
          <w:lang w:val="es-ES_tradnl"/>
        </w:rPr>
        <w:t xml:space="preserve">Informe </w:t>
      </w:r>
      <w:r w:rsidRPr="00996C21">
        <w:rPr>
          <w:lang w:val="es-ES_tradnl"/>
        </w:rPr>
        <w:t>se consignan las conclusiones y las medidas adoptadas en la reunión del GANT</w:t>
      </w:r>
      <w:r w:rsidR="007461E5" w:rsidRPr="00996C21">
        <w:rPr>
          <w:vertAlign w:val="superscript"/>
          <w:lang w:val="es-ES_tradnl"/>
        </w:rPr>
        <w:footnoteReference w:id="1"/>
      </w:r>
      <w:r w:rsidRPr="00996C21">
        <w:rPr>
          <w:lang w:val="es-ES_tradnl"/>
        </w:rPr>
        <w:t>.</w:t>
      </w:r>
    </w:p>
    <w:p w:rsidR="009D21D9" w:rsidRPr="00996C21" w:rsidRDefault="009D21D9" w:rsidP="00743203">
      <w:pPr>
        <w:rPr>
          <w:lang w:val="es-ES_tradnl"/>
        </w:rPr>
      </w:pPr>
      <w:r w:rsidRPr="00996C21">
        <w:rPr>
          <w:lang w:val="es-ES_tradnl"/>
        </w:rPr>
        <w:br w:type="page"/>
      </w:r>
    </w:p>
    <w:p w:rsidR="009D21D9" w:rsidRPr="00996C21" w:rsidRDefault="00743203" w:rsidP="00743203">
      <w:pPr>
        <w:pStyle w:val="AnnexNotitle"/>
        <w:rPr>
          <w:lang w:val="es-ES_tradnl"/>
        </w:rPr>
      </w:pPr>
      <w:r w:rsidRPr="00996C21">
        <w:rPr>
          <w:lang w:val="es-ES_tradnl"/>
        </w:rPr>
        <w:lastRenderedPageBreak/>
        <w:t>Índice</w:t>
      </w:r>
    </w:p>
    <w:p w:rsidR="002F35A0" w:rsidRPr="00996C21" w:rsidRDefault="002F35A0" w:rsidP="002F35A0">
      <w:pPr>
        <w:pStyle w:val="toc0"/>
        <w:rPr>
          <w:lang w:val="es-ES_tradnl"/>
        </w:rPr>
      </w:pPr>
      <w:r w:rsidRPr="00996C21">
        <w:rPr>
          <w:lang w:val="es-ES_tradnl"/>
        </w:rPr>
        <w:tab/>
        <w:t>Página</w:t>
      </w:r>
    </w:p>
    <w:p w:rsidR="0046218C" w:rsidRPr="00996C21" w:rsidRDefault="002F35A0">
      <w:pPr>
        <w:pStyle w:val="TOC1"/>
        <w:rPr>
          <w:rFonts w:asciiTheme="minorHAnsi" w:eastAsiaTheme="minorEastAsia" w:hAnsiTheme="minorHAnsi" w:cstheme="minorBidi"/>
          <w:noProof/>
          <w:sz w:val="22"/>
          <w:szCs w:val="22"/>
          <w:lang w:val="es-ES_tradnl" w:eastAsia="zh-CN"/>
        </w:rPr>
      </w:pPr>
      <w:r w:rsidRPr="00996C21">
        <w:rPr>
          <w:lang w:val="es-ES_tradnl"/>
        </w:rPr>
        <w:fldChar w:fldCharType="begin"/>
      </w:r>
      <w:r w:rsidRPr="00996C21">
        <w:rPr>
          <w:lang w:val="es-ES_tradnl"/>
        </w:rPr>
        <w:instrText xml:space="preserve"> TOC \o "1-2" \h \z \t "Annex_No &amp; title,1" </w:instrText>
      </w:r>
      <w:r w:rsidRPr="00996C21">
        <w:rPr>
          <w:lang w:val="es-ES_tradnl"/>
        </w:rPr>
        <w:fldChar w:fldCharType="separate"/>
      </w:r>
      <w:hyperlink w:anchor="_Toc516061185" w:history="1">
        <w:r w:rsidR="0046218C" w:rsidRPr="00996C21">
          <w:rPr>
            <w:rStyle w:val="Hyperlink"/>
            <w:noProof/>
            <w:lang w:val="es-ES_tradnl"/>
          </w:rPr>
          <w:t>1</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Apertura de la reunión por el Presidente del GANT</w:t>
        </w:r>
        <w:r w:rsidR="0046218C" w:rsidRPr="00996C21">
          <w:rPr>
            <w:noProof/>
            <w:webHidden/>
            <w:lang w:val="es-ES_tradnl"/>
          </w:rPr>
          <w:tab/>
        </w:r>
        <w:r w:rsidR="00743203" w:rsidRPr="00996C21">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_Toc516061185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4</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186" w:history="1">
        <w:r w:rsidR="0046218C" w:rsidRPr="00996C21">
          <w:rPr>
            <w:rStyle w:val="Hyperlink"/>
            <w:noProof/>
            <w:lang w:val="es-ES_tradnl"/>
          </w:rPr>
          <w:t>2</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Observaciones preliminares del Vicesecretario General</w:t>
        </w:r>
        <w:r w:rsidR="0046218C" w:rsidRPr="00996C21">
          <w:rPr>
            <w:noProof/>
            <w:webHidden/>
            <w:lang w:val="es-ES_tradnl"/>
          </w:rPr>
          <w:tab/>
        </w:r>
        <w:r w:rsidR="00743203" w:rsidRPr="00996C21">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_Toc516061186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4</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187" w:history="1">
        <w:r w:rsidR="0046218C" w:rsidRPr="00996C21">
          <w:rPr>
            <w:rStyle w:val="Hyperlink"/>
            <w:noProof/>
            <w:lang w:val="es-ES_tradnl"/>
          </w:rPr>
          <w:t>3</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Observaciones preliminares del Director de la TSB Director</w:t>
        </w:r>
        <w:r w:rsidR="0046218C" w:rsidRPr="00996C21">
          <w:rPr>
            <w:noProof/>
            <w:webHidden/>
            <w:lang w:val="es-ES_tradnl"/>
          </w:rPr>
          <w:tab/>
        </w:r>
        <w:r w:rsidR="00743203" w:rsidRPr="00996C21">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_Toc516061187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4</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188" w:history="1">
        <w:r w:rsidR="0046218C" w:rsidRPr="00996C21">
          <w:rPr>
            <w:rStyle w:val="Hyperlink"/>
            <w:noProof/>
            <w:lang w:val="es-ES_tradnl"/>
          </w:rPr>
          <w:t>4</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Comentarios y observaciones del Presidente del GANT</w:t>
        </w:r>
        <w:r w:rsidR="0046218C" w:rsidRPr="00996C21">
          <w:rPr>
            <w:noProof/>
            <w:webHidden/>
            <w:lang w:val="es-ES_tradnl"/>
          </w:rPr>
          <w:tab/>
        </w:r>
        <w:r w:rsidR="00743203" w:rsidRPr="00996C21">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_Toc516061188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4</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189" w:history="1">
        <w:r w:rsidR="0046218C" w:rsidRPr="00996C21">
          <w:rPr>
            <w:rStyle w:val="Hyperlink"/>
            <w:noProof/>
            <w:lang w:val="es-ES_tradnl"/>
          </w:rPr>
          <w:t>5</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Aprobación del orden del día, atribución de documentos y plan de gestión del tiempo</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_Toc516061189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4</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190" w:history="1">
        <w:r w:rsidR="0046218C" w:rsidRPr="00996C21">
          <w:rPr>
            <w:rStyle w:val="Hyperlink"/>
            <w:noProof/>
            <w:lang w:val="es-ES_tradnl"/>
          </w:rPr>
          <w:t>6</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Informe del Director de la TSB</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_Toc516061190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5</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191" w:history="1">
        <w:r w:rsidR="0046218C" w:rsidRPr="00996C21">
          <w:rPr>
            <w:rStyle w:val="Hyperlink"/>
            <w:noProof/>
            <w:lang w:val="es-ES_tradnl"/>
          </w:rPr>
          <w:t>7</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Organización de las labores del GANT durante el periodo de estudios 2017-2020</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_Toc516061191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5</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192" w:history="1">
        <w:r w:rsidR="0046218C" w:rsidRPr="00996C21">
          <w:rPr>
            <w:rStyle w:val="Hyperlink"/>
            <w:noProof/>
            <w:lang w:val="es-ES_tradnl"/>
          </w:rPr>
          <w:t>8</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Grupos Temáticos</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_Toc516061192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6</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193" w:history="1">
        <w:r w:rsidR="0046218C" w:rsidRPr="00996C21">
          <w:rPr>
            <w:rStyle w:val="Hyperlink"/>
            <w:noProof/>
            <w:lang w:val="es-ES_tradnl"/>
          </w:rPr>
          <w:t>9</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Reglamento de las Telecomunicaciones Internacionales (RTI)</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_Toc516061193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6</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194" w:history="1">
        <w:r w:rsidR="00743203" w:rsidRPr="00996C21">
          <w:rPr>
            <w:rStyle w:val="Hyperlink"/>
            <w:noProof/>
            <w:lang w:val="es-ES_tradnl"/>
          </w:rPr>
          <w:t>10</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Avances en la aplicación de la Resolución 187 (Busán, 2014)</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_Toc516061194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7</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195" w:history="1">
        <w:r w:rsidR="00743203" w:rsidRPr="00996C21">
          <w:rPr>
            <w:rStyle w:val="Hyperlink"/>
            <w:noProof/>
            <w:lang w:val="es-ES_tradnl"/>
          </w:rPr>
          <w:t>11</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Equipo Intersectorial de Coordinación (ISCT) de la UIT sobre temas de interés común</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_Toc516061195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7</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196" w:history="1">
        <w:r w:rsidR="0046218C" w:rsidRPr="00996C21">
          <w:rPr>
            <w:rStyle w:val="Hyperlink"/>
            <w:noProof/>
            <w:lang w:val="es-ES_tradnl"/>
          </w:rPr>
          <w:t>12</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Actividad Conjunta de Coordinación sobre Accesibilidad y factores humanos (JCA</w:t>
        </w:r>
        <w:r w:rsidR="0046218C" w:rsidRPr="00996C21">
          <w:rPr>
            <w:rStyle w:val="Hyperlink"/>
            <w:noProof/>
            <w:lang w:val="es-ES_tradnl"/>
          </w:rPr>
          <w:noBreakHyphen/>
          <w:t>AHF)</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_Toc516061196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8</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197" w:history="1">
        <w:r w:rsidR="00743203" w:rsidRPr="00996C21">
          <w:rPr>
            <w:rStyle w:val="Hyperlink"/>
            <w:noProof/>
            <w:lang w:val="es-ES_tradnl"/>
          </w:rPr>
          <w:t>13</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Plan de comunicación</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_Toc516061197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8</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198" w:history="1">
        <w:r w:rsidR="00743203" w:rsidRPr="00996C21">
          <w:rPr>
            <w:rStyle w:val="Hyperlink"/>
            <w:noProof/>
            <w:lang w:val="es-ES_tradnl"/>
          </w:rPr>
          <w:t>14</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Idiomas</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_Toc516061198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8</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199" w:history="1">
        <w:r w:rsidR="0046218C" w:rsidRPr="00996C21">
          <w:rPr>
            <w:rStyle w:val="Hyperlink"/>
            <w:noProof/>
            <w:lang w:val="es-ES_tradnl"/>
          </w:rPr>
          <w:t>15</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Normas para una sociedad basada en los datos</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_Toc516061199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9</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200" w:history="1">
        <w:r w:rsidR="00743203" w:rsidRPr="00996C21">
          <w:rPr>
            <w:rStyle w:val="Hyperlink"/>
            <w:noProof/>
            <w:lang w:val="es-ES_tradnl"/>
          </w:rPr>
          <w:t>16</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Derechos de propiedad intelectual (DPI)</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_Toc516061200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9</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202" w:history="1">
        <w:r w:rsidR="0046218C" w:rsidRPr="00996C21">
          <w:rPr>
            <w:rStyle w:val="Hyperlink"/>
            <w:noProof/>
            <w:lang w:val="es-ES_tradnl"/>
          </w:rPr>
          <w:t>17</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Caleidoscopio</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_Toc516061202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9</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203" w:history="1">
        <w:r w:rsidR="00743203" w:rsidRPr="00996C21">
          <w:rPr>
            <w:rStyle w:val="Hyperlink"/>
            <w:noProof/>
            <w:lang w:val="es-ES_tradnl"/>
          </w:rPr>
          <w:t>18</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ITU Telecom (Durban, Sudáfrica, 10-13 de septiembre de 2018)</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_Toc516061203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10</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204" w:history="1">
        <w:r w:rsidR="0046218C" w:rsidRPr="00996C21">
          <w:rPr>
            <w:rStyle w:val="Hyperlink"/>
            <w:noProof/>
            <w:lang w:val="es-ES_tradnl"/>
          </w:rPr>
          <w:t>19</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Nuevo sistema de registro de reuniones de la UIT</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_Toc516061204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10</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205" w:history="1">
        <w:r w:rsidR="0046218C" w:rsidRPr="00996C21">
          <w:rPr>
            <w:rStyle w:val="Hyperlink"/>
            <w:noProof/>
            <w:lang w:val="es-ES_tradnl"/>
          </w:rPr>
          <w:t>20</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Reducción de la disparidad en materia de normalización</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_Toc516061205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10</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206" w:history="1">
        <w:r w:rsidR="0046218C" w:rsidRPr="00996C21">
          <w:rPr>
            <w:rStyle w:val="Hyperlink"/>
            <w:noProof/>
            <w:lang w:val="es-ES_tradnl"/>
          </w:rPr>
          <w:t>21</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Resultados de los Grupos de Relator del GANT</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_Toc516061206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11</w:t>
        </w:r>
        <w:r w:rsidR="0046218C" w:rsidRPr="00996C21">
          <w:rPr>
            <w:noProof/>
            <w:webHidden/>
            <w:lang w:val="es-ES_tradnl"/>
          </w:rPr>
          <w:fldChar w:fldCharType="end"/>
        </w:r>
      </w:hyperlink>
    </w:p>
    <w:p w:rsidR="0046218C" w:rsidRPr="00996C21" w:rsidRDefault="00006D57">
      <w:pPr>
        <w:pStyle w:val="TOC2"/>
        <w:rPr>
          <w:rFonts w:asciiTheme="minorHAnsi" w:eastAsiaTheme="minorEastAsia" w:hAnsiTheme="minorHAnsi" w:cstheme="minorBidi"/>
          <w:noProof/>
          <w:sz w:val="22"/>
          <w:szCs w:val="22"/>
          <w:lang w:val="es-ES_tradnl" w:eastAsia="zh-CN"/>
        </w:rPr>
      </w:pPr>
      <w:hyperlink w:anchor="_Toc516061207" w:history="1">
        <w:r w:rsidR="0046218C" w:rsidRPr="00996C21">
          <w:rPr>
            <w:rStyle w:val="Hyperlink"/>
            <w:noProof/>
            <w:lang w:val="es-ES_tradnl"/>
          </w:rPr>
          <w:t>21.1</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Grupo de Relator del GANT sobre la estrategia de normalización (GR-StdsStrat)</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_Toc516061207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12</w:t>
        </w:r>
        <w:r w:rsidR="0046218C" w:rsidRPr="00996C21">
          <w:rPr>
            <w:noProof/>
            <w:webHidden/>
            <w:lang w:val="es-ES_tradnl"/>
          </w:rPr>
          <w:fldChar w:fldCharType="end"/>
        </w:r>
      </w:hyperlink>
    </w:p>
    <w:p w:rsidR="0046218C" w:rsidRPr="00996C21" w:rsidRDefault="00006D57">
      <w:pPr>
        <w:pStyle w:val="TOC2"/>
        <w:rPr>
          <w:rFonts w:asciiTheme="minorHAnsi" w:eastAsiaTheme="minorEastAsia" w:hAnsiTheme="minorHAnsi" w:cstheme="minorBidi"/>
          <w:noProof/>
          <w:sz w:val="22"/>
          <w:szCs w:val="22"/>
          <w:lang w:val="es-ES_tradnl" w:eastAsia="zh-CN"/>
        </w:rPr>
      </w:pPr>
      <w:hyperlink w:anchor="_Toc516061208" w:history="1">
        <w:r w:rsidR="0046218C" w:rsidRPr="00996C21">
          <w:rPr>
            <w:rStyle w:val="Hyperlink"/>
            <w:noProof/>
            <w:lang w:val="es-ES_tradnl"/>
          </w:rPr>
          <w:t>21.2</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Grupo de Relator del GANT sobre el programa de trabajo (GR-WP)</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_Toc516061208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12</w:t>
        </w:r>
        <w:r w:rsidR="0046218C" w:rsidRPr="00996C21">
          <w:rPr>
            <w:noProof/>
            <w:webHidden/>
            <w:lang w:val="es-ES_tradnl"/>
          </w:rPr>
          <w:fldChar w:fldCharType="end"/>
        </w:r>
      </w:hyperlink>
    </w:p>
    <w:p w:rsidR="0046218C" w:rsidRPr="00996C21" w:rsidRDefault="00006D57">
      <w:pPr>
        <w:pStyle w:val="TOC2"/>
        <w:rPr>
          <w:rFonts w:asciiTheme="minorHAnsi" w:eastAsiaTheme="minorEastAsia" w:hAnsiTheme="minorHAnsi" w:cstheme="minorBidi"/>
          <w:noProof/>
          <w:sz w:val="22"/>
          <w:szCs w:val="22"/>
          <w:lang w:val="es-ES_tradnl" w:eastAsia="zh-CN"/>
        </w:rPr>
      </w:pPr>
      <w:hyperlink w:anchor="_Toc516061209" w:history="1">
        <w:r w:rsidR="0046218C" w:rsidRPr="00996C21">
          <w:rPr>
            <w:rStyle w:val="Hyperlink"/>
            <w:noProof/>
            <w:lang w:val="es-ES_tradnl"/>
          </w:rPr>
          <w:t>21.3</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Grupo de Relator del GANT sobre los métodos de trabajo (GR-WM)</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_Toc516061209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13</w:t>
        </w:r>
        <w:r w:rsidR="0046218C" w:rsidRPr="00996C21">
          <w:rPr>
            <w:noProof/>
            <w:webHidden/>
            <w:lang w:val="es-ES_tradnl"/>
          </w:rPr>
          <w:fldChar w:fldCharType="end"/>
        </w:r>
      </w:hyperlink>
    </w:p>
    <w:p w:rsidR="0046218C" w:rsidRPr="00996C21" w:rsidRDefault="00006D57">
      <w:pPr>
        <w:pStyle w:val="TOC2"/>
        <w:rPr>
          <w:rFonts w:asciiTheme="minorHAnsi" w:eastAsiaTheme="minorEastAsia" w:hAnsiTheme="minorHAnsi" w:cstheme="minorBidi"/>
          <w:noProof/>
          <w:sz w:val="22"/>
          <w:szCs w:val="22"/>
          <w:lang w:val="es-ES_tradnl" w:eastAsia="zh-CN"/>
        </w:rPr>
      </w:pPr>
      <w:hyperlink w:anchor="_Toc516061210" w:history="1">
        <w:r w:rsidR="0046218C" w:rsidRPr="00996C21">
          <w:rPr>
            <w:rStyle w:val="Hyperlink"/>
            <w:noProof/>
            <w:lang w:val="es-ES_tradnl"/>
          </w:rPr>
          <w:t>21.4</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Grupo de Relator del GANT sobre el fortalecimiento de la colaboración (GR-SC)</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_Toc516061210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13</w:t>
        </w:r>
        <w:r w:rsidR="0046218C" w:rsidRPr="00996C21">
          <w:rPr>
            <w:noProof/>
            <w:webHidden/>
            <w:lang w:val="es-ES_tradnl"/>
          </w:rPr>
          <w:fldChar w:fldCharType="end"/>
        </w:r>
      </w:hyperlink>
    </w:p>
    <w:p w:rsidR="0046218C" w:rsidRPr="00996C21" w:rsidRDefault="00006D57">
      <w:pPr>
        <w:pStyle w:val="TOC2"/>
        <w:rPr>
          <w:rFonts w:asciiTheme="minorHAnsi" w:eastAsiaTheme="minorEastAsia" w:hAnsiTheme="minorHAnsi" w:cstheme="minorBidi"/>
          <w:noProof/>
          <w:sz w:val="22"/>
          <w:szCs w:val="22"/>
          <w:lang w:val="es-ES_tradnl" w:eastAsia="zh-CN"/>
        </w:rPr>
      </w:pPr>
      <w:hyperlink w:anchor="_Toc516061211" w:history="1">
        <w:r w:rsidR="0046218C" w:rsidRPr="00996C21">
          <w:rPr>
            <w:rStyle w:val="Hyperlink"/>
            <w:noProof/>
            <w:lang w:val="es-ES_tradnl"/>
          </w:rPr>
          <w:t>21.5</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Grupo de Relator del GANT sobre el Plan Estratégico y el Plan Operacional (GR</w:t>
        </w:r>
        <w:r w:rsidR="0046218C" w:rsidRPr="00996C21">
          <w:rPr>
            <w:rStyle w:val="Hyperlink"/>
            <w:noProof/>
            <w:lang w:val="es-ES_tradnl"/>
          </w:rPr>
          <w:noBreakHyphen/>
          <w:t>SOP)</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_Toc516061211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13</w:t>
        </w:r>
        <w:r w:rsidR="0046218C" w:rsidRPr="00996C21">
          <w:rPr>
            <w:noProof/>
            <w:webHidden/>
            <w:lang w:val="es-ES_tradnl"/>
          </w:rPr>
          <w:fldChar w:fldCharType="end"/>
        </w:r>
      </w:hyperlink>
    </w:p>
    <w:p w:rsidR="0046218C" w:rsidRPr="00996C21" w:rsidRDefault="00006D57">
      <w:pPr>
        <w:pStyle w:val="TOC2"/>
        <w:rPr>
          <w:rFonts w:asciiTheme="minorHAnsi" w:eastAsiaTheme="minorEastAsia" w:hAnsiTheme="minorHAnsi" w:cstheme="minorBidi"/>
          <w:noProof/>
          <w:sz w:val="22"/>
          <w:szCs w:val="22"/>
          <w:lang w:val="es-ES_tradnl" w:eastAsia="zh-CN"/>
        </w:rPr>
      </w:pPr>
      <w:hyperlink w:anchor="_Toc516061212" w:history="1">
        <w:r w:rsidR="0046218C" w:rsidRPr="00996C21">
          <w:rPr>
            <w:rStyle w:val="Hyperlink"/>
            <w:noProof/>
            <w:lang w:val="es-ES_tradnl"/>
          </w:rPr>
          <w:t>21.6</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Grupo de Relator del GANT sobre el examen de las Resoluciones de la AMNT (GR</w:t>
        </w:r>
        <w:r w:rsidR="0046218C" w:rsidRPr="00996C21">
          <w:rPr>
            <w:rStyle w:val="Hyperlink"/>
            <w:noProof/>
            <w:lang w:val="es-ES_tradnl"/>
          </w:rPr>
          <w:noBreakHyphen/>
          <w:t>ResReview)</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_Toc516061212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14</w:t>
        </w:r>
        <w:r w:rsidR="0046218C" w:rsidRPr="00996C21">
          <w:rPr>
            <w:noProof/>
            <w:webHidden/>
            <w:lang w:val="es-ES_tradnl"/>
          </w:rPr>
          <w:fldChar w:fldCharType="end"/>
        </w:r>
      </w:hyperlink>
    </w:p>
    <w:p w:rsidR="00D50E52" w:rsidRDefault="00D50E52">
      <w:pPr>
        <w:pStyle w:val="TOC1"/>
        <w:rPr>
          <w:noProof/>
          <w:lang w:val="es-ES_tradnl"/>
        </w:rPr>
      </w:pPr>
      <w:r>
        <w:rPr>
          <w:noProof/>
          <w:lang w:val="es-ES_tradnl"/>
        </w:rPr>
        <w:br w:type="page"/>
      </w:r>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213" w:history="1">
        <w:r w:rsidR="0046218C" w:rsidRPr="00996C21">
          <w:rPr>
            <w:rStyle w:val="Hyperlink"/>
            <w:noProof/>
            <w:lang w:val="es-ES_tradnl"/>
          </w:rPr>
          <w:t>22</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Fecha de las próximas reuniones del GANT y calendario de reuniones del UIT-T</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_Toc516061213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14</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214" w:history="1">
        <w:r w:rsidR="00743203" w:rsidRPr="00996C21">
          <w:rPr>
            <w:rStyle w:val="Hyperlink"/>
            <w:noProof/>
            <w:lang w:val="es-ES_tradnl"/>
          </w:rPr>
          <w:t>23</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Nombramiento de representantes de coordinación</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_Toc516061214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14</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215" w:history="1">
        <w:r w:rsidR="00743203" w:rsidRPr="00996C21">
          <w:rPr>
            <w:rStyle w:val="Hyperlink"/>
            <w:noProof/>
            <w:lang w:val="es-ES_tradnl"/>
          </w:rPr>
          <w:t>24</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Otros asuntos</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_Toc516061215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14</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216" w:history="1">
        <w:r w:rsidR="0046218C" w:rsidRPr="00996C21">
          <w:rPr>
            <w:rStyle w:val="Hyperlink"/>
            <w:noProof/>
            <w:lang w:val="es-ES_tradnl"/>
          </w:rPr>
          <w:t>25</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Examen del proyecto de Informe de la reunión</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_Toc516061216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15</w:t>
        </w:r>
        <w:r w:rsidR="0046218C" w:rsidRPr="00996C21">
          <w:rPr>
            <w:noProof/>
            <w:webHidden/>
            <w:lang w:val="es-ES_tradnl"/>
          </w:rPr>
          <w:fldChar w:fldCharType="end"/>
        </w:r>
      </w:hyperlink>
    </w:p>
    <w:p w:rsidR="0046218C" w:rsidRPr="00996C21" w:rsidRDefault="00006D57">
      <w:pPr>
        <w:pStyle w:val="TOC1"/>
        <w:rPr>
          <w:rFonts w:asciiTheme="minorHAnsi" w:eastAsiaTheme="minorEastAsia" w:hAnsiTheme="minorHAnsi" w:cstheme="minorBidi"/>
          <w:noProof/>
          <w:sz w:val="22"/>
          <w:szCs w:val="22"/>
          <w:lang w:val="es-ES_tradnl" w:eastAsia="zh-CN"/>
        </w:rPr>
      </w:pPr>
      <w:hyperlink w:anchor="_Toc516061217" w:history="1">
        <w:r w:rsidR="0046218C" w:rsidRPr="00996C21">
          <w:rPr>
            <w:rStyle w:val="Hyperlink"/>
            <w:noProof/>
            <w:lang w:val="es-ES_tradnl"/>
          </w:rPr>
          <w:t>26</w:t>
        </w:r>
        <w:r w:rsidR="0046218C" w:rsidRPr="00996C21">
          <w:rPr>
            <w:rFonts w:asciiTheme="minorHAnsi" w:eastAsiaTheme="minorEastAsia" w:hAnsiTheme="minorHAnsi" w:cstheme="minorBidi"/>
            <w:noProof/>
            <w:sz w:val="22"/>
            <w:szCs w:val="22"/>
            <w:lang w:val="es-ES_tradnl" w:eastAsia="zh-CN"/>
          </w:rPr>
          <w:tab/>
        </w:r>
        <w:r w:rsidR="0046218C" w:rsidRPr="00996C21">
          <w:rPr>
            <w:rStyle w:val="Hyperlink"/>
            <w:noProof/>
            <w:lang w:val="es-ES_tradnl"/>
          </w:rPr>
          <w:t>Clausura de la reunión</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_Toc516061217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15</w:t>
        </w:r>
        <w:r w:rsidR="0046218C" w:rsidRPr="00996C21">
          <w:rPr>
            <w:noProof/>
            <w:webHidden/>
            <w:lang w:val="es-ES_tradnl"/>
          </w:rPr>
          <w:fldChar w:fldCharType="end"/>
        </w:r>
      </w:hyperlink>
    </w:p>
    <w:p w:rsidR="0046218C" w:rsidRPr="00996C21" w:rsidRDefault="00006D57" w:rsidP="00D50E52">
      <w:pPr>
        <w:pStyle w:val="TOC1"/>
        <w:rPr>
          <w:rFonts w:asciiTheme="minorHAnsi" w:eastAsiaTheme="minorEastAsia" w:hAnsiTheme="minorHAnsi" w:cstheme="minorBidi"/>
          <w:noProof/>
          <w:sz w:val="22"/>
          <w:szCs w:val="22"/>
          <w:lang w:val="es-ES_tradnl" w:eastAsia="zh-CN"/>
        </w:rPr>
      </w:pPr>
      <w:hyperlink w:anchor="_Toc516061218" w:history="1">
        <w:r w:rsidR="0046218C" w:rsidRPr="00996C21">
          <w:rPr>
            <w:rStyle w:val="Hyperlink"/>
            <w:noProof/>
            <w:lang w:val="es-ES_tradnl"/>
          </w:rPr>
          <w:t>Anexo A</w:t>
        </w:r>
        <w:r w:rsidR="00D50E52" w:rsidRPr="00D50E52">
          <w:rPr>
            <w:rStyle w:val="Hyperlink"/>
            <w:noProof/>
            <w:lang w:val="es-ES_tradnl"/>
          </w:rPr>
          <w:t xml:space="preserve"> – </w:t>
        </w:r>
        <w:r w:rsidR="0046218C" w:rsidRPr="00996C21">
          <w:rPr>
            <w:rStyle w:val="Hyperlink"/>
            <w:noProof/>
            <w:lang w:val="es-ES_tradnl"/>
          </w:rPr>
          <w:t>Resumen de los resultados de los Grupos de Relator del GANT</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_Toc516061218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16</w:t>
        </w:r>
        <w:r w:rsidR="0046218C" w:rsidRPr="00996C21">
          <w:rPr>
            <w:noProof/>
            <w:webHidden/>
            <w:lang w:val="es-ES_tradnl"/>
          </w:rPr>
          <w:fldChar w:fldCharType="end"/>
        </w:r>
      </w:hyperlink>
    </w:p>
    <w:p w:rsidR="0046218C" w:rsidRPr="00996C21" w:rsidRDefault="00006D57" w:rsidP="00D50E52">
      <w:pPr>
        <w:pStyle w:val="TOC1"/>
        <w:ind w:left="0" w:firstLine="0"/>
        <w:rPr>
          <w:rFonts w:asciiTheme="minorHAnsi" w:eastAsiaTheme="minorEastAsia" w:hAnsiTheme="minorHAnsi" w:cstheme="minorBidi"/>
          <w:noProof/>
          <w:sz w:val="22"/>
          <w:szCs w:val="22"/>
          <w:lang w:val="es-ES_tradnl" w:eastAsia="zh-CN"/>
        </w:rPr>
      </w:pPr>
      <w:hyperlink w:anchor="_Toc516061219" w:history="1">
        <w:r w:rsidR="0046218C" w:rsidRPr="00996C21">
          <w:rPr>
            <w:rStyle w:val="Hyperlink"/>
            <w:noProof/>
            <w:lang w:val="es-ES_tradnl"/>
          </w:rPr>
          <w:t>Anexo B</w:t>
        </w:r>
        <w:r w:rsidR="00D50E52" w:rsidRPr="00D50E52">
          <w:rPr>
            <w:rStyle w:val="Hyperlink"/>
            <w:noProof/>
            <w:lang w:val="es-ES_tradnl"/>
          </w:rPr>
          <w:t xml:space="preserve"> – </w:t>
        </w:r>
        <w:r w:rsidR="0046218C" w:rsidRPr="00996C21">
          <w:rPr>
            <w:rStyle w:val="Hyperlink"/>
            <w:noProof/>
            <w:lang w:val="es-ES_tradnl"/>
          </w:rPr>
          <w:t>Mandato del nuevo Grupo de Relator sobre el examen de las Resoluciones de la AMNT (GR-ResReview)</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_Toc516061219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18</w:t>
        </w:r>
        <w:r w:rsidR="0046218C" w:rsidRPr="00996C21">
          <w:rPr>
            <w:noProof/>
            <w:webHidden/>
            <w:lang w:val="es-ES_tradnl"/>
          </w:rPr>
          <w:fldChar w:fldCharType="end"/>
        </w:r>
      </w:hyperlink>
    </w:p>
    <w:p w:rsidR="0046218C" w:rsidRPr="00996C21" w:rsidRDefault="00006D57" w:rsidP="00D50E52">
      <w:pPr>
        <w:pStyle w:val="TOC1"/>
        <w:ind w:left="0" w:firstLine="0"/>
        <w:rPr>
          <w:rFonts w:asciiTheme="minorHAnsi" w:eastAsiaTheme="minorEastAsia" w:hAnsiTheme="minorHAnsi" w:cstheme="minorBidi"/>
          <w:noProof/>
          <w:sz w:val="22"/>
          <w:szCs w:val="22"/>
          <w:lang w:val="es-ES_tradnl" w:eastAsia="zh-CN"/>
        </w:rPr>
      </w:pPr>
      <w:hyperlink w:anchor="_Toc516061220" w:history="1">
        <w:r w:rsidR="0046218C" w:rsidRPr="00996C21">
          <w:rPr>
            <w:rStyle w:val="Hyperlink"/>
            <w:noProof/>
            <w:lang w:val="es-ES_tradnl"/>
          </w:rPr>
          <w:t>Anexo C</w:t>
        </w:r>
        <w:r w:rsidR="00D50E52" w:rsidRPr="00D50E52">
          <w:rPr>
            <w:rStyle w:val="Hyperlink"/>
            <w:noProof/>
            <w:lang w:val="es-ES_tradnl"/>
          </w:rPr>
          <w:t xml:space="preserve"> – </w:t>
        </w:r>
        <w:r w:rsidR="0046218C" w:rsidRPr="00996C21">
          <w:rPr>
            <w:rStyle w:val="Hyperlink"/>
            <w:noProof/>
            <w:lang w:val="es-ES_tradnl"/>
          </w:rPr>
          <w:t>Mandato del Grupo de Relator del GANT sobre la estrategia de normalización (GR-StdsStrat)</w:t>
        </w:r>
        <w:r w:rsidR="0046218C" w:rsidRPr="00996C21">
          <w:rPr>
            <w:noProof/>
            <w:webHidden/>
            <w:lang w:val="es-ES_tradnl"/>
          </w:rPr>
          <w:tab/>
        </w:r>
        <w:r w:rsidR="00BD458E">
          <w:rPr>
            <w:noProof/>
            <w:webHidden/>
            <w:lang w:val="es-ES_tradnl"/>
          </w:rPr>
          <w:tab/>
        </w:r>
        <w:r w:rsidR="0046218C" w:rsidRPr="00996C21">
          <w:rPr>
            <w:noProof/>
            <w:webHidden/>
            <w:lang w:val="es-ES_tradnl"/>
          </w:rPr>
          <w:fldChar w:fldCharType="begin"/>
        </w:r>
        <w:r w:rsidR="0046218C" w:rsidRPr="00996C21">
          <w:rPr>
            <w:noProof/>
            <w:webHidden/>
            <w:lang w:val="es-ES_tradnl"/>
          </w:rPr>
          <w:instrText xml:space="preserve"> PAGEREF _Toc516061220 \h </w:instrText>
        </w:r>
        <w:r w:rsidR="0046218C" w:rsidRPr="00996C21">
          <w:rPr>
            <w:noProof/>
            <w:webHidden/>
            <w:lang w:val="es-ES_tradnl"/>
          </w:rPr>
        </w:r>
        <w:r w:rsidR="0046218C" w:rsidRPr="00996C21">
          <w:rPr>
            <w:noProof/>
            <w:webHidden/>
            <w:lang w:val="es-ES_tradnl"/>
          </w:rPr>
          <w:fldChar w:fldCharType="separate"/>
        </w:r>
        <w:r w:rsidR="00BD458E">
          <w:rPr>
            <w:noProof/>
            <w:webHidden/>
            <w:lang w:val="es-ES_tradnl"/>
          </w:rPr>
          <w:t>19</w:t>
        </w:r>
        <w:r w:rsidR="0046218C" w:rsidRPr="00996C21">
          <w:rPr>
            <w:noProof/>
            <w:webHidden/>
            <w:lang w:val="es-ES_tradnl"/>
          </w:rPr>
          <w:fldChar w:fldCharType="end"/>
        </w:r>
      </w:hyperlink>
    </w:p>
    <w:p w:rsidR="00034C67" w:rsidRPr="00996C21" w:rsidRDefault="002F35A0" w:rsidP="002F35A0">
      <w:pPr>
        <w:pStyle w:val="TOC1"/>
        <w:rPr>
          <w:lang w:val="es-ES_tradnl"/>
        </w:rPr>
      </w:pPr>
      <w:r w:rsidRPr="00996C21">
        <w:rPr>
          <w:lang w:val="es-ES_tradnl"/>
        </w:rPr>
        <w:fldChar w:fldCharType="end"/>
      </w:r>
      <w:r w:rsidRPr="00996C21">
        <w:rPr>
          <w:lang w:val="es-ES_tradnl"/>
        </w:rPr>
        <w:br w:type="page"/>
      </w:r>
    </w:p>
    <w:p w:rsidR="00034C67" w:rsidRPr="00996C21" w:rsidRDefault="00034C67" w:rsidP="00034C67">
      <w:pPr>
        <w:pStyle w:val="Heading1"/>
        <w:rPr>
          <w:lang w:val="es-ES_tradnl"/>
        </w:rPr>
      </w:pPr>
      <w:bookmarkStart w:id="13" w:name="_Toc488140310"/>
      <w:bookmarkStart w:id="14" w:name="_Toc516061185"/>
      <w:r w:rsidRPr="00996C21">
        <w:rPr>
          <w:lang w:val="es-ES_tradnl"/>
        </w:rPr>
        <w:lastRenderedPageBreak/>
        <w:t>1</w:t>
      </w:r>
      <w:r w:rsidRPr="00996C21">
        <w:rPr>
          <w:lang w:val="es-ES_tradnl"/>
        </w:rPr>
        <w:tab/>
        <w:t>Apertura de la reunión por el Presidente del GANT</w:t>
      </w:r>
      <w:bookmarkEnd w:id="13"/>
      <w:bookmarkEnd w:id="14"/>
    </w:p>
    <w:p w:rsidR="00034C67" w:rsidRPr="00996C21" w:rsidRDefault="00034C67" w:rsidP="00743203">
      <w:pPr>
        <w:rPr>
          <w:b/>
          <w:bCs/>
          <w:lang w:val="es-ES_tradnl"/>
        </w:rPr>
      </w:pPr>
      <w:bookmarkStart w:id="15" w:name="lt_pId030"/>
      <w:r w:rsidRPr="00996C21">
        <w:rPr>
          <w:lang w:val="es-ES_tradnl"/>
        </w:rPr>
        <w:t>El Presidente del GANT, el Sr. Bruce Gracie (Ericsson Canad</w:t>
      </w:r>
      <w:r w:rsidR="00743203" w:rsidRPr="00996C21">
        <w:rPr>
          <w:lang w:val="es-ES_tradnl"/>
        </w:rPr>
        <w:t>á</w:t>
      </w:r>
      <w:r w:rsidRPr="00996C21">
        <w:rPr>
          <w:lang w:val="es-ES_tradnl"/>
        </w:rPr>
        <w:t xml:space="preserve">), dio la bienvenida a los participantes en la segunda reunión del Grupo Asesor de Normalización de las Telecomunicaciones (GANT) del periodo de estudios 2017-2020, que se celebró en las instalaciones de la UIT en Ginebra del </w:t>
      </w:r>
      <w:bookmarkEnd w:id="15"/>
      <w:r w:rsidRPr="00996C21">
        <w:rPr>
          <w:lang w:val="es-ES_tradnl"/>
        </w:rPr>
        <w:t>26 de febrero al 2 de marzo de 2018.</w:t>
      </w:r>
    </w:p>
    <w:p w:rsidR="00353194" w:rsidRPr="00996C21" w:rsidRDefault="00034C67" w:rsidP="00743203">
      <w:pPr>
        <w:rPr>
          <w:lang w:val="es-ES_tradnl"/>
        </w:rPr>
      </w:pPr>
      <w:r w:rsidRPr="00996C21">
        <w:rPr>
          <w:lang w:val="es-ES_tradnl"/>
        </w:rPr>
        <w:t>1.1</w:t>
      </w:r>
      <w:r w:rsidRPr="00996C21">
        <w:rPr>
          <w:lang w:val="es-ES_tradnl"/>
        </w:rPr>
        <w:tab/>
        <w:t xml:space="preserve">Los participantes en </w:t>
      </w:r>
      <w:r w:rsidR="002D05FE" w:rsidRPr="00996C21">
        <w:rPr>
          <w:lang w:val="es-ES_tradnl"/>
        </w:rPr>
        <w:t>la</w:t>
      </w:r>
      <w:r w:rsidRPr="00996C21">
        <w:rPr>
          <w:lang w:val="es-ES_tradnl"/>
        </w:rPr>
        <w:t xml:space="preserve"> reunión del GANT, incluidas sus seis reuniones del Grupo de Relator, dispusieron de mecanismos de subtitulado en tiempo real, interpretación en seis idiomas, participación a distancia y difusión por la web.</w:t>
      </w:r>
    </w:p>
    <w:p w:rsidR="00353194" w:rsidRPr="00996C21" w:rsidRDefault="00034C67" w:rsidP="00743203">
      <w:pPr>
        <w:rPr>
          <w:lang w:val="es-ES_tradnl"/>
        </w:rPr>
      </w:pPr>
      <w:r w:rsidRPr="00996C21">
        <w:rPr>
          <w:lang w:val="es-ES_tradnl"/>
        </w:rPr>
        <w:t>1.2</w:t>
      </w:r>
      <w:r w:rsidRPr="00996C21">
        <w:rPr>
          <w:lang w:val="es-ES_tradnl"/>
        </w:rPr>
        <w:tab/>
        <w:t>El Sr. Gracie dio la bienvenida a los funcionarios de elección, el Sr. Malcolm Johnson (Vicesecretario General), el Sr. Chaesub Lee (Director de la TSB) y el Sr. Brahima Sanou (Director de la BDT).</w:t>
      </w:r>
    </w:p>
    <w:p w:rsidR="00353194" w:rsidRPr="00996C21" w:rsidRDefault="00353194" w:rsidP="00743203">
      <w:pPr>
        <w:rPr>
          <w:lang w:val="es-ES_tradnl"/>
        </w:rPr>
      </w:pPr>
      <w:r w:rsidRPr="00996C21">
        <w:rPr>
          <w:lang w:val="es-ES_tradnl"/>
        </w:rPr>
        <w:t>1.3</w:t>
      </w:r>
      <w:r w:rsidRPr="00996C21">
        <w:rPr>
          <w:lang w:val="es-ES_tradnl"/>
        </w:rPr>
        <w:tab/>
      </w:r>
      <w:r w:rsidR="002D05FE" w:rsidRPr="00996C21">
        <w:rPr>
          <w:lang w:val="es-ES_tradnl"/>
        </w:rPr>
        <w:t>En la reunión p</w:t>
      </w:r>
      <w:r w:rsidRPr="00996C21">
        <w:rPr>
          <w:lang w:val="es-ES_tradnl"/>
        </w:rPr>
        <w:t>articiparon los siguientes vicepresidentes del GANT: la Sra. Rim Belhassine-Cherif (Tún</w:t>
      </w:r>
      <w:r w:rsidR="00743203" w:rsidRPr="00996C21">
        <w:rPr>
          <w:lang w:val="es-ES_tradnl"/>
        </w:rPr>
        <w:t xml:space="preserve">ez), la Sra. Weiling Xu (China, </w:t>
      </w:r>
      <w:r w:rsidRPr="00996C21">
        <w:rPr>
          <w:lang w:val="es-ES_tradnl"/>
        </w:rPr>
        <w:t>República Popular de), el Sr. Reiner Liebler (Alemania), el Sr. Víctor Manuel Martínez Vanegas (México), el Sr. Vladimir Minkin (Federación de Rusia) y el Sr. Matano Ndaro (Kenya). La Sra. Monique Morrow (Estados Unidos) y el Sr. Omar Tayseer Al-Odat (Jordania) no pudieron asistir.</w:t>
      </w:r>
    </w:p>
    <w:p w:rsidR="00034C67" w:rsidRPr="00996C21" w:rsidRDefault="00034C67" w:rsidP="009F7E4F">
      <w:pPr>
        <w:pStyle w:val="Heading1"/>
        <w:rPr>
          <w:lang w:val="es-ES_tradnl"/>
        </w:rPr>
      </w:pPr>
      <w:bookmarkStart w:id="16" w:name="_Toc488140311"/>
      <w:bookmarkStart w:id="17" w:name="_Toc516061186"/>
      <w:r w:rsidRPr="00996C21">
        <w:rPr>
          <w:lang w:val="es-ES_tradnl"/>
        </w:rPr>
        <w:t>2</w:t>
      </w:r>
      <w:r w:rsidRPr="00996C21">
        <w:rPr>
          <w:lang w:val="es-ES_tradnl"/>
        </w:rPr>
        <w:tab/>
        <w:t>Observaciones preliminares del Vicesecretario General</w:t>
      </w:r>
      <w:bookmarkEnd w:id="16"/>
      <w:bookmarkEnd w:id="17"/>
    </w:p>
    <w:p w:rsidR="00034C67" w:rsidRPr="00996C21" w:rsidRDefault="00034C67" w:rsidP="009F7E4F">
      <w:pPr>
        <w:rPr>
          <w:lang w:val="es-ES_tradnl"/>
        </w:rPr>
      </w:pPr>
      <w:r w:rsidRPr="00996C21">
        <w:rPr>
          <w:lang w:val="es-ES_tradnl"/>
        </w:rPr>
        <w:t>El Vicesecretario General de la UIT presentó las observaciones preliminares (en el Documento</w:t>
      </w:r>
      <w:r w:rsidR="00743203" w:rsidRPr="00996C21">
        <w:rPr>
          <w:lang w:val="es-ES_tradnl"/>
        </w:rPr>
        <w:t> </w:t>
      </w:r>
      <w:hyperlink r:id="rId12" w:history="1">
        <w:r w:rsidRPr="00996C21">
          <w:rPr>
            <w:rStyle w:val="Hyperlink"/>
            <w:lang w:val="es-ES_tradnl"/>
          </w:rPr>
          <w:t>TD168</w:t>
        </w:r>
      </w:hyperlink>
      <w:r w:rsidRPr="00996C21">
        <w:rPr>
          <w:lang w:val="es-ES_tradnl"/>
        </w:rPr>
        <w:t>).</w:t>
      </w:r>
    </w:p>
    <w:p w:rsidR="00034C67" w:rsidRPr="00996C21" w:rsidRDefault="00034C67" w:rsidP="003321E6">
      <w:pPr>
        <w:pStyle w:val="Heading1"/>
        <w:rPr>
          <w:lang w:val="es-ES_tradnl"/>
        </w:rPr>
      </w:pPr>
      <w:bookmarkStart w:id="18" w:name="_Toc488140312"/>
      <w:bookmarkStart w:id="19" w:name="_Toc516061187"/>
      <w:r w:rsidRPr="00996C21">
        <w:rPr>
          <w:lang w:val="es-ES_tradnl"/>
        </w:rPr>
        <w:t>3</w:t>
      </w:r>
      <w:r w:rsidRPr="00996C21">
        <w:rPr>
          <w:lang w:val="es-ES_tradnl"/>
        </w:rPr>
        <w:tab/>
        <w:t>Observaciones preliminares del Director de la TSB</w:t>
      </w:r>
      <w:bookmarkEnd w:id="18"/>
      <w:bookmarkEnd w:id="19"/>
    </w:p>
    <w:p w:rsidR="00034C67" w:rsidRPr="00996C21" w:rsidRDefault="00034C67" w:rsidP="003321E6">
      <w:pPr>
        <w:rPr>
          <w:lang w:val="es-ES_tradnl"/>
        </w:rPr>
      </w:pPr>
      <w:r w:rsidRPr="00996C21">
        <w:rPr>
          <w:lang w:val="es-ES_tradnl"/>
        </w:rPr>
        <w:t xml:space="preserve">El Director de la TSB dio la bienvenida a todos los delegados a la segunda reunión del GANT del periodo de estudios 2017-2020 (véase el Documento </w:t>
      </w:r>
      <w:hyperlink r:id="rId13" w:history="1">
        <w:r w:rsidRPr="00996C21">
          <w:rPr>
            <w:rStyle w:val="Hyperlink"/>
            <w:lang w:val="es-ES_tradnl"/>
          </w:rPr>
          <w:t>TD169</w:t>
        </w:r>
      </w:hyperlink>
      <w:r w:rsidRPr="00996C21">
        <w:rPr>
          <w:lang w:val="es-ES_tradnl"/>
        </w:rPr>
        <w:t>).</w:t>
      </w:r>
    </w:p>
    <w:p w:rsidR="009F7E4F" w:rsidRPr="00996C21" w:rsidRDefault="009F7E4F" w:rsidP="009F7E4F">
      <w:pPr>
        <w:pStyle w:val="Heading1"/>
        <w:rPr>
          <w:lang w:val="es-ES_tradnl"/>
        </w:rPr>
      </w:pPr>
      <w:bookmarkStart w:id="20" w:name="_Toc488140313"/>
      <w:bookmarkStart w:id="21" w:name="_Toc516061188"/>
      <w:r w:rsidRPr="00996C21">
        <w:rPr>
          <w:lang w:val="es-ES_tradnl"/>
        </w:rPr>
        <w:t>4</w:t>
      </w:r>
      <w:r w:rsidRPr="00996C21">
        <w:rPr>
          <w:lang w:val="es-ES_tradnl"/>
        </w:rPr>
        <w:tab/>
        <w:t>Comentarios y observaciones del Presidente del GANT</w:t>
      </w:r>
      <w:bookmarkEnd w:id="20"/>
      <w:bookmarkEnd w:id="21"/>
    </w:p>
    <w:p w:rsidR="009F7E4F" w:rsidRPr="00996C21" w:rsidRDefault="00637098" w:rsidP="00637098">
      <w:pPr>
        <w:rPr>
          <w:lang w:val="es-ES_tradnl"/>
        </w:rPr>
      </w:pPr>
      <w:r w:rsidRPr="00996C21">
        <w:rPr>
          <w:lang w:val="es-ES_tradnl"/>
        </w:rPr>
        <w:t>4.1</w:t>
      </w:r>
      <w:r w:rsidR="00B73B3E" w:rsidRPr="00996C21">
        <w:rPr>
          <w:lang w:val="es-ES_tradnl"/>
        </w:rPr>
        <w:tab/>
      </w:r>
      <w:r w:rsidR="009F7E4F" w:rsidRPr="00996C21">
        <w:rPr>
          <w:lang w:val="es-ES_tradnl"/>
        </w:rPr>
        <w:t>El Presidente del GANT subrayó que el grupo se reúne actualmente cada nueve meses aproximadamente y que su tercera reunión está prevista para diciembre de 2018. La reunión actual del GANT se organizó de manera que los documentos se presentaran una sola vez, en sesión plenaria o en uno de los Grupos de Relator, cinco de los cuales ya habían sido organizados. El Presidente recordó a l</w:t>
      </w:r>
      <w:r w:rsidR="00B73B3E" w:rsidRPr="00996C21">
        <w:rPr>
          <w:lang w:val="es-ES_tradnl"/>
        </w:rPr>
        <w:t>os participantes en la</w:t>
      </w:r>
      <w:r w:rsidR="009F7E4F" w:rsidRPr="00996C21">
        <w:rPr>
          <w:lang w:val="es-ES_tradnl"/>
        </w:rPr>
        <w:t xml:space="preserve"> reunión que tuviera</w:t>
      </w:r>
      <w:r w:rsidR="00B73B3E" w:rsidRPr="00996C21">
        <w:rPr>
          <w:lang w:val="es-ES_tradnl"/>
        </w:rPr>
        <w:t>n</w:t>
      </w:r>
      <w:r w:rsidR="009F7E4F" w:rsidRPr="00996C21">
        <w:rPr>
          <w:lang w:val="es-ES_tradnl"/>
        </w:rPr>
        <w:t xml:space="preserve"> en cuenta las próximas reuniones del Consejo de la UIT y del Grupo de Trabajo del Consejo de la UIT de abril de 2018 y la Conferencia de Plenipotenciarios de octubre de 2018. El Sr. Gracie anunció una reunión especial sobre los Documentos TD255 y TD154, en la que se abordarían cuestiones relativas a derechos de autor y que tendría lugar durante la pausa del almuerzo del lunes 26 de febrero de 2018.</w:t>
      </w:r>
    </w:p>
    <w:p w:rsidR="00034C67" w:rsidRPr="00996C21" w:rsidRDefault="009F7E4F" w:rsidP="00637098">
      <w:pPr>
        <w:rPr>
          <w:lang w:val="es-ES_tradnl"/>
        </w:rPr>
      </w:pPr>
      <w:r w:rsidRPr="00996C21">
        <w:rPr>
          <w:lang w:val="es-ES_tradnl"/>
        </w:rPr>
        <w:t>4.2</w:t>
      </w:r>
      <w:r w:rsidRPr="00996C21">
        <w:rPr>
          <w:lang w:val="es-ES_tradnl"/>
        </w:rPr>
        <w:tab/>
        <w:t xml:space="preserve">El Presidente de la CE 20 informó a la reunión sobre la reunión prevista de </w:t>
      </w:r>
      <w:r w:rsidR="00B73B3E" w:rsidRPr="00996C21">
        <w:rPr>
          <w:lang w:val="es-ES_tradnl"/>
        </w:rPr>
        <w:t>su</w:t>
      </w:r>
      <w:r w:rsidRPr="00996C21">
        <w:rPr>
          <w:lang w:val="es-ES_tradnl"/>
        </w:rPr>
        <w:t xml:space="preserve"> comisión en China (</w:t>
      </w:r>
      <w:r w:rsidR="00637098" w:rsidRPr="00996C21">
        <w:rPr>
          <w:lang w:val="es-ES_tradnl"/>
        </w:rPr>
        <w:t>República Popular de</w:t>
      </w:r>
      <w:r w:rsidRPr="00996C21">
        <w:rPr>
          <w:lang w:val="es-ES_tradnl"/>
        </w:rPr>
        <w:t>) en diciembre de 2018, que coincide con una reunión prevista del GANT y preguntó si se podría encontrar otra fecha para esa reunión del GANT.</w:t>
      </w:r>
    </w:p>
    <w:p w:rsidR="009F7E4F" w:rsidRPr="00996C21" w:rsidRDefault="009F7E4F" w:rsidP="009F7E4F">
      <w:pPr>
        <w:pStyle w:val="Heading1"/>
        <w:rPr>
          <w:lang w:val="es-ES_tradnl"/>
        </w:rPr>
      </w:pPr>
      <w:bookmarkStart w:id="22" w:name="_Toc516061189"/>
      <w:r w:rsidRPr="00996C21">
        <w:rPr>
          <w:lang w:val="es-ES_tradnl"/>
        </w:rPr>
        <w:t>5</w:t>
      </w:r>
      <w:r w:rsidRPr="00996C21">
        <w:rPr>
          <w:lang w:val="es-ES_tradnl"/>
        </w:rPr>
        <w:tab/>
        <w:t>Aprobación del orden del día, atribución de documentos y plan de gestión del tiempo</w:t>
      </w:r>
      <w:bookmarkEnd w:id="22"/>
    </w:p>
    <w:p w:rsidR="009F7E4F" w:rsidRPr="00996C21" w:rsidRDefault="009F7E4F" w:rsidP="00FA3D5C">
      <w:pPr>
        <w:rPr>
          <w:lang w:val="es-ES_tradnl"/>
        </w:rPr>
      </w:pPr>
      <w:r w:rsidRPr="00996C21">
        <w:rPr>
          <w:lang w:val="es-ES_tradnl"/>
        </w:rPr>
        <w:t>5.1</w:t>
      </w:r>
      <w:r w:rsidRPr="00996C21">
        <w:rPr>
          <w:lang w:val="es-ES_tradnl"/>
        </w:rPr>
        <w:tab/>
        <w:t>El Presidente del GANT presentó el proyecto de orden del día, la atribución de documentos y el plan de trabajo (</w:t>
      </w:r>
      <w:hyperlink r:id="rId14" w:history="1">
        <w:r w:rsidRPr="00996C21">
          <w:rPr>
            <w:rStyle w:val="Hyperlink"/>
            <w:lang w:val="es-ES_tradnl"/>
          </w:rPr>
          <w:t>TD125-R1</w:t>
        </w:r>
      </w:hyperlink>
      <w:r w:rsidRPr="00996C21">
        <w:rPr>
          <w:lang w:val="es-ES_tradnl"/>
        </w:rPr>
        <w:t xml:space="preserve">). </w:t>
      </w:r>
      <w:bookmarkStart w:id="23" w:name="lt_pId050"/>
      <w:r w:rsidRPr="00996C21">
        <w:rPr>
          <w:lang w:val="es-ES_tradnl"/>
        </w:rPr>
        <w:t>Se adoptó el Documento TD125-R1</w:t>
      </w:r>
      <w:r w:rsidR="0038444D" w:rsidRPr="00996C21">
        <w:rPr>
          <w:lang w:val="es-ES_tradnl"/>
        </w:rPr>
        <w:t>,</w:t>
      </w:r>
      <w:r w:rsidRPr="00996C21">
        <w:rPr>
          <w:lang w:val="es-ES_tradnl"/>
        </w:rPr>
        <w:t xml:space="preserve"> y </w:t>
      </w:r>
      <w:r w:rsidR="0038444D" w:rsidRPr="00996C21">
        <w:rPr>
          <w:lang w:val="es-ES_tradnl"/>
        </w:rPr>
        <w:t xml:space="preserve">el Documento </w:t>
      </w:r>
      <w:r w:rsidRPr="00996C21">
        <w:rPr>
          <w:lang w:val="es-ES_tradnl"/>
        </w:rPr>
        <w:t>C35 pasó al punto 10.2 del orden del día.</w:t>
      </w:r>
      <w:bookmarkEnd w:id="23"/>
      <w:r w:rsidRPr="00996C21">
        <w:rPr>
          <w:lang w:val="es-ES_tradnl"/>
        </w:rPr>
        <w:t xml:space="preserve"> </w:t>
      </w:r>
      <w:bookmarkStart w:id="24" w:name="lt_pId051"/>
      <w:r w:rsidRPr="00996C21">
        <w:rPr>
          <w:lang w:val="es-ES_tradnl"/>
        </w:rPr>
        <w:t>El GANT aceptó el plan de gestión del tiempo en el Documento</w:t>
      </w:r>
      <w:r w:rsidR="007665B9" w:rsidRPr="00996C21">
        <w:rPr>
          <w:lang w:val="es-ES_tradnl"/>
        </w:rPr>
        <w:t> </w:t>
      </w:r>
      <w:hyperlink r:id="rId15" w:history="1">
        <w:r w:rsidRPr="00996C21">
          <w:rPr>
            <w:rStyle w:val="Hyperlink"/>
            <w:lang w:val="es-ES_tradnl"/>
          </w:rPr>
          <w:t>TD124-R1</w:t>
        </w:r>
      </w:hyperlink>
      <w:r w:rsidRPr="00996C21">
        <w:rPr>
          <w:lang w:val="es-ES_tradnl"/>
        </w:rPr>
        <w:t xml:space="preserve"> y el resumen de l</w:t>
      </w:r>
      <w:r w:rsidR="0038444D" w:rsidRPr="00996C21">
        <w:rPr>
          <w:lang w:val="es-ES_tradnl"/>
        </w:rPr>
        <w:t xml:space="preserve">os planes de trabajo </w:t>
      </w:r>
      <w:r w:rsidRPr="00996C21">
        <w:rPr>
          <w:lang w:val="es-ES_tradnl"/>
        </w:rPr>
        <w:t xml:space="preserve">e informes en el Documento </w:t>
      </w:r>
      <w:hyperlink r:id="rId16" w:history="1">
        <w:r w:rsidRPr="00996C21">
          <w:rPr>
            <w:rStyle w:val="Hyperlink"/>
            <w:bCs/>
            <w:lang w:val="es-ES_tradnl"/>
          </w:rPr>
          <w:t>TD123</w:t>
        </w:r>
      </w:hyperlink>
      <w:r w:rsidRPr="00996C21">
        <w:rPr>
          <w:lang w:val="es-ES_tradnl"/>
        </w:rPr>
        <w:t>.</w:t>
      </w:r>
      <w:bookmarkEnd w:id="24"/>
    </w:p>
    <w:p w:rsidR="009F7E4F" w:rsidRPr="00996C21" w:rsidRDefault="009F7E4F" w:rsidP="007F5425">
      <w:pPr>
        <w:rPr>
          <w:lang w:val="es-ES_tradnl"/>
        </w:rPr>
      </w:pPr>
      <w:r w:rsidRPr="00996C21">
        <w:rPr>
          <w:lang w:val="es-ES_tradnl"/>
        </w:rPr>
        <w:lastRenderedPageBreak/>
        <w:t>5.2</w:t>
      </w:r>
      <w:r w:rsidRPr="00996C21">
        <w:rPr>
          <w:lang w:val="es-ES_tradnl"/>
        </w:rPr>
        <w:tab/>
        <w:t xml:space="preserve">El Documento </w:t>
      </w:r>
      <w:hyperlink r:id="rId17" w:history="1">
        <w:r w:rsidRPr="00996C21">
          <w:rPr>
            <w:rStyle w:val="Hyperlink"/>
            <w:lang w:val="es-ES_tradnl"/>
          </w:rPr>
          <w:t>TD125-R3</w:t>
        </w:r>
      </w:hyperlink>
      <w:r w:rsidRPr="00996C21">
        <w:rPr>
          <w:lang w:val="es-ES_tradnl"/>
        </w:rPr>
        <w:t xml:space="preserve"> contiene el orden del día de la sesión plenaria de clausura del GANT, celebrada el 2 de marzo de 2018, el cual fue finalmente adoptado.</w:t>
      </w:r>
    </w:p>
    <w:p w:rsidR="00C141A8" w:rsidRPr="00996C21" w:rsidRDefault="009F7E4F" w:rsidP="007F5425">
      <w:pPr>
        <w:rPr>
          <w:lang w:val="es-ES_tradnl"/>
        </w:rPr>
      </w:pPr>
      <w:r w:rsidRPr="00996C21">
        <w:rPr>
          <w:lang w:val="es-ES_tradnl"/>
        </w:rPr>
        <w:t>5.3</w:t>
      </w:r>
      <w:r w:rsidR="00C141A8" w:rsidRPr="00996C21">
        <w:rPr>
          <w:lang w:val="es-ES_tradnl"/>
        </w:rPr>
        <w:tab/>
        <w:t>D</w:t>
      </w:r>
      <w:r w:rsidRPr="00996C21">
        <w:rPr>
          <w:lang w:val="es-ES_tradnl"/>
        </w:rPr>
        <w:t>ebido a una urgencia de carácter familiar, el Sr. Gracie no pudo participar en la reunión</w:t>
      </w:r>
      <w:r w:rsidR="00C141A8" w:rsidRPr="00996C21">
        <w:rPr>
          <w:lang w:val="es-ES_tradnl"/>
        </w:rPr>
        <w:t xml:space="preserve"> </w:t>
      </w:r>
      <w:r w:rsidRPr="00996C21">
        <w:rPr>
          <w:lang w:val="es-ES_tradnl"/>
        </w:rPr>
        <w:t xml:space="preserve">los tres últimos días. </w:t>
      </w:r>
      <w:r w:rsidR="00C141A8" w:rsidRPr="00996C21">
        <w:rPr>
          <w:lang w:val="es-ES_tradnl"/>
        </w:rPr>
        <w:t>El Vicepresidente del GANT, el Sr. Vladimir Minkin (Federación de Rusia), accedió amablemente a actuar como Presidente en funciones durante el resto de la reunión y presidió la plenaria de clausura el 2 de marzo de 2018.</w:t>
      </w:r>
    </w:p>
    <w:p w:rsidR="009F7E4F" w:rsidRPr="00996C21" w:rsidRDefault="009F7E4F" w:rsidP="009F7E4F">
      <w:pPr>
        <w:pStyle w:val="Heading1"/>
        <w:rPr>
          <w:lang w:val="es-ES_tradnl"/>
        </w:rPr>
      </w:pPr>
      <w:bookmarkStart w:id="25" w:name="_Toc516061190"/>
      <w:r w:rsidRPr="00996C21">
        <w:rPr>
          <w:lang w:val="es-ES_tradnl"/>
        </w:rPr>
        <w:t>6</w:t>
      </w:r>
      <w:r w:rsidRPr="00996C21">
        <w:rPr>
          <w:lang w:val="es-ES_tradnl"/>
        </w:rPr>
        <w:tab/>
        <w:t>Informe del Director de la TSB</w:t>
      </w:r>
      <w:bookmarkEnd w:id="25"/>
    </w:p>
    <w:p w:rsidR="009F7E4F" w:rsidRPr="00996C21" w:rsidRDefault="009F7E4F" w:rsidP="007F0903">
      <w:pPr>
        <w:rPr>
          <w:lang w:val="es-ES_tradnl"/>
        </w:rPr>
      </w:pPr>
      <w:bookmarkStart w:id="26" w:name="lt_pId056"/>
      <w:r w:rsidRPr="00996C21">
        <w:rPr>
          <w:lang w:val="es-ES_tradnl"/>
        </w:rPr>
        <w:t>6.1</w:t>
      </w:r>
      <w:r w:rsidRPr="00996C21">
        <w:rPr>
          <w:lang w:val="es-ES_tradnl"/>
        </w:rPr>
        <w:tab/>
        <w:t xml:space="preserve">El Director de la TSB presentó el informe de actividades (Documento </w:t>
      </w:r>
      <w:hyperlink r:id="rId18" w:history="1">
        <w:r w:rsidRPr="00996C21">
          <w:rPr>
            <w:rStyle w:val="Hyperlink"/>
            <w:lang w:val="es-ES_tradnl"/>
          </w:rPr>
          <w:t>TD138</w:t>
        </w:r>
      </w:hyperlink>
      <w:r w:rsidRPr="00996C21">
        <w:rPr>
          <w:lang w:val="es-ES_tradnl"/>
        </w:rPr>
        <w:t>, diapositiva que figura en el Addéndum 1) en el que se destacan los resultados principales logrados en la normalización del UIT-T desde abril de 2017 hasta enero de 2018.</w:t>
      </w:r>
      <w:bookmarkEnd w:id="26"/>
      <w:r w:rsidRPr="00996C21">
        <w:rPr>
          <w:lang w:val="es-ES_tradnl"/>
        </w:rPr>
        <w:t xml:space="preserve"> </w:t>
      </w:r>
      <w:bookmarkStart w:id="27" w:name="lt_pId057"/>
      <w:r w:rsidRPr="00996C21">
        <w:rPr>
          <w:lang w:val="es-ES_tradnl"/>
        </w:rPr>
        <w:t xml:space="preserve">El GANT tomó nota del </w:t>
      </w:r>
      <w:r w:rsidR="007F0903" w:rsidRPr="00996C21">
        <w:rPr>
          <w:lang w:val="es-ES_tradnl"/>
        </w:rPr>
        <w:t xml:space="preserve">Informe </w:t>
      </w:r>
      <w:r w:rsidRPr="00996C21">
        <w:rPr>
          <w:lang w:val="es-ES_tradnl"/>
        </w:rPr>
        <w:t>del Director de la TSB.</w:t>
      </w:r>
      <w:bookmarkEnd w:id="27"/>
    </w:p>
    <w:p w:rsidR="009F7E4F" w:rsidRPr="00996C21" w:rsidRDefault="009F7E4F" w:rsidP="007F0903">
      <w:pPr>
        <w:rPr>
          <w:lang w:val="es-ES_tradnl"/>
        </w:rPr>
      </w:pPr>
      <w:bookmarkStart w:id="28" w:name="lt_pId058"/>
      <w:r w:rsidRPr="00996C21">
        <w:rPr>
          <w:lang w:val="es-ES_tradnl"/>
        </w:rPr>
        <w:t>6.2</w:t>
      </w:r>
      <w:r w:rsidRPr="00996C21">
        <w:rPr>
          <w:lang w:val="es-ES_tradnl"/>
        </w:rPr>
        <w:tab/>
        <w:t>La TSB presentó la versión actualizada del Plan de Acción de la AMNT-16 (Documento</w:t>
      </w:r>
      <w:r w:rsidR="00812D53" w:rsidRPr="00996C21">
        <w:rPr>
          <w:lang w:val="es-ES_tradnl"/>
        </w:rPr>
        <w:t> </w:t>
      </w:r>
      <w:hyperlink r:id="rId19" w:history="1">
        <w:r w:rsidRPr="00996C21">
          <w:rPr>
            <w:rStyle w:val="Hyperlink"/>
            <w:lang w:val="es-ES_tradnl"/>
          </w:rPr>
          <w:t>TD139-R1</w:t>
        </w:r>
      </w:hyperlink>
      <w:r w:rsidRPr="00996C21">
        <w:rPr>
          <w:lang w:val="es-ES_tradnl"/>
        </w:rPr>
        <w:t>), que es un instrumento de monitorización y presentación de informes para hacer un seguimiento de la aplicación de las Resoluciones y la Opinión de la AMNT-16.</w:t>
      </w:r>
      <w:bookmarkEnd w:id="28"/>
      <w:r w:rsidRPr="00996C21">
        <w:rPr>
          <w:lang w:val="es-ES_tradnl"/>
        </w:rPr>
        <w:t xml:space="preserve"> </w:t>
      </w:r>
      <w:bookmarkStart w:id="29" w:name="lt_pId059"/>
      <w:r w:rsidRPr="00996C21">
        <w:rPr>
          <w:lang w:val="es-ES_tradnl"/>
        </w:rPr>
        <w:t>Las a</w:t>
      </w:r>
      <w:r w:rsidR="00812D53" w:rsidRPr="00996C21">
        <w:rPr>
          <w:lang w:val="es-ES_tradnl"/>
        </w:rPr>
        <w:t>ctualizaciones abarcaban el peri</w:t>
      </w:r>
      <w:r w:rsidRPr="00996C21">
        <w:rPr>
          <w:lang w:val="es-ES_tradnl"/>
        </w:rPr>
        <w:t>odo de abril de 2017 a febrero de 2018.</w:t>
      </w:r>
      <w:bookmarkEnd w:id="29"/>
      <w:r w:rsidRPr="00996C21">
        <w:rPr>
          <w:lang w:val="es-ES_tradnl"/>
        </w:rPr>
        <w:t xml:space="preserve"> </w:t>
      </w:r>
      <w:bookmarkStart w:id="30" w:name="lt_pId060"/>
      <w:r w:rsidRPr="00996C21">
        <w:rPr>
          <w:lang w:val="es-ES_tradnl"/>
        </w:rPr>
        <w:t>El GANT tomó nota del documento.</w:t>
      </w:r>
      <w:bookmarkEnd w:id="30"/>
    </w:p>
    <w:p w:rsidR="009F7E4F" w:rsidRPr="00996C21" w:rsidRDefault="009F7E4F" w:rsidP="009F7E4F">
      <w:pPr>
        <w:pStyle w:val="Heading1"/>
        <w:rPr>
          <w:lang w:val="es-ES_tradnl"/>
        </w:rPr>
      </w:pPr>
      <w:bookmarkStart w:id="31" w:name="_Toc516061191"/>
      <w:r w:rsidRPr="00996C21">
        <w:rPr>
          <w:lang w:val="es-ES_tradnl"/>
        </w:rPr>
        <w:t>7</w:t>
      </w:r>
      <w:r w:rsidRPr="00996C21">
        <w:rPr>
          <w:lang w:val="es-ES_tradnl"/>
        </w:rPr>
        <w:tab/>
        <w:t>Organización de las labores del GANT durante el periodo de estudios 2017-2020</w:t>
      </w:r>
      <w:bookmarkEnd w:id="31"/>
    </w:p>
    <w:p w:rsidR="009F7E4F" w:rsidRPr="00996C21" w:rsidRDefault="009F7E4F" w:rsidP="00620861">
      <w:pPr>
        <w:rPr>
          <w:lang w:val="es-ES_tradnl"/>
        </w:rPr>
      </w:pPr>
      <w:bookmarkStart w:id="32" w:name="lt_pId062"/>
      <w:bookmarkStart w:id="33" w:name="_Ref508112641"/>
      <w:r w:rsidRPr="00996C21">
        <w:rPr>
          <w:lang w:val="es-ES_tradnl"/>
        </w:rPr>
        <w:t>7.1</w:t>
      </w:r>
      <w:r w:rsidRPr="00996C21">
        <w:rPr>
          <w:lang w:val="es-ES_tradnl"/>
        </w:rPr>
        <w:tab/>
        <w:t xml:space="preserve">El Sr. Minkin, Vicepresidente del GANT, basándose en la decisión del grupo de mayo de 2017 de establecer un nuevo Grupo de Relator sobre el examen de las Resoluciones de la AMNT (GR-ResReview), propuso en el Documento </w:t>
      </w:r>
      <w:hyperlink r:id="rId20" w:history="1">
        <w:r w:rsidRPr="00996C21">
          <w:rPr>
            <w:rStyle w:val="Hyperlink"/>
            <w:lang w:val="es-ES_tradnl"/>
          </w:rPr>
          <w:t>TD143</w:t>
        </w:r>
      </w:hyperlink>
      <w:r w:rsidRPr="00996C21">
        <w:rPr>
          <w:lang w:val="es-ES_tradnl"/>
        </w:rPr>
        <w:t xml:space="preserve"> el mandato del GR-ResReview.</w:t>
      </w:r>
      <w:bookmarkEnd w:id="32"/>
      <w:r w:rsidRPr="00996C21">
        <w:rPr>
          <w:lang w:val="es-ES_tradnl"/>
        </w:rPr>
        <w:t xml:space="preserve"> </w:t>
      </w:r>
      <w:bookmarkStart w:id="34" w:name="lt_pId063"/>
      <w:r w:rsidRPr="00996C21">
        <w:rPr>
          <w:lang w:val="es-ES_tradnl"/>
        </w:rPr>
        <w:t>Algunas administraciones, si bien apoyaban el principio, señalaron los resultados bastante limitados que han tenido en el pasado ejercicios similares en los tres Sectores y en el Conferencia de Plenipotenciarios.</w:t>
      </w:r>
      <w:bookmarkEnd w:id="34"/>
      <w:r w:rsidRPr="00996C21">
        <w:rPr>
          <w:lang w:val="es-ES_tradnl"/>
        </w:rPr>
        <w:t xml:space="preserve"> </w:t>
      </w:r>
      <w:bookmarkStart w:id="35" w:name="lt_pId064"/>
      <w:r w:rsidRPr="00996C21">
        <w:rPr>
          <w:lang w:val="es-ES_tradnl"/>
        </w:rPr>
        <w:t>Se sugirió que se estudiara la posibilidad de racionalizar Resoluciones de la Conferencia de Plenipotenciarios con respecto a Resolucion</w:t>
      </w:r>
      <w:r w:rsidR="00620861" w:rsidRPr="00996C21">
        <w:rPr>
          <w:lang w:val="es-ES_tradnl"/>
        </w:rPr>
        <w:t>es de los Sectores para el peri</w:t>
      </w:r>
      <w:r w:rsidRPr="00996C21">
        <w:rPr>
          <w:lang w:val="es-ES_tradnl"/>
        </w:rPr>
        <w:t>odo posterior a la PP-18 y los cuatro años siguientes.</w:t>
      </w:r>
      <w:bookmarkEnd w:id="35"/>
      <w:r w:rsidRPr="00996C21">
        <w:rPr>
          <w:lang w:val="es-ES_tradnl"/>
        </w:rPr>
        <w:t xml:space="preserve"> </w:t>
      </w:r>
      <w:bookmarkStart w:id="36" w:name="lt_pId065"/>
      <w:r w:rsidRPr="00996C21">
        <w:rPr>
          <w:lang w:val="es-ES_tradnl"/>
        </w:rPr>
        <w:t>Se necesitaría una acción coordinada de los Estados Miembros en los tres Sectores para que esa iniciativa pudiese ser eficaz.</w:t>
      </w:r>
      <w:bookmarkEnd w:id="33"/>
      <w:bookmarkEnd w:id="36"/>
    </w:p>
    <w:p w:rsidR="009F7E4F" w:rsidRPr="00996C21" w:rsidRDefault="009F7E4F" w:rsidP="00AF38CA">
      <w:pPr>
        <w:rPr>
          <w:lang w:val="es-ES_tradnl"/>
        </w:rPr>
      </w:pPr>
      <w:bookmarkStart w:id="37" w:name="lt_pId066"/>
      <w:r w:rsidRPr="00996C21">
        <w:rPr>
          <w:lang w:val="es-ES_tradnl"/>
        </w:rPr>
        <w:t xml:space="preserve">Se acordó enviar una </w:t>
      </w:r>
      <w:r w:rsidR="00AF38CA" w:rsidRPr="00996C21">
        <w:rPr>
          <w:lang w:val="es-ES_tradnl"/>
        </w:rPr>
        <w:t xml:space="preserve">Declaración </w:t>
      </w:r>
      <w:r w:rsidRPr="00996C21">
        <w:rPr>
          <w:lang w:val="es-ES_tradnl"/>
        </w:rPr>
        <w:t>de coordinación al GAR y a</w:t>
      </w:r>
      <w:r w:rsidR="00AF38CA" w:rsidRPr="00996C21">
        <w:rPr>
          <w:lang w:val="es-ES_tradnl"/>
        </w:rPr>
        <w:t>l GADT sobre la creación del GR</w:t>
      </w:r>
      <w:r w:rsidR="00AF38CA" w:rsidRPr="00996C21">
        <w:rPr>
          <w:lang w:val="es-ES_tradnl"/>
        </w:rPr>
        <w:noBreakHyphen/>
      </w:r>
      <w:r w:rsidRPr="00996C21">
        <w:rPr>
          <w:lang w:val="es-ES_tradnl"/>
        </w:rPr>
        <w:t>ResReview y sobre las labores que se espera de ese grupo.</w:t>
      </w:r>
      <w:bookmarkEnd w:id="37"/>
      <w:r w:rsidRPr="00996C21">
        <w:rPr>
          <w:lang w:val="es-ES_tradnl"/>
        </w:rPr>
        <w:t xml:space="preserve"> </w:t>
      </w:r>
      <w:bookmarkStart w:id="38" w:name="lt_pId067"/>
      <w:r w:rsidRPr="00996C21">
        <w:rPr>
          <w:lang w:val="es-ES_tradnl"/>
        </w:rPr>
        <w:t>Se invitó al Director de la TSB a incorporar esa información en su informe para la próxima reunión del Consejo de la UIT para la preparación de la Conferencia de Plenipotenciarios de 2018.</w:t>
      </w:r>
      <w:bookmarkEnd w:id="38"/>
    </w:p>
    <w:p w:rsidR="009F7E4F" w:rsidRPr="00996C21" w:rsidRDefault="009F7E4F" w:rsidP="00AF38CA">
      <w:pPr>
        <w:rPr>
          <w:lang w:val="es-ES_tradnl"/>
        </w:rPr>
      </w:pPr>
      <w:bookmarkStart w:id="39" w:name="lt_pId068"/>
      <w:r w:rsidRPr="00996C21">
        <w:rPr>
          <w:lang w:val="es-ES_tradnl"/>
        </w:rPr>
        <w:t>G3ict expresó su preocupación por una nueva dilución de la Resolución 175 (Rev. Busán</w:t>
      </w:r>
      <w:r w:rsidR="00AF38CA" w:rsidRPr="00996C21">
        <w:rPr>
          <w:lang w:val="es-ES_tradnl"/>
        </w:rPr>
        <w:t>,</w:t>
      </w:r>
      <w:r w:rsidRPr="00996C21">
        <w:rPr>
          <w:lang w:val="es-ES_tradnl"/>
        </w:rPr>
        <w:t xml:space="preserve"> 2014) y de la Resolución 70 (Rev. Hammamet, 2016) y propuso en su lugar ampliar esas Resoluciones.</w:t>
      </w:r>
      <w:bookmarkEnd w:id="39"/>
    </w:p>
    <w:p w:rsidR="009F7E4F" w:rsidRPr="00996C21" w:rsidRDefault="009F7E4F" w:rsidP="00AF38CA">
      <w:pPr>
        <w:rPr>
          <w:lang w:val="es-ES_tradnl"/>
        </w:rPr>
      </w:pPr>
      <w:bookmarkStart w:id="40" w:name="lt_pId069"/>
      <w:r w:rsidRPr="00996C21">
        <w:rPr>
          <w:lang w:val="es-ES_tradnl"/>
        </w:rPr>
        <w:t>Otros Estados Miembros observaron una creciente duplicación de las Resoluciones en los Sectores y solicitaron una mayor contribución y espíritu de equipo para raci</w:t>
      </w:r>
      <w:r w:rsidR="00AF38CA" w:rsidRPr="00996C21">
        <w:rPr>
          <w:lang w:val="es-ES_tradnl"/>
        </w:rPr>
        <w:t>onalizar las Resoluciones de la </w:t>
      </w:r>
      <w:r w:rsidRPr="00996C21">
        <w:rPr>
          <w:lang w:val="es-ES_tradnl"/>
        </w:rPr>
        <w:t>AMNT.</w:t>
      </w:r>
      <w:bookmarkEnd w:id="40"/>
    </w:p>
    <w:p w:rsidR="009F7E4F" w:rsidRPr="00996C21" w:rsidRDefault="009F7E4F" w:rsidP="00AF38CA">
      <w:pPr>
        <w:rPr>
          <w:lang w:val="es-ES_tradnl"/>
        </w:rPr>
      </w:pPr>
      <w:bookmarkStart w:id="41" w:name="lt_pId070"/>
      <w:r w:rsidRPr="00996C21">
        <w:rPr>
          <w:lang w:val="es-ES_tradnl"/>
        </w:rPr>
        <w:t>El GANT adoptó la propuesta del Documento TD143 y creó el nuevo Grupo de Relator sobre el examen de las Resoluciones de la AMNT (GR-ResReview).</w:t>
      </w:r>
      <w:bookmarkEnd w:id="41"/>
    </w:p>
    <w:p w:rsidR="009F7E4F" w:rsidRPr="00996C21" w:rsidRDefault="009F7E4F" w:rsidP="00996C21">
      <w:pPr>
        <w:rPr>
          <w:lang w:val="es-ES_tradnl"/>
        </w:rPr>
      </w:pPr>
      <w:bookmarkStart w:id="42" w:name="lt_pId071"/>
      <w:r w:rsidRPr="00996C21">
        <w:rPr>
          <w:lang w:val="es-ES_tradnl"/>
        </w:rPr>
        <w:t>7.2</w:t>
      </w:r>
      <w:r w:rsidRPr="00996C21">
        <w:rPr>
          <w:lang w:val="es-ES_tradnl"/>
        </w:rPr>
        <w:tab/>
        <w:t>El GANT designó al Sr. Vladimir Minkin (Fede</w:t>
      </w:r>
      <w:r w:rsidR="00C32B4B" w:rsidRPr="00996C21">
        <w:rPr>
          <w:lang w:val="es-ES_tradnl"/>
        </w:rPr>
        <w:t>ración de Rusia) Relator del GR</w:t>
      </w:r>
      <w:r w:rsidR="00C32B4B" w:rsidRPr="00996C21">
        <w:rPr>
          <w:lang w:val="es-ES_tradnl"/>
        </w:rPr>
        <w:noBreakHyphen/>
      </w:r>
      <w:r w:rsidRPr="00996C21">
        <w:rPr>
          <w:lang w:val="es-ES_tradnl"/>
        </w:rPr>
        <w:t>ResReview.</w:t>
      </w:r>
      <w:bookmarkEnd w:id="42"/>
    </w:p>
    <w:p w:rsidR="009F7E4F" w:rsidRPr="00996C21" w:rsidRDefault="00FD40CF" w:rsidP="00FD40CF">
      <w:pPr>
        <w:pStyle w:val="Heading1"/>
        <w:rPr>
          <w:lang w:val="es-ES_tradnl"/>
        </w:rPr>
      </w:pPr>
      <w:bookmarkStart w:id="43" w:name="_Toc516061192"/>
      <w:r w:rsidRPr="00996C21">
        <w:rPr>
          <w:lang w:val="es-ES_tradnl"/>
        </w:rPr>
        <w:lastRenderedPageBreak/>
        <w:t>8</w:t>
      </w:r>
      <w:r w:rsidRPr="00996C21">
        <w:rPr>
          <w:lang w:val="es-ES_tradnl"/>
        </w:rPr>
        <w:tab/>
        <w:t>Grupos Temáticos</w:t>
      </w:r>
      <w:bookmarkEnd w:id="43"/>
    </w:p>
    <w:p w:rsidR="00FD40CF" w:rsidRPr="00996C21" w:rsidRDefault="00FD40CF" w:rsidP="00A44806">
      <w:pPr>
        <w:rPr>
          <w:lang w:val="es-ES_tradnl"/>
        </w:rPr>
      </w:pPr>
      <w:bookmarkStart w:id="44" w:name="lt_pId073"/>
      <w:r w:rsidRPr="00996C21">
        <w:rPr>
          <w:lang w:val="es-ES_tradnl"/>
        </w:rPr>
        <w:t>8.1</w:t>
      </w:r>
      <w:r w:rsidRPr="00996C21">
        <w:rPr>
          <w:lang w:val="es-ES_tradnl"/>
        </w:rPr>
        <w:tab/>
        <w:t xml:space="preserve">El GANT tomó nota del informe provisional (en el Documento </w:t>
      </w:r>
      <w:hyperlink r:id="rId21" w:history="1">
        <w:r w:rsidRPr="00996C21">
          <w:rPr>
            <w:rStyle w:val="Hyperlink"/>
            <w:lang w:val="es-ES_tradnl"/>
          </w:rPr>
          <w:t>TD145</w:t>
        </w:r>
      </w:hyperlink>
      <w:r w:rsidRPr="00996C21">
        <w:rPr>
          <w:lang w:val="es-ES_tradnl"/>
        </w:rPr>
        <w:t>) presentado a distancia por el Sr. David Watrin, Presidente del Grupo Temático sobre la Aplicación de Tecnología de Libro Mayor Distribuido (FG-DLT) del UIT-T.</w:t>
      </w:r>
      <w:bookmarkEnd w:id="44"/>
    </w:p>
    <w:p w:rsidR="00FD40CF" w:rsidRPr="00996C21" w:rsidRDefault="00FD40CF" w:rsidP="00A44806">
      <w:pPr>
        <w:rPr>
          <w:lang w:val="es-ES_tradnl"/>
        </w:rPr>
      </w:pPr>
      <w:bookmarkStart w:id="45" w:name="lt_pId074"/>
      <w:r w:rsidRPr="00996C21">
        <w:rPr>
          <w:lang w:val="es-ES_tradnl"/>
        </w:rPr>
        <w:t>8.2</w:t>
      </w:r>
      <w:r w:rsidRPr="00996C21">
        <w:rPr>
          <w:lang w:val="es-ES_tradnl"/>
        </w:rPr>
        <w:tab/>
        <w:t xml:space="preserve">El GANT tomó nota del informe provisional (en el Documento </w:t>
      </w:r>
      <w:hyperlink r:id="rId22" w:history="1">
        <w:r w:rsidRPr="00996C21">
          <w:rPr>
            <w:rStyle w:val="Hyperlink"/>
            <w:lang w:val="es-ES_tradnl"/>
          </w:rPr>
          <w:t>TD146</w:t>
        </w:r>
      </w:hyperlink>
      <w:r w:rsidRPr="00996C21">
        <w:rPr>
          <w:lang w:val="es-ES_tradnl"/>
        </w:rPr>
        <w:t>) presentado por el Sr. Ahmed Said, Vicepresidente del Grupo Temático sobre la divisa electrónica, incluida la divisa electrónica fiat, (FG-DFC) del UIT-T.</w:t>
      </w:r>
      <w:bookmarkEnd w:id="45"/>
    </w:p>
    <w:p w:rsidR="00FD40CF" w:rsidRPr="00996C21" w:rsidRDefault="00FD40CF" w:rsidP="00A44806">
      <w:pPr>
        <w:rPr>
          <w:bCs/>
          <w:lang w:val="es-ES_tradnl"/>
        </w:rPr>
      </w:pPr>
      <w:bookmarkStart w:id="46" w:name="lt_pId075"/>
      <w:r w:rsidRPr="00996C21">
        <w:rPr>
          <w:lang w:val="es-ES_tradnl"/>
        </w:rPr>
        <w:t>8.3</w:t>
      </w:r>
      <w:r w:rsidRPr="00996C21">
        <w:rPr>
          <w:lang w:val="es-ES_tradnl"/>
        </w:rPr>
        <w:tab/>
        <w:t>El GANT tomó nota del nuevo Grupo Temático establecido por la CE 13, el Grupo Temático del UIT-T sobre aprendizaje automático para redes futuras, incluidas las 5G (FG-ML5G).</w:t>
      </w:r>
      <w:bookmarkEnd w:id="46"/>
      <w:r w:rsidRPr="00996C21">
        <w:rPr>
          <w:lang w:val="es-ES_tradnl"/>
        </w:rPr>
        <w:t xml:space="preserve"> </w:t>
      </w:r>
      <w:bookmarkStart w:id="47" w:name="lt_pId076"/>
      <w:r w:rsidRPr="00996C21">
        <w:rPr>
          <w:lang w:val="es-ES_tradnl"/>
        </w:rPr>
        <w:t xml:space="preserve">El GANT también tomó nota del </w:t>
      </w:r>
      <w:r w:rsidR="009C28BD" w:rsidRPr="00996C21">
        <w:rPr>
          <w:lang w:val="es-ES_tradnl"/>
        </w:rPr>
        <w:t xml:space="preserve">Informe </w:t>
      </w:r>
      <w:r w:rsidRPr="00996C21">
        <w:rPr>
          <w:lang w:val="es-ES_tradnl"/>
        </w:rPr>
        <w:t>de la primera reunión del FG-ML5G (en los Documentos</w:t>
      </w:r>
      <w:r w:rsidR="009C28BD" w:rsidRPr="00996C21">
        <w:rPr>
          <w:lang w:val="es-ES_tradnl"/>
        </w:rPr>
        <w:t> </w:t>
      </w:r>
      <w:hyperlink r:id="rId23" w:history="1">
        <w:r w:rsidRPr="00996C21">
          <w:rPr>
            <w:rStyle w:val="Hyperlink"/>
            <w:lang w:val="es-ES_tradnl"/>
          </w:rPr>
          <w:t>TD216</w:t>
        </w:r>
      </w:hyperlink>
      <w:r w:rsidRPr="00996C21">
        <w:rPr>
          <w:lang w:val="es-ES_tradnl"/>
        </w:rPr>
        <w:t xml:space="preserve"> y </w:t>
      </w:r>
      <w:hyperlink r:id="rId24" w:history="1">
        <w:r w:rsidRPr="00996C21">
          <w:rPr>
            <w:rStyle w:val="Hyperlink"/>
            <w:lang w:val="es-ES_tradnl"/>
          </w:rPr>
          <w:t>TD247</w:t>
        </w:r>
      </w:hyperlink>
      <w:r w:rsidRPr="00996C21">
        <w:rPr>
          <w:lang w:val="es-ES_tradnl"/>
        </w:rPr>
        <w:t>), que fue presentado por el President</w:t>
      </w:r>
      <w:r w:rsidR="009C28BD" w:rsidRPr="00996C21">
        <w:rPr>
          <w:lang w:val="es-ES_tradnl"/>
        </w:rPr>
        <w:t>e de la CE 13 del UIT-T, el Sr. </w:t>
      </w:r>
      <w:r w:rsidRPr="00996C21">
        <w:rPr>
          <w:lang w:val="es-ES_tradnl"/>
        </w:rPr>
        <w:t>Leo Lehmann (Suiza).</w:t>
      </w:r>
      <w:bookmarkEnd w:id="47"/>
    </w:p>
    <w:p w:rsidR="00FD40CF" w:rsidRPr="00996C21" w:rsidRDefault="00FD40CF" w:rsidP="00A44806">
      <w:pPr>
        <w:rPr>
          <w:lang w:val="es-ES_tradnl"/>
        </w:rPr>
      </w:pPr>
      <w:bookmarkStart w:id="48" w:name="lt_pId077"/>
      <w:r w:rsidRPr="00996C21">
        <w:rPr>
          <w:bCs/>
          <w:lang w:val="es-ES_tradnl"/>
        </w:rPr>
        <w:t>8.4</w:t>
      </w:r>
      <w:r w:rsidR="000943E7" w:rsidRPr="00996C21">
        <w:rPr>
          <w:bCs/>
          <w:lang w:val="es-ES_tradnl"/>
        </w:rPr>
        <w:tab/>
      </w:r>
      <w:r w:rsidRPr="00996C21">
        <w:rPr>
          <w:lang w:val="es-ES_tradnl"/>
        </w:rPr>
        <w:t xml:space="preserve">El GANT tomó nota del </w:t>
      </w:r>
      <w:r w:rsidR="00AF5CB2" w:rsidRPr="00996C21">
        <w:rPr>
          <w:lang w:val="es-ES_tradnl"/>
        </w:rPr>
        <w:t xml:space="preserve">Informe </w:t>
      </w:r>
      <w:r w:rsidRPr="00996C21">
        <w:rPr>
          <w:lang w:val="es-ES_tradnl"/>
        </w:rPr>
        <w:t xml:space="preserve">de la primera reunión del Grupo Temático del UIT-T sobre el tratamiento y la gestión de datos de IoT y ciudades y comunidades inteligentes (FG-DPM) (en el Documento </w:t>
      </w:r>
      <w:hyperlink r:id="rId25" w:history="1">
        <w:r w:rsidRPr="00996C21">
          <w:rPr>
            <w:rStyle w:val="Hyperlink"/>
            <w:lang w:val="es-ES_tradnl"/>
          </w:rPr>
          <w:t>TD191</w:t>
        </w:r>
      </w:hyperlink>
      <w:r w:rsidRPr="00996C21">
        <w:rPr>
          <w:lang w:val="es-ES_tradnl"/>
        </w:rPr>
        <w:t>), presentado por el Presidente de la CE 20 del UIT-T, el Sr. Nasser Saleh Al Marzouqi (EAU).</w:t>
      </w:r>
      <w:bookmarkEnd w:id="48"/>
    </w:p>
    <w:p w:rsidR="00FD40CF" w:rsidRPr="00996C21" w:rsidRDefault="00FD40CF" w:rsidP="00A44806">
      <w:pPr>
        <w:rPr>
          <w:lang w:val="es-ES_tradnl"/>
        </w:rPr>
      </w:pPr>
      <w:bookmarkStart w:id="49" w:name="lt_pId078"/>
      <w:r w:rsidRPr="00996C21">
        <w:rPr>
          <w:lang w:val="es-ES_tradnl"/>
        </w:rPr>
        <w:t>8.5</w:t>
      </w:r>
      <w:r w:rsidRPr="00996C21">
        <w:rPr>
          <w:lang w:val="es-ES_tradnl"/>
        </w:rPr>
        <w:tab/>
        <w:t xml:space="preserve">El GANT tomó nota de la </w:t>
      </w:r>
      <w:r w:rsidR="00FB0E20" w:rsidRPr="00996C21">
        <w:rPr>
          <w:lang w:val="es-ES_tradnl"/>
        </w:rPr>
        <w:t xml:space="preserve">Declaración </w:t>
      </w:r>
      <w:r w:rsidRPr="00996C21">
        <w:rPr>
          <w:lang w:val="es-ES_tradnl"/>
        </w:rPr>
        <w:t>de coordinación de respuesta (en el Documento</w:t>
      </w:r>
      <w:r w:rsidR="00FB0E20" w:rsidRPr="00996C21">
        <w:rPr>
          <w:lang w:val="es-ES_tradnl"/>
        </w:rPr>
        <w:t> </w:t>
      </w:r>
      <w:hyperlink r:id="rId26" w:history="1">
        <w:r w:rsidRPr="00996C21">
          <w:rPr>
            <w:rStyle w:val="Hyperlink"/>
            <w:lang w:val="es-ES_tradnl"/>
          </w:rPr>
          <w:t>TD207</w:t>
        </w:r>
      </w:hyperlink>
      <w:r w:rsidRPr="00996C21">
        <w:rPr>
          <w:lang w:val="es-ES_tradnl"/>
        </w:rPr>
        <w:t>) recibida por la CE 12 sobre la transferencia de resultados del Grupo Temático sobre servicios financieros digitales (FG DFS) a las distintas Comisiones de Estudio del UIT-T.</w:t>
      </w:r>
      <w:bookmarkEnd w:id="49"/>
    </w:p>
    <w:p w:rsidR="00FD40CF" w:rsidRPr="00996C21" w:rsidRDefault="00FD40CF" w:rsidP="00FD40CF">
      <w:pPr>
        <w:pStyle w:val="Heading1"/>
        <w:rPr>
          <w:lang w:val="es-ES_tradnl"/>
        </w:rPr>
      </w:pPr>
      <w:bookmarkStart w:id="50" w:name="_Toc516061193"/>
      <w:r w:rsidRPr="00996C21">
        <w:rPr>
          <w:lang w:val="es-ES_tradnl"/>
        </w:rPr>
        <w:t>9</w:t>
      </w:r>
      <w:r w:rsidRPr="00996C21">
        <w:rPr>
          <w:lang w:val="es-ES_tradnl"/>
        </w:rPr>
        <w:tab/>
        <w:t>Reglamento de las Telecomunicaciones Internacionales (RTI)</w:t>
      </w:r>
      <w:bookmarkEnd w:id="50"/>
    </w:p>
    <w:p w:rsidR="00FD40CF" w:rsidRPr="00996C21" w:rsidRDefault="00FD40CF" w:rsidP="00E453ED">
      <w:pPr>
        <w:rPr>
          <w:lang w:val="es-ES_tradnl"/>
        </w:rPr>
      </w:pPr>
      <w:bookmarkStart w:id="51" w:name="lt_pId080"/>
      <w:r w:rsidRPr="00996C21">
        <w:rPr>
          <w:lang w:val="es-ES_tradnl"/>
        </w:rPr>
        <w:t>9.1</w:t>
      </w:r>
      <w:r w:rsidRPr="00996C21">
        <w:rPr>
          <w:lang w:val="es-ES_tradnl"/>
        </w:rPr>
        <w:tab/>
        <w:t xml:space="preserve">El GANT tomó nota de la </w:t>
      </w:r>
      <w:r w:rsidR="00E453ED" w:rsidRPr="00996C21">
        <w:rPr>
          <w:lang w:val="es-ES_tradnl"/>
        </w:rPr>
        <w:t xml:space="preserve">Declaración </w:t>
      </w:r>
      <w:r w:rsidRPr="00996C21">
        <w:rPr>
          <w:lang w:val="es-ES_tradnl"/>
        </w:rPr>
        <w:t xml:space="preserve">de coordinación del Documento </w:t>
      </w:r>
      <w:hyperlink r:id="rId27" w:history="1">
        <w:r w:rsidRPr="00996C21">
          <w:rPr>
            <w:rStyle w:val="Hyperlink"/>
            <w:lang w:val="es-ES_tradnl"/>
          </w:rPr>
          <w:t>TD190</w:t>
        </w:r>
      </w:hyperlink>
      <w:r w:rsidRPr="00996C21">
        <w:rPr>
          <w:lang w:val="es-ES_tradnl"/>
        </w:rPr>
        <w:t xml:space="preserve"> que el equipo de gestión del GANT </w:t>
      </w:r>
      <w:r w:rsidR="00D67FB0" w:rsidRPr="00996C21">
        <w:rPr>
          <w:lang w:val="es-ES_tradnl"/>
        </w:rPr>
        <w:t>había enviado</w:t>
      </w:r>
      <w:r w:rsidRPr="00996C21">
        <w:rPr>
          <w:lang w:val="es-ES_tradnl"/>
        </w:rPr>
        <w:t xml:space="preserve"> en agosto de 2017 a todas las Comisiones de Estudio del UIT-T solicitando información específica sobre la aplicación de</w:t>
      </w:r>
      <w:r w:rsidR="004E41B6" w:rsidRPr="00996C21">
        <w:rPr>
          <w:lang w:val="es-ES_tradnl"/>
        </w:rPr>
        <w:t>l</w:t>
      </w:r>
      <w:r w:rsidRPr="00996C21">
        <w:rPr>
          <w:lang w:val="es-ES_tradnl"/>
        </w:rPr>
        <w:t xml:space="preserve"> RTI </w:t>
      </w:r>
      <w:r w:rsidR="004E41B6" w:rsidRPr="00996C21">
        <w:rPr>
          <w:lang w:val="es-ES_tradnl"/>
        </w:rPr>
        <w:t>vigente</w:t>
      </w:r>
      <w:r w:rsidRPr="00996C21">
        <w:rPr>
          <w:lang w:val="es-ES_tradnl"/>
        </w:rPr>
        <w:t xml:space="preserve"> (2012).</w:t>
      </w:r>
      <w:bookmarkEnd w:id="51"/>
    </w:p>
    <w:p w:rsidR="00FD40CF" w:rsidRPr="00996C21" w:rsidRDefault="00FD40CF" w:rsidP="00E453ED">
      <w:pPr>
        <w:rPr>
          <w:lang w:val="es-ES_tradnl"/>
        </w:rPr>
      </w:pPr>
      <w:bookmarkStart w:id="52" w:name="lt_pId081"/>
      <w:r w:rsidRPr="00996C21">
        <w:rPr>
          <w:lang w:val="es-ES_tradnl"/>
        </w:rPr>
        <w:t>El Director de la TSB explicó los antecedentes de una solicitud que recibió en enero de 2018 del Grupo de Expertos del Consejo de la UIT sobre RTI (GE-RTI) y, a su vez, su solicitud a los Presidentes de las Comisiones de Estudio 2, 3, 12 y 17 para que proporcionaran información actualizada sobre las Recomendaciones pertinentes afectadas.</w:t>
      </w:r>
      <w:bookmarkEnd w:id="52"/>
      <w:r w:rsidRPr="00996C21">
        <w:rPr>
          <w:lang w:val="es-ES_tradnl"/>
        </w:rPr>
        <w:t xml:space="preserve"> </w:t>
      </w:r>
      <w:bookmarkStart w:id="53" w:name="lt_pId082"/>
      <w:r w:rsidRPr="00996C21">
        <w:rPr>
          <w:lang w:val="es-ES_tradnl"/>
        </w:rPr>
        <w:t xml:space="preserve">La información recopilada fue proporcionada a la reunión del GANT (en el Documento </w:t>
      </w:r>
      <w:hyperlink r:id="rId28" w:history="1">
        <w:r w:rsidRPr="00996C21">
          <w:rPr>
            <w:rStyle w:val="Hyperlink"/>
            <w:lang w:val="es-ES_tradnl"/>
          </w:rPr>
          <w:t>TD265-R1</w:t>
        </w:r>
      </w:hyperlink>
      <w:r w:rsidRPr="00996C21">
        <w:rPr>
          <w:lang w:val="es-ES_tradnl"/>
        </w:rPr>
        <w:t>).</w:t>
      </w:r>
      <w:bookmarkEnd w:id="53"/>
    </w:p>
    <w:p w:rsidR="00FD40CF" w:rsidRPr="00996C21" w:rsidRDefault="00FD40CF" w:rsidP="00AD34E3">
      <w:pPr>
        <w:rPr>
          <w:lang w:val="es-ES_tradnl"/>
        </w:rPr>
      </w:pPr>
      <w:bookmarkStart w:id="54" w:name="lt_pId083"/>
      <w:r w:rsidRPr="00996C21">
        <w:rPr>
          <w:lang w:val="es-ES_tradnl"/>
        </w:rPr>
        <w:t>9.2</w:t>
      </w:r>
      <w:r w:rsidR="004E41B6" w:rsidRPr="00996C21">
        <w:rPr>
          <w:lang w:val="es-ES_tradnl"/>
        </w:rPr>
        <w:tab/>
      </w:r>
      <w:r w:rsidRPr="00996C21">
        <w:rPr>
          <w:lang w:val="es-ES_tradnl"/>
        </w:rPr>
        <w:t xml:space="preserve">El GANT tomó nota de la </w:t>
      </w:r>
      <w:r w:rsidR="00AD34E3" w:rsidRPr="00996C21">
        <w:rPr>
          <w:lang w:val="es-ES_tradnl"/>
        </w:rPr>
        <w:t xml:space="preserve">Declaración </w:t>
      </w:r>
      <w:r w:rsidRPr="00996C21">
        <w:rPr>
          <w:lang w:val="es-ES_tradnl"/>
        </w:rPr>
        <w:t>de coordinación de respuesta en el Documento</w:t>
      </w:r>
      <w:r w:rsidR="00AD34E3" w:rsidRPr="00996C21">
        <w:rPr>
          <w:lang w:val="es-ES_tradnl"/>
        </w:rPr>
        <w:t> </w:t>
      </w:r>
      <w:hyperlink r:id="rId29" w:history="1">
        <w:r w:rsidRPr="00996C21">
          <w:rPr>
            <w:rStyle w:val="Hyperlink"/>
            <w:lang w:val="es-ES_tradnl"/>
          </w:rPr>
          <w:t>TD197</w:t>
        </w:r>
      </w:hyperlink>
      <w:r w:rsidRPr="00996C21">
        <w:rPr>
          <w:lang w:val="es-ES_tradnl"/>
        </w:rPr>
        <w:t xml:space="preserve"> de la CE 2, presentada por el Sr. Phil Rushton, Presidente de la CE 2.</w:t>
      </w:r>
      <w:bookmarkEnd w:id="54"/>
    </w:p>
    <w:p w:rsidR="00FD40CF" w:rsidRPr="00996C21" w:rsidRDefault="00FD40CF" w:rsidP="00552F3F">
      <w:pPr>
        <w:rPr>
          <w:lang w:val="es-ES_tradnl"/>
        </w:rPr>
      </w:pPr>
      <w:bookmarkStart w:id="55" w:name="lt_pId084"/>
      <w:r w:rsidRPr="00996C21">
        <w:rPr>
          <w:bCs/>
          <w:lang w:val="es-ES_tradnl"/>
        </w:rPr>
        <w:t>9.3</w:t>
      </w:r>
      <w:r w:rsidR="004E41B6" w:rsidRPr="00996C21">
        <w:rPr>
          <w:bCs/>
          <w:lang w:val="es-ES_tradnl"/>
        </w:rPr>
        <w:tab/>
      </w:r>
      <w:r w:rsidRPr="00996C21">
        <w:rPr>
          <w:lang w:val="es-ES_tradnl"/>
        </w:rPr>
        <w:t xml:space="preserve">La Federación de Rusia presentó el Documento </w:t>
      </w:r>
      <w:hyperlink r:id="rId30" w:history="1">
        <w:r w:rsidRPr="00996C21">
          <w:rPr>
            <w:rStyle w:val="Hyperlink"/>
            <w:lang w:val="es-ES_tradnl"/>
          </w:rPr>
          <w:t>C39</w:t>
        </w:r>
      </w:hyperlink>
      <w:r w:rsidRPr="00996C21">
        <w:rPr>
          <w:lang w:val="es-ES_tradnl"/>
        </w:rPr>
        <w:t xml:space="preserve"> sobre la aplicación de las disposiciones del RTI en las labores de la CE 2 del UIT-T, en el que se informa sobre del uso indebido de los recursos de numeración en las redes comunitarias, presentado a la UIT (CE 2) y publicado en el sitio web en la sección de casos reales de aplicabilidad de</w:t>
      </w:r>
      <w:r w:rsidR="004E41B6" w:rsidRPr="00996C21">
        <w:rPr>
          <w:lang w:val="es-ES_tradnl"/>
        </w:rPr>
        <w:t xml:space="preserve">l </w:t>
      </w:r>
      <w:r w:rsidRPr="00996C21">
        <w:rPr>
          <w:lang w:val="es-ES_tradnl"/>
        </w:rPr>
        <w:t>RTI por la CE 2.</w:t>
      </w:r>
      <w:bookmarkEnd w:id="55"/>
      <w:r w:rsidRPr="00996C21">
        <w:rPr>
          <w:lang w:val="es-ES_tradnl"/>
        </w:rPr>
        <w:t xml:space="preserve"> </w:t>
      </w:r>
      <w:bookmarkStart w:id="56" w:name="lt_pId085"/>
      <w:r w:rsidRPr="00996C21">
        <w:rPr>
          <w:lang w:val="es-ES_tradnl"/>
        </w:rPr>
        <w:t>En la contribución se presentan propuestas en las que se ha tomado nota de la relación entre la actividad de la CE 2 del UIT-T y la aplicación de</w:t>
      </w:r>
      <w:r w:rsidR="004E41B6" w:rsidRPr="00996C21">
        <w:rPr>
          <w:lang w:val="es-ES_tradnl"/>
        </w:rPr>
        <w:t xml:space="preserve">l </w:t>
      </w:r>
      <w:r w:rsidRPr="00996C21">
        <w:rPr>
          <w:lang w:val="es-ES_tradnl"/>
        </w:rPr>
        <w:t>RTI (de los artículos pertinentes) y propuestas para promover el uso de esos artículos.</w:t>
      </w:r>
      <w:bookmarkEnd w:id="56"/>
    </w:p>
    <w:p w:rsidR="00FD40CF" w:rsidRPr="00996C21" w:rsidRDefault="00FD40CF" w:rsidP="002E5471">
      <w:pPr>
        <w:rPr>
          <w:lang w:val="es-ES_tradnl"/>
        </w:rPr>
      </w:pPr>
      <w:bookmarkStart w:id="57" w:name="lt_pId086"/>
      <w:r w:rsidRPr="00996C21">
        <w:rPr>
          <w:lang w:val="es-ES_tradnl"/>
        </w:rPr>
        <w:t>El GANT concluyó reconociendo la importancia del uso indebido de la numeración</w:t>
      </w:r>
      <w:bookmarkStart w:id="58" w:name="lt_pId087"/>
      <w:bookmarkEnd w:id="57"/>
      <w:r w:rsidR="00D67FB0" w:rsidRPr="00996C21">
        <w:rPr>
          <w:lang w:val="es-ES_tradnl"/>
        </w:rPr>
        <w:t xml:space="preserve"> e</w:t>
      </w:r>
      <w:r w:rsidRPr="00996C21">
        <w:rPr>
          <w:lang w:val="es-ES_tradnl"/>
        </w:rPr>
        <w:t xml:space="preserve"> </w:t>
      </w:r>
      <w:r w:rsidR="00D67FB0" w:rsidRPr="00996C21">
        <w:rPr>
          <w:lang w:val="es-ES_tradnl"/>
        </w:rPr>
        <w:t>invitó</w:t>
      </w:r>
      <w:r w:rsidRPr="00996C21">
        <w:rPr>
          <w:lang w:val="es-ES_tradnl"/>
        </w:rPr>
        <w:t xml:space="preserve"> a la Federación de Rusia a aportar su contribución al GE-RTI y a los Consejo de la UIT, así como a la CE 2 del UIT-T</w:t>
      </w:r>
      <w:bookmarkStart w:id="59" w:name="lt_pId088"/>
      <w:bookmarkEnd w:id="58"/>
      <w:r w:rsidR="00D67FB0" w:rsidRPr="00996C21">
        <w:rPr>
          <w:lang w:val="es-ES_tradnl"/>
        </w:rPr>
        <w:t xml:space="preserve">, y a los participantes </w:t>
      </w:r>
      <w:r w:rsidRPr="00996C21">
        <w:rPr>
          <w:lang w:val="es-ES_tradnl"/>
        </w:rPr>
        <w:t xml:space="preserve">a </w:t>
      </w:r>
      <w:r w:rsidR="00D67FB0" w:rsidRPr="00996C21">
        <w:rPr>
          <w:lang w:val="es-ES_tradnl"/>
        </w:rPr>
        <w:t>presentar</w:t>
      </w:r>
      <w:r w:rsidRPr="00996C21">
        <w:rPr>
          <w:lang w:val="es-ES_tradnl"/>
        </w:rPr>
        <w:t xml:space="preserve"> contribuciones al respecto a la CE 2 del UIT-T</w:t>
      </w:r>
      <w:bookmarkEnd w:id="59"/>
      <w:r w:rsidRPr="00996C21">
        <w:rPr>
          <w:lang w:val="es-ES_tradnl"/>
        </w:rPr>
        <w:t>.</w:t>
      </w:r>
    </w:p>
    <w:p w:rsidR="006329C8" w:rsidRPr="00996C21" w:rsidRDefault="006329C8" w:rsidP="006329C8">
      <w:pPr>
        <w:rPr>
          <w:bCs/>
          <w:lang w:val="es-ES_tradnl"/>
        </w:rPr>
      </w:pPr>
      <w:bookmarkStart w:id="60" w:name="lt_pId089"/>
      <w:r w:rsidRPr="00996C21">
        <w:rPr>
          <w:bCs/>
          <w:lang w:val="es-ES_tradnl"/>
        </w:rPr>
        <w:br w:type="page"/>
      </w:r>
    </w:p>
    <w:p w:rsidR="00FD40CF" w:rsidRPr="00996C21" w:rsidRDefault="00FD40CF" w:rsidP="006329C8">
      <w:pPr>
        <w:rPr>
          <w:lang w:val="es-ES_tradnl"/>
        </w:rPr>
      </w:pPr>
      <w:r w:rsidRPr="00996C21">
        <w:rPr>
          <w:bCs/>
          <w:lang w:val="es-ES_tradnl"/>
        </w:rPr>
        <w:lastRenderedPageBreak/>
        <w:t>9.4</w:t>
      </w:r>
      <w:r w:rsidR="004E41B6" w:rsidRPr="00996C21">
        <w:rPr>
          <w:bCs/>
          <w:lang w:val="es-ES_tradnl"/>
        </w:rPr>
        <w:tab/>
      </w:r>
      <w:r w:rsidRPr="00996C21">
        <w:rPr>
          <w:lang w:val="es-ES_tradnl"/>
        </w:rPr>
        <w:t>El GANT tomó nota de las demás respuestas de coordinación al GANT en el Documento</w:t>
      </w:r>
      <w:r w:rsidR="006329C8" w:rsidRPr="00996C21">
        <w:rPr>
          <w:lang w:val="es-ES_tradnl"/>
        </w:rPr>
        <w:t> </w:t>
      </w:r>
      <w:hyperlink r:id="rId31" w:history="1">
        <w:r w:rsidRPr="00996C21">
          <w:rPr>
            <w:rStyle w:val="Hyperlink"/>
            <w:lang w:val="es-ES_tradnl"/>
          </w:rPr>
          <w:t>TD190</w:t>
        </w:r>
      </w:hyperlink>
      <w:r w:rsidRPr="00996C21">
        <w:rPr>
          <w:lang w:val="es-ES_tradnl"/>
        </w:rPr>
        <w:t xml:space="preserve"> recibidas de la CE 3 (en el Documento </w:t>
      </w:r>
      <w:hyperlink r:id="rId32" w:history="1">
        <w:r w:rsidRPr="00996C21">
          <w:rPr>
            <w:rStyle w:val="Hyperlink"/>
            <w:lang w:val="es-ES_tradnl"/>
          </w:rPr>
          <w:t>TD233</w:t>
        </w:r>
      </w:hyperlink>
      <w:r w:rsidRPr="00996C21">
        <w:rPr>
          <w:lang w:val="es-ES_tradnl"/>
        </w:rPr>
        <w:t>), la CE 5 (en el Documento</w:t>
      </w:r>
      <w:r w:rsidR="006329C8" w:rsidRPr="00996C21">
        <w:rPr>
          <w:lang w:val="es-ES_tradnl"/>
        </w:rPr>
        <w:t> </w:t>
      </w:r>
      <w:hyperlink r:id="rId33" w:history="1">
        <w:r w:rsidRPr="00996C21">
          <w:rPr>
            <w:rStyle w:val="Hyperlink"/>
            <w:lang w:val="es-ES_tradnl"/>
          </w:rPr>
          <w:t>TD224</w:t>
        </w:r>
      </w:hyperlink>
      <w:r w:rsidRPr="00996C21">
        <w:rPr>
          <w:lang w:val="es-ES_tradnl"/>
        </w:rPr>
        <w:t xml:space="preserve">), la CE 9 (en el Documento </w:t>
      </w:r>
      <w:hyperlink r:id="rId34" w:history="1">
        <w:r w:rsidRPr="00996C21">
          <w:rPr>
            <w:rStyle w:val="Hyperlink"/>
            <w:lang w:val="es-ES_tradnl"/>
          </w:rPr>
          <w:t>TD249</w:t>
        </w:r>
      </w:hyperlink>
      <w:r w:rsidRPr="00996C21">
        <w:rPr>
          <w:lang w:val="es-ES_tradnl"/>
        </w:rPr>
        <w:t xml:space="preserve">), la CE 11 (en los Documentos </w:t>
      </w:r>
      <w:hyperlink r:id="rId35" w:history="1">
        <w:r w:rsidRPr="00996C21">
          <w:rPr>
            <w:rStyle w:val="Hyperlink"/>
            <w:lang w:val="es-ES_tradnl"/>
          </w:rPr>
          <w:t>TD218</w:t>
        </w:r>
      </w:hyperlink>
      <w:r w:rsidRPr="00996C21">
        <w:rPr>
          <w:lang w:val="es-ES_tradnl"/>
        </w:rPr>
        <w:t xml:space="preserve"> y</w:t>
      </w:r>
      <w:r w:rsidR="006329C8" w:rsidRPr="00996C21">
        <w:rPr>
          <w:lang w:val="es-ES_tradnl"/>
        </w:rPr>
        <w:t> </w:t>
      </w:r>
      <w:hyperlink r:id="rId36" w:history="1">
        <w:r w:rsidRPr="00996C21">
          <w:rPr>
            <w:rStyle w:val="Hyperlink"/>
            <w:lang w:val="es-ES_tradnl"/>
          </w:rPr>
          <w:t>TD196</w:t>
        </w:r>
      </w:hyperlink>
      <w:r w:rsidRPr="00996C21">
        <w:rPr>
          <w:lang w:val="es-ES_tradnl"/>
        </w:rPr>
        <w:t xml:space="preserve">), la CE13 (en el Documento </w:t>
      </w:r>
      <w:hyperlink r:id="rId37" w:history="1">
        <w:r w:rsidRPr="00996C21">
          <w:rPr>
            <w:rStyle w:val="Hyperlink"/>
            <w:lang w:val="es-ES_tradnl"/>
          </w:rPr>
          <w:t>TD217</w:t>
        </w:r>
      </w:hyperlink>
      <w:r w:rsidRPr="00996C21">
        <w:rPr>
          <w:lang w:val="es-ES_tradnl"/>
        </w:rPr>
        <w:t xml:space="preserve">), la CE 17 (en el Documento </w:t>
      </w:r>
      <w:hyperlink r:id="rId38" w:history="1">
        <w:r w:rsidRPr="00996C21">
          <w:rPr>
            <w:rStyle w:val="Hyperlink"/>
            <w:lang w:val="es-ES_tradnl"/>
          </w:rPr>
          <w:t>TD194</w:t>
        </w:r>
      </w:hyperlink>
      <w:r w:rsidR="006329C8" w:rsidRPr="00996C21">
        <w:rPr>
          <w:lang w:val="es-ES_tradnl"/>
        </w:rPr>
        <w:t>) y la CE 20 (en </w:t>
      </w:r>
      <w:r w:rsidRPr="00996C21">
        <w:rPr>
          <w:lang w:val="es-ES_tradnl"/>
        </w:rPr>
        <w:t xml:space="preserve">el Documento </w:t>
      </w:r>
      <w:hyperlink r:id="rId39" w:history="1">
        <w:r w:rsidRPr="00996C21">
          <w:rPr>
            <w:rStyle w:val="Hyperlink"/>
            <w:lang w:val="es-ES_tradnl"/>
          </w:rPr>
          <w:t>TD198</w:t>
        </w:r>
      </w:hyperlink>
      <w:r w:rsidRPr="00996C21">
        <w:rPr>
          <w:lang w:val="es-ES_tradnl"/>
        </w:rPr>
        <w:t>).</w:t>
      </w:r>
      <w:bookmarkEnd w:id="60"/>
    </w:p>
    <w:p w:rsidR="00FD40CF" w:rsidRPr="00996C21" w:rsidRDefault="00AB3694" w:rsidP="00FD40CF">
      <w:pPr>
        <w:pStyle w:val="Heading1"/>
        <w:rPr>
          <w:lang w:val="es-ES_tradnl"/>
        </w:rPr>
      </w:pPr>
      <w:bookmarkStart w:id="61" w:name="lt_pId090"/>
      <w:bookmarkStart w:id="62" w:name="_Toc508133724"/>
      <w:bookmarkStart w:id="63" w:name="_Toc516061194"/>
      <w:r w:rsidRPr="00996C21">
        <w:rPr>
          <w:lang w:val="es-ES_tradnl"/>
        </w:rPr>
        <w:t>10</w:t>
      </w:r>
      <w:r w:rsidR="00D67FB0" w:rsidRPr="00996C21">
        <w:rPr>
          <w:lang w:val="es-ES_tradnl"/>
        </w:rPr>
        <w:tab/>
      </w:r>
      <w:r w:rsidR="00FD40CF" w:rsidRPr="00996C21">
        <w:rPr>
          <w:lang w:val="es-ES_tradnl"/>
        </w:rPr>
        <w:t>Avances en la aplicación de la Resolución 187 (Busán, 2014)</w:t>
      </w:r>
      <w:bookmarkEnd w:id="61"/>
      <w:bookmarkEnd w:id="62"/>
      <w:bookmarkEnd w:id="63"/>
    </w:p>
    <w:p w:rsidR="00FD40CF" w:rsidRPr="00996C21" w:rsidRDefault="00FD40CF" w:rsidP="004362FE">
      <w:pPr>
        <w:rPr>
          <w:lang w:val="es-ES_tradnl"/>
        </w:rPr>
      </w:pPr>
      <w:bookmarkStart w:id="64" w:name="lt_pId091"/>
      <w:r w:rsidRPr="00996C21">
        <w:rPr>
          <w:lang w:val="es-ES_tradnl"/>
        </w:rPr>
        <w:t>10.1</w:t>
      </w:r>
      <w:r w:rsidRPr="00996C21">
        <w:rPr>
          <w:lang w:val="es-ES_tradnl"/>
        </w:rPr>
        <w:tab/>
        <w:t xml:space="preserve">La Argentina presentó el Documento </w:t>
      </w:r>
      <w:hyperlink r:id="rId40" w:history="1">
        <w:r w:rsidRPr="00996C21">
          <w:rPr>
            <w:rStyle w:val="Hyperlink"/>
            <w:lang w:val="es-ES_tradnl"/>
          </w:rPr>
          <w:t>C42</w:t>
        </w:r>
      </w:hyperlink>
      <w:r w:rsidRPr="00996C21">
        <w:rPr>
          <w:lang w:val="es-ES_tradnl"/>
        </w:rPr>
        <w:t xml:space="preserve"> sobre la participación de las PYME en las Comisiones de Estudio del UIT-T, en el que se propone</w:t>
      </w:r>
      <w:r w:rsidR="00D67FB0" w:rsidRPr="00996C21">
        <w:rPr>
          <w:lang w:val="es-ES_tradnl"/>
        </w:rPr>
        <w:t xml:space="preserve"> </w:t>
      </w:r>
      <w:r w:rsidRPr="00996C21">
        <w:rPr>
          <w:lang w:val="es-ES_tradnl"/>
        </w:rPr>
        <w:t>fomentar la participación de las PYME en</w:t>
      </w:r>
      <w:r w:rsidR="00D67FB0" w:rsidRPr="00996C21">
        <w:rPr>
          <w:lang w:val="es-ES_tradnl"/>
        </w:rPr>
        <w:t xml:space="preserve"> las</w:t>
      </w:r>
      <w:r w:rsidRPr="00996C21">
        <w:rPr>
          <w:lang w:val="es-ES_tradnl"/>
        </w:rPr>
        <w:t xml:space="preserve"> Comisiones de Estudio </w:t>
      </w:r>
      <w:r w:rsidR="00D67FB0" w:rsidRPr="00996C21">
        <w:rPr>
          <w:lang w:val="es-ES_tradnl"/>
        </w:rPr>
        <w:t xml:space="preserve">del UIT-T </w:t>
      </w:r>
      <w:r w:rsidRPr="00996C21">
        <w:rPr>
          <w:lang w:val="es-ES_tradnl"/>
        </w:rPr>
        <w:t>de conformidad con la decisión adoptada por la reunión del Consejo de la UIT de 2017 para llevar a cabo un proyecto piloto para la participación de las PYME en las Comisiones de Estudio del UIT-T y el UIT-D.</w:t>
      </w:r>
      <w:bookmarkEnd w:id="64"/>
    </w:p>
    <w:p w:rsidR="00FD40CF" w:rsidRPr="00996C21" w:rsidRDefault="00FD40CF" w:rsidP="004362FE">
      <w:pPr>
        <w:rPr>
          <w:lang w:val="es-ES_tradnl"/>
        </w:rPr>
      </w:pPr>
      <w:bookmarkStart w:id="65" w:name="lt_pId092"/>
      <w:r w:rsidRPr="00996C21">
        <w:rPr>
          <w:lang w:val="es-ES_tradnl"/>
        </w:rPr>
        <w:t>10.2</w:t>
      </w:r>
      <w:r w:rsidRPr="00996C21">
        <w:rPr>
          <w:lang w:val="es-ES_tradnl"/>
        </w:rPr>
        <w:tab/>
        <w:t>Diversos miembros aportaron experiencias positivas y apoyaron la participación de las PYME en las labores de las Comisiones de Estudio del UIT-T.</w:t>
      </w:r>
      <w:bookmarkEnd w:id="65"/>
    </w:p>
    <w:p w:rsidR="00FD40CF" w:rsidRPr="00996C21" w:rsidRDefault="00FD40CF" w:rsidP="004362FE">
      <w:pPr>
        <w:rPr>
          <w:lang w:val="es-ES_tradnl"/>
        </w:rPr>
      </w:pPr>
      <w:bookmarkStart w:id="66" w:name="lt_pId093"/>
      <w:r w:rsidRPr="00996C21">
        <w:rPr>
          <w:lang w:val="es-ES_tradnl"/>
        </w:rPr>
        <w:t>10.3</w:t>
      </w:r>
      <w:r w:rsidR="004E41B6" w:rsidRPr="00996C21">
        <w:rPr>
          <w:lang w:val="es-ES_tradnl"/>
        </w:rPr>
        <w:tab/>
      </w:r>
      <w:r w:rsidRPr="00996C21">
        <w:rPr>
          <w:lang w:val="es-ES_tradnl"/>
        </w:rPr>
        <w:t xml:space="preserve">El GANT señaló que las CE 5, 16 y 20 del UIT-T ya habían acordado participar en </w:t>
      </w:r>
      <w:r w:rsidR="00EA3B47" w:rsidRPr="00996C21">
        <w:rPr>
          <w:lang w:val="es-ES_tradnl"/>
        </w:rPr>
        <w:t>la prueba sobre</w:t>
      </w:r>
      <w:r w:rsidRPr="00996C21">
        <w:rPr>
          <w:lang w:val="es-ES_tradnl"/>
        </w:rPr>
        <w:t xml:space="preserve"> PYME.</w:t>
      </w:r>
      <w:bookmarkEnd w:id="66"/>
    </w:p>
    <w:p w:rsidR="00FD40CF" w:rsidRPr="00996C21" w:rsidRDefault="00FD40CF" w:rsidP="004362FE">
      <w:pPr>
        <w:rPr>
          <w:lang w:val="es-ES_tradnl"/>
        </w:rPr>
      </w:pPr>
      <w:bookmarkStart w:id="67" w:name="lt_pId094"/>
      <w:r w:rsidRPr="00996C21">
        <w:rPr>
          <w:lang w:val="es-ES_tradnl"/>
        </w:rPr>
        <w:t xml:space="preserve">Tras los debates se llegó a la conclusión de que no corresponde al GANT decidir qué Comisiones de Estudio del UIT-T participan en </w:t>
      </w:r>
      <w:r w:rsidR="00EA3B47" w:rsidRPr="00996C21">
        <w:rPr>
          <w:lang w:val="es-ES_tradnl"/>
        </w:rPr>
        <w:t>la prueba sobre</w:t>
      </w:r>
      <w:r w:rsidRPr="00996C21">
        <w:rPr>
          <w:lang w:val="es-ES_tradnl"/>
        </w:rPr>
        <w:t xml:space="preserve"> PYME, sino que esa </w:t>
      </w:r>
      <w:r w:rsidR="00EA3B47" w:rsidRPr="00996C21">
        <w:rPr>
          <w:lang w:val="es-ES_tradnl"/>
        </w:rPr>
        <w:t>era</w:t>
      </w:r>
      <w:r w:rsidRPr="00996C21">
        <w:rPr>
          <w:lang w:val="es-ES_tradnl"/>
        </w:rPr>
        <w:t xml:space="preserve"> una decisión de cada Comisión de Estudio.</w:t>
      </w:r>
      <w:bookmarkEnd w:id="67"/>
    </w:p>
    <w:p w:rsidR="00FD40CF" w:rsidRPr="00996C21" w:rsidRDefault="00FD40CF" w:rsidP="004362FE">
      <w:pPr>
        <w:rPr>
          <w:lang w:val="es-ES_tradnl"/>
        </w:rPr>
      </w:pPr>
      <w:bookmarkStart w:id="68" w:name="lt_pId095"/>
      <w:r w:rsidRPr="00996C21">
        <w:rPr>
          <w:lang w:val="es-ES_tradnl"/>
        </w:rPr>
        <w:t>En la reunión se convino en que, para la aplicación de la Resolución 187 (Busán, 2014) y la participación futura de las PYME en las labores de la UIT</w:t>
      </w:r>
      <w:r w:rsidR="00EA3B47" w:rsidRPr="00996C21">
        <w:rPr>
          <w:lang w:val="es-ES_tradnl"/>
        </w:rPr>
        <w:t>,</w:t>
      </w:r>
      <w:r w:rsidRPr="00996C21">
        <w:rPr>
          <w:lang w:val="es-ES_tradnl"/>
        </w:rPr>
        <w:t xml:space="preserve"> se necesitan más datos e información.</w:t>
      </w:r>
      <w:bookmarkEnd w:id="68"/>
      <w:r w:rsidRPr="00996C21">
        <w:rPr>
          <w:lang w:val="es-ES_tradnl"/>
        </w:rPr>
        <w:t xml:space="preserve"> </w:t>
      </w:r>
      <w:bookmarkStart w:id="69" w:name="lt_pId096"/>
      <w:r w:rsidRPr="00996C21">
        <w:rPr>
          <w:lang w:val="es-ES_tradnl"/>
        </w:rPr>
        <w:t>Esa cuestión y sus repercusiones financieras se tratarán en la Conferencia de Plenipotenciarios y en el Consejo de la UIT</w:t>
      </w:r>
      <w:bookmarkEnd w:id="69"/>
      <w:r w:rsidR="00EA3B47" w:rsidRPr="00996C21">
        <w:rPr>
          <w:lang w:val="es-ES_tradnl"/>
        </w:rPr>
        <w:t>.</w:t>
      </w:r>
    </w:p>
    <w:p w:rsidR="00FD40CF" w:rsidRPr="00996C21" w:rsidRDefault="00FD40CF" w:rsidP="004362FE">
      <w:pPr>
        <w:rPr>
          <w:lang w:val="es-ES_tradnl"/>
        </w:rPr>
      </w:pPr>
      <w:bookmarkStart w:id="70" w:name="lt_pId097"/>
      <w:r w:rsidRPr="00996C21">
        <w:rPr>
          <w:lang w:val="es-ES_tradnl"/>
        </w:rPr>
        <w:t xml:space="preserve">En la reunión del GANT se solicitó al Director de la TSB que definiese formas para dar a conocer a las PYME </w:t>
      </w:r>
      <w:r w:rsidR="00EA3B47" w:rsidRPr="00996C21">
        <w:rPr>
          <w:lang w:val="es-ES_tradnl"/>
        </w:rPr>
        <w:t>la prueba sobre</w:t>
      </w:r>
      <w:r w:rsidRPr="00996C21">
        <w:rPr>
          <w:lang w:val="es-ES_tradnl"/>
        </w:rPr>
        <w:t xml:space="preserve"> PYME y que les informara sobre cómo participar en las reuniones de las Comisiones de Estudio (por ejemplo, mediante una carta circular dirigida a Estados Miembros y/o a las PYME, o información en la página web del UIT-T).</w:t>
      </w:r>
      <w:bookmarkEnd w:id="70"/>
    </w:p>
    <w:p w:rsidR="00FD40CF" w:rsidRPr="00996C21" w:rsidRDefault="006E64DD" w:rsidP="00FD40CF">
      <w:pPr>
        <w:pStyle w:val="Heading1"/>
        <w:rPr>
          <w:lang w:val="es-ES_tradnl"/>
        </w:rPr>
      </w:pPr>
      <w:bookmarkStart w:id="71" w:name="lt_pId098"/>
      <w:bookmarkStart w:id="72" w:name="_Toc508133725"/>
      <w:bookmarkStart w:id="73" w:name="_Toc516061195"/>
      <w:r w:rsidRPr="00996C21">
        <w:rPr>
          <w:lang w:val="es-ES_tradnl"/>
        </w:rPr>
        <w:t>11</w:t>
      </w:r>
      <w:r w:rsidR="00D0542D" w:rsidRPr="00996C21">
        <w:rPr>
          <w:lang w:val="es-ES_tradnl"/>
        </w:rPr>
        <w:tab/>
      </w:r>
      <w:r w:rsidR="00FD40CF" w:rsidRPr="00996C21">
        <w:rPr>
          <w:lang w:val="es-ES_tradnl"/>
        </w:rPr>
        <w:t>Equipo Intersectorial de Coordinación (ISCT) de la UIT sobre temas de interés común</w:t>
      </w:r>
      <w:bookmarkEnd w:id="71"/>
      <w:bookmarkEnd w:id="72"/>
      <w:bookmarkEnd w:id="73"/>
    </w:p>
    <w:p w:rsidR="00FD40CF" w:rsidRPr="00996C21" w:rsidRDefault="00FD40CF" w:rsidP="00283930">
      <w:pPr>
        <w:rPr>
          <w:lang w:val="es-ES_tradnl"/>
        </w:rPr>
      </w:pPr>
      <w:bookmarkStart w:id="74" w:name="_Ref482377197"/>
      <w:bookmarkStart w:id="75" w:name="lt_pId099"/>
      <w:r w:rsidRPr="00996C21">
        <w:rPr>
          <w:lang w:val="es-ES_tradnl"/>
        </w:rPr>
        <w:t>11.1</w:t>
      </w:r>
      <w:r w:rsidRPr="00996C21">
        <w:rPr>
          <w:lang w:val="es-ES_tradnl"/>
        </w:rPr>
        <w:tab/>
        <w:t xml:space="preserve">El Presidente del ISCT, el Sr. Fabio Bigi (Italia), presentó un informe verbal sobre las actividades del equipo en 2017 e </w:t>
      </w:r>
      <w:bookmarkEnd w:id="74"/>
      <w:r w:rsidRPr="00996C21">
        <w:rPr>
          <w:lang w:val="es-ES_tradnl"/>
        </w:rPr>
        <w:t>hizo referencia al documento Nº 8 del ISCT de la UIT.</w:t>
      </w:r>
      <w:bookmarkEnd w:id="75"/>
      <w:r w:rsidRPr="00996C21">
        <w:rPr>
          <w:lang w:val="es-ES_tradnl"/>
        </w:rPr>
        <w:t xml:space="preserve"> </w:t>
      </w:r>
      <w:bookmarkStart w:id="76" w:name="lt_pId100"/>
      <w:r w:rsidRPr="00996C21">
        <w:rPr>
          <w:lang w:val="es-ES_tradnl"/>
        </w:rPr>
        <w:t>Los documentos del ISCT están disponibles en:</w:t>
      </w:r>
      <w:bookmarkEnd w:id="76"/>
      <w:r w:rsidRPr="00996C21">
        <w:rPr>
          <w:lang w:val="es-ES_tradnl"/>
        </w:rPr>
        <w:t xml:space="preserve"> </w:t>
      </w:r>
      <w:hyperlink r:id="rId41" w:history="1">
        <w:bookmarkStart w:id="77" w:name="lt_pId101"/>
        <w:r w:rsidRPr="00996C21">
          <w:rPr>
            <w:rStyle w:val="Hyperlink"/>
            <w:lang w:val="es-ES_tradnl"/>
          </w:rPr>
          <w:t>https://www.itu.int/en/ITU-D/Conferences/TDAG/Pages/inter-sectoral-team-on-issues-of-mutual-interest.aspx</w:t>
        </w:r>
        <w:bookmarkEnd w:id="77"/>
      </w:hyperlink>
      <w:r w:rsidR="00283930" w:rsidRPr="00996C21">
        <w:rPr>
          <w:lang w:val="es-ES_tradnl"/>
        </w:rPr>
        <w:t>.</w:t>
      </w:r>
    </w:p>
    <w:p w:rsidR="00FD40CF" w:rsidRPr="00996C21" w:rsidRDefault="00FD40CF" w:rsidP="00283930">
      <w:pPr>
        <w:rPr>
          <w:lang w:val="es-ES_tradnl"/>
        </w:rPr>
      </w:pPr>
      <w:bookmarkStart w:id="78" w:name="lt_pId102"/>
      <w:r w:rsidRPr="00996C21">
        <w:rPr>
          <w:lang w:val="es-ES_tradnl"/>
        </w:rPr>
        <w:t>11.2</w:t>
      </w:r>
      <w:r w:rsidRPr="00996C21">
        <w:rPr>
          <w:lang w:val="es-ES_tradnl"/>
        </w:rPr>
        <w:tab/>
        <w:t xml:space="preserve">Posteriormente, durante la reunión, la BDT presentó informes escritos (véanse los </w:t>
      </w:r>
      <w:r w:rsidR="00EC33C1" w:rsidRPr="00996C21">
        <w:rPr>
          <w:lang w:val="es-ES_tradnl"/>
        </w:rPr>
        <w:t xml:space="preserve">Documentos </w:t>
      </w:r>
      <w:hyperlink r:id="rId42" w:history="1">
        <w:r w:rsidRPr="00996C21">
          <w:rPr>
            <w:rStyle w:val="Hyperlink"/>
            <w:lang w:val="es-ES_tradnl"/>
          </w:rPr>
          <w:t>TD270</w:t>
        </w:r>
      </w:hyperlink>
      <w:r w:rsidRPr="00996C21">
        <w:rPr>
          <w:lang w:val="es-ES_tradnl"/>
        </w:rPr>
        <w:t xml:space="preserve"> y </w:t>
      </w:r>
      <w:hyperlink r:id="rId43" w:history="1">
        <w:r w:rsidRPr="00996C21">
          <w:rPr>
            <w:rStyle w:val="Hyperlink"/>
            <w:lang w:val="es-ES_tradnl"/>
          </w:rPr>
          <w:t>TD271</w:t>
        </w:r>
      </w:hyperlink>
      <w:r w:rsidRPr="00996C21">
        <w:rPr>
          <w:lang w:val="es-ES_tradnl"/>
        </w:rPr>
        <w:t xml:space="preserve">), que se debatieron en la </w:t>
      </w:r>
      <w:hyperlink w:anchor="_21.4_Grupo_de" w:history="1">
        <w:r w:rsidRPr="00996C21">
          <w:rPr>
            <w:rStyle w:val="Hyperlink"/>
            <w:lang w:val="es-ES_tradnl"/>
          </w:rPr>
          <w:t>sesión del GR-SC</w:t>
        </w:r>
      </w:hyperlink>
      <w:r w:rsidRPr="00996C21">
        <w:rPr>
          <w:lang w:val="es-ES_tradnl"/>
        </w:rPr>
        <w:t>.</w:t>
      </w:r>
      <w:bookmarkEnd w:id="78"/>
    </w:p>
    <w:p w:rsidR="00FD40CF" w:rsidRPr="00996C21" w:rsidRDefault="00FD40CF" w:rsidP="00283930">
      <w:pPr>
        <w:rPr>
          <w:lang w:val="es-ES_tradnl"/>
        </w:rPr>
      </w:pPr>
      <w:bookmarkStart w:id="79" w:name="lt_pId103"/>
      <w:r w:rsidRPr="00996C21">
        <w:rPr>
          <w:lang w:val="es-ES_tradnl"/>
        </w:rPr>
        <w:t>11.3</w:t>
      </w:r>
      <w:r w:rsidRPr="00996C21">
        <w:rPr>
          <w:lang w:val="es-ES_tradnl"/>
        </w:rPr>
        <w:tab/>
        <w:t>El GANT está interesado en recibir informes del ISCT en el futuro y alentó a ese equipo a examinar las actividades pertinentes de la Secretaría General.</w:t>
      </w:r>
      <w:bookmarkEnd w:id="79"/>
      <w:r w:rsidRPr="00996C21">
        <w:rPr>
          <w:lang w:val="es-ES_tradnl"/>
        </w:rPr>
        <w:t xml:space="preserve"> </w:t>
      </w:r>
      <w:bookmarkStart w:id="80" w:name="lt_pId104"/>
      <w:r w:rsidRPr="00996C21">
        <w:rPr>
          <w:lang w:val="es-ES_tradnl"/>
        </w:rPr>
        <w:t>El GANT reconoció la cuestión como una oportunidad adicional para que la Conferencia de Plenipotenciarios racionalizara las Resoluciones (véase también §</w:t>
      </w:r>
      <w:r w:rsidR="00D0542D" w:rsidRPr="00996C21">
        <w:rPr>
          <w:lang w:val="es-ES_tradnl"/>
        </w:rPr>
        <w:t>7.1</w:t>
      </w:r>
      <w:r w:rsidRPr="00996C21">
        <w:rPr>
          <w:lang w:val="es-ES_tradnl"/>
        </w:rPr>
        <w:t>).</w:t>
      </w:r>
      <w:bookmarkEnd w:id="80"/>
    </w:p>
    <w:p w:rsidR="00B86DBE" w:rsidRPr="00996C21" w:rsidRDefault="00B86DBE" w:rsidP="00E55484">
      <w:pPr>
        <w:pStyle w:val="Heading1"/>
        <w:rPr>
          <w:lang w:val="es-ES_tradnl"/>
        </w:rPr>
      </w:pPr>
      <w:bookmarkStart w:id="81" w:name="_Toc516061196"/>
      <w:r w:rsidRPr="00996C21">
        <w:rPr>
          <w:lang w:val="es-ES_tradnl"/>
        </w:rPr>
        <w:br w:type="page"/>
      </w:r>
    </w:p>
    <w:p w:rsidR="00FD40CF" w:rsidRPr="00996C21" w:rsidRDefault="00E55484" w:rsidP="00E55484">
      <w:pPr>
        <w:pStyle w:val="Heading1"/>
        <w:rPr>
          <w:lang w:val="es-ES_tradnl"/>
        </w:rPr>
      </w:pPr>
      <w:r w:rsidRPr="00996C21">
        <w:rPr>
          <w:lang w:val="es-ES_tradnl"/>
        </w:rPr>
        <w:lastRenderedPageBreak/>
        <w:t>12</w:t>
      </w:r>
      <w:r w:rsidRPr="00996C21">
        <w:rPr>
          <w:lang w:val="es-ES_tradnl"/>
        </w:rPr>
        <w:tab/>
        <w:t xml:space="preserve">Actividad Conjunta de Coordinación sobre </w:t>
      </w:r>
      <w:r w:rsidR="00B86DBE" w:rsidRPr="00996C21">
        <w:rPr>
          <w:lang w:val="es-ES_tradnl"/>
        </w:rPr>
        <w:t xml:space="preserve">accesibilidad </w:t>
      </w:r>
      <w:r w:rsidRPr="00996C21">
        <w:rPr>
          <w:lang w:val="es-ES_tradnl"/>
        </w:rPr>
        <w:t>y factores humanos (JCA</w:t>
      </w:r>
      <w:r w:rsidRPr="00996C21">
        <w:rPr>
          <w:lang w:val="es-ES_tradnl"/>
        </w:rPr>
        <w:noBreakHyphen/>
        <w:t>AHF)</w:t>
      </w:r>
      <w:bookmarkEnd w:id="81"/>
    </w:p>
    <w:p w:rsidR="00E55484" w:rsidRPr="00996C21" w:rsidRDefault="00E55484" w:rsidP="00B86DBE">
      <w:pPr>
        <w:rPr>
          <w:lang w:val="es-ES_tradnl"/>
        </w:rPr>
      </w:pPr>
      <w:bookmarkStart w:id="82" w:name="lt_pId106"/>
      <w:r w:rsidRPr="00996C21">
        <w:rPr>
          <w:lang w:val="es-ES_tradnl"/>
        </w:rPr>
        <w:t>12.1</w:t>
      </w:r>
      <w:r w:rsidRPr="00996C21">
        <w:rPr>
          <w:lang w:val="es-ES_tradnl"/>
        </w:rPr>
        <w:tab/>
        <w:t xml:space="preserve">La Presidenta de JCA-AHF, la Sra. Andrea Saks (EE.UU.), presentó el informe provisional de JCA-AHF en el Documento </w:t>
      </w:r>
      <w:hyperlink r:id="rId44" w:history="1">
        <w:r w:rsidRPr="00996C21">
          <w:rPr>
            <w:rStyle w:val="Hyperlink"/>
            <w:lang w:val="es-ES_tradnl"/>
          </w:rPr>
          <w:t>TD158</w:t>
        </w:r>
      </w:hyperlink>
      <w:r w:rsidRPr="00996C21">
        <w:rPr>
          <w:lang w:val="es-ES_tradnl"/>
        </w:rPr>
        <w:t>.</w:t>
      </w:r>
      <w:bookmarkEnd w:id="82"/>
      <w:r w:rsidRPr="00996C21">
        <w:rPr>
          <w:lang w:val="es-ES_tradnl"/>
        </w:rPr>
        <w:t xml:space="preserve"> </w:t>
      </w:r>
      <w:bookmarkStart w:id="83" w:name="lt_pId107"/>
      <w:r w:rsidRPr="00996C21">
        <w:rPr>
          <w:lang w:val="es-ES_tradnl"/>
        </w:rPr>
        <w:t>Informó sobre la duplicación de labores y sobre las dificultades de los expertos para trabajar juntos.</w:t>
      </w:r>
      <w:bookmarkEnd w:id="83"/>
      <w:r w:rsidRPr="00996C21">
        <w:rPr>
          <w:lang w:val="es-ES_tradnl"/>
        </w:rPr>
        <w:t xml:space="preserve"> </w:t>
      </w:r>
      <w:bookmarkStart w:id="84" w:name="lt_pId108"/>
      <w:r w:rsidRPr="00996C21">
        <w:rPr>
          <w:lang w:val="es-ES_tradnl"/>
        </w:rPr>
        <w:t xml:space="preserve">Abogó por el Fondo de Accesibilidad de la UIT y alentó a los </w:t>
      </w:r>
      <w:r w:rsidR="00B86DBE" w:rsidRPr="00996C21">
        <w:rPr>
          <w:lang w:val="es-ES_tradnl"/>
        </w:rPr>
        <w:t xml:space="preserve">miembros </w:t>
      </w:r>
      <w:r w:rsidRPr="00996C21">
        <w:rPr>
          <w:lang w:val="es-ES_tradnl"/>
        </w:rPr>
        <w:t>a hacer contribuciones voluntarias al mismo.</w:t>
      </w:r>
      <w:bookmarkEnd w:id="84"/>
      <w:r w:rsidRPr="00996C21">
        <w:rPr>
          <w:lang w:val="es-ES_tradnl"/>
        </w:rPr>
        <w:t xml:space="preserve"> </w:t>
      </w:r>
      <w:bookmarkStart w:id="85" w:name="lt_pId109"/>
      <w:r w:rsidRPr="00996C21">
        <w:rPr>
          <w:lang w:val="es-ES_tradnl"/>
        </w:rPr>
        <w:t>El GANT tomó nota del informe y alentó a sus miembros a contribuir al fondo.</w:t>
      </w:r>
      <w:bookmarkEnd w:id="85"/>
    </w:p>
    <w:p w:rsidR="00E55484" w:rsidRPr="00996C21" w:rsidRDefault="00B86DBE" w:rsidP="00E55484">
      <w:pPr>
        <w:pStyle w:val="Heading1"/>
        <w:rPr>
          <w:lang w:val="es-ES_tradnl"/>
        </w:rPr>
      </w:pPr>
      <w:bookmarkStart w:id="86" w:name="lt_pId110"/>
      <w:bookmarkStart w:id="87" w:name="_Toc508133727"/>
      <w:bookmarkStart w:id="88" w:name="_Toc516061197"/>
      <w:r w:rsidRPr="00996C21">
        <w:rPr>
          <w:lang w:val="es-ES_tradnl"/>
        </w:rPr>
        <w:t>13</w:t>
      </w:r>
      <w:r w:rsidR="004E41B6" w:rsidRPr="00996C21">
        <w:rPr>
          <w:lang w:val="es-ES_tradnl"/>
        </w:rPr>
        <w:tab/>
      </w:r>
      <w:r w:rsidR="00E55484" w:rsidRPr="00996C21">
        <w:rPr>
          <w:lang w:val="es-ES_tradnl"/>
        </w:rPr>
        <w:t>Plan de comunicación</w:t>
      </w:r>
      <w:bookmarkEnd w:id="86"/>
      <w:bookmarkEnd w:id="87"/>
      <w:bookmarkEnd w:id="88"/>
    </w:p>
    <w:p w:rsidR="00E55484" w:rsidRPr="00996C21" w:rsidRDefault="00E55484" w:rsidP="006C28C3">
      <w:pPr>
        <w:rPr>
          <w:lang w:val="es-ES_tradnl"/>
        </w:rPr>
      </w:pPr>
      <w:bookmarkStart w:id="89" w:name="lt_pId111"/>
      <w:r w:rsidRPr="00996C21">
        <w:rPr>
          <w:lang w:val="es-ES_tradnl"/>
        </w:rPr>
        <w:t>13.1</w:t>
      </w:r>
      <w:r w:rsidRPr="00996C21">
        <w:rPr>
          <w:lang w:val="es-ES_tradnl"/>
        </w:rPr>
        <w:tab/>
        <w:t xml:space="preserve">La Argentina presentó el Documento </w:t>
      </w:r>
      <w:hyperlink r:id="rId45" w:history="1">
        <w:r w:rsidRPr="00996C21">
          <w:rPr>
            <w:rStyle w:val="Hyperlink"/>
            <w:lang w:val="es-ES_tradnl"/>
          </w:rPr>
          <w:t>C43</w:t>
        </w:r>
      </w:hyperlink>
      <w:r w:rsidRPr="00996C21">
        <w:rPr>
          <w:lang w:val="es-ES_tradnl"/>
        </w:rPr>
        <w:t xml:space="preserve"> relativo a la necesidad de aplicar un plan de comunicación en el UIT-T, en el que se propone la aplicación de un plan de comunicación interno y externo en ese Sector en el que deberán figurar todos los diferentes medios de comunicación disponibles.</w:t>
      </w:r>
      <w:bookmarkEnd w:id="89"/>
    </w:p>
    <w:p w:rsidR="00E55484" w:rsidRPr="00996C21" w:rsidRDefault="00E55484" w:rsidP="006C28C3">
      <w:pPr>
        <w:rPr>
          <w:lang w:val="es-ES_tradnl"/>
        </w:rPr>
      </w:pPr>
      <w:bookmarkStart w:id="90" w:name="lt_pId112"/>
      <w:r w:rsidRPr="00996C21">
        <w:rPr>
          <w:lang w:val="es-ES_tradnl"/>
        </w:rPr>
        <w:t>13.2</w:t>
      </w:r>
      <w:r w:rsidR="00D0542D" w:rsidRPr="00996C21">
        <w:rPr>
          <w:lang w:val="es-ES_tradnl"/>
        </w:rPr>
        <w:tab/>
      </w:r>
      <w:r w:rsidRPr="00996C21">
        <w:rPr>
          <w:lang w:val="es-ES_tradnl"/>
        </w:rPr>
        <w:t xml:space="preserve">La TSB presentó el Documento </w:t>
      </w:r>
      <w:hyperlink r:id="rId46" w:history="1">
        <w:r w:rsidRPr="00996C21">
          <w:rPr>
            <w:rStyle w:val="Hyperlink"/>
            <w:lang w:val="es-ES_tradnl"/>
          </w:rPr>
          <w:t>TD260</w:t>
        </w:r>
      </w:hyperlink>
      <w:r w:rsidRPr="00996C21">
        <w:rPr>
          <w:lang w:val="es-ES_tradnl"/>
        </w:rPr>
        <w:t xml:space="preserve"> en el que se ofrece un resumen de los servicios de comunicaciones de la TSB y se esboza su estrategia de comunicaciones.</w:t>
      </w:r>
      <w:bookmarkEnd w:id="90"/>
    </w:p>
    <w:p w:rsidR="00E55484" w:rsidRPr="00996C21" w:rsidRDefault="00E55484" w:rsidP="006C28C3">
      <w:pPr>
        <w:rPr>
          <w:lang w:val="es-ES_tradnl"/>
        </w:rPr>
      </w:pPr>
      <w:bookmarkStart w:id="91" w:name="lt_pId113"/>
      <w:r w:rsidRPr="00996C21">
        <w:rPr>
          <w:lang w:val="es-ES_tradnl"/>
        </w:rPr>
        <w:t>13.3</w:t>
      </w:r>
      <w:r w:rsidRPr="00996C21">
        <w:rPr>
          <w:lang w:val="es-ES_tradnl"/>
        </w:rPr>
        <w:tab/>
        <w:t>El GANT invitó a los interesados a ponerse en contacto con el Sr. Fred Werner, de los servicios de comunicaciones de la TSB.</w:t>
      </w:r>
      <w:bookmarkEnd w:id="91"/>
    </w:p>
    <w:p w:rsidR="00E55484" w:rsidRPr="00996C21" w:rsidRDefault="00261D84" w:rsidP="002E0AFA">
      <w:pPr>
        <w:pStyle w:val="Heading1"/>
        <w:rPr>
          <w:lang w:val="es-ES_tradnl"/>
        </w:rPr>
      </w:pPr>
      <w:bookmarkStart w:id="92" w:name="_Toc516061198"/>
      <w:r w:rsidRPr="00996C21">
        <w:rPr>
          <w:lang w:val="es-ES_tradnl"/>
        </w:rPr>
        <w:t>14</w:t>
      </w:r>
      <w:r w:rsidR="004E41B6" w:rsidRPr="00996C21">
        <w:rPr>
          <w:lang w:val="es-ES_tradnl"/>
        </w:rPr>
        <w:tab/>
      </w:r>
      <w:r w:rsidR="002E0AFA" w:rsidRPr="00996C21">
        <w:rPr>
          <w:lang w:val="es-ES_tradnl"/>
        </w:rPr>
        <w:t>Idiomas</w:t>
      </w:r>
      <w:bookmarkEnd w:id="92"/>
    </w:p>
    <w:p w:rsidR="002E0AFA" w:rsidRPr="00996C21" w:rsidRDefault="002E0AFA" w:rsidP="00E82EF6">
      <w:pPr>
        <w:rPr>
          <w:lang w:val="es-ES_tradnl"/>
        </w:rPr>
      </w:pPr>
      <w:bookmarkStart w:id="93" w:name="lt_pId115"/>
      <w:r w:rsidRPr="00996C21">
        <w:rPr>
          <w:lang w:val="es-ES_tradnl"/>
        </w:rPr>
        <w:t>14.1</w:t>
      </w:r>
      <w:r w:rsidRPr="00996C21">
        <w:rPr>
          <w:lang w:val="es-ES_tradnl"/>
        </w:rPr>
        <w:tab/>
        <w:t xml:space="preserve">La República Centroafricana presentó el Documento </w:t>
      </w:r>
      <w:hyperlink r:id="rId47" w:history="1">
        <w:r w:rsidRPr="00996C21">
          <w:rPr>
            <w:rStyle w:val="Hyperlink"/>
            <w:lang w:val="es-ES_tradnl"/>
          </w:rPr>
          <w:t>C26</w:t>
        </w:r>
      </w:hyperlink>
      <w:r w:rsidRPr="00996C21">
        <w:rPr>
          <w:lang w:val="es-ES_tradnl"/>
        </w:rPr>
        <w:t xml:space="preserve"> sobre el uso efectivo de los seis idiomas oficiales de la Unión en igualdad de condiciones en las labores del UIT-T, en el que se indica que es fundamental recordar a los Presidentes de las Comisiones de Estudio la importancia de la interpretación en las sesiones plenarias y en los Grupo de Trabajo de las Comisiones de Estudio del UIT-T.</w:t>
      </w:r>
      <w:bookmarkEnd w:id="93"/>
      <w:r w:rsidRPr="00996C21">
        <w:rPr>
          <w:lang w:val="es-ES_tradnl"/>
        </w:rPr>
        <w:t xml:space="preserve"> </w:t>
      </w:r>
      <w:bookmarkStart w:id="94" w:name="lt_pId116"/>
      <w:r w:rsidRPr="00996C21">
        <w:rPr>
          <w:lang w:val="es-ES_tradnl"/>
        </w:rPr>
        <w:t>Es importante evitar que se produzcan barre</w:t>
      </w:r>
      <w:r w:rsidR="00E82EF6" w:rsidRPr="00996C21">
        <w:rPr>
          <w:lang w:val="es-ES_tradnl"/>
        </w:rPr>
        <w:t>r</w:t>
      </w:r>
      <w:r w:rsidRPr="00996C21">
        <w:rPr>
          <w:lang w:val="es-ES_tradnl"/>
        </w:rPr>
        <w:t>as lingüísticas que acentúen la disparidad en materia de normalización entre los países en desarrollo y los países desarrollados, especialmente en los países de habla francesa.</w:t>
      </w:r>
      <w:bookmarkEnd w:id="94"/>
      <w:r w:rsidRPr="00996C21">
        <w:rPr>
          <w:lang w:val="es-ES_tradnl"/>
        </w:rPr>
        <w:t xml:space="preserve"> </w:t>
      </w:r>
      <w:bookmarkStart w:id="95" w:name="lt_pId117"/>
      <w:r w:rsidRPr="00996C21">
        <w:rPr>
          <w:lang w:val="es-ES_tradnl"/>
        </w:rPr>
        <w:t>En la contribución se afirma que la interpretación es fundamental para que todos los delegados, en particular los de los países en desarrollo, estén plenamente informados de las decisiones de normalización del UIT-T adoptadas en sus reuniones y participen con éxito en esas decisiones.</w:t>
      </w:r>
      <w:bookmarkEnd w:id="95"/>
    </w:p>
    <w:p w:rsidR="002E0AFA" w:rsidRPr="00996C21" w:rsidRDefault="002E0AFA" w:rsidP="00E82EF6">
      <w:pPr>
        <w:rPr>
          <w:lang w:val="es-ES_tradnl"/>
        </w:rPr>
      </w:pPr>
      <w:bookmarkStart w:id="96" w:name="lt_pId118"/>
      <w:r w:rsidRPr="00996C21">
        <w:rPr>
          <w:lang w:val="es-ES_tradnl"/>
        </w:rPr>
        <w:t>14.2</w:t>
      </w:r>
      <w:r w:rsidRPr="00996C21">
        <w:rPr>
          <w:lang w:val="es-ES_tradnl"/>
        </w:rPr>
        <w:tab/>
        <w:t>El Director de la TSB anunció planes para que su Oficina, dentro de los límites presupuestarios, proporcionara traducción del material de formación sobre la reducción de la disparidad en materia de normalización (BSG) en los seis idiomas oficiales.</w:t>
      </w:r>
      <w:bookmarkEnd w:id="96"/>
      <w:r w:rsidRPr="00996C21">
        <w:rPr>
          <w:lang w:val="es-ES_tradnl"/>
        </w:rPr>
        <w:t xml:space="preserve"> </w:t>
      </w:r>
      <w:bookmarkStart w:id="97" w:name="lt_pId119"/>
      <w:r w:rsidRPr="00996C21">
        <w:rPr>
          <w:lang w:val="es-ES_tradnl"/>
        </w:rPr>
        <w:t>La TSB también sigue investigando los avances y explorando el uso de herramientas de traducción automática.</w:t>
      </w:r>
      <w:bookmarkEnd w:id="97"/>
    </w:p>
    <w:p w:rsidR="002E0AFA" w:rsidRPr="00996C21" w:rsidRDefault="002E0AFA" w:rsidP="00E82EF6">
      <w:pPr>
        <w:rPr>
          <w:lang w:val="es-ES_tradnl"/>
        </w:rPr>
      </w:pPr>
      <w:bookmarkStart w:id="98" w:name="lt_pId120"/>
      <w:r w:rsidRPr="00996C21">
        <w:rPr>
          <w:lang w:val="es-ES_tradnl"/>
        </w:rPr>
        <w:t>14.3</w:t>
      </w:r>
      <w:r w:rsidRPr="00996C21">
        <w:rPr>
          <w:lang w:val="es-ES_tradnl"/>
        </w:rPr>
        <w:tab/>
        <w:t>El GANT reconoció la importancia de los idiomas y dijo estar al corriente de que el Grupo de Trabajo del Consejo sobre los Idiomas se ocupa de asuntos relativos al uso de los seis idiomas oficiales de la Unión pero que los Sectores de la UIT también se ven restringidos por limitaciones presupuestarias.</w:t>
      </w:r>
      <w:bookmarkEnd w:id="98"/>
    </w:p>
    <w:p w:rsidR="002E0AFA" w:rsidRPr="00996C21" w:rsidRDefault="002E0AFA" w:rsidP="00E82EF6">
      <w:pPr>
        <w:rPr>
          <w:lang w:val="es-ES_tradnl"/>
        </w:rPr>
      </w:pPr>
      <w:bookmarkStart w:id="99" w:name="lt_pId121"/>
      <w:r w:rsidRPr="00996C21">
        <w:rPr>
          <w:lang w:val="es-ES_tradnl"/>
        </w:rPr>
        <w:t>14.4</w:t>
      </w:r>
      <w:r w:rsidRPr="00996C21">
        <w:rPr>
          <w:lang w:val="es-ES_tradnl"/>
        </w:rPr>
        <w:tab/>
        <w:t>El GANT aconsejó al Director de la TSB que proporcionara al Consejo de la UIT un análisis de la situación relativa a la prestación de servicios de interpretación en los seis idiomas oficiales en las reuniones plenarias y en el Grupo de Trabajo del UIT-T y sus limitaciones presupuestarias.</w:t>
      </w:r>
      <w:bookmarkEnd w:id="99"/>
    </w:p>
    <w:p w:rsidR="002E0AFA" w:rsidRPr="00996C21" w:rsidRDefault="002E0AFA" w:rsidP="00E82EF6">
      <w:pPr>
        <w:rPr>
          <w:lang w:val="es-ES_tradnl"/>
        </w:rPr>
      </w:pPr>
      <w:bookmarkStart w:id="100" w:name="lt_pId122"/>
      <w:r w:rsidRPr="00996C21">
        <w:rPr>
          <w:lang w:val="es-ES_tradnl"/>
        </w:rPr>
        <w:t>14.5</w:t>
      </w:r>
      <w:r w:rsidRPr="00996C21">
        <w:rPr>
          <w:lang w:val="es-ES_tradnl"/>
        </w:rPr>
        <w:tab/>
        <w:t>Las contribuciones voluntarias al fondo BSG pueden ayudar a mitigar las restricciones financieras al prestar servicios de interpretación en los seis idiomas oficiales.</w:t>
      </w:r>
      <w:bookmarkEnd w:id="100"/>
    </w:p>
    <w:p w:rsidR="002E0AFA" w:rsidRPr="00996C21" w:rsidRDefault="002E0AFA" w:rsidP="00E82EF6">
      <w:pPr>
        <w:rPr>
          <w:lang w:val="es-ES_tradnl"/>
        </w:rPr>
      </w:pPr>
      <w:bookmarkStart w:id="101" w:name="lt_pId123"/>
      <w:r w:rsidRPr="00996C21">
        <w:rPr>
          <w:lang w:val="es-ES_tradnl"/>
        </w:rPr>
        <w:t>14.6</w:t>
      </w:r>
      <w:r w:rsidRPr="00996C21">
        <w:rPr>
          <w:lang w:val="es-ES_tradnl"/>
        </w:rPr>
        <w:tab/>
        <w:t xml:space="preserve">El GANT tomó nota de la </w:t>
      </w:r>
      <w:r w:rsidR="00E82EF6" w:rsidRPr="00996C21">
        <w:rPr>
          <w:lang w:val="es-ES_tradnl"/>
        </w:rPr>
        <w:t xml:space="preserve">Declaración </w:t>
      </w:r>
      <w:r w:rsidRPr="00996C21">
        <w:rPr>
          <w:lang w:val="es-ES_tradnl"/>
        </w:rPr>
        <w:t xml:space="preserve">de coordinación de la CE 9 en el Documento </w:t>
      </w:r>
      <w:hyperlink r:id="rId48" w:history="1">
        <w:r w:rsidRPr="00996C21">
          <w:rPr>
            <w:rStyle w:val="Hyperlink"/>
            <w:lang w:val="es-ES_tradnl"/>
          </w:rPr>
          <w:t>TD250</w:t>
        </w:r>
      </w:hyperlink>
      <w:r w:rsidRPr="00996C21">
        <w:rPr>
          <w:lang w:val="es-ES_tradnl"/>
        </w:rPr>
        <w:t xml:space="preserve"> sobre la base de datos de términos y definiciones, que se sometió a la acción del SCV y del CCV.</w:t>
      </w:r>
      <w:bookmarkEnd w:id="101"/>
    </w:p>
    <w:p w:rsidR="002E0AFA" w:rsidRPr="00996C21" w:rsidRDefault="002E0AFA" w:rsidP="002E0AFA">
      <w:pPr>
        <w:pStyle w:val="Heading1"/>
        <w:rPr>
          <w:lang w:val="es-ES_tradnl"/>
        </w:rPr>
      </w:pPr>
      <w:bookmarkStart w:id="102" w:name="lt_pId124"/>
      <w:bookmarkStart w:id="103" w:name="_Toc508133729"/>
      <w:bookmarkStart w:id="104" w:name="_Toc516061199"/>
      <w:r w:rsidRPr="00996C21">
        <w:rPr>
          <w:lang w:val="es-ES_tradnl"/>
        </w:rPr>
        <w:lastRenderedPageBreak/>
        <w:t>15</w:t>
      </w:r>
      <w:r w:rsidRPr="00996C21">
        <w:rPr>
          <w:lang w:val="es-ES_tradnl"/>
        </w:rPr>
        <w:tab/>
        <w:t>Normas para una sociedad basada en los datos</w:t>
      </w:r>
      <w:bookmarkEnd w:id="102"/>
      <w:bookmarkEnd w:id="103"/>
      <w:bookmarkEnd w:id="104"/>
    </w:p>
    <w:p w:rsidR="002E0AFA" w:rsidRPr="00996C21" w:rsidRDefault="002E0AFA" w:rsidP="00E055AF">
      <w:pPr>
        <w:rPr>
          <w:lang w:val="es-ES_tradnl"/>
        </w:rPr>
      </w:pPr>
      <w:bookmarkStart w:id="105" w:name="lt_pId125"/>
      <w:r w:rsidRPr="00996C21">
        <w:rPr>
          <w:lang w:val="es-ES_tradnl"/>
        </w:rPr>
        <w:t>15.1</w:t>
      </w:r>
      <w:r w:rsidRPr="00996C21">
        <w:rPr>
          <w:lang w:val="es-ES_tradnl"/>
        </w:rPr>
        <w:tab/>
        <w:t xml:space="preserve">El experto invitado, el Sr. Ken Krechmer, presentó a distancia el Documento </w:t>
      </w:r>
      <w:hyperlink r:id="rId49" w:history="1">
        <w:r w:rsidRPr="00996C21">
          <w:rPr>
            <w:rStyle w:val="Hyperlink"/>
            <w:lang w:val="es-ES_tradnl"/>
          </w:rPr>
          <w:t>TD153</w:t>
        </w:r>
      </w:hyperlink>
      <w:r w:rsidRPr="00996C21">
        <w:rPr>
          <w:lang w:val="es-ES_tradnl"/>
        </w:rPr>
        <w:t>, su discurso principal y su ponencia ("</w:t>
      </w:r>
      <w:r w:rsidRPr="00996C21">
        <w:rPr>
          <w:i/>
          <w:iCs/>
          <w:lang w:val="es-ES_tradnl"/>
        </w:rPr>
        <w:t>The Entrepreneur and Standards</w:t>
      </w:r>
      <w:r w:rsidRPr="00996C21">
        <w:rPr>
          <w:lang w:val="es-ES_tradnl"/>
        </w:rPr>
        <w:t>"), pronunciados en la conferencia académica Cal</w:t>
      </w:r>
      <w:r w:rsidR="00E055AF" w:rsidRPr="00996C21">
        <w:rPr>
          <w:lang w:val="es-ES_tradnl"/>
        </w:rPr>
        <w:t>e</w:t>
      </w:r>
      <w:r w:rsidRPr="00996C21">
        <w:rPr>
          <w:lang w:val="es-ES_tradnl"/>
        </w:rPr>
        <w:t>idoscopio 2017 de la UIT (K-2017), titulada "Retos para una sociedad basada en los datos", en la que se reflexiona sobre la normalización en el siglo XXI.</w:t>
      </w:r>
      <w:bookmarkEnd w:id="105"/>
    </w:p>
    <w:p w:rsidR="002E0AFA" w:rsidRPr="00996C21" w:rsidRDefault="002E0AFA" w:rsidP="00E055AF">
      <w:pPr>
        <w:rPr>
          <w:lang w:val="es-ES_tradnl"/>
        </w:rPr>
      </w:pPr>
      <w:bookmarkStart w:id="106" w:name="lt_pId126"/>
      <w:r w:rsidRPr="00996C21">
        <w:rPr>
          <w:lang w:val="es-ES_tradnl"/>
        </w:rPr>
        <w:t>15.2</w:t>
      </w:r>
      <w:r w:rsidRPr="00996C21">
        <w:rPr>
          <w:lang w:val="es-ES_tradnl"/>
        </w:rPr>
        <w:tab/>
        <w:t>El GANT tomó nota de la presentación e invitó a los delegados a estudiar el material en el Documento TD153.</w:t>
      </w:r>
      <w:bookmarkEnd w:id="106"/>
    </w:p>
    <w:p w:rsidR="002E0AFA" w:rsidRPr="00996C21" w:rsidRDefault="00E055AF" w:rsidP="002E0AFA">
      <w:pPr>
        <w:pStyle w:val="Heading1"/>
        <w:rPr>
          <w:lang w:val="es-ES_tradnl"/>
        </w:rPr>
      </w:pPr>
      <w:bookmarkStart w:id="107" w:name="lt_pId127"/>
      <w:bookmarkStart w:id="108" w:name="_Toc508133730"/>
      <w:bookmarkStart w:id="109" w:name="_Toc516061200"/>
      <w:r w:rsidRPr="00996C21">
        <w:rPr>
          <w:lang w:val="es-ES_tradnl"/>
        </w:rPr>
        <w:t>16</w:t>
      </w:r>
      <w:r w:rsidR="004E41B6" w:rsidRPr="00996C21">
        <w:rPr>
          <w:lang w:val="es-ES_tradnl"/>
        </w:rPr>
        <w:tab/>
      </w:r>
      <w:r w:rsidR="002E0AFA" w:rsidRPr="00996C21">
        <w:rPr>
          <w:lang w:val="es-ES_tradnl"/>
        </w:rPr>
        <w:t>Derechos de propiedad intelectual (DPI)</w:t>
      </w:r>
      <w:bookmarkEnd w:id="107"/>
      <w:bookmarkEnd w:id="108"/>
      <w:bookmarkEnd w:id="109"/>
    </w:p>
    <w:p w:rsidR="002E0AFA" w:rsidRPr="00996C21" w:rsidRDefault="002E0AFA" w:rsidP="00E055AF">
      <w:pPr>
        <w:rPr>
          <w:lang w:val="es-ES_tradnl"/>
        </w:rPr>
      </w:pPr>
      <w:bookmarkStart w:id="110" w:name="lt_pId128"/>
      <w:r w:rsidRPr="00996C21">
        <w:rPr>
          <w:lang w:val="es-ES_tradnl"/>
        </w:rPr>
        <w:t>16.1</w:t>
      </w:r>
      <w:r w:rsidRPr="00996C21">
        <w:rPr>
          <w:lang w:val="es-ES_tradnl"/>
        </w:rPr>
        <w:tab/>
        <w:t xml:space="preserve">La TSB presentó el Documento </w:t>
      </w:r>
      <w:hyperlink r:id="rId50" w:history="1">
        <w:r w:rsidRPr="00996C21">
          <w:rPr>
            <w:rStyle w:val="Hyperlink"/>
            <w:lang w:val="es-ES_tradnl"/>
          </w:rPr>
          <w:t>TD241</w:t>
        </w:r>
      </w:hyperlink>
      <w:r w:rsidRPr="00996C21">
        <w:rPr>
          <w:lang w:val="es-ES_tradnl"/>
        </w:rPr>
        <w:t xml:space="preserve"> sobre estadísticas relativas a Recomendaciones del UIT-T y declaraciones de patentes y el GANT tomó nota al respecto.</w:t>
      </w:r>
      <w:bookmarkEnd w:id="110"/>
    </w:p>
    <w:p w:rsidR="002E0AFA" w:rsidRPr="00996C21" w:rsidRDefault="002E0AFA" w:rsidP="002E0AFA">
      <w:pPr>
        <w:pStyle w:val="Heading2"/>
        <w:rPr>
          <w:lang w:val="es-ES_tradnl"/>
        </w:rPr>
      </w:pPr>
      <w:bookmarkStart w:id="111" w:name="lt_pId129"/>
      <w:bookmarkStart w:id="112" w:name="_Toc516061201"/>
      <w:r w:rsidRPr="00996C21">
        <w:rPr>
          <w:lang w:val="es-ES_tradnl"/>
        </w:rPr>
        <w:t>16.2</w:t>
      </w:r>
      <w:r w:rsidRPr="00996C21">
        <w:rPr>
          <w:lang w:val="es-ES_tradnl"/>
        </w:rPr>
        <w:tab/>
        <w:t>Resultado de la sesión especial sobre derechos de autor (lunes 26 de febrero de 2018)</w:t>
      </w:r>
      <w:bookmarkEnd w:id="111"/>
      <w:bookmarkEnd w:id="112"/>
    </w:p>
    <w:p w:rsidR="002E0AFA" w:rsidRPr="00996C21" w:rsidRDefault="002E0AFA" w:rsidP="00E055AF">
      <w:pPr>
        <w:rPr>
          <w:lang w:val="es-ES_tradnl"/>
        </w:rPr>
      </w:pPr>
      <w:bookmarkStart w:id="113" w:name="lt_pId130"/>
      <w:r w:rsidRPr="00996C21">
        <w:rPr>
          <w:lang w:val="es-ES_tradnl"/>
        </w:rPr>
        <w:t>El GANT fue informado de los resultados de una sesión especial sobre derechos de autor, presidida por su Presidente, el Sr. Bruce Gracie, el lunes 26 de febrero de 2</w:t>
      </w:r>
      <w:r w:rsidR="00E055AF" w:rsidRPr="00996C21">
        <w:rPr>
          <w:lang w:val="es-ES_tradnl"/>
        </w:rPr>
        <w:t>018 entre las 13.00 y las 14.00 </w:t>
      </w:r>
      <w:r w:rsidRPr="00996C21">
        <w:rPr>
          <w:lang w:val="es-ES_tradnl"/>
        </w:rPr>
        <w:t>horas, a la que asistieron unos 50 delegados.</w:t>
      </w:r>
      <w:bookmarkEnd w:id="113"/>
      <w:r w:rsidRPr="00996C21">
        <w:rPr>
          <w:lang w:val="es-ES_tradnl"/>
        </w:rPr>
        <w:t xml:space="preserve"> </w:t>
      </w:r>
      <w:bookmarkStart w:id="114" w:name="lt_pId131"/>
      <w:r w:rsidRPr="00996C21">
        <w:rPr>
          <w:lang w:val="es-ES_tradnl"/>
        </w:rPr>
        <w:t>La Unidad de Asuntos Jurídicos de la UIT participó en esa sesión.</w:t>
      </w:r>
      <w:bookmarkEnd w:id="114"/>
      <w:r w:rsidRPr="00996C21">
        <w:rPr>
          <w:lang w:val="es-ES_tradnl"/>
        </w:rPr>
        <w:t xml:space="preserve"> </w:t>
      </w:r>
      <w:bookmarkStart w:id="115" w:name="lt_pId132"/>
      <w:r w:rsidRPr="00996C21">
        <w:rPr>
          <w:lang w:val="es-ES_tradnl"/>
        </w:rPr>
        <w:t xml:space="preserve">En ella se debatió una </w:t>
      </w:r>
      <w:r w:rsidR="00E055AF" w:rsidRPr="00996C21">
        <w:rPr>
          <w:lang w:val="es-ES_tradnl"/>
        </w:rPr>
        <w:t xml:space="preserve">Declaración </w:t>
      </w:r>
      <w:r w:rsidRPr="00996C21">
        <w:rPr>
          <w:lang w:val="es-ES_tradnl"/>
        </w:rPr>
        <w:t>de</w:t>
      </w:r>
      <w:r w:rsidR="00E055AF" w:rsidRPr="00996C21">
        <w:rPr>
          <w:lang w:val="es-ES_tradnl"/>
        </w:rPr>
        <w:t xml:space="preserve"> coordinación recibida de la CE </w:t>
      </w:r>
      <w:r w:rsidRPr="00996C21">
        <w:rPr>
          <w:lang w:val="es-ES_tradnl"/>
        </w:rPr>
        <w:t xml:space="preserve">15 en el Documento </w:t>
      </w:r>
      <w:hyperlink r:id="rId51" w:history="1">
        <w:r w:rsidRPr="00996C21">
          <w:rPr>
            <w:rStyle w:val="Hyperlink"/>
            <w:lang w:val="es-ES_tradnl"/>
          </w:rPr>
          <w:t>TD255</w:t>
        </w:r>
      </w:hyperlink>
      <w:r w:rsidRPr="00996C21">
        <w:rPr>
          <w:lang w:val="es-ES_tradnl"/>
        </w:rPr>
        <w:t xml:space="preserve"> sobre las prácticas de la UIT en materia de autorización de derechos de autor y en el Documento </w:t>
      </w:r>
      <w:hyperlink r:id="rId52" w:history="1">
        <w:r w:rsidRPr="00996C21">
          <w:rPr>
            <w:rStyle w:val="Hyperlink"/>
            <w:lang w:val="es-ES_tradnl"/>
          </w:rPr>
          <w:t>TD154</w:t>
        </w:r>
      </w:hyperlink>
      <w:r w:rsidRPr="00996C21">
        <w:rPr>
          <w:lang w:val="es-ES_tradnl"/>
        </w:rPr>
        <w:t>, en el que la Unidad de Asuntos Jurídicos de la UIT aclara la aplicación de la Resolución 66 (Rev. Guadalajara, 2010), "Documentos y publicaciones de la Unión".</w:t>
      </w:r>
      <w:bookmarkEnd w:id="115"/>
      <w:r w:rsidRPr="00996C21">
        <w:rPr>
          <w:lang w:val="es-ES_tradnl"/>
        </w:rPr>
        <w:t xml:space="preserve"> </w:t>
      </w:r>
      <w:bookmarkStart w:id="116" w:name="lt_pId133"/>
      <w:bookmarkStart w:id="117" w:name="_Hlk508114398"/>
      <w:r w:rsidRPr="00996C21">
        <w:rPr>
          <w:lang w:val="es-ES_tradnl"/>
        </w:rPr>
        <w:t>En la reunión especial se puso de manifiesto la práctica, de larga duración, de facilitar la difusión más amplia posible de los documentos de la UIT y se llegó a dos conclusiones:</w:t>
      </w:r>
      <w:bookmarkEnd w:id="116"/>
    </w:p>
    <w:p w:rsidR="002E0AFA" w:rsidRPr="00996C21" w:rsidRDefault="00E055AF" w:rsidP="00E055AF">
      <w:pPr>
        <w:pStyle w:val="enumlev1"/>
        <w:rPr>
          <w:lang w:val="es-ES_tradnl"/>
        </w:rPr>
      </w:pPr>
      <w:bookmarkStart w:id="118" w:name="lt_pId134"/>
      <w:r w:rsidRPr="00996C21">
        <w:rPr>
          <w:lang w:val="es-ES_tradnl"/>
        </w:rPr>
        <w:t>1)</w:t>
      </w:r>
      <w:r w:rsidR="009723D7" w:rsidRPr="00996C21">
        <w:rPr>
          <w:lang w:val="es-ES_tradnl"/>
        </w:rPr>
        <w:tab/>
      </w:r>
      <w:r w:rsidR="002E0AFA" w:rsidRPr="00996C21">
        <w:rPr>
          <w:lang w:val="es-ES_tradnl"/>
        </w:rPr>
        <w:t>Si los miembros creen que la Resolución 66 (Rev. Guadalajara, 2010) "Documentos y publicaciones de la Unión" debe ser modificada, se les invita a presentar contribuciones en la próxima Conferencia de Plenipotenciarios.</w:t>
      </w:r>
      <w:bookmarkEnd w:id="118"/>
    </w:p>
    <w:p w:rsidR="002E0AFA" w:rsidRPr="00996C21" w:rsidRDefault="00E055AF" w:rsidP="00E055AF">
      <w:pPr>
        <w:pStyle w:val="enumlev1"/>
        <w:rPr>
          <w:lang w:val="es-ES_tradnl"/>
        </w:rPr>
      </w:pPr>
      <w:bookmarkStart w:id="119" w:name="lt_pId135"/>
      <w:r w:rsidRPr="00996C21">
        <w:rPr>
          <w:lang w:val="es-ES_tradnl"/>
        </w:rPr>
        <w:t>2)</w:t>
      </w:r>
      <w:r w:rsidR="009723D7" w:rsidRPr="00996C21">
        <w:rPr>
          <w:lang w:val="es-ES_tradnl"/>
        </w:rPr>
        <w:tab/>
      </w:r>
      <w:r w:rsidR="002E0AFA" w:rsidRPr="00996C21">
        <w:rPr>
          <w:lang w:val="es-ES_tradnl"/>
        </w:rPr>
        <w:t>La TSB, la Unidad de Asuntos Jurídicos y la CE 15 verán con TSDSI que el estado no normativo de la UIT del material incorporado de la CE 15 figurará en la norma publicada por TSDSI.</w:t>
      </w:r>
      <w:bookmarkEnd w:id="119"/>
    </w:p>
    <w:p w:rsidR="002E0AFA" w:rsidRPr="00996C21" w:rsidRDefault="002E0AFA" w:rsidP="00E055AF">
      <w:pPr>
        <w:rPr>
          <w:lang w:val="es-ES_tradnl"/>
        </w:rPr>
      </w:pPr>
      <w:bookmarkStart w:id="120" w:name="lt_pId136"/>
      <w:bookmarkEnd w:id="117"/>
      <w:r w:rsidRPr="00996C21">
        <w:rPr>
          <w:lang w:val="es-ES_tradnl"/>
        </w:rPr>
        <w:t xml:space="preserve">El GANT tomó nota de ese </w:t>
      </w:r>
      <w:r w:rsidR="00E055AF" w:rsidRPr="00996C21">
        <w:rPr>
          <w:lang w:val="es-ES_tradnl"/>
        </w:rPr>
        <w:t xml:space="preserve">Informe </w:t>
      </w:r>
      <w:r w:rsidRPr="00996C21">
        <w:rPr>
          <w:lang w:val="es-ES_tradnl"/>
        </w:rPr>
        <w:t>y de las dos conclusiones.</w:t>
      </w:r>
      <w:bookmarkEnd w:id="120"/>
    </w:p>
    <w:p w:rsidR="002E0AFA" w:rsidRPr="00996C21" w:rsidRDefault="002E0AFA" w:rsidP="00E055AF">
      <w:pPr>
        <w:rPr>
          <w:lang w:val="es-ES_tradnl"/>
        </w:rPr>
      </w:pPr>
      <w:bookmarkStart w:id="121" w:name="lt_pId137"/>
      <w:bookmarkStart w:id="122" w:name="_Hlk508114459"/>
      <w:r w:rsidRPr="00996C21">
        <w:rPr>
          <w:lang w:val="es-ES_tradnl"/>
        </w:rPr>
        <w:t>16.3</w:t>
      </w:r>
      <w:r w:rsidRPr="00996C21">
        <w:rPr>
          <w:lang w:val="es-ES_tradnl"/>
        </w:rPr>
        <w:tab/>
        <w:t>Un Estado Miembro planteó un posible problema en materia de marcas en la Rec</w:t>
      </w:r>
      <w:r w:rsidR="00E055AF" w:rsidRPr="00996C21">
        <w:rPr>
          <w:lang w:val="es-ES_tradnl"/>
        </w:rPr>
        <w:t>omendación</w:t>
      </w:r>
      <w:r w:rsidRPr="00996C21">
        <w:rPr>
          <w:lang w:val="es-ES_tradnl"/>
        </w:rPr>
        <w:t xml:space="preserve"> UIT-T Y.4500.1 sobre el uso del término "oneM2M", el cual puede ser una marca.</w:t>
      </w:r>
      <w:bookmarkEnd w:id="121"/>
      <w:r w:rsidRPr="00996C21">
        <w:rPr>
          <w:lang w:val="es-ES_tradnl"/>
        </w:rPr>
        <w:t xml:space="preserve"> </w:t>
      </w:r>
      <w:bookmarkStart w:id="123" w:name="lt_pId138"/>
      <w:r w:rsidRPr="00996C21">
        <w:rPr>
          <w:lang w:val="es-ES_tradnl"/>
        </w:rPr>
        <w:t xml:space="preserve">La TSB acordó consultar con la Unidad de Asuntos Jurídicos de </w:t>
      </w:r>
      <w:r w:rsidR="00E055AF" w:rsidRPr="00996C21">
        <w:rPr>
          <w:lang w:val="es-ES_tradnl"/>
        </w:rPr>
        <w:t>la UIT y el Presidente de la CE </w:t>
      </w:r>
      <w:r w:rsidRPr="00996C21">
        <w:rPr>
          <w:lang w:val="es-ES_tradnl"/>
        </w:rPr>
        <w:t>20 el asunto para que se respeten las directrices vigentes del UIT-T sobre el uso de marcas en las Recomendaciones UIT-T.</w:t>
      </w:r>
      <w:bookmarkEnd w:id="123"/>
    </w:p>
    <w:p w:rsidR="002E0AFA" w:rsidRPr="00996C21" w:rsidRDefault="002E0AFA" w:rsidP="00AC6C46">
      <w:pPr>
        <w:pStyle w:val="Heading1"/>
        <w:rPr>
          <w:lang w:val="es-ES_tradnl"/>
        </w:rPr>
      </w:pPr>
      <w:bookmarkStart w:id="124" w:name="lt_pId139"/>
      <w:bookmarkStart w:id="125" w:name="_Toc508133731"/>
      <w:bookmarkStart w:id="126" w:name="_Toc516061202"/>
      <w:bookmarkEnd w:id="122"/>
      <w:r w:rsidRPr="00996C21">
        <w:rPr>
          <w:lang w:val="es-ES_tradnl"/>
        </w:rPr>
        <w:t>17</w:t>
      </w:r>
      <w:r w:rsidRPr="00996C21">
        <w:rPr>
          <w:lang w:val="es-ES_tradnl"/>
        </w:rPr>
        <w:tab/>
      </w:r>
      <w:bookmarkEnd w:id="124"/>
      <w:bookmarkEnd w:id="125"/>
      <w:r w:rsidRPr="00996C21">
        <w:rPr>
          <w:lang w:val="es-ES_tradnl"/>
        </w:rPr>
        <w:t>Caleidoscopio</w:t>
      </w:r>
      <w:bookmarkEnd w:id="126"/>
    </w:p>
    <w:p w:rsidR="002E0AFA" w:rsidRPr="00996C21" w:rsidRDefault="002E0AFA" w:rsidP="00E055AF">
      <w:pPr>
        <w:rPr>
          <w:b/>
          <w:lang w:val="es-ES_tradnl"/>
        </w:rPr>
      </w:pPr>
      <w:bookmarkStart w:id="127" w:name="lt_pId140"/>
      <w:r w:rsidRPr="00996C21">
        <w:rPr>
          <w:bCs/>
          <w:lang w:val="es-ES_tradnl"/>
        </w:rPr>
        <w:t>17.1</w:t>
      </w:r>
      <w:r w:rsidR="003E7C0B" w:rsidRPr="00996C21">
        <w:rPr>
          <w:bCs/>
          <w:lang w:val="es-ES_tradnl"/>
        </w:rPr>
        <w:tab/>
      </w:r>
      <w:r w:rsidRPr="00996C21">
        <w:rPr>
          <w:lang w:val="es-ES_tradnl"/>
        </w:rPr>
        <w:t xml:space="preserve">La TSB presentó el documento </w:t>
      </w:r>
      <w:hyperlink r:id="rId53" w:history="1">
        <w:r w:rsidRPr="00996C21">
          <w:rPr>
            <w:rStyle w:val="Hyperlink"/>
            <w:lang w:val="es-ES_tradnl"/>
          </w:rPr>
          <w:t>TD240-R1</w:t>
        </w:r>
      </w:hyperlink>
      <w:r w:rsidRPr="00996C21">
        <w:rPr>
          <w:lang w:val="es-ES_tradnl"/>
        </w:rPr>
        <w:t xml:space="preserve"> "Evaluación de los documentos de Caleidoscopio 2017 respecto a su relevancia para las actividades de la UIT", que ofrece una visión general de la conferencia académica Caleidoscopio de la UIT 2017 (K-2017) que se celebró en Nanjing, China, del 27 al 29 de noviembre de 2017.</w:t>
      </w:r>
      <w:bookmarkEnd w:id="127"/>
      <w:r w:rsidRPr="00996C21">
        <w:rPr>
          <w:lang w:val="es-ES_tradnl"/>
        </w:rPr>
        <w:t xml:space="preserve"> </w:t>
      </w:r>
      <w:bookmarkStart w:id="128" w:name="lt_pId141"/>
      <w:r w:rsidRPr="00996C21">
        <w:rPr>
          <w:lang w:val="es-ES_tradnl"/>
        </w:rPr>
        <w:t>En el anexo al presente documento se presentan los artículos aceptados, los ponencias solicitadas y los discursos de apertura seleccionados por los comités directivo y técnico del programa K-2017 y se indican enlaces a las actividades conexas en el UIT T y otros Sectores de la UIT.</w:t>
      </w:r>
      <w:bookmarkEnd w:id="128"/>
      <w:r w:rsidRPr="00996C21">
        <w:rPr>
          <w:lang w:val="es-ES_tradnl"/>
        </w:rPr>
        <w:t xml:space="preserve"> </w:t>
      </w:r>
      <w:bookmarkStart w:id="129" w:name="lt_pId142"/>
      <w:r w:rsidRPr="00996C21">
        <w:rPr>
          <w:lang w:val="es-ES_tradnl"/>
        </w:rPr>
        <w:t>El GANT agradeció el documento.</w:t>
      </w:r>
      <w:bookmarkEnd w:id="129"/>
    </w:p>
    <w:p w:rsidR="008B0791" w:rsidRPr="00996C21" w:rsidRDefault="00BF0669" w:rsidP="008B0791">
      <w:pPr>
        <w:pStyle w:val="Heading1"/>
        <w:rPr>
          <w:lang w:val="es-ES_tradnl"/>
        </w:rPr>
      </w:pPr>
      <w:bookmarkStart w:id="130" w:name="lt_pId143"/>
      <w:bookmarkStart w:id="131" w:name="_Toc508133732"/>
      <w:bookmarkStart w:id="132" w:name="_Toc516061203"/>
      <w:r w:rsidRPr="00996C21">
        <w:rPr>
          <w:lang w:val="es-ES_tradnl"/>
        </w:rPr>
        <w:lastRenderedPageBreak/>
        <w:t>18</w:t>
      </w:r>
      <w:r w:rsidR="003E7C0B" w:rsidRPr="00996C21">
        <w:rPr>
          <w:lang w:val="es-ES_tradnl"/>
        </w:rPr>
        <w:tab/>
      </w:r>
      <w:r w:rsidR="008B0791" w:rsidRPr="00996C21">
        <w:rPr>
          <w:lang w:val="es-ES_tradnl"/>
        </w:rPr>
        <w:t>ITU Telecom (Durban, Sudáfrica, 10-13 de septiembre de 2018)</w:t>
      </w:r>
      <w:bookmarkEnd w:id="130"/>
      <w:bookmarkEnd w:id="131"/>
      <w:bookmarkEnd w:id="132"/>
    </w:p>
    <w:p w:rsidR="008B0791" w:rsidRPr="00996C21" w:rsidRDefault="008B0791" w:rsidP="00BF0669">
      <w:pPr>
        <w:rPr>
          <w:lang w:val="es-ES_tradnl"/>
        </w:rPr>
      </w:pPr>
      <w:bookmarkStart w:id="133" w:name="lt_pId144"/>
      <w:r w:rsidRPr="00996C21">
        <w:rPr>
          <w:lang w:val="es-ES_tradnl"/>
        </w:rPr>
        <w:t>18.1</w:t>
      </w:r>
      <w:r w:rsidRPr="00996C21">
        <w:rPr>
          <w:lang w:val="es-ES_tradnl"/>
        </w:rPr>
        <w:tab/>
        <w:t xml:space="preserve">La TSB presentó el Documento </w:t>
      </w:r>
      <w:hyperlink r:id="rId54" w:history="1">
        <w:r w:rsidRPr="00996C21">
          <w:rPr>
            <w:rStyle w:val="Hyperlink"/>
            <w:lang w:val="es-ES_tradnl"/>
          </w:rPr>
          <w:t>TD273</w:t>
        </w:r>
      </w:hyperlink>
      <w:r w:rsidRPr="00996C21">
        <w:rPr>
          <w:lang w:val="es-ES_tradnl"/>
        </w:rPr>
        <w:t xml:space="preserve"> en el que se destaca el programa Smart ABC (inteligencia </w:t>
      </w:r>
      <w:r w:rsidR="00BF0669" w:rsidRPr="00996C21">
        <w:rPr>
          <w:lang w:val="es-ES_tradnl"/>
        </w:rPr>
        <w:t>artificial</w:t>
      </w:r>
      <w:r w:rsidRPr="00996C21">
        <w:rPr>
          <w:lang w:val="es-ES_tradnl"/>
        </w:rPr>
        <w:t xml:space="preserve">, </w:t>
      </w:r>
      <w:r w:rsidR="00BF0669" w:rsidRPr="00996C21">
        <w:rPr>
          <w:lang w:val="es-ES_tradnl"/>
        </w:rPr>
        <w:t xml:space="preserve">banca </w:t>
      </w:r>
      <w:r w:rsidRPr="00996C21">
        <w:rPr>
          <w:lang w:val="es-ES_tradnl"/>
        </w:rPr>
        <w:t xml:space="preserve">y finanzas digitales, </w:t>
      </w:r>
      <w:r w:rsidR="00BF0669" w:rsidRPr="00996C21">
        <w:rPr>
          <w:lang w:val="es-ES_tradnl"/>
        </w:rPr>
        <w:t xml:space="preserve">ciudades </w:t>
      </w:r>
      <w:r w:rsidRPr="00996C21">
        <w:rPr>
          <w:lang w:val="es-ES_tradnl"/>
        </w:rPr>
        <w:t>inteligentes).</w:t>
      </w:r>
      <w:bookmarkEnd w:id="133"/>
      <w:r w:rsidRPr="00996C21">
        <w:rPr>
          <w:lang w:val="es-ES_tradnl"/>
        </w:rPr>
        <w:t xml:space="preserve"> </w:t>
      </w:r>
      <w:bookmarkStart w:id="134" w:name="lt_pId145"/>
      <w:r w:rsidRPr="00996C21">
        <w:rPr>
          <w:lang w:val="es-ES_tradnl"/>
        </w:rPr>
        <w:t>El GANT tomó nota de la presentación.</w:t>
      </w:r>
      <w:bookmarkEnd w:id="134"/>
    </w:p>
    <w:p w:rsidR="008B0791" w:rsidRPr="00996C21" w:rsidRDefault="008B0791" w:rsidP="008B0791">
      <w:pPr>
        <w:pStyle w:val="Heading1"/>
        <w:rPr>
          <w:lang w:val="es-ES_tradnl"/>
        </w:rPr>
      </w:pPr>
      <w:bookmarkStart w:id="135" w:name="lt_pId146"/>
      <w:bookmarkStart w:id="136" w:name="_Toc508133733"/>
      <w:bookmarkStart w:id="137" w:name="_Toc516061204"/>
      <w:bookmarkStart w:id="138" w:name="_Hlk508114540"/>
      <w:r w:rsidRPr="00996C21">
        <w:rPr>
          <w:lang w:val="es-ES_tradnl"/>
        </w:rPr>
        <w:t>19</w:t>
      </w:r>
      <w:r w:rsidRPr="00996C21">
        <w:rPr>
          <w:lang w:val="es-ES_tradnl"/>
        </w:rPr>
        <w:tab/>
        <w:t>Nuevo sistema de registro de reuniones de la UIT</w:t>
      </w:r>
      <w:bookmarkEnd w:id="135"/>
      <w:bookmarkEnd w:id="136"/>
      <w:bookmarkEnd w:id="137"/>
    </w:p>
    <w:p w:rsidR="008B0791" w:rsidRPr="00996C21" w:rsidRDefault="008B0791" w:rsidP="003D5F6C">
      <w:pPr>
        <w:rPr>
          <w:lang w:val="es-ES_tradnl"/>
        </w:rPr>
      </w:pPr>
      <w:bookmarkStart w:id="139" w:name="lt_pId147"/>
      <w:r w:rsidRPr="00996C21">
        <w:rPr>
          <w:lang w:val="es-ES_tradnl"/>
        </w:rPr>
        <w:t>19.1</w:t>
      </w:r>
      <w:r w:rsidRPr="00996C21">
        <w:rPr>
          <w:lang w:val="es-ES_tradnl"/>
        </w:rPr>
        <w:tab/>
        <w:t xml:space="preserve">La TSB presentó el Documento </w:t>
      </w:r>
      <w:hyperlink r:id="rId55" w:history="1">
        <w:r w:rsidRPr="00996C21">
          <w:rPr>
            <w:rStyle w:val="Hyperlink"/>
            <w:lang w:val="es-ES_tradnl"/>
          </w:rPr>
          <w:t>TD267</w:t>
        </w:r>
      </w:hyperlink>
      <w:r w:rsidRPr="00996C21">
        <w:rPr>
          <w:lang w:val="es-ES_tradnl"/>
        </w:rPr>
        <w:t xml:space="preserve"> en el que se ofrece una introducción al nuevo sistema de gestión de las relaciones con los clientes (CRM) de la UIT, el cual comenzará a utilizarse para el registro en las reuniones del UIT-T en el primer trimestre de 2018.</w:t>
      </w:r>
      <w:bookmarkEnd w:id="139"/>
      <w:r w:rsidRPr="00996C21">
        <w:rPr>
          <w:lang w:val="es-ES_tradnl"/>
        </w:rPr>
        <w:t xml:space="preserve"> </w:t>
      </w:r>
      <w:bookmarkStart w:id="140" w:name="lt_pId148"/>
      <w:r w:rsidRPr="00996C21">
        <w:rPr>
          <w:lang w:val="es-ES_tradnl"/>
        </w:rPr>
        <w:t>Los delegados se autoinscriben en una reunión utilizado sus cuentas de la UIT (TIES o Guest) y el coordinador designado por los miembros para el registro aprueba la solicitud.</w:t>
      </w:r>
      <w:bookmarkEnd w:id="140"/>
      <w:r w:rsidRPr="00996C21">
        <w:rPr>
          <w:lang w:val="es-ES_tradnl"/>
        </w:rPr>
        <w:t xml:space="preserve"> </w:t>
      </w:r>
      <w:bookmarkStart w:id="141" w:name="lt_pId149"/>
      <w:r w:rsidRPr="00996C21">
        <w:rPr>
          <w:lang w:val="es-ES_tradnl"/>
        </w:rPr>
        <w:t>Pueden nombrarse otros coordinadores.</w:t>
      </w:r>
      <w:bookmarkEnd w:id="141"/>
      <w:r w:rsidRPr="00996C21">
        <w:rPr>
          <w:lang w:val="es-ES_tradnl"/>
        </w:rPr>
        <w:t xml:space="preserve"> </w:t>
      </w:r>
      <w:bookmarkStart w:id="142" w:name="lt_pId150"/>
      <w:r w:rsidRPr="00996C21">
        <w:rPr>
          <w:lang w:val="es-ES_tradnl"/>
        </w:rPr>
        <w:t>El nuevo sistema ofrece un proceso simplificado para la solicitud del servicio de interpretación, las cartas de apoyo a los visados y las becas.</w:t>
      </w:r>
      <w:bookmarkEnd w:id="142"/>
      <w:r w:rsidRPr="00996C21">
        <w:rPr>
          <w:lang w:val="es-ES_tradnl"/>
        </w:rPr>
        <w:t xml:space="preserve"> </w:t>
      </w:r>
      <w:bookmarkStart w:id="143" w:name="lt_pId151"/>
      <w:r w:rsidRPr="00996C21">
        <w:rPr>
          <w:lang w:val="es-ES_tradnl"/>
        </w:rPr>
        <w:t xml:space="preserve">La Circular TSB 68 fue enviada a los miembros de UIT-T el 16 de enero de 2018 y en ella se especifican ciertas acciones que deben realizar los </w:t>
      </w:r>
      <w:r w:rsidR="003D5F6C" w:rsidRPr="00996C21">
        <w:rPr>
          <w:lang w:val="es-ES_tradnl"/>
        </w:rPr>
        <w:t xml:space="preserve">Miembros </w:t>
      </w:r>
      <w:r w:rsidRPr="00996C21">
        <w:rPr>
          <w:lang w:val="es-ES_tradnl"/>
        </w:rPr>
        <w:t>del UIT-T.</w:t>
      </w:r>
      <w:bookmarkEnd w:id="143"/>
    </w:p>
    <w:p w:rsidR="008B0791" w:rsidRPr="00996C21" w:rsidRDefault="008B0791" w:rsidP="003D5F6C">
      <w:pPr>
        <w:rPr>
          <w:lang w:val="es-ES_tradnl"/>
        </w:rPr>
      </w:pPr>
      <w:bookmarkStart w:id="144" w:name="lt_pId152"/>
      <w:r w:rsidRPr="00996C21">
        <w:rPr>
          <w:lang w:val="es-ES_tradnl"/>
        </w:rPr>
        <w:t>19.2</w:t>
      </w:r>
      <w:r w:rsidRPr="00996C21">
        <w:rPr>
          <w:lang w:val="es-ES_tradnl"/>
        </w:rPr>
        <w:tab/>
        <w:t xml:space="preserve">Algunos miembros preguntaron si el sistema CRM podía soportar más de un coordinador y la TSB respondió que </w:t>
      </w:r>
      <w:r w:rsidR="005A7F3E" w:rsidRPr="00996C21">
        <w:rPr>
          <w:lang w:val="es-ES_tradnl"/>
        </w:rPr>
        <w:t>con el nuevo sistema es posible</w:t>
      </w:r>
      <w:r w:rsidRPr="00996C21">
        <w:rPr>
          <w:lang w:val="es-ES_tradnl"/>
        </w:rPr>
        <w:t>.</w:t>
      </w:r>
      <w:bookmarkEnd w:id="144"/>
      <w:r w:rsidRPr="00996C21">
        <w:rPr>
          <w:lang w:val="es-ES_tradnl"/>
        </w:rPr>
        <w:t xml:space="preserve"> </w:t>
      </w:r>
      <w:bookmarkStart w:id="145" w:name="lt_pId153"/>
      <w:r w:rsidRPr="00996C21">
        <w:rPr>
          <w:lang w:val="es-ES_tradnl"/>
        </w:rPr>
        <w:t>El GANT recomendó registrarse pronto y utilizar cuentas genéricas no personalizadas para los coordinadores miembros.</w:t>
      </w:r>
      <w:bookmarkEnd w:id="145"/>
    </w:p>
    <w:p w:rsidR="008B0791" w:rsidRPr="00996C21" w:rsidRDefault="008B0791" w:rsidP="003D5F6C">
      <w:pPr>
        <w:rPr>
          <w:lang w:val="es-ES_tradnl"/>
        </w:rPr>
      </w:pPr>
      <w:bookmarkStart w:id="146" w:name="lt_pId154"/>
      <w:r w:rsidRPr="00996C21">
        <w:rPr>
          <w:lang w:val="es-ES_tradnl"/>
        </w:rPr>
        <w:t>19.3</w:t>
      </w:r>
      <w:r w:rsidRPr="00996C21">
        <w:rPr>
          <w:lang w:val="es-ES_tradnl"/>
        </w:rPr>
        <w:tab/>
        <w:t xml:space="preserve">El GANT tomó nota del documento y expresó su deseo de recibir un informe en </w:t>
      </w:r>
      <w:r w:rsidR="0066316F" w:rsidRPr="00996C21">
        <w:rPr>
          <w:lang w:val="es-ES_tradnl"/>
        </w:rPr>
        <w:t>su</w:t>
      </w:r>
      <w:r w:rsidRPr="00996C21">
        <w:rPr>
          <w:lang w:val="es-ES_tradnl"/>
        </w:rPr>
        <w:t xml:space="preserve"> siguiente reunión sobre el uso y las mejoras del nuevo sistema de registro basado en CRM.</w:t>
      </w:r>
      <w:bookmarkEnd w:id="146"/>
    </w:p>
    <w:p w:rsidR="008B0791" w:rsidRPr="00996C21" w:rsidRDefault="008B0791" w:rsidP="008B0791">
      <w:pPr>
        <w:pStyle w:val="Heading1"/>
        <w:rPr>
          <w:lang w:val="es-ES_tradnl"/>
        </w:rPr>
      </w:pPr>
      <w:bookmarkStart w:id="147" w:name="lt_pId155"/>
      <w:bookmarkStart w:id="148" w:name="_Toc508133734"/>
      <w:bookmarkStart w:id="149" w:name="_Toc516061205"/>
      <w:bookmarkEnd w:id="138"/>
      <w:r w:rsidRPr="00996C21">
        <w:rPr>
          <w:lang w:val="es-ES_tradnl"/>
        </w:rPr>
        <w:t>20</w:t>
      </w:r>
      <w:r w:rsidRPr="00996C21">
        <w:rPr>
          <w:lang w:val="es-ES_tradnl"/>
        </w:rPr>
        <w:tab/>
        <w:t>Reducción de la disparidad en materia de normalización</w:t>
      </w:r>
      <w:bookmarkEnd w:id="147"/>
      <w:bookmarkEnd w:id="148"/>
      <w:bookmarkEnd w:id="149"/>
    </w:p>
    <w:p w:rsidR="008B0791" w:rsidRPr="00996C21" w:rsidRDefault="008B0791" w:rsidP="00CD7AD1">
      <w:pPr>
        <w:rPr>
          <w:lang w:val="es-ES_tradnl"/>
        </w:rPr>
      </w:pPr>
      <w:bookmarkStart w:id="150" w:name="lt_pId156"/>
      <w:r w:rsidRPr="00996C21">
        <w:rPr>
          <w:bCs/>
          <w:lang w:val="es-ES_tradnl"/>
        </w:rPr>
        <w:t>20.1</w:t>
      </w:r>
      <w:r w:rsidR="003E7C0B" w:rsidRPr="00996C21">
        <w:rPr>
          <w:bCs/>
          <w:lang w:val="es-ES_tradnl"/>
        </w:rPr>
        <w:tab/>
      </w:r>
      <w:r w:rsidRPr="00996C21">
        <w:rPr>
          <w:lang w:val="es-ES_tradnl"/>
        </w:rPr>
        <w:t>En esta reunión se presentaron tres contribuciones (</w:t>
      </w:r>
      <w:hyperlink r:id="rId56" w:history="1">
        <w:r w:rsidRPr="00996C21">
          <w:rPr>
            <w:rStyle w:val="Hyperlink"/>
            <w:lang w:val="es-ES_tradnl"/>
          </w:rPr>
          <w:t>C25</w:t>
        </w:r>
      </w:hyperlink>
      <w:r w:rsidRPr="00996C21">
        <w:rPr>
          <w:lang w:val="es-ES_tradnl"/>
        </w:rPr>
        <w:t xml:space="preserve">, </w:t>
      </w:r>
      <w:hyperlink r:id="rId57" w:history="1">
        <w:r w:rsidRPr="00996C21">
          <w:rPr>
            <w:rStyle w:val="Hyperlink"/>
            <w:lang w:val="es-ES_tradnl"/>
          </w:rPr>
          <w:t>C30</w:t>
        </w:r>
      </w:hyperlink>
      <w:r w:rsidRPr="00996C21">
        <w:rPr>
          <w:lang w:val="es-ES_tradnl"/>
        </w:rPr>
        <w:t xml:space="preserve"> y </w:t>
      </w:r>
      <w:hyperlink r:id="rId58" w:history="1">
        <w:r w:rsidRPr="00996C21">
          <w:rPr>
            <w:rStyle w:val="Hyperlink"/>
            <w:lang w:val="es-ES_tradnl"/>
          </w:rPr>
          <w:t>C33</w:t>
        </w:r>
      </w:hyperlink>
      <w:r w:rsidRPr="00996C21">
        <w:rPr>
          <w:lang w:val="es-ES_tradnl"/>
        </w:rPr>
        <w:t>) sobre actividades para reducir la disparidad en materia de normalización (BSG).</w:t>
      </w:r>
      <w:bookmarkEnd w:id="150"/>
      <w:r w:rsidRPr="00996C21">
        <w:rPr>
          <w:lang w:val="es-ES_tradnl"/>
        </w:rPr>
        <w:t xml:space="preserve"> </w:t>
      </w:r>
      <w:bookmarkStart w:id="151" w:name="lt_pId157"/>
      <w:r w:rsidRPr="00996C21">
        <w:rPr>
          <w:lang w:val="es-ES_tradnl"/>
        </w:rPr>
        <w:t xml:space="preserve">La </w:t>
      </w:r>
      <w:hyperlink r:id="rId59" w:history="1">
        <w:r w:rsidRPr="00996C21">
          <w:rPr>
            <w:rStyle w:val="Hyperlink"/>
            <w:lang w:val="es-ES_tradnl"/>
          </w:rPr>
          <w:t>C25</w:t>
        </w:r>
      </w:hyperlink>
      <w:r w:rsidRPr="00996C21">
        <w:rPr>
          <w:lang w:val="es-ES_tradnl"/>
        </w:rPr>
        <w:t xml:space="preserve"> (de la Universidad de Nigeria) sobre la aplicación de la Resolución 44 (Rev. Hammamet, 2016) no pudo presentarse a distancia debido a dificultades de conexión y su presentación se aplazó hasta la próxima reunión del GANT.</w:t>
      </w:r>
      <w:bookmarkEnd w:id="151"/>
    </w:p>
    <w:p w:rsidR="008B0791" w:rsidRPr="00996C21" w:rsidRDefault="008B0791" w:rsidP="00CD7AD1">
      <w:pPr>
        <w:rPr>
          <w:lang w:val="es-ES_tradnl"/>
        </w:rPr>
      </w:pPr>
      <w:bookmarkStart w:id="152" w:name="lt_pId158"/>
      <w:r w:rsidRPr="00996C21">
        <w:rPr>
          <w:bCs/>
          <w:lang w:val="es-ES_tradnl"/>
        </w:rPr>
        <w:t>20.2</w:t>
      </w:r>
      <w:r w:rsidRPr="00996C21">
        <w:rPr>
          <w:bCs/>
          <w:lang w:val="es-ES_tradnl"/>
        </w:rPr>
        <w:tab/>
      </w:r>
      <w:r w:rsidRPr="00996C21">
        <w:rPr>
          <w:lang w:val="es-ES_tradnl"/>
        </w:rPr>
        <w:t xml:space="preserve">La India presentó el Documento </w:t>
      </w:r>
      <w:hyperlink r:id="rId60" w:history="1">
        <w:r w:rsidRPr="00996C21">
          <w:rPr>
            <w:rStyle w:val="Hyperlink"/>
            <w:lang w:val="es-ES_tradnl"/>
          </w:rPr>
          <w:t>C33</w:t>
        </w:r>
      </w:hyperlink>
      <w:r w:rsidRPr="00996C21">
        <w:rPr>
          <w:lang w:val="es-ES_tradnl"/>
        </w:rPr>
        <w:t xml:space="preserve"> sobre la importancia de los Grupos Regionales en la reducción de la disparidad en materia de normalización.</w:t>
      </w:r>
      <w:bookmarkEnd w:id="152"/>
    </w:p>
    <w:p w:rsidR="008B0791" w:rsidRPr="00996C21" w:rsidRDefault="008B0791" w:rsidP="00CD7AD1">
      <w:pPr>
        <w:rPr>
          <w:lang w:val="es-ES_tradnl"/>
        </w:rPr>
      </w:pPr>
      <w:bookmarkStart w:id="153" w:name="lt_pId159"/>
      <w:r w:rsidRPr="00996C21">
        <w:rPr>
          <w:lang w:val="es-ES_tradnl"/>
        </w:rPr>
        <w:t>20.3</w:t>
      </w:r>
      <w:r w:rsidRPr="00996C21">
        <w:rPr>
          <w:lang w:val="es-ES_tradnl"/>
        </w:rPr>
        <w:tab/>
        <w:t xml:space="preserve">El delegado de Zambia presentó a distancia el Documento </w:t>
      </w:r>
      <w:hyperlink r:id="rId61" w:history="1">
        <w:r w:rsidRPr="00996C21">
          <w:rPr>
            <w:rStyle w:val="Hyperlink"/>
            <w:lang w:val="es-ES_tradnl"/>
          </w:rPr>
          <w:t>C30</w:t>
        </w:r>
      </w:hyperlink>
      <w:r w:rsidRPr="00996C21">
        <w:rPr>
          <w:lang w:val="es-ES_tradnl"/>
        </w:rPr>
        <w:t xml:space="preserve"> (aportado por Côte d’Ivoire, Togo, Zimbabwe, Guinea, Sierra Leona, Senegal, Gambia, Malí, Burkina Faso, Sudán, Rwanda, República Democrática del Congo, Comoras, Madagascar, Níger, Nigeria, Santo Tomé y Príncipe y Zambia) sobre la importancia de los Grupos Regionales del UIT-T en la reducción de la disparidad en materia de normalización.</w:t>
      </w:r>
      <w:bookmarkEnd w:id="153"/>
    </w:p>
    <w:p w:rsidR="008B0791" w:rsidRPr="00996C21" w:rsidRDefault="008B0791" w:rsidP="00CD7AD1">
      <w:pPr>
        <w:rPr>
          <w:lang w:val="es-ES_tradnl"/>
        </w:rPr>
      </w:pPr>
      <w:bookmarkStart w:id="154" w:name="lt_pId160"/>
      <w:r w:rsidRPr="00996C21">
        <w:rPr>
          <w:lang w:val="es-ES_tradnl"/>
        </w:rPr>
        <w:t>20.4</w:t>
      </w:r>
      <w:r w:rsidR="003E7C0B" w:rsidRPr="00996C21">
        <w:rPr>
          <w:lang w:val="es-ES_tradnl"/>
        </w:rPr>
        <w:tab/>
      </w:r>
      <w:r w:rsidRPr="00996C21">
        <w:rPr>
          <w:lang w:val="es-ES_tradnl"/>
        </w:rPr>
        <w:t>La India apoyó el Documento C30;</w:t>
      </w:r>
      <w:bookmarkEnd w:id="154"/>
      <w:r w:rsidRPr="00996C21">
        <w:rPr>
          <w:lang w:val="es-ES_tradnl"/>
        </w:rPr>
        <w:t xml:space="preserve"> </w:t>
      </w:r>
      <w:bookmarkStart w:id="155" w:name="lt_pId161"/>
      <w:r w:rsidRPr="00996C21">
        <w:rPr>
          <w:lang w:val="es-ES_tradnl"/>
        </w:rPr>
        <w:t>Egipto, Arabia Saudita y AICTO apoyaron los Documentos C30 y C33.</w:t>
      </w:r>
      <w:bookmarkEnd w:id="155"/>
    </w:p>
    <w:p w:rsidR="008B0791" w:rsidRPr="00996C21" w:rsidRDefault="008B0791" w:rsidP="00CD7AD1">
      <w:pPr>
        <w:rPr>
          <w:lang w:val="es-ES_tradnl"/>
        </w:rPr>
      </w:pPr>
      <w:bookmarkStart w:id="156" w:name="lt_pId162"/>
      <w:r w:rsidRPr="00996C21">
        <w:rPr>
          <w:lang w:val="es-ES_tradnl"/>
        </w:rPr>
        <w:t>20.5</w:t>
      </w:r>
      <w:r w:rsidRPr="00996C21">
        <w:rPr>
          <w:lang w:val="es-ES_tradnl"/>
        </w:rPr>
        <w:tab/>
        <w:t>Varios miembros reconocieron que gracias a los Grupos Regionales los miembros de la región podían enviar contribuciones en las que se tuvieran en cuenta las necesidades de las regiones a la Comisión de Estudio tutora y desempeñar así un papel importante en la reducción de la disparidad en materia de normalización y de la brecha digital.</w:t>
      </w:r>
      <w:bookmarkEnd w:id="156"/>
      <w:r w:rsidRPr="00996C21">
        <w:rPr>
          <w:lang w:val="es-ES_tradnl"/>
        </w:rPr>
        <w:t xml:space="preserve"> </w:t>
      </w:r>
      <w:bookmarkStart w:id="157" w:name="lt_pId163"/>
      <w:r w:rsidRPr="00996C21">
        <w:rPr>
          <w:lang w:val="es-ES_tradnl"/>
        </w:rPr>
        <w:t>Si bien puede que haya que adaptar los aspectos normativos y políticos a las regiones, la creación de no</w:t>
      </w:r>
      <w:r w:rsidR="00CD7AD1" w:rsidRPr="00996C21">
        <w:rPr>
          <w:lang w:val="es-ES_tradnl"/>
        </w:rPr>
        <w:t>rmas internacionales por el UIT</w:t>
      </w:r>
      <w:r w:rsidR="00CD7AD1" w:rsidRPr="00996C21">
        <w:rPr>
          <w:lang w:val="es-ES_tradnl"/>
        </w:rPr>
        <w:noBreakHyphen/>
      </w:r>
      <w:r w:rsidRPr="00996C21">
        <w:rPr>
          <w:lang w:val="es-ES_tradnl"/>
        </w:rPr>
        <w:t>T evitando la fragmentación regional de las normas técnicas supone una oportunidad única.</w:t>
      </w:r>
      <w:bookmarkEnd w:id="157"/>
    </w:p>
    <w:p w:rsidR="008B0791" w:rsidRPr="00996C21" w:rsidRDefault="008B0791" w:rsidP="00CD7AD1">
      <w:pPr>
        <w:rPr>
          <w:lang w:val="es-ES_tradnl"/>
        </w:rPr>
      </w:pPr>
      <w:bookmarkStart w:id="158" w:name="lt_pId164"/>
      <w:r w:rsidRPr="00996C21">
        <w:rPr>
          <w:lang w:val="es-ES_tradnl"/>
        </w:rPr>
        <w:t>20.6</w:t>
      </w:r>
      <w:r w:rsidRPr="00996C21">
        <w:rPr>
          <w:lang w:val="es-ES_tradnl"/>
        </w:rPr>
        <w:tab/>
        <w:t>Un Estado Miembro señaló que la naturaleza de los Grupos Regionales ha cambiado significativamente en los últimos 50 años.</w:t>
      </w:r>
      <w:bookmarkEnd w:id="158"/>
    </w:p>
    <w:p w:rsidR="00C21435" w:rsidRPr="00996C21" w:rsidRDefault="00C21435" w:rsidP="00C21435">
      <w:pPr>
        <w:rPr>
          <w:lang w:val="es-ES_tradnl"/>
        </w:rPr>
      </w:pPr>
      <w:bookmarkStart w:id="159" w:name="lt_pId165"/>
      <w:r w:rsidRPr="00996C21">
        <w:rPr>
          <w:lang w:val="es-ES_tradnl"/>
        </w:rPr>
        <w:br w:type="page"/>
      </w:r>
    </w:p>
    <w:p w:rsidR="008B0791" w:rsidRPr="00996C21" w:rsidRDefault="008B0791" w:rsidP="00C21435">
      <w:pPr>
        <w:rPr>
          <w:lang w:val="es-ES_tradnl"/>
        </w:rPr>
      </w:pPr>
      <w:r w:rsidRPr="00996C21">
        <w:rPr>
          <w:lang w:val="es-ES_tradnl"/>
        </w:rPr>
        <w:lastRenderedPageBreak/>
        <w:t>20.7</w:t>
      </w:r>
      <w:r w:rsidRPr="00996C21">
        <w:rPr>
          <w:lang w:val="es-ES_tradnl"/>
        </w:rPr>
        <w:tab/>
        <w:t>Algunos Estados Miembros señalaron que la noción de lo que comprende una región y de qué países pertenecen a ella no es tan clara y requiere dilucidarse, y que la barrera lingüística hace que los países se unan a veces en regiones diferentes.</w:t>
      </w:r>
      <w:bookmarkEnd w:id="159"/>
      <w:r w:rsidRPr="00996C21">
        <w:rPr>
          <w:lang w:val="es-ES_tradnl"/>
        </w:rPr>
        <w:t xml:space="preserve"> </w:t>
      </w:r>
      <w:bookmarkStart w:id="160" w:name="lt_pId166"/>
      <w:r w:rsidRPr="00996C21">
        <w:rPr>
          <w:lang w:val="es-ES_tradnl"/>
        </w:rPr>
        <w:t>Aunque la clasificación de lo que constituye una región varía dentro de la UIT (es decir, las seis regiones administrativas no están definidas, si bien el Reglamento de Radiocomunicaciones define tres regiones), puede haber factores como la cultura y el idioma que deben tenerse en cuenta.</w:t>
      </w:r>
      <w:bookmarkEnd w:id="160"/>
      <w:r w:rsidRPr="00996C21">
        <w:rPr>
          <w:lang w:val="es-ES_tradnl"/>
        </w:rPr>
        <w:t xml:space="preserve"> </w:t>
      </w:r>
      <w:bookmarkStart w:id="161" w:name="lt_pId167"/>
      <w:r w:rsidRPr="00996C21">
        <w:rPr>
          <w:lang w:val="es-ES_tradnl"/>
        </w:rPr>
        <w:t>Ahora bien, el objetivo de los Grupos Regionales es la inclusión y cada caso deberá tratarse por separado.</w:t>
      </w:r>
      <w:bookmarkEnd w:id="161"/>
    </w:p>
    <w:p w:rsidR="008B0791" w:rsidRPr="00996C21" w:rsidRDefault="008B0791" w:rsidP="00C21435">
      <w:pPr>
        <w:rPr>
          <w:lang w:val="es-ES_tradnl"/>
        </w:rPr>
      </w:pPr>
      <w:bookmarkStart w:id="162" w:name="lt_pId168"/>
      <w:r w:rsidRPr="00996C21">
        <w:rPr>
          <w:lang w:val="es-ES_tradnl"/>
        </w:rPr>
        <w:t>20.8</w:t>
      </w:r>
      <w:r w:rsidRPr="00996C21">
        <w:rPr>
          <w:lang w:val="es-ES_tradnl"/>
        </w:rPr>
        <w:tab/>
        <w:t>La TSB explicó que la Resolución 54 (Rev. Hammamet, 2016) define los procedimientos para la creación de Grupos Regionales y requiere la definición de su mandato.</w:t>
      </w:r>
      <w:bookmarkEnd w:id="162"/>
      <w:r w:rsidRPr="00996C21">
        <w:rPr>
          <w:lang w:val="es-ES_tradnl"/>
        </w:rPr>
        <w:t xml:space="preserve"> </w:t>
      </w:r>
      <w:bookmarkStart w:id="163" w:name="lt_pId169"/>
      <w:r w:rsidRPr="00996C21">
        <w:rPr>
          <w:lang w:val="es-ES_tradnl"/>
        </w:rPr>
        <w:t>La región que propone la creación de un Grupo Regional define los países con derecho a participar en ese grupo.</w:t>
      </w:r>
      <w:bookmarkEnd w:id="163"/>
    </w:p>
    <w:p w:rsidR="008B0791" w:rsidRPr="00996C21" w:rsidRDefault="008B0791" w:rsidP="00C21435">
      <w:pPr>
        <w:rPr>
          <w:lang w:val="es-ES_tradnl"/>
        </w:rPr>
      </w:pPr>
      <w:bookmarkStart w:id="164" w:name="lt_pId170"/>
      <w:r w:rsidRPr="00996C21">
        <w:rPr>
          <w:lang w:val="es-ES_tradnl"/>
        </w:rPr>
        <w:t>20.9</w:t>
      </w:r>
      <w:r w:rsidRPr="00996C21">
        <w:rPr>
          <w:lang w:val="es-ES_tradnl"/>
        </w:rPr>
        <w:tab/>
        <w:t>Los Estados Miembros también comentaron que el establecimiento de Oficinas de Zona o centros subregionales está fuera del mandato del GANT y que el Consejo de la UIT o la Conferencia de Plenipotenciarios deberían ocuparse de esos asuntos.</w:t>
      </w:r>
      <w:bookmarkEnd w:id="164"/>
    </w:p>
    <w:p w:rsidR="008B0791" w:rsidRPr="00996C21" w:rsidRDefault="008B0791" w:rsidP="00C21435">
      <w:pPr>
        <w:rPr>
          <w:lang w:val="es-ES_tradnl"/>
        </w:rPr>
      </w:pPr>
      <w:bookmarkStart w:id="165" w:name="lt_pId171"/>
      <w:r w:rsidRPr="00996C21">
        <w:rPr>
          <w:lang w:val="es-ES_tradnl"/>
        </w:rPr>
        <w:t>20.10</w:t>
      </w:r>
      <w:r w:rsidRPr="00996C21">
        <w:rPr>
          <w:lang w:val="es-ES_tradnl"/>
        </w:rPr>
        <w:tab/>
        <w:t>Se recordó al GANT que en los informes de las Comisiones de Estudio del UIT-T o de los Grupos Regionales debía informarse sobre las becas concedidas para cada una de sus reuniones.</w:t>
      </w:r>
      <w:bookmarkEnd w:id="165"/>
      <w:r w:rsidRPr="00996C21">
        <w:rPr>
          <w:lang w:val="es-ES_tradnl"/>
        </w:rPr>
        <w:t xml:space="preserve"> </w:t>
      </w:r>
      <w:bookmarkStart w:id="166" w:name="lt_pId172"/>
      <w:r w:rsidRPr="00996C21">
        <w:rPr>
          <w:lang w:val="es-ES_tradnl"/>
        </w:rPr>
        <w:t>La TSB aclaró que en los informes de las reuniones de los Grupos Regionales figura una relación de las becas concedidas de conformidad con la Sección 5.4bis de la Resoluci</w:t>
      </w:r>
      <w:r w:rsidR="00C21435" w:rsidRPr="00996C21">
        <w:rPr>
          <w:lang w:val="es-ES_tradnl"/>
        </w:rPr>
        <w:t>ón 1 (Rev. Hammamet, </w:t>
      </w:r>
      <w:r w:rsidRPr="00996C21">
        <w:rPr>
          <w:lang w:val="es-ES_tradnl"/>
        </w:rPr>
        <w:t>2016).</w:t>
      </w:r>
      <w:bookmarkEnd w:id="166"/>
    </w:p>
    <w:p w:rsidR="008B0791" w:rsidRPr="00996C21" w:rsidRDefault="008B0791" w:rsidP="00C21435">
      <w:pPr>
        <w:rPr>
          <w:lang w:val="es-ES_tradnl"/>
        </w:rPr>
      </w:pPr>
      <w:bookmarkStart w:id="167" w:name="lt_pId173"/>
      <w:r w:rsidRPr="00996C21">
        <w:rPr>
          <w:lang w:val="es-ES_tradnl"/>
        </w:rPr>
        <w:t>20.11</w:t>
      </w:r>
      <w:r w:rsidRPr="00996C21">
        <w:rPr>
          <w:lang w:val="es-ES_tradnl"/>
        </w:rPr>
        <w:tab/>
        <w:t>El Director de la TSB informó al GANT de que su Oficina, en colaboración con la BDT, realiza periódicamente conferencias telefónicas con las Oficinas Regionales de la UIT para coordinar eventos y actividades a fin de evitar duplicaciones en el trabajo.</w:t>
      </w:r>
      <w:bookmarkEnd w:id="167"/>
    </w:p>
    <w:p w:rsidR="008B0791" w:rsidRPr="00996C21" w:rsidRDefault="008B0791" w:rsidP="00C21435">
      <w:pPr>
        <w:rPr>
          <w:lang w:val="es-ES_tradnl"/>
        </w:rPr>
      </w:pPr>
      <w:bookmarkStart w:id="168" w:name="lt_pId174"/>
      <w:r w:rsidRPr="00996C21">
        <w:rPr>
          <w:lang w:val="es-ES_tradnl"/>
        </w:rPr>
        <w:t>20.12</w:t>
      </w:r>
      <w:r w:rsidRPr="00996C21">
        <w:rPr>
          <w:lang w:val="es-ES_tradnl"/>
        </w:rPr>
        <w:tab/>
        <w:t>Un Estado Miembro opinó que la Resolución 25 (Rev. Busán, 2014) aún no se ha aplicado plenamente y que las Oficinas Regionales de la UIT se centran más en las actividades de la BDT, las cuales deberían incorporarse en los Planes Operacionales de todos los Sectores.</w:t>
      </w:r>
      <w:bookmarkEnd w:id="168"/>
    </w:p>
    <w:p w:rsidR="008B0791" w:rsidRPr="00996C21" w:rsidRDefault="008B0791" w:rsidP="00C21435">
      <w:pPr>
        <w:rPr>
          <w:lang w:val="es-ES_tradnl"/>
        </w:rPr>
      </w:pPr>
      <w:bookmarkStart w:id="169" w:name="lt_pId175"/>
      <w:r w:rsidRPr="00996C21">
        <w:rPr>
          <w:lang w:val="es-ES_tradnl"/>
        </w:rPr>
        <w:t>20.13</w:t>
      </w:r>
      <w:r w:rsidRPr="00996C21">
        <w:rPr>
          <w:lang w:val="es-ES_tradnl"/>
        </w:rPr>
        <w:tab/>
        <w:t>El GANT finalizó:</w:t>
      </w:r>
      <w:bookmarkEnd w:id="169"/>
    </w:p>
    <w:p w:rsidR="008B0791" w:rsidRPr="00996C21" w:rsidRDefault="008B0791" w:rsidP="00E102CD">
      <w:pPr>
        <w:pStyle w:val="enumlev1"/>
        <w:rPr>
          <w:lang w:val="es-ES_tradnl"/>
        </w:rPr>
      </w:pPr>
      <w:bookmarkStart w:id="170" w:name="lt_pId176"/>
      <w:r w:rsidRPr="00996C21">
        <w:rPr>
          <w:lang w:val="es-ES_tradnl"/>
        </w:rPr>
        <w:t>a)</w:t>
      </w:r>
      <w:r w:rsidRPr="00996C21">
        <w:rPr>
          <w:lang w:val="es-ES_tradnl"/>
        </w:rPr>
        <w:tab/>
        <w:t>Acogiendo positivamente las tres contribuciones y tomando nota de ellas.</w:t>
      </w:r>
      <w:bookmarkEnd w:id="170"/>
    </w:p>
    <w:p w:rsidR="008B0791" w:rsidRPr="00996C21" w:rsidRDefault="008B0791" w:rsidP="00E102CD">
      <w:pPr>
        <w:pStyle w:val="enumlev1"/>
        <w:rPr>
          <w:lang w:val="es-ES_tradnl"/>
        </w:rPr>
      </w:pPr>
      <w:bookmarkStart w:id="171" w:name="lt_pId177"/>
      <w:r w:rsidRPr="00996C21">
        <w:rPr>
          <w:lang w:val="es-ES_tradnl"/>
        </w:rPr>
        <w:t>b)</w:t>
      </w:r>
      <w:r w:rsidRPr="00996C21">
        <w:rPr>
          <w:lang w:val="es-ES_tradnl"/>
        </w:rPr>
        <w:tab/>
        <w:t>Felicitando a la CE 3 por el 50º aniversario de su Grupo Regional y reconociendo que los países en desarrollo encuentran cada vez más valor en el uso de esos grupos.</w:t>
      </w:r>
      <w:bookmarkEnd w:id="171"/>
    </w:p>
    <w:p w:rsidR="008B0791" w:rsidRPr="00996C21" w:rsidRDefault="008B0791" w:rsidP="00E102CD">
      <w:pPr>
        <w:pStyle w:val="enumlev1"/>
        <w:rPr>
          <w:lang w:val="es-ES_tradnl"/>
        </w:rPr>
      </w:pPr>
      <w:bookmarkStart w:id="172" w:name="lt_pId178"/>
      <w:r w:rsidRPr="00996C21">
        <w:rPr>
          <w:lang w:val="es-ES_tradnl"/>
        </w:rPr>
        <w:t>c)</w:t>
      </w:r>
      <w:r w:rsidRPr="00996C21">
        <w:rPr>
          <w:lang w:val="es-ES_tradnl"/>
        </w:rPr>
        <w:tab/>
        <w:t>Reconociendo la importancia de los Grupos Regionales constituidos de conformidad con la Resolución 54 (Rev. Hammamet, 2016) y su papel en la aplicación de la Resolución 44 (Rev. Hammamet, 2016) sobre la reducción de la disparidad en materia de normalización.</w:t>
      </w:r>
      <w:bookmarkEnd w:id="172"/>
    </w:p>
    <w:p w:rsidR="008B0791" w:rsidRPr="00996C21" w:rsidRDefault="008B0791" w:rsidP="00E102CD">
      <w:pPr>
        <w:pStyle w:val="enumlev1"/>
        <w:rPr>
          <w:lang w:val="es-ES_tradnl"/>
        </w:rPr>
      </w:pPr>
      <w:bookmarkStart w:id="173" w:name="lt_pId179"/>
      <w:r w:rsidRPr="00996C21">
        <w:rPr>
          <w:lang w:val="es-ES_tradnl"/>
        </w:rPr>
        <w:t>d)</w:t>
      </w:r>
      <w:r w:rsidRPr="00996C21">
        <w:rPr>
          <w:lang w:val="es-ES_tradnl"/>
        </w:rPr>
        <w:tab/>
        <w:t>Solicitando a la TSB que proporcionara un análisis con estadísticas e información sobre el trabajo de los Grupos Regionales y que comprendiera mejor las interacciones entre esos grupos.</w:t>
      </w:r>
      <w:bookmarkEnd w:id="173"/>
    </w:p>
    <w:p w:rsidR="008B0791" w:rsidRPr="00996C21" w:rsidRDefault="008B0791" w:rsidP="00E102CD">
      <w:pPr>
        <w:pStyle w:val="enumlev1"/>
        <w:rPr>
          <w:lang w:val="es-ES_tradnl"/>
        </w:rPr>
      </w:pPr>
      <w:bookmarkStart w:id="174" w:name="lt_pId180"/>
      <w:r w:rsidRPr="00996C21">
        <w:rPr>
          <w:lang w:val="es-ES_tradnl"/>
        </w:rPr>
        <w:t>e)</w:t>
      </w:r>
      <w:r w:rsidRPr="00996C21">
        <w:rPr>
          <w:lang w:val="es-ES_tradnl"/>
        </w:rPr>
        <w:tab/>
        <w:t>Reconociendo la importancia de una estrecha interacción y cooperación entre los Grupos Regionales y las organizaciones regionales.</w:t>
      </w:r>
      <w:bookmarkEnd w:id="174"/>
      <w:r w:rsidRPr="00996C21">
        <w:rPr>
          <w:lang w:val="es-ES_tradnl"/>
        </w:rPr>
        <w:t xml:space="preserve"> </w:t>
      </w:r>
      <w:bookmarkStart w:id="175" w:name="lt_pId181"/>
      <w:r w:rsidRPr="00996C21">
        <w:rPr>
          <w:lang w:val="es-ES_tradnl"/>
        </w:rPr>
        <w:t>También debería existir una estrecha cooperación con las Oficinas Regionales y las Oficinas de Zona de la UIT.</w:t>
      </w:r>
      <w:bookmarkEnd w:id="175"/>
      <w:r w:rsidRPr="00996C21">
        <w:rPr>
          <w:lang w:val="es-ES_tradnl"/>
        </w:rPr>
        <w:t xml:space="preserve"> </w:t>
      </w:r>
      <w:bookmarkStart w:id="176" w:name="lt_pId182"/>
      <w:r w:rsidRPr="00996C21">
        <w:rPr>
          <w:lang w:val="es-ES_tradnl"/>
        </w:rPr>
        <w:t>El GANT señaló que en la Resolución 58 (Rev. Busán, 2014) se estipula que los países que no son miembros de organizaciones regionales también deberían participar en las labores del UIT-T.</w:t>
      </w:r>
      <w:bookmarkEnd w:id="176"/>
    </w:p>
    <w:p w:rsidR="008B0791" w:rsidRPr="00996C21" w:rsidRDefault="009E03F1" w:rsidP="009E03F1">
      <w:pPr>
        <w:pStyle w:val="Heading1"/>
        <w:rPr>
          <w:lang w:val="es-ES_tradnl"/>
        </w:rPr>
      </w:pPr>
      <w:bookmarkStart w:id="177" w:name="_Toc516061206"/>
      <w:r w:rsidRPr="00996C21">
        <w:rPr>
          <w:lang w:val="es-ES_tradnl"/>
        </w:rPr>
        <w:t>21</w:t>
      </w:r>
      <w:r w:rsidRPr="00996C21">
        <w:rPr>
          <w:lang w:val="es-ES_tradnl"/>
        </w:rPr>
        <w:tab/>
        <w:t>Resultados de los Grupos de Relator del GANT</w:t>
      </w:r>
      <w:bookmarkEnd w:id="177"/>
    </w:p>
    <w:p w:rsidR="009E03F1" w:rsidRPr="00996C21" w:rsidRDefault="009E03F1" w:rsidP="009E03F1">
      <w:pPr>
        <w:rPr>
          <w:lang w:val="es-ES_tradnl"/>
        </w:rPr>
      </w:pPr>
      <w:r w:rsidRPr="00996C21">
        <w:rPr>
          <w:lang w:val="es-ES_tradnl"/>
        </w:rPr>
        <w:t xml:space="preserve">Los seis Grupos de Relator del GANT ejercieron sus funciones y presentaron sus resultados a la plenaria de clausura del GANT. Se tomó nota de los informes. A continuación se resumen las decisiones de la plenaria. El Anexo A contiene un cuadro en el que se enumeran los documentos </w:t>
      </w:r>
      <w:r w:rsidRPr="00996C21">
        <w:rPr>
          <w:lang w:val="es-ES_tradnl"/>
        </w:rPr>
        <w:lastRenderedPageBreak/>
        <w:t xml:space="preserve">temporales con los informes de los distintos Grupos de Relator, las </w:t>
      </w:r>
      <w:r w:rsidR="00597D96" w:rsidRPr="00996C21">
        <w:rPr>
          <w:lang w:val="es-ES_tradnl"/>
        </w:rPr>
        <w:t xml:space="preserve">Declaraciones </w:t>
      </w:r>
      <w:r w:rsidRPr="00996C21">
        <w:rPr>
          <w:lang w:val="es-ES_tradnl"/>
        </w:rPr>
        <w:t>de coordinación que produjeron y las actividades intermedias que planificaron.</w:t>
      </w:r>
    </w:p>
    <w:p w:rsidR="009E03F1" w:rsidRPr="00996C21" w:rsidRDefault="009E03F1" w:rsidP="009E03F1">
      <w:pPr>
        <w:pStyle w:val="Heading2"/>
        <w:rPr>
          <w:lang w:val="es-ES_tradnl"/>
        </w:rPr>
      </w:pPr>
      <w:bookmarkStart w:id="178" w:name="_Toc516061207"/>
      <w:r w:rsidRPr="00996C21">
        <w:rPr>
          <w:lang w:val="es-ES_tradnl"/>
        </w:rPr>
        <w:t>21.1</w:t>
      </w:r>
      <w:r w:rsidRPr="00996C21">
        <w:rPr>
          <w:lang w:val="es-ES_tradnl"/>
        </w:rPr>
        <w:tab/>
        <w:t>Grupo de Relator del GANT sobre la estrategia de normalización (GR-StdsStrat)</w:t>
      </w:r>
      <w:bookmarkEnd w:id="178"/>
    </w:p>
    <w:p w:rsidR="009E03F1" w:rsidRPr="00996C21" w:rsidRDefault="009E03F1" w:rsidP="004E391F">
      <w:pPr>
        <w:rPr>
          <w:lang w:val="es-ES_tradnl"/>
        </w:rPr>
      </w:pPr>
      <w:r w:rsidRPr="00996C21">
        <w:rPr>
          <w:lang w:val="es-ES_tradnl"/>
        </w:rPr>
        <w:t>21.1.1</w:t>
      </w:r>
      <w:r w:rsidRPr="00996C21">
        <w:rPr>
          <w:lang w:val="es-ES_tradnl"/>
        </w:rPr>
        <w:tab/>
        <w:t xml:space="preserve">El Relator del GR-StdsStrat, el Sr. Yoichi Maeda (Japón), presentó los resultados y el informe de la reunión en el Documento </w:t>
      </w:r>
      <w:hyperlink r:id="rId62" w:history="1">
        <w:r w:rsidRPr="00996C21">
          <w:rPr>
            <w:rStyle w:val="Hyperlink"/>
            <w:lang w:val="es-ES_tradnl"/>
          </w:rPr>
          <w:t>TD133-R1</w:t>
        </w:r>
      </w:hyperlink>
      <w:r w:rsidRPr="00996C21">
        <w:rPr>
          <w:lang w:val="es-ES_tradnl"/>
        </w:rPr>
        <w:t>.</w:t>
      </w:r>
    </w:p>
    <w:p w:rsidR="009E03F1" w:rsidRPr="00996C21" w:rsidRDefault="009E03F1" w:rsidP="004E391F">
      <w:pPr>
        <w:rPr>
          <w:b/>
          <w:lang w:val="es-ES_tradnl"/>
        </w:rPr>
      </w:pPr>
      <w:bookmarkStart w:id="179" w:name="lt_pId189"/>
      <w:r w:rsidRPr="00996C21">
        <w:rPr>
          <w:lang w:val="es-ES_tradnl"/>
        </w:rPr>
        <w:t>21.1.2</w:t>
      </w:r>
      <w:r w:rsidRPr="00996C21">
        <w:rPr>
          <w:lang w:val="es-ES_tradnl"/>
        </w:rPr>
        <w:tab/>
        <w:t xml:space="preserve">El GANT aceptó el </w:t>
      </w:r>
      <w:r w:rsidR="004E391F" w:rsidRPr="00996C21">
        <w:rPr>
          <w:lang w:val="es-ES_tradnl"/>
        </w:rPr>
        <w:t xml:space="preserve">Informe </w:t>
      </w:r>
      <w:r w:rsidRPr="00996C21">
        <w:rPr>
          <w:lang w:val="es-ES_tradnl"/>
        </w:rPr>
        <w:t>con varias correcciones y enmiendas solicitadas por algunos miembros;</w:t>
      </w:r>
      <w:bookmarkEnd w:id="179"/>
      <w:r w:rsidRPr="00996C21">
        <w:rPr>
          <w:lang w:val="es-ES_tradnl"/>
        </w:rPr>
        <w:t xml:space="preserve"> </w:t>
      </w:r>
      <w:bookmarkStart w:id="180" w:name="lt_pId190"/>
      <w:r w:rsidRPr="00996C21">
        <w:rPr>
          <w:lang w:val="es-ES_tradnl"/>
        </w:rPr>
        <w:t xml:space="preserve">el </w:t>
      </w:r>
      <w:r w:rsidR="004E391F" w:rsidRPr="00996C21">
        <w:rPr>
          <w:lang w:val="es-ES_tradnl"/>
        </w:rPr>
        <w:t xml:space="preserve">Informe Final </w:t>
      </w:r>
      <w:r w:rsidRPr="00996C21">
        <w:rPr>
          <w:lang w:val="es-ES_tradnl"/>
        </w:rPr>
        <w:t xml:space="preserve">figura en el Documento </w:t>
      </w:r>
      <w:hyperlink r:id="rId63" w:history="1">
        <w:r w:rsidRPr="00996C21">
          <w:rPr>
            <w:rStyle w:val="Hyperlink"/>
            <w:bCs/>
            <w:lang w:val="es-ES_tradnl"/>
          </w:rPr>
          <w:t>TD133-R2</w:t>
        </w:r>
      </w:hyperlink>
      <w:r w:rsidRPr="00996C21">
        <w:rPr>
          <w:lang w:val="es-ES_tradnl"/>
        </w:rPr>
        <w:t>.</w:t>
      </w:r>
      <w:bookmarkEnd w:id="180"/>
    </w:p>
    <w:p w:rsidR="009E03F1" w:rsidRPr="00996C21" w:rsidRDefault="009E03F1" w:rsidP="004E391F">
      <w:pPr>
        <w:rPr>
          <w:lang w:val="es-ES_tradnl"/>
        </w:rPr>
      </w:pPr>
      <w:bookmarkStart w:id="181" w:name="lt_pId191"/>
      <w:r w:rsidRPr="00996C21">
        <w:rPr>
          <w:lang w:val="es-ES_tradnl"/>
        </w:rPr>
        <w:t>21.1.3</w:t>
      </w:r>
      <w:r w:rsidRPr="00996C21">
        <w:rPr>
          <w:lang w:val="es-ES_tradnl"/>
        </w:rPr>
        <w:tab/>
        <w:t xml:space="preserve">El GANT aprobó el mandato revisado del GR-StdsStrat en el </w:t>
      </w:r>
      <w:hyperlink w:anchor="Anexo_C" w:history="1">
        <w:r w:rsidRPr="00996C21">
          <w:rPr>
            <w:rStyle w:val="Hyperlink"/>
            <w:lang w:val="es-ES_tradnl"/>
          </w:rPr>
          <w:t>Anexo C</w:t>
        </w:r>
      </w:hyperlink>
      <w:r w:rsidRPr="00996C21">
        <w:rPr>
          <w:lang w:val="es-ES_tradnl"/>
        </w:rPr>
        <w:t xml:space="preserve"> del presente </w:t>
      </w:r>
      <w:r w:rsidR="004E391F" w:rsidRPr="00996C21">
        <w:rPr>
          <w:lang w:val="es-ES_tradnl"/>
        </w:rPr>
        <w:t>Informe</w:t>
      </w:r>
      <w:r w:rsidRPr="00996C21">
        <w:rPr>
          <w:lang w:val="es-ES_tradnl"/>
        </w:rPr>
        <w:t>.</w:t>
      </w:r>
      <w:bookmarkEnd w:id="181"/>
    </w:p>
    <w:p w:rsidR="009E03F1" w:rsidRPr="00996C21" w:rsidRDefault="009E03F1" w:rsidP="0008406E">
      <w:pPr>
        <w:rPr>
          <w:lang w:val="es-ES_tradnl"/>
        </w:rPr>
      </w:pPr>
      <w:bookmarkStart w:id="182" w:name="lt_pId192"/>
      <w:r w:rsidRPr="00996C21">
        <w:rPr>
          <w:lang w:val="es-ES_tradnl"/>
        </w:rPr>
        <w:t>21.1.4</w:t>
      </w:r>
      <w:r w:rsidRPr="00996C21">
        <w:rPr>
          <w:lang w:val="es-ES_tradnl"/>
        </w:rPr>
        <w:tab/>
        <w:t xml:space="preserve">El GANT aprobó la declaración de coordinación saliente en el Documento </w:t>
      </w:r>
      <w:hyperlink r:id="rId64" w:history="1">
        <w:r w:rsidRPr="00996C21">
          <w:rPr>
            <w:rStyle w:val="Hyperlink"/>
            <w:lang w:val="es-ES_tradnl"/>
          </w:rPr>
          <w:t>TD268-R1</w:t>
        </w:r>
      </w:hyperlink>
      <w:r w:rsidRPr="00996C21">
        <w:rPr>
          <w:lang w:val="es-ES_tradnl"/>
        </w:rPr>
        <w:t xml:space="preserve"> sobre temas candentes para la acción de todas las Comisiones de Estudio del UIT-T.</w:t>
      </w:r>
      <w:bookmarkEnd w:id="182"/>
    </w:p>
    <w:p w:rsidR="009E03F1" w:rsidRPr="00996C21" w:rsidRDefault="009E03F1" w:rsidP="0008406E">
      <w:pPr>
        <w:rPr>
          <w:lang w:val="es-ES_tradnl"/>
        </w:rPr>
      </w:pPr>
      <w:bookmarkStart w:id="183" w:name="lt_pId193"/>
      <w:r w:rsidRPr="00996C21">
        <w:rPr>
          <w:lang w:val="es-ES_tradnl"/>
        </w:rPr>
        <w:t>21.1.5</w:t>
      </w:r>
      <w:r w:rsidR="007D5EFE" w:rsidRPr="00996C21">
        <w:rPr>
          <w:lang w:val="es-ES_tradnl"/>
        </w:rPr>
        <w:tab/>
      </w:r>
      <w:r w:rsidRPr="00996C21">
        <w:rPr>
          <w:lang w:val="es-ES_tradnl"/>
        </w:rPr>
        <w:t xml:space="preserve">El GANT autorizó al GR-StdsStrat a celebrar hasta cinco reuniones electrónicas provisionales (véase el </w:t>
      </w:r>
      <w:hyperlink w:anchor="anexo_a" w:history="1">
        <w:r w:rsidRPr="00996C21">
          <w:rPr>
            <w:rStyle w:val="Hyperlink"/>
            <w:lang w:val="es-ES_tradnl"/>
          </w:rPr>
          <w:t>Anexo A</w:t>
        </w:r>
      </w:hyperlink>
      <w:r w:rsidRPr="00996C21">
        <w:rPr>
          <w:lang w:val="es-ES_tradnl"/>
        </w:rPr>
        <w:t>) sobre la base de que se recib</w:t>
      </w:r>
      <w:r w:rsidR="007D5EFE" w:rsidRPr="00996C21">
        <w:rPr>
          <w:lang w:val="es-ES_tradnl"/>
        </w:rPr>
        <w:t>a</w:t>
      </w:r>
      <w:r w:rsidRPr="00996C21">
        <w:rPr>
          <w:lang w:val="es-ES_tradnl"/>
        </w:rPr>
        <w:t>n contribuciones.</w:t>
      </w:r>
      <w:bookmarkEnd w:id="183"/>
    </w:p>
    <w:p w:rsidR="009E03F1" w:rsidRPr="00996C21" w:rsidRDefault="009E03F1" w:rsidP="00A8413C">
      <w:pPr>
        <w:rPr>
          <w:lang w:val="es-ES_tradnl"/>
        </w:rPr>
      </w:pPr>
      <w:bookmarkStart w:id="184" w:name="lt_pId194"/>
      <w:bookmarkStart w:id="185" w:name="_Hlk508115644"/>
      <w:r w:rsidRPr="00996C21">
        <w:rPr>
          <w:lang w:val="es-ES_tradnl"/>
        </w:rPr>
        <w:t>21.1.6</w:t>
      </w:r>
      <w:r w:rsidRPr="00996C21">
        <w:rPr>
          <w:lang w:val="es-ES_tradnl"/>
        </w:rPr>
        <w:tab/>
        <w:t>El GANT convino en que los Relatores Asociados del GR-StdsStrat pasar</w:t>
      </w:r>
      <w:r w:rsidR="007D5EFE" w:rsidRPr="00996C21">
        <w:rPr>
          <w:lang w:val="es-ES_tradnl"/>
        </w:rPr>
        <w:t>á</w:t>
      </w:r>
      <w:r w:rsidRPr="00996C21">
        <w:rPr>
          <w:lang w:val="es-ES_tradnl"/>
        </w:rPr>
        <w:t xml:space="preserve">n a ser </w:t>
      </w:r>
      <w:r w:rsidR="00A8413C" w:rsidRPr="00996C21">
        <w:rPr>
          <w:lang w:val="es-ES_tradnl"/>
        </w:rPr>
        <w:t xml:space="preserve">Correlatores </w:t>
      </w:r>
      <w:r w:rsidRPr="00996C21">
        <w:rPr>
          <w:lang w:val="es-ES_tradnl"/>
        </w:rPr>
        <w:t>a fin de facilitar la rotación del Relator principal de una reunión a otra.</w:t>
      </w:r>
      <w:bookmarkEnd w:id="184"/>
      <w:r w:rsidRPr="00996C21">
        <w:rPr>
          <w:lang w:val="es-ES_tradnl"/>
        </w:rPr>
        <w:t xml:space="preserve"> </w:t>
      </w:r>
      <w:bookmarkStart w:id="186" w:name="lt_pId195"/>
      <w:r w:rsidRPr="00996C21">
        <w:rPr>
          <w:lang w:val="es-ES_tradnl"/>
        </w:rPr>
        <w:t>El GANT tomó nota del plan del equipo de gestión de</w:t>
      </w:r>
      <w:r w:rsidR="007D5EFE" w:rsidRPr="00996C21">
        <w:rPr>
          <w:lang w:val="es-ES_tradnl"/>
        </w:rPr>
        <w:t>l</w:t>
      </w:r>
      <w:r w:rsidRPr="00996C21">
        <w:rPr>
          <w:lang w:val="es-ES_tradnl"/>
        </w:rPr>
        <w:t xml:space="preserve"> GR-StdsStrat de rotar la presidencia después de cada reunión del GANT</w:t>
      </w:r>
      <w:bookmarkEnd w:id="186"/>
      <w:r w:rsidRPr="00996C21">
        <w:rPr>
          <w:lang w:val="es-ES_tradnl"/>
        </w:rPr>
        <w:t xml:space="preserve"> </w:t>
      </w:r>
      <w:bookmarkStart w:id="187" w:name="lt_pId196"/>
      <w:r w:rsidRPr="00996C21">
        <w:rPr>
          <w:lang w:val="es-ES_tradnl"/>
        </w:rPr>
        <w:t>y, en particular, de que las reuniones del GR-StdsStrat, después de la segunda reunión del GANT, sean presididas por el Sr. Stephen Hayes (Ericsson Canadá).</w:t>
      </w:r>
      <w:bookmarkEnd w:id="187"/>
    </w:p>
    <w:p w:rsidR="009E03F1" w:rsidRPr="00996C21" w:rsidRDefault="00D242F1" w:rsidP="00D242F1">
      <w:pPr>
        <w:pStyle w:val="Heading2"/>
        <w:rPr>
          <w:lang w:val="es-ES_tradnl"/>
        </w:rPr>
      </w:pPr>
      <w:bookmarkStart w:id="188" w:name="_Toc516061208"/>
      <w:bookmarkEnd w:id="185"/>
      <w:r w:rsidRPr="00996C21">
        <w:rPr>
          <w:lang w:val="es-ES_tradnl"/>
        </w:rPr>
        <w:t>21.2</w:t>
      </w:r>
      <w:r w:rsidRPr="00996C21">
        <w:rPr>
          <w:lang w:val="es-ES_tradnl"/>
        </w:rPr>
        <w:tab/>
        <w:t>Grupo de Relator del GANT sobre el programa de trabajo (GR-WP)</w:t>
      </w:r>
      <w:bookmarkEnd w:id="188"/>
    </w:p>
    <w:p w:rsidR="00D242F1" w:rsidRPr="00996C21" w:rsidRDefault="00D242F1" w:rsidP="0089136E">
      <w:pPr>
        <w:rPr>
          <w:bCs/>
          <w:lang w:val="es-ES_tradnl"/>
        </w:rPr>
      </w:pPr>
      <w:r w:rsidRPr="00996C21">
        <w:rPr>
          <w:lang w:val="es-ES_tradnl"/>
        </w:rPr>
        <w:t>21.2.1</w:t>
      </w:r>
      <w:r w:rsidRPr="00996C21">
        <w:rPr>
          <w:lang w:val="es-ES_tradnl"/>
        </w:rPr>
        <w:tab/>
        <w:t xml:space="preserve">El Relator del GR-WP, el Sr. Reiner Liebler (Alemania), presentó el </w:t>
      </w:r>
      <w:r w:rsidR="0089136E" w:rsidRPr="00996C21">
        <w:rPr>
          <w:lang w:val="es-ES_tradnl"/>
        </w:rPr>
        <w:t xml:space="preserve">Informe </w:t>
      </w:r>
      <w:r w:rsidRPr="00996C21">
        <w:rPr>
          <w:lang w:val="es-ES_tradnl"/>
        </w:rPr>
        <w:t xml:space="preserve">que figura en el Documento </w:t>
      </w:r>
      <w:hyperlink r:id="rId65" w:history="1">
        <w:r w:rsidRPr="00996C21">
          <w:rPr>
            <w:rStyle w:val="Hyperlink"/>
            <w:lang w:val="es-ES_tradnl"/>
          </w:rPr>
          <w:t>TD137</w:t>
        </w:r>
      </w:hyperlink>
      <w:r w:rsidRPr="00996C21">
        <w:rPr>
          <w:lang w:val="es-ES_tradnl"/>
        </w:rPr>
        <w:t xml:space="preserve">. </w:t>
      </w:r>
      <w:bookmarkStart w:id="189" w:name="lt_pId199"/>
      <w:r w:rsidRPr="00996C21">
        <w:rPr>
          <w:lang w:val="es-ES_tradnl"/>
        </w:rPr>
        <w:t xml:space="preserve">En el Documento </w:t>
      </w:r>
      <w:hyperlink r:id="rId66" w:history="1">
        <w:r w:rsidRPr="00996C21">
          <w:rPr>
            <w:rStyle w:val="Hyperlink"/>
            <w:bCs/>
            <w:lang w:val="es-ES_tradnl"/>
          </w:rPr>
          <w:t>TD137-R1</w:t>
        </w:r>
      </w:hyperlink>
      <w:r w:rsidRPr="00996C21">
        <w:rPr>
          <w:lang w:val="es-ES_tradnl"/>
        </w:rPr>
        <w:t xml:space="preserve"> figuran las enmiendas acordadas por el GANT.</w:t>
      </w:r>
      <w:bookmarkEnd w:id="189"/>
    </w:p>
    <w:p w:rsidR="00F27D4B" w:rsidRPr="00996C21" w:rsidRDefault="00F27D4B" w:rsidP="00414155">
      <w:pPr>
        <w:rPr>
          <w:lang w:val="es-ES_tradnl"/>
        </w:rPr>
      </w:pPr>
      <w:bookmarkStart w:id="190" w:name="lt_pId200"/>
      <w:r w:rsidRPr="00996C21">
        <w:rPr>
          <w:lang w:val="es-ES_tradnl"/>
        </w:rPr>
        <w:t>El GANT convino en que las cuestiones entre la CE 3 y la CE 12, y la CE 11 y la CE 12, del UIT-T se resolverían consultando a los respectivos Presidentes de las Comisiones de Estudio con la asistencia del Director de la TSB.</w:t>
      </w:r>
      <w:bookmarkEnd w:id="190"/>
    </w:p>
    <w:p w:rsidR="00F27D4B" w:rsidRPr="00996C21" w:rsidRDefault="00235B5F" w:rsidP="003E1EBD">
      <w:pPr>
        <w:rPr>
          <w:lang w:val="es-ES_tradnl"/>
        </w:rPr>
      </w:pPr>
      <w:r w:rsidRPr="00996C21">
        <w:rPr>
          <w:lang w:val="es-ES_tradnl"/>
        </w:rPr>
        <w:t>21.2.2</w:t>
      </w:r>
      <w:r w:rsidRPr="00996C21">
        <w:rPr>
          <w:lang w:val="es-ES_tradnl"/>
        </w:rPr>
        <w:tab/>
        <w:t xml:space="preserve">El GANT tomó nota de la supresión de la Cuestión 10/5 "Adaptación al cambio climático y tecnologías de la información y la comunicación (TIC) resilientes, sostenibles y de bajo coste" y aprobó la revisión de la Cuestión 6/5 "Fomento de la eficiencia energética y las energías inteligentes", la Cuestión 7/5 "Economía circular, incluidos los residuos electrónicos" y la Cuestión 9/5 "Cambio climático y evaluación de las tecnologías de la información y la comunicación (TIC) en el marco de los Objetivos de Desarrollo Sostenible (ODS)" (véase el Documento </w:t>
      </w:r>
      <w:hyperlink r:id="rId67" w:history="1">
        <w:r w:rsidRPr="00996C21">
          <w:rPr>
            <w:rStyle w:val="Hyperlink"/>
            <w:lang w:val="es-ES_tradnl"/>
          </w:rPr>
          <w:t>TD182</w:t>
        </w:r>
      </w:hyperlink>
      <w:r w:rsidRPr="00996C21">
        <w:rPr>
          <w:lang w:val="es-ES_tradnl"/>
        </w:rPr>
        <w:t>).</w:t>
      </w:r>
    </w:p>
    <w:p w:rsidR="00F27D4B" w:rsidRPr="00996C21" w:rsidRDefault="00235B5F" w:rsidP="00225AAF">
      <w:pPr>
        <w:rPr>
          <w:lang w:val="es-ES_tradnl"/>
        </w:rPr>
      </w:pPr>
      <w:r w:rsidRPr="00996C21">
        <w:rPr>
          <w:lang w:val="es-ES_tradnl"/>
        </w:rPr>
        <w:t>21.2.3</w:t>
      </w:r>
      <w:r w:rsidRPr="00996C21">
        <w:rPr>
          <w:lang w:val="es-ES_tradnl"/>
        </w:rPr>
        <w:tab/>
        <w:t xml:space="preserve">El GANT respaldó la fusión de la Cuestión 1/9 "Transmisión de señales de programas radiofónicos y de televisión destinadas a la contribución, la distribución primaria y la distribución secundaria" y la Cuestión 3/9 "Control del suministro de programas digitales para la multiplexación, la conmutación y la inserción en el dominio de trenes de bits comprimidos y/o trenes de paquetes" y acordó el texto revisado de la Cuestión 1/9 "Transmisión y control de entrega de señales de programas de televisión y sonido destinadas a la contribución, la distribución primaria y la distribución secundaria" (véase el Documento </w:t>
      </w:r>
      <w:hyperlink r:id="rId68" w:history="1">
        <w:r w:rsidRPr="00996C21">
          <w:rPr>
            <w:rStyle w:val="Hyperlink"/>
            <w:lang w:val="es-ES_tradnl"/>
          </w:rPr>
          <w:t>TD248</w:t>
        </w:r>
      </w:hyperlink>
      <w:r w:rsidRPr="00996C21">
        <w:rPr>
          <w:lang w:val="es-ES_tradnl"/>
        </w:rPr>
        <w:t>).</w:t>
      </w:r>
    </w:p>
    <w:p w:rsidR="00F27D4B" w:rsidRPr="00996C21" w:rsidRDefault="00235B5F" w:rsidP="00A86CF9">
      <w:pPr>
        <w:rPr>
          <w:lang w:val="es-ES_tradnl"/>
        </w:rPr>
      </w:pPr>
      <w:r w:rsidRPr="00996C21">
        <w:rPr>
          <w:lang w:val="es-ES_tradnl"/>
        </w:rPr>
        <w:t>21.2.4</w:t>
      </w:r>
      <w:r w:rsidRPr="00996C21">
        <w:rPr>
          <w:lang w:val="es-ES_tradnl"/>
        </w:rPr>
        <w:tab/>
        <w:t xml:space="preserve">El GANT respaldó la fusión de la Cuestión 18/15 "Redes de banda ancha en los locales del cliente" y la Cuestión 19/15 "Requisitos de las capacidades de servicio avanzadas por redes domésticas por cable de banda ancha" y acordó el texto revisado de la Cuestión 18/15 "Redes de banda ancha en los locales del cliente" (véase el Documento </w:t>
      </w:r>
      <w:hyperlink r:id="rId69" w:history="1">
        <w:r w:rsidRPr="00996C21">
          <w:rPr>
            <w:rStyle w:val="Hyperlink"/>
            <w:lang w:val="es-ES_tradnl"/>
          </w:rPr>
          <w:t>TD186</w:t>
        </w:r>
      </w:hyperlink>
      <w:r w:rsidRPr="00996C21">
        <w:rPr>
          <w:lang w:val="es-ES_tradnl"/>
        </w:rPr>
        <w:t>)</w:t>
      </w:r>
      <w:r w:rsidR="007D5EFE" w:rsidRPr="00996C21">
        <w:rPr>
          <w:lang w:val="es-ES_tradnl"/>
        </w:rPr>
        <w:t>.</w:t>
      </w:r>
      <w:r w:rsidRPr="00996C21">
        <w:rPr>
          <w:lang w:val="es-ES_tradnl"/>
        </w:rPr>
        <w:t xml:space="preserve"> </w:t>
      </w:r>
      <w:r w:rsidR="007D5EFE" w:rsidRPr="00996C21">
        <w:rPr>
          <w:lang w:val="es-ES_tradnl"/>
        </w:rPr>
        <w:t xml:space="preserve">También </w:t>
      </w:r>
      <w:r w:rsidRPr="00996C21">
        <w:rPr>
          <w:lang w:val="es-ES_tradnl"/>
        </w:rPr>
        <w:t xml:space="preserve">tomó nota de la supresión de la Cuestión 3/15 "Coordinación de las normas sobre redes de transporte por fibra óptica" y aprobó el texto revisado de la Cuestión 12/15 "Arquitecturas de red de transporte" (véase el Documento </w:t>
      </w:r>
      <w:hyperlink r:id="rId70" w:history="1">
        <w:r w:rsidRPr="00996C21">
          <w:rPr>
            <w:rStyle w:val="Hyperlink"/>
            <w:lang w:val="es-ES_tradnl"/>
          </w:rPr>
          <w:t>TD254</w:t>
        </w:r>
      </w:hyperlink>
      <w:r w:rsidRPr="00996C21">
        <w:rPr>
          <w:lang w:val="es-ES_tradnl"/>
        </w:rPr>
        <w:t>).</w:t>
      </w:r>
    </w:p>
    <w:p w:rsidR="00F27D4B" w:rsidRPr="00996C21" w:rsidRDefault="00235B5F" w:rsidP="00A86CF9">
      <w:pPr>
        <w:rPr>
          <w:lang w:val="es-ES_tradnl"/>
        </w:rPr>
      </w:pPr>
      <w:r w:rsidRPr="00996C21">
        <w:rPr>
          <w:lang w:val="es-ES_tradnl"/>
        </w:rPr>
        <w:lastRenderedPageBreak/>
        <w:t>21.2.5</w:t>
      </w:r>
      <w:r w:rsidRPr="00996C21">
        <w:rPr>
          <w:lang w:val="es-ES_tradnl"/>
        </w:rPr>
        <w:tab/>
        <w:t xml:space="preserve">El GANT respaldó la creación de una nueva Cuestión 14/17 "Aspectos de seguridad de las técnicas de contabilidad electrónica distribuida" (véase el Documento </w:t>
      </w:r>
      <w:hyperlink r:id="rId71" w:history="1">
        <w:r w:rsidRPr="00996C21">
          <w:rPr>
            <w:rStyle w:val="Hyperlink"/>
            <w:lang w:val="es-ES_tradnl"/>
          </w:rPr>
          <w:t>TD193</w:t>
        </w:r>
      </w:hyperlink>
      <w:r w:rsidRPr="00996C21">
        <w:rPr>
          <w:lang w:val="es-ES_tradnl"/>
        </w:rPr>
        <w:t>).</w:t>
      </w:r>
    </w:p>
    <w:p w:rsidR="00F27D4B" w:rsidRPr="00996C21" w:rsidRDefault="00235B5F" w:rsidP="00A86CF9">
      <w:pPr>
        <w:rPr>
          <w:lang w:val="es-ES_tradnl"/>
        </w:rPr>
      </w:pPr>
      <w:r w:rsidRPr="00996C21">
        <w:rPr>
          <w:lang w:val="es-ES_tradnl"/>
        </w:rPr>
        <w:t xml:space="preserve">21.2.6 </w:t>
      </w:r>
      <w:r w:rsidR="003E7C0B" w:rsidRPr="00996C21">
        <w:rPr>
          <w:lang w:val="es-ES_tradnl"/>
        </w:rPr>
        <w:tab/>
      </w:r>
      <w:r w:rsidRPr="00996C21">
        <w:rPr>
          <w:lang w:val="es-ES_tradnl"/>
        </w:rPr>
        <w:t>El GANT respaldó la futura orientación de los informes de actividad de la Comisión de Estudio rectora como se refleja en el §</w:t>
      </w:r>
      <w:r w:rsidR="00A86CF9" w:rsidRPr="00996C21">
        <w:rPr>
          <w:lang w:val="es-ES_tradnl"/>
        </w:rPr>
        <w:t> </w:t>
      </w:r>
      <w:r w:rsidRPr="00996C21">
        <w:rPr>
          <w:lang w:val="es-ES_tradnl"/>
        </w:rPr>
        <w:t>7.12 del Documento TD137-R1.</w:t>
      </w:r>
    </w:p>
    <w:p w:rsidR="00F27D4B" w:rsidRPr="00996C21" w:rsidRDefault="00F27D4B" w:rsidP="00F27D4B">
      <w:pPr>
        <w:pStyle w:val="Heading2"/>
        <w:rPr>
          <w:lang w:val="es-ES_tradnl"/>
        </w:rPr>
      </w:pPr>
      <w:bookmarkStart w:id="191" w:name="_Toc516061209"/>
      <w:r w:rsidRPr="00996C21">
        <w:rPr>
          <w:lang w:val="es-ES_tradnl"/>
        </w:rPr>
        <w:t>21.3</w:t>
      </w:r>
      <w:r w:rsidRPr="00996C21">
        <w:rPr>
          <w:lang w:val="es-ES_tradnl"/>
        </w:rPr>
        <w:tab/>
        <w:t>Grupo de Relator del GANT sobre los métodos de trabajo (GR-WM)</w:t>
      </w:r>
      <w:bookmarkEnd w:id="191"/>
    </w:p>
    <w:p w:rsidR="00F27D4B" w:rsidRPr="00996C21" w:rsidRDefault="00F27D4B" w:rsidP="00E71079">
      <w:pPr>
        <w:rPr>
          <w:lang w:val="es-ES_tradnl"/>
        </w:rPr>
      </w:pPr>
      <w:r w:rsidRPr="00996C21">
        <w:rPr>
          <w:lang w:val="es-ES_tradnl"/>
        </w:rPr>
        <w:t>21.3.1</w:t>
      </w:r>
      <w:r w:rsidRPr="00996C21">
        <w:rPr>
          <w:lang w:val="es-ES_tradnl"/>
        </w:rPr>
        <w:tab/>
        <w:t xml:space="preserve">El Relator del GR-WM, el Sr. Stephen Trowbridge (EE.UU.), presentó el </w:t>
      </w:r>
      <w:r w:rsidR="00E71079" w:rsidRPr="00996C21">
        <w:rPr>
          <w:lang w:val="es-ES_tradnl"/>
        </w:rPr>
        <w:t xml:space="preserve">Informe </w:t>
      </w:r>
      <w:r w:rsidRPr="00996C21">
        <w:rPr>
          <w:lang w:val="es-ES_tradnl"/>
        </w:rPr>
        <w:t xml:space="preserve">del </w:t>
      </w:r>
      <w:r w:rsidR="00E71079" w:rsidRPr="00996C21">
        <w:rPr>
          <w:lang w:val="es-ES_tradnl"/>
        </w:rPr>
        <w:t xml:space="preserve">Grupo </w:t>
      </w:r>
      <w:r w:rsidRPr="00996C21">
        <w:rPr>
          <w:lang w:val="es-ES_tradnl"/>
        </w:rPr>
        <w:t xml:space="preserve">(Documento </w:t>
      </w:r>
      <w:hyperlink r:id="rId72" w:history="1">
        <w:r w:rsidRPr="00996C21">
          <w:rPr>
            <w:rStyle w:val="Hyperlink"/>
            <w:lang w:val="es-ES_tradnl"/>
          </w:rPr>
          <w:t>TD135</w:t>
        </w:r>
      </w:hyperlink>
      <w:r w:rsidRPr="00996C21">
        <w:rPr>
          <w:lang w:val="es-ES_tradnl"/>
        </w:rPr>
        <w:t>).</w:t>
      </w:r>
    </w:p>
    <w:p w:rsidR="006864EF" w:rsidRPr="00996C21" w:rsidRDefault="006864EF" w:rsidP="00AA7572">
      <w:pPr>
        <w:rPr>
          <w:lang w:val="es-ES_tradnl"/>
        </w:rPr>
      </w:pPr>
      <w:bookmarkStart w:id="192" w:name="lt_pId211"/>
      <w:bookmarkStart w:id="193" w:name="_Hlk508115916"/>
      <w:r w:rsidRPr="00996C21">
        <w:rPr>
          <w:lang w:val="es-ES_tradnl"/>
        </w:rPr>
        <w:t>21.3.2</w:t>
      </w:r>
      <w:r w:rsidRPr="00996C21">
        <w:rPr>
          <w:lang w:val="es-ES_tradnl"/>
        </w:rPr>
        <w:tab/>
        <w:t>El GANT solicitó a la TSB y a las Unidades de Asuntos Jurídicos de la UIT que presentaran un documento temporal en la próxima reunión electrónica del GR-WM, con directrices e interpretación sobre la utilización y aplica</w:t>
      </w:r>
      <w:r w:rsidR="00AA7572" w:rsidRPr="00996C21">
        <w:rPr>
          <w:lang w:val="es-ES_tradnl"/>
        </w:rPr>
        <w:t xml:space="preserve">bilidad de las Recomendaciones </w:t>
      </w:r>
      <w:r w:rsidRPr="00996C21">
        <w:rPr>
          <w:lang w:val="es-ES_tradnl"/>
        </w:rPr>
        <w:t>UIT-T A.1 (en particular, la cláusula 3.1.6), A.13 y A.25, por lo que se refiere al proceso contributivo y al desarrollo de los resultados del UIT-T.</w:t>
      </w:r>
    </w:p>
    <w:p w:rsidR="00F27D4B" w:rsidRPr="00996C21" w:rsidRDefault="00F27D4B" w:rsidP="00AA7572">
      <w:pPr>
        <w:rPr>
          <w:lang w:val="es-ES_tradnl"/>
        </w:rPr>
      </w:pPr>
      <w:r w:rsidRPr="00996C21">
        <w:rPr>
          <w:lang w:val="es-ES_tradnl"/>
        </w:rPr>
        <w:t>21.3.3</w:t>
      </w:r>
      <w:r w:rsidRPr="00996C21">
        <w:rPr>
          <w:lang w:val="es-ES_tradnl"/>
        </w:rPr>
        <w:tab/>
        <w:t>Se señaló que el</w:t>
      </w:r>
      <w:r w:rsidR="00AA7572" w:rsidRPr="00996C21">
        <w:rPr>
          <w:lang w:val="es-ES_tradnl"/>
        </w:rPr>
        <w:t xml:space="preserve"> proyecto de revisión de la Recomendación</w:t>
      </w:r>
      <w:r w:rsidRPr="00996C21">
        <w:rPr>
          <w:lang w:val="es-ES_tradnl"/>
        </w:rPr>
        <w:t xml:space="preserve"> UIT-T A.13 se está elaborando y que todavía deben debatirse muchas cuestiones pendientes antes de que el proyecto pueda considerarse una resolución.</w:t>
      </w:r>
      <w:bookmarkEnd w:id="192"/>
    </w:p>
    <w:p w:rsidR="00F27D4B" w:rsidRPr="00996C21" w:rsidRDefault="00F27D4B" w:rsidP="00AA7572">
      <w:pPr>
        <w:rPr>
          <w:lang w:val="es-ES_tradnl"/>
        </w:rPr>
      </w:pPr>
      <w:bookmarkStart w:id="194" w:name="lt_pId212"/>
      <w:bookmarkEnd w:id="193"/>
      <w:r w:rsidRPr="00996C21">
        <w:rPr>
          <w:lang w:val="es-ES_tradnl"/>
        </w:rPr>
        <w:t>21.3.4</w:t>
      </w:r>
      <w:r w:rsidRPr="00996C21">
        <w:rPr>
          <w:lang w:val="es-ES_tradnl"/>
        </w:rPr>
        <w:tab/>
        <w:t>Se señaló que, esta vez, en la reunión del GR-WM no se debatieron métodos de trabajo electrónicos:</w:t>
      </w:r>
      <w:bookmarkEnd w:id="194"/>
      <w:r w:rsidRPr="00996C21">
        <w:rPr>
          <w:lang w:val="es-ES_tradnl"/>
        </w:rPr>
        <w:t xml:space="preserve"> </w:t>
      </w:r>
      <w:bookmarkStart w:id="195" w:name="lt_pId213"/>
      <w:r w:rsidRPr="00996C21">
        <w:rPr>
          <w:lang w:val="es-ES_tradnl"/>
        </w:rPr>
        <w:t>la C38, "Cuestiones de organización del trabajo del UIT-T", debe debatirse en el contexto de los métodos de trabajo electrónicos.</w:t>
      </w:r>
      <w:bookmarkEnd w:id="195"/>
    </w:p>
    <w:p w:rsidR="00F27D4B" w:rsidRPr="00996C21" w:rsidRDefault="00F27D4B" w:rsidP="00AA7572">
      <w:pPr>
        <w:rPr>
          <w:lang w:val="es-ES_tradnl"/>
        </w:rPr>
      </w:pPr>
      <w:bookmarkStart w:id="196" w:name="lt_pId214"/>
      <w:r w:rsidRPr="00996C21">
        <w:rPr>
          <w:lang w:val="es-ES_tradnl"/>
        </w:rPr>
        <w:t>21.3.5</w:t>
      </w:r>
      <w:r w:rsidRPr="00996C21">
        <w:rPr>
          <w:lang w:val="es-ES_tradnl"/>
        </w:rPr>
        <w:tab/>
        <w:t>El GANT autorizó al GR-WM a celebrar dos reuniones electrónicas (con una reunión electrónica conjunta con el GR-SC).</w:t>
      </w:r>
      <w:bookmarkEnd w:id="196"/>
    </w:p>
    <w:p w:rsidR="00F27D4B" w:rsidRPr="00996C21" w:rsidRDefault="00F27D4B" w:rsidP="00AA7572">
      <w:pPr>
        <w:rPr>
          <w:lang w:val="es-ES_tradnl"/>
        </w:rPr>
      </w:pPr>
      <w:bookmarkStart w:id="197" w:name="lt_pId215"/>
      <w:r w:rsidRPr="00996C21">
        <w:rPr>
          <w:lang w:val="es-ES_tradnl"/>
        </w:rPr>
        <w:t>21.3.6</w:t>
      </w:r>
      <w:r w:rsidRPr="00996C21">
        <w:rPr>
          <w:lang w:val="es-ES_tradnl"/>
        </w:rPr>
        <w:tab/>
        <w:t>El GANT invitó a que se hicieran contribuciones a las próximas reuniones del GR-WM con propuestas concretas sobre las diversas cuestiones pendientes.</w:t>
      </w:r>
      <w:bookmarkEnd w:id="197"/>
    </w:p>
    <w:p w:rsidR="00674C58" w:rsidRPr="00996C21" w:rsidRDefault="00674C58" w:rsidP="00674C58">
      <w:pPr>
        <w:pStyle w:val="Heading2"/>
        <w:rPr>
          <w:lang w:val="es-ES_tradnl"/>
        </w:rPr>
      </w:pPr>
      <w:bookmarkStart w:id="198" w:name="_21.4_Grupo_de"/>
      <w:bookmarkStart w:id="199" w:name="_Toc516061210"/>
      <w:bookmarkEnd w:id="198"/>
      <w:r w:rsidRPr="00996C21">
        <w:rPr>
          <w:lang w:val="es-ES_tradnl"/>
        </w:rPr>
        <w:t>21.4</w:t>
      </w:r>
      <w:r w:rsidRPr="00996C21">
        <w:rPr>
          <w:lang w:val="es-ES_tradnl"/>
        </w:rPr>
        <w:tab/>
        <w:t>Grupo de Relator del GANT sobre el fortalecimiento de la colaboración (GR-SC)</w:t>
      </w:r>
      <w:bookmarkEnd w:id="199"/>
    </w:p>
    <w:p w:rsidR="00F27D4B" w:rsidRPr="00996C21" w:rsidRDefault="00674C58" w:rsidP="000A17EB">
      <w:pPr>
        <w:rPr>
          <w:lang w:val="es-ES_tradnl"/>
        </w:rPr>
      </w:pPr>
      <w:r w:rsidRPr="00996C21">
        <w:rPr>
          <w:lang w:val="es-ES_tradnl"/>
        </w:rPr>
        <w:t>21.4.1</w:t>
      </w:r>
      <w:r w:rsidRPr="00996C21">
        <w:rPr>
          <w:lang w:val="es-ES_tradnl"/>
        </w:rPr>
        <w:tab/>
        <w:t xml:space="preserve">El Relator del GR-SC, el Sr. Glenn Parsons (Canadá), presentó el </w:t>
      </w:r>
      <w:r w:rsidR="000A17EB" w:rsidRPr="00996C21">
        <w:rPr>
          <w:lang w:val="es-ES_tradnl"/>
        </w:rPr>
        <w:t xml:space="preserve">Informe </w:t>
      </w:r>
      <w:r w:rsidRPr="00996C21">
        <w:rPr>
          <w:lang w:val="es-ES_tradnl"/>
        </w:rPr>
        <w:t xml:space="preserve">del </w:t>
      </w:r>
      <w:r w:rsidR="000A17EB" w:rsidRPr="00996C21">
        <w:rPr>
          <w:lang w:val="es-ES_tradnl"/>
        </w:rPr>
        <w:t xml:space="preserve">Grupo </w:t>
      </w:r>
      <w:r w:rsidRPr="00996C21">
        <w:rPr>
          <w:lang w:val="es-ES_tradnl"/>
        </w:rPr>
        <w:t xml:space="preserve">(Documento </w:t>
      </w:r>
      <w:hyperlink r:id="rId73" w:history="1">
        <w:r w:rsidRPr="00996C21">
          <w:rPr>
            <w:rStyle w:val="Hyperlink"/>
            <w:lang w:val="es-ES_tradnl"/>
          </w:rPr>
          <w:t>TD129</w:t>
        </w:r>
      </w:hyperlink>
      <w:r w:rsidRPr="00996C21">
        <w:rPr>
          <w:lang w:val="es-ES_tradnl"/>
        </w:rPr>
        <w:t>).</w:t>
      </w:r>
    </w:p>
    <w:p w:rsidR="00674C58" w:rsidRPr="00996C21" w:rsidRDefault="00674C58" w:rsidP="00690156">
      <w:pPr>
        <w:rPr>
          <w:lang w:val="es-ES_tradnl"/>
        </w:rPr>
      </w:pPr>
      <w:bookmarkStart w:id="200" w:name="lt_pId218"/>
      <w:r w:rsidRPr="00996C21">
        <w:rPr>
          <w:lang w:val="es-ES_tradnl"/>
        </w:rPr>
        <w:t xml:space="preserve">Un Estado Miembro opinó que el </w:t>
      </w:r>
      <w:r w:rsidR="00690156" w:rsidRPr="00996C21">
        <w:rPr>
          <w:lang w:val="es-ES_tradnl"/>
        </w:rPr>
        <w:t xml:space="preserve">Informe </w:t>
      </w:r>
      <w:r w:rsidRPr="00996C21">
        <w:rPr>
          <w:lang w:val="es-ES_tradnl"/>
        </w:rPr>
        <w:t>no reflejaba lo que se había debatido en la reunión, que era algo incompleto, que no estaba equilibrado y que era necesario un mayor equilibrio;</w:t>
      </w:r>
      <w:bookmarkEnd w:id="200"/>
      <w:r w:rsidRPr="00996C21">
        <w:rPr>
          <w:lang w:val="es-ES_tradnl"/>
        </w:rPr>
        <w:t xml:space="preserve"> </w:t>
      </w:r>
      <w:bookmarkStart w:id="201" w:name="lt_pId219"/>
      <w:r w:rsidRPr="00996C21">
        <w:rPr>
          <w:lang w:val="es-ES_tradnl"/>
        </w:rPr>
        <w:t xml:space="preserve">otros Estados Miembros consideraron que el </w:t>
      </w:r>
      <w:r w:rsidR="00690156" w:rsidRPr="00996C21">
        <w:rPr>
          <w:lang w:val="es-ES_tradnl"/>
        </w:rPr>
        <w:t xml:space="preserve">Informe </w:t>
      </w:r>
      <w:r w:rsidRPr="00996C21">
        <w:rPr>
          <w:lang w:val="es-ES_tradnl"/>
        </w:rPr>
        <w:t>era equilibrado.</w:t>
      </w:r>
      <w:bookmarkEnd w:id="201"/>
      <w:r w:rsidRPr="00996C21">
        <w:rPr>
          <w:lang w:val="es-ES_tradnl"/>
        </w:rPr>
        <w:t xml:space="preserve"> </w:t>
      </w:r>
      <w:bookmarkStart w:id="202" w:name="lt_pId220"/>
      <w:r w:rsidRPr="00996C21">
        <w:rPr>
          <w:lang w:val="es-ES_tradnl"/>
        </w:rPr>
        <w:t xml:space="preserve">El GANT acordó reflejar las opiniones en </w:t>
      </w:r>
      <w:r w:rsidR="00A5346F" w:rsidRPr="00996C21">
        <w:rPr>
          <w:lang w:val="es-ES_tradnl"/>
        </w:rPr>
        <w:t>su</w:t>
      </w:r>
      <w:r w:rsidRPr="00996C21">
        <w:rPr>
          <w:lang w:val="es-ES_tradnl"/>
        </w:rPr>
        <w:t xml:space="preserve"> </w:t>
      </w:r>
      <w:r w:rsidR="00690156" w:rsidRPr="00996C21">
        <w:rPr>
          <w:lang w:val="es-ES_tradnl"/>
        </w:rPr>
        <w:t>Informe</w:t>
      </w:r>
      <w:r w:rsidRPr="00996C21">
        <w:rPr>
          <w:lang w:val="es-ES_tradnl"/>
        </w:rPr>
        <w:t>.</w:t>
      </w:r>
      <w:bookmarkEnd w:id="202"/>
    </w:p>
    <w:p w:rsidR="00674C58" w:rsidRPr="00996C21" w:rsidRDefault="00674C58" w:rsidP="00690156">
      <w:pPr>
        <w:rPr>
          <w:lang w:val="es-ES_tradnl"/>
        </w:rPr>
      </w:pPr>
      <w:bookmarkStart w:id="203" w:name="lt_pId221"/>
      <w:r w:rsidRPr="00996C21">
        <w:rPr>
          <w:lang w:val="es-ES_tradnl"/>
        </w:rPr>
        <w:t xml:space="preserve">El GANT acordó que el texto del § 8 del </w:t>
      </w:r>
      <w:r w:rsidR="00690156" w:rsidRPr="00996C21">
        <w:rPr>
          <w:lang w:val="es-ES_tradnl"/>
        </w:rPr>
        <w:t xml:space="preserve">Informe </w:t>
      </w:r>
      <w:r w:rsidRPr="00996C21">
        <w:rPr>
          <w:lang w:val="es-ES_tradnl"/>
        </w:rPr>
        <w:t>debería decir</w:t>
      </w:r>
      <w:r w:rsidR="00690156" w:rsidRPr="00996C21">
        <w:rPr>
          <w:lang w:val="es-ES_tradnl"/>
        </w:rPr>
        <w:t>:</w:t>
      </w:r>
      <w:r w:rsidRPr="00996C21">
        <w:rPr>
          <w:lang w:val="es-ES_tradnl"/>
        </w:rPr>
        <w:t xml:space="preserve"> "La reunión reconoció que el Director de la TSB debería solicitar al grupo IPR-</w:t>
      </w:r>
      <w:r w:rsidR="00690156" w:rsidRPr="00996C21">
        <w:rPr>
          <w:lang w:val="es-ES_tradnl"/>
        </w:rPr>
        <w:t xml:space="preserve">Adhoc </w:t>
      </w:r>
      <w:r w:rsidRPr="00996C21">
        <w:rPr>
          <w:lang w:val="es-ES_tradnl"/>
        </w:rPr>
        <w:t>que proporcione material informativo/pedagógico sobre licencias de código abierto o, en su defecto, modelos de licencias de software</w:t>
      </w:r>
      <w:bookmarkEnd w:id="203"/>
      <w:r w:rsidRPr="00996C21">
        <w:rPr>
          <w:lang w:val="es-ES_tradnl"/>
        </w:rPr>
        <w:t>".</w:t>
      </w:r>
    </w:p>
    <w:p w:rsidR="00674C58" w:rsidRPr="00996C21" w:rsidRDefault="00674C58" w:rsidP="00690156">
      <w:pPr>
        <w:rPr>
          <w:lang w:val="es-ES_tradnl"/>
        </w:rPr>
      </w:pPr>
      <w:bookmarkStart w:id="204" w:name="lt_pId223"/>
      <w:r w:rsidRPr="00996C21">
        <w:rPr>
          <w:lang w:val="es-ES_tradnl"/>
        </w:rPr>
        <w:t xml:space="preserve">El GANT tomó nota del </w:t>
      </w:r>
      <w:r w:rsidR="00690156" w:rsidRPr="00996C21">
        <w:rPr>
          <w:lang w:val="es-ES_tradnl"/>
        </w:rPr>
        <w:t>Informe</w:t>
      </w:r>
      <w:r w:rsidRPr="00996C21">
        <w:rPr>
          <w:lang w:val="es-ES_tradnl"/>
        </w:rPr>
        <w:t>.</w:t>
      </w:r>
      <w:bookmarkEnd w:id="204"/>
    </w:p>
    <w:p w:rsidR="00674C58" w:rsidRPr="00996C21" w:rsidRDefault="008A08CB" w:rsidP="00B84A8A">
      <w:pPr>
        <w:rPr>
          <w:lang w:val="es-ES_tradnl"/>
        </w:rPr>
      </w:pPr>
      <w:r w:rsidRPr="00996C21">
        <w:rPr>
          <w:lang w:val="es-ES_tradnl"/>
        </w:rPr>
        <w:t>21.4.2</w:t>
      </w:r>
      <w:r w:rsidRPr="00996C21">
        <w:rPr>
          <w:lang w:val="es-ES_tradnl"/>
        </w:rPr>
        <w:tab/>
        <w:t xml:space="preserve">El GANT convino en enviar una </w:t>
      </w:r>
      <w:r w:rsidR="00B84A8A" w:rsidRPr="00996C21">
        <w:rPr>
          <w:lang w:val="es-ES_tradnl"/>
        </w:rPr>
        <w:t xml:space="preserve">Declaración </w:t>
      </w:r>
      <w:r w:rsidRPr="00996C21">
        <w:rPr>
          <w:lang w:val="es-ES_tradnl"/>
        </w:rPr>
        <w:t xml:space="preserve">de coordinación (Documento </w:t>
      </w:r>
      <w:hyperlink r:id="rId74" w:history="1">
        <w:r w:rsidRPr="00996C21">
          <w:rPr>
            <w:rStyle w:val="Hyperlink"/>
            <w:lang w:val="es-ES_tradnl"/>
          </w:rPr>
          <w:t>TD211</w:t>
        </w:r>
      </w:hyperlink>
      <w:r w:rsidRPr="00996C21">
        <w:rPr>
          <w:lang w:val="es-ES_tradnl"/>
        </w:rPr>
        <w:t>) en materia de coordinación intersectorial en la UIT al ISCT, al GADT, a las CE del UIT-D, al GAR, a las CE del UIT-R y a todas las CE del UIT-T.</w:t>
      </w:r>
    </w:p>
    <w:p w:rsidR="001D156E" w:rsidRPr="00996C21" w:rsidRDefault="001D156E" w:rsidP="001D156E">
      <w:pPr>
        <w:pStyle w:val="Heading2"/>
        <w:rPr>
          <w:lang w:val="es-ES_tradnl"/>
        </w:rPr>
      </w:pPr>
      <w:bookmarkStart w:id="205" w:name="_Toc516061211"/>
      <w:r w:rsidRPr="00996C21">
        <w:rPr>
          <w:lang w:val="es-ES_tradnl"/>
        </w:rPr>
        <w:t>21.5</w:t>
      </w:r>
      <w:r w:rsidRPr="00996C21">
        <w:rPr>
          <w:lang w:val="es-ES_tradnl"/>
        </w:rPr>
        <w:tab/>
        <w:t>Grupo de Relator del GANT sobre el Plan Estratégico y el Plan Operacional (GR</w:t>
      </w:r>
      <w:r w:rsidRPr="00996C21">
        <w:rPr>
          <w:lang w:val="es-ES_tradnl"/>
        </w:rPr>
        <w:noBreakHyphen/>
        <w:t>SOP)</w:t>
      </w:r>
      <w:bookmarkEnd w:id="205"/>
    </w:p>
    <w:p w:rsidR="001D156E" w:rsidRPr="00996C21" w:rsidRDefault="001D156E" w:rsidP="00C93039">
      <w:pPr>
        <w:rPr>
          <w:lang w:val="es-ES_tradnl"/>
        </w:rPr>
      </w:pPr>
      <w:r w:rsidRPr="00996C21">
        <w:rPr>
          <w:lang w:val="es-ES_tradnl"/>
        </w:rPr>
        <w:t>21.5.1</w:t>
      </w:r>
      <w:r w:rsidRPr="00996C21">
        <w:rPr>
          <w:lang w:val="es-ES_tradnl"/>
        </w:rPr>
        <w:tab/>
        <w:t xml:space="preserve">El Relator del GR-SOP, el Sr. Víctor Martínez Vanegas (México), presentó el </w:t>
      </w:r>
      <w:r w:rsidR="00C93039" w:rsidRPr="00996C21">
        <w:rPr>
          <w:lang w:val="es-ES_tradnl"/>
        </w:rPr>
        <w:t xml:space="preserve">Informe </w:t>
      </w:r>
      <w:r w:rsidRPr="00996C21">
        <w:rPr>
          <w:lang w:val="es-ES_tradnl"/>
        </w:rPr>
        <w:t xml:space="preserve">del </w:t>
      </w:r>
      <w:r w:rsidR="00C93039" w:rsidRPr="00996C21">
        <w:rPr>
          <w:lang w:val="es-ES_tradnl"/>
        </w:rPr>
        <w:t xml:space="preserve">Grupo </w:t>
      </w:r>
      <w:r w:rsidRPr="00996C21">
        <w:rPr>
          <w:lang w:val="es-ES_tradnl"/>
        </w:rPr>
        <w:t xml:space="preserve">(Documento </w:t>
      </w:r>
      <w:hyperlink r:id="rId75" w:history="1">
        <w:r w:rsidRPr="00996C21">
          <w:rPr>
            <w:rStyle w:val="Hyperlink"/>
            <w:lang w:val="es-ES_tradnl"/>
          </w:rPr>
          <w:t>TD131</w:t>
        </w:r>
      </w:hyperlink>
      <w:r w:rsidRPr="00996C21">
        <w:rPr>
          <w:lang w:val="es-ES_tradnl"/>
        </w:rPr>
        <w:t>), de cual tomó nota el GANT.</w:t>
      </w:r>
    </w:p>
    <w:p w:rsidR="001D156E" w:rsidRPr="00996C21" w:rsidRDefault="001D156E" w:rsidP="001D156E">
      <w:pPr>
        <w:pStyle w:val="Heading2"/>
        <w:rPr>
          <w:lang w:val="es-ES_tradnl"/>
        </w:rPr>
      </w:pPr>
      <w:bookmarkStart w:id="206" w:name="_Toc516061212"/>
      <w:r w:rsidRPr="00996C21">
        <w:rPr>
          <w:lang w:val="es-ES_tradnl"/>
        </w:rPr>
        <w:lastRenderedPageBreak/>
        <w:t>21.6</w:t>
      </w:r>
      <w:r w:rsidRPr="00996C21">
        <w:rPr>
          <w:lang w:val="es-ES_tradnl"/>
        </w:rPr>
        <w:tab/>
        <w:t>Grupo de Relator del GANT sobre el examen de las Resoluciones de la AMNT (GR</w:t>
      </w:r>
      <w:r w:rsidRPr="00996C21">
        <w:rPr>
          <w:lang w:val="es-ES_tradnl"/>
        </w:rPr>
        <w:noBreakHyphen/>
        <w:t>ResReview)</w:t>
      </w:r>
      <w:bookmarkEnd w:id="206"/>
    </w:p>
    <w:p w:rsidR="00F323AC" w:rsidRPr="00996C21" w:rsidRDefault="00F323AC" w:rsidP="002235E8">
      <w:pPr>
        <w:rPr>
          <w:lang w:val="es-ES_tradnl"/>
        </w:rPr>
      </w:pPr>
      <w:bookmarkStart w:id="207" w:name="lt_pId228"/>
      <w:r w:rsidRPr="00996C21">
        <w:rPr>
          <w:lang w:val="es-ES_tradnl"/>
        </w:rPr>
        <w:t>21.6.1</w:t>
      </w:r>
      <w:r w:rsidRPr="00996C21">
        <w:rPr>
          <w:lang w:val="es-ES_tradnl"/>
        </w:rPr>
        <w:tab/>
        <w:t xml:space="preserve">El Relator del GR-ResReview, el Sr. Vladimir Minkin (Federación de Rusia), presentó el </w:t>
      </w:r>
      <w:r w:rsidR="002235E8" w:rsidRPr="00996C21">
        <w:rPr>
          <w:lang w:val="es-ES_tradnl"/>
        </w:rPr>
        <w:t xml:space="preserve">Informe </w:t>
      </w:r>
      <w:r w:rsidRPr="00996C21">
        <w:rPr>
          <w:lang w:val="es-ES_tradnl"/>
        </w:rPr>
        <w:t xml:space="preserve">del </w:t>
      </w:r>
      <w:r w:rsidR="002235E8" w:rsidRPr="00996C21">
        <w:rPr>
          <w:lang w:val="es-ES_tradnl"/>
        </w:rPr>
        <w:t xml:space="preserve">Grupo </w:t>
      </w:r>
      <w:r w:rsidRPr="00996C21">
        <w:rPr>
          <w:lang w:val="es-ES_tradnl"/>
        </w:rPr>
        <w:t xml:space="preserve">en el Documento </w:t>
      </w:r>
      <w:hyperlink r:id="rId76" w:history="1">
        <w:r w:rsidRPr="00996C21">
          <w:rPr>
            <w:rStyle w:val="Hyperlink"/>
            <w:lang w:val="es-ES_tradnl"/>
          </w:rPr>
          <w:t>TD-245</w:t>
        </w:r>
      </w:hyperlink>
      <w:r w:rsidRPr="00996C21">
        <w:rPr>
          <w:lang w:val="es-ES_tradnl"/>
        </w:rPr>
        <w:t>, del que tomó nota el GANT.</w:t>
      </w:r>
      <w:bookmarkEnd w:id="207"/>
    </w:p>
    <w:p w:rsidR="00F323AC" w:rsidRPr="00996C21" w:rsidRDefault="00F323AC" w:rsidP="006E3FAF">
      <w:pPr>
        <w:rPr>
          <w:lang w:val="es-ES_tradnl"/>
        </w:rPr>
      </w:pPr>
      <w:bookmarkStart w:id="208" w:name="lt_pId229"/>
      <w:r w:rsidRPr="00996C21">
        <w:rPr>
          <w:lang w:val="es-ES_tradnl"/>
        </w:rPr>
        <w:t>21.6.2</w:t>
      </w:r>
      <w:r w:rsidRPr="00996C21">
        <w:rPr>
          <w:lang w:val="es-ES_tradnl"/>
        </w:rPr>
        <w:tab/>
        <w:t xml:space="preserve">El GANT ratificó el mandato revisado del GR-ResReview (véase el </w:t>
      </w:r>
      <w:hyperlink w:anchor="anexo_b" w:history="1">
        <w:r w:rsidRPr="00996C21">
          <w:rPr>
            <w:rStyle w:val="Hyperlink"/>
            <w:lang w:val="es-ES_tradnl"/>
          </w:rPr>
          <w:t>Anexo B</w:t>
        </w:r>
      </w:hyperlink>
      <w:r w:rsidRPr="00996C21">
        <w:rPr>
          <w:lang w:val="es-ES_tradnl"/>
        </w:rPr>
        <w:t xml:space="preserve"> del presente </w:t>
      </w:r>
      <w:r w:rsidR="006E3FAF" w:rsidRPr="00996C21">
        <w:rPr>
          <w:lang w:val="es-ES_tradnl"/>
        </w:rPr>
        <w:t>Informe</w:t>
      </w:r>
      <w:r w:rsidRPr="00996C21">
        <w:rPr>
          <w:lang w:val="es-ES_tradnl"/>
        </w:rPr>
        <w:t>).</w:t>
      </w:r>
      <w:bookmarkEnd w:id="208"/>
    </w:p>
    <w:p w:rsidR="00F323AC" w:rsidRPr="00996C21" w:rsidRDefault="00F323AC" w:rsidP="006E3FAF">
      <w:pPr>
        <w:rPr>
          <w:lang w:val="es-ES_tradnl"/>
        </w:rPr>
      </w:pPr>
      <w:bookmarkStart w:id="209" w:name="lt_pId230"/>
      <w:r w:rsidRPr="00996C21">
        <w:rPr>
          <w:lang w:val="es-ES_tradnl"/>
        </w:rPr>
        <w:t>21.6.3</w:t>
      </w:r>
      <w:r w:rsidRPr="00996C21">
        <w:rPr>
          <w:lang w:val="es-ES_tradnl"/>
        </w:rPr>
        <w:tab/>
        <w:t>El GANT autorizó al GR-ResReview a celebrar una reunión electrónica provisional si las contribuciones se presentaban antes de la fecha límite (1 de junio de 2018) sobre el alcance de ese Grupo de Relator.</w:t>
      </w:r>
      <w:bookmarkEnd w:id="209"/>
    </w:p>
    <w:p w:rsidR="00644DA8" w:rsidRPr="00996C21" w:rsidRDefault="00644DA8" w:rsidP="00644DA8">
      <w:pPr>
        <w:pStyle w:val="Heading1"/>
        <w:rPr>
          <w:lang w:val="es-ES_tradnl"/>
        </w:rPr>
      </w:pPr>
      <w:bookmarkStart w:id="210" w:name="_Toc516061213"/>
      <w:r w:rsidRPr="00996C21">
        <w:rPr>
          <w:lang w:val="es-ES_tradnl"/>
        </w:rPr>
        <w:t>22</w:t>
      </w:r>
      <w:r w:rsidRPr="00996C21">
        <w:rPr>
          <w:lang w:val="es-ES_tradnl"/>
        </w:rPr>
        <w:tab/>
        <w:t>Fecha de las próximas reuniones del GANT y calendario de reuniones del UIT-T</w:t>
      </w:r>
      <w:bookmarkEnd w:id="210"/>
    </w:p>
    <w:p w:rsidR="00F323AC" w:rsidRPr="00996C21" w:rsidRDefault="00644DA8" w:rsidP="00784CE6">
      <w:pPr>
        <w:rPr>
          <w:lang w:val="es-ES_tradnl"/>
        </w:rPr>
      </w:pPr>
      <w:r w:rsidRPr="00996C21">
        <w:rPr>
          <w:lang w:val="es-ES_tradnl"/>
        </w:rPr>
        <w:t>22.1</w:t>
      </w:r>
      <w:r w:rsidRPr="00996C21">
        <w:rPr>
          <w:lang w:val="es-ES_tradnl"/>
        </w:rPr>
        <w:tab/>
        <w:t xml:space="preserve">La TSB preparó el Documento </w:t>
      </w:r>
      <w:hyperlink r:id="rId77" w:history="1">
        <w:r w:rsidRPr="00996C21">
          <w:rPr>
            <w:rStyle w:val="Hyperlink"/>
            <w:lang w:val="es-ES_tradnl"/>
          </w:rPr>
          <w:t>TD144</w:t>
        </w:r>
      </w:hyperlink>
      <w:r w:rsidRPr="00996C21">
        <w:rPr>
          <w:lang w:val="es-ES_tradnl"/>
        </w:rPr>
        <w:t xml:space="preserve"> en el que se esboza un calendario preliminar de las reuniones del UIT-T en 2018. </w:t>
      </w:r>
      <w:bookmarkStart w:id="211" w:name="lt_pId233"/>
      <w:r w:rsidRPr="00996C21">
        <w:rPr>
          <w:lang w:val="es-ES_tradnl"/>
        </w:rPr>
        <w:t>Algunas cuestiones se definieron y actualizaron en el Documento</w:t>
      </w:r>
      <w:r w:rsidR="00784CE6" w:rsidRPr="00996C21">
        <w:rPr>
          <w:lang w:val="es-ES_tradnl"/>
        </w:rPr>
        <w:t> </w:t>
      </w:r>
      <w:hyperlink r:id="rId78" w:history="1">
        <w:r w:rsidRPr="00996C21">
          <w:rPr>
            <w:rStyle w:val="Hyperlink"/>
            <w:lang w:val="es-ES_tradnl"/>
          </w:rPr>
          <w:t>TD144-R1</w:t>
        </w:r>
      </w:hyperlink>
      <w:r w:rsidRPr="00996C21">
        <w:rPr>
          <w:lang w:val="es-ES_tradnl"/>
        </w:rPr>
        <w:t>.</w:t>
      </w:r>
      <w:bookmarkEnd w:id="211"/>
    </w:p>
    <w:p w:rsidR="007C533B" w:rsidRPr="00996C21" w:rsidRDefault="007C533B" w:rsidP="00637186">
      <w:pPr>
        <w:rPr>
          <w:lang w:val="es-ES_tradnl"/>
        </w:rPr>
      </w:pPr>
      <w:bookmarkStart w:id="212" w:name="lt_pId234"/>
      <w:r w:rsidRPr="00996C21">
        <w:rPr>
          <w:lang w:val="es-ES_tradnl"/>
        </w:rPr>
        <w:t>22.2</w:t>
      </w:r>
      <w:r w:rsidRPr="00996C21">
        <w:rPr>
          <w:lang w:val="es-ES_tradnl"/>
        </w:rPr>
        <w:tab/>
        <w:t xml:space="preserve">En la última columna del cuadro del </w:t>
      </w:r>
      <w:hyperlink w:anchor="anexo_a" w:history="1">
        <w:r w:rsidRPr="00996C21">
          <w:rPr>
            <w:rStyle w:val="Hyperlink"/>
            <w:lang w:val="es-ES_tradnl"/>
          </w:rPr>
          <w:t>Anexo A</w:t>
        </w:r>
      </w:hyperlink>
      <w:r w:rsidRPr="00996C21">
        <w:rPr>
          <w:lang w:val="es-ES_tradnl"/>
        </w:rPr>
        <w:t xml:space="preserve"> figura un resumen de las reuniones provisionales previstas para los Grupos de Relator del GANT.</w:t>
      </w:r>
      <w:bookmarkEnd w:id="212"/>
    </w:p>
    <w:p w:rsidR="007C533B" w:rsidRPr="00996C21" w:rsidRDefault="007C533B" w:rsidP="00406389">
      <w:pPr>
        <w:rPr>
          <w:lang w:val="es-ES_tradnl"/>
        </w:rPr>
      </w:pPr>
      <w:bookmarkStart w:id="213" w:name="lt_pId235"/>
      <w:r w:rsidRPr="00996C21">
        <w:rPr>
          <w:lang w:val="es-ES_tradnl"/>
        </w:rPr>
        <w:t>22.3</w:t>
      </w:r>
      <w:r w:rsidRPr="00996C21">
        <w:rPr>
          <w:lang w:val="es-ES_tradnl"/>
        </w:rPr>
        <w:tab/>
        <w:t>Se señaló que la próxima reunión del GANT no debería entrar en conflicto con otras reuniones importantes de la UIT, ni celebrarse en paralelo a otros acontecimientos importantes en Ginebra.</w:t>
      </w:r>
      <w:bookmarkEnd w:id="213"/>
    </w:p>
    <w:p w:rsidR="007C533B" w:rsidRPr="00996C21" w:rsidRDefault="007C533B" w:rsidP="00406389">
      <w:pPr>
        <w:rPr>
          <w:lang w:val="es-ES_tradnl"/>
        </w:rPr>
      </w:pPr>
      <w:bookmarkStart w:id="214" w:name="lt_pId236"/>
      <w:r w:rsidRPr="00996C21">
        <w:rPr>
          <w:lang w:val="es-ES_tradnl"/>
        </w:rPr>
        <w:t>22.4</w:t>
      </w:r>
      <w:r w:rsidRPr="00996C21">
        <w:rPr>
          <w:lang w:val="es-ES_tradnl"/>
        </w:rPr>
        <w:tab/>
        <w:t xml:space="preserve">Algunos relatores del GANT informaron al </w:t>
      </w:r>
      <w:r w:rsidR="00406389" w:rsidRPr="00996C21">
        <w:rPr>
          <w:lang w:val="es-ES_tradnl"/>
        </w:rPr>
        <w:t xml:space="preserve">Grupo </w:t>
      </w:r>
      <w:r w:rsidRPr="00996C21">
        <w:rPr>
          <w:lang w:val="es-ES_tradnl"/>
        </w:rPr>
        <w:t>de su falta de disponibilidad en caso de que su próxima reunión se trasladase a enero de 2019.</w:t>
      </w:r>
      <w:bookmarkEnd w:id="214"/>
    </w:p>
    <w:p w:rsidR="007C533B" w:rsidRPr="00996C21" w:rsidRDefault="007C533B" w:rsidP="00406389">
      <w:pPr>
        <w:rPr>
          <w:lang w:val="es-ES_tradnl"/>
        </w:rPr>
      </w:pPr>
      <w:bookmarkStart w:id="215" w:name="lt_pId237"/>
      <w:r w:rsidRPr="00996C21">
        <w:rPr>
          <w:lang w:val="es-ES_tradnl"/>
        </w:rPr>
        <w:t>22.5</w:t>
      </w:r>
      <w:r w:rsidRPr="00996C21">
        <w:rPr>
          <w:lang w:val="es-ES_tradnl"/>
        </w:rPr>
        <w:tab/>
        <w:t>El GANT pidió al Director de la TSB y a la TSB que encontraran una solución aceptable para la próxima reunión del GANT.</w:t>
      </w:r>
      <w:bookmarkEnd w:id="215"/>
    </w:p>
    <w:p w:rsidR="007C533B" w:rsidRPr="00996C21" w:rsidRDefault="007C533B" w:rsidP="00406389">
      <w:pPr>
        <w:rPr>
          <w:lang w:val="es-ES_tradnl"/>
        </w:rPr>
      </w:pPr>
      <w:bookmarkStart w:id="216" w:name="lt_pId238"/>
      <w:r w:rsidRPr="00996C21">
        <w:rPr>
          <w:lang w:val="es-ES_tradnl"/>
        </w:rPr>
        <w:t>22.6</w:t>
      </w:r>
      <w:r w:rsidRPr="00996C21">
        <w:rPr>
          <w:lang w:val="es-ES_tradnl"/>
        </w:rPr>
        <w:tab/>
        <w:t>El Japón planteó la cuestión de que las reuniones del Grupo</w:t>
      </w:r>
      <w:r w:rsidR="00406389" w:rsidRPr="00996C21">
        <w:rPr>
          <w:lang w:val="es-ES_tradnl"/>
        </w:rPr>
        <w:t xml:space="preserve"> de Relator de la CE 11 y la CE </w:t>
      </w:r>
      <w:r w:rsidRPr="00996C21">
        <w:rPr>
          <w:lang w:val="es-ES_tradnl"/>
        </w:rPr>
        <w:t xml:space="preserve">13 (22 de octubre </w:t>
      </w:r>
      <w:r w:rsidR="00406389" w:rsidRPr="00996C21">
        <w:rPr>
          <w:lang w:val="es-ES_tradnl"/>
        </w:rPr>
        <w:t>–</w:t>
      </w:r>
      <w:r w:rsidRPr="00996C21">
        <w:rPr>
          <w:lang w:val="es-ES_tradnl"/>
        </w:rPr>
        <w:t xml:space="preserve"> 2 de noviembre de 2018) aún no han sido confirmadas debido a la superposición con la reunión de la CJK del 24 y 25 de octubre de 2018 en el país y pidió a la TSB que encontrara una solución mejor.</w:t>
      </w:r>
      <w:bookmarkEnd w:id="216"/>
    </w:p>
    <w:p w:rsidR="007C533B" w:rsidRPr="00996C21" w:rsidRDefault="00574FA8" w:rsidP="007C533B">
      <w:pPr>
        <w:pStyle w:val="Heading1"/>
        <w:rPr>
          <w:lang w:val="es-ES_tradnl"/>
        </w:rPr>
      </w:pPr>
      <w:bookmarkStart w:id="217" w:name="lt_pId239"/>
      <w:bookmarkStart w:id="218" w:name="_Toc508133743"/>
      <w:bookmarkStart w:id="219" w:name="_Toc516061214"/>
      <w:r w:rsidRPr="00996C21">
        <w:rPr>
          <w:lang w:val="es-ES_tradnl"/>
        </w:rPr>
        <w:t>23</w:t>
      </w:r>
      <w:r w:rsidR="003E7C0B" w:rsidRPr="00996C21">
        <w:rPr>
          <w:lang w:val="es-ES_tradnl"/>
        </w:rPr>
        <w:tab/>
      </w:r>
      <w:r w:rsidR="007C533B" w:rsidRPr="00996C21">
        <w:rPr>
          <w:lang w:val="es-ES_tradnl"/>
        </w:rPr>
        <w:t>Nombramiento de representantes de coordinación</w:t>
      </w:r>
      <w:bookmarkEnd w:id="217"/>
      <w:bookmarkEnd w:id="218"/>
      <w:bookmarkEnd w:id="219"/>
    </w:p>
    <w:p w:rsidR="007C533B" w:rsidRPr="00996C21" w:rsidRDefault="007C533B" w:rsidP="00574FA8">
      <w:pPr>
        <w:rPr>
          <w:lang w:val="es-ES_tradnl"/>
        </w:rPr>
      </w:pPr>
      <w:bookmarkStart w:id="220" w:name="lt_pId240"/>
      <w:r w:rsidRPr="00996C21">
        <w:rPr>
          <w:lang w:val="es-ES_tradnl"/>
        </w:rPr>
        <w:t>23.1</w:t>
      </w:r>
      <w:r w:rsidRPr="00996C21">
        <w:rPr>
          <w:lang w:val="es-ES_tradnl"/>
        </w:rPr>
        <w:tab/>
        <w:t xml:space="preserve">El GANT nombró al Sr. Shigeru Miyake (Hitachi, Japón) coordinador </w:t>
      </w:r>
      <w:r w:rsidR="00A55180" w:rsidRPr="00996C21">
        <w:rPr>
          <w:lang w:val="es-ES_tradnl"/>
        </w:rPr>
        <w:t>para</w:t>
      </w:r>
      <w:r w:rsidRPr="00996C21">
        <w:rPr>
          <w:lang w:val="es-ES_tradnl"/>
        </w:rPr>
        <w:t xml:space="preserve"> ISO/CEI JTC 1 y al Sr. Yoichi Maeda (Japón) representante para CEI/CE</w:t>
      </w:r>
      <w:r w:rsidR="00574FA8" w:rsidRPr="00996C21">
        <w:rPr>
          <w:lang w:val="es-ES_tradnl"/>
        </w:rPr>
        <w:t> </w:t>
      </w:r>
      <w:r w:rsidRPr="00996C21">
        <w:rPr>
          <w:lang w:val="es-ES_tradnl"/>
        </w:rPr>
        <w:t>11 y el Grupo Especial Mixto CEI/ISO/UIT-T sobre colaboración efectiva (JTFEC).</w:t>
      </w:r>
      <w:bookmarkEnd w:id="220"/>
    </w:p>
    <w:p w:rsidR="007C533B" w:rsidRPr="00996C21" w:rsidRDefault="007C533B" w:rsidP="00574FA8">
      <w:pPr>
        <w:rPr>
          <w:lang w:val="es-ES_tradnl"/>
        </w:rPr>
      </w:pPr>
      <w:bookmarkStart w:id="221" w:name="lt_pId241"/>
      <w:r w:rsidRPr="00996C21">
        <w:rPr>
          <w:lang w:val="es-ES_tradnl"/>
        </w:rPr>
        <w:t>23.2</w:t>
      </w:r>
      <w:r w:rsidRPr="00996C21">
        <w:rPr>
          <w:lang w:val="es-ES_tradnl"/>
        </w:rPr>
        <w:tab/>
        <w:t>Previa solicitud del GR-SC del GANT, el GANT nombró a dos representantes más para ISO/CEI/UIT-T JTFEC:</w:t>
      </w:r>
      <w:bookmarkEnd w:id="221"/>
      <w:r w:rsidRPr="00996C21">
        <w:rPr>
          <w:lang w:val="es-ES_tradnl"/>
        </w:rPr>
        <w:t xml:space="preserve"> </w:t>
      </w:r>
      <w:bookmarkStart w:id="222" w:name="lt_pId242"/>
      <w:r w:rsidR="00A55180" w:rsidRPr="00996C21">
        <w:rPr>
          <w:lang w:val="es-ES_tradnl"/>
        </w:rPr>
        <w:t>l</w:t>
      </w:r>
      <w:r w:rsidRPr="00996C21">
        <w:rPr>
          <w:lang w:val="es-ES_tradnl"/>
        </w:rPr>
        <w:t>a Sra. Gaelle Martin-Cocher (Blackberry, Canadá) y el Sr. Ajit Jillavenkatesa (Estados Unidos).</w:t>
      </w:r>
      <w:bookmarkEnd w:id="222"/>
    </w:p>
    <w:p w:rsidR="007C533B" w:rsidRPr="00996C21" w:rsidRDefault="007C533B" w:rsidP="00574FA8">
      <w:pPr>
        <w:rPr>
          <w:lang w:val="es-ES_tradnl"/>
        </w:rPr>
      </w:pPr>
      <w:bookmarkStart w:id="223" w:name="lt_pId243"/>
      <w:r w:rsidRPr="00996C21">
        <w:rPr>
          <w:lang w:val="es-ES_tradnl"/>
        </w:rPr>
        <w:t>23.3</w:t>
      </w:r>
      <w:r w:rsidR="00A55180" w:rsidRPr="00996C21">
        <w:rPr>
          <w:lang w:val="es-ES_tradnl"/>
        </w:rPr>
        <w:tab/>
      </w:r>
      <w:r w:rsidRPr="00996C21">
        <w:rPr>
          <w:lang w:val="es-ES_tradnl"/>
        </w:rPr>
        <w:t>El GANT solicitó que el Director de la TSB siguiera prestando apoyo a esa oficina en la actividad del JTFEC.</w:t>
      </w:r>
      <w:bookmarkEnd w:id="223"/>
    </w:p>
    <w:p w:rsidR="00F323AC" w:rsidRPr="00996C21" w:rsidRDefault="00AC0E9C" w:rsidP="00AB7430">
      <w:pPr>
        <w:pStyle w:val="Heading1"/>
        <w:rPr>
          <w:lang w:val="es-ES_tradnl"/>
        </w:rPr>
      </w:pPr>
      <w:bookmarkStart w:id="224" w:name="_Toc516061215"/>
      <w:r w:rsidRPr="00996C21">
        <w:rPr>
          <w:lang w:val="es-ES_tradnl"/>
        </w:rPr>
        <w:t>24</w:t>
      </w:r>
      <w:r w:rsidR="003E7C0B" w:rsidRPr="00996C21">
        <w:rPr>
          <w:lang w:val="es-ES_tradnl"/>
        </w:rPr>
        <w:tab/>
      </w:r>
      <w:r w:rsidR="00AB7430" w:rsidRPr="00996C21">
        <w:rPr>
          <w:lang w:val="es-ES_tradnl"/>
        </w:rPr>
        <w:t>Otros asuntos</w:t>
      </w:r>
      <w:bookmarkEnd w:id="224"/>
    </w:p>
    <w:p w:rsidR="00AB7430" w:rsidRPr="00996C21" w:rsidRDefault="00AB7430" w:rsidP="00AB7430">
      <w:pPr>
        <w:rPr>
          <w:lang w:val="es-ES_tradnl"/>
        </w:rPr>
      </w:pPr>
      <w:r w:rsidRPr="00996C21">
        <w:rPr>
          <w:lang w:val="es-ES_tradnl"/>
        </w:rPr>
        <w:t>Ninguno.</w:t>
      </w:r>
    </w:p>
    <w:p w:rsidR="00AB7430" w:rsidRPr="00996C21" w:rsidRDefault="00AB7430" w:rsidP="00AB7430">
      <w:pPr>
        <w:pStyle w:val="Heading1"/>
        <w:rPr>
          <w:lang w:val="es-ES_tradnl"/>
        </w:rPr>
      </w:pPr>
      <w:bookmarkStart w:id="225" w:name="_Toc516061216"/>
      <w:r w:rsidRPr="00996C21">
        <w:rPr>
          <w:lang w:val="es-ES_tradnl"/>
        </w:rPr>
        <w:lastRenderedPageBreak/>
        <w:t>25</w:t>
      </w:r>
      <w:r w:rsidRPr="00996C21">
        <w:rPr>
          <w:lang w:val="es-ES_tradnl"/>
        </w:rPr>
        <w:tab/>
        <w:t>Examen del proyecto de Informe de la reunión</w:t>
      </w:r>
      <w:bookmarkEnd w:id="225"/>
    </w:p>
    <w:p w:rsidR="00AB7430" w:rsidRPr="00996C21" w:rsidRDefault="00AB7430" w:rsidP="006902C8">
      <w:pPr>
        <w:rPr>
          <w:lang w:val="es-ES_tradnl"/>
        </w:rPr>
      </w:pPr>
      <w:r w:rsidRPr="00996C21">
        <w:rPr>
          <w:lang w:val="es-ES_tradnl"/>
        </w:rPr>
        <w:t xml:space="preserve">El presidente del GANT informó al </w:t>
      </w:r>
      <w:r w:rsidR="006902C8" w:rsidRPr="00996C21">
        <w:rPr>
          <w:lang w:val="es-ES_tradnl"/>
        </w:rPr>
        <w:t xml:space="preserve">Grupo </w:t>
      </w:r>
      <w:r w:rsidRPr="00996C21">
        <w:rPr>
          <w:lang w:val="es-ES_tradnl"/>
        </w:rPr>
        <w:t xml:space="preserve">de que sería posible descargarse un proyecto del </w:t>
      </w:r>
      <w:r w:rsidR="006902C8" w:rsidRPr="00996C21">
        <w:rPr>
          <w:lang w:val="es-ES_tradnl"/>
        </w:rPr>
        <w:t xml:space="preserve">Informe </w:t>
      </w:r>
      <w:r w:rsidRPr="00996C21">
        <w:rPr>
          <w:lang w:val="es-ES_tradnl"/>
        </w:rPr>
        <w:t xml:space="preserve">de la reunión en las próximas dos semanas. El </w:t>
      </w:r>
      <w:r w:rsidR="006902C8" w:rsidRPr="00996C21">
        <w:rPr>
          <w:lang w:val="es-ES_tradnl"/>
        </w:rPr>
        <w:t xml:space="preserve">Informe </w:t>
      </w:r>
      <w:r w:rsidRPr="00996C21">
        <w:rPr>
          <w:lang w:val="es-ES_tradnl"/>
        </w:rPr>
        <w:t>se podría revisar y comentar durante otras dos semanas.</w:t>
      </w:r>
    </w:p>
    <w:p w:rsidR="00AB7430" w:rsidRPr="00996C21" w:rsidRDefault="00AB7430" w:rsidP="00AB7430">
      <w:pPr>
        <w:pStyle w:val="Heading1"/>
        <w:rPr>
          <w:lang w:val="es-ES_tradnl"/>
        </w:rPr>
      </w:pPr>
      <w:bookmarkStart w:id="226" w:name="_Toc516061217"/>
      <w:r w:rsidRPr="00996C21">
        <w:rPr>
          <w:lang w:val="es-ES_tradnl"/>
        </w:rPr>
        <w:t>26</w:t>
      </w:r>
      <w:r w:rsidRPr="00996C21">
        <w:rPr>
          <w:lang w:val="es-ES_tradnl"/>
        </w:rPr>
        <w:tab/>
        <w:t>Clausura de la reunión</w:t>
      </w:r>
      <w:bookmarkEnd w:id="226"/>
    </w:p>
    <w:p w:rsidR="00AB7430" w:rsidRPr="00996C21" w:rsidRDefault="00AB7430" w:rsidP="006902C8">
      <w:pPr>
        <w:rPr>
          <w:lang w:val="es-ES_tradnl"/>
        </w:rPr>
      </w:pPr>
      <w:r w:rsidRPr="00996C21">
        <w:rPr>
          <w:lang w:val="es-ES_tradnl"/>
        </w:rPr>
        <w:t>26.1</w:t>
      </w:r>
      <w:r w:rsidRPr="00996C21">
        <w:rPr>
          <w:lang w:val="es-ES_tradnl"/>
        </w:rPr>
        <w:tab/>
        <w:t>El Director de la TSB agradeció al Sr. Minkin su actuación como Presidente esa semana y a todos los participantes sus contribuciones. Señaló que se habían realizado avances importantes en la reunión, la cual se desarroll</w:t>
      </w:r>
      <w:r w:rsidR="002D05FE" w:rsidRPr="00996C21">
        <w:rPr>
          <w:lang w:val="es-ES_tradnl"/>
        </w:rPr>
        <w:t>ó</w:t>
      </w:r>
      <w:r w:rsidRPr="00996C21">
        <w:rPr>
          <w:lang w:val="es-ES_tradnl"/>
        </w:rPr>
        <w:t xml:space="preserve"> en una atmósfera amigable. Subrayó la importancia de la Conferencia de Plenipotenciarios del presente año para el futuro del UIT-T y la TSB.</w:t>
      </w:r>
    </w:p>
    <w:p w:rsidR="00AB7430" w:rsidRPr="00996C21" w:rsidRDefault="00AB7430" w:rsidP="006902C8">
      <w:pPr>
        <w:rPr>
          <w:lang w:val="es-ES_tradnl"/>
        </w:rPr>
      </w:pPr>
      <w:r w:rsidRPr="00996C21">
        <w:rPr>
          <w:lang w:val="es-ES_tradnl"/>
        </w:rPr>
        <w:t>26.2</w:t>
      </w:r>
      <w:r w:rsidRPr="00996C21">
        <w:rPr>
          <w:lang w:val="es-ES_tradnl"/>
        </w:rPr>
        <w:tab/>
        <w:t>El Presidente en funciones del GANT dio las gracias al Sr. Bruce Gracie y le deseo a su familia todo lo mejor y a continuación dio las gracias a los Vicepresidentes del GANT, a los Relatores y Relatores Asociados, a los Presidentes de las Comisiones de Estudio, a los delegados por su exitoso trabajo, a la TSB, a los intérpretes y encargados del subtitulado por su apoyo y trabajo.</w:t>
      </w:r>
    </w:p>
    <w:p w:rsidR="00AB7430" w:rsidRPr="00996C21" w:rsidRDefault="00AB7430" w:rsidP="006902C8">
      <w:pPr>
        <w:rPr>
          <w:lang w:val="es-ES_tradnl"/>
        </w:rPr>
      </w:pPr>
      <w:r w:rsidRPr="00996C21">
        <w:rPr>
          <w:lang w:val="es-ES_tradnl"/>
        </w:rPr>
        <w:t>26.2</w:t>
      </w:r>
      <w:r w:rsidRPr="00996C21">
        <w:rPr>
          <w:lang w:val="es-ES_tradnl"/>
        </w:rPr>
        <w:tab/>
        <w:t>La reunión del GANT se clausuró</w:t>
      </w:r>
      <w:r w:rsidR="00D87114" w:rsidRPr="00996C21">
        <w:rPr>
          <w:lang w:val="es-ES_tradnl"/>
        </w:rPr>
        <w:t xml:space="preserve"> el 2 de marzo de 2018 a las 15.</w:t>
      </w:r>
      <w:r w:rsidRPr="00996C21">
        <w:rPr>
          <w:lang w:val="es-ES_tradnl"/>
        </w:rPr>
        <w:t>42</w:t>
      </w:r>
      <w:r w:rsidR="00D87114" w:rsidRPr="00996C21">
        <w:rPr>
          <w:lang w:val="es-ES_tradnl"/>
        </w:rPr>
        <w:t xml:space="preserve"> horas</w:t>
      </w:r>
      <w:r w:rsidRPr="00996C21">
        <w:rPr>
          <w:lang w:val="es-ES_tradnl"/>
        </w:rPr>
        <w:t>.</w:t>
      </w:r>
    </w:p>
    <w:p w:rsidR="00AB7430" w:rsidRPr="00996C21" w:rsidRDefault="00AB7430">
      <w:pPr>
        <w:tabs>
          <w:tab w:val="clear" w:pos="794"/>
          <w:tab w:val="clear" w:pos="1191"/>
          <w:tab w:val="clear" w:pos="1588"/>
          <w:tab w:val="clear" w:pos="1985"/>
        </w:tabs>
        <w:overflowPunct/>
        <w:autoSpaceDE/>
        <w:autoSpaceDN/>
        <w:adjustRightInd/>
        <w:spacing w:before="0"/>
        <w:textAlignment w:val="auto"/>
        <w:rPr>
          <w:lang w:val="es-ES_tradnl"/>
        </w:rPr>
      </w:pPr>
      <w:r w:rsidRPr="00996C21">
        <w:rPr>
          <w:lang w:val="es-ES_tradnl"/>
        </w:rPr>
        <w:br w:type="page"/>
      </w:r>
    </w:p>
    <w:p w:rsidR="00A24B12" w:rsidRPr="00996C21" w:rsidRDefault="00A24B12" w:rsidP="00A24B12">
      <w:pPr>
        <w:pStyle w:val="AnnexNotitle"/>
        <w:spacing w:before="360" w:after="120"/>
        <w:rPr>
          <w:lang w:val="es-ES_tradnl"/>
        </w:rPr>
      </w:pPr>
      <w:bookmarkStart w:id="227" w:name="lt_pId486"/>
      <w:bookmarkStart w:id="228" w:name="_Toc485646537"/>
      <w:bookmarkStart w:id="229" w:name="_Toc488140347"/>
      <w:bookmarkStart w:id="230" w:name="_Toc516061218"/>
      <w:bookmarkStart w:id="231" w:name="anexo_a"/>
      <w:r w:rsidRPr="00996C21">
        <w:rPr>
          <w:lang w:val="es-ES_tradnl"/>
        </w:rPr>
        <w:lastRenderedPageBreak/>
        <w:t xml:space="preserve">Anexo </w:t>
      </w:r>
      <w:bookmarkEnd w:id="227"/>
      <w:r w:rsidRPr="00996C21">
        <w:rPr>
          <w:lang w:val="es-ES_tradnl"/>
        </w:rPr>
        <w:t>A</w:t>
      </w:r>
      <w:r w:rsidR="00234131" w:rsidRPr="00996C21">
        <w:rPr>
          <w:lang w:val="es-ES_tradnl"/>
        </w:rPr>
        <w:br/>
      </w:r>
      <w:r w:rsidRPr="00996C21">
        <w:rPr>
          <w:lang w:val="es-ES_tradnl"/>
        </w:rPr>
        <w:br/>
      </w:r>
      <w:bookmarkEnd w:id="228"/>
      <w:r w:rsidRPr="00996C21">
        <w:rPr>
          <w:lang w:val="es-ES_tradnl"/>
        </w:rPr>
        <w:t>Resumen de los resultados de los Grupos de Relator del GANT</w:t>
      </w:r>
      <w:bookmarkEnd w:id="229"/>
      <w:bookmarkEnd w:id="230"/>
    </w:p>
    <w:tbl>
      <w:tblPr>
        <w:tblStyle w:val="TableGrid"/>
        <w:tblW w:w="9634" w:type="dxa"/>
        <w:jc w:val="center"/>
        <w:tblLook w:val="04A0" w:firstRow="1" w:lastRow="0" w:firstColumn="1" w:lastColumn="0" w:noHBand="0" w:noVBand="1"/>
      </w:tblPr>
      <w:tblGrid>
        <w:gridCol w:w="1276"/>
        <w:gridCol w:w="1285"/>
        <w:gridCol w:w="3104"/>
        <w:gridCol w:w="3969"/>
      </w:tblGrid>
      <w:tr w:rsidR="00A24B12" w:rsidRPr="00996C21" w:rsidTr="001835B9">
        <w:trPr>
          <w:cantSplit/>
          <w:tblHeader/>
          <w:jc w:val="center"/>
        </w:trPr>
        <w:tc>
          <w:tcPr>
            <w:tcW w:w="1276" w:type="dxa"/>
            <w:shd w:val="clear" w:color="auto" w:fill="auto"/>
            <w:vAlign w:val="center"/>
          </w:tcPr>
          <w:p w:rsidR="00A24B12" w:rsidRPr="00996C21" w:rsidRDefault="00A24B12" w:rsidP="005568B6">
            <w:pPr>
              <w:pStyle w:val="Tablehead"/>
              <w:spacing w:before="40" w:after="40"/>
              <w:rPr>
                <w:lang w:val="es-ES_tradnl"/>
              </w:rPr>
            </w:pPr>
            <w:bookmarkStart w:id="232" w:name="lt_pId488"/>
            <w:bookmarkEnd w:id="231"/>
            <w:r w:rsidRPr="00996C21">
              <w:rPr>
                <w:lang w:val="es-ES_tradnl"/>
              </w:rPr>
              <w:t>Grup</w:t>
            </w:r>
            <w:bookmarkEnd w:id="232"/>
            <w:r w:rsidRPr="00996C21">
              <w:rPr>
                <w:lang w:val="es-ES_tradnl"/>
              </w:rPr>
              <w:t>o</w:t>
            </w:r>
          </w:p>
        </w:tc>
        <w:tc>
          <w:tcPr>
            <w:tcW w:w="1285" w:type="dxa"/>
            <w:shd w:val="clear" w:color="auto" w:fill="auto"/>
            <w:vAlign w:val="center"/>
          </w:tcPr>
          <w:p w:rsidR="00A24B12" w:rsidRPr="00996C21" w:rsidRDefault="00A24B12" w:rsidP="005568B6">
            <w:pPr>
              <w:pStyle w:val="Tablehead"/>
              <w:spacing w:before="40" w:after="40"/>
              <w:rPr>
                <w:lang w:val="es-ES_tradnl"/>
              </w:rPr>
            </w:pPr>
            <w:r w:rsidRPr="00996C21">
              <w:rPr>
                <w:lang w:val="es-ES_tradnl"/>
              </w:rPr>
              <w:t>Informe del GR</w:t>
            </w:r>
          </w:p>
        </w:tc>
        <w:tc>
          <w:tcPr>
            <w:tcW w:w="3104" w:type="dxa"/>
            <w:shd w:val="clear" w:color="auto" w:fill="auto"/>
            <w:vAlign w:val="center"/>
          </w:tcPr>
          <w:p w:rsidR="00A24B12" w:rsidRPr="00996C21" w:rsidRDefault="00A24B12" w:rsidP="005568B6">
            <w:pPr>
              <w:pStyle w:val="Tablehead"/>
              <w:spacing w:before="40" w:after="40"/>
              <w:rPr>
                <w:lang w:val="es-ES_tradnl"/>
              </w:rPr>
            </w:pPr>
            <w:r w:rsidRPr="00996C21">
              <w:rPr>
                <w:lang w:val="es-ES_tradnl"/>
              </w:rPr>
              <w:t>Declaración de coordinación saliente</w:t>
            </w:r>
          </w:p>
        </w:tc>
        <w:tc>
          <w:tcPr>
            <w:tcW w:w="3969" w:type="dxa"/>
            <w:shd w:val="clear" w:color="auto" w:fill="auto"/>
            <w:vAlign w:val="center"/>
          </w:tcPr>
          <w:p w:rsidR="00A24B12" w:rsidRPr="00996C21" w:rsidRDefault="00A24B12" w:rsidP="005568B6">
            <w:pPr>
              <w:pStyle w:val="Tablehead"/>
              <w:spacing w:before="40" w:after="40"/>
              <w:rPr>
                <w:lang w:val="es-ES_tradnl"/>
              </w:rPr>
            </w:pPr>
            <w:r w:rsidRPr="00996C21">
              <w:rPr>
                <w:lang w:val="es-ES_tradnl"/>
              </w:rPr>
              <w:t>Reuniones futuras</w:t>
            </w:r>
          </w:p>
        </w:tc>
      </w:tr>
      <w:tr w:rsidR="00A24B12" w:rsidRPr="00996C21" w:rsidTr="001835B9">
        <w:trPr>
          <w:jc w:val="center"/>
        </w:trPr>
        <w:tc>
          <w:tcPr>
            <w:tcW w:w="1276" w:type="dxa"/>
            <w:shd w:val="clear" w:color="auto" w:fill="auto"/>
          </w:tcPr>
          <w:p w:rsidR="00A24B12" w:rsidRPr="00996C21" w:rsidRDefault="00A24B12" w:rsidP="005568B6">
            <w:pPr>
              <w:pStyle w:val="Tabletext"/>
              <w:rPr>
                <w:lang w:val="es-ES_tradnl"/>
              </w:rPr>
            </w:pPr>
            <w:r w:rsidRPr="00996C21">
              <w:rPr>
                <w:lang w:val="es-ES_tradnl"/>
              </w:rPr>
              <w:t>GR-ResReview</w:t>
            </w:r>
          </w:p>
        </w:tc>
        <w:tc>
          <w:tcPr>
            <w:tcW w:w="1285" w:type="dxa"/>
            <w:shd w:val="clear" w:color="auto" w:fill="auto"/>
          </w:tcPr>
          <w:p w:rsidR="00A24B12" w:rsidRPr="00996C21" w:rsidRDefault="00006D57" w:rsidP="00A24B12">
            <w:pPr>
              <w:pStyle w:val="Tabletext"/>
              <w:rPr>
                <w:lang w:val="es-ES_tradnl"/>
              </w:rPr>
            </w:pPr>
            <w:hyperlink r:id="rId79" w:history="1">
              <w:bookmarkStart w:id="233" w:name="lt_pId263"/>
              <w:r w:rsidR="00AE1D2C" w:rsidRPr="00996C21">
                <w:rPr>
                  <w:rStyle w:val="Hyperlink"/>
                  <w:lang w:val="es-ES_tradnl"/>
                </w:rPr>
                <w:t>TD245</w:t>
              </w:r>
              <w:bookmarkEnd w:id="233"/>
            </w:hyperlink>
          </w:p>
        </w:tc>
        <w:tc>
          <w:tcPr>
            <w:tcW w:w="3104" w:type="dxa"/>
            <w:shd w:val="clear" w:color="auto" w:fill="auto"/>
          </w:tcPr>
          <w:p w:rsidR="00A24B12" w:rsidRPr="00996C21" w:rsidRDefault="00A24B12" w:rsidP="00A24B1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lang w:val="es-ES_tradnl"/>
              </w:rPr>
            </w:pPr>
            <w:r w:rsidRPr="00996C21">
              <w:rPr>
                <w:lang w:val="es-ES_tradnl"/>
              </w:rPr>
              <w:t>Ningun</w:t>
            </w:r>
            <w:r w:rsidR="00A55180" w:rsidRPr="00996C21">
              <w:rPr>
                <w:lang w:val="es-ES_tradnl"/>
              </w:rPr>
              <w:t>a</w:t>
            </w:r>
            <w:r w:rsidRPr="00996C21">
              <w:rPr>
                <w:lang w:val="es-ES_tradnl"/>
              </w:rPr>
              <w:t>.</w:t>
            </w:r>
          </w:p>
        </w:tc>
        <w:tc>
          <w:tcPr>
            <w:tcW w:w="3969" w:type="dxa"/>
            <w:shd w:val="clear" w:color="auto" w:fill="auto"/>
          </w:tcPr>
          <w:p w:rsidR="00A24B12" w:rsidRPr="00996C21" w:rsidRDefault="00A24B12" w:rsidP="00A24B12">
            <w:pPr>
              <w:pStyle w:val="Tabletext"/>
              <w:tabs>
                <w:tab w:val="clear" w:pos="1985"/>
              </w:tabs>
              <w:ind w:left="284" w:hanging="284"/>
              <w:jc w:val="left"/>
              <w:rPr>
                <w:lang w:val="es-ES_tradnl"/>
              </w:rPr>
            </w:pPr>
            <w:r w:rsidRPr="00996C21">
              <w:rPr>
                <w:lang w:val="es-ES_tradnl"/>
              </w:rPr>
              <w:t>•</w:t>
            </w:r>
            <w:r w:rsidRPr="00996C21">
              <w:rPr>
                <w:lang w:val="es-ES_tradnl"/>
              </w:rPr>
              <w:tab/>
              <w:t>Una reunión electrónica provisional en una fecha por determinar si las contribuciones relativas a ese Grupo de R</w:t>
            </w:r>
            <w:r w:rsidR="003856DE" w:rsidRPr="00996C21">
              <w:rPr>
                <w:lang w:val="es-ES_tradnl"/>
              </w:rPr>
              <w:t>elator se han enviado para el 1 </w:t>
            </w:r>
            <w:r w:rsidRPr="00996C21">
              <w:rPr>
                <w:lang w:val="es-ES_tradnl"/>
              </w:rPr>
              <w:t>de junio de 2018.</w:t>
            </w:r>
          </w:p>
          <w:p w:rsidR="00A24B12" w:rsidRPr="00996C21" w:rsidRDefault="00A24B12" w:rsidP="00A24B1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jc w:val="left"/>
              <w:rPr>
                <w:lang w:val="es-ES_tradnl"/>
              </w:rPr>
            </w:pPr>
            <w:r w:rsidRPr="00996C21">
              <w:rPr>
                <w:lang w:val="es-ES_tradnl"/>
              </w:rPr>
              <w:t>•</w:t>
            </w:r>
            <w:r w:rsidRPr="00996C21">
              <w:rPr>
                <w:lang w:val="es-ES_tradnl"/>
              </w:rPr>
              <w:tab/>
              <w:t>Próxima reunión del GANT.</w:t>
            </w:r>
          </w:p>
        </w:tc>
      </w:tr>
      <w:tr w:rsidR="00A24B12" w:rsidRPr="00996C21" w:rsidTr="001835B9">
        <w:trPr>
          <w:jc w:val="center"/>
        </w:trPr>
        <w:tc>
          <w:tcPr>
            <w:tcW w:w="1276" w:type="dxa"/>
            <w:shd w:val="clear" w:color="auto" w:fill="auto"/>
          </w:tcPr>
          <w:p w:rsidR="00A24B12" w:rsidRPr="00996C21" w:rsidRDefault="00A24B12" w:rsidP="005568B6">
            <w:pPr>
              <w:pStyle w:val="Tabletext"/>
              <w:rPr>
                <w:lang w:val="es-ES_tradnl"/>
              </w:rPr>
            </w:pPr>
            <w:r w:rsidRPr="00996C21">
              <w:rPr>
                <w:lang w:val="es-ES_tradnl"/>
              </w:rPr>
              <w:t>GR-SC</w:t>
            </w:r>
          </w:p>
        </w:tc>
        <w:tc>
          <w:tcPr>
            <w:tcW w:w="1285" w:type="dxa"/>
            <w:shd w:val="clear" w:color="auto" w:fill="auto"/>
          </w:tcPr>
          <w:p w:rsidR="00A24B12" w:rsidRPr="00996C21" w:rsidRDefault="00006D57" w:rsidP="00A24B12">
            <w:pPr>
              <w:pStyle w:val="Tabletext"/>
              <w:rPr>
                <w:lang w:val="es-ES_tradnl"/>
              </w:rPr>
            </w:pPr>
            <w:hyperlink r:id="rId80" w:history="1">
              <w:bookmarkStart w:id="234" w:name="lt_pId268"/>
              <w:r w:rsidR="00AE1D2C" w:rsidRPr="00996C21">
                <w:rPr>
                  <w:rStyle w:val="Hyperlink"/>
                  <w:lang w:val="es-ES_tradnl"/>
                </w:rPr>
                <w:t>TD129</w:t>
              </w:r>
              <w:bookmarkEnd w:id="234"/>
            </w:hyperlink>
          </w:p>
        </w:tc>
        <w:tc>
          <w:tcPr>
            <w:tcW w:w="3104" w:type="dxa"/>
            <w:shd w:val="clear" w:color="auto" w:fill="auto"/>
          </w:tcPr>
          <w:p w:rsidR="00A24B12" w:rsidRPr="00996C21" w:rsidRDefault="00A24B12" w:rsidP="00A24B1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93"/>
              </w:tabs>
              <w:ind w:left="293" w:hanging="293"/>
              <w:jc w:val="left"/>
              <w:rPr>
                <w:lang w:val="es-ES_tradnl"/>
              </w:rPr>
            </w:pPr>
            <w:bookmarkStart w:id="235" w:name="lt_pId269"/>
            <w:r w:rsidRPr="00996C21">
              <w:rPr>
                <w:lang w:val="es-ES_tradnl"/>
              </w:rPr>
              <w:t>•</w:t>
            </w:r>
            <w:r w:rsidRPr="00996C21">
              <w:rPr>
                <w:lang w:val="es-ES_tradnl"/>
              </w:rPr>
              <w:tab/>
              <w:t xml:space="preserve">Documentos </w:t>
            </w:r>
            <w:hyperlink r:id="rId81" w:history="1">
              <w:r w:rsidRPr="00996C21">
                <w:rPr>
                  <w:rStyle w:val="Hyperlink"/>
                  <w:lang w:val="es-ES_tradnl"/>
                </w:rPr>
                <w:t>TD211</w:t>
              </w:r>
            </w:hyperlink>
            <w:r w:rsidRPr="00996C21">
              <w:rPr>
                <w:lang w:val="es-ES_tradnl"/>
              </w:rPr>
              <w:t>/</w:t>
            </w:r>
            <w:hyperlink r:id="rId82" w:history="1">
              <w:r w:rsidR="00234131" w:rsidRPr="00996C21">
                <w:rPr>
                  <w:rStyle w:val="Hyperlink"/>
                  <w:lang w:val="es-ES_tradnl"/>
                </w:rPr>
                <w:t>TSAG</w:t>
              </w:r>
              <w:r w:rsidR="00234131" w:rsidRPr="00996C21">
                <w:rPr>
                  <w:rStyle w:val="Hyperlink"/>
                  <w:lang w:val="es-ES_tradnl"/>
                </w:rPr>
                <w:noBreakHyphen/>
              </w:r>
              <w:r w:rsidRPr="00996C21">
                <w:rPr>
                  <w:rStyle w:val="Hyperlink"/>
                  <w:lang w:val="es-ES_tradnl"/>
                </w:rPr>
                <w:t>LS11</w:t>
              </w:r>
            </w:hyperlink>
            <w:r w:rsidRPr="00996C21">
              <w:rPr>
                <w:lang w:val="es-ES_tradnl"/>
              </w:rPr>
              <w:t xml:space="preserve"> para debatir el 30 de noviembre de 2018 a ISCT, GANT, todas las CE</w:t>
            </w:r>
            <w:r w:rsidR="00234131" w:rsidRPr="00996C21">
              <w:rPr>
                <w:lang w:val="es-ES_tradnl"/>
              </w:rPr>
              <w:t xml:space="preserve"> del UIT-D, GAR, todas las CE del UIT-R, las CE del UIT</w:t>
            </w:r>
            <w:r w:rsidRPr="00996C21">
              <w:rPr>
                <w:lang w:val="es-ES_tradnl"/>
              </w:rPr>
              <w:t>-T sobre coordinación intersectorial de la UIT</w:t>
            </w:r>
            <w:bookmarkEnd w:id="235"/>
            <w:r w:rsidR="00234131" w:rsidRPr="00996C21">
              <w:rPr>
                <w:lang w:val="es-ES_tradnl"/>
              </w:rPr>
              <w:t>.</w:t>
            </w:r>
          </w:p>
        </w:tc>
        <w:tc>
          <w:tcPr>
            <w:tcW w:w="3969" w:type="dxa"/>
            <w:shd w:val="clear" w:color="auto" w:fill="auto"/>
          </w:tcPr>
          <w:p w:rsidR="00A24B12" w:rsidRPr="00996C21" w:rsidRDefault="00A24B12" w:rsidP="00643514">
            <w:pPr>
              <w:pStyle w:val="Tabletext"/>
              <w:tabs>
                <w:tab w:val="clear" w:pos="1985"/>
              </w:tabs>
              <w:ind w:left="284" w:hanging="284"/>
              <w:jc w:val="left"/>
              <w:rPr>
                <w:lang w:val="es-ES_tradnl"/>
              </w:rPr>
            </w:pPr>
            <w:r w:rsidRPr="00996C21">
              <w:rPr>
                <w:lang w:val="es-ES_tradnl"/>
              </w:rPr>
              <w:t>•</w:t>
            </w:r>
            <w:r w:rsidRPr="00996C21">
              <w:rPr>
                <w:lang w:val="es-ES_tradnl"/>
              </w:rPr>
              <w:tab/>
              <w:t xml:space="preserve">Reunión electrónica conjunta GR-SC </w:t>
            </w:r>
            <w:r w:rsidR="00643514" w:rsidRPr="00996C21">
              <w:rPr>
                <w:lang w:val="es-ES_tradnl"/>
              </w:rPr>
              <w:t>y</w:t>
            </w:r>
            <w:r w:rsidRPr="00996C21">
              <w:rPr>
                <w:lang w:val="es-ES_tradnl"/>
              </w:rPr>
              <w:t xml:space="preserve"> GR-WM:</w:t>
            </w:r>
            <w:r w:rsidR="00A55180" w:rsidRPr="00996C21">
              <w:rPr>
                <w:lang w:val="es-ES_tradnl"/>
              </w:rPr>
              <w:t xml:space="preserve"> </w:t>
            </w:r>
            <w:r w:rsidRPr="00996C21">
              <w:rPr>
                <w:lang w:val="es-ES_tradnl"/>
              </w:rPr>
              <w:t xml:space="preserve">14 de mayo de 2018 </w:t>
            </w:r>
            <w:r w:rsidR="007A599E" w:rsidRPr="00996C21">
              <w:rPr>
                <w:lang w:val="es-ES_tradnl"/>
              </w:rPr>
              <w:br/>
            </w:r>
            <w:r w:rsidRPr="00996C21">
              <w:rPr>
                <w:lang w:val="es-ES_tradnl"/>
              </w:rPr>
              <w:t xml:space="preserve">(15.00-17.00 CEST) </w:t>
            </w:r>
            <w:r w:rsidRPr="00996C21">
              <w:rPr>
                <w:lang w:val="es-ES_tradnl"/>
              </w:rPr>
              <w:br/>
              <w:t>Mandato: Armonización de la A.1 y A.25 del UIT-T y cualquier aspecto afín de la A.4 y A.6 del UIT-T.</w:t>
            </w:r>
          </w:p>
          <w:p w:rsidR="00A24B12" w:rsidRPr="00996C21" w:rsidRDefault="00A24B12" w:rsidP="00A24B12">
            <w:pPr>
              <w:pStyle w:val="Tabletext"/>
              <w:tabs>
                <w:tab w:val="clear" w:pos="1985"/>
              </w:tabs>
              <w:ind w:left="284" w:hanging="284"/>
              <w:jc w:val="left"/>
              <w:rPr>
                <w:lang w:val="es-ES_tradnl"/>
              </w:rPr>
            </w:pPr>
            <w:r w:rsidRPr="00996C21">
              <w:rPr>
                <w:lang w:val="es-ES_tradnl"/>
              </w:rPr>
              <w:t>•</w:t>
            </w:r>
            <w:r w:rsidRPr="00996C21">
              <w:rPr>
                <w:lang w:val="es-ES_tradnl"/>
              </w:rPr>
              <w:tab/>
              <w:t>Reunión electrónica GR-SC:</w:t>
            </w:r>
            <w:r w:rsidRPr="00996C21">
              <w:rPr>
                <w:lang w:val="es-ES_tradnl"/>
              </w:rPr>
              <w:br/>
              <w:t>24 de septiembre (15.00-17.00 CEST)</w:t>
            </w:r>
            <w:r w:rsidRPr="00996C21">
              <w:rPr>
                <w:lang w:val="es-ES_tradnl"/>
              </w:rPr>
              <w:br/>
              <w:t>Mandato:</w:t>
            </w:r>
          </w:p>
          <w:p w:rsidR="00A24B12" w:rsidRPr="00996C21" w:rsidRDefault="00A24B12" w:rsidP="00A24B12">
            <w:pPr>
              <w:pStyle w:val="Tabletext"/>
              <w:tabs>
                <w:tab w:val="clear" w:pos="1985"/>
              </w:tabs>
              <w:ind w:left="567" w:hanging="284"/>
              <w:jc w:val="left"/>
              <w:rPr>
                <w:lang w:val="es-ES_tradnl"/>
              </w:rPr>
            </w:pPr>
            <w:r w:rsidRPr="00996C21">
              <w:rPr>
                <w:lang w:val="es-ES_tradnl"/>
              </w:rPr>
              <w:t>1)</w:t>
            </w:r>
            <w:r w:rsidRPr="00996C21">
              <w:rPr>
                <w:lang w:val="es-ES_tradnl"/>
              </w:rPr>
              <w:tab/>
              <w:t>Examen de la A.25, la A.4 y la A.6 del UIT-T en vista de los resultados de la reunión anterior mixta de Relatores con GR-WM.</w:t>
            </w:r>
          </w:p>
          <w:p w:rsidR="00A24B12" w:rsidRPr="00996C21" w:rsidRDefault="00A24B12" w:rsidP="00A24B12">
            <w:pPr>
              <w:pStyle w:val="Tabletext"/>
              <w:tabs>
                <w:tab w:val="clear" w:pos="1985"/>
              </w:tabs>
              <w:ind w:left="567" w:hanging="284"/>
              <w:jc w:val="left"/>
              <w:rPr>
                <w:lang w:val="es-ES_tradnl"/>
              </w:rPr>
            </w:pPr>
            <w:r w:rsidRPr="00996C21">
              <w:rPr>
                <w:lang w:val="es-ES_tradnl"/>
              </w:rPr>
              <w:t>2)</w:t>
            </w:r>
            <w:r w:rsidRPr="00996C21">
              <w:rPr>
                <w:lang w:val="es-ES_tradnl"/>
              </w:rPr>
              <w:tab/>
              <w:t>Estudio de procesos para colaboración y participación en actividades de código abierto.</w:t>
            </w:r>
          </w:p>
          <w:p w:rsidR="00A24B12" w:rsidRPr="00996C21" w:rsidRDefault="00A24B12" w:rsidP="00A24B12">
            <w:pPr>
              <w:pStyle w:val="Tabletext"/>
              <w:tabs>
                <w:tab w:val="clear" w:pos="1985"/>
              </w:tabs>
              <w:ind w:left="284" w:hanging="284"/>
              <w:jc w:val="left"/>
              <w:rPr>
                <w:lang w:val="es-ES_tradnl"/>
              </w:rPr>
            </w:pPr>
            <w:r w:rsidRPr="00996C21">
              <w:rPr>
                <w:lang w:val="es-ES_tradnl"/>
              </w:rPr>
              <w:t>•</w:t>
            </w:r>
            <w:r w:rsidRPr="00996C21">
              <w:rPr>
                <w:lang w:val="es-ES_tradnl"/>
              </w:rPr>
              <w:tab/>
              <w:t>Próxima reunión del GANT.</w:t>
            </w:r>
          </w:p>
        </w:tc>
      </w:tr>
      <w:tr w:rsidR="00A24B12" w:rsidRPr="00996C21" w:rsidTr="001835B9">
        <w:trPr>
          <w:jc w:val="center"/>
        </w:trPr>
        <w:tc>
          <w:tcPr>
            <w:tcW w:w="1276" w:type="dxa"/>
            <w:shd w:val="clear" w:color="auto" w:fill="auto"/>
          </w:tcPr>
          <w:p w:rsidR="00A24B12" w:rsidRPr="00996C21" w:rsidRDefault="005568B6" w:rsidP="005568B6">
            <w:pPr>
              <w:pStyle w:val="Tabletext"/>
              <w:rPr>
                <w:lang w:val="es-ES_tradnl"/>
              </w:rPr>
            </w:pPr>
            <w:r w:rsidRPr="00996C21">
              <w:rPr>
                <w:lang w:val="es-ES_tradnl"/>
              </w:rPr>
              <w:t>GR-SOP</w:t>
            </w:r>
          </w:p>
        </w:tc>
        <w:tc>
          <w:tcPr>
            <w:tcW w:w="1285" w:type="dxa"/>
            <w:shd w:val="clear" w:color="auto" w:fill="auto"/>
          </w:tcPr>
          <w:p w:rsidR="00A24B12" w:rsidRPr="00996C21" w:rsidRDefault="00006D57" w:rsidP="005568B6">
            <w:pPr>
              <w:pStyle w:val="Tabletext"/>
              <w:rPr>
                <w:lang w:val="es-ES_tradnl"/>
              </w:rPr>
            </w:pPr>
            <w:hyperlink r:id="rId83" w:history="1">
              <w:bookmarkStart w:id="236" w:name="lt_pId281"/>
              <w:r w:rsidR="00AE1D2C" w:rsidRPr="00996C21">
                <w:rPr>
                  <w:rStyle w:val="Hyperlink"/>
                  <w:lang w:val="es-ES_tradnl"/>
                </w:rPr>
                <w:t>TD131</w:t>
              </w:r>
              <w:bookmarkEnd w:id="236"/>
            </w:hyperlink>
          </w:p>
        </w:tc>
        <w:tc>
          <w:tcPr>
            <w:tcW w:w="3104" w:type="dxa"/>
            <w:shd w:val="clear" w:color="auto" w:fill="auto"/>
          </w:tcPr>
          <w:p w:rsidR="00A24B12" w:rsidRPr="00996C21" w:rsidRDefault="005568B6" w:rsidP="005568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lang w:val="es-ES_tradnl"/>
              </w:rPr>
            </w:pPr>
            <w:bookmarkStart w:id="237" w:name="lt_pId282"/>
            <w:r w:rsidRPr="00996C21">
              <w:rPr>
                <w:lang w:val="es-ES_tradnl"/>
              </w:rPr>
              <w:t>Ningun</w:t>
            </w:r>
            <w:r w:rsidR="00A55180" w:rsidRPr="00996C21">
              <w:rPr>
                <w:lang w:val="es-ES_tradnl"/>
              </w:rPr>
              <w:t>a</w:t>
            </w:r>
            <w:r w:rsidRPr="00996C21">
              <w:rPr>
                <w:lang w:val="es-ES_tradnl"/>
              </w:rPr>
              <w:t>.</w:t>
            </w:r>
            <w:bookmarkEnd w:id="237"/>
          </w:p>
        </w:tc>
        <w:tc>
          <w:tcPr>
            <w:tcW w:w="3969" w:type="dxa"/>
            <w:shd w:val="clear" w:color="auto" w:fill="auto"/>
          </w:tcPr>
          <w:p w:rsidR="00A24B12" w:rsidRPr="00996C21" w:rsidRDefault="005568B6" w:rsidP="005568B6">
            <w:pPr>
              <w:pStyle w:val="Tabletext"/>
              <w:tabs>
                <w:tab w:val="clear" w:pos="1985"/>
              </w:tabs>
              <w:ind w:left="284" w:hanging="284"/>
              <w:rPr>
                <w:lang w:val="es-ES_tradnl"/>
              </w:rPr>
            </w:pPr>
            <w:bookmarkStart w:id="238" w:name="lt_pId283"/>
            <w:r w:rsidRPr="00996C21">
              <w:rPr>
                <w:lang w:val="es-ES_tradnl"/>
              </w:rPr>
              <w:t>•</w:t>
            </w:r>
            <w:r w:rsidRPr="00996C21">
              <w:rPr>
                <w:lang w:val="es-ES_tradnl"/>
              </w:rPr>
              <w:tab/>
              <w:t>Próxima reunión del GANT.</w:t>
            </w:r>
            <w:bookmarkEnd w:id="238"/>
          </w:p>
        </w:tc>
      </w:tr>
      <w:tr w:rsidR="00A24B12" w:rsidRPr="00996C21" w:rsidTr="001835B9">
        <w:trPr>
          <w:jc w:val="center"/>
        </w:trPr>
        <w:tc>
          <w:tcPr>
            <w:tcW w:w="1276" w:type="dxa"/>
            <w:shd w:val="clear" w:color="auto" w:fill="auto"/>
          </w:tcPr>
          <w:p w:rsidR="00A24B12" w:rsidRPr="00996C21" w:rsidRDefault="005568B6" w:rsidP="005568B6">
            <w:pPr>
              <w:pStyle w:val="Tabletext"/>
              <w:rPr>
                <w:lang w:val="es-ES_tradnl"/>
              </w:rPr>
            </w:pPr>
            <w:bookmarkStart w:id="239" w:name="lt_pId284"/>
            <w:r w:rsidRPr="00996C21">
              <w:rPr>
                <w:lang w:val="es-ES_tradnl"/>
              </w:rPr>
              <w:t>GR-StdsStrat</w:t>
            </w:r>
            <w:bookmarkEnd w:id="239"/>
          </w:p>
        </w:tc>
        <w:tc>
          <w:tcPr>
            <w:tcW w:w="1285" w:type="dxa"/>
            <w:shd w:val="clear" w:color="auto" w:fill="auto"/>
          </w:tcPr>
          <w:p w:rsidR="00A24B12" w:rsidRPr="00996C21" w:rsidRDefault="00006D57" w:rsidP="005568B6">
            <w:pPr>
              <w:pStyle w:val="Tabletext"/>
              <w:rPr>
                <w:lang w:val="es-ES_tradnl"/>
              </w:rPr>
            </w:pPr>
            <w:hyperlink r:id="rId84" w:history="1">
              <w:bookmarkStart w:id="240" w:name="lt_pId285"/>
              <w:r w:rsidR="00AE1D2C" w:rsidRPr="00996C21">
                <w:rPr>
                  <w:rStyle w:val="Hyperlink"/>
                  <w:lang w:val="es-ES_tradnl"/>
                </w:rPr>
                <w:t>TD133-R2</w:t>
              </w:r>
              <w:bookmarkEnd w:id="240"/>
            </w:hyperlink>
          </w:p>
        </w:tc>
        <w:tc>
          <w:tcPr>
            <w:tcW w:w="3104" w:type="dxa"/>
            <w:shd w:val="clear" w:color="auto" w:fill="auto"/>
          </w:tcPr>
          <w:p w:rsidR="00A24B12" w:rsidRPr="00996C21" w:rsidRDefault="005568B6" w:rsidP="005568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93"/>
              </w:tabs>
              <w:ind w:left="293" w:hanging="293"/>
              <w:jc w:val="left"/>
              <w:rPr>
                <w:lang w:val="es-ES_tradnl"/>
              </w:rPr>
            </w:pPr>
            <w:bookmarkStart w:id="241" w:name="lt_pId286"/>
            <w:r w:rsidRPr="00996C21">
              <w:rPr>
                <w:lang w:val="es-ES_tradnl"/>
              </w:rPr>
              <w:t>•</w:t>
            </w:r>
            <w:r w:rsidRPr="00996C21">
              <w:rPr>
                <w:lang w:val="es-ES_tradnl"/>
              </w:rPr>
              <w:tab/>
              <w:t xml:space="preserve">Documentos </w:t>
            </w:r>
            <w:hyperlink r:id="rId85" w:history="1">
              <w:r w:rsidR="001835B9" w:rsidRPr="00996C21">
                <w:rPr>
                  <w:rStyle w:val="Hyperlink"/>
                  <w:lang w:val="es-ES_tradnl"/>
                </w:rPr>
                <w:t>TD268</w:t>
              </w:r>
              <w:r w:rsidR="001835B9" w:rsidRPr="00996C21">
                <w:rPr>
                  <w:rStyle w:val="Hyperlink"/>
                  <w:lang w:val="es-ES_tradnl"/>
                </w:rPr>
                <w:noBreakHyphen/>
              </w:r>
              <w:r w:rsidRPr="00996C21">
                <w:rPr>
                  <w:rStyle w:val="Hyperlink"/>
                  <w:lang w:val="es-ES_tradnl"/>
                </w:rPr>
                <w:t>R1</w:t>
              </w:r>
            </w:hyperlink>
            <w:r w:rsidRPr="00996C21">
              <w:rPr>
                <w:lang w:val="es-ES_tradnl"/>
              </w:rPr>
              <w:t>/</w:t>
            </w:r>
            <w:hyperlink r:id="rId86" w:history="1">
              <w:r w:rsidRPr="00996C21">
                <w:rPr>
                  <w:rStyle w:val="Hyperlink"/>
                  <w:lang w:val="es-ES_tradnl"/>
                </w:rPr>
                <w:t>TSAG-LS10</w:t>
              </w:r>
            </w:hyperlink>
            <w:r w:rsidRPr="00996C21">
              <w:rPr>
                <w:lang w:val="es-ES_tradnl"/>
              </w:rPr>
              <w:t xml:space="preserve"> para acción el 30 de octubre de 2018 a todas las Comisión de Estudio del UIT-T sobre temas candentes</w:t>
            </w:r>
            <w:bookmarkEnd w:id="241"/>
            <w:r w:rsidR="001835B9" w:rsidRPr="00996C21">
              <w:rPr>
                <w:lang w:val="es-ES_tradnl"/>
              </w:rPr>
              <w:t>.</w:t>
            </w:r>
          </w:p>
        </w:tc>
        <w:tc>
          <w:tcPr>
            <w:tcW w:w="3969" w:type="dxa"/>
            <w:shd w:val="clear" w:color="auto" w:fill="auto"/>
          </w:tcPr>
          <w:p w:rsidR="005568B6" w:rsidRPr="00996C21" w:rsidRDefault="005568B6" w:rsidP="005568B6">
            <w:pPr>
              <w:pStyle w:val="Tabletext"/>
              <w:tabs>
                <w:tab w:val="clear" w:pos="1985"/>
              </w:tabs>
              <w:jc w:val="left"/>
              <w:rPr>
                <w:lang w:val="es-ES_tradnl"/>
              </w:rPr>
            </w:pPr>
            <w:r w:rsidRPr="00996C21">
              <w:rPr>
                <w:lang w:val="es-ES_tradnl"/>
              </w:rPr>
              <w:t>Hasta cinco reuniones electrónicas provisionales sobre la base de que las contribuciones se reciban:</w:t>
            </w:r>
          </w:p>
          <w:p w:rsidR="005568B6" w:rsidRPr="00996C21" w:rsidRDefault="001835B9" w:rsidP="005568B6">
            <w:pPr>
              <w:pStyle w:val="Tabletext"/>
              <w:tabs>
                <w:tab w:val="clear" w:pos="1985"/>
              </w:tabs>
              <w:ind w:left="284" w:hanging="284"/>
              <w:jc w:val="left"/>
              <w:rPr>
                <w:lang w:val="es-ES_tradnl"/>
              </w:rPr>
            </w:pPr>
            <w:r w:rsidRPr="00996C21">
              <w:rPr>
                <w:lang w:val="es-ES_tradnl"/>
              </w:rPr>
              <w:t>•</w:t>
            </w:r>
            <w:r w:rsidRPr="00996C21">
              <w:rPr>
                <w:lang w:val="es-ES_tradnl"/>
              </w:rPr>
              <w:tab/>
            </w:r>
            <w:r w:rsidR="005568B6" w:rsidRPr="00996C21">
              <w:rPr>
                <w:lang w:val="es-ES_tradnl"/>
              </w:rPr>
              <w:t>27 de abril de 2018 13.00-15.00 CEST</w:t>
            </w:r>
          </w:p>
          <w:p w:rsidR="005568B6" w:rsidRPr="00996C21" w:rsidRDefault="001835B9" w:rsidP="005568B6">
            <w:pPr>
              <w:pStyle w:val="Tabletext"/>
              <w:tabs>
                <w:tab w:val="clear" w:pos="1985"/>
              </w:tabs>
              <w:ind w:left="284" w:hanging="284"/>
              <w:jc w:val="left"/>
              <w:rPr>
                <w:lang w:val="es-ES_tradnl"/>
              </w:rPr>
            </w:pPr>
            <w:r w:rsidRPr="00996C21">
              <w:rPr>
                <w:lang w:val="es-ES_tradnl"/>
              </w:rPr>
              <w:t>•</w:t>
            </w:r>
            <w:r w:rsidRPr="00996C21">
              <w:rPr>
                <w:lang w:val="es-ES_tradnl"/>
              </w:rPr>
              <w:tab/>
            </w:r>
            <w:r w:rsidR="005568B6" w:rsidRPr="00996C21">
              <w:rPr>
                <w:lang w:val="es-ES_tradnl"/>
              </w:rPr>
              <w:t>29 de junio de 2018 13.00-15.00 CEST</w:t>
            </w:r>
          </w:p>
          <w:p w:rsidR="005568B6" w:rsidRPr="00996C21" w:rsidRDefault="001835B9" w:rsidP="005568B6">
            <w:pPr>
              <w:pStyle w:val="Tabletext"/>
              <w:tabs>
                <w:tab w:val="clear" w:pos="1985"/>
              </w:tabs>
              <w:ind w:left="284" w:hanging="284"/>
              <w:jc w:val="left"/>
              <w:rPr>
                <w:lang w:val="es-ES_tradnl"/>
              </w:rPr>
            </w:pPr>
            <w:r w:rsidRPr="00996C21">
              <w:rPr>
                <w:lang w:val="es-ES_tradnl"/>
              </w:rPr>
              <w:t>•</w:t>
            </w:r>
            <w:r w:rsidRPr="00996C21">
              <w:rPr>
                <w:lang w:val="es-ES_tradnl"/>
              </w:rPr>
              <w:tab/>
            </w:r>
            <w:r w:rsidR="005568B6" w:rsidRPr="00996C21">
              <w:rPr>
                <w:lang w:val="es-ES_tradnl"/>
              </w:rPr>
              <w:t>31 de agosto de 2018 13.00-15.00 CEST</w:t>
            </w:r>
          </w:p>
          <w:p w:rsidR="005568B6" w:rsidRPr="00996C21" w:rsidRDefault="001835B9" w:rsidP="005568B6">
            <w:pPr>
              <w:pStyle w:val="Tabletext"/>
              <w:tabs>
                <w:tab w:val="clear" w:pos="1985"/>
              </w:tabs>
              <w:ind w:left="284" w:hanging="284"/>
              <w:jc w:val="left"/>
              <w:rPr>
                <w:lang w:val="es-ES_tradnl"/>
              </w:rPr>
            </w:pPr>
            <w:r w:rsidRPr="00996C21">
              <w:rPr>
                <w:lang w:val="es-ES_tradnl"/>
              </w:rPr>
              <w:t>•</w:t>
            </w:r>
            <w:r w:rsidRPr="00996C21">
              <w:rPr>
                <w:lang w:val="es-ES_tradnl"/>
              </w:rPr>
              <w:tab/>
            </w:r>
            <w:r w:rsidR="005568B6" w:rsidRPr="00996C21">
              <w:rPr>
                <w:lang w:val="es-ES_tradnl"/>
              </w:rPr>
              <w:t>28 de septiembre de 2018 13.00-15.00 CEST</w:t>
            </w:r>
          </w:p>
          <w:p w:rsidR="005568B6" w:rsidRPr="00996C21" w:rsidRDefault="001835B9" w:rsidP="005568B6">
            <w:pPr>
              <w:pStyle w:val="Tabletext"/>
              <w:tabs>
                <w:tab w:val="clear" w:pos="1985"/>
              </w:tabs>
              <w:ind w:left="284" w:hanging="284"/>
              <w:jc w:val="left"/>
              <w:rPr>
                <w:lang w:val="es-ES_tradnl"/>
              </w:rPr>
            </w:pPr>
            <w:r w:rsidRPr="00996C21">
              <w:rPr>
                <w:lang w:val="es-ES_tradnl"/>
              </w:rPr>
              <w:t>•</w:t>
            </w:r>
            <w:r w:rsidRPr="00996C21">
              <w:rPr>
                <w:lang w:val="es-ES_tradnl"/>
              </w:rPr>
              <w:tab/>
            </w:r>
            <w:r w:rsidR="005568B6" w:rsidRPr="00996C21">
              <w:rPr>
                <w:lang w:val="es-ES_tradnl"/>
              </w:rPr>
              <w:t>30 de noviembre de 2018 13.00-15.00 CET.</w:t>
            </w:r>
          </w:p>
          <w:p w:rsidR="005568B6" w:rsidRPr="00996C21" w:rsidRDefault="001835B9" w:rsidP="001835B9">
            <w:pPr>
              <w:pStyle w:val="Tabletext"/>
              <w:ind w:left="284" w:hanging="284"/>
              <w:jc w:val="left"/>
              <w:rPr>
                <w:lang w:val="es-ES_tradnl"/>
              </w:rPr>
            </w:pPr>
            <w:r w:rsidRPr="00996C21">
              <w:rPr>
                <w:lang w:val="es-ES_tradnl"/>
              </w:rPr>
              <w:tab/>
            </w:r>
            <w:r w:rsidR="005568B6" w:rsidRPr="00996C21">
              <w:rPr>
                <w:lang w:val="es-ES_tradnl"/>
              </w:rPr>
              <w:t>Las reuniones electrónicas provisionales están abiertas a todos los Miembros del UIT-T y se admiten contribuciones de carácter estratégico. En particular, se necesitan contribuciones centradas en esferas de las que no se encargan claramente Comisiones de Estudio existentes.</w:t>
            </w:r>
          </w:p>
          <w:p w:rsidR="00A24B12" w:rsidRPr="00996C21" w:rsidRDefault="005568B6" w:rsidP="005568B6">
            <w:pPr>
              <w:pStyle w:val="Tabletext"/>
              <w:tabs>
                <w:tab w:val="clear" w:pos="1985"/>
              </w:tabs>
              <w:ind w:left="284" w:hanging="284"/>
              <w:jc w:val="left"/>
              <w:rPr>
                <w:lang w:val="es-ES_tradnl"/>
              </w:rPr>
            </w:pPr>
            <w:r w:rsidRPr="00996C21">
              <w:rPr>
                <w:lang w:val="es-ES_tradnl"/>
              </w:rPr>
              <w:t>•</w:t>
            </w:r>
            <w:r w:rsidRPr="00996C21">
              <w:rPr>
                <w:lang w:val="es-ES_tradnl"/>
              </w:rPr>
              <w:tab/>
              <w:t>Próxima reunión del GANT.</w:t>
            </w:r>
          </w:p>
        </w:tc>
      </w:tr>
      <w:tr w:rsidR="005568B6" w:rsidRPr="00996C21" w:rsidTr="001835B9">
        <w:trPr>
          <w:jc w:val="center"/>
        </w:trPr>
        <w:tc>
          <w:tcPr>
            <w:tcW w:w="1276" w:type="dxa"/>
            <w:shd w:val="clear" w:color="auto" w:fill="auto"/>
          </w:tcPr>
          <w:p w:rsidR="005568B6" w:rsidRPr="00996C21" w:rsidRDefault="005568B6" w:rsidP="005568B6">
            <w:pPr>
              <w:pStyle w:val="Tabletext"/>
              <w:rPr>
                <w:lang w:val="es-ES_tradnl"/>
              </w:rPr>
            </w:pPr>
            <w:r w:rsidRPr="00996C21">
              <w:rPr>
                <w:lang w:val="es-ES_tradnl"/>
              </w:rPr>
              <w:lastRenderedPageBreak/>
              <w:t>GR-WM</w:t>
            </w:r>
          </w:p>
        </w:tc>
        <w:tc>
          <w:tcPr>
            <w:tcW w:w="1285" w:type="dxa"/>
            <w:shd w:val="clear" w:color="auto" w:fill="auto"/>
          </w:tcPr>
          <w:p w:rsidR="005568B6" w:rsidRPr="00996C21" w:rsidRDefault="00006D57" w:rsidP="005568B6">
            <w:pPr>
              <w:pStyle w:val="Tabletext"/>
              <w:rPr>
                <w:lang w:val="es-ES_tradnl"/>
              </w:rPr>
            </w:pPr>
            <w:hyperlink r:id="rId87" w:history="1">
              <w:bookmarkStart w:id="242" w:name="lt_pId307"/>
              <w:r w:rsidR="00AE1D2C" w:rsidRPr="00996C21">
                <w:rPr>
                  <w:rStyle w:val="Hyperlink"/>
                  <w:lang w:val="es-ES_tradnl"/>
                </w:rPr>
                <w:t>TD135</w:t>
              </w:r>
              <w:bookmarkEnd w:id="242"/>
            </w:hyperlink>
          </w:p>
        </w:tc>
        <w:tc>
          <w:tcPr>
            <w:tcW w:w="3104" w:type="dxa"/>
            <w:shd w:val="clear" w:color="auto" w:fill="auto"/>
          </w:tcPr>
          <w:p w:rsidR="005568B6" w:rsidRPr="00996C21" w:rsidRDefault="005568B6" w:rsidP="005568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93"/>
              </w:tabs>
              <w:ind w:left="293" w:hanging="293"/>
              <w:rPr>
                <w:lang w:val="es-ES_tradnl"/>
              </w:rPr>
            </w:pPr>
            <w:bookmarkStart w:id="243" w:name="lt_pId308"/>
            <w:r w:rsidRPr="00996C21">
              <w:rPr>
                <w:lang w:val="es-ES_tradnl"/>
              </w:rPr>
              <w:t>Ningun</w:t>
            </w:r>
            <w:r w:rsidR="00A55180" w:rsidRPr="00996C21">
              <w:rPr>
                <w:lang w:val="es-ES_tradnl"/>
              </w:rPr>
              <w:t>a</w:t>
            </w:r>
            <w:r w:rsidRPr="00996C21">
              <w:rPr>
                <w:lang w:val="es-ES_tradnl"/>
              </w:rPr>
              <w:t>.</w:t>
            </w:r>
            <w:bookmarkEnd w:id="243"/>
          </w:p>
        </w:tc>
        <w:tc>
          <w:tcPr>
            <w:tcW w:w="3969" w:type="dxa"/>
            <w:shd w:val="clear" w:color="auto" w:fill="auto"/>
          </w:tcPr>
          <w:p w:rsidR="005568B6" w:rsidRPr="00996C21" w:rsidRDefault="005568B6" w:rsidP="007A599E">
            <w:pPr>
              <w:pStyle w:val="Tabletext"/>
              <w:tabs>
                <w:tab w:val="clear" w:pos="1985"/>
              </w:tabs>
              <w:ind w:left="284" w:hanging="284"/>
              <w:jc w:val="left"/>
              <w:rPr>
                <w:lang w:val="es-ES_tradnl"/>
              </w:rPr>
            </w:pPr>
            <w:r w:rsidRPr="00996C21">
              <w:rPr>
                <w:lang w:val="es-ES_tradnl"/>
              </w:rPr>
              <w:t>•</w:t>
            </w:r>
            <w:r w:rsidRPr="00996C21">
              <w:rPr>
                <w:lang w:val="es-ES_tradnl"/>
              </w:rPr>
              <w:tab/>
              <w:t xml:space="preserve">Reunión electrónica conjunta GR-SC </w:t>
            </w:r>
            <w:r w:rsidR="007A599E" w:rsidRPr="00996C21">
              <w:rPr>
                <w:lang w:val="es-ES_tradnl"/>
              </w:rPr>
              <w:t>y</w:t>
            </w:r>
            <w:r w:rsidRPr="00996C21">
              <w:rPr>
                <w:lang w:val="es-ES_tradnl"/>
              </w:rPr>
              <w:t xml:space="preserve"> GR-WM:</w:t>
            </w:r>
            <w:r w:rsidR="00A55180" w:rsidRPr="00996C21">
              <w:rPr>
                <w:lang w:val="es-ES_tradnl"/>
              </w:rPr>
              <w:t xml:space="preserve"> </w:t>
            </w:r>
            <w:r w:rsidR="007A599E" w:rsidRPr="00996C21">
              <w:rPr>
                <w:lang w:val="es-ES_tradnl"/>
              </w:rPr>
              <w:t>14 de mayo de 2018 (15.00</w:t>
            </w:r>
            <w:r w:rsidR="007A599E" w:rsidRPr="00996C21">
              <w:rPr>
                <w:lang w:val="es-ES_tradnl"/>
              </w:rPr>
              <w:noBreakHyphen/>
            </w:r>
            <w:r w:rsidRPr="00996C21">
              <w:rPr>
                <w:lang w:val="es-ES_tradnl"/>
              </w:rPr>
              <w:t xml:space="preserve">17.00 CEST) </w:t>
            </w:r>
            <w:r w:rsidRPr="00996C21">
              <w:rPr>
                <w:lang w:val="es-ES_tradnl"/>
              </w:rPr>
              <w:br/>
              <w:t>Armonización del mandato de la A.1 y la A.25 del UIT-T y cualquier aspecto afín de la A.4 y la A.6 del UIT-T.</w:t>
            </w:r>
          </w:p>
          <w:p w:rsidR="005568B6" w:rsidRPr="00996C21" w:rsidRDefault="005568B6" w:rsidP="005568B6">
            <w:pPr>
              <w:pStyle w:val="Tabletext"/>
              <w:tabs>
                <w:tab w:val="clear" w:pos="1985"/>
              </w:tabs>
              <w:ind w:left="284" w:hanging="284"/>
              <w:jc w:val="left"/>
              <w:rPr>
                <w:lang w:val="es-ES_tradnl"/>
              </w:rPr>
            </w:pPr>
            <w:r w:rsidRPr="00996C21">
              <w:rPr>
                <w:lang w:val="es-ES_tradnl"/>
              </w:rPr>
              <w:t>•</w:t>
            </w:r>
            <w:r w:rsidRPr="00996C21">
              <w:rPr>
                <w:lang w:val="es-ES_tradnl"/>
              </w:rPr>
              <w:tab/>
              <w:t>Reunión electrónica GR-WM:</w:t>
            </w:r>
            <w:r w:rsidRPr="00996C21">
              <w:rPr>
                <w:lang w:val="es-ES_tradnl"/>
              </w:rPr>
              <w:br/>
              <w:t xml:space="preserve">18 de junio de 2018 </w:t>
            </w:r>
            <w:r w:rsidR="007A599E" w:rsidRPr="00996C21">
              <w:rPr>
                <w:lang w:val="es-ES_tradnl"/>
              </w:rPr>
              <w:br/>
            </w:r>
            <w:r w:rsidRPr="00996C21">
              <w:rPr>
                <w:lang w:val="es-ES_tradnl"/>
              </w:rPr>
              <w:t>(15.00-17.00 CEST)</w:t>
            </w:r>
            <w:r w:rsidRPr="00996C21">
              <w:rPr>
                <w:lang w:val="es-ES_tradnl"/>
              </w:rPr>
              <w:br/>
              <w:t>Mandato: mejorar la A.1 y la A.13 del UIT-T y revisar el manual de editor y Relator, si hay tiempo para ello.</w:t>
            </w:r>
          </w:p>
          <w:p w:rsidR="005568B6" w:rsidRPr="00996C21" w:rsidRDefault="005568B6" w:rsidP="005568B6">
            <w:pPr>
              <w:pStyle w:val="Tabletext"/>
              <w:tabs>
                <w:tab w:val="clear" w:pos="1985"/>
              </w:tabs>
              <w:jc w:val="left"/>
              <w:rPr>
                <w:lang w:val="es-ES_tradnl"/>
              </w:rPr>
            </w:pPr>
            <w:r w:rsidRPr="00996C21">
              <w:rPr>
                <w:lang w:val="es-ES_tradnl"/>
              </w:rPr>
              <w:t>•</w:t>
            </w:r>
            <w:r w:rsidRPr="00996C21">
              <w:rPr>
                <w:lang w:val="es-ES_tradnl"/>
              </w:rPr>
              <w:tab/>
              <w:t>Próxima reunión del GANT.</w:t>
            </w:r>
          </w:p>
        </w:tc>
      </w:tr>
      <w:tr w:rsidR="005568B6" w:rsidRPr="00996C21" w:rsidTr="001835B9">
        <w:trPr>
          <w:jc w:val="center"/>
        </w:trPr>
        <w:tc>
          <w:tcPr>
            <w:tcW w:w="1276" w:type="dxa"/>
            <w:shd w:val="clear" w:color="auto" w:fill="auto"/>
          </w:tcPr>
          <w:p w:rsidR="005568B6" w:rsidRPr="00996C21" w:rsidRDefault="005568B6" w:rsidP="005568B6">
            <w:pPr>
              <w:pStyle w:val="Tabletext"/>
              <w:rPr>
                <w:lang w:val="es-ES_tradnl"/>
              </w:rPr>
            </w:pPr>
            <w:r w:rsidRPr="00996C21">
              <w:rPr>
                <w:lang w:val="es-ES_tradnl"/>
              </w:rPr>
              <w:t>GR-WP</w:t>
            </w:r>
          </w:p>
        </w:tc>
        <w:tc>
          <w:tcPr>
            <w:tcW w:w="1285" w:type="dxa"/>
            <w:shd w:val="clear" w:color="auto" w:fill="auto"/>
          </w:tcPr>
          <w:p w:rsidR="005568B6" w:rsidRPr="00996C21" w:rsidRDefault="00006D57" w:rsidP="005568B6">
            <w:pPr>
              <w:pStyle w:val="Tabletext"/>
              <w:rPr>
                <w:lang w:val="es-ES_tradnl"/>
              </w:rPr>
            </w:pPr>
            <w:hyperlink r:id="rId88" w:history="1">
              <w:bookmarkStart w:id="244" w:name="lt_pId318"/>
              <w:r w:rsidR="00AE1D2C" w:rsidRPr="00996C21">
                <w:rPr>
                  <w:rStyle w:val="Hyperlink"/>
                  <w:lang w:val="es-ES_tradnl"/>
                </w:rPr>
                <w:t>TD137-R1</w:t>
              </w:r>
              <w:bookmarkEnd w:id="244"/>
            </w:hyperlink>
          </w:p>
        </w:tc>
        <w:tc>
          <w:tcPr>
            <w:tcW w:w="3104" w:type="dxa"/>
            <w:shd w:val="clear" w:color="auto" w:fill="auto"/>
          </w:tcPr>
          <w:p w:rsidR="005568B6" w:rsidRPr="00996C21" w:rsidRDefault="005568B6" w:rsidP="005568B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93"/>
              </w:tabs>
              <w:ind w:left="293" w:hanging="293"/>
              <w:rPr>
                <w:lang w:val="es-ES_tradnl"/>
              </w:rPr>
            </w:pPr>
            <w:r w:rsidRPr="00996C21">
              <w:rPr>
                <w:lang w:val="es-ES_tradnl"/>
              </w:rPr>
              <w:t>Ningun</w:t>
            </w:r>
            <w:r w:rsidR="00A55180" w:rsidRPr="00996C21">
              <w:rPr>
                <w:lang w:val="es-ES_tradnl"/>
              </w:rPr>
              <w:t>a</w:t>
            </w:r>
            <w:r w:rsidRPr="00996C21">
              <w:rPr>
                <w:lang w:val="es-ES_tradnl"/>
              </w:rPr>
              <w:t>.</w:t>
            </w:r>
          </w:p>
        </w:tc>
        <w:tc>
          <w:tcPr>
            <w:tcW w:w="3969" w:type="dxa"/>
            <w:shd w:val="clear" w:color="auto" w:fill="auto"/>
          </w:tcPr>
          <w:p w:rsidR="005568B6" w:rsidRPr="00996C21" w:rsidRDefault="005568B6" w:rsidP="005568B6">
            <w:pPr>
              <w:pStyle w:val="Tabletext"/>
              <w:tabs>
                <w:tab w:val="clear" w:pos="1985"/>
              </w:tabs>
              <w:jc w:val="left"/>
              <w:rPr>
                <w:lang w:val="es-ES_tradnl"/>
              </w:rPr>
            </w:pPr>
            <w:r w:rsidRPr="00996C21">
              <w:rPr>
                <w:lang w:val="es-ES_tradnl"/>
              </w:rPr>
              <w:t>•</w:t>
            </w:r>
            <w:r w:rsidRPr="00996C21">
              <w:rPr>
                <w:lang w:val="es-ES_tradnl"/>
              </w:rPr>
              <w:tab/>
              <w:t>Próxima reunión del GANT.</w:t>
            </w:r>
          </w:p>
        </w:tc>
      </w:tr>
    </w:tbl>
    <w:p w:rsidR="005568B6" w:rsidRPr="00996C21" w:rsidRDefault="005568B6">
      <w:pPr>
        <w:tabs>
          <w:tab w:val="clear" w:pos="794"/>
          <w:tab w:val="clear" w:pos="1191"/>
          <w:tab w:val="clear" w:pos="1588"/>
          <w:tab w:val="clear" w:pos="1985"/>
        </w:tabs>
        <w:overflowPunct/>
        <w:autoSpaceDE/>
        <w:autoSpaceDN/>
        <w:adjustRightInd/>
        <w:spacing w:before="0"/>
        <w:textAlignment w:val="auto"/>
        <w:rPr>
          <w:lang w:val="es-ES_tradnl"/>
        </w:rPr>
      </w:pPr>
      <w:r w:rsidRPr="00996C21">
        <w:rPr>
          <w:lang w:val="es-ES_tradnl"/>
        </w:rPr>
        <w:br w:type="page"/>
      </w:r>
    </w:p>
    <w:p w:rsidR="005568B6" w:rsidRPr="00996C21" w:rsidRDefault="005568B6" w:rsidP="005568B6">
      <w:pPr>
        <w:pStyle w:val="AnnexNotitle"/>
        <w:spacing w:before="360" w:after="120"/>
        <w:rPr>
          <w:lang w:val="es-ES_tradnl"/>
        </w:rPr>
      </w:pPr>
      <w:bookmarkStart w:id="245" w:name="lt_pId321"/>
      <w:bookmarkStart w:id="246" w:name="_Toc508133748"/>
      <w:bookmarkStart w:id="247" w:name="_Toc516061219"/>
      <w:bookmarkStart w:id="248" w:name="anexo_b"/>
      <w:r w:rsidRPr="00996C21">
        <w:rPr>
          <w:lang w:val="es-ES_tradnl"/>
        </w:rPr>
        <w:lastRenderedPageBreak/>
        <w:t>Anexo B</w:t>
      </w:r>
      <w:bookmarkEnd w:id="245"/>
      <w:r w:rsidR="004F2222" w:rsidRPr="00996C21">
        <w:rPr>
          <w:lang w:val="es-ES_tradnl"/>
        </w:rPr>
        <w:br/>
      </w:r>
      <w:r w:rsidRPr="00996C21">
        <w:rPr>
          <w:lang w:val="es-ES_tradnl"/>
        </w:rPr>
        <w:br/>
        <w:t xml:space="preserve">Mandato del nuevo Grupo de Relator sobre el examen de las </w:t>
      </w:r>
      <w:r w:rsidR="004F2222" w:rsidRPr="00996C21">
        <w:rPr>
          <w:lang w:val="es-ES_tradnl"/>
        </w:rPr>
        <w:br/>
      </w:r>
      <w:r w:rsidRPr="00996C21">
        <w:rPr>
          <w:lang w:val="es-ES_tradnl"/>
        </w:rPr>
        <w:t>Resoluciones de la AMNT (GR-ResReview)</w:t>
      </w:r>
      <w:bookmarkStart w:id="249" w:name="lt_pId322"/>
      <w:bookmarkEnd w:id="246"/>
      <w:bookmarkEnd w:id="249"/>
      <w:bookmarkEnd w:id="247"/>
    </w:p>
    <w:bookmarkEnd w:id="248"/>
    <w:p w:rsidR="00AB7430" w:rsidRPr="00996C21" w:rsidRDefault="005568B6" w:rsidP="005568B6">
      <w:pPr>
        <w:pStyle w:val="Normalaftertitle"/>
        <w:rPr>
          <w:lang w:val="es-ES_tradnl"/>
        </w:rPr>
      </w:pPr>
      <w:r w:rsidRPr="00996C21">
        <w:rPr>
          <w:lang w:val="es-ES_tradnl"/>
        </w:rPr>
        <w:t>El Grupo de Relator sobre el examen de las Resoluciones de la AMNT (GR-ResReview) se crea para:</w:t>
      </w:r>
    </w:p>
    <w:p w:rsidR="005568B6" w:rsidRPr="00996C21" w:rsidRDefault="00075C67" w:rsidP="004E5382">
      <w:pPr>
        <w:pStyle w:val="enumlev1"/>
        <w:rPr>
          <w:lang w:val="es-ES_tradnl"/>
        </w:rPr>
      </w:pPr>
      <w:r w:rsidRPr="00996C21">
        <w:rPr>
          <w:lang w:val="es-ES_tradnl"/>
        </w:rPr>
        <w:t>1)</w:t>
      </w:r>
      <w:r w:rsidRPr="00996C21">
        <w:rPr>
          <w:lang w:val="es-ES_tradnl"/>
        </w:rPr>
        <w:tab/>
        <w:t>Revisar Resoluciones vigentes de la Asamblea Mundial de Normalización de las Telecomunicaciones (AMNT) para racionalizarlas, teniendo en cuenta las Resoluciones de la Conferencia de Plenipotenciarios y otros Sectores, según el caso.</w:t>
      </w:r>
    </w:p>
    <w:p w:rsidR="005568B6" w:rsidRPr="00996C21" w:rsidRDefault="005568B6" w:rsidP="005568B6">
      <w:pPr>
        <w:pStyle w:val="enumlev1"/>
        <w:rPr>
          <w:lang w:val="es-ES_tradnl"/>
        </w:rPr>
      </w:pPr>
      <w:r w:rsidRPr="00996C21">
        <w:rPr>
          <w:lang w:val="es-ES_tradnl"/>
        </w:rPr>
        <w:t>2)</w:t>
      </w:r>
      <w:r w:rsidRPr="00996C21">
        <w:rPr>
          <w:lang w:val="es-ES_tradnl"/>
        </w:rPr>
        <w:tab/>
        <w:t>Examinar las Resoluciones de la AMNT con miras a evitar repeticiones y duplicaciones con las Resoluciones de la Conferencia de Plenipotenciarios.</w:t>
      </w:r>
    </w:p>
    <w:p w:rsidR="005568B6" w:rsidRPr="00996C21" w:rsidRDefault="005568B6" w:rsidP="005568B6">
      <w:pPr>
        <w:pStyle w:val="enumlev1"/>
        <w:rPr>
          <w:lang w:val="es-ES_tradnl"/>
        </w:rPr>
      </w:pPr>
      <w:r w:rsidRPr="00996C21">
        <w:rPr>
          <w:lang w:val="es-ES_tradnl"/>
        </w:rPr>
        <w:t>3)</w:t>
      </w:r>
      <w:r w:rsidRPr="00996C21">
        <w:rPr>
          <w:lang w:val="es-ES_tradnl"/>
        </w:rPr>
        <w:tab/>
        <w:t>El Grupo de Relator está abierto a todos los Miembros del UIT-T.</w:t>
      </w:r>
    </w:p>
    <w:p w:rsidR="005F0A25" w:rsidRPr="00996C21" w:rsidRDefault="005F0A25" w:rsidP="005568B6">
      <w:pPr>
        <w:pStyle w:val="enumlev1"/>
        <w:rPr>
          <w:lang w:val="es-ES_tradnl"/>
        </w:rPr>
      </w:pPr>
      <w:r w:rsidRPr="00996C21">
        <w:rPr>
          <w:lang w:val="es-ES_tradnl"/>
        </w:rPr>
        <w:t>4)</w:t>
      </w:r>
      <w:r w:rsidRPr="00996C21">
        <w:rPr>
          <w:lang w:val="es-ES_tradnl"/>
        </w:rPr>
        <w:tab/>
        <w:t>El idioma de trabajo del Grupo de Relator será el inglés.</w:t>
      </w:r>
    </w:p>
    <w:p w:rsidR="005F0A25" w:rsidRPr="00996C21" w:rsidRDefault="005F0A25" w:rsidP="005568B6">
      <w:pPr>
        <w:pStyle w:val="enumlev1"/>
        <w:rPr>
          <w:lang w:val="es-ES_tradnl"/>
        </w:rPr>
      </w:pPr>
      <w:r w:rsidRPr="00996C21">
        <w:rPr>
          <w:lang w:val="es-ES_tradnl"/>
        </w:rPr>
        <w:t>5)</w:t>
      </w:r>
      <w:r w:rsidRPr="00996C21">
        <w:rPr>
          <w:lang w:val="es-ES_tradnl"/>
        </w:rPr>
        <w:tab/>
        <w:t>En las reuniones del Grupo de Relator no se utilizarán documentos impresos, sino que se emplearán métodos de trabajo electrónicos.</w:t>
      </w:r>
    </w:p>
    <w:p w:rsidR="005F0A25" w:rsidRPr="00996C21" w:rsidRDefault="005F0A25" w:rsidP="005F0A25">
      <w:pPr>
        <w:pStyle w:val="enumlev1"/>
        <w:rPr>
          <w:lang w:val="es-ES_tradnl"/>
        </w:rPr>
      </w:pPr>
      <w:r w:rsidRPr="00996C21">
        <w:rPr>
          <w:lang w:val="es-ES_tradnl"/>
        </w:rPr>
        <w:t>6)</w:t>
      </w:r>
      <w:r w:rsidRPr="00996C21">
        <w:rPr>
          <w:lang w:val="es-ES_tradnl"/>
        </w:rPr>
        <w:tab/>
        <w:t>El Grupo de Relator se reunirá en paralelo al GANT y normalmente no se reunirá al mismo ti</w:t>
      </w:r>
      <w:r w:rsidR="004F2222" w:rsidRPr="00996C21">
        <w:rPr>
          <w:lang w:val="es-ES_tradnl"/>
        </w:rPr>
        <w:t>empo que otro Grupo de Relator.</w:t>
      </w:r>
    </w:p>
    <w:p w:rsidR="005F0A25" w:rsidRPr="00996C21" w:rsidRDefault="005F0A25" w:rsidP="005F0A25">
      <w:pPr>
        <w:pStyle w:val="enumlev1"/>
        <w:rPr>
          <w:lang w:val="es-ES_tradnl"/>
        </w:rPr>
      </w:pPr>
      <w:r w:rsidRPr="00996C21">
        <w:rPr>
          <w:lang w:val="es-ES_tradnl"/>
        </w:rPr>
        <w:t>7)</w:t>
      </w:r>
      <w:r w:rsidRPr="00996C21">
        <w:rPr>
          <w:lang w:val="es-ES_tradnl"/>
        </w:rPr>
        <w:tab/>
        <w:t>El Grupo de Relator, si fuese necesario, programará reuniones adicionales entre las del GANT. Normalmente esas reuniones adicionales deberían ser electrónicas. En su caso, el Grupo de Relator podrá organizar una reunión presencial cuya duración no exceda de tres días hábiles y en paralelo a otras reuniones de Grupos de Relator, en la medida de lo posible.</w:t>
      </w:r>
    </w:p>
    <w:p w:rsidR="005F0A25" w:rsidRPr="00996C21" w:rsidRDefault="005F0A25" w:rsidP="005568B6">
      <w:pPr>
        <w:pStyle w:val="enumlev1"/>
        <w:rPr>
          <w:lang w:val="es-ES_tradnl"/>
        </w:rPr>
      </w:pPr>
      <w:r w:rsidRPr="00996C21">
        <w:rPr>
          <w:lang w:val="es-ES_tradnl"/>
        </w:rPr>
        <w:t>8)</w:t>
      </w:r>
      <w:r w:rsidRPr="00996C21">
        <w:rPr>
          <w:lang w:val="es-ES_tradnl"/>
        </w:rPr>
        <w:tab/>
        <w:t>El Presidente del GANT remitirá informes de situación periódicos al GANT cuando se considere apropiado.</w:t>
      </w:r>
    </w:p>
    <w:p w:rsidR="005F0A25" w:rsidRPr="00996C21" w:rsidRDefault="005F0A25">
      <w:pPr>
        <w:tabs>
          <w:tab w:val="clear" w:pos="794"/>
          <w:tab w:val="clear" w:pos="1191"/>
          <w:tab w:val="clear" w:pos="1588"/>
          <w:tab w:val="clear" w:pos="1985"/>
        </w:tabs>
        <w:overflowPunct/>
        <w:autoSpaceDE/>
        <w:autoSpaceDN/>
        <w:adjustRightInd/>
        <w:spacing w:before="0"/>
        <w:textAlignment w:val="auto"/>
        <w:rPr>
          <w:lang w:val="es-ES_tradnl"/>
        </w:rPr>
      </w:pPr>
      <w:r w:rsidRPr="00996C21">
        <w:rPr>
          <w:lang w:val="es-ES_tradnl"/>
        </w:rPr>
        <w:br w:type="page"/>
      </w:r>
    </w:p>
    <w:p w:rsidR="00FE4B8F" w:rsidRPr="00996C21" w:rsidRDefault="00FE4B8F" w:rsidP="00FE4B8F">
      <w:pPr>
        <w:pStyle w:val="AnnexNotitle"/>
        <w:rPr>
          <w:rFonts w:asciiTheme="majorBidi" w:hAnsiTheme="majorBidi" w:cstheme="majorBidi"/>
          <w:lang w:val="es-ES_tradnl"/>
        </w:rPr>
      </w:pPr>
      <w:bookmarkStart w:id="250" w:name="_Toc516061220"/>
      <w:bookmarkStart w:id="251" w:name="Anexo_C"/>
      <w:r w:rsidRPr="00996C21">
        <w:rPr>
          <w:rFonts w:asciiTheme="majorBidi" w:hAnsiTheme="majorBidi" w:cstheme="majorBidi"/>
          <w:lang w:val="es-ES_tradnl"/>
        </w:rPr>
        <w:lastRenderedPageBreak/>
        <w:t>Anexo C</w:t>
      </w:r>
      <w:r w:rsidR="004F2222" w:rsidRPr="00996C21">
        <w:rPr>
          <w:rFonts w:asciiTheme="majorBidi" w:hAnsiTheme="majorBidi" w:cstheme="majorBidi"/>
          <w:lang w:val="es-ES_tradnl"/>
        </w:rPr>
        <w:br/>
      </w:r>
      <w:r w:rsidRPr="00996C21">
        <w:rPr>
          <w:rFonts w:asciiTheme="majorBidi" w:hAnsiTheme="majorBidi" w:cstheme="majorBidi"/>
          <w:lang w:val="es-ES_tradnl"/>
        </w:rPr>
        <w:br/>
        <w:t xml:space="preserve">Mandato del Grupo de Relator del GANT sobre la </w:t>
      </w:r>
      <w:r w:rsidR="00C3373A" w:rsidRPr="00996C21">
        <w:rPr>
          <w:rFonts w:asciiTheme="majorBidi" w:hAnsiTheme="majorBidi" w:cstheme="majorBidi"/>
          <w:lang w:val="es-ES_tradnl"/>
        </w:rPr>
        <w:br/>
      </w:r>
      <w:r w:rsidRPr="00996C21">
        <w:rPr>
          <w:rFonts w:asciiTheme="majorBidi" w:hAnsiTheme="majorBidi" w:cstheme="majorBidi"/>
          <w:lang w:val="es-ES_tradnl"/>
        </w:rPr>
        <w:t>estrategia de normalización (GR-StdsStrat)</w:t>
      </w:r>
      <w:bookmarkEnd w:id="250"/>
    </w:p>
    <w:bookmarkEnd w:id="251"/>
    <w:p w:rsidR="00FE4B8F" w:rsidRPr="00996C21" w:rsidRDefault="00FE4B8F" w:rsidP="00FE4B8F">
      <w:pPr>
        <w:pStyle w:val="Headingb"/>
        <w:rPr>
          <w:lang w:val="es-ES_tradnl"/>
        </w:rPr>
      </w:pPr>
      <w:r w:rsidRPr="00996C21">
        <w:rPr>
          <w:lang w:val="es-ES_tradnl"/>
        </w:rPr>
        <w:t>Aspectos generales</w:t>
      </w:r>
    </w:p>
    <w:p w:rsidR="00FE4B8F" w:rsidRPr="00996C21" w:rsidRDefault="00FE4B8F" w:rsidP="00FE4B8F">
      <w:pPr>
        <w:rPr>
          <w:lang w:val="es-ES_tradnl"/>
        </w:rPr>
      </w:pPr>
      <w:r w:rsidRPr="00996C21">
        <w:rPr>
          <w:lang w:val="es-ES_tradnl"/>
        </w:rPr>
        <w:t>A fin de estudiar la necesidad de una función de coordinación estratégica en el UIT-T, se crea de la siguiente manera una función de estrategia de normalización:</w:t>
      </w:r>
    </w:p>
    <w:p w:rsidR="00FE4B8F" w:rsidRPr="00996C21" w:rsidRDefault="00FE4B8F" w:rsidP="00FE4B8F">
      <w:pPr>
        <w:pStyle w:val="enumlev1"/>
        <w:rPr>
          <w:lang w:val="es-ES_tradnl"/>
        </w:rPr>
      </w:pPr>
      <w:r w:rsidRPr="00996C21">
        <w:rPr>
          <w:lang w:val="es-ES_tradnl"/>
        </w:rPr>
        <w:t>a)</w:t>
      </w:r>
      <w:r w:rsidRPr="00996C21">
        <w:rPr>
          <w:lang w:val="es-ES_tradnl"/>
        </w:rPr>
        <w:tab/>
        <w:t>Creación de un Grupo de Relator del GANT que se denominará "Grupo de Relator sobre la estrategia de normalización" (GR-StdsStrat). El GR-StdsStrat servirá para proporcionar al GANT información estratégica para que la estudie con miras a asesorar al sector sobre acciones estratégicas.</w:t>
      </w:r>
    </w:p>
    <w:p w:rsidR="00FE4B8F" w:rsidRPr="00996C21" w:rsidRDefault="00FE4B8F" w:rsidP="00FE4B8F">
      <w:pPr>
        <w:pStyle w:val="enumlev1"/>
        <w:rPr>
          <w:lang w:val="es-ES_tradnl"/>
        </w:rPr>
      </w:pPr>
      <w:r w:rsidRPr="00996C21">
        <w:rPr>
          <w:lang w:val="es-ES_tradnl"/>
        </w:rPr>
        <w:t>b)</w:t>
      </w:r>
      <w:r w:rsidRPr="00996C21">
        <w:rPr>
          <w:lang w:val="es-ES_tradnl"/>
        </w:rPr>
        <w:tab/>
        <w:t>El GR-StdsStrat del GANT deberá atraer a la industria para que participe masivamente con miras a poder tener en cuenta las últimas tendencias técnicas y las necesidades del mercado.</w:t>
      </w:r>
    </w:p>
    <w:p w:rsidR="00FE4B8F" w:rsidRPr="00996C21" w:rsidRDefault="00FE4B8F" w:rsidP="00FE4B8F">
      <w:pPr>
        <w:pStyle w:val="enumlev1"/>
        <w:rPr>
          <w:lang w:val="es-ES_tradnl"/>
        </w:rPr>
      </w:pPr>
      <w:r w:rsidRPr="00996C21">
        <w:rPr>
          <w:lang w:val="es-ES_tradnl"/>
        </w:rPr>
        <w:t>c)</w:t>
      </w:r>
      <w:r w:rsidRPr="00996C21">
        <w:rPr>
          <w:lang w:val="es-ES_tradnl"/>
        </w:rPr>
        <w:tab/>
        <w:t xml:space="preserve">Las reuniones de CTO podrán ayudar al GR a abordar cuestiones estratégicas del Sector UIT-T y </w:t>
      </w:r>
      <w:r w:rsidR="00B15706" w:rsidRPr="00996C21">
        <w:rPr>
          <w:lang w:val="es-ES_tradnl"/>
        </w:rPr>
        <w:t xml:space="preserve">a </w:t>
      </w:r>
      <w:r w:rsidRPr="00996C21">
        <w:rPr>
          <w:lang w:val="es-ES_tradnl"/>
        </w:rPr>
        <w:t>aportar a los debates la opinión de la industria, pues ella es el principal componente de las actividades del UIT-T en el ámbito técnico. En la práctica, el GR podrá analizar las tendencias industriales y del mercado, definir orientaciones de normalización para el futuro y proponer en consecuencia nuevos temas para el GANT para su estudio en nombre del UIT-T, teniendo en cuenta la necesidad de cooperar con otros organismos de normalización y la escasez de recursos con que cuentan el UIT-T y la prerrogativa de sus Miembros de proponer nuevos temas de estudio.</w:t>
      </w:r>
    </w:p>
    <w:p w:rsidR="00FE4B8F" w:rsidRPr="00996C21" w:rsidRDefault="00FE4B8F" w:rsidP="00FE4B8F">
      <w:pPr>
        <w:pStyle w:val="enumlev1"/>
        <w:rPr>
          <w:lang w:val="es-ES_tradnl"/>
        </w:rPr>
      </w:pPr>
      <w:r w:rsidRPr="00996C21">
        <w:rPr>
          <w:lang w:val="es-ES_tradnl"/>
        </w:rPr>
        <w:t>d)</w:t>
      </w:r>
      <w:r w:rsidRPr="00996C21">
        <w:rPr>
          <w:lang w:val="es-ES_tradnl"/>
        </w:rPr>
        <w:tab/>
        <w:t>El GR-StdsStrat podrá coordinarse con los grupos pertinentes de otras organizaciones de normalización, según proceda, para, entre otras cosas, identificar los trabajos que puedan ser de su interés.</w:t>
      </w:r>
    </w:p>
    <w:p w:rsidR="00FE4B8F" w:rsidRPr="00996C21" w:rsidRDefault="00FE4B8F" w:rsidP="00FE4B8F">
      <w:pPr>
        <w:pStyle w:val="enumlev1"/>
        <w:rPr>
          <w:lang w:val="es-ES_tradnl"/>
        </w:rPr>
      </w:pPr>
      <w:r w:rsidRPr="00996C21">
        <w:rPr>
          <w:lang w:val="es-ES_tradnl"/>
        </w:rPr>
        <w:t>e)</w:t>
      </w:r>
      <w:r w:rsidRPr="00996C21">
        <w:rPr>
          <w:lang w:val="es-ES_tradnl"/>
        </w:rPr>
        <w:tab/>
        <w:t>El GR-StdsStrat se reunirá con la frecuencia suficiente para abordar los rápidos cambios de la tecnología y el mercado.</w:t>
      </w:r>
    </w:p>
    <w:p w:rsidR="00FE4B8F" w:rsidRPr="00996C21" w:rsidRDefault="00FE4B8F" w:rsidP="00FE4B8F">
      <w:pPr>
        <w:pStyle w:val="enumlev1"/>
        <w:rPr>
          <w:lang w:val="es-ES_tradnl"/>
        </w:rPr>
      </w:pPr>
      <w:r w:rsidRPr="00996C21">
        <w:rPr>
          <w:lang w:val="es-ES_tradnl"/>
        </w:rPr>
        <w:t>f)</w:t>
      </w:r>
      <w:r w:rsidRPr="00996C21">
        <w:rPr>
          <w:lang w:val="es-ES_tradnl"/>
        </w:rPr>
        <w:tab/>
        <w:t>En el seno del GR-StdsStrat se reducirán al mínimo los debates sobre temas procesales.</w:t>
      </w:r>
    </w:p>
    <w:p w:rsidR="00FE4B8F" w:rsidRPr="00996C21" w:rsidRDefault="00FE4B8F" w:rsidP="00FE4B8F">
      <w:pPr>
        <w:pStyle w:val="enumlev1"/>
        <w:rPr>
          <w:lang w:val="es-ES_tradnl"/>
        </w:rPr>
      </w:pPr>
      <w:r w:rsidRPr="00996C21">
        <w:rPr>
          <w:lang w:val="es-ES_tradnl"/>
        </w:rPr>
        <w:t>g)</w:t>
      </w:r>
      <w:r w:rsidRPr="00996C21">
        <w:rPr>
          <w:lang w:val="es-ES_tradnl"/>
        </w:rPr>
        <w:tab/>
        <w:t xml:space="preserve">Los debates del GR-StdsStrat deberán centrarse en el fondo de temas de normalización de posible interés para el </w:t>
      </w:r>
      <w:r w:rsidR="00117F55" w:rsidRPr="00996C21">
        <w:rPr>
          <w:lang w:val="es-ES_tradnl"/>
        </w:rPr>
        <w:t>UIT-T.</w:t>
      </w:r>
    </w:p>
    <w:p w:rsidR="005F0A25" w:rsidRPr="00996C21" w:rsidRDefault="00FE4B8F" w:rsidP="00FE4B8F">
      <w:pPr>
        <w:pStyle w:val="enumlev1"/>
        <w:rPr>
          <w:lang w:val="es-ES_tradnl"/>
        </w:rPr>
      </w:pPr>
      <w:r w:rsidRPr="00996C21">
        <w:rPr>
          <w:lang w:val="es-ES_tradnl"/>
        </w:rPr>
        <w:t>h)</w:t>
      </w:r>
      <w:r w:rsidRPr="00996C21">
        <w:rPr>
          <w:lang w:val="es-ES_tradnl"/>
        </w:rPr>
        <w:tab/>
        <w:t>Este grupo podrá solicitar y estudiar contribuciones procedentes de un amplio horizonte incluidas, entre otras, las obtenidas de consultas, expertos invitados, etc., a fin de abordar las necesidades de la industria y los temas estratégicos que puedan surgir.</w:t>
      </w:r>
    </w:p>
    <w:p w:rsidR="00FE4B8F" w:rsidRPr="00996C21" w:rsidRDefault="00FE4B8F" w:rsidP="00FE4B8F">
      <w:pPr>
        <w:pStyle w:val="Headingb"/>
        <w:rPr>
          <w:lang w:val="es-ES_tradnl"/>
        </w:rPr>
      </w:pPr>
      <w:r w:rsidRPr="00996C21">
        <w:rPr>
          <w:lang w:val="es-ES_tradnl"/>
        </w:rPr>
        <w:t>Mandato</w:t>
      </w:r>
    </w:p>
    <w:p w:rsidR="00FE4B8F" w:rsidRPr="00996C21" w:rsidRDefault="00FE4B8F" w:rsidP="00FE4B8F">
      <w:pPr>
        <w:rPr>
          <w:lang w:val="es-ES_tradnl"/>
        </w:rPr>
      </w:pPr>
      <w:r w:rsidRPr="00996C21">
        <w:rPr>
          <w:lang w:val="es-ES_tradnl"/>
        </w:rPr>
        <w:t>Habida cuenta de los objetivos del Plan Estratégico del UIT-T (Resolución 71 (Busán, 2014)), el mandato de este Grupo de Relator es el siguiente:</w:t>
      </w:r>
    </w:p>
    <w:p w:rsidR="00FE4B8F" w:rsidRPr="00996C21" w:rsidRDefault="00FE4B8F" w:rsidP="00FE4B8F">
      <w:pPr>
        <w:pStyle w:val="enumlev1"/>
        <w:rPr>
          <w:lang w:val="es-ES_tradnl"/>
        </w:rPr>
      </w:pPr>
      <w:r w:rsidRPr="00996C21">
        <w:rPr>
          <w:lang w:val="es-ES_tradnl"/>
        </w:rPr>
        <w:t>a)</w:t>
      </w:r>
      <w:r w:rsidRPr="00996C21">
        <w:rPr>
          <w:lang w:val="es-ES_tradnl"/>
        </w:rPr>
        <w:tab/>
        <w:t xml:space="preserve">Asesorar al GANT e informar a las CE sobre posibles estrategias de normalización para el Sector, identificando las principales tendencias tecnológicas y del mercado, así como las necesidades económicas y políticas en los ámbitos de actividad del UIT-T, lo que puede incluir, por ejemplo, la realización de análisis informales sobre las disparidades, de diálogo y consultas con la industria y de estudios de mercado, teniendo en cuenta las contribuciones e informaciones recibidas de grupos y actividades pertinentes de dentro (el Grupo CTO y </w:t>
      </w:r>
      <w:r w:rsidRPr="00996C21">
        <w:rPr>
          <w:i/>
          <w:iCs/>
          <w:lang w:val="es-ES_tradnl"/>
        </w:rPr>
        <w:t>Technology Watch</w:t>
      </w:r>
      <w:r w:rsidRPr="00996C21">
        <w:rPr>
          <w:lang w:val="es-ES_tradnl"/>
        </w:rPr>
        <w:t>) y de fuera del UIT-T. Los resultados del GR-StdsStrat no determinarán el trabajo de las Comisiones de Estudio. El GR-StdsStrat:</w:t>
      </w:r>
    </w:p>
    <w:p w:rsidR="00FE4B8F" w:rsidRPr="00996C21" w:rsidRDefault="00FE4B8F" w:rsidP="00075C67">
      <w:pPr>
        <w:pStyle w:val="enumlev2"/>
        <w:rPr>
          <w:lang w:val="es-ES_tradnl"/>
        </w:rPr>
      </w:pPr>
      <w:r w:rsidRPr="00996C21">
        <w:rPr>
          <w:lang w:val="es-ES_tradnl"/>
        </w:rPr>
        <w:lastRenderedPageBreak/>
        <w:t>–</w:t>
      </w:r>
      <w:r w:rsidRPr="00996C21">
        <w:rPr>
          <w:lang w:val="es-ES_tradnl"/>
        </w:rPr>
        <w:tab/>
        <w:t>Elaborará estrategias de normalización para tener en cuenta las principales tendencias técnicas y del mercado, así como las necesidades económicas y políticas para que las estudie el GANT.</w:t>
      </w:r>
    </w:p>
    <w:p w:rsidR="00FE4B8F" w:rsidRPr="00996C21" w:rsidRDefault="00FE4B8F" w:rsidP="00FE4B8F">
      <w:pPr>
        <w:pStyle w:val="enumlev2"/>
        <w:rPr>
          <w:lang w:val="es-ES_tradnl"/>
        </w:rPr>
      </w:pPr>
      <w:r w:rsidRPr="00996C21">
        <w:rPr>
          <w:lang w:val="es-ES_tradnl"/>
        </w:rPr>
        <w:t>–</w:t>
      </w:r>
      <w:r w:rsidRPr="00996C21">
        <w:rPr>
          <w:lang w:val="es-ES_tradnl"/>
        </w:rPr>
        <w:tab/>
        <w:t>Identificará temas y cuestiones posibles para su consideración en el GANT desde una perspectiva de normalización estratégica.</w:t>
      </w:r>
    </w:p>
    <w:p w:rsidR="00FE4B8F" w:rsidRPr="00996C21" w:rsidRDefault="00FE4B8F" w:rsidP="00FE4B8F">
      <w:pPr>
        <w:pStyle w:val="enumlev2"/>
        <w:rPr>
          <w:lang w:val="es-ES_tradnl"/>
        </w:rPr>
      </w:pPr>
      <w:r w:rsidRPr="00996C21">
        <w:rPr>
          <w:lang w:val="es-ES_tradnl"/>
        </w:rPr>
        <w:t>–</w:t>
      </w:r>
      <w:r w:rsidRPr="00996C21">
        <w:rPr>
          <w:lang w:val="es-ES_tradnl"/>
        </w:rPr>
        <w:tab/>
        <w:t>Aportará contribuciones al GANT en la elaboración de los Planes Estratégicos a largo plazo del Sector.</w:t>
      </w:r>
    </w:p>
    <w:p w:rsidR="00FE4B8F" w:rsidRPr="00996C21" w:rsidRDefault="00FE4B8F" w:rsidP="00FE4B8F">
      <w:pPr>
        <w:pStyle w:val="enumlev1"/>
        <w:rPr>
          <w:lang w:val="es-ES_tradnl"/>
        </w:rPr>
      </w:pPr>
      <w:r w:rsidRPr="00996C21">
        <w:rPr>
          <w:lang w:val="es-ES_tradnl"/>
        </w:rPr>
        <w:t>b)</w:t>
      </w:r>
      <w:r w:rsidRPr="00996C21">
        <w:rPr>
          <w:lang w:val="es-ES_tradnl"/>
        </w:rPr>
        <w:tab/>
        <w:t xml:space="preserve">Para avanzar y facilitar el debate en el Grupo de Relator, deberán seleccionarse "facilitadores" de entre los miembros del </w:t>
      </w:r>
      <w:r w:rsidR="006145F4" w:rsidRPr="00996C21">
        <w:rPr>
          <w:lang w:val="es-ES_tradnl"/>
        </w:rPr>
        <w:t xml:space="preserve">Grupo </w:t>
      </w:r>
      <w:r w:rsidRPr="00996C21">
        <w:rPr>
          <w:lang w:val="es-ES_tradnl"/>
        </w:rPr>
        <w:t>para informar sobre el fondo de cuestiones y asuntos.</w:t>
      </w:r>
    </w:p>
    <w:p w:rsidR="00FE4B8F" w:rsidRPr="00996C21" w:rsidRDefault="00075C67" w:rsidP="00FE4B8F">
      <w:pPr>
        <w:pStyle w:val="enumlev1"/>
        <w:rPr>
          <w:lang w:val="es-ES_tradnl"/>
        </w:rPr>
      </w:pPr>
      <w:r w:rsidRPr="00996C21">
        <w:rPr>
          <w:lang w:val="es-ES_tradnl"/>
        </w:rPr>
        <w:t>c)</w:t>
      </w:r>
      <w:r w:rsidRPr="00996C21">
        <w:rPr>
          <w:lang w:val="es-ES_tradnl"/>
        </w:rPr>
        <w:tab/>
        <w:t>En el Grupo de Relator pueden participar todos los Miembros del UIT-T. A discreción de su equipo de gestión, se podrá invitar a expertos a las reuniones importantes.</w:t>
      </w:r>
    </w:p>
    <w:p w:rsidR="00FE4B8F" w:rsidRPr="00996C21" w:rsidRDefault="00075C67" w:rsidP="00FE4B8F">
      <w:pPr>
        <w:pStyle w:val="enumlev1"/>
        <w:rPr>
          <w:lang w:val="es-ES_tradnl"/>
        </w:rPr>
      </w:pPr>
      <w:r w:rsidRPr="00996C21">
        <w:rPr>
          <w:lang w:val="es-ES_tradnl"/>
        </w:rPr>
        <w:t>d)</w:t>
      </w:r>
      <w:r w:rsidRPr="00996C21">
        <w:rPr>
          <w:lang w:val="es-ES_tradnl"/>
        </w:rPr>
        <w:tab/>
        <w:t xml:space="preserve">Se invita al Director de la TSB a desempeñar un papel asesor activo en el Grupo de Relator, en particular, para comunicar los resultados de </w:t>
      </w:r>
      <w:r w:rsidRPr="00996C21">
        <w:rPr>
          <w:i/>
          <w:iCs/>
          <w:lang w:val="es-ES_tradnl"/>
        </w:rPr>
        <w:t>Technology Watch</w:t>
      </w:r>
      <w:r w:rsidRPr="00996C21">
        <w:rPr>
          <w:lang w:val="es-ES_tradnl"/>
        </w:rPr>
        <w:t xml:space="preserve"> de conformidad con la Resolución 66 de la AMNT (Rev. Dubái, 2012) y de las reuniones de los CTO organizadas de conformidad con la Resolución 68 de la AMNT (Rev. Dubái, 2012).</w:t>
      </w:r>
    </w:p>
    <w:p w:rsidR="00FE4B8F" w:rsidRPr="00996C21" w:rsidRDefault="00FE4B8F" w:rsidP="00FE4B8F">
      <w:pPr>
        <w:pStyle w:val="enumlev1"/>
        <w:rPr>
          <w:lang w:val="es-ES_tradnl"/>
        </w:rPr>
      </w:pPr>
      <w:r w:rsidRPr="00996C21">
        <w:rPr>
          <w:lang w:val="es-ES_tradnl"/>
        </w:rPr>
        <w:t>e)</w:t>
      </w:r>
      <w:r w:rsidRPr="00996C21">
        <w:rPr>
          <w:lang w:val="es-ES_tradnl"/>
        </w:rPr>
        <w:tab/>
        <w:t>En la mayor medida posible, el GR-StdsStrat celebrará reuniones electrónicas y/o en paralelo a otras reuniones.</w:t>
      </w:r>
    </w:p>
    <w:p w:rsidR="00075C67" w:rsidRPr="00996C21" w:rsidRDefault="00075C67" w:rsidP="00C72E41">
      <w:pPr>
        <w:pStyle w:val="Reasons"/>
        <w:rPr>
          <w:lang w:val="es-ES_tradnl"/>
        </w:rPr>
      </w:pPr>
    </w:p>
    <w:p w:rsidR="00075C67" w:rsidRPr="00996C21" w:rsidRDefault="00075C67">
      <w:pPr>
        <w:jc w:val="center"/>
        <w:rPr>
          <w:lang w:val="es-ES_tradnl"/>
        </w:rPr>
      </w:pPr>
      <w:r w:rsidRPr="00996C21">
        <w:rPr>
          <w:lang w:val="es-ES_tradnl"/>
        </w:rPr>
        <w:t>______________</w:t>
      </w:r>
    </w:p>
    <w:sectPr w:rsidR="00075C67" w:rsidRPr="00996C21">
      <w:headerReference w:type="even" r:id="rId89"/>
      <w:headerReference w:type="default" r:id="rId90"/>
      <w:footerReference w:type="even" r:id="rId91"/>
      <w:footerReference w:type="default" r:id="rId92"/>
      <w:headerReference w:type="first" r:id="rId93"/>
      <w:footerReference w:type="first" r:id="rId9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897" w:rsidRDefault="00B05897">
      <w:r>
        <w:separator/>
      </w:r>
    </w:p>
  </w:endnote>
  <w:endnote w:type="continuationSeparator" w:id="0">
    <w:p w:rsidR="00B05897" w:rsidRDefault="00B0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57" w:rsidRDefault="00006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B0" w:rsidRPr="00006D57" w:rsidRDefault="008035B0" w:rsidP="00006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EB9" w:rsidRPr="00006D57" w:rsidRDefault="00BD0EB9" w:rsidP="00006D57">
    <w:pPr>
      <w:pStyle w:val="Footer"/>
    </w:pPr>
    <w:bookmarkStart w:id="252" w:name="_GoBack"/>
    <w:bookmarkEnd w:id="25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897" w:rsidRDefault="00B05897">
      <w:r>
        <w:t>____________________</w:t>
      </w:r>
    </w:p>
  </w:footnote>
  <w:footnote w:type="continuationSeparator" w:id="0">
    <w:p w:rsidR="00B05897" w:rsidRDefault="00B05897">
      <w:r>
        <w:continuationSeparator/>
      </w:r>
    </w:p>
  </w:footnote>
  <w:footnote w:id="1">
    <w:p w:rsidR="007461E5" w:rsidRPr="002432A7" w:rsidRDefault="007461E5" w:rsidP="007461E5">
      <w:pPr>
        <w:pStyle w:val="FootnoteText"/>
        <w:rPr>
          <w:rFonts w:asciiTheme="majorBidi" w:hAnsiTheme="majorBidi" w:cstheme="majorBidi"/>
        </w:rPr>
      </w:pPr>
      <w:r>
        <w:rPr>
          <w:rStyle w:val="FootnoteReference"/>
          <w:sz w:val="20"/>
        </w:rPr>
        <w:footnoteRef/>
      </w:r>
      <w:r>
        <w:rPr>
          <w:sz w:val="20"/>
        </w:rPr>
        <w:tab/>
      </w:r>
      <w:r>
        <w:t>Los archivos de difusión web pueden consultarse en</w:t>
      </w:r>
      <w:r>
        <w:rPr>
          <w:rFonts w:asciiTheme="majorBidi" w:hAnsiTheme="majorBidi"/>
        </w:rPr>
        <w:t xml:space="preserve"> </w:t>
      </w:r>
      <w:hyperlink r:id="rId1" w:history="1">
        <w:r>
          <w:rPr>
            <w:rStyle w:val="Hyperlink"/>
          </w:rPr>
          <w:t>https://www.itu.int/en/ITU-T/tsag/2017-2020/Pages/webcasts-l.aspx</w:t>
        </w:r>
      </w:hyperlink>
      <w:r>
        <w:rPr>
          <w:rFonts w:asciiTheme="majorBidi" w:hAnsiTheme="majorBidi"/>
        </w:rPr>
        <w:t xml:space="preserve">. Para ir al enlace directo a la difusión web pinche </w:t>
      </w:r>
      <w:hyperlink r:id="rId2" w:history="1">
        <w:r>
          <w:rPr>
            <w:rStyle w:val="Hyperlink"/>
            <w:rFonts w:asciiTheme="majorBidi" w:hAnsiTheme="majorBidi"/>
          </w:rPr>
          <w:t>aquí</w:t>
        </w:r>
      </w:hyperlink>
      <w:r>
        <w:rPr>
          <w:rFonts w:asciiTheme="majorBidi" w:hAnsiTheme="majorBid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57" w:rsidRDefault="00006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EB9" w:rsidRPr="00CF20F4" w:rsidRDefault="00BD0EB9" w:rsidP="009D21D9">
    <w:pPr>
      <w:pStyle w:val="Header"/>
    </w:pPr>
    <w:r>
      <w:t xml:space="preserve">- </w:t>
    </w:r>
    <w:r w:rsidRPr="00CF20F4">
      <w:fldChar w:fldCharType="begin"/>
    </w:r>
    <w:r w:rsidRPr="00CF20F4">
      <w:instrText xml:space="preserve"> PAGE  \* MERGEFORMAT </w:instrText>
    </w:r>
    <w:r w:rsidRPr="00CF20F4">
      <w:fldChar w:fldCharType="separate"/>
    </w:r>
    <w:r w:rsidR="00006D57">
      <w:rPr>
        <w:noProof/>
      </w:rPr>
      <w:t>2</w:t>
    </w:r>
    <w:r w:rsidRPr="00CF20F4">
      <w:fldChar w:fldCharType="end"/>
    </w:r>
    <w:r>
      <w:t xml:space="preserve"> -</w:t>
    </w:r>
  </w:p>
  <w:p w:rsidR="00BD0EB9" w:rsidRDefault="0046218C" w:rsidP="009D21D9">
    <w:pPr>
      <w:pStyle w:val="Header"/>
    </w:pPr>
    <w:fldSimple w:instr=" STYLEREF  Docnumber  ">
      <w:r w:rsidR="00006D57">
        <w:rPr>
          <w:noProof/>
        </w:rPr>
        <w:t>TSAG – R2 – S</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57" w:rsidRDefault="00006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73FBA"/>
    <w:multiLevelType w:val="multilevel"/>
    <w:tmpl w:val="7ADE36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2AE717D1"/>
    <w:multiLevelType w:val="hybridMultilevel"/>
    <w:tmpl w:val="7A28F712"/>
    <w:lvl w:ilvl="0" w:tplc="39668BC6">
      <w:start w:val="1"/>
      <w:numFmt w:val="decimal"/>
      <w:lvlText w:val="%1)"/>
      <w:lvlJc w:val="left"/>
      <w:pPr>
        <w:ind w:left="720" w:hanging="360"/>
      </w:pPr>
      <w:rPr>
        <w:rFonts w:hint="default"/>
        <w:sz w:val="24"/>
      </w:rPr>
    </w:lvl>
    <w:lvl w:ilvl="1" w:tplc="C8A28472">
      <w:start w:val="1"/>
      <w:numFmt w:val="lowerLetter"/>
      <w:lvlText w:val="%2."/>
      <w:lvlJc w:val="left"/>
      <w:pPr>
        <w:ind w:left="1440" w:hanging="360"/>
      </w:pPr>
    </w:lvl>
    <w:lvl w:ilvl="2" w:tplc="729683F0">
      <w:start w:val="1"/>
      <w:numFmt w:val="lowerRoman"/>
      <w:lvlText w:val="%3."/>
      <w:lvlJc w:val="right"/>
      <w:pPr>
        <w:ind w:left="2160" w:hanging="180"/>
      </w:pPr>
    </w:lvl>
    <w:lvl w:ilvl="3" w:tplc="00A4EAFE" w:tentative="1">
      <w:start w:val="1"/>
      <w:numFmt w:val="decimal"/>
      <w:lvlText w:val="%4."/>
      <w:lvlJc w:val="left"/>
      <w:pPr>
        <w:ind w:left="2880" w:hanging="360"/>
      </w:pPr>
    </w:lvl>
    <w:lvl w:ilvl="4" w:tplc="C8D655CC" w:tentative="1">
      <w:start w:val="1"/>
      <w:numFmt w:val="lowerLetter"/>
      <w:lvlText w:val="%5."/>
      <w:lvlJc w:val="left"/>
      <w:pPr>
        <w:ind w:left="3600" w:hanging="360"/>
      </w:pPr>
    </w:lvl>
    <w:lvl w:ilvl="5" w:tplc="DFA424DE" w:tentative="1">
      <w:start w:val="1"/>
      <w:numFmt w:val="lowerRoman"/>
      <w:lvlText w:val="%6."/>
      <w:lvlJc w:val="right"/>
      <w:pPr>
        <w:ind w:left="4320" w:hanging="180"/>
      </w:pPr>
    </w:lvl>
    <w:lvl w:ilvl="6" w:tplc="A184C08A" w:tentative="1">
      <w:start w:val="1"/>
      <w:numFmt w:val="decimal"/>
      <w:lvlText w:val="%7."/>
      <w:lvlJc w:val="left"/>
      <w:pPr>
        <w:ind w:left="5040" w:hanging="360"/>
      </w:pPr>
    </w:lvl>
    <w:lvl w:ilvl="7" w:tplc="1428C2DE" w:tentative="1">
      <w:start w:val="1"/>
      <w:numFmt w:val="lowerLetter"/>
      <w:lvlText w:val="%8."/>
      <w:lvlJc w:val="left"/>
      <w:pPr>
        <w:ind w:left="5760" w:hanging="360"/>
      </w:pPr>
    </w:lvl>
    <w:lvl w:ilvl="8" w:tplc="5B16B99C" w:tentative="1">
      <w:start w:val="1"/>
      <w:numFmt w:val="lowerRoman"/>
      <w:lvlText w:val="%9."/>
      <w:lvlJc w:val="right"/>
      <w:pPr>
        <w:ind w:left="6480" w:hanging="180"/>
      </w:pPr>
    </w:lvl>
  </w:abstractNum>
  <w:abstractNum w:abstractNumId="2" w15:restartNumberingAfterBreak="0">
    <w:nsid w:val="3DD72C2C"/>
    <w:multiLevelType w:val="hybridMultilevel"/>
    <w:tmpl w:val="3D2296D0"/>
    <w:lvl w:ilvl="0" w:tplc="46B048EC">
      <w:start w:val="1"/>
      <w:numFmt w:val="lowerLetter"/>
      <w:lvlText w:val="%1)"/>
      <w:lvlJc w:val="left"/>
      <w:pPr>
        <w:ind w:left="720" w:hanging="360"/>
      </w:pPr>
      <w:rPr>
        <w:rFonts w:hint="default"/>
      </w:rPr>
    </w:lvl>
    <w:lvl w:ilvl="1" w:tplc="F296F33A">
      <w:start w:val="1"/>
      <w:numFmt w:val="lowerLetter"/>
      <w:lvlText w:val="%2."/>
      <w:lvlJc w:val="left"/>
      <w:pPr>
        <w:ind w:left="1440" w:hanging="360"/>
      </w:pPr>
    </w:lvl>
    <w:lvl w:ilvl="2" w:tplc="BB9C0392">
      <w:start w:val="1"/>
      <w:numFmt w:val="lowerRoman"/>
      <w:lvlText w:val="%3."/>
      <w:lvlJc w:val="right"/>
      <w:pPr>
        <w:ind w:left="2160" w:hanging="180"/>
      </w:pPr>
    </w:lvl>
    <w:lvl w:ilvl="3" w:tplc="706C6D30" w:tentative="1">
      <w:start w:val="1"/>
      <w:numFmt w:val="decimal"/>
      <w:lvlText w:val="%4."/>
      <w:lvlJc w:val="left"/>
      <w:pPr>
        <w:ind w:left="2880" w:hanging="360"/>
      </w:pPr>
    </w:lvl>
    <w:lvl w:ilvl="4" w:tplc="46E8B91E" w:tentative="1">
      <w:start w:val="1"/>
      <w:numFmt w:val="lowerLetter"/>
      <w:lvlText w:val="%5."/>
      <w:lvlJc w:val="left"/>
      <w:pPr>
        <w:ind w:left="3600" w:hanging="360"/>
      </w:pPr>
    </w:lvl>
    <w:lvl w:ilvl="5" w:tplc="2410D5F8" w:tentative="1">
      <w:start w:val="1"/>
      <w:numFmt w:val="lowerRoman"/>
      <w:lvlText w:val="%6."/>
      <w:lvlJc w:val="right"/>
      <w:pPr>
        <w:ind w:left="4320" w:hanging="180"/>
      </w:pPr>
    </w:lvl>
    <w:lvl w:ilvl="6" w:tplc="06FAE232" w:tentative="1">
      <w:start w:val="1"/>
      <w:numFmt w:val="decimal"/>
      <w:lvlText w:val="%7."/>
      <w:lvlJc w:val="left"/>
      <w:pPr>
        <w:ind w:left="5040" w:hanging="360"/>
      </w:pPr>
    </w:lvl>
    <w:lvl w:ilvl="7" w:tplc="368CEAFC" w:tentative="1">
      <w:start w:val="1"/>
      <w:numFmt w:val="lowerLetter"/>
      <w:lvlText w:val="%8."/>
      <w:lvlJc w:val="left"/>
      <w:pPr>
        <w:ind w:left="5760" w:hanging="360"/>
      </w:pPr>
    </w:lvl>
    <w:lvl w:ilvl="8" w:tplc="4A16C062" w:tentative="1">
      <w:start w:val="1"/>
      <w:numFmt w:val="lowerRoman"/>
      <w:lvlText w:val="%9."/>
      <w:lvlJc w:val="right"/>
      <w:pPr>
        <w:ind w:left="6480" w:hanging="180"/>
      </w:pPr>
    </w:lvl>
  </w:abstractNum>
  <w:abstractNum w:abstractNumId="3" w15:restartNumberingAfterBreak="0">
    <w:nsid w:val="42DB18D0"/>
    <w:multiLevelType w:val="hybridMultilevel"/>
    <w:tmpl w:val="C4383C06"/>
    <w:lvl w:ilvl="0" w:tplc="362459DC">
      <w:start w:val="1"/>
      <w:numFmt w:val="bullet"/>
      <w:lvlText w:val=""/>
      <w:lvlJc w:val="left"/>
      <w:pPr>
        <w:ind w:left="720" w:hanging="360"/>
      </w:pPr>
      <w:rPr>
        <w:rFonts w:ascii="Symbol" w:hAnsi="Symbol" w:hint="default"/>
        <w:lang w:val="es-ES_tradnl"/>
      </w:rPr>
    </w:lvl>
    <w:lvl w:ilvl="1" w:tplc="4DDE9958" w:tentative="1">
      <w:start w:val="1"/>
      <w:numFmt w:val="bullet"/>
      <w:lvlText w:val="o"/>
      <w:lvlJc w:val="left"/>
      <w:pPr>
        <w:ind w:left="1440" w:hanging="360"/>
      </w:pPr>
      <w:rPr>
        <w:rFonts w:ascii="Courier New" w:hAnsi="Courier New" w:cs="Courier New" w:hint="default"/>
      </w:rPr>
    </w:lvl>
    <w:lvl w:ilvl="2" w:tplc="2EE44D36" w:tentative="1">
      <w:start w:val="1"/>
      <w:numFmt w:val="bullet"/>
      <w:lvlText w:val=""/>
      <w:lvlJc w:val="left"/>
      <w:pPr>
        <w:ind w:left="2160" w:hanging="360"/>
      </w:pPr>
      <w:rPr>
        <w:rFonts w:ascii="Wingdings" w:hAnsi="Wingdings" w:hint="default"/>
      </w:rPr>
    </w:lvl>
    <w:lvl w:ilvl="3" w:tplc="A5D42642" w:tentative="1">
      <w:start w:val="1"/>
      <w:numFmt w:val="bullet"/>
      <w:lvlText w:val=""/>
      <w:lvlJc w:val="left"/>
      <w:pPr>
        <w:ind w:left="2880" w:hanging="360"/>
      </w:pPr>
      <w:rPr>
        <w:rFonts w:ascii="Symbol" w:hAnsi="Symbol" w:hint="default"/>
      </w:rPr>
    </w:lvl>
    <w:lvl w:ilvl="4" w:tplc="F4923F72" w:tentative="1">
      <w:start w:val="1"/>
      <w:numFmt w:val="bullet"/>
      <w:lvlText w:val="o"/>
      <w:lvlJc w:val="left"/>
      <w:pPr>
        <w:ind w:left="3600" w:hanging="360"/>
      </w:pPr>
      <w:rPr>
        <w:rFonts w:ascii="Courier New" w:hAnsi="Courier New" w:cs="Courier New" w:hint="default"/>
      </w:rPr>
    </w:lvl>
    <w:lvl w:ilvl="5" w:tplc="6000511E" w:tentative="1">
      <w:start w:val="1"/>
      <w:numFmt w:val="bullet"/>
      <w:lvlText w:val=""/>
      <w:lvlJc w:val="left"/>
      <w:pPr>
        <w:ind w:left="4320" w:hanging="360"/>
      </w:pPr>
      <w:rPr>
        <w:rFonts w:ascii="Wingdings" w:hAnsi="Wingdings" w:hint="default"/>
      </w:rPr>
    </w:lvl>
    <w:lvl w:ilvl="6" w:tplc="3B62A146" w:tentative="1">
      <w:start w:val="1"/>
      <w:numFmt w:val="bullet"/>
      <w:lvlText w:val=""/>
      <w:lvlJc w:val="left"/>
      <w:pPr>
        <w:ind w:left="5040" w:hanging="360"/>
      </w:pPr>
      <w:rPr>
        <w:rFonts w:ascii="Symbol" w:hAnsi="Symbol" w:hint="default"/>
      </w:rPr>
    </w:lvl>
    <w:lvl w:ilvl="7" w:tplc="9A841FE4" w:tentative="1">
      <w:start w:val="1"/>
      <w:numFmt w:val="bullet"/>
      <w:lvlText w:val="o"/>
      <w:lvlJc w:val="left"/>
      <w:pPr>
        <w:ind w:left="5760" w:hanging="360"/>
      </w:pPr>
      <w:rPr>
        <w:rFonts w:ascii="Courier New" w:hAnsi="Courier New" w:cs="Courier New" w:hint="default"/>
      </w:rPr>
    </w:lvl>
    <w:lvl w:ilvl="8" w:tplc="D86A19C2" w:tentative="1">
      <w:start w:val="1"/>
      <w:numFmt w:val="bullet"/>
      <w:lvlText w:val=""/>
      <w:lvlJc w:val="left"/>
      <w:pPr>
        <w:ind w:left="6480" w:hanging="360"/>
      </w:pPr>
      <w:rPr>
        <w:rFonts w:ascii="Wingdings" w:hAnsi="Wingdings" w:hint="default"/>
      </w:rPr>
    </w:lvl>
  </w:abstractNum>
  <w:abstractNum w:abstractNumId="4" w15:restartNumberingAfterBreak="0">
    <w:nsid w:val="643D47F9"/>
    <w:multiLevelType w:val="hybridMultilevel"/>
    <w:tmpl w:val="A246BF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D9"/>
    <w:rsid w:val="00006D57"/>
    <w:rsid w:val="000249B5"/>
    <w:rsid w:val="00034C67"/>
    <w:rsid w:val="00075C67"/>
    <w:rsid w:val="0008406E"/>
    <w:rsid w:val="000943E7"/>
    <w:rsid w:val="000A17EB"/>
    <w:rsid w:val="000D200E"/>
    <w:rsid w:val="00103412"/>
    <w:rsid w:val="00117F55"/>
    <w:rsid w:val="001819D2"/>
    <w:rsid w:val="001835B9"/>
    <w:rsid w:val="001D156E"/>
    <w:rsid w:val="001D3D5B"/>
    <w:rsid w:val="002235E8"/>
    <w:rsid w:val="00225AAF"/>
    <w:rsid w:val="00234131"/>
    <w:rsid w:val="00235B5F"/>
    <w:rsid w:val="00261D84"/>
    <w:rsid w:val="00283930"/>
    <w:rsid w:val="002B6A28"/>
    <w:rsid w:val="002C4B93"/>
    <w:rsid w:val="002D02FB"/>
    <w:rsid w:val="002D05FE"/>
    <w:rsid w:val="002E0AFA"/>
    <w:rsid w:val="002E5471"/>
    <w:rsid w:val="002F35A0"/>
    <w:rsid w:val="003109A7"/>
    <w:rsid w:val="00325011"/>
    <w:rsid w:val="003321E6"/>
    <w:rsid w:val="00353194"/>
    <w:rsid w:val="0038444D"/>
    <w:rsid w:val="003856DE"/>
    <w:rsid w:val="003865B1"/>
    <w:rsid w:val="003872B7"/>
    <w:rsid w:val="003D5F6C"/>
    <w:rsid w:val="003E1EBD"/>
    <w:rsid w:val="003E7C0B"/>
    <w:rsid w:val="003F329B"/>
    <w:rsid w:val="00406389"/>
    <w:rsid w:val="00414155"/>
    <w:rsid w:val="004362FE"/>
    <w:rsid w:val="0044042C"/>
    <w:rsid w:val="0046218C"/>
    <w:rsid w:val="004D10EF"/>
    <w:rsid w:val="004E391F"/>
    <w:rsid w:val="004E41B6"/>
    <w:rsid w:val="004E5382"/>
    <w:rsid w:val="004F2222"/>
    <w:rsid w:val="00552F3F"/>
    <w:rsid w:val="005568B6"/>
    <w:rsid w:val="00570E50"/>
    <w:rsid w:val="00574FA8"/>
    <w:rsid w:val="00594A85"/>
    <w:rsid w:val="00597D96"/>
    <w:rsid w:val="005A7F3E"/>
    <w:rsid w:val="005F0A25"/>
    <w:rsid w:val="005F0B4E"/>
    <w:rsid w:val="006145F4"/>
    <w:rsid w:val="00620861"/>
    <w:rsid w:val="00624040"/>
    <w:rsid w:val="006329C8"/>
    <w:rsid w:val="00637098"/>
    <w:rsid w:val="00637186"/>
    <w:rsid w:val="00643514"/>
    <w:rsid w:val="00644DA8"/>
    <w:rsid w:val="0066316F"/>
    <w:rsid w:val="00674C58"/>
    <w:rsid w:val="006864EF"/>
    <w:rsid w:val="00690156"/>
    <w:rsid w:val="006902C8"/>
    <w:rsid w:val="00692E20"/>
    <w:rsid w:val="006C28C3"/>
    <w:rsid w:val="006E3FAF"/>
    <w:rsid w:val="006E64DD"/>
    <w:rsid w:val="00743203"/>
    <w:rsid w:val="007461E5"/>
    <w:rsid w:val="007665B9"/>
    <w:rsid w:val="00784CE6"/>
    <w:rsid w:val="007A02A2"/>
    <w:rsid w:val="007A599E"/>
    <w:rsid w:val="007C533B"/>
    <w:rsid w:val="007D5EFE"/>
    <w:rsid w:val="007F0903"/>
    <w:rsid w:val="007F5425"/>
    <w:rsid w:val="008035B0"/>
    <w:rsid w:val="00812D53"/>
    <w:rsid w:val="0089136E"/>
    <w:rsid w:val="008A08CB"/>
    <w:rsid w:val="008B0791"/>
    <w:rsid w:val="008F0C89"/>
    <w:rsid w:val="0092075D"/>
    <w:rsid w:val="009501E7"/>
    <w:rsid w:val="009723D7"/>
    <w:rsid w:val="00996C21"/>
    <w:rsid w:val="009C28BD"/>
    <w:rsid w:val="009D21D9"/>
    <w:rsid w:val="009E03F1"/>
    <w:rsid w:val="009F1C8A"/>
    <w:rsid w:val="009F7E4F"/>
    <w:rsid w:val="00A24B12"/>
    <w:rsid w:val="00A44806"/>
    <w:rsid w:val="00A5346F"/>
    <w:rsid w:val="00A55180"/>
    <w:rsid w:val="00A60290"/>
    <w:rsid w:val="00A8413C"/>
    <w:rsid w:val="00A86CF9"/>
    <w:rsid w:val="00AA7572"/>
    <w:rsid w:val="00AB3694"/>
    <w:rsid w:val="00AB7430"/>
    <w:rsid w:val="00AC0E9C"/>
    <w:rsid w:val="00AC6C46"/>
    <w:rsid w:val="00AD34E3"/>
    <w:rsid w:val="00AE1D2C"/>
    <w:rsid w:val="00AF38CA"/>
    <w:rsid w:val="00AF5CB2"/>
    <w:rsid w:val="00B05897"/>
    <w:rsid w:val="00B15706"/>
    <w:rsid w:val="00B314B3"/>
    <w:rsid w:val="00B55F90"/>
    <w:rsid w:val="00B73B3E"/>
    <w:rsid w:val="00B84A8A"/>
    <w:rsid w:val="00B86DBE"/>
    <w:rsid w:val="00BA736B"/>
    <w:rsid w:val="00BD0EB9"/>
    <w:rsid w:val="00BD458E"/>
    <w:rsid w:val="00BF0669"/>
    <w:rsid w:val="00C141A8"/>
    <w:rsid w:val="00C21435"/>
    <w:rsid w:val="00C32B4B"/>
    <w:rsid w:val="00C3373A"/>
    <w:rsid w:val="00C72E41"/>
    <w:rsid w:val="00C82F2A"/>
    <w:rsid w:val="00C93039"/>
    <w:rsid w:val="00C97991"/>
    <w:rsid w:val="00C97AA0"/>
    <w:rsid w:val="00CB3851"/>
    <w:rsid w:val="00CD7AD1"/>
    <w:rsid w:val="00D0542D"/>
    <w:rsid w:val="00D242F1"/>
    <w:rsid w:val="00D24AE5"/>
    <w:rsid w:val="00D41C6B"/>
    <w:rsid w:val="00D50E52"/>
    <w:rsid w:val="00D67FB0"/>
    <w:rsid w:val="00D87114"/>
    <w:rsid w:val="00D96B05"/>
    <w:rsid w:val="00E055AF"/>
    <w:rsid w:val="00E102CD"/>
    <w:rsid w:val="00E453ED"/>
    <w:rsid w:val="00E55484"/>
    <w:rsid w:val="00E71079"/>
    <w:rsid w:val="00E82EF6"/>
    <w:rsid w:val="00E92DCE"/>
    <w:rsid w:val="00EA3B47"/>
    <w:rsid w:val="00EB58D4"/>
    <w:rsid w:val="00EC33C1"/>
    <w:rsid w:val="00F22E80"/>
    <w:rsid w:val="00F27D4B"/>
    <w:rsid w:val="00F323AC"/>
    <w:rsid w:val="00F777A4"/>
    <w:rsid w:val="00FA3D5C"/>
    <w:rsid w:val="00FB0E20"/>
    <w:rsid w:val="00FC137E"/>
    <w:rsid w:val="00FD40CF"/>
    <w:rsid w:val="00FE4B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9233E7-350E-4D29-BDC8-A0A8A6E4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s-E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1D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CEO_Hyperlink,超级链接,Style 58,하이퍼링크2,超?级链,하이퍼링크21,超链接1,超????"/>
    <w:basedOn w:val="DefaultParagraphFont"/>
    <w:uiPriority w:val="99"/>
    <w:unhideWhenUsed/>
    <w:qFormat/>
    <w:rsid w:val="009D21D9"/>
    <w:rPr>
      <w:color w:val="0000FF" w:themeColor="hyperlink"/>
      <w:u w:val="single"/>
    </w:rPr>
  </w:style>
  <w:style w:type="paragraph" w:customStyle="1" w:styleId="Docnumber">
    <w:name w:val="Docnumber"/>
    <w:basedOn w:val="Normal"/>
    <w:link w:val="DocnumberChar"/>
    <w:qFormat/>
    <w:rsid w:val="009D21D9"/>
    <w:pPr>
      <w:jc w:val="right"/>
    </w:pPr>
    <w:rPr>
      <w:rFonts w:eastAsia="SimSun"/>
      <w:b/>
      <w:sz w:val="32"/>
    </w:rPr>
  </w:style>
  <w:style w:type="character" w:customStyle="1" w:styleId="DocnumberChar">
    <w:name w:val="Docnumber Char"/>
    <w:link w:val="Docnumber"/>
    <w:rsid w:val="009D21D9"/>
    <w:rPr>
      <w:rFonts w:ascii="Times New Roman" w:eastAsia="SimSun" w:hAnsi="Times New Roman"/>
      <w:b/>
      <w:sz w:val="32"/>
      <w:lang w:val="es-ES" w:eastAsia="en-US"/>
    </w:rPr>
  </w:style>
  <w:style w:type="character" w:customStyle="1" w:styleId="HeaderChar">
    <w:name w:val="Header Char"/>
    <w:basedOn w:val="DefaultParagraphFont"/>
    <w:link w:val="Header"/>
    <w:rsid w:val="009D21D9"/>
    <w:rPr>
      <w:rFonts w:ascii="Times New Roman" w:hAnsi="Times New Roman"/>
      <w:sz w:val="18"/>
      <w:lang w:val="es-ES" w:eastAsia="en-US"/>
    </w:rPr>
  </w:style>
  <w:style w:type="paragraph" w:styleId="ListParagraph">
    <w:name w:val="List Paragraph"/>
    <w:basedOn w:val="Normal"/>
    <w:uiPriority w:val="34"/>
    <w:qFormat/>
    <w:rsid w:val="00FD40CF"/>
    <w:pPr>
      <w:ind w:left="720"/>
      <w:contextualSpacing/>
    </w:pPr>
  </w:style>
  <w:style w:type="character" w:styleId="FollowedHyperlink">
    <w:name w:val="FollowedHyperlink"/>
    <w:basedOn w:val="DefaultParagraphFont"/>
    <w:semiHidden/>
    <w:unhideWhenUsed/>
    <w:rsid w:val="002E0AFA"/>
    <w:rPr>
      <w:color w:val="800080" w:themeColor="followedHyperlink"/>
      <w:u w:val="single"/>
    </w:rPr>
  </w:style>
  <w:style w:type="table" w:styleId="TableGrid">
    <w:name w:val="Table Grid"/>
    <w:basedOn w:val="TableNormal"/>
    <w:rsid w:val="00A24B1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FE4B8F"/>
    <w:rPr>
      <w:rFonts w:ascii="Times New Roman" w:hAnsi="Times New Roman"/>
      <w:sz w:val="24"/>
      <w:lang w:val="es-ES" w:eastAsia="en-US"/>
    </w:rPr>
  </w:style>
  <w:style w:type="paragraph" w:customStyle="1" w:styleId="Reasons">
    <w:name w:val="Reasons"/>
    <w:basedOn w:val="Normal"/>
    <w:qFormat/>
    <w:rsid w:val="00075C67"/>
    <w:pPr>
      <w:tabs>
        <w:tab w:val="clear" w:pos="794"/>
        <w:tab w:val="clear" w:pos="1191"/>
        <w:tab w:val="clear" w:pos="1588"/>
        <w:tab w:val="clear" w:pos="1985"/>
      </w:tabs>
      <w:overflowPunct/>
      <w:autoSpaceDE/>
      <w:autoSpaceDN/>
      <w:adjustRightInd/>
      <w:spacing w:before="0"/>
      <w:textAlignment w:val="auto"/>
    </w:pPr>
  </w:style>
  <w:style w:type="character" w:customStyle="1" w:styleId="AnnexNotitleChar">
    <w:name w:val="Annex_No &amp; title Char"/>
    <w:link w:val="AnnexNotitle"/>
    <w:locked/>
    <w:rsid w:val="00743203"/>
    <w:rPr>
      <w:rFonts w:ascii="Times New Roman" w:hAnsi="Times New Roman"/>
      <w:b/>
      <w:sz w:val="28"/>
      <w:lang w:eastAsia="en-US"/>
    </w:rPr>
  </w:style>
  <w:style w:type="character" w:customStyle="1" w:styleId="TabletextChar">
    <w:name w:val="Table_text Char"/>
    <w:link w:val="Tabletext"/>
    <w:locked/>
    <w:rsid w:val="001835B9"/>
    <w:rPr>
      <w:rFonts w:ascii="Times New Roman" w:hAnsi="Times New Roman"/>
      <w:sz w:val="22"/>
      <w:lang w:eastAsia="en-US"/>
    </w:rPr>
  </w:style>
  <w:style w:type="paragraph" w:styleId="Revision">
    <w:name w:val="Revision"/>
    <w:hidden/>
    <w:uiPriority w:val="99"/>
    <w:semiHidden/>
    <w:rsid w:val="007A02A2"/>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180226-TD-GEN-0169/es" TargetMode="External"/><Relationship Id="rId18" Type="http://schemas.openxmlformats.org/officeDocument/2006/relationships/hyperlink" Target="https://www.itu.int/md/T17-TSAG-180226-TD-GEN-0138/es" TargetMode="External"/><Relationship Id="rId26" Type="http://schemas.openxmlformats.org/officeDocument/2006/relationships/hyperlink" Target="https://www.itu.int/md/T17-TSAG-180226-TD-GEN-0207/es" TargetMode="External"/><Relationship Id="rId39" Type="http://schemas.openxmlformats.org/officeDocument/2006/relationships/hyperlink" Target="https://www.itu.int/md/meetingdoc.asp?lang=en&amp;parent=T17-TSAG-180226-TD-GEN-0198" TargetMode="External"/><Relationship Id="rId21" Type="http://schemas.openxmlformats.org/officeDocument/2006/relationships/hyperlink" Target="https://www.itu.int/md/T17-TSAG-180226-TD-GEN-0145/es" TargetMode="External"/><Relationship Id="rId34" Type="http://schemas.openxmlformats.org/officeDocument/2006/relationships/hyperlink" Target="https://www.itu.int/md/meetingdoc.asp?lang=en&amp;parent=T17-TSAG-180226-TD-GEN-0249" TargetMode="External"/><Relationship Id="rId42" Type="http://schemas.openxmlformats.org/officeDocument/2006/relationships/hyperlink" Target="https://www.itu.int/md/T17-TSAG-180226-TD-GEN-0270/es" TargetMode="External"/><Relationship Id="rId47" Type="http://schemas.openxmlformats.org/officeDocument/2006/relationships/hyperlink" Target="https://www.itu.int/md/meetingdoc.asp?lang=en&amp;parent=T17-TSAG-C-0026" TargetMode="External"/><Relationship Id="rId50" Type="http://schemas.openxmlformats.org/officeDocument/2006/relationships/hyperlink" Target="https://www.itu.int/md/meetingdoc.asp?lang=en&amp;parent=T17-TSAG-180226-TD-GEN-0241" TargetMode="External"/><Relationship Id="rId55" Type="http://schemas.openxmlformats.org/officeDocument/2006/relationships/hyperlink" Target="https://www.itu.int/md/meetingdoc.asp?lang=en&amp;parent=T17-TSAG-180226-TD-GEN-0267" TargetMode="External"/><Relationship Id="rId63" Type="http://schemas.openxmlformats.org/officeDocument/2006/relationships/hyperlink" Target="https://www.itu.int/md/meetingdoc.asp?lang=en&amp;parent=T17-TSAG-180226-TD-GEN-0133" TargetMode="External"/><Relationship Id="rId68" Type="http://schemas.openxmlformats.org/officeDocument/2006/relationships/hyperlink" Target="https://www.itu.int/md/meetingdoc.asp?lang=en&amp;parent=T17-TSAG-180226-TD-GEN-0248" TargetMode="External"/><Relationship Id="rId76" Type="http://schemas.openxmlformats.org/officeDocument/2006/relationships/hyperlink" Target="https://www.itu.int/md/meetingdoc.asp?lang=en&amp;parent=T17-TSAG-180226-TD-GEN-0245" TargetMode="External"/><Relationship Id="rId84" Type="http://schemas.openxmlformats.org/officeDocument/2006/relationships/hyperlink" Target="https://www.itu.int/md/meetingdoc.asp?lang=en&amp;parent=T17-TSAG-180226-TD-GEN-0133"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itu.int/md/meetingdoc.asp?lang=en&amp;parent=T17-TSAG-180226-TD-GEN-0193"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T17-TSAG-180226-TD-GEN-0123/es" TargetMode="External"/><Relationship Id="rId29" Type="http://schemas.openxmlformats.org/officeDocument/2006/relationships/hyperlink" Target="https://www.itu.int/md/T17-TSAG-180226-TD-GEN-0197/es" TargetMode="External"/><Relationship Id="rId11" Type="http://schemas.openxmlformats.org/officeDocument/2006/relationships/hyperlink" Target="https://www.itu.int/md/T17-TSAG-180226-TD-GEN-0125/es" TargetMode="External"/><Relationship Id="rId24" Type="http://schemas.openxmlformats.org/officeDocument/2006/relationships/hyperlink" Target="https://www.itu.int/md/T17-TSAG-180226-TD-GEN-0247/es" TargetMode="External"/><Relationship Id="rId32" Type="http://schemas.openxmlformats.org/officeDocument/2006/relationships/hyperlink" Target="https://www.itu.int/md/T17-TSAG-180226-TD-GEN-0233/es" TargetMode="External"/><Relationship Id="rId37" Type="http://schemas.openxmlformats.org/officeDocument/2006/relationships/hyperlink" Target="https://www.itu.int/md/meetingdoc.asp?lang=en&amp;parent=T17-TSAG-180226-TD-GEN-0217" TargetMode="External"/><Relationship Id="rId40" Type="http://schemas.openxmlformats.org/officeDocument/2006/relationships/hyperlink" Target="https://www.itu.int/md/T17-TSAG-C-0042/es" TargetMode="External"/><Relationship Id="rId45" Type="http://schemas.openxmlformats.org/officeDocument/2006/relationships/hyperlink" Target="https://www.itu.int/md/meetingdoc.asp?lang=en&amp;parent=T17-TSAG-C-0043" TargetMode="External"/><Relationship Id="rId53" Type="http://schemas.openxmlformats.org/officeDocument/2006/relationships/hyperlink" Target="https://www.itu.int/md/meetingdoc.asp?lang=en&amp;parent=T17-TSAG-180226-TD-GEN-0240" TargetMode="External"/><Relationship Id="rId58" Type="http://schemas.openxmlformats.org/officeDocument/2006/relationships/hyperlink" Target="https://www.itu.int/md/meetingdoc.asp?lang=en&amp;parent=T17-TSAG-C-0033" TargetMode="External"/><Relationship Id="rId66" Type="http://schemas.openxmlformats.org/officeDocument/2006/relationships/hyperlink" Target="https://www.itu.int/md/meetingdoc.asp?lang=en&amp;parent=T17-TSAG-180226-TD-GEN-0137" TargetMode="External"/><Relationship Id="rId74" Type="http://schemas.openxmlformats.org/officeDocument/2006/relationships/hyperlink" Target="https://www.itu.int/md/T17-TSAG-180226-TD-GEN-0211/es" TargetMode="External"/><Relationship Id="rId79" Type="http://schemas.openxmlformats.org/officeDocument/2006/relationships/hyperlink" Target="https://www.itu.int/md/meetingdoc.asp?lang=en&amp;parent=T17-TSAG-180226-TD-GEN-0245" TargetMode="External"/><Relationship Id="rId87" Type="http://schemas.openxmlformats.org/officeDocument/2006/relationships/hyperlink" Target="https://www.itu.int/md/meetingdoc.asp?lang=en&amp;parent=T17-TSAG-180226-TD-GEN-0135" TargetMode="External"/><Relationship Id="rId5" Type="http://schemas.openxmlformats.org/officeDocument/2006/relationships/webSettings" Target="webSettings.xml"/><Relationship Id="rId61" Type="http://schemas.openxmlformats.org/officeDocument/2006/relationships/hyperlink" Target="https://www.itu.int/md/meetingdoc.asp?lang=en&amp;parent=T17-TSAG-C-0030" TargetMode="External"/><Relationship Id="rId82" Type="http://schemas.openxmlformats.org/officeDocument/2006/relationships/hyperlink" Target="https://www.itu.int/ifa/t/2017/ls/tsag/sp16-tsag-oLS-00011.zip" TargetMode="External"/><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hyperlink" Target="https://www.itu.int/md/T17-TSAG-180226-TD-GEN-0139/es" TargetMode="External"/><Relationship Id="rId14" Type="http://schemas.openxmlformats.org/officeDocument/2006/relationships/hyperlink" Target="https://www.itu.int/md/T17-TSAG-180226-TD-GEN-0125/es" TargetMode="External"/><Relationship Id="rId22" Type="http://schemas.openxmlformats.org/officeDocument/2006/relationships/hyperlink" Target="https://www.itu.int/md/T17-TSAG-180226-TD-GEN-0146/es" TargetMode="External"/><Relationship Id="rId27" Type="http://schemas.openxmlformats.org/officeDocument/2006/relationships/hyperlink" Target="https://www.itu.int/md/T17-TSAG-180226-TD-GEN-0190/es" TargetMode="External"/><Relationship Id="rId30" Type="http://schemas.openxmlformats.org/officeDocument/2006/relationships/hyperlink" Target="https://www.itu.int/md/T17-TSAG-C-0039/es" TargetMode="External"/><Relationship Id="rId35" Type="http://schemas.openxmlformats.org/officeDocument/2006/relationships/hyperlink" Target="https://www.itu.int/md/meetingdoc.asp?lang=en&amp;parent=T17-TSAG-180226-TD-GEN-0218" TargetMode="External"/><Relationship Id="rId43" Type="http://schemas.openxmlformats.org/officeDocument/2006/relationships/hyperlink" Target="https://www.itu.int/md/T17-TSAG-180226-TD-GEN-0270/es" TargetMode="External"/><Relationship Id="rId48" Type="http://schemas.openxmlformats.org/officeDocument/2006/relationships/hyperlink" Target="https://www.itu.int/md/meetingdoc.asp?lang=en&amp;parent=T17-TSAG-180226-TD-GEN-0250" TargetMode="External"/><Relationship Id="rId56" Type="http://schemas.openxmlformats.org/officeDocument/2006/relationships/hyperlink" Target="https://www.itu.int/md/meetingdoc.asp?lang=en&amp;parent=T17-TSAG-C-0025" TargetMode="External"/><Relationship Id="rId64" Type="http://schemas.openxmlformats.org/officeDocument/2006/relationships/hyperlink" Target="https://www.itu.int/md/meetingdoc.asp?lang=en&amp;parent=T17-TSAG-180226-TD-GEN-0268" TargetMode="External"/><Relationship Id="rId69" Type="http://schemas.openxmlformats.org/officeDocument/2006/relationships/hyperlink" Target="https://www.itu.int/md/meetingdoc.asp?lang=en&amp;parent=T17-TSAG-180226-TD-GEN-0186" TargetMode="External"/><Relationship Id="rId77" Type="http://schemas.openxmlformats.org/officeDocument/2006/relationships/hyperlink" Target="https://www.itu.int/md/T17-TSAG-180226-TD-GEN-0144/es" TargetMode="External"/><Relationship Id="rId8" Type="http://schemas.openxmlformats.org/officeDocument/2006/relationships/image" Target="media/image1.png"/><Relationship Id="rId51" Type="http://schemas.openxmlformats.org/officeDocument/2006/relationships/hyperlink" Target="https://www.itu.int/md/meetingdoc.asp?lang=en&amp;parent=T17-TSAG-180226-TD-GEN-0255" TargetMode="External"/><Relationship Id="rId72" Type="http://schemas.openxmlformats.org/officeDocument/2006/relationships/hyperlink" Target="https://www.itu.int/md/T17-TSAG-180226-TD-GEN-0135/es" TargetMode="External"/><Relationship Id="rId80" Type="http://schemas.openxmlformats.org/officeDocument/2006/relationships/hyperlink" Target="https://www.itu.int/md/meetingdoc.asp?lang=en&amp;parent=T17-TSAG-180226-TD-GEN-0129" TargetMode="External"/><Relationship Id="rId85" Type="http://schemas.openxmlformats.org/officeDocument/2006/relationships/hyperlink" Target="https://www.itu.int/md/meetingdoc.asp?lang=en&amp;parent=T17-TSAG-180226-TD-GEN-0268" TargetMode="External"/><Relationship Id="rId93"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itu.int/md/T17-TSAG-180226-TD-GEN-0168/es" TargetMode="External"/><Relationship Id="rId17" Type="http://schemas.openxmlformats.org/officeDocument/2006/relationships/hyperlink" Target="https://www.itu.int/md/T17-TSAG-180226-TD-GEN-0125/es" TargetMode="External"/><Relationship Id="rId25" Type="http://schemas.openxmlformats.org/officeDocument/2006/relationships/hyperlink" Target="https://www.itu.int/md/T17-TSAG-180226-TD-GEN-0191/es" TargetMode="External"/><Relationship Id="rId33" Type="http://schemas.openxmlformats.org/officeDocument/2006/relationships/hyperlink" Target="https://www.itu.int/md/meetingdoc.asp?lang=en&amp;parent=T17-TSAG-180226-TD-GEN-0224" TargetMode="External"/><Relationship Id="rId38" Type="http://schemas.openxmlformats.org/officeDocument/2006/relationships/hyperlink" Target="https://www.itu.int/md/meetingdoc.asp?lang=en&amp;parent=T17-TSAG-180226-TD-GEN-0194" TargetMode="External"/><Relationship Id="rId46" Type="http://schemas.openxmlformats.org/officeDocument/2006/relationships/hyperlink" Target="https://www.itu.int/md/meetingdoc.asp?lang=en&amp;parent=T17-TSAG-180226-TD-GEN-0260" TargetMode="External"/><Relationship Id="rId59" Type="http://schemas.openxmlformats.org/officeDocument/2006/relationships/hyperlink" Target="https://www.itu.int/md/meetingdoc.asp?lang=en&amp;parent=T17-TSAG-C-0025" TargetMode="External"/><Relationship Id="rId67" Type="http://schemas.openxmlformats.org/officeDocument/2006/relationships/hyperlink" Target="https://www.itu.int/md/meetingdoc.asp?lang=en&amp;parent=T17-TSAG-180226-TD-GEN-0182" TargetMode="External"/><Relationship Id="rId20" Type="http://schemas.openxmlformats.org/officeDocument/2006/relationships/hyperlink" Target="https://www.itu.int/md/T17-TSAG-180226-TD-GEN-0143/es" TargetMode="External"/><Relationship Id="rId41" Type="http://schemas.openxmlformats.org/officeDocument/2006/relationships/hyperlink" Target="https://www.itu.int/en/ITU-D/Conferences/TDAG/Pages/inter-sectoral-team-on-issues-of-mutual-interest.aspx" TargetMode="External"/><Relationship Id="rId54" Type="http://schemas.openxmlformats.org/officeDocument/2006/relationships/hyperlink" Target="https://www.itu.int/md/meetingdoc.asp?lang=en&amp;parent=T17-TSAG-180226-TD-GEN-0273" TargetMode="External"/><Relationship Id="rId62" Type="http://schemas.openxmlformats.org/officeDocument/2006/relationships/hyperlink" Target="https://www.itu.int/md/T17-TSAG-180226-TD-GEN-0133/es" TargetMode="External"/><Relationship Id="rId70" Type="http://schemas.openxmlformats.org/officeDocument/2006/relationships/hyperlink" Target="https://www.itu.int/md/meetingdoc.asp?lang=en&amp;parent=T17-TSAG-180226-TD-GEN-0254" TargetMode="External"/><Relationship Id="rId75" Type="http://schemas.openxmlformats.org/officeDocument/2006/relationships/hyperlink" Target="https://www.itu.int/md/T17-TSAG-180226-TD-GEN-0131/es" TargetMode="External"/><Relationship Id="rId83" Type="http://schemas.openxmlformats.org/officeDocument/2006/relationships/hyperlink" Target="https://www.itu.int/md/meetingdoc.asp?lang=en&amp;parent=T17-TSAG-180226-TD-GEN-0131" TargetMode="External"/><Relationship Id="rId88" Type="http://schemas.openxmlformats.org/officeDocument/2006/relationships/hyperlink" Target="https://www.itu.int/md/meetingdoc.asp?lang=en&amp;parent=T17-TSAG-180226-TD-GEN-0137"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180226-TD-GEN-0124/es" TargetMode="External"/><Relationship Id="rId23" Type="http://schemas.openxmlformats.org/officeDocument/2006/relationships/hyperlink" Target="https://www.itu.int/md/T17-TSAG-180226-TD-GEN-0216/es" TargetMode="External"/><Relationship Id="rId28" Type="http://schemas.openxmlformats.org/officeDocument/2006/relationships/hyperlink" Target="https://www.itu.int/md/T17-TSAG-180226-TD-GEN-0265/es" TargetMode="External"/><Relationship Id="rId36" Type="http://schemas.openxmlformats.org/officeDocument/2006/relationships/hyperlink" Target="https://www.itu.int/md/meetingdoc.asp?lang=en&amp;parent=T17-TSAG-180226-TD-GEN-0196" TargetMode="External"/><Relationship Id="rId49" Type="http://schemas.openxmlformats.org/officeDocument/2006/relationships/hyperlink" Target="https://www.itu.int/md/meetingdoc.asp?lang=en&amp;parent=T17-TSAG-180226-TD-GEN-0153" TargetMode="External"/><Relationship Id="rId57" Type="http://schemas.openxmlformats.org/officeDocument/2006/relationships/hyperlink" Target="https://www.itu.int/md/meetingdoc.asp?lang=en&amp;parent=T17-TSAG-C-0030" TargetMode="External"/><Relationship Id="rId10" Type="http://schemas.openxmlformats.org/officeDocument/2006/relationships/hyperlink" Target="https://www.itu.int/md/T17-TSAG-180226-TD-GEN-0125/es" TargetMode="External"/><Relationship Id="rId31" Type="http://schemas.openxmlformats.org/officeDocument/2006/relationships/hyperlink" Target="https://www.itu.int/md/T17-TSAG-180226-TD-GEN-0190/es" TargetMode="External"/><Relationship Id="rId44" Type="http://schemas.openxmlformats.org/officeDocument/2006/relationships/hyperlink" Target="https://www.itu.int/md/T17-TSAG-180226-TD-GEN-0158/es" TargetMode="External"/><Relationship Id="rId52" Type="http://schemas.openxmlformats.org/officeDocument/2006/relationships/hyperlink" Target="https://www.itu.int/md/meetingdoc.asp?lang=en&amp;parent=T17-TSAG-180226-TD-GEN-0154" TargetMode="External"/><Relationship Id="rId60" Type="http://schemas.openxmlformats.org/officeDocument/2006/relationships/hyperlink" Target="https://www.itu.int/md/meetingdoc.asp?lang=en&amp;parent=T17-TSAG-C-0033" TargetMode="External"/><Relationship Id="rId65" Type="http://schemas.openxmlformats.org/officeDocument/2006/relationships/hyperlink" Target="https://www.itu.int/md/T17-TSAG-180226-TD-GEN-0137/es" TargetMode="External"/><Relationship Id="rId73" Type="http://schemas.openxmlformats.org/officeDocument/2006/relationships/hyperlink" Target="https://www.itu.int/md/T17-TSAG-180226-TD-GEN-0129/es" TargetMode="External"/><Relationship Id="rId78" Type="http://schemas.openxmlformats.org/officeDocument/2006/relationships/hyperlink" Target="https://www.itu.int/md/meetingdoc.asp?lang=en&amp;parent=T17-TSAG-180226-TD-GEN-0144" TargetMode="External"/><Relationship Id="rId81" Type="http://schemas.openxmlformats.org/officeDocument/2006/relationships/hyperlink" Target="https://www.itu.int/md/meetingdoc.asp?lang=en&amp;parent=T17-TSAG-180226-TD-GEN-0211" TargetMode="External"/><Relationship Id="rId86" Type="http://schemas.openxmlformats.org/officeDocument/2006/relationships/hyperlink" Target="https://www.itu.int/ifa/t/2017/ls/tsag/sp16-tsag-oLS-00010.doc" TargetMode="External"/><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bruce.gracie@ericsson.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T/tsag/2017-2020/Pages/webcasts-a.aspx" TargetMode="External"/><Relationship Id="rId1" Type="http://schemas.openxmlformats.org/officeDocument/2006/relationships/hyperlink" Target="https://www.itu.int/en/ITU-T/tsag/2017-2020/Pages/webcasts-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0DCAB-DC82-46E2-945C-4465ED99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1088</TotalTime>
  <Pages>20</Pages>
  <Words>7819</Words>
  <Characters>48520</Characters>
  <Application>Microsoft Office Word</Application>
  <DocSecurity>0</DocSecurity>
  <Lines>404</Lines>
  <Paragraphs>112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UNIÓN INTERNACIONAL DE TELECOMUNICACIONES</vt:lpstr>
      <vt:lpstr>UNIÓN INTERNACIONAL DE TELECOMUNICACIONES</vt:lpstr>
    </vt:vector>
  </TitlesOfParts>
  <Company>ITU</Company>
  <LinksUpToDate>false</LinksUpToDate>
  <CharactersWithSpaces>56227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Spanish83</dc:creator>
  <cp:keywords/>
  <dc:description/>
  <cp:lastModifiedBy>Al-Mnini, Lara</cp:lastModifiedBy>
  <cp:revision>97</cp:revision>
  <cp:lastPrinted>2002-04-25T20:14:00Z</cp:lastPrinted>
  <dcterms:created xsi:type="dcterms:W3CDTF">2018-06-06T13:58:00Z</dcterms:created>
  <dcterms:modified xsi:type="dcterms:W3CDTF">2018-06-19T08:42:00Z</dcterms:modified>
</cp:coreProperties>
</file>