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4196"/>
        <w:gridCol w:w="4111"/>
      </w:tblGrid>
      <w:tr w:rsidR="00B019C7" w:rsidRPr="00C725A7" w:rsidTr="00862AD1">
        <w:trPr>
          <w:cantSplit/>
        </w:trPr>
        <w:tc>
          <w:tcPr>
            <w:tcW w:w="1190" w:type="dxa"/>
            <w:vMerge w:val="restart"/>
          </w:tcPr>
          <w:p w:rsidR="00B019C7" w:rsidRPr="00C725A7" w:rsidRDefault="00B019C7" w:rsidP="00E61E50">
            <w:pPr>
              <w:jc w:val="both"/>
              <w:rPr>
                <w:rFonts w:eastAsiaTheme="minorEastAsia"/>
                <w:sz w:val="20"/>
              </w:rPr>
            </w:pPr>
            <w:bookmarkStart w:id="0" w:name="_GoBack"/>
            <w:bookmarkEnd w:id="0"/>
            <w:r w:rsidRPr="00C725A7">
              <w:rPr>
                <w:rFonts w:eastAsiaTheme="minorEastAsia"/>
                <w:noProof/>
                <w:sz w:val="20"/>
                <w:lang w:val="en-GB" w:eastAsia="zh-CN"/>
              </w:rPr>
              <w:drawing>
                <wp:inline distT="0" distB="0" distL="0" distR="0" wp14:anchorId="0116F149" wp14:editId="683321B5">
                  <wp:extent cx="647700" cy="828675"/>
                  <wp:effectExtent l="0" t="0" r="0" b="0"/>
                  <wp:docPr id="4" name="Picture 4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gridSpan w:val="3"/>
            <w:vMerge w:val="restart"/>
          </w:tcPr>
          <w:p w:rsidR="00B019C7" w:rsidRPr="00862AD1" w:rsidRDefault="00B019C7" w:rsidP="00E61E50">
            <w:pPr>
              <w:jc w:val="both"/>
              <w:rPr>
                <w:rFonts w:eastAsiaTheme="minorEastAsia"/>
                <w:sz w:val="20"/>
              </w:rPr>
            </w:pPr>
            <w:r w:rsidRPr="00862AD1">
              <w:rPr>
                <w:sz w:val="20"/>
              </w:rPr>
              <w:t>МЕЖДУНАРОДНЫЙ СОЮЗ ЭЛЕКТРОСВЯЗИ</w:t>
            </w:r>
          </w:p>
          <w:p w:rsidR="00B019C7" w:rsidRPr="00C725A7" w:rsidRDefault="00B019C7" w:rsidP="00E61E50">
            <w:pPr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СЕКТОР СТАНДАРТИЗАЦИИ</w:t>
            </w:r>
            <w:r>
              <w:rPr>
                <w:b/>
                <w:bCs/>
                <w:sz w:val="26"/>
                <w:szCs w:val="26"/>
              </w:rPr>
              <w:br/>
              <w:t>ЭЛЕКТРОСВЯЗИ</w:t>
            </w:r>
          </w:p>
          <w:p w:rsidR="00B019C7" w:rsidRPr="00C725A7" w:rsidRDefault="00B019C7" w:rsidP="00E61E50">
            <w:pPr>
              <w:jc w:val="both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 xml:space="preserve">ИССЛЕДОВАТЕЛЬСКИЙ ПЕРИОД </w:t>
            </w:r>
            <w:bookmarkStart w:id="1" w:name="dstudyperiod"/>
            <w:r>
              <w:rPr>
                <w:sz w:val="20"/>
              </w:rPr>
              <w:t>2017–2020 гг.</w:t>
            </w:r>
            <w:bookmarkEnd w:id="1"/>
          </w:p>
        </w:tc>
        <w:tc>
          <w:tcPr>
            <w:tcW w:w="4111" w:type="dxa"/>
            <w:vAlign w:val="center"/>
          </w:tcPr>
          <w:p w:rsidR="00B019C7" w:rsidRPr="00862AD1" w:rsidRDefault="00B019C7" w:rsidP="00862AD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SimSun"/>
                <w:b/>
                <w:sz w:val="32"/>
                <w:szCs w:val="32"/>
              </w:rPr>
            </w:pPr>
            <w:r w:rsidRPr="00862AD1">
              <w:rPr>
                <w:b/>
                <w:sz w:val="32"/>
                <w:szCs w:val="32"/>
              </w:rPr>
              <w:t xml:space="preserve">TD 024 </w:t>
            </w:r>
          </w:p>
        </w:tc>
      </w:tr>
      <w:tr w:rsidR="00B019C7" w:rsidRPr="00C725A7" w:rsidTr="00862AD1">
        <w:trPr>
          <w:cantSplit/>
        </w:trPr>
        <w:tc>
          <w:tcPr>
            <w:tcW w:w="1190" w:type="dxa"/>
            <w:vMerge/>
          </w:tcPr>
          <w:p w:rsidR="00B019C7" w:rsidRPr="00C725A7" w:rsidRDefault="00B019C7" w:rsidP="00E61E50">
            <w:pPr>
              <w:jc w:val="both"/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22" w:type="dxa"/>
            <w:gridSpan w:val="3"/>
            <w:vMerge/>
          </w:tcPr>
          <w:p w:rsidR="00B019C7" w:rsidRPr="00C725A7" w:rsidRDefault="00B019C7" w:rsidP="00E61E50">
            <w:pPr>
              <w:jc w:val="both"/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111" w:type="dxa"/>
          </w:tcPr>
          <w:p w:rsidR="00B019C7" w:rsidRPr="00077064" w:rsidRDefault="00B019C7" w:rsidP="00D75373">
            <w:pPr>
              <w:jc w:val="right"/>
              <w:rPr>
                <w:rFonts w:eastAsiaTheme="minorEastAsia"/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КГ</w:t>
            </w:r>
            <w:r w:rsidR="00D75373">
              <w:rPr>
                <w:b/>
                <w:bCs/>
                <w:smallCaps/>
                <w:sz w:val="32"/>
                <w:szCs w:val="32"/>
              </w:rPr>
              <w:t>С</w:t>
            </w:r>
            <w:r>
              <w:rPr>
                <w:b/>
                <w:bCs/>
                <w:smallCaps/>
                <w:sz w:val="32"/>
                <w:szCs w:val="32"/>
              </w:rPr>
              <w:t>Э</w:t>
            </w:r>
          </w:p>
        </w:tc>
      </w:tr>
      <w:tr w:rsidR="00B019C7" w:rsidRPr="00C725A7" w:rsidTr="00862AD1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B019C7" w:rsidRPr="00C725A7" w:rsidRDefault="00B019C7" w:rsidP="00E61E50">
            <w:pPr>
              <w:jc w:val="both"/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22" w:type="dxa"/>
            <w:gridSpan w:val="3"/>
            <w:vMerge/>
            <w:tcBorders>
              <w:bottom w:val="single" w:sz="12" w:space="0" w:color="auto"/>
            </w:tcBorders>
          </w:tcPr>
          <w:p w:rsidR="00B019C7" w:rsidRPr="00C725A7" w:rsidRDefault="00B019C7" w:rsidP="00E61E50">
            <w:pPr>
              <w:jc w:val="both"/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B019C7" w:rsidRPr="00862AD1" w:rsidRDefault="00B019C7" w:rsidP="00862AD1">
            <w:pPr>
              <w:jc w:val="right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862AD1">
              <w:rPr>
                <w:b/>
                <w:bCs/>
                <w:sz w:val="26"/>
                <w:szCs w:val="26"/>
              </w:rPr>
              <w:t>Оригинал: английский</w:t>
            </w:r>
          </w:p>
        </w:tc>
      </w:tr>
      <w:tr w:rsidR="00B019C7" w:rsidRPr="00862AD1" w:rsidTr="00862AD1">
        <w:trPr>
          <w:cantSplit/>
        </w:trPr>
        <w:tc>
          <w:tcPr>
            <w:tcW w:w="1616" w:type="dxa"/>
            <w:gridSpan w:val="3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</w:rPr>
            </w:pPr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Вопрос(ы):</w:t>
            </w:r>
          </w:p>
        </w:tc>
        <w:tc>
          <w:tcPr>
            <w:tcW w:w="4196" w:type="dxa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rFonts w:asciiTheme="majorBidi" w:hAnsiTheme="majorBidi"/>
                <w:sz w:val="22"/>
                <w:szCs w:val="22"/>
              </w:rPr>
              <w:t>Н/П</w:t>
            </w:r>
          </w:p>
        </w:tc>
        <w:tc>
          <w:tcPr>
            <w:tcW w:w="4111" w:type="dxa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rFonts w:asciiTheme="majorBidi" w:hAnsiTheme="majorBidi"/>
                <w:sz w:val="22"/>
                <w:szCs w:val="22"/>
              </w:rPr>
              <w:t>Женева, 1–4 мая 2017 года</w:t>
            </w:r>
          </w:p>
        </w:tc>
      </w:tr>
      <w:tr w:rsidR="00B019C7" w:rsidRPr="00862AD1" w:rsidTr="002670A0">
        <w:trPr>
          <w:cantSplit/>
        </w:trPr>
        <w:tc>
          <w:tcPr>
            <w:tcW w:w="9923" w:type="dxa"/>
            <w:gridSpan w:val="5"/>
          </w:tcPr>
          <w:p w:rsidR="00B019C7" w:rsidRPr="00862AD1" w:rsidRDefault="00B019C7" w:rsidP="00862AD1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</w:rPr>
            </w:pPr>
            <w:bookmarkStart w:id="2" w:name="ddoctype"/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TD</w:t>
            </w:r>
          </w:p>
        </w:tc>
      </w:tr>
      <w:bookmarkEnd w:id="2"/>
      <w:tr w:rsidR="00B019C7" w:rsidRPr="00862AD1" w:rsidTr="00862AD1">
        <w:trPr>
          <w:cantSplit/>
        </w:trPr>
        <w:tc>
          <w:tcPr>
            <w:tcW w:w="1616" w:type="dxa"/>
            <w:gridSpan w:val="3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</w:rPr>
            </w:pPr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Источник:</w:t>
            </w:r>
          </w:p>
        </w:tc>
        <w:tc>
          <w:tcPr>
            <w:tcW w:w="8307" w:type="dxa"/>
            <w:gridSpan w:val="2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rFonts w:asciiTheme="majorBidi" w:hAnsiTheme="majorBidi"/>
                <w:sz w:val="22"/>
                <w:szCs w:val="22"/>
              </w:rPr>
              <w:t>Директор БСЭ</w:t>
            </w:r>
          </w:p>
        </w:tc>
      </w:tr>
      <w:tr w:rsidR="00B019C7" w:rsidRPr="00862AD1" w:rsidTr="00862AD1">
        <w:trPr>
          <w:cantSplit/>
        </w:trPr>
        <w:tc>
          <w:tcPr>
            <w:tcW w:w="1616" w:type="dxa"/>
            <w:gridSpan w:val="3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Название:</w:t>
            </w:r>
          </w:p>
        </w:tc>
        <w:tc>
          <w:tcPr>
            <w:tcW w:w="8307" w:type="dxa"/>
            <w:gridSpan w:val="2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sz w:val="22"/>
                <w:szCs w:val="22"/>
              </w:rPr>
              <w:t>Отчет о деятельности МСЭ-T (с середины октября 2016 года по конец марта 2017 года)</w:t>
            </w:r>
          </w:p>
        </w:tc>
      </w:tr>
      <w:tr w:rsidR="00B019C7" w:rsidRPr="00862AD1" w:rsidTr="00862AD1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</w:rPr>
            </w:pPr>
            <w:bookmarkStart w:id="3" w:name="dpurpose"/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Цель: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B019C7" w:rsidRPr="00862AD1" w:rsidRDefault="00D75373" w:rsidP="00D75373">
            <w:pPr>
              <w:bidi/>
              <w:jc w:val="right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/>
                <w:sz w:val="22"/>
                <w:szCs w:val="22"/>
              </w:rPr>
              <w:t>Для и</w:t>
            </w:r>
            <w:r w:rsidR="00B019C7" w:rsidRPr="00862AD1">
              <w:rPr>
                <w:rFonts w:asciiTheme="majorBidi" w:hAnsiTheme="majorBidi"/>
                <w:sz w:val="22"/>
                <w:szCs w:val="22"/>
              </w:rPr>
              <w:t>нформаци</w:t>
            </w:r>
            <w:r>
              <w:rPr>
                <w:rFonts w:asciiTheme="majorBidi" w:hAnsiTheme="majorBidi"/>
                <w:sz w:val="22"/>
                <w:szCs w:val="22"/>
              </w:rPr>
              <w:t>и</w:t>
            </w:r>
          </w:p>
        </w:tc>
      </w:tr>
      <w:bookmarkEnd w:id="3"/>
      <w:tr w:rsidR="00B019C7" w:rsidRPr="00862AD1" w:rsidTr="00862AD1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19C7" w:rsidRPr="00862AD1" w:rsidRDefault="00B019C7" w:rsidP="00E61E50">
            <w:pPr>
              <w:spacing w:after="60"/>
              <w:jc w:val="both"/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</w:rPr>
            </w:pPr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Координатор:</w:t>
            </w:r>
          </w:p>
        </w:tc>
        <w:tc>
          <w:tcPr>
            <w:tcW w:w="420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19C7" w:rsidRPr="00862AD1" w:rsidRDefault="00B019C7" w:rsidP="00D75373">
            <w:pPr>
              <w:spacing w:after="60"/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rFonts w:asciiTheme="majorBidi" w:hAnsiTheme="majorBidi"/>
                <w:sz w:val="22"/>
                <w:szCs w:val="22"/>
              </w:rPr>
              <w:t>БСЭ КГ</w:t>
            </w:r>
            <w:r w:rsidR="00D75373">
              <w:rPr>
                <w:rFonts w:asciiTheme="majorBidi" w:hAnsiTheme="majorBidi"/>
                <w:sz w:val="22"/>
                <w:szCs w:val="22"/>
              </w:rPr>
              <w:t>С</w:t>
            </w:r>
            <w:r w:rsidRPr="00862AD1">
              <w:rPr>
                <w:rFonts w:asciiTheme="majorBidi" w:hAnsiTheme="majorBidi"/>
                <w:sz w:val="22"/>
                <w:szCs w:val="22"/>
              </w:rPr>
              <w:t xml:space="preserve">Э 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:rsidR="00B019C7" w:rsidRPr="00862AD1" w:rsidRDefault="00B019C7" w:rsidP="00E61E50">
            <w:pPr>
              <w:spacing w:after="60"/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rFonts w:asciiTheme="majorBidi" w:hAnsiTheme="majorBidi"/>
                <w:sz w:val="22"/>
                <w:szCs w:val="22"/>
              </w:rPr>
              <w:t xml:space="preserve">Эл. почта: </w:t>
            </w:r>
            <w:hyperlink r:id="rId5" w:history="1">
              <w:r w:rsidRPr="00862AD1">
                <w:rPr>
                  <w:rStyle w:val="Hyperlink"/>
                  <w:rFonts w:asciiTheme="majorBidi" w:hAnsiTheme="majorBidi"/>
                  <w:sz w:val="22"/>
                  <w:szCs w:val="22"/>
                </w:rPr>
                <w:t>tsbtsag@itu.int</w:t>
              </w:r>
            </w:hyperlink>
            <w:r w:rsidRPr="00862AD1">
              <w:rPr>
                <w:rFonts w:asciiTheme="majorBidi" w:hAnsiTheme="majorBidi"/>
                <w:sz w:val="22"/>
                <w:szCs w:val="22"/>
              </w:rPr>
              <w:t xml:space="preserve">               </w:t>
            </w:r>
          </w:p>
        </w:tc>
      </w:tr>
    </w:tbl>
    <w:p w:rsidR="00B019C7" w:rsidRPr="00862AD1" w:rsidRDefault="00B019C7" w:rsidP="00E61E50">
      <w:pPr>
        <w:jc w:val="both"/>
        <w:rPr>
          <w:sz w:val="22"/>
          <w:szCs w:val="22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019C7" w:rsidRPr="00862AD1" w:rsidTr="002670A0">
        <w:trPr>
          <w:cantSplit/>
        </w:trPr>
        <w:tc>
          <w:tcPr>
            <w:tcW w:w="1616" w:type="dxa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</w:rPr>
            </w:pPr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Ключевые слова:</w:t>
            </w:r>
          </w:p>
        </w:tc>
        <w:tc>
          <w:tcPr>
            <w:tcW w:w="8363" w:type="dxa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862AD1">
              <w:rPr>
                <w:sz w:val="22"/>
                <w:szCs w:val="22"/>
              </w:rPr>
              <w:t>Стандартизация; Исследовательские комиссии; отчет о деятельности; ключевые результаты</w:t>
            </w:r>
          </w:p>
        </w:tc>
      </w:tr>
      <w:tr w:rsidR="00B019C7" w:rsidRPr="00862AD1" w:rsidTr="002670A0">
        <w:trPr>
          <w:cantSplit/>
        </w:trPr>
        <w:tc>
          <w:tcPr>
            <w:tcW w:w="1616" w:type="dxa"/>
          </w:tcPr>
          <w:p w:rsidR="00B019C7" w:rsidRPr="00862AD1" w:rsidRDefault="00B019C7" w:rsidP="00E61E50">
            <w:pPr>
              <w:jc w:val="both"/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</w:rPr>
            </w:pPr>
            <w:r w:rsidRPr="00862AD1">
              <w:rPr>
                <w:rFonts w:asciiTheme="majorBidi" w:hAnsiTheme="majorBidi"/>
                <w:b/>
                <w:bCs/>
                <w:sz w:val="22"/>
                <w:szCs w:val="22"/>
              </w:rPr>
              <w:t>Краткое содержание:</w:t>
            </w:r>
          </w:p>
        </w:tc>
        <w:sdt>
          <w:sdtPr>
            <w:rPr>
              <w:sz w:val="22"/>
              <w:szCs w:val="22"/>
            </w:rPr>
            <w:alias w:val="Краткое содержание"/>
            <w:tag w:val="Abstract"/>
            <w:id w:val="1199126545"/>
            <w:placeholder>
              <w:docPart w:val="560D350C82264A3780351E9D711222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63" w:type="dxa"/>
              </w:tcPr>
              <w:p w:rsidR="00B019C7" w:rsidRPr="00862AD1" w:rsidRDefault="00B019C7" w:rsidP="00E61E50">
                <w:pPr>
                  <w:jc w:val="both"/>
                  <w:rPr>
                    <w:rFonts w:asciiTheme="majorBidi" w:eastAsiaTheme="minorEastAsia" w:hAnsiTheme="majorBidi" w:cstheme="majorBidi"/>
                    <w:sz w:val="22"/>
                    <w:szCs w:val="22"/>
                  </w:rPr>
                </w:pPr>
                <w:r w:rsidRPr="00862AD1">
                  <w:rPr>
                    <w:sz w:val="22"/>
                    <w:szCs w:val="22"/>
                  </w:rPr>
                  <w:t>В настоящем отчете представлены ключевые результаты, достигнутые МСЭ-Т в области стандартизации за период с середины октября 2016 года по конец марта 2017 года.</w:t>
                </w:r>
              </w:p>
            </w:tc>
          </w:sdtContent>
        </w:sdt>
      </w:tr>
    </w:tbl>
    <w:p w:rsidR="00B019C7" w:rsidRPr="00862AD1" w:rsidRDefault="00B019C7" w:rsidP="00E61E50">
      <w:pPr>
        <w:jc w:val="both"/>
        <w:rPr>
          <w:sz w:val="22"/>
          <w:szCs w:val="22"/>
        </w:rPr>
      </w:pPr>
    </w:p>
    <w:p w:rsidR="00B019C7" w:rsidRPr="00862AD1" w:rsidRDefault="00B019C7" w:rsidP="00E61E5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sz w:val="22"/>
          <w:szCs w:val="22"/>
        </w:rPr>
      </w:pPr>
      <w:r w:rsidRPr="00862AD1">
        <w:rPr>
          <w:sz w:val="22"/>
          <w:szCs w:val="22"/>
        </w:rPr>
        <w:t>Состояние: 31 марта 2017 г</w:t>
      </w:r>
      <w:r w:rsidR="00E703F0">
        <w:rPr>
          <w:sz w:val="22"/>
          <w:szCs w:val="22"/>
        </w:rPr>
        <w:t>ода</w:t>
      </w:r>
      <w:r w:rsidRPr="00862AD1">
        <w:rPr>
          <w:sz w:val="22"/>
          <w:szCs w:val="22"/>
        </w:rPr>
        <w:t>.</w:t>
      </w:r>
    </w:p>
    <w:p w:rsidR="00B019C7" w:rsidRPr="00862AD1" w:rsidRDefault="00B019C7" w:rsidP="00D75373">
      <w:pPr>
        <w:pStyle w:val="Heading1"/>
        <w:jc w:val="center"/>
        <w:rPr>
          <w:rFonts w:asciiTheme="majorBidi" w:hAnsiTheme="majorBidi" w:cstheme="majorBidi"/>
          <w:sz w:val="26"/>
          <w:szCs w:val="26"/>
        </w:rPr>
      </w:pPr>
      <w:bookmarkStart w:id="4" w:name="_Toc462664183"/>
      <w:r>
        <w:br w:type="page"/>
      </w:r>
      <w:bookmarkStart w:id="5" w:name="_Toc479854387"/>
      <w:bookmarkEnd w:id="4"/>
      <w:r w:rsidRPr="00862AD1">
        <w:rPr>
          <w:rFonts w:asciiTheme="majorBidi" w:hAnsiTheme="majorBidi" w:cstheme="majorBidi"/>
          <w:sz w:val="26"/>
          <w:szCs w:val="26"/>
        </w:rPr>
        <w:lastRenderedPageBreak/>
        <w:t>Резюме</w:t>
      </w:r>
      <w:bookmarkEnd w:id="5"/>
    </w:p>
    <w:p w:rsidR="00B019C7" w:rsidRPr="00E703F0" w:rsidRDefault="00B019C7" w:rsidP="00E61E50">
      <w:pPr>
        <w:pStyle w:val="Headingb"/>
        <w:jc w:val="both"/>
        <w:rPr>
          <w:rFonts w:asciiTheme="majorBidi" w:hAnsiTheme="majorBidi" w:cstheme="majorBidi"/>
          <w:i/>
          <w:iCs/>
          <w:szCs w:val="24"/>
        </w:rPr>
      </w:pPr>
      <w:r w:rsidRPr="00E703F0">
        <w:rPr>
          <w:rFonts w:asciiTheme="majorBidi" w:hAnsiTheme="majorBidi" w:cstheme="majorBidi"/>
          <w:i/>
          <w:iCs/>
          <w:szCs w:val="24"/>
        </w:rPr>
        <w:t>Достижения МСЭ в области стандартизации</w:t>
      </w:r>
    </w:p>
    <w:p w:rsidR="00B019C7" w:rsidRPr="00862AD1" w:rsidRDefault="00B019C7" w:rsidP="00D75373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За период с октября 2016 года по середину марта 2017 года были утверждены </w:t>
      </w:r>
      <w:r w:rsidRPr="00862AD1">
        <w:rPr>
          <w:b/>
          <w:bCs/>
          <w:sz w:val="22"/>
          <w:szCs w:val="22"/>
        </w:rPr>
        <w:t>87 новых и 49</w:t>
      </w:r>
      <w:r w:rsidR="00D75373">
        <w:rPr>
          <w:b/>
          <w:bCs/>
          <w:sz w:val="22"/>
          <w:szCs w:val="22"/>
        </w:rPr>
        <w:t> </w:t>
      </w:r>
      <w:r w:rsidRPr="00862AD1">
        <w:rPr>
          <w:b/>
          <w:bCs/>
          <w:sz w:val="22"/>
          <w:szCs w:val="22"/>
        </w:rPr>
        <w:t>пересмотренных Рекомендаций МСЭ-Т</w:t>
      </w:r>
      <w:r w:rsidRPr="00862AD1">
        <w:rPr>
          <w:sz w:val="22"/>
          <w:szCs w:val="22"/>
        </w:rPr>
        <w:t>, перечень которых, их резюме и другой утвержденный текст приводятся в Приложении I.</w:t>
      </w:r>
    </w:p>
    <w:p w:rsidR="00B019C7" w:rsidRPr="00862AD1" w:rsidRDefault="00B019C7" w:rsidP="00D75373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МСЭ-T продолжает осуществлять свою ведущую роль в области стандартизации </w:t>
      </w:r>
      <w:r w:rsidRPr="00862AD1">
        <w:rPr>
          <w:b/>
          <w:bCs/>
          <w:sz w:val="22"/>
          <w:szCs w:val="22"/>
        </w:rPr>
        <w:t>широкополосного доступа и домашних сетей</w:t>
      </w:r>
      <w:r w:rsidRPr="00862AD1">
        <w:rPr>
          <w:sz w:val="22"/>
          <w:szCs w:val="22"/>
        </w:rPr>
        <w:t xml:space="preserve"> и инфраструктур для </w:t>
      </w:r>
      <w:r w:rsidRPr="00862AD1">
        <w:rPr>
          <w:b/>
          <w:bCs/>
          <w:sz w:val="22"/>
          <w:szCs w:val="22"/>
        </w:rPr>
        <w:t>сверхскоростных транспортных сетей</w:t>
      </w:r>
      <w:r w:rsidRPr="00862AD1">
        <w:rPr>
          <w:sz w:val="22"/>
          <w:szCs w:val="22"/>
        </w:rPr>
        <w:t xml:space="preserve">, а также </w:t>
      </w:r>
      <w:r w:rsidRPr="00862AD1">
        <w:rPr>
          <w:b/>
          <w:bCs/>
          <w:sz w:val="22"/>
          <w:szCs w:val="22"/>
        </w:rPr>
        <w:t>будущих сетей, включая сети 5G</w:t>
      </w:r>
      <w:r w:rsidRPr="00862AD1">
        <w:rPr>
          <w:sz w:val="22"/>
          <w:szCs w:val="22"/>
        </w:rPr>
        <w:t xml:space="preserve"> и сетевые инновации в таких областях, как </w:t>
      </w:r>
      <w:r w:rsidR="00D75373" w:rsidRPr="00D75373">
        <w:rPr>
          <w:b/>
          <w:bCs/>
          <w:sz w:val="22"/>
          <w:szCs w:val="22"/>
        </w:rPr>
        <w:t>"нарезк</w:t>
      </w:r>
      <w:r w:rsidR="00D75373">
        <w:rPr>
          <w:b/>
          <w:bCs/>
          <w:sz w:val="22"/>
          <w:szCs w:val="22"/>
        </w:rPr>
        <w:t>а</w:t>
      </w:r>
      <w:r w:rsidR="00D75373" w:rsidRPr="00D75373">
        <w:rPr>
          <w:b/>
          <w:bCs/>
          <w:sz w:val="22"/>
          <w:szCs w:val="22"/>
        </w:rPr>
        <w:t>" сетей</w:t>
      </w:r>
      <w:r w:rsidRPr="00862AD1">
        <w:rPr>
          <w:b/>
          <w:bCs/>
          <w:sz w:val="22"/>
          <w:szCs w:val="22"/>
        </w:rPr>
        <w:t xml:space="preserve">, конвергенция сетей фиксированной и подвижной связи, </w:t>
      </w:r>
      <w:r w:rsidR="00D75373" w:rsidRPr="00D75373">
        <w:rPr>
          <w:b/>
          <w:bCs/>
          <w:sz w:val="22"/>
          <w:szCs w:val="22"/>
        </w:rPr>
        <w:t>организаци</w:t>
      </w:r>
      <w:r w:rsidR="00D75373">
        <w:rPr>
          <w:b/>
          <w:bCs/>
          <w:sz w:val="22"/>
          <w:szCs w:val="22"/>
        </w:rPr>
        <w:t>я</w:t>
      </w:r>
      <w:r w:rsidR="00D75373" w:rsidRPr="00D75373">
        <w:rPr>
          <w:b/>
          <w:bCs/>
          <w:sz w:val="22"/>
          <w:szCs w:val="22"/>
        </w:rPr>
        <w:t xml:space="preserve"> сетей, ориентированных на информацию</w:t>
      </w:r>
      <w:r w:rsidRPr="00862AD1">
        <w:rPr>
          <w:b/>
          <w:bCs/>
          <w:sz w:val="22"/>
          <w:szCs w:val="22"/>
        </w:rPr>
        <w:t>, организация сетей с программируемыми параметрами</w:t>
      </w:r>
      <w:r w:rsidRPr="00862AD1">
        <w:rPr>
          <w:sz w:val="22"/>
          <w:szCs w:val="22"/>
        </w:rPr>
        <w:t xml:space="preserve"> и </w:t>
      </w:r>
      <w:r w:rsidRPr="00862AD1">
        <w:rPr>
          <w:b/>
          <w:bCs/>
          <w:sz w:val="22"/>
          <w:szCs w:val="22"/>
        </w:rPr>
        <w:t>облачные вычисления</w:t>
      </w:r>
      <w:r w:rsidRPr="00862AD1">
        <w:rPr>
          <w:sz w:val="22"/>
          <w:szCs w:val="22"/>
        </w:rPr>
        <w:t>. См. разделы 1, 2 и 3.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Третья поправка к Рекомендации МСЭ-Т G.9701 предусматривает удвоение совокупной скорости передачи данных в сети за счет </w:t>
      </w:r>
      <w:r w:rsidRPr="00862AD1">
        <w:rPr>
          <w:b/>
          <w:bCs/>
          <w:sz w:val="22"/>
          <w:szCs w:val="22"/>
        </w:rPr>
        <w:t>G.fast</w:t>
      </w:r>
      <w:r w:rsidRPr="00862AD1">
        <w:rPr>
          <w:sz w:val="22"/>
          <w:szCs w:val="22"/>
        </w:rPr>
        <w:t>, повышая ее пропускную способность до 2 Гбит/с при использовании спектра 212 МГц по традиционным телефонным линиям, и предоставляя операторам ценное дополнение к технологиям типа волоконно-оптический кабель до дома (FTTH) в сценариях, в которых эффективность G.fast с точки зрения затрат является подтвержденным фактом.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>Дополнения к стандартам волоконно-оптических сетей позволили расширить и оптимизировать использование данной технологии сверх ее нынешних пределов.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Новый стандарт направлен на то, чтобы обеспечить </w:t>
      </w:r>
      <w:r w:rsidRPr="00862AD1">
        <w:rPr>
          <w:b/>
          <w:bCs/>
          <w:sz w:val="22"/>
          <w:szCs w:val="22"/>
        </w:rPr>
        <w:t>доступный в ценовом отношении ввод в действие широкополосной сети в сельских сообществах</w:t>
      </w:r>
      <w:r w:rsidRPr="00862AD1">
        <w:rPr>
          <w:sz w:val="22"/>
          <w:szCs w:val="22"/>
        </w:rPr>
        <w:t xml:space="preserve"> путем выявления недорогих, устойчивых промежуточных инфраструктур широкополосной связи с особым вниманием к сетям связи в сельских районах развивающихся стран.</w:t>
      </w:r>
    </w:p>
    <w:p w:rsidR="00B019C7" w:rsidRPr="00862AD1" w:rsidRDefault="00B019C7" w:rsidP="00D75373">
      <w:pPr>
        <w:jc w:val="both"/>
        <w:rPr>
          <w:bCs/>
          <w:sz w:val="22"/>
          <w:szCs w:val="22"/>
        </w:rPr>
      </w:pPr>
      <w:r w:rsidRPr="00862AD1">
        <w:rPr>
          <w:sz w:val="22"/>
          <w:szCs w:val="22"/>
        </w:rPr>
        <w:t>Появился новый стандарт широкополосных кабельных сетей</w:t>
      </w:r>
      <w:r w:rsidR="00D75373">
        <w:rPr>
          <w:sz w:val="22"/>
          <w:szCs w:val="22"/>
        </w:rPr>
        <w:t>, посвященный</w:t>
      </w:r>
      <w:r w:rsidRPr="00862AD1">
        <w:rPr>
          <w:sz w:val="22"/>
          <w:szCs w:val="22"/>
        </w:rPr>
        <w:t xml:space="preserve"> </w:t>
      </w:r>
      <w:r w:rsidR="00D75373">
        <w:rPr>
          <w:b/>
          <w:sz w:val="22"/>
          <w:szCs w:val="22"/>
        </w:rPr>
        <w:t xml:space="preserve">абонентским </w:t>
      </w:r>
      <w:r w:rsidRPr="00862AD1">
        <w:rPr>
          <w:b/>
          <w:sz w:val="22"/>
          <w:szCs w:val="22"/>
        </w:rPr>
        <w:t>приставк</w:t>
      </w:r>
      <w:r w:rsidR="00D75373">
        <w:rPr>
          <w:b/>
          <w:sz w:val="22"/>
          <w:szCs w:val="22"/>
        </w:rPr>
        <w:t>ам</w:t>
      </w:r>
      <w:r w:rsidRPr="00862AD1">
        <w:rPr>
          <w:b/>
          <w:sz w:val="22"/>
          <w:szCs w:val="22"/>
        </w:rPr>
        <w:t xml:space="preserve"> </w:t>
      </w:r>
      <w:r w:rsidR="00D75373">
        <w:rPr>
          <w:b/>
          <w:sz w:val="22"/>
          <w:szCs w:val="22"/>
        </w:rPr>
        <w:t xml:space="preserve">для </w:t>
      </w:r>
      <w:r w:rsidRPr="00862AD1">
        <w:rPr>
          <w:b/>
          <w:sz w:val="22"/>
          <w:szCs w:val="22"/>
        </w:rPr>
        <w:t>телевидения сверхвысокой четкости 4K</w:t>
      </w:r>
      <w:r w:rsidR="00D75373">
        <w:rPr>
          <w:sz w:val="22"/>
          <w:szCs w:val="22"/>
        </w:rPr>
        <w:t xml:space="preserve">, </w:t>
      </w:r>
      <w:r w:rsidRPr="00862AD1">
        <w:rPr>
          <w:sz w:val="22"/>
          <w:szCs w:val="22"/>
        </w:rPr>
        <w:t>с функциональными спецификациями таких телевизионных приставок.</w:t>
      </w:r>
    </w:p>
    <w:p w:rsidR="00B019C7" w:rsidRPr="00862AD1" w:rsidRDefault="00B019C7" w:rsidP="007E566D">
      <w:pPr>
        <w:jc w:val="both"/>
        <w:rPr>
          <w:sz w:val="22"/>
          <w:szCs w:val="22"/>
        </w:rPr>
      </w:pPr>
      <w:r w:rsidRPr="00862AD1">
        <w:rPr>
          <w:rStyle w:val="Emphasis"/>
          <w:sz w:val="22"/>
          <w:szCs w:val="22"/>
        </w:rPr>
        <w:t xml:space="preserve">Синхронизированная промежуточная линия подвижной связи является основой для успешного </w:t>
      </w:r>
      <w:r w:rsidR="007E566D">
        <w:rPr>
          <w:rStyle w:val="Emphasis"/>
          <w:sz w:val="22"/>
          <w:szCs w:val="22"/>
        </w:rPr>
        <w:t xml:space="preserve">функционирования </w:t>
      </w:r>
      <w:r w:rsidRPr="00862AD1">
        <w:rPr>
          <w:rStyle w:val="Emphasis"/>
          <w:sz w:val="22"/>
          <w:szCs w:val="22"/>
        </w:rPr>
        <w:t xml:space="preserve">беспроводных систем 4G, 5G и выше. </w:t>
      </w:r>
      <w:r w:rsidRPr="00862AD1">
        <w:rPr>
          <w:sz w:val="22"/>
          <w:szCs w:val="22"/>
        </w:rPr>
        <w:t>Новый отраслевой стандарт обеспечивает высокоточную синхронизацию по времени и высокий уровень надежности, дающий возможность работать до нескольких дней с технологиями, которые обычно опираются на сочетание GNSS (глобальных навигационных спутниковых систем, таких как GPS) и атомных (например цезиевых) часов.</w:t>
      </w:r>
    </w:p>
    <w:p w:rsidR="00B019C7" w:rsidRPr="00862AD1" w:rsidRDefault="00B019C7" w:rsidP="00E61E50">
      <w:pPr>
        <w:jc w:val="both"/>
        <w:rPr>
          <w:b/>
          <w:bCs/>
          <w:sz w:val="22"/>
          <w:szCs w:val="22"/>
        </w:rPr>
      </w:pPr>
      <w:r w:rsidRPr="00862AD1">
        <w:rPr>
          <w:sz w:val="22"/>
          <w:szCs w:val="22"/>
        </w:rPr>
        <w:t xml:space="preserve">Расширение и ускорение работы по стандартизации </w:t>
      </w:r>
      <w:r w:rsidRPr="00862AD1">
        <w:rPr>
          <w:b/>
          <w:bCs/>
          <w:sz w:val="22"/>
          <w:szCs w:val="22"/>
        </w:rPr>
        <w:t>сетей с программируемыми параметрами (SDN)</w:t>
      </w:r>
      <w:r w:rsidRPr="00862AD1">
        <w:rPr>
          <w:sz w:val="22"/>
          <w:szCs w:val="22"/>
        </w:rPr>
        <w:t xml:space="preserve"> привело к появлению двух новых стандартов, которые заложили базовые требования к SDN и их архитектуре. Новый стандарт</w:t>
      </w:r>
      <w:r w:rsidRPr="00862AD1">
        <w:rPr>
          <w:b/>
          <w:bCs/>
          <w:sz w:val="22"/>
          <w:szCs w:val="22"/>
        </w:rPr>
        <w:t xml:space="preserve"> </w:t>
      </w:r>
      <w:r w:rsidRPr="00862AD1">
        <w:rPr>
          <w:sz w:val="22"/>
          <w:szCs w:val="22"/>
        </w:rPr>
        <w:t>определяет интеграцию зеленого уровня абстракции в архитектуру сетей с программируемыми параметрами, тогда как другой стандарт определяет требования безопасности и эталонную архитектуру безопасности для SDN. В новом стандарте описаны общности в сетевом управлении SDN и ASON, охватывающие общие подходы к управлению SDN и ASON.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>Координационная работа МСЭ-T в рамках Группы по совместной координационной деятельности по SDN (</w:t>
      </w:r>
      <w:r w:rsidRPr="00862AD1">
        <w:rPr>
          <w:b/>
          <w:bCs/>
          <w:sz w:val="22"/>
          <w:szCs w:val="22"/>
        </w:rPr>
        <w:t>JCA-SDN)</w:t>
      </w:r>
      <w:r w:rsidRPr="00862AD1">
        <w:rPr>
          <w:sz w:val="22"/>
          <w:szCs w:val="22"/>
        </w:rPr>
        <w:t xml:space="preserve"> продолжается.</w:t>
      </w:r>
    </w:p>
    <w:p w:rsidR="00B019C7" w:rsidRPr="00862AD1" w:rsidRDefault="00B019C7" w:rsidP="00E61E50">
      <w:pPr>
        <w:jc w:val="both"/>
        <w:rPr>
          <w:rFonts w:asciiTheme="majorBidi" w:hAnsiTheme="majorBidi" w:cstheme="majorBidi"/>
          <w:sz w:val="22"/>
          <w:szCs w:val="22"/>
        </w:rPr>
      </w:pPr>
      <w:r w:rsidRPr="00862AD1">
        <w:rPr>
          <w:rFonts w:asciiTheme="majorBidi" w:hAnsiTheme="majorBidi"/>
          <w:sz w:val="22"/>
          <w:szCs w:val="22"/>
        </w:rPr>
        <w:t xml:space="preserve">Рассматривается новый стандарт </w:t>
      </w:r>
      <w:r w:rsidRPr="00862AD1">
        <w:rPr>
          <w:rFonts w:asciiTheme="majorBidi" w:hAnsiTheme="majorBidi"/>
          <w:b/>
          <w:bCs/>
          <w:sz w:val="22"/>
          <w:szCs w:val="22"/>
        </w:rPr>
        <w:t>программной сетевой архитектуры</w:t>
      </w:r>
      <w:r w:rsidRPr="00862AD1">
        <w:rPr>
          <w:rFonts w:asciiTheme="majorBidi" w:hAnsiTheme="majorBidi"/>
          <w:sz w:val="22"/>
          <w:szCs w:val="22"/>
        </w:rPr>
        <w:t xml:space="preserve"> </w:t>
      </w:r>
      <w:r w:rsidRPr="00862AD1">
        <w:rPr>
          <w:rFonts w:asciiTheme="majorBidi" w:hAnsiTheme="majorBidi"/>
          <w:b/>
          <w:bCs/>
          <w:sz w:val="22"/>
          <w:szCs w:val="22"/>
        </w:rPr>
        <w:t>для подвижной связи в</w:t>
      </w:r>
      <w:r w:rsidRPr="00862AD1">
        <w:rPr>
          <w:rFonts w:asciiTheme="majorBidi" w:hAnsiTheme="majorBidi"/>
          <w:sz w:val="22"/>
          <w:szCs w:val="22"/>
        </w:rPr>
        <w:t xml:space="preserve"> </w:t>
      </w:r>
      <w:r w:rsidRPr="00862AD1">
        <w:rPr>
          <w:b/>
          <w:bCs/>
          <w:sz w:val="22"/>
          <w:szCs w:val="22"/>
        </w:rPr>
        <w:t>базовой сети пакетной коммутации</w:t>
      </w:r>
      <w:r w:rsidRPr="00862AD1">
        <w:rPr>
          <w:sz w:val="22"/>
          <w:szCs w:val="22"/>
        </w:rPr>
        <w:t>, который объединяет действующие в настоящее время сети подвижной связи прежних поколений с будущими сетями,</w:t>
      </w:r>
      <w:r w:rsidR="007E566D">
        <w:rPr>
          <w:sz w:val="22"/>
          <w:szCs w:val="22"/>
        </w:rPr>
        <w:t xml:space="preserve"> </w:t>
      </w:r>
      <w:r w:rsidRPr="00862AD1">
        <w:rPr>
          <w:rFonts w:asciiTheme="majorBidi" w:hAnsiTheme="majorBidi"/>
          <w:sz w:val="22"/>
          <w:szCs w:val="22"/>
        </w:rPr>
        <w:t xml:space="preserve">что должно составить основу работы по 5G в ИК13. Этот новый стандарт </w:t>
      </w:r>
      <w:r w:rsidRPr="00862AD1">
        <w:rPr>
          <w:sz w:val="22"/>
          <w:szCs w:val="22"/>
        </w:rPr>
        <w:t xml:space="preserve">определяет принципы разработки и требования к программной сетевой архитектуре для подвижной связи (SAME), т. е. гибкое управление трафиком, визуализацию сетевых функций SAME, сегментирование сети SAME и разделение функции управления и переадресации, и тем самым дает операторам возможность повысить </w:t>
      </w:r>
      <w:r w:rsidRPr="00862AD1">
        <w:rPr>
          <w:sz w:val="22"/>
          <w:szCs w:val="22"/>
        </w:rPr>
        <w:lastRenderedPageBreak/>
        <w:t>гибкость своих сетей, в частности за счет более эффективного использования ресурсов и более быстрого расширения возможностей их сетей.</w:t>
      </w:r>
    </w:p>
    <w:p w:rsidR="00B019C7" w:rsidRPr="00862AD1" w:rsidRDefault="00B019C7" w:rsidP="003C0D63">
      <w:pPr>
        <w:spacing w:after="120"/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Завершившая свою работу </w:t>
      </w:r>
      <w:r w:rsidRPr="00862AD1">
        <w:rPr>
          <w:b/>
          <w:bCs/>
          <w:sz w:val="22"/>
          <w:szCs w:val="22"/>
        </w:rPr>
        <w:t>Оперативная группа МСЭ-Т по сетевым аспектам IMT-2020</w:t>
      </w:r>
      <w:r w:rsidRPr="00862AD1">
        <w:rPr>
          <w:sz w:val="22"/>
          <w:szCs w:val="22"/>
        </w:rPr>
        <w:t xml:space="preserve"> ("5G") разработала </w:t>
      </w:r>
      <w:r w:rsidRPr="00862AD1">
        <w:rPr>
          <w:b/>
          <w:bCs/>
          <w:sz w:val="22"/>
          <w:szCs w:val="22"/>
        </w:rPr>
        <w:t>пять проектов международных стандартов МСЭ</w:t>
      </w:r>
      <w:r w:rsidRPr="00862AD1">
        <w:rPr>
          <w:sz w:val="22"/>
          <w:szCs w:val="22"/>
        </w:rPr>
        <w:t xml:space="preserve"> и </w:t>
      </w:r>
      <w:r w:rsidRPr="00862AD1">
        <w:rPr>
          <w:b/>
          <w:bCs/>
          <w:sz w:val="22"/>
          <w:szCs w:val="22"/>
        </w:rPr>
        <w:t>четыре проекта технических отчетов МСЭ</w:t>
      </w:r>
      <w:r w:rsidRPr="00862AD1">
        <w:rPr>
          <w:sz w:val="22"/>
          <w:szCs w:val="22"/>
        </w:rPr>
        <w:t xml:space="preserve"> с целью стимулирования соответствующей работы Исследовательских комиссий МСЭ-Т. В феврале 2017 года были введены около </w:t>
      </w:r>
      <w:r w:rsidRPr="00862AD1">
        <w:rPr>
          <w:b/>
          <w:bCs/>
          <w:sz w:val="22"/>
          <w:szCs w:val="22"/>
        </w:rPr>
        <w:t>13 новых направлений работы</w:t>
      </w:r>
      <w:r w:rsidRPr="00862AD1">
        <w:rPr>
          <w:sz w:val="22"/>
          <w:szCs w:val="22"/>
        </w:rPr>
        <w:t xml:space="preserve">, основанных, главным образом, на результатах, достигнутых Оперативной группой, и охватывающих требования к сетям IMT-2020 и конвергенции сетей фиксированной и подвижной связи, схему архитектуры IMT-2020, схему управления сетью IMT-2020, сегментирование сетей и </w:t>
      </w:r>
      <w:r w:rsidR="003C0D63" w:rsidRPr="003C0D63">
        <w:rPr>
          <w:sz w:val="22"/>
          <w:szCs w:val="22"/>
        </w:rPr>
        <w:t>организаци</w:t>
      </w:r>
      <w:r w:rsidR="003C0D63">
        <w:rPr>
          <w:sz w:val="22"/>
          <w:szCs w:val="22"/>
        </w:rPr>
        <w:t>ю</w:t>
      </w:r>
      <w:r w:rsidR="003C0D63" w:rsidRPr="003C0D63">
        <w:rPr>
          <w:sz w:val="22"/>
          <w:szCs w:val="22"/>
        </w:rPr>
        <w:t xml:space="preserve"> сетей, ориентированных на информацию</w:t>
      </w:r>
      <w:r w:rsidRPr="00862AD1">
        <w:rPr>
          <w:sz w:val="22"/>
          <w:szCs w:val="22"/>
        </w:rPr>
        <w:t>. Первые стандарты по 5G на основе перечисленных разработок, как предполагается, появятся летом 2017</w:t>
      </w:r>
      <w:r w:rsidR="003C0D63">
        <w:rPr>
          <w:sz w:val="22"/>
          <w:szCs w:val="22"/>
        </w:rPr>
        <w:t> </w:t>
      </w:r>
      <w:r w:rsidRPr="00862AD1">
        <w:rPr>
          <w:sz w:val="22"/>
          <w:szCs w:val="22"/>
        </w:rPr>
        <w:t xml:space="preserve">года. </w:t>
      </w:r>
      <w:r w:rsidRPr="00862AD1">
        <w:rPr>
          <w:b/>
          <w:bCs/>
          <w:sz w:val="22"/>
          <w:szCs w:val="22"/>
        </w:rPr>
        <w:t>Новая Группы МСЭ-Т по совместной координационной деятельности по IMT</w:t>
      </w:r>
      <w:r w:rsidR="003C0D63">
        <w:rPr>
          <w:b/>
          <w:bCs/>
          <w:sz w:val="22"/>
          <w:szCs w:val="22"/>
        </w:rPr>
        <w:t>-</w:t>
      </w:r>
      <w:r w:rsidRPr="00862AD1">
        <w:rPr>
          <w:b/>
          <w:bCs/>
          <w:sz w:val="22"/>
          <w:szCs w:val="22"/>
        </w:rPr>
        <w:t>2020 (JCA-IMT</w:t>
      </w:r>
      <w:r w:rsidR="003C0D63">
        <w:rPr>
          <w:b/>
          <w:bCs/>
          <w:sz w:val="22"/>
          <w:szCs w:val="22"/>
        </w:rPr>
        <w:t>-</w:t>
      </w:r>
      <w:r w:rsidRPr="00862AD1">
        <w:rPr>
          <w:b/>
          <w:bCs/>
          <w:sz w:val="22"/>
          <w:szCs w:val="22"/>
        </w:rPr>
        <w:t>2020 МСЭ-Т)</w:t>
      </w:r>
      <w:r w:rsidRPr="00862AD1">
        <w:rPr>
          <w:sz w:val="22"/>
          <w:szCs w:val="22"/>
        </w:rPr>
        <w:t xml:space="preserve"> будет координировать работу МСЭ-Т по стандартизации IMT</w:t>
      </w:r>
      <w:r w:rsidR="003C0D63">
        <w:rPr>
          <w:sz w:val="22"/>
          <w:szCs w:val="22"/>
        </w:rPr>
        <w:t>-</w:t>
      </w:r>
      <w:r w:rsidRPr="00862AD1">
        <w:rPr>
          <w:sz w:val="22"/>
          <w:szCs w:val="22"/>
        </w:rPr>
        <w:t>2020, уделяя основное внимание не связанным с радиовещанием аспектам в рамках деятельности МСЭ-Т, и будет вести дорожную карту исследований и действий в отношении подвижной связи, проводимых тремя Секторами МСЭ.</w:t>
      </w:r>
    </w:p>
    <w:p w:rsidR="00B019C7" w:rsidRPr="00862AD1" w:rsidRDefault="00B019C7" w:rsidP="003C0D63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Новый стандарт устанавливает требования </w:t>
      </w:r>
      <w:r w:rsidRPr="00862AD1">
        <w:rPr>
          <w:b/>
          <w:bCs/>
          <w:sz w:val="22"/>
          <w:szCs w:val="22"/>
        </w:rPr>
        <w:t>к управлению услугами в системе управления электросвязью, совместимой с облаком</w:t>
      </w:r>
      <w:r w:rsidRPr="00862AD1">
        <w:rPr>
          <w:sz w:val="22"/>
          <w:szCs w:val="22"/>
        </w:rPr>
        <w:t xml:space="preserve">. Были разработаны и будут поддерживаться </w:t>
      </w:r>
      <w:r w:rsidRPr="00862AD1">
        <w:rPr>
          <w:b/>
          <w:bCs/>
          <w:sz w:val="22"/>
          <w:szCs w:val="22"/>
        </w:rPr>
        <w:t>дорожные карты</w:t>
      </w:r>
      <w:r w:rsidRPr="00862AD1">
        <w:rPr>
          <w:sz w:val="22"/>
          <w:szCs w:val="22"/>
        </w:rPr>
        <w:t xml:space="preserve"> стандартизации в сфере облачных вычислений и больших данных.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Стандарты МСЭ в области </w:t>
      </w:r>
      <w:r w:rsidRPr="00862AD1">
        <w:rPr>
          <w:b/>
          <w:bCs/>
          <w:sz w:val="22"/>
          <w:szCs w:val="22"/>
        </w:rPr>
        <w:t>мультимедиа</w:t>
      </w:r>
      <w:r w:rsidRPr="00862AD1">
        <w:rPr>
          <w:sz w:val="22"/>
          <w:szCs w:val="22"/>
        </w:rPr>
        <w:t xml:space="preserve"> предлагают общую платформу для инноваций и важны для облегчения нагрузки на глобальные сети, которые все в большей степени движутся в направлении обеспечения массового обмена трафиком видеоизображений. См. раздел 4. Четвертое издание стандарта </w:t>
      </w:r>
      <w:r w:rsidRPr="00862AD1">
        <w:rPr>
          <w:b/>
          <w:bCs/>
          <w:sz w:val="22"/>
          <w:szCs w:val="22"/>
        </w:rPr>
        <w:t>H.265 "Высокоэффективное кодирование изображения"</w:t>
      </w:r>
      <w:r w:rsidRPr="00862AD1">
        <w:rPr>
          <w:sz w:val="22"/>
          <w:szCs w:val="22"/>
        </w:rPr>
        <w:t xml:space="preserve"> было стандартизировано и дополнено профилями расширения кодирования содержания экрана, масштабируемых расширений диапазона и дополнительной высокой пропускной способности. Совместная группа экспертов занимается поиском доказательных аргументов в пользу </w:t>
      </w:r>
      <w:r w:rsidRPr="00862AD1">
        <w:rPr>
          <w:b/>
          <w:bCs/>
          <w:sz w:val="22"/>
          <w:szCs w:val="22"/>
        </w:rPr>
        <w:t>будущего стандарта кодирования изображения</w:t>
      </w:r>
      <w:r w:rsidRPr="00862AD1">
        <w:rPr>
          <w:sz w:val="22"/>
          <w:szCs w:val="22"/>
        </w:rPr>
        <w:t xml:space="preserve"> сверх сегодняшнего "Высокоэффективного кодирования изображения" (HEVC, опубликовано под номером H.265 | ISO/IEC 23008-2) с целью удвоения возможностей сжатия видеоинформации по сравнению с HEVC.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>Новый стандарт определяет систему</w:t>
      </w:r>
      <w:r w:rsidRPr="00862AD1">
        <w:rPr>
          <w:b/>
          <w:bCs/>
          <w:sz w:val="22"/>
          <w:szCs w:val="22"/>
        </w:rPr>
        <w:t xml:space="preserve"> услуги "умного" телевидения с технологией дополненной реальности</w:t>
      </w:r>
      <w:r w:rsidRPr="00862AD1">
        <w:rPr>
          <w:sz w:val="22"/>
          <w:szCs w:val="22"/>
        </w:rPr>
        <w:t>, предоставляющей телезрителям возможность выбора: либо включать контент дополненной реальности, либо смотреть исходный телевизионный контент (без дополненной реальности).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Была разработана серия стандартов </w:t>
      </w:r>
      <w:r w:rsidRPr="00862AD1">
        <w:rPr>
          <w:b/>
          <w:bCs/>
          <w:sz w:val="22"/>
          <w:szCs w:val="22"/>
        </w:rPr>
        <w:t xml:space="preserve">мониторинга качества видеоизображения </w:t>
      </w:r>
      <w:r w:rsidRPr="00862AD1">
        <w:rPr>
          <w:sz w:val="22"/>
          <w:szCs w:val="22"/>
        </w:rPr>
        <w:t xml:space="preserve">с целью обеспечения возможности мониторинга </w:t>
      </w:r>
      <w:r w:rsidRPr="00862AD1">
        <w:rPr>
          <w:rFonts w:asciiTheme="majorBidi" w:hAnsiTheme="majorBidi"/>
          <w:sz w:val="22"/>
          <w:szCs w:val="22"/>
        </w:rPr>
        <w:t>качества потоковой передачи видеоизображения на мобильных устройствах, а также на больших экранах при соединении с фиксированными сетями. Стандарт применяется как к последовательно загружаемому, так и к адаптирующемуся к скорости потоковой передачи видеоизображения.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Эксперты приступили к новой работе по стандартизации систем </w:t>
      </w:r>
      <w:r w:rsidRPr="00862AD1">
        <w:rPr>
          <w:b/>
          <w:bCs/>
          <w:sz w:val="22"/>
          <w:szCs w:val="22"/>
        </w:rPr>
        <w:t>иммерсивной трансляции событий в режиме реального времени (ILE)</w:t>
      </w:r>
      <w:r w:rsidRPr="00862AD1">
        <w:rPr>
          <w:sz w:val="22"/>
          <w:szCs w:val="22"/>
        </w:rPr>
        <w:t>, которая создает у удаленной аудитории ощущение присутствия, имитируя опыт участия в мероприятии.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Новая группа стандартов МСЭ содержит модель алгоритмов для мониторинга </w:t>
      </w:r>
      <w:r w:rsidRPr="00862AD1">
        <w:rPr>
          <w:b/>
          <w:bCs/>
          <w:sz w:val="22"/>
          <w:szCs w:val="22"/>
        </w:rPr>
        <w:t>качества потоковой передачи видеоизображения</w:t>
      </w:r>
      <w:r w:rsidRPr="00862AD1">
        <w:rPr>
          <w:sz w:val="22"/>
          <w:szCs w:val="22"/>
        </w:rPr>
        <w:t xml:space="preserve"> на мобильных устройствах, а также на больших экранах при соединении с фиксированными сетями.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Стандарты МСЭ, поддерживающие широкий спектр технологий в рамках </w:t>
      </w:r>
      <w:r w:rsidRPr="00862AD1">
        <w:rPr>
          <w:b/>
          <w:bCs/>
          <w:sz w:val="22"/>
          <w:szCs w:val="22"/>
        </w:rPr>
        <w:t>интернета вещей</w:t>
      </w:r>
      <w:r w:rsidRPr="00862AD1">
        <w:rPr>
          <w:sz w:val="22"/>
          <w:szCs w:val="22"/>
        </w:rPr>
        <w:t xml:space="preserve">, помогут как развитым, так и развивающимся странам в преобразовании городской инфраструктуры, пользуясь преимуществами эффективности интеллектуальных зданий и транспортных систем, "умных" энергетических и водных сетей и инноваций в области электронного здравоохранения. См. раздел 5. JCA-IoT и SC&amp;C ведут </w:t>
      </w:r>
      <w:r w:rsidRPr="00862AD1">
        <w:rPr>
          <w:b/>
          <w:bCs/>
          <w:sz w:val="22"/>
          <w:szCs w:val="22"/>
        </w:rPr>
        <w:t>дорожную карту по разработке стандартов IoT и "умных" городов и сообществ</w:t>
      </w:r>
      <w:r w:rsidRPr="00862AD1">
        <w:rPr>
          <w:sz w:val="22"/>
          <w:szCs w:val="22"/>
        </w:rPr>
        <w:t xml:space="preserve">. Было опубликовано исследование конкретной ситуации по теме "Выполнение международных стандартов МСЭ-Т </w:t>
      </w:r>
      <w:r w:rsidRPr="00862AD1">
        <w:rPr>
          <w:sz w:val="22"/>
          <w:szCs w:val="22"/>
        </w:rPr>
        <w:lastRenderedPageBreak/>
        <w:t xml:space="preserve">при формировании "умных" устойчивых городов: пример Дубая". В данном исследовании конкретной ситуации подробно описаны стремления и новаторские действия Дубая на пути к превращению в "умный" город, его попытка стать примером для подражания для других городов мира, стремящихся получить статус "умных". </w:t>
      </w:r>
      <w:r w:rsidRPr="00862AD1">
        <w:rPr>
          <w:rFonts w:asciiTheme="majorBidi" w:hAnsiTheme="majorBidi"/>
          <w:sz w:val="22"/>
          <w:szCs w:val="22"/>
        </w:rPr>
        <w:t xml:space="preserve">Новый стандарт дает общие руководящие указания и </w:t>
      </w:r>
      <w:r w:rsidRPr="00862AD1">
        <w:rPr>
          <w:rFonts w:asciiTheme="majorBidi" w:hAnsiTheme="majorBidi"/>
          <w:b/>
          <w:bCs/>
          <w:sz w:val="22"/>
          <w:szCs w:val="22"/>
        </w:rPr>
        <w:t>ключевые показатели деятельности (KPI) для "умных" устойчивых городов (SSC)</w:t>
      </w:r>
      <w:r w:rsidRPr="00862AD1">
        <w:rPr>
          <w:rFonts w:asciiTheme="majorBidi" w:hAnsiTheme="majorBidi"/>
          <w:sz w:val="22"/>
          <w:szCs w:val="22"/>
        </w:rPr>
        <w:t xml:space="preserve"> в помощь таким городам при достижении Целей </w:t>
      </w:r>
      <w:r w:rsidR="00212B55">
        <w:rPr>
          <w:rFonts w:asciiTheme="majorBidi" w:hAnsiTheme="majorBidi"/>
          <w:sz w:val="22"/>
          <w:szCs w:val="22"/>
        </w:rPr>
        <w:t xml:space="preserve">в области </w:t>
      </w:r>
      <w:r w:rsidRPr="00862AD1">
        <w:rPr>
          <w:rFonts w:asciiTheme="majorBidi" w:hAnsiTheme="majorBidi"/>
          <w:sz w:val="22"/>
          <w:szCs w:val="22"/>
        </w:rPr>
        <w:t>устойчивого развития (ЦУР).</w:t>
      </w:r>
    </w:p>
    <w:p w:rsidR="00B019C7" w:rsidRPr="00862AD1" w:rsidRDefault="00B019C7" w:rsidP="00E61E50">
      <w:pPr>
        <w:jc w:val="both"/>
        <w:rPr>
          <w:b/>
          <w:bCs/>
          <w:sz w:val="22"/>
          <w:szCs w:val="22"/>
        </w:rPr>
      </w:pPr>
      <w:r w:rsidRPr="00862AD1">
        <w:rPr>
          <w:sz w:val="22"/>
          <w:szCs w:val="22"/>
        </w:rPr>
        <w:t xml:space="preserve">Новые и пересмотренные стандарты МСЭ определяют электроакустическую характеристику, требования по качеству работы и порядок тестирования сигналов при </w:t>
      </w:r>
      <w:r w:rsidRPr="00862AD1">
        <w:rPr>
          <w:b/>
          <w:bCs/>
          <w:sz w:val="22"/>
          <w:szCs w:val="22"/>
        </w:rPr>
        <w:t>использовании гарнитур в автомобилях</w:t>
      </w:r>
      <w:r w:rsidRPr="00862AD1">
        <w:rPr>
          <w:sz w:val="22"/>
          <w:szCs w:val="22"/>
        </w:rPr>
        <w:t>, а также требования по качеству речи при</w:t>
      </w:r>
      <w:r w:rsidRPr="00862AD1">
        <w:rPr>
          <w:b/>
          <w:bCs/>
          <w:sz w:val="22"/>
          <w:szCs w:val="22"/>
        </w:rPr>
        <w:t xml:space="preserve"> экстренных вызовах </w:t>
      </w:r>
      <w:r w:rsidRPr="00862AD1">
        <w:rPr>
          <w:sz w:val="22"/>
          <w:szCs w:val="22"/>
        </w:rPr>
        <w:t xml:space="preserve">из автомобилей. Новый стандарт МСЭ описывает требования к услуге и функциональные требования к </w:t>
      </w:r>
      <w:r w:rsidRPr="00862AD1">
        <w:rPr>
          <w:b/>
          <w:bCs/>
          <w:sz w:val="22"/>
          <w:szCs w:val="22"/>
        </w:rPr>
        <w:t>автомобильной шлюзовой платформе в интеллектуальной транспортной системе</w:t>
      </w:r>
      <w:r w:rsidRPr="00862AD1">
        <w:rPr>
          <w:sz w:val="22"/>
          <w:szCs w:val="22"/>
        </w:rPr>
        <w:t>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Работа МСЭ по </w:t>
      </w:r>
      <w:r w:rsidRPr="00862AD1">
        <w:rPr>
          <w:b/>
          <w:bCs/>
          <w:sz w:val="22"/>
          <w:szCs w:val="22"/>
        </w:rPr>
        <w:t>укреплению доверия и безопасности при использовании ИКТ</w:t>
      </w:r>
      <w:r w:rsidRPr="00862AD1">
        <w:rPr>
          <w:sz w:val="22"/>
          <w:szCs w:val="22"/>
        </w:rPr>
        <w:t xml:space="preserve"> продолжает ускоряться в стремлении содействовать развитию более безопасных сетевых инфраструктур, услуг и приложений, и члены МСЭ привлекаются к новой деятельности по стандартизации с целью описания основных принципов создания доверенной среды ИКТ. См. раздел 6. Было завершено 8-е издание серии стандартов МСЭ-Т X.500; среди них стандарт X.509 по сертификатам открытых ключей и инфраструктуре управления привилегиями. Два новых стандарта безопасности определяют формат телебиометрической идентификации личности с использованием биометрического аппаратного модуля безопасности и технических и операционных мер противодействия в отношении телебиометрических приложений с использованием мобильных устройств.</w:t>
      </w:r>
    </w:p>
    <w:p w:rsidR="00B019C7" w:rsidRPr="00862AD1" w:rsidRDefault="00B019C7" w:rsidP="003C0D63">
      <w:pPr>
        <w:pStyle w:val="NormalWeb"/>
        <w:spacing w:before="120" w:after="120"/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Стандарты МСЭ по </w:t>
      </w:r>
      <w:r w:rsidRPr="00862AD1">
        <w:rPr>
          <w:b/>
          <w:bCs/>
          <w:sz w:val="22"/>
          <w:szCs w:val="22"/>
        </w:rPr>
        <w:t>"экологически чистым ИКТ"</w:t>
      </w:r>
      <w:r w:rsidRPr="00862AD1">
        <w:rPr>
          <w:sz w:val="22"/>
          <w:szCs w:val="22"/>
        </w:rPr>
        <w:t>, как и стандарты других отраслевых секторов, способствуют сокращению воздействия сектора ИКТ на окружающую среду. Ряд новых стандартов по "зеленым" ИКТ в серии Рекомендаций МСЭ-Т L.</w:t>
      </w:r>
      <w:r w:rsidR="00E61E50" w:rsidRPr="00862AD1">
        <w:rPr>
          <w:sz w:val="22"/>
          <w:szCs w:val="22"/>
        </w:rPr>
        <w:t xml:space="preserve"> </w:t>
      </w:r>
      <w:r w:rsidRPr="00862AD1">
        <w:rPr>
          <w:sz w:val="22"/>
          <w:szCs w:val="22"/>
        </w:rPr>
        <w:t xml:space="preserve">1300 содействуют решениям в области энергоэффективных ИКТ/электросвязи. См. раздел 7. Например новый "экологически чистый" стандарт по </w:t>
      </w:r>
      <w:r w:rsidRPr="00862AD1">
        <w:rPr>
          <w:rFonts w:asciiTheme="majorBidi" w:hAnsiTheme="majorBidi"/>
          <w:b/>
          <w:sz w:val="22"/>
          <w:szCs w:val="22"/>
        </w:rPr>
        <w:t>решениям для внешних универсальных блоков питания</w:t>
      </w:r>
      <w:r w:rsidRPr="00862AD1">
        <w:rPr>
          <w:rFonts w:asciiTheme="majorBidi" w:hAnsiTheme="majorBidi"/>
          <w:bCs/>
          <w:sz w:val="22"/>
          <w:szCs w:val="22"/>
        </w:rPr>
        <w:t xml:space="preserve"> </w:t>
      </w:r>
      <w:r w:rsidRPr="00862AD1">
        <w:rPr>
          <w:sz w:val="22"/>
          <w:szCs w:val="22"/>
        </w:rPr>
        <w:t>для ноутбуков и других портативных устройств обеспечивает повышение энергоэффективности и сокращение выбросов тепличных газов, а также, как предполагается, приведет к значительному уменьшению объема электронных отходов, тем самым содействуя достижению целевых показателей, установленных Целью 12 в матрице Целей</w:t>
      </w:r>
      <w:r w:rsidR="00212B55">
        <w:rPr>
          <w:sz w:val="22"/>
          <w:szCs w:val="22"/>
        </w:rPr>
        <w:t xml:space="preserve"> в области</w:t>
      </w:r>
      <w:r w:rsidRPr="00862AD1">
        <w:rPr>
          <w:sz w:val="22"/>
          <w:szCs w:val="22"/>
        </w:rPr>
        <w:t xml:space="preserve"> устойчивого развития ООН в плане обеспечения схем устойчивого производства и потребления. Кроме того, этот стандарт будет способствовать достижению целевых показателей по электронным отходам, установленных Повесткой дня "Соединим к 2020 году" и предусматривающих сокращение объема избыточных электронных отходов на 50 процентов к 2020 году.</w:t>
      </w:r>
    </w:p>
    <w:p w:rsidR="00B019C7" w:rsidRPr="00862AD1" w:rsidRDefault="00B019C7" w:rsidP="00E61E50">
      <w:pPr>
        <w:pStyle w:val="NormalWeb"/>
        <w:spacing w:before="120" w:after="120"/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Новый стандарт определяет </w:t>
      </w:r>
      <w:r w:rsidRPr="00862AD1">
        <w:rPr>
          <w:b/>
          <w:bCs/>
          <w:sz w:val="22"/>
          <w:szCs w:val="22"/>
        </w:rPr>
        <w:t>"экологически чистые" решения ИКТ для объектов сетей электросвязи</w:t>
      </w:r>
      <w:r w:rsidRPr="00862AD1">
        <w:rPr>
          <w:sz w:val="22"/>
          <w:szCs w:val="22"/>
        </w:rPr>
        <w:t>, позволяя вводить высокоэффективные инфраструктурные решения, включая решения по высокоэффективным источникам питания, возобновляемой энергии, экономии энергии на кондиционирование воздуха и бесплатному и экономному охлаждению.</w:t>
      </w:r>
    </w:p>
    <w:p w:rsidR="00B019C7" w:rsidRPr="00862AD1" w:rsidRDefault="00B019C7" w:rsidP="00E61E50">
      <w:pPr>
        <w:pStyle w:val="NormalWeb"/>
        <w:spacing w:before="120" w:after="120"/>
        <w:jc w:val="both"/>
        <w:rPr>
          <w:sz w:val="22"/>
          <w:szCs w:val="22"/>
        </w:rPr>
      </w:pPr>
      <w:r w:rsidRPr="00862AD1">
        <w:rPr>
          <w:sz w:val="22"/>
          <w:szCs w:val="22"/>
        </w:rPr>
        <w:t>Новый стандарт позволяет</w:t>
      </w:r>
      <w:r w:rsidRPr="00862AD1">
        <w:rPr>
          <w:b/>
          <w:bCs/>
          <w:sz w:val="22"/>
          <w:szCs w:val="22"/>
        </w:rPr>
        <w:t xml:space="preserve"> </w:t>
      </w:r>
      <w:r w:rsidRPr="00862AD1">
        <w:rPr>
          <w:color w:val="000000"/>
          <w:sz w:val="22"/>
          <w:szCs w:val="22"/>
        </w:rPr>
        <w:t xml:space="preserve">оценить </w:t>
      </w:r>
      <w:r w:rsidRPr="00862AD1">
        <w:rPr>
          <w:b/>
          <w:bCs/>
          <w:color w:val="000000"/>
          <w:sz w:val="22"/>
          <w:szCs w:val="22"/>
        </w:rPr>
        <w:t>энергоэффективность</w:t>
      </w:r>
      <w:r w:rsidRPr="00862AD1">
        <w:rPr>
          <w:color w:val="000000"/>
          <w:sz w:val="22"/>
          <w:szCs w:val="22"/>
        </w:rPr>
        <w:t xml:space="preserve"> объектов базовых станций, включая потребление энергии </w:t>
      </w:r>
      <w:r w:rsidRPr="00862AD1">
        <w:rPr>
          <w:sz w:val="22"/>
          <w:szCs w:val="22"/>
        </w:rPr>
        <w:t>всем оборудованием электросвязи внутри объекта базовой станции и во всей инфраструктуре, а также определить потери энергии в результате использования выпрямителей переменного/постоянного тока, генераторов и кабелей.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Стандарты МСЭ должны оказывать помощь в </w:t>
      </w:r>
      <w:r w:rsidRPr="00862AD1">
        <w:rPr>
          <w:b/>
          <w:bCs/>
          <w:sz w:val="22"/>
          <w:szCs w:val="22"/>
        </w:rPr>
        <w:t>ответственном регулировании воздействия электромагнитных полей</w:t>
      </w:r>
      <w:r w:rsidRPr="00862AD1">
        <w:rPr>
          <w:sz w:val="22"/>
          <w:szCs w:val="22"/>
        </w:rPr>
        <w:t>, включая разработку методов измерения, процедур и числовых моделей для анализа электромагнитных полей, производимых системами электросвязи и радиочастотными терминалами. Несколько новых и пересмотренных стандартов в серии К Рекомендаций МСЭ обеспечивают устойчивую ЭМС и устанавливают пределы для оборудования и инфраструктур ИКТ, тем самым содействуя достижению Цели 9 ЦУР.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Три новых стандарта определяют требования к </w:t>
      </w:r>
      <w:r w:rsidRPr="00862AD1">
        <w:rPr>
          <w:b/>
          <w:bCs/>
          <w:sz w:val="22"/>
          <w:szCs w:val="22"/>
        </w:rPr>
        <w:t xml:space="preserve">молниезащите </w:t>
      </w:r>
      <w:r w:rsidRPr="00862AD1">
        <w:rPr>
          <w:sz w:val="22"/>
          <w:szCs w:val="22"/>
        </w:rPr>
        <w:t>волоконно-оптических сетей на протяжении участков до оборудования точки распределения, а также заземления базовых радиостанций и миниатюрных базовых станций. Новый стандарт определяет</w:t>
      </w:r>
      <w:r w:rsidRPr="00862AD1">
        <w:rPr>
          <w:b/>
          <w:bCs/>
          <w:sz w:val="22"/>
          <w:szCs w:val="22"/>
        </w:rPr>
        <w:t xml:space="preserve"> требования по </w:t>
      </w:r>
      <w:r w:rsidRPr="00862AD1">
        <w:rPr>
          <w:b/>
          <w:bCs/>
          <w:sz w:val="22"/>
          <w:szCs w:val="22"/>
        </w:rPr>
        <w:lastRenderedPageBreak/>
        <w:t xml:space="preserve">ЭМС </w:t>
      </w:r>
      <w:r w:rsidRPr="00862AD1">
        <w:rPr>
          <w:sz w:val="22"/>
          <w:szCs w:val="22"/>
        </w:rPr>
        <w:t>для электрического оборудования на объектах электросвязи и описывает требования по эмиссионному и кондуктивному излучению от электрических систем, установленных на объектах электросвязи.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b/>
          <w:bCs/>
          <w:sz w:val="22"/>
          <w:szCs w:val="22"/>
        </w:rPr>
        <w:t>Объединенная целевая группа МСЭ/МОК-ЮНЕСКО/ВМО по "умным" кабельным системам</w:t>
      </w:r>
      <w:r w:rsidRPr="00862AD1">
        <w:rPr>
          <w:sz w:val="22"/>
          <w:szCs w:val="22"/>
        </w:rPr>
        <w:t xml:space="preserve"> осуществляет новый амбициозный проект с целью оборудования подводных кабелей связи датчиками мониторинга климата и опасных ситуаций. МСЭ в работе по стандартизации продолжает энергично заниматься вопросами </w:t>
      </w:r>
      <w:r w:rsidRPr="00862AD1">
        <w:rPr>
          <w:b/>
          <w:bCs/>
          <w:sz w:val="22"/>
          <w:szCs w:val="22"/>
        </w:rPr>
        <w:t>оказания помощи при бедствиях, устойчивости и восстановления сетей</w:t>
      </w:r>
      <w:r w:rsidRPr="00862AD1">
        <w:rPr>
          <w:sz w:val="22"/>
          <w:szCs w:val="22"/>
        </w:rPr>
        <w:t>, признавая, что XXI век становится средоточием все более частых экстремальных метеорологических явлений.</w:t>
      </w:r>
    </w:p>
    <w:p w:rsidR="00B019C7" w:rsidRPr="00862AD1" w:rsidRDefault="00B019C7" w:rsidP="00E61E50">
      <w:pPr>
        <w:pStyle w:val="NormalWeb"/>
        <w:spacing w:before="120" w:after="120"/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Новый стандарт по </w:t>
      </w:r>
      <w:r w:rsidRPr="00862AD1">
        <w:rPr>
          <w:b/>
          <w:bCs/>
          <w:sz w:val="22"/>
          <w:szCs w:val="22"/>
        </w:rPr>
        <w:t>ИКТ и адаптации сельского хозяйства к последствиям изменения климата</w:t>
      </w:r>
      <w:r w:rsidRPr="00862AD1">
        <w:rPr>
          <w:sz w:val="22"/>
          <w:szCs w:val="22"/>
        </w:rPr>
        <w:t xml:space="preserve"> содержит описание того, как использование ИКТ может помочь поддержать сельскохозяйственный сектор в случае плохого урожая или стихийного бедствия, вызванного изменением климата.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Несколько пересмотренных стандартов обеспечивают условия для </w:t>
      </w:r>
      <w:r w:rsidRPr="00862AD1">
        <w:rPr>
          <w:b/>
          <w:bCs/>
          <w:sz w:val="22"/>
          <w:szCs w:val="22"/>
        </w:rPr>
        <w:t xml:space="preserve">устойчивости </w:t>
      </w:r>
      <w:r w:rsidRPr="00862AD1">
        <w:rPr>
          <w:sz w:val="22"/>
          <w:szCs w:val="22"/>
        </w:rPr>
        <w:t>оборудования электросвязи к перегрузкам по напряжению и току и устанавливают</w:t>
      </w:r>
      <w:r w:rsidRPr="00862AD1">
        <w:rPr>
          <w:b/>
          <w:bCs/>
          <w:sz w:val="22"/>
          <w:szCs w:val="22"/>
        </w:rPr>
        <w:t xml:space="preserve"> безопасные пределы</w:t>
      </w:r>
      <w:r w:rsidRPr="00862AD1">
        <w:rPr>
          <w:sz w:val="22"/>
          <w:szCs w:val="22"/>
        </w:rPr>
        <w:t xml:space="preserve"> электромагнитного излучения от устройств с целью защиты людей.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Международное сообщество рассматривает уникальное глобально представленное партнерство членов МСЭ из государственного и частного секторов как нейтральную платформу для </w:t>
      </w:r>
      <w:r w:rsidRPr="00862AD1">
        <w:rPr>
          <w:b/>
          <w:bCs/>
          <w:sz w:val="22"/>
          <w:szCs w:val="22"/>
        </w:rPr>
        <w:t>укрепления связей между технологическими инновациями, потребностями бизнеса и требованиями экономики и политики</w:t>
      </w:r>
      <w:r w:rsidRPr="00862AD1">
        <w:rPr>
          <w:sz w:val="22"/>
          <w:szCs w:val="22"/>
        </w:rPr>
        <w:t>. На ВАСЭ-16 Члены МСЭ утвердили новые стандарты, касающиеся универсальных услуг, принципов тарификации и учета для СПП, разработали подход к сокращению тарифов международного роуминга и выдвинули принципы и руководящие указания в помощь странам при определении и выявлении операторов, имеющих значительное влияние на рынке. См. раздел 8.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Работа МСЭ по стандартизации </w:t>
      </w:r>
      <w:r w:rsidRPr="00862AD1">
        <w:rPr>
          <w:b/>
          <w:bCs/>
          <w:sz w:val="22"/>
          <w:szCs w:val="22"/>
        </w:rPr>
        <w:t>показателей работы, качества обслуживания (QoS) и оценки пользователем качества услуги (QoE)</w:t>
      </w:r>
      <w:r w:rsidRPr="00862AD1">
        <w:rPr>
          <w:sz w:val="22"/>
          <w:szCs w:val="22"/>
        </w:rPr>
        <w:t xml:space="preserve"> охватывает все виды оконечного оборудования, сетей и услуг – от передачи речи по сетям фиксированной связи с коммутацией каналов до мультимедийных приложений, обеспечиваемых по сетям подвижной связи с коммутацией пакетов. См. раздел 9.</w:t>
      </w:r>
    </w:p>
    <w:p w:rsidR="00B019C7" w:rsidRPr="00862AD1" w:rsidRDefault="00B019C7" w:rsidP="00E61E50">
      <w:pPr>
        <w:snapToGrid w:val="0"/>
        <w:jc w:val="both"/>
        <w:rPr>
          <w:sz w:val="22"/>
          <w:szCs w:val="22"/>
        </w:rPr>
      </w:pPr>
      <w:r w:rsidRPr="00862AD1">
        <w:rPr>
          <w:b/>
          <w:bCs/>
          <w:sz w:val="22"/>
          <w:szCs w:val="22"/>
        </w:rPr>
        <w:t>Программа МСЭ по оценке соответствия и проверке на функциональную совместимость (C&amp;I)</w:t>
      </w:r>
      <w:r w:rsidRPr="00862AD1">
        <w:rPr>
          <w:sz w:val="22"/>
          <w:szCs w:val="22"/>
        </w:rPr>
        <w:t xml:space="preserve"> представляет особую ценность для развивающихся стран в их деятельности по повышению уровня соответствия стандартам МСЭ и получению преимуществ от улучшенной функциональной совместимости, вытекающей из этого соответствия. См. раздел 10. Новые руководящие принципы определяют </w:t>
      </w:r>
      <w:r w:rsidRPr="00862AD1">
        <w:rPr>
          <w:b/>
          <w:bCs/>
          <w:sz w:val="22"/>
          <w:szCs w:val="22"/>
        </w:rPr>
        <w:t>процедуру CASC МСЭ-Т</w:t>
      </w:r>
      <w:r w:rsidRPr="00862AD1">
        <w:rPr>
          <w:sz w:val="22"/>
          <w:szCs w:val="22"/>
        </w:rPr>
        <w:t xml:space="preserve"> по назначению технических экспертов МСЭ-Т. Например, новые стандарты МСЭ предоставляют руководящие принципы в помощь регуляторным органам в отношении </w:t>
      </w:r>
      <w:r w:rsidRPr="00862AD1">
        <w:rPr>
          <w:b/>
          <w:bCs/>
          <w:sz w:val="22"/>
          <w:szCs w:val="22"/>
        </w:rPr>
        <w:t>мониторинга QoS интернета</w:t>
      </w:r>
      <w:r w:rsidRPr="00862AD1">
        <w:rPr>
          <w:sz w:val="22"/>
          <w:szCs w:val="22"/>
        </w:rPr>
        <w:t>, проводимого поставщиками услуг.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Техническая работа МСЭ с целью </w:t>
      </w:r>
      <w:r w:rsidRPr="00862AD1">
        <w:rPr>
          <w:b/>
          <w:bCs/>
          <w:sz w:val="22"/>
          <w:szCs w:val="22"/>
        </w:rPr>
        <w:t>борьбы с контрафакцией ИКТ</w:t>
      </w:r>
      <w:r w:rsidRPr="00862AD1">
        <w:rPr>
          <w:sz w:val="22"/>
          <w:szCs w:val="22"/>
        </w:rPr>
        <w:t xml:space="preserve"> продолжает набирать обороты с разработкой новых стандартов, поддерживаемая текущими исследованиями по масштабу и динамике проблемы контрафакции. См. раздел 13. </w:t>
      </w:r>
      <w:r w:rsidRPr="00862AD1">
        <w:rPr>
          <w:rFonts w:asciiTheme="majorBidi" w:hAnsiTheme="majorBidi"/>
          <w:sz w:val="22"/>
          <w:szCs w:val="22"/>
        </w:rPr>
        <w:t>ИК11 разработала планы по выполнению Резолюций ВАСЭ-16 96 "Исследования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технологий" и 97 "Борьба с хищениями мобильных устройств электросвязи", в рамках которых начата работа по разработке схем борьбы с использованием украденных мобильных устройств ИКТ и сопутствующей информации по схемам решений в области борьбы с контрафактными устройствами ИКТ, наряду с руководящими указаниями по методам использования передового опыта и решений.</w:t>
      </w:r>
    </w:p>
    <w:p w:rsidR="00B019C7" w:rsidRPr="00862AD1" w:rsidRDefault="00B019C7" w:rsidP="00212B55">
      <w:pPr>
        <w:jc w:val="both"/>
        <w:rPr>
          <w:sz w:val="22"/>
          <w:szCs w:val="22"/>
        </w:rPr>
      </w:pPr>
      <w:r w:rsidRPr="00862AD1">
        <w:rPr>
          <w:b/>
          <w:bCs/>
          <w:sz w:val="22"/>
          <w:szCs w:val="22"/>
        </w:rPr>
        <w:t>Оперативные группы МСЭ-T</w:t>
      </w:r>
      <w:r w:rsidRPr="00862AD1">
        <w:rPr>
          <w:sz w:val="22"/>
          <w:szCs w:val="22"/>
        </w:rPr>
        <w:t xml:space="preserve"> доказали свою эффективность в реагировании на быстро возникающие потребности МСЭ в области стандартизации, устанавливая основу для последующей работы Исследовательских комиссий МСЭ-Т в области стандартизации. Оперативные группы открыты для участия членов МСЭ, а также организаций, не являющихся </w:t>
      </w:r>
      <w:r w:rsidRPr="00862AD1">
        <w:rPr>
          <w:sz w:val="22"/>
          <w:szCs w:val="22"/>
        </w:rPr>
        <w:lastRenderedPageBreak/>
        <w:t>членами МСЭ, и эти группы обладают большой гибкостью в выборе представляемых материалов и методов работы. См. раздел 14. В отношении двух Оперативных групп (</w:t>
      </w:r>
      <w:r w:rsidR="00212B55">
        <w:rPr>
          <w:sz w:val="22"/>
          <w:szCs w:val="22"/>
        </w:rPr>
        <w:t>по ЦФУ</w:t>
      </w:r>
      <w:r w:rsidRPr="00862AD1">
        <w:rPr>
          <w:sz w:val="22"/>
          <w:szCs w:val="22"/>
        </w:rPr>
        <w:t xml:space="preserve"> и IMT-2020), чья работа была завершена в 2016 году, был накоплен положительный опыт по выполнению Рекомендации МСЭ-Т A.7, в частности в том, что касается беспрепятственной передачи разработок от Оперативной группы основным исследовательским комиссиям согласно </w:t>
      </w:r>
      <w:r w:rsidR="003C0D63">
        <w:rPr>
          <w:sz w:val="22"/>
          <w:szCs w:val="22"/>
        </w:rPr>
        <w:t>Дополнению</w:t>
      </w:r>
      <w:r w:rsidRPr="00862AD1">
        <w:rPr>
          <w:sz w:val="22"/>
          <w:szCs w:val="22"/>
        </w:rPr>
        <w:t xml:space="preserve"> I к Рекомендации МСЭ-Т A.7, что оказалось очень полезным.</w:t>
      </w:r>
    </w:p>
    <w:p w:rsidR="00B019C7" w:rsidRPr="00862AD1" w:rsidRDefault="00B019C7" w:rsidP="00212B55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>Завершившая свою работу Оперативная группа по цифровым финансовым услугам (</w:t>
      </w:r>
      <w:r w:rsidR="00212B55">
        <w:rPr>
          <w:b/>
          <w:bCs/>
          <w:sz w:val="22"/>
          <w:szCs w:val="22"/>
        </w:rPr>
        <w:t>ОГ-ЦФУ</w:t>
      </w:r>
      <w:r w:rsidRPr="00862AD1">
        <w:rPr>
          <w:b/>
          <w:bCs/>
          <w:sz w:val="22"/>
          <w:szCs w:val="22"/>
        </w:rPr>
        <w:t>)</w:t>
      </w:r>
      <w:r w:rsidRPr="00862AD1">
        <w:rPr>
          <w:sz w:val="22"/>
          <w:szCs w:val="22"/>
        </w:rPr>
        <w:t xml:space="preserve"> разработала </w:t>
      </w:r>
      <w:r w:rsidRPr="00862AD1">
        <w:rPr>
          <w:b/>
          <w:bCs/>
          <w:sz w:val="22"/>
          <w:szCs w:val="22"/>
        </w:rPr>
        <w:t>28 тематических отчетов</w:t>
      </w:r>
      <w:r w:rsidRPr="00862AD1">
        <w:rPr>
          <w:sz w:val="22"/>
          <w:szCs w:val="22"/>
        </w:rPr>
        <w:t xml:space="preserve"> в области экосистемы </w:t>
      </w:r>
      <w:r w:rsidR="00212B55">
        <w:rPr>
          <w:sz w:val="22"/>
          <w:szCs w:val="22"/>
        </w:rPr>
        <w:t>ЦФУ</w:t>
      </w:r>
      <w:r w:rsidRPr="00862AD1">
        <w:rPr>
          <w:sz w:val="22"/>
          <w:szCs w:val="22"/>
        </w:rPr>
        <w:t xml:space="preserve">, функциональной совместимости, защиты клиентов, а также технологий, инноваций и конкуренции. В отчетах представлено около </w:t>
      </w:r>
      <w:r w:rsidRPr="00862AD1">
        <w:rPr>
          <w:b/>
          <w:bCs/>
          <w:sz w:val="22"/>
          <w:szCs w:val="22"/>
        </w:rPr>
        <w:t>85 рекомендаций по политике</w:t>
      </w:r>
      <w:r w:rsidRPr="00862AD1">
        <w:rPr>
          <w:sz w:val="22"/>
          <w:szCs w:val="22"/>
        </w:rPr>
        <w:t xml:space="preserve">, составляющих руководящие принципы в помощь при реализации охвата цифровыми финансовыми </w:t>
      </w:r>
      <w:r w:rsidR="003C0D63">
        <w:rPr>
          <w:sz w:val="22"/>
          <w:szCs w:val="22"/>
        </w:rPr>
        <w:t>услугами</w:t>
      </w:r>
      <w:r w:rsidRPr="00862AD1">
        <w:rPr>
          <w:sz w:val="22"/>
          <w:szCs w:val="22"/>
        </w:rPr>
        <w:t xml:space="preserve"> на национальном и глобальном уровнях.</w:t>
      </w:r>
    </w:p>
    <w:p w:rsidR="00B019C7" w:rsidRPr="00862AD1" w:rsidRDefault="00B019C7" w:rsidP="00005FED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В марте 2017 года 20-я Исследовательская комиссия создала </w:t>
      </w:r>
      <w:r w:rsidRPr="00862AD1">
        <w:rPr>
          <w:b/>
          <w:bCs/>
          <w:sz w:val="22"/>
          <w:szCs w:val="22"/>
        </w:rPr>
        <w:t>новую Оперативную группу по</w:t>
      </w:r>
      <w:r w:rsidR="00005FED" w:rsidRPr="00005FED">
        <w:rPr>
          <w:b/>
          <w:bCs/>
          <w:sz w:val="22"/>
          <w:szCs w:val="22"/>
        </w:rPr>
        <w:t xml:space="preserve"> обработке данных и управлению данными для поддержки IoT и "умных" городов и сообществ</w:t>
      </w:r>
      <w:r w:rsidRPr="00862AD1">
        <w:rPr>
          <w:sz w:val="22"/>
          <w:szCs w:val="22"/>
        </w:rPr>
        <w:t>, которая будет заниматься вопросами обработки данных и управления ими в контексте "умных" городов. Оперативная группа будет рассматривать существующие технические платформы и сопутствующие руководящие принципы обработки и управления данными с тем, чтобы выявить потребности в стандартизации, требующие внимания ИК20 МСЭ-Т. Ключевым приоритетом Оперативной группы будет предложение механизмов поддержки функциональной совместимости баз данных и систем управления данными.</w:t>
      </w:r>
    </w:p>
    <w:p w:rsidR="00B019C7" w:rsidRPr="00862AD1" w:rsidRDefault="00B019C7" w:rsidP="00005FED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МСЭ-T возглавляет усилия по укреплению потенциала развивающихся стран для их участия в разработке и внедрении стандартов ИКТ, используя механизм, представленный программой </w:t>
      </w:r>
      <w:r w:rsidRPr="00862AD1">
        <w:rPr>
          <w:b/>
          <w:sz w:val="22"/>
          <w:szCs w:val="22"/>
        </w:rPr>
        <w:t>МСЭ по преодолению разрыва в стандартизации (</w:t>
      </w:r>
      <w:r w:rsidR="00005FED">
        <w:rPr>
          <w:b/>
          <w:sz w:val="22"/>
          <w:szCs w:val="22"/>
        </w:rPr>
        <w:t>ПРС</w:t>
      </w:r>
      <w:r w:rsidRPr="00862AD1">
        <w:rPr>
          <w:b/>
          <w:sz w:val="22"/>
          <w:szCs w:val="22"/>
        </w:rPr>
        <w:t>)</w:t>
      </w:r>
      <w:r w:rsidRPr="00862AD1">
        <w:rPr>
          <w:sz w:val="22"/>
          <w:szCs w:val="22"/>
        </w:rPr>
        <w:t xml:space="preserve">. См. раздел 17. БСЭ продолжает успешно работать в направлении проведения </w:t>
      </w:r>
      <w:r w:rsidRPr="00862AD1">
        <w:rPr>
          <w:b/>
          <w:bCs/>
          <w:sz w:val="22"/>
          <w:szCs w:val="22"/>
        </w:rPr>
        <w:t>практических учебных занятий</w:t>
      </w:r>
      <w:r w:rsidRPr="00862AD1">
        <w:rPr>
          <w:sz w:val="22"/>
          <w:szCs w:val="22"/>
        </w:rPr>
        <w:t xml:space="preserve"> для нов</w:t>
      </w:r>
      <w:r w:rsidR="00005FED">
        <w:rPr>
          <w:sz w:val="22"/>
          <w:szCs w:val="22"/>
        </w:rPr>
        <w:t xml:space="preserve">ых участников </w:t>
      </w:r>
      <w:r w:rsidRPr="00862AD1">
        <w:rPr>
          <w:sz w:val="22"/>
          <w:szCs w:val="22"/>
        </w:rPr>
        <w:t>из развивающихся стран. С января 2016 года для делегатов ИК2, ИК9, ИК11, ИК12, ИК13, ИК16 и ИК17 МСЭ-T было организовано 12 практических учебных занятий. В</w:t>
      </w:r>
      <w:r w:rsidR="00005FED">
        <w:rPr>
          <w:sz w:val="22"/>
          <w:szCs w:val="22"/>
        </w:rPr>
        <w:t xml:space="preserve"> общей сложности </w:t>
      </w:r>
      <w:r w:rsidRPr="00862AD1">
        <w:rPr>
          <w:sz w:val="22"/>
          <w:szCs w:val="22"/>
        </w:rPr>
        <w:t>191</w:t>
      </w:r>
      <w:r w:rsidR="00005FED">
        <w:rPr>
          <w:sz w:val="22"/>
          <w:szCs w:val="22"/>
        </w:rPr>
        <w:t> </w:t>
      </w:r>
      <w:r w:rsidRPr="00862AD1">
        <w:rPr>
          <w:sz w:val="22"/>
          <w:szCs w:val="22"/>
        </w:rPr>
        <w:t xml:space="preserve"> участник из 35 стран и 64 различных организаций получил пользу от таких практических учебных занятий. За период с октября 2016 года по февраль 2017 года было присуждено </w:t>
      </w:r>
      <w:r w:rsidRPr="00862AD1">
        <w:rPr>
          <w:b/>
          <w:bCs/>
          <w:sz w:val="22"/>
          <w:szCs w:val="22"/>
        </w:rPr>
        <w:t>73 стипендии</w:t>
      </w:r>
      <w:r w:rsidRPr="00862AD1">
        <w:rPr>
          <w:sz w:val="22"/>
          <w:szCs w:val="22"/>
        </w:rPr>
        <w:t>, 8 из которых были аннулированы.</w:t>
      </w:r>
    </w:p>
    <w:p w:rsidR="00B019C7" w:rsidRPr="00862AD1" w:rsidRDefault="00B019C7" w:rsidP="00005FED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Министерство науки, ИКТ и перспективного планирования (MSIP) Кореи любезно сделало вклад в </w:t>
      </w:r>
      <w:r w:rsidRPr="00862AD1">
        <w:rPr>
          <w:b/>
          <w:bCs/>
          <w:sz w:val="22"/>
          <w:szCs w:val="22"/>
        </w:rPr>
        <w:t xml:space="preserve">Фонд </w:t>
      </w:r>
      <w:r w:rsidR="00005FED">
        <w:rPr>
          <w:b/>
          <w:bCs/>
          <w:sz w:val="22"/>
          <w:szCs w:val="22"/>
        </w:rPr>
        <w:t>ПРС</w:t>
      </w:r>
      <w:r w:rsidRPr="00862AD1">
        <w:rPr>
          <w:sz w:val="22"/>
          <w:szCs w:val="22"/>
        </w:rPr>
        <w:t xml:space="preserve">. БСЭ приветствует другие добровольные вклады в Фонд </w:t>
      </w:r>
      <w:r w:rsidR="00005FED">
        <w:rPr>
          <w:sz w:val="22"/>
          <w:szCs w:val="22"/>
        </w:rPr>
        <w:t>ПРС</w:t>
      </w:r>
      <w:r w:rsidRPr="00862AD1">
        <w:rPr>
          <w:sz w:val="22"/>
          <w:szCs w:val="22"/>
        </w:rPr>
        <w:t>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После создания пяти новых региональных групп ИК17 и ИК20 в составе МСЭ-Т теперь работает </w:t>
      </w:r>
      <w:r w:rsidRPr="00862AD1">
        <w:rPr>
          <w:b/>
          <w:bCs/>
          <w:sz w:val="22"/>
          <w:szCs w:val="22"/>
        </w:rPr>
        <w:t>23 региональные группы</w:t>
      </w:r>
      <w:r w:rsidRPr="00862AD1">
        <w:rPr>
          <w:sz w:val="22"/>
          <w:szCs w:val="22"/>
        </w:rPr>
        <w:t>. Это значительное подкрепление обеспечивает Исследовательским комиссиям МСЭ-Т хорошее представительство в разных регионах для проведения деятельности, направленной на преодоление разрыва в стандартизации между развивающимися и развитыми странами и повышение эффективности и продуктивности международной работы по стандартизации. См. раздел 17.2.</w:t>
      </w:r>
    </w:p>
    <w:p w:rsidR="00B019C7" w:rsidRPr="00862AD1" w:rsidRDefault="00B019C7" w:rsidP="00E61E50">
      <w:pPr>
        <w:spacing w:after="120"/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БСЭ запустило новый проект "Список целевых европейских операторов" с целью расширения </w:t>
      </w:r>
      <w:r w:rsidRPr="00862AD1">
        <w:rPr>
          <w:b/>
          <w:bCs/>
          <w:sz w:val="22"/>
          <w:szCs w:val="22"/>
        </w:rPr>
        <w:t>участия европейских операторов</w:t>
      </w:r>
      <w:r w:rsidRPr="00862AD1">
        <w:rPr>
          <w:sz w:val="22"/>
          <w:szCs w:val="22"/>
        </w:rPr>
        <w:t xml:space="preserve"> (как членов, так и нечленов) в работе ИК, ФГ, Группы по совместной координационной деятельности (JCA) и семинаров-практикумов МСЭ-Т. Этот проект ориентирован на расширение участия конкретных операторов ЕС в работе МСЭ-Т путем привлечения лиц, принимающих решения, таких как руководители информационных служб, директора по технологиям и информационной безопасности в зависимости от выявленных предметных интересов и предстоящих собраний. Для этого соответствующим исследовательским комиссиям МСЭ-Т и организаторам мероприятий предоставлена база данных, содержащая сведения относительно примерно 1000 контактных лиц европейских операторов. Данный проект привел к увеличению участия операторов из ЕС в открытых мероприятиях МСЭ в качестве выступающих и участников.</w:t>
      </w:r>
    </w:p>
    <w:p w:rsidR="00B019C7" w:rsidRPr="00862AD1" w:rsidRDefault="00B019C7" w:rsidP="00E61E50">
      <w:pPr>
        <w:spacing w:after="120"/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Первое </w:t>
      </w:r>
      <w:r w:rsidRPr="00862AD1">
        <w:rPr>
          <w:b/>
          <w:bCs/>
          <w:sz w:val="22"/>
          <w:szCs w:val="22"/>
        </w:rPr>
        <w:t>мероприятие Группы экспертов "Женщины в стандартизации" (WISE)</w:t>
      </w:r>
      <w:r w:rsidRPr="00862AD1">
        <w:rPr>
          <w:sz w:val="22"/>
          <w:szCs w:val="22"/>
        </w:rPr>
        <w:t xml:space="preserve"> состоялось 30 октября 2016 года на ВАСЭ-16. Мероприятие заключалось в проведении семинаров-практикумов по навыкам успешного ведения переговоров и являлось частью обязательства </w:t>
      </w:r>
      <w:r w:rsidRPr="00862AD1">
        <w:rPr>
          <w:sz w:val="22"/>
          <w:szCs w:val="22"/>
        </w:rPr>
        <w:lastRenderedPageBreak/>
        <w:t xml:space="preserve">МСЭ-Т по содействию равенству делегатов мужского и женского пола на его собраниях и конференциях, после чего состоялось групповое обсуждение с целью представления опыта женщин-лидеров в области ИКТ и стандартизации. В настоящее время 56% всего персонала БСЭ составляют женщины. Число женщин в категории специалистов за последние десять лет возросло более чем в четыре раза, тем самым доля женщин категории специалистов составила 39%. </w:t>
      </w:r>
      <w:r w:rsidRPr="00862AD1">
        <w:rPr>
          <w:b/>
          <w:bCs/>
          <w:sz w:val="22"/>
          <w:szCs w:val="22"/>
        </w:rPr>
        <w:t>Разнообразие сотрудников, гендерное равенство и расширение прав и возможностей женщин</w:t>
      </w:r>
      <w:r w:rsidRPr="00862AD1">
        <w:rPr>
          <w:sz w:val="22"/>
          <w:szCs w:val="22"/>
        </w:rPr>
        <w:t xml:space="preserve"> остаются в числе основных приоритетов БСЭ.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Несколько международных и региональных </w:t>
      </w:r>
      <w:r w:rsidRPr="00862AD1">
        <w:rPr>
          <w:b/>
          <w:bCs/>
          <w:sz w:val="22"/>
          <w:szCs w:val="22"/>
        </w:rPr>
        <w:t>собраний группы главных директоров по технологиям (CTO)</w:t>
      </w:r>
      <w:r w:rsidRPr="00862AD1">
        <w:rPr>
          <w:sz w:val="22"/>
          <w:szCs w:val="22"/>
        </w:rPr>
        <w:t xml:space="preserve"> стали местом объединения усилий руководящих работников отрасли с целью определения хозяйственных приоритетов и поддержки стратегий стандартизации.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Третий </w:t>
      </w:r>
      <w:r w:rsidRPr="00862AD1">
        <w:rPr>
          <w:b/>
          <w:bCs/>
          <w:sz w:val="22"/>
          <w:szCs w:val="22"/>
        </w:rPr>
        <w:t>Глобальный симпозиум по стандартам (ГСС)</w:t>
      </w:r>
      <w:r w:rsidRPr="00862AD1">
        <w:rPr>
          <w:sz w:val="22"/>
          <w:szCs w:val="22"/>
        </w:rPr>
        <w:t xml:space="preserve"> собрал авторитетных экспертов для обсуждения того, как включить в работу по стандартизации факторы безопасности, конфиденциальности и доверия. Дискуссии на симпозиуме помогут МСЭ при выполнении им своего мандата по "укреплению доверия и безопасности при использовании ИКТ", в частности при оказании поддержки созданию надежной среды ИКТ, необходимой для реализации громадного потенциала систем IMT-2020 (5G), интернета вещей и "умных" устойчивых городов.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b/>
          <w:bCs/>
          <w:sz w:val="22"/>
          <w:szCs w:val="22"/>
        </w:rPr>
        <w:t>МСЭ и Альянс NGMN</w:t>
      </w:r>
      <w:r w:rsidRPr="00862AD1">
        <w:rPr>
          <w:sz w:val="22"/>
          <w:szCs w:val="22"/>
        </w:rPr>
        <w:t xml:space="preserve"> подписали соглашение о сотрудничестве, официально закрепившее их взаимные обязательства в отношении развития технологий широкополосной подвижной связи следующего поколения и </w:t>
      </w:r>
      <w:r w:rsidRPr="00862AD1">
        <w:rPr>
          <w:rFonts w:asciiTheme="majorBidi" w:hAnsiTheme="majorBidi"/>
          <w:color w:val="000000" w:themeColor="text1"/>
          <w:sz w:val="22"/>
          <w:szCs w:val="22"/>
        </w:rPr>
        <w:t>подтверждающее поддержку, оказываемую NGMN в работе МСЭ по международной стандартизации систем 5G</w:t>
      </w:r>
      <w:r w:rsidRPr="00862AD1">
        <w:rPr>
          <w:sz w:val="22"/>
          <w:szCs w:val="22"/>
        </w:rPr>
        <w:t>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Продолжается успешное и тесное сотрудничество </w:t>
      </w:r>
      <w:r w:rsidRPr="00862AD1">
        <w:rPr>
          <w:b/>
          <w:bCs/>
          <w:sz w:val="22"/>
          <w:szCs w:val="22"/>
        </w:rPr>
        <w:t>ЕТСИ и МСЭ</w:t>
      </w:r>
      <w:r w:rsidRPr="00862AD1">
        <w:rPr>
          <w:sz w:val="22"/>
          <w:szCs w:val="22"/>
        </w:rPr>
        <w:t xml:space="preserve"> при участии ИК5, ИК11 и ИК17.</w:t>
      </w:r>
    </w:p>
    <w:p w:rsidR="00B019C7" w:rsidRPr="00862AD1" w:rsidRDefault="00B019C7" w:rsidP="00E61E50">
      <w:pPr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62AD1">
        <w:rPr>
          <w:rFonts w:asciiTheme="majorBidi" w:hAnsiTheme="majorBidi"/>
          <w:color w:val="000000" w:themeColor="text1"/>
          <w:sz w:val="22"/>
          <w:szCs w:val="22"/>
        </w:rPr>
        <w:t xml:space="preserve">МСЭ стал партнером Всемирного банка и Фонда Билла и Мелинды Гейтс в вопросах создания новой многосторонней </w:t>
      </w:r>
      <w:r w:rsidRPr="00862AD1">
        <w:rPr>
          <w:rFonts w:asciiTheme="majorBidi" w:hAnsiTheme="majorBidi"/>
          <w:b/>
          <w:bCs/>
          <w:color w:val="000000" w:themeColor="text1"/>
          <w:sz w:val="22"/>
          <w:szCs w:val="22"/>
        </w:rPr>
        <w:t xml:space="preserve">Глобальной инициативы по охвату финансовыми услугами </w:t>
      </w:r>
      <w:r w:rsidRPr="00862AD1">
        <w:rPr>
          <w:b/>
          <w:bCs/>
          <w:sz w:val="22"/>
          <w:szCs w:val="22"/>
        </w:rPr>
        <w:t>(FIGI 3x3x3)</w:t>
      </w:r>
      <w:r w:rsidRPr="00862AD1">
        <w:rPr>
          <w:rFonts w:asciiTheme="majorBidi" w:hAnsiTheme="majorBidi"/>
          <w:color w:val="000000" w:themeColor="text1"/>
          <w:sz w:val="22"/>
          <w:szCs w:val="22"/>
        </w:rPr>
        <w:t>, направленной на ускорение прогресса в обеспечении универсального доступа к финансовым услугам с целью выполнения рекомендаций Оперативной группы по охвату цифровыми финансовыми услугами, отчета Всемирного банка и CPMI "Аспекты платежей в рамках охвата финансовыми услугами", а также Проекта Фонда Гейтс "Level One".</w:t>
      </w:r>
    </w:p>
    <w:p w:rsidR="00B019C7" w:rsidRPr="00862AD1" w:rsidRDefault="00B019C7" w:rsidP="00E61E50">
      <w:pPr>
        <w:pStyle w:val="NormalWeb"/>
        <w:shd w:val="clear" w:color="auto" w:fill="FFFFFF"/>
        <w:spacing w:before="12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62AD1">
        <w:rPr>
          <w:rFonts w:asciiTheme="majorBidi" w:hAnsiTheme="majorBidi"/>
          <w:color w:val="000000" w:themeColor="text1"/>
          <w:sz w:val="22"/>
          <w:szCs w:val="22"/>
        </w:rPr>
        <w:t xml:space="preserve">МСЭ подписал соглашение о сотрудничестве с </w:t>
      </w:r>
      <w:r w:rsidRPr="00862AD1">
        <w:rPr>
          <w:rFonts w:asciiTheme="majorBidi" w:hAnsiTheme="majorBidi"/>
          <w:b/>
          <w:bCs/>
          <w:color w:val="000000" w:themeColor="text1"/>
          <w:sz w:val="22"/>
          <w:szCs w:val="22"/>
        </w:rPr>
        <w:t>Европейской комиссией по электротехнической стандартизации (CENELEC)</w:t>
      </w:r>
      <w:r w:rsidRPr="00862AD1">
        <w:rPr>
          <w:rFonts w:asciiTheme="majorBidi" w:hAnsiTheme="majorBidi"/>
          <w:color w:val="000000" w:themeColor="text1"/>
          <w:sz w:val="22"/>
          <w:szCs w:val="22"/>
        </w:rPr>
        <w:t xml:space="preserve"> и </w:t>
      </w:r>
      <w:r w:rsidRPr="00862AD1">
        <w:rPr>
          <w:rFonts w:asciiTheme="majorBidi" w:hAnsiTheme="majorBidi"/>
          <w:b/>
          <w:bCs/>
          <w:color w:val="000000" w:themeColor="text1"/>
          <w:sz w:val="22"/>
          <w:szCs w:val="22"/>
        </w:rPr>
        <w:t>Европейским комитетом по стандартизации (CEN)</w:t>
      </w:r>
      <w:r w:rsidRPr="00862AD1">
        <w:rPr>
          <w:rFonts w:asciiTheme="majorBidi" w:hAnsiTheme="majorBidi"/>
          <w:color w:val="000000" w:themeColor="text1"/>
          <w:sz w:val="22"/>
          <w:szCs w:val="22"/>
        </w:rPr>
        <w:t>, в котором три стороны выразили свое намерение сотрудничать в неэксклюзивном формате на высоком уровне в областях, представляющих взаимный интерес, в частности в области стандартизации деятельности по IoT и "умным" устойчивым городам, доверию, принципу "проектируемой конфиденциальности" в технических стандартах, кибербезопасности, мобильности и стандартам связи интеллектуальной транспортной системы (ITS), а также договорились об обмене соответствующей информацией между тремя организациями.</w:t>
      </w:r>
    </w:p>
    <w:p w:rsidR="00B019C7" w:rsidRPr="00E703F0" w:rsidRDefault="00B019C7" w:rsidP="00E61E50">
      <w:pPr>
        <w:spacing w:before="240"/>
        <w:jc w:val="both"/>
        <w:rPr>
          <w:b/>
          <w:bCs/>
          <w:i/>
          <w:iCs/>
          <w:szCs w:val="24"/>
        </w:rPr>
      </w:pPr>
      <w:r w:rsidRPr="00E703F0">
        <w:rPr>
          <w:b/>
          <w:bCs/>
          <w:i/>
          <w:iCs/>
          <w:szCs w:val="24"/>
        </w:rPr>
        <w:t>Платформа МСЭ по стандартизации</w:t>
      </w:r>
    </w:p>
    <w:p w:rsidR="00B019C7" w:rsidRPr="00862AD1" w:rsidRDefault="00B019C7" w:rsidP="00E703F0">
      <w:pPr>
        <w:jc w:val="both"/>
        <w:rPr>
          <w:sz w:val="22"/>
          <w:szCs w:val="22"/>
        </w:rPr>
      </w:pPr>
      <w:r w:rsidRPr="00862AD1">
        <w:rPr>
          <w:b/>
          <w:bCs/>
          <w:sz w:val="22"/>
          <w:szCs w:val="22"/>
        </w:rPr>
        <w:t>Увеличение количеств</w:t>
      </w:r>
      <w:r w:rsidR="00E703F0">
        <w:rPr>
          <w:b/>
          <w:bCs/>
          <w:sz w:val="22"/>
          <w:szCs w:val="22"/>
        </w:rPr>
        <w:t>а</w:t>
      </w:r>
      <w:r w:rsidRPr="00862AD1">
        <w:rPr>
          <w:b/>
          <w:bCs/>
          <w:sz w:val="22"/>
          <w:szCs w:val="22"/>
        </w:rPr>
        <w:t xml:space="preserve"> членов МСЭ-Т</w:t>
      </w:r>
      <w:r w:rsidRPr="00862AD1">
        <w:rPr>
          <w:sz w:val="22"/>
          <w:szCs w:val="22"/>
        </w:rPr>
        <w:t xml:space="preserve"> сохраняет положительную тенденцию. Так, по состоянию на 28 февраля 2017 года сектор насчитывал 536 членов, что демонстрирует прирост по сравнению с 531 членом, зарегистрированным по состоянию на 31 октября 2016 года. В</w:t>
      </w:r>
      <w:r w:rsidR="00E703F0">
        <w:rPr>
          <w:sz w:val="22"/>
          <w:szCs w:val="22"/>
        </w:rPr>
        <w:t> </w:t>
      </w:r>
      <w:r w:rsidRPr="00862AD1">
        <w:rPr>
          <w:sz w:val="22"/>
          <w:szCs w:val="22"/>
        </w:rPr>
        <w:t xml:space="preserve">целом, с 31 октября прошлого года в состав МСЭ-Т </w:t>
      </w:r>
      <w:r w:rsidRPr="00862AD1">
        <w:rPr>
          <w:b/>
          <w:bCs/>
          <w:sz w:val="22"/>
          <w:szCs w:val="22"/>
        </w:rPr>
        <w:t>во</w:t>
      </w:r>
      <w:r w:rsidR="00E703F0">
        <w:rPr>
          <w:b/>
          <w:bCs/>
          <w:sz w:val="22"/>
          <w:szCs w:val="22"/>
        </w:rPr>
        <w:t>шли</w:t>
      </w:r>
      <w:r w:rsidRPr="00862AD1">
        <w:rPr>
          <w:b/>
          <w:bCs/>
          <w:sz w:val="22"/>
          <w:szCs w:val="22"/>
        </w:rPr>
        <w:t xml:space="preserve"> 22 новых члена</w:t>
      </w:r>
      <w:r w:rsidRPr="00862AD1">
        <w:rPr>
          <w:sz w:val="22"/>
          <w:szCs w:val="22"/>
        </w:rPr>
        <w:t>. Среди вновь вошедших в структуру 4 Члена Сектора и 4 Ассоциированных члена. Количество новых Ассоциированных членов равномерно распределено между 2-й Исследовательской комиссией (</w:t>
      </w:r>
      <w:r w:rsidR="00E703F0">
        <w:rPr>
          <w:sz w:val="22"/>
          <w:szCs w:val="22"/>
        </w:rPr>
        <w:t>Эксплуатационные</w:t>
      </w:r>
      <w:r w:rsidRPr="00862AD1">
        <w:rPr>
          <w:sz w:val="22"/>
          <w:szCs w:val="22"/>
        </w:rPr>
        <w:t xml:space="preserve"> аспекты), 5-й Исследовательской комиссией (Окружающая среда и изменение климата), 15-й Исследовательской комиссией (Транспорт, доступ и домашние сети) и 17-й Исследовательской комиссией (Безопасность). Большинство новых членов (в общей сложности 14) представляют </w:t>
      </w:r>
      <w:r w:rsidRPr="00862AD1">
        <w:rPr>
          <w:b/>
          <w:bCs/>
          <w:sz w:val="22"/>
          <w:szCs w:val="22"/>
        </w:rPr>
        <w:t>академические организации</w:t>
      </w:r>
      <w:r w:rsidRPr="00862AD1">
        <w:rPr>
          <w:sz w:val="22"/>
          <w:szCs w:val="22"/>
        </w:rPr>
        <w:t>. Всего за период с 31 октября 2016</w:t>
      </w:r>
      <w:r w:rsidR="00E703F0">
        <w:rPr>
          <w:sz w:val="22"/>
          <w:szCs w:val="22"/>
        </w:rPr>
        <w:t> </w:t>
      </w:r>
      <w:r w:rsidRPr="00862AD1">
        <w:rPr>
          <w:sz w:val="22"/>
          <w:szCs w:val="22"/>
        </w:rPr>
        <w:t xml:space="preserve">года зафиксировано 17 </w:t>
      </w:r>
      <w:r w:rsidR="00E703F0">
        <w:rPr>
          <w:sz w:val="22"/>
          <w:szCs w:val="22"/>
        </w:rPr>
        <w:t xml:space="preserve">случаев отказа от </w:t>
      </w:r>
      <w:r w:rsidRPr="00862AD1">
        <w:rPr>
          <w:sz w:val="22"/>
          <w:szCs w:val="22"/>
        </w:rPr>
        <w:t>членств</w:t>
      </w:r>
      <w:r w:rsidR="00E703F0">
        <w:rPr>
          <w:sz w:val="22"/>
          <w:szCs w:val="22"/>
        </w:rPr>
        <w:t>а</w:t>
      </w:r>
      <w:r w:rsidRPr="00862AD1">
        <w:rPr>
          <w:sz w:val="22"/>
          <w:szCs w:val="22"/>
        </w:rPr>
        <w:t xml:space="preserve">. БСЭ продолжает свои усилия с целью </w:t>
      </w:r>
      <w:r w:rsidRPr="00862AD1">
        <w:rPr>
          <w:sz w:val="22"/>
          <w:szCs w:val="22"/>
        </w:rPr>
        <w:lastRenderedPageBreak/>
        <w:t xml:space="preserve">включить </w:t>
      </w:r>
      <w:r w:rsidRPr="00862AD1">
        <w:rPr>
          <w:b/>
          <w:bCs/>
          <w:sz w:val="22"/>
          <w:szCs w:val="22"/>
        </w:rPr>
        <w:t>принцип равноправия полов</w:t>
      </w:r>
      <w:r w:rsidRPr="00862AD1">
        <w:rPr>
          <w:sz w:val="22"/>
          <w:szCs w:val="22"/>
        </w:rPr>
        <w:t xml:space="preserve"> во все свои виды деятельности и программы под руководством Целевой группы МСЭ по гендерным вопросам. См. раздел 18.</w:t>
      </w:r>
    </w:p>
    <w:p w:rsidR="00B019C7" w:rsidRPr="00862AD1" w:rsidRDefault="00B019C7" w:rsidP="00F027E7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За период с октября 2016 года по февраль 2017 года было опубликовано </w:t>
      </w:r>
      <w:r w:rsidRPr="00862AD1">
        <w:rPr>
          <w:b/>
          <w:bCs/>
          <w:sz w:val="22"/>
          <w:szCs w:val="22"/>
        </w:rPr>
        <w:t>в</w:t>
      </w:r>
      <w:r w:rsidR="00F027E7">
        <w:rPr>
          <w:b/>
          <w:bCs/>
          <w:sz w:val="22"/>
          <w:szCs w:val="22"/>
        </w:rPr>
        <w:t xml:space="preserve"> общей сложности </w:t>
      </w:r>
      <w:r w:rsidRPr="00862AD1">
        <w:rPr>
          <w:b/>
          <w:bCs/>
          <w:sz w:val="22"/>
          <w:szCs w:val="22"/>
        </w:rPr>
        <w:t>7500 страниц</w:t>
      </w:r>
      <w:r w:rsidRPr="00862AD1">
        <w:rPr>
          <w:sz w:val="22"/>
          <w:szCs w:val="22"/>
        </w:rPr>
        <w:t xml:space="preserve"> Рекомендаций и Добавлений МСЭ-Т. См. раздел 19. Издание МСЭ "Рекомендации МСЭ-Т и избранные справочники" по-прежнему распространяется на ежеквартальной основе. Ввиду ограничений по объему информации, размещаемой на двухстороннем DVD-диске, начиная с выпуска за март 2017 года издание распространяется на </w:t>
      </w:r>
      <w:r w:rsidRPr="00862AD1">
        <w:rPr>
          <w:b/>
          <w:bCs/>
          <w:sz w:val="22"/>
          <w:szCs w:val="22"/>
        </w:rPr>
        <w:t>USB-накопителе</w:t>
      </w:r>
      <w:r w:rsidRPr="00862AD1">
        <w:rPr>
          <w:sz w:val="22"/>
          <w:szCs w:val="22"/>
        </w:rPr>
        <w:t>.</w:t>
      </w:r>
    </w:p>
    <w:p w:rsidR="00B019C7" w:rsidRPr="00862AD1" w:rsidRDefault="00B019C7" w:rsidP="00E703F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Благодаря постоянному производству </w:t>
      </w:r>
      <w:r w:rsidRPr="00862AD1">
        <w:rPr>
          <w:b/>
          <w:bCs/>
          <w:sz w:val="22"/>
          <w:szCs w:val="22"/>
        </w:rPr>
        <w:t>новостного контента МСЭ-Т</w:t>
      </w:r>
      <w:r w:rsidRPr="00862AD1">
        <w:rPr>
          <w:sz w:val="22"/>
          <w:szCs w:val="22"/>
        </w:rPr>
        <w:t xml:space="preserve"> совместно со скоординированной стратегией в отношении социальных СМИ, проводимой Генеральным секретариатом МСЭ, новости о работе МСЭ-Т появляются во многих массовых изданиях. Под руководством </w:t>
      </w:r>
      <w:r w:rsidR="00E703F0" w:rsidRPr="00862AD1">
        <w:rPr>
          <w:sz w:val="22"/>
          <w:szCs w:val="22"/>
        </w:rPr>
        <w:t xml:space="preserve">Директора </w:t>
      </w:r>
      <w:r w:rsidRPr="00862AD1">
        <w:rPr>
          <w:sz w:val="22"/>
          <w:szCs w:val="22"/>
        </w:rPr>
        <w:t>БСЭ Ч</w:t>
      </w:r>
      <w:r w:rsidR="00E703F0">
        <w:rPr>
          <w:sz w:val="22"/>
          <w:szCs w:val="22"/>
        </w:rPr>
        <w:t>х</w:t>
      </w:r>
      <w:r w:rsidRPr="00862AD1">
        <w:rPr>
          <w:sz w:val="22"/>
          <w:szCs w:val="22"/>
        </w:rPr>
        <w:t>е</w:t>
      </w:r>
      <w:r w:rsidR="00E703F0">
        <w:rPr>
          <w:sz w:val="22"/>
          <w:szCs w:val="22"/>
        </w:rPr>
        <w:t xml:space="preserve"> С</w:t>
      </w:r>
      <w:r w:rsidRPr="00862AD1">
        <w:rPr>
          <w:sz w:val="22"/>
          <w:szCs w:val="22"/>
        </w:rPr>
        <w:t xml:space="preserve">уб Ли МСЭ-Т отпраздновал </w:t>
      </w:r>
      <w:r w:rsidRPr="00862AD1">
        <w:rPr>
          <w:b/>
          <w:bCs/>
          <w:sz w:val="22"/>
          <w:szCs w:val="22"/>
        </w:rPr>
        <w:t xml:space="preserve">60-ю годовщину </w:t>
      </w:r>
      <w:r w:rsidR="00E703F0">
        <w:rPr>
          <w:b/>
          <w:bCs/>
          <w:sz w:val="22"/>
          <w:szCs w:val="22"/>
        </w:rPr>
        <w:t>МККТТ</w:t>
      </w:r>
      <w:r w:rsidRPr="00862AD1">
        <w:rPr>
          <w:b/>
          <w:bCs/>
          <w:sz w:val="22"/>
          <w:szCs w:val="22"/>
        </w:rPr>
        <w:t>/МСЭ-Т</w:t>
      </w:r>
      <w:r w:rsidRPr="00862AD1">
        <w:rPr>
          <w:sz w:val="22"/>
          <w:szCs w:val="22"/>
        </w:rPr>
        <w:t xml:space="preserve">, в честь которой был проведен ряд бесед в ходе пленарных </w:t>
      </w:r>
      <w:r w:rsidR="00E703F0">
        <w:rPr>
          <w:sz w:val="22"/>
          <w:szCs w:val="22"/>
        </w:rPr>
        <w:t>заседаний</w:t>
      </w:r>
      <w:r w:rsidRPr="00862AD1">
        <w:rPr>
          <w:sz w:val="22"/>
          <w:szCs w:val="22"/>
        </w:rPr>
        <w:t xml:space="preserve"> ВАСЭ-16, состоявшихся 26 октября 2016 года. См. раздел 20.</w:t>
      </w:r>
    </w:p>
    <w:p w:rsidR="00B019C7" w:rsidRPr="00862AD1" w:rsidRDefault="00B019C7" w:rsidP="00E703F0">
      <w:pPr>
        <w:jc w:val="both"/>
        <w:rPr>
          <w:sz w:val="22"/>
          <w:szCs w:val="22"/>
        </w:rPr>
      </w:pPr>
      <w:r w:rsidRPr="00862AD1">
        <w:rPr>
          <w:b/>
          <w:bCs/>
          <w:sz w:val="22"/>
          <w:szCs w:val="22"/>
        </w:rPr>
        <w:t>Электронные методы работы</w:t>
      </w:r>
      <w:r w:rsidRPr="00862AD1">
        <w:rPr>
          <w:sz w:val="22"/>
          <w:szCs w:val="22"/>
        </w:rPr>
        <w:t xml:space="preserve"> обеспечивают важную поддержку членам, занимающимся в МСЭ работой в области стандартизации. Секретариат МСЭ продолжает разрабатывать новые приложения и услуги с целью поддержания и расширения перспективной электронной рабочей среды МСЭ, такие как </w:t>
      </w:r>
      <w:r w:rsidRPr="00862AD1">
        <w:rPr>
          <w:b/>
          <w:bCs/>
          <w:sz w:val="22"/>
          <w:szCs w:val="22"/>
        </w:rPr>
        <w:t>новая система для собраний групп докладчиков МСЭ-Т</w:t>
      </w:r>
      <w:r w:rsidRPr="00862AD1">
        <w:rPr>
          <w:sz w:val="22"/>
          <w:szCs w:val="22"/>
        </w:rPr>
        <w:t xml:space="preserve"> с </w:t>
      </w:r>
      <w:r w:rsidRPr="00862AD1">
        <w:rPr>
          <w:b/>
          <w:bCs/>
          <w:sz w:val="22"/>
          <w:szCs w:val="22"/>
        </w:rPr>
        <w:t>сайтами совместной работы МСЭ-Т SharePoint</w:t>
      </w:r>
      <w:r w:rsidRPr="00862AD1">
        <w:rPr>
          <w:sz w:val="22"/>
          <w:szCs w:val="22"/>
        </w:rPr>
        <w:t xml:space="preserve"> для всех групп докладчиков, желающих воспользоваться преимуществами ее улучшенных возможностей. См. раздел 21.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БСЭ продолжает переводить все Рекомендации, утвержденные в рамках традиционного процесса утверждения (ТПУ), а также все отчеты КГСЭ на все языки Союза. За отчетный период </w:t>
      </w:r>
      <w:r w:rsidRPr="00862AD1">
        <w:rPr>
          <w:b/>
          <w:bCs/>
          <w:sz w:val="22"/>
          <w:szCs w:val="22"/>
        </w:rPr>
        <w:t>БСЭ перевело две Рекомендации АПУ</w:t>
      </w:r>
      <w:r w:rsidRPr="00862AD1">
        <w:rPr>
          <w:sz w:val="22"/>
          <w:szCs w:val="22"/>
        </w:rPr>
        <w:t xml:space="preserve"> (128 страниц на английском языке) в соответствии с ранее полученными запросами от Исследовательских комиссий и языковых групп, а также в рамках бюджетных средств, выделенных на выполнение перевода.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Деятельность МСЭ-T внесла вклад в реализацию мандатов МСЭ для </w:t>
      </w:r>
      <w:r w:rsidRPr="00862AD1">
        <w:rPr>
          <w:b/>
          <w:bCs/>
          <w:sz w:val="22"/>
          <w:szCs w:val="22"/>
        </w:rPr>
        <w:t>Всемирной встречи на высшем уровне по вопросам информационного общества (ВВУИО)</w:t>
      </w:r>
      <w:r w:rsidRPr="00862AD1">
        <w:rPr>
          <w:sz w:val="22"/>
          <w:szCs w:val="22"/>
        </w:rPr>
        <w:t xml:space="preserve">. В соответствии с усилиями процесса ВВУИО по содействию выполнению </w:t>
      </w:r>
      <w:r w:rsidRPr="00862AD1">
        <w:rPr>
          <w:b/>
          <w:bCs/>
          <w:sz w:val="22"/>
          <w:szCs w:val="22"/>
        </w:rPr>
        <w:t xml:space="preserve">Целей </w:t>
      </w:r>
      <w:r w:rsidR="00F027E7">
        <w:rPr>
          <w:b/>
          <w:bCs/>
          <w:sz w:val="22"/>
          <w:szCs w:val="22"/>
        </w:rPr>
        <w:t xml:space="preserve">в области </w:t>
      </w:r>
      <w:r w:rsidRPr="00862AD1">
        <w:rPr>
          <w:b/>
          <w:bCs/>
          <w:sz w:val="22"/>
          <w:szCs w:val="22"/>
        </w:rPr>
        <w:t>устойчивого развития (ЦУР)</w:t>
      </w:r>
      <w:r w:rsidRPr="00862AD1">
        <w:rPr>
          <w:sz w:val="22"/>
          <w:szCs w:val="22"/>
        </w:rPr>
        <w:t xml:space="preserve"> ООН, МСЭ-T предпринял сопоставление своих видов деятельности с ЦУР, чтобы определить те виды деятельности МСЭ-T, которые в максимальной степени соответствуют этим ЦУР, и предложил меры по расширению вклада МСЭ-T в достижение этих целей. См. раздел 22.</w:t>
      </w:r>
    </w:p>
    <w:p w:rsidR="00B019C7" w:rsidRPr="00862AD1" w:rsidRDefault="00B019C7" w:rsidP="00F027E7">
      <w:pPr>
        <w:jc w:val="both"/>
        <w:rPr>
          <w:sz w:val="22"/>
          <w:szCs w:val="22"/>
        </w:rPr>
      </w:pPr>
      <w:r w:rsidRPr="00862AD1">
        <w:rPr>
          <w:sz w:val="22"/>
          <w:szCs w:val="22"/>
        </w:rPr>
        <w:t xml:space="preserve">В части </w:t>
      </w:r>
      <w:r w:rsidRPr="00862AD1">
        <w:rPr>
          <w:b/>
          <w:bCs/>
          <w:sz w:val="22"/>
          <w:szCs w:val="22"/>
        </w:rPr>
        <w:t xml:space="preserve">исполнения Рекомендаций </w:t>
      </w:r>
      <w:r w:rsidR="00F027E7" w:rsidRPr="00862AD1">
        <w:rPr>
          <w:b/>
          <w:bCs/>
          <w:sz w:val="22"/>
          <w:szCs w:val="22"/>
        </w:rPr>
        <w:t>МСЭ-Т</w:t>
      </w:r>
      <w:r w:rsidR="00F027E7" w:rsidRPr="00862AD1">
        <w:rPr>
          <w:sz w:val="22"/>
          <w:szCs w:val="22"/>
        </w:rPr>
        <w:t xml:space="preserve"> </w:t>
      </w:r>
      <w:r w:rsidRPr="00862AD1">
        <w:rPr>
          <w:b/>
          <w:bCs/>
          <w:sz w:val="22"/>
          <w:szCs w:val="22"/>
        </w:rPr>
        <w:t xml:space="preserve">серии A </w:t>
      </w:r>
      <w:r w:rsidRPr="00862AD1">
        <w:rPr>
          <w:sz w:val="22"/>
          <w:szCs w:val="22"/>
        </w:rPr>
        <w:t>БСЭ обратило внимание, что поле "Для комментариев" в шаблонах заявлений о взаимодействии следует удалить в Рекомендации МСЭ-Т А.1, что было согласовано КГ</w:t>
      </w:r>
      <w:r w:rsidR="00F027E7">
        <w:rPr>
          <w:sz w:val="22"/>
          <w:szCs w:val="22"/>
        </w:rPr>
        <w:t>С</w:t>
      </w:r>
      <w:r w:rsidRPr="00862AD1">
        <w:rPr>
          <w:sz w:val="22"/>
          <w:szCs w:val="22"/>
        </w:rPr>
        <w:t>Э 2016. Тем не менее эти изменения не были вынесены на ВАСЭ-16. Следовательно, потребность соответствующим образом исправить А.1 сохраняется.</w:t>
      </w:r>
    </w:p>
    <w:p w:rsidR="00B019C7" w:rsidRPr="00862AD1" w:rsidRDefault="00B019C7" w:rsidP="00E61E50">
      <w:pPr>
        <w:jc w:val="both"/>
        <w:rPr>
          <w:sz w:val="22"/>
          <w:szCs w:val="22"/>
        </w:rPr>
      </w:pPr>
    </w:p>
    <w:p w:rsidR="00B019C7" w:rsidRPr="00862AD1" w:rsidRDefault="00B019C7" w:rsidP="00862AD1">
      <w:pPr>
        <w:jc w:val="center"/>
        <w:rPr>
          <w:sz w:val="22"/>
          <w:szCs w:val="22"/>
        </w:rPr>
      </w:pPr>
      <w:r w:rsidRPr="00862AD1">
        <w:rPr>
          <w:sz w:val="22"/>
          <w:szCs w:val="22"/>
        </w:rPr>
        <w:t>___________________</w:t>
      </w:r>
    </w:p>
    <w:p w:rsidR="002C18B9" w:rsidRDefault="002C18B9" w:rsidP="00E61E50">
      <w:pPr>
        <w:jc w:val="both"/>
      </w:pPr>
    </w:p>
    <w:sectPr w:rsidR="002C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C7"/>
    <w:rsid w:val="00005FED"/>
    <w:rsid w:val="000C1BC2"/>
    <w:rsid w:val="00212B55"/>
    <w:rsid w:val="002C18B9"/>
    <w:rsid w:val="003C0D63"/>
    <w:rsid w:val="007E566D"/>
    <w:rsid w:val="00862AD1"/>
    <w:rsid w:val="00A42C0F"/>
    <w:rsid w:val="00A81DAC"/>
    <w:rsid w:val="00B019C7"/>
    <w:rsid w:val="00D75373"/>
    <w:rsid w:val="00E61E50"/>
    <w:rsid w:val="00E703F0"/>
    <w:rsid w:val="00F0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6C520-E0CF-45F8-930C-E6847A58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C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19C7"/>
    <w:pPr>
      <w:keepNext/>
      <w:keepLines/>
      <w:spacing w:before="280"/>
      <w:ind w:left="1134" w:hanging="1134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9C7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019C7"/>
    <w:pPr>
      <w:keepNext/>
      <w:spacing w:before="160"/>
    </w:pPr>
    <w:rPr>
      <w:rFonts w:ascii="Times New Roman Bold" w:hAnsi="Times New Roman Bold" w:cs="Times New Roman Bold"/>
      <w:b/>
    </w:rPr>
  </w:style>
  <w:style w:type="character" w:styleId="Hyperlink">
    <w:name w:val="Hyperlink"/>
    <w:aliases w:val="超级链接,CEO_Hyperlink"/>
    <w:basedOn w:val="DefaultParagraphFont"/>
    <w:uiPriority w:val="99"/>
    <w:rsid w:val="00B019C7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B019C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06"/>
      <w:textAlignment w:val="auto"/>
    </w:pPr>
    <w:rPr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B019C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Emphasis">
    <w:name w:val="Emphasis"/>
    <w:basedOn w:val="DefaultParagraphFont"/>
    <w:uiPriority w:val="20"/>
    <w:qFormat/>
    <w:rsid w:val="00B019C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btsag@itu.int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0D350C82264A3780351E9D7112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58CB6-BB43-4075-AD38-ED2E5B8ECC33}"/>
      </w:docPartPr>
      <w:docPartBody>
        <w:p w:rsidR="00C54C79" w:rsidRDefault="001D18A3" w:rsidP="001D18A3">
          <w:pPr>
            <w:pStyle w:val="560D350C82264A3780351E9D71122235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A3"/>
    <w:rsid w:val="001D18A3"/>
    <w:rsid w:val="00C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8A3"/>
    <w:rPr>
      <w:color w:val="808080"/>
    </w:rPr>
  </w:style>
  <w:style w:type="paragraph" w:customStyle="1" w:styleId="560D350C82264A3780351E9D71122235">
    <w:name w:val="560D350C82264A3780351E9D71122235"/>
    <w:rsid w:val="001D1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4879</Words>
  <Characters>21907</Characters>
  <Application>Microsoft Office Word</Application>
  <DocSecurity>4</DocSecurity>
  <Lines>2434</Lines>
  <Paragraphs>2435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Al-Mnini, Lara</dc:creator>
  <cp:keywords/>
  <dc:description/>
  <cp:lastModifiedBy>Al-Mnini, Lara</cp:lastModifiedBy>
  <cp:revision>2</cp:revision>
  <dcterms:created xsi:type="dcterms:W3CDTF">2017-05-01T08:46:00Z</dcterms:created>
  <dcterms:modified xsi:type="dcterms:W3CDTF">2017-05-01T08:46:00Z</dcterms:modified>
</cp:coreProperties>
</file>