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C63F6D">
            <w:pPr>
              <w:rPr>
                <w:rFonts w:eastAsiaTheme="minorEastAsia"/>
                <w:sz w:val="20"/>
                <w:lang w:eastAsia="ja-JP"/>
              </w:rPr>
            </w:pPr>
            <w:r w:rsidRPr="00D55AF9">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rsidR="00D55AF9" w:rsidRPr="00751E77" w:rsidRDefault="00D55AF9" w:rsidP="002F167C">
            <w:pPr>
              <w:jc w:val="right"/>
              <w:rPr>
                <w:rFonts w:eastAsia="SimSun"/>
                <w:b/>
                <w:sz w:val="40"/>
              </w:rPr>
            </w:pPr>
            <w:r w:rsidRPr="00751E77">
              <w:rPr>
                <w:rFonts w:eastAsia="SimSun"/>
                <w:b/>
                <w:sz w:val="40"/>
              </w:rPr>
              <w:t xml:space="preserve">TD </w:t>
            </w:r>
            <w:r w:rsidR="002F167C">
              <w:rPr>
                <w:rFonts w:eastAsia="SimSun"/>
                <w:b/>
                <w:sz w:val="40"/>
              </w:rPr>
              <w:t>119</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D55AF9" w:rsidTr="00C63F6D">
        <w:trPr>
          <w:cantSplit/>
        </w:trPr>
        <w:tc>
          <w:tcPr>
            <w:tcW w:w="1616" w:type="dxa"/>
            <w:gridSpan w:val="3"/>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Question(s):</w:t>
            </w:r>
          </w:p>
        </w:tc>
        <w:tc>
          <w:tcPr>
            <w:tcW w:w="3627" w:type="dxa"/>
          </w:tcPr>
          <w:p w:rsidR="00D55AF9" w:rsidRPr="00D55AF9" w:rsidRDefault="00D55AF9" w:rsidP="00C63F6D">
            <w:pPr>
              <w:rPr>
                <w:rFonts w:eastAsiaTheme="minorEastAsia"/>
                <w:szCs w:val="24"/>
                <w:lang w:eastAsia="ja-JP"/>
              </w:rPr>
            </w:pPr>
            <w:r w:rsidRPr="00D55AF9">
              <w:rPr>
                <w:rFonts w:eastAsiaTheme="minorEastAsia"/>
                <w:szCs w:val="24"/>
                <w:lang w:eastAsia="ja-JP"/>
              </w:rPr>
              <w:t>N/A</w:t>
            </w:r>
          </w:p>
        </w:tc>
        <w:tc>
          <w:tcPr>
            <w:tcW w:w="4680" w:type="dxa"/>
          </w:tcPr>
          <w:p w:rsidR="00D55AF9" w:rsidRPr="00D55AF9" w:rsidRDefault="00D55AF9" w:rsidP="00C63F6D">
            <w:pPr>
              <w:jc w:val="right"/>
              <w:rPr>
                <w:rFonts w:eastAsiaTheme="minorEastAsia"/>
                <w:szCs w:val="24"/>
                <w:lang w:eastAsia="ja-JP"/>
              </w:rPr>
            </w:pPr>
            <w:r w:rsidRPr="00D55AF9">
              <w:rPr>
                <w:rFonts w:eastAsiaTheme="minorEastAsia"/>
                <w:szCs w:val="24"/>
                <w:lang w:eastAsia="ja-JP"/>
              </w:rPr>
              <w:t>Geneva, 1-4 May 2017</w:t>
            </w:r>
          </w:p>
        </w:tc>
      </w:tr>
      <w:tr w:rsidR="00D55AF9" w:rsidRPr="00D55AF9" w:rsidTr="00C63F6D">
        <w:trPr>
          <w:cantSplit/>
        </w:trPr>
        <w:tc>
          <w:tcPr>
            <w:tcW w:w="9923" w:type="dxa"/>
            <w:gridSpan w:val="5"/>
          </w:tcPr>
          <w:p w:rsidR="00D55AF9" w:rsidRPr="00D55AF9" w:rsidRDefault="00D55AF9" w:rsidP="00C63F6D">
            <w:pPr>
              <w:jc w:val="center"/>
              <w:rPr>
                <w:rFonts w:eastAsiaTheme="minorEastAsia"/>
                <w:b/>
                <w:bCs/>
                <w:szCs w:val="24"/>
                <w:lang w:eastAsia="ja-JP"/>
              </w:rPr>
            </w:pPr>
            <w:bookmarkStart w:id="1" w:name="ddoctype" w:colFirst="0" w:colLast="0"/>
            <w:r w:rsidRPr="00D55AF9">
              <w:rPr>
                <w:rFonts w:eastAsiaTheme="minorEastAsia"/>
                <w:b/>
                <w:bCs/>
                <w:szCs w:val="24"/>
                <w:lang w:eastAsia="ja-JP"/>
              </w:rPr>
              <w:t>TD</w:t>
            </w:r>
          </w:p>
        </w:tc>
      </w:tr>
      <w:bookmarkEnd w:id="1"/>
      <w:tr w:rsidR="00D55AF9" w:rsidRPr="00D55AF9" w:rsidTr="00C63F6D">
        <w:trPr>
          <w:cantSplit/>
        </w:trPr>
        <w:tc>
          <w:tcPr>
            <w:tcW w:w="1616" w:type="dxa"/>
            <w:gridSpan w:val="3"/>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Source:</w:t>
            </w:r>
          </w:p>
        </w:tc>
        <w:tc>
          <w:tcPr>
            <w:tcW w:w="8307" w:type="dxa"/>
            <w:gridSpan w:val="2"/>
          </w:tcPr>
          <w:p w:rsidR="00D55AF9" w:rsidRPr="00D55AF9" w:rsidRDefault="00D55AF9" w:rsidP="00C63F6D">
            <w:pPr>
              <w:rPr>
                <w:szCs w:val="24"/>
              </w:rPr>
            </w:pPr>
            <w:r w:rsidRPr="00D55AF9">
              <w:t>TSAG Management Team</w:t>
            </w:r>
          </w:p>
        </w:tc>
      </w:tr>
      <w:tr w:rsidR="00D55AF9" w:rsidRPr="00D55AF9" w:rsidTr="00C63F6D">
        <w:trPr>
          <w:cantSplit/>
        </w:trPr>
        <w:tc>
          <w:tcPr>
            <w:tcW w:w="1616" w:type="dxa"/>
            <w:gridSpan w:val="3"/>
          </w:tcPr>
          <w:p w:rsidR="00D55AF9" w:rsidRPr="00D55AF9" w:rsidRDefault="00D55AF9" w:rsidP="00C63F6D">
            <w:pPr>
              <w:rPr>
                <w:rFonts w:eastAsiaTheme="minorEastAsia"/>
                <w:szCs w:val="24"/>
                <w:lang w:eastAsia="ja-JP"/>
              </w:rPr>
            </w:pPr>
            <w:r w:rsidRPr="00D55AF9">
              <w:rPr>
                <w:rFonts w:eastAsiaTheme="minorEastAsia"/>
                <w:b/>
                <w:bCs/>
                <w:szCs w:val="24"/>
                <w:lang w:eastAsia="ja-JP"/>
              </w:rPr>
              <w:t>Title:</w:t>
            </w:r>
          </w:p>
        </w:tc>
        <w:tc>
          <w:tcPr>
            <w:tcW w:w="8307" w:type="dxa"/>
            <w:gridSpan w:val="2"/>
          </w:tcPr>
          <w:p w:rsidR="00D55AF9" w:rsidRPr="00D55AF9" w:rsidRDefault="00D55AF9" w:rsidP="009B60F1">
            <w:pPr>
              <w:rPr>
                <w:szCs w:val="24"/>
              </w:rPr>
            </w:pPr>
            <w:r w:rsidRPr="00D55AF9">
              <w:t>Agenda</w:t>
            </w:r>
            <w:r w:rsidR="009B60F1">
              <w:t xml:space="preserve"> for the TSAG closing plenary, 4 May 2017</w:t>
            </w:r>
          </w:p>
        </w:tc>
      </w:tr>
      <w:tr w:rsidR="00D55AF9" w:rsidRPr="00D55AF9" w:rsidTr="00C63F6D">
        <w:trPr>
          <w:cantSplit/>
        </w:trPr>
        <w:tc>
          <w:tcPr>
            <w:tcW w:w="1616" w:type="dxa"/>
            <w:gridSpan w:val="3"/>
            <w:tcBorders>
              <w:bottom w:val="single" w:sz="8" w:space="0" w:color="auto"/>
            </w:tcBorders>
          </w:tcPr>
          <w:p w:rsidR="00D55AF9" w:rsidRPr="00D55AF9" w:rsidRDefault="00D55AF9" w:rsidP="00C63F6D">
            <w:pPr>
              <w:rPr>
                <w:rFonts w:eastAsiaTheme="minorEastAsia"/>
                <w:b/>
                <w:bCs/>
                <w:szCs w:val="24"/>
                <w:lang w:eastAsia="ja-JP"/>
              </w:rPr>
            </w:pPr>
            <w:bookmarkStart w:id="2" w:name="dpurpose" w:colFirst="1" w:colLast="1"/>
            <w:r w:rsidRPr="00D55AF9">
              <w:rPr>
                <w:rFonts w:eastAsiaTheme="minorEastAsia"/>
                <w:b/>
                <w:bCs/>
                <w:szCs w:val="24"/>
                <w:lang w:eastAsia="ja-JP"/>
              </w:rPr>
              <w:t>Purpose:</w:t>
            </w:r>
          </w:p>
        </w:tc>
        <w:tc>
          <w:tcPr>
            <w:tcW w:w="8307" w:type="dxa"/>
            <w:gridSpan w:val="2"/>
            <w:tcBorders>
              <w:bottom w:val="single" w:sz="8" w:space="0" w:color="auto"/>
            </w:tcBorders>
          </w:tcPr>
          <w:p w:rsidR="00D55AF9" w:rsidRPr="00D55AF9" w:rsidRDefault="00D55AF9" w:rsidP="00C63F6D">
            <w:pPr>
              <w:rPr>
                <w:rFonts w:eastAsiaTheme="minorEastAsia"/>
                <w:szCs w:val="24"/>
                <w:lang w:eastAsia="ja-JP"/>
              </w:rPr>
            </w:pPr>
            <w:r w:rsidRPr="00D55AF9">
              <w:rPr>
                <w:rFonts w:eastAsiaTheme="minorEastAsia"/>
                <w:szCs w:val="24"/>
                <w:lang w:eastAsia="ja-JP"/>
              </w:rPr>
              <w:t>Discussion</w:t>
            </w:r>
          </w:p>
        </w:tc>
      </w:tr>
      <w:bookmarkEnd w:id="2"/>
      <w:tr w:rsidR="00D55AF9" w:rsidRPr="00D55AF9" w:rsidTr="00C63F6D">
        <w:trPr>
          <w:cantSplit/>
        </w:trPr>
        <w:tc>
          <w:tcPr>
            <w:tcW w:w="1607" w:type="dxa"/>
            <w:gridSpan w:val="2"/>
            <w:tcBorders>
              <w:top w:val="single" w:sz="8" w:space="0" w:color="auto"/>
              <w:bottom w:val="single" w:sz="8" w:space="0" w:color="auto"/>
            </w:tcBorders>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D55AF9" w:rsidRDefault="00D55AF9" w:rsidP="00C63F6D">
            <w:pPr>
              <w:rPr>
                <w:szCs w:val="24"/>
              </w:rPr>
            </w:pPr>
            <w:r w:rsidRPr="00D55AF9">
              <w:rPr>
                <w:sz w:val="22"/>
                <w:szCs w:val="22"/>
              </w:rPr>
              <w:t>Reinhard Scholl</w:t>
            </w:r>
            <w:r w:rsidRPr="00D55AF9">
              <w:rPr>
                <w:szCs w:val="24"/>
              </w:rPr>
              <w:br/>
            </w:r>
            <w:r w:rsidRPr="00D55AF9">
              <w:rPr>
                <w:sz w:val="22"/>
                <w:szCs w:val="22"/>
              </w:rPr>
              <w:t>TSB</w:t>
            </w:r>
          </w:p>
        </w:tc>
        <w:tc>
          <w:tcPr>
            <w:tcW w:w="4680" w:type="dxa"/>
            <w:tcBorders>
              <w:top w:val="single" w:sz="8" w:space="0" w:color="auto"/>
              <w:bottom w:val="single" w:sz="8" w:space="0" w:color="auto"/>
            </w:tcBorders>
          </w:tcPr>
          <w:p w:rsidR="00D55AF9" w:rsidRPr="00D55AF9" w:rsidRDefault="00D55AF9" w:rsidP="00C63F6D">
            <w:pPr>
              <w:rPr>
                <w:szCs w:val="24"/>
              </w:rPr>
            </w:pPr>
            <w:r w:rsidRPr="00D55AF9">
              <w:rPr>
                <w:sz w:val="22"/>
                <w:szCs w:val="22"/>
              </w:rPr>
              <w:t>Tel:</w:t>
            </w:r>
            <w:r w:rsidRPr="00D55AF9">
              <w:rPr>
                <w:sz w:val="22"/>
                <w:szCs w:val="22"/>
              </w:rPr>
              <w:tab/>
              <w:t>+41 22 730 5860</w:t>
            </w:r>
            <w:r w:rsidRPr="00D55AF9">
              <w:rPr>
                <w:sz w:val="22"/>
                <w:szCs w:val="22"/>
              </w:rPr>
              <w:br/>
              <w:t>E-mail:</w:t>
            </w:r>
            <w:r w:rsidRPr="00D55AF9">
              <w:rPr>
                <w:sz w:val="22"/>
                <w:szCs w:val="22"/>
              </w:rPr>
              <w:tab/>
            </w:r>
            <w:hyperlink r:id="rId9" w:history="1">
              <w:r w:rsidRPr="00D55AF9">
                <w:rPr>
                  <w:rStyle w:val="Hyperlink"/>
                  <w:sz w:val="22"/>
                  <w:szCs w:val="22"/>
                </w:rPr>
                <w:t>tsbtsag@itu.int</w:t>
              </w:r>
            </w:hyperlink>
          </w:p>
        </w:tc>
      </w:tr>
    </w:tbl>
    <w:p w:rsidR="00D55AF9" w:rsidRPr="00D55AF9" w:rsidRDefault="00D55AF9" w:rsidP="00D55AF9">
      <w:pPr>
        <w:spacing w:before="240"/>
        <w:rPr>
          <w:b/>
          <w:bC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D55AF9" w:rsidTr="00C63F6D">
        <w:trPr>
          <w:cantSplit/>
        </w:trPr>
        <w:tc>
          <w:tcPr>
            <w:tcW w:w="1616" w:type="dxa"/>
          </w:tcPr>
          <w:p w:rsidR="00D55AF9" w:rsidRPr="00D55AF9" w:rsidRDefault="00D55AF9" w:rsidP="00C63F6D">
            <w:pPr>
              <w:rPr>
                <w:b/>
                <w:bCs/>
                <w:highlight w:val="yellow"/>
              </w:rPr>
            </w:pPr>
            <w:r w:rsidRPr="00D55AF9">
              <w:rPr>
                <w:b/>
                <w:bCs/>
              </w:rPr>
              <w:t>Keywords:</w:t>
            </w:r>
          </w:p>
        </w:tc>
        <w:tc>
          <w:tcPr>
            <w:tcW w:w="8363" w:type="dxa"/>
          </w:tcPr>
          <w:p w:rsidR="00D55AF9" w:rsidRPr="00D55AF9" w:rsidRDefault="00D55AF9" w:rsidP="00C63F6D">
            <w:r w:rsidRPr="00D55AF9">
              <w:rPr>
                <w:szCs w:val="24"/>
              </w:rPr>
              <w:t>TSAG agenda</w:t>
            </w:r>
          </w:p>
        </w:tc>
      </w:tr>
      <w:tr w:rsidR="00D55AF9" w:rsidRPr="00D55AF9" w:rsidTr="00C63F6D">
        <w:trPr>
          <w:cantSplit/>
        </w:trPr>
        <w:tc>
          <w:tcPr>
            <w:tcW w:w="1616" w:type="dxa"/>
          </w:tcPr>
          <w:p w:rsidR="00D55AF9" w:rsidRPr="00D55AF9" w:rsidRDefault="00D55AF9" w:rsidP="00C63F6D">
            <w:pPr>
              <w:rPr>
                <w:b/>
                <w:bCs/>
                <w:highlight w:val="yellow"/>
              </w:rPr>
            </w:pPr>
            <w:r w:rsidRPr="00D55AF9">
              <w:rPr>
                <w:b/>
                <w:bCs/>
              </w:rPr>
              <w:t>Abstract:</w:t>
            </w:r>
          </w:p>
        </w:tc>
        <w:tc>
          <w:tcPr>
            <w:tcW w:w="8363" w:type="dxa"/>
          </w:tcPr>
          <w:p w:rsidR="00D55AF9" w:rsidRPr="00D55AF9" w:rsidRDefault="00D55AF9" w:rsidP="00C63F6D">
            <w:r w:rsidRPr="00D55AF9">
              <w:t>This TD holds the draft agenda for the first TSAG meeting in this study period.</w:t>
            </w:r>
          </w:p>
        </w:tc>
      </w:tr>
    </w:tbl>
    <w:p w:rsidR="00D55AF9" w:rsidRPr="00D55AF9" w:rsidRDefault="00D55AF9" w:rsidP="00D55AF9">
      <w:r w:rsidRPr="00D55AF9">
        <w:rPr>
          <w:b/>
          <w:bCs/>
        </w:rPr>
        <w:t>Action</w:t>
      </w:r>
      <w:r w:rsidRPr="00D55AF9">
        <w:t>:</w:t>
      </w:r>
      <w:r w:rsidRPr="00D55AF9">
        <w:tab/>
      </w:r>
      <w:r w:rsidRPr="00D55AF9">
        <w:tab/>
      </w:r>
      <w:r w:rsidRPr="00D55AF9">
        <w:tab/>
        <w:t>TSAG is invited to review and approve this draft agenda.</w:t>
      </w:r>
    </w:p>
    <w:p w:rsidR="00D55AF9" w:rsidRPr="00D55AF9" w:rsidRDefault="00D55AF9" w:rsidP="009B60F1">
      <w:r w:rsidRPr="00D55AF9">
        <w:t xml:space="preserve">Status: </w:t>
      </w:r>
      <w:r w:rsidR="001842F0">
        <w:rPr>
          <w:highlight w:val="yellow"/>
        </w:rPr>
        <w:t>3</w:t>
      </w:r>
      <w:r w:rsidR="0060315D">
        <w:rPr>
          <w:highlight w:val="yellow"/>
        </w:rPr>
        <w:t xml:space="preserve"> May</w:t>
      </w:r>
      <w:r w:rsidR="00477760">
        <w:rPr>
          <w:highlight w:val="yellow"/>
        </w:rPr>
        <w:t xml:space="preserve"> 2017,</w:t>
      </w:r>
      <w:r w:rsidR="007453C5">
        <w:rPr>
          <w:highlight w:val="yellow"/>
        </w:rPr>
        <w:t xml:space="preserve"> 2</w:t>
      </w:r>
      <w:r w:rsidR="009B60F1">
        <w:rPr>
          <w:highlight w:val="yellow"/>
        </w:rPr>
        <w:t>3</w:t>
      </w:r>
      <w:r w:rsidR="00A63E59" w:rsidRPr="00A63E59">
        <w:rPr>
          <w:highlight w:val="yellow"/>
        </w:rPr>
        <w:t>:</w:t>
      </w:r>
      <w:r w:rsidR="009B60F1">
        <w:rPr>
          <w:highlight w:val="yellow"/>
        </w:rPr>
        <w:t>1</w:t>
      </w:r>
      <w:r w:rsidR="007453C5">
        <w:rPr>
          <w:highlight w:val="yellow"/>
        </w:rPr>
        <w:t>5</w:t>
      </w:r>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D55AF9">
        <w:rPr>
          <w:rFonts w:asciiTheme="majorBidi" w:hAnsiTheme="majorBidi" w:cstheme="majorBidi"/>
          <w:szCs w:val="24"/>
        </w:rPr>
        <w:t xml:space="preserve">TSAG </w:t>
      </w:r>
      <w:r w:rsidR="00EF25BA" w:rsidRPr="00D55AF9">
        <w:rPr>
          <w:rFonts w:asciiTheme="majorBidi" w:hAnsiTheme="majorBidi" w:cstheme="majorBidi"/>
          <w:szCs w:val="24"/>
        </w:rPr>
        <w:t>Contributions</w:t>
      </w:r>
      <w:r w:rsidRPr="00D55AF9">
        <w:rPr>
          <w:rFonts w:asciiTheme="majorBidi" w:hAnsiTheme="majorBidi" w:cstheme="majorBidi"/>
          <w:szCs w:val="24"/>
        </w:rPr>
        <w:t xml:space="preserve"> available at:</w:t>
      </w:r>
      <w:r w:rsidRPr="00D55AF9">
        <w:rPr>
          <w:rFonts w:asciiTheme="majorBidi" w:hAnsiTheme="majorBidi" w:cstheme="majorBidi"/>
          <w:szCs w:val="24"/>
        </w:rPr>
        <w:tab/>
      </w:r>
      <w:hyperlink r:id="rId10" w:history="1">
        <w:r w:rsidRPr="00D55AF9">
          <w:rPr>
            <w:rStyle w:val="Hyperlink"/>
            <w:rFonts w:asciiTheme="majorBidi" w:hAnsiTheme="majorBidi" w:cstheme="majorBidi"/>
            <w:szCs w:val="24"/>
          </w:rPr>
          <w:t>https://www.itu.int/md/T17-TSAG-170501-C</w:t>
        </w:r>
      </w:hyperlink>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D55AF9">
        <w:rPr>
          <w:rFonts w:asciiTheme="majorBidi" w:hAnsiTheme="majorBidi" w:cstheme="majorBidi"/>
          <w:szCs w:val="24"/>
        </w:rPr>
        <w:t xml:space="preserve">TSAG TDs available at: </w:t>
      </w:r>
      <w:r w:rsidRPr="00D55AF9">
        <w:rPr>
          <w:rFonts w:asciiTheme="majorBidi" w:hAnsiTheme="majorBidi" w:cstheme="majorBidi"/>
          <w:szCs w:val="24"/>
        </w:rPr>
        <w:tab/>
      </w:r>
      <w:r w:rsidRPr="00D55AF9">
        <w:rPr>
          <w:rFonts w:asciiTheme="majorBidi" w:hAnsiTheme="majorBidi" w:cstheme="majorBidi"/>
          <w:szCs w:val="24"/>
        </w:rPr>
        <w:tab/>
      </w:r>
      <w:hyperlink r:id="rId11" w:history="1">
        <w:r w:rsidRPr="00D55AF9">
          <w:rPr>
            <w:rStyle w:val="Hyperlink"/>
            <w:rFonts w:asciiTheme="majorBidi" w:hAnsiTheme="majorBidi" w:cstheme="majorBidi"/>
            <w:szCs w:val="24"/>
          </w:rPr>
          <w:t>https://www.itu.int/md/T17-TSAG-170501-TD</w:t>
        </w:r>
      </w:hyperlink>
    </w:p>
    <w:p w:rsidR="00D55AF9" w:rsidRDefault="00D55AF9" w:rsidP="00162865">
      <w:pPr>
        <w:spacing w:before="0"/>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984"/>
      </w:tblGrid>
      <w:tr w:rsidR="00D55AF9" w:rsidRPr="00D55AF9" w:rsidTr="0082476D">
        <w:trPr>
          <w:trHeight w:val="20"/>
        </w:trPr>
        <w:tc>
          <w:tcPr>
            <w:tcW w:w="9631" w:type="dxa"/>
            <w:gridSpan w:val="5"/>
          </w:tcPr>
          <w:p w:rsidR="00D55AF9" w:rsidRPr="00D55AF9" w:rsidRDefault="00D55AF9" w:rsidP="0082476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0000"/>
                <w:sz w:val="20"/>
                <w:highlight w:val="yellow"/>
                <w:lang w:eastAsia="zh-CN"/>
              </w:rPr>
            </w:pPr>
            <w:r w:rsidRPr="00D55AF9">
              <w:rPr>
                <w:rFonts w:asciiTheme="majorBidi" w:hAnsiTheme="majorBidi" w:cstheme="majorBidi"/>
                <w:b/>
                <w:bCs/>
                <w:color w:val="000000"/>
                <w:sz w:val="20"/>
                <w:lang w:eastAsia="zh-CN"/>
              </w:rPr>
              <w:t>Thursday 4 May 2017</w:t>
            </w:r>
          </w:p>
        </w:tc>
      </w:tr>
      <w:tr w:rsidR="00D55AF9" w:rsidRPr="00D55AF9" w:rsidTr="0082476D">
        <w:trPr>
          <w:trHeight w:val="20"/>
        </w:trPr>
        <w:tc>
          <w:tcPr>
            <w:tcW w:w="9631" w:type="dxa"/>
            <w:gridSpan w:val="5"/>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0000"/>
                <w:sz w:val="20"/>
                <w:highlight w:val="yellow"/>
                <w:lang w:eastAsia="zh-CN"/>
              </w:rPr>
            </w:pPr>
          </w:p>
        </w:tc>
      </w:tr>
      <w:tr w:rsidR="007136EE" w:rsidRPr="00D55AF9" w:rsidTr="0082476D">
        <w:trPr>
          <w:trHeight w:val="20"/>
        </w:trPr>
        <w:tc>
          <w:tcPr>
            <w:tcW w:w="1238" w:type="dxa"/>
          </w:tcPr>
          <w:p w:rsidR="007136EE" w:rsidRPr="00D55AF9" w:rsidRDefault="00261C2C" w:rsidP="003C3245">
            <w:pPr>
              <w:spacing w:before="0"/>
              <w:contextualSpacing/>
              <w:rPr>
                <w:rFonts w:asciiTheme="majorBidi" w:eastAsia="SimSun" w:hAnsiTheme="majorBidi" w:cstheme="majorBidi"/>
                <w:b/>
                <w:sz w:val="20"/>
                <w:highlight w:val="yellow"/>
              </w:rPr>
            </w:pPr>
            <w:r w:rsidRPr="0065004A">
              <w:rPr>
                <w:rFonts w:asciiTheme="majorBidi" w:eastAsia="SimSun" w:hAnsiTheme="majorBidi" w:cstheme="majorBidi"/>
                <w:b/>
                <w:sz w:val="20"/>
              </w:rPr>
              <w:t>09:30</w:t>
            </w: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23</w:t>
            </w:r>
          </w:p>
        </w:tc>
        <w:tc>
          <w:tcPr>
            <w:tcW w:w="2434" w:type="dxa"/>
          </w:tcPr>
          <w:p w:rsidR="007136EE" w:rsidRPr="00D55AF9" w:rsidRDefault="0050590C" w:rsidP="003C3245">
            <w:pPr>
              <w:tabs>
                <w:tab w:val="left" w:pos="720"/>
              </w:tabs>
              <w:spacing w:before="0"/>
              <w:rPr>
                <w:rFonts w:asciiTheme="majorBidi" w:eastAsia="SimSun" w:hAnsiTheme="majorBidi" w:cstheme="majorBidi"/>
                <w:b/>
                <w:bCs/>
                <w:sz w:val="20"/>
              </w:rPr>
            </w:pPr>
            <w:r w:rsidRPr="0050590C">
              <w:rPr>
                <w:rFonts w:asciiTheme="majorBidi" w:eastAsia="SimSun" w:hAnsiTheme="majorBidi" w:cstheme="majorBidi"/>
                <w:b/>
                <w:bCs/>
                <w:sz w:val="20"/>
              </w:rPr>
              <w:t>Smart ABC Programme at ITU Telecom World 2017</w:t>
            </w:r>
          </w:p>
        </w:tc>
        <w:tc>
          <w:tcPr>
            <w:tcW w:w="857" w:type="dxa"/>
          </w:tcPr>
          <w:p w:rsidR="007136EE" w:rsidRPr="00D33DD4" w:rsidRDefault="002A3C91" w:rsidP="003C3245">
            <w:pPr>
              <w:spacing w:before="0"/>
              <w:jc w:val="center"/>
              <w:rPr>
                <w:b/>
                <w:bCs/>
                <w:sz w:val="20"/>
                <w:highlight w:val="yellow"/>
              </w:rPr>
            </w:pPr>
            <w:hyperlink r:id="rId12" w:history="1">
              <w:r w:rsidR="002B2FC2" w:rsidRPr="00617DC6">
                <w:rPr>
                  <w:rStyle w:val="Hyperlink"/>
                  <w:b/>
                  <w:bCs/>
                  <w:sz w:val="20"/>
                </w:rPr>
                <w:t>TD 103</w:t>
              </w:r>
            </w:hyperlink>
          </w:p>
        </w:tc>
        <w:tc>
          <w:tcPr>
            <w:tcW w:w="3984" w:type="dxa"/>
          </w:tcPr>
          <w:p w:rsidR="007136EE" w:rsidRDefault="0050590C" w:rsidP="003C3245">
            <w:pPr>
              <w:tabs>
                <w:tab w:val="left" w:pos="720"/>
              </w:tabs>
              <w:spacing w:before="0"/>
              <w:rPr>
                <w:rFonts w:asciiTheme="majorBidi" w:hAnsiTheme="majorBidi" w:cstheme="majorBidi"/>
                <w:sz w:val="20"/>
              </w:rPr>
            </w:pPr>
            <w:r w:rsidRPr="0050590C">
              <w:rPr>
                <w:rFonts w:asciiTheme="majorBidi" w:hAnsiTheme="majorBidi" w:cstheme="majorBidi"/>
                <w:sz w:val="20"/>
              </w:rPr>
              <w:t>This document provides an overview of the Smart ABC Programme at ITU Telecom World in Busan, Republic of Korea from 25-28 September 2017, which will address the opportunities and challenges of the latest technological developments at the intersection of three emerging smart sectors: Artificial Intelligence, Banking and Cities</w:t>
            </w:r>
            <w:r>
              <w:rPr>
                <w:rFonts w:asciiTheme="majorBidi" w:hAnsiTheme="majorBidi" w:cstheme="majorBidi"/>
                <w:sz w:val="20"/>
              </w:rPr>
              <w:t>.</w:t>
            </w:r>
          </w:p>
          <w:p w:rsidR="0050590C" w:rsidRPr="00D55AF9" w:rsidRDefault="00051DC6" w:rsidP="00051DC6">
            <w:pPr>
              <w:tabs>
                <w:tab w:val="left" w:pos="720"/>
              </w:tabs>
              <w:rPr>
                <w:rFonts w:asciiTheme="majorBidi" w:hAnsiTheme="majorBidi" w:cstheme="majorBidi"/>
                <w:sz w:val="20"/>
                <w:highlight w:val="yellow"/>
              </w:rPr>
            </w:pPr>
            <w:r w:rsidRPr="00046767">
              <w:rPr>
                <w:rFonts w:asciiTheme="majorBidi" w:hAnsiTheme="majorBidi" w:cstheme="majorBidi"/>
                <w:sz w:val="20"/>
              </w:rPr>
              <w:t>TSAG to note.</w:t>
            </w:r>
          </w:p>
        </w:tc>
      </w:tr>
      <w:tr w:rsidR="007136EE" w:rsidRPr="00D55AF9" w:rsidTr="0082476D">
        <w:trPr>
          <w:trHeight w:val="20"/>
        </w:trPr>
        <w:tc>
          <w:tcPr>
            <w:tcW w:w="1238" w:type="dxa"/>
          </w:tcPr>
          <w:p w:rsidR="007136EE" w:rsidRPr="00D55AF9"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24</w:t>
            </w:r>
          </w:p>
        </w:tc>
        <w:tc>
          <w:tcPr>
            <w:tcW w:w="2434" w:type="dxa"/>
          </w:tcPr>
          <w:p w:rsidR="007136EE" w:rsidRPr="00D55AF9" w:rsidRDefault="007136EE" w:rsidP="003C3245">
            <w:pPr>
              <w:tabs>
                <w:tab w:val="left" w:pos="720"/>
              </w:tabs>
              <w:spacing w:before="0"/>
              <w:rPr>
                <w:rFonts w:asciiTheme="majorBidi" w:eastAsia="SimSun" w:hAnsiTheme="majorBidi" w:cstheme="majorBidi"/>
                <w:b/>
                <w:bCs/>
                <w:sz w:val="20"/>
              </w:rPr>
            </w:pPr>
            <w:r w:rsidRPr="00D55AF9">
              <w:rPr>
                <w:rFonts w:asciiTheme="majorBidi" w:eastAsia="SimSun" w:hAnsiTheme="majorBidi" w:cstheme="majorBidi"/>
                <w:b/>
                <w:bCs/>
                <w:sz w:val="20"/>
              </w:rPr>
              <w:t>ITU Journal</w:t>
            </w:r>
          </w:p>
        </w:tc>
        <w:tc>
          <w:tcPr>
            <w:tcW w:w="857" w:type="dxa"/>
          </w:tcPr>
          <w:p w:rsidR="007136EE" w:rsidRPr="00FD311D" w:rsidRDefault="007136EE" w:rsidP="003C3245">
            <w:pPr>
              <w:spacing w:before="0"/>
              <w:jc w:val="center"/>
              <w:rPr>
                <w:sz w:val="20"/>
                <w:highlight w:val="yellow"/>
              </w:rPr>
            </w:pPr>
          </w:p>
        </w:tc>
        <w:tc>
          <w:tcPr>
            <w:tcW w:w="3984" w:type="dxa"/>
          </w:tcPr>
          <w:p w:rsidR="007136EE" w:rsidRPr="00D55AF9" w:rsidRDefault="007136EE" w:rsidP="003C3245">
            <w:pPr>
              <w:tabs>
                <w:tab w:val="left" w:pos="720"/>
              </w:tabs>
              <w:spacing w:before="0"/>
              <w:rPr>
                <w:rFonts w:asciiTheme="majorBidi" w:hAnsiTheme="majorBidi" w:cstheme="majorBidi"/>
                <w:sz w:val="20"/>
                <w:highlight w:val="yellow"/>
              </w:rPr>
            </w:pPr>
          </w:p>
        </w:tc>
      </w:tr>
      <w:tr w:rsidR="007136EE" w:rsidRPr="00D55AF9" w:rsidTr="0082476D">
        <w:trPr>
          <w:trHeight w:val="20"/>
        </w:trPr>
        <w:tc>
          <w:tcPr>
            <w:tcW w:w="1238" w:type="dxa"/>
          </w:tcPr>
          <w:p w:rsidR="007136EE" w:rsidRPr="00046767"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046767" w:rsidRDefault="007136EE" w:rsidP="003C3245">
            <w:pPr>
              <w:spacing w:before="0"/>
              <w:contextualSpacing/>
              <w:jc w:val="center"/>
              <w:rPr>
                <w:rFonts w:asciiTheme="majorBidi" w:eastAsia="SimSun" w:hAnsiTheme="majorBidi" w:cstheme="majorBidi"/>
                <w:bCs/>
                <w:sz w:val="20"/>
              </w:rPr>
            </w:pPr>
          </w:p>
        </w:tc>
        <w:tc>
          <w:tcPr>
            <w:tcW w:w="2434" w:type="dxa"/>
          </w:tcPr>
          <w:p w:rsidR="007136EE" w:rsidRPr="00046767" w:rsidRDefault="007136EE" w:rsidP="003C3245">
            <w:pPr>
              <w:tabs>
                <w:tab w:val="left" w:pos="720"/>
              </w:tabs>
              <w:spacing w:before="0"/>
              <w:rPr>
                <w:rFonts w:asciiTheme="majorBidi" w:eastAsia="SimSun" w:hAnsiTheme="majorBidi" w:cstheme="majorBidi"/>
                <w:b/>
                <w:bCs/>
                <w:sz w:val="20"/>
              </w:rPr>
            </w:pPr>
            <w:r w:rsidRPr="00046767">
              <w:rPr>
                <w:rFonts w:asciiTheme="majorBidi" w:hAnsiTheme="majorBidi"/>
                <w:sz w:val="20"/>
              </w:rPr>
              <w:t xml:space="preserve">TSB Dir: ITU Journal: </w:t>
            </w:r>
            <w:r w:rsidRPr="00046767">
              <w:rPr>
                <w:rFonts w:asciiTheme="majorBidi" w:hAnsiTheme="majorBidi" w:cstheme="majorBidi"/>
                <w:i/>
                <w:iCs/>
                <w:sz w:val="20"/>
              </w:rPr>
              <w:t>ICT Discoveries</w:t>
            </w:r>
          </w:p>
        </w:tc>
        <w:tc>
          <w:tcPr>
            <w:tcW w:w="857" w:type="dxa"/>
          </w:tcPr>
          <w:p w:rsidR="007136EE" w:rsidRPr="00046767" w:rsidRDefault="002A3C91" w:rsidP="003C3245">
            <w:pPr>
              <w:spacing w:before="0"/>
              <w:jc w:val="center"/>
              <w:rPr>
                <w:sz w:val="20"/>
                <w:highlight w:val="yellow"/>
              </w:rPr>
            </w:pPr>
            <w:hyperlink r:id="rId13" w:history="1">
              <w:r w:rsidR="007136EE" w:rsidRPr="00107B0E">
                <w:rPr>
                  <w:rStyle w:val="Hyperlink"/>
                  <w:sz w:val="20"/>
                </w:rPr>
                <w:t>TD 088</w:t>
              </w:r>
            </w:hyperlink>
          </w:p>
        </w:tc>
        <w:tc>
          <w:tcPr>
            <w:tcW w:w="3984" w:type="dxa"/>
          </w:tcPr>
          <w:p w:rsidR="007136EE" w:rsidRPr="00046767" w:rsidRDefault="007136EE" w:rsidP="003C3245">
            <w:pPr>
              <w:tabs>
                <w:tab w:val="left" w:pos="720"/>
              </w:tabs>
              <w:spacing w:before="0"/>
              <w:rPr>
                <w:rFonts w:asciiTheme="majorBidi" w:hAnsiTheme="majorBidi" w:cstheme="majorBidi"/>
                <w:sz w:val="20"/>
              </w:rPr>
            </w:pPr>
            <w:r w:rsidRPr="00046767">
              <w:rPr>
                <w:rFonts w:asciiTheme="majorBidi" w:hAnsiTheme="majorBidi" w:cstheme="majorBidi"/>
                <w:sz w:val="20"/>
              </w:rPr>
              <w:t>This document provides an overview of the preparatory work needed to establish the ITU Journal: ICT Discoveries and publish its first special issue on “The impact of Artificial Intelligence (AI) on communication networks and services”, which will be launched at ITU Telecom World, in Busan, Republic of Korea, on 25 28 September 2017.</w:t>
            </w:r>
          </w:p>
          <w:p w:rsidR="007136EE" w:rsidRPr="00046767" w:rsidRDefault="007136EE" w:rsidP="003C3245">
            <w:pPr>
              <w:tabs>
                <w:tab w:val="left" w:pos="720"/>
              </w:tabs>
              <w:rPr>
                <w:rFonts w:asciiTheme="majorBidi" w:hAnsiTheme="majorBidi" w:cstheme="majorBidi"/>
                <w:sz w:val="20"/>
                <w:highlight w:val="yellow"/>
              </w:rPr>
            </w:pPr>
            <w:r w:rsidRPr="00046767">
              <w:rPr>
                <w:rFonts w:asciiTheme="majorBidi" w:hAnsiTheme="majorBidi" w:cstheme="majorBidi"/>
                <w:sz w:val="20"/>
              </w:rPr>
              <w:t>TSAG to note.</w:t>
            </w:r>
          </w:p>
        </w:tc>
      </w:tr>
      <w:tr w:rsidR="007136EE" w:rsidRPr="00D55AF9" w:rsidTr="0082476D">
        <w:trPr>
          <w:trHeight w:val="20"/>
        </w:trPr>
        <w:tc>
          <w:tcPr>
            <w:tcW w:w="1238" w:type="dxa"/>
          </w:tcPr>
          <w:p w:rsidR="007136EE" w:rsidRPr="00D55AF9"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25</w:t>
            </w:r>
          </w:p>
        </w:tc>
        <w:tc>
          <w:tcPr>
            <w:tcW w:w="2434" w:type="dxa"/>
          </w:tcPr>
          <w:p w:rsidR="007136EE" w:rsidRPr="00D55AF9" w:rsidRDefault="007136EE" w:rsidP="003C3245">
            <w:pPr>
              <w:tabs>
                <w:tab w:val="left" w:pos="720"/>
              </w:tabs>
              <w:spacing w:before="0"/>
              <w:rPr>
                <w:rFonts w:asciiTheme="majorBidi" w:eastAsia="SimSun" w:hAnsiTheme="majorBidi" w:cstheme="majorBidi"/>
                <w:b/>
                <w:bCs/>
                <w:sz w:val="20"/>
              </w:rPr>
            </w:pPr>
            <w:r w:rsidRPr="00D55AF9">
              <w:rPr>
                <w:rFonts w:asciiTheme="majorBidi" w:eastAsia="SimSun" w:hAnsiTheme="majorBidi" w:cstheme="majorBidi"/>
                <w:b/>
                <w:bCs/>
                <w:sz w:val="20"/>
              </w:rPr>
              <w:t>TechWatch reports</w:t>
            </w:r>
          </w:p>
        </w:tc>
        <w:tc>
          <w:tcPr>
            <w:tcW w:w="857" w:type="dxa"/>
          </w:tcPr>
          <w:p w:rsidR="007136EE" w:rsidRPr="009B2D61" w:rsidRDefault="007136EE" w:rsidP="003C3245">
            <w:pPr>
              <w:spacing w:before="0"/>
              <w:jc w:val="center"/>
              <w:rPr>
                <w:sz w:val="20"/>
                <w:highlight w:val="yellow"/>
              </w:rPr>
            </w:pPr>
          </w:p>
        </w:tc>
        <w:tc>
          <w:tcPr>
            <w:tcW w:w="3984" w:type="dxa"/>
          </w:tcPr>
          <w:p w:rsidR="007136EE" w:rsidRPr="00D55AF9" w:rsidRDefault="007136EE" w:rsidP="003C3245">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(ref. WTSA-16 Res. 66)</w:t>
            </w:r>
          </w:p>
        </w:tc>
      </w:tr>
      <w:tr w:rsidR="00521901" w:rsidRPr="00D55AF9" w:rsidTr="0082476D">
        <w:trPr>
          <w:trHeight w:val="20"/>
        </w:trPr>
        <w:tc>
          <w:tcPr>
            <w:tcW w:w="1238" w:type="dxa"/>
          </w:tcPr>
          <w:p w:rsidR="00521901" w:rsidRPr="00D55AF9" w:rsidRDefault="00521901" w:rsidP="00521901">
            <w:pPr>
              <w:spacing w:before="0"/>
              <w:contextualSpacing/>
              <w:rPr>
                <w:rFonts w:asciiTheme="majorBidi" w:eastAsia="SimSun" w:hAnsiTheme="majorBidi" w:cstheme="majorBidi"/>
                <w:b/>
                <w:sz w:val="20"/>
                <w:highlight w:val="yellow"/>
              </w:rPr>
            </w:pPr>
          </w:p>
        </w:tc>
        <w:tc>
          <w:tcPr>
            <w:tcW w:w="1118" w:type="dxa"/>
          </w:tcPr>
          <w:p w:rsidR="00521901" w:rsidRPr="00D55AF9" w:rsidRDefault="00521901" w:rsidP="00521901">
            <w:pPr>
              <w:spacing w:before="0"/>
              <w:contextualSpacing/>
              <w:rPr>
                <w:rFonts w:asciiTheme="majorBidi" w:eastAsia="SimSun" w:hAnsiTheme="majorBidi" w:cstheme="majorBidi"/>
                <w:b/>
                <w:sz w:val="20"/>
              </w:rPr>
            </w:pPr>
            <w:r>
              <w:rPr>
                <w:rFonts w:asciiTheme="majorBidi" w:eastAsia="SimSun" w:hAnsiTheme="majorBidi" w:cstheme="majorBidi"/>
                <w:b/>
                <w:sz w:val="20"/>
              </w:rPr>
              <w:t>26</w:t>
            </w:r>
          </w:p>
        </w:tc>
        <w:tc>
          <w:tcPr>
            <w:tcW w:w="2434" w:type="dxa"/>
          </w:tcPr>
          <w:p w:rsidR="00521901" w:rsidRPr="00D55AF9" w:rsidRDefault="00521901" w:rsidP="00521901">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Bridging the Standardization Gap</w:t>
            </w:r>
          </w:p>
        </w:tc>
        <w:tc>
          <w:tcPr>
            <w:tcW w:w="857" w:type="dxa"/>
          </w:tcPr>
          <w:p w:rsidR="00521901" w:rsidRPr="00D55AF9" w:rsidRDefault="00521901" w:rsidP="00521901">
            <w:pPr>
              <w:spacing w:before="0"/>
              <w:jc w:val="center"/>
              <w:rPr>
                <w:sz w:val="20"/>
              </w:rPr>
            </w:pPr>
          </w:p>
        </w:tc>
        <w:tc>
          <w:tcPr>
            <w:tcW w:w="3984" w:type="dxa"/>
          </w:tcPr>
          <w:p w:rsidR="00521901" w:rsidRPr="00D55AF9" w:rsidRDefault="00521901" w:rsidP="00521901">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(ref. WTSA-16 Res. 44)</w:t>
            </w:r>
          </w:p>
          <w:p w:rsidR="00521901" w:rsidRPr="00D55AF9" w:rsidRDefault="00521901" w:rsidP="00521901">
            <w:pPr>
              <w:tabs>
                <w:tab w:val="left" w:pos="720"/>
              </w:tabs>
              <w:spacing w:before="0"/>
              <w:rPr>
                <w:color w:val="0000FF"/>
                <w:sz w:val="20"/>
                <w:u w:val="single"/>
              </w:rPr>
            </w:pPr>
            <w:r w:rsidRPr="00D55AF9">
              <w:rPr>
                <w:rFonts w:asciiTheme="majorBidi" w:eastAsia="SimSun" w:hAnsiTheme="majorBidi" w:cstheme="majorBidi"/>
                <w:bCs/>
                <w:sz w:val="20"/>
              </w:rPr>
              <w:t xml:space="preserve">See section 17 of TSB Director’s Report </w:t>
            </w:r>
            <w:hyperlink r:id="rId14" w:history="1">
              <w:r w:rsidRPr="00D55AF9">
                <w:rPr>
                  <w:rStyle w:val="Hyperlink"/>
                  <w:sz w:val="20"/>
                </w:rPr>
                <w:t>TD 024</w:t>
              </w:r>
            </w:hyperlink>
          </w:p>
        </w:tc>
      </w:tr>
      <w:tr w:rsidR="00521901" w:rsidRPr="00D55AF9" w:rsidTr="0082476D">
        <w:trPr>
          <w:trHeight w:val="20"/>
        </w:trPr>
        <w:tc>
          <w:tcPr>
            <w:tcW w:w="1238" w:type="dxa"/>
          </w:tcPr>
          <w:p w:rsidR="00521901" w:rsidRPr="00D55AF9" w:rsidRDefault="00521901" w:rsidP="00521901">
            <w:pPr>
              <w:spacing w:before="0"/>
              <w:contextualSpacing/>
              <w:rPr>
                <w:rFonts w:asciiTheme="majorBidi" w:eastAsia="SimSun" w:hAnsiTheme="majorBidi" w:cstheme="majorBidi"/>
                <w:b/>
                <w:sz w:val="20"/>
                <w:highlight w:val="yellow"/>
              </w:rPr>
            </w:pPr>
          </w:p>
        </w:tc>
        <w:tc>
          <w:tcPr>
            <w:tcW w:w="1118" w:type="dxa"/>
          </w:tcPr>
          <w:p w:rsidR="00521901" w:rsidRPr="00D55AF9" w:rsidRDefault="00521901" w:rsidP="00521901">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26</w:t>
            </w:r>
            <w:r w:rsidRPr="00D55AF9">
              <w:rPr>
                <w:rFonts w:asciiTheme="majorBidi" w:eastAsia="SimSun" w:hAnsiTheme="majorBidi" w:cstheme="majorBidi"/>
                <w:bCs/>
                <w:sz w:val="20"/>
              </w:rPr>
              <w:t>.1</w:t>
            </w:r>
          </w:p>
        </w:tc>
        <w:tc>
          <w:tcPr>
            <w:tcW w:w="2434" w:type="dxa"/>
          </w:tcPr>
          <w:p w:rsidR="00521901" w:rsidRPr="00D55AF9" w:rsidRDefault="00521901" w:rsidP="00521901">
            <w:pPr>
              <w:tabs>
                <w:tab w:val="left" w:pos="720"/>
              </w:tabs>
              <w:spacing w:before="0"/>
              <w:rPr>
                <w:rFonts w:asciiTheme="majorBidi" w:eastAsia="SimSun" w:hAnsiTheme="majorBidi" w:cstheme="majorBidi"/>
                <w:b/>
                <w:sz w:val="20"/>
              </w:rPr>
            </w:pPr>
            <w:r w:rsidRPr="00D55AF9">
              <w:rPr>
                <w:sz w:val="20"/>
              </w:rPr>
              <w:t>SG11: LS on implementation of Resolution 44 of WTSA-16 - bridging the standardization gap between developing and developed countries [from ITU-T SG11]</w:t>
            </w:r>
          </w:p>
        </w:tc>
        <w:tc>
          <w:tcPr>
            <w:tcW w:w="857" w:type="dxa"/>
          </w:tcPr>
          <w:p w:rsidR="00521901" w:rsidRPr="00D55AF9" w:rsidRDefault="002A3C91" w:rsidP="00521901">
            <w:pPr>
              <w:spacing w:before="0"/>
              <w:jc w:val="center"/>
              <w:rPr>
                <w:sz w:val="20"/>
                <w:highlight w:val="yellow"/>
              </w:rPr>
            </w:pPr>
            <w:hyperlink r:id="rId15" w:history="1">
              <w:r w:rsidR="00521901" w:rsidRPr="00D55AF9">
                <w:rPr>
                  <w:rStyle w:val="Hyperlink"/>
                  <w:sz w:val="20"/>
                </w:rPr>
                <w:t>TD 027</w:t>
              </w:r>
            </w:hyperlink>
          </w:p>
        </w:tc>
        <w:tc>
          <w:tcPr>
            <w:tcW w:w="3984" w:type="dxa"/>
          </w:tcPr>
          <w:p w:rsidR="00521901" w:rsidRPr="00D55AF9" w:rsidRDefault="00521901" w:rsidP="00521901">
            <w:pPr>
              <w:tabs>
                <w:tab w:val="left" w:pos="720"/>
              </w:tabs>
              <w:spacing w:before="0"/>
              <w:rPr>
                <w:rFonts w:asciiTheme="majorBidi" w:eastAsia="SimSun" w:hAnsiTheme="majorBidi" w:cstheme="majorBidi"/>
                <w:bCs/>
                <w:sz w:val="20"/>
                <w:highlight w:val="yellow"/>
              </w:rPr>
            </w:pPr>
            <w:r w:rsidRPr="00D55AF9">
              <w:rPr>
                <w:sz w:val="20"/>
              </w:rPr>
              <w:t xml:space="preserve">SG11 seeks clarification from TSAG concerning </w:t>
            </w:r>
            <w:hyperlink r:id="rId16" w:history="1">
              <w:r w:rsidRPr="00D55AF9">
                <w:rPr>
                  <w:rStyle w:val="Hyperlink"/>
                  <w:sz w:val="20"/>
                </w:rPr>
                <w:t>COM11-C58 Rev.1</w:t>
              </w:r>
            </w:hyperlink>
            <w:r w:rsidRPr="00D55AF9">
              <w:rPr>
                <w:sz w:val="20"/>
              </w:rPr>
              <w:t xml:space="preserve"> regarding development of application guidelines for Recommendations.</w:t>
            </w:r>
          </w:p>
        </w:tc>
      </w:tr>
      <w:tr w:rsidR="00521901" w:rsidRPr="00D55AF9" w:rsidTr="0082476D">
        <w:trPr>
          <w:trHeight w:val="20"/>
        </w:trPr>
        <w:tc>
          <w:tcPr>
            <w:tcW w:w="1238" w:type="dxa"/>
          </w:tcPr>
          <w:p w:rsidR="00521901" w:rsidRPr="00D55AF9" w:rsidRDefault="00521901" w:rsidP="00521901">
            <w:pPr>
              <w:spacing w:before="0"/>
              <w:contextualSpacing/>
              <w:rPr>
                <w:rFonts w:asciiTheme="majorBidi" w:eastAsia="SimSun" w:hAnsiTheme="majorBidi" w:cstheme="majorBidi"/>
                <w:b/>
                <w:sz w:val="20"/>
                <w:highlight w:val="yellow"/>
              </w:rPr>
            </w:pPr>
          </w:p>
        </w:tc>
        <w:tc>
          <w:tcPr>
            <w:tcW w:w="1118" w:type="dxa"/>
          </w:tcPr>
          <w:p w:rsidR="00521901" w:rsidRPr="00D55AF9" w:rsidRDefault="00521901" w:rsidP="00521901">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26</w:t>
            </w:r>
            <w:r w:rsidRPr="00D55AF9">
              <w:rPr>
                <w:rFonts w:asciiTheme="majorBidi" w:eastAsia="SimSun" w:hAnsiTheme="majorBidi" w:cstheme="majorBidi"/>
                <w:bCs/>
                <w:sz w:val="20"/>
              </w:rPr>
              <w:t>.2</w:t>
            </w:r>
          </w:p>
        </w:tc>
        <w:tc>
          <w:tcPr>
            <w:tcW w:w="2434" w:type="dxa"/>
          </w:tcPr>
          <w:p w:rsidR="00521901" w:rsidRPr="00D55AF9" w:rsidRDefault="00521901" w:rsidP="00521901">
            <w:pPr>
              <w:tabs>
                <w:tab w:val="left" w:pos="720"/>
              </w:tabs>
              <w:spacing w:before="0"/>
              <w:rPr>
                <w:sz w:val="20"/>
              </w:rPr>
            </w:pPr>
            <w:r w:rsidRPr="00D55AF9">
              <w:rPr>
                <w:sz w:val="20"/>
              </w:rPr>
              <w:t>United States: Implementing Resolution 44 (Hammamet, 2016) – bridging the standardization gap between developing and developed countries</w:t>
            </w:r>
          </w:p>
        </w:tc>
        <w:tc>
          <w:tcPr>
            <w:tcW w:w="857" w:type="dxa"/>
          </w:tcPr>
          <w:p w:rsidR="00521901" w:rsidRPr="00D55AF9" w:rsidRDefault="002A3C91" w:rsidP="00521901">
            <w:pPr>
              <w:spacing w:before="0"/>
              <w:jc w:val="center"/>
              <w:rPr>
                <w:sz w:val="20"/>
              </w:rPr>
            </w:pPr>
            <w:hyperlink r:id="rId17" w:history="1">
              <w:r w:rsidR="00521901" w:rsidRPr="00D55AF9">
                <w:rPr>
                  <w:rStyle w:val="Hyperlink"/>
                  <w:sz w:val="20"/>
                </w:rPr>
                <w:t>C 015</w:t>
              </w:r>
            </w:hyperlink>
          </w:p>
        </w:tc>
        <w:tc>
          <w:tcPr>
            <w:tcW w:w="3984" w:type="dxa"/>
          </w:tcPr>
          <w:p w:rsidR="00521901" w:rsidRPr="00D55AF9" w:rsidRDefault="00521901" w:rsidP="00521901">
            <w:pPr>
              <w:tabs>
                <w:tab w:val="left" w:pos="720"/>
              </w:tabs>
              <w:spacing w:before="0"/>
              <w:rPr>
                <w:sz w:val="20"/>
              </w:rPr>
            </w:pPr>
            <w:r w:rsidRPr="00D55AF9">
              <w:rPr>
                <w:sz w:val="20"/>
              </w:rPr>
              <w:t>Resolution 44 (Rev. Hammamet, 2016) – bridging the standardization gap between developing and developed countries, revised at the World Telecommunication Standardization Assembly 2016 (WTSA 16)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  To assist the Director in carrying out this instructs, developing countries should be encouraged to identify ITU-T Recommendations, under each Study Group’s mandate, where application guidelines are needed.  TSAG is asked to instruct each Study Group to encourage this activity.</w:t>
            </w:r>
          </w:p>
          <w:p w:rsidR="00521901" w:rsidRPr="00D55AF9" w:rsidRDefault="00521901" w:rsidP="00521901">
            <w:pPr>
              <w:tabs>
                <w:tab w:val="left" w:pos="720"/>
              </w:tabs>
              <w:rPr>
                <w:sz w:val="20"/>
              </w:rPr>
            </w:pPr>
            <w:r w:rsidRPr="00D55AF9">
              <w:rPr>
                <w:sz w:val="20"/>
              </w:rPr>
              <w:t>The United States proposes TSAG instruct each Study Group to encourage developing countries to identify, through contributions, those Recommendations for which application guidelines should be developed, that each Study Group share this information with the Director for his use in implementing section 9 of Resolution 44, and that each Study Group report to TSAG the number of contributions received and the Recommendations identified to the Director. A draft liaison from TSAG to all Study Groups to provide this instruction is attached in Appendix 1. The United States requests that this contribution be made publicly available without restriction.</w:t>
            </w:r>
          </w:p>
        </w:tc>
      </w:tr>
      <w:tr w:rsidR="00521901" w:rsidRPr="00D55AF9" w:rsidTr="0082476D">
        <w:trPr>
          <w:trHeight w:val="20"/>
        </w:trPr>
        <w:tc>
          <w:tcPr>
            <w:tcW w:w="1238" w:type="dxa"/>
          </w:tcPr>
          <w:p w:rsidR="00521901" w:rsidRPr="00D55AF9" w:rsidRDefault="00521901" w:rsidP="00521901">
            <w:pPr>
              <w:spacing w:before="0"/>
              <w:rPr>
                <w:sz w:val="20"/>
              </w:rPr>
            </w:pPr>
          </w:p>
        </w:tc>
        <w:tc>
          <w:tcPr>
            <w:tcW w:w="1118" w:type="dxa"/>
          </w:tcPr>
          <w:p w:rsidR="00521901" w:rsidRPr="00D55AF9" w:rsidRDefault="00521901" w:rsidP="00521901">
            <w:pPr>
              <w:spacing w:before="0"/>
              <w:jc w:val="center"/>
              <w:rPr>
                <w:sz w:val="20"/>
              </w:rPr>
            </w:pPr>
            <w:r>
              <w:rPr>
                <w:sz w:val="20"/>
              </w:rPr>
              <w:t>26</w:t>
            </w:r>
            <w:r w:rsidRPr="00D55AF9">
              <w:rPr>
                <w:sz w:val="20"/>
              </w:rPr>
              <w:t>.3</w:t>
            </w:r>
          </w:p>
        </w:tc>
        <w:tc>
          <w:tcPr>
            <w:tcW w:w="2434" w:type="dxa"/>
          </w:tcPr>
          <w:p w:rsidR="00521901" w:rsidRPr="00D55AF9" w:rsidRDefault="00521901" w:rsidP="00521901">
            <w:pPr>
              <w:tabs>
                <w:tab w:val="left" w:pos="720"/>
              </w:tabs>
              <w:spacing w:before="0"/>
              <w:rPr>
                <w:sz w:val="20"/>
              </w:rPr>
            </w:pPr>
            <w:r w:rsidRPr="00D55AF9">
              <w:rPr>
                <w:sz w:val="20"/>
              </w:rPr>
              <w:t>Russian Federation: On implementation Resolution 44 (Rev. Hammamet, 2016) – Bridging the Standardization Gap between developing and developed countries</w:t>
            </w:r>
          </w:p>
        </w:tc>
        <w:tc>
          <w:tcPr>
            <w:tcW w:w="857" w:type="dxa"/>
          </w:tcPr>
          <w:p w:rsidR="00521901" w:rsidRPr="00D55AF9" w:rsidRDefault="002A3C91" w:rsidP="00521901">
            <w:pPr>
              <w:spacing w:before="0"/>
              <w:jc w:val="center"/>
              <w:rPr>
                <w:sz w:val="20"/>
              </w:rPr>
            </w:pPr>
            <w:hyperlink r:id="rId18" w:history="1">
              <w:r w:rsidR="00521901" w:rsidRPr="00D55AF9">
                <w:rPr>
                  <w:rStyle w:val="Hyperlink"/>
                  <w:sz w:val="20"/>
                </w:rPr>
                <w:t>C 020</w:t>
              </w:r>
            </w:hyperlink>
          </w:p>
        </w:tc>
        <w:tc>
          <w:tcPr>
            <w:tcW w:w="3984" w:type="dxa"/>
          </w:tcPr>
          <w:p w:rsidR="00521901" w:rsidRPr="00D55AF9" w:rsidRDefault="00521901" w:rsidP="00521901">
            <w:pPr>
              <w:tabs>
                <w:tab w:val="left" w:pos="720"/>
              </w:tabs>
              <w:spacing w:before="0"/>
              <w:rPr>
                <w:sz w:val="20"/>
              </w:rPr>
            </w:pPr>
            <w:r w:rsidRPr="00D55AF9">
              <w:rPr>
                <w:sz w:val="20"/>
              </w:rPr>
              <w:t>Recognizing the importance of actions to bridge the standardization gap between developed and developing countries, this contribution proposes to identify the necessary steps on implementation of the Resolution 44 in order to maximize the effectiveness of such steps and optimize of the Sector's resources expenditure.</w:t>
            </w:r>
          </w:p>
          <w:p w:rsidR="00521901" w:rsidRPr="00D55AF9" w:rsidRDefault="00521901" w:rsidP="00521901">
            <w:pPr>
              <w:pStyle w:val="Call"/>
              <w:keepNext w:val="0"/>
              <w:keepLines w:val="0"/>
              <w:ind w:left="0"/>
              <w:rPr>
                <w:i w:val="0"/>
                <w:sz w:val="20"/>
              </w:rPr>
            </w:pPr>
            <w:r w:rsidRPr="00D55AF9">
              <w:rPr>
                <w:i w:val="0"/>
                <w:sz w:val="20"/>
              </w:rPr>
              <w:t>Russian Federation believes that TSAG should consider issues of practical steps to implementation revised Resolution 44, considering following proposition:</w:t>
            </w:r>
          </w:p>
          <w:p w:rsidR="00521901" w:rsidRPr="00D55AF9" w:rsidRDefault="00521901" w:rsidP="00521901">
            <w:pPr>
              <w:pStyle w:val="Call"/>
              <w:keepNext w:val="0"/>
              <w:keepLines w:val="0"/>
              <w:numPr>
                <w:ilvl w:val="0"/>
                <w:numId w:val="14"/>
              </w:numPr>
              <w:spacing w:before="60"/>
              <w:ind w:left="357" w:hanging="357"/>
              <w:rPr>
                <w:i w:val="0"/>
                <w:sz w:val="20"/>
              </w:rPr>
            </w:pPr>
            <w:r w:rsidRPr="00D55AF9">
              <w:rPr>
                <w:i w:val="0"/>
                <w:sz w:val="20"/>
              </w:rPr>
              <w:t>an initiative to identify ITU-T Recommendations requiring further clarification and/or development of guidelines of implementation on national level should started by interested Member States themselves from developing countries;</w:t>
            </w:r>
          </w:p>
          <w:p w:rsidR="00521901" w:rsidRPr="00D55AF9" w:rsidRDefault="00521901" w:rsidP="00521901">
            <w:pPr>
              <w:pStyle w:val="Call"/>
              <w:keepNext w:val="0"/>
              <w:keepLines w:val="0"/>
              <w:numPr>
                <w:ilvl w:val="0"/>
                <w:numId w:val="14"/>
              </w:numPr>
              <w:spacing w:before="60"/>
              <w:ind w:left="357" w:hanging="357"/>
              <w:rPr>
                <w:i w:val="0"/>
                <w:sz w:val="20"/>
              </w:rPr>
            </w:pPr>
            <w:r w:rsidRPr="00D55AF9">
              <w:rPr>
                <w:i w:val="0"/>
                <w:sz w:val="20"/>
              </w:rPr>
              <w:t>taking into account that level of ITU-T Recommendations’ implementation in the developing countries may differ, as well as these developing countries may have different interests and priorities in regard to topics of these ITU-T Recommendations, it would be preferable to use the capabilities of the ITU-T Regional groups in related Study Groups (as the indicator of most demanded directions on standardization) and ITU Regional Offices to identify such Recommendations’ list. In addition, if possible, to use the Regional Groups as platforms for discussing and developing guidelines on the ITU-T Recommendations’ implementation;</w:t>
            </w:r>
          </w:p>
          <w:p w:rsidR="00521901" w:rsidRPr="00D55AF9" w:rsidRDefault="00521901" w:rsidP="00521901">
            <w:pPr>
              <w:pStyle w:val="Call"/>
              <w:keepNext w:val="0"/>
              <w:keepLines w:val="0"/>
              <w:numPr>
                <w:ilvl w:val="0"/>
                <w:numId w:val="14"/>
              </w:numPr>
              <w:spacing w:before="60"/>
              <w:ind w:left="357" w:hanging="357"/>
              <w:rPr>
                <w:i w:val="0"/>
                <w:sz w:val="20"/>
              </w:rPr>
            </w:pPr>
            <w:r w:rsidRPr="00D55AF9">
              <w:rPr>
                <w:i w:val="0"/>
                <w:sz w:val="20"/>
              </w:rPr>
              <w:t>the development of the application guidelines should not become a "mandatory" part of the ITU-T Recommendations de-facto, but should  be considered as a solution for the difficulties faced by developing countries only in case when the ITU-T Regional Groups and ITU Regional Offices cannot provide appropriate instructions;</w:t>
            </w:r>
          </w:p>
          <w:p w:rsidR="00521901" w:rsidRPr="00D55AF9" w:rsidRDefault="00521901" w:rsidP="00521901">
            <w:pPr>
              <w:pStyle w:val="Call"/>
              <w:keepNext w:val="0"/>
              <w:keepLines w:val="0"/>
              <w:numPr>
                <w:ilvl w:val="0"/>
                <w:numId w:val="14"/>
              </w:numPr>
              <w:spacing w:before="60"/>
              <w:ind w:left="357" w:hanging="357"/>
              <w:rPr>
                <w:i w:val="0"/>
                <w:sz w:val="20"/>
              </w:rPr>
            </w:pPr>
            <w:r w:rsidRPr="00D55AF9">
              <w:rPr>
                <w:i w:val="0"/>
                <w:sz w:val="20"/>
              </w:rPr>
              <w:t>the tasks on guidelines’ development send to the SG level for consideration should cover the largest possible number of countries interested and in need of assistance in the implementation of ITU-T Recommendations, to guarantee  the effectively use of ITU-T financial and human resources;</w:t>
            </w:r>
          </w:p>
          <w:p w:rsidR="00521901" w:rsidRPr="00D55AF9" w:rsidRDefault="00521901" w:rsidP="00521901">
            <w:pPr>
              <w:pStyle w:val="Call"/>
              <w:keepNext w:val="0"/>
              <w:keepLines w:val="0"/>
              <w:numPr>
                <w:ilvl w:val="0"/>
                <w:numId w:val="14"/>
              </w:numPr>
              <w:spacing w:before="60"/>
              <w:ind w:left="357" w:hanging="357"/>
              <w:rPr>
                <w:i w:val="0"/>
                <w:sz w:val="20"/>
              </w:rPr>
            </w:pPr>
            <w:proofErr w:type="gramStart"/>
            <w:r w:rsidRPr="00D55AF9">
              <w:rPr>
                <w:i w:val="0"/>
                <w:sz w:val="20"/>
              </w:rPr>
              <w:t>the</w:t>
            </w:r>
            <w:proofErr w:type="gramEnd"/>
            <w:r w:rsidRPr="00D55AF9">
              <w:rPr>
                <w:i w:val="0"/>
                <w:sz w:val="20"/>
              </w:rPr>
              <w:t xml:space="preserve"> development of such guidance should not affect the timeframe of the ITU-T Recommendations’ development itself in the case of new Recommendations. In addition, it seems rational to assess the necessity of preparation such application guidance only after obtaining a stable text of the ITU-T Recommendation;</w:t>
            </w:r>
          </w:p>
          <w:p w:rsidR="00521901" w:rsidRPr="00D55AF9" w:rsidRDefault="00521901" w:rsidP="00521901">
            <w:pPr>
              <w:pStyle w:val="Call"/>
              <w:keepNext w:val="0"/>
              <w:keepLines w:val="0"/>
              <w:numPr>
                <w:ilvl w:val="0"/>
                <w:numId w:val="14"/>
              </w:numPr>
              <w:spacing w:before="60"/>
              <w:ind w:left="357" w:hanging="357"/>
              <w:rPr>
                <w:i w:val="0"/>
                <w:szCs w:val="24"/>
              </w:rPr>
            </w:pPr>
            <w:r w:rsidRPr="00D55AF9">
              <w:rPr>
                <w:i w:val="0"/>
                <w:sz w:val="20"/>
              </w:rPr>
              <w:t>Guideline(s) on application of the ITU-T Recommendations should be developed after its adoption.</w:t>
            </w:r>
          </w:p>
        </w:tc>
      </w:tr>
      <w:tr w:rsidR="003441E8" w:rsidRPr="00D55AF9" w:rsidTr="0082476D">
        <w:trPr>
          <w:trHeight w:val="20"/>
        </w:trPr>
        <w:tc>
          <w:tcPr>
            <w:tcW w:w="1238" w:type="dxa"/>
          </w:tcPr>
          <w:p w:rsidR="003441E8" w:rsidRPr="00D55AF9" w:rsidRDefault="003441E8" w:rsidP="003441E8">
            <w:pPr>
              <w:spacing w:before="0"/>
              <w:contextualSpacing/>
              <w:rPr>
                <w:rFonts w:asciiTheme="majorBidi" w:eastAsia="SimSun" w:hAnsiTheme="majorBidi" w:cstheme="majorBidi"/>
                <w:b/>
                <w:sz w:val="20"/>
                <w:highlight w:val="yellow"/>
              </w:rPr>
            </w:pPr>
          </w:p>
        </w:tc>
        <w:tc>
          <w:tcPr>
            <w:tcW w:w="1118" w:type="dxa"/>
          </w:tcPr>
          <w:p w:rsidR="003441E8" w:rsidRPr="00D55AF9" w:rsidRDefault="00A00E12" w:rsidP="00521901">
            <w:pPr>
              <w:spacing w:before="0"/>
              <w:ind w:right="400"/>
              <w:contextualSpacing/>
              <w:rPr>
                <w:rFonts w:asciiTheme="majorBidi" w:eastAsia="SimSun" w:hAnsiTheme="majorBidi" w:cstheme="majorBidi"/>
                <w:b/>
                <w:sz w:val="20"/>
              </w:rPr>
            </w:pPr>
            <w:r>
              <w:rPr>
                <w:rFonts w:asciiTheme="majorBidi" w:eastAsia="SimSun" w:hAnsiTheme="majorBidi" w:cstheme="majorBidi"/>
                <w:b/>
                <w:sz w:val="20"/>
              </w:rPr>
              <w:t>2</w:t>
            </w:r>
            <w:r w:rsidR="00521901">
              <w:rPr>
                <w:rFonts w:asciiTheme="majorBidi" w:eastAsia="SimSun" w:hAnsiTheme="majorBidi" w:cstheme="majorBidi"/>
                <w:b/>
                <w:sz w:val="20"/>
              </w:rPr>
              <w:t>7</w:t>
            </w:r>
          </w:p>
        </w:tc>
        <w:tc>
          <w:tcPr>
            <w:tcW w:w="2434" w:type="dxa"/>
          </w:tcPr>
          <w:p w:rsidR="003441E8" w:rsidRPr="00D55AF9" w:rsidRDefault="003441E8" w:rsidP="003441E8">
            <w:pPr>
              <w:tabs>
                <w:tab w:val="left" w:pos="720"/>
              </w:tabs>
              <w:spacing w:before="0"/>
              <w:rPr>
                <w:rFonts w:asciiTheme="majorBidi" w:eastAsia="SimSun" w:hAnsiTheme="majorBidi" w:cstheme="majorBidi"/>
                <w:b/>
                <w:bCs/>
                <w:sz w:val="20"/>
              </w:rPr>
            </w:pPr>
            <w:r w:rsidRPr="00D55AF9">
              <w:rPr>
                <w:b/>
                <w:bCs/>
                <w:sz w:val="20"/>
              </w:rPr>
              <w:t>Joint Coordination Activity on Accessibility and Human factors (JCA-AHF)</w:t>
            </w:r>
          </w:p>
        </w:tc>
        <w:tc>
          <w:tcPr>
            <w:tcW w:w="857" w:type="dxa"/>
          </w:tcPr>
          <w:p w:rsidR="003441E8" w:rsidRPr="00D55AF9" w:rsidRDefault="003441E8" w:rsidP="003441E8">
            <w:pPr>
              <w:spacing w:before="0"/>
              <w:jc w:val="center"/>
              <w:rPr>
                <w:highlight w:val="yellow"/>
              </w:rPr>
            </w:pPr>
          </w:p>
        </w:tc>
        <w:tc>
          <w:tcPr>
            <w:tcW w:w="3984" w:type="dxa"/>
          </w:tcPr>
          <w:p w:rsidR="003441E8" w:rsidRPr="00D55AF9" w:rsidRDefault="003441E8" w:rsidP="003441E8">
            <w:pPr>
              <w:tabs>
                <w:tab w:val="left" w:pos="720"/>
              </w:tabs>
              <w:spacing w:before="0"/>
              <w:rPr>
                <w:rFonts w:asciiTheme="majorBidi" w:hAnsiTheme="majorBidi" w:cstheme="majorBidi"/>
                <w:sz w:val="20"/>
                <w:highlight w:val="yellow"/>
              </w:rPr>
            </w:pPr>
          </w:p>
        </w:tc>
      </w:tr>
      <w:tr w:rsidR="003441E8" w:rsidRPr="00D55AF9" w:rsidTr="0082476D">
        <w:trPr>
          <w:trHeight w:val="20"/>
        </w:trPr>
        <w:tc>
          <w:tcPr>
            <w:tcW w:w="1238" w:type="dxa"/>
          </w:tcPr>
          <w:p w:rsidR="003441E8" w:rsidRPr="00D55AF9" w:rsidRDefault="003441E8" w:rsidP="003441E8">
            <w:pPr>
              <w:spacing w:before="0"/>
              <w:contextualSpacing/>
              <w:rPr>
                <w:rFonts w:asciiTheme="majorBidi" w:eastAsia="SimSun" w:hAnsiTheme="majorBidi" w:cstheme="majorBidi"/>
                <w:bCs/>
                <w:sz w:val="20"/>
                <w:highlight w:val="yellow"/>
              </w:rPr>
            </w:pPr>
          </w:p>
        </w:tc>
        <w:tc>
          <w:tcPr>
            <w:tcW w:w="1118" w:type="dxa"/>
          </w:tcPr>
          <w:p w:rsidR="003441E8" w:rsidRPr="00D55AF9" w:rsidRDefault="00A00E12" w:rsidP="00521901">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w:t>
            </w:r>
            <w:r w:rsidR="00521901">
              <w:rPr>
                <w:rFonts w:asciiTheme="majorBidi" w:eastAsia="SimSun" w:hAnsiTheme="majorBidi" w:cstheme="majorBidi"/>
                <w:bCs/>
                <w:sz w:val="20"/>
              </w:rPr>
              <w:t>7</w:t>
            </w:r>
            <w:r w:rsidR="003441E8">
              <w:rPr>
                <w:rFonts w:asciiTheme="majorBidi" w:eastAsia="SimSun" w:hAnsiTheme="majorBidi" w:cstheme="majorBidi"/>
                <w:bCs/>
                <w:sz w:val="20"/>
              </w:rPr>
              <w:t>.1</w:t>
            </w:r>
          </w:p>
        </w:tc>
        <w:tc>
          <w:tcPr>
            <w:tcW w:w="2434" w:type="dxa"/>
          </w:tcPr>
          <w:p w:rsidR="003441E8" w:rsidRPr="00D55AF9" w:rsidRDefault="003441E8" w:rsidP="003441E8">
            <w:pPr>
              <w:tabs>
                <w:tab w:val="left" w:pos="720"/>
              </w:tabs>
              <w:spacing w:before="0"/>
              <w:rPr>
                <w:bCs/>
                <w:sz w:val="20"/>
              </w:rPr>
            </w:pPr>
            <w:r>
              <w:rPr>
                <w:bCs/>
                <w:sz w:val="20"/>
              </w:rPr>
              <w:t xml:space="preserve">JCA-AHF: </w:t>
            </w:r>
            <w:r w:rsidRPr="00017356">
              <w:rPr>
                <w:bCs/>
                <w:sz w:val="20"/>
              </w:rPr>
              <w:t>Revised terms of reference and recent meeting reports of JCA-AHF</w:t>
            </w:r>
          </w:p>
        </w:tc>
        <w:tc>
          <w:tcPr>
            <w:tcW w:w="857" w:type="dxa"/>
          </w:tcPr>
          <w:p w:rsidR="003441E8" w:rsidRPr="00D55AF9" w:rsidRDefault="002A3C91" w:rsidP="003441E8">
            <w:pPr>
              <w:spacing w:before="0"/>
              <w:jc w:val="center"/>
              <w:rPr>
                <w:bCs/>
                <w:sz w:val="20"/>
                <w:highlight w:val="yellow"/>
              </w:rPr>
            </w:pPr>
            <w:hyperlink r:id="rId19" w:history="1">
              <w:r w:rsidR="003441E8" w:rsidRPr="00026051">
                <w:rPr>
                  <w:rStyle w:val="Hyperlink"/>
                  <w:bCs/>
                  <w:sz w:val="20"/>
                </w:rPr>
                <w:t>TD 092</w:t>
              </w:r>
            </w:hyperlink>
          </w:p>
        </w:tc>
        <w:tc>
          <w:tcPr>
            <w:tcW w:w="3984" w:type="dxa"/>
          </w:tcPr>
          <w:p w:rsidR="003441E8" w:rsidRDefault="003441E8" w:rsidP="003441E8">
            <w:pPr>
              <w:tabs>
                <w:tab w:val="left" w:pos="720"/>
              </w:tabs>
              <w:spacing w:before="0"/>
              <w:rPr>
                <w:rFonts w:asciiTheme="majorBidi" w:hAnsiTheme="majorBidi" w:cstheme="majorBidi"/>
                <w:bCs/>
                <w:sz w:val="20"/>
              </w:rPr>
            </w:pPr>
            <w:r w:rsidRPr="00017356">
              <w:rPr>
                <w:rFonts w:asciiTheme="majorBidi" w:hAnsiTheme="majorBidi" w:cstheme="majorBidi"/>
                <w:bCs/>
                <w:sz w:val="20"/>
              </w:rPr>
              <w:t>This TD contains the draft revised terms of reference of JCA-AHF approved by the JCA-AHF by correspondence, and the reports of the recent JCA-AHF meetings (16 September 2016 and 20 January 2017).</w:t>
            </w:r>
          </w:p>
          <w:p w:rsidR="003441E8" w:rsidRPr="00D55AF9" w:rsidRDefault="003441E8" w:rsidP="003441E8">
            <w:pPr>
              <w:tabs>
                <w:tab w:val="left" w:pos="720"/>
              </w:tabs>
              <w:rPr>
                <w:rFonts w:asciiTheme="majorBidi" w:hAnsiTheme="majorBidi" w:cstheme="majorBidi"/>
                <w:bCs/>
                <w:sz w:val="20"/>
                <w:highlight w:val="yellow"/>
              </w:rPr>
            </w:pPr>
            <w:r w:rsidRPr="00017356">
              <w:rPr>
                <w:rFonts w:asciiTheme="majorBidi" w:hAnsiTheme="majorBidi" w:cstheme="majorBidi"/>
                <w:bCs/>
                <w:sz w:val="20"/>
              </w:rPr>
              <w:t>TSAG is invited to approve the modified terms of reference and take note of the reports.</w:t>
            </w:r>
          </w:p>
        </w:tc>
      </w:tr>
      <w:tr w:rsidR="003441E8" w:rsidRPr="00D55AF9" w:rsidTr="0082476D">
        <w:trPr>
          <w:trHeight w:val="20"/>
        </w:trPr>
        <w:tc>
          <w:tcPr>
            <w:tcW w:w="1238" w:type="dxa"/>
          </w:tcPr>
          <w:p w:rsidR="003441E8" w:rsidRPr="00D55AF9" w:rsidRDefault="003441E8" w:rsidP="003441E8">
            <w:pPr>
              <w:spacing w:before="0"/>
              <w:contextualSpacing/>
              <w:rPr>
                <w:rFonts w:asciiTheme="majorBidi" w:eastAsia="SimSun" w:hAnsiTheme="majorBidi" w:cstheme="majorBidi"/>
                <w:bCs/>
                <w:sz w:val="20"/>
                <w:highlight w:val="yellow"/>
              </w:rPr>
            </w:pPr>
          </w:p>
        </w:tc>
        <w:tc>
          <w:tcPr>
            <w:tcW w:w="1118" w:type="dxa"/>
          </w:tcPr>
          <w:p w:rsidR="003441E8" w:rsidRPr="00D55AF9" w:rsidRDefault="00A00E12" w:rsidP="00521901">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w:t>
            </w:r>
            <w:r w:rsidR="00521901">
              <w:rPr>
                <w:rFonts w:asciiTheme="majorBidi" w:eastAsia="SimSun" w:hAnsiTheme="majorBidi" w:cstheme="majorBidi"/>
                <w:bCs/>
                <w:sz w:val="20"/>
              </w:rPr>
              <w:t>7</w:t>
            </w:r>
            <w:r w:rsidR="003441E8">
              <w:rPr>
                <w:rFonts w:asciiTheme="majorBidi" w:eastAsia="SimSun" w:hAnsiTheme="majorBidi" w:cstheme="majorBidi"/>
                <w:bCs/>
                <w:sz w:val="20"/>
              </w:rPr>
              <w:t>.2</w:t>
            </w:r>
          </w:p>
        </w:tc>
        <w:tc>
          <w:tcPr>
            <w:tcW w:w="2434" w:type="dxa"/>
          </w:tcPr>
          <w:p w:rsidR="003441E8" w:rsidRPr="00D55AF9" w:rsidRDefault="003441E8" w:rsidP="003441E8">
            <w:pPr>
              <w:tabs>
                <w:tab w:val="left" w:pos="720"/>
              </w:tabs>
              <w:spacing w:before="0"/>
              <w:rPr>
                <w:bCs/>
                <w:sz w:val="20"/>
              </w:rPr>
            </w:pPr>
            <w:r>
              <w:rPr>
                <w:bCs/>
                <w:sz w:val="20"/>
              </w:rPr>
              <w:t xml:space="preserve">JCA-AHF: </w:t>
            </w:r>
            <w:r w:rsidRPr="00B606F8">
              <w:rPr>
                <w:bCs/>
                <w:sz w:val="20"/>
              </w:rPr>
              <w:t>Call for voluntary contributions to the ITU Accessibility Fund</w:t>
            </w:r>
          </w:p>
        </w:tc>
        <w:tc>
          <w:tcPr>
            <w:tcW w:w="857" w:type="dxa"/>
          </w:tcPr>
          <w:p w:rsidR="003441E8" w:rsidRDefault="002A3C91" w:rsidP="003441E8">
            <w:pPr>
              <w:spacing w:before="0"/>
              <w:jc w:val="center"/>
              <w:rPr>
                <w:bCs/>
                <w:sz w:val="20"/>
                <w:highlight w:val="yellow"/>
              </w:rPr>
            </w:pPr>
            <w:hyperlink r:id="rId20" w:history="1">
              <w:r w:rsidR="003441E8" w:rsidRPr="00825B8B">
                <w:rPr>
                  <w:rStyle w:val="Hyperlink"/>
                  <w:bCs/>
                  <w:sz w:val="20"/>
                </w:rPr>
                <w:t>TD 091</w:t>
              </w:r>
            </w:hyperlink>
          </w:p>
        </w:tc>
        <w:tc>
          <w:tcPr>
            <w:tcW w:w="3984" w:type="dxa"/>
          </w:tcPr>
          <w:p w:rsidR="003441E8" w:rsidRDefault="003441E8" w:rsidP="003441E8">
            <w:pPr>
              <w:tabs>
                <w:tab w:val="left" w:pos="720"/>
              </w:tabs>
              <w:spacing w:before="0"/>
              <w:rPr>
                <w:rFonts w:asciiTheme="majorBidi" w:hAnsiTheme="majorBidi" w:cstheme="majorBidi"/>
                <w:bCs/>
                <w:sz w:val="20"/>
              </w:rPr>
            </w:pPr>
            <w:r w:rsidRPr="00B606F8">
              <w:rPr>
                <w:rFonts w:asciiTheme="majorBidi" w:hAnsiTheme="majorBidi" w:cstheme="majorBidi"/>
                <w:bCs/>
                <w:sz w:val="20"/>
              </w:rPr>
              <w:t>This TD is to disseminate the information and encourage any entities to contribute to the ITU Accessibility Fund managed by ITU General Secretariat.</w:t>
            </w:r>
          </w:p>
          <w:p w:rsidR="003441E8" w:rsidRPr="00D55AF9" w:rsidRDefault="003441E8" w:rsidP="003441E8">
            <w:pPr>
              <w:tabs>
                <w:tab w:val="left" w:pos="720"/>
              </w:tabs>
              <w:rPr>
                <w:rFonts w:asciiTheme="majorBidi" w:hAnsiTheme="majorBidi" w:cstheme="majorBidi"/>
                <w:bCs/>
                <w:sz w:val="20"/>
                <w:highlight w:val="yellow"/>
              </w:rPr>
            </w:pPr>
            <w:r w:rsidRPr="00B606F8">
              <w:rPr>
                <w:rFonts w:asciiTheme="majorBidi" w:hAnsiTheme="majorBidi" w:cstheme="majorBidi"/>
                <w:bCs/>
                <w:sz w:val="20"/>
              </w:rPr>
              <w:t>TSAG to note.</w:t>
            </w:r>
          </w:p>
        </w:tc>
      </w:tr>
      <w:tr w:rsidR="00A00E12" w:rsidRPr="00D55AF9" w:rsidTr="0082476D">
        <w:trPr>
          <w:trHeight w:val="20"/>
        </w:trPr>
        <w:tc>
          <w:tcPr>
            <w:tcW w:w="1238" w:type="dxa"/>
          </w:tcPr>
          <w:p w:rsidR="00A00E12" w:rsidRPr="00D55AF9" w:rsidRDefault="00A00E12" w:rsidP="003441E8">
            <w:pPr>
              <w:spacing w:before="0"/>
              <w:contextualSpacing/>
              <w:rPr>
                <w:rFonts w:asciiTheme="majorBidi" w:eastAsia="SimSun" w:hAnsiTheme="majorBidi" w:cstheme="majorBidi"/>
                <w:bCs/>
                <w:sz w:val="20"/>
                <w:highlight w:val="yellow"/>
              </w:rPr>
            </w:pPr>
          </w:p>
        </w:tc>
        <w:tc>
          <w:tcPr>
            <w:tcW w:w="1118" w:type="dxa"/>
          </w:tcPr>
          <w:p w:rsidR="00A00E12" w:rsidRPr="00A00E12" w:rsidRDefault="00A00E12" w:rsidP="00521901">
            <w:pPr>
              <w:spacing w:before="0"/>
              <w:contextualSpacing/>
              <w:rPr>
                <w:rFonts w:asciiTheme="majorBidi" w:eastAsia="SimSun" w:hAnsiTheme="majorBidi" w:cstheme="majorBidi"/>
                <w:b/>
                <w:sz w:val="20"/>
              </w:rPr>
            </w:pPr>
            <w:r w:rsidRPr="00A00E12">
              <w:rPr>
                <w:rFonts w:asciiTheme="majorBidi" w:eastAsia="SimSun" w:hAnsiTheme="majorBidi" w:cstheme="majorBidi"/>
                <w:b/>
                <w:sz w:val="20"/>
              </w:rPr>
              <w:t>2</w:t>
            </w:r>
            <w:r w:rsidR="00521901">
              <w:rPr>
                <w:rFonts w:asciiTheme="majorBidi" w:eastAsia="SimSun" w:hAnsiTheme="majorBidi" w:cstheme="majorBidi"/>
                <w:b/>
                <w:sz w:val="20"/>
              </w:rPr>
              <w:t>8</w:t>
            </w:r>
          </w:p>
        </w:tc>
        <w:tc>
          <w:tcPr>
            <w:tcW w:w="2434" w:type="dxa"/>
          </w:tcPr>
          <w:p w:rsidR="00A00E12" w:rsidRPr="00A00E12" w:rsidRDefault="00A00E12" w:rsidP="00A00E12">
            <w:pPr>
              <w:tabs>
                <w:tab w:val="left" w:pos="720"/>
              </w:tabs>
              <w:spacing w:before="0"/>
              <w:jc w:val="center"/>
              <w:rPr>
                <w:b/>
                <w:sz w:val="20"/>
              </w:rPr>
            </w:pPr>
            <w:r w:rsidRPr="00A00E12">
              <w:rPr>
                <w:b/>
                <w:sz w:val="20"/>
              </w:rPr>
              <w:t>Big Data (SG13 – SG20)</w:t>
            </w:r>
          </w:p>
        </w:tc>
        <w:tc>
          <w:tcPr>
            <w:tcW w:w="857" w:type="dxa"/>
          </w:tcPr>
          <w:p w:rsidR="00A00E12" w:rsidRDefault="00A00E12" w:rsidP="003441E8">
            <w:pPr>
              <w:spacing w:before="0"/>
              <w:jc w:val="center"/>
            </w:pPr>
          </w:p>
        </w:tc>
        <w:tc>
          <w:tcPr>
            <w:tcW w:w="3984" w:type="dxa"/>
          </w:tcPr>
          <w:p w:rsidR="00A00E12" w:rsidRPr="00B606F8" w:rsidRDefault="00A00E12" w:rsidP="003441E8">
            <w:pPr>
              <w:tabs>
                <w:tab w:val="left" w:pos="720"/>
              </w:tabs>
              <w:spacing w:before="0"/>
              <w:rPr>
                <w:rFonts w:asciiTheme="majorBidi" w:hAnsiTheme="majorBidi" w:cstheme="majorBidi"/>
                <w:bCs/>
                <w:sz w:val="20"/>
              </w:rPr>
            </w:pPr>
          </w:p>
        </w:tc>
      </w:tr>
      <w:tr w:rsidR="00A00E12" w:rsidRPr="00D55AF9" w:rsidTr="0082476D">
        <w:trPr>
          <w:trHeight w:val="20"/>
        </w:trPr>
        <w:tc>
          <w:tcPr>
            <w:tcW w:w="1238" w:type="dxa"/>
          </w:tcPr>
          <w:p w:rsidR="00A00E12" w:rsidRPr="00D55AF9" w:rsidRDefault="00A00E12" w:rsidP="00A00E12">
            <w:pPr>
              <w:spacing w:before="0"/>
              <w:contextualSpacing/>
              <w:rPr>
                <w:rFonts w:asciiTheme="majorBidi" w:eastAsia="SimSun" w:hAnsiTheme="majorBidi" w:cstheme="majorBidi"/>
                <w:b/>
                <w:sz w:val="20"/>
                <w:highlight w:val="yellow"/>
              </w:rPr>
            </w:pPr>
          </w:p>
        </w:tc>
        <w:tc>
          <w:tcPr>
            <w:tcW w:w="1118" w:type="dxa"/>
          </w:tcPr>
          <w:p w:rsidR="00A00E12" w:rsidRPr="00D55AF9" w:rsidRDefault="00A00E12" w:rsidP="00521901">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w:t>
            </w:r>
            <w:r w:rsidR="00521901">
              <w:rPr>
                <w:rFonts w:asciiTheme="majorBidi" w:eastAsia="SimSun" w:hAnsiTheme="majorBidi" w:cstheme="majorBidi"/>
                <w:bCs/>
                <w:sz w:val="20"/>
              </w:rPr>
              <w:t>8</w:t>
            </w:r>
            <w:r>
              <w:rPr>
                <w:rFonts w:asciiTheme="majorBidi" w:eastAsia="SimSun" w:hAnsiTheme="majorBidi" w:cstheme="majorBidi"/>
                <w:bCs/>
                <w:sz w:val="20"/>
              </w:rPr>
              <w:t>.1</w:t>
            </w:r>
          </w:p>
        </w:tc>
        <w:tc>
          <w:tcPr>
            <w:tcW w:w="2434" w:type="dxa"/>
          </w:tcPr>
          <w:p w:rsidR="00A00E12" w:rsidRPr="00D55AF9" w:rsidRDefault="00A00E12" w:rsidP="00A00E12">
            <w:pPr>
              <w:tabs>
                <w:tab w:val="clear" w:pos="794"/>
                <w:tab w:val="clear" w:pos="1191"/>
                <w:tab w:val="clear" w:pos="1588"/>
                <w:tab w:val="clear" w:pos="1985"/>
              </w:tabs>
              <w:spacing w:before="0"/>
              <w:rPr>
                <w:sz w:val="20"/>
              </w:rPr>
            </w:pPr>
            <w:r w:rsidRPr="00D55AF9">
              <w:rPr>
                <w:sz w:val="20"/>
              </w:rPr>
              <w:t>SG13: LS on Lead Study Group Big Data [from ITU-T SG13]</w:t>
            </w:r>
          </w:p>
        </w:tc>
        <w:tc>
          <w:tcPr>
            <w:tcW w:w="857" w:type="dxa"/>
          </w:tcPr>
          <w:p w:rsidR="00A00E12" w:rsidRPr="00D55AF9" w:rsidRDefault="002A3C91" w:rsidP="00A00E12">
            <w:pPr>
              <w:spacing w:before="0"/>
              <w:jc w:val="center"/>
              <w:rPr>
                <w:rFonts w:asciiTheme="majorBidi" w:hAnsiTheme="majorBidi" w:cstheme="majorBidi"/>
                <w:sz w:val="20"/>
              </w:rPr>
            </w:pPr>
            <w:hyperlink r:id="rId21" w:history="1">
              <w:r w:rsidR="00A00E12" w:rsidRPr="00D55AF9">
                <w:rPr>
                  <w:rStyle w:val="Hyperlink"/>
                  <w:rFonts w:asciiTheme="majorBidi" w:hAnsiTheme="majorBidi" w:cstheme="majorBidi"/>
                  <w:sz w:val="20"/>
                </w:rPr>
                <w:t>TD 032</w:t>
              </w:r>
            </w:hyperlink>
          </w:p>
        </w:tc>
        <w:tc>
          <w:tcPr>
            <w:tcW w:w="3984" w:type="dxa"/>
          </w:tcPr>
          <w:p w:rsidR="00A00E12" w:rsidRPr="00D55AF9" w:rsidRDefault="00A00E12" w:rsidP="00A00E12">
            <w:pPr>
              <w:spacing w:before="0"/>
              <w:rPr>
                <w:sz w:val="20"/>
              </w:rPr>
            </w:pPr>
            <w:r w:rsidRPr="00D55AF9">
              <w:rPr>
                <w:rFonts w:asciiTheme="majorBidi" w:hAnsiTheme="majorBidi" w:cstheme="majorBidi"/>
                <w:sz w:val="20"/>
              </w:rPr>
              <w:t xml:space="preserve">SG13 informs on </w:t>
            </w:r>
            <w:r w:rsidRPr="00D55AF9">
              <w:rPr>
                <w:sz w:val="20"/>
              </w:rPr>
              <w:t>its activities related to Big Data standardization.</w:t>
            </w:r>
          </w:p>
          <w:p w:rsidR="00A00E12" w:rsidRPr="00D55AF9" w:rsidRDefault="00A00E12" w:rsidP="00A00E12">
            <w:pPr>
              <w:rPr>
                <w:sz w:val="20"/>
              </w:rPr>
            </w:pPr>
            <w:r w:rsidRPr="00D55AF9">
              <w:rPr>
                <w:sz w:val="20"/>
              </w:rPr>
              <w:t>SG13 requests TSAG to designate SG13 as Lead Study Group on Big Data.</w:t>
            </w:r>
          </w:p>
        </w:tc>
      </w:tr>
      <w:tr w:rsidR="00A00E12" w:rsidRPr="00D55AF9" w:rsidTr="0082476D">
        <w:trPr>
          <w:trHeight w:val="20"/>
        </w:trPr>
        <w:tc>
          <w:tcPr>
            <w:tcW w:w="1238" w:type="dxa"/>
          </w:tcPr>
          <w:p w:rsidR="00A00E12" w:rsidRPr="00D55AF9" w:rsidRDefault="00A00E12" w:rsidP="00A00E12">
            <w:pPr>
              <w:spacing w:before="0"/>
              <w:contextualSpacing/>
              <w:rPr>
                <w:rFonts w:asciiTheme="majorBidi" w:eastAsia="SimSun" w:hAnsiTheme="majorBidi" w:cstheme="majorBidi"/>
                <w:b/>
                <w:sz w:val="20"/>
                <w:highlight w:val="yellow"/>
              </w:rPr>
            </w:pPr>
          </w:p>
        </w:tc>
        <w:tc>
          <w:tcPr>
            <w:tcW w:w="1118" w:type="dxa"/>
          </w:tcPr>
          <w:p w:rsidR="00A00E12" w:rsidRPr="00D55AF9" w:rsidRDefault="00A00E12" w:rsidP="00521901">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w:t>
            </w:r>
            <w:r w:rsidR="00521901">
              <w:rPr>
                <w:rFonts w:asciiTheme="majorBidi" w:eastAsia="SimSun" w:hAnsiTheme="majorBidi" w:cstheme="majorBidi"/>
                <w:bCs/>
                <w:sz w:val="20"/>
              </w:rPr>
              <w:t>8</w:t>
            </w:r>
            <w:r>
              <w:rPr>
                <w:rFonts w:asciiTheme="majorBidi" w:eastAsia="SimSun" w:hAnsiTheme="majorBidi" w:cstheme="majorBidi"/>
                <w:bCs/>
                <w:sz w:val="20"/>
              </w:rPr>
              <w:t>.2</w:t>
            </w:r>
          </w:p>
        </w:tc>
        <w:tc>
          <w:tcPr>
            <w:tcW w:w="2434" w:type="dxa"/>
          </w:tcPr>
          <w:p w:rsidR="00A00E12" w:rsidRPr="00D55AF9" w:rsidRDefault="00A00E12" w:rsidP="00A00E12">
            <w:pPr>
              <w:spacing w:before="0"/>
              <w:rPr>
                <w:sz w:val="20"/>
              </w:rPr>
            </w:pPr>
            <w:r w:rsidRPr="00D55AF9">
              <w:rPr>
                <w:rFonts w:asciiTheme="majorBidi" w:hAnsiTheme="majorBidi" w:cstheme="majorBidi"/>
                <w:sz w:val="20"/>
              </w:rPr>
              <w:t>SG20: LS/r on Lead Study Group Big Data (reply to SG13 - LS 6 -E) [from ITU-T SG20]</w:t>
            </w:r>
          </w:p>
        </w:tc>
        <w:tc>
          <w:tcPr>
            <w:tcW w:w="857" w:type="dxa"/>
          </w:tcPr>
          <w:p w:rsidR="00A00E12" w:rsidRPr="00D55AF9" w:rsidRDefault="002A3C91" w:rsidP="00A00E12">
            <w:pPr>
              <w:spacing w:before="0"/>
              <w:jc w:val="center"/>
              <w:rPr>
                <w:rFonts w:asciiTheme="majorBidi" w:hAnsiTheme="majorBidi" w:cstheme="majorBidi"/>
                <w:sz w:val="20"/>
              </w:rPr>
            </w:pPr>
            <w:hyperlink r:id="rId22" w:history="1">
              <w:r w:rsidR="00A00E12" w:rsidRPr="00D55AF9">
                <w:rPr>
                  <w:rStyle w:val="Hyperlink"/>
                  <w:rFonts w:asciiTheme="majorBidi" w:hAnsiTheme="majorBidi" w:cstheme="majorBidi"/>
                  <w:sz w:val="20"/>
                </w:rPr>
                <w:t>TD 037</w:t>
              </w:r>
            </w:hyperlink>
          </w:p>
        </w:tc>
        <w:tc>
          <w:tcPr>
            <w:tcW w:w="3984" w:type="dxa"/>
          </w:tcPr>
          <w:p w:rsidR="00A00E12" w:rsidRPr="00D55AF9" w:rsidRDefault="00A00E12" w:rsidP="00A00E12">
            <w:pPr>
              <w:spacing w:before="0"/>
              <w:rPr>
                <w:rFonts w:asciiTheme="majorBidi" w:hAnsiTheme="majorBidi" w:cstheme="majorBidi"/>
                <w:sz w:val="20"/>
              </w:rPr>
            </w:pPr>
            <w:r w:rsidRPr="00D55AF9">
              <w:rPr>
                <w:rFonts w:asciiTheme="majorBidi" w:hAnsiTheme="majorBidi" w:cstheme="majorBidi"/>
                <w:sz w:val="20"/>
              </w:rPr>
              <w:t>SG20 requests TSAG not to designate a specific SG as a Lead Study Group on Big Data.</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521901">
            <w:pPr>
              <w:spacing w:before="0"/>
              <w:contextualSpacing/>
              <w:rPr>
                <w:rFonts w:asciiTheme="majorBidi" w:eastAsia="SimSun" w:hAnsiTheme="majorBidi" w:cstheme="majorBidi"/>
                <w:b/>
                <w:sz w:val="20"/>
              </w:rPr>
            </w:pPr>
            <w:r>
              <w:rPr>
                <w:rFonts w:asciiTheme="majorBidi" w:eastAsia="SimSun" w:hAnsiTheme="majorBidi" w:cstheme="majorBidi"/>
                <w:b/>
                <w:sz w:val="20"/>
              </w:rPr>
              <w:t>2</w:t>
            </w:r>
            <w:r w:rsidR="00521901">
              <w:rPr>
                <w:rFonts w:asciiTheme="majorBidi" w:eastAsia="SimSun" w:hAnsiTheme="majorBidi" w:cstheme="majorBidi"/>
                <w:b/>
                <w:sz w:val="20"/>
              </w:rPr>
              <w:t>9</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Reports of TSAG Rapporteur Groups</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521901">
            <w:pPr>
              <w:spacing w:before="0"/>
              <w:contextualSpacing/>
              <w:jc w:val="center"/>
              <w:rPr>
                <w:rFonts w:asciiTheme="majorBidi" w:eastAsia="SimSun" w:hAnsiTheme="majorBidi" w:cstheme="majorBidi"/>
                <w:b/>
                <w:sz w:val="20"/>
                <w:highlight w:val="yellow"/>
              </w:rPr>
            </w:pPr>
            <w:r>
              <w:rPr>
                <w:rFonts w:asciiTheme="majorBidi" w:eastAsia="SimSun" w:hAnsiTheme="majorBidi" w:cstheme="majorBidi"/>
                <w:b/>
                <w:sz w:val="20"/>
              </w:rPr>
              <w:t>2</w:t>
            </w:r>
            <w:r w:rsidR="00521901">
              <w:rPr>
                <w:rFonts w:asciiTheme="majorBidi" w:eastAsia="SimSun" w:hAnsiTheme="majorBidi" w:cstheme="majorBidi"/>
                <w:b/>
                <w:sz w:val="20"/>
              </w:rPr>
              <w:t>9</w:t>
            </w:r>
            <w:r w:rsidR="00D55AF9" w:rsidRPr="00D55AF9">
              <w:rPr>
                <w:rFonts w:asciiTheme="majorBidi" w:eastAsia="SimSun" w:hAnsiTheme="majorBidi" w:cstheme="majorBidi"/>
                <w:b/>
                <w:sz w:val="20"/>
              </w:rPr>
              <w:t>.1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highlight w:val="yellow"/>
              </w:rPr>
            </w:pPr>
            <w:r w:rsidRPr="00D55AF9">
              <w:rPr>
                <w:rFonts w:asciiTheme="majorBidi" w:hAnsiTheme="majorBidi" w:cstheme="majorBidi"/>
                <w:b/>
                <w:bCs/>
                <w:sz w:val="20"/>
              </w:rPr>
              <w:t>TSAG Rapporteur Group on Standardization Strategy (RG-</w:t>
            </w:r>
            <w:r w:rsidR="00087C37">
              <w:rPr>
                <w:rFonts w:asciiTheme="majorBidi" w:hAnsiTheme="majorBidi" w:cstheme="majorBidi"/>
                <w:b/>
                <w:bCs/>
                <w:sz w:val="20"/>
              </w:rPr>
              <w:t>Stds</w:t>
            </w:r>
            <w:r w:rsidRPr="00D55AF9">
              <w:rPr>
                <w:rFonts w:asciiTheme="majorBidi" w:hAnsiTheme="majorBidi" w:cstheme="majorBidi"/>
                <w:b/>
                <w:bCs/>
                <w:sz w:val="20"/>
              </w:rPr>
              <w:t>Strat)</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521901">
            <w:pPr>
              <w:spacing w:before="0"/>
              <w:contextualSpacing/>
              <w:jc w:val="right"/>
              <w:rPr>
                <w:rFonts w:asciiTheme="majorBidi" w:eastAsia="SimSun" w:hAnsiTheme="majorBidi" w:cstheme="majorBidi"/>
                <w:b/>
                <w:sz w:val="20"/>
              </w:rPr>
            </w:pPr>
            <w:r>
              <w:rPr>
                <w:rFonts w:asciiTheme="majorBidi" w:eastAsia="SimSun" w:hAnsiTheme="majorBidi" w:cstheme="majorBidi"/>
                <w:bCs/>
                <w:sz w:val="20"/>
              </w:rPr>
              <w:t>2</w:t>
            </w:r>
            <w:r w:rsidR="00521901">
              <w:rPr>
                <w:rFonts w:asciiTheme="majorBidi" w:eastAsia="SimSun" w:hAnsiTheme="majorBidi" w:cstheme="majorBidi"/>
                <w:bCs/>
                <w:sz w:val="20"/>
              </w:rPr>
              <w:t>9</w:t>
            </w:r>
            <w:r w:rsidR="00D55AF9" w:rsidRPr="00D55AF9">
              <w:rPr>
                <w:rFonts w:asciiTheme="majorBidi" w:eastAsia="SimSun" w:hAnsiTheme="majorBidi" w:cstheme="majorBidi"/>
                <w:bCs/>
                <w:sz w:val="20"/>
              </w:rPr>
              <w:t>.1.1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Standardization Strategy: Report of TSAG Rapporteur Group on Standardization Strategy</w:t>
            </w:r>
          </w:p>
        </w:tc>
        <w:tc>
          <w:tcPr>
            <w:tcW w:w="857" w:type="dxa"/>
          </w:tcPr>
          <w:p w:rsidR="00D55AF9" w:rsidRPr="00D55AF9" w:rsidRDefault="002A3C91" w:rsidP="003C3245">
            <w:pPr>
              <w:spacing w:before="0"/>
              <w:contextualSpacing/>
              <w:jc w:val="center"/>
              <w:rPr>
                <w:rFonts w:asciiTheme="majorBidi" w:hAnsiTheme="majorBidi" w:cstheme="majorBidi"/>
                <w:bCs/>
                <w:sz w:val="20"/>
                <w:highlight w:val="yellow"/>
              </w:rPr>
            </w:pPr>
            <w:hyperlink r:id="rId23" w:history="1">
              <w:r w:rsidR="00345A1C" w:rsidRPr="004D0083">
                <w:rPr>
                  <w:rStyle w:val="Hyperlink"/>
                  <w:rFonts w:asciiTheme="majorBidi" w:hAnsiTheme="majorBidi" w:cstheme="majorBidi"/>
                  <w:bCs/>
                  <w:sz w:val="20"/>
                </w:rPr>
                <w:t>TD 083</w:t>
              </w:r>
            </w:hyperlink>
            <w:r w:rsidR="004D0083" w:rsidRPr="004D0083">
              <w:rPr>
                <w:rStyle w:val="Hyperlink"/>
                <w:rFonts w:asciiTheme="majorBidi" w:hAnsiTheme="majorBidi" w:cstheme="majorBidi"/>
                <w:bCs/>
                <w:sz w:val="20"/>
              </w:rPr>
              <w:t xml:space="preserve"> Rev.1</w:t>
            </w:r>
          </w:p>
        </w:tc>
        <w:tc>
          <w:tcPr>
            <w:tcW w:w="3984" w:type="dxa"/>
          </w:tcPr>
          <w:p w:rsidR="004D0083" w:rsidRPr="004D0083" w:rsidRDefault="004D0083" w:rsidP="009B60F1">
            <w:pPr>
              <w:tabs>
                <w:tab w:val="left" w:pos="0"/>
              </w:tabs>
              <w:spacing w:before="40"/>
              <w:rPr>
                <w:rFonts w:asciiTheme="majorBidi" w:hAnsiTheme="majorBidi" w:cstheme="majorBidi"/>
                <w:sz w:val="20"/>
              </w:rPr>
            </w:pPr>
            <w:r>
              <w:rPr>
                <w:rFonts w:asciiTheme="majorBidi" w:hAnsiTheme="majorBidi" w:cstheme="majorBidi"/>
                <w:b/>
                <w:bCs/>
                <w:sz w:val="20"/>
              </w:rPr>
              <w:t>1)</w:t>
            </w:r>
            <w:r w:rsidRPr="004D0083">
              <w:rPr>
                <w:rFonts w:asciiTheme="majorBidi" w:hAnsiTheme="majorBidi" w:cstheme="majorBidi"/>
                <w:sz w:val="20"/>
              </w:rPr>
              <w:tab/>
            </w:r>
            <w:r w:rsidRPr="004D0083">
              <w:rPr>
                <w:rFonts w:asciiTheme="majorBidi" w:hAnsiTheme="majorBidi" w:cstheme="majorBidi"/>
                <w:b/>
                <w:bCs/>
                <w:sz w:val="20"/>
              </w:rPr>
              <w:t>Action for TSAG to approve</w:t>
            </w:r>
            <w:r w:rsidRPr="004D0083">
              <w:rPr>
                <w:rFonts w:asciiTheme="majorBidi" w:hAnsiTheme="majorBidi" w:cstheme="majorBidi"/>
                <w:sz w:val="20"/>
              </w:rPr>
              <w:t xml:space="preserve"> creation of two new Focus Groups</w:t>
            </w:r>
          </w:p>
          <w:p w:rsidR="004D0083" w:rsidRPr="004D0083" w:rsidRDefault="004D0083" w:rsidP="004D0083">
            <w:pPr>
              <w:tabs>
                <w:tab w:val="left" w:pos="0"/>
              </w:tabs>
              <w:ind w:left="720" w:hanging="360"/>
              <w:rPr>
                <w:rFonts w:asciiTheme="majorBidi" w:hAnsiTheme="majorBidi" w:cstheme="majorBidi"/>
                <w:sz w:val="20"/>
              </w:rPr>
            </w:pPr>
            <w:r w:rsidRPr="004D0083">
              <w:rPr>
                <w:rFonts w:asciiTheme="majorBidi" w:hAnsiTheme="majorBidi" w:cstheme="majorBidi"/>
                <w:sz w:val="20"/>
              </w:rPr>
              <w:t>a)</w:t>
            </w:r>
            <w:r w:rsidRPr="004D0083">
              <w:rPr>
                <w:rFonts w:asciiTheme="majorBidi" w:hAnsiTheme="majorBidi" w:cstheme="majorBidi"/>
                <w:sz w:val="20"/>
              </w:rPr>
              <w:tab/>
              <w:t xml:space="preserve">Proposal for creation of a new Focus Group on Digital Currency including Digital Fiat Currency </w:t>
            </w:r>
            <w:r w:rsidRPr="004D0083">
              <w:rPr>
                <w:rFonts w:asciiTheme="majorBidi" w:hAnsiTheme="majorBidi" w:cstheme="majorBidi"/>
                <w:sz w:val="20"/>
              </w:rPr>
              <w:br/>
              <w:t xml:space="preserve">The proposal for this new Focus Group and terms of references are contained in </w:t>
            </w:r>
            <w:hyperlink r:id="rId24" w:history="1">
              <w:r w:rsidRPr="004D0083">
                <w:rPr>
                  <w:rStyle w:val="Hyperlink"/>
                  <w:rFonts w:asciiTheme="majorBidi" w:hAnsiTheme="majorBidi" w:cstheme="majorBidi"/>
                  <w:sz w:val="20"/>
                </w:rPr>
                <w:t>TD 115 Rev.1</w:t>
              </w:r>
            </w:hyperlink>
            <w:r w:rsidRPr="004D0083">
              <w:rPr>
                <w:rFonts w:asciiTheme="majorBidi" w:hAnsiTheme="majorBidi" w:cstheme="majorBidi"/>
                <w:sz w:val="20"/>
              </w:rPr>
              <w:t>.</w:t>
            </w:r>
          </w:p>
          <w:p w:rsidR="004D0083" w:rsidRPr="004D0083" w:rsidRDefault="004D0083" w:rsidP="004D0083">
            <w:pPr>
              <w:tabs>
                <w:tab w:val="left" w:pos="0"/>
              </w:tabs>
              <w:ind w:left="720" w:hanging="360"/>
              <w:rPr>
                <w:rFonts w:asciiTheme="majorBidi" w:hAnsiTheme="majorBidi" w:cstheme="majorBidi"/>
                <w:sz w:val="20"/>
              </w:rPr>
            </w:pPr>
            <w:r w:rsidRPr="004D0083">
              <w:rPr>
                <w:rFonts w:asciiTheme="majorBidi" w:hAnsiTheme="majorBidi" w:cstheme="majorBidi"/>
                <w:sz w:val="20"/>
              </w:rPr>
              <w:t>b)</w:t>
            </w:r>
            <w:r w:rsidRPr="004D0083">
              <w:rPr>
                <w:rFonts w:asciiTheme="majorBidi" w:hAnsiTheme="majorBidi" w:cstheme="majorBidi"/>
                <w:sz w:val="20"/>
              </w:rPr>
              <w:tab/>
              <w:t xml:space="preserve">Proposal for creation of a new Focus Group on Application of Distributed Ledger Technology (FG-DLT) </w:t>
            </w:r>
            <w:r w:rsidRPr="004D0083">
              <w:rPr>
                <w:rFonts w:asciiTheme="majorBidi" w:hAnsiTheme="majorBidi" w:cstheme="majorBidi"/>
                <w:sz w:val="20"/>
              </w:rPr>
              <w:br/>
              <w:t xml:space="preserve">The proposal for this new Focus Group and terms of references are contained in </w:t>
            </w:r>
            <w:hyperlink r:id="rId25" w:history="1">
              <w:r w:rsidRPr="004D0083">
                <w:rPr>
                  <w:rStyle w:val="Hyperlink"/>
                  <w:rFonts w:asciiTheme="majorBidi" w:hAnsiTheme="majorBidi" w:cstheme="majorBidi"/>
                  <w:sz w:val="20"/>
                </w:rPr>
                <w:t>TD 116</w:t>
              </w:r>
            </w:hyperlink>
            <w:r w:rsidRPr="004D0083">
              <w:rPr>
                <w:rFonts w:asciiTheme="majorBidi" w:hAnsiTheme="majorBidi" w:cstheme="majorBidi"/>
                <w:sz w:val="20"/>
              </w:rPr>
              <w:t>.</w:t>
            </w:r>
          </w:p>
          <w:p w:rsidR="004D0083" w:rsidRPr="004D0083" w:rsidRDefault="004D0083" w:rsidP="004D0083">
            <w:pPr>
              <w:tabs>
                <w:tab w:val="left" w:pos="0"/>
              </w:tabs>
              <w:ind w:left="360" w:hanging="360"/>
              <w:rPr>
                <w:rFonts w:asciiTheme="majorBidi" w:hAnsiTheme="majorBidi" w:cstheme="majorBidi"/>
                <w:sz w:val="20"/>
              </w:rPr>
            </w:pPr>
            <w:r w:rsidRPr="004D0083">
              <w:rPr>
                <w:rFonts w:asciiTheme="majorBidi" w:hAnsiTheme="majorBidi" w:cstheme="majorBidi"/>
                <w:sz w:val="20"/>
              </w:rPr>
              <w:t>2)</w:t>
            </w:r>
            <w:r w:rsidRPr="004D0083">
              <w:rPr>
                <w:rFonts w:asciiTheme="majorBidi" w:hAnsiTheme="majorBidi" w:cstheme="majorBidi"/>
                <w:sz w:val="20"/>
              </w:rPr>
              <w:tab/>
            </w:r>
            <w:r w:rsidRPr="004D0083">
              <w:rPr>
                <w:rFonts w:asciiTheme="majorBidi" w:hAnsiTheme="majorBidi" w:cstheme="majorBidi"/>
                <w:b/>
                <w:bCs/>
                <w:sz w:val="20"/>
              </w:rPr>
              <w:t>Action for TSAG to send</w:t>
            </w:r>
            <w:r w:rsidRPr="004D0083">
              <w:rPr>
                <w:rFonts w:asciiTheme="majorBidi" w:hAnsiTheme="majorBidi" w:cstheme="majorBidi"/>
                <w:sz w:val="20"/>
              </w:rPr>
              <w:t xml:space="preserve"> draft outgoing liaison response statement to ISO/IEC JTC 1, </w:t>
            </w:r>
            <w:r w:rsidRPr="004D0083">
              <w:rPr>
                <w:rFonts w:asciiTheme="majorBidi" w:hAnsiTheme="majorBidi" w:cstheme="majorBidi"/>
                <w:sz w:val="20"/>
              </w:rPr>
              <w:br/>
              <w:t xml:space="preserve">LS/o (draft) on cooperation as contained in TSAG </w:t>
            </w:r>
            <w:hyperlink r:id="rId26" w:history="1">
              <w:r w:rsidRPr="004D0083">
                <w:rPr>
                  <w:rStyle w:val="Hyperlink"/>
                  <w:rFonts w:asciiTheme="majorBidi" w:hAnsiTheme="majorBidi" w:cstheme="majorBidi"/>
                  <w:sz w:val="20"/>
                </w:rPr>
                <w:t>TD 112</w:t>
              </w:r>
            </w:hyperlink>
            <w:r w:rsidRPr="004D0083">
              <w:rPr>
                <w:rFonts w:asciiTheme="majorBidi" w:hAnsiTheme="majorBidi" w:cstheme="majorBidi"/>
                <w:sz w:val="20"/>
              </w:rPr>
              <w:t>.</w:t>
            </w:r>
          </w:p>
          <w:p w:rsidR="004D0083" w:rsidRPr="004D0083" w:rsidRDefault="004D0083" w:rsidP="004D0083">
            <w:pPr>
              <w:keepNext/>
              <w:keepLines/>
              <w:tabs>
                <w:tab w:val="left" w:pos="0"/>
              </w:tabs>
              <w:ind w:left="360" w:hanging="357"/>
              <w:rPr>
                <w:rFonts w:asciiTheme="majorBidi" w:hAnsiTheme="majorBidi" w:cstheme="majorBidi"/>
                <w:sz w:val="20"/>
              </w:rPr>
            </w:pPr>
            <w:r w:rsidRPr="004D0083">
              <w:rPr>
                <w:rFonts w:asciiTheme="majorBidi" w:hAnsiTheme="majorBidi" w:cstheme="majorBidi"/>
                <w:sz w:val="20"/>
              </w:rPr>
              <w:t>3)</w:t>
            </w:r>
            <w:r w:rsidRPr="004D0083">
              <w:rPr>
                <w:rFonts w:asciiTheme="majorBidi" w:hAnsiTheme="majorBidi" w:cstheme="majorBidi"/>
                <w:sz w:val="20"/>
              </w:rPr>
              <w:tab/>
            </w:r>
            <w:r w:rsidRPr="004D0083">
              <w:rPr>
                <w:rFonts w:asciiTheme="majorBidi" w:hAnsiTheme="majorBidi" w:cstheme="majorBidi"/>
                <w:b/>
                <w:bCs/>
                <w:sz w:val="20"/>
              </w:rPr>
              <w:t>Action for TSAG to authorize</w:t>
            </w:r>
            <w:r w:rsidRPr="004D0083">
              <w:rPr>
                <w:rFonts w:asciiTheme="majorBidi" w:hAnsiTheme="majorBidi" w:cstheme="majorBidi"/>
                <w:sz w:val="20"/>
              </w:rPr>
              <w:t xml:space="preserve"> RG-StdsStrat to hold interim F2F and e-Meetings:</w:t>
            </w:r>
          </w:p>
          <w:p w:rsidR="004D0083" w:rsidRPr="004D0083" w:rsidRDefault="004D0083" w:rsidP="004D0083">
            <w:pPr>
              <w:pStyle w:val="ListParagraph"/>
              <w:numPr>
                <w:ilvl w:val="0"/>
                <w:numId w:val="25"/>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 w:val="20"/>
              </w:rPr>
            </w:pPr>
            <w:r w:rsidRPr="004D0083">
              <w:rPr>
                <w:rFonts w:asciiTheme="majorBidi" w:hAnsiTheme="majorBidi" w:cstheme="majorBidi"/>
                <w:sz w:val="20"/>
              </w:rPr>
              <w:t>Meeting towards the end of June/early July 2017 (Exact date TBD) including remote participation</w:t>
            </w:r>
          </w:p>
          <w:p w:rsidR="004D0083" w:rsidRPr="004D0083" w:rsidRDefault="004D0083" w:rsidP="004D0083">
            <w:pPr>
              <w:pStyle w:val="ListParagraph"/>
              <w:numPr>
                <w:ilvl w:val="0"/>
                <w:numId w:val="25"/>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 w:val="20"/>
              </w:rPr>
            </w:pPr>
            <w:r w:rsidRPr="004D0083">
              <w:rPr>
                <w:rFonts w:asciiTheme="majorBidi" w:hAnsiTheme="majorBidi" w:cstheme="majorBidi"/>
                <w:sz w:val="20"/>
              </w:rPr>
              <w:t xml:space="preserve">Back-to-back with 9th CTO group meeting, 24 September 2017 in Busan, Republic of Korea, the venue of ITU Telecom World 2017. Including remote participation. </w:t>
            </w:r>
          </w:p>
          <w:p w:rsidR="004D0083" w:rsidRPr="004D0083" w:rsidRDefault="004D0083" w:rsidP="004D0083">
            <w:pPr>
              <w:pStyle w:val="ListParagraph"/>
              <w:numPr>
                <w:ilvl w:val="0"/>
                <w:numId w:val="25"/>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 w:val="20"/>
              </w:rPr>
            </w:pPr>
            <w:r w:rsidRPr="004D0083">
              <w:rPr>
                <w:rFonts w:asciiTheme="majorBidi" w:hAnsiTheme="majorBidi" w:cstheme="majorBidi"/>
                <w:sz w:val="20"/>
              </w:rPr>
              <w:t>Back-to-back with CxO group meeting for the Arab region is scheduled 7 December 2017 in Dubai, United Arab Emirates. Including remote participation.</w:t>
            </w:r>
          </w:p>
          <w:p w:rsidR="004D0083" w:rsidRPr="004D0083" w:rsidRDefault="004D0083" w:rsidP="004D0083">
            <w:pPr>
              <w:pStyle w:val="ListParagraph"/>
              <w:numPr>
                <w:ilvl w:val="0"/>
                <w:numId w:val="25"/>
              </w:numPr>
              <w:tabs>
                <w:tab w:val="clear" w:pos="794"/>
                <w:tab w:val="clear" w:pos="1191"/>
                <w:tab w:val="clear" w:pos="1588"/>
                <w:tab w:val="clear" w:pos="1985"/>
              </w:tabs>
              <w:overflowPunct/>
              <w:autoSpaceDE/>
              <w:autoSpaceDN/>
              <w:adjustRightInd/>
              <w:spacing w:before="0" w:after="160"/>
              <w:ind w:left="714" w:hanging="357"/>
              <w:contextualSpacing w:val="0"/>
              <w:textAlignment w:val="auto"/>
              <w:rPr>
                <w:rFonts w:asciiTheme="majorBidi" w:hAnsiTheme="majorBidi" w:cstheme="majorBidi"/>
                <w:szCs w:val="24"/>
              </w:rPr>
            </w:pPr>
            <w:r w:rsidRPr="004D0083">
              <w:rPr>
                <w:rFonts w:asciiTheme="majorBidi" w:hAnsiTheme="majorBidi" w:cstheme="majorBidi"/>
                <w:sz w:val="20"/>
              </w:rPr>
              <w:t>Meeting in January 2018 including remote participation.</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521901">
            <w:pPr>
              <w:spacing w:before="0"/>
              <w:contextualSpacing/>
              <w:jc w:val="center"/>
              <w:rPr>
                <w:rFonts w:asciiTheme="majorBidi" w:eastAsia="SimSun" w:hAnsiTheme="majorBidi" w:cstheme="majorBidi"/>
                <w:b/>
                <w:sz w:val="20"/>
                <w:highlight w:val="yellow"/>
              </w:rPr>
            </w:pPr>
            <w:r>
              <w:rPr>
                <w:rFonts w:asciiTheme="majorBidi" w:hAnsiTheme="majorBidi" w:cstheme="majorBidi"/>
                <w:b/>
                <w:bCs/>
                <w:sz w:val="20"/>
              </w:rPr>
              <w:t>2</w:t>
            </w:r>
            <w:r w:rsidR="00521901">
              <w:rPr>
                <w:rFonts w:asciiTheme="majorBidi" w:hAnsiTheme="majorBidi" w:cstheme="majorBidi"/>
                <w:b/>
                <w:bCs/>
                <w:sz w:val="20"/>
              </w:rPr>
              <w:t>9</w:t>
            </w:r>
            <w:r w:rsidR="00D55AF9" w:rsidRPr="00D55AF9">
              <w:rPr>
                <w:rFonts w:asciiTheme="majorBidi" w:hAnsiTheme="majorBidi" w:cstheme="majorBidi"/>
                <w:b/>
                <w:bCs/>
                <w:sz w:val="20"/>
              </w:rPr>
              <w:t>.2</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eastAsia="SimSun" w:hAnsiTheme="majorBidi" w:cstheme="majorBidi"/>
                <w:b/>
                <w:sz w:val="20"/>
                <w:highlight w:val="yellow"/>
              </w:rPr>
            </w:pPr>
            <w:r w:rsidRPr="00D55AF9">
              <w:rPr>
                <w:rFonts w:asciiTheme="majorBidi" w:hAnsiTheme="majorBidi" w:cstheme="majorBidi"/>
                <w:b/>
                <w:bCs/>
                <w:sz w:val="20"/>
              </w:rPr>
              <w:t>TSAG Rapporteur Group on Work Programme (RG-WP)</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521901" w:rsidP="003C3245">
            <w:pPr>
              <w:spacing w:before="0"/>
              <w:contextualSpacing/>
              <w:jc w:val="right"/>
              <w:rPr>
                <w:rFonts w:asciiTheme="majorBidi" w:hAnsiTheme="majorBidi" w:cstheme="majorBidi"/>
                <w:b/>
                <w:bCs/>
                <w:sz w:val="20"/>
              </w:rPr>
            </w:pPr>
            <w:r>
              <w:rPr>
                <w:rFonts w:asciiTheme="majorBidi" w:eastAsia="SimSun" w:hAnsiTheme="majorBidi" w:cstheme="majorBidi"/>
                <w:bCs/>
                <w:sz w:val="20"/>
              </w:rPr>
              <w:t>29</w:t>
            </w:r>
            <w:r w:rsidR="00D55AF9" w:rsidRPr="00D55AF9">
              <w:rPr>
                <w:rFonts w:asciiTheme="majorBidi" w:eastAsia="SimSun" w:hAnsiTheme="majorBidi" w:cstheme="majorBidi"/>
                <w:bCs/>
                <w:sz w:val="20"/>
              </w:rPr>
              <w:t>.2.1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 xml:space="preserve">Chairman, TSAG Rapporteur Group on Work Programme: </w:t>
            </w:r>
            <w:r w:rsidR="00483C7A" w:rsidRPr="00483C7A">
              <w:rPr>
                <w:rFonts w:asciiTheme="majorBidi" w:eastAsia="SimSun" w:hAnsiTheme="majorBidi" w:cstheme="majorBidi"/>
                <w:bCs/>
                <w:sz w:val="20"/>
              </w:rPr>
              <w:t>Draft report of TSAG Rapporteur Group on Work Programme and structure (Geneva, 1-4 May 2017)</w:t>
            </w:r>
          </w:p>
        </w:tc>
        <w:tc>
          <w:tcPr>
            <w:tcW w:w="857" w:type="dxa"/>
          </w:tcPr>
          <w:p w:rsidR="00D55AF9" w:rsidRPr="00D55AF9" w:rsidRDefault="002A3C91" w:rsidP="003C3245">
            <w:pPr>
              <w:spacing w:before="0"/>
              <w:contextualSpacing/>
              <w:jc w:val="center"/>
              <w:rPr>
                <w:rFonts w:asciiTheme="majorBidi" w:hAnsiTheme="majorBidi" w:cstheme="majorBidi"/>
                <w:bCs/>
                <w:sz w:val="20"/>
                <w:highlight w:val="yellow"/>
              </w:rPr>
            </w:pPr>
            <w:hyperlink r:id="rId27" w:history="1">
              <w:r w:rsidR="00345A1C" w:rsidRPr="00483C7A">
                <w:rPr>
                  <w:rStyle w:val="Hyperlink"/>
                  <w:rFonts w:asciiTheme="majorBidi" w:hAnsiTheme="majorBidi" w:cstheme="majorBidi"/>
                  <w:bCs/>
                  <w:sz w:val="20"/>
                </w:rPr>
                <w:t>TD 084</w:t>
              </w:r>
            </w:hyperlink>
          </w:p>
        </w:tc>
        <w:tc>
          <w:tcPr>
            <w:tcW w:w="3984" w:type="dxa"/>
          </w:tcPr>
          <w:p w:rsidR="00287D22" w:rsidRPr="004D0083" w:rsidRDefault="00287D22"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 xml:space="preserve">The meeting updated the terms of reference given in TD99 as in </w:t>
            </w:r>
            <w:r w:rsidRPr="004D0083">
              <w:rPr>
                <w:b/>
                <w:bCs/>
                <w:sz w:val="20"/>
              </w:rPr>
              <w:t>Annex B</w:t>
            </w:r>
            <w:r w:rsidRPr="004D0083">
              <w:rPr>
                <w:sz w:val="20"/>
              </w:rPr>
              <w:t xml:space="preserve"> and requests approval by TSAG.</w:t>
            </w:r>
          </w:p>
          <w:p w:rsidR="00287D22" w:rsidRPr="004D0083" w:rsidRDefault="001226F8"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 xml:space="preserve">TSAG to send a Liaison Statement to all SGs to encourage to review and consider the stale work items (A draft Liaison Statement is contained in </w:t>
            </w:r>
            <w:r w:rsidRPr="004D0083">
              <w:rPr>
                <w:b/>
                <w:bCs/>
                <w:sz w:val="20"/>
              </w:rPr>
              <w:t>Annex C)</w:t>
            </w:r>
          </w:p>
          <w:p w:rsidR="001226F8" w:rsidRPr="004D0083" w:rsidRDefault="00357E50"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to endorse the proposed two new Questions (Q12/3 and Q13/3) with the suggestion to delete the sentence “Other topics may be studied as appropriate, based on contributions.” at the end of the “Tasks” section in both Questions.</w:t>
            </w:r>
          </w:p>
          <w:p w:rsidR="00357E50" w:rsidRPr="004D0083" w:rsidRDefault="00C56E56" w:rsidP="004D0083">
            <w:pPr>
              <w:pStyle w:val="ListParagraph"/>
              <w:numPr>
                <w:ilvl w:val="0"/>
                <w:numId w:val="23"/>
              </w:numPr>
              <w:spacing w:before="60"/>
              <w:ind w:left="357" w:hanging="357"/>
              <w:contextualSpacing w:val="0"/>
              <w:rPr>
                <w:rStyle w:val="Hyperlink"/>
                <w:rFonts w:asciiTheme="majorBidi" w:hAnsiTheme="majorBidi" w:cstheme="majorBidi"/>
                <w:color w:val="auto"/>
                <w:sz w:val="20"/>
                <w:u w:val="none"/>
              </w:rPr>
            </w:pPr>
            <w:r w:rsidRPr="004D0083">
              <w:rPr>
                <w:sz w:val="20"/>
              </w:rPr>
              <w:t xml:space="preserve">TSAG to endorse these revised Questions 19/13, 20/13 and 21/13 in </w:t>
            </w:r>
            <w:hyperlink r:id="rId28" w:history="1">
              <w:r w:rsidRPr="004D0083">
                <w:rPr>
                  <w:rStyle w:val="Hyperlink"/>
                  <w:sz w:val="20"/>
                </w:rPr>
                <w:t>TD34</w:t>
              </w:r>
            </w:hyperlink>
            <w:r w:rsidRPr="004D0083">
              <w:rPr>
                <w:rStyle w:val="Hyperlink"/>
                <w:sz w:val="20"/>
              </w:rPr>
              <w:t>.</w:t>
            </w:r>
          </w:p>
          <w:p w:rsidR="00C56E56" w:rsidRPr="004D0083" w:rsidRDefault="003D14D8" w:rsidP="004D0083">
            <w:pPr>
              <w:pStyle w:val="ListParagraph"/>
              <w:numPr>
                <w:ilvl w:val="0"/>
                <w:numId w:val="23"/>
              </w:numPr>
              <w:spacing w:before="60"/>
              <w:ind w:left="357" w:hanging="357"/>
              <w:contextualSpacing w:val="0"/>
              <w:rPr>
                <w:rStyle w:val="Hyperlink"/>
                <w:rFonts w:asciiTheme="majorBidi" w:hAnsiTheme="majorBidi" w:cstheme="majorBidi"/>
                <w:color w:val="auto"/>
                <w:sz w:val="20"/>
                <w:u w:val="none"/>
              </w:rPr>
            </w:pPr>
            <w:r w:rsidRPr="004D0083">
              <w:rPr>
                <w:sz w:val="20"/>
              </w:rPr>
              <w:t>TSAG to endorse Question 13/17 and revision of Question 6/17 with a suggestion to delete Questions of other SGs from “Questions:” in “4. Relationships” section (</w:t>
            </w:r>
            <w:hyperlink r:id="rId29" w:history="1">
              <w:r w:rsidRPr="004D0083">
                <w:rPr>
                  <w:rStyle w:val="Hyperlink"/>
                  <w:sz w:val="20"/>
                </w:rPr>
                <w:t>TD51</w:t>
              </w:r>
            </w:hyperlink>
            <w:r w:rsidRPr="004D0083">
              <w:rPr>
                <w:rStyle w:val="Hyperlink"/>
                <w:sz w:val="20"/>
              </w:rPr>
              <w:t>).</w:t>
            </w:r>
          </w:p>
          <w:p w:rsidR="003D14D8" w:rsidRPr="004D0083" w:rsidRDefault="00580109" w:rsidP="004D0083">
            <w:pPr>
              <w:pStyle w:val="ListParagraph"/>
              <w:numPr>
                <w:ilvl w:val="0"/>
                <w:numId w:val="23"/>
              </w:numPr>
              <w:spacing w:before="60"/>
              <w:ind w:left="357" w:hanging="357"/>
              <w:contextualSpacing w:val="0"/>
              <w:rPr>
                <w:rStyle w:val="Hyperlink"/>
                <w:rFonts w:asciiTheme="majorBidi" w:hAnsiTheme="majorBidi" w:cstheme="majorBidi"/>
                <w:color w:val="auto"/>
                <w:sz w:val="20"/>
                <w:u w:val="none"/>
              </w:rPr>
            </w:pPr>
            <w:r w:rsidRPr="004D0083">
              <w:rPr>
                <w:sz w:val="20"/>
              </w:rPr>
              <w:t>TSAG to endorse the revised set of seven Questions of SG20 (</w:t>
            </w:r>
            <w:hyperlink r:id="rId30" w:history="1">
              <w:r w:rsidRPr="004D0083">
                <w:rPr>
                  <w:rStyle w:val="Hyperlink"/>
                  <w:sz w:val="20"/>
                </w:rPr>
                <w:t>TD40</w:t>
              </w:r>
            </w:hyperlink>
            <w:r w:rsidRPr="004D0083">
              <w:rPr>
                <w:rStyle w:val="Hyperlink"/>
                <w:sz w:val="20"/>
              </w:rPr>
              <w:t xml:space="preserve">, </w:t>
            </w:r>
            <w:hyperlink r:id="rId31" w:history="1">
              <w:r w:rsidRPr="004D0083">
                <w:rPr>
                  <w:rStyle w:val="Hyperlink"/>
                  <w:sz w:val="20"/>
                </w:rPr>
                <w:t>TD96</w:t>
              </w:r>
            </w:hyperlink>
            <w:r w:rsidRPr="004D0083">
              <w:rPr>
                <w:rStyle w:val="Hyperlink"/>
                <w:sz w:val="20"/>
              </w:rPr>
              <w:t>).</w:t>
            </w:r>
          </w:p>
          <w:p w:rsidR="00580109" w:rsidRPr="004D0083" w:rsidRDefault="00580109"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is requested to approve a liaison statement on the issue to all SGs (</w:t>
            </w:r>
            <w:r w:rsidRPr="004D0083">
              <w:rPr>
                <w:b/>
                <w:bCs/>
                <w:sz w:val="20"/>
              </w:rPr>
              <w:t>Annex C</w:t>
            </w:r>
            <w:r w:rsidRPr="004D0083">
              <w:rPr>
                <w:sz w:val="20"/>
              </w:rPr>
              <w:t>).</w:t>
            </w:r>
          </w:p>
          <w:p w:rsidR="00580109" w:rsidRPr="004D0083" w:rsidRDefault="001955E2"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to approve continuation of JCA-COP.</w:t>
            </w:r>
          </w:p>
          <w:p w:rsidR="001955E2" w:rsidRPr="004D0083" w:rsidRDefault="00A05479"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to endorse the creation of the new JCA on e-services (</w:t>
            </w:r>
            <w:hyperlink r:id="rId32" w:history="1">
              <w:r w:rsidRPr="004D0083">
                <w:rPr>
                  <w:rStyle w:val="Hyperlink"/>
                  <w:sz w:val="20"/>
                </w:rPr>
                <w:t>TD22</w:t>
              </w:r>
            </w:hyperlink>
            <w:r w:rsidRPr="004D0083">
              <w:rPr>
                <w:rStyle w:val="Hyperlink"/>
                <w:sz w:val="20"/>
              </w:rPr>
              <w:t>)</w:t>
            </w:r>
            <w:r w:rsidRPr="004D0083">
              <w:rPr>
                <w:sz w:val="20"/>
              </w:rPr>
              <w:t>.</w:t>
            </w:r>
          </w:p>
          <w:p w:rsidR="00A05479" w:rsidRPr="004D0083" w:rsidRDefault="00FF0291"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to approve continuation of JCA-IDM (</w:t>
            </w:r>
            <w:hyperlink r:id="rId33" w:history="1">
              <w:r w:rsidRPr="004D0083">
                <w:rPr>
                  <w:rStyle w:val="Hyperlink"/>
                  <w:sz w:val="20"/>
                </w:rPr>
                <w:t>TD43</w:t>
              </w:r>
            </w:hyperlink>
            <w:r w:rsidRPr="004D0083">
              <w:rPr>
                <w:sz w:val="20"/>
              </w:rPr>
              <w:t>).</w:t>
            </w:r>
          </w:p>
          <w:p w:rsidR="00FF0291" w:rsidRPr="004D0083" w:rsidRDefault="001A7EE6"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to approve continuation JCA on IoT and SC&amp;C (</w:t>
            </w:r>
            <w:hyperlink r:id="rId34" w:history="1">
              <w:r w:rsidRPr="004D0083">
                <w:rPr>
                  <w:rStyle w:val="Hyperlink"/>
                  <w:sz w:val="20"/>
                </w:rPr>
                <w:t>TD97</w:t>
              </w:r>
            </w:hyperlink>
            <w:r w:rsidRPr="004D0083">
              <w:rPr>
                <w:sz w:val="20"/>
              </w:rPr>
              <w:t>).</w:t>
            </w:r>
          </w:p>
          <w:p w:rsidR="001A7EE6" w:rsidRPr="004D0083" w:rsidRDefault="00DD54EF"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to endorse new JCA on IMT-2020 (</w:t>
            </w:r>
            <w:hyperlink r:id="rId35" w:history="1">
              <w:r w:rsidR="008636D5" w:rsidRPr="004D0083">
                <w:rPr>
                  <w:rStyle w:val="Hyperlink"/>
                  <w:sz w:val="20"/>
                </w:rPr>
                <w:t>TD31</w:t>
              </w:r>
            </w:hyperlink>
            <w:r w:rsidR="008636D5" w:rsidRPr="004D0083">
              <w:rPr>
                <w:rStyle w:val="Hyperlink"/>
                <w:sz w:val="20"/>
              </w:rPr>
              <w:t xml:space="preserve">, </w:t>
            </w:r>
            <w:hyperlink r:id="rId36" w:history="1">
              <w:r w:rsidR="008636D5" w:rsidRPr="004D0083">
                <w:rPr>
                  <w:rStyle w:val="Hyperlink"/>
                  <w:sz w:val="20"/>
                </w:rPr>
                <w:t>TD59</w:t>
              </w:r>
            </w:hyperlink>
            <w:r w:rsidRPr="004D0083">
              <w:rPr>
                <w:sz w:val="20"/>
              </w:rPr>
              <w:t>).</w:t>
            </w:r>
          </w:p>
          <w:p w:rsidR="008636D5" w:rsidRPr="004D0083" w:rsidRDefault="00BE271C"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TSAG to approve continuation JCA-SDN with revised ToR (</w:t>
            </w:r>
            <w:hyperlink r:id="rId37" w:history="1">
              <w:r w:rsidRPr="004D0083">
                <w:rPr>
                  <w:rStyle w:val="Hyperlink"/>
                  <w:rFonts w:asciiTheme="majorBidi" w:hAnsiTheme="majorBidi" w:cstheme="majorBidi"/>
                  <w:sz w:val="20"/>
                </w:rPr>
                <w:t>TD33</w:t>
              </w:r>
            </w:hyperlink>
            <w:r w:rsidRPr="004D0083">
              <w:rPr>
                <w:sz w:val="20"/>
              </w:rPr>
              <w:t>).</w:t>
            </w:r>
          </w:p>
          <w:p w:rsidR="00BE271C" w:rsidRPr="004D0083" w:rsidRDefault="00BE271C" w:rsidP="004D0083">
            <w:pPr>
              <w:pStyle w:val="ListParagraph"/>
              <w:numPr>
                <w:ilvl w:val="0"/>
                <w:numId w:val="23"/>
              </w:numPr>
              <w:spacing w:before="60"/>
              <w:ind w:left="357" w:hanging="357"/>
              <w:contextualSpacing w:val="0"/>
              <w:rPr>
                <w:rFonts w:asciiTheme="majorBidi" w:hAnsiTheme="majorBidi" w:cstheme="majorBidi"/>
                <w:sz w:val="20"/>
              </w:rPr>
            </w:pPr>
            <w:r w:rsidRPr="004D0083">
              <w:rPr>
                <w:sz w:val="20"/>
              </w:rPr>
              <w:t xml:space="preserve">TSAG </w:t>
            </w:r>
            <w:proofErr w:type="gramStart"/>
            <w:r w:rsidRPr="004D0083">
              <w:rPr>
                <w:sz w:val="20"/>
              </w:rPr>
              <w:t>to</w:t>
            </w:r>
            <w:proofErr w:type="gramEnd"/>
            <w:r w:rsidRPr="004D0083">
              <w:rPr>
                <w:sz w:val="20"/>
              </w:rPr>
              <w:t xml:space="preserve"> briefly to close JCA-Res178.</w:t>
            </w:r>
          </w:p>
          <w:p w:rsidR="00BE271C" w:rsidRPr="004D0083" w:rsidRDefault="00BE271C" w:rsidP="004D0083">
            <w:pPr>
              <w:pStyle w:val="ListParagraph"/>
              <w:numPr>
                <w:ilvl w:val="0"/>
                <w:numId w:val="23"/>
              </w:numPr>
              <w:spacing w:before="60"/>
              <w:ind w:left="357" w:hanging="357"/>
              <w:contextualSpacing w:val="0"/>
              <w:rPr>
                <w:rFonts w:asciiTheme="majorBidi" w:hAnsiTheme="majorBidi" w:cstheme="majorBidi"/>
                <w:sz w:val="20"/>
              </w:rPr>
            </w:pPr>
            <w:r w:rsidRPr="004D0083">
              <w:rPr>
                <w:rFonts w:asciiTheme="majorBidi" w:hAnsiTheme="majorBidi" w:cstheme="majorBidi"/>
                <w:sz w:val="20"/>
              </w:rPr>
              <w:t>TSAG to send liaison statement on output reports from FG-DFS (</w:t>
            </w:r>
            <w:r w:rsidRPr="004D0083">
              <w:rPr>
                <w:b/>
                <w:bCs/>
                <w:sz w:val="20"/>
              </w:rPr>
              <w:t>Annex D</w:t>
            </w:r>
            <w:r w:rsidRPr="004D0083">
              <w:rPr>
                <w:rFonts w:asciiTheme="majorBidi" w:hAnsiTheme="majorBidi" w:cstheme="majorBidi"/>
                <w:sz w:val="20"/>
              </w:rPr>
              <w:t>)</w:t>
            </w:r>
          </w:p>
          <w:p w:rsidR="00BE271C" w:rsidRPr="004D0083" w:rsidRDefault="00BE271C" w:rsidP="004D0083">
            <w:pPr>
              <w:pStyle w:val="ListParagraph"/>
              <w:numPr>
                <w:ilvl w:val="0"/>
                <w:numId w:val="23"/>
              </w:numPr>
              <w:spacing w:before="60"/>
              <w:ind w:left="357" w:hanging="357"/>
              <w:contextualSpacing w:val="0"/>
              <w:rPr>
                <w:rStyle w:val="Hyperlink"/>
                <w:rFonts w:asciiTheme="majorBidi" w:hAnsiTheme="majorBidi" w:cstheme="majorBidi"/>
                <w:color w:val="auto"/>
                <w:sz w:val="20"/>
                <w:u w:val="none"/>
              </w:rPr>
            </w:pPr>
            <w:r w:rsidRPr="004D0083">
              <w:rPr>
                <w:rFonts w:asciiTheme="majorBidi" w:hAnsiTheme="majorBidi" w:cstheme="majorBidi"/>
                <w:sz w:val="20"/>
              </w:rPr>
              <w:t xml:space="preserve">TSAG </w:t>
            </w:r>
            <w:r w:rsidRPr="004D0083">
              <w:rPr>
                <w:sz w:val="20"/>
              </w:rPr>
              <w:t xml:space="preserve">to consider </w:t>
            </w:r>
            <w:hyperlink r:id="rId38" w:history="1">
              <w:r w:rsidRPr="004D0083">
                <w:rPr>
                  <w:rStyle w:val="Hyperlink"/>
                  <w:sz w:val="20"/>
                </w:rPr>
                <w:t>TD56</w:t>
              </w:r>
            </w:hyperlink>
            <w:r w:rsidRPr="004D0083">
              <w:rPr>
                <w:rStyle w:val="Hyperlink"/>
                <w:sz w:val="20"/>
              </w:rPr>
              <w:t>.</w:t>
            </w:r>
          </w:p>
          <w:p w:rsidR="00287D22" w:rsidRPr="004D0083" w:rsidRDefault="00BE271C" w:rsidP="004D0083">
            <w:pPr>
              <w:pStyle w:val="ListParagraph"/>
              <w:numPr>
                <w:ilvl w:val="0"/>
                <w:numId w:val="23"/>
              </w:numPr>
              <w:spacing w:before="60"/>
              <w:ind w:left="357" w:hanging="357"/>
              <w:contextualSpacing w:val="0"/>
              <w:rPr>
                <w:rFonts w:asciiTheme="majorBidi" w:hAnsiTheme="majorBidi" w:cstheme="majorBidi"/>
                <w:szCs w:val="24"/>
              </w:rPr>
            </w:pPr>
            <w:r w:rsidRPr="004D0083">
              <w:rPr>
                <w:sz w:val="20"/>
              </w:rPr>
              <w:t>TSAG should send a Liaison Statement to TDAG asking help to increase responses since TDAG/ITU-D may have more channels to developing countries.</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521901" w:rsidP="003C3245">
            <w:pPr>
              <w:spacing w:before="0"/>
              <w:contextualSpacing/>
              <w:jc w:val="center"/>
              <w:rPr>
                <w:rFonts w:asciiTheme="majorBidi" w:hAnsiTheme="majorBidi" w:cstheme="majorBidi"/>
                <w:b/>
                <w:bCs/>
                <w:sz w:val="20"/>
              </w:rPr>
            </w:pPr>
            <w:r>
              <w:rPr>
                <w:rFonts w:asciiTheme="majorBidi" w:eastAsia="SimSun" w:hAnsiTheme="majorBidi" w:cstheme="majorBidi"/>
                <w:b/>
                <w:sz w:val="20"/>
              </w:rPr>
              <w:t>29</w:t>
            </w:r>
            <w:r w:rsidR="00DD5D6C">
              <w:rPr>
                <w:rFonts w:asciiTheme="majorBidi" w:eastAsia="SimSun" w:hAnsiTheme="majorBidi" w:cstheme="majorBidi"/>
                <w:b/>
                <w:sz w:val="20"/>
              </w:rPr>
              <w:t>.</w:t>
            </w:r>
            <w:r w:rsidR="00D55AF9" w:rsidRPr="00D55AF9">
              <w:rPr>
                <w:rFonts w:asciiTheme="majorBidi" w:eastAsia="SimSun" w:hAnsiTheme="majorBidi" w:cstheme="majorBidi"/>
                <w:b/>
                <w:sz w:val="20"/>
              </w:rPr>
              <w:t>3</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TSAG Rapporteur Group on Working Methods (RG-WM)</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521901" w:rsidP="003C324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29</w:t>
            </w:r>
            <w:r w:rsidR="00D55AF9" w:rsidRPr="00D55AF9">
              <w:rPr>
                <w:rFonts w:asciiTheme="majorBidi" w:eastAsia="SimSun" w:hAnsiTheme="majorBidi" w:cstheme="majorBidi"/>
                <w:bCs/>
                <w:sz w:val="20"/>
              </w:rPr>
              <w:t>.3.1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working methods: Report of TSAG Rapporteur Group on working methods</w:t>
            </w:r>
          </w:p>
        </w:tc>
        <w:tc>
          <w:tcPr>
            <w:tcW w:w="857" w:type="dxa"/>
          </w:tcPr>
          <w:p w:rsidR="00D55AF9" w:rsidRPr="00D55AF9" w:rsidRDefault="002A3C91" w:rsidP="003C3245">
            <w:pPr>
              <w:spacing w:before="0"/>
              <w:contextualSpacing/>
              <w:jc w:val="center"/>
              <w:rPr>
                <w:rFonts w:asciiTheme="majorBidi" w:hAnsiTheme="majorBidi" w:cstheme="majorBidi"/>
                <w:bCs/>
                <w:sz w:val="20"/>
              </w:rPr>
            </w:pPr>
            <w:hyperlink r:id="rId39" w:history="1">
              <w:r w:rsidR="00345A1C" w:rsidRPr="00364483">
                <w:rPr>
                  <w:rStyle w:val="Hyperlink"/>
                  <w:rFonts w:asciiTheme="majorBidi" w:hAnsiTheme="majorBidi" w:cstheme="majorBidi"/>
                  <w:bCs/>
                  <w:sz w:val="20"/>
                </w:rPr>
                <w:t>TD 085</w:t>
              </w:r>
            </w:hyperlink>
          </w:p>
        </w:tc>
        <w:tc>
          <w:tcPr>
            <w:tcW w:w="3984" w:type="dxa"/>
          </w:tcPr>
          <w:p w:rsidR="00A45FAE" w:rsidRPr="00364483" w:rsidRDefault="00A45FAE" w:rsidP="00A45FAE">
            <w:pPr>
              <w:rPr>
                <w:sz w:val="20"/>
              </w:rPr>
            </w:pPr>
            <w:r w:rsidRPr="00364483">
              <w:rPr>
                <w:sz w:val="20"/>
              </w:rPr>
              <w:t>TSAG to authorize two e-Meetings with the terms of reference and dates as follows:</w:t>
            </w:r>
          </w:p>
          <w:p w:rsidR="00A45FAE" w:rsidRPr="00364483" w:rsidRDefault="00A45FAE" w:rsidP="00A45FAE">
            <w:pPr>
              <w:pStyle w:val="ListParagraph"/>
              <w:numPr>
                <w:ilvl w:val="0"/>
                <w:numId w:val="24"/>
              </w:numPr>
              <w:tabs>
                <w:tab w:val="clear" w:pos="794"/>
                <w:tab w:val="clear" w:pos="1191"/>
                <w:tab w:val="clear" w:pos="1588"/>
                <w:tab w:val="clear" w:pos="1985"/>
              </w:tabs>
              <w:overflowPunct/>
              <w:autoSpaceDE/>
              <w:autoSpaceDN/>
              <w:adjustRightInd/>
              <w:contextualSpacing w:val="0"/>
              <w:textAlignment w:val="auto"/>
              <w:rPr>
                <w:sz w:val="20"/>
              </w:rPr>
            </w:pPr>
            <w:r w:rsidRPr="00364483">
              <w:rPr>
                <w:sz w:val="20"/>
              </w:rPr>
              <w:t>Review the Rapporteur and Editor’s Manual (late September 2017)</w:t>
            </w:r>
          </w:p>
          <w:p w:rsidR="00A45FAE" w:rsidRPr="00364483" w:rsidRDefault="00A45FAE" w:rsidP="00364483">
            <w:pPr>
              <w:pStyle w:val="ListParagraph"/>
              <w:numPr>
                <w:ilvl w:val="0"/>
                <w:numId w:val="24"/>
              </w:numPr>
              <w:tabs>
                <w:tab w:val="clear" w:pos="794"/>
                <w:tab w:val="clear" w:pos="1191"/>
                <w:tab w:val="clear" w:pos="1588"/>
                <w:tab w:val="clear" w:pos="1985"/>
              </w:tabs>
              <w:overflowPunct/>
              <w:autoSpaceDE/>
              <w:autoSpaceDN/>
              <w:adjustRightInd/>
              <w:contextualSpacing w:val="0"/>
              <w:textAlignment w:val="auto"/>
            </w:pPr>
            <w:r w:rsidRPr="00364483">
              <w:rPr>
                <w:sz w:val="20"/>
              </w:rPr>
              <w:t>Start review of ITU-T A.1, ITU-T A.13 and Resolution 1 to address Contribution (</w:t>
            </w:r>
            <w:hyperlink r:id="rId40" w:history="1">
              <w:r w:rsidRPr="00364483">
                <w:rPr>
                  <w:rStyle w:val="Hyperlink"/>
                  <w:sz w:val="20"/>
                </w:rPr>
                <w:t>C017</w:t>
              </w:r>
            </w:hyperlink>
            <w:r w:rsidRPr="00364483">
              <w:rPr>
                <w:sz w:val="20"/>
              </w:rPr>
              <w:t>) from USA. (early December 2017)</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521901" w:rsidP="003C3245">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29</w:t>
            </w:r>
            <w:r w:rsidR="00D55AF9" w:rsidRPr="00D55AF9">
              <w:rPr>
                <w:rFonts w:asciiTheme="majorBidi" w:eastAsia="SimSun" w:hAnsiTheme="majorBidi" w:cstheme="majorBidi"/>
                <w:b/>
                <w:sz w:val="20"/>
              </w:rPr>
              <w:t>.4</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TSAG Rapporteur Group on Strengthening Cooperation (RG-SC)</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521901" w:rsidP="003C324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29</w:t>
            </w:r>
            <w:r w:rsidR="00D55AF9" w:rsidRPr="00D55AF9">
              <w:rPr>
                <w:rFonts w:asciiTheme="majorBidi" w:eastAsia="SimSun" w:hAnsiTheme="majorBidi" w:cstheme="majorBidi"/>
                <w:bCs/>
                <w:sz w:val="20"/>
              </w:rPr>
              <w:t>.4.1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eastAsia="SimSun" w:hAnsiTheme="majorBidi" w:cstheme="majorBidi"/>
                <w:b/>
                <w:sz w:val="20"/>
              </w:rPr>
            </w:pPr>
            <w:r w:rsidRPr="00D55AF9">
              <w:rPr>
                <w:rFonts w:asciiTheme="majorBidi" w:eastAsia="SimSun" w:hAnsiTheme="majorBidi" w:cstheme="majorBidi"/>
                <w:bCs/>
                <w:sz w:val="20"/>
              </w:rPr>
              <w:t>Chairman, TSAG Rapporteur Group “Strengthening Collaboration”: Report of TSAG Rapporteur Group “Strengthening Collaboration” meeting</w:t>
            </w:r>
          </w:p>
        </w:tc>
        <w:tc>
          <w:tcPr>
            <w:tcW w:w="857" w:type="dxa"/>
          </w:tcPr>
          <w:p w:rsidR="00D55AF9" w:rsidRPr="00D55AF9" w:rsidRDefault="002A3C91" w:rsidP="003C3245">
            <w:pPr>
              <w:spacing w:before="0"/>
              <w:contextualSpacing/>
              <w:jc w:val="center"/>
              <w:rPr>
                <w:rFonts w:asciiTheme="majorBidi" w:hAnsiTheme="majorBidi" w:cstheme="majorBidi"/>
                <w:bCs/>
                <w:sz w:val="20"/>
              </w:rPr>
            </w:pPr>
            <w:hyperlink r:id="rId41" w:history="1">
              <w:r w:rsidR="00345A1C" w:rsidRPr="00345A1C">
                <w:rPr>
                  <w:rStyle w:val="Hyperlink"/>
                  <w:rFonts w:asciiTheme="majorBidi" w:hAnsiTheme="majorBidi" w:cstheme="majorBidi"/>
                  <w:bCs/>
                  <w:sz w:val="20"/>
                  <w:highlight w:val="yellow"/>
                </w:rPr>
                <w:t>TD 086</w:t>
              </w:r>
            </w:hyperlink>
          </w:p>
        </w:tc>
        <w:tc>
          <w:tcPr>
            <w:tcW w:w="3984" w:type="dxa"/>
          </w:tcPr>
          <w:p w:rsidR="007C75D1" w:rsidRPr="009B60F1" w:rsidRDefault="007C75D1" w:rsidP="007C75D1">
            <w:pPr>
              <w:numPr>
                <w:ilvl w:val="0"/>
                <w:numId w:val="26"/>
              </w:numPr>
              <w:tabs>
                <w:tab w:val="clear" w:pos="794"/>
                <w:tab w:val="clear" w:pos="1191"/>
                <w:tab w:val="clear" w:pos="1588"/>
                <w:tab w:val="clear" w:pos="1985"/>
                <w:tab w:val="left" w:pos="0"/>
              </w:tabs>
              <w:rPr>
                <w:sz w:val="20"/>
              </w:rPr>
            </w:pPr>
            <w:r w:rsidRPr="009B60F1">
              <w:rPr>
                <w:b/>
                <w:bCs/>
                <w:sz w:val="20"/>
              </w:rPr>
              <w:t>Action for TSAG to send</w:t>
            </w:r>
            <w:r w:rsidRPr="009B60F1">
              <w:rPr>
                <w:sz w:val="20"/>
              </w:rPr>
              <w:t xml:space="preserve"> four outgoing liaison statements:</w:t>
            </w:r>
          </w:p>
          <w:p w:rsidR="007C75D1" w:rsidRPr="009B60F1" w:rsidRDefault="007C75D1" w:rsidP="007C75D1">
            <w:pPr>
              <w:numPr>
                <w:ilvl w:val="1"/>
                <w:numId w:val="26"/>
              </w:numPr>
              <w:tabs>
                <w:tab w:val="clear" w:pos="794"/>
                <w:tab w:val="clear" w:pos="1191"/>
                <w:tab w:val="clear" w:pos="1588"/>
                <w:tab w:val="clear" w:pos="1985"/>
                <w:tab w:val="left" w:pos="570"/>
              </w:tabs>
              <w:overflowPunct/>
              <w:autoSpaceDE/>
              <w:autoSpaceDN/>
              <w:adjustRightInd/>
              <w:textAlignment w:val="auto"/>
              <w:rPr>
                <w:rStyle w:val="Hyperlink"/>
                <w:sz w:val="20"/>
              </w:rPr>
            </w:pPr>
            <w:r w:rsidRPr="009B60F1">
              <w:rPr>
                <w:sz w:val="20"/>
              </w:rPr>
              <w:t xml:space="preserve">Draft LS/o on ITU inter-Sector coordination [to ISCT, TDAG, ITU-D SGs, RAG, ITU-R SGs, </w:t>
            </w:r>
            <w:proofErr w:type="gramStart"/>
            <w:r w:rsidRPr="009B60F1">
              <w:rPr>
                <w:sz w:val="20"/>
              </w:rPr>
              <w:t>ITU</w:t>
            </w:r>
            <w:proofErr w:type="gramEnd"/>
            <w:r w:rsidRPr="009B60F1">
              <w:rPr>
                <w:sz w:val="20"/>
              </w:rPr>
              <w:t xml:space="preserve">-T SGs] in </w:t>
            </w:r>
            <w:hyperlink r:id="rId42" w:history="1">
              <w:r w:rsidRPr="009B60F1">
                <w:rPr>
                  <w:rStyle w:val="Hyperlink"/>
                  <w:sz w:val="20"/>
                </w:rPr>
                <w:t>TD 102</w:t>
              </w:r>
            </w:hyperlink>
            <w:r w:rsidRPr="009B60F1">
              <w:rPr>
                <w:rStyle w:val="Hyperlink"/>
                <w:sz w:val="20"/>
              </w:rPr>
              <w:t xml:space="preserve"> Rev.1.</w:t>
            </w:r>
          </w:p>
          <w:p w:rsidR="007C75D1" w:rsidRPr="009B60F1" w:rsidRDefault="007C75D1" w:rsidP="007C75D1">
            <w:pPr>
              <w:numPr>
                <w:ilvl w:val="1"/>
                <w:numId w:val="26"/>
              </w:numPr>
              <w:tabs>
                <w:tab w:val="clear" w:pos="794"/>
                <w:tab w:val="clear" w:pos="1191"/>
                <w:tab w:val="clear" w:pos="1588"/>
                <w:tab w:val="clear" w:pos="1985"/>
                <w:tab w:val="left" w:pos="570"/>
              </w:tabs>
              <w:overflowPunct/>
              <w:autoSpaceDE/>
              <w:autoSpaceDN/>
              <w:adjustRightInd/>
              <w:textAlignment w:val="auto"/>
              <w:rPr>
                <w:rStyle w:val="Hyperlink"/>
                <w:sz w:val="20"/>
              </w:rPr>
            </w:pPr>
            <w:r w:rsidRPr="009B60F1">
              <w:rPr>
                <w:sz w:val="20"/>
              </w:rPr>
              <w:t xml:space="preserve">Draft LS/o on the IAB statement on IPv6 in </w:t>
            </w:r>
            <w:hyperlink r:id="rId43" w:history="1">
              <w:r w:rsidRPr="009B60F1">
                <w:rPr>
                  <w:rStyle w:val="Hyperlink"/>
                  <w:sz w:val="20"/>
                </w:rPr>
                <w:t>TD 113</w:t>
              </w:r>
            </w:hyperlink>
            <w:r w:rsidRPr="009B60F1">
              <w:rPr>
                <w:rStyle w:val="Hyperlink"/>
                <w:sz w:val="20"/>
              </w:rPr>
              <w:t>.</w:t>
            </w:r>
          </w:p>
          <w:p w:rsidR="007C75D1" w:rsidRPr="009B60F1" w:rsidRDefault="007C75D1" w:rsidP="007C75D1">
            <w:pPr>
              <w:numPr>
                <w:ilvl w:val="1"/>
                <w:numId w:val="26"/>
              </w:numPr>
              <w:tabs>
                <w:tab w:val="clear" w:pos="794"/>
                <w:tab w:val="clear" w:pos="1191"/>
                <w:tab w:val="clear" w:pos="1588"/>
                <w:tab w:val="clear" w:pos="1985"/>
                <w:tab w:val="left" w:pos="570"/>
              </w:tabs>
              <w:overflowPunct/>
              <w:autoSpaceDE/>
              <w:autoSpaceDN/>
              <w:adjustRightInd/>
              <w:textAlignment w:val="auto"/>
              <w:rPr>
                <w:rStyle w:val="Hyperlink"/>
                <w:sz w:val="20"/>
              </w:rPr>
            </w:pPr>
            <w:r w:rsidRPr="009B60F1">
              <w:rPr>
                <w:sz w:val="20"/>
              </w:rPr>
              <w:t xml:space="preserve">Draft LS/o on Open Source in </w:t>
            </w:r>
            <w:hyperlink r:id="rId44" w:history="1">
              <w:r w:rsidRPr="009B60F1">
                <w:rPr>
                  <w:rStyle w:val="Hyperlink"/>
                  <w:sz w:val="20"/>
                </w:rPr>
                <w:t>TD 117 Rev.1</w:t>
              </w:r>
            </w:hyperlink>
            <w:r w:rsidRPr="009B60F1">
              <w:rPr>
                <w:rStyle w:val="Hyperlink"/>
                <w:sz w:val="20"/>
              </w:rPr>
              <w:t>.</w:t>
            </w:r>
          </w:p>
          <w:p w:rsidR="007C75D1" w:rsidRPr="009B60F1" w:rsidRDefault="007C75D1" w:rsidP="007C75D1">
            <w:pPr>
              <w:numPr>
                <w:ilvl w:val="1"/>
                <w:numId w:val="26"/>
              </w:numPr>
              <w:tabs>
                <w:tab w:val="clear" w:pos="794"/>
                <w:tab w:val="clear" w:pos="1191"/>
                <w:tab w:val="clear" w:pos="1588"/>
                <w:tab w:val="clear" w:pos="1985"/>
                <w:tab w:val="left" w:pos="570"/>
              </w:tabs>
              <w:overflowPunct/>
              <w:autoSpaceDE/>
              <w:autoSpaceDN/>
              <w:adjustRightInd/>
              <w:textAlignment w:val="auto"/>
              <w:rPr>
                <w:rStyle w:val="Hyperlink"/>
                <w:sz w:val="20"/>
              </w:rPr>
            </w:pPr>
            <w:r w:rsidRPr="009B60F1">
              <w:rPr>
                <w:sz w:val="20"/>
              </w:rPr>
              <w:t xml:space="preserve">Draft LS/o on List of collaboration mechanisms in ITU-T in </w:t>
            </w:r>
            <w:hyperlink r:id="rId45" w:history="1">
              <w:r w:rsidRPr="009B60F1">
                <w:rPr>
                  <w:rStyle w:val="Hyperlink"/>
                  <w:sz w:val="20"/>
                </w:rPr>
                <w:t>TD 118</w:t>
              </w:r>
            </w:hyperlink>
            <w:r w:rsidRPr="009B60F1">
              <w:rPr>
                <w:sz w:val="20"/>
              </w:rPr>
              <w:t>.</w:t>
            </w:r>
          </w:p>
          <w:p w:rsidR="007C75D1" w:rsidRPr="009B60F1" w:rsidRDefault="007C75D1" w:rsidP="007C75D1">
            <w:pPr>
              <w:tabs>
                <w:tab w:val="left" w:pos="570"/>
              </w:tabs>
              <w:spacing w:before="240"/>
              <w:ind w:left="360" w:hanging="360"/>
              <w:rPr>
                <w:sz w:val="20"/>
              </w:rPr>
            </w:pPr>
            <w:r w:rsidRPr="009B60F1">
              <w:rPr>
                <w:sz w:val="20"/>
              </w:rPr>
              <w:t>2)</w:t>
            </w:r>
            <w:r w:rsidRPr="009B60F1">
              <w:rPr>
                <w:sz w:val="20"/>
              </w:rPr>
              <w:tab/>
              <w:t>TSAG to seek a candidate to be appointed as ITU-T representative to IEC/SEG 8.</w:t>
            </w:r>
          </w:p>
          <w:p w:rsidR="007C75D1" w:rsidRPr="007C75D1" w:rsidRDefault="007C75D1" w:rsidP="007C75D1">
            <w:pPr>
              <w:tabs>
                <w:tab w:val="left" w:pos="570"/>
              </w:tabs>
              <w:spacing w:before="240"/>
              <w:ind w:left="360" w:hanging="360"/>
            </w:pPr>
            <w:r w:rsidRPr="009B60F1">
              <w:rPr>
                <w:sz w:val="20"/>
              </w:rPr>
              <w:t>3)</w:t>
            </w:r>
            <w:r w:rsidRPr="009B60F1">
              <w:rPr>
                <w:sz w:val="20"/>
              </w:rPr>
              <w:tab/>
              <w:t>TSAG to seek a candidate liaison officer to be appointed from ITU-T to ISO/IEC JTC 1.</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521901" w:rsidP="003C3245">
            <w:pPr>
              <w:spacing w:before="0"/>
              <w:contextualSpacing/>
              <w:jc w:val="center"/>
              <w:rPr>
                <w:rFonts w:asciiTheme="majorBidi" w:eastAsia="SimSun" w:hAnsiTheme="majorBidi" w:cstheme="majorBidi"/>
                <w:b/>
                <w:sz w:val="20"/>
                <w:highlight w:val="yellow"/>
              </w:rPr>
            </w:pPr>
            <w:r>
              <w:rPr>
                <w:rFonts w:asciiTheme="majorBidi" w:eastAsia="SimSun" w:hAnsiTheme="majorBidi" w:cstheme="majorBidi"/>
                <w:b/>
                <w:sz w:val="20"/>
              </w:rPr>
              <w:t>29</w:t>
            </w:r>
            <w:r w:rsidR="00D55AF9" w:rsidRPr="00D55AF9">
              <w:rPr>
                <w:rFonts w:asciiTheme="majorBidi" w:eastAsia="SimSun" w:hAnsiTheme="majorBidi" w:cstheme="majorBidi"/>
                <w:b/>
                <w:sz w:val="20"/>
              </w:rPr>
              <w:t>.5</w:t>
            </w:r>
          </w:p>
        </w:tc>
        <w:tc>
          <w:tcPr>
            <w:tcW w:w="2434" w:type="dxa"/>
          </w:tcPr>
          <w:p w:rsidR="00D55AF9" w:rsidRPr="00D55AF9" w:rsidRDefault="00D55AF9" w:rsidP="003C3245">
            <w:pPr>
              <w:spacing w:before="0"/>
              <w:rPr>
                <w:rFonts w:asciiTheme="majorBidi" w:hAnsiTheme="majorBidi" w:cstheme="majorBidi"/>
                <w:sz w:val="20"/>
                <w:highlight w:val="yellow"/>
              </w:rPr>
            </w:pPr>
            <w:r w:rsidRPr="00D55AF9">
              <w:rPr>
                <w:rFonts w:asciiTheme="majorBidi" w:hAnsiTheme="majorBidi" w:cstheme="majorBidi"/>
                <w:b/>
                <w:bCs/>
                <w:sz w:val="20"/>
              </w:rPr>
              <w:t>TSAG Rapporteur Group on Strategic and Operational Plan (RG-SOP)</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521901" w:rsidP="003C3245">
            <w:pPr>
              <w:spacing w:before="0"/>
              <w:contextualSpacing/>
              <w:jc w:val="right"/>
              <w:rPr>
                <w:rFonts w:asciiTheme="majorBidi" w:eastAsia="SimSun" w:hAnsiTheme="majorBidi" w:cstheme="majorBidi"/>
                <w:b/>
                <w:sz w:val="20"/>
                <w:highlight w:val="yellow"/>
              </w:rPr>
            </w:pPr>
            <w:r>
              <w:rPr>
                <w:rFonts w:asciiTheme="majorBidi" w:eastAsia="SimSun" w:hAnsiTheme="majorBidi" w:cstheme="majorBidi"/>
                <w:bCs/>
                <w:sz w:val="20"/>
              </w:rPr>
              <w:t>29</w:t>
            </w:r>
            <w:r w:rsidR="00D55AF9" w:rsidRPr="00D55AF9">
              <w:rPr>
                <w:rFonts w:asciiTheme="majorBidi" w:eastAsia="SimSun" w:hAnsiTheme="majorBidi" w:cstheme="majorBidi"/>
                <w:bCs/>
                <w:sz w:val="20"/>
              </w:rPr>
              <w:t>.5.1</w:t>
            </w:r>
          </w:p>
        </w:tc>
        <w:tc>
          <w:tcPr>
            <w:tcW w:w="2434" w:type="dxa"/>
          </w:tcPr>
          <w:p w:rsidR="00D55AF9" w:rsidRPr="00D55AF9" w:rsidRDefault="00D55AF9" w:rsidP="003C3245">
            <w:pPr>
              <w:spacing w:before="0"/>
              <w:rPr>
                <w:rFonts w:asciiTheme="majorBidi" w:hAnsiTheme="majorBidi" w:cstheme="majorBidi"/>
                <w:b/>
                <w:sz w:val="20"/>
                <w:highlight w:val="yellow"/>
              </w:rPr>
            </w:pPr>
            <w:r w:rsidRPr="00D55AF9">
              <w:rPr>
                <w:rFonts w:asciiTheme="majorBidi" w:eastAsia="SimSun" w:hAnsiTheme="majorBidi" w:cstheme="majorBidi"/>
                <w:bCs/>
                <w:sz w:val="20"/>
              </w:rPr>
              <w:t>Chairman, TSAG Rapporteur Group “Strategic and Operational Plan”: Report of TSAG Rapporteur Group “Strategic and Operational Plan” meeting</w:t>
            </w:r>
          </w:p>
        </w:tc>
        <w:tc>
          <w:tcPr>
            <w:tcW w:w="857" w:type="dxa"/>
          </w:tcPr>
          <w:p w:rsidR="00D55AF9" w:rsidRPr="00D55AF9" w:rsidRDefault="002A3C91" w:rsidP="003C3245">
            <w:pPr>
              <w:spacing w:before="0"/>
              <w:contextualSpacing/>
              <w:jc w:val="center"/>
              <w:rPr>
                <w:rFonts w:asciiTheme="majorBidi" w:hAnsiTheme="majorBidi" w:cstheme="majorBidi"/>
                <w:bCs/>
                <w:sz w:val="20"/>
                <w:highlight w:val="yellow"/>
              </w:rPr>
            </w:pPr>
            <w:hyperlink r:id="rId46" w:history="1">
              <w:r w:rsidR="00345A1C" w:rsidRPr="00345A1C">
                <w:rPr>
                  <w:rStyle w:val="Hyperlink"/>
                  <w:rFonts w:asciiTheme="majorBidi" w:hAnsiTheme="majorBidi" w:cstheme="majorBidi"/>
                  <w:bCs/>
                  <w:sz w:val="20"/>
                  <w:highlight w:val="yellow"/>
                </w:rPr>
                <w:t>TD 087</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81742D" w:rsidRPr="00D55AF9" w:rsidTr="0082476D">
        <w:trPr>
          <w:trHeight w:val="20"/>
        </w:trPr>
        <w:tc>
          <w:tcPr>
            <w:tcW w:w="1238" w:type="dxa"/>
          </w:tcPr>
          <w:p w:rsidR="0081742D" w:rsidRPr="00D55AF9" w:rsidRDefault="0081742D" w:rsidP="003C3245">
            <w:pPr>
              <w:spacing w:before="0"/>
              <w:contextualSpacing/>
              <w:jc w:val="center"/>
              <w:rPr>
                <w:rFonts w:asciiTheme="majorBidi" w:eastAsia="SimSun" w:hAnsiTheme="majorBidi" w:cstheme="majorBidi"/>
                <w:b/>
                <w:sz w:val="20"/>
              </w:rPr>
            </w:pPr>
          </w:p>
        </w:tc>
        <w:tc>
          <w:tcPr>
            <w:tcW w:w="1118" w:type="dxa"/>
          </w:tcPr>
          <w:p w:rsidR="0081742D" w:rsidRDefault="0081742D"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30</w:t>
            </w:r>
          </w:p>
        </w:tc>
        <w:tc>
          <w:tcPr>
            <w:tcW w:w="2434" w:type="dxa"/>
          </w:tcPr>
          <w:p w:rsidR="0081742D" w:rsidRPr="00D55AF9" w:rsidRDefault="0081742D" w:rsidP="00EE3A30">
            <w:pPr>
              <w:pStyle w:val="Default"/>
              <w:rPr>
                <w:rFonts w:asciiTheme="majorBidi" w:eastAsia="SimSun" w:hAnsiTheme="majorBidi" w:cstheme="majorBidi"/>
                <w:b/>
                <w:color w:val="auto"/>
                <w:sz w:val="20"/>
                <w:szCs w:val="20"/>
                <w:lang w:eastAsia="en-US"/>
              </w:rPr>
            </w:pPr>
            <w:r>
              <w:rPr>
                <w:rFonts w:asciiTheme="majorBidi" w:eastAsia="SimSun" w:hAnsiTheme="majorBidi" w:cstheme="majorBidi"/>
                <w:b/>
                <w:color w:val="auto"/>
                <w:sz w:val="20"/>
                <w:szCs w:val="20"/>
                <w:lang w:eastAsia="en-US"/>
              </w:rPr>
              <w:t>Additional actions</w:t>
            </w:r>
            <w:r w:rsidR="00EE3A30">
              <w:rPr>
                <w:rFonts w:asciiTheme="majorBidi" w:eastAsia="SimSun" w:hAnsiTheme="majorBidi" w:cstheme="majorBidi"/>
                <w:b/>
                <w:color w:val="auto"/>
                <w:sz w:val="20"/>
                <w:szCs w:val="20"/>
                <w:lang w:eastAsia="en-US"/>
              </w:rPr>
              <w:t xml:space="preserve"> to be undertaken by TSAG</w:t>
            </w:r>
          </w:p>
        </w:tc>
        <w:tc>
          <w:tcPr>
            <w:tcW w:w="857" w:type="dxa"/>
          </w:tcPr>
          <w:p w:rsidR="0081742D" w:rsidRPr="00D55AF9" w:rsidRDefault="0081742D" w:rsidP="003C3245">
            <w:pPr>
              <w:spacing w:before="0"/>
              <w:contextualSpacing/>
              <w:jc w:val="center"/>
              <w:rPr>
                <w:rFonts w:asciiTheme="majorBidi" w:hAnsiTheme="majorBidi" w:cstheme="majorBidi"/>
                <w:bCs/>
                <w:sz w:val="20"/>
              </w:rPr>
            </w:pPr>
          </w:p>
        </w:tc>
        <w:tc>
          <w:tcPr>
            <w:tcW w:w="3984" w:type="dxa"/>
          </w:tcPr>
          <w:p w:rsidR="0081742D" w:rsidRPr="00D55AF9" w:rsidRDefault="009B60F1"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Pr>
                <w:rFonts w:asciiTheme="majorBidi" w:eastAsia="SimSun" w:hAnsiTheme="majorBidi" w:cstheme="majorBidi"/>
                <w:bCs/>
                <w:sz w:val="20"/>
              </w:rPr>
              <w:t>Oral presentation by TSAG Chairman</w:t>
            </w:r>
          </w:p>
        </w:tc>
      </w:tr>
      <w:tr w:rsidR="0024456E" w:rsidRPr="00D55AF9" w:rsidTr="0082476D">
        <w:trPr>
          <w:trHeight w:val="20"/>
        </w:trPr>
        <w:tc>
          <w:tcPr>
            <w:tcW w:w="1238" w:type="dxa"/>
          </w:tcPr>
          <w:p w:rsidR="0024456E" w:rsidRPr="00CB5FB0" w:rsidRDefault="0024456E" w:rsidP="003C3245">
            <w:pPr>
              <w:spacing w:before="0"/>
              <w:contextualSpacing/>
              <w:jc w:val="center"/>
              <w:rPr>
                <w:rFonts w:asciiTheme="majorBidi" w:eastAsia="SimSun" w:hAnsiTheme="majorBidi" w:cstheme="majorBidi"/>
                <w:b/>
                <w:sz w:val="20"/>
              </w:rPr>
            </w:pPr>
          </w:p>
        </w:tc>
        <w:tc>
          <w:tcPr>
            <w:tcW w:w="1118" w:type="dxa"/>
          </w:tcPr>
          <w:p w:rsidR="0024456E" w:rsidRPr="00CB5FB0" w:rsidRDefault="0024456E" w:rsidP="0024456E">
            <w:pPr>
              <w:spacing w:before="0"/>
              <w:contextualSpacing/>
              <w:jc w:val="center"/>
              <w:rPr>
                <w:rFonts w:asciiTheme="majorBidi" w:eastAsia="SimSun" w:hAnsiTheme="majorBidi" w:cstheme="majorBidi"/>
                <w:bCs/>
                <w:sz w:val="20"/>
              </w:rPr>
            </w:pPr>
            <w:r w:rsidRPr="00CB5FB0">
              <w:rPr>
                <w:rFonts w:asciiTheme="majorBidi" w:eastAsia="SimSun" w:hAnsiTheme="majorBidi" w:cstheme="majorBidi"/>
                <w:bCs/>
                <w:sz w:val="20"/>
              </w:rPr>
              <w:t>30.1</w:t>
            </w:r>
          </w:p>
        </w:tc>
        <w:tc>
          <w:tcPr>
            <w:tcW w:w="2434" w:type="dxa"/>
          </w:tcPr>
          <w:p w:rsidR="0024456E" w:rsidRPr="00CB5FB0" w:rsidRDefault="00CB5FB0" w:rsidP="00EE3A30">
            <w:pPr>
              <w:pStyle w:val="Default"/>
              <w:rPr>
                <w:rFonts w:asciiTheme="majorBidi" w:eastAsia="SimSun" w:hAnsiTheme="majorBidi" w:cstheme="majorBidi"/>
                <w:bCs/>
                <w:color w:val="auto"/>
                <w:sz w:val="20"/>
                <w:szCs w:val="20"/>
                <w:lang w:eastAsia="en-US"/>
              </w:rPr>
            </w:pPr>
            <w:r w:rsidRPr="00CB5FB0">
              <w:rPr>
                <w:rFonts w:asciiTheme="majorBidi" w:eastAsia="SimSun" w:hAnsiTheme="majorBidi" w:cstheme="majorBidi"/>
                <w:bCs/>
                <w:color w:val="auto"/>
                <w:sz w:val="20"/>
                <w:szCs w:val="20"/>
                <w:lang w:eastAsia="en-US"/>
              </w:rPr>
              <w:t>TSAG Chairman: Draft LS/o to ISO/IEC JTC 1 on cooperation</w:t>
            </w:r>
          </w:p>
        </w:tc>
        <w:tc>
          <w:tcPr>
            <w:tcW w:w="857" w:type="dxa"/>
          </w:tcPr>
          <w:p w:rsidR="0024456E" w:rsidRPr="00CB5FB0" w:rsidRDefault="002A3C91" w:rsidP="003C3245">
            <w:pPr>
              <w:spacing w:before="0"/>
              <w:contextualSpacing/>
              <w:jc w:val="center"/>
              <w:rPr>
                <w:rFonts w:asciiTheme="majorBidi" w:hAnsiTheme="majorBidi" w:cstheme="majorBidi"/>
                <w:bCs/>
                <w:sz w:val="20"/>
              </w:rPr>
            </w:pPr>
            <w:hyperlink r:id="rId47" w:history="1">
              <w:r w:rsidR="00CB5FB0" w:rsidRPr="00CB5FB0">
                <w:rPr>
                  <w:rStyle w:val="Hyperlink"/>
                  <w:rFonts w:asciiTheme="majorBidi" w:hAnsiTheme="majorBidi" w:cstheme="majorBidi"/>
                  <w:bCs/>
                  <w:sz w:val="20"/>
                </w:rPr>
                <w:t>TD 112</w:t>
              </w:r>
            </w:hyperlink>
          </w:p>
        </w:tc>
        <w:tc>
          <w:tcPr>
            <w:tcW w:w="3984" w:type="dxa"/>
          </w:tcPr>
          <w:p w:rsidR="0024456E" w:rsidRPr="00F94F4C" w:rsidRDefault="00CB5FB0"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F94F4C">
              <w:rPr>
                <w:rFonts w:asciiTheme="majorBidi" w:eastAsia="SimSun" w:hAnsiTheme="majorBidi" w:cstheme="majorBidi"/>
                <w:bCs/>
                <w:sz w:val="20"/>
              </w:rPr>
              <w:t>TSAG to approve TD 112.</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81742D"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31</w:t>
            </w:r>
          </w:p>
        </w:tc>
        <w:tc>
          <w:tcPr>
            <w:tcW w:w="2434" w:type="dxa"/>
          </w:tcPr>
          <w:p w:rsidR="00D55AF9" w:rsidRPr="00D55AF9" w:rsidRDefault="00D55AF9" w:rsidP="003C3245">
            <w:pPr>
              <w:pStyle w:val="Default"/>
              <w:rPr>
                <w:rFonts w:asciiTheme="majorBidi" w:eastAsia="SimSun" w:hAnsiTheme="majorBidi" w:cstheme="majorBidi"/>
                <w:b/>
                <w:color w:val="auto"/>
                <w:sz w:val="20"/>
                <w:szCs w:val="20"/>
                <w:lang w:eastAsia="en-US"/>
              </w:rPr>
            </w:pPr>
            <w:r w:rsidRPr="00D55AF9">
              <w:rPr>
                <w:rFonts w:asciiTheme="majorBidi" w:eastAsia="SimSun" w:hAnsiTheme="majorBidi" w:cstheme="majorBidi"/>
                <w:b/>
                <w:color w:val="auto"/>
                <w:sz w:val="20"/>
                <w:szCs w:val="20"/>
                <w:lang w:eastAsia="en-US"/>
              </w:rPr>
              <w:t>ITU-T meeting schedule including date of next TSAG meeting(s)</w:t>
            </w:r>
          </w:p>
        </w:tc>
        <w:tc>
          <w:tcPr>
            <w:tcW w:w="857" w:type="dxa"/>
          </w:tcPr>
          <w:p w:rsidR="00D55AF9" w:rsidRPr="00D55AF9" w:rsidRDefault="00D55AF9" w:rsidP="003C3245">
            <w:pPr>
              <w:spacing w:before="0"/>
              <w:contextualSpacing/>
              <w:jc w:val="center"/>
              <w:rPr>
                <w:rFonts w:asciiTheme="majorBidi" w:hAnsiTheme="majorBidi" w:cstheme="majorBidi"/>
                <w:bCs/>
                <w:sz w:val="20"/>
              </w:rPr>
            </w:pPr>
          </w:p>
        </w:tc>
        <w:tc>
          <w:tcPr>
            <w:tcW w:w="3984" w:type="dxa"/>
          </w:tcPr>
          <w:p w:rsidR="008F2671" w:rsidRPr="00D55AF9" w:rsidRDefault="008F2671" w:rsidP="008F2671">
            <w:pPr>
              <w:tabs>
                <w:tab w:val="clear" w:pos="794"/>
                <w:tab w:val="clear" w:pos="1191"/>
                <w:tab w:val="clear" w:pos="1588"/>
                <w:tab w:val="clear" w:pos="1985"/>
              </w:tabs>
              <w:spacing w:before="0"/>
              <w:contextualSpacing/>
              <w:rPr>
                <w:rFonts w:asciiTheme="majorBidi" w:eastAsia="SimSun" w:hAnsiTheme="majorBidi" w:cstheme="majorBidi"/>
                <w:bCs/>
                <w:sz w:val="20"/>
              </w:rPr>
            </w:pPr>
            <w:r>
              <w:rPr>
                <w:rFonts w:asciiTheme="majorBidi" w:eastAsia="SimSun" w:hAnsiTheme="majorBidi" w:cstheme="majorBidi"/>
                <w:bCs/>
                <w:sz w:val="20"/>
              </w:rPr>
              <w:t>The next TSAG meeting wa</w:t>
            </w:r>
            <w:r w:rsidR="00D55AF9" w:rsidRPr="00D55AF9">
              <w:rPr>
                <w:rFonts w:asciiTheme="majorBidi" w:eastAsia="SimSun" w:hAnsiTheme="majorBidi" w:cstheme="majorBidi"/>
                <w:bCs/>
                <w:sz w:val="20"/>
              </w:rPr>
              <w:t xml:space="preserve">s proposed to be scheduled </w:t>
            </w:r>
            <w:r w:rsidR="00D55AF9" w:rsidRPr="008F2671">
              <w:rPr>
                <w:rFonts w:asciiTheme="majorBidi" w:eastAsia="SimSun" w:hAnsiTheme="majorBidi" w:cstheme="majorBidi"/>
                <w:bCs/>
                <w:sz w:val="20"/>
              </w:rPr>
              <w:t>Tuesday 13 – Friday 16 March</w:t>
            </w:r>
            <w:r>
              <w:rPr>
                <w:rFonts w:asciiTheme="majorBidi" w:eastAsia="SimSun" w:hAnsiTheme="majorBidi" w:cstheme="majorBidi"/>
                <w:bCs/>
                <w:sz w:val="20"/>
              </w:rPr>
              <w:t xml:space="preserve"> 2018, but alternative date </w:t>
            </w:r>
            <w:r w:rsidR="00EE71A7">
              <w:rPr>
                <w:rFonts w:asciiTheme="majorBidi" w:eastAsia="SimSun" w:hAnsiTheme="majorBidi" w:cstheme="majorBidi"/>
                <w:bCs/>
                <w:sz w:val="20"/>
              </w:rPr>
              <w:t xml:space="preserve">Monday </w:t>
            </w:r>
            <w:r>
              <w:rPr>
                <w:rFonts w:asciiTheme="majorBidi" w:eastAsia="SimSun" w:hAnsiTheme="majorBidi" w:cstheme="majorBidi"/>
                <w:bCs/>
                <w:sz w:val="20"/>
              </w:rPr>
              <w:t xml:space="preserve">15 – </w:t>
            </w:r>
            <w:r w:rsidR="00EE71A7">
              <w:rPr>
                <w:rFonts w:asciiTheme="majorBidi" w:eastAsia="SimSun" w:hAnsiTheme="majorBidi" w:cstheme="majorBidi"/>
                <w:bCs/>
                <w:sz w:val="20"/>
              </w:rPr>
              <w:t xml:space="preserve">Friday </w:t>
            </w:r>
            <w:r>
              <w:rPr>
                <w:rFonts w:asciiTheme="majorBidi" w:eastAsia="SimSun" w:hAnsiTheme="majorBidi" w:cstheme="majorBidi"/>
                <w:bCs/>
                <w:sz w:val="20"/>
              </w:rPr>
              <w:t>19 January 2018 might be possible.</w:t>
            </w:r>
          </w:p>
        </w:tc>
      </w:tr>
      <w:tr w:rsidR="00BD729A" w:rsidRPr="00D55AF9" w:rsidTr="0082476D">
        <w:trPr>
          <w:trHeight w:val="20"/>
        </w:trPr>
        <w:tc>
          <w:tcPr>
            <w:tcW w:w="1238" w:type="dxa"/>
          </w:tcPr>
          <w:p w:rsidR="00BD729A" w:rsidRPr="00D55AF9" w:rsidRDefault="00BD729A" w:rsidP="003C3245">
            <w:pPr>
              <w:spacing w:before="0"/>
              <w:contextualSpacing/>
              <w:jc w:val="center"/>
              <w:rPr>
                <w:rFonts w:asciiTheme="majorBidi" w:eastAsia="SimSun" w:hAnsiTheme="majorBidi" w:cstheme="majorBidi"/>
                <w:b/>
                <w:sz w:val="20"/>
              </w:rPr>
            </w:pPr>
          </w:p>
        </w:tc>
        <w:tc>
          <w:tcPr>
            <w:tcW w:w="1118" w:type="dxa"/>
          </w:tcPr>
          <w:p w:rsidR="00BD729A" w:rsidRPr="00BD729A" w:rsidRDefault="00521901" w:rsidP="0081742D">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3</w:t>
            </w:r>
            <w:r w:rsidR="0081742D">
              <w:rPr>
                <w:rFonts w:asciiTheme="majorBidi" w:eastAsia="SimSun" w:hAnsiTheme="majorBidi" w:cstheme="majorBidi"/>
                <w:bCs/>
                <w:sz w:val="20"/>
              </w:rPr>
              <w:t>1</w:t>
            </w:r>
            <w:r w:rsidR="00BD729A" w:rsidRPr="00BD729A">
              <w:rPr>
                <w:rFonts w:asciiTheme="majorBidi" w:eastAsia="SimSun" w:hAnsiTheme="majorBidi" w:cstheme="majorBidi"/>
                <w:bCs/>
                <w:sz w:val="20"/>
              </w:rPr>
              <w:t>.1</w:t>
            </w:r>
          </w:p>
        </w:tc>
        <w:tc>
          <w:tcPr>
            <w:tcW w:w="2434" w:type="dxa"/>
          </w:tcPr>
          <w:p w:rsidR="00BD729A" w:rsidRPr="00BD729A" w:rsidRDefault="00D32EEB" w:rsidP="00D32EEB">
            <w:pPr>
              <w:spacing w:before="0"/>
              <w:rPr>
                <w:rFonts w:asciiTheme="majorBidi" w:eastAsia="SimSun" w:hAnsiTheme="majorBidi" w:cstheme="majorBidi"/>
                <w:bCs/>
                <w:sz w:val="20"/>
              </w:rPr>
            </w:pPr>
            <w:r>
              <w:rPr>
                <w:rFonts w:asciiTheme="majorBidi" w:eastAsia="SimSun" w:hAnsiTheme="majorBidi" w:cstheme="majorBidi"/>
                <w:bCs/>
                <w:sz w:val="20"/>
              </w:rPr>
              <w:t xml:space="preserve">TSB Dir: </w:t>
            </w:r>
            <w:r w:rsidRPr="00D32EEB">
              <w:rPr>
                <w:rFonts w:asciiTheme="majorBidi" w:eastAsia="SimSun" w:hAnsiTheme="majorBidi" w:cstheme="majorBidi"/>
                <w:bCs/>
                <w:sz w:val="20"/>
              </w:rPr>
              <w:t>Schedule of ITU-T meetings May 2017 – December 2018</w:t>
            </w:r>
          </w:p>
        </w:tc>
        <w:tc>
          <w:tcPr>
            <w:tcW w:w="857" w:type="dxa"/>
          </w:tcPr>
          <w:p w:rsidR="00BD729A" w:rsidRPr="00D55AF9" w:rsidRDefault="002A3C91" w:rsidP="00847CD5">
            <w:pPr>
              <w:spacing w:before="0"/>
              <w:contextualSpacing/>
              <w:jc w:val="center"/>
              <w:rPr>
                <w:rFonts w:asciiTheme="majorBidi" w:hAnsiTheme="majorBidi" w:cstheme="majorBidi"/>
                <w:bCs/>
                <w:sz w:val="20"/>
              </w:rPr>
            </w:pPr>
            <w:hyperlink r:id="rId48" w:history="1">
              <w:r w:rsidR="006E567B" w:rsidRPr="00BE7CC0">
                <w:rPr>
                  <w:rStyle w:val="Hyperlink"/>
                  <w:rFonts w:asciiTheme="majorBidi" w:hAnsiTheme="majorBidi" w:cstheme="majorBidi"/>
                  <w:bCs/>
                  <w:sz w:val="20"/>
                </w:rPr>
                <w:t xml:space="preserve">TD </w:t>
              </w:r>
              <w:r w:rsidR="00847CD5" w:rsidRPr="00BE7CC0">
                <w:rPr>
                  <w:rStyle w:val="Hyperlink"/>
                  <w:rFonts w:asciiTheme="majorBidi" w:hAnsiTheme="majorBidi" w:cstheme="majorBidi"/>
                  <w:bCs/>
                  <w:sz w:val="20"/>
                </w:rPr>
                <w:t>105</w:t>
              </w:r>
            </w:hyperlink>
          </w:p>
        </w:tc>
        <w:tc>
          <w:tcPr>
            <w:tcW w:w="3984" w:type="dxa"/>
          </w:tcPr>
          <w:p w:rsidR="00BD729A" w:rsidRPr="00D32EEB" w:rsidRDefault="00D32EEB"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D32EEB">
              <w:rPr>
                <w:rFonts w:asciiTheme="majorBidi" w:eastAsia="SimSun" w:hAnsiTheme="majorBidi" w:cstheme="majorBidi"/>
                <w:bCs/>
                <w:sz w:val="20"/>
              </w:rPr>
              <w:t>This document presents the meeting schedule for ITU-T from April 2017 until December 2018. Updated on 1.5.2017</w:t>
            </w:r>
          </w:p>
          <w:p w:rsidR="00D32EEB" w:rsidRPr="00D55AF9" w:rsidRDefault="00D32EEB" w:rsidP="00D32EEB">
            <w:pPr>
              <w:tabs>
                <w:tab w:val="clear" w:pos="794"/>
                <w:tab w:val="clear" w:pos="1191"/>
                <w:tab w:val="clear" w:pos="1588"/>
                <w:tab w:val="clear" w:pos="1985"/>
              </w:tabs>
              <w:rPr>
                <w:rFonts w:asciiTheme="majorBidi" w:eastAsia="SimSun" w:hAnsiTheme="majorBidi" w:cstheme="majorBidi"/>
                <w:bCs/>
                <w:sz w:val="20"/>
              </w:rPr>
            </w:pPr>
            <w:r w:rsidRPr="00D32EEB">
              <w:rPr>
                <w:rFonts w:asciiTheme="majorBidi" w:eastAsia="SimSun" w:hAnsiTheme="majorBidi" w:cstheme="majorBidi"/>
                <w:bCs/>
                <w:sz w:val="20"/>
              </w:rPr>
              <w:t>TSAG is invited to note the 2017 and 2018 meeting schedule.</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585E26"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32</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Any other business</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585E26" w:rsidRPr="00D55AF9" w:rsidTr="0082476D">
        <w:trPr>
          <w:trHeight w:val="20"/>
        </w:trPr>
        <w:tc>
          <w:tcPr>
            <w:tcW w:w="1238" w:type="dxa"/>
          </w:tcPr>
          <w:p w:rsidR="00585E26" w:rsidRPr="00D55AF9" w:rsidRDefault="00585E26" w:rsidP="00585E26">
            <w:pPr>
              <w:spacing w:before="0"/>
              <w:contextualSpacing/>
              <w:jc w:val="center"/>
              <w:rPr>
                <w:rFonts w:asciiTheme="majorBidi" w:eastAsia="SimSun" w:hAnsiTheme="majorBidi" w:cstheme="majorBidi"/>
                <w:b/>
                <w:sz w:val="20"/>
              </w:rPr>
            </w:pPr>
          </w:p>
        </w:tc>
        <w:tc>
          <w:tcPr>
            <w:tcW w:w="1118" w:type="dxa"/>
          </w:tcPr>
          <w:p w:rsidR="00585E26" w:rsidRPr="00585E26" w:rsidRDefault="00585E26" w:rsidP="00585E26">
            <w:pPr>
              <w:spacing w:before="0"/>
              <w:contextualSpacing/>
              <w:jc w:val="center"/>
              <w:rPr>
                <w:rFonts w:asciiTheme="majorBidi" w:eastAsia="SimSun" w:hAnsiTheme="majorBidi" w:cstheme="majorBidi"/>
                <w:bCs/>
                <w:sz w:val="20"/>
              </w:rPr>
            </w:pPr>
            <w:r w:rsidRPr="00585E26">
              <w:rPr>
                <w:rFonts w:asciiTheme="majorBidi" w:eastAsia="SimSun" w:hAnsiTheme="majorBidi" w:cstheme="majorBidi"/>
                <w:bCs/>
                <w:sz w:val="20"/>
              </w:rPr>
              <w:t>32.1</w:t>
            </w:r>
          </w:p>
        </w:tc>
        <w:tc>
          <w:tcPr>
            <w:tcW w:w="2434" w:type="dxa"/>
          </w:tcPr>
          <w:p w:rsidR="00585E26" w:rsidRPr="00585E26" w:rsidRDefault="00585E26" w:rsidP="00585E26">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r w:rsidRPr="00585E26">
              <w:rPr>
                <w:rFonts w:asciiTheme="majorBidi" w:eastAsia="SimSun" w:hAnsiTheme="majorBidi" w:cstheme="majorBidi"/>
                <w:bCs/>
                <w:sz w:val="20"/>
              </w:rPr>
              <w:t>ITU branding</w:t>
            </w:r>
          </w:p>
        </w:tc>
        <w:tc>
          <w:tcPr>
            <w:tcW w:w="857" w:type="dxa"/>
          </w:tcPr>
          <w:p w:rsidR="00585E26" w:rsidRPr="00D55AF9" w:rsidRDefault="00585E26" w:rsidP="00585E26">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585E26" w:rsidRPr="00D55AF9" w:rsidRDefault="000C02E6" w:rsidP="00585E26">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r>
              <w:rPr>
                <w:rFonts w:asciiTheme="majorBidi" w:eastAsia="SimSun" w:hAnsiTheme="majorBidi" w:cstheme="majorBidi"/>
                <w:bCs/>
                <w:sz w:val="20"/>
              </w:rPr>
              <w:t>Presentation by ITU Communications Officer</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5209BF"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33</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Consideration of draft meeting Report</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r w:rsidRPr="00D55AF9">
              <w:rPr>
                <w:rFonts w:asciiTheme="majorBidi" w:eastAsia="SimSun" w:hAnsiTheme="majorBidi" w:cstheme="majorBidi"/>
                <w:bCs/>
                <w:sz w:val="20"/>
              </w:rPr>
              <w:t>TSAG delegates are invited to comment (14 day comment period)</w:t>
            </w: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5209BF"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34</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Closing remarks by the Director, TSB</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82476D">
        <w:trPr>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5209BF"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35</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Closure of meeting</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82476D">
        <w:trPr>
          <w:trHeight w:val="20"/>
        </w:trPr>
        <w:tc>
          <w:tcPr>
            <w:tcW w:w="1238" w:type="dxa"/>
          </w:tcPr>
          <w:p w:rsidR="00D55AF9" w:rsidRPr="00D55AF9" w:rsidRDefault="00D55AF9" w:rsidP="003C324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End</w:t>
            </w:r>
          </w:p>
        </w:tc>
        <w:tc>
          <w:tcPr>
            <w:tcW w:w="1118" w:type="dxa"/>
          </w:tcPr>
          <w:p w:rsidR="00D55AF9" w:rsidRPr="00D55AF9" w:rsidRDefault="00D55AF9" w:rsidP="003C3245">
            <w:pPr>
              <w:spacing w:before="0"/>
              <w:contextualSpacing/>
              <w:rPr>
                <w:rFonts w:asciiTheme="majorBidi" w:eastAsia="SimSun" w:hAnsiTheme="majorBidi" w:cstheme="majorBidi"/>
                <w:b/>
                <w:sz w:val="20"/>
              </w:rPr>
            </w:pPr>
          </w:p>
        </w:tc>
        <w:tc>
          <w:tcPr>
            <w:tcW w:w="2434" w:type="dxa"/>
          </w:tcPr>
          <w:p w:rsidR="00D55AF9" w:rsidRPr="00D55AF9" w:rsidRDefault="00D55AF9" w:rsidP="003C3245">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Cs/>
                <w:sz w:val="20"/>
              </w:rPr>
              <w:t>TSAG finished at …</w:t>
            </w:r>
          </w:p>
        </w:tc>
        <w:tc>
          <w:tcPr>
            <w:tcW w:w="857" w:type="dxa"/>
          </w:tcPr>
          <w:p w:rsidR="00D55AF9" w:rsidRPr="00D55AF9" w:rsidRDefault="00D55AF9" w:rsidP="003C3245">
            <w:pPr>
              <w:spacing w:before="0"/>
              <w:jc w:val="center"/>
              <w:rPr>
                <w:rFonts w:asciiTheme="majorBidi" w:hAnsiTheme="majorBidi" w:cstheme="majorBidi"/>
                <w:bCs/>
                <w:sz w:val="20"/>
              </w:rPr>
            </w:pPr>
          </w:p>
        </w:tc>
        <w:tc>
          <w:tcPr>
            <w:tcW w:w="3984" w:type="dxa"/>
          </w:tcPr>
          <w:p w:rsidR="00D55AF9" w:rsidRPr="00D55AF9" w:rsidRDefault="00D55AF9" w:rsidP="003C3245">
            <w:pPr>
              <w:spacing w:before="0"/>
              <w:rPr>
                <w:rFonts w:asciiTheme="majorBidi" w:hAnsiTheme="majorBidi" w:cstheme="majorBidi"/>
                <w:bCs/>
                <w:sz w:val="20"/>
              </w:rPr>
            </w:pPr>
          </w:p>
        </w:tc>
      </w:tr>
    </w:tbl>
    <w:p w:rsidR="00D55AF9" w:rsidRPr="00D55AF9" w:rsidRDefault="00D55AF9" w:rsidP="00D55AF9">
      <w:pPr>
        <w:spacing w:before="0"/>
        <w:jc w:val="center"/>
        <w:rPr>
          <w:rFonts w:asciiTheme="majorBidi" w:hAnsiTheme="majorBidi" w:cstheme="majorBidi"/>
          <w:sz w:val="20"/>
        </w:rPr>
      </w:pPr>
      <w:r w:rsidRPr="00D55AF9">
        <w:rPr>
          <w:rFonts w:asciiTheme="majorBidi" w:hAnsiTheme="majorBidi" w:cstheme="majorBidi"/>
          <w:sz w:val="20"/>
        </w:rPr>
        <w:t>_____________________</w:t>
      </w:r>
    </w:p>
    <w:sectPr w:rsidR="00D55AF9" w:rsidRPr="00D55AF9" w:rsidSect="00C63F6D">
      <w:headerReference w:type="even" r:id="rId49"/>
      <w:headerReference w:type="default" r:id="rId50"/>
      <w:footerReference w:type="even" r:id="rId51"/>
      <w:footerReference w:type="default" r:id="rId52"/>
      <w:headerReference w:type="first" r:id="rId53"/>
      <w:footerReference w:type="first" r:id="rId5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5F" w:rsidRDefault="00826B5F">
      <w:pPr>
        <w:spacing w:before="0"/>
      </w:pPr>
      <w:r>
        <w:separator/>
      </w:r>
    </w:p>
  </w:endnote>
  <w:endnote w:type="continuationSeparator" w:id="0">
    <w:p w:rsidR="00826B5F" w:rsidRDefault="00826B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91" w:rsidRDefault="002A3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91" w:rsidRDefault="002A3C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EF" w:rsidRPr="00511959" w:rsidRDefault="00DD54EF" w:rsidP="00C63F6D">
    <w:pPr>
      <w:spacing w:before="0"/>
      <w:rPr>
        <w:sz w:val="18"/>
      </w:rPr>
    </w:pPr>
    <w:bookmarkStart w:id="3" w:name="_GoBack"/>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5F" w:rsidRDefault="00826B5F">
      <w:pPr>
        <w:spacing w:before="0"/>
      </w:pPr>
      <w:r>
        <w:separator/>
      </w:r>
    </w:p>
  </w:footnote>
  <w:footnote w:type="continuationSeparator" w:id="0">
    <w:p w:rsidR="00826B5F" w:rsidRDefault="00826B5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91" w:rsidRDefault="002A3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EF" w:rsidRPr="00511959" w:rsidRDefault="00DD54EF" w:rsidP="002A3C91">
    <w:pPr>
      <w:pStyle w:val="Header"/>
    </w:pPr>
    <w:r w:rsidRPr="00511959">
      <w:t xml:space="preserve">- </w:t>
    </w:r>
    <w:r w:rsidRPr="00511959">
      <w:fldChar w:fldCharType="begin"/>
    </w:r>
    <w:r w:rsidRPr="00511959">
      <w:instrText xml:space="preserve"> PAGE  \* MERGEFORMAT </w:instrText>
    </w:r>
    <w:r w:rsidRPr="00511959">
      <w:fldChar w:fldCharType="separate"/>
    </w:r>
    <w:r w:rsidR="002A3C91">
      <w:rPr>
        <w:noProof/>
      </w:rPr>
      <w:t>7</w:t>
    </w:r>
    <w:r w:rsidRPr="00511959">
      <w:fldChar w:fldCharType="end"/>
    </w:r>
    <w:r w:rsidRPr="00511959">
      <w:t xml:space="preserve"> -</w:t>
    </w:r>
    <w:r w:rsidR="009B60F1">
      <w:br/>
      <w:t xml:space="preserve">TD </w:t>
    </w:r>
    <w:r w:rsidR="002A3C91">
      <w:t>119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91" w:rsidRDefault="002A3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3"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0"/>
  </w:num>
  <w:num w:numId="3">
    <w:abstractNumId w:val="12"/>
  </w:num>
  <w:num w:numId="4">
    <w:abstractNumId w:val="16"/>
  </w:num>
  <w:num w:numId="5">
    <w:abstractNumId w:val="2"/>
  </w:num>
  <w:num w:numId="6">
    <w:abstractNumId w:val="25"/>
  </w:num>
  <w:num w:numId="7">
    <w:abstractNumId w:val="0"/>
  </w:num>
  <w:num w:numId="8">
    <w:abstractNumId w:val="23"/>
  </w:num>
  <w:num w:numId="9">
    <w:abstractNumId w:val="18"/>
  </w:num>
  <w:num w:numId="10">
    <w:abstractNumId w:val="13"/>
  </w:num>
  <w:num w:numId="11">
    <w:abstractNumId w:val="11"/>
  </w:num>
  <w:num w:numId="12">
    <w:abstractNumId w:val="5"/>
  </w:num>
  <w:num w:numId="13">
    <w:abstractNumId w:val="1"/>
  </w:num>
  <w:num w:numId="14">
    <w:abstractNumId w:val="19"/>
  </w:num>
  <w:num w:numId="15">
    <w:abstractNumId w:val="22"/>
  </w:num>
  <w:num w:numId="16">
    <w:abstractNumId w:val="4"/>
  </w:num>
  <w:num w:numId="17">
    <w:abstractNumId w:val="15"/>
  </w:num>
  <w:num w:numId="18">
    <w:abstractNumId w:val="24"/>
  </w:num>
  <w:num w:numId="19">
    <w:abstractNumId w:val="14"/>
  </w:num>
  <w:num w:numId="20">
    <w:abstractNumId w:val="20"/>
  </w:num>
  <w:num w:numId="21">
    <w:abstractNumId w:val="3"/>
  </w:num>
  <w:num w:numId="22">
    <w:abstractNumId w:val="21"/>
  </w:num>
  <w:num w:numId="23">
    <w:abstractNumId w:val="8"/>
  </w:num>
  <w:num w:numId="24">
    <w:abstractNumId w:val="9"/>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7AC0"/>
    <w:rsid w:val="00014377"/>
    <w:rsid w:val="000167D5"/>
    <w:rsid w:val="00017356"/>
    <w:rsid w:val="0002096D"/>
    <w:rsid w:val="00024AF9"/>
    <w:rsid w:val="00026051"/>
    <w:rsid w:val="00030245"/>
    <w:rsid w:val="00031F17"/>
    <w:rsid w:val="000370D9"/>
    <w:rsid w:val="00040F76"/>
    <w:rsid w:val="00041866"/>
    <w:rsid w:val="00044CE7"/>
    <w:rsid w:val="00046767"/>
    <w:rsid w:val="00051404"/>
    <w:rsid w:val="00051DC6"/>
    <w:rsid w:val="000525F1"/>
    <w:rsid w:val="000617D4"/>
    <w:rsid w:val="00062395"/>
    <w:rsid w:val="00062DA2"/>
    <w:rsid w:val="00066D93"/>
    <w:rsid w:val="00066F43"/>
    <w:rsid w:val="00072F67"/>
    <w:rsid w:val="000753EA"/>
    <w:rsid w:val="00077054"/>
    <w:rsid w:val="000800E6"/>
    <w:rsid w:val="000842C5"/>
    <w:rsid w:val="00085C37"/>
    <w:rsid w:val="00087C37"/>
    <w:rsid w:val="000A033A"/>
    <w:rsid w:val="000C02E6"/>
    <w:rsid w:val="000C16BD"/>
    <w:rsid w:val="000C5504"/>
    <w:rsid w:val="000D5A5A"/>
    <w:rsid w:val="000E7ACF"/>
    <w:rsid w:val="000F177C"/>
    <w:rsid w:val="000F50F1"/>
    <w:rsid w:val="00102992"/>
    <w:rsid w:val="00103408"/>
    <w:rsid w:val="00107B0E"/>
    <w:rsid w:val="00113BCC"/>
    <w:rsid w:val="001174FB"/>
    <w:rsid w:val="001226F8"/>
    <w:rsid w:val="00125D29"/>
    <w:rsid w:val="00140166"/>
    <w:rsid w:val="00140510"/>
    <w:rsid w:val="00141F30"/>
    <w:rsid w:val="001441F5"/>
    <w:rsid w:val="00145553"/>
    <w:rsid w:val="00153286"/>
    <w:rsid w:val="00154618"/>
    <w:rsid w:val="00160759"/>
    <w:rsid w:val="00162865"/>
    <w:rsid w:val="001676FB"/>
    <w:rsid w:val="00167FAF"/>
    <w:rsid w:val="00171E3A"/>
    <w:rsid w:val="0017234E"/>
    <w:rsid w:val="001817A9"/>
    <w:rsid w:val="001842F0"/>
    <w:rsid w:val="00195503"/>
    <w:rsid w:val="001955E2"/>
    <w:rsid w:val="001A312B"/>
    <w:rsid w:val="001A3464"/>
    <w:rsid w:val="001A4B1F"/>
    <w:rsid w:val="001A541C"/>
    <w:rsid w:val="001A7EE6"/>
    <w:rsid w:val="001C2F23"/>
    <w:rsid w:val="001D0066"/>
    <w:rsid w:val="001E3E5E"/>
    <w:rsid w:val="001F2796"/>
    <w:rsid w:val="001F3083"/>
    <w:rsid w:val="001F44E4"/>
    <w:rsid w:val="001F450D"/>
    <w:rsid w:val="001F5B38"/>
    <w:rsid w:val="002048A2"/>
    <w:rsid w:val="00204CE3"/>
    <w:rsid w:val="00207D72"/>
    <w:rsid w:val="002101F5"/>
    <w:rsid w:val="00224A97"/>
    <w:rsid w:val="002279CA"/>
    <w:rsid w:val="00230701"/>
    <w:rsid w:val="0024244A"/>
    <w:rsid w:val="002435F3"/>
    <w:rsid w:val="0024456E"/>
    <w:rsid w:val="00247BC6"/>
    <w:rsid w:val="00261C2C"/>
    <w:rsid w:val="0027184F"/>
    <w:rsid w:val="00271BF1"/>
    <w:rsid w:val="00281CBC"/>
    <w:rsid w:val="002870B8"/>
    <w:rsid w:val="00287D22"/>
    <w:rsid w:val="002A174A"/>
    <w:rsid w:val="002A35FB"/>
    <w:rsid w:val="002A3C91"/>
    <w:rsid w:val="002A4555"/>
    <w:rsid w:val="002B2FC2"/>
    <w:rsid w:val="002B3A89"/>
    <w:rsid w:val="002B7198"/>
    <w:rsid w:val="002C1EAD"/>
    <w:rsid w:val="002C2D46"/>
    <w:rsid w:val="002C7367"/>
    <w:rsid w:val="002D1C9F"/>
    <w:rsid w:val="002D58A3"/>
    <w:rsid w:val="002E2F0A"/>
    <w:rsid w:val="002E4300"/>
    <w:rsid w:val="002E4DC7"/>
    <w:rsid w:val="002E736B"/>
    <w:rsid w:val="002F167C"/>
    <w:rsid w:val="002F1D44"/>
    <w:rsid w:val="00300B48"/>
    <w:rsid w:val="00304C4E"/>
    <w:rsid w:val="00305F62"/>
    <w:rsid w:val="00307A17"/>
    <w:rsid w:val="00313D2F"/>
    <w:rsid w:val="00322AC1"/>
    <w:rsid w:val="00325655"/>
    <w:rsid w:val="0033237A"/>
    <w:rsid w:val="003332C6"/>
    <w:rsid w:val="003408EC"/>
    <w:rsid w:val="003418AF"/>
    <w:rsid w:val="003441E8"/>
    <w:rsid w:val="00345A1C"/>
    <w:rsid w:val="00356EB6"/>
    <w:rsid w:val="00357E50"/>
    <w:rsid w:val="00363A70"/>
    <w:rsid w:val="00364483"/>
    <w:rsid w:val="00365109"/>
    <w:rsid w:val="00365885"/>
    <w:rsid w:val="00371BDC"/>
    <w:rsid w:val="00387E43"/>
    <w:rsid w:val="0039207E"/>
    <w:rsid w:val="00392AD5"/>
    <w:rsid w:val="003A6321"/>
    <w:rsid w:val="003A6395"/>
    <w:rsid w:val="003B59A6"/>
    <w:rsid w:val="003C11D1"/>
    <w:rsid w:val="003C3245"/>
    <w:rsid w:val="003D14D8"/>
    <w:rsid w:val="003D4783"/>
    <w:rsid w:val="003D5B42"/>
    <w:rsid w:val="003E2024"/>
    <w:rsid w:val="003E273A"/>
    <w:rsid w:val="003F55C4"/>
    <w:rsid w:val="003F64A9"/>
    <w:rsid w:val="004013A6"/>
    <w:rsid w:val="00411AEC"/>
    <w:rsid w:val="00412086"/>
    <w:rsid w:val="0041652A"/>
    <w:rsid w:val="00420486"/>
    <w:rsid w:val="0042210D"/>
    <w:rsid w:val="00423807"/>
    <w:rsid w:val="004258EE"/>
    <w:rsid w:val="00430591"/>
    <w:rsid w:val="00441E5D"/>
    <w:rsid w:val="00443DAB"/>
    <w:rsid w:val="00457352"/>
    <w:rsid w:val="00464F1C"/>
    <w:rsid w:val="00476E22"/>
    <w:rsid w:val="00477760"/>
    <w:rsid w:val="0048015B"/>
    <w:rsid w:val="00483C7A"/>
    <w:rsid w:val="00497B0B"/>
    <w:rsid w:val="004A344F"/>
    <w:rsid w:val="004B5C3B"/>
    <w:rsid w:val="004C1A26"/>
    <w:rsid w:val="004C3BD5"/>
    <w:rsid w:val="004C3C6E"/>
    <w:rsid w:val="004D0083"/>
    <w:rsid w:val="004E3E29"/>
    <w:rsid w:val="004E43D7"/>
    <w:rsid w:val="004F036B"/>
    <w:rsid w:val="004F1FD3"/>
    <w:rsid w:val="004F200B"/>
    <w:rsid w:val="004F652D"/>
    <w:rsid w:val="005006D9"/>
    <w:rsid w:val="005038B4"/>
    <w:rsid w:val="0050590C"/>
    <w:rsid w:val="00513134"/>
    <w:rsid w:val="0051457D"/>
    <w:rsid w:val="005158CF"/>
    <w:rsid w:val="00516091"/>
    <w:rsid w:val="005209BF"/>
    <w:rsid w:val="00521901"/>
    <w:rsid w:val="00521FCB"/>
    <w:rsid w:val="00523FCD"/>
    <w:rsid w:val="005317B8"/>
    <w:rsid w:val="00531D1A"/>
    <w:rsid w:val="00537F48"/>
    <w:rsid w:val="005475C5"/>
    <w:rsid w:val="00550D22"/>
    <w:rsid w:val="005616FD"/>
    <w:rsid w:val="00571AD4"/>
    <w:rsid w:val="00580109"/>
    <w:rsid w:val="00582914"/>
    <w:rsid w:val="005833F1"/>
    <w:rsid w:val="00585E26"/>
    <w:rsid w:val="00587415"/>
    <w:rsid w:val="005A3181"/>
    <w:rsid w:val="005A37D0"/>
    <w:rsid w:val="005B11F7"/>
    <w:rsid w:val="005B61AD"/>
    <w:rsid w:val="005C0D17"/>
    <w:rsid w:val="005C15EB"/>
    <w:rsid w:val="005C54EF"/>
    <w:rsid w:val="005E5978"/>
    <w:rsid w:val="005E7BC9"/>
    <w:rsid w:val="0060299F"/>
    <w:rsid w:val="0060315D"/>
    <w:rsid w:val="00603AFF"/>
    <w:rsid w:val="0060542B"/>
    <w:rsid w:val="006070EC"/>
    <w:rsid w:val="00607DD2"/>
    <w:rsid w:val="0061032C"/>
    <w:rsid w:val="00612A1A"/>
    <w:rsid w:val="00613CE3"/>
    <w:rsid w:val="00617DC6"/>
    <w:rsid w:val="006217B9"/>
    <w:rsid w:val="006264B9"/>
    <w:rsid w:val="00627467"/>
    <w:rsid w:val="006343EA"/>
    <w:rsid w:val="00642567"/>
    <w:rsid w:val="0065004A"/>
    <w:rsid w:val="0065082E"/>
    <w:rsid w:val="00664B8F"/>
    <w:rsid w:val="00664CAB"/>
    <w:rsid w:val="00666528"/>
    <w:rsid w:val="006671DF"/>
    <w:rsid w:val="00667595"/>
    <w:rsid w:val="00674142"/>
    <w:rsid w:val="00676E8C"/>
    <w:rsid w:val="00686E93"/>
    <w:rsid w:val="00693936"/>
    <w:rsid w:val="006A3BFB"/>
    <w:rsid w:val="006A7B3A"/>
    <w:rsid w:val="006B32CE"/>
    <w:rsid w:val="006C08A4"/>
    <w:rsid w:val="006C20BB"/>
    <w:rsid w:val="006D2BDE"/>
    <w:rsid w:val="006E0733"/>
    <w:rsid w:val="006E4FE8"/>
    <w:rsid w:val="006E567B"/>
    <w:rsid w:val="006F0798"/>
    <w:rsid w:val="006F121F"/>
    <w:rsid w:val="006F501F"/>
    <w:rsid w:val="007136EE"/>
    <w:rsid w:val="00727AFC"/>
    <w:rsid w:val="007453C5"/>
    <w:rsid w:val="007473C7"/>
    <w:rsid w:val="0075034F"/>
    <w:rsid w:val="00751E77"/>
    <w:rsid w:val="0075552C"/>
    <w:rsid w:val="00766CC7"/>
    <w:rsid w:val="00771500"/>
    <w:rsid w:val="00773881"/>
    <w:rsid w:val="007773E8"/>
    <w:rsid w:val="00783766"/>
    <w:rsid w:val="007B02FA"/>
    <w:rsid w:val="007B3EFB"/>
    <w:rsid w:val="007B656C"/>
    <w:rsid w:val="007C2B75"/>
    <w:rsid w:val="007C75D1"/>
    <w:rsid w:val="007D4D91"/>
    <w:rsid w:val="007D53BB"/>
    <w:rsid w:val="007D6EAC"/>
    <w:rsid w:val="007E17F9"/>
    <w:rsid w:val="007E1AEA"/>
    <w:rsid w:val="007E4151"/>
    <w:rsid w:val="00804E83"/>
    <w:rsid w:val="00814D92"/>
    <w:rsid w:val="00815899"/>
    <w:rsid w:val="0081742D"/>
    <w:rsid w:val="00821D8D"/>
    <w:rsid w:val="008236AC"/>
    <w:rsid w:val="008242BD"/>
    <w:rsid w:val="0082476D"/>
    <w:rsid w:val="00825B8B"/>
    <w:rsid w:val="00826661"/>
    <w:rsid w:val="00826B5F"/>
    <w:rsid w:val="00831163"/>
    <w:rsid w:val="008318DD"/>
    <w:rsid w:val="00834497"/>
    <w:rsid w:val="0083556D"/>
    <w:rsid w:val="00847CD5"/>
    <w:rsid w:val="0085069B"/>
    <w:rsid w:val="00851E6D"/>
    <w:rsid w:val="008636D5"/>
    <w:rsid w:val="00872481"/>
    <w:rsid w:val="00883CDE"/>
    <w:rsid w:val="008A1FAB"/>
    <w:rsid w:val="008A7625"/>
    <w:rsid w:val="008C06F9"/>
    <w:rsid w:val="008C1B80"/>
    <w:rsid w:val="008C519B"/>
    <w:rsid w:val="008C5B9F"/>
    <w:rsid w:val="008F2671"/>
    <w:rsid w:val="008F55D3"/>
    <w:rsid w:val="008F75C1"/>
    <w:rsid w:val="0090033B"/>
    <w:rsid w:val="00935660"/>
    <w:rsid w:val="009357A9"/>
    <w:rsid w:val="00944816"/>
    <w:rsid w:val="009514E4"/>
    <w:rsid w:val="00953552"/>
    <w:rsid w:val="00963DD9"/>
    <w:rsid w:val="009640AB"/>
    <w:rsid w:val="00965F36"/>
    <w:rsid w:val="00972293"/>
    <w:rsid w:val="00973D98"/>
    <w:rsid w:val="00977168"/>
    <w:rsid w:val="009778AA"/>
    <w:rsid w:val="00984E5C"/>
    <w:rsid w:val="0098764B"/>
    <w:rsid w:val="00992F7B"/>
    <w:rsid w:val="009943F5"/>
    <w:rsid w:val="00997335"/>
    <w:rsid w:val="009B2D61"/>
    <w:rsid w:val="009B5610"/>
    <w:rsid w:val="009B60F1"/>
    <w:rsid w:val="009B677A"/>
    <w:rsid w:val="009B765C"/>
    <w:rsid w:val="009C4E89"/>
    <w:rsid w:val="009D06B6"/>
    <w:rsid w:val="009D3479"/>
    <w:rsid w:val="009D5B3A"/>
    <w:rsid w:val="009F2C61"/>
    <w:rsid w:val="00A00173"/>
    <w:rsid w:val="00A00E12"/>
    <w:rsid w:val="00A0194B"/>
    <w:rsid w:val="00A03973"/>
    <w:rsid w:val="00A05479"/>
    <w:rsid w:val="00A1315C"/>
    <w:rsid w:val="00A15608"/>
    <w:rsid w:val="00A15FBC"/>
    <w:rsid w:val="00A21E45"/>
    <w:rsid w:val="00A22509"/>
    <w:rsid w:val="00A31606"/>
    <w:rsid w:val="00A34E87"/>
    <w:rsid w:val="00A40357"/>
    <w:rsid w:val="00A404E9"/>
    <w:rsid w:val="00A40998"/>
    <w:rsid w:val="00A45FAE"/>
    <w:rsid w:val="00A52A1D"/>
    <w:rsid w:val="00A63E59"/>
    <w:rsid w:val="00A66B65"/>
    <w:rsid w:val="00A6792F"/>
    <w:rsid w:val="00A67B86"/>
    <w:rsid w:val="00A70F7C"/>
    <w:rsid w:val="00A73835"/>
    <w:rsid w:val="00A752B7"/>
    <w:rsid w:val="00A82378"/>
    <w:rsid w:val="00A8411C"/>
    <w:rsid w:val="00A8576A"/>
    <w:rsid w:val="00A90679"/>
    <w:rsid w:val="00A9408B"/>
    <w:rsid w:val="00AA2DB0"/>
    <w:rsid w:val="00AA31CE"/>
    <w:rsid w:val="00AB0567"/>
    <w:rsid w:val="00AB0D87"/>
    <w:rsid w:val="00AB58A0"/>
    <w:rsid w:val="00AC77D7"/>
    <w:rsid w:val="00AD30CB"/>
    <w:rsid w:val="00AE6F56"/>
    <w:rsid w:val="00AF1748"/>
    <w:rsid w:val="00AF617C"/>
    <w:rsid w:val="00B06033"/>
    <w:rsid w:val="00B1719F"/>
    <w:rsid w:val="00B204CB"/>
    <w:rsid w:val="00B224DE"/>
    <w:rsid w:val="00B244A5"/>
    <w:rsid w:val="00B34277"/>
    <w:rsid w:val="00B42583"/>
    <w:rsid w:val="00B472B8"/>
    <w:rsid w:val="00B53801"/>
    <w:rsid w:val="00B5669A"/>
    <w:rsid w:val="00B57577"/>
    <w:rsid w:val="00B606F8"/>
    <w:rsid w:val="00B672DD"/>
    <w:rsid w:val="00B6758F"/>
    <w:rsid w:val="00B67640"/>
    <w:rsid w:val="00B751BD"/>
    <w:rsid w:val="00B83310"/>
    <w:rsid w:val="00B85CDB"/>
    <w:rsid w:val="00B86766"/>
    <w:rsid w:val="00B941BE"/>
    <w:rsid w:val="00B95FC9"/>
    <w:rsid w:val="00BC02A5"/>
    <w:rsid w:val="00BC787E"/>
    <w:rsid w:val="00BD729A"/>
    <w:rsid w:val="00BE271C"/>
    <w:rsid w:val="00BE49D6"/>
    <w:rsid w:val="00BE7CC0"/>
    <w:rsid w:val="00BF0482"/>
    <w:rsid w:val="00BF40AB"/>
    <w:rsid w:val="00C00D17"/>
    <w:rsid w:val="00C03A64"/>
    <w:rsid w:val="00C0427B"/>
    <w:rsid w:val="00C112AF"/>
    <w:rsid w:val="00C11B1C"/>
    <w:rsid w:val="00C255BD"/>
    <w:rsid w:val="00C4799F"/>
    <w:rsid w:val="00C548AA"/>
    <w:rsid w:val="00C56E56"/>
    <w:rsid w:val="00C612B2"/>
    <w:rsid w:val="00C63F6D"/>
    <w:rsid w:val="00C658B7"/>
    <w:rsid w:val="00C65E18"/>
    <w:rsid w:val="00C674A0"/>
    <w:rsid w:val="00C80097"/>
    <w:rsid w:val="00C819BE"/>
    <w:rsid w:val="00C97DC3"/>
    <w:rsid w:val="00CA532D"/>
    <w:rsid w:val="00CA55CE"/>
    <w:rsid w:val="00CA7486"/>
    <w:rsid w:val="00CA78A1"/>
    <w:rsid w:val="00CB1D29"/>
    <w:rsid w:val="00CB5FB0"/>
    <w:rsid w:val="00CC083F"/>
    <w:rsid w:val="00CC3C68"/>
    <w:rsid w:val="00CC50ED"/>
    <w:rsid w:val="00CD3237"/>
    <w:rsid w:val="00CD5CDF"/>
    <w:rsid w:val="00CE0D91"/>
    <w:rsid w:val="00CE33D1"/>
    <w:rsid w:val="00CF05DB"/>
    <w:rsid w:val="00D05ADC"/>
    <w:rsid w:val="00D1050D"/>
    <w:rsid w:val="00D25A99"/>
    <w:rsid w:val="00D26248"/>
    <w:rsid w:val="00D3080A"/>
    <w:rsid w:val="00D32EEB"/>
    <w:rsid w:val="00D33DD4"/>
    <w:rsid w:val="00D3483C"/>
    <w:rsid w:val="00D36C8D"/>
    <w:rsid w:val="00D40246"/>
    <w:rsid w:val="00D478E7"/>
    <w:rsid w:val="00D51095"/>
    <w:rsid w:val="00D5139B"/>
    <w:rsid w:val="00D52FC0"/>
    <w:rsid w:val="00D54078"/>
    <w:rsid w:val="00D55AF9"/>
    <w:rsid w:val="00D6083B"/>
    <w:rsid w:val="00D60E37"/>
    <w:rsid w:val="00D64FE2"/>
    <w:rsid w:val="00D66691"/>
    <w:rsid w:val="00D732EC"/>
    <w:rsid w:val="00D76726"/>
    <w:rsid w:val="00D819D9"/>
    <w:rsid w:val="00D81AF2"/>
    <w:rsid w:val="00D821C8"/>
    <w:rsid w:val="00D9297F"/>
    <w:rsid w:val="00D93331"/>
    <w:rsid w:val="00D9467B"/>
    <w:rsid w:val="00DA33F9"/>
    <w:rsid w:val="00DA74D6"/>
    <w:rsid w:val="00DC0614"/>
    <w:rsid w:val="00DC6859"/>
    <w:rsid w:val="00DD1BD0"/>
    <w:rsid w:val="00DD3271"/>
    <w:rsid w:val="00DD54EF"/>
    <w:rsid w:val="00DD5D6C"/>
    <w:rsid w:val="00DE2A82"/>
    <w:rsid w:val="00DE2DC7"/>
    <w:rsid w:val="00DE4714"/>
    <w:rsid w:val="00DE5095"/>
    <w:rsid w:val="00DE76EE"/>
    <w:rsid w:val="00DF2001"/>
    <w:rsid w:val="00DF5FCD"/>
    <w:rsid w:val="00E04D95"/>
    <w:rsid w:val="00E10917"/>
    <w:rsid w:val="00E144EA"/>
    <w:rsid w:val="00E1482B"/>
    <w:rsid w:val="00E1699E"/>
    <w:rsid w:val="00E1778C"/>
    <w:rsid w:val="00E208DA"/>
    <w:rsid w:val="00E220F0"/>
    <w:rsid w:val="00E2380B"/>
    <w:rsid w:val="00E2552D"/>
    <w:rsid w:val="00E445DD"/>
    <w:rsid w:val="00E53BBE"/>
    <w:rsid w:val="00E673D1"/>
    <w:rsid w:val="00E70E91"/>
    <w:rsid w:val="00E742E0"/>
    <w:rsid w:val="00E75752"/>
    <w:rsid w:val="00E80A8B"/>
    <w:rsid w:val="00E84E1E"/>
    <w:rsid w:val="00E90079"/>
    <w:rsid w:val="00E90403"/>
    <w:rsid w:val="00E90A2E"/>
    <w:rsid w:val="00EA3AEF"/>
    <w:rsid w:val="00EA47E0"/>
    <w:rsid w:val="00EC646C"/>
    <w:rsid w:val="00EC75E4"/>
    <w:rsid w:val="00ED2D5B"/>
    <w:rsid w:val="00ED6161"/>
    <w:rsid w:val="00ED7053"/>
    <w:rsid w:val="00EE3A30"/>
    <w:rsid w:val="00EE71A7"/>
    <w:rsid w:val="00EF25BA"/>
    <w:rsid w:val="00F016D8"/>
    <w:rsid w:val="00F04EDC"/>
    <w:rsid w:val="00F10B78"/>
    <w:rsid w:val="00F243A1"/>
    <w:rsid w:val="00F31F53"/>
    <w:rsid w:val="00F32C47"/>
    <w:rsid w:val="00F32CB5"/>
    <w:rsid w:val="00F41BCD"/>
    <w:rsid w:val="00F44225"/>
    <w:rsid w:val="00F448E7"/>
    <w:rsid w:val="00F46B5B"/>
    <w:rsid w:val="00F51831"/>
    <w:rsid w:val="00F55B02"/>
    <w:rsid w:val="00F575E5"/>
    <w:rsid w:val="00F6185C"/>
    <w:rsid w:val="00F65C78"/>
    <w:rsid w:val="00F76508"/>
    <w:rsid w:val="00F8236C"/>
    <w:rsid w:val="00F838DE"/>
    <w:rsid w:val="00F85509"/>
    <w:rsid w:val="00F922B8"/>
    <w:rsid w:val="00F94F4C"/>
    <w:rsid w:val="00F95392"/>
    <w:rsid w:val="00FA2A37"/>
    <w:rsid w:val="00FA6CBA"/>
    <w:rsid w:val="00FB0945"/>
    <w:rsid w:val="00FB0B09"/>
    <w:rsid w:val="00FC4223"/>
    <w:rsid w:val="00FD2669"/>
    <w:rsid w:val="00FD311D"/>
    <w:rsid w:val="00FD3E6D"/>
    <w:rsid w:val="00FE2C43"/>
    <w:rsid w:val="00FE3788"/>
    <w:rsid w:val="00FF02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70501-TD-GEN-0088" TargetMode="External"/><Relationship Id="rId18" Type="http://schemas.openxmlformats.org/officeDocument/2006/relationships/hyperlink" Target="https://www.itu.int/md/T17-TSAG-C-0020/en" TargetMode="External"/><Relationship Id="rId26" Type="http://schemas.openxmlformats.org/officeDocument/2006/relationships/hyperlink" Target="https://www.itu.int/md/T17-TSAG-170501-TD-GEN-0112/en" TargetMode="External"/><Relationship Id="rId39" Type="http://schemas.openxmlformats.org/officeDocument/2006/relationships/hyperlink" Target="https://www.itu.int/md/T17-TSAG-170501-TD-GEN-0085" TargetMode="External"/><Relationship Id="rId21" Type="http://schemas.openxmlformats.org/officeDocument/2006/relationships/hyperlink" Target="https://www.itu.int/md/T17-TSAG-170501-TD-GEN-0032" TargetMode="External"/><Relationship Id="rId34" Type="http://schemas.openxmlformats.org/officeDocument/2006/relationships/hyperlink" Target="https://www.itu.int/md/meetingdoc.asp?lang=en&amp;parent=T17-TSAG-170501-TD-GEN-0097" TargetMode="External"/><Relationship Id="rId42" Type="http://schemas.openxmlformats.org/officeDocument/2006/relationships/hyperlink" Target="https://www.itu.int/md/T17-TSAG-170501-TD-GEN-0102" TargetMode="External"/><Relationship Id="rId47" Type="http://schemas.openxmlformats.org/officeDocument/2006/relationships/hyperlink" Target="https://www.itu.int/md/T17-TSAG-170501-TD-GEN-0112"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17-TSAG-170501-TD-GEN-0103" TargetMode="External"/><Relationship Id="rId17" Type="http://schemas.openxmlformats.org/officeDocument/2006/relationships/hyperlink" Target="https://www.itu.int/md/T17-TSAG-C-0015/en" TargetMode="External"/><Relationship Id="rId25" Type="http://schemas.openxmlformats.org/officeDocument/2006/relationships/hyperlink" Target="https://www.itu.int/md/T17-TSAG-170501-TD-GEN-0116/en" TargetMode="External"/><Relationship Id="rId33" Type="http://schemas.openxmlformats.org/officeDocument/2006/relationships/hyperlink" Target="https://www.itu.int/md/meetingdoc.asp?lang=en&amp;parent=T17-TSAG-170501-TD-GEN-0043" TargetMode="External"/><Relationship Id="rId38" Type="http://schemas.openxmlformats.org/officeDocument/2006/relationships/hyperlink" Target="https://www.itu.int/md/meetingdoc.asp?lang=en&amp;parent=T17-TSAG-170501-TD-GEN-0056" TargetMode="External"/><Relationship Id="rId46" Type="http://schemas.openxmlformats.org/officeDocument/2006/relationships/hyperlink" Target="https://www.itu.int/md/T17-TSAG-170501-TD-GEN-0087" TargetMode="External"/><Relationship Id="rId2" Type="http://schemas.openxmlformats.org/officeDocument/2006/relationships/numbering" Target="numbering.xml"/><Relationship Id="rId16" Type="http://schemas.openxmlformats.org/officeDocument/2006/relationships/hyperlink" Target="https://www.itu.int/dms_ties/itu-t/md/17/sg11/c/T17-SG11-C-0058!R1!MSW-E.docx" TargetMode="External"/><Relationship Id="rId20" Type="http://schemas.openxmlformats.org/officeDocument/2006/relationships/hyperlink" Target="https://www.itu.int/md/T17-TSAG-170501-TD-GEN-0091" TargetMode="External"/><Relationship Id="rId29" Type="http://schemas.openxmlformats.org/officeDocument/2006/relationships/hyperlink" Target="https://www.itu.int/md/meetingdoc.asp?lang=en&amp;parent=T17-TSAG-170501-TD-GEN-0051" TargetMode="External"/><Relationship Id="rId41" Type="http://schemas.openxmlformats.org/officeDocument/2006/relationships/hyperlink" Target="https://www.itu.int/md/T17-TSAG-170501-TD-GEN-0086"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170501-TD" TargetMode="External"/><Relationship Id="rId24" Type="http://schemas.openxmlformats.org/officeDocument/2006/relationships/hyperlink" Target="https://www.itu.int/md/T17-TSAG-170501-TD-GEN-0115/en" TargetMode="External"/><Relationship Id="rId32" Type="http://schemas.openxmlformats.org/officeDocument/2006/relationships/hyperlink" Target="https://www.itu.int/md/meetingdoc.asp?lang=en&amp;parent=T17-TSAG-170501-TD-GEN-0022" TargetMode="External"/><Relationship Id="rId37" Type="http://schemas.openxmlformats.org/officeDocument/2006/relationships/hyperlink" Target="https://www.itu.int/md/meetingdoc.asp?lang=en&amp;parent=T17-TSAG-170501-TD-GEN-0033" TargetMode="External"/><Relationship Id="rId40" Type="http://schemas.openxmlformats.org/officeDocument/2006/relationships/hyperlink" Target="https://www.itu.int/md/meetingdoc.asp?lang=en&amp;parent=T17-TSAG-C-0017" TargetMode="External"/><Relationship Id="rId45" Type="http://schemas.openxmlformats.org/officeDocument/2006/relationships/hyperlink" Target="https://www.itu.int/md/T17-TSAG-170501-TD-GEN-0118"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T17-TSAG-170501-TD-GEN-0027" TargetMode="External"/><Relationship Id="rId23" Type="http://schemas.openxmlformats.org/officeDocument/2006/relationships/hyperlink" Target="https://www.itu.int/md/T17-TSAG-170501-TD-GEN-0083" TargetMode="External"/><Relationship Id="rId28" Type="http://schemas.openxmlformats.org/officeDocument/2006/relationships/hyperlink" Target="https://www.itu.int/md/meetingdoc.asp?lang=en&amp;parent=T17-TSAG-170501-TD-GEN-0034" TargetMode="External"/><Relationship Id="rId36" Type="http://schemas.openxmlformats.org/officeDocument/2006/relationships/hyperlink" Target="https://www.itu.int/md/meetingdoc.asp?lang=en&amp;parent=T17-TSAG-170501-TD-GEN-0059" TargetMode="External"/><Relationship Id="rId49" Type="http://schemas.openxmlformats.org/officeDocument/2006/relationships/header" Target="header1.xml"/><Relationship Id="rId10" Type="http://schemas.openxmlformats.org/officeDocument/2006/relationships/hyperlink" Target="https://www.itu.int/md/T17-TSAG-170501-C" TargetMode="External"/><Relationship Id="rId19" Type="http://schemas.openxmlformats.org/officeDocument/2006/relationships/hyperlink" Target="https://www.itu.int/md/T17-TSAG-170501-TD-GEN-0092" TargetMode="External"/><Relationship Id="rId31" Type="http://schemas.openxmlformats.org/officeDocument/2006/relationships/hyperlink" Target="https://www.itu.int/md/meetingdoc.asp?lang=en&amp;parent=T17-TSAG-170501-TD-GEN-0096" TargetMode="External"/><Relationship Id="rId44" Type="http://schemas.openxmlformats.org/officeDocument/2006/relationships/hyperlink" Target="https://www.itu.int/md/T17-TSAG-170501-TD-GEN-0117"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170501-TD-GEN-0024" TargetMode="External"/><Relationship Id="rId22" Type="http://schemas.openxmlformats.org/officeDocument/2006/relationships/hyperlink" Target="https://www.itu.int/md/T17-TSAG-170501-TD-GEN-0037" TargetMode="External"/><Relationship Id="rId27" Type="http://schemas.openxmlformats.org/officeDocument/2006/relationships/hyperlink" Target="https://www.itu.int/md/T17-TSAG-170501-TD-GEN-0084" TargetMode="External"/><Relationship Id="rId30" Type="http://schemas.openxmlformats.org/officeDocument/2006/relationships/hyperlink" Target="https://www.itu.int/md/meetingdoc.asp?lang=en&amp;parent=T17-TSAG-170501-TD-GEN-0040" TargetMode="External"/><Relationship Id="rId35" Type="http://schemas.openxmlformats.org/officeDocument/2006/relationships/hyperlink" Target="https://www.itu.int/md/meetingdoc.asp?lang=en&amp;parent=T17-TSAG-170501-TD-GEN-0031" TargetMode="External"/><Relationship Id="rId43" Type="http://schemas.openxmlformats.org/officeDocument/2006/relationships/hyperlink" Target="https://www.itu.int/md/T17-TSAG-170501-TD-GEN-0113" TargetMode="External"/><Relationship Id="rId48" Type="http://schemas.openxmlformats.org/officeDocument/2006/relationships/hyperlink" Target="https://www.itu.int/md/T17-TSAG-170501-TD-GEN-0105" TargetMode="External"/><Relationship Id="rId5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2265-F2C0-44D3-98F4-FEAEF0F1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2017-05-03T20:50:00Z</cp:lastPrinted>
  <dcterms:created xsi:type="dcterms:W3CDTF">2017-05-04T04:59:00Z</dcterms:created>
  <dcterms:modified xsi:type="dcterms:W3CDTF">2017-05-04T05:00:00Z</dcterms:modified>
</cp:coreProperties>
</file>