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06"/>
        <w:gridCol w:w="3906"/>
        <w:gridCol w:w="868"/>
        <w:gridCol w:w="3553"/>
      </w:tblGrid>
      <w:tr w:rsidR="00D16D90" w:rsidRPr="006A4399" w:rsidTr="00D16D90">
        <w:trPr>
          <w:cantSplit/>
        </w:trPr>
        <w:tc>
          <w:tcPr>
            <w:tcW w:w="1190" w:type="dxa"/>
            <w:vMerge w:val="restart"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sz w:val="20"/>
                <w:lang w:val="es-ES" w:eastAsia="ja-JP"/>
              </w:rPr>
            </w:pPr>
            <w:r w:rsidRPr="006A4399">
              <w:rPr>
                <w:rFonts w:asciiTheme="majorBidi" w:eastAsiaTheme="minorEastAsia" w:hAnsiTheme="majorBidi" w:cstheme="majorBidi"/>
                <w:noProof/>
                <w:sz w:val="20"/>
              </w:rPr>
              <w:drawing>
                <wp:inline distT="0" distB="0" distL="0" distR="0" wp14:anchorId="401EDDE5" wp14:editId="7B336B69">
                  <wp:extent cx="647700" cy="828675"/>
                  <wp:effectExtent l="0" t="0" r="0" b="0"/>
                  <wp:docPr id="4" name="Picture 4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gridSpan w:val="3"/>
            <w:vMerge w:val="restart"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sz w:val="16"/>
                <w:szCs w:val="16"/>
                <w:lang w:val="es-ES" w:eastAsia="ja-JP"/>
              </w:rPr>
            </w:pPr>
            <w:r w:rsidRPr="006A4399">
              <w:rPr>
                <w:rFonts w:asciiTheme="majorBidi" w:eastAsiaTheme="minorEastAsia" w:hAnsiTheme="majorBidi" w:cstheme="majorBidi"/>
                <w:sz w:val="16"/>
                <w:szCs w:val="16"/>
                <w:lang w:val="es-ES" w:eastAsia="ja-JP"/>
              </w:rPr>
              <w:t xml:space="preserve">UNIÓN INTERNACIONAL DE TELECOMUNICACIONES </w:t>
            </w:r>
          </w:p>
          <w:p w:rsidR="00D16D90" w:rsidRPr="006A4399" w:rsidRDefault="00D16D90" w:rsidP="005F231B">
            <w:pPr>
              <w:rPr>
                <w:sz w:val="20"/>
                <w:lang w:val="es-ES"/>
              </w:rPr>
            </w:pPr>
            <w:r w:rsidRPr="006A4399">
              <w:rPr>
                <w:b/>
                <w:bCs/>
                <w:sz w:val="26"/>
                <w:lang w:val="es-ES"/>
              </w:rPr>
              <w:t>OFICINA DE NORMALIZACIÓN DE LAS TELECOMUNICACIONES</w:t>
            </w:r>
            <w:r w:rsidRPr="006A4399">
              <w:rPr>
                <w:sz w:val="20"/>
                <w:lang w:val="es-ES"/>
              </w:rPr>
              <w:t xml:space="preserve"> </w:t>
            </w:r>
          </w:p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sz w:val="20"/>
                <w:lang w:val="es-ES" w:eastAsia="ja-JP"/>
              </w:rPr>
            </w:pPr>
            <w:r w:rsidRPr="006A4399">
              <w:rPr>
                <w:sz w:val="20"/>
                <w:lang w:val="es-ES"/>
              </w:rPr>
              <w:t xml:space="preserve">PERIODO DE ESTUDIOS </w:t>
            </w:r>
            <w:bookmarkStart w:id="0" w:name="dstudyperiod"/>
            <w:r w:rsidRPr="006A4399">
              <w:rPr>
                <w:rFonts w:asciiTheme="majorBidi" w:eastAsiaTheme="minorEastAsia" w:hAnsiTheme="majorBidi" w:cstheme="majorBidi"/>
                <w:sz w:val="20"/>
                <w:lang w:val="es-ES" w:eastAsia="ja-JP"/>
              </w:rPr>
              <w:t>2017-2020</w:t>
            </w:r>
            <w:bookmarkEnd w:id="0"/>
          </w:p>
        </w:tc>
        <w:tc>
          <w:tcPr>
            <w:tcW w:w="3553" w:type="dxa"/>
            <w:vAlign w:val="center"/>
          </w:tcPr>
          <w:p w:rsidR="00D16D90" w:rsidRPr="006A4399" w:rsidRDefault="00D16D90" w:rsidP="005F231B">
            <w:pPr>
              <w:jc w:val="right"/>
              <w:rPr>
                <w:rFonts w:asciiTheme="majorBidi" w:eastAsia="SimSun" w:hAnsiTheme="majorBidi" w:cstheme="majorBidi"/>
                <w:b/>
                <w:sz w:val="40"/>
                <w:lang w:val="es-ES"/>
              </w:rPr>
            </w:pPr>
            <w:r w:rsidRPr="006A4399">
              <w:rPr>
                <w:rFonts w:asciiTheme="majorBidi" w:eastAsia="SimSun" w:hAnsiTheme="majorBidi" w:cstheme="majorBidi"/>
                <w:b/>
                <w:sz w:val="40"/>
                <w:lang w:val="es-ES"/>
              </w:rPr>
              <w:t>TD 138</w:t>
            </w:r>
          </w:p>
        </w:tc>
      </w:tr>
      <w:tr w:rsidR="00D16D90" w:rsidRPr="006A4399" w:rsidTr="00D16D90">
        <w:trPr>
          <w:cantSplit/>
        </w:trPr>
        <w:tc>
          <w:tcPr>
            <w:tcW w:w="1190" w:type="dxa"/>
            <w:vMerge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smallCaps/>
                <w:sz w:val="20"/>
                <w:szCs w:val="24"/>
                <w:lang w:val="es-ES" w:eastAsia="ja-JP"/>
              </w:rPr>
            </w:pPr>
          </w:p>
        </w:tc>
        <w:tc>
          <w:tcPr>
            <w:tcW w:w="5180" w:type="dxa"/>
            <w:gridSpan w:val="3"/>
            <w:vMerge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smallCaps/>
                <w:sz w:val="20"/>
                <w:szCs w:val="24"/>
                <w:lang w:val="es-ES" w:eastAsia="ja-JP"/>
              </w:rPr>
            </w:pPr>
          </w:p>
        </w:tc>
        <w:tc>
          <w:tcPr>
            <w:tcW w:w="3553" w:type="dxa"/>
          </w:tcPr>
          <w:p w:rsidR="00D16D90" w:rsidRPr="006A4399" w:rsidRDefault="00D16D90" w:rsidP="005F231B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smallCaps/>
                <w:sz w:val="32"/>
                <w:szCs w:val="32"/>
                <w:lang w:val="es-ES" w:eastAsia="ja-JP"/>
              </w:rPr>
            </w:pPr>
            <w:r w:rsidRPr="006A4399">
              <w:rPr>
                <w:rFonts w:asciiTheme="majorBidi" w:eastAsiaTheme="minorEastAsia" w:hAnsiTheme="majorBidi" w:cstheme="majorBidi"/>
                <w:b/>
                <w:bCs/>
                <w:smallCaps/>
                <w:sz w:val="32"/>
                <w:szCs w:val="32"/>
                <w:lang w:val="es-ES" w:eastAsia="ja-JP"/>
              </w:rPr>
              <w:t>TSAG</w:t>
            </w:r>
          </w:p>
        </w:tc>
      </w:tr>
      <w:tr w:rsidR="00D16D90" w:rsidRPr="006A4399" w:rsidTr="00D16D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b/>
                <w:bCs/>
                <w:sz w:val="26"/>
                <w:szCs w:val="24"/>
                <w:lang w:val="es-ES" w:eastAsia="ja-JP"/>
              </w:rPr>
            </w:pPr>
          </w:p>
        </w:tc>
        <w:tc>
          <w:tcPr>
            <w:tcW w:w="5180" w:type="dxa"/>
            <w:gridSpan w:val="3"/>
            <w:vMerge/>
            <w:tcBorders>
              <w:bottom w:val="single" w:sz="12" w:space="0" w:color="auto"/>
            </w:tcBorders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b/>
                <w:bCs/>
                <w:sz w:val="26"/>
                <w:szCs w:val="24"/>
                <w:lang w:val="es-ES" w:eastAsia="ja-JP"/>
              </w:rPr>
            </w:pPr>
          </w:p>
        </w:tc>
        <w:tc>
          <w:tcPr>
            <w:tcW w:w="3553" w:type="dxa"/>
            <w:tcBorders>
              <w:bottom w:val="single" w:sz="12" w:space="0" w:color="auto"/>
            </w:tcBorders>
            <w:vAlign w:val="center"/>
          </w:tcPr>
          <w:p w:rsidR="00D16D90" w:rsidRPr="006A4399" w:rsidRDefault="00D16D90" w:rsidP="005F231B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s-ES" w:eastAsia="ja-JP"/>
              </w:rPr>
            </w:pPr>
            <w:r w:rsidRPr="006A4399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s-ES" w:eastAsia="ja-JP"/>
              </w:rPr>
              <w:t>Original: inglés</w:t>
            </w:r>
          </w:p>
        </w:tc>
      </w:tr>
      <w:tr w:rsidR="00D16D90" w:rsidRPr="00543516" w:rsidTr="00862B54">
        <w:trPr>
          <w:cantSplit/>
        </w:trPr>
        <w:tc>
          <w:tcPr>
            <w:tcW w:w="1596" w:type="dxa"/>
            <w:gridSpan w:val="2"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</w:pPr>
            <w:r w:rsidRPr="006A4399"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  <w:t>Cuestión(s):</w:t>
            </w:r>
          </w:p>
        </w:tc>
        <w:tc>
          <w:tcPr>
            <w:tcW w:w="3906" w:type="dxa"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szCs w:val="24"/>
                <w:lang w:val="es-ES" w:eastAsia="ja-JP"/>
              </w:rPr>
            </w:pPr>
            <w:r w:rsidRPr="008966C5">
              <w:rPr>
                <w:lang w:val="es-ES"/>
              </w:rPr>
              <w:t>N/A</w:t>
            </w:r>
          </w:p>
        </w:tc>
        <w:tc>
          <w:tcPr>
            <w:tcW w:w="4421" w:type="dxa"/>
            <w:gridSpan w:val="2"/>
          </w:tcPr>
          <w:p w:rsidR="00D16D90" w:rsidRPr="008966C5" w:rsidRDefault="00D16D90" w:rsidP="008966C5">
            <w:pPr>
              <w:rPr>
                <w:lang w:val="es-ES"/>
              </w:rPr>
            </w:pPr>
            <w:r w:rsidRPr="008966C5">
              <w:rPr>
                <w:lang w:val="es-ES"/>
              </w:rPr>
              <w:t xml:space="preserve">Ginebra, 26 de febrero – 2 de marzo </w:t>
            </w:r>
            <w:r w:rsidRPr="008966C5">
              <w:rPr>
                <w:lang w:val="es-ES"/>
              </w:rPr>
              <w:t xml:space="preserve">de </w:t>
            </w:r>
            <w:r w:rsidRPr="008966C5">
              <w:rPr>
                <w:lang w:val="es-ES"/>
              </w:rPr>
              <w:t>2018</w:t>
            </w:r>
          </w:p>
        </w:tc>
      </w:tr>
      <w:tr w:rsidR="00D16D90" w:rsidRPr="006A4399" w:rsidTr="005F231B">
        <w:trPr>
          <w:cantSplit/>
        </w:trPr>
        <w:tc>
          <w:tcPr>
            <w:tcW w:w="9923" w:type="dxa"/>
            <w:gridSpan w:val="5"/>
          </w:tcPr>
          <w:p w:rsidR="00D16D90" w:rsidRPr="006A4399" w:rsidRDefault="00D16D90" w:rsidP="005F231B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</w:pPr>
            <w:bookmarkStart w:id="1" w:name="ddoctype" w:colFirst="0" w:colLast="0"/>
            <w:r w:rsidRPr="006A4399"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  <w:t>TD</w:t>
            </w:r>
          </w:p>
        </w:tc>
      </w:tr>
      <w:bookmarkEnd w:id="1"/>
      <w:tr w:rsidR="00D16D90" w:rsidRPr="006A4399" w:rsidTr="00862B54">
        <w:trPr>
          <w:cantSplit/>
        </w:trPr>
        <w:tc>
          <w:tcPr>
            <w:tcW w:w="1596" w:type="dxa"/>
            <w:gridSpan w:val="2"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</w:pPr>
            <w:r w:rsidRPr="006A4399"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  <w:t>Origen:</w:t>
            </w:r>
          </w:p>
        </w:tc>
        <w:tc>
          <w:tcPr>
            <w:tcW w:w="8327" w:type="dxa"/>
            <w:gridSpan w:val="3"/>
          </w:tcPr>
          <w:p w:rsidR="00D16D90" w:rsidRPr="008966C5" w:rsidRDefault="00D16D90" w:rsidP="005F231B">
            <w:pPr>
              <w:rPr>
                <w:lang w:val="es-ES"/>
              </w:rPr>
            </w:pPr>
            <w:r w:rsidRPr="008966C5">
              <w:rPr>
                <w:lang w:val="es-ES"/>
              </w:rPr>
              <w:t>Director, TSB</w:t>
            </w:r>
          </w:p>
        </w:tc>
      </w:tr>
      <w:tr w:rsidR="00D16D90" w:rsidRPr="00543516" w:rsidTr="00862B54">
        <w:trPr>
          <w:cantSplit/>
        </w:trPr>
        <w:tc>
          <w:tcPr>
            <w:tcW w:w="1596" w:type="dxa"/>
            <w:gridSpan w:val="2"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szCs w:val="24"/>
                <w:lang w:val="es-ES" w:eastAsia="ja-JP"/>
              </w:rPr>
            </w:pPr>
            <w:r w:rsidRPr="006A4399"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  <w:t>Título:</w:t>
            </w:r>
          </w:p>
        </w:tc>
        <w:tc>
          <w:tcPr>
            <w:tcW w:w="8327" w:type="dxa"/>
            <w:gridSpan w:val="3"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szCs w:val="24"/>
                <w:lang w:val="es-ES" w:eastAsia="ja-JP"/>
              </w:rPr>
            </w:pPr>
            <w:r w:rsidRPr="006A4399">
              <w:rPr>
                <w:lang w:val="es-ES"/>
              </w:rPr>
              <w:t xml:space="preserve">Informe sobre las actividades del UIT-T </w:t>
            </w:r>
            <w:r w:rsidRPr="006A4399">
              <w:rPr>
                <w:rFonts w:asciiTheme="majorBidi" w:hAnsiTheme="majorBidi" w:cstheme="majorBidi"/>
                <w:lang w:val="es-ES"/>
              </w:rPr>
              <w:t>(de abril de 2017 a enero de 2018)</w:t>
            </w:r>
          </w:p>
        </w:tc>
      </w:tr>
      <w:tr w:rsidR="00D16D90" w:rsidRPr="006A4399" w:rsidTr="00862B54">
        <w:trPr>
          <w:cantSplit/>
        </w:trPr>
        <w:tc>
          <w:tcPr>
            <w:tcW w:w="1596" w:type="dxa"/>
            <w:gridSpan w:val="2"/>
            <w:tcBorders>
              <w:bottom w:val="single" w:sz="8" w:space="0" w:color="auto"/>
            </w:tcBorders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</w:pPr>
            <w:bookmarkStart w:id="2" w:name="dpurpose" w:colFirst="1" w:colLast="1"/>
            <w:r w:rsidRPr="006A4399"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  <w:t>Objeto:</w:t>
            </w:r>
          </w:p>
        </w:tc>
        <w:tc>
          <w:tcPr>
            <w:tcW w:w="8327" w:type="dxa"/>
            <w:gridSpan w:val="3"/>
            <w:tcBorders>
              <w:bottom w:val="single" w:sz="8" w:space="0" w:color="auto"/>
            </w:tcBorders>
          </w:tcPr>
          <w:p w:rsidR="00D16D90" w:rsidRPr="006A4399" w:rsidRDefault="00D16D90" w:rsidP="00862B54">
            <w:pPr>
              <w:rPr>
                <w:rFonts w:asciiTheme="majorBidi" w:eastAsiaTheme="minorEastAsia" w:hAnsiTheme="majorBidi" w:cstheme="majorBidi"/>
                <w:szCs w:val="24"/>
                <w:lang w:val="es-ES" w:eastAsia="ja-JP"/>
              </w:rPr>
            </w:pPr>
            <w:r w:rsidRPr="00862B54">
              <w:rPr>
                <w:lang w:val="es-ES"/>
              </w:rPr>
              <w:t>Información</w:t>
            </w:r>
          </w:p>
        </w:tc>
      </w:tr>
      <w:bookmarkEnd w:id="2"/>
      <w:tr w:rsidR="00D16D90" w:rsidRPr="006A4399" w:rsidTr="00862B54">
        <w:trPr>
          <w:cantSplit/>
        </w:trPr>
        <w:tc>
          <w:tcPr>
            <w:tcW w:w="15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16D90" w:rsidRPr="006A4399" w:rsidRDefault="00D16D90" w:rsidP="005F231B">
            <w:pPr>
              <w:spacing w:after="60"/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</w:pPr>
            <w:r w:rsidRPr="006A4399"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  <w:t>Contact</w:t>
            </w:r>
            <w:r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  <w:t>o</w:t>
            </w:r>
            <w:r w:rsidRPr="006A4399"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  <w:t>: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16D90" w:rsidRPr="00862B54" w:rsidRDefault="00D16D90" w:rsidP="00862B54">
            <w:pPr>
              <w:rPr>
                <w:lang w:val="es-ES"/>
              </w:rPr>
            </w:pPr>
            <w:r w:rsidRPr="00862B54">
              <w:rPr>
                <w:lang w:val="es-ES"/>
              </w:rPr>
              <w:t>TSB TSAG</w:t>
            </w:r>
          </w:p>
        </w:tc>
        <w:tc>
          <w:tcPr>
            <w:tcW w:w="3553" w:type="dxa"/>
            <w:tcBorders>
              <w:top w:val="single" w:sz="8" w:space="0" w:color="auto"/>
              <w:bottom w:val="single" w:sz="8" w:space="0" w:color="auto"/>
            </w:tcBorders>
          </w:tcPr>
          <w:p w:rsidR="00D16D90" w:rsidRPr="006A4399" w:rsidRDefault="00D16D90" w:rsidP="005F231B">
            <w:pPr>
              <w:spacing w:after="60"/>
              <w:rPr>
                <w:rFonts w:asciiTheme="majorBidi" w:eastAsiaTheme="minorEastAsia" w:hAnsiTheme="majorBidi" w:cstheme="majorBidi"/>
                <w:szCs w:val="24"/>
                <w:lang w:val="es-ES" w:eastAsia="ja-JP"/>
              </w:rPr>
            </w:pPr>
            <w:r w:rsidRPr="006A4399">
              <w:rPr>
                <w:rFonts w:asciiTheme="majorBidi" w:eastAsiaTheme="minorEastAsia" w:hAnsiTheme="majorBidi" w:cstheme="majorBidi"/>
                <w:szCs w:val="24"/>
                <w:lang w:val="es-ES" w:eastAsia="ja-JP"/>
              </w:rPr>
              <w:t>Correo</w:t>
            </w:r>
            <w:r w:rsidR="001E0992">
              <w:rPr>
                <w:rFonts w:asciiTheme="majorBidi" w:eastAsiaTheme="minorEastAsia" w:hAnsiTheme="majorBidi" w:cstheme="majorBidi"/>
                <w:szCs w:val="24"/>
                <w:lang w:val="es-ES" w:eastAsia="ja-JP"/>
              </w:rPr>
              <w:t>-e</w:t>
            </w:r>
            <w:r w:rsidRPr="006A4399">
              <w:rPr>
                <w:rFonts w:asciiTheme="majorBidi" w:eastAsiaTheme="minorEastAsia" w:hAnsiTheme="majorBidi" w:cstheme="majorBidi"/>
                <w:szCs w:val="24"/>
                <w:lang w:val="es-ES" w:eastAsia="ja-JP"/>
              </w:rPr>
              <w:t xml:space="preserve">: </w:t>
            </w:r>
            <w:hyperlink r:id="rId8" w:history="1">
              <w:r w:rsidRPr="006A4399">
                <w:rPr>
                  <w:rStyle w:val="Hyperlink"/>
                  <w:rFonts w:asciiTheme="majorBidi" w:eastAsiaTheme="minorEastAsia" w:hAnsiTheme="majorBidi" w:cstheme="majorBidi"/>
                  <w:szCs w:val="24"/>
                  <w:lang w:val="es-ES" w:eastAsia="ja-JP"/>
                </w:rPr>
                <w:t>tsbtsag@itu.int</w:t>
              </w:r>
            </w:hyperlink>
          </w:p>
        </w:tc>
      </w:tr>
    </w:tbl>
    <w:p w:rsidR="00D16D90" w:rsidRPr="006A4399" w:rsidRDefault="00D16D90" w:rsidP="00D16D90">
      <w:pPr>
        <w:rPr>
          <w:rFonts w:asciiTheme="majorBidi" w:hAnsiTheme="majorBidi" w:cstheme="majorBidi"/>
          <w:lang w:val="es-ES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16D90" w:rsidRPr="00543516" w:rsidTr="005F231B">
        <w:trPr>
          <w:cantSplit/>
        </w:trPr>
        <w:tc>
          <w:tcPr>
            <w:tcW w:w="1607" w:type="dxa"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</w:pPr>
            <w:bookmarkStart w:id="3" w:name="lt_pId020"/>
            <w:r w:rsidRPr="006A4399">
              <w:rPr>
                <w:rFonts w:asciiTheme="majorBidi" w:hAnsiTheme="majorBidi" w:cstheme="majorBidi"/>
                <w:b/>
                <w:bCs/>
                <w:lang w:val="es-ES"/>
              </w:rPr>
              <w:t>Palabras clave:</w:t>
            </w:r>
            <w:bookmarkEnd w:id="3"/>
          </w:p>
        </w:tc>
        <w:tc>
          <w:tcPr>
            <w:tcW w:w="8316" w:type="dxa"/>
          </w:tcPr>
          <w:p w:rsidR="00D16D90" w:rsidRPr="008966C5" w:rsidRDefault="00D16D90" w:rsidP="00862B54">
            <w:pPr>
              <w:rPr>
                <w:lang w:val="es-ES"/>
              </w:rPr>
            </w:pPr>
            <w:bookmarkStart w:id="4" w:name="lt_pId021"/>
            <w:r w:rsidRPr="008966C5">
              <w:rPr>
                <w:lang w:val="es-ES"/>
              </w:rPr>
              <w:t>Normalización</w:t>
            </w:r>
            <w:r w:rsidRPr="006A4399">
              <w:rPr>
                <w:lang w:val="es-ES"/>
              </w:rPr>
              <w:t xml:space="preserve">; Comisiones de Estudio; informe de actividades; </w:t>
            </w:r>
            <w:bookmarkEnd w:id="4"/>
            <w:r w:rsidRPr="006A4399">
              <w:rPr>
                <w:lang w:val="es-ES"/>
              </w:rPr>
              <w:t>principales resultados</w:t>
            </w:r>
          </w:p>
        </w:tc>
      </w:tr>
      <w:tr w:rsidR="00D16D90" w:rsidRPr="00543516" w:rsidTr="005F231B">
        <w:trPr>
          <w:cantSplit/>
        </w:trPr>
        <w:tc>
          <w:tcPr>
            <w:tcW w:w="1607" w:type="dxa"/>
          </w:tcPr>
          <w:p w:rsidR="00D16D90" w:rsidRPr="006A4399" w:rsidRDefault="00D16D90" w:rsidP="005F231B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</w:pPr>
            <w:r w:rsidRPr="006A4399">
              <w:rPr>
                <w:rFonts w:asciiTheme="majorBidi" w:eastAsiaTheme="minorEastAsia" w:hAnsiTheme="majorBidi" w:cstheme="majorBidi"/>
                <w:b/>
                <w:bCs/>
                <w:szCs w:val="24"/>
                <w:lang w:val="es-ES" w:eastAsia="ja-JP"/>
              </w:rPr>
              <w:t>Resumen:</w:t>
            </w:r>
          </w:p>
        </w:tc>
        <w:tc>
          <w:tcPr>
            <w:tcW w:w="8316" w:type="dxa"/>
          </w:tcPr>
          <w:p w:rsidR="00D16D90" w:rsidRPr="008966C5" w:rsidRDefault="00FE2948" w:rsidP="005F231B">
            <w:pPr>
              <w:rPr>
                <w:lang w:val="es-ES"/>
              </w:rPr>
            </w:pPr>
            <w:r w:rsidRPr="008966C5">
              <w:rPr>
                <w:lang w:val="es-ES"/>
              </w:rPr>
              <w:t>En este informe se resumen los principales resultados de las actividades de normalización del UIT-T de abril de 2017 a enero de 2018, así como las medidas adoptadas por la TSB para mejorar la plataforma de normalización del UIT-T.</w:t>
            </w:r>
          </w:p>
        </w:tc>
      </w:tr>
    </w:tbl>
    <w:p w:rsidR="00D16D90" w:rsidRDefault="00D16D90" w:rsidP="00FE2948">
      <w:r>
        <w:br w:type="page"/>
      </w:r>
    </w:p>
    <w:p w:rsidR="00D16D90" w:rsidRPr="00D16D90" w:rsidRDefault="00D16D90" w:rsidP="00FE2948">
      <w:pPr>
        <w:jc w:val="center"/>
        <w:rPr>
          <w:lang w:val="es-ES"/>
        </w:rPr>
      </w:pPr>
      <w:r w:rsidRPr="00D16D90">
        <w:rPr>
          <w:lang w:val="es-ES"/>
        </w:rPr>
        <w:lastRenderedPageBreak/>
        <w:t>ÍNDICE</w:t>
      </w:r>
    </w:p>
    <w:p w:rsidR="00D16D90" w:rsidRPr="00D16D90" w:rsidRDefault="00FE2948" w:rsidP="00FE2948">
      <w:pPr>
        <w:pStyle w:val="toc0"/>
        <w:rPr>
          <w:lang w:val="es-ES"/>
        </w:rPr>
      </w:pPr>
      <w:r>
        <w:rPr>
          <w:lang w:val="es-ES"/>
        </w:rPr>
        <w:tab/>
        <w:t>Página</w:t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 xml:space="preserve">Resumen ejecutivo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rPr>
          <w:lang w:val="es-ES"/>
        </w:rPr>
      </w:pPr>
      <w:r w:rsidRPr="00D16D90">
        <w:rPr>
          <w:lang w:val="es-ES"/>
        </w:rPr>
        <w:t>Anexo – Informe íntegro de las actividades del UIT-T (</w:t>
      </w:r>
      <w:r w:rsidR="00862B54" w:rsidRPr="00862B54">
        <w:rPr>
          <w:lang w:val="es-ES"/>
        </w:rPr>
        <w:t>de abril de 2017 a enero de 2018</w:t>
      </w:r>
      <w:r w:rsidRPr="00D16D90">
        <w:rPr>
          <w:lang w:val="es-ES"/>
        </w:rPr>
        <w:t>)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1</w:t>
      </w:r>
      <w:r w:rsidRPr="00D16D90">
        <w:rPr>
          <w:lang w:val="es-ES"/>
        </w:rPr>
        <w:tab/>
        <w:t xml:space="preserve">Redes de transporte y de acceso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1.1</w:t>
      </w:r>
      <w:r w:rsidRPr="00D16D90">
        <w:rPr>
          <w:lang w:val="es-ES"/>
        </w:rPr>
        <w:tab/>
        <w:t>G.fast y DSL: Revitalización de la infraestructura de cobre existente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1.2</w:t>
      </w:r>
      <w:r w:rsidRPr="00D16D90">
        <w:rPr>
          <w:lang w:val="es-ES"/>
        </w:rPr>
        <w:tab/>
        <w:t xml:space="preserve">Acceso por fibra a ultravelocidad, NG-PON2 inclusive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1.3</w:t>
      </w:r>
      <w:r w:rsidRPr="00D16D90">
        <w:rPr>
          <w:lang w:val="es-ES"/>
        </w:rPr>
        <w:tab/>
        <w:t xml:space="preserve">Fibra óptica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1.4</w:t>
      </w:r>
      <w:r w:rsidRPr="00D16D90">
        <w:rPr>
          <w:lang w:val="es-ES"/>
        </w:rPr>
        <w:tab/>
        <w:t>Red central óptica a ultravelocidad: OTN a más de 100G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1.5</w:t>
      </w:r>
      <w:r w:rsidRPr="00D16D90">
        <w:rPr>
          <w:lang w:val="es-ES"/>
        </w:rPr>
        <w:tab/>
        <w:t>Sistemas de transmisión ópticos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1.6</w:t>
      </w:r>
      <w:r w:rsidRPr="00D16D90">
        <w:rPr>
          <w:lang w:val="es-ES"/>
        </w:rPr>
        <w:tab/>
        <w:t xml:space="preserve">Aspectos de control de las redes de transporte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1.7</w:t>
      </w:r>
      <w:r w:rsidRPr="00D16D90">
        <w:rPr>
          <w:lang w:val="es-ES"/>
        </w:rPr>
        <w:tab/>
        <w:t xml:space="preserve">Ethernet por redes de transporte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1.8</w:t>
      </w:r>
      <w:r w:rsidRPr="00D16D90">
        <w:rPr>
          <w:lang w:val="es-ES"/>
        </w:rPr>
        <w:tab/>
        <w:t>MPLS por redes de transporte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1.9</w:t>
      </w:r>
      <w:r w:rsidRPr="00D16D90">
        <w:rPr>
          <w:lang w:val="es-ES"/>
        </w:rPr>
        <w:tab/>
        <w:t xml:space="preserve">Temporización y sincronización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1.10</w:t>
      </w:r>
      <w:r w:rsidRPr="00D16D90">
        <w:rPr>
          <w:lang w:val="es-ES"/>
        </w:rPr>
        <w:tab/>
        <w:t>Cable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2</w:t>
      </w:r>
      <w:r w:rsidRPr="00D16D90">
        <w:rPr>
          <w:lang w:val="es-ES"/>
        </w:rPr>
        <w:tab/>
        <w:t xml:space="preserve">Redes 5G inteligentes y soluciones de red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2.1</w:t>
      </w:r>
      <w:r w:rsidRPr="00D16D90">
        <w:rPr>
          <w:lang w:val="es-ES"/>
        </w:rPr>
        <w:tab/>
        <w:t>Redes de conexión móviles sincronizadas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2.2</w:t>
      </w:r>
      <w:r w:rsidRPr="00D16D90">
        <w:rPr>
          <w:lang w:val="es-ES"/>
        </w:rPr>
        <w:tab/>
        <w:t>Redes ubicuas inteligentes, evolución de las redes de la próxima generación y redes futuras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2.3</w:t>
      </w:r>
      <w:r w:rsidRPr="00D16D90">
        <w:rPr>
          <w:lang w:val="es-ES"/>
        </w:rPr>
        <w:tab/>
        <w:t xml:space="preserve">Redes IMT-2020/5G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2.4</w:t>
      </w:r>
      <w:r w:rsidRPr="00D16D90">
        <w:rPr>
          <w:lang w:val="es-ES"/>
        </w:rPr>
        <w:tab/>
        <w:t xml:space="preserve">Redes domésticas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2.5</w:t>
      </w:r>
      <w:r w:rsidRPr="00D16D90">
        <w:rPr>
          <w:lang w:val="es-ES"/>
        </w:rPr>
        <w:tab/>
        <w:t xml:space="preserve">Red eléctrica inteligente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2.6</w:t>
      </w:r>
      <w:r w:rsidRPr="00D16D90">
        <w:rPr>
          <w:lang w:val="es-ES"/>
        </w:rPr>
        <w:tab/>
        <w:t xml:space="preserve">Redes definidas por software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2.7</w:t>
      </w:r>
      <w:r w:rsidRPr="00D16D90">
        <w:rPr>
          <w:lang w:val="es-ES"/>
        </w:rPr>
        <w:tab/>
        <w:t xml:space="preserve">Computación en la nube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2.8</w:t>
      </w:r>
      <w:r w:rsidRPr="00D16D90">
        <w:rPr>
          <w:lang w:val="es-ES"/>
        </w:rPr>
        <w:tab/>
        <w:t xml:space="preserve">Macrodatos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2.9</w:t>
      </w:r>
      <w:r w:rsidRPr="00D16D90">
        <w:rPr>
          <w:lang w:val="es-ES"/>
        </w:rPr>
        <w:tab/>
        <w:t xml:space="preserve">Gestión de red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3</w:t>
      </w:r>
      <w:r w:rsidRPr="00D16D90">
        <w:rPr>
          <w:lang w:val="es-ES"/>
        </w:rPr>
        <w:tab/>
        <w:t>Soluciones radiodifusión/redes de medios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3.1</w:t>
      </w:r>
      <w:r w:rsidRPr="00D16D90">
        <w:rPr>
          <w:lang w:val="es-ES"/>
        </w:rPr>
        <w:tab/>
        <w:t>Codificación de vídeo e imágenes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3.2</w:t>
      </w:r>
      <w:r w:rsidRPr="00D16D90">
        <w:rPr>
          <w:lang w:val="es-ES"/>
        </w:rPr>
        <w:tab/>
        <w:t>Sistemas de vigilancia visual interoperables e inteligentes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3.3</w:t>
      </w:r>
      <w:r w:rsidRPr="00D16D90">
        <w:rPr>
          <w:lang w:val="es-ES"/>
        </w:rPr>
        <w:tab/>
        <w:t>Sistemas de televisión inteligentes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3.4</w:t>
      </w:r>
      <w:r w:rsidRPr="00D16D90">
        <w:rPr>
          <w:lang w:val="es-ES"/>
        </w:rPr>
        <w:tab/>
        <w:t>TVIP y señalética digital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3.5</w:t>
      </w:r>
      <w:r w:rsidRPr="00D16D90">
        <w:rPr>
          <w:lang w:val="es-ES"/>
        </w:rPr>
        <w:tab/>
        <w:t>Banco mundial de pruebas de TVIP con IPv6 de la UIT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3.6</w:t>
      </w:r>
      <w:r w:rsidRPr="00D16D90">
        <w:rPr>
          <w:lang w:val="es-ES"/>
        </w:rPr>
        <w:tab/>
        <w:t>Experiencias inmersivas en directo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3.7</w:t>
      </w:r>
      <w:r w:rsidRPr="00D16D90">
        <w:rPr>
          <w:lang w:val="es-ES"/>
        </w:rPr>
        <w:tab/>
        <w:t xml:space="preserve">Normas para evaluar la calidad de la transmisión secuencial </w:t>
      </w:r>
      <w:r w:rsidRPr="00D16D90">
        <w:rPr>
          <w:lang w:val="es-ES"/>
        </w:rPr>
        <w:br/>
        <w:t>de vídeo a velocidad adaptativa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3.8</w:t>
      </w:r>
      <w:r w:rsidRPr="00D16D90">
        <w:rPr>
          <w:lang w:val="es-ES"/>
        </w:rPr>
        <w:tab/>
        <w:t xml:space="preserve">Nuevos servicios y aplicaciones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862B54" w:rsidRPr="00D16D90" w:rsidRDefault="00862B54" w:rsidP="00862B54">
      <w:pPr>
        <w:pStyle w:val="toc0"/>
        <w:rPr>
          <w:lang w:val="es-ES"/>
        </w:rPr>
      </w:pPr>
      <w:r>
        <w:rPr>
          <w:lang w:val="es-ES"/>
        </w:rPr>
        <w:lastRenderedPageBreak/>
        <w:tab/>
        <w:t>Página</w:t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4</w:t>
      </w:r>
      <w:r w:rsidRPr="00D16D90">
        <w:rPr>
          <w:lang w:val="es-ES"/>
        </w:rPr>
        <w:tab/>
        <w:t>Mundo inteligente e hiperconectado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4.1</w:t>
      </w:r>
      <w:r w:rsidRPr="00D16D90">
        <w:rPr>
          <w:lang w:val="es-ES"/>
        </w:rPr>
        <w:tab/>
        <w:t>Internet de las cosas y ciudades inteligentes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4.2</w:t>
      </w:r>
      <w:r w:rsidRPr="00D16D90">
        <w:rPr>
          <w:lang w:val="es-ES"/>
        </w:rPr>
        <w:tab/>
        <w:t>Iniciativa mundial sobre ciudades inteligentes y sostenibles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4.3</w:t>
      </w:r>
      <w:r w:rsidRPr="00D16D90">
        <w:rPr>
          <w:lang w:val="es-ES"/>
        </w:rPr>
        <w:tab/>
        <w:t>Ciudades que están probando los indicadores fundamentales de rendimiento de la UIT para las ciudades inteligentes y sostenibles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4.4</w:t>
      </w:r>
      <w:r w:rsidRPr="00D16D90">
        <w:rPr>
          <w:lang w:val="es-ES"/>
        </w:rPr>
        <w:tab/>
        <w:t>Vehículos conectados, conducción autónoma y sistemas de transporte inteligente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4.5</w:t>
      </w:r>
      <w:r w:rsidRPr="00D16D90">
        <w:rPr>
          <w:lang w:val="es-ES"/>
        </w:rPr>
        <w:tab/>
        <w:t>Sanidad conectada: cibersalud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5</w:t>
      </w:r>
      <w:r w:rsidRPr="00D16D90">
        <w:rPr>
          <w:lang w:val="es-ES"/>
        </w:rPr>
        <w:tab/>
        <w:t>Seguridad y confianza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5.1</w:t>
      </w:r>
      <w:r w:rsidRPr="00D16D90">
        <w:rPr>
          <w:lang w:val="es-ES"/>
        </w:rPr>
        <w:tab/>
        <w:t>Nuevas normas de seguridad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5.2</w:t>
      </w:r>
      <w:r w:rsidRPr="00D16D90">
        <w:rPr>
          <w:lang w:val="es-ES"/>
        </w:rPr>
        <w:tab/>
        <w:t>Confianza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6</w:t>
      </w:r>
      <w:r w:rsidRPr="00D16D90">
        <w:rPr>
          <w:lang w:val="es-ES"/>
        </w:rPr>
        <w:tab/>
        <w:t>Medio ambiente y comunicaciones de emergencia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6.1</w:t>
      </w:r>
      <w:r w:rsidRPr="00D16D90">
        <w:rPr>
          <w:lang w:val="es-ES"/>
        </w:rPr>
        <w:tab/>
        <w:t>Normas para TIC ecológicas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6.2</w:t>
      </w:r>
      <w:r w:rsidRPr="00D16D90">
        <w:rPr>
          <w:lang w:val="es-ES"/>
        </w:rPr>
        <w:tab/>
        <w:t>Campos electromagnéticos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6.3</w:t>
      </w:r>
      <w:r w:rsidRPr="00D16D90">
        <w:rPr>
          <w:lang w:val="es-ES"/>
        </w:rPr>
        <w:tab/>
        <w:t>Sistemas de cables submarinos SMART*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2D7BF2">
      <w:pPr>
        <w:pStyle w:val="TOC1"/>
        <w:ind w:left="1360"/>
        <w:rPr>
          <w:lang w:val="es-ES"/>
        </w:rPr>
      </w:pPr>
      <w:r w:rsidRPr="00D16D90">
        <w:rPr>
          <w:lang w:val="es-ES"/>
        </w:rPr>
        <w:t>6.4</w:t>
      </w:r>
      <w:r w:rsidRPr="00D16D90">
        <w:rPr>
          <w:lang w:val="es-ES"/>
        </w:rPr>
        <w:tab/>
      </w:r>
      <w:r w:rsidR="002D7BF2">
        <w:rPr>
          <w:lang w:val="es-ES"/>
        </w:rPr>
        <w:t>C</w:t>
      </w:r>
      <w:r w:rsidR="00E866EF" w:rsidRPr="00E866EF">
        <w:rPr>
          <w:lang w:val="es-ES"/>
        </w:rPr>
        <w:t>omunicaciones de emergencia y operaciones de socorro en situaciones de catástrofe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7</w:t>
      </w:r>
      <w:r w:rsidRPr="00D16D90">
        <w:rPr>
          <w:lang w:val="es-ES"/>
        </w:rPr>
        <w:tab/>
        <w:t>Principios de tarificación y contabilidad y cuestiones económicas y políticas de las telecomunicaciones/TIC internacionales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7.1</w:t>
      </w:r>
      <w:r w:rsidRPr="00D16D90">
        <w:rPr>
          <w:lang w:val="es-ES"/>
        </w:rPr>
        <w:tab/>
        <w:t xml:space="preserve">Repercusiones económicas de las IXP, el servicio universal, las NGN, la itinerancia móvil y OTT SMP y valoración del espectro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8</w:t>
      </w:r>
      <w:r w:rsidRPr="00D16D90">
        <w:rPr>
          <w:lang w:val="es-ES"/>
        </w:rPr>
        <w:tab/>
        <w:t xml:space="preserve">Calidad de servicio y calidad percibida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9</w:t>
      </w:r>
      <w:r w:rsidRPr="00D16D90">
        <w:rPr>
          <w:lang w:val="es-ES"/>
        </w:rPr>
        <w:tab/>
        <w:t>Conformidad, interoperabilidad y pruebas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9.1</w:t>
      </w:r>
      <w:r w:rsidRPr="00D16D90">
        <w:rPr>
          <w:lang w:val="es-ES"/>
        </w:rPr>
        <w:tab/>
        <w:t>Comité de Dirección sobre Evaluaciones de Conformidad (CASC)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9.2</w:t>
      </w:r>
      <w:r w:rsidRPr="00D16D90">
        <w:rPr>
          <w:lang w:val="es-ES"/>
        </w:rPr>
        <w:tab/>
        <w:t>Base de datos de la conformidad de productos TIC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9.3</w:t>
      </w:r>
      <w:r w:rsidRPr="00D16D90">
        <w:rPr>
          <w:lang w:val="es-ES"/>
        </w:rPr>
        <w:tab/>
        <w:t>Evaluación de la conformidad SIP-IMS y pruebas de in</w:t>
      </w:r>
      <w:r w:rsidR="008966C5">
        <w:rPr>
          <w:lang w:val="es-ES"/>
        </w:rPr>
        <w:t>t</w:t>
      </w:r>
      <w:r w:rsidRPr="00D16D90">
        <w:rPr>
          <w:lang w:val="es-ES"/>
        </w:rPr>
        <w:t xml:space="preserve">erconexión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9.4</w:t>
      </w:r>
      <w:r w:rsidRPr="00D16D90">
        <w:rPr>
          <w:lang w:val="es-ES"/>
        </w:rPr>
        <w:tab/>
        <w:t>Mediciones de la calidad de funcionamiento de Internet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9.5</w:t>
      </w:r>
      <w:r w:rsidRPr="00D16D90">
        <w:rPr>
          <w:lang w:val="es-ES"/>
        </w:rPr>
        <w:tab/>
        <w:t>Eventos de pruebas TVIP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9.6</w:t>
      </w:r>
      <w:r w:rsidRPr="00D16D90">
        <w:rPr>
          <w:lang w:val="es-ES"/>
        </w:rPr>
        <w:tab/>
        <w:t xml:space="preserve">Estudios del UIT-T sobre interconexión/interoperabilidad de servicios </w:t>
      </w:r>
      <w:r w:rsidRPr="00D16D90">
        <w:rPr>
          <w:lang w:val="es-ES"/>
        </w:rPr>
        <w:br/>
        <w:t>VoLTE/ViLTE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9.7</w:t>
      </w:r>
      <w:r w:rsidRPr="00D16D90">
        <w:rPr>
          <w:lang w:val="es-ES"/>
        </w:rPr>
        <w:tab/>
        <w:t xml:space="preserve">Prueba de la calidad de funcionamiento de teléfonos móviles con terminales manos libres en vehículos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9.8</w:t>
      </w:r>
      <w:r w:rsidRPr="00D16D90">
        <w:rPr>
          <w:lang w:val="es-ES"/>
        </w:rPr>
        <w:tab/>
        <w:t xml:space="preserve">Prueba de Internet de las cosas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10</w:t>
      </w:r>
      <w:r w:rsidRPr="00D16D90">
        <w:rPr>
          <w:lang w:val="es-ES"/>
        </w:rPr>
        <w:tab/>
        <w:t>Fomento de la accesibilidad en las TIC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10.1</w:t>
      </w:r>
      <w:r w:rsidRPr="00D16D90">
        <w:rPr>
          <w:lang w:val="es-ES"/>
        </w:rPr>
        <w:tab/>
        <w:t xml:space="preserve">Reuniones del UIT-T accesibles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10.2</w:t>
      </w:r>
      <w:r w:rsidRPr="00D16D90">
        <w:rPr>
          <w:lang w:val="es-ES"/>
        </w:rPr>
        <w:tab/>
        <w:t>Actividad Conjunta de Coordinación sobre accesibilidad y factores humanos (JCA</w:t>
      </w:r>
      <w:r w:rsidR="00FE2948">
        <w:rPr>
          <w:lang w:val="es-ES"/>
        </w:rPr>
        <w:noBreakHyphen/>
      </w:r>
      <w:r w:rsidRPr="00D16D90">
        <w:rPr>
          <w:lang w:val="es-ES"/>
        </w:rPr>
        <w:t>AHF)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862B54" w:rsidRPr="00D16D90" w:rsidRDefault="00862B54" w:rsidP="00862B54">
      <w:pPr>
        <w:pStyle w:val="toc0"/>
        <w:rPr>
          <w:lang w:val="es-ES"/>
        </w:rPr>
      </w:pPr>
      <w:r>
        <w:rPr>
          <w:lang w:val="es-ES"/>
        </w:rPr>
        <w:lastRenderedPageBreak/>
        <w:tab/>
        <w:t>Página</w:t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11</w:t>
      </w:r>
      <w:r w:rsidRPr="00D16D90">
        <w:rPr>
          <w:lang w:val="es-ES"/>
        </w:rPr>
        <w:tab/>
        <w:t>Derechos de propiedad intelectual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B6BB4">
      <w:pPr>
        <w:pStyle w:val="TOC1"/>
        <w:ind w:left="1360"/>
        <w:rPr>
          <w:lang w:val="es-ES"/>
        </w:rPr>
      </w:pPr>
      <w:r w:rsidRPr="00D16D90">
        <w:rPr>
          <w:lang w:val="es-ES"/>
        </w:rPr>
        <w:t>11.1</w:t>
      </w:r>
      <w:r w:rsidRPr="00D16D90">
        <w:rPr>
          <w:lang w:val="es-ES"/>
        </w:rPr>
        <w:tab/>
        <w:t>Grupo ad</w:t>
      </w:r>
      <w:r w:rsidR="008B6BB4">
        <w:rPr>
          <w:lang w:val="es-ES"/>
        </w:rPr>
        <w:t xml:space="preserve"> </w:t>
      </w:r>
      <w:r w:rsidRPr="00D16D90">
        <w:rPr>
          <w:lang w:val="es-ES"/>
        </w:rPr>
        <w:t xml:space="preserve">hoc sobre </w:t>
      </w:r>
      <w:r w:rsidR="008B6BB4">
        <w:rPr>
          <w:lang w:val="es-ES"/>
        </w:rPr>
        <w:t>d</w:t>
      </w:r>
      <w:r w:rsidRPr="00D16D90">
        <w:rPr>
          <w:lang w:val="es-ES"/>
        </w:rPr>
        <w:t>erechos de propiedad intelectual del Director de la</w:t>
      </w:r>
      <w:r w:rsidR="008966C5">
        <w:rPr>
          <w:lang w:val="es-ES"/>
        </w:rPr>
        <w:t> </w:t>
      </w:r>
      <w:r w:rsidRPr="00D16D90">
        <w:rPr>
          <w:lang w:val="es-ES"/>
        </w:rPr>
        <w:t>TSB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12</w:t>
      </w:r>
      <w:r w:rsidRPr="00D16D90">
        <w:rPr>
          <w:lang w:val="es-ES"/>
        </w:rPr>
        <w:tab/>
        <w:t xml:space="preserve">Lucha contra la falsificación y el robo de dispositivos TIC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966C5">
      <w:pPr>
        <w:pStyle w:val="TOC1"/>
        <w:rPr>
          <w:lang w:val="es-ES"/>
        </w:rPr>
      </w:pPr>
      <w:r w:rsidRPr="00D16D90">
        <w:rPr>
          <w:lang w:val="es-ES"/>
        </w:rPr>
        <w:t>13</w:t>
      </w:r>
      <w:r w:rsidRPr="00D16D90">
        <w:rPr>
          <w:lang w:val="es-ES"/>
        </w:rPr>
        <w:tab/>
        <w:t>Grupos Temáticos del UIT-T: explorar nuevos horizontes de normalización en la</w:t>
      </w:r>
      <w:r w:rsidR="008966C5">
        <w:rPr>
          <w:lang w:val="es-ES"/>
        </w:rPr>
        <w:t> </w:t>
      </w:r>
      <w:r w:rsidRPr="00D16D90">
        <w:rPr>
          <w:lang w:val="es-ES"/>
        </w:rPr>
        <w:t>UIT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13.1</w:t>
      </w:r>
      <w:r w:rsidRPr="00D16D90">
        <w:rPr>
          <w:lang w:val="es-ES"/>
        </w:rPr>
        <w:tab/>
        <w:t>Procesamiento y gestión de datos para IoT y ciudades y comunidades inteligentes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13.2</w:t>
      </w:r>
      <w:r w:rsidRPr="00D16D90">
        <w:rPr>
          <w:lang w:val="es-ES"/>
        </w:rPr>
        <w:tab/>
        <w:t>Moneda digital, incluida la moneda fiduciaria digital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13.3</w:t>
      </w:r>
      <w:r w:rsidRPr="00D16D90">
        <w:rPr>
          <w:lang w:val="es-ES"/>
        </w:rPr>
        <w:tab/>
        <w:t xml:space="preserve">Aplicación de la tecnología de libro mayor distribuido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13.4</w:t>
      </w:r>
      <w:r w:rsidRPr="00D16D90">
        <w:rPr>
          <w:lang w:val="es-ES"/>
        </w:rPr>
        <w:tab/>
        <w:t>Aprendizaje automático en sistemas 5G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14</w:t>
      </w:r>
      <w:r w:rsidRPr="00D16D90">
        <w:rPr>
          <w:lang w:val="es-ES"/>
        </w:rPr>
        <w:tab/>
        <w:t>Colaboración en la normalización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14.1</w:t>
      </w:r>
      <w:r w:rsidRPr="00D16D90">
        <w:rPr>
          <w:lang w:val="es-ES"/>
        </w:rPr>
        <w:tab/>
        <w:t>Coordinación y cooperación entre los Sectores de la UIT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14.2</w:t>
      </w:r>
      <w:r w:rsidRPr="00D16D90">
        <w:rPr>
          <w:lang w:val="es-ES"/>
        </w:rPr>
        <w:tab/>
        <w:t>Asistencia general y cooperación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14.3</w:t>
      </w:r>
      <w:r w:rsidRPr="00D16D90">
        <w:rPr>
          <w:lang w:val="es-ES"/>
        </w:rPr>
        <w:tab/>
        <w:t>MoU y acuerdos de cooperación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14.4</w:t>
      </w:r>
      <w:r w:rsidRPr="00D16D90">
        <w:rPr>
          <w:lang w:val="es-ES"/>
        </w:rPr>
        <w:tab/>
        <w:t>Cooperación con organizaciones de normalización nacionales y regionales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15</w:t>
      </w:r>
      <w:r w:rsidRPr="00D16D90">
        <w:rPr>
          <w:lang w:val="es-ES"/>
        </w:rPr>
        <w:tab/>
        <w:t xml:space="preserve">Reducción de la brecha de normalización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15.1</w:t>
      </w:r>
      <w:r w:rsidRPr="00D16D90">
        <w:rPr>
          <w:lang w:val="es-ES"/>
        </w:rPr>
        <w:tab/>
        <w:t xml:space="preserve">Sesiones de formación práctica en BSG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15.2</w:t>
      </w:r>
      <w:r w:rsidRPr="00D16D90">
        <w:rPr>
          <w:lang w:val="es-ES"/>
        </w:rPr>
        <w:tab/>
        <w:t>Grupos Regionales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15.3</w:t>
      </w:r>
      <w:r w:rsidRPr="00D16D90">
        <w:rPr>
          <w:lang w:val="es-ES"/>
        </w:rPr>
        <w:tab/>
        <w:t xml:space="preserve">Foros de normalización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15.4</w:t>
      </w:r>
      <w:r w:rsidRPr="00D16D90">
        <w:rPr>
          <w:lang w:val="es-ES"/>
        </w:rPr>
        <w:tab/>
        <w:t xml:space="preserve">Secretarías nacionales de normalización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15.5</w:t>
      </w:r>
      <w:r w:rsidRPr="00D16D90">
        <w:rPr>
          <w:lang w:val="es-ES"/>
        </w:rPr>
        <w:tab/>
        <w:t>Cursos de ciberenseñanza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15.6</w:t>
      </w:r>
      <w:r w:rsidRPr="00D16D90">
        <w:rPr>
          <w:lang w:val="es-ES"/>
        </w:rPr>
        <w:tab/>
        <w:t xml:space="preserve">Programa de tutorías para las Comisiones de Estudio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15.7</w:t>
      </w:r>
      <w:r w:rsidRPr="00D16D90">
        <w:rPr>
          <w:lang w:val="es-ES"/>
        </w:rPr>
        <w:tab/>
        <w:t xml:space="preserve">Artículos técnicos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15.8</w:t>
      </w:r>
      <w:r w:rsidRPr="00D16D90">
        <w:rPr>
          <w:lang w:val="es-ES"/>
        </w:rPr>
        <w:tab/>
        <w:t xml:space="preserve">Becas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15.9</w:t>
      </w:r>
      <w:r w:rsidRPr="00D16D90">
        <w:rPr>
          <w:lang w:val="es-ES"/>
        </w:rPr>
        <w:tab/>
        <w:t>Programa 4 de BSG: Recaudación de fondos para reducir la brecha de normalización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16</w:t>
      </w:r>
      <w:r w:rsidRPr="00D16D90">
        <w:rPr>
          <w:lang w:val="es-ES"/>
        </w:rPr>
        <w:tab/>
        <w:t xml:space="preserve">Miembros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16.1</w:t>
      </w:r>
      <w:r w:rsidRPr="00D16D90">
        <w:rPr>
          <w:lang w:val="es-ES"/>
        </w:rPr>
        <w:tab/>
        <w:t>Evolución del número de miembros del UIT-T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16.2</w:t>
      </w:r>
      <w:r w:rsidRPr="00D16D90">
        <w:rPr>
          <w:lang w:val="es-ES"/>
        </w:rPr>
        <w:tab/>
        <w:t>Programa de afiliación de operadores de red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16.3</w:t>
      </w:r>
      <w:r w:rsidRPr="00D16D90">
        <w:rPr>
          <w:lang w:val="es-ES"/>
        </w:rPr>
        <w:tab/>
        <w:t>Género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69218C">
      <w:pPr>
        <w:pStyle w:val="TOC1"/>
        <w:rPr>
          <w:lang w:val="es-ES"/>
        </w:rPr>
      </w:pPr>
      <w:r w:rsidRPr="00D16D90">
        <w:rPr>
          <w:lang w:val="es-ES"/>
        </w:rPr>
        <w:t>17</w:t>
      </w:r>
      <w:r w:rsidRPr="00D16D90">
        <w:rPr>
          <w:lang w:val="es-ES"/>
        </w:rPr>
        <w:tab/>
        <w:t xml:space="preserve">Instituciones </w:t>
      </w:r>
      <w:r w:rsidR="0069218C">
        <w:rPr>
          <w:lang w:val="es-ES"/>
        </w:rPr>
        <w:t>A</w:t>
      </w:r>
      <w:r w:rsidRPr="00D16D90">
        <w:rPr>
          <w:lang w:val="es-ES"/>
        </w:rPr>
        <w:t>cadémicas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18</w:t>
      </w:r>
      <w:r w:rsidRPr="00D16D90">
        <w:rPr>
          <w:lang w:val="es-ES"/>
        </w:rPr>
        <w:tab/>
        <w:t>Publicaciones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19</w:t>
      </w:r>
      <w:r w:rsidRPr="00D16D90">
        <w:rPr>
          <w:lang w:val="es-ES"/>
        </w:rPr>
        <w:tab/>
        <w:t>Medios de comunicación y promoción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lastRenderedPageBreak/>
        <w:t>20</w:t>
      </w:r>
      <w:r w:rsidRPr="00D16D90">
        <w:rPr>
          <w:lang w:val="es-ES"/>
        </w:rPr>
        <w:tab/>
      </w:r>
      <w:r w:rsidR="008966C5">
        <w:rPr>
          <w:lang w:val="es-ES"/>
        </w:rPr>
        <w:t>Ser</w:t>
      </w:r>
      <w:r w:rsidRPr="00D16D90">
        <w:rPr>
          <w:lang w:val="es-ES"/>
        </w:rPr>
        <w:t xml:space="preserve">vicios y herramientas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fr-CH"/>
        </w:rPr>
      </w:pPr>
      <w:r w:rsidRPr="00D16D90">
        <w:rPr>
          <w:lang w:val="fr-CH"/>
        </w:rPr>
        <w:t>20.1</w:t>
      </w:r>
      <w:r w:rsidRPr="00D16D90">
        <w:rPr>
          <w:lang w:val="fr-CH"/>
        </w:rPr>
        <w:tab/>
        <w:t xml:space="preserve">Portales web notables del UIT-T </w:t>
      </w:r>
      <w:r w:rsidRPr="00D16D90">
        <w:rPr>
          <w:webHidden/>
          <w:lang w:val="fr-CH"/>
        </w:rPr>
        <w:tab/>
      </w:r>
      <w:r w:rsidR="00FE2948">
        <w:rPr>
          <w:webHidden/>
          <w:lang w:val="fr-CH"/>
        </w:rPr>
        <w:tab/>
      </w:r>
    </w:p>
    <w:p w:rsidR="008B6BB4" w:rsidRPr="00D16D90" w:rsidRDefault="008B6BB4" w:rsidP="008B6BB4">
      <w:pPr>
        <w:pStyle w:val="toc0"/>
        <w:keepNext/>
        <w:keepLines/>
        <w:rPr>
          <w:lang w:val="es-ES"/>
        </w:rPr>
      </w:pPr>
      <w:r>
        <w:rPr>
          <w:lang w:val="es-ES"/>
        </w:rPr>
        <w:tab/>
        <w:t>Página</w:t>
      </w:r>
    </w:p>
    <w:p w:rsidR="00D16D90" w:rsidRPr="0069218C" w:rsidRDefault="00D16D90" w:rsidP="00862B54">
      <w:pPr>
        <w:pStyle w:val="TOC1"/>
        <w:ind w:left="1360"/>
      </w:pPr>
      <w:r w:rsidRPr="0069218C">
        <w:t>20.2</w:t>
      </w:r>
      <w:r w:rsidRPr="0069218C">
        <w:tab/>
        <w:t xml:space="preserve">MyWorkspace del UIT-T </w:t>
      </w:r>
      <w:r w:rsidRPr="0069218C">
        <w:rPr>
          <w:webHidden/>
        </w:rPr>
        <w:tab/>
      </w:r>
      <w:r w:rsidR="00FE2948" w:rsidRPr="0069218C">
        <w:rPr>
          <w:webHidden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20.3</w:t>
      </w:r>
      <w:r w:rsidRPr="00D16D90">
        <w:rPr>
          <w:lang w:val="es-ES"/>
        </w:rPr>
        <w:tab/>
        <w:t>Motor de búsqueda de la UIT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20.4</w:t>
      </w:r>
      <w:r w:rsidRPr="00D16D90">
        <w:rPr>
          <w:lang w:val="es-ES"/>
        </w:rPr>
        <w:tab/>
        <w:t>Anuncios de servicios y herramientas del UIT-T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20.5</w:t>
      </w:r>
      <w:r w:rsidRPr="00D16D90">
        <w:rPr>
          <w:lang w:val="es-ES"/>
        </w:rPr>
        <w:tab/>
        <w:t xml:space="preserve">Sistema de gestión de documentos para Grupos de Relator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20.6</w:t>
      </w:r>
      <w:r w:rsidRPr="00D16D90">
        <w:rPr>
          <w:lang w:val="es-ES"/>
        </w:rPr>
        <w:tab/>
        <w:t xml:space="preserve">Recursos internacionales de numeración </w:t>
      </w:r>
      <w:r w:rsidR="008966C5">
        <w:rPr>
          <w:lang w:val="es-ES"/>
        </w:rPr>
        <w:t>(INR</w:t>
      </w:r>
      <w:r w:rsidRPr="00D16D90">
        <w:rPr>
          <w:lang w:val="es-ES"/>
        </w:rPr>
        <w:t>)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20.7</w:t>
      </w:r>
      <w:r w:rsidRPr="00D16D90">
        <w:rPr>
          <w:lang w:val="es-ES"/>
        </w:rPr>
        <w:tab/>
        <w:t>Sitios de colaboración SharePoint de las Comisiones de Estudio del UIT-T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20.8</w:t>
      </w:r>
      <w:r w:rsidRPr="00D16D90">
        <w:rPr>
          <w:lang w:val="es-ES"/>
        </w:rPr>
        <w:tab/>
        <w:t>Aplicación para sincronizar documentos de reunión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20.9</w:t>
      </w:r>
      <w:r w:rsidRPr="00D16D90">
        <w:rPr>
          <w:lang w:val="es-ES"/>
        </w:rPr>
        <w:tab/>
        <w:t>Reuniones electrónicas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20.10</w:t>
      </w:r>
      <w:r w:rsidRPr="00D16D90">
        <w:rPr>
          <w:lang w:val="es-ES"/>
        </w:rPr>
        <w:tab/>
        <w:t xml:space="preserve">Utilización en el UIT-T de los idiomas de la Unión en igualdad de condiciones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62B54">
      <w:pPr>
        <w:pStyle w:val="TOC1"/>
        <w:ind w:left="1360"/>
        <w:rPr>
          <w:lang w:val="es-ES"/>
        </w:rPr>
      </w:pPr>
      <w:r w:rsidRPr="00D16D90">
        <w:rPr>
          <w:lang w:val="es-ES"/>
        </w:rPr>
        <w:t>20.11</w:t>
      </w:r>
      <w:r w:rsidRPr="00D16D90">
        <w:rPr>
          <w:lang w:val="es-ES"/>
        </w:rPr>
        <w:tab/>
        <w:t xml:space="preserve">Talleres y Simposios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21</w:t>
      </w:r>
      <w:r w:rsidRPr="00D16D90">
        <w:rPr>
          <w:lang w:val="es-ES"/>
        </w:rPr>
        <w:tab/>
        <w:t>Aplicación de las Resoluciones de la AMNT-16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22</w:t>
      </w:r>
      <w:r w:rsidRPr="00D16D90">
        <w:rPr>
          <w:lang w:val="es-ES"/>
        </w:rPr>
        <w:tab/>
        <w:t>Actividades del UIT-T en aplicación de la CMSI y los Objetivos de Desarrollo Sostenible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23</w:t>
      </w:r>
      <w:r w:rsidRPr="00D16D90">
        <w:rPr>
          <w:lang w:val="es-ES"/>
        </w:rPr>
        <w:tab/>
        <w:t xml:space="preserve">Aplicación de las Recomendaciones UIT-T de la serie A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8966C5">
      <w:pPr>
        <w:pStyle w:val="TOC1"/>
        <w:ind w:left="1360"/>
        <w:rPr>
          <w:lang w:val="es-ES"/>
        </w:rPr>
      </w:pPr>
      <w:r w:rsidRPr="00D16D90">
        <w:rPr>
          <w:lang w:val="es-ES"/>
        </w:rPr>
        <w:t>23.1</w:t>
      </w:r>
      <w:r w:rsidRPr="00D16D90">
        <w:rPr>
          <w:lang w:val="es-ES"/>
        </w:rPr>
        <w:tab/>
        <w:t>Aplicación a título de prueba autorizada por el GADT (reunión de julio de</w:t>
      </w:r>
      <w:r w:rsidR="008966C5">
        <w:rPr>
          <w:lang w:val="es-ES"/>
        </w:rPr>
        <w:t> </w:t>
      </w:r>
      <w:r w:rsidRPr="00D16D90">
        <w:rPr>
          <w:lang w:val="es-ES"/>
        </w:rPr>
        <w:t>2016)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>24</w:t>
      </w:r>
      <w:r w:rsidRPr="00D16D90">
        <w:rPr>
          <w:lang w:val="es-ES"/>
        </w:rPr>
        <w:tab/>
        <w:t>Temas de trabajo obsoletos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Pr="00D16D90" w:rsidRDefault="00D16D90" w:rsidP="00FE2948">
      <w:pPr>
        <w:pStyle w:val="TOC1"/>
        <w:rPr>
          <w:lang w:val="es-ES"/>
        </w:rPr>
      </w:pPr>
      <w:r w:rsidRPr="00D16D90">
        <w:rPr>
          <w:lang w:val="es-ES"/>
        </w:rPr>
        <w:t xml:space="preserve">Apéndice I – Lista de Recomendaciones aprobadas y otros textos aprobados </w:t>
      </w:r>
      <w:r w:rsidRPr="00D16D90">
        <w:rPr>
          <w:webHidden/>
          <w:lang w:val="es-ES"/>
        </w:rPr>
        <w:tab/>
      </w:r>
      <w:r w:rsidR="00FE2948">
        <w:rPr>
          <w:webHidden/>
          <w:lang w:val="es-ES"/>
        </w:rPr>
        <w:tab/>
      </w:r>
    </w:p>
    <w:p w:rsidR="00D16D90" w:rsidRDefault="00D16D90" w:rsidP="00FE2948">
      <w:pPr>
        <w:rPr>
          <w:lang w:val="es-ES"/>
        </w:rPr>
      </w:pPr>
      <w:r>
        <w:rPr>
          <w:lang w:val="es-ES"/>
        </w:rPr>
        <w:br w:type="page"/>
      </w:r>
    </w:p>
    <w:p w:rsidR="00D16D90" w:rsidRPr="00D16D90" w:rsidRDefault="00D16D90" w:rsidP="00FE2948">
      <w:pPr>
        <w:pStyle w:val="Title4"/>
        <w:rPr>
          <w:lang w:val="es-ES"/>
        </w:rPr>
      </w:pPr>
      <w:r w:rsidRPr="00D16D90">
        <w:rPr>
          <w:lang w:val="es-ES"/>
        </w:rPr>
        <w:lastRenderedPageBreak/>
        <w:t>Resumen ejecutivo</w:t>
      </w:r>
    </w:p>
    <w:p w:rsidR="00373D43" w:rsidRPr="00FE2948" w:rsidRDefault="000329A2" w:rsidP="00FE2948">
      <w:pPr>
        <w:pStyle w:val="Headingb"/>
        <w:rPr>
          <w:i/>
          <w:iCs/>
          <w:lang w:val="es-ES"/>
        </w:rPr>
      </w:pPr>
      <w:r w:rsidRPr="00FE2948">
        <w:rPr>
          <w:i/>
          <w:iCs/>
          <w:lang w:val="es-ES"/>
        </w:rPr>
        <w:t>Logros de la normalización de la U</w:t>
      </w:r>
      <w:r w:rsidRPr="00FE2948">
        <w:rPr>
          <w:i/>
          <w:iCs/>
          <w:lang w:val="es-ES"/>
        </w:rPr>
        <w:t>IT</w:t>
      </w:r>
    </w:p>
    <w:p w:rsidR="00373D43" w:rsidRPr="00D16D90" w:rsidRDefault="000329A2" w:rsidP="00803E2C">
      <w:pPr>
        <w:rPr>
          <w:lang w:val="es-ES"/>
        </w:rPr>
      </w:pPr>
      <w:r w:rsidRPr="00D16D90">
        <w:rPr>
          <w:lang w:val="es-ES"/>
        </w:rPr>
        <w:t>En el period</w:t>
      </w:r>
      <w:r w:rsidRPr="00D16D90">
        <w:rPr>
          <w:lang w:val="es-ES"/>
        </w:rPr>
        <w:t>o</w:t>
      </w:r>
      <w:r w:rsidRPr="00D16D90">
        <w:rPr>
          <w:lang w:val="es-ES"/>
        </w:rPr>
        <w:t xml:space="preserve"> transcurrido entre abril de 2017 y enero de 2018, la UIT </w:t>
      </w:r>
      <w:r w:rsidRPr="00D16D90">
        <w:rPr>
          <w:lang w:val="es-ES"/>
        </w:rPr>
        <w:t>aprobó</w:t>
      </w:r>
      <w:r w:rsidRPr="00D16D90">
        <w:rPr>
          <w:lang w:val="es-ES"/>
        </w:rPr>
        <w:t xml:space="preserve"> más de </w:t>
      </w:r>
      <w:r w:rsidRPr="00D16D90">
        <w:rPr>
          <w:lang w:val="es-ES"/>
        </w:rPr>
        <w:t>270</w:t>
      </w:r>
      <w:r w:rsidR="00803E2C">
        <w:rPr>
          <w:lang w:val="es-ES"/>
        </w:rPr>
        <w:t> </w:t>
      </w:r>
      <w:r w:rsidRPr="00D16D90">
        <w:rPr>
          <w:lang w:val="es-ES"/>
        </w:rPr>
        <w:t>Recomendaciones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>nuevas y revisadas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 xml:space="preserve">En el Apéndice </w:t>
      </w:r>
      <w:r w:rsidRPr="00D16D90">
        <w:rPr>
          <w:lang w:val="es-ES"/>
        </w:rPr>
        <w:t xml:space="preserve">I </w:t>
      </w:r>
      <w:r w:rsidRPr="00D16D90">
        <w:rPr>
          <w:lang w:val="es-ES"/>
        </w:rPr>
        <w:t>se enumeran y resume el contenido de estas Recomendaciones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>y textos conexos</w:t>
      </w:r>
      <w:r w:rsidRPr="00D16D90">
        <w:rPr>
          <w:lang w:val="es-ES"/>
        </w:rPr>
        <w:t>.</w:t>
      </w:r>
    </w:p>
    <w:p w:rsidR="009606DA" w:rsidRPr="00D16D90" w:rsidRDefault="000329A2" w:rsidP="00D16D90">
      <w:pPr>
        <w:rPr>
          <w:lang w:val="es-ES"/>
        </w:rPr>
      </w:pPr>
      <w:r w:rsidRPr="00D16D90">
        <w:rPr>
          <w:lang w:val="es-ES"/>
        </w:rPr>
        <w:t>El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>es líder en la normalización del acceso de banda ancha, redes domésticas e infraestructuras para el trans</w:t>
      </w:r>
      <w:r w:rsidRPr="00D16D90">
        <w:rPr>
          <w:lang w:val="es-ES"/>
        </w:rPr>
        <w:t>porte a ultravelocidad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Se ha otorgado gran prioridad a los trabajos de normalización del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>relativos a</w:t>
      </w:r>
      <w:r w:rsidRPr="00D16D90">
        <w:rPr>
          <w:lang w:val="es-ES"/>
        </w:rPr>
        <w:t xml:space="preserve"> los elementos de la línea alámbrica de los sistemas </w:t>
      </w:r>
      <w:r w:rsidRPr="00D16D90">
        <w:rPr>
          <w:lang w:val="es-ES"/>
        </w:rPr>
        <w:t xml:space="preserve">IMT-2020 (5G). </w:t>
      </w:r>
      <w:r w:rsidRPr="00D16D90">
        <w:rPr>
          <w:lang w:val="es-ES"/>
        </w:rPr>
        <w:t xml:space="preserve">La norma de compresión de vídeo de la UIT, ganadora del Premio </w:t>
      </w:r>
      <w:r w:rsidRPr="00D16D90">
        <w:rPr>
          <w:lang w:val="es-ES"/>
        </w:rPr>
        <w:t>Primetime Emmy</w:t>
      </w:r>
      <w:r w:rsidRPr="00D16D90">
        <w:rPr>
          <w:lang w:val="es-ES"/>
        </w:rPr>
        <w:t>, si</w:t>
      </w:r>
      <w:r w:rsidRPr="00D16D90">
        <w:rPr>
          <w:lang w:val="es-ES"/>
        </w:rPr>
        <w:t>gue dominando el mercado mundial</w:t>
      </w:r>
      <w:r w:rsidRPr="00D16D90">
        <w:rPr>
          <w:lang w:val="es-ES"/>
        </w:rPr>
        <w:t>.</w:t>
      </w:r>
    </w:p>
    <w:p w:rsidR="009606DA" w:rsidRPr="00D16D90" w:rsidRDefault="000329A2" w:rsidP="00D16D90">
      <w:pPr>
        <w:rPr>
          <w:lang w:val="es-ES"/>
        </w:rPr>
      </w:pPr>
      <w:r w:rsidRPr="00D16D90">
        <w:rPr>
          <w:lang w:val="es-ES"/>
        </w:rPr>
        <w:t>El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>sigue</w:t>
      </w:r>
      <w:r w:rsidRPr="00D16D90">
        <w:rPr>
          <w:lang w:val="es-ES"/>
        </w:rPr>
        <w:t xml:space="preserve"> aumentando la capacidad de las tecnologías de acceso de banda ancha, como </w:t>
      </w:r>
      <w:r w:rsidRPr="00D16D90">
        <w:rPr>
          <w:lang w:val="es-ES"/>
        </w:rPr>
        <w:t xml:space="preserve">fibra </w:t>
      </w:r>
      <w:r w:rsidRPr="00D16D90">
        <w:rPr>
          <w:lang w:val="es-ES"/>
        </w:rPr>
        <w:t xml:space="preserve">hasta el hogar </w:t>
      </w:r>
      <w:r w:rsidRPr="00D16D90">
        <w:rPr>
          <w:lang w:val="es-ES"/>
        </w:rPr>
        <w:t>40G (NG-PON2)</w:t>
      </w:r>
      <w:r w:rsidRPr="00D16D90">
        <w:rPr>
          <w:lang w:val="es-ES"/>
        </w:rPr>
        <w:t xml:space="preserve"> y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 xml:space="preserve">fibra </w:t>
      </w:r>
      <w:r w:rsidRPr="00D16D90">
        <w:rPr>
          <w:lang w:val="es-ES"/>
        </w:rPr>
        <w:t xml:space="preserve">simétrica hasta el hogar </w:t>
      </w:r>
      <w:r w:rsidRPr="00D16D90">
        <w:rPr>
          <w:lang w:val="es-ES"/>
        </w:rPr>
        <w:t xml:space="preserve">10G </w:t>
      </w:r>
      <w:r w:rsidRPr="00D16D90">
        <w:rPr>
          <w:lang w:val="es-ES"/>
        </w:rPr>
        <w:t>(XGS-PON).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 xml:space="preserve">La tecnología </w:t>
      </w:r>
      <w:r w:rsidRPr="00D16D90">
        <w:rPr>
          <w:lang w:val="es-ES"/>
        </w:rPr>
        <w:t>G.fast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>alcanza</w:t>
      </w:r>
      <w:r w:rsidRPr="00D16D90">
        <w:rPr>
          <w:lang w:val="es-ES"/>
        </w:rPr>
        <w:t xml:space="preserve"> una capacidad de transmisión de </w:t>
      </w:r>
      <w:r w:rsidRPr="00D16D90">
        <w:rPr>
          <w:lang w:val="es-ES"/>
        </w:rPr>
        <w:t xml:space="preserve">2 Gbit/s </w:t>
      </w:r>
      <w:r w:rsidRPr="00D16D90">
        <w:rPr>
          <w:lang w:val="es-ES"/>
        </w:rPr>
        <w:t xml:space="preserve">por la línea telefónica </w:t>
      </w:r>
      <w:r w:rsidRPr="00D16D90">
        <w:rPr>
          <w:lang w:val="es-ES"/>
        </w:rPr>
        <w:t>tradi</w:t>
      </w:r>
      <w:r w:rsidRPr="00D16D90">
        <w:rPr>
          <w:lang w:val="es-ES"/>
        </w:rPr>
        <w:t>c</w:t>
      </w:r>
      <w:r w:rsidRPr="00D16D90">
        <w:rPr>
          <w:lang w:val="es-ES"/>
        </w:rPr>
        <w:t>ional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 xml:space="preserve">y </w:t>
      </w:r>
      <w:r w:rsidRPr="00D16D90">
        <w:rPr>
          <w:lang w:val="es-ES"/>
        </w:rPr>
        <w:t xml:space="preserve">MGfast </w:t>
      </w:r>
      <w:r w:rsidRPr="00D16D90">
        <w:rPr>
          <w:lang w:val="es-ES"/>
        </w:rPr>
        <w:t xml:space="preserve">es un nuevo proyecto de normalización cuyo objetivo es </w:t>
      </w:r>
      <w:r w:rsidRPr="00D16D90">
        <w:rPr>
          <w:lang w:val="es-ES"/>
        </w:rPr>
        <w:t>llegar hasta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 xml:space="preserve">5-10 Gbit/s </w:t>
      </w:r>
      <w:r w:rsidRPr="00D16D90">
        <w:rPr>
          <w:lang w:val="es-ES"/>
        </w:rPr>
        <w:t xml:space="preserve">por cable telefónico de aquí a </w:t>
      </w:r>
      <w:r w:rsidRPr="00D16D90">
        <w:rPr>
          <w:lang w:val="es-ES"/>
        </w:rPr>
        <w:t xml:space="preserve">2020. </w:t>
      </w:r>
      <w:r w:rsidRPr="00D16D90">
        <w:rPr>
          <w:lang w:val="es-ES"/>
        </w:rPr>
        <w:t>La normalización en la U</w:t>
      </w:r>
      <w:r w:rsidRPr="00D16D90">
        <w:rPr>
          <w:lang w:val="es-ES"/>
        </w:rPr>
        <w:t xml:space="preserve">IT </w:t>
      </w:r>
      <w:r w:rsidRPr="00D16D90">
        <w:rPr>
          <w:lang w:val="es-ES"/>
        </w:rPr>
        <w:t>de la red óptica de tran</w:t>
      </w:r>
      <w:r w:rsidRPr="00D16D90">
        <w:rPr>
          <w:lang w:val="es-ES"/>
        </w:rPr>
        <w:t xml:space="preserve">sporte ha permitido alcanzar velocidades superiores a </w:t>
      </w:r>
      <w:r w:rsidRPr="00D16D90">
        <w:rPr>
          <w:lang w:val="es-ES"/>
        </w:rPr>
        <w:t xml:space="preserve">100 Gbit/s, </w:t>
      </w:r>
      <w:r w:rsidRPr="00D16D90">
        <w:rPr>
          <w:lang w:val="es-ES"/>
        </w:rPr>
        <w:t xml:space="preserve">satisfaciendo así la demanda del sector </w:t>
      </w:r>
      <w:r w:rsidRPr="00D16D90">
        <w:rPr>
          <w:lang w:val="es-ES"/>
        </w:rPr>
        <w:t>en cuanto a</w:t>
      </w:r>
      <w:r w:rsidRPr="00D16D90">
        <w:rPr>
          <w:lang w:val="es-ES"/>
        </w:rPr>
        <w:t xml:space="preserve"> mayor capacidad en las redes de transporte metropolitanas y de larga distancia</w:t>
      </w:r>
      <w:r w:rsidRPr="00D16D90">
        <w:rPr>
          <w:lang w:val="es-ES"/>
        </w:rPr>
        <w:t>.</w:t>
      </w:r>
    </w:p>
    <w:p w:rsidR="004627C0" w:rsidRPr="00D16D90" w:rsidRDefault="000329A2" w:rsidP="00D16D90">
      <w:pPr>
        <w:rPr>
          <w:lang w:val="es-ES"/>
        </w:rPr>
      </w:pPr>
      <w:r w:rsidRPr="00D16D90">
        <w:rPr>
          <w:lang w:val="es-ES"/>
        </w:rPr>
        <w:t>El U</w:t>
      </w:r>
      <w:r w:rsidRPr="00D16D90">
        <w:rPr>
          <w:lang w:val="es-ES"/>
        </w:rPr>
        <w:t xml:space="preserve">IT-T ha </w:t>
      </w:r>
      <w:r w:rsidRPr="00D16D90">
        <w:rPr>
          <w:lang w:val="es-ES"/>
        </w:rPr>
        <w:t xml:space="preserve">aprobado un primer conjunto de normas sobre las </w:t>
      </w:r>
      <w:r w:rsidRPr="00D16D90">
        <w:rPr>
          <w:lang w:val="es-ES"/>
        </w:rPr>
        <w:t xml:space="preserve">IMT-2020 (5G) </w:t>
      </w:r>
      <w:r w:rsidRPr="00D16D90">
        <w:rPr>
          <w:lang w:val="es-ES"/>
        </w:rPr>
        <w:t>basadas en los resultados del antiguo Grupo Temático del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>sobre aspectos de red de las IMT-2020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La norma abarca la terminología, la gestión y organización de la red, la transformación soft</w:t>
      </w:r>
      <w:r w:rsidRPr="00D16D90">
        <w:rPr>
          <w:lang w:val="es-ES"/>
        </w:rPr>
        <w:t>ware de la red y la convergencia fijo-móvil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 xml:space="preserve">Las Comisiones de Estudio </w:t>
      </w:r>
      <w:r w:rsidRPr="00D16D90">
        <w:rPr>
          <w:lang w:val="es-ES"/>
        </w:rPr>
        <w:t xml:space="preserve">5, 12, 13, 15 </w:t>
      </w:r>
      <w:r w:rsidRPr="00D16D90">
        <w:rPr>
          <w:lang w:val="es-ES"/>
        </w:rPr>
        <w:t xml:space="preserve">y </w:t>
      </w:r>
      <w:r w:rsidRPr="00D16D90">
        <w:rPr>
          <w:lang w:val="es-ES"/>
        </w:rPr>
        <w:t xml:space="preserve">17 </w:t>
      </w:r>
      <w:r w:rsidRPr="00D16D90">
        <w:rPr>
          <w:lang w:val="es-ES"/>
        </w:rPr>
        <w:t xml:space="preserve">del UIT-T participan en actividades de normalización relacionadas con </w:t>
      </w:r>
      <w:r w:rsidRPr="00D16D90">
        <w:rPr>
          <w:lang w:val="es-ES"/>
        </w:rPr>
        <w:t>5G/IMT-2020.</w:t>
      </w:r>
    </w:p>
    <w:p w:rsidR="00BA0BE0" w:rsidRPr="00D16D90" w:rsidRDefault="000329A2" w:rsidP="000329A2">
      <w:pPr>
        <w:rPr>
          <w:lang w:val="es-ES"/>
        </w:rPr>
      </w:pPr>
      <w:r w:rsidRPr="00D16D90">
        <w:rPr>
          <w:lang w:val="es-ES"/>
        </w:rPr>
        <w:t>En octubre de 2017, la U</w:t>
      </w:r>
      <w:r w:rsidRPr="00D16D90">
        <w:rPr>
          <w:lang w:val="es-ES"/>
        </w:rPr>
        <w:t xml:space="preserve">IT, </w:t>
      </w:r>
      <w:r w:rsidRPr="00D16D90">
        <w:rPr>
          <w:lang w:val="es-ES"/>
        </w:rPr>
        <w:t xml:space="preserve">la </w:t>
      </w:r>
      <w:r w:rsidRPr="00D16D90">
        <w:rPr>
          <w:lang w:val="es-ES"/>
        </w:rPr>
        <w:t xml:space="preserve">ISO </w:t>
      </w:r>
      <w:r w:rsidRPr="00D16D90">
        <w:rPr>
          <w:lang w:val="es-ES"/>
        </w:rPr>
        <w:t>y el C</w:t>
      </w:r>
      <w:r w:rsidRPr="00D16D90">
        <w:rPr>
          <w:lang w:val="es-ES"/>
        </w:rPr>
        <w:t>E</w:t>
      </w:r>
      <w:r w:rsidRPr="00D16D90">
        <w:rPr>
          <w:lang w:val="es-ES"/>
        </w:rPr>
        <w:t>I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 xml:space="preserve">fueron galardonados con el Premio </w:t>
      </w:r>
      <w:r w:rsidRPr="00D16D90">
        <w:rPr>
          <w:lang w:val="es-ES"/>
        </w:rPr>
        <w:t>Prime</w:t>
      </w:r>
      <w:r w:rsidRPr="00D16D90">
        <w:rPr>
          <w:lang w:val="es-ES"/>
        </w:rPr>
        <w:t xml:space="preserve">time Emmy </w:t>
      </w:r>
      <w:r w:rsidRPr="00D16D90">
        <w:rPr>
          <w:lang w:val="es-ES"/>
        </w:rPr>
        <w:t>por la norma de compresión de vídeo HEVC (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>codificación de vídeo muy eficiente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>publicada como U</w:t>
      </w:r>
      <w:r w:rsidRPr="00D16D90">
        <w:rPr>
          <w:lang w:val="es-ES"/>
        </w:rPr>
        <w:t>IT</w:t>
      </w:r>
      <w:r w:rsidRPr="00D16D90">
        <w:rPr>
          <w:lang w:val="es-ES"/>
        </w:rPr>
        <w:t>-T</w:t>
      </w:r>
      <w:r w:rsidRPr="00D16D90">
        <w:rPr>
          <w:lang w:val="es-ES"/>
        </w:rPr>
        <w:t xml:space="preserve"> H.265 | ISO/</w:t>
      </w:r>
      <w:r w:rsidRPr="00D16D90">
        <w:rPr>
          <w:lang w:val="es-ES"/>
        </w:rPr>
        <w:t xml:space="preserve">CEI </w:t>
      </w:r>
      <w:r w:rsidRPr="00D16D90">
        <w:rPr>
          <w:lang w:val="es-ES"/>
        </w:rPr>
        <w:t xml:space="preserve">23008-2), </w:t>
      </w:r>
      <w:r w:rsidRPr="00D16D90">
        <w:rPr>
          <w:lang w:val="es-ES"/>
        </w:rPr>
        <w:t>que se ha convertido en el formato de codificación más utilizado para la TV de ultradefinición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Este es el segundo Pre</w:t>
      </w:r>
      <w:r w:rsidRPr="00D16D90">
        <w:rPr>
          <w:lang w:val="es-ES"/>
        </w:rPr>
        <w:t xml:space="preserve">mio </w:t>
      </w:r>
      <w:r w:rsidRPr="00D16D90">
        <w:rPr>
          <w:lang w:val="es-ES"/>
        </w:rPr>
        <w:t xml:space="preserve">Primetime Emmy </w:t>
      </w:r>
      <w:r w:rsidRPr="00D16D90">
        <w:rPr>
          <w:lang w:val="es-ES"/>
        </w:rPr>
        <w:t>que recibe en reconocimiento de esta colaboración en materia de codificación de vídeo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>tras el Premio recibido en</w:t>
      </w:r>
      <w:r>
        <w:rPr>
          <w:lang w:val="es-ES"/>
        </w:rPr>
        <w:t> </w:t>
      </w:r>
      <w:bookmarkStart w:id="5" w:name="_GoBack"/>
      <w:bookmarkEnd w:id="5"/>
      <w:r w:rsidRPr="00D16D90">
        <w:rPr>
          <w:lang w:val="es-ES"/>
        </w:rPr>
        <w:t xml:space="preserve">2008 </w:t>
      </w:r>
      <w:r w:rsidRPr="00D16D90">
        <w:rPr>
          <w:lang w:val="es-ES"/>
        </w:rPr>
        <w:t xml:space="preserve">por la norma predecesora de </w:t>
      </w:r>
      <w:r w:rsidRPr="00D16D90">
        <w:rPr>
          <w:lang w:val="es-ES"/>
        </w:rPr>
        <w:t xml:space="preserve">HEVC, </w:t>
      </w:r>
      <w:r w:rsidRPr="00D16D90">
        <w:rPr>
          <w:lang w:val="es-ES"/>
        </w:rPr>
        <w:t>a saber, la U</w:t>
      </w:r>
      <w:r w:rsidRPr="00D16D90">
        <w:rPr>
          <w:lang w:val="es-ES"/>
        </w:rPr>
        <w:t>IT-T H.264 | MPEG-4 AVC.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>Se ha oficializado una nueva colaboración desp</w:t>
      </w:r>
      <w:r w:rsidRPr="00D16D90">
        <w:rPr>
          <w:lang w:val="es-ES"/>
        </w:rPr>
        <w:t>ués de la fase experimental</w:t>
      </w:r>
      <w:r w:rsidRPr="00D16D90">
        <w:rPr>
          <w:lang w:val="es-ES"/>
        </w:rPr>
        <w:t xml:space="preserve">: </w:t>
      </w:r>
      <w:r w:rsidRPr="00D16D90">
        <w:rPr>
          <w:lang w:val="es-ES"/>
        </w:rPr>
        <w:t xml:space="preserve">El Grupo Mixto de Expertos en vídeo tiene previsto publicar una nueva norma de aquí a </w:t>
      </w:r>
      <w:r w:rsidRPr="00D16D90">
        <w:rPr>
          <w:lang w:val="es-ES"/>
        </w:rPr>
        <w:t>2020</w:t>
      </w:r>
      <w:r w:rsidRPr="00D16D90">
        <w:rPr>
          <w:lang w:val="es-ES"/>
        </w:rPr>
        <w:t xml:space="preserve">, con una rendimiento considerablemente mayor que la </w:t>
      </w:r>
      <w:r w:rsidRPr="00D16D90">
        <w:rPr>
          <w:lang w:val="es-ES"/>
        </w:rPr>
        <w:t xml:space="preserve">HEVC. </w:t>
      </w:r>
    </w:p>
    <w:p w:rsidR="00BA0BE0" w:rsidRPr="00D16D90" w:rsidRDefault="000329A2" w:rsidP="00D16D90">
      <w:pPr>
        <w:rPr>
          <w:lang w:val="es-ES"/>
        </w:rPr>
      </w:pPr>
      <w:r w:rsidRPr="00D16D90">
        <w:rPr>
          <w:lang w:val="es-ES"/>
        </w:rPr>
        <w:t>La labor de la U</w:t>
      </w:r>
      <w:r w:rsidRPr="00D16D90">
        <w:rPr>
          <w:lang w:val="es-ES"/>
        </w:rPr>
        <w:t xml:space="preserve">IT </w:t>
      </w:r>
      <w:r w:rsidRPr="00D16D90">
        <w:rPr>
          <w:lang w:val="es-ES"/>
        </w:rPr>
        <w:t xml:space="preserve">para crear confianza y seguridad en la utilización de las </w:t>
      </w:r>
      <w:r w:rsidRPr="00D16D90">
        <w:rPr>
          <w:lang w:val="es-ES"/>
        </w:rPr>
        <w:t>TIC sigue en expansión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La Comisión de Estudio 17 del U</w:t>
      </w:r>
      <w:r w:rsidRPr="00D16D90">
        <w:rPr>
          <w:lang w:val="es-ES"/>
        </w:rPr>
        <w:t>IT-T ha</w:t>
      </w:r>
      <w:r w:rsidRPr="00D16D90">
        <w:rPr>
          <w:lang w:val="es-ES"/>
        </w:rPr>
        <w:t xml:space="preserve"> creado dos nuevos ejes de trabajo para coordinar el creciente volumen de trabajos de normalización sobre aspectos relacionados con la seguridad de las tecnologías de libro mayor distribuido, co</w:t>
      </w:r>
      <w:r w:rsidRPr="00D16D90">
        <w:rPr>
          <w:lang w:val="es-ES"/>
        </w:rPr>
        <w:t>mo las cadenas articuladas y las comunicaciones del automóvil conectado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La nueva norma U</w:t>
      </w:r>
      <w:r w:rsidRPr="00D16D90">
        <w:rPr>
          <w:lang w:val="es-ES"/>
        </w:rPr>
        <w:t>IT-T X.1058 | ISO/</w:t>
      </w:r>
      <w:r w:rsidRPr="00D16D90">
        <w:rPr>
          <w:lang w:val="es-ES"/>
        </w:rPr>
        <w:t>CE</w:t>
      </w:r>
      <w:r w:rsidRPr="00D16D90">
        <w:rPr>
          <w:lang w:val="es-ES"/>
        </w:rPr>
        <w:t xml:space="preserve">I 29151 </w:t>
      </w:r>
      <w:r w:rsidRPr="00D16D90">
        <w:rPr>
          <w:lang w:val="es-ES"/>
        </w:rPr>
        <w:t>constituye una referencia valiosa para el gobierno y la industria en el ámbito de la protección de datos personales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La nueva norma U</w:t>
      </w:r>
      <w:r w:rsidRPr="00D16D90">
        <w:rPr>
          <w:lang w:val="es-ES"/>
        </w:rPr>
        <w:t>IT-T X</w:t>
      </w:r>
      <w:r w:rsidRPr="00D16D90">
        <w:rPr>
          <w:lang w:val="es-ES"/>
        </w:rPr>
        <w:t xml:space="preserve">.1373 </w:t>
      </w:r>
      <w:r w:rsidRPr="00D16D90">
        <w:rPr>
          <w:lang w:val="es-ES"/>
        </w:rPr>
        <w:t xml:space="preserve">especifica capacidades de actualización de </w:t>
      </w:r>
      <w:r w:rsidRPr="00D16D90">
        <w:rPr>
          <w:lang w:val="es-ES"/>
        </w:rPr>
        <w:t xml:space="preserve">software </w:t>
      </w:r>
      <w:r w:rsidRPr="00D16D90">
        <w:rPr>
          <w:lang w:val="es-ES"/>
        </w:rPr>
        <w:t>con seguridad para los sistemas de transporte inteligentes</w:t>
      </w:r>
      <w:r w:rsidRPr="00D16D90">
        <w:rPr>
          <w:lang w:val="es-ES"/>
        </w:rPr>
        <w:t>.</w:t>
      </w:r>
    </w:p>
    <w:p w:rsidR="009606DA" w:rsidRPr="00D16D90" w:rsidRDefault="000329A2" w:rsidP="00F227AB">
      <w:pPr>
        <w:rPr>
          <w:lang w:val="es-ES"/>
        </w:rPr>
      </w:pPr>
      <w:r w:rsidRPr="00D16D90">
        <w:rPr>
          <w:lang w:val="es-ES"/>
        </w:rPr>
        <w:t>El nuevo Grupo Temático del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 xml:space="preserve">sobre 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>Aprendizaje automático para las redes futuras, 5G inclusive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>está sentando las bases para la norm</w:t>
      </w:r>
      <w:r w:rsidRPr="00D16D90">
        <w:rPr>
          <w:lang w:val="es-ES"/>
        </w:rPr>
        <w:t>alización por la U</w:t>
      </w:r>
      <w:r w:rsidRPr="00D16D90">
        <w:rPr>
          <w:lang w:val="es-ES"/>
        </w:rPr>
        <w:t xml:space="preserve">IT </w:t>
      </w:r>
      <w:r w:rsidRPr="00D16D90">
        <w:rPr>
          <w:lang w:val="es-ES"/>
        </w:rPr>
        <w:t xml:space="preserve">del aprendizaje automático con el fin de </w:t>
      </w:r>
      <w:r w:rsidRPr="00D16D90">
        <w:rPr>
          <w:lang w:val="es-ES"/>
        </w:rPr>
        <w:t xml:space="preserve">ayudar a </w:t>
      </w:r>
      <w:r w:rsidRPr="00D16D90">
        <w:rPr>
          <w:lang w:val="es-ES"/>
        </w:rPr>
        <w:t xml:space="preserve">aumentar el grado de automatización e inteligencia </w:t>
      </w:r>
      <w:r w:rsidRPr="00D16D90">
        <w:rPr>
          <w:lang w:val="es-ES"/>
        </w:rPr>
        <w:t>en el diseño y gestión de redes TIC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El Grupo también colabora con otros tres Grupos Temáticos del U</w:t>
      </w:r>
      <w:r w:rsidRPr="00D16D90">
        <w:rPr>
          <w:lang w:val="es-ES"/>
        </w:rPr>
        <w:t>IT-T</w:t>
      </w:r>
      <w:r w:rsidRPr="00D16D90">
        <w:rPr>
          <w:lang w:val="es-ES"/>
        </w:rPr>
        <w:t xml:space="preserve"> que estudian</w:t>
      </w:r>
      <w:r w:rsidRPr="00D16D90">
        <w:rPr>
          <w:lang w:val="es-ES"/>
        </w:rPr>
        <w:t xml:space="preserve">: 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 xml:space="preserve">tratamiento y </w:t>
      </w:r>
      <w:r w:rsidRPr="00D16D90">
        <w:rPr>
          <w:lang w:val="es-ES"/>
        </w:rPr>
        <w:t>la gestión de datos para la Internet de las cosas y las ciudades y comunidades inteligentes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 xml:space="preserve">; 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>aplicación de tecnología de libro mayor distribuido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 xml:space="preserve">; </w:t>
      </w:r>
      <w:r w:rsidRPr="00D16D90">
        <w:rPr>
          <w:lang w:val="es-ES"/>
        </w:rPr>
        <w:t>y</w:t>
      </w:r>
      <w:r w:rsidRPr="00D16D90">
        <w:rPr>
          <w:lang w:val="es-ES"/>
        </w:rPr>
        <w:t xml:space="preserve"> 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 xml:space="preserve">Moneda </w:t>
      </w:r>
      <w:r w:rsidR="00F227AB">
        <w:rPr>
          <w:lang w:val="es-ES"/>
        </w:rPr>
        <w:t>d</w:t>
      </w:r>
      <w:r w:rsidRPr="00D16D90">
        <w:rPr>
          <w:lang w:val="es-ES"/>
        </w:rPr>
        <w:t>igital, incluida la moneda fiduciaria digital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>.</w:t>
      </w:r>
    </w:p>
    <w:p w:rsidR="009606DA" w:rsidRPr="00D16D90" w:rsidRDefault="000329A2" w:rsidP="00D16D90">
      <w:pPr>
        <w:rPr>
          <w:lang w:val="es-ES"/>
        </w:rPr>
      </w:pPr>
      <w:r w:rsidRPr="00D16D90">
        <w:rPr>
          <w:lang w:val="es-ES"/>
        </w:rPr>
        <w:lastRenderedPageBreak/>
        <w:t xml:space="preserve">La 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>iniciativa mundial de integración financiera</w:t>
      </w:r>
      <w:r w:rsidR="00D16D90" w:rsidRPr="00D16D90">
        <w:rPr>
          <w:lang w:val="es-ES"/>
        </w:rPr>
        <w:t>"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>es un programa de tres años de acción colectiva liderada por la UIT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>el Grupo del Banco Mundial y el Comité sobre Pagos e Infraestructura del Mercado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 xml:space="preserve">con el apoyo de la Fundación </w:t>
      </w:r>
      <w:r w:rsidRPr="00D16D90">
        <w:rPr>
          <w:lang w:val="es-ES"/>
        </w:rPr>
        <w:t xml:space="preserve">Bill &amp; Melinda Gates. </w:t>
      </w:r>
      <w:r w:rsidRPr="00D16D90">
        <w:rPr>
          <w:lang w:val="es-ES"/>
        </w:rPr>
        <w:t>Esta iniciativa se ha concebido para avanzar la inve</w:t>
      </w:r>
      <w:r w:rsidRPr="00D16D90">
        <w:rPr>
          <w:lang w:val="es-ES"/>
        </w:rPr>
        <w:t>stigación en finanzas digitales y acelerar la inclusión financiera digital en los países en desarrollo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 xml:space="preserve">Esta labor se rige en gran medida por las </w:t>
      </w:r>
      <w:r w:rsidRPr="00D16D90">
        <w:rPr>
          <w:lang w:val="es-ES"/>
        </w:rPr>
        <w:t xml:space="preserve">85 </w:t>
      </w:r>
      <w:r w:rsidRPr="00D16D90">
        <w:rPr>
          <w:lang w:val="es-ES"/>
        </w:rPr>
        <w:t>recomendaciones políticas publicadas por el Grupo Temático del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>sobre servicios financieros digitales</w:t>
      </w:r>
      <w:r w:rsidRPr="00D16D90">
        <w:rPr>
          <w:lang w:val="es-ES"/>
        </w:rPr>
        <w:t>.</w:t>
      </w:r>
    </w:p>
    <w:p w:rsidR="004627C0" w:rsidRPr="00D16D90" w:rsidRDefault="000329A2" w:rsidP="008966C5">
      <w:pPr>
        <w:rPr>
          <w:lang w:val="es-ES"/>
        </w:rPr>
      </w:pPr>
      <w:r w:rsidRPr="00D16D90">
        <w:rPr>
          <w:lang w:val="es-ES"/>
        </w:rPr>
        <w:t xml:space="preserve">La iniciativa </w:t>
      </w:r>
      <w:r w:rsidR="008966C5">
        <w:rPr>
          <w:lang w:val="es-ES"/>
        </w:rPr>
        <w:t>"</w:t>
      </w:r>
      <w:r w:rsidRPr="00D16D90">
        <w:rPr>
          <w:lang w:val="es-ES"/>
        </w:rPr>
        <w:t>Unidos por las ciudades inteligentes y sostenibles</w:t>
      </w:r>
      <w:r w:rsidR="008966C5">
        <w:rPr>
          <w:lang w:val="es-ES"/>
        </w:rPr>
        <w:t>"</w:t>
      </w:r>
      <w:r w:rsidRPr="00D16D90">
        <w:rPr>
          <w:lang w:val="es-ES"/>
        </w:rPr>
        <w:t xml:space="preserve"> (U4SSC) </w:t>
      </w:r>
      <w:r w:rsidRPr="00D16D90">
        <w:rPr>
          <w:lang w:val="es-ES"/>
        </w:rPr>
        <w:t xml:space="preserve">defiende las políticas </w:t>
      </w:r>
      <w:r w:rsidRPr="00D16D90">
        <w:rPr>
          <w:lang w:val="es-ES"/>
        </w:rPr>
        <w:t>públicas para garantizar que las normas de TIC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>desempeñe</w:t>
      </w:r>
      <w:r w:rsidRPr="00D16D90">
        <w:rPr>
          <w:lang w:val="es-ES"/>
        </w:rPr>
        <w:t xml:space="preserve">n un papel </w:t>
      </w:r>
      <w:r w:rsidRPr="00D16D90">
        <w:rPr>
          <w:lang w:val="es-ES"/>
        </w:rPr>
        <w:t>esencial</w:t>
      </w:r>
      <w:r w:rsidRPr="00D16D90">
        <w:rPr>
          <w:lang w:val="es-ES"/>
        </w:rPr>
        <w:t xml:space="preserve"> en las ciudades inteligentes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 xml:space="preserve">La colaboración fomentada por </w:t>
      </w:r>
      <w:r w:rsidRPr="00D16D90">
        <w:rPr>
          <w:lang w:val="es-ES"/>
        </w:rPr>
        <w:t xml:space="preserve">U4SSC </w:t>
      </w:r>
      <w:r w:rsidRPr="00D16D90">
        <w:rPr>
          <w:lang w:val="es-ES"/>
        </w:rPr>
        <w:t xml:space="preserve">ha culminado </w:t>
      </w:r>
      <w:r w:rsidRPr="00D16D90">
        <w:rPr>
          <w:lang w:val="es-ES"/>
        </w:rPr>
        <w:t>en un proyecto piloto</w:t>
      </w:r>
      <w:r w:rsidRPr="00D16D90">
        <w:rPr>
          <w:lang w:val="es-ES"/>
        </w:rPr>
        <w:t xml:space="preserve">, con </w:t>
      </w:r>
      <w:r w:rsidRPr="00D16D90">
        <w:rPr>
          <w:lang w:val="es-ES"/>
        </w:rPr>
        <w:t>la participación de más de 50 ciudades</w:t>
      </w:r>
      <w:r w:rsidRPr="00D16D90">
        <w:rPr>
          <w:lang w:val="es-ES"/>
        </w:rPr>
        <w:t>, destinado a aplicar</w:t>
      </w:r>
      <w:r w:rsidRPr="00D16D90">
        <w:rPr>
          <w:lang w:val="es-ES"/>
        </w:rPr>
        <w:t xml:space="preserve"> los indicadores fundamentales de rendimiento a las ciudades inteligentes y sostenibles</w:t>
      </w:r>
      <w:r w:rsidRPr="00D16D90">
        <w:rPr>
          <w:lang w:val="es-ES"/>
        </w:rPr>
        <w:t>,</w:t>
      </w:r>
      <w:r w:rsidRPr="00D16D90">
        <w:rPr>
          <w:lang w:val="es-ES"/>
        </w:rPr>
        <w:t xml:space="preserve"> elaborado</w:t>
      </w:r>
      <w:r w:rsidRPr="00D16D90">
        <w:rPr>
          <w:lang w:val="es-ES"/>
        </w:rPr>
        <w:t>s</w:t>
      </w:r>
      <w:r w:rsidRPr="00D16D90">
        <w:rPr>
          <w:lang w:val="es-ES"/>
        </w:rPr>
        <w:t xml:space="preserve"> por la U</w:t>
      </w:r>
      <w:r w:rsidRPr="00D16D90">
        <w:rPr>
          <w:lang w:val="es-ES"/>
        </w:rPr>
        <w:t xml:space="preserve">IT </w:t>
      </w:r>
      <w:r w:rsidRPr="00D16D90">
        <w:rPr>
          <w:lang w:val="es-ES"/>
        </w:rPr>
        <w:t xml:space="preserve">y la Comisión Económica para Europa de las Naciones Unidas </w:t>
      </w:r>
      <w:r w:rsidRPr="00D16D90">
        <w:rPr>
          <w:lang w:val="es-ES"/>
        </w:rPr>
        <w:t>(</w:t>
      </w:r>
      <w:r w:rsidRPr="00D16D90">
        <w:rPr>
          <w:lang w:val="es-ES"/>
        </w:rPr>
        <w:t>CEPE</w:t>
      </w:r>
      <w:r w:rsidRPr="00D16D90">
        <w:rPr>
          <w:lang w:val="es-ES"/>
        </w:rPr>
        <w:t xml:space="preserve">). </w:t>
      </w:r>
      <w:r w:rsidRPr="00D16D90">
        <w:rPr>
          <w:lang w:val="es-ES"/>
        </w:rPr>
        <w:t xml:space="preserve">En los nuevos estudios de caso </w:t>
      </w:r>
      <w:r w:rsidRPr="00D16D90">
        <w:rPr>
          <w:lang w:val="es-ES"/>
        </w:rPr>
        <w:t xml:space="preserve">publicados por </w:t>
      </w:r>
      <w:r w:rsidRPr="00D16D90">
        <w:rPr>
          <w:lang w:val="es-ES"/>
        </w:rPr>
        <w:t>la U</w:t>
      </w:r>
      <w:r w:rsidRPr="00D16D90">
        <w:rPr>
          <w:lang w:val="es-ES"/>
        </w:rPr>
        <w:t xml:space="preserve">IT </w:t>
      </w:r>
      <w:r w:rsidRPr="00D16D90">
        <w:rPr>
          <w:lang w:val="es-ES"/>
        </w:rPr>
        <w:t>se evalúan los progresos logrados por Dubá</w:t>
      </w:r>
      <w:r w:rsidRPr="00D16D90">
        <w:rPr>
          <w:lang w:val="es-ES"/>
        </w:rPr>
        <w:t xml:space="preserve">i </w:t>
      </w:r>
      <w:r w:rsidRPr="00D16D90">
        <w:rPr>
          <w:lang w:val="es-ES"/>
        </w:rPr>
        <w:t xml:space="preserve">y </w:t>
      </w:r>
      <w:r w:rsidRPr="00D16D90">
        <w:rPr>
          <w:lang w:val="es-ES"/>
        </w:rPr>
        <w:t>Singap</w:t>
      </w:r>
      <w:r w:rsidRPr="00D16D90">
        <w:rPr>
          <w:lang w:val="es-ES"/>
        </w:rPr>
        <w:t>u</w:t>
      </w:r>
      <w:r w:rsidRPr="00D16D90">
        <w:rPr>
          <w:lang w:val="es-ES"/>
        </w:rPr>
        <w:t xml:space="preserve">r </w:t>
      </w:r>
      <w:r w:rsidRPr="00D16D90">
        <w:rPr>
          <w:lang w:val="es-ES"/>
        </w:rPr>
        <w:t xml:space="preserve">en cumplimiento de los objetivos </w:t>
      </w:r>
      <w:r w:rsidRPr="00D16D90">
        <w:rPr>
          <w:lang w:val="es-ES"/>
        </w:rPr>
        <w:t>estipulados</w:t>
      </w:r>
      <w:r w:rsidRPr="00D16D90">
        <w:rPr>
          <w:lang w:val="es-ES"/>
        </w:rPr>
        <w:t xml:space="preserve"> </w:t>
      </w:r>
      <w:r w:rsidR="00FF7E1D">
        <w:rPr>
          <w:lang w:val="es-ES"/>
        </w:rPr>
        <w:t xml:space="preserve">en </w:t>
      </w:r>
      <w:r w:rsidRPr="00D16D90">
        <w:rPr>
          <w:lang w:val="es-ES"/>
        </w:rPr>
        <w:t>sus estrategias de ciudades inteligentes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>utilizando los indicadores fundamentales de rendimien</w:t>
      </w:r>
      <w:r w:rsidRPr="00D16D90">
        <w:rPr>
          <w:lang w:val="es-ES"/>
        </w:rPr>
        <w:t>to de la U</w:t>
      </w:r>
      <w:r w:rsidRPr="00D16D90">
        <w:rPr>
          <w:lang w:val="es-ES"/>
        </w:rPr>
        <w:t>IT-</w:t>
      </w:r>
      <w:r w:rsidRPr="00D16D90">
        <w:rPr>
          <w:lang w:val="es-ES"/>
        </w:rPr>
        <w:t>CEPE</w:t>
      </w:r>
      <w:r w:rsidRPr="00D16D90">
        <w:rPr>
          <w:lang w:val="es-ES"/>
        </w:rPr>
        <w:t>.</w:t>
      </w:r>
    </w:p>
    <w:p w:rsidR="00D16D90" w:rsidRPr="00D16D90" w:rsidRDefault="00D16D90" w:rsidP="00FE2948">
      <w:pPr>
        <w:pStyle w:val="Headingb"/>
        <w:rPr>
          <w:i/>
          <w:iCs/>
          <w:lang w:val="es-ES"/>
        </w:rPr>
      </w:pPr>
      <w:r w:rsidRPr="00D16D90">
        <w:rPr>
          <w:i/>
          <w:iCs/>
          <w:lang w:val="es-ES"/>
        </w:rPr>
        <w:t>Plataforma de normalización de la UIT</w:t>
      </w:r>
    </w:p>
    <w:p w:rsidR="00051696" w:rsidRPr="00D16D90" w:rsidRDefault="000329A2" w:rsidP="00F227AB">
      <w:pPr>
        <w:rPr>
          <w:lang w:val="es-ES"/>
        </w:rPr>
      </w:pPr>
      <w:r w:rsidRPr="00D16D90">
        <w:rPr>
          <w:lang w:val="es-ES"/>
        </w:rPr>
        <w:t>El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 xml:space="preserve">logró un aumento neto de </w:t>
      </w:r>
      <w:r w:rsidRPr="00D16D90">
        <w:rPr>
          <w:lang w:val="es-ES"/>
        </w:rPr>
        <w:t xml:space="preserve">14 </w:t>
      </w:r>
      <w:r w:rsidRPr="00D16D90">
        <w:rPr>
          <w:lang w:val="es-ES"/>
        </w:rPr>
        <w:t xml:space="preserve">nuevos </w:t>
      </w:r>
      <w:r w:rsidR="00F227AB">
        <w:rPr>
          <w:lang w:val="es-ES"/>
        </w:rPr>
        <w:t>m</w:t>
      </w:r>
      <w:r w:rsidRPr="00D16D90">
        <w:rPr>
          <w:lang w:val="es-ES"/>
        </w:rPr>
        <w:t xml:space="preserve">iembros en </w:t>
      </w:r>
      <w:r w:rsidRPr="00D16D90">
        <w:rPr>
          <w:lang w:val="es-ES"/>
        </w:rPr>
        <w:t xml:space="preserve">2017, </w:t>
      </w:r>
      <w:r w:rsidRPr="00D16D90">
        <w:rPr>
          <w:lang w:val="es-ES"/>
        </w:rPr>
        <w:t xml:space="preserve">incluidos </w:t>
      </w:r>
      <w:r w:rsidRPr="00D16D90">
        <w:rPr>
          <w:lang w:val="es-ES"/>
        </w:rPr>
        <w:t xml:space="preserve">9 </w:t>
      </w:r>
      <w:r w:rsidRPr="00D16D90">
        <w:rPr>
          <w:lang w:val="es-ES"/>
        </w:rPr>
        <w:t xml:space="preserve">nuevos Miembros de </w:t>
      </w:r>
      <w:r w:rsidRPr="00D16D90">
        <w:rPr>
          <w:lang w:val="es-ES"/>
        </w:rPr>
        <w:t xml:space="preserve">Sector </w:t>
      </w:r>
      <w:r w:rsidRPr="00D16D90">
        <w:rPr>
          <w:lang w:val="es-ES"/>
        </w:rPr>
        <w:t xml:space="preserve">y </w:t>
      </w:r>
      <w:r w:rsidRPr="00D16D90">
        <w:rPr>
          <w:lang w:val="es-ES"/>
        </w:rPr>
        <w:t xml:space="preserve">21 </w:t>
      </w:r>
      <w:r w:rsidRPr="00D16D90">
        <w:rPr>
          <w:lang w:val="es-ES"/>
        </w:rPr>
        <w:t>nuevos Asociados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Los nuevos Miembros de Sector del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 xml:space="preserve">que pertenecen al sector del </w:t>
      </w:r>
      <w:r w:rsidRPr="00D16D90">
        <w:rPr>
          <w:lang w:val="es-ES"/>
        </w:rPr>
        <w:t>automóvil y de seguros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 xml:space="preserve">así como a segmentos de mercados emergentes en </w:t>
      </w:r>
      <w:r w:rsidRPr="00D16D90">
        <w:rPr>
          <w:lang w:val="es-ES"/>
        </w:rPr>
        <w:t xml:space="preserve">IoT </w:t>
      </w:r>
      <w:r w:rsidRPr="00D16D90">
        <w:rPr>
          <w:lang w:val="es-ES"/>
        </w:rPr>
        <w:t xml:space="preserve">y </w:t>
      </w:r>
      <w:r w:rsidRPr="00D16D90">
        <w:rPr>
          <w:lang w:val="es-ES"/>
        </w:rPr>
        <w:t>M2M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>responden a la creciente importancia del apoyo del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>a</w:t>
      </w:r>
      <w:r w:rsidRPr="00D16D90">
        <w:rPr>
          <w:lang w:val="es-ES"/>
        </w:rPr>
        <w:t xml:space="preserve"> los mercados </w:t>
      </w:r>
      <w:r w:rsidRPr="00D16D90">
        <w:rPr>
          <w:lang w:val="es-ES"/>
        </w:rPr>
        <w:t>vertical</w:t>
      </w:r>
      <w:r w:rsidRPr="00D16D90">
        <w:rPr>
          <w:lang w:val="es-ES"/>
        </w:rPr>
        <w:t>es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>tales como la sanidad, transporte, energía y servicios financieros</w:t>
      </w:r>
      <w:r w:rsidRPr="00D16D90">
        <w:rPr>
          <w:lang w:val="es-ES"/>
        </w:rPr>
        <w:t>.</w:t>
      </w:r>
    </w:p>
    <w:p w:rsidR="00051696" w:rsidRPr="00D16D90" w:rsidRDefault="000329A2" w:rsidP="00D16D90">
      <w:pPr>
        <w:rPr>
          <w:lang w:val="es-ES"/>
        </w:rPr>
      </w:pPr>
      <w:r w:rsidRPr="00D16D90">
        <w:rPr>
          <w:lang w:val="es-ES"/>
        </w:rPr>
        <w:t xml:space="preserve">Entre mayo de 2017 y enero de 2018 se publicaron </w:t>
      </w:r>
      <w:r w:rsidRPr="00D16D90">
        <w:rPr>
          <w:lang w:val="es-ES"/>
        </w:rPr>
        <w:t xml:space="preserve">10 800 </w:t>
      </w:r>
      <w:r w:rsidRPr="00D16D90">
        <w:rPr>
          <w:lang w:val="es-ES"/>
        </w:rPr>
        <w:t>páginas de Recomendaciones y Suplementos del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 xml:space="preserve">(véase la sección </w:t>
      </w:r>
      <w:r w:rsidRPr="00D16D90">
        <w:rPr>
          <w:lang w:val="es-ES"/>
        </w:rPr>
        <w:t>19</w:t>
      </w:r>
      <w:r w:rsidRPr="00D16D90">
        <w:rPr>
          <w:lang w:val="es-ES"/>
        </w:rPr>
        <w:t>)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El DVD</w:t>
      </w:r>
      <w:r w:rsidRPr="00D16D90">
        <w:rPr>
          <w:lang w:val="es-ES"/>
        </w:rPr>
        <w:t xml:space="preserve"> "ITU-T Recommendations and selected Handbooks" </w:t>
      </w:r>
      <w:r w:rsidRPr="00D16D90">
        <w:rPr>
          <w:lang w:val="es-ES"/>
        </w:rPr>
        <w:t>se sigue publicando trimestralmente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Dadas las limitaciones de espacio d</w:t>
      </w:r>
      <w:r w:rsidRPr="00D16D90">
        <w:rPr>
          <w:lang w:val="es-ES"/>
        </w:rPr>
        <w:t xml:space="preserve">el formato </w:t>
      </w:r>
      <w:r w:rsidRPr="00D16D90">
        <w:rPr>
          <w:lang w:val="es-ES"/>
        </w:rPr>
        <w:t xml:space="preserve">DVD </w:t>
      </w:r>
      <w:r w:rsidRPr="00D16D90">
        <w:rPr>
          <w:lang w:val="es-ES"/>
        </w:rPr>
        <w:t>de doble capa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 xml:space="preserve">desde marzo de 2017 se distribuye en una llave </w:t>
      </w:r>
      <w:r w:rsidRPr="00D16D90">
        <w:rPr>
          <w:lang w:val="es-ES"/>
        </w:rPr>
        <w:t>USB.</w:t>
      </w:r>
    </w:p>
    <w:p w:rsidR="00051696" w:rsidRPr="00D16D90" w:rsidRDefault="000329A2" w:rsidP="00D16D90">
      <w:pPr>
        <w:rPr>
          <w:lang w:val="es-ES"/>
        </w:rPr>
      </w:pPr>
      <w:r w:rsidRPr="00D16D90">
        <w:rPr>
          <w:lang w:val="es-ES"/>
        </w:rPr>
        <w:t>Los talleres de la U</w:t>
      </w:r>
      <w:r w:rsidRPr="00D16D90">
        <w:rPr>
          <w:lang w:val="es-ES"/>
        </w:rPr>
        <w:t xml:space="preserve">IT </w:t>
      </w:r>
      <w:r w:rsidRPr="00D16D90">
        <w:rPr>
          <w:lang w:val="es-ES"/>
        </w:rPr>
        <w:t>ayudan a aumentar la visibilidad del U</w:t>
      </w:r>
      <w:r w:rsidRPr="00D16D90">
        <w:rPr>
          <w:lang w:val="es-ES"/>
        </w:rPr>
        <w:t xml:space="preserve">IT-T, </w:t>
      </w:r>
      <w:r w:rsidRPr="00D16D90">
        <w:rPr>
          <w:lang w:val="es-ES"/>
        </w:rPr>
        <w:t>a divulgar resultados logrados, a fomentar la participación en el U</w:t>
      </w:r>
      <w:r w:rsidRPr="00D16D90">
        <w:rPr>
          <w:lang w:val="es-ES"/>
        </w:rPr>
        <w:t xml:space="preserve">IT-T, </w:t>
      </w:r>
      <w:r w:rsidRPr="00D16D90">
        <w:rPr>
          <w:lang w:val="es-ES"/>
        </w:rPr>
        <w:t xml:space="preserve">a atraer nuevos </w:t>
      </w:r>
      <w:r w:rsidRPr="00D16D90">
        <w:rPr>
          <w:lang w:val="es-ES"/>
        </w:rPr>
        <w:t>M</w:t>
      </w:r>
      <w:r w:rsidRPr="00D16D90">
        <w:rPr>
          <w:lang w:val="es-ES"/>
        </w:rPr>
        <w:t>iembros y a forma</w:t>
      </w:r>
      <w:r w:rsidRPr="00D16D90">
        <w:rPr>
          <w:lang w:val="es-ES"/>
        </w:rPr>
        <w:t>lizar la colaboración con otras organizaciones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 xml:space="preserve">En 2017 se celebraron </w:t>
      </w:r>
      <w:r w:rsidRPr="00D16D90">
        <w:rPr>
          <w:lang w:val="es-ES"/>
        </w:rPr>
        <w:t xml:space="preserve">35 </w:t>
      </w:r>
      <w:r w:rsidRPr="00D16D90">
        <w:rPr>
          <w:lang w:val="es-ES"/>
        </w:rPr>
        <w:t>talleres del U</w:t>
      </w:r>
      <w:r w:rsidRPr="00D16D90">
        <w:rPr>
          <w:lang w:val="es-ES"/>
        </w:rPr>
        <w:t xml:space="preserve">IT-T, </w:t>
      </w:r>
      <w:r w:rsidRPr="00D16D90">
        <w:rPr>
          <w:lang w:val="es-ES"/>
        </w:rPr>
        <w:t>siete centrados en la reducción de la brecha de normalización y siete coorganizados con otras organizaciones</w:t>
      </w:r>
      <w:r w:rsidRPr="00D16D90">
        <w:rPr>
          <w:lang w:val="es-ES"/>
        </w:rPr>
        <w:t>.</w:t>
      </w:r>
    </w:p>
    <w:p w:rsidR="00051696" w:rsidRPr="00D16D90" w:rsidRDefault="000329A2" w:rsidP="00D16D90">
      <w:pPr>
        <w:rPr>
          <w:lang w:val="es-ES"/>
        </w:rPr>
      </w:pPr>
      <w:r w:rsidRPr="00D16D90">
        <w:rPr>
          <w:lang w:val="es-ES"/>
        </w:rPr>
        <w:t>Cada año las comunicaciones sobre la normalización de</w:t>
      </w:r>
      <w:r w:rsidRPr="00D16D90">
        <w:rPr>
          <w:lang w:val="es-ES"/>
        </w:rPr>
        <w:t>l U</w:t>
      </w:r>
      <w:r w:rsidRPr="00D16D90">
        <w:rPr>
          <w:lang w:val="es-ES"/>
        </w:rPr>
        <w:t xml:space="preserve">IT-T </w:t>
      </w:r>
      <w:r w:rsidRPr="00D16D90">
        <w:rPr>
          <w:lang w:val="es-ES"/>
        </w:rPr>
        <w:t>se cuentan entre el contenido más popular de la UIT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 xml:space="preserve">La </w:t>
      </w:r>
      <w:r w:rsidRPr="00D16D90">
        <w:rPr>
          <w:lang w:val="es-ES"/>
        </w:rPr>
        <w:t xml:space="preserve">TSB </w:t>
      </w:r>
      <w:r w:rsidRPr="00D16D90">
        <w:rPr>
          <w:lang w:val="es-ES"/>
        </w:rPr>
        <w:t>mantiene un volumen constante de contenido original de actualidades del U</w:t>
      </w:r>
      <w:r w:rsidRPr="00D16D90">
        <w:rPr>
          <w:lang w:val="es-ES"/>
        </w:rPr>
        <w:t xml:space="preserve">IT-T, </w:t>
      </w:r>
      <w:r w:rsidRPr="00D16D90">
        <w:rPr>
          <w:lang w:val="es-ES"/>
        </w:rPr>
        <w:t>junto con una estrategia coordinada de medios sociales liderada por la Secretaría General de la UIT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E</w:t>
      </w:r>
      <w:r w:rsidRPr="00D16D90">
        <w:rPr>
          <w:lang w:val="es-ES"/>
        </w:rPr>
        <w:t xml:space="preserve">n 2017, </w:t>
      </w:r>
      <w:r w:rsidRPr="00D16D90">
        <w:rPr>
          <w:lang w:val="es-ES"/>
        </w:rPr>
        <w:t xml:space="preserve">el Premio Primetime Emmy, en reconocimiento de la codificación </w:t>
      </w:r>
      <w:r w:rsidR="00E866EF">
        <w:rPr>
          <w:lang w:val="es-ES"/>
        </w:rPr>
        <w:t xml:space="preserve">de </w:t>
      </w:r>
      <w:r w:rsidRPr="00D16D90">
        <w:rPr>
          <w:lang w:val="es-ES"/>
        </w:rPr>
        <w:t>vídeo muy eficiente, alcanzó gran cobertura mediática mundial, así como la Cumbre de AI para el bien mundial</w:t>
      </w:r>
      <w:r w:rsidRPr="00D16D90">
        <w:rPr>
          <w:lang w:val="es-ES"/>
        </w:rPr>
        <w:t>.</w:t>
      </w:r>
    </w:p>
    <w:p w:rsidR="00051696" w:rsidRPr="00D16D90" w:rsidRDefault="000329A2" w:rsidP="000329A2">
      <w:pPr>
        <w:rPr>
          <w:lang w:val="es-ES"/>
        </w:rPr>
      </w:pPr>
      <w:hyperlink r:id="rId9" w:history="1">
        <w:r w:rsidRPr="00D16D90">
          <w:rPr>
            <w:rStyle w:val="Hyperlink"/>
            <w:lang w:val="es-ES"/>
          </w:rPr>
          <w:t>MyWorkspace</w:t>
        </w:r>
      </w:hyperlink>
      <w:r w:rsidRPr="00D16D90">
        <w:rPr>
          <w:lang w:val="es-ES"/>
        </w:rPr>
        <w:t xml:space="preserve"> </w:t>
      </w:r>
      <w:r w:rsidRPr="00D16D90">
        <w:rPr>
          <w:lang w:val="es-ES"/>
        </w:rPr>
        <w:t xml:space="preserve">es </w:t>
      </w:r>
      <w:r w:rsidRPr="00D16D90">
        <w:rPr>
          <w:lang w:val="es-ES"/>
        </w:rPr>
        <w:t xml:space="preserve">una nueva página web personalizada para usuarios </w:t>
      </w:r>
      <w:r w:rsidRPr="00D16D90">
        <w:rPr>
          <w:lang w:val="es-ES"/>
        </w:rPr>
        <w:t xml:space="preserve">TIES </w:t>
      </w:r>
      <w:r w:rsidRPr="00D16D90">
        <w:rPr>
          <w:lang w:val="es-ES"/>
        </w:rPr>
        <w:t>que ofrece fácil acceso a la información y servicios más importantes para los delegados del U</w:t>
      </w:r>
      <w:r w:rsidRPr="00D16D90">
        <w:rPr>
          <w:lang w:val="es-ES"/>
        </w:rPr>
        <w:t xml:space="preserve">IT-T. </w:t>
      </w:r>
      <w:r w:rsidR="008966C5" w:rsidRPr="00D16D90">
        <w:rPr>
          <w:lang w:val="es-ES"/>
        </w:rPr>
        <w:t xml:space="preserve">El </w:t>
      </w:r>
      <w:hyperlink r:id="rId10" w:history="1">
        <w:r w:rsidRPr="00D16D90">
          <w:rPr>
            <w:rStyle w:val="Hyperlink"/>
            <w:lang w:val="es-ES"/>
          </w:rPr>
          <w:t xml:space="preserve">motor de </w:t>
        </w:r>
        <w:r w:rsidRPr="00D16D90">
          <w:rPr>
            <w:rStyle w:val="Hyperlink"/>
            <w:lang w:val="es-ES"/>
          </w:rPr>
          <w:t>b</w:t>
        </w:r>
        <w:r w:rsidRPr="00D16D90">
          <w:rPr>
            <w:rStyle w:val="Hyperlink"/>
            <w:lang w:val="es-ES"/>
          </w:rPr>
          <w:t>úsqueda</w:t>
        </w:r>
      </w:hyperlink>
      <w:r w:rsidRPr="00D16D90">
        <w:rPr>
          <w:lang w:val="es-ES"/>
        </w:rPr>
        <w:t xml:space="preserve"> </w:t>
      </w:r>
      <w:r w:rsidRPr="008966C5">
        <w:rPr>
          <w:lang w:val="es-ES"/>
        </w:rPr>
        <w:t>genera resultados de</w:t>
      </w:r>
      <w:r w:rsidR="008966C5" w:rsidRPr="008966C5">
        <w:t xml:space="preserve"> toda</w:t>
      </w:r>
      <w:r w:rsidRPr="008966C5">
        <w:rPr>
          <w:lang w:val="es-ES"/>
        </w:rPr>
        <w:t xml:space="preserve"> la colección de documentos, publicaciones y páginas web de la UIT</w:t>
      </w:r>
      <w:r w:rsidRPr="008966C5">
        <w:rPr>
          <w:lang w:val="es-ES"/>
        </w:rPr>
        <w:t xml:space="preserve">. </w:t>
      </w:r>
      <w:r w:rsidRPr="008966C5">
        <w:rPr>
          <w:lang w:val="es-ES"/>
        </w:rPr>
        <w:t>S</w:t>
      </w:r>
      <w:r w:rsidR="008966C5" w:rsidRPr="008966C5">
        <w:t>e</w:t>
      </w:r>
      <w:r w:rsidRPr="00D16D90">
        <w:rPr>
          <w:lang w:val="es-ES"/>
        </w:rPr>
        <w:t xml:space="preserve"> han seguido mejorando los espacios de colaboración SharePoint de las Comisiones de Estudio del</w:t>
      </w:r>
      <w:r>
        <w:rPr>
          <w:lang w:val="es-ES"/>
        </w:rPr>
        <w:t> </w:t>
      </w:r>
      <w:r w:rsidRPr="00D16D90">
        <w:rPr>
          <w:lang w:val="es-ES"/>
        </w:rPr>
        <w:t>U</w:t>
      </w:r>
      <w:r w:rsidRPr="00D16D90">
        <w:rPr>
          <w:lang w:val="es-ES"/>
        </w:rPr>
        <w:t>IT-T.</w:t>
      </w:r>
      <w:r w:rsidRPr="00D16D90">
        <w:rPr>
          <w:lang w:val="es-ES"/>
        </w:rPr>
        <w:t xml:space="preserve"> </w:t>
      </w:r>
      <w:r w:rsidRPr="00D16D90">
        <w:rPr>
          <w:lang w:val="es-ES"/>
        </w:rPr>
        <w:t xml:space="preserve">El nuevo canal de anuncios para nuevos servicios </w:t>
      </w:r>
      <w:hyperlink r:id="rId11" w:history="1">
        <w:r w:rsidRPr="00D16D90">
          <w:rPr>
            <w:rStyle w:val="Hyperlink"/>
            <w:lang w:val="es-ES"/>
          </w:rPr>
          <w:t>http://tsbtech.itu.int/</w:t>
        </w:r>
      </w:hyperlink>
      <w:r w:rsidRPr="00D16D90">
        <w:rPr>
          <w:lang w:val="es-ES"/>
        </w:rPr>
        <w:t xml:space="preserve">, </w:t>
      </w:r>
      <w:r w:rsidRPr="00D16D90">
        <w:rPr>
          <w:lang w:val="es-ES"/>
        </w:rPr>
        <w:t>informa periódicamente acerca de los nuevos servicios y herramientas disponibles para los delegados del</w:t>
      </w:r>
      <w:r w:rsidR="00E866EF">
        <w:rPr>
          <w:lang w:val="es-ES"/>
        </w:rPr>
        <w:t> </w:t>
      </w:r>
      <w:r w:rsidRPr="00D16D90">
        <w:rPr>
          <w:lang w:val="es-ES"/>
        </w:rPr>
        <w:t>U</w:t>
      </w:r>
      <w:r w:rsidRPr="00D16D90">
        <w:rPr>
          <w:lang w:val="es-ES"/>
        </w:rPr>
        <w:t>IT-T.</w:t>
      </w:r>
    </w:p>
    <w:p w:rsidR="00BA0BE0" w:rsidRPr="00D16D90" w:rsidRDefault="000329A2" w:rsidP="00D16D90">
      <w:pPr>
        <w:rPr>
          <w:lang w:val="es-ES"/>
        </w:rPr>
      </w:pPr>
      <w:r w:rsidRPr="00D16D90">
        <w:t xml:space="preserve">La TSB sigue traduciendo a todos los idiomas de la Unión todas las Recomendaciones aprobadas </w:t>
      </w:r>
      <w:r w:rsidRPr="00D16D90">
        <w:t>con arreglo</w:t>
      </w:r>
      <w:r w:rsidRPr="00D16D90">
        <w:t xml:space="preserve"> </w:t>
      </w:r>
      <w:r w:rsidRPr="00D16D90">
        <w:t>a</w:t>
      </w:r>
      <w:r w:rsidRPr="00D16D90">
        <w:t>l proceso de aprobación tradicional (TAP) y todos los informes del GANT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En</w:t>
      </w:r>
      <w:r w:rsidRPr="00D16D90">
        <w:rPr>
          <w:lang w:val="es-ES"/>
        </w:rPr>
        <w:t xml:space="preserve"> 2017, </w:t>
      </w:r>
      <w:r w:rsidRPr="00D16D90">
        <w:rPr>
          <w:lang w:val="es-ES"/>
        </w:rPr>
        <w:t xml:space="preserve">la </w:t>
      </w:r>
      <w:r w:rsidRPr="00D16D90">
        <w:rPr>
          <w:lang w:val="es-ES"/>
        </w:rPr>
        <w:t xml:space="preserve">TSB </w:t>
      </w:r>
      <w:r w:rsidRPr="00D16D90">
        <w:rPr>
          <w:lang w:val="es-ES"/>
        </w:rPr>
        <w:t>tradujo</w:t>
      </w:r>
      <w:r w:rsidRPr="00D16D90">
        <w:rPr>
          <w:lang w:val="es-ES"/>
        </w:rPr>
        <w:t xml:space="preserve"> 60 </w:t>
      </w:r>
      <w:r w:rsidRPr="00D16D90">
        <w:rPr>
          <w:lang w:val="es-ES"/>
        </w:rPr>
        <w:t xml:space="preserve">Recomendaciones sujetas al </w:t>
      </w:r>
      <w:r w:rsidRPr="00D16D90">
        <w:rPr>
          <w:lang w:val="es-ES"/>
        </w:rPr>
        <w:t xml:space="preserve">AAP </w:t>
      </w:r>
      <w:r w:rsidRPr="00D16D90">
        <w:rPr>
          <w:lang w:val="es-ES"/>
        </w:rPr>
        <w:t>en el periodo consi</w:t>
      </w:r>
      <w:r w:rsidRPr="00D16D90">
        <w:rPr>
          <w:lang w:val="es-ES"/>
        </w:rPr>
        <w:t>derado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>de conformidad con lo solicitado previamente por las Comisiones de Estudio y los grupos lingüísticos</w:t>
      </w:r>
      <w:r w:rsidRPr="00D16D90">
        <w:rPr>
          <w:lang w:val="es-ES"/>
        </w:rPr>
        <w:t xml:space="preserve">, </w:t>
      </w:r>
      <w:r w:rsidRPr="00D16D90">
        <w:rPr>
          <w:lang w:val="es-ES"/>
        </w:rPr>
        <w:t>y con sujeción al presupuesto atribuido para traducción</w:t>
      </w:r>
      <w:r w:rsidRPr="00D16D90">
        <w:rPr>
          <w:lang w:val="es-ES"/>
        </w:rPr>
        <w:t>.</w:t>
      </w:r>
    </w:p>
    <w:p w:rsidR="00BA0BE0" w:rsidRPr="00D16D90" w:rsidRDefault="000329A2" w:rsidP="00D16D90">
      <w:pPr>
        <w:rPr>
          <w:lang w:val="es-ES"/>
        </w:rPr>
      </w:pPr>
      <w:r w:rsidRPr="00D16D90">
        <w:rPr>
          <w:lang w:val="es-ES"/>
        </w:rPr>
        <w:t xml:space="preserve">La diversidad del personal, la igualdad de género y el empoderamiento de la mujer siguen </w:t>
      </w:r>
      <w:r w:rsidRPr="00D16D90">
        <w:rPr>
          <w:lang w:val="es-ES"/>
        </w:rPr>
        <w:t>estando entre las prioridades de la TSB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La TSB prosigue su esfuerzo para incluir una perspectiva de género en todas sus actividades y programas bajo el paraguas del Grupo Especial de la UIT sobre cuestiones de género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>El porcentaje de mujeres en la TSB es</w:t>
      </w:r>
      <w:r w:rsidRPr="00D16D90">
        <w:rPr>
          <w:lang w:val="es-ES"/>
        </w:rPr>
        <w:t xml:space="preserve"> del </w:t>
      </w:r>
      <w:r w:rsidRPr="00D16D90">
        <w:rPr>
          <w:lang w:val="es-ES"/>
        </w:rPr>
        <w:t xml:space="preserve">48 </w:t>
      </w:r>
      <w:r w:rsidRPr="00D16D90">
        <w:rPr>
          <w:lang w:val="es-ES"/>
        </w:rPr>
        <w:t>por ciento</w:t>
      </w:r>
      <w:r w:rsidRPr="00D16D90">
        <w:rPr>
          <w:lang w:val="es-ES"/>
        </w:rPr>
        <w:t xml:space="preserve">. </w:t>
      </w:r>
      <w:r w:rsidRPr="00D16D90">
        <w:rPr>
          <w:lang w:val="es-ES"/>
        </w:rPr>
        <w:t xml:space="preserve">El número de mujeres en la categoría profesional se ha más que cuadruplicado en los últimos 10 años, ocupando el </w:t>
      </w:r>
      <w:r w:rsidRPr="00D16D90">
        <w:rPr>
          <w:lang w:val="es-ES"/>
        </w:rPr>
        <w:t xml:space="preserve">39 </w:t>
      </w:r>
      <w:r w:rsidRPr="00D16D90">
        <w:rPr>
          <w:lang w:val="es-ES"/>
        </w:rPr>
        <w:t xml:space="preserve">por ciento de los puestos profesionales de la </w:t>
      </w:r>
      <w:r w:rsidRPr="00D16D90">
        <w:rPr>
          <w:lang w:val="es-ES"/>
        </w:rPr>
        <w:t>TSB</w:t>
      </w:r>
      <w:r w:rsidRPr="00D16D90">
        <w:rPr>
          <w:lang w:val="es-ES"/>
        </w:rPr>
        <w:t xml:space="preserve"> y el </w:t>
      </w:r>
      <w:r w:rsidRPr="00D16D90">
        <w:rPr>
          <w:lang w:val="es-ES"/>
        </w:rPr>
        <w:t xml:space="preserve">67 </w:t>
      </w:r>
      <w:r w:rsidRPr="00D16D90">
        <w:rPr>
          <w:lang w:val="es-ES"/>
        </w:rPr>
        <w:t>por ciento de los puestos de grado</w:t>
      </w:r>
      <w:r w:rsidR="00D16D90" w:rsidRPr="00D16D90">
        <w:rPr>
          <w:lang w:val="es-ES"/>
        </w:rPr>
        <w:t> </w:t>
      </w:r>
      <w:r w:rsidRPr="00D16D90">
        <w:rPr>
          <w:lang w:val="es-ES"/>
        </w:rPr>
        <w:t>P5.</w:t>
      </w:r>
    </w:p>
    <w:p w:rsidR="00862B54" w:rsidRDefault="00862B54" w:rsidP="0032202E">
      <w:pPr>
        <w:pStyle w:val="Reasons"/>
      </w:pPr>
    </w:p>
    <w:p w:rsidR="00862B54" w:rsidRDefault="00862B54">
      <w:pPr>
        <w:jc w:val="center"/>
      </w:pPr>
      <w:r>
        <w:t>______________</w:t>
      </w:r>
    </w:p>
    <w:sectPr w:rsidR="00862B54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90" w:rsidRDefault="00D16D90">
      <w:r>
        <w:separator/>
      </w:r>
    </w:p>
  </w:endnote>
  <w:endnote w:type="continuationSeparator" w:id="0">
    <w:p w:rsidR="00D16D90" w:rsidRDefault="00D1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48" w:rsidRDefault="00FE2948" w:rsidP="00FE2948">
    <w:pPr>
      <w:pStyle w:val="Footer"/>
    </w:pPr>
    <w:fldSimple w:instr=" FILENAME \p  \* MERGEFORMAT ">
      <w:r w:rsidR="008966C5">
        <w:t>P:\ESP\ITU-T\TSAG\DT\138S.docx</w:t>
      </w:r>
    </w:fldSimple>
    <w:r>
      <w:t xml:space="preserve"> (432355)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48" w:rsidRDefault="00FE2948" w:rsidP="00FE294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966C5">
      <w:t>P:\ESP\ITU-T\TSAG\DT\138S.docx</w:t>
    </w:r>
    <w:r>
      <w:fldChar w:fldCharType="end"/>
    </w:r>
    <w:r>
      <w:t xml:space="preserve"> (432355)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90" w:rsidRDefault="00D16D90">
      <w:r>
        <w:t>____________________</w:t>
      </w:r>
    </w:p>
  </w:footnote>
  <w:footnote w:type="continuationSeparator" w:id="0">
    <w:p w:rsidR="00D16D90" w:rsidRDefault="00D16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48" w:rsidRDefault="00FE2948" w:rsidP="00FE2948">
    <w:pPr>
      <w:pStyle w:val="Header"/>
    </w:pPr>
    <w:r w:rsidRPr="005E7FCF">
      <w:fldChar w:fldCharType="begin"/>
    </w:r>
    <w:r w:rsidRPr="005E7FCF">
      <w:instrText xml:space="preserve"> PAGE  \* MERGEFORMAT </w:instrText>
    </w:r>
    <w:r w:rsidRPr="005E7FCF">
      <w:fldChar w:fldCharType="separate"/>
    </w:r>
    <w:r w:rsidR="000329A2">
      <w:rPr>
        <w:noProof/>
      </w:rPr>
      <w:t>2</w:t>
    </w:r>
    <w:r w:rsidRPr="005E7FCF">
      <w:fldChar w:fldCharType="end"/>
    </w:r>
    <w:r>
      <w:br/>
      <w:t>TD 138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90"/>
    <w:rsid w:val="000329A2"/>
    <w:rsid w:val="000D200E"/>
    <w:rsid w:val="00103412"/>
    <w:rsid w:val="001E0992"/>
    <w:rsid w:val="002D7BF2"/>
    <w:rsid w:val="003865B1"/>
    <w:rsid w:val="0069218C"/>
    <w:rsid w:val="00803E2C"/>
    <w:rsid w:val="00862B54"/>
    <w:rsid w:val="008966C5"/>
    <w:rsid w:val="008B6BB4"/>
    <w:rsid w:val="00D16D90"/>
    <w:rsid w:val="00E866EF"/>
    <w:rsid w:val="00F227AB"/>
    <w:rsid w:val="00FE2948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79D2DA-AE16-4F9B-A15C-644F2FB2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header odd,header entry,HE,h,Header/Footer,页眉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aliases w:val="超级链接,超?级链,CEO_Hyperlink"/>
    <w:basedOn w:val="DefaultParagraphFont"/>
    <w:uiPriority w:val="99"/>
    <w:rsid w:val="00D16D90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rsid w:val="00D16D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28"/>
      <w:szCs w:val="24"/>
      <w:lang w:val="en-GB" w:eastAsia="ja-JP"/>
    </w:rPr>
  </w:style>
  <w:style w:type="character" w:customStyle="1" w:styleId="DocnumberChar">
    <w:name w:val="Docnumber Char"/>
    <w:basedOn w:val="DefaultParagraphFont"/>
    <w:link w:val="Docnumber"/>
    <w:rsid w:val="00D16D90"/>
    <w:rPr>
      <w:rFonts w:ascii="Times New Roman" w:eastAsiaTheme="minorEastAsia" w:hAnsi="Times New Roman"/>
      <w:b/>
      <w:bCs/>
      <w:sz w:val="28"/>
      <w:szCs w:val="24"/>
      <w:lang w:val="en-GB" w:eastAsia="ja-JP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FE2948"/>
    <w:rPr>
      <w:rFonts w:ascii="Times New Roman" w:hAnsi="Times New Roman"/>
      <w:sz w:val="18"/>
      <w:lang w:val="es-ES_tradnl" w:eastAsia="en-US"/>
    </w:rPr>
  </w:style>
  <w:style w:type="paragraph" w:customStyle="1" w:styleId="Reasons">
    <w:name w:val="Reasons"/>
    <w:basedOn w:val="Normal"/>
    <w:qFormat/>
    <w:rsid w:val="00862B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2D7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ag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sbtech.itu.in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net4/ITU-T/search/Lan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net4/ITU-T/myworkspace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47AC-0799-497F-85DF-00A0DA96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PS_TSB.dotm</Template>
  <TotalTime>85</TotalTime>
  <Pages>8</Pages>
  <Words>2281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Spanish83</dc:creator>
  <cp:keywords/>
  <dc:description/>
  <cp:lastModifiedBy>Spanish83</cp:lastModifiedBy>
  <cp:revision>4</cp:revision>
  <cp:lastPrinted>2018-02-15T13:49:00Z</cp:lastPrinted>
  <dcterms:created xsi:type="dcterms:W3CDTF">2018-02-15T13:20:00Z</dcterms:created>
  <dcterms:modified xsi:type="dcterms:W3CDTF">2018-02-15T15:01:00Z</dcterms:modified>
</cp:coreProperties>
</file>