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4873DD" w:rsidRPr="004873DD" w:rsidTr="004873DD">
        <w:trPr>
          <w:cantSplit/>
          <w:jc w:val="center"/>
        </w:trPr>
        <w:tc>
          <w:tcPr>
            <w:tcW w:w="1191" w:type="dxa"/>
            <w:vMerge w:val="restart"/>
          </w:tcPr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tableau"/>
            <w:r w:rsidRPr="004873DD">
              <w:rPr>
                <w:rFonts w:ascii="Times New Roman" w:eastAsia="SimSu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FD29F32" wp14:editId="3E321276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4873DD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4873DD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4873DD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4873DD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:rsidR="004873DD" w:rsidRPr="004873DD" w:rsidRDefault="004873DD" w:rsidP="004873D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 w:rsidRPr="004873DD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 xml:space="preserve">TD </w:t>
            </w: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1</w:t>
            </w:r>
            <w:r w:rsidRPr="004873DD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4</w:t>
            </w: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3</w:t>
            </w:r>
          </w:p>
        </w:tc>
      </w:tr>
      <w:tr w:rsidR="004873DD" w:rsidRPr="004873DD" w:rsidTr="004873DD">
        <w:trPr>
          <w:cantSplit/>
          <w:jc w:val="center"/>
        </w:trPr>
        <w:tc>
          <w:tcPr>
            <w:tcW w:w="1191" w:type="dxa"/>
            <w:vMerge/>
          </w:tcPr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2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1" w:type="dxa"/>
            <w:gridSpan w:val="2"/>
          </w:tcPr>
          <w:p w:rsidR="004873DD" w:rsidRPr="004873DD" w:rsidRDefault="004873DD" w:rsidP="004873DD">
            <w:pPr>
              <w:spacing w:before="120"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4873DD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2"/>
      <w:tr w:rsidR="004873DD" w:rsidRPr="004873DD" w:rsidTr="004873DD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4873DD" w:rsidRPr="004873DD" w:rsidRDefault="004873DD" w:rsidP="004873DD">
            <w:pPr>
              <w:spacing w:before="120"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873D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4873DD" w:rsidRPr="004873DD" w:rsidTr="004873DD">
        <w:trPr>
          <w:cantSplit/>
          <w:jc w:val="center"/>
        </w:trPr>
        <w:tc>
          <w:tcPr>
            <w:tcW w:w="1617" w:type="dxa"/>
            <w:gridSpan w:val="3"/>
          </w:tcPr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bookmarkStart w:id="3" w:name="dbluepink" w:colFirst="1" w:colLast="1"/>
            <w:bookmarkStart w:id="4" w:name="dmeeting" w:colFirst="2" w:colLast="2"/>
            <w:r w:rsidRPr="004873D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5" w:type="dxa"/>
          </w:tcPr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4873DD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1" w:type="dxa"/>
            <w:gridSpan w:val="2"/>
          </w:tcPr>
          <w:p w:rsidR="004873DD" w:rsidRPr="004873DD" w:rsidRDefault="004873DD" w:rsidP="004873DD">
            <w:pPr>
              <w:spacing w:before="120"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4873DD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Geneva, 26 February – 2 March 2018</w:t>
            </w:r>
          </w:p>
        </w:tc>
      </w:tr>
      <w:bookmarkEnd w:id="3"/>
      <w:bookmarkEnd w:id="4"/>
      <w:tr w:rsidR="004873DD" w:rsidRPr="004873DD" w:rsidTr="004873DD">
        <w:trPr>
          <w:cantSplit/>
          <w:jc w:val="center"/>
        </w:trPr>
        <w:tc>
          <w:tcPr>
            <w:tcW w:w="9923" w:type="dxa"/>
            <w:gridSpan w:val="6"/>
          </w:tcPr>
          <w:p w:rsidR="004873DD" w:rsidRPr="004873DD" w:rsidRDefault="004873DD" w:rsidP="004873DD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873D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4873DD" w:rsidRPr="004873DD" w:rsidTr="004873DD">
        <w:trPr>
          <w:cantSplit/>
          <w:jc w:val="center"/>
        </w:trPr>
        <w:tc>
          <w:tcPr>
            <w:tcW w:w="1617" w:type="dxa"/>
            <w:gridSpan w:val="3"/>
          </w:tcPr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bookmarkStart w:id="5" w:name="dsource" w:colFirst="1" w:colLast="1"/>
            <w:r w:rsidRPr="004873D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:rsidR="004873DD" w:rsidRPr="00454554" w:rsidRDefault="004873DD" w:rsidP="004873DD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54554">
              <w:rPr>
                <w:rFonts w:asciiTheme="majorBidi" w:hAnsiTheme="majorBidi" w:cstheme="majorBidi"/>
                <w:sz w:val="24"/>
                <w:szCs w:val="24"/>
              </w:rPr>
              <w:t>Vice-Chairman, TSAG</w:t>
            </w:r>
          </w:p>
        </w:tc>
      </w:tr>
      <w:tr w:rsidR="004873DD" w:rsidRPr="004873DD" w:rsidTr="004873DD">
        <w:trPr>
          <w:cantSplit/>
          <w:jc w:val="center"/>
        </w:trPr>
        <w:tc>
          <w:tcPr>
            <w:tcW w:w="1617" w:type="dxa"/>
            <w:gridSpan w:val="3"/>
          </w:tcPr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bookmarkStart w:id="6" w:name="dtitle1" w:colFirst="1" w:colLast="1"/>
            <w:bookmarkEnd w:id="5"/>
            <w:r w:rsidRPr="004873D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:rsidR="004873DD" w:rsidRPr="00454554" w:rsidRDefault="004873DD" w:rsidP="004873DD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54554">
              <w:rPr>
                <w:rFonts w:asciiTheme="majorBidi" w:hAnsiTheme="majorBidi" w:cstheme="majorBidi"/>
                <w:sz w:val="24"/>
                <w:szCs w:val="24"/>
              </w:rPr>
              <w:t>Draft Terms of reference of TSAG Rapporteur Group on the review of WTSA Resolutions (RG-</w:t>
            </w:r>
            <w:proofErr w:type="spellStart"/>
            <w:r w:rsidRPr="00454554"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454554">
              <w:rPr>
                <w:rFonts w:asciiTheme="majorBidi" w:hAnsiTheme="majorBidi" w:cstheme="majorBidi"/>
                <w:sz w:val="24"/>
                <w:szCs w:val="24"/>
              </w:rPr>
              <w:t>Review</w:t>
            </w:r>
            <w:proofErr w:type="spellEnd"/>
            <w:r w:rsidRPr="00454554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</w:tr>
      <w:bookmarkEnd w:id="6"/>
      <w:tr w:rsidR="004873DD" w:rsidRPr="004873DD" w:rsidTr="004873DD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873D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4873DD" w:rsidRPr="00454554" w:rsidRDefault="004873DD" w:rsidP="004873DD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454554">
              <w:rPr>
                <w:rFonts w:asciiTheme="majorBidi" w:eastAsia="MS Mincho" w:hAnsiTheme="majorBidi" w:cstheme="majorBidi"/>
                <w:sz w:val="24"/>
                <w:szCs w:val="24"/>
                <w:lang w:eastAsia="ja-JP"/>
              </w:rPr>
              <w:t>Information and action</w:t>
            </w:r>
          </w:p>
        </w:tc>
      </w:tr>
      <w:bookmarkEnd w:id="1"/>
      <w:tr w:rsidR="004873DD" w:rsidRPr="004873DD" w:rsidTr="004873DD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873DD" w:rsidRPr="004873DD" w:rsidRDefault="004873DD" w:rsidP="004873DD">
            <w:pPr>
              <w:spacing w:before="120"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4873D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4873DD" w:rsidRPr="00E56CA0" w:rsidRDefault="004873DD" w:rsidP="004873DD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E56CA0">
              <w:rPr>
                <w:rFonts w:asciiTheme="majorBidi" w:hAnsiTheme="majorBidi" w:cstheme="majorBidi"/>
                <w:sz w:val="24"/>
                <w:szCs w:val="24"/>
              </w:rPr>
              <w:t xml:space="preserve">Vladimir </w:t>
            </w:r>
            <w:proofErr w:type="spellStart"/>
            <w:r w:rsidRPr="00E56CA0">
              <w:rPr>
                <w:rFonts w:asciiTheme="majorBidi" w:hAnsiTheme="majorBidi" w:cstheme="majorBidi"/>
                <w:sz w:val="24"/>
                <w:szCs w:val="24"/>
              </w:rPr>
              <w:t>Minkin</w:t>
            </w:r>
            <w:proofErr w:type="spellEnd"/>
            <w:r w:rsidRPr="00E56CA0">
              <w:rPr>
                <w:rFonts w:asciiTheme="majorBidi" w:hAnsiTheme="majorBidi" w:cstheme="majorBidi"/>
                <w:sz w:val="24"/>
                <w:szCs w:val="24"/>
              </w:rPr>
              <w:br/>
              <w:t>Vice-Chairman, TSAG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4873DD" w:rsidRPr="00CE6B8B" w:rsidRDefault="004873DD" w:rsidP="004873DD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CE6B8B">
              <w:rPr>
                <w:rFonts w:asciiTheme="majorBidi" w:hAnsiTheme="majorBidi" w:cstheme="majorBidi"/>
                <w:sz w:val="24"/>
                <w:szCs w:val="24"/>
                <w:lang w:val="de-DE"/>
              </w:rPr>
              <w:t>Tel:</w:t>
            </w:r>
            <w:r w:rsidRPr="00CE6B8B">
              <w:rPr>
                <w:rFonts w:asciiTheme="majorBidi" w:hAnsiTheme="majorBidi" w:cstheme="majorBidi"/>
                <w:sz w:val="24"/>
                <w:szCs w:val="24"/>
                <w:lang w:val="de-DE"/>
              </w:rPr>
              <w:tab/>
              <w:t>+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74992619307</w:t>
            </w:r>
            <w:r w:rsidRPr="00CE6B8B">
              <w:rPr>
                <w:rFonts w:asciiTheme="majorBidi" w:hAnsiTheme="majorBidi" w:cstheme="majorBidi"/>
                <w:sz w:val="24"/>
                <w:szCs w:val="24"/>
                <w:lang w:val="de-DE"/>
              </w:rPr>
              <w:br/>
              <w:t xml:space="preserve">E-mail: </w:t>
            </w:r>
            <w:r>
              <w:fldChar w:fldCharType="begin"/>
            </w:r>
            <w:r>
              <w:instrText xml:space="preserve"> HYPERLINK "mailto:minkin-itu@mail.ru" </w:instrText>
            </w:r>
            <w:r>
              <w:fldChar w:fldCharType="separate"/>
            </w:r>
            <w:r w:rsidRPr="00491F8D">
              <w:rPr>
                <w:rStyle w:val="Hyperlink"/>
                <w:rFonts w:asciiTheme="majorBidi" w:hAnsiTheme="majorBidi" w:cstheme="majorBidi"/>
                <w:sz w:val="24"/>
                <w:szCs w:val="24"/>
                <w:lang w:val="de-DE"/>
              </w:rPr>
              <w:t>minkin-itu@mail.ru</w:t>
            </w:r>
            <w:r>
              <w:rPr>
                <w:rStyle w:val="Hyperlink"/>
                <w:rFonts w:asciiTheme="majorBidi" w:hAnsiTheme="majorBidi" w:cstheme="majorBidi"/>
                <w:sz w:val="24"/>
                <w:szCs w:val="24"/>
                <w:lang w:val="de-DE"/>
              </w:rPr>
              <w:fldChar w:fldCharType="end"/>
            </w:r>
          </w:p>
        </w:tc>
      </w:tr>
    </w:tbl>
    <w:p w:rsidR="004873DD" w:rsidRDefault="004873DD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8308"/>
      </w:tblGrid>
      <w:tr w:rsidR="00735078" w:rsidRPr="008C6B88" w:rsidTr="00230AC4">
        <w:trPr>
          <w:cantSplit/>
          <w:jc w:val="center"/>
        </w:trPr>
        <w:tc>
          <w:tcPr>
            <w:tcW w:w="1615" w:type="dxa"/>
          </w:tcPr>
          <w:p w:rsidR="00735078" w:rsidRPr="008C6B88" w:rsidRDefault="00735078" w:rsidP="00230AC4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6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8" w:type="dxa"/>
          </w:tcPr>
          <w:p w:rsidR="00735078" w:rsidRPr="008C6B88" w:rsidRDefault="00C66D76" w:rsidP="004873DD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TSAG </w:t>
            </w:r>
            <w:r w:rsidR="00735078" w:rsidRPr="008C6B88">
              <w:rPr>
                <w:rFonts w:asciiTheme="majorBidi" w:hAnsiTheme="majorBidi" w:cstheme="majorBidi"/>
                <w:sz w:val="24"/>
                <w:szCs w:val="24"/>
              </w:rPr>
              <w:t>RG-</w:t>
            </w:r>
            <w:proofErr w:type="spellStart"/>
            <w:r w:rsidR="00735078"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r w:rsidR="00454554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735078">
              <w:rPr>
                <w:rFonts w:asciiTheme="majorBidi" w:hAnsiTheme="majorBidi" w:cstheme="majorBidi"/>
                <w:sz w:val="24"/>
                <w:szCs w:val="24"/>
              </w:rPr>
              <w:t>Review</w:t>
            </w:r>
            <w:proofErr w:type="spellEnd"/>
          </w:p>
        </w:tc>
      </w:tr>
      <w:tr w:rsidR="00735078" w:rsidRPr="008C6B88" w:rsidTr="00230AC4">
        <w:trPr>
          <w:cantSplit/>
          <w:jc w:val="center"/>
        </w:trPr>
        <w:tc>
          <w:tcPr>
            <w:tcW w:w="1615" w:type="dxa"/>
          </w:tcPr>
          <w:p w:rsidR="00735078" w:rsidRPr="008C6B88" w:rsidRDefault="00735078" w:rsidP="00230AC4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6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8" w:type="dxa"/>
          </w:tcPr>
          <w:p w:rsidR="00735078" w:rsidRPr="008C6B88" w:rsidRDefault="00735078" w:rsidP="004873DD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C6B88">
              <w:rPr>
                <w:rFonts w:asciiTheme="majorBidi" w:hAnsiTheme="majorBidi" w:cstheme="majorBidi"/>
                <w:sz w:val="24"/>
                <w:szCs w:val="24"/>
              </w:rPr>
              <w:t xml:space="preserve">This TD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presents draft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Pr="007D19AC">
              <w:rPr>
                <w:rFonts w:asciiTheme="majorBidi" w:hAnsiTheme="majorBidi" w:cstheme="majorBidi"/>
                <w:sz w:val="24"/>
                <w:szCs w:val="24"/>
              </w:rPr>
              <w:t>TSAG Rapporteur Group on the review of WTSA Resolutions</w:t>
            </w:r>
            <w:r w:rsidR="00B34E4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735078" w:rsidRPr="008C6B88" w:rsidTr="00230AC4">
        <w:trPr>
          <w:cantSplit/>
          <w:jc w:val="center"/>
        </w:trPr>
        <w:tc>
          <w:tcPr>
            <w:tcW w:w="1615" w:type="dxa"/>
          </w:tcPr>
          <w:p w:rsidR="00735078" w:rsidRPr="008C6B88" w:rsidRDefault="00735078" w:rsidP="00230AC4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6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308" w:type="dxa"/>
          </w:tcPr>
          <w:p w:rsidR="00735078" w:rsidRPr="008C6B88" w:rsidRDefault="00A319A2" w:rsidP="004873DD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TSAG </w:t>
            </w:r>
            <w:r w:rsidR="00F65981">
              <w:rPr>
                <w:rFonts w:asciiTheme="majorBidi" w:hAnsiTheme="majorBidi" w:cstheme="majorBidi"/>
                <w:sz w:val="24"/>
                <w:szCs w:val="24"/>
              </w:rPr>
              <w:t>for consideration and necessary actions</w:t>
            </w:r>
            <w:r w:rsidR="00B34E4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230AC4" w:rsidRPr="00E56CA0" w:rsidRDefault="00230AC4" w:rsidP="00E56CA0">
      <w:pPr>
        <w:spacing w:before="120" w:line="240" w:lineRule="auto"/>
        <w:rPr>
          <w:rFonts w:asciiTheme="majorBidi" w:hAnsiTheme="majorBidi" w:cstheme="majorBidi"/>
          <w:sz w:val="24"/>
          <w:szCs w:val="24"/>
        </w:rPr>
      </w:pPr>
    </w:p>
    <w:p w:rsidR="00D25453" w:rsidRPr="00E56CA0" w:rsidRDefault="005566F5" w:rsidP="00E56CA0">
      <w:pPr>
        <w:spacing w:before="12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I</w:t>
      </w:r>
      <w:r>
        <w:rPr>
          <w:rFonts w:asciiTheme="majorBidi" w:hAnsiTheme="majorBidi" w:cstheme="majorBidi"/>
          <w:b/>
          <w:sz w:val="24"/>
          <w:szCs w:val="24"/>
        </w:rPr>
        <w:tab/>
      </w:r>
      <w:r w:rsidR="00D25453" w:rsidRPr="00E56CA0">
        <w:rPr>
          <w:rFonts w:asciiTheme="majorBidi" w:hAnsiTheme="majorBidi" w:cstheme="majorBidi"/>
          <w:b/>
          <w:sz w:val="24"/>
          <w:szCs w:val="24"/>
        </w:rPr>
        <w:t>Introduction</w:t>
      </w:r>
    </w:p>
    <w:p w:rsidR="00230AC4" w:rsidRPr="00E56CA0" w:rsidRDefault="00230AC4" w:rsidP="005566F5">
      <w:pPr>
        <w:spacing w:before="120" w:line="240" w:lineRule="auto"/>
        <w:rPr>
          <w:rFonts w:asciiTheme="majorBidi" w:hAnsiTheme="majorBidi" w:cstheme="majorBidi"/>
          <w:sz w:val="24"/>
          <w:szCs w:val="24"/>
        </w:rPr>
      </w:pPr>
      <w:r w:rsidRPr="00E56CA0">
        <w:rPr>
          <w:rFonts w:asciiTheme="majorBidi" w:hAnsiTheme="majorBidi" w:cstheme="majorBidi"/>
          <w:sz w:val="24"/>
          <w:szCs w:val="24"/>
        </w:rPr>
        <w:t>TSAG at its meeting in 2017</w:t>
      </w:r>
      <w:r w:rsidR="00595441" w:rsidRPr="00E56CA0">
        <w:rPr>
          <w:rFonts w:asciiTheme="majorBidi" w:hAnsiTheme="majorBidi" w:cstheme="majorBidi"/>
          <w:sz w:val="24"/>
          <w:szCs w:val="24"/>
        </w:rPr>
        <w:t xml:space="preserve"> consider</w:t>
      </w:r>
      <w:r w:rsidR="00BE290A" w:rsidRPr="00E56CA0">
        <w:rPr>
          <w:rFonts w:asciiTheme="majorBidi" w:hAnsiTheme="majorBidi" w:cstheme="majorBidi"/>
          <w:sz w:val="24"/>
          <w:szCs w:val="24"/>
        </w:rPr>
        <w:t>ed the Chair</w:t>
      </w:r>
      <w:r w:rsidR="005566F5">
        <w:rPr>
          <w:rFonts w:asciiTheme="majorBidi" w:hAnsiTheme="majorBidi" w:cstheme="majorBidi"/>
          <w:sz w:val="24"/>
          <w:szCs w:val="24"/>
        </w:rPr>
        <w:t>man’s</w:t>
      </w:r>
      <w:r w:rsidR="00BE290A" w:rsidRPr="00E56CA0">
        <w:rPr>
          <w:rFonts w:asciiTheme="majorBidi" w:hAnsiTheme="majorBidi" w:cstheme="majorBidi"/>
          <w:sz w:val="24"/>
          <w:szCs w:val="24"/>
        </w:rPr>
        <w:t xml:space="preserve"> proposal in </w:t>
      </w:r>
      <w:hyperlink r:id="rId8" w:history="1">
        <w:r w:rsidR="00595441" w:rsidRPr="00E56CA0">
          <w:rPr>
            <w:rStyle w:val="Hyperlink"/>
            <w:rFonts w:asciiTheme="majorBidi" w:hAnsiTheme="majorBidi" w:cstheme="majorBidi"/>
            <w:sz w:val="24"/>
            <w:szCs w:val="24"/>
          </w:rPr>
          <w:t>TD99</w:t>
        </w:r>
      </w:hyperlink>
      <w:r w:rsidR="00595441" w:rsidRPr="00E56CA0">
        <w:rPr>
          <w:rFonts w:asciiTheme="majorBidi" w:hAnsiTheme="majorBidi" w:cstheme="majorBidi"/>
          <w:sz w:val="24"/>
          <w:szCs w:val="24"/>
          <w:lang w:eastAsia="en-US"/>
        </w:rPr>
        <w:t xml:space="preserve"> </w:t>
      </w:r>
      <w:r w:rsidR="00BE290A" w:rsidRPr="00E56CA0">
        <w:rPr>
          <w:rFonts w:asciiTheme="majorBidi" w:hAnsiTheme="majorBidi" w:cstheme="majorBidi"/>
          <w:sz w:val="24"/>
          <w:szCs w:val="24"/>
          <w:lang w:eastAsia="en-US"/>
        </w:rPr>
        <w:t>to create</w:t>
      </w:r>
      <w:r w:rsidR="00595441" w:rsidRPr="00E56CA0">
        <w:rPr>
          <w:rFonts w:asciiTheme="majorBidi" w:hAnsiTheme="majorBidi" w:cstheme="majorBidi"/>
          <w:sz w:val="24"/>
          <w:szCs w:val="24"/>
          <w:lang w:eastAsia="en-US"/>
        </w:rPr>
        <w:t xml:space="preserve"> five TSAG Rapporteurs Groups with terms of references and appointed Rapporteurs</w:t>
      </w:r>
      <w:r w:rsidR="00BE290A" w:rsidRPr="00E56CA0">
        <w:rPr>
          <w:rFonts w:asciiTheme="majorBidi" w:hAnsiTheme="majorBidi" w:cstheme="majorBidi"/>
          <w:sz w:val="24"/>
          <w:szCs w:val="24"/>
          <w:lang w:eastAsia="en-US"/>
        </w:rPr>
        <w:t xml:space="preserve"> and agreed them</w:t>
      </w:r>
      <w:r w:rsidR="00595441" w:rsidRPr="00E56CA0">
        <w:rPr>
          <w:rFonts w:asciiTheme="majorBidi" w:hAnsiTheme="majorBidi" w:cstheme="majorBidi"/>
          <w:sz w:val="24"/>
          <w:szCs w:val="24"/>
          <w:lang w:eastAsia="en-US"/>
        </w:rPr>
        <w:t>.</w:t>
      </w:r>
      <w:r w:rsidR="00595441" w:rsidRPr="00E56CA0">
        <w:rPr>
          <w:rFonts w:asciiTheme="majorBidi" w:hAnsiTheme="majorBidi" w:cstheme="majorBidi"/>
          <w:sz w:val="24"/>
          <w:szCs w:val="24"/>
        </w:rPr>
        <w:t xml:space="preserve"> </w:t>
      </w:r>
      <w:r w:rsidR="005566F5">
        <w:rPr>
          <w:rFonts w:asciiTheme="majorBidi" w:hAnsiTheme="majorBidi" w:cstheme="majorBidi"/>
          <w:sz w:val="24"/>
          <w:szCs w:val="24"/>
        </w:rPr>
        <w:t xml:space="preserve">Another </w:t>
      </w:r>
      <w:r w:rsidR="00BE290A" w:rsidRPr="00E56CA0">
        <w:rPr>
          <w:rFonts w:asciiTheme="majorBidi" w:hAnsiTheme="majorBidi" w:cstheme="majorBidi"/>
          <w:sz w:val="24"/>
          <w:szCs w:val="24"/>
          <w:lang w:eastAsia="en-US"/>
        </w:rPr>
        <w:t xml:space="preserve">TSAG Rapporteurs Group </w:t>
      </w:r>
      <w:r w:rsidR="00BE290A" w:rsidRPr="00E56CA0">
        <w:rPr>
          <w:rFonts w:asciiTheme="majorBidi" w:hAnsiTheme="majorBidi" w:cstheme="majorBidi"/>
          <w:sz w:val="24"/>
          <w:szCs w:val="24"/>
        </w:rPr>
        <w:t xml:space="preserve">on the review of WTSA Resolutions had been also proposed </w:t>
      </w:r>
      <w:proofErr w:type="gramStart"/>
      <w:r w:rsidR="00BE290A" w:rsidRPr="00E56CA0">
        <w:rPr>
          <w:rFonts w:asciiTheme="majorBidi" w:hAnsiTheme="majorBidi" w:cstheme="majorBidi"/>
          <w:sz w:val="24"/>
          <w:szCs w:val="24"/>
        </w:rPr>
        <w:t>to</w:t>
      </w:r>
      <w:proofErr w:type="gramEnd"/>
      <w:r w:rsidR="00BE290A" w:rsidRPr="00E56CA0">
        <w:rPr>
          <w:rFonts w:asciiTheme="majorBidi" w:hAnsiTheme="majorBidi" w:cstheme="majorBidi"/>
          <w:sz w:val="24"/>
          <w:szCs w:val="24"/>
        </w:rPr>
        <w:t xml:space="preserve"> be created later (</w:t>
      </w:r>
      <w:r w:rsidRPr="00E56CA0">
        <w:rPr>
          <w:rFonts w:asciiTheme="majorBidi" w:hAnsiTheme="majorBidi" w:cstheme="majorBidi"/>
          <w:sz w:val="24"/>
          <w:szCs w:val="24"/>
        </w:rPr>
        <w:t>Document R-1)</w:t>
      </w:r>
      <w:r w:rsidR="005566F5">
        <w:rPr>
          <w:rFonts w:asciiTheme="majorBidi" w:hAnsiTheme="majorBidi" w:cstheme="majorBidi"/>
          <w:sz w:val="24"/>
          <w:szCs w:val="24"/>
        </w:rPr>
        <w:t>.</w:t>
      </w:r>
    </w:p>
    <w:p w:rsidR="00D25453" w:rsidRPr="005566F5" w:rsidRDefault="006D7CD5" w:rsidP="00E56CA0">
      <w:pPr>
        <w:spacing w:before="12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II</w:t>
      </w:r>
      <w:r>
        <w:rPr>
          <w:rFonts w:asciiTheme="majorBidi" w:hAnsiTheme="majorBidi" w:cstheme="majorBidi"/>
          <w:b/>
          <w:sz w:val="24"/>
          <w:szCs w:val="24"/>
        </w:rPr>
        <w:tab/>
        <w:t>Proposal</w:t>
      </w:r>
    </w:p>
    <w:p w:rsidR="00D25453" w:rsidRPr="00E56CA0" w:rsidRDefault="00D25453" w:rsidP="00FB52B9">
      <w:pPr>
        <w:spacing w:before="120" w:line="240" w:lineRule="auto"/>
        <w:rPr>
          <w:rFonts w:asciiTheme="majorBidi" w:hAnsiTheme="majorBidi" w:cstheme="majorBidi"/>
          <w:sz w:val="24"/>
          <w:szCs w:val="24"/>
        </w:rPr>
      </w:pPr>
      <w:r w:rsidRPr="00E56CA0">
        <w:rPr>
          <w:rFonts w:asciiTheme="majorBidi" w:hAnsiTheme="majorBidi" w:cstheme="majorBidi"/>
          <w:sz w:val="24"/>
          <w:szCs w:val="24"/>
        </w:rPr>
        <w:t xml:space="preserve">To create TSAG Rapporteur Group on the review of WTSA Resolutions with </w:t>
      </w:r>
      <w:r w:rsidR="00EC27BE" w:rsidRPr="00E56CA0">
        <w:rPr>
          <w:rFonts w:asciiTheme="majorBidi" w:hAnsiTheme="majorBidi" w:cstheme="majorBidi"/>
          <w:sz w:val="24"/>
          <w:szCs w:val="24"/>
        </w:rPr>
        <w:t>t</w:t>
      </w:r>
      <w:r w:rsidRPr="00E56CA0">
        <w:rPr>
          <w:rFonts w:asciiTheme="majorBidi" w:hAnsiTheme="majorBidi" w:cstheme="majorBidi"/>
          <w:sz w:val="24"/>
          <w:szCs w:val="24"/>
        </w:rPr>
        <w:t xml:space="preserve">erms of reference as in </w:t>
      </w:r>
      <w:r w:rsidR="00FB52B9">
        <w:rPr>
          <w:rFonts w:asciiTheme="majorBidi" w:hAnsiTheme="majorBidi" w:cstheme="majorBidi"/>
          <w:sz w:val="24"/>
          <w:szCs w:val="24"/>
        </w:rPr>
        <w:t xml:space="preserve">the </w:t>
      </w:r>
      <w:r w:rsidRPr="00E56CA0">
        <w:rPr>
          <w:rFonts w:asciiTheme="majorBidi" w:hAnsiTheme="majorBidi" w:cstheme="majorBidi"/>
          <w:sz w:val="24"/>
          <w:szCs w:val="24"/>
        </w:rPr>
        <w:t>Annex and start its work during TSAG</w:t>
      </w:r>
      <w:r w:rsidR="00FB52B9">
        <w:rPr>
          <w:rFonts w:asciiTheme="majorBidi" w:hAnsiTheme="majorBidi" w:cstheme="majorBidi"/>
          <w:sz w:val="24"/>
          <w:szCs w:val="24"/>
        </w:rPr>
        <w:t xml:space="preserve"> 2018</w:t>
      </w:r>
      <w:r w:rsidRPr="00E56CA0">
        <w:rPr>
          <w:rFonts w:asciiTheme="majorBidi" w:hAnsiTheme="majorBidi" w:cstheme="majorBidi"/>
          <w:sz w:val="24"/>
          <w:szCs w:val="24"/>
        </w:rPr>
        <w:t>.</w:t>
      </w:r>
    </w:p>
    <w:p w:rsidR="00D25453" w:rsidRPr="00E56CA0" w:rsidRDefault="00D25453" w:rsidP="00E56CA0">
      <w:pPr>
        <w:spacing w:before="120" w:line="240" w:lineRule="auto"/>
        <w:rPr>
          <w:rFonts w:asciiTheme="majorBidi" w:hAnsiTheme="majorBidi" w:cstheme="majorBidi"/>
          <w:sz w:val="24"/>
          <w:szCs w:val="24"/>
        </w:rPr>
      </w:pPr>
      <w:r w:rsidRPr="00E56CA0">
        <w:rPr>
          <w:rFonts w:asciiTheme="majorBidi" w:hAnsiTheme="majorBidi" w:cstheme="majorBidi"/>
          <w:sz w:val="24"/>
          <w:szCs w:val="24"/>
        </w:rPr>
        <w:br w:type="page"/>
      </w:r>
    </w:p>
    <w:p w:rsidR="00D25453" w:rsidRPr="007759FB" w:rsidRDefault="00D25453" w:rsidP="007759FB">
      <w:pPr>
        <w:spacing w:before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759FB">
        <w:rPr>
          <w:rFonts w:asciiTheme="majorBidi" w:hAnsiTheme="majorBidi" w:cstheme="majorBidi"/>
          <w:b/>
          <w:bCs/>
          <w:sz w:val="24"/>
          <w:szCs w:val="24"/>
        </w:rPr>
        <w:lastRenderedPageBreak/>
        <w:t>An</w:t>
      </w:r>
      <w:bookmarkStart w:id="7" w:name="_GoBack"/>
      <w:bookmarkEnd w:id="7"/>
      <w:r w:rsidRPr="007759FB">
        <w:rPr>
          <w:rFonts w:asciiTheme="majorBidi" w:hAnsiTheme="majorBidi" w:cstheme="majorBidi"/>
          <w:b/>
          <w:bCs/>
          <w:sz w:val="24"/>
          <w:szCs w:val="24"/>
        </w:rPr>
        <w:t>nex</w:t>
      </w:r>
    </w:p>
    <w:p w:rsidR="00EC27BE" w:rsidRPr="00E56CA0" w:rsidRDefault="00EC27BE" w:rsidP="00E56CA0">
      <w:pPr>
        <w:spacing w:before="240"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6CA0">
        <w:rPr>
          <w:rFonts w:asciiTheme="majorBidi" w:hAnsiTheme="majorBidi" w:cstheme="majorBidi"/>
          <w:b/>
          <w:bCs/>
          <w:sz w:val="24"/>
          <w:szCs w:val="24"/>
        </w:rPr>
        <w:t xml:space="preserve">Terms of Reference - Rapporteur Group on </w:t>
      </w:r>
      <w:r w:rsidR="007D19AC">
        <w:rPr>
          <w:rFonts w:asciiTheme="majorBidi" w:hAnsiTheme="majorBidi" w:cstheme="majorBidi"/>
          <w:b/>
          <w:bCs/>
          <w:sz w:val="24"/>
          <w:szCs w:val="24"/>
        </w:rPr>
        <w:t>the review of WTSA Resolutions</w:t>
      </w:r>
    </w:p>
    <w:p w:rsidR="00EC27BE" w:rsidRPr="00E56CA0" w:rsidRDefault="00EC27BE" w:rsidP="00E56CA0">
      <w:pPr>
        <w:tabs>
          <w:tab w:val="left" w:pos="794"/>
          <w:tab w:val="left" w:pos="1191"/>
          <w:tab w:val="left" w:pos="1588"/>
          <w:tab w:val="left" w:pos="1985"/>
        </w:tabs>
        <w:spacing w:before="240" w:after="120" w:line="240" w:lineRule="auto"/>
        <w:rPr>
          <w:rFonts w:asciiTheme="majorBidi" w:eastAsia="MS Mincho" w:hAnsiTheme="majorBidi" w:cstheme="majorBidi"/>
          <w:sz w:val="24"/>
          <w:szCs w:val="24"/>
        </w:rPr>
      </w:pPr>
      <w:r w:rsidRPr="00E56CA0"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The TSAG Rapporteur group on </w:t>
      </w:r>
      <w:r w:rsidRPr="00E56CA0">
        <w:rPr>
          <w:rFonts w:asciiTheme="majorBidi" w:hAnsiTheme="majorBidi" w:cstheme="majorBidi"/>
          <w:bCs/>
          <w:sz w:val="24"/>
          <w:szCs w:val="24"/>
        </w:rPr>
        <w:t xml:space="preserve">the review of WTSA Resolutions </w:t>
      </w:r>
      <w:r w:rsidRPr="00E56CA0">
        <w:rPr>
          <w:rFonts w:asciiTheme="majorBidi" w:hAnsiTheme="majorBidi" w:cstheme="majorBidi"/>
          <w:b/>
          <w:bCs/>
          <w:sz w:val="24"/>
          <w:szCs w:val="24"/>
        </w:rPr>
        <w:t>(RG-</w:t>
      </w:r>
      <w:proofErr w:type="spellStart"/>
      <w:r w:rsidRPr="00E56CA0">
        <w:rPr>
          <w:rFonts w:asciiTheme="majorBidi" w:hAnsiTheme="majorBidi" w:cstheme="majorBidi"/>
          <w:b/>
          <w:bCs/>
          <w:sz w:val="24"/>
          <w:szCs w:val="24"/>
        </w:rPr>
        <w:t>ResReview</w:t>
      </w:r>
      <w:proofErr w:type="spellEnd"/>
      <w:r w:rsidRPr="00E56CA0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E56CA0">
        <w:rPr>
          <w:rFonts w:asciiTheme="majorBidi" w:hAnsiTheme="majorBidi" w:cstheme="majorBidi"/>
          <w:sz w:val="24"/>
          <w:szCs w:val="24"/>
        </w:rPr>
        <w:t xml:space="preserve"> </w:t>
      </w:r>
      <w:r w:rsidRPr="00E56CA0">
        <w:rPr>
          <w:rFonts w:asciiTheme="majorBidi" w:eastAsia="MS Mincho" w:hAnsiTheme="majorBidi" w:cstheme="majorBidi"/>
          <w:color w:val="000000"/>
          <w:sz w:val="24"/>
          <w:szCs w:val="24"/>
        </w:rPr>
        <w:t>is established:</w:t>
      </w:r>
    </w:p>
    <w:p w:rsidR="00EC27BE" w:rsidRPr="00E56CA0" w:rsidRDefault="00EC27BE" w:rsidP="00E56CA0">
      <w:pPr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Theme="majorBidi" w:eastAsia="MS Mincho" w:hAnsiTheme="majorBidi" w:cstheme="majorBidi"/>
          <w:color w:val="000000"/>
          <w:sz w:val="24"/>
          <w:szCs w:val="24"/>
        </w:rPr>
      </w:pPr>
      <w:r w:rsidRPr="00E56CA0">
        <w:rPr>
          <w:rFonts w:asciiTheme="majorBidi" w:eastAsia="MS Mincho" w:hAnsiTheme="majorBidi" w:cstheme="majorBidi"/>
          <w:color w:val="000000"/>
          <w:sz w:val="24"/>
          <w:szCs w:val="24"/>
        </w:rPr>
        <w:t>To review existing World Telecommunication Standardization Assembly (WTSA) Resolutions with a view to streamlining them, taking into account the Resolutions in Plenipotentiary Conference and other Sectors as appropriate.</w:t>
      </w:r>
    </w:p>
    <w:p w:rsidR="00EC27BE" w:rsidRPr="00E56CA0" w:rsidRDefault="00EC27BE" w:rsidP="00E56CA0">
      <w:pPr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Theme="majorBidi" w:eastAsia="MS Mincho" w:hAnsiTheme="majorBidi" w:cstheme="majorBidi"/>
          <w:color w:val="000000"/>
          <w:sz w:val="24"/>
          <w:szCs w:val="24"/>
        </w:rPr>
      </w:pPr>
      <w:r w:rsidRPr="00E56CA0">
        <w:rPr>
          <w:rFonts w:asciiTheme="majorBidi" w:eastAsia="MS Mincho" w:hAnsiTheme="majorBidi" w:cstheme="majorBidi"/>
          <w:color w:val="000000"/>
          <w:sz w:val="24"/>
          <w:szCs w:val="24"/>
        </w:rPr>
        <w:t>To examine the WTSA Resolutions with a view to avoid repetitions and duplication with the Resolutions in Plenipotentiary Conference</w:t>
      </w:r>
      <w:r w:rsidR="0061033F">
        <w:rPr>
          <w:rFonts w:asciiTheme="majorBidi" w:eastAsia="MS Mincho" w:hAnsiTheme="majorBidi" w:cstheme="majorBidi"/>
          <w:color w:val="000000"/>
          <w:sz w:val="24"/>
          <w:szCs w:val="24"/>
        </w:rPr>
        <w:t>.</w:t>
      </w:r>
    </w:p>
    <w:p w:rsidR="00EC27BE" w:rsidRPr="00E56CA0" w:rsidRDefault="00EC27BE" w:rsidP="00E56CA0">
      <w:pPr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Theme="majorBidi" w:eastAsia="MS Mincho" w:hAnsiTheme="majorBidi" w:cstheme="majorBidi"/>
          <w:color w:val="000000"/>
          <w:sz w:val="24"/>
          <w:szCs w:val="24"/>
        </w:rPr>
      </w:pPr>
      <w:r w:rsidRPr="00E56CA0">
        <w:rPr>
          <w:rFonts w:asciiTheme="majorBidi" w:eastAsia="MS Mincho" w:hAnsiTheme="majorBidi" w:cstheme="majorBidi"/>
          <w:color w:val="000000"/>
          <w:sz w:val="24"/>
          <w:szCs w:val="24"/>
        </w:rPr>
        <w:t>The rapporteur group is open to all ITU Member States and ITU-T Sector Members</w:t>
      </w:r>
      <w:r w:rsidR="0061033F">
        <w:rPr>
          <w:rFonts w:asciiTheme="majorBidi" w:eastAsia="MS Mincho" w:hAnsiTheme="majorBidi" w:cstheme="majorBidi"/>
          <w:color w:val="000000"/>
          <w:sz w:val="24"/>
          <w:szCs w:val="24"/>
        </w:rPr>
        <w:t>.</w:t>
      </w:r>
    </w:p>
    <w:p w:rsidR="00EC27BE" w:rsidRPr="00E56CA0" w:rsidRDefault="00EC27BE" w:rsidP="00E56CA0">
      <w:pPr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Theme="majorBidi" w:eastAsia="MS Mincho" w:hAnsiTheme="majorBidi" w:cstheme="majorBidi"/>
          <w:color w:val="000000"/>
          <w:sz w:val="24"/>
          <w:szCs w:val="24"/>
        </w:rPr>
      </w:pPr>
      <w:r w:rsidRPr="00E56CA0">
        <w:rPr>
          <w:rFonts w:asciiTheme="majorBidi" w:eastAsia="MS Mincho" w:hAnsiTheme="majorBidi" w:cstheme="majorBidi"/>
          <w:color w:val="000000"/>
          <w:sz w:val="24"/>
          <w:szCs w:val="24"/>
        </w:rPr>
        <w:t>The rapporteur group shall operate in English.</w:t>
      </w:r>
    </w:p>
    <w:p w:rsidR="00EC27BE" w:rsidRPr="00E56CA0" w:rsidRDefault="00EC27BE" w:rsidP="00E56CA0">
      <w:pPr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Theme="majorBidi" w:eastAsia="MS Mincho" w:hAnsiTheme="majorBidi" w:cstheme="majorBidi"/>
          <w:color w:val="000000"/>
          <w:sz w:val="24"/>
          <w:szCs w:val="24"/>
        </w:rPr>
      </w:pPr>
      <w:r w:rsidRPr="00E56CA0">
        <w:rPr>
          <w:rFonts w:asciiTheme="majorBidi" w:eastAsia="MS Mincho" w:hAnsiTheme="majorBidi" w:cstheme="majorBidi"/>
          <w:color w:val="000000"/>
          <w:sz w:val="24"/>
          <w:szCs w:val="24"/>
        </w:rPr>
        <w:t>The meetings of the rapporteur group shall be paperless and shall make use of electronic working methods.</w:t>
      </w:r>
    </w:p>
    <w:p w:rsidR="00EC27BE" w:rsidRPr="00E56CA0" w:rsidRDefault="00EC27BE" w:rsidP="00E56CA0">
      <w:pPr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Theme="majorBidi" w:eastAsia="MS Mincho" w:hAnsiTheme="majorBidi" w:cstheme="majorBidi"/>
          <w:color w:val="000000"/>
          <w:sz w:val="24"/>
          <w:szCs w:val="24"/>
        </w:rPr>
      </w:pPr>
      <w:r w:rsidRPr="00E56CA0">
        <w:rPr>
          <w:rFonts w:asciiTheme="majorBidi" w:eastAsia="MS Mincho" w:hAnsiTheme="majorBidi" w:cstheme="majorBidi"/>
          <w:color w:val="000000"/>
          <w:sz w:val="24"/>
          <w:szCs w:val="24"/>
        </w:rPr>
        <w:t>The rapporteur group shall meet during TSAG and will normally not meet at the same time as another rapporteur group.</w:t>
      </w:r>
    </w:p>
    <w:p w:rsidR="00EC27BE" w:rsidRPr="00E56CA0" w:rsidRDefault="00EC27BE" w:rsidP="00E56CA0">
      <w:pPr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Theme="majorBidi" w:eastAsia="MS Mincho" w:hAnsiTheme="majorBidi" w:cstheme="majorBidi"/>
          <w:sz w:val="24"/>
          <w:szCs w:val="24"/>
        </w:rPr>
      </w:pPr>
      <w:r w:rsidRPr="00E56CA0">
        <w:rPr>
          <w:rFonts w:asciiTheme="majorBidi" w:eastAsia="MS Mincho" w:hAnsiTheme="majorBidi" w:cstheme="majorBidi"/>
          <w:color w:val="000000"/>
          <w:sz w:val="24"/>
          <w:szCs w:val="24"/>
        </w:rPr>
        <w:t>The rapporteur group, if necessary, should schedule additional meetings between TSAG meetings. Those additional meetings should normally be held electronically. If necessary, the rapporteur</w:t>
      </w:r>
      <w:r w:rsidRPr="00E56CA0">
        <w:rPr>
          <w:rFonts w:asciiTheme="majorBidi" w:eastAsia="MS Mincho" w:hAnsiTheme="majorBidi" w:cstheme="majorBidi"/>
          <w:sz w:val="24"/>
          <w:szCs w:val="24"/>
        </w:rPr>
        <w:t xml:space="preserve"> group may schedule a face to face meeting which </w:t>
      </w:r>
      <w:r w:rsidRPr="00E56CA0">
        <w:rPr>
          <w:rFonts w:asciiTheme="majorBidi" w:eastAsia="MS Mincho" w:hAnsiTheme="majorBidi" w:cstheme="majorBidi"/>
          <w:color w:val="000000"/>
          <w:sz w:val="24"/>
          <w:szCs w:val="24"/>
        </w:rPr>
        <w:t>shall not exceed three working days</w:t>
      </w:r>
      <w:r w:rsidRPr="00E56CA0">
        <w:rPr>
          <w:rFonts w:asciiTheme="majorBidi" w:eastAsia="MS Mincho" w:hAnsiTheme="majorBidi" w:cstheme="majorBidi"/>
          <w:sz w:val="24"/>
          <w:szCs w:val="24"/>
        </w:rPr>
        <w:t xml:space="preserve"> and which should be collocated back to back with other Rapporteur group meetings as much as possible.</w:t>
      </w:r>
    </w:p>
    <w:p w:rsidR="00EC27BE" w:rsidRPr="00E56CA0" w:rsidRDefault="00EC27BE" w:rsidP="00E56CA0">
      <w:pPr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Theme="majorBidi" w:eastAsia="MS Mincho" w:hAnsiTheme="majorBidi" w:cstheme="majorBidi"/>
          <w:color w:val="000000"/>
          <w:sz w:val="24"/>
          <w:szCs w:val="24"/>
        </w:rPr>
      </w:pPr>
      <w:r w:rsidRPr="00E56CA0">
        <w:rPr>
          <w:rFonts w:asciiTheme="majorBidi" w:eastAsia="MS Mincho" w:hAnsiTheme="majorBidi" w:cstheme="majorBidi"/>
          <w:color w:val="000000"/>
          <w:sz w:val="24"/>
          <w:szCs w:val="24"/>
        </w:rPr>
        <w:t>Periodic progress reports will be submitted to TSAG by its chairman as deemed appropriate.</w:t>
      </w:r>
    </w:p>
    <w:p w:rsidR="00EC27BE" w:rsidRDefault="00EC27BE" w:rsidP="00EC27BE">
      <w:pPr>
        <w:jc w:val="center"/>
        <w:rPr>
          <w:rFonts w:eastAsia="SimSun"/>
        </w:rPr>
      </w:pPr>
      <w:r>
        <w:t>______________________</w:t>
      </w:r>
    </w:p>
    <w:sectPr w:rsidR="00EC27BE" w:rsidSect="00932B26">
      <w:headerReference w:type="default" r:id="rId9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B26" w:rsidRDefault="00932B26" w:rsidP="00932B26">
      <w:pPr>
        <w:spacing w:after="0" w:line="240" w:lineRule="auto"/>
      </w:pPr>
      <w:r>
        <w:separator/>
      </w:r>
    </w:p>
  </w:endnote>
  <w:endnote w:type="continuationSeparator" w:id="0">
    <w:p w:rsidR="00932B26" w:rsidRDefault="00932B26" w:rsidP="0093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B26" w:rsidRDefault="00932B26" w:rsidP="00932B26">
      <w:pPr>
        <w:spacing w:after="0" w:line="240" w:lineRule="auto"/>
      </w:pPr>
      <w:r>
        <w:separator/>
      </w:r>
    </w:p>
  </w:footnote>
  <w:footnote w:type="continuationSeparator" w:id="0">
    <w:p w:rsidR="00932B26" w:rsidRDefault="00932B26" w:rsidP="0093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08107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932B26" w:rsidRPr="00932B26" w:rsidRDefault="00932B26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932B26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932B26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932B26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7759FB">
          <w:rPr>
            <w:rFonts w:asciiTheme="majorBidi" w:hAnsiTheme="majorBidi" w:cstheme="majorBidi"/>
            <w:noProof/>
            <w:sz w:val="18"/>
            <w:szCs w:val="18"/>
          </w:rPr>
          <w:t>- 2 -</w:t>
        </w:r>
        <w:r w:rsidRPr="00932B26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>
          <w:rPr>
            <w:rFonts w:asciiTheme="majorBidi" w:hAnsiTheme="majorBidi" w:cstheme="majorBidi"/>
            <w:noProof/>
            <w:sz w:val="18"/>
            <w:szCs w:val="18"/>
          </w:rPr>
          <w:br/>
          <w:t>TD 143</w:t>
        </w:r>
      </w:p>
    </w:sdtContent>
  </w:sdt>
  <w:p w:rsidR="00932B26" w:rsidRDefault="00932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3846"/>
    <w:multiLevelType w:val="hybridMultilevel"/>
    <w:tmpl w:val="6E620476"/>
    <w:lvl w:ilvl="0" w:tplc="77B28A6A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78"/>
    <w:rsid w:val="00230AC4"/>
    <w:rsid w:val="00454554"/>
    <w:rsid w:val="004873DD"/>
    <w:rsid w:val="005566F5"/>
    <w:rsid w:val="00595441"/>
    <w:rsid w:val="0061033F"/>
    <w:rsid w:val="006D7CD5"/>
    <w:rsid w:val="00735078"/>
    <w:rsid w:val="007759FB"/>
    <w:rsid w:val="007B5AAF"/>
    <w:rsid w:val="007D19AC"/>
    <w:rsid w:val="008B52E2"/>
    <w:rsid w:val="00932B26"/>
    <w:rsid w:val="00A319A2"/>
    <w:rsid w:val="00B34E47"/>
    <w:rsid w:val="00BE290A"/>
    <w:rsid w:val="00C66D76"/>
    <w:rsid w:val="00C81B3F"/>
    <w:rsid w:val="00CF670D"/>
    <w:rsid w:val="00D25453"/>
    <w:rsid w:val="00E56CA0"/>
    <w:rsid w:val="00EC27BE"/>
    <w:rsid w:val="00F65981"/>
    <w:rsid w:val="00FB52B9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072C"/>
  <w15:chartTrackingRefBased/>
  <w15:docId w15:val="{165102C7-793E-4186-B77F-7EB737EA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78"/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超级链接,超?级链,CEO_Hyperlink"/>
    <w:basedOn w:val="DefaultParagraphFont"/>
    <w:uiPriority w:val="99"/>
    <w:unhideWhenUsed/>
    <w:rsid w:val="00735078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7350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735078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32B2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2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26"/>
    <w:rPr>
      <w:rFonts w:eastAsiaTheme="minorEastAsia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932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B26"/>
    <w:rPr>
      <w:rFonts w:eastAsiaTheme="minorEastAsia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17-TSAG-170501-TD-GEN-00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A9"/>
    <w:rsid w:val="005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BA9"/>
    <w:rPr>
      <w:rFonts w:ascii="Times New Roman" w:hAnsi="Times New Roman"/>
      <w:color w:val="808080"/>
    </w:rPr>
  </w:style>
  <w:style w:type="paragraph" w:customStyle="1" w:styleId="E8E4B3C4E81B49CA8445BEDE8070299F">
    <w:name w:val="E8E4B3C4E81B49CA8445BEDE8070299F"/>
    <w:rsid w:val="005E0BA9"/>
  </w:style>
  <w:style w:type="paragraph" w:customStyle="1" w:styleId="739F93A05C554C1A96497E7EE8926413">
    <w:name w:val="739F93A05C554C1A96497E7EE8926413"/>
    <w:rsid w:val="005E0BA9"/>
  </w:style>
  <w:style w:type="paragraph" w:customStyle="1" w:styleId="D7C9E3DDA4B94EDE91456C85BC0BF45A">
    <w:name w:val="D7C9E3DDA4B94EDE91456C85BC0BF45A"/>
    <w:rsid w:val="005E0BA9"/>
  </w:style>
  <w:style w:type="paragraph" w:customStyle="1" w:styleId="A1C71CC78B164E589CCFB9F0C8FA04C9">
    <w:name w:val="A1C71CC78B164E589CCFB9F0C8FA04C9"/>
    <w:rsid w:val="005E0B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Al-Mnini, Lara</cp:lastModifiedBy>
  <cp:revision>8</cp:revision>
  <dcterms:created xsi:type="dcterms:W3CDTF">2018-02-01T07:49:00Z</dcterms:created>
  <dcterms:modified xsi:type="dcterms:W3CDTF">2018-02-01T08:21:00Z</dcterms:modified>
</cp:coreProperties>
</file>