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5"/>
        <w:gridCol w:w="145"/>
        <w:gridCol w:w="4536"/>
      </w:tblGrid>
      <w:tr w:rsidR="006B4BB2" w:rsidRPr="006B4BB2" w:rsidTr="00446A90">
        <w:trPr>
          <w:cantSplit/>
        </w:trPr>
        <w:tc>
          <w:tcPr>
            <w:tcW w:w="1191" w:type="dxa"/>
            <w:vMerge w:val="restart"/>
          </w:tcPr>
          <w:p w:rsidR="006B4BB2" w:rsidRPr="006B4BB2" w:rsidRDefault="006B4BB2" w:rsidP="006B4BB2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6B4BB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21EE7BD" wp14:editId="46AD05AB">
                  <wp:extent cx="647700" cy="828675"/>
                  <wp:effectExtent l="0" t="0" r="0" b="0"/>
                  <wp:docPr id="4" name="Picture 4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:rsidR="006B4BB2" w:rsidRPr="006B4BB2" w:rsidRDefault="006B4BB2" w:rsidP="006B4BB2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6B4BB2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INTERNATIONAL TELECOMMUNICATION UNION</w:t>
            </w:r>
          </w:p>
          <w:p w:rsidR="006B4BB2" w:rsidRPr="006B4BB2" w:rsidRDefault="006B4BB2" w:rsidP="006B4BB2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ja-JP"/>
              </w:rPr>
            </w:pPr>
            <w:r w:rsidRPr="006B4BB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6B4BB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6B4BB2" w:rsidRPr="006B4BB2" w:rsidRDefault="006B4BB2" w:rsidP="006B4BB2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6B4BB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STUDY PERIOD 2017-2020</w:t>
            </w:r>
          </w:p>
        </w:tc>
        <w:tc>
          <w:tcPr>
            <w:tcW w:w="4681" w:type="dxa"/>
            <w:gridSpan w:val="2"/>
            <w:vAlign w:val="center"/>
          </w:tcPr>
          <w:p w:rsidR="006B4BB2" w:rsidRPr="006B4BB2" w:rsidRDefault="006B4BB2" w:rsidP="006B4BB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</w:pPr>
            <w:r w:rsidRPr="006B4BB2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TD 24</w:t>
            </w:r>
            <w:r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1</w:t>
            </w:r>
          </w:p>
        </w:tc>
      </w:tr>
      <w:tr w:rsidR="006B4BB2" w:rsidRPr="006B4BB2" w:rsidTr="00446A90">
        <w:trPr>
          <w:cantSplit/>
        </w:trPr>
        <w:tc>
          <w:tcPr>
            <w:tcW w:w="1191" w:type="dxa"/>
            <w:vMerge/>
          </w:tcPr>
          <w:p w:rsidR="006B4BB2" w:rsidRPr="006B4BB2" w:rsidRDefault="006B4BB2" w:rsidP="006B4BB2">
            <w:pPr>
              <w:spacing w:before="120" w:after="0" w:line="240" w:lineRule="auto"/>
              <w:rPr>
                <w:rFonts w:ascii="Times New Roma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1" w:type="dxa"/>
            <w:gridSpan w:val="3"/>
            <w:vMerge/>
          </w:tcPr>
          <w:p w:rsidR="006B4BB2" w:rsidRPr="006B4BB2" w:rsidRDefault="006B4BB2" w:rsidP="006B4BB2">
            <w:pPr>
              <w:spacing w:before="120" w:after="0" w:line="240" w:lineRule="auto"/>
              <w:rPr>
                <w:rFonts w:ascii="Times New Roma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1" w:type="dxa"/>
            <w:gridSpan w:val="2"/>
          </w:tcPr>
          <w:p w:rsidR="006B4BB2" w:rsidRPr="006B4BB2" w:rsidRDefault="006B4BB2" w:rsidP="006B4BB2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</w:pPr>
            <w:r w:rsidRPr="006B4BB2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6B4BB2" w:rsidRPr="006B4BB2" w:rsidTr="00446A90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6B4BB2" w:rsidRPr="006B4BB2" w:rsidRDefault="006B4BB2" w:rsidP="006B4BB2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:rsidR="006B4BB2" w:rsidRPr="006B4BB2" w:rsidRDefault="006B4BB2" w:rsidP="006B4BB2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6B4BB2" w:rsidRPr="006B4BB2" w:rsidRDefault="006B4BB2" w:rsidP="006B4BB2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6B4B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6B4BB2" w:rsidRPr="006B4BB2" w:rsidTr="00446A90">
        <w:trPr>
          <w:cantSplit/>
        </w:trPr>
        <w:tc>
          <w:tcPr>
            <w:tcW w:w="1617" w:type="dxa"/>
            <w:gridSpan w:val="3"/>
          </w:tcPr>
          <w:p w:rsidR="006B4BB2" w:rsidRPr="006B4BB2" w:rsidRDefault="006B4BB2" w:rsidP="006B4BB2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B4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Question(s):</w:t>
            </w:r>
          </w:p>
        </w:tc>
        <w:tc>
          <w:tcPr>
            <w:tcW w:w="3625" w:type="dxa"/>
          </w:tcPr>
          <w:p w:rsidR="006B4BB2" w:rsidRPr="006B4BB2" w:rsidRDefault="006B4BB2" w:rsidP="006B4BB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B4BB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N/A</w:t>
            </w:r>
          </w:p>
        </w:tc>
        <w:tc>
          <w:tcPr>
            <w:tcW w:w="4681" w:type="dxa"/>
            <w:gridSpan w:val="2"/>
          </w:tcPr>
          <w:p w:rsidR="006B4BB2" w:rsidRPr="006B4BB2" w:rsidRDefault="006B4BB2" w:rsidP="006B4BB2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B4BB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Geneva, 26 February – 2 March 2018</w:t>
            </w:r>
          </w:p>
        </w:tc>
      </w:tr>
      <w:tr w:rsidR="006B4BB2" w:rsidRPr="006B4BB2" w:rsidTr="00446A90">
        <w:trPr>
          <w:cantSplit/>
        </w:trPr>
        <w:tc>
          <w:tcPr>
            <w:tcW w:w="9923" w:type="dxa"/>
            <w:gridSpan w:val="6"/>
          </w:tcPr>
          <w:p w:rsidR="006B4BB2" w:rsidRPr="006B4BB2" w:rsidRDefault="006B4BB2" w:rsidP="006B4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B4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TD</w:t>
            </w:r>
          </w:p>
        </w:tc>
      </w:tr>
      <w:tr w:rsidR="006B4BB2" w:rsidRPr="006B4BB2" w:rsidTr="00446A90">
        <w:trPr>
          <w:cantSplit/>
        </w:trPr>
        <w:tc>
          <w:tcPr>
            <w:tcW w:w="1617" w:type="dxa"/>
            <w:gridSpan w:val="3"/>
          </w:tcPr>
          <w:p w:rsidR="006B4BB2" w:rsidRPr="006B4BB2" w:rsidRDefault="006B4BB2" w:rsidP="006B4BB2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B4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Source:</w:t>
            </w:r>
          </w:p>
        </w:tc>
        <w:tc>
          <w:tcPr>
            <w:tcW w:w="8306" w:type="dxa"/>
            <w:gridSpan w:val="3"/>
          </w:tcPr>
          <w:p w:rsidR="006B4BB2" w:rsidRPr="006B4BB2" w:rsidRDefault="006B4BB2" w:rsidP="006B4BB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B4BB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TSB</w:t>
            </w:r>
          </w:p>
        </w:tc>
      </w:tr>
      <w:tr w:rsidR="006B4BB2" w:rsidRPr="006B4BB2" w:rsidTr="00446A90">
        <w:trPr>
          <w:cantSplit/>
        </w:trPr>
        <w:tc>
          <w:tcPr>
            <w:tcW w:w="1617" w:type="dxa"/>
            <w:gridSpan w:val="3"/>
          </w:tcPr>
          <w:p w:rsidR="006B4BB2" w:rsidRPr="006B4BB2" w:rsidRDefault="006B4BB2" w:rsidP="006B4BB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B4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Title:</w:t>
            </w:r>
          </w:p>
        </w:tc>
        <w:tc>
          <w:tcPr>
            <w:tcW w:w="8306" w:type="dxa"/>
            <w:gridSpan w:val="3"/>
          </w:tcPr>
          <w:p w:rsidR="006B4BB2" w:rsidRPr="006B4BB2" w:rsidRDefault="006B4BB2" w:rsidP="006B4BB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B4BB2">
              <w:rPr>
                <w:rFonts w:ascii="Times New Roman" w:hAnsi="Times New Roman" w:cs="Times New Roman"/>
                <w:sz w:val="24"/>
                <w:szCs w:val="24"/>
              </w:rPr>
              <w:t>Statistics on ITU-T Recommendations and patent declarations</w:t>
            </w:r>
          </w:p>
        </w:tc>
      </w:tr>
      <w:tr w:rsidR="006B4BB2" w:rsidRPr="006B4BB2" w:rsidTr="00446A90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:rsidR="006B4BB2" w:rsidRPr="006B4BB2" w:rsidRDefault="006B4BB2" w:rsidP="006B4BB2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B4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:rsidR="006B4BB2" w:rsidRPr="006B4BB2" w:rsidRDefault="006B4BB2" w:rsidP="006B4BB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B4BB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Information</w:t>
            </w:r>
          </w:p>
        </w:tc>
      </w:tr>
      <w:tr w:rsidR="006B4BB2" w:rsidRPr="006B4BB2" w:rsidTr="00446A90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B4BB2" w:rsidRPr="006B4BB2" w:rsidRDefault="006B4BB2" w:rsidP="006B4BB2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B4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Contact:</w:t>
            </w:r>
          </w:p>
        </w:tc>
        <w:tc>
          <w:tcPr>
            <w:tcW w:w="37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6B4BB2" w:rsidRPr="006B4BB2" w:rsidRDefault="006B4BB2" w:rsidP="006B4BB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CE3C335EF889499A955557418FBA0BA0"/>
                </w:placeholder>
                <w:text w:multiLine="1"/>
              </w:sdtPr>
              <w:sdtContent>
                <w:r w:rsidRPr="006B4BB2">
                  <w:rPr>
                    <w:rFonts w:asciiTheme="majorBidi" w:hAnsiTheme="majorBidi" w:cstheme="majorBidi"/>
                    <w:sz w:val="24"/>
                    <w:szCs w:val="24"/>
                    <w:lang w:val="fr-CH"/>
                  </w:rPr>
                  <w:t>Anibal Cabrera</w:t>
                </w:r>
                <w:r w:rsidRPr="006B4BB2">
                  <w:rPr>
                    <w:rFonts w:asciiTheme="majorBidi" w:hAnsiTheme="majorBidi" w:cstheme="majorBidi"/>
                    <w:sz w:val="24"/>
                    <w:szCs w:val="24"/>
                    <w:lang w:val="fr-CH"/>
                  </w:rPr>
                  <w:br/>
                </w:r>
                <w:r w:rsidR="009A0FB3">
                  <w:rPr>
                    <w:rFonts w:asciiTheme="majorBidi" w:hAnsiTheme="majorBidi" w:cstheme="majorBidi"/>
                    <w:sz w:val="24"/>
                    <w:szCs w:val="24"/>
                    <w:lang w:val="fr-CH"/>
                  </w:rPr>
                  <w:t>TSB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ja-JP"/>
            </w:rPr>
            <w:alias w:val="ContactTelFaxEmail"/>
            <w:tag w:val="ContactTelFaxEmail"/>
            <w:id w:val="-2140561428"/>
            <w:placeholder>
              <w:docPart w:val="D214419C395D41C9B765E66BA1294896"/>
            </w:placeholder>
          </w:sdtPr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:rsidR="006B4BB2" w:rsidRPr="006B4BB2" w:rsidRDefault="006B4BB2" w:rsidP="006B4BB2">
                <w:pPr>
                  <w:spacing w:before="120"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eastAsia="ja-JP"/>
                  </w:rPr>
                </w:pPr>
                <w:r>
                  <w:rPr>
                    <w:rFonts w:asciiTheme="majorBidi" w:hAnsiTheme="majorBidi" w:cstheme="majorBidi"/>
                    <w:sz w:val="24"/>
                    <w:szCs w:val="24"/>
                    <w:lang w:eastAsia="ja-JP"/>
                  </w:rPr>
                  <w:t>Tel: +41 22 730 6371</w:t>
                </w:r>
              </w:p>
            </w:tc>
          </w:sdtContent>
        </w:sdt>
      </w:tr>
    </w:tbl>
    <w:p w:rsidR="006B4BB2" w:rsidRPr="00B61E6B" w:rsidRDefault="006B4BB2"/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5"/>
        <w:gridCol w:w="8308"/>
      </w:tblGrid>
      <w:tr w:rsidR="003375AE" w:rsidRPr="00B61E6B" w:rsidTr="003375AE">
        <w:trPr>
          <w:cantSplit/>
          <w:trHeight w:val="385"/>
        </w:trPr>
        <w:tc>
          <w:tcPr>
            <w:tcW w:w="1615" w:type="dxa"/>
          </w:tcPr>
          <w:p w:rsidR="003375AE" w:rsidRPr="00B61E6B" w:rsidRDefault="003375AE" w:rsidP="003375AE">
            <w:pPr>
              <w:spacing w:before="120"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B61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Keywords:</w:t>
            </w:r>
          </w:p>
        </w:tc>
        <w:tc>
          <w:tcPr>
            <w:tcW w:w="8308" w:type="dxa"/>
          </w:tcPr>
          <w:p w:rsidR="003375AE" w:rsidRDefault="009A0FB3" w:rsidP="003375AE"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 w:eastAsia="ja-JP"/>
                </w:rPr>
                <w:alias w:val="Keywords"/>
                <w:tag w:val="Keywords"/>
                <w:id w:val="-1329598096"/>
                <w:placeholder>
                  <w:docPart w:val="4F6FCF85BD5B4A139C970D6AC39075CE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375AE">
                  <w:rPr>
                    <w:rFonts w:ascii="Times New Roman" w:hAnsi="Times New Roman" w:cs="Times New Roman"/>
                    <w:sz w:val="24"/>
                    <w:szCs w:val="24"/>
                    <w:lang w:val="en-US" w:eastAsia="ja-JP"/>
                  </w:rPr>
                  <w:t xml:space="preserve">Intellectual property; IPR; </w:t>
                </w:r>
                <w:r w:rsidR="00AF5A34">
                  <w:rPr>
                    <w:rFonts w:ascii="Times New Roman" w:hAnsi="Times New Roman" w:cs="Times New Roman"/>
                    <w:sz w:val="24"/>
                    <w:szCs w:val="24"/>
                    <w:lang w:val="en-US" w:eastAsia="ja-JP"/>
                  </w:rPr>
                  <w:t xml:space="preserve">licensing; </w:t>
                </w:r>
                <w:r w:rsidR="003375AE">
                  <w:rPr>
                    <w:rFonts w:ascii="Times New Roman" w:hAnsi="Times New Roman" w:cs="Times New Roman"/>
                    <w:sz w:val="24"/>
                    <w:szCs w:val="24"/>
                    <w:lang w:val="en-US" w:eastAsia="ja-JP"/>
                  </w:rPr>
                  <w:t>patent statements</w:t>
                </w:r>
                <w:r w:rsidR="00AF5A34">
                  <w:rPr>
                    <w:rFonts w:ascii="Times New Roman" w:hAnsi="Times New Roman" w:cs="Times New Roman"/>
                    <w:sz w:val="24"/>
                    <w:szCs w:val="24"/>
                    <w:lang w:val="en-US" w:eastAsia="ja-JP"/>
                  </w:rPr>
                  <w:t>.</w:t>
                </w:r>
              </w:sdtContent>
            </w:sdt>
          </w:p>
        </w:tc>
      </w:tr>
      <w:tr w:rsidR="003375AE" w:rsidRPr="00B61E6B" w:rsidTr="00CB29ED">
        <w:trPr>
          <w:cantSplit/>
        </w:trPr>
        <w:tc>
          <w:tcPr>
            <w:tcW w:w="1615" w:type="dxa"/>
          </w:tcPr>
          <w:p w:rsidR="003375AE" w:rsidRPr="00B61E6B" w:rsidRDefault="003375AE" w:rsidP="003375AE">
            <w:pPr>
              <w:spacing w:before="120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B61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Abstract:</w:t>
            </w:r>
          </w:p>
        </w:tc>
        <w:tc>
          <w:tcPr>
            <w:tcW w:w="8308" w:type="dxa"/>
          </w:tcPr>
          <w:p w:rsidR="003375AE" w:rsidRPr="00B61E6B" w:rsidRDefault="00505B46">
            <w:pPr>
              <w:spacing w:before="120"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This TD presents t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 xml:space="preserve">he statistics on </w:t>
            </w:r>
            <w:r w:rsidR="00E426FD">
              <w:rPr>
                <w:rFonts w:asciiTheme="majorBidi" w:hAnsiTheme="majorBidi" w:cstheme="majorBidi"/>
                <w:sz w:val="24"/>
                <w:szCs w:val="24"/>
              </w:rPr>
              <w:t>patents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requested by the 2017 meeting of TSAG (Item 13.3 of the TSAG report)</w:t>
            </w:r>
          </w:p>
        </w:tc>
      </w:tr>
    </w:tbl>
    <w:p w:rsidR="00F34C41" w:rsidRPr="00B61E6B" w:rsidRDefault="00F34C41" w:rsidP="00506C0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46C7B" w:rsidRPr="006B4BB2" w:rsidRDefault="00146C7B" w:rsidP="00495E2F">
      <w:pPr>
        <w:rPr>
          <w:rFonts w:asciiTheme="majorBidi" w:hAnsiTheme="majorBidi" w:cstheme="majorBidi"/>
          <w:sz w:val="24"/>
          <w:szCs w:val="24"/>
        </w:rPr>
      </w:pPr>
      <w:r w:rsidRPr="006B4BB2">
        <w:rPr>
          <w:rFonts w:asciiTheme="majorBidi" w:hAnsiTheme="majorBidi" w:cstheme="majorBidi"/>
          <w:b/>
          <w:bCs/>
          <w:sz w:val="24"/>
          <w:szCs w:val="24"/>
        </w:rPr>
        <w:t>Action</w:t>
      </w:r>
      <w:r w:rsidR="00CD4ABE" w:rsidRPr="006B4BB2">
        <w:rPr>
          <w:rFonts w:asciiTheme="majorBidi" w:hAnsiTheme="majorBidi" w:cstheme="majorBidi"/>
          <w:sz w:val="24"/>
          <w:szCs w:val="24"/>
        </w:rPr>
        <w:t>:</w:t>
      </w:r>
      <w:r w:rsidR="00CD4ABE" w:rsidRPr="006B4BB2">
        <w:rPr>
          <w:rFonts w:asciiTheme="majorBidi" w:hAnsiTheme="majorBidi" w:cstheme="majorBidi"/>
          <w:sz w:val="24"/>
          <w:szCs w:val="24"/>
        </w:rPr>
        <w:tab/>
      </w:r>
      <w:r w:rsidRPr="006B4BB2">
        <w:rPr>
          <w:rFonts w:asciiTheme="majorBidi" w:hAnsiTheme="majorBidi" w:cstheme="majorBidi"/>
          <w:sz w:val="24"/>
          <w:szCs w:val="24"/>
        </w:rPr>
        <w:t>TSAG</w:t>
      </w:r>
      <w:r w:rsidR="00525F34" w:rsidRPr="006B4BB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642FA" w:rsidRPr="006B4BB2">
        <w:rPr>
          <w:rFonts w:asciiTheme="majorBidi" w:hAnsiTheme="majorBidi" w:cstheme="majorBidi"/>
          <w:sz w:val="24"/>
          <w:szCs w:val="24"/>
        </w:rPr>
        <w:t>is invited</w:t>
      </w:r>
      <w:proofErr w:type="gramEnd"/>
      <w:r w:rsidR="006642FA" w:rsidRPr="006B4BB2">
        <w:rPr>
          <w:rFonts w:asciiTheme="majorBidi" w:hAnsiTheme="majorBidi" w:cstheme="majorBidi"/>
          <w:sz w:val="24"/>
          <w:szCs w:val="24"/>
        </w:rPr>
        <w:t xml:space="preserve"> to </w:t>
      </w:r>
      <w:r w:rsidR="0028666B" w:rsidRPr="006B4BB2">
        <w:rPr>
          <w:rFonts w:asciiTheme="majorBidi" w:hAnsiTheme="majorBidi" w:cstheme="majorBidi"/>
          <w:sz w:val="24"/>
          <w:szCs w:val="24"/>
        </w:rPr>
        <w:t>consider</w:t>
      </w:r>
      <w:r w:rsidR="006642FA" w:rsidRPr="006B4BB2">
        <w:rPr>
          <w:rFonts w:asciiTheme="majorBidi" w:hAnsiTheme="majorBidi" w:cstheme="majorBidi"/>
          <w:sz w:val="24"/>
          <w:szCs w:val="24"/>
        </w:rPr>
        <w:t xml:space="preserve"> this document</w:t>
      </w:r>
      <w:r w:rsidR="00506C0E" w:rsidRPr="006B4BB2">
        <w:rPr>
          <w:rFonts w:asciiTheme="majorBidi" w:hAnsiTheme="majorBidi" w:cstheme="majorBidi"/>
          <w:sz w:val="24"/>
          <w:szCs w:val="24"/>
        </w:rPr>
        <w:t>.</w:t>
      </w:r>
    </w:p>
    <w:p w:rsidR="00C53F75" w:rsidRPr="006B4BB2" w:rsidRDefault="00740021" w:rsidP="0074002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B4BB2">
        <w:rPr>
          <w:rFonts w:asciiTheme="majorBidi" w:hAnsiTheme="majorBidi" w:cstheme="majorBidi"/>
          <w:sz w:val="24"/>
          <w:szCs w:val="24"/>
        </w:rPr>
        <w:t xml:space="preserve">The ITU IPR database, which is accessible from the ITU-T IPR webpage </w:t>
      </w:r>
      <w:hyperlink r:id="rId8" w:history="1">
        <w:r w:rsidRPr="006B4BB2">
          <w:rPr>
            <w:rStyle w:val="Hyperlink"/>
            <w:rFonts w:asciiTheme="majorBidi" w:hAnsiTheme="majorBidi" w:cstheme="majorBidi"/>
            <w:sz w:val="24"/>
            <w:szCs w:val="24"/>
          </w:rPr>
          <w:t>http://itu.int/ipr</w:t>
        </w:r>
      </w:hyperlink>
      <w:r w:rsidRPr="006B4BB2">
        <w:rPr>
          <w:rFonts w:asciiTheme="majorBidi" w:hAnsiTheme="majorBidi" w:cstheme="majorBidi"/>
          <w:sz w:val="24"/>
          <w:szCs w:val="24"/>
        </w:rPr>
        <w:t xml:space="preserve">, presents an intuitive and flexible interface that allows users to search for </w:t>
      </w:r>
      <w:r w:rsidR="00505B46" w:rsidRPr="006B4BB2">
        <w:rPr>
          <w:rFonts w:asciiTheme="majorBidi" w:hAnsiTheme="majorBidi" w:cstheme="majorBidi"/>
          <w:sz w:val="24"/>
          <w:szCs w:val="24"/>
        </w:rPr>
        <w:t xml:space="preserve">IPR </w:t>
      </w:r>
      <w:r w:rsidRPr="006B4BB2">
        <w:rPr>
          <w:rFonts w:asciiTheme="majorBidi" w:hAnsiTheme="majorBidi" w:cstheme="majorBidi"/>
          <w:sz w:val="24"/>
          <w:szCs w:val="24"/>
        </w:rPr>
        <w:t xml:space="preserve">information tailored to their needs. </w:t>
      </w:r>
    </w:p>
    <w:p w:rsidR="00C53F75" w:rsidRPr="006B4BB2" w:rsidRDefault="00710244" w:rsidP="00505B4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B4BB2">
        <w:rPr>
          <w:rFonts w:asciiTheme="majorBidi" w:hAnsiTheme="majorBidi" w:cstheme="majorBidi"/>
          <w:sz w:val="24"/>
          <w:szCs w:val="24"/>
        </w:rPr>
        <w:t>Further to the information accessible via this interface, t</w:t>
      </w:r>
      <w:r w:rsidR="00740021" w:rsidRPr="006B4BB2">
        <w:rPr>
          <w:rFonts w:asciiTheme="majorBidi" w:hAnsiTheme="majorBidi" w:cstheme="majorBidi"/>
          <w:sz w:val="24"/>
          <w:szCs w:val="24"/>
        </w:rPr>
        <w:t xml:space="preserve">he June 2017 meeting </w:t>
      </w:r>
      <w:r w:rsidRPr="006B4BB2">
        <w:rPr>
          <w:rFonts w:asciiTheme="majorBidi" w:hAnsiTheme="majorBidi" w:cstheme="majorBidi"/>
          <w:sz w:val="24"/>
          <w:szCs w:val="24"/>
        </w:rPr>
        <w:t xml:space="preserve">of </w:t>
      </w:r>
      <w:r w:rsidR="00740021" w:rsidRPr="006B4BB2">
        <w:rPr>
          <w:rFonts w:asciiTheme="majorBidi" w:hAnsiTheme="majorBidi" w:cstheme="majorBidi"/>
          <w:sz w:val="24"/>
          <w:szCs w:val="24"/>
        </w:rPr>
        <w:t xml:space="preserve">TSAG </w:t>
      </w:r>
      <w:r w:rsidR="00C53F75" w:rsidRPr="006B4BB2">
        <w:rPr>
          <w:rFonts w:asciiTheme="majorBidi" w:hAnsiTheme="majorBidi" w:cstheme="majorBidi"/>
          <w:sz w:val="24"/>
          <w:szCs w:val="24"/>
        </w:rPr>
        <w:t>requested TSB</w:t>
      </w:r>
      <w:r w:rsidRPr="006B4BB2">
        <w:rPr>
          <w:rFonts w:asciiTheme="majorBidi" w:hAnsiTheme="majorBidi" w:cstheme="majorBidi"/>
          <w:sz w:val="24"/>
          <w:szCs w:val="24"/>
        </w:rPr>
        <w:t xml:space="preserve"> to gather </w:t>
      </w:r>
      <w:r w:rsidR="00505B46" w:rsidRPr="006B4BB2">
        <w:rPr>
          <w:rFonts w:asciiTheme="majorBidi" w:hAnsiTheme="majorBidi" w:cstheme="majorBidi"/>
          <w:sz w:val="24"/>
          <w:szCs w:val="24"/>
        </w:rPr>
        <w:t xml:space="preserve">the following </w:t>
      </w:r>
      <w:r w:rsidRPr="006B4BB2">
        <w:rPr>
          <w:rFonts w:asciiTheme="majorBidi" w:hAnsiTheme="majorBidi" w:cstheme="majorBidi"/>
          <w:sz w:val="24"/>
          <w:szCs w:val="24"/>
        </w:rPr>
        <w:t>additional statistics</w:t>
      </w:r>
      <w:r w:rsidR="00C53F75" w:rsidRPr="006B4BB2">
        <w:rPr>
          <w:rFonts w:asciiTheme="majorBidi" w:hAnsiTheme="majorBidi" w:cstheme="majorBidi"/>
          <w:sz w:val="24"/>
          <w:szCs w:val="24"/>
        </w:rPr>
        <w:t xml:space="preserve">: </w:t>
      </w:r>
    </w:p>
    <w:p w:rsidR="003C5008" w:rsidRPr="006B4BB2" w:rsidRDefault="00C53F75" w:rsidP="00C53F75">
      <w:pPr>
        <w:pStyle w:val="ListParagraph"/>
        <w:numPr>
          <w:ilvl w:val="0"/>
          <w:numId w:val="2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B4BB2">
        <w:rPr>
          <w:rFonts w:asciiTheme="majorBidi" w:hAnsiTheme="majorBidi" w:cstheme="majorBidi"/>
          <w:sz w:val="24"/>
          <w:szCs w:val="24"/>
        </w:rPr>
        <w:t xml:space="preserve">The total number of Recommendations </w:t>
      </w:r>
      <w:r w:rsidR="00E2086B" w:rsidRPr="006B4BB2">
        <w:rPr>
          <w:rFonts w:asciiTheme="majorBidi" w:hAnsiTheme="majorBidi" w:cstheme="majorBidi"/>
          <w:sz w:val="24"/>
          <w:szCs w:val="24"/>
        </w:rPr>
        <w:t xml:space="preserve">approved </w:t>
      </w:r>
      <w:r w:rsidRPr="006B4BB2">
        <w:rPr>
          <w:rFonts w:asciiTheme="majorBidi" w:hAnsiTheme="majorBidi" w:cstheme="majorBidi"/>
          <w:sz w:val="24"/>
          <w:szCs w:val="24"/>
        </w:rPr>
        <w:t>per year and the number of Recommendation</w:t>
      </w:r>
      <w:r w:rsidR="00710244" w:rsidRPr="006B4BB2">
        <w:rPr>
          <w:rFonts w:asciiTheme="majorBidi" w:hAnsiTheme="majorBidi" w:cstheme="majorBidi"/>
          <w:sz w:val="24"/>
          <w:szCs w:val="24"/>
        </w:rPr>
        <w:t>s</w:t>
      </w:r>
      <w:r w:rsidRPr="006B4BB2">
        <w:rPr>
          <w:rFonts w:asciiTheme="majorBidi" w:hAnsiTheme="majorBidi" w:cstheme="majorBidi"/>
          <w:sz w:val="24"/>
          <w:szCs w:val="24"/>
        </w:rPr>
        <w:t xml:space="preserve"> protected by IPR rights per year</w:t>
      </w:r>
    </w:p>
    <w:p w:rsidR="00C53F75" w:rsidRPr="006B4BB2" w:rsidRDefault="00C53F75" w:rsidP="00E2086B">
      <w:pPr>
        <w:pStyle w:val="ListParagraph"/>
        <w:numPr>
          <w:ilvl w:val="0"/>
          <w:numId w:val="2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B4BB2">
        <w:rPr>
          <w:rFonts w:asciiTheme="majorBidi" w:hAnsiTheme="majorBidi" w:cstheme="majorBidi"/>
          <w:sz w:val="24"/>
          <w:szCs w:val="24"/>
        </w:rPr>
        <w:t xml:space="preserve">The total number of Recommendations </w:t>
      </w:r>
      <w:r w:rsidR="00E2086B" w:rsidRPr="006B4BB2">
        <w:rPr>
          <w:rFonts w:asciiTheme="majorBidi" w:hAnsiTheme="majorBidi" w:cstheme="majorBidi"/>
          <w:sz w:val="24"/>
          <w:szCs w:val="24"/>
        </w:rPr>
        <w:t xml:space="preserve">approved per study group, </w:t>
      </w:r>
      <w:r w:rsidRPr="006B4BB2">
        <w:rPr>
          <w:rFonts w:asciiTheme="majorBidi" w:hAnsiTheme="majorBidi" w:cstheme="majorBidi"/>
          <w:sz w:val="24"/>
          <w:szCs w:val="24"/>
        </w:rPr>
        <w:t xml:space="preserve">with </w:t>
      </w:r>
      <w:r w:rsidR="00E2086B" w:rsidRPr="006B4BB2">
        <w:rPr>
          <w:rFonts w:asciiTheme="majorBidi" w:hAnsiTheme="majorBidi" w:cstheme="majorBidi"/>
          <w:sz w:val="24"/>
          <w:szCs w:val="24"/>
        </w:rPr>
        <w:t>indication of the number of declared IPR statements</w:t>
      </w:r>
    </w:p>
    <w:p w:rsidR="00C53F75" w:rsidRPr="006B4BB2" w:rsidRDefault="00C53F75" w:rsidP="00E2086B">
      <w:pPr>
        <w:pStyle w:val="ListParagraph"/>
        <w:numPr>
          <w:ilvl w:val="0"/>
          <w:numId w:val="2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B4BB2">
        <w:rPr>
          <w:rFonts w:asciiTheme="majorBidi" w:hAnsiTheme="majorBidi" w:cstheme="majorBidi"/>
          <w:sz w:val="24"/>
          <w:szCs w:val="24"/>
        </w:rPr>
        <w:t xml:space="preserve">The total number of Recommendations </w:t>
      </w:r>
      <w:r w:rsidR="00E2086B" w:rsidRPr="006B4BB2">
        <w:rPr>
          <w:rFonts w:asciiTheme="majorBidi" w:hAnsiTheme="majorBidi" w:cstheme="majorBidi"/>
          <w:sz w:val="24"/>
          <w:szCs w:val="24"/>
        </w:rPr>
        <w:t>approved per Recommendation series, with indication of the number of declared IPR statements</w:t>
      </w:r>
    </w:p>
    <w:p w:rsidR="00C53F75" w:rsidRPr="006B4BB2" w:rsidRDefault="00C53F75" w:rsidP="00C53F75">
      <w:pPr>
        <w:pStyle w:val="ListParagraph"/>
        <w:numPr>
          <w:ilvl w:val="0"/>
          <w:numId w:val="2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B4BB2">
        <w:rPr>
          <w:rFonts w:asciiTheme="majorBidi" w:hAnsiTheme="majorBidi" w:cstheme="majorBidi"/>
          <w:sz w:val="24"/>
          <w:szCs w:val="24"/>
        </w:rPr>
        <w:t>If available, information regarding the time of adoption of the Recommendation and the first claimed IPR.</w:t>
      </w:r>
    </w:p>
    <w:p w:rsidR="00B61E6B" w:rsidRPr="006B4BB2" w:rsidRDefault="00E426F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6B4BB2">
        <w:rPr>
          <w:rFonts w:asciiTheme="majorBidi" w:hAnsiTheme="majorBidi" w:cstheme="majorBidi"/>
          <w:sz w:val="24"/>
          <w:szCs w:val="24"/>
        </w:rPr>
        <w:t>Below we provide the number of Recommendations and associated patent declarations</w:t>
      </w:r>
      <w:r w:rsidR="00710244" w:rsidRPr="006B4BB2">
        <w:rPr>
          <w:rFonts w:asciiTheme="majorBidi" w:hAnsiTheme="majorBidi" w:cstheme="majorBidi"/>
          <w:sz w:val="24"/>
          <w:szCs w:val="24"/>
        </w:rPr>
        <w:t xml:space="preserve"> </w:t>
      </w:r>
      <w:r w:rsidR="005933FB" w:rsidRPr="006B4BB2">
        <w:rPr>
          <w:rFonts w:asciiTheme="majorBidi" w:hAnsiTheme="majorBidi" w:cstheme="majorBidi"/>
          <w:sz w:val="24"/>
          <w:szCs w:val="24"/>
        </w:rPr>
        <w:t>for</w:t>
      </w:r>
      <w:r w:rsidR="00710244" w:rsidRPr="006B4BB2">
        <w:rPr>
          <w:rFonts w:asciiTheme="majorBidi" w:hAnsiTheme="majorBidi" w:cstheme="majorBidi"/>
          <w:sz w:val="24"/>
          <w:szCs w:val="24"/>
        </w:rPr>
        <w:t xml:space="preserve"> items 1), 2) and 3) for the last five years</w:t>
      </w:r>
      <w:r w:rsidRPr="006B4BB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710244" w:rsidRPr="006B4BB2">
        <w:rPr>
          <w:rFonts w:asciiTheme="majorBidi" w:hAnsiTheme="majorBidi" w:cstheme="majorBidi"/>
          <w:sz w:val="24"/>
          <w:szCs w:val="24"/>
        </w:rPr>
        <w:t xml:space="preserve"> </w:t>
      </w:r>
      <w:r w:rsidRPr="006B4BB2">
        <w:rPr>
          <w:rFonts w:asciiTheme="majorBidi" w:hAnsiTheme="majorBidi" w:cstheme="majorBidi"/>
          <w:sz w:val="24"/>
          <w:szCs w:val="24"/>
        </w:rPr>
        <w:t xml:space="preserve">However, </w:t>
      </w:r>
      <w:r w:rsidR="00710244" w:rsidRPr="006B4BB2">
        <w:rPr>
          <w:rFonts w:asciiTheme="majorBidi" w:hAnsiTheme="majorBidi" w:cstheme="majorBidi"/>
          <w:sz w:val="24"/>
          <w:szCs w:val="24"/>
        </w:rPr>
        <w:t xml:space="preserve">the information for item 4) </w:t>
      </w:r>
      <w:proofErr w:type="gramStart"/>
      <w:r w:rsidR="00710244" w:rsidRPr="006B4BB2">
        <w:rPr>
          <w:rFonts w:asciiTheme="majorBidi" w:hAnsiTheme="majorBidi" w:cstheme="majorBidi"/>
          <w:sz w:val="24"/>
          <w:szCs w:val="24"/>
        </w:rPr>
        <w:t>cannot be gathered</w:t>
      </w:r>
      <w:proofErr w:type="gramEnd"/>
      <w:r w:rsidR="00710244" w:rsidRPr="006B4BB2">
        <w:rPr>
          <w:rFonts w:asciiTheme="majorBidi" w:hAnsiTheme="majorBidi" w:cstheme="majorBidi"/>
          <w:sz w:val="24"/>
          <w:szCs w:val="24"/>
        </w:rPr>
        <w:t xml:space="preserve"> </w:t>
      </w:r>
      <w:r w:rsidR="0053516A" w:rsidRPr="006B4BB2">
        <w:rPr>
          <w:rFonts w:asciiTheme="majorBidi" w:hAnsiTheme="majorBidi" w:cstheme="majorBidi"/>
          <w:sz w:val="24"/>
          <w:szCs w:val="24"/>
        </w:rPr>
        <w:t>as</w:t>
      </w:r>
      <w:r w:rsidR="00710244" w:rsidRPr="006B4BB2">
        <w:rPr>
          <w:rFonts w:asciiTheme="majorBidi" w:hAnsiTheme="majorBidi" w:cstheme="majorBidi"/>
          <w:sz w:val="24"/>
          <w:szCs w:val="24"/>
        </w:rPr>
        <w:t xml:space="preserve"> patent declarations are registered against a specific product that </w:t>
      </w:r>
      <w:r w:rsidR="0053516A" w:rsidRPr="006B4BB2">
        <w:rPr>
          <w:rFonts w:asciiTheme="majorBidi" w:hAnsiTheme="majorBidi" w:cstheme="majorBidi"/>
          <w:sz w:val="24"/>
          <w:szCs w:val="24"/>
        </w:rPr>
        <w:t>comprises</w:t>
      </w:r>
      <w:r w:rsidR="00710244" w:rsidRPr="006B4BB2">
        <w:rPr>
          <w:rFonts w:asciiTheme="majorBidi" w:hAnsiTheme="majorBidi" w:cstheme="majorBidi"/>
          <w:sz w:val="24"/>
          <w:szCs w:val="24"/>
        </w:rPr>
        <w:t xml:space="preserve"> all editions of the base text, their amendments and corrigenda, </w:t>
      </w:r>
      <w:r w:rsidR="0053516A" w:rsidRPr="006B4BB2">
        <w:rPr>
          <w:rFonts w:asciiTheme="majorBidi" w:hAnsiTheme="majorBidi" w:cstheme="majorBidi"/>
          <w:sz w:val="24"/>
          <w:szCs w:val="24"/>
        </w:rPr>
        <w:t>an</w:t>
      </w:r>
      <w:r w:rsidRPr="006B4BB2">
        <w:rPr>
          <w:rFonts w:asciiTheme="majorBidi" w:hAnsiTheme="majorBidi" w:cstheme="majorBidi"/>
          <w:sz w:val="24"/>
          <w:szCs w:val="24"/>
        </w:rPr>
        <w:t>d</w:t>
      </w:r>
      <w:r w:rsidR="0053516A" w:rsidRPr="006B4BB2">
        <w:rPr>
          <w:rFonts w:asciiTheme="majorBidi" w:hAnsiTheme="majorBidi" w:cstheme="majorBidi"/>
          <w:sz w:val="24"/>
          <w:szCs w:val="24"/>
        </w:rPr>
        <w:t xml:space="preserve"> </w:t>
      </w:r>
      <w:r w:rsidR="00710244" w:rsidRPr="006B4BB2">
        <w:rPr>
          <w:rFonts w:asciiTheme="majorBidi" w:hAnsiTheme="majorBidi" w:cstheme="majorBidi"/>
          <w:sz w:val="24"/>
          <w:szCs w:val="24"/>
        </w:rPr>
        <w:t xml:space="preserve">each </w:t>
      </w:r>
      <w:r w:rsidR="0053516A" w:rsidRPr="006B4BB2">
        <w:rPr>
          <w:rFonts w:asciiTheme="majorBidi" w:hAnsiTheme="majorBidi" w:cstheme="majorBidi"/>
          <w:sz w:val="24"/>
          <w:szCs w:val="24"/>
        </w:rPr>
        <w:t xml:space="preserve">has its </w:t>
      </w:r>
      <w:r w:rsidR="00710244" w:rsidRPr="006B4BB2">
        <w:rPr>
          <w:rFonts w:asciiTheme="majorBidi" w:hAnsiTheme="majorBidi" w:cstheme="majorBidi"/>
          <w:sz w:val="24"/>
          <w:szCs w:val="24"/>
        </w:rPr>
        <w:t>own approval date. As such, it is not possible to estimate the delay between a</w:t>
      </w:r>
      <w:r w:rsidR="00505B46" w:rsidRPr="006B4BB2">
        <w:rPr>
          <w:rFonts w:asciiTheme="majorBidi" w:hAnsiTheme="majorBidi" w:cstheme="majorBidi"/>
          <w:sz w:val="24"/>
          <w:szCs w:val="24"/>
        </w:rPr>
        <w:t xml:space="preserve"> </w:t>
      </w:r>
      <w:r w:rsidR="00AF5A34" w:rsidRPr="006B4BB2">
        <w:rPr>
          <w:rFonts w:asciiTheme="majorBidi" w:hAnsiTheme="majorBidi" w:cstheme="majorBidi"/>
          <w:sz w:val="24"/>
          <w:szCs w:val="24"/>
        </w:rPr>
        <w:t xml:space="preserve">patent </w:t>
      </w:r>
      <w:r w:rsidR="00710244" w:rsidRPr="006B4BB2">
        <w:rPr>
          <w:rFonts w:asciiTheme="majorBidi" w:hAnsiTheme="majorBidi" w:cstheme="majorBidi"/>
          <w:sz w:val="24"/>
          <w:szCs w:val="24"/>
        </w:rPr>
        <w:t>declaration and the product.</w:t>
      </w:r>
    </w:p>
    <w:p w:rsidR="00C11189" w:rsidRPr="006B4BB2" w:rsidRDefault="00D128E1" w:rsidP="00D128E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6B4BB2">
        <w:rPr>
          <w:rFonts w:asciiTheme="majorBidi" w:hAnsiTheme="majorBidi" w:cstheme="majorBidi"/>
          <w:sz w:val="24"/>
          <w:szCs w:val="24"/>
        </w:rPr>
        <w:t xml:space="preserve">The graphics also provide statistics on the number of patent statements and licensing declaration forms (PSLDFs) received. It </w:t>
      </w:r>
      <w:proofErr w:type="gramStart"/>
      <w:r w:rsidRPr="006B4BB2">
        <w:rPr>
          <w:rFonts w:asciiTheme="majorBidi" w:hAnsiTheme="majorBidi" w:cstheme="majorBidi"/>
          <w:sz w:val="24"/>
          <w:szCs w:val="24"/>
        </w:rPr>
        <w:t>should be noted</w:t>
      </w:r>
      <w:proofErr w:type="gramEnd"/>
      <w:r w:rsidRPr="006B4BB2">
        <w:rPr>
          <w:rFonts w:asciiTheme="majorBidi" w:hAnsiTheme="majorBidi" w:cstheme="majorBidi"/>
          <w:sz w:val="24"/>
          <w:szCs w:val="24"/>
        </w:rPr>
        <w:t xml:space="preserve"> that as patent owners have no obligation to list their patents in their PSLDF, some PSLDFs provide details on specific patents while other</w:t>
      </w:r>
      <w:r w:rsidR="005933FB" w:rsidRPr="006B4BB2">
        <w:rPr>
          <w:rFonts w:asciiTheme="majorBidi" w:hAnsiTheme="majorBidi" w:cstheme="majorBidi"/>
          <w:sz w:val="24"/>
          <w:szCs w:val="24"/>
        </w:rPr>
        <w:t>s</w:t>
      </w:r>
      <w:r w:rsidRPr="006B4BB2">
        <w:rPr>
          <w:rFonts w:asciiTheme="majorBidi" w:hAnsiTheme="majorBidi" w:cstheme="majorBidi"/>
          <w:sz w:val="24"/>
          <w:szCs w:val="24"/>
        </w:rPr>
        <w:t xml:space="preserve"> do not.</w:t>
      </w:r>
    </w:p>
    <w:p w:rsidR="00C11189" w:rsidRDefault="00C11189" w:rsidP="0071024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B4F8A" w:rsidRPr="007B4F8A" w:rsidRDefault="007B4F8A" w:rsidP="007B4F8A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10244" w:rsidRPr="00A542F7" w:rsidRDefault="00E5092D" w:rsidP="00505B4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542F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Recommendations, amendments and corrigenda approved versus number of </w:t>
      </w:r>
      <w:r w:rsidR="005933FB">
        <w:rPr>
          <w:rFonts w:asciiTheme="majorBidi" w:hAnsiTheme="majorBidi" w:cstheme="majorBidi"/>
          <w:b/>
          <w:bCs/>
          <w:sz w:val="24"/>
          <w:szCs w:val="24"/>
        </w:rPr>
        <w:t xml:space="preserve">patent </w:t>
      </w:r>
      <w:r w:rsidRPr="00A542F7">
        <w:rPr>
          <w:rFonts w:asciiTheme="majorBidi" w:hAnsiTheme="majorBidi" w:cstheme="majorBidi"/>
          <w:b/>
          <w:bCs/>
          <w:sz w:val="24"/>
          <w:szCs w:val="24"/>
        </w:rPr>
        <w:t>declarations from 2013 to 2017</w:t>
      </w:r>
    </w:p>
    <w:p w:rsidR="00C11189" w:rsidRDefault="00C11189" w:rsidP="00C11189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11189" w:rsidTr="00C11189">
        <w:tc>
          <w:tcPr>
            <w:tcW w:w="8296" w:type="dxa"/>
          </w:tcPr>
          <w:tbl>
            <w:tblPr>
              <w:tblW w:w="3940" w:type="dxa"/>
              <w:jc w:val="center"/>
              <w:tblLook w:val="04A0" w:firstRow="1" w:lastRow="0" w:firstColumn="1" w:lastColumn="0" w:noHBand="0" w:noVBand="1"/>
            </w:tblPr>
            <w:tblGrid>
              <w:gridCol w:w="760"/>
              <w:gridCol w:w="1160"/>
              <w:gridCol w:w="1160"/>
              <w:gridCol w:w="924"/>
            </w:tblGrid>
            <w:tr w:rsidR="005F046B" w:rsidRPr="005F046B" w:rsidTr="005F046B">
              <w:trPr>
                <w:trHeight w:val="525"/>
                <w:jc w:val="center"/>
              </w:trPr>
              <w:tc>
                <w:tcPr>
                  <w:tcW w:w="7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Approved Recs/</w:t>
                  </w:r>
                  <w:proofErr w:type="spellStart"/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Amds</w:t>
                  </w:r>
                  <w:proofErr w:type="spellEnd"/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Recs/</w:t>
                  </w:r>
                  <w:proofErr w:type="spellStart"/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Amds</w:t>
                  </w:r>
                  <w:proofErr w:type="spellEnd"/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with patents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PSLDFs received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271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469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</w:tr>
            <w:tr w:rsidR="005F046B" w:rsidRPr="005F046B" w:rsidTr="005F046B">
              <w:trPr>
                <w:trHeight w:val="315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</w:tr>
            <w:tr w:rsidR="005F046B" w:rsidRPr="005F046B" w:rsidTr="005F046B">
              <w:trPr>
                <w:trHeight w:val="315"/>
                <w:jc w:val="center"/>
              </w:trPr>
              <w:tc>
                <w:tcPr>
                  <w:tcW w:w="7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1555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382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366</w:t>
                  </w:r>
                </w:p>
              </w:tc>
            </w:tr>
          </w:tbl>
          <w:p w:rsidR="00C11189" w:rsidRDefault="00C11189" w:rsidP="005F046B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1189" w:rsidTr="005F046B">
        <w:tc>
          <w:tcPr>
            <w:tcW w:w="8296" w:type="dxa"/>
          </w:tcPr>
          <w:p w:rsidR="00C11189" w:rsidRDefault="005F046B" w:rsidP="00C11189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F0FDBC" wp14:editId="6EA3E539">
                  <wp:extent cx="4560277" cy="3065585"/>
                  <wp:effectExtent l="0" t="0" r="12065" b="190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C11189" w:rsidRDefault="00C11189" w:rsidP="00C11189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B4F8A" w:rsidRDefault="007B4F8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C11189" w:rsidRDefault="00C11189" w:rsidP="00C11189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11189" w:rsidRPr="00A542F7" w:rsidRDefault="00E5092D" w:rsidP="00BD4D9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A542F7">
        <w:rPr>
          <w:rFonts w:asciiTheme="majorBidi" w:hAnsiTheme="majorBidi" w:cstheme="majorBidi"/>
          <w:b/>
          <w:bCs/>
          <w:sz w:val="24"/>
          <w:szCs w:val="24"/>
        </w:rPr>
        <w:t>Recommendations, amendments and corrigenda approved</w:t>
      </w:r>
      <w:r w:rsidR="00685D45" w:rsidRPr="00A542F7">
        <w:rPr>
          <w:rFonts w:asciiTheme="majorBidi" w:hAnsiTheme="majorBidi" w:cstheme="majorBidi"/>
          <w:b/>
          <w:bCs/>
          <w:sz w:val="24"/>
          <w:szCs w:val="24"/>
        </w:rPr>
        <w:t xml:space="preserve"> per study group between 2013 and 2017, with indication of the corresponding number of declared </w:t>
      </w:r>
      <w:r w:rsidR="005933FB">
        <w:rPr>
          <w:rFonts w:asciiTheme="majorBidi" w:hAnsiTheme="majorBidi" w:cstheme="majorBidi"/>
          <w:b/>
          <w:bCs/>
          <w:sz w:val="24"/>
          <w:szCs w:val="24"/>
        </w:rPr>
        <w:t>patent</w:t>
      </w:r>
      <w:r w:rsidR="00685D45" w:rsidRPr="00A542F7">
        <w:rPr>
          <w:rFonts w:asciiTheme="majorBidi" w:hAnsiTheme="majorBidi" w:cstheme="majorBidi"/>
          <w:b/>
          <w:bCs/>
          <w:sz w:val="24"/>
          <w:szCs w:val="24"/>
        </w:rPr>
        <w:t xml:space="preserve"> statements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11189" w:rsidTr="005F046B">
        <w:tc>
          <w:tcPr>
            <w:tcW w:w="8296" w:type="dxa"/>
          </w:tcPr>
          <w:tbl>
            <w:tblPr>
              <w:tblW w:w="3940" w:type="dxa"/>
              <w:jc w:val="center"/>
              <w:tblLook w:val="04A0" w:firstRow="1" w:lastRow="0" w:firstColumn="1" w:lastColumn="0" w:noHBand="0" w:noVBand="1"/>
            </w:tblPr>
            <w:tblGrid>
              <w:gridCol w:w="760"/>
              <w:gridCol w:w="1160"/>
              <w:gridCol w:w="1160"/>
              <w:gridCol w:w="924"/>
            </w:tblGrid>
            <w:tr w:rsidR="005F046B" w:rsidRPr="005F046B" w:rsidTr="005F046B">
              <w:trPr>
                <w:trHeight w:val="525"/>
                <w:jc w:val="center"/>
              </w:trPr>
              <w:tc>
                <w:tcPr>
                  <w:tcW w:w="7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SG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Approved Recs/</w:t>
                  </w:r>
                  <w:proofErr w:type="spellStart"/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Amds</w:t>
                  </w:r>
                  <w:proofErr w:type="spellEnd"/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Recs/</w:t>
                  </w:r>
                  <w:proofErr w:type="spellStart"/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Amds</w:t>
                  </w:r>
                  <w:proofErr w:type="spellEnd"/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with patents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PSLDFs received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TSAG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SG2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SG3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F046B" w:rsidRPr="005F046B" w:rsidTr="005F046B">
              <w:trPr>
                <w:trHeight w:val="375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SG5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SG9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SG11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SG12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SG13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SG15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364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164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SG16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353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SG17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SG20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5F046B" w:rsidRPr="005F046B" w:rsidTr="005F046B">
              <w:trPr>
                <w:trHeight w:val="315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1555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382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366</w:t>
                  </w:r>
                </w:p>
              </w:tc>
            </w:tr>
          </w:tbl>
          <w:p w:rsidR="00C11189" w:rsidRDefault="00C11189" w:rsidP="00B10EA8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1189" w:rsidTr="005F046B">
        <w:tc>
          <w:tcPr>
            <w:tcW w:w="8296" w:type="dxa"/>
          </w:tcPr>
          <w:p w:rsidR="00C11189" w:rsidRDefault="005F046B" w:rsidP="00B10EA8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1FE0D1" wp14:editId="4A1E9308">
                  <wp:extent cx="4560277" cy="2754190"/>
                  <wp:effectExtent l="0" t="0" r="12065" b="8255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7B4F8A" w:rsidRDefault="007B4F8A" w:rsidP="00C1118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B4F8A" w:rsidRDefault="007B4F8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C11189" w:rsidRDefault="00C11189" w:rsidP="00C1118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85D45" w:rsidRPr="00A542F7" w:rsidRDefault="00685D45" w:rsidP="00BD4D9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A542F7">
        <w:rPr>
          <w:rFonts w:asciiTheme="majorBidi" w:hAnsiTheme="majorBidi" w:cstheme="majorBidi"/>
          <w:b/>
          <w:bCs/>
          <w:sz w:val="24"/>
          <w:szCs w:val="24"/>
        </w:rPr>
        <w:t>The total number of Recommendations approved per Recommendation series</w:t>
      </w:r>
      <w:r w:rsidR="00240A45" w:rsidRPr="00A542F7">
        <w:rPr>
          <w:rFonts w:asciiTheme="majorBidi" w:hAnsiTheme="majorBidi" w:cstheme="majorBidi"/>
          <w:b/>
          <w:bCs/>
          <w:sz w:val="24"/>
          <w:szCs w:val="24"/>
        </w:rPr>
        <w:t xml:space="preserve"> between 2013 and 2017</w:t>
      </w:r>
      <w:r w:rsidRPr="00A542F7">
        <w:rPr>
          <w:rFonts w:asciiTheme="majorBidi" w:hAnsiTheme="majorBidi" w:cstheme="majorBidi"/>
          <w:b/>
          <w:bCs/>
          <w:sz w:val="24"/>
          <w:szCs w:val="24"/>
        </w:rPr>
        <w:t xml:space="preserve">, with indication of the </w:t>
      </w:r>
      <w:r w:rsidR="00240A45" w:rsidRPr="00A542F7">
        <w:rPr>
          <w:rFonts w:asciiTheme="majorBidi" w:hAnsiTheme="majorBidi" w:cstheme="majorBidi"/>
          <w:b/>
          <w:bCs/>
          <w:sz w:val="24"/>
          <w:szCs w:val="24"/>
        </w:rPr>
        <w:t xml:space="preserve">corresponding </w:t>
      </w:r>
      <w:r w:rsidRPr="00A542F7">
        <w:rPr>
          <w:rFonts w:asciiTheme="majorBidi" w:hAnsiTheme="majorBidi" w:cstheme="majorBidi"/>
          <w:b/>
          <w:bCs/>
          <w:sz w:val="24"/>
          <w:szCs w:val="24"/>
        </w:rPr>
        <w:t xml:space="preserve">number of declared </w:t>
      </w:r>
      <w:r w:rsidR="005933FB">
        <w:rPr>
          <w:rFonts w:asciiTheme="majorBidi" w:hAnsiTheme="majorBidi" w:cstheme="majorBidi"/>
          <w:b/>
          <w:bCs/>
          <w:sz w:val="24"/>
          <w:szCs w:val="24"/>
        </w:rPr>
        <w:t>patent</w:t>
      </w:r>
      <w:r w:rsidRPr="00A542F7">
        <w:rPr>
          <w:rFonts w:asciiTheme="majorBidi" w:hAnsiTheme="majorBidi" w:cstheme="majorBidi"/>
          <w:b/>
          <w:bCs/>
          <w:sz w:val="24"/>
          <w:szCs w:val="24"/>
        </w:rPr>
        <w:t xml:space="preserve"> statements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6"/>
      </w:tblGrid>
      <w:tr w:rsidR="00C11189" w:rsidTr="00B10EA8">
        <w:tc>
          <w:tcPr>
            <w:tcW w:w="8296" w:type="dxa"/>
          </w:tcPr>
          <w:tbl>
            <w:tblPr>
              <w:tblW w:w="3940" w:type="dxa"/>
              <w:jc w:val="center"/>
              <w:tblLook w:val="04A0" w:firstRow="1" w:lastRow="0" w:firstColumn="1" w:lastColumn="0" w:noHBand="0" w:noVBand="1"/>
            </w:tblPr>
            <w:tblGrid>
              <w:gridCol w:w="760"/>
              <w:gridCol w:w="1160"/>
              <w:gridCol w:w="1160"/>
              <w:gridCol w:w="924"/>
            </w:tblGrid>
            <w:tr w:rsidR="005F046B" w:rsidRPr="005F046B" w:rsidTr="005F046B">
              <w:trPr>
                <w:trHeight w:val="525"/>
                <w:jc w:val="center"/>
              </w:trPr>
              <w:tc>
                <w:tcPr>
                  <w:tcW w:w="7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Series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Approved Recs/</w:t>
                  </w:r>
                  <w:proofErr w:type="spellStart"/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Amds</w:t>
                  </w:r>
                  <w:proofErr w:type="spellEnd"/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Recs/</w:t>
                  </w:r>
                  <w:proofErr w:type="spellStart"/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Amds</w:t>
                  </w:r>
                  <w:proofErr w:type="spellEnd"/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with patents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PSLDFs received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5F046B" w:rsidRPr="005F046B" w:rsidTr="005F046B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5F046B" w:rsidRPr="005F046B" w:rsidTr="005F046B">
              <w:trPr>
                <w:trHeight w:val="315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F046B" w:rsidRPr="005F046B" w:rsidTr="005F046B">
              <w:trPr>
                <w:trHeight w:val="315"/>
                <w:jc w:val="center"/>
              </w:trPr>
              <w:tc>
                <w:tcPr>
                  <w:tcW w:w="7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1555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382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46B" w:rsidRPr="005F046B" w:rsidRDefault="005F046B" w:rsidP="005F04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04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366</w:t>
                  </w:r>
                </w:p>
              </w:tc>
            </w:tr>
          </w:tbl>
          <w:p w:rsidR="00C11189" w:rsidRDefault="00C11189" w:rsidP="00B10EA8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1189" w:rsidTr="005F046B">
        <w:tc>
          <w:tcPr>
            <w:tcW w:w="8296" w:type="dxa"/>
          </w:tcPr>
          <w:p w:rsidR="00C11189" w:rsidRDefault="005F046B" w:rsidP="00C11189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60FC40" wp14:editId="74F3244B">
                  <wp:extent cx="5200981" cy="3408020"/>
                  <wp:effectExtent l="0" t="0" r="0" b="254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E5092D" w:rsidRPr="00B61E6B" w:rsidRDefault="00E5092D" w:rsidP="0071024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F493D" w:rsidRPr="00B61E6B" w:rsidRDefault="007F493D" w:rsidP="00CD4ABE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61E6B">
        <w:rPr>
          <w:rFonts w:asciiTheme="majorBidi" w:eastAsia="Times New Roman" w:hAnsiTheme="majorBidi" w:cstheme="majorBidi"/>
          <w:kern w:val="36"/>
          <w:sz w:val="24"/>
          <w:szCs w:val="24"/>
        </w:rPr>
        <w:t>______</w:t>
      </w:r>
      <w:r w:rsidR="00B61E6B" w:rsidRPr="00B61E6B">
        <w:rPr>
          <w:rFonts w:asciiTheme="majorBidi" w:eastAsia="Times New Roman" w:hAnsiTheme="majorBidi" w:cstheme="majorBidi"/>
          <w:kern w:val="36"/>
          <w:sz w:val="24"/>
          <w:szCs w:val="24"/>
        </w:rPr>
        <w:t>______________</w:t>
      </w:r>
    </w:p>
    <w:sectPr w:rsidR="007F493D" w:rsidRPr="00B61E6B" w:rsidSect="006B4BB2">
      <w:headerReference w:type="default" r:id="rId12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FE" w:rsidRDefault="00E11CFE" w:rsidP="008C3F2D">
      <w:pPr>
        <w:spacing w:after="0" w:line="240" w:lineRule="auto"/>
      </w:pPr>
      <w:r>
        <w:separator/>
      </w:r>
    </w:p>
  </w:endnote>
  <w:endnote w:type="continuationSeparator" w:id="0">
    <w:p w:rsidR="00E11CFE" w:rsidRDefault="00E11CFE" w:rsidP="008C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FE" w:rsidRDefault="00E11CFE" w:rsidP="008C3F2D">
      <w:pPr>
        <w:spacing w:after="0" w:line="240" w:lineRule="auto"/>
      </w:pPr>
      <w:r>
        <w:separator/>
      </w:r>
    </w:p>
  </w:footnote>
  <w:footnote w:type="continuationSeparator" w:id="0">
    <w:p w:rsidR="00E11CFE" w:rsidRDefault="00E11CFE" w:rsidP="008C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2D" w:rsidRPr="006B4BB2" w:rsidRDefault="006B4BB2" w:rsidP="006B4BB2">
    <w:pPr>
      <w:pStyle w:val="Header"/>
      <w:jc w:val="center"/>
      <w:rPr>
        <w:rFonts w:ascii="Times New Roman" w:hAnsi="Times New Roman" w:cs="Times New Roman"/>
        <w:sz w:val="18"/>
      </w:rPr>
    </w:pPr>
    <w:r w:rsidRPr="006B4BB2">
      <w:rPr>
        <w:rFonts w:ascii="Times New Roman" w:hAnsi="Times New Roman" w:cs="Times New Roman"/>
        <w:sz w:val="18"/>
      </w:rPr>
      <w:t xml:space="preserve">- </w:t>
    </w:r>
    <w:r w:rsidRPr="006B4BB2">
      <w:rPr>
        <w:rFonts w:ascii="Times New Roman" w:hAnsi="Times New Roman" w:cs="Times New Roman"/>
        <w:sz w:val="18"/>
      </w:rPr>
      <w:fldChar w:fldCharType="begin"/>
    </w:r>
    <w:r w:rsidRPr="006B4BB2">
      <w:rPr>
        <w:rFonts w:ascii="Times New Roman" w:hAnsi="Times New Roman" w:cs="Times New Roman"/>
        <w:sz w:val="18"/>
      </w:rPr>
      <w:instrText xml:space="preserve"> PAGE  \* MERGEFORMAT </w:instrText>
    </w:r>
    <w:r w:rsidRPr="006B4BB2">
      <w:rPr>
        <w:rFonts w:ascii="Times New Roman" w:hAnsi="Times New Roman" w:cs="Times New Roman"/>
        <w:sz w:val="18"/>
      </w:rPr>
      <w:fldChar w:fldCharType="separate"/>
    </w:r>
    <w:r w:rsidR="009A0FB3">
      <w:rPr>
        <w:rFonts w:ascii="Times New Roman" w:hAnsi="Times New Roman" w:cs="Times New Roman"/>
        <w:noProof/>
        <w:sz w:val="18"/>
      </w:rPr>
      <w:t>4</w:t>
    </w:r>
    <w:r w:rsidRPr="006B4BB2">
      <w:rPr>
        <w:rFonts w:ascii="Times New Roman" w:hAnsi="Times New Roman" w:cs="Times New Roman"/>
        <w:sz w:val="18"/>
      </w:rPr>
      <w:fldChar w:fldCharType="end"/>
    </w:r>
    <w:r w:rsidRPr="006B4BB2">
      <w:rPr>
        <w:rFonts w:ascii="Times New Roman" w:hAnsi="Times New Roman" w:cs="Times New Roman"/>
        <w:sz w:val="18"/>
      </w:rPr>
      <w:t xml:space="preserve"> -</w:t>
    </w:r>
  </w:p>
  <w:p w:rsidR="006B4BB2" w:rsidRPr="006B4BB2" w:rsidRDefault="006B4BB2" w:rsidP="006B4BB2">
    <w:pPr>
      <w:pStyle w:val="Header"/>
      <w:spacing w:after="240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TD 241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7B28"/>
    <w:multiLevelType w:val="multilevel"/>
    <w:tmpl w:val="F5C4FF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8E3613"/>
    <w:multiLevelType w:val="hybridMultilevel"/>
    <w:tmpl w:val="4A807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5E70"/>
    <w:multiLevelType w:val="multilevel"/>
    <w:tmpl w:val="6926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22E0A"/>
    <w:multiLevelType w:val="hybridMultilevel"/>
    <w:tmpl w:val="C81C8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B7964"/>
    <w:multiLevelType w:val="multilevel"/>
    <w:tmpl w:val="619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0934EF"/>
    <w:multiLevelType w:val="hybridMultilevel"/>
    <w:tmpl w:val="5726BE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23CB4"/>
    <w:multiLevelType w:val="hybridMultilevel"/>
    <w:tmpl w:val="FF68C5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B1D66"/>
    <w:multiLevelType w:val="multilevel"/>
    <w:tmpl w:val="0C6864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9B7DFF"/>
    <w:multiLevelType w:val="hybridMultilevel"/>
    <w:tmpl w:val="FE36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D0D9C"/>
    <w:multiLevelType w:val="multilevel"/>
    <w:tmpl w:val="8CBC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D0625D"/>
    <w:multiLevelType w:val="hybridMultilevel"/>
    <w:tmpl w:val="81728A76"/>
    <w:lvl w:ilvl="0" w:tplc="260A95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24FA9"/>
    <w:multiLevelType w:val="multilevel"/>
    <w:tmpl w:val="8132E2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3706A7"/>
    <w:multiLevelType w:val="hybridMultilevel"/>
    <w:tmpl w:val="16004A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E22D54"/>
    <w:multiLevelType w:val="hybridMultilevel"/>
    <w:tmpl w:val="9E9649AC"/>
    <w:lvl w:ilvl="0" w:tplc="C13804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54673054"/>
    <w:multiLevelType w:val="hybridMultilevel"/>
    <w:tmpl w:val="5D96BD14"/>
    <w:lvl w:ilvl="0" w:tplc="E7FC5D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575E7B56"/>
    <w:multiLevelType w:val="hybridMultilevel"/>
    <w:tmpl w:val="E702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A5C47"/>
    <w:multiLevelType w:val="hybridMultilevel"/>
    <w:tmpl w:val="D48A6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2F5855"/>
    <w:multiLevelType w:val="hybridMultilevel"/>
    <w:tmpl w:val="1CCA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F00FB"/>
    <w:multiLevelType w:val="multilevel"/>
    <w:tmpl w:val="AF6C67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833280A"/>
    <w:multiLevelType w:val="hybridMultilevel"/>
    <w:tmpl w:val="8140D9E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68BA683C"/>
    <w:multiLevelType w:val="hybridMultilevel"/>
    <w:tmpl w:val="07A4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103F3"/>
    <w:multiLevelType w:val="multilevel"/>
    <w:tmpl w:val="803C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1A520B"/>
    <w:multiLevelType w:val="multilevel"/>
    <w:tmpl w:val="7BC4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583FDF"/>
    <w:multiLevelType w:val="multilevel"/>
    <w:tmpl w:val="06065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13"/>
  </w:num>
  <w:num w:numId="8">
    <w:abstractNumId w:val="16"/>
  </w:num>
  <w:num w:numId="9">
    <w:abstractNumId w:val="18"/>
  </w:num>
  <w:num w:numId="10">
    <w:abstractNumId w:val="9"/>
  </w:num>
  <w:num w:numId="11">
    <w:abstractNumId w:val="14"/>
  </w:num>
  <w:num w:numId="12">
    <w:abstractNumId w:val="1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8"/>
  </w:num>
  <w:num w:numId="16">
    <w:abstractNumId w:val="12"/>
  </w:num>
  <w:num w:numId="17">
    <w:abstractNumId w:val="26"/>
  </w:num>
  <w:num w:numId="18">
    <w:abstractNumId w:val="28"/>
  </w:num>
  <w:num w:numId="19">
    <w:abstractNumId w:val="0"/>
  </w:num>
  <w:num w:numId="20">
    <w:abstractNumId w:val="25"/>
  </w:num>
  <w:num w:numId="21">
    <w:abstractNumId w:val="27"/>
  </w:num>
  <w:num w:numId="22">
    <w:abstractNumId w:val="17"/>
  </w:num>
  <w:num w:numId="23">
    <w:abstractNumId w:val="24"/>
  </w:num>
  <w:num w:numId="24">
    <w:abstractNumId w:val="1"/>
  </w:num>
  <w:num w:numId="25">
    <w:abstractNumId w:val="19"/>
  </w:num>
  <w:num w:numId="26">
    <w:abstractNumId w:val="11"/>
  </w:num>
  <w:num w:numId="27">
    <w:abstractNumId w:val="2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B9"/>
    <w:rsid w:val="0000102E"/>
    <w:rsid w:val="00023343"/>
    <w:rsid w:val="00023A0A"/>
    <w:rsid w:val="00033F67"/>
    <w:rsid w:val="00041C6B"/>
    <w:rsid w:val="00084C1B"/>
    <w:rsid w:val="000B00C1"/>
    <w:rsid w:val="000D3C80"/>
    <w:rsid w:val="000D453D"/>
    <w:rsid w:val="000E51C1"/>
    <w:rsid w:val="0012773A"/>
    <w:rsid w:val="001311C2"/>
    <w:rsid w:val="00131407"/>
    <w:rsid w:val="00146C7B"/>
    <w:rsid w:val="00162AAB"/>
    <w:rsid w:val="00162B8B"/>
    <w:rsid w:val="001643FD"/>
    <w:rsid w:val="001840BD"/>
    <w:rsid w:val="001C1603"/>
    <w:rsid w:val="001C29C8"/>
    <w:rsid w:val="001C70EC"/>
    <w:rsid w:val="001D795C"/>
    <w:rsid w:val="001F42C5"/>
    <w:rsid w:val="00200E34"/>
    <w:rsid w:val="00217FE5"/>
    <w:rsid w:val="0022429C"/>
    <w:rsid w:val="00230DE2"/>
    <w:rsid w:val="00234E64"/>
    <w:rsid w:val="00240A45"/>
    <w:rsid w:val="00240C9B"/>
    <w:rsid w:val="00285319"/>
    <w:rsid w:val="0028666B"/>
    <w:rsid w:val="00291743"/>
    <w:rsid w:val="00291D86"/>
    <w:rsid w:val="002B20D9"/>
    <w:rsid w:val="002B7900"/>
    <w:rsid w:val="002C23E3"/>
    <w:rsid w:val="002D500C"/>
    <w:rsid w:val="002F1334"/>
    <w:rsid w:val="0030028A"/>
    <w:rsid w:val="00306D89"/>
    <w:rsid w:val="00335F76"/>
    <w:rsid w:val="003375AE"/>
    <w:rsid w:val="00346DE5"/>
    <w:rsid w:val="003630D6"/>
    <w:rsid w:val="00386367"/>
    <w:rsid w:val="0038719F"/>
    <w:rsid w:val="003A238B"/>
    <w:rsid w:val="003A64F7"/>
    <w:rsid w:val="003A7828"/>
    <w:rsid w:val="003C0319"/>
    <w:rsid w:val="003C1B79"/>
    <w:rsid w:val="003C5008"/>
    <w:rsid w:val="003C5154"/>
    <w:rsid w:val="003C5475"/>
    <w:rsid w:val="003D493F"/>
    <w:rsid w:val="003D6872"/>
    <w:rsid w:val="003E0C41"/>
    <w:rsid w:val="00420432"/>
    <w:rsid w:val="00442F89"/>
    <w:rsid w:val="00450E24"/>
    <w:rsid w:val="00451117"/>
    <w:rsid w:val="00456069"/>
    <w:rsid w:val="00456089"/>
    <w:rsid w:val="004836EC"/>
    <w:rsid w:val="004856AC"/>
    <w:rsid w:val="00495E2F"/>
    <w:rsid w:val="004A3300"/>
    <w:rsid w:val="004A522D"/>
    <w:rsid w:val="004D076F"/>
    <w:rsid w:val="004D0E28"/>
    <w:rsid w:val="004D24AF"/>
    <w:rsid w:val="004D6090"/>
    <w:rsid w:val="00505B46"/>
    <w:rsid w:val="00506C0E"/>
    <w:rsid w:val="00523B0E"/>
    <w:rsid w:val="00525F34"/>
    <w:rsid w:val="005266B3"/>
    <w:rsid w:val="0053516A"/>
    <w:rsid w:val="00541E79"/>
    <w:rsid w:val="005432EB"/>
    <w:rsid w:val="00545E1A"/>
    <w:rsid w:val="00586C56"/>
    <w:rsid w:val="005933FB"/>
    <w:rsid w:val="005A234D"/>
    <w:rsid w:val="005F046B"/>
    <w:rsid w:val="00631A92"/>
    <w:rsid w:val="0066059D"/>
    <w:rsid w:val="006642FA"/>
    <w:rsid w:val="00665D48"/>
    <w:rsid w:val="00685B8C"/>
    <w:rsid w:val="00685D45"/>
    <w:rsid w:val="006A7A43"/>
    <w:rsid w:val="006B3403"/>
    <w:rsid w:val="006B4A2A"/>
    <w:rsid w:val="006B4BB2"/>
    <w:rsid w:val="006E0F44"/>
    <w:rsid w:val="00700385"/>
    <w:rsid w:val="00701473"/>
    <w:rsid w:val="007022A6"/>
    <w:rsid w:val="00710244"/>
    <w:rsid w:val="007214E8"/>
    <w:rsid w:val="00740021"/>
    <w:rsid w:val="00740227"/>
    <w:rsid w:val="00760621"/>
    <w:rsid w:val="00762C91"/>
    <w:rsid w:val="007651A7"/>
    <w:rsid w:val="00770DBD"/>
    <w:rsid w:val="007727B8"/>
    <w:rsid w:val="007B27B7"/>
    <w:rsid w:val="007B4F8A"/>
    <w:rsid w:val="007C36AF"/>
    <w:rsid w:val="007C44EF"/>
    <w:rsid w:val="007D138F"/>
    <w:rsid w:val="007D34E5"/>
    <w:rsid w:val="007F493D"/>
    <w:rsid w:val="00803A91"/>
    <w:rsid w:val="00806300"/>
    <w:rsid w:val="00827CFA"/>
    <w:rsid w:val="008376A7"/>
    <w:rsid w:val="008654CD"/>
    <w:rsid w:val="00885BC5"/>
    <w:rsid w:val="0089331B"/>
    <w:rsid w:val="008947EB"/>
    <w:rsid w:val="008962E6"/>
    <w:rsid w:val="008A5B2C"/>
    <w:rsid w:val="008A6BE0"/>
    <w:rsid w:val="008C043B"/>
    <w:rsid w:val="008C34BC"/>
    <w:rsid w:val="008C3F2D"/>
    <w:rsid w:val="008D2BC6"/>
    <w:rsid w:val="008E5F5E"/>
    <w:rsid w:val="008F6AA9"/>
    <w:rsid w:val="009006D1"/>
    <w:rsid w:val="00936899"/>
    <w:rsid w:val="00946075"/>
    <w:rsid w:val="009462B9"/>
    <w:rsid w:val="00962211"/>
    <w:rsid w:val="009633B2"/>
    <w:rsid w:val="00993B36"/>
    <w:rsid w:val="009A0FB3"/>
    <w:rsid w:val="009A789A"/>
    <w:rsid w:val="009C28C9"/>
    <w:rsid w:val="009D142F"/>
    <w:rsid w:val="009D4B36"/>
    <w:rsid w:val="009D74F7"/>
    <w:rsid w:val="009E6A56"/>
    <w:rsid w:val="009E73ED"/>
    <w:rsid w:val="009E754D"/>
    <w:rsid w:val="009F4D10"/>
    <w:rsid w:val="00A02CA4"/>
    <w:rsid w:val="00A151D0"/>
    <w:rsid w:val="00A20326"/>
    <w:rsid w:val="00A24238"/>
    <w:rsid w:val="00A26513"/>
    <w:rsid w:val="00A429C8"/>
    <w:rsid w:val="00A542F7"/>
    <w:rsid w:val="00A547A7"/>
    <w:rsid w:val="00A833F9"/>
    <w:rsid w:val="00A91372"/>
    <w:rsid w:val="00AA25AA"/>
    <w:rsid w:val="00AA674E"/>
    <w:rsid w:val="00AC3668"/>
    <w:rsid w:val="00AF5A34"/>
    <w:rsid w:val="00B1138A"/>
    <w:rsid w:val="00B14782"/>
    <w:rsid w:val="00B236B4"/>
    <w:rsid w:val="00B31033"/>
    <w:rsid w:val="00B31961"/>
    <w:rsid w:val="00B322C3"/>
    <w:rsid w:val="00B346CB"/>
    <w:rsid w:val="00B36FD1"/>
    <w:rsid w:val="00B5349E"/>
    <w:rsid w:val="00B56169"/>
    <w:rsid w:val="00B61E6B"/>
    <w:rsid w:val="00B75880"/>
    <w:rsid w:val="00B839D0"/>
    <w:rsid w:val="00B841C7"/>
    <w:rsid w:val="00B9272A"/>
    <w:rsid w:val="00BA2DFB"/>
    <w:rsid w:val="00BC1A0A"/>
    <w:rsid w:val="00BC25BC"/>
    <w:rsid w:val="00BD0344"/>
    <w:rsid w:val="00BD2011"/>
    <w:rsid w:val="00BE179B"/>
    <w:rsid w:val="00BF5DF1"/>
    <w:rsid w:val="00C11189"/>
    <w:rsid w:val="00C227EC"/>
    <w:rsid w:val="00C41FEA"/>
    <w:rsid w:val="00C4358B"/>
    <w:rsid w:val="00C47B3C"/>
    <w:rsid w:val="00C53F75"/>
    <w:rsid w:val="00C60B25"/>
    <w:rsid w:val="00C70EA5"/>
    <w:rsid w:val="00C81183"/>
    <w:rsid w:val="00C8414E"/>
    <w:rsid w:val="00C857BC"/>
    <w:rsid w:val="00C85BFD"/>
    <w:rsid w:val="00C9278D"/>
    <w:rsid w:val="00C9761C"/>
    <w:rsid w:val="00CB29ED"/>
    <w:rsid w:val="00CB64FD"/>
    <w:rsid w:val="00CB6EC6"/>
    <w:rsid w:val="00CD2791"/>
    <w:rsid w:val="00CD4ABE"/>
    <w:rsid w:val="00CE06E1"/>
    <w:rsid w:val="00D010A9"/>
    <w:rsid w:val="00D128E1"/>
    <w:rsid w:val="00D2592A"/>
    <w:rsid w:val="00D271B1"/>
    <w:rsid w:val="00D351B9"/>
    <w:rsid w:val="00D43996"/>
    <w:rsid w:val="00D45F79"/>
    <w:rsid w:val="00D523D5"/>
    <w:rsid w:val="00D56BF1"/>
    <w:rsid w:val="00D6487B"/>
    <w:rsid w:val="00D6513F"/>
    <w:rsid w:val="00D70645"/>
    <w:rsid w:val="00D7092A"/>
    <w:rsid w:val="00D84BA9"/>
    <w:rsid w:val="00D95E59"/>
    <w:rsid w:val="00DB7920"/>
    <w:rsid w:val="00DC2B3E"/>
    <w:rsid w:val="00DD5A88"/>
    <w:rsid w:val="00DE20A9"/>
    <w:rsid w:val="00DE2787"/>
    <w:rsid w:val="00DE64CF"/>
    <w:rsid w:val="00DF1A29"/>
    <w:rsid w:val="00DF2F8B"/>
    <w:rsid w:val="00E11CFE"/>
    <w:rsid w:val="00E12CE6"/>
    <w:rsid w:val="00E157BD"/>
    <w:rsid w:val="00E2086B"/>
    <w:rsid w:val="00E2344F"/>
    <w:rsid w:val="00E357DA"/>
    <w:rsid w:val="00E35903"/>
    <w:rsid w:val="00E426FD"/>
    <w:rsid w:val="00E5092D"/>
    <w:rsid w:val="00E55AB6"/>
    <w:rsid w:val="00E57E4D"/>
    <w:rsid w:val="00E61598"/>
    <w:rsid w:val="00E76BA0"/>
    <w:rsid w:val="00E93286"/>
    <w:rsid w:val="00E96A34"/>
    <w:rsid w:val="00EA3CBC"/>
    <w:rsid w:val="00EC2500"/>
    <w:rsid w:val="00EC62EE"/>
    <w:rsid w:val="00ED0754"/>
    <w:rsid w:val="00EE0189"/>
    <w:rsid w:val="00EE2405"/>
    <w:rsid w:val="00EE3192"/>
    <w:rsid w:val="00EF7CA2"/>
    <w:rsid w:val="00F12647"/>
    <w:rsid w:val="00F1409E"/>
    <w:rsid w:val="00F15BF4"/>
    <w:rsid w:val="00F239C0"/>
    <w:rsid w:val="00F24960"/>
    <w:rsid w:val="00F27122"/>
    <w:rsid w:val="00F34C41"/>
    <w:rsid w:val="00F4364A"/>
    <w:rsid w:val="00F53A2F"/>
    <w:rsid w:val="00F5614F"/>
    <w:rsid w:val="00F579A3"/>
    <w:rsid w:val="00F942CB"/>
    <w:rsid w:val="00FC487A"/>
    <w:rsid w:val="00FE59C1"/>
    <w:rsid w:val="00FF1FB2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D161E"/>
  <w15:chartTrackingRefBased/>
  <w15:docId w15:val="{5DE3ECD4-BA95-498F-A10F-9B587912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6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aliases w:val="超级链接,超?级链,CEO_Hyperlink"/>
    <w:basedOn w:val="DefaultParagraphFont"/>
    <w:uiPriority w:val="99"/>
    <w:unhideWhenUsed/>
    <w:rsid w:val="009462B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62B9"/>
    <w:rPr>
      <w:i/>
      <w:iCs/>
    </w:rPr>
  </w:style>
  <w:style w:type="character" w:styleId="Strong">
    <w:name w:val="Strong"/>
    <w:basedOn w:val="DefaultParagraphFont"/>
    <w:uiPriority w:val="22"/>
    <w:qFormat/>
    <w:rsid w:val="009462B9"/>
    <w:rPr>
      <w:b/>
      <w:bCs/>
    </w:rPr>
  </w:style>
  <w:style w:type="table" w:styleId="TableGrid">
    <w:name w:val="Table Grid"/>
    <w:basedOn w:val="TableNormal"/>
    <w:uiPriority w:val="59"/>
    <w:rsid w:val="00B3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265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3F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Default">
    <w:name w:val="Default"/>
    <w:rsid w:val="003A782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D2BC6"/>
  </w:style>
  <w:style w:type="paragraph" w:styleId="Header">
    <w:name w:val="header"/>
    <w:basedOn w:val="Normal"/>
    <w:link w:val="HeaderChar"/>
    <w:uiPriority w:val="99"/>
    <w:unhideWhenUsed/>
    <w:rsid w:val="008C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2D"/>
  </w:style>
  <w:style w:type="paragraph" w:styleId="Footer">
    <w:name w:val="footer"/>
    <w:basedOn w:val="Normal"/>
    <w:link w:val="FooterChar"/>
    <w:uiPriority w:val="99"/>
    <w:unhideWhenUsed/>
    <w:rsid w:val="008C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2D"/>
  </w:style>
  <w:style w:type="character" w:styleId="PlaceholderText">
    <w:name w:val="Placeholder Text"/>
    <w:basedOn w:val="DefaultParagraphFont"/>
    <w:uiPriority w:val="99"/>
    <w:semiHidden/>
    <w:rsid w:val="003375AE"/>
  </w:style>
  <w:style w:type="paragraph" w:customStyle="1" w:styleId="Docnumber">
    <w:name w:val="Docnumber"/>
    <w:basedOn w:val="Normal"/>
    <w:link w:val="DocnumberChar"/>
    <w:qFormat/>
    <w:rsid w:val="006B4B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6B4BB2"/>
    <w:rPr>
      <w:rFonts w:ascii="Times New Roman" w:eastAsia="Times New Roman" w:hAnsi="Times New Roman" w:cs="Times New Roman"/>
      <w:b/>
      <w:bCs/>
      <w:sz w:val="4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u.int/ip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breraa\Documents\IPR\Recs%20vs%20paten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breraa\Documents\IPR\Recs%20vs%20paten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breraa\Documents\IPR\Recs%20vs%20paten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Recs</a:t>
            </a:r>
            <a:r>
              <a:rPr lang="en-GB" b="1" baseline="0"/>
              <a:t> with patent declarations vs </a:t>
            </a:r>
            <a:r>
              <a:rPr lang="en-GB" b="1"/>
              <a:t>approved Recs/Amds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Sheet1!$C$5</c:f>
              <c:strCache>
                <c:ptCount val="1"/>
                <c:pt idx="0">
                  <c:v>Approved Recs/Amds </c:v>
                </c:pt>
              </c:strCache>
            </c:strRef>
          </c:tx>
          <c:spPr>
            <a:pattFill prst="trellis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Sheet1!$B$6:$B$10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Sheet1!$C$6:$C$10</c:f>
              <c:numCache>
                <c:formatCode>General</c:formatCode>
                <c:ptCount val="5"/>
                <c:pt idx="0">
                  <c:v>220</c:v>
                </c:pt>
                <c:pt idx="1">
                  <c:v>271</c:v>
                </c:pt>
                <c:pt idx="2">
                  <c:v>320</c:v>
                </c:pt>
                <c:pt idx="3">
                  <c:v>469</c:v>
                </c:pt>
                <c:pt idx="4">
                  <c:v>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41-4E47-BC7F-2D1F134BE0A8}"/>
            </c:ext>
          </c:extLst>
        </c:ser>
        <c:ser>
          <c:idx val="1"/>
          <c:order val="1"/>
          <c:tx>
            <c:strRef>
              <c:f>Sheet1!$D$5</c:f>
              <c:strCache>
                <c:ptCount val="1"/>
                <c:pt idx="0">
                  <c:v>Recs/Amds with patents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Sheet1!$B$6:$B$10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Sheet1!$D$6:$D$10</c:f>
              <c:numCache>
                <c:formatCode>General</c:formatCode>
                <c:ptCount val="5"/>
                <c:pt idx="0">
                  <c:v>71</c:v>
                </c:pt>
                <c:pt idx="1">
                  <c:v>75</c:v>
                </c:pt>
                <c:pt idx="2">
                  <c:v>75</c:v>
                </c:pt>
                <c:pt idx="3">
                  <c:v>100</c:v>
                </c:pt>
                <c:pt idx="4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41-4E47-BC7F-2D1F134BE0A8}"/>
            </c:ext>
          </c:extLst>
        </c:ser>
        <c:ser>
          <c:idx val="2"/>
          <c:order val="2"/>
          <c:tx>
            <c:strRef>
              <c:f>Sheet1!$E$5</c:f>
              <c:strCache>
                <c:ptCount val="1"/>
                <c:pt idx="0">
                  <c:v>PSLDFs received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Sheet1!$E$6:$E$10</c:f>
              <c:numCache>
                <c:formatCode>General</c:formatCode>
                <c:ptCount val="5"/>
                <c:pt idx="0">
                  <c:v>45</c:v>
                </c:pt>
                <c:pt idx="1">
                  <c:v>61</c:v>
                </c:pt>
                <c:pt idx="2">
                  <c:v>70</c:v>
                </c:pt>
                <c:pt idx="3">
                  <c:v>106</c:v>
                </c:pt>
                <c:pt idx="4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41-4E47-BC7F-2D1F134BE0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7965216"/>
        <c:axId val="477966336"/>
      </c:barChart>
      <c:catAx>
        <c:axId val="47796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7966336"/>
        <c:crosses val="autoZero"/>
        <c:auto val="1"/>
        <c:lblAlgn val="ctr"/>
        <c:lblOffset val="100"/>
        <c:noMultiLvlLbl val="0"/>
      </c:catAx>
      <c:valAx>
        <c:axId val="477966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796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Recs with patent declarations by SG </a:t>
            </a:r>
            <a:br>
              <a:rPr lang="en-GB" b="1"/>
            </a:br>
            <a:r>
              <a:rPr lang="en-GB" b="1"/>
              <a:t>2013-2017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Sheet1!$C$15</c:f>
              <c:strCache>
                <c:ptCount val="1"/>
                <c:pt idx="0">
                  <c:v>Approved Recs/Amds </c:v>
                </c:pt>
              </c:strCache>
            </c:strRef>
          </c:tx>
          <c:spPr>
            <a:pattFill prst="trellis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Sheet1!$B$16:$B$27</c:f>
              <c:strCache>
                <c:ptCount val="12"/>
                <c:pt idx="0">
                  <c:v>TSAG</c:v>
                </c:pt>
                <c:pt idx="1">
                  <c:v>SG2</c:v>
                </c:pt>
                <c:pt idx="2">
                  <c:v>SG3</c:v>
                </c:pt>
                <c:pt idx="3">
                  <c:v>SG5</c:v>
                </c:pt>
                <c:pt idx="4">
                  <c:v>SG9</c:v>
                </c:pt>
                <c:pt idx="5">
                  <c:v>SG11</c:v>
                </c:pt>
                <c:pt idx="6">
                  <c:v>SG12</c:v>
                </c:pt>
                <c:pt idx="7">
                  <c:v>SG13</c:v>
                </c:pt>
                <c:pt idx="8">
                  <c:v>SG15</c:v>
                </c:pt>
                <c:pt idx="9">
                  <c:v>SG16</c:v>
                </c:pt>
                <c:pt idx="10">
                  <c:v>SG17</c:v>
                </c:pt>
                <c:pt idx="11">
                  <c:v>SG20</c:v>
                </c:pt>
              </c:strCache>
            </c:strRef>
          </c:cat>
          <c:val>
            <c:numRef>
              <c:f>Sheet1!$C$16:$C$27</c:f>
              <c:numCache>
                <c:formatCode>General</c:formatCode>
                <c:ptCount val="12"/>
                <c:pt idx="0">
                  <c:v>12</c:v>
                </c:pt>
                <c:pt idx="1">
                  <c:v>27</c:v>
                </c:pt>
                <c:pt idx="2">
                  <c:v>10</c:v>
                </c:pt>
                <c:pt idx="3">
                  <c:v>164</c:v>
                </c:pt>
                <c:pt idx="4">
                  <c:v>44</c:v>
                </c:pt>
                <c:pt idx="5">
                  <c:v>111</c:v>
                </c:pt>
                <c:pt idx="6">
                  <c:v>112</c:v>
                </c:pt>
                <c:pt idx="7">
                  <c:v>98</c:v>
                </c:pt>
                <c:pt idx="8">
                  <c:v>364</c:v>
                </c:pt>
                <c:pt idx="9">
                  <c:v>353</c:v>
                </c:pt>
                <c:pt idx="10">
                  <c:v>200</c:v>
                </c:pt>
                <c:pt idx="1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69-4C35-9CF7-949767D0D092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Recs/Amds with patents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Sheet1!$B$16:$B$27</c:f>
              <c:strCache>
                <c:ptCount val="12"/>
                <c:pt idx="0">
                  <c:v>TSAG</c:v>
                </c:pt>
                <c:pt idx="1">
                  <c:v>SG2</c:v>
                </c:pt>
                <c:pt idx="2">
                  <c:v>SG3</c:v>
                </c:pt>
                <c:pt idx="3">
                  <c:v>SG5</c:v>
                </c:pt>
                <c:pt idx="4">
                  <c:v>SG9</c:v>
                </c:pt>
                <c:pt idx="5">
                  <c:v>SG11</c:v>
                </c:pt>
                <c:pt idx="6">
                  <c:v>SG12</c:v>
                </c:pt>
                <c:pt idx="7">
                  <c:v>SG13</c:v>
                </c:pt>
                <c:pt idx="8">
                  <c:v>SG15</c:v>
                </c:pt>
                <c:pt idx="9">
                  <c:v>SG16</c:v>
                </c:pt>
                <c:pt idx="10">
                  <c:v>SG17</c:v>
                </c:pt>
                <c:pt idx="11">
                  <c:v>SG20</c:v>
                </c:pt>
              </c:strCache>
            </c:strRef>
          </c:cat>
          <c:val>
            <c:numRef>
              <c:f>Sheet1!$D$16:$D$27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11</c:v>
                </c:pt>
                <c:pt idx="5">
                  <c:v>5</c:v>
                </c:pt>
                <c:pt idx="6">
                  <c:v>37</c:v>
                </c:pt>
                <c:pt idx="7">
                  <c:v>12</c:v>
                </c:pt>
                <c:pt idx="8">
                  <c:v>207</c:v>
                </c:pt>
                <c:pt idx="9">
                  <c:v>86</c:v>
                </c:pt>
                <c:pt idx="10">
                  <c:v>11</c:v>
                </c:pt>
                <c:pt idx="1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69-4C35-9CF7-949767D0D092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PSLDFs received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Sheet1!$B$16:$B$27</c:f>
              <c:strCache>
                <c:ptCount val="12"/>
                <c:pt idx="0">
                  <c:v>TSAG</c:v>
                </c:pt>
                <c:pt idx="1">
                  <c:v>SG2</c:v>
                </c:pt>
                <c:pt idx="2">
                  <c:v>SG3</c:v>
                </c:pt>
                <c:pt idx="3">
                  <c:v>SG5</c:v>
                </c:pt>
                <c:pt idx="4">
                  <c:v>SG9</c:v>
                </c:pt>
                <c:pt idx="5">
                  <c:v>SG11</c:v>
                </c:pt>
                <c:pt idx="6">
                  <c:v>SG12</c:v>
                </c:pt>
                <c:pt idx="7">
                  <c:v>SG13</c:v>
                </c:pt>
                <c:pt idx="8">
                  <c:v>SG15</c:v>
                </c:pt>
                <c:pt idx="9">
                  <c:v>SG16</c:v>
                </c:pt>
                <c:pt idx="10">
                  <c:v>SG17</c:v>
                </c:pt>
                <c:pt idx="11">
                  <c:v>SG20</c:v>
                </c:pt>
              </c:strCache>
            </c:strRef>
          </c:cat>
          <c:val>
            <c:numRef>
              <c:f>Sheet1!$E$16:$E$27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32</c:v>
                </c:pt>
                <c:pt idx="5">
                  <c:v>6</c:v>
                </c:pt>
                <c:pt idx="6">
                  <c:v>26</c:v>
                </c:pt>
                <c:pt idx="7">
                  <c:v>13</c:v>
                </c:pt>
                <c:pt idx="8">
                  <c:v>164</c:v>
                </c:pt>
                <c:pt idx="9">
                  <c:v>108</c:v>
                </c:pt>
                <c:pt idx="10">
                  <c:v>8</c:v>
                </c:pt>
                <c:pt idx="1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69-4C35-9CF7-949767D0D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8043776"/>
        <c:axId val="478044336"/>
      </c:barChart>
      <c:catAx>
        <c:axId val="47804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8044336"/>
        <c:crosses val="autoZero"/>
        <c:auto val="1"/>
        <c:lblAlgn val="ctr"/>
        <c:lblOffset val="100"/>
        <c:noMultiLvlLbl val="0"/>
      </c:catAx>
      <c:valAx>
        <c:axId val="47804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804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Recs with patent declarations per Series</a:t>
            </a:r>
            <a:br>
              <a:rPr lang="en-GB" b="1"/>
            </a:br>
            <a:r>
              <a:rPr lang="en-GB" b="1"/>
              <a:t>2013 - 2017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Sheet1!$C$33</c:f>
              <c:strCache>
                <c:ptCount val="1"/>
                <c:pt idx="0">
                  <c:v>Approved Recs/Amds </c:v>
                </c:pt>
              </c:strCache>
            </c:strRef>
          </c:tx>
          <c:spPr>
            <a:pattFill prst="trellis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12"/>
              <c:layout>
                <c:manualLayout>
                  <c:x val="-2.7840235629233091E-3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27E-4193-AE8E-C83DA4F354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Sheet1!$B$34:$B$49</c:f>
              <c:strCache>
                <c:ptCount val="16"/>
                <c:pt idx="0">
                  <c:v>A</c:v>
                </c:pt>
                <c:pt idx="1">
                  <c:v>D</c:v>
                </c:pt>
                <c:pt idx="2">
                  <c:v>E</c:v>
                </c:pt>
                <c:pt idx="3">
                  <c:v>F</c:v>
                </c:pt>
                <c:pt idx="4">
                  <c:v>G</c:v>
                </c:pt>
                <c:pt idx="5">
                  <c:v>H</c:v>
                </c:pt>
                <c:pt idx="6">
                  <c:v>J</c:v>
                </c:pt>
                <c:pt idx="7">
                  <c:v>K</c:v>
                </c:pt>
                <c:pt idx="8">
                  <c:v>L</c:v>
                </c:pt>
                <c:pt idx="9">
                  <c:v>M</c:v>
                </c:pt>
                <c:pt idx="10">
                  <c:v>P</c:v>
                </c:pt>
                <c:pt idx="11">
                  <c:v>Q</c:v>
                </c:pt>
                <c:pt idx="12">
                  <c:v>T</c:v>
                </c:pt>
                <c:pt idx="13">
                  <c:v>X</c:v>
                </c:pt>
                <c:pt idx="14">
                  <c:v>Y</c:v>
                </c:pt>
                <c:pt idx="15">
                  <c:v>Z</c:v>
                </c:pt>
              </c:strCache>
            </c:strRef>
          </c:cat>
          <c:val>
            <c:numRef>
              <c:f>Sheet1!$C$34:$C$49</c:f>
              <c:numCache>
                <c:formatCode>General</c:formatCode>
                <c:ptCount val="16"/>
                <c:pt idx="0">
                  <c:v>12</c:v>
                </c:pt>
                <c:pt idx="1">
                  <c:v>10</c:v>
                </c:pt>
                <c:pt idx="2">
                  <c:v>14</c:v>
                </c:pt>
                <c:pt idx="3">
                  <c:v>20</c:v>
                </c:pt>
                <c:pt idx="4">
                  <c:v>375</c:v>
                </c:pt>
                <c:pt idx="5">
                  <c:v>305</c:v>
                </c:pt>
                <c:pt idx="6">
                  <c:v>52</c:v>
                </c:pt>
                <c:pt idx="7">
                  <c:v>95</c:v>
                </c:pt>
                <c:pt idx="8">
                  <c:v>91</c:v>
                </c:pt>
                <c:pt idx="9">
                  <c:v>16</c:v>
                </c:pt>
                <c:pt idx="10">
                  <c:v>72</c:v>
                </c:pt>
                <c:pt idx="11">
                  <c:v>113</c:v>
                </c:pt>
                <c:pt idx="12">
                  <c:v>18</c:v>
                </c:pt>
                <c:pt idx="13">
                  <c:v>140</c:v>
                </c:pt>
                <c:pt idx="14">
                  <c:v>156</c:v>
                </c:pt>
                <c:pt idx="15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7E-4193-AE8E-C83DA4F354A1}"/>
            </c:ext>
          </c:extLst>
        </c:ser>
        <c:ser>
          <c:idx val="1"/>
          <c:order val="1"/>
          <c:tx>
            <c:strRef>
              <c:f>Sheet1!$D$33</c:f>
              <c:strCache>
                <c:ptCount val="1"/>
                <c:pt idx="0">
                  <c:v>Recs/Amds with patents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5.568047125846312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27E-4193-AE8E-C83DA4F354A1}"/>
                </c:ext>
              </c:extLst>
            </c:dLbl>
            <c:dLbl>
              <c:idx val="12"/>
              <c:layout>
                <c:manualLayout>
                  <c:x val="-2.0415936948124402E-16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27E-4193-AE8E-C83DA4F354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Sheet1!$B$34:$B$49</c:f>
              <c:strCache>
                <c:ptCount val="16"/>
                <c:pt idx="0">
                  <c:v>A</c:v>
                </c:pt>
                <c:pt idx="1">
                  <c:v>D</c:v>
                </c:pt>
                <c:pt idx="2">
                  <c:v>E</c:v>
                </c:pt>
                <c:pt idx="3">
                  <c:v>F</c:v>
                </c:pt>
                <c:pt idx="4">
                  <c:v>G</c:v>
                </c:pt>
                <c:pt idx="5">
                  <c:v>H</c:v>
                </c:pt>
                <c:pt idx="6">
                  <c:v>J</c:v>
                </c:pt>
                <c:pt idx="7">
                  <c:v>K</c:v>
                </c:pt>
                <c:pt idx="8">
                  <c:v>L</c:v>
                </c:pt>
                <c:pt idx="9">
                  <c:v>M</c:v>
                </c:pt>
                <c:pt idx="10">
                  <c:v>P</c:v>
                </c:pt>
                <c:pt idx="11">
                  <c:v>Q</c:v>
                </c:pt>
                <c:pt idx="12">
                  <c:v>T</c:v>
                </c:pt>
                <c:pt idx="13">
                  <c:v>X</c:v>
                </c:pt>
                <c:pt idx="14">
                  <c:v>Y</c:v>
                </c:pt>
                <c:pt idx="15">
                  <c:v>Z</c:v>
                </c:pt>
              </c:strCache>
            </c:strRef>
          </c:cat>
          <c:val>
            <c:numRef>
              <c:f>Sheet1!$D$34:$D$49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218</c:v>
                </c:pt>
                <c:pt idx="5">
                  <c:v>62</c:v>
                </c:pt>
                <c:pt idx="6">
                  <c:v>19</c:v>
                </c:pt>
                <c:pt idx="7">
                  <c:v>5</c:v>
                </c:pt>
                <c:pt idx="8">
                  <c:v>0</c:v>
                </c:pt>
                <c:pt idx="9">
                  <c:v>0</c:v>
                </c:pt>
                <c:pt idx="10">
                  <c:v>24</c:v>
                </c:pt>
                <c:pt idx="11">
                  <c:v>2</c:v>
                </c:pt>
                <c:pt idx="12">
                  <c:v>14</c:v>
                </c:pt>
                <c:pt idx="13">
                  <c:v>14</c:v>
                </c:pt>
                <c:pt idx="14">
                  <c:v>21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27E-4193-AE8E-C83DA4F354A1}"/>
            </c:ext>
          </c:extLst>
        </c:ser>
        <c:ser>
          <c:idx val="2"/>
          <c:order val="2"/>
          <c:tx>
            <c:strRef>
              <c:f>Sheet1!$E$33</c:f>
              <c:strCache>
                <c:ptCount val="1"/>
                <c:pt idx="0">
                  <c:v>PSLDFs received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1.2364106492006388E-2"/>
                  <c:y val="-2.2082695824159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27E-4193-AE8E-C83DA4F354A1}"/>
                </c:ext>
              </c:extLst>
            </c:dLbl>
            <c:dLbl>
              <c:idx val="12"/>
              <c:layout>
                <c:manualLayout>
                  <c:x val="2.215820961666297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27E-4193-AE8E-C83DA4F354A1}"/>
                </c:ext>
              </c:extLst>
            </c:dLbl>
            <c:dLbl>
              <c:idx val="13"/>
              <c:layout>
                <c:manualLayout>
                  <c:x val="7.0998817455510373E-3"/>
                  <c:y val="-1.4908684308609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27E-4193-AE8E-C83DA4F354A1}"/>
                </c:ext>
              </c:extLst>
            </c:dLbl>
            <c:dLbl>
              <c:idx val="14"/>
              <c:layout>
                <c:manualLayout>
                  <c:x val="7.326007326007326E-3"/>
                  <c:y val="-1.4908684308609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27E-4193-AE8E-C83DA4F354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Sheet1!$B$34:$B$49</c:f>
              <c:strCache>
                <c:ptCount val="16"/>
                <c:pt idx="0">
                  <c:v>A</c:v>
                </c:pt>
                <c:pt idx="1">
                  <c:v>D</c:v>
                </c:pt>
                <c:pt idx="2">
                  <c:v>E</c:v>
                </c:pt>
                <c:pt idx="3">
                  <c:v>F</c:v>
                </c:pt>
                <c:pt idx="4">
                  <c:v>G</c:v>
                </c:pt>
                <c:pt idx="5">
                  <c:v>H</c:v>
                </c:pt>
                <c:pt idx="6">
                  <c:v>J</c:v>
                </c:pt>
                <c:pt idx="7">
                  <c:v>K</c:v>
                </c:pt>
                <c:pt idx="8">
                  <c:v>L</c:v>
                </c:pt>
                <c:pt idx="9">
                  <c:v>M</c:v>
                </c:pt>
                <c:pt idx="10">
                  <c:v>P</c:v>
                </c:pt>
                <c:pt idx="11">
                  <c:v>Q</c:v>
                </c:pt>
                <c:pt idx="12">
                  <c:v>T</c:v>
                </c:pt>
                <c:pt idx="13">
                  <c:v>X</c:v>
                </c:pt>
                <c:pt idx="14">
                  <c:v>Y</c:v>
                </c:pt>
                <c:pt idx="15">
                  <c:v>Z</c:v>
                </c:pt>
              </c:strCache>
            </c:strRef>
          </c:cat>
          <c:val>
            <c:numRef>
              <c:f>Sheet1!$E$34:$E$49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6</c:v>
                </c:pt>
                <c:pt idx="4">
                  <c:v>173</c:v>
                </c:pt>
                <c:pt idx="5">
                  <c:v>95</c:v>
                </c:pt>
                <c:pt idx="6">
                  <c:v>32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21</c:v>
                </c:pt>
                <c:pt idx="11">
                  <c:v>2</c:v>
                </c:pt>
                <c:pt idx="12">
                  <c:v>0</c:v>
                </c:pt>
                <c:pt idx="13">
                  <c:v>12</c:v>
                </c:pt>
                <c:pt idx="14">
                  <c:v>20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27E-4193-AE8E-C83DA4F354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8047696"/>
        <c:axId val="478048256"/>
      </c:barChart>
      <c:catAx>
        <c:axId val="47804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8048256"/>
        <c:crosses val="autoZero"/>
        <c:auto val="1"/>
        <c:lblAlgn val="ctr"/>
        <c:lblOffset val="100"/>
        <c:noMultiLvlLbl val="0"/>
      </c:catAx>
      <c:valAx>
        <c:axId val="47804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804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6FCF85BD5B4A139C970D6AC390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43ED-C850-4420-B85C-F6CF31EA24A5}"/>
      </w:docPartPr>
      <w:docPartBody>
        <w:p w:rsidR="006E2D4D" w:rsidRDefault="00843FFB" w:rsidP="00843FFB">
          <w:pPr>
            <w:pStyle w:val="4F6FCF85BD5B4A139C970D6AC39075CE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CE3C335EF889499A955557418FBA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70C6E-CE28-4B7E-B675-81708DD7CCE6}"/>
      </w:docPartPr>
      <w:docPartBody>
        <w:p w:rsidR="00000000" w:rsidRDefault="00BD5C21" w:rsidP="00BD5C21">
          <w:pPr>
            <w:pStyle w:val="CE3C335EF889499A955557418FBA0BA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D214419C395D41C9B765E66BA1294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D1C0B-D218-4F0B-A939-234119A53F34}"/>
      </w:docPartPr>
      <w:docPartBody>
        <w:p w:rsidR="00000000" w:rsidRDefault="00BD5C21" w:rsidP="00BD5C21">
          <w:pPr>
            <w:pStyle w:val="D214419C395D41C9B765E66BA1294896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FB"/>
    <w:rsid w:val="000F3408"/>
    <w:rsid w:val="00247969"/>
    <w:rsid w:val="00441B36"/>
    <w:rsid w:val="006E2D4D"/>
    <w:rsid w:val="00843FFB"/>
    <w:rsid w:val="0089769B"/>
    <w:rsid w:val="00BD5C21"/>
    <w:rsid w:val="00FA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C21"/>
    <w:rPr>
      <w:rFonts w:ascii="Times New Roman" w:hAnsi="Times New Roman"/>
      <w:color w:val="808080"/>
    </w:rPr>
  </w:style>
  <w:style w:type="paragraph" w:customStyle="1" w:styleId="4F6FCF85BD5B4A139C970D6AC39075CE">
    <w:name w:val="4F6FCF85BD5B4A139C970D6AC39075CE"/>
    <w:rsid w:val="00843FFB"/>
  </w:style>
  <w:style w:type="paragraph" w:customStyle="1" w:styleId="CE3C335EF889499A955557418FBA0BA0">
    <w:name w:val="CE3C335EF889499A955557418FBA0BA0"/>
    <w:rsid w:val="00BD5C21"/>
  </w:style>
  <w:style w:type="paragraph" w:customStyle="1" w:styleId="D214419C395D41C9B765E66BA1294896">
    <w:name w:val="D214419C395D41C9B765E66BA1294896"/>
    <w:rsid w:val="00BD5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578</Words>
  <Characters>2822</Characters>
  <Application>Microsoft Office Word</Application>
  <DocSecurity>0</DocSecurity>
  <Lines>256</Lines>
  <Paragraphs>226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Statistics on ITU-T Recommendations and patent declarations</vt:lpstr>
      <vt:lpstr/>
    </vt:vector>
  </TitlesOfParts>
  <Manager>ITU-T</Manager>
  <Company>International Telecommunication Union (ITU)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on ITU-T Recommendations and patent declarations</dc:title>
  <dc:subject/>
  <dc:creator>TSB</dc:creator>
  <cp:keywords>Intellectual property; IPR; licensing; patent statements.</cp:keywords>
  <dc:description>TSAG-TD241  For: Geneva, 26 February - 2 March 2018_x000d_Document date: _x000d_Saved by ITU51011769 at 10:02:45 on 30/01/2018</dc:description>
  <cp:lastModifiedBy>Al-Mnini, Lara</cp:lastModifiedBy>
  <cp:revision>3</cp:revision>
  <cp:lastPrinted>2018-01-26T10:06:00Z</cp:lastPrinted>
  <dcterms:created xsi:type="dcterms:W3CDTF">2018-01-30T09:07:00Z</dcterms:created>
  <dcterms:modified xsi:type="dcterms:W3CDTF">2018-01-30T09:35:00Z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TSAG-TD241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26 February - 2 March 2018</vt:lpwstr>
  </property>
  <property fmtid="{D5CDD505-2E9C-101B-9397-08002B2CF9AE}" pid="7" name="Docauthor">
    <vt:lpwstr>TSB</vt:lpwstr>
  </property>
</Properties>
</file>