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B31230" w:rsidRPr="00026180" w:rsidTr="000844C4">
        <w:trPr>
          <w:cantSplit/>
          <w:jc w:val="center"/>
        </w:trPr>
        <w:tc>
          <w:tcPr>
            <w:tcW w:w="1191" w:type="dxa"/>
            <w:vMerge w:val="restart"/>
          </w:tcPr>
          <w:p w:rsidR="00B31230" w:rsidRPr="00026180" w:rsidRDefault="001356D9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31230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>
                  <wp:extent cx="647700" cy="831850"/>
                  <wp:effectExtent l="0" t="0" r="0" b="0"/>
                  <wp:docPr id="1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B31230" w:rsidRPr="00026180" w:rsidRDefault="00B31230" w:rsidP="00CD428C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CD428C"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389</w:t>
            </w:r>
          </w:p>
        </w:tc>
      </w:tr>
      <w:bookmarkEnd w:id="0"/>
      <w:tr w:rsidR="00B31230" w:rsidRPr="00026180" w:rsidTr="000844C4">
        <w:trPr>
          <w:cantSplit/>
          <w:jc w:val="center"/>
        </w:trPr>
        <w:tc>
          <w:tcPr>
            <w:tcW w:w="1191" w:type="dxa"/>
            <w:vMerge/>
          </w:tcPr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B31230" w:rsidRPr="00026180" w:rsidTr="000844C4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B31230" w:rsidRPr="00026180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31230" w:rsidRPr="000844C4" w:rsidTr="000844C4">
        <w:trPr>
          <w:cantSplit/>
          <w:jc w:val="center"/>
        </w:trPr>
        <w:tc>
          <w:tcPr>
            <w:tcW w:w="1617" w:type="dxa"/>
            <w:gridSpan w:val="3"/>
          </w:tcPr>
          <w:p w:rsidR="00B31230" w:rsidRPr="000844C4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084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B31230" w:rsidRPr="000844C4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844C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B31230" w:rsidRPr="000844C4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844C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Geneva, 10-14 December 2018</w:t>
            </w:r>
          </w:p>
        </w:tc>
      </w:tr>
      <w:tr w:rsidR="00B31230" w:rsidRPr="000844C4" w:rsidTr="000844C4">
        <w:trPr>
          <w:cantSplit/>
          <w:jc w:val="center"/>
        </w:trPr>
        <w:tc>
          <w:tcPr>
            <w:tcW w:w="9923" w:type="dxa"/>
            <w:gridSpan w:val="6"/>
          </w:tcPr>
          <w:p w:rsidR="00B31230" w:rsidRPr="000844C4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5" w:name="dtitle" w:colFirst="0" w:colLast="0"/>
            <w:bookmarkEnd w:id="3"/>
            <w:bookmarkEnd w:id="4"/>
            <w:r w:rsidRPr="00084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31230" w:rsidRPr="000844C4" w:rsidTr="000844C4">
        <w:trPr>
          <w:cantSplit/>
          <w:jc w:val="center"/>
        </w:trPr>
        <w:tc>
          <w:tcPr>
            <w:tcW w:w="1617" w:type="dxa"/>
            <w:gridSpan w:val="3"/>
          </w:tcPr>
          <w:p w:rsidR="00B31230" w:rsidRPr="000844C4" w:rsidRDefault="00B31230" w:rsidP="00B312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6" w:name="dsource" w:colFirst="1" w:colLast="1"/>
            <w:bookmarkEnd w:id="5"/>
            <w:r w:rsidRPr="00084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B31230" w:rsidRPr="000844C4" w:rsidRDefault="001356D9" w:rsidP="00B31230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B31230" w:rsidRPr="000844C4" w:rsidTr="000844C4">
        <w:trPr>
          <w:cantSplit/>
          <w:jc w:val="center"/>
        </w:trPr>
        <w:tc>
          <w:tcPr>
            <w:tcW w:w="1617" w:type="dxa"/>
            <w:gridSpan w:val="3"/>
          </w:tcPr>
          <w:p w:rsidR="00B31230" w:rsidRPr="000844C4" w:rsidRDefault="00B31230" w:rsidP="00B312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6"/>
            <w:r w:rsidRPr="00084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B31230" w:rsidRPr="000844C4" w:rsidRDefault="00131537" w:rsidP="00B31230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Clarification on the use of errata</w:t>
            </w:r>
          </w:p>
        </w:tc>
      </w:tr>
      <w:tr w:rsidR="00B31230" w:rsidRPr="000844C4" w:rsidTr="000844C4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B31230" w:rsidRPr="000844C4" w:rsidRDefault="00B31230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8" w:name="dpurpose" w:colFirst="1" w:colLast="1"/>
            <w:bookmarkEnd w:id="7"/>
            <w:r w:rsidRPr="00084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31230" w:rsidRPr="000844C4" w:rsidRDefault="001356D9" w:rsidP="000844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Information</w:t>
            </w:r>
          </w:p>
        </w:tc>
      </w:tr>
      <w:bookmarkEnd w:id="2"/>
      <w:bookmarkEnd w:id="8"/>
      <w:tr w:rsidR="00B31230" w:rsidRPr="000844C4" w:rsidTr="000844C4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31230" w:rsidRPr="000844C4" w:rsidRDefault="00B31230" w:rsidP="00B312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084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31230" w:rsidRPr="000844C4" w:rsidRDefault="00AD199D" w:rsidP="00754CC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Anibal Cabrera</w:t>
            </w:r>
            <w:r w:rsidR="00754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TSB Editor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B31230" w:rsidRPr="000844C4" w:rsidRDefault="001356D9" w:rsidP="00754CCF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Tel.: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</w:r>
            <w:r w:rsidR="00AD199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+4122 7306371</w:t>
            </w:r>
            <w:r w:rsidR="00B31230" w:rsidRPr="000844C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br/>
              <w:t>Email:</w:t>
            </w:r>
            <w:r w:rsidR="00B31230" w:rsidRPr="000844C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</w:r>
            <w:r w:rsidR="00B31230" w:rsidRPr="000844C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hyperlink r:id="rId9" w:history="1">
              <w:r w:rsidR="00AD199D" w:rsidRPr="003046D7">
                <w:rPr>
                  <w:rStyle w:val="Hyperlink"/>
                  <w:rFonts w:ascii="Times New Roman" w:eastAsia="Malgun Gothic" w:hAnsi="Times New Roman" w:cs="Times New Roman"/>
                  <w:sz w:val="24"/>
                  <w:szCs w:val="24"/>
                  <w:lang w:eastAsia="ko-KR"/>
                </w:rPr>
                <w:t>anibal.cabrera@itu.int</w:t>
              </w:r>
            </w:hyperlink>
            <w:r w:rsidR="00AD199D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:rsidR="00B31230" w:rsidRPr="000844C4" w:rsidRDefault="00B31230" w:rsidP="00B312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B31230" w:rsidRPr="000844C4" w:rsidTr="000844C4">
        <w:trPr>
          <w:cantSplit/>
          <w:jc w:val="center"/>
        </w:trPr>
        <w:tc>
          <w:tcPr>
            <w:tcW w:w="1617" w:type="dxa"/>
          </w:tcPr>
          <w:p w:rsidR="00B31230" w:rsidRPr="000844C4" w:rsidRDefault="00B31230" w:rsidP="000844C4">
            <w:pPr>
              <w:spacing w:before="12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6" w:type="dxa"/>
          </w:tcPr>
          <w:p w:rsidR="00B31230" w:rsidRPr="000844C4" w:rsidRDefault="001356D9" w:rsidP="00754CCF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r w:rsidR="00754CCF">
              <w:rPr>
                <w:rFonts w:ascii="Times New Roman" w:hAnsi="Times New Roman" w:cs="Times New Roman"/>
                <w:sz w:val="24"/>
                <w:szCs w:val="24"/>
              </w:rPr>
              <w:t>; erratum;</w:t>
            </w:r>
            <w:bookmarkStart w:id="9" w:name="_GoBack"/>
            <w:bookmarkEnd w:id="9"/>
          </w:p>
        </w:tc>
      </w:tr>
      <w:tr w:rsidR="00B31230" w:rsidRPr="000844C4" w:rsidTr="000844C4">
        <w:trPr>
          <w:cantSplit/>
          <w:jc w:val="center"/>
        </w:trPr>
        <w:tc>
          <w:tcPr>
            <w:tcW w:w="1617" w:type="dxa"/>
          </w:tcPr>
          <w:p w:rsidR="00B31230" w:rsidRPr="000844C4" w:rsidRDefault="00B31230" w:rsidP="000844C4">
            <w:pPr>
              <w:spacing w:before="12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6" w:type="dxa"/>
          </w:tcPr>
          <w:p w:rsidR="00B31230" w:rsidRPr="000844C4" w:rsidRDefault="001356D9" w:rsidP="00F64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TSB provides clarification on the scope and publication of errata to 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T </w:t>
            </w:r>
            <w:r w:rsidR="00CC7C84">
              <w:rPr>
                <w:rFonts w:ascii="Times New Roman" w:hAnsi="Times New Roman" w:cs="Times New Roman"/>
                <w:sz w:val="24"/>
                <w:szCs w:val="24"/>
              </w:rPr>
              <w:t>Recommendations, and clarifies the difference between an erratum</w:t>
            </w:r>
            <w:r w:rsidR="00F64C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C84">
              <w:rPr>
                <w:rFonts w:ascii="Times New Roman" w:hAnsi="Times New Roman" w:cs="Times New Roman"/>
                <w:sz w:val="24"/>
                <w:szCs w:val="24"/>
              </w:rPr>
              <w:t xml:space="preserve"> a corrigendum</w:t>
            </w:r>
            <w:r w:rsidR="00F64CB2">
              <w:rPr>
                <w:rFonts w:ascii="Times New Roman" w:hAnsi="Times New Roman" w:cs="Times New Roman"/>
                <w:sz w:val="24"/>
                <w:szCs w:val="24"/>
              </w:rPr>
              <w:t xml:space="preserve"> and an implementer’s guide</w:t>
            </w:r>
            <w:r w:rsidR="00CC7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56D9" w:rsidRDefault="009E088E" w:rsidP="001356D9">
      <w:pPr>
        <w:rPr>
          <w:rFonts w:ascii="Times New Roman" w:hAnsi="Times New Roman" w:cs="Times New Roman"/>
          <w:bCs/>
          <w:sz w:val="24"/>
          <w:szCs w:val="24"/>
        </w:rPr>
      </w:pPr>
      <w:r w:rsidRPr="000844C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356D9" w:rsidRPr="00423A3C">
        <w:rPr>
          <w:rFonts w:ascii="Times New Roman" w:hAnsi="Times New Roman" w:cs="Times New Roman"/>
          <w:bCs/>
          <w:sz w:val="24"/>
          <w:szCs w:val="24"/>
        </w:rPr>
        <w:t xml:space="preserve">Further to </w:t>
      </w:r>
      <w:r w:rsidR="001356D9">
        <w:rPr>
          <w:rFonts w:ascii="Times New Roman" w:hAnsi="Times New Roman" w:cs="Times New Roman"/>
          <w:bCs/>
          <w:sz w:val="24"/>
          <w:szCs w:val="24"/>
        </w:rPr>
        <w:t xml:space="preserve">TSAG </w:t>
      </w:r>
      <w:hyperlink r:id="rId10" w:history="1">
        <w:r w:rsidR="001356D9" w:rsidRPr="00423A3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Contribution 51</w:t>
        </w:r>
      </w:hyperlink>
      <w:r w:rsidR="001356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56D9" w:rsidRPr="00423A3C">
        <w:rPr>
          <w:rFonts w:ascii="Times New Roman" w:hAnsi="Times New Roman" w:cs="Times New Roman"/>
          <w:bCs/>
          <w:i/>
          <w:sz w:val="24"/>
          <w:szCs w:val="24"/>
        </w:rPr>
        <w:t>Proposal on discussion points for “Erratum”</w:t>
      </w:r>
      <w:r w:rsidR="001356D9">
        <w:rPr>
          <w:rFonts w:ascii="Times New Roman" w:hAnsi="Times New Roman" w:cs="Times New Roman"/>
          <w:bCs/>
          <w:sz w:val="24"/>
          <w:szCs w:val="24"/>
        </w:rPr>
        <w:t xml:space="preserve">, TSB would like to clarify that, in the context of </w:t>
      </w:r>
      <w:r w:rsidR="008105D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356D9">
        <w:rPr>
          <w:rFonts w:ascii="Times New Roman" w:hAnsi="Times New Roman" w:cs="Times New Roman"/>
          <w:bCs/>
          <w:sz w:val="24"/>
          <w:szCs w:val="24"/>
        </w:rPr>
        <w:t xml:space="preserve">editing and publication of Recommendations, errata are </w:t>
      </w:r>
      <w:r w:rsidR="0063385A">
        <w:rPr>
          <w:rFonts w:ascii="Times New Roman" w:hAnsi="Times New Roman" w:cs="Times New Roman"/>
          <w:bCs/>
          <w:sz w:val="24"/>
          <w:szCs w:val="24"/>
        </w:rPr>
        <w:t xml:space="preserve">documents that contain corrections to </w:t>
      </w:r>
      <w:r w:rsidR="001356D9">
        <w:rPr>
          <w:rFonts w:ascii="Times New Roman" w:hAnsi="Times New Roman" w:cs="Times New Roman"/>
          <w:bCs/>
          <w:sz w:val="24"/>
          <w:szCs w:val="24"/>
        </w:rPr>
        <w:t xml:space="preserve">editorial errors, mainly typos, introduced in the text of a Recommendation after the Recommendation has been approved by the membership. </w:t>
      </w:r>
    </w:p>
    <w:p w:rsidR="001356D9" w:rsidRDefault="001356D9" w:rsidP="001356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they contain corrections to errors introduced after approval, errata are published by TSB without further approval from the membership</w:t>
      </w:r>
      <w:r w:rsidR="0063385A">
        <w:rPr>
          <w:rFonts w:ascii="Times New Roman" w:hAnsi="Times New Roman" w:cs="Times New Roman"/>
          <w:bCs/>
          <w:sz w:val="24"/>
          <w:szCs w:val="24"/>
        </w:rPr>
        <w:t xml:space="preserve">, and would in principle not require to be defined within the </w:t>
      </w:r>
      <w:r w:rsidR="00F42CCC">
        <w:rPr>
          <w:rFonts w:ascii="Times New Roman" w:hAnsi="Times New Roman" w:cs="Times New Roman"/>
          <w:bCs/>
          <w:sz w:val="24"/>
          <w:szCs w:val="24"/>
        </w:rPr>
        <w:t xml:space="preserve">Recommendation </w:t>
      </w:r>
      <w:r w:rsidR="0063385A">
        <w:rPr>
          <w:rFonts w:ascii="Times New Roman" w:hAnsi="Times New Roman" w:cs="Times New Roman"/>
          <w:bCs/>
          <w:sz w:val="24"/>
          <w:szCs w:val="24"/>
        </w:rPr>
        <w:t>approval process.</w:t>
      </w:r>
    </w:p>
    <w:p w:rsidR="001356D9" w:rsidRDefault="001356D9" w:rsidP="001356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opposed to errata, corrigenda contain corrections to the text as approved by the membership. That is, they correct errors that were present in the Recommendation before approval. Approval of a corrigendum is done in accordance </w:t>
      </w:r>
      <w:r w:rsidR="00F64CB2">
        <w:rPr>
          <w:rFonts w:ascii="Times New Roman" w:hAnsi="Times New Roman" w:cs="Times New Roman"/>
          <w:bCs/>
          <w:sz w:val="24"/>
          <w:szCs w:val="24"/>
        </w:rPr>
        <w:t>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clause 1.8.2.5 of Recommendation </w:t>
      </w:r>
      <w:hyperlink r:id="rId11" w:history="1">
        <w:r w:rsidRPr="009D41B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ITU</w:t>
        </w:r>
        <w:r w:rsidRPr="009D41B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noBreakHyphen/>
          <w:t>T A.1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43C1" w:rsidRDefault="000643C1" w:rsidP="000643C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Implementer’s guides, on the other hand, contain a list of defects identified by a study group</w:t>
      </w:r>
      <w:r w:rsidR="00F42CCC">
        <w:rPr>
          <w:rFonts w:ascii="Times New Roman" w:hAnsi="Times New Roman" w:cs="Times New Roman"/>
          <w:bCs/>
          <w:sz w:val="24"/>
          <w:szCs w:val="24"/>
        </w:rPr>
        <w:t xml:space="preserve"> to a Recommendation or set of Recommendations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2CCC">
        <w:rPr>
          <w:rFonts w:ascii="Times New Roman" w:hAnsi="Times New Roman" w:cs="Times New Roman"/>
          <w:bCs/>
          <w:sz w:val="24"/>
          <w:szCs w:val="24"/>
        </w:rPr>
        <w:t xml:space="preserve">and which the study group collect with the intention of either issuing a corrigendum or correcting </w:t>
      </w:r>
      <w:r w:rsidR="007B720D">
        <w:rPr>
          <w:rFonts w:ascii="Times New Roman" w:hAnsi="Times New Roman" w:cs="Times New Roman"/>
          <w:bCs/>
          <w:sz w:val="24"/>
          <w:szCs w:val="24"/>
        </w:rPr>
        <w:t xml:space="preserve">them </w:t>
      </w:r>
      <w:r w:rsidR="00F42CCC">
        <w:rPr>
          <w:rFonts w:ascii="Times New Roman" w:hAnsi="Times New Roman" w:cs="Times New Roman"/>
          <w:bCs/>
          <w:sz w:val="24"/>
          <w:szCs w:val="24"/>
        </w:rPr>
        <w:t xml:space="preserve">in a </w:t>
      </w:r>
      <w:r w:rsidR="007B720D">
        <w:rPr>
          <w:rFonts w:ascii="Times New Roman" w:hAnsi="Times New Roman" w:cs="Times New Roman"/>
          <w:bCs/>
          <w:sz w:val="24"/>
          <w:szCs w:val="24"/>
        </w:rPr>
        <w:t xml:space="preserve">future </w:t>
      </w:r>
      <w:r w:rsidR="00F42CCC">
        <w:rPr>
          <w:rFonts w:ascii="Times New Roman" w:hAnsi="Times New Roman" w:cs="Times New Roman"/>
          <w:bCs/>
          <w:sz w:val="24"/>
          <w:szCs w:val="24"/>
        </w:rPr>
        <w:t xml:space="preserve">revision of the Recommendation. Implementer’s guides, and their use, are described </w:t>
      </w:r>
      <w:r>
        <w:rPr>
          <w:rFonts w:ascii="Times New Roman" w:hAnsi="Times New Roman" w:cs="Times New Roman"/>
          <w:bCs/>
          <w:sz w:val="24"/>
          <w:szCs w:val="24"/>
        </w:rPr>
        <w:t>in clause 1.8.2.6 of ITU-T A.1</w:t>
      </w:r>
      <w:r w:rsidR="00F42CCC">
        <w:rPr>
          <w:rFonts w:ascii="Times New Roman" w:hAnsi="Times New Roman" w:cs="Times New Roman"/>
          <w:bCs/>
          <w:sz w:val="24"/>
          <w:szCs w:val="24"/>
        </w:rPr>
        <w:t>.</w:t>
      </w:r>
    </w:p>
    <w:p w:rsidR="00E97D05" w:rsidRDefault="00E97D05" w:rsidP="00E97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E6" w:rsidRPr="007516E6" w:rsidRDefault="002C5E16" w:rsidP="007C58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en-US"/>
        </w:rPr>
      </w:pPr>
      <w:r w:rsidRPr="00055CDC">
        <w:rPr>
          <w:rFonts w:ascii="Times New Roman" w:hAnsi="Times New Roman" w:cs="Times New Roman"/>
          <w:sz w:val="24"/>
          <w:szCs w:val="24"/>
        </w:rPr>
        <w:t>____________________</w:t>
      </w:r>
      <w:r w:rsidR="00B31230">
        <w:rPr>
          <w:rFonts w:ascii="Times New Roman" w:hAnsi="Times New Roman" w:cs="Times New Roman"/>
          <w:sz w:val="24"/>
          <w:szCs w:val="24"/>
        </w:rPr>
        <w:t>__</w:t>
      </w:r>
    </w:p>
    <w:p w:rsidR="00E97D05" w:rsidRPr="00055CDC" w:rsidRDefault="00E97D05" w:rsidP="00E97D05">
      <w:pPr>
        <w:rPr>
          <w:rFonts w:ascii="Times New Roman" w:hAnsi="Times New Roman" w:cs="Times New Roman"/>
          <w:sz w:val="24"/>
          <w:szCs w:val="24"/>
        </w:rPr>
      </w:pPr>
    </w:p>
    <w:sectPr w:rsidR="00E97D05" w:rsidRPr="00055CDC" w:rsidSect="00B31230">
      <w:headerReference w:type="default" r:id="rId12"/>
      <w:pgSz w:w="11906" w:h="16838" w:code="1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81" w:rsidRDefault="00C74881" w:rsidP="00C4479D">
      <w:pPr>
        <w:spacing w:after="0" w:line="240" w:lineRule="auto"/>
      </w:pPr>
      <w:r>
        <w:separator/>
      </w:r>
    </w:p>
  </w:endnote>
  <w:endnote w:type="continuationSeparator" w:id="0">
    <w:p w:rsidR="00C74881" w:rsidRDefault="00C74881" w:rsidP="00C4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81" w:rsidRDefault="00C74881" w:rsidP="00C4479D">
      <w:pPr>
        <w:spacing w:after="0" w:line="240" w:lineRule="auto"/>
      </w:pPr>
      <w:r>
        <w:separator/>
      </w:r>
    </w:p>
  </w:footnote>
  <w:footnote w:type="continuationSeparator" w:id="0">
    <w:p w:rsidR="00C74881" w:rsidRDefault="00C74881" w:rsidP="00C4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16" w:rsidRPr="00B31230" w:rsidRDefault="00B31230" w:rsidP="00B31230">
    <w:pPr>
      <w:pStyle w:val="Header"/>
      <w:jc w:val="center"/>
      <w:rPr>
        <w:rFonts w:ascii="Times New Roman" w:hAnsi="Times New Roman" w:cs="Times New Roman"/>
        <w:sz w:val="18"/>
      </w:rPr>
    </w:pPr>
    <w:r w:rsidRPr="00B31230">
      <w:rPr>
        <w:rFonts w:ascii="Times New Roman" w:hAnsi="Times New Roman" w:cs="Times New Roman"/>
        <w:sz w:val="18"/>
      </w:rPr>
      <w:t xml:space="preserve">- </w:t>
    </w:r>
    <w:r w:rsidRPr="00B31230">
      <w:rPr>
        <w:rFonts w:ascii="Times New Roman" w:hAnsi="Times New Roman" w:cs="Times New Roman"/>
        <w:sz w:val="18"/>
      </w:rPr>
      <w:fldChar w:fldCharType="begin"/>
    </w:r>
    <w:r w:rsidRPr="00B31230">
      <w:rPr>
        <w:rFonts w:ascii="Times New Roman" w:hAnsi="Times New Roman" w:cs="Times New Roman"/>
        <w:sz w:val="18"/>
      </w:rPr>
      <w:instrText xml:space="preserve"> PAGE  \* MERGEFORMAT </w:instrText>
    </w:r>
    <w:r w:rsidRPr="00B31230">
      <w:rPr>
        <w:rFonts w:ascii="Times New Roman" w:hAnsi="Times New Roman" w:cs="Times New Roman"/>
        <w:sz w:val="18"/>
      </w:rPr>
      <w:fldChar w:fldCharType="separate"/>
    </w:r>
    <w:r w:rsidR="001356D9">
      <w:rPr>
        <w:rFonts w:ascii="Times New Roman" w:hAnsi="Times New Roman" w:cs="Times New Roman"/>
        <w:noProof/>
        <w:sz w:val="18"/>
      </w:rPr>
      <w:t>2</w:t>
    </w:r>
    <w:r w:rsidRPr="00B31230">
      <w:rPr>
        <w:rFonts w:ascii="Times New Roman" w:hAnsi="Times New Roman" w:cs="Times New Roman"/>
        <w:sz w:val="18"/>
      </w:rPr>
      <w:fldChar w:fldCharType="end"/>
    </w:r>
    <w:r w:rsidRPr="00B31230">
      <w:rPr>
        <w:rFonts w:ascii="Times New Roman" w:hAnsi="Times New Roman" w:cs="Times New Roman"/>
        <w:sz w:val="18"/>
      </w:rPr>
      <w:t xml:space="preserve"> -</w:t>
    </w:r>
  </w:p>
  <w:p w:rsidR="00B31230" w:rsidRPr="00B31230" w:rsidRDefault="00B31230" w:rsidP="00B31230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TSAG-TD388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6BF"/>
    <w:multiLevelType w:val="hybridMultilevel"/>
    <w:tmpl w:val="EBB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59E9"/>
    <w:multiLevelType w:val="hybridMultilevel"/>
    <w:tmpl w:val="234A2E0A"/>
    <w:lvl w:ilvl="0" w:tplc="83F24E24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2BA"/>
    <w:multiLevelType w:val="hybridMultilevel"/>
    <w:tmpl w:val="C2B04F1E"/>
    <w:lvl w:ilvl="0" w:tplc="627ECFC8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9D"/>
    <w:rsid w:val="000104E8"/>
    <w:rsid w:val="00015442"/>
    <w:rsid w:val="00054095"/>
    <w:rsid w:val="00055CDC"/>
    <w:rsid w:val="0006115E"/>
    <w:rsid w:val="000643C1"/>
    <w:rsid w:val="000844C4"/>
    <w:rsid w:val="00086AA2"/>
    <w:rsid w:val="000A73DB"/>
    <w:rsid w:val="000B6A5A"/>
    <w:rsid w:val="000C53A7"/>
    <w:rsid w:val="000D66DA"/>
    <w:rsid w:val="00111548"/>
    <w:rsid w:val="001269A7"/>
    <w:rsid w:val="00131537"/>
    <w:rsid w:val="00134BE4"/>
    <w:rsid w:val="001356D9"/>
    <w:rsid w:val="001662E2"/>
    <w:rsid w:val="001728E3"/>
    <w:rsid w:val="001932F9"/>
    <w:rsid w:val="001B709B"/>
    <w:rsid w:val="001F1304"/>
    <w:rsid w:val="00200EF5"/>
    <w:rsid w:val="002028B7"/>
    <w:rsid w:val="002335EB"/>
    <w:rsid w:val="00261B10"/>
    <w:rsid w:val="00286AD5"/>
    <w:rsid w:val="0029515F"/>
    <w:rsid w:val="00295FF6"/>
    <w:rsid w:val="002C3AE2"/>
    <w:rsid w:val="002C5AC5"/>
    <w:rsid w:val="002C5E16"/>
    <w:rsid w:val="002F0039"/>
    <w:rsid w:val="00337FD5"/>
    <w:rsid w:val="003415F5"/>
    <w:rsid w:val="003553BA"/>
    <w:rsid w:val="003769B9"/>
    <w:rsid w:val="003A6174"/>
    <w:rsid w:val="003F1DD9"/>
    <w:rsid w:val="003F4F64"/>
    <w:rsid w:val="00424574"/>
    <w:rsid w:val="00444725"/>
    <w:rsid w:val="004667D9"/>
    <w:rsid w:val="004A1A4E"/>
    <w:rsid w:val="004B12F4"/>
    <w:rsid w:val="004B54A8"/>
    <w:rsid w:val="004C540F"/>
    <w:rsid w:val="00503565"/>
    <w:rsid w:val="00505CDD"/>
    <w:rsid w:val="00526762"/>
    <w:rsid w:val="00532885"/>
    <w:rsid w:val="00572013"/>
    <w:rsid w:val="00584EBA"/>
    <w:rsid w:val="00594DB1"/>
    <w:rsid w:val="00602800"/>
    <w:rsid w:val="0063385A"/>
    <w:rsid w:val="006379BB"/>
    <w:rsid w:val="00665C9D"/>
    <w:rsid w:val="00684BE4"/>
    <w:rsid w:val="006927B1"/>
    <w:rsid w:val="006C2029"/>
    <w:rsid w:val="006C4D3F"/>
    <w:rsid w:val="006C58A8"/>
    <w:rsid w:val="006E5560"/>
    <w:rsid w:val="006F7975"/>
    <w:rsid w:val="007048FD"/>
    <w:rsid w:val="00720E33"/>
    <w:rsid w:val="007516E6"/>
    <w:rsid w:val="00754CCF"/>
    <w:rsid w:val="00761F00"/>
    <w:rsid w:val="00785D7A"/>
    <w:rsid w:val="007A0C1F"/>
    <w:rsid w:val="007B720D"/>
    <w:rsid w:val="007C456C"/>
    <w:rsid w:val="007C589D"/>
    <w:rsid w:val="007C5FF0"/>
    <w:rsid w:val="007D6C7E"/>
    <w:rsid w:val="00801EEF"/>
    <w:rsid w:val="008105D6"/>
    <w:rsid w:val="008154F8"/>
    <w:rsid w:val="0087078B"/>
    <w:rsid w:val="00881D45"/>
    <w:rsid w:val="00890DB4"/>
    <w:rsid w:val="008B4F4A"/>
    <w:rsid w:val="008C3D5F"/>
    <w:rsid w:val="008C5E8A"/>
    <w:rsid w:val="008D42EC"/>
    <w:rsid w:val="008E65FD"/>
    <w:rsid w:val="008F1927"/>
    <w:rsid w:val="00901E7B"/>
    <w:rsid w:val="00932DB7"/>
    <w:rsid w:val="00943B3E"/>
    <w:rsid w:val="009464EF"/>
    <w:rsid w:val="00950949"/>
    <w:rsid w:val="00960BBD"/>
    <w:rsid w:val="009638A1"/>
    <w:rsid w:val="009A67D7"/>
    <w:rsid w:val="009B6941"/>
    <w:rsid w:val="009E088E"/>
    <w:rsid w:val="009E618D"/>
    <w:rsid w:val="00A02590"/>
    <w:rsid w:val="00A05B12"/>
    <w:rsid w:val="00A11B12"/>
    <w:rsid w:val="00A2367F"/>
    <w:rsid w:val="00A51E2B"/>
    <w:rsid w:val="00A55406"/>
    <w:rsid w:val="00AA2166"/>
    <w:rsid w:val="00AB533E"/>
    <w:rsid w:val="00AD199D"/>
    <w:rsid w:val="00AD7466"/>
    <w:rsid w:val="00AD757F"/>
    <w:rsid w:val="00B04058"/>
    <w:rsid w:val="00B24B0F"/>
    <w:rsid w:val="00B31230"/>
    <w:rsid w:val="00B40A54"/>
    <w:rsid w:val="00B44A1A"/>
    <w:rsid w:val="00B73262"/>
    <w:rsid w:val="00B916BF"/>
    <w:rsid w:val="00BB5003"/>
    <w:rsid w:val="00BC3AA4"/>
    <w:rsid w:val="00BE62D3"/>
    <w:rsid w:val="00C011D0"/>
    <w:rsid w:val="00C0621B"/>
    <w:rsid w:val="00C4479D"/>
    <w:rsid w:val="00C5590C"/>
    <w:rsid w:val="00C6359B"/>
    <w:rsid w:val="00C74881"/>
    <w:rsid w:val="00CB03A0"/>
    <w:rsid w:val="00CC66EE"/>
    <w:rsid w:val="00CC70FE"/>
    <w:rsid w:val="00CC7C84"/>
    <w:rsid w:val="00CD2BAA"/>
    <w:rsid w:val="00CD428C"/>
    <w:rsid w:val="00CE1EF6"/>
    <w:rsid w:val="00D44946"/>
    <w:rsid w:val="00D46F5F"/>
    <w:rsid w:val="00D562BE"/>
    <w:rsid w:val="00D6595F"/>
    <w:rsid w:val="00D659D7"/>
    <w:rsid w:val="00DC16BA"/>
    <w:rsid w:val="00DC1902"/>
    <w:rsid w:val="00DD4255"/>
    <w:rsid w:val="00DD65A5"/>
    <w:rsid w:val="00DE65C4"/>
    <w:rsid w:val="00DF36DD"/>
    <w:rsid w:val="00DF57E5"/>
    <w:rsid w:val="00E0251F"/>
    <w:rsid w:val="00E05AA3"/>
    <w:rsid w:val="00E05BEA"/>
    <w:rsid w:val="00E06D0A"/>
    <w:rsid w:val="00E1440B"/>
    <w:rsid w:val="00E16588"/>
    <w:rsid w:val="00E42BC5"/>
    <w:rsid w:val="00E577ED"/>
    <w:rsid w:val="00E61A79"/>
    <w:rsid w:val="00E66641"/>
    <w:rsid w:val="00E75F94"/>
    <w:rsid w:val="00E97D05"/>
    <w:rsid w:val="00EA5650"/>
    <w:rsid w:val="00EC6E7B"/>
    <w:rsid w:val="00EC7E8B"/>
    <w:rsid w:val="00ED6772"/>
    <w:rsid w:val="00EF064A"/>
    <w:rsid w:val="00EF4C3E"/>
    <w:rsid w:val="00F04DED"/>
    <w:rsid w:val="00F15182"/>
    <w:rsid w:val="00F42831"/>
    <w:rsid w:val="00F42CCC"/>
    <w:rsid w:val="00F575FF"/>
    <w:rsid w:val="00F633F2"/>
    <w:rsid w:val="00F64CB2"/>
    <w:rsid w:val="00F7034C"/>
    <w:rsid w:val="00F71689"/>
    <w:rsid w:val="00F85036"/>
    <w:rsid w:val="00F85331"/>
    <w:rsid w:val="00F85953"/>
    <w:rsid w:val="00FB51E5"/>
    <w:rsid w:val="00FE4CE6"/>
    <w:rsid w:val="00FE5A30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0F3B48"/>
  <w15:chartTrackingRefBased/>
  <w15:docId w15:val="{09E0C440-FBA8-44F9-877B-C063935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65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47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79D"/>
  </w:style>
  <w:style w:type="paragraph" w:styleId="Footer">
    <w:name w:val="footer"/>
    <w:basedOn w:val="Normal"/>
    <w:link w:val="FooterChar"/>
    <w:uiPriority w:val="99"/>
    <w:unhideWhenUsed/>
    <w:rsid w:val="00C4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79D"/>
  </w:style>
  <w:style w:type="paragraph" w:styleId="ListParagraph">
    <w:name w:val="List Paragraph"/>
    <w:basedOn w:val="Normal"/>
    <w:uiPriority w:val="34"/>
    <w:qFormat/>
    <w:rsid w:val="004667D9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11548"/>
    <w:rPr>
      <w:color w:val="800080"/>
      <w:u w:val="single"/>
    </w:rPr>
  </w:style>
  <w:style w:type="paragraph" w:customStyle="1" w:styleId="Default">
    <w:name w:val="Default"/>
    <w:rsid w:val="00E05A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h21">
    <w:name w:val="h21"/>
    <w:rsid w:val="00E05BEA"/>
    <w:rPr>
      <w:b/>
      <w:bCs/>
      <w:color w:val="3366CC"/>
      <w:sz w:val="36"/>
      <w:szCs w:val="36"/>
    </w:rPr>
  </w:style>
  <w:style w:type="character" w:styleId="Strong">
    <w:name w:val="Strong"/>
    <w:uiPriority w:val="22"/>
    <w:qFormat/>
    <w:rsid w:val="00E1440B"/>
    <w:rPr>
      <w:b/>
      <w:bCs/>
    </w:rPr>
  </w:style>
  <w:style w:type="paragraph" w:customStyle="1" w:styleId="Call">
    <w:name w:val="Call"/>
    <w:basedOn w:val="Normal"/>
    <w:next w:val="Normal"/>
    <w:link w:val="CallChar"/>
    <w:uiPriority w:val="99"/>
    <w:rsid w:val="00881D4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80" w:lineRule="exact"/>
      <w:ind w:left="794"/>
      <w:textAlignment w:val="baseline"/>
    </w:pPr>
    <w:rPr>
      <w:rFonts w:ascii="Times New Roman" w:eastAsia="Times New Roman" w:hAnsi="Times New Roman" w:cs="Times New Roman"/>
      <w:i/>
      <w:szCs w:val="20"/>
      <w:lang w:val="fr-FR" w:eastAsia="en-US"/>
    </w:rPr>
  </w:style>
  <w:style w:type="character" w:customStyle="1" w:styleId="CallChar">
    <w:name w:val="Call Char"/>
    <w:link w:val="Call"/>
    <w:uiPriority w:val="99"/>
    <w:rsid w:val="00881D45"/>
    <w:rPr>
      <w:rFonts w:ascii="Times New Roman" w:eastAsia="Times New Roman" w:hAnsi="Times New Roman" w:cs="Times New Roman"/>
      <w:i/>
      <w:sz w:val="22"/>
      <w:lang w:val="fr-FR" w:eastAsia="en-US"/>
    </w:rPr>
  </w:style>
  <w:style w:type="paragraph" w:customStyle="1" w:styleId="ResNo">
    <w:name w:val="Res_No"/>
    <w:basedOn w:val="Normal"/>
    <w:next w:val="Normal"/>
    <w:link w:val="ResNoChar"/>
    <w:rsid w:val="007516E6"/>
    <w:pPr>
      <w:keepNext/>
      <w:keepLines/>
      <w:overflowPunct w:val="0"/>
      <w:autoSpaceDE w:val="0"/>
      <w:autoSpaceDN w:val="0"/>
      <w:adjustRightInd w:val="0"/>
      <w:spacing w:after="0" w:line="280" w:lineRule="exact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fr-FR" w:eastAsia="en-US"/>
    </w:rPr>
  </w:style>
  <w:style w:type="character" w:customStyle="1" w:styleId="ResNoChar">
    <w:name w:val="Res_No Char"/>
    <w:link w:val="ResNo"/>
    <w:rsid w:val="007516E6"/>
    <w:rPr>
      <w:rFonts w:ascii="Times New Roman" w:eastAsia="Times New Roman" w:hAnsi="Times New Roman" w:cs="Times New Roman"/>
      <w:caps/>
      <w:sz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6E6"/>
    <w:rPr>
      <w:rFonts w:ascii="Tahoma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01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72013"/>
    <w:rPr>
      <w:lang w:val="en-US"/>
    </w:rPr>
  </w:style>
  <w:style w:type="character" w:styleId="FootnoteReference">
    <w:name w:val="footnote reference"/>
    <w:uiPriority w:val="99"/>
    <w:semiHidden/>
    <w:unhideWhenUsed/>
    <w:rsid w:val="00572013"/>
    <w:rPr>
      <w:vertAlign w:val="superscript"/>
    </w:rPr>
  </w:style>
  <w:style w:type="paragraph" w:customStyle="1" w:styleId="Docnumber">
    <w:name w:val="Docnumber"/>
    <w:basedOn w:val="Normal"/>
    <w:link w:val="DocnumberChar"/>
    <w:qFormat/>
    <w:rsid w:val="00B312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link w:val="Docnumber"/>
    <w:rsid w:val="00B31230"/>
    <w:rPr>
      <w:rFonts w:ascii="Times New Roman" w:eastAsia="Times New Roman" w:hAnsi="Times New Roman" w:cs="Times New Roman"/>
      <w:b/>
      <w:bCs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A.1-201610-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TSAG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bal.cabrera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A4F6-04D2-4AE3-AEDE-1EDDAC0E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Clarification on the use of errata</vt:lpstr>
    </vt:vector>
  </TitlesOfParts>
  <Manager>ITU-T</Manager>
  <Company>International Telecommunication Union (ITU)</Company>
  <LinksUpToDate>false</LinksUpToDate>
  <CharactersWithSpaces>2020</CharactersWithSpaces>
  <SharedDoc>false</SharedDoc>
  <HLinks>
    <vt:vector size="42" baseType="variant">
      <vt:variant>
        <vt:i4>5111818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https://www.itu.int/en/ITU-T/committees/scv/Documents/SCV-TD 93.docx</vt:lpwstr>
      </vt:variant>
      <vt:variant>
        <vt:lpwstr/>
      </vt:variant>
      <vt:variant>
        <vt:i4>5177352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https://www.itu.int/en/ITU-T/committees/scv/Documents/SCV-TD 81.docx</vt:lpwstr>
      </vt:variant>
      <vt:variant>
        <vt:lpwstr/>
      </vt:variant>
      <vt:variant>
        <vt:i4>7536701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https://www.itu.int/md/S17-CL-C-0127/en</vt:lpwstr>
      </vt:variant>
      <vt:variant>
        <vt:lpwstr/>
      </vt:variant>
      <vt:variant>
        <vt:i4>7733369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https://www.itu.int/pub/T-RES-T.67-2016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http://www.itu.int/pub/T-RES-T.67-2012/</vt:lpwstr>
      </vt:variant>
      <vt:variant>
        <vt:lpwstr/>
      </vt:variant>
      <vt:variant>
        <vt:i4>2621477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http://www.itu.int/publ/T-RES-T.67-2008/en</vt:lpwstr>
      </vt:variant>
      <vt:variant>
        <vt:lpwstr/>
      </vt:variant>
      <vt:variant>
        <vt:i4>7995404</vt:i4>
      </vt:variant>
      <vt:variant>
        <vt:i4>0</vt:i4>
      </vt:variant>
      <vt:variant>
        <vt:i4>0</vt:i4>
      </vt:variant>
      <vt:variant>
        <vt:i4>5</vt:i4>
      </vt:variant>
      <vt:variant>
        <vt:lpwstr>mailto:rym.belhaj@isetcom.tn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Clarification on the use of errata</dc:title>
  <dc:subject/>
  <dc:creator>TSB</dc:creator>
  <cp:keywords/>
  <dc:description>TSAG-TD389  For: Geneva, 10-14 December 2018_x000d_Document date: _x000d_Saved by ITU51011766 at 17:16:55 on 30/11/2018</dc:description>
  <cp:lastModifiedBy>Al-Mnini, Lara</cp:lastModifiedBy>
  <cp:revision>3</cp:revision>
  <cp:lastPrinted>2016-06-27T15:04:00Z</cp:lastPrinted>
  <dcterms:created xsi:type="dcterms:W3CDTF">2018-12-03T08:15:00Z</dcterms:created>
  <dcterms:modified xsi:type="dcterms:W3CDTF">2018-12-03T08:15:00Z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TSAG-TD389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