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3625"/>
        <w:gridCol w:w="145"/>
        <w:gridCol w:w="4536"/>
      </w:tblGrid>
      <w:tr w:rsidR="00ED1CDB" w:rsidRPr="00804EFA" w:rsidTr="00DF0620">
        <w:trPr>
          <w:cantSplit/>
        </w:trPr>
        <w:tc>
          <w:tcPr>
            <w:tcW w:w="1191" w:type="dxa"/>
            <w:vMerge w:val="restart"/>
          </w:tcPr>
          <w:p w:rsidR="00ED1CDB" w:rsidRPr="00804EFA" w:rsidRDefault="005C0618" w:rsidP="00804EFA">
            <w:pPr>
              <w:rPr>
                <w:sz w:val="20"/>
                <w:szCs w:val="20"/>
              </w:rPr>
            </w:pPr>
            <w:bookmarkStart w:id="0" w:name="dnum" w:colFirst="2" w:colLast="2"/>
            <w:bookmarkStart w:id="1" w:name="dsg" w:colFirst="1" w:colLast="1"/>
            <w:bookmarkStart w:id="2" w:name="dtableau"/>
            <w:r w:rsidRPr="00804EFA">
              <w:rPr>
                <w:noProof/>
                <w:sz w:val="20"/>
                <w:szCs w:val="20"/>
                <w:lang w:eastAsia="zh-CN"/>
              </w:rPr>
              <w:drawing>
                <wp:inline distT="0" distB="0" distL="0" distR="0">
                  <wp:extent cx="647700" cy="828675"/>
                  <wp:effectExtent l="0" t="0" r="0" b="0"/>
                  <wp:docPr id="1"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title="ITU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ED1CDB" w:rsidRPr="00804EFA" w:rsidRDefault="00ED1CDB" w:rsidP="00804EFA">
            <w:pPr>
              <w:rPr>
                <w:sz w:val="16"/>
                <w:szCs w:val="16"/>
              </w:rPr>
            </w:pPr>
            <w:r w:rsidRPr="00804EFA">
              <w:rPr>
                <w:sz w:val="16"/>
                <w:szCs w:val="16"/>
              </w:rPr>
              <w:t>INTERNATIONAL TELECOMMUNICATION UNION</w:t>
            </w:r>
          </w:p>
          <w:p w:rsidR="00ED1CDB" w:rsidRPr="00804EFA" w:rsidRDefault="00ED1CDB" w:rsidP="00804EFA">
            <w:pPr>
              <w:rPr>
                <w:b/>
                <w:bCs/>
                <w:sz w:val="26"/>
                <w:szCs w:val="26"/>
              </w:rPr>
            </w:pPr>
            <w:r w:rsidRPr="00804EFA">
              <w:rPr>
                <w:b/>
                <w:bCs/>
                <w:sz w:val="26"/>
                <w:szCs w:val="26"/>
              </w:rPr>
              <w:t>TELECOMMUNICATION</w:t>
            </w:r>
            <w:r w:rsidRPr="00804EFA">
              <w:rPr>
                <w:b/>
                <w:bCs/>
                <w:sz w:val="26"/>
                <w:szCs w:val="26"/>
              </w:rPr>
              <w:br/>
              <w:t>STANDARDIZATION SECTOR</w:t>
            </w:r>
          </w:p>
          <w:p w:rsidR="00ED1CDB" w:rsidRPr="00804EFA" w:rsidRDefault="00ED1CDB" w:rsidP="00804EFA">
            <w:pPr>
              <w:rPr>
                <w:sz w:val="20"/>
                <w:szCs w:val="20"/>
              </w:rPr>
            </w:pPr>
            <w:r w:rsidRPr="00804EFA">
              <w:rPr>
                <w:sz w:val="20"/>
                <w:szCs w:val="20"/>
              </w:rPr>
              <w:t xml:space="preserve">STUDY PERIOD </w:t>
            </w:r>
            <w:bookmarkStart w:id="3" w:name="dstudyperiod"/>
            <w:r w:rsidRPr="00804EFA">
              <w:rPr>
                <w:sz w:val="20"/>
                <w:szCs w:val="20"/>
              </w:rPr>
              <w:t>2017-2020</w:t>
            </w:r>
            <w:bookmarkEnd w:id="3"/>
          </w:p>
        </w:tc>
        <w:tc>
          <w:tcPr>
            <w:tcW w:w="4681" w:type="dxa"/>
            <w:gridSpan w:val="2"/>
            <w:vAlign w:val="center"/>
          </w:tcPr>
          <w:p w:rsidR="00ED1CDB" w:rsidRPr="005F1983" w:rsidRDefault="00E81B33" w:rsidP="00FC146E">
            <w:pPr>
              <w:pStyle w:val="Docnumber"/>
              <w:rPr>
                <w:sz w:val="32"/>
                <w:szCs w:val="32"/>
              </w:rPr>
            </w:pPr>
            <w:r w:rsidRPr="005F1983">
              <w:rPr>
                <w:sz w:val="32"/>
                <w:szCs w:val="32"/>
              </w:rPr>
              <w:t>TSAG-</w:t>
            </w:r>
            <w:r w:rsidR="00ED1CDB" w:rsidRPr="005F1983">
              <w:rPr>
                <w:sz w:val="32"/>
                <w:szCs w:val="32"/>
              </w:rPr>
              <w:t>TD</w:t>
            </w:r>
            <w:r w:rsidR="00FC146E">
              <w:rPr>
                <w:sz w:val="32"/>
                <w:szCs w:val="32"/>
              </w:rPr>
              <w:t>407</w:t>
            </w:r>
          </w:p>
        </w:tc>
      </w:tr>
      <w:bookmarkEnd w:id="0"/>
      <w:tr w:rsidR="00ED1CDB" w:rsidRPr="00804EFA" w:rsidTr="00DF0620">
        <w:trPr>
          <w:cantSplit/>
        </w:trPr>
        <w:tc>
          <w:tcPr>
            <w:tcW w:w="1191" w:type="dxa"/>
            <w:vMerge/>
          </w:tcPr>
          <w:p w:rsidR="00ED1CDB" w:rsidRPr="00804EFA" w:rsidRDefault="00ED1CDB" w:rsidP="00804EFA">
            <w:pPr>
              <w:rPr>
                <w:smallCaps/>
                <w:sz w:val="20"/>
              </w:rPr>
            </w:pPr>
          </w:p>
        </w:tc>
        <w:tc>
          <w:tcPr>
            <w:tcW w:w="4051" w:type="dxa"/>
            <w:gridSpan w:val="3"/>
            <w:vMerge/>
          </w:tcPr>
          <w:p w:rsidR="00ED1CDB" w:rsidRPr="00804EFA" w:rsidRDefault="00ED1CDB" w:rsidP="00804EFA">
            <w:pPr>
              <w:rPr>
                <w:smallCaps/>
                <w:sz w:val="20"/>
              </w:rPr>
            </w:pPr>
          </w:p>
        </w:tc>
        <w:tc>
          <w:tcPr>
            <w:tcW w:w="4681" w:type="dxa"/>
            <w:gridSpan w:val="2"/>
          </w:tcPr>
          <w:p w:rsidR="00ED1CDB" w:rsidRPr="00804EFA" w:rsidRDefault="00ED1CDB" w:rsidP="00804EFA">
            <w:pPr>
              <w:jc w:val="right"/>
              <w:rPr>
                <w:b/>
                <w:bCs/>
                <w:smallCaps/>
                <w:sz w:val="28"/>
                <w:szCs w:val="28"/>
              </w:rPr>
            </w:pPr>
            <w:r w:rsidRPr="00804EFA">
              <w:rPr>
                <w:b/>
                <w:bCs/>
                <w:smallCaps/>
                <w:sz w:val="28"/>
                <w:szCs w:val="28"/>
              </w:rPr>
              <w:t>TSAG</w:t>
            </w:r>
          </w:p>
        </w:tc>
      </w:tr>
      <w:tr w:rsidR="00ED1CDB" w:rsidRPr="00804EFA" w:rsidTr="00DF0620">
        <w:trPr>
          <w:cantSplit/>
        </w:trPr>
        <w:tc>
          <w:tcPr>
            <w:tcW w:w="1191" w:type="dxa"/>
            <w:vMerge/>
            <w:tcBorders>
              <w:bottom w:val="single" w:sz="12" w:space="0" w:color="auto"/>
            </w:tcBorders>
          </w:tcPr>
          <w:p w:rsidR="00ED1CDB" w:rsidRPr="00804EFA" w:rsidRDefault="00ED1CDB" w:rsidP="00804EFA">
            <w:pPr>
              <w:rPr>
                <w:b/>
                <w:bCs/>
                <w:sz w:val="26"/>
              </w:rPr>
            </w:pPr>
          </w:p>
        </w:tc>
        <w:tc>
          <w:tcPr>
            <w:tcW w:w="4051" w:type="dxa"/>
            <w:gridSpan w:val="3"/>
            <w:vMerge/>
            <w:tcBorders>
              <w:bottom w:val="single" w:sz="12" w:space="0" w:color="auto"/>
            </w:tcBorders>
          </w:tcPr>
          <w:p w:rsidR="00ED1CDB" w:rsidRPr="00804EFA" w:rsidRDefault="00ED1CDB" w:rsidP="00804EFA">
            <w:pPr>
              <w:rPr>
                <w:b/>
                <w:bCs/>
                <w:sz w:val="26"/>
              </w:rPr>
            </w:pPr>
          </w:p>
        </w:tc>
        <w:tc>
          <w:tcPr>
            <w:tcW w:w="4681" w:type="dxa"/>
            <w:gridSpan w:val="2"/>
            <w:tcBorders>
              <w:bottom w:val="single" w:sz="12" w:space="0" w:color="auto"/>
            </w:tcBorders>
            <w:vAlign w:val="center"/>
          </w:tcPr>
          <w:p w:rsidR="00ED1CDB" w:rsidRPr="00804EFA" w:rsidRDefault="00ED1CDB" w:rsidP="00804EFA">
            <w:pPr>
              <w:jc w:val="right"/>
              <w:rPr>
                <w:b/>
                <w:bCs/>
                <w:sz w:val="28"/>
                <w:szCs w:val="28"/>
              </w:rPr>
            </w:pPr>
            <w:r w:rsidRPr="00804EFA">
              <w:rPr>
                <w:b/>
                <w:bCs/>
                <w:sz w:val="28"/>
                <w:szCs w:val="28"/>
              </w:rPr>
              <w:t>Original: English</w:t>
            </w:r>
          </w:p>
        </w:tc>
      </w:tr>
      <w:tr w:rsidR="00ED1CDB" w:rsidRPr="00804EFA" w:rsidTr="00DF0620">
        <w:trPr>
          <w:cantSplit/>
        </w:trPr>
        <w:tc>
          <w:tcPr>
            <w:tcW w:w="1617" w:type="dxa"/>
            <w:gridSpan w:val="3"/>
          </w:tcPr>
          <w:p w:rsidR="00ED1CDB" w:rsidRPr="00804EFA" w:rsidRDefault="00ED1CDB" w:rsidP="00804EFA">
            <w:pPr>
              <w:rPr>
                <w:b/>
                <w:bCs/>
              </w:rPr>
            </w:pPr>
            <w:bookmarkStart w:id="4" w:name="dbluepink" w:colFirst="1" w:colLast="1"/>
            <w:bookmarkStart w:id="5" w:name="dmeeting" w:colFirst="2" w:colLast="2"/>
            <w:bookmarkEnd w:id="1"/>
            <w:r w:rsidRPr="00804EFA">
              <w:rPr>
                <w:b/>
                <w:bCs/>
              </w:rPr>
              <w:t>Question(s):</w:t>
            </w:r>
          </w:p>
        </w:tc>
        <w:tc>
          <w:tcPr>
            <w:tcW w:w="3625" w:type="dxa"/>
          </w:tcPr>
          <w:p w:rsidR="00ED1CDB" w:rsidRPr="00804EFA" w:rsidRDefault="00ED1CDB" w:rsidP="00804EFA">
            <w:r w:rsidRPr="00804EFA">
              <w:t>N/A</w:t>
            </w:r>
          </w:p>
        </w:tc>
        <w:tc>
          <w:tcPr>
            <w:tcW w:w="4681" w:type="dxa"/>
            <w:gridSpan w:val="2"/>
          </w:tcPr>
          <w:p w:rsidR="00ED1CDB" w:rsidRPr="00804EFA" w:rsidRDefault="00094E90" w:rsidP="00147334">
            <w:pPr>
              <w:jc w:val="right"/>
            </w:pPr>
            <w:r w:rsidRPr="00094E90">
              <w:t>Geneva,</w:t>
            </w:r>
            <w:r w:rsidR="00BA782B">
              <w:t xml:space="preserve"> 10-14 December 2018</w:t>
            </w:r>
          </w:p>
        </w:tc>
      </w:tr>
      <w:tr w:rsidR="00ED1CDB" w:rsidRPr="00804EFA" w:rsidTr="00DF0620">
        <w:trPr>
          <w:cantSplit/>
        </w:trPr>
        <w:tc>
          <w:tcPr>
            <w:tcW w:w="9923" w:type="dxa"/>
            <w:gridSpan w:val="6"/>
          </w:tcPr>
          <w:p w:rsidR="00ED1CDB" w:rsidRPr="00804EFA" w:rsidRDefault="00ED1CDB" w:rsidP="00804EFA">
            <w:pPr>
              <w:jc w:val="center"/>
              <w:rPr>
                <w:b/>
                <w:bCs/>
              </w:rPr>
            </w:pPr>
            <w:bookmarkStart w:id="6" w:name="ddoctype" w:colFirst="0" w:colLast="0"/>
            <w:bookmarkStart w:id="7" w:name="dtitle" w:colFirst="0" w:colLast="0"/>
            <w:bookmarkEnd w:id="4"/>
            <w:bookmarkEnd w:id="5"/>
            <w:r w:rsidRPr="00804EFA">
              <w:rPr>
                <w:b/>
                <w:bCs/>
              </w:rPr>
              <w:t>TD</w:t>
            </w:r>
          </w:p>
        </w:tc>
      </w:tr>
      <w:tr w:rsidR="00ED1CDB" w:rsidRPr="00804EFA" w:rsidTr="00DF0620">
        <w:trPr>
          <w:cantSplit/>
        </w:trPr>
        <w:tc>
          <w:tcPr>
            <w:tcW w:w="1617" w:type="dxa"/>
            <w:gridSpan w:val="3"/>
          </w:tcPr>
          <w:p w:rsidR="00ED1CDB" w:rsidRPr="00804EFA" w:rsidRDefault="00ED1CDB" w:rsidP="00804EFA">
            <w:pPr>
              <w:rPr>
                <w:b/>
                <w:bCs/>
              </w:rPr>
            </w:pPr>
            <w:bookmarkStart w:id="8" w:name="dsource" w:colFirst="1" w:colLast="1"/>
            <w:bookmarkEnd w:id="6"/>
            <w:bookmarkEnd w:id="7"/>
            <w:r w:rsidRPr="00804EFA">
              <w:rPr>
                <w:b/>
                <w:bCs/>
              </w:rPr>
              <w:t>Source:</w:t>
            </w:r>
          </w:p>
        </w:tc>
        <w:tc>
          <w:tcPr>
            <w:tcW w:w="8306" w:type="dxa"/>
            <w:gridSpan w:val="3"/>
          </w:tcPr>
          <w:p w:rsidR="00ED1CDB" w:rsidRPr="00804EFA" w:rsidRDefault="00E43BC4" w:rsidP="00804EFA">
            <w:r>
              <w:t>TSB</w:t>
            </w:r>
          </w:p>
        </w:tc>
      </w:tr>
      <w:tr w:rsidR="00ED1CDB" w:rsidRPr="00804EFA" w:rsidTr="00DF0620">
        <w:trPr>
          <w:cantSplit/>
        </w:trPr>
        <w:tc>
          <w:tcPr>
            <w:tcW w:w="1617" w:type="dxa"/>
            <w:gridSpan w:val="3"/>
          </w:tcPr>
          <w:p w:rsidR="00ED1CDB" w:rsidRPr="00804EFA" w:rsidRDefault="00ED1CDB" w:rsidP="00804EFA">
            <w:bookmarkStart w:id="9" w:name="dtitle1" w:colFirst="1" w:colLast="1"/>
            <w:bookmarkEnd w:id="8"/>
            <w:r w:rsidRPr="00804EFA">
              <w:rPr>
                <w:b/>
                <w:bCs/>
              </w:rPr>
              <w:t>Title:</w:t>
            </w:r>
          </w:p>
        </w:tc>
        <w:tc>
          <w:tcPr>
            <w:tcW w:w="8306" w:type="dxa"/>
            <w:gridSpan w:val="3"/>
          </w:tcPr>
          <w:p w:rsidR="00ED1CDB" w:rsidRPr="00804EFA" w:rsidRDefault="00E43BC4" w:rsidP="00804EFA">
            <w:r>
              <w:t>Implementation of Recommendations A.5 and A.6 for SAE International</w:t>
            </w:r>
          </w:p>
        </w:tc>
      </w:tr>
      <w:tr w:rsidR="00ED1CDB" w:rsidRPr="00804EFA" w:rsidTr="00DF0620">
        <w:trPr>
          <w:cantSplit/>
        </w:trPr>
        <w:tc>
          <w:tcPr>
            <w:tcW w:w="1617" w:type="dxa"/>
            <w:gridSpan w:val="3"/>
            <w:tcBorders>
              <w:bottom w:val="single" w:sz="8" w:space="0" w:color="auto"/>
            </w:tcBorders>
          </w:tcPr>
          <w:p w:rsidR="00ED1CDB" w:rsidRPr="00804EFA" w:rsidRDefault="00ED1CDB" w:rsidP="00804EFA">
            <w:pPr>
              <w:rPr>
                <w:b/>
                <w:bCs/>
              </w:rPr>
            </w:pPr>
            <w:bookmarkStart w:id="10" w:name="dpurpose" w:colFirst="1" w:colLast="1"/>
            <w:bookmarkEnd w:id="9"/>
            <w:r w:rsidRPr="00804EFA">
              <w:rPr>
                <w:b/>
                <w:bCs/>
              </w:rPr>
              <w:t>Purpose:</w:t>
            </w:r>
          </w:p>
        </w:tc>
        <w:tc>
          <w:tcPr>
            <w:tcW w:w="8306" w:type="dxa"/>
            <w:gridSpan w:val="3"/>
            <w:tcBorders>
              <w:bottom w:val="single" w:sz="8" w:space="0" w:color="auto"/>
            </w:tcBorders>
          </w:tcPr>
          <w:p w:rsidR="00ED1CDB" w:rsidRPr="00804EFA" w:rsidRDefault="00A46BFF" w:rsidP="00C13EFF">
            <w:r>
              <w:t xml:space="preserve">Information </w:t>
            </w:r>
          </w:p>
        </w:tc>
      </w:tr>
      <w:bookmarkEnd w:id="2"/>
      <w:bookmarkEnd w:id="10"/>
      <w:tr w:rsidR="00BD0A1E" w:rsidRPr="00804EFA" w:rsidTr="00ED1CDB">
        <w:trPr>
          <w:cantSplit/>
        </w:trPr>
        <w:tc>
          <w:tcPr>
            <w:tcW w:w="1607" w:type="dxa"/>
            <w:gridSpan w:val="2"/>
            <w:tcBorders>
              <w:top w:val="single" w:sz="8" w:space="0" w:color="auto"/>
              <w:bottom w:val="single" w:sz="8" w:space="0" w:color="auto"/>
            </w:tcBorders>
          </w:tcPr>
          <w:p w:rsidR="00BD0A1E" w:rsidRPr="00804EFA" w:rsidRDefault="00BD0A1E" w:rsidP="00804EFA">
            <w:pPr>
              <w:rPr>
                <w:b/>
                <w:bCs/>
              </w:rPr>
            </w:pPr>
            <w:r w:rsidRPr="00804EFA">
              <w:rPr>
                <w:b/>
                <w:bCs/>
              </w:rPr>
              <w:t>Contact:</w:t>
            </w:r>
          </w:p>
        </w:tc>
        <w:tc>
          <w:tcPr>
            <w:tcW w:w="3780" w:type="dxa"/>
            <w:gridSpan w:val="3"/>
            <w:tcBorders>
              <w:top w:val="single" w:sz="8" w:space="0" w:color="auto"/>
              <w:bottom w:val="single" w:sz="8" w:space="0" w:color="auto"/>
            </w:tcBorders>
          </w:tcPr>
          <w:p w:rsidR="00E43BC4" w:rsidRPr="00804EFA" w:rsidRDefault="00E43BC4" w:rsidP="00804EFA">
            <w:r>
              <w:t>TSB</w:t>
            </w:r>
          </w:p>
        </w:tc>
        <w:tc>
          <w:tcPr>
            <w:tcW w:w="4536" w:type="dxa"/>
            <w:tcBorders>
              <w:top w:val="single" w:sz="8" w:space="0" w:color="auto"/>
              <w:bottom w:val="single" w:sz="8" w:space="0" w:color="auto"/>
            </w:tcBorders>
          </w:tcPr>
          <w:p w:rsidR="00BD0A1E" w:rsidRPr="00804EFA" w:rsidRDefault="00BD0A1E" w:rsidP="00E43BC4">
            <w:r w:rsidRPr="00804EFA">
              <w:t xml:space="preserve">Tel: </w:t>
            </w:r>
            <w:r w:rsidR="00C13EFF">
              <w:t xml:space="preserve"> + 41 22 730 6226</w:t>
            </w:r>
            <w:r w:rsidRPr="00804EFA">
              <w:br/>
              <w:t xml:space="preserve">E-mail: </w:t>
            </w:r>
            <w:hyperlink r:id="rId9" w:history="1">
              <w:r w:rsidR="00FC146E" w:rsidRPr="0051496E">
                <w:rPr>
                  <w:rStyle w:val="Hyperlink"/>
                </w:rPr>
                <w:t>kaoru.mizuno@itu.int</w:t>
              </w:r>
            </w:hyperlink>
            <w:r w:rsidR="00FC146E">
              <w:t xml:space="preserve"> </w:t>
            </w:r>
          </w:p>
        </w:tc>
      </w:tr>
    </w:tbl>
    <w:p w:rsidR="00804EFA" w:rsidRPr="00804EFA" w:rsidRDefault="00804EFA"/>
    <w:tbl>
      <w:tblPr>
        <w:tblW w:w="9923" w:type="dxa"/>
        <w:tblLayout w:type="fixed"/>
        <w:tblCellMar>
          <w:left w:w="57" w:type="dxa"/>
          <w:right w:w="57" w:type="dxa"/>
        </w:tblCellMar>
        <w:tblLook w:val="0000" w:firstRow="0" w:lastRow="0" w:firstColumn="0" w:lastColumn="0" w:noHBand="0" w:noVBand="0"/>
      </w:tblPr>
      <w:tblGrid>
        <w:gridCol w:w="1641"/>
        <w:gridCol w:w="8282"/>
      </w:tblGrid>
      <w:tr w:rsidR="00BD0A1E" w:rsidRPr="00FC146E" w:rsidTr="00ED1CDB">
        <w:trPr>
          <w:cantSplit/>
        </w:trPr>
        <w:tc>
          <w:tcPr>
            <w:tcW w:w="1641" w:type="dxa"/>
          </w:tcPr>
          <w:p w:rsidR="00BD0A1E" w:rsidRPr="00804EFA" w:rsidRDefault="00BD0A1E" w:rsidP="00804EFA">
            <w:pPr>
              <w:spacing w:after="100" w:afterAutospacing="1"/>
              <w:rPr>
                <w:b/>
                <w:bCs/>
              </w:rPr>
            </w:pPr>
            <w:r w:rsidRPr="00804EFA">
              <w:rPr>
                <w:b/>
                <w:bCs/>
              </w:rPr>
              <w:t>Keywords:</w:t>
            </w:r>
          </w:p>
        </w:tc>
        <w:tc>
          <w:tcPr>
            <w:tcW w:w="8282" w:type="dxa"/>
          </w:tcPr>
          <w:p w:rsidR="00BD0A1E" w:rsidRPr="00E43BC4" w:rsidRDefault="00E43BC4" w:rsidP="00E43BC4">
            <w:pPr>
              <w:spacing w:after="100" w:afterAutospacing="1"/>
              <w:rPr>
                <w:lang w:val="fr-CH"/>
              </w:rPr>
            </w:pPr>
            <w:r w:rsidRPr="00E43BC4">
              <w:rPr>
                <w:lang w:val="fr-CH"/>
              </w:rPr>
              <w:t>ITU-T A.5; ITU-T A.6; SAE International</w:t>
            </w:r>
            <w:r w:rsidR="00FC146E">
              <w:rPr>
                <w:lang w:val="fr-CH"/>
              </w:rPr>
              <w:t>;</w:t>
            </w:r>
          </w:p>
        </w:tc>
      </w:tr>
      <w:tr w:rsidR="00BD0A1E" w:rsidRPr="00804EFA" w:rsidTr="00ED1CDB">
        <w:trPr>
          <w:cantSplit/>
        </w:trPr>
        <w:tc>
          <w:tcPr>
            <w:tcW w:w="1641" w:type="dxa"/>
          </w:tcPr>
          <w:p w:rsidR="00BD0A1E" w:rsidRPr="00804EFA" w:rsidRDefault="00BD0A1E" w:rsidP="00804EFA">
            <w:pPr>
              <w:spacing w:after="100" w:afterAutospacing="1"/>
              <w:rPr>
                <w:b/>
                <w:bCs/>
              </w:rPr>
            </w:pPr>
            <w:r w:rsidRPr="00804EFA">
              <w:rPr>
                <w:b/>
                <w:bCs/>
              </w:rPr>
              <w:t>Abstract:</w:t>
            </w:r>
          </w:p>
        </w:tc>
        <w:tc>
          <w:tcPr>
            <w:tcW w:w="8282" w:type="dxa"/>
          </w:tcPr>
          <w:p w:rsidR="00BD0A1E" w:rsidRPr="00804EFA" w:rsidRDefault="00242D8A" w:rsidP="00FC146E">
            <w:pPr>
              <w:spacing w:after="60"/>
            </w:pPr>
            <w:r w:rsidRPr="00EC6734">
              <w:t xml:space="preserve">TSB and ITU Legal Affairs Unit conducted an ITU-T </w:t>
            </w:r>
            <w:r>
              <w:t xml:space="preserve">A.5 and ITU-T </w:t>
            </w:r>
            <w:r w:rsidRPr="00EC6734">
              <w:t xml:space="preserve">A.6 qualification analysis for </w:t>
            </w:r>
            <w:r>
              <w:t xml:space="preserve">SAE International (SAE). </w:t>
            </w:r>
            <w:r w:rsidR="00591A48" w:rsidRPr="00EC6734">
              <w:t>The analysis was conducted based on the criteria listed in ITU-T A.6 Annex A</w:t>
            </w:r>
            <w:r w:rsidR="001008A3">
              <w:t>, and i</w:t>
            </w:r>
            <w:r w:rsidR="001008A3" w:rsidRPr="001008A3">
              <w:t>t was found that characteristics of SAE meet the qualifying criteria</w:t>
            </w:r>
            <w:r w:rsidR="001008A3">
              <w:t>.</w:t>
            </w:r>
            <w:r w:rsidR="00591A48">
              <w:t xml:space="preserve"> </w:t>
            </w:r>
            <w:r w:rsidR="00422B84">
              <w:t>According to</w:t>
            </w:r>
            <w:r>
              <w:t xml:space="preserve"> ITU-T </w:t>
            </w:r>
            <w:r w:rsidRPr="00322905">
              <w:t>A.6 §2.1.2</w:t>
            </w:r>
            <w:r w:rsidR="00422B84">
              <w:t xml:space="preserve"> item a)</w:t>
            </w:r>
            <w:r>
              <w:t>, the</w:t>
            </w:r>
            <w:r w:rsidRPr="00322905">
              <w:t xml:space="preserve"> Director of TSB</w:t>
            </w:r>
            <w:r>
              <w:t xml:space="preserve"> approve</w:t>
            </w:r>
            <w:r w:rsidR="001008A3">
              <w:t>d</w:t>
            </w:r>
            <w:r>
              <w:t xml:space="preserve"> SAE request of qualification under ITU-T A.6. By being qualified under ITU-T A.6, SAE is also qualified under ITU-T A.5.</w:t>
            </w:r>
          </w:p>
        </w:tc>
      </w:tr>
    </w:tbl>
    <w:p w:rsidR="00147334" w:rsidRDefault="00147334" w:rsidP="00322905"/>
    <w:p w:rsidR="008B76A8" w:rsidRDefault="00E43BC4" w:rsidP="00322905">
      <w:r w:rsidRPr="00EC6734">
        <w:t xml:space="preserve">TSB and ITU Legal Affairs Unit conducted an ITU-T </w:t>
      </w:r>
      <w:r>
        <w:t xml:space="preserve">A.5 and ITU-T </w:t>
      </w:r>
      <w:r w:rsidRPr="00EC6734">
        <w:t xml:space="preserve">A.6 qualification analysis for </w:t>
      </w:r>
      <w:r>
        <w:t>SAE International (SAE)</w:t>
      </w:r>
      <w:r w:rsidR="008B76A8">
        <w:t xml:space="preserve">. The qualification request was </w:t>
      </w:r>
      <w:r w:rsidR="008B76A8" w:rsidRPr="00BA782B">
        <w:t>made by SAE to</w:t>
      </w:r>
      <w:r w:rsidR="008B76A8">
        <w:t xml:space="preserve"> start</w:t>
      </w:r>
      <w:r w:rsidR="00322905">
        <w:t xml:space="preserve"> collaboration </w:t>
      </w:r>
      <w:r w:rsidR="008B76A8">
        <w:t xml:space="preserve">in the large context </w:t>
      </w:r>
      <w:r w:rsidR="00322905">
        <w:t xml:space="preserve">of ITU-T work and the CITS, as the result of the discussion </w:t>
      </w:r>
      <w:r w:rsidR="00242D8A">
        <w:t xml:space="preserve">on the possible collaboration agreement </w:t>
      </w:r>
      <w:r w:rsidR="00322905">
        <w:t>between SAE and TSB.</w:t>
      </w:r>
    </w:p>
    <w:p w:rsidR="008B76A8" w:rsidRDefault="00E43BC4" w:rsidP="00CD402F">
      <w:r w:rsidRPr="00EC6734">
        <w:t>The analysis was conducted based on the criteria listed in ITU-T A.6 Annex A</w:t>
      </w:r>
      <w:r w:rsidR="008B76A8">
        <w:t xml:space="preserve">, and the SAE </w:t>
      </w:r>
      <w:r w:rsidRPr="00EC6734">
        <w:t xml:space="preserve">Secretariat provided TSB with complementary information to clarify some matters on their characteristics. </w:t>
      </w:r>
      <w:r w:rsidR="00BA782B">
        <w:t>Annex A</w:t>
      </w:r>
      <w:r w:rsidR="00242D8A">
        <w:t xml:space="preserve"> to this TD</w:t>
      </w:r>
      <w:r w:rsidR="00BA782B">
        <w:t xml:space="preserve"> shows the </w:t>
      </w:r>
      <w:r w:rsidR="00422B84">
        <w:t xml:space="preserve">SAE characteristics for the </w:t>
      </w:r>
      <w:r w:rsidR="00BA782B">
        <w:t>qualification analysis.</w:t>
      </w:r>
    </w:p>
    <w:p w:rsidR="00C04686" w:rsidRDefault="005E6931" w:rsidP="00BA782B">
      <w:r>
        <w:t xml:space="preserve">The analysis concluded that the qualifying criteria were met. </w:t>
      </w:r>
      <w:r w:rsidR="00322905">
        <w:t xml:space="preserve">According to </w:t>
      </w:r>
      <w:r w:rsidR="00422B84">
        <w:t xml:space="preserve">ITU-T </w:t>
      </w:r>
      <w:r w:rsidR="00322905" w:rsidRPr="00322905">
        <w:t>A.6 §2.1.2, item a)</w:t>
      </w:r>
      <w:r w:rsidR="00322905">
        <w:t xml:space="preserve">, </w:t>
      </w:r>
      <w:r w:rsidR="00322905" w:rsidRPr="00322905">
        <w:t>the Director of TSB</w:t>
      </w:r>
      <w:r w:rsidR="00322905">
        <w:t xml:space="preserve"> approved </w:t>
      </w:r>
      <w:r w:rsidR="00E91AED">
        <w:t xml:space="preserve">on 14 June 2018 </w:t>
      </w:r>
      <w:r w:rsidR="00322905">
        <w:t xml:space="preserve">SAE request of qualification under ITU-T A.6. </w:t>
      </w:r>
      <w:r w:rsidR="00C04686">
        <w:t xml:space="preserve">By being qualified under ITU-T A.6, SAE is also qualified under ITU-T A.5 (ITU-T A.5 </w:t>
      </w:r>
      <w:r w:rsidR="00C04686" w:rsidRPr="00322905">
        <w:t>§</w:t>
      </w:r>
      <w:r w:rsidR="00C04686">
        <w:t>7.1.1).</w:t>
      </w:r>
    </w:p>
    <w:p w:rsidR="00E43BC4" w:rsidRPr="00EC6734" w:rsidRDefault="00E43BC4" w:rsidP="00E43BC4">
      <w:pPr>
        <w:pStyle w:val="Headingb"/>
      </w:pPr>
      <w:r w:rsidRPr="00EC6734">
        <w:t>Conclusion</w:t>
      </w:r>
    </w:p>
    <w:p w:rsidR="00BA782B" w:rsidRDefault="00BA782B" w:rsidP="00242D8A">
      <w:r>
        <w:t>The</w:t>
      </w:r>
      <w:r w:rsidRPr="00322905">
        <w:t xml:space="preserve"> Director of TSB</w:t>
      </w:r>
      <w:r>
        <w:t xml:space="preserve"> approve</w:t>
      </w:r>
      <w:r w:rsidR="00E91AED">
        <w:t>d</w:t>
      </w:r>
      <w:r>
        <w:t xml:space="preserve"> SAE request of qualification under ITU-T A.6. By being qualified under ITU-T A.6, SAE is also qualified under ITU-T A.5.</w:t>
      </w:r>
    </w:p>
    <w:p w:rsidR="00E43BC4" w:rsidRDefault="00322905" w:rsidP="00422B84">
      <w:pPr>
        <w:rPr>
          <w:b/>
        </w:rPr>
      </w:pPr>
      <w:r>
        <w:t xml:space="preserve"> </w:t>
      </w:r>
    </w:p>
    <w:p w:rsidR="00A46BFF" w:rsidRPr="00A46BFF" w:rsidRDefault="00E43BC4" w:rsidP="00A46BFF">
      <w:pPr>
        <w:tabs>
          <w:tab w:val="left" w:pos="720"/>
        </w:tabs>
        <w:overflowPunct w:val="0"/>
        <w:autoSpaceDE w:val="0"/>
        <w:autoSpaceDN w:val="0"/>
        <w:adjustRightInd w:val="0"/>
        <w:textAlignment w:val="baseline"/>
        <w:rPr>
          <w:b/>
        </w:rPr>
      </w:pPr>
      <w:r>
        <w:rPr>
          <w:b/>
        </w:rPr>
        <w:t>Annex</w:t>
      </w:r>
      <w:r w:rsidR="00A46BFF" w:rsidRPr="00A46BFF">
        <w:rPr>
          <w:b/>
        </w:rPr>
        <w:t>: 1</w:t>
      </w:r>
    </w:p>
    <w:p w:rsidR="000932DE" w:rsidRPr="00E91AED" w:rsidRDefault="00E43BC4" w:rsidP="00B61E76">
      <w:pPr>
        <w:pStyle w:val="ListParagraph"/>
        <w:numPr>
          <w:ilvl w:val="0"/>
          <w:numId w:val="19"/>
        </w:numPr>
        <w:tabs>
          <w:tab w:val="left" w:pos="720"/>
        </w:tabs>
        <w:textAlignment w:val="baseline"/>
        <w:rPr>
          <w:lang w:val="en-US"/>
        </w:rPr>
        <w:sectPr w:rsidR="000932DE" w:rsidRPr="00E91AED" w:rsidSect="00ED1CDB">
          <w:headerReference w:type="even" r:id="rId10"/>
          <w:headerReference w:type="default" r:id="rId11"/>
          <w:footerReference w:type="even" r:id="rId12"/>
          <w:footerReference w:type="default" r:id="rId13"/>
          <w:headerReference w:type="first" r:id="rId14"/>
          <w:footerReference w:type="first" r:id="rId15"/>
          <w:pgSz w:w="11907" w:h="16840" w:code="9"/>
          <w:pgMar w:top="1417" w:right="1134" w:bottom="1417" w:left="1134" w:header="720" w:footer="720" w:gutter="0"/>
          <w:cols w:space="720"/>
          <w:titlePg/>
          <w:docGrid w:linePitch="326"/>
        </w:sectPr>
      </w:pPr>
      <w:r w:rsidRPr="00E91AED">
        <w:rPr>
          <w:lang w:val="en-US"/>
        </w:rPr>
        <w:t>ITU-T A.5 and A.6 qualification analysis for SAE</w:t>
      </w:r>
    </w:p>
    <w:p w:rsidR="000932DE" w:rsidRPr="00EC6734" w:rsidRDefault="000932DE" w:rsidP="000932DE">
      <w:pPr>
        <w:pStyle w:val="Heading1Centered"/>
      </w:pPr>
      <w:bookmarkStart w:id="11" w:name="AnnexA"/>
      <w:r w:rsidRPr="00EC6734">
        <w:lastRenderedPageBreak/>
        <w:t>Annex A</w:t>
      </w:r>
      <w:bookmarkEnd w:id="11"/>
      <w:r w:rsidRPr="00EC6734">
        <w:br/>
        <w:t xml:space="preserve">ITU-T A.5 and A.6 qualification analysis for </w:t>
      </w:r>
      <w:r>
        <w:t>SAE</w:t>
      </w:r>
    </w:p>
    <w:p w:rsidR="000932DE" w:rsidRDefault="000932DE" w:rsidP="000932DE">
      <w:r>
        <w:t>NOTE –all hyperlinks valid as of 2018-06-13.</w:t>
      </w:r>
    </w:p>
    <w:p w:rsidR="000932DE" w:rsidRPr="00EC6734" w:rsidRDefault="000932DE" w:rsidP="000932DE"/>
    <w:tbl>
      <w:tblPr>
        <w:tblW w:w="15160" w:type="dxa"/>
        <w:jc w:val="center"/>
        <w:tblLayout w:type="fixed"/>
        <w:tblLook w:val="04A0" w:firstRow="1" w:lastRow="0" w:firstColumn="1" w:lastColumn="0" w:noHBand="0" w:noVBand="1"/>
      </w:tblPr>
      <w:tblGrid>
        <w:gridCol w:w="2969"/>
        <w:gridCol w:w="4961"/>
        <w:gridCol w:w="7230"/>
      </w:tblGrid>
      <w:tr w:rsidR="000932DE" w:rsidRPr="00063D42" w:rsidTr="00EE3310">
        <w:trPr>
          <w:tblHeader/>
          <w:jc w:val="center"/>
        </w:trPr>
        <w:tc>
          <w:tcPr>
            <w:tcW w:w="2969" w:type="dxa"/>
            <w:tcBorders>
              <w:top w:val="single" w:sz="6" w:space="0" w:color="auto"/>
              <w:left w:val="single" w:sz="6" w:space="0" w:color="auto"/>
              <w:bottom w:val="single" w:sz="6" w:space="0" w:color="auto"/>
              <w:right w:val="single" w:sz="6" w:space="0" w:color="auto"/>
            </w:tcBorders>
            <w:vAlign w:val="center"/>
            <w:hideMark/>
          </w:tcPr>
          <w:p w:rsidR="000932DE" w:rsidRPr="00063D42" w:rsidRDefault="000932DE" w:rsidP="00EE3310">
            <w:pPr>
              <w:pStyle w:val="Tablehead"/>
              <w:rPr>
                <w:sz w:val="18"/>
                <w:szCs w:val="18"/>
              </w:rPr>
            </w:pPr>
            <w:r w:rsidRPr="00063D42">
              <w:rPr>
                <w:sz w:val="18"/>
                <w:szCs w:val="18"/>
              </w:rPr>
              <w:t>National or regional standards</w:t>
            </w:r>
            <w:r w:rsidRPr="00063D42">
              <w:rPr>
                <w:sz w:val="18"/>
                <w:szCs w:val="18"/>
              </w:rPr>
              <w:br/>
              <w:t>development organization attributes</w:t>
            </w:r>
          </w:p>
        </w:tc>
        <w:tc>
          <w:tcPr>
            <w:tcW w:w="4961" w:type="dxa"/>
            <w:tcBorders>
              <w:top w:val="single" w:sz="6" w:space="0" w:color="auto"/>
              <w:left w:val="nil"/>
              <w:bottom w:val="single" w:sz="6" w:space="0" w:color="auto"/>
              <w:right w:val="single" w:sz="6" w:space="0" w:color="auto"/>
            </w:tcBorders>
            <w:vAlign w:val="center"/>
            <w:hideMark/>
          </w:tcPr>
          <w:p w:rsidR="000932DE" w:rsidRPr="00063D42" w:rsidRDefault="000932DE" w:rsidP="00EE3310">
            <w:pPr>
              <w:pStyle w:val="Tablehead"/>
              <w:rPr>
                <w:sz w:val="18"/>
                <w:szCs w:val="18"/>
              </w:rPr>
            </w:pPr>
            <w:r w:rsidRPr="00063D42">
              <w:rPr>
                <w:sz w:val="18"/>
                <w:szCs w:val="18"/>
              </w:rPr>
              <w:t>Desired characteristics</w:t>
            </w:r>
          </w:p>
        </w:tc>
        <w:tc>
          <w:tcPr>
            <w:tcW w:w="7230" w:type="dxa"/>
            <w:tcBorders>
              <w:top w:val="single" w:sz="6" w:space="0" w:color="auto"/>
              <w:left w:val="nil"/>
              <w:bottom w:val="single" w:sz="6" w:space="0" w:color="auto"/>
              <w:right w:val="single" w:sz="6" w:space="0" w:color="auto"/>
            </w:tcBorders>
            <w:vAlign w:val="center"/>
          </w:tcPr>
          <w:p w:rsidR="000932DE" w:rsidRPr="00063D42" w:rsidRDefault="00FC146E" w:rsidP="00EE3310">
            <w:pPr>
              <w:pStyle w:val="Tablehead"/>
              <w:rPr>
                <w:sz w:val="18"/>
                <w:szCs w:val="18"/>
              </w:rPr>
            </w:pPr>
            <w:hyperlink r:id="rId16" w:history="1">
              <w:r w:rsidR="000932DE" w:rsidRPr="00063D42">
                <w:rPr>
                  <w:rStyle w:val="Hyperlink"/>
                  <w:sz w:val="18"/>
                  <w:szCs w:val="18"/>
                </w:rPr>
                <w:t>SAE</w:t>
              </w:r>
            </w:hyperlink>
            <w:r w:rsidR="000932DE" w:rsidRPr="00063D42">
              <w:rPr>
                <w:sz w:val="18"/>
                <w:szCs w:val="18"/>
              </w:rPr>
              <w:t xml:space="preserve"> characteristics</w:t>
            </w:r>
          </w:p>
        </w:tc>
      </w:tr>
      <w:tr w:rsidR="000932DE" w:rsidRPr="00063D42" w:rsidTr="00EE3310">
        <w:trPr>
          <w:jc w:val="center"/>
        </w:trPr>
        <w:tc>
          <w:tcPr>
            <w:tcW w:w="2969" w:type="dxa"/>
            <w:tcBorders>
              <w:top w:val="single" w:sz="6" w:space="0" w:color="auto"/>
              <w:left w:val="single" w:sz="6" w:space="0" w:color="auto"/>
              <w:bottom w:val="single" w:sz="6" w:space="0" w:color="auto"/>
              <w:right w:val="single" w:sz="6" w:space="0" w:color="auto"/>
            </w:tcBorders>
          </w:tcPr>
          <w:p w:rsidR="000932DE" w:rsidRPr="00063D42" w:rsidRDefault="000932DE" w:rsidP="00EE3310">
            <w:pPr>
              <w:pStyle w:val="Tabletext"/>
              <w:adjustRightInd/>
              <w:ind w:left="284" w:hanging="284"/>
              <w:rPr>
                <w:sz w:val="18"/>
                <w:szCs w:val="18"/>
              </w:rPr>
            </w:pPr>
            <w:r w:rsidRPr="00063D42">
              <w:rPr>
                <w:sz w:val="18"/>
                <w:szCs w:val="18"/>
              </w:rPr>
              <w:t>1)</w:t>
            </w:r>
            <w:r w:rsidRPr="00063D42">
              <w:rPr>
                <w:sz w:val="18"/>
                <w:szCs w:val="18"/>
              </w:rPr>
              <w:tab/>
              <w:t>Objectives/relationship of work to ITU</w:t>
            </w:r>
            <w:r w:rsidRPr="00063D42">
              <w:rPr>
                <w:sz w:val="18"/>
                <w:szCs w:val="18"/>
              </w:rPr>
              <w:noBreakHyphen/>
              <w:t>T work</w:t>
            </w:r>
          </w:p>
        </w:tc>
        <w:tc>
          <w:tcPr>
            <w:tcW w:w="4961" w:type="dxa"/>
            <w:tcBorders>
              <w:top w:val="single" w:sz="6" w:space="0" w:color="auto"/>
              <w:left w:val="nil"/>
              <w:bottom w:val="single" w:sz="6" w:space="0" w:color="auto"/>
              <w:right w:val="single" w:sz="6" w:space="0" w:color="auto"/>
            </w:tcBorders>
          </w:tcPr>
          <w:p w:rsidR="000932DE" w:rsidRPr="00063D42" w:rsidRDefault="000932DE" w:rsidP="00EE3310">
            <w:pPr>
              <w:pStyle w:val="Tabletext"/>
              <w:rPr>
                <w:sz w:val="18"/>
                <w:szCs w:val="18"/>
              </w:rPr>
            </w:pPr>
            <w:r w:rsidRPr="00063D42">
              <w:rPr>
                <w:sz w:val="18"/>
                <w:szCs w:val="18"/>
              </w:rPr>
              <w:t>Objectives should be the development, adoption and implementation of standards and the provision of input into international standards organizations, especially ITU</w:t>
            </w:r>
            <w:r w:rsidRPr="00063D42">
              <w:rPr>
                <w:sz w:val="18"/>
                <w:szCs w:val="18"/>
              </w:rPr>
              <w:noBreakHyphen/>
              <w:t>T.</w:t>
            </w:r>
          </w:p>
        </w:tc>
        <w:tc>
          <w:tcPr>
            <w:tcW w:w="7230" w:type="dxa"/>
            <w:tcBorders>
              <w:top w:val="single" w:sz="6" w:space="0" w:color="auto"/>
              <w:left w:val="nil"/>
              <w:bottom w:val="single" w:sz="6" w:space="0" w:color="auto"/>
              <w:right w:val="single" w:sz="6" w:space="0" w:color="auto"/>
            </w:tcBorders>
          </w:tcPr>
          <w:p w:rsidR="000932DE" w:rsidRPr="00063D42" w:rsidRDefault="000932DE" w:rsidP="00EE3310">
            <w:pPr>
              <w:pStyle w:val="Tabletext"/>
              <w:rPr>
                <w:rFonts w:asciiTheme="majorBidi" w:hAnsiTheme="majorBidi" w:cstheme="majorBidi"/>
                <w:sz w:val="18"/>
                <w:szCs w:val="18"/>
              </w:rPr>
            </w:pPr>
            <w:r w:rsidRPr="00063D42">
              <w:rPr>
                <w:rFonts w:asciiTheme="majorBidi" w:hAnsiTheme="majorBidi" w:cstheme="majorBidi"/>
                <w:sz w:val="18"/>
                <w:szCs w:val="18"/>
              </w:rPr>
              <w:t>The purposes of SAE International (herein called "SAE") are: (a) to advance the knowledge of the arts, sciences, standards, and engineering practices connected with the development, design, construction, and use of self-propelled machines, prime movers and related equipment (all herein collectively called "mechanisms"); (b) to preserve and improve the quality of life in the production and use of such mechanisms; (c) to maintain a library of publications; (d) to promote through meetings, lectures, courses, seminars and the presentation and discussion of scientific and engineering papers a better understanding of such mechanisms; (e) to develop technical and scientific reports, including engineering standards and recommended practices, in connection with the development, design, construction, use, and reuse of such mechanisms, and publish and distribute such reports for the benefit of mankind; and (f) generally to provide for or carry on such other activities as may be necessary, incidental, convenient, or desirable to accomplish fully the foregoing purposes. In pursuing such purposes, SAE shall not act so as to impair its eligibility for exemption under Section 501(c)(3) of the Internal Revenue Code of 1986, as amended. (10/03/2012)</w:t>
            </w:r>
          </w:p>
          <w:p w:rsidR="000932DE" w:rsidRPr="00063D42" w:rsidRDefault="000932DE" w:rsidP="00EE3310">
            <w:pPr>
              <w:pStyle w:val="Tabletext"/>
              <w:rPr>
                <w:rFonts w:asciiTheme="majorBidi" w:hAnsiTheme="majorBidi" w:cstheme="majorBidi"/>
                <w:sz w:val="18"/>
                <w:szCs w:val="18"/>
              </w:rPr>
            </w:pPr>
            <w:r w:rsidRPr="00063D42">
              <w:rPr>
                <w:rFonts w:asciiTheme="majorBidi" w:hAnsiTheme="majorBidi" w:cstheme="majorBidi"/>
                <w:sz w:val="18"/>
                <w:szCs w:val="18"/>
              </w:rPr>
              <w:t>(</w:t>
            </w:r>
            <w:hyperlink r:id="rId17" w:history="1">
              <w:r w:rsidRPr="00063D42">
                <w:rPr>
                  <w:rStyle w:val="Hyperlink"/>
                  <w:rFonts w:asciiTheme="majorBidi" w:hAnsiTheme="majorBidi" w:cstheme="majorBidi"/>
                  <w:sz w:val="18"/>
                  <w:szCs w:val="18"/>
                </w:rPr>
                <w:t>Byla</w:t>
              </w:r>
              <w:r>
                <w:rPr>
                  <w:rStyle w:val="Hyperlink"/>
                  <w:rFonts w:asciiTheme="majorBidi" w:hAnsiTheme="majorBidi" w:cstheme="majorBidi"/>
                  <w:sz w:val="18"/>
                  <w:szCs w:val="18"/>
                </w:rPr>
                <w:t>ws</w:t>
              </w:r>
            </w:hyperlink>
            <w:r w:rsidRPr="00063D42">
              <w:rPr>
                <w:rFonts w:asciiTheme="majorBidi" w:hAnsiTheme="majorBidi" w:cstheme="majorBidi"/>
                <w:sz w:val="18"/>
                <w:szCs w:val="18"/>
              </w:rPr>
              <w:t>)</w:t>
            </w:r>
          </w:p>
        </w:tc>
      </w:tr>
      <w:tr w:rsidR="000932DE" w:rsidRPr="00063D42" w:rsidTr="00EE3310">
        <w:trPr>
          <w:jc w:val="center"/>
        </w:trPr>
        <w:tc>
          <w:tcPr>
            <w:tcW w:w="2969" w:type="dxa"/>
            <w:tcBorders>
              <w:top w:val="single" w:sz="6" w:space="0" w:color="auto"/>
              <w:left w:val="single" w:sz="6" w:space="0" w:color="auto"/>
              <w:bottom w:val="single" w:sz="6" w:space="0" w:color="auto"/>
              <w:right w:val="single" w:sz="6" w:space="0" w:color="auto"/>
            </w:tcBorders>
          </w:tcPr>
          <w:p w:rsidR="000932DE" w:rsidRPr="00063D42" w:rsidRDefault="000932DE" w:rsidP="00EE3310">
            <w:pPr>
              <w:pStyle w:val="Tabletext"/>
              <w:rPr>
                <w:sz w:val="18"/>
                <w:szCs w:val="18"/>
              </w:rPr>
            </w:pPr>
            <w:r w:rsidRPr="00063D42">
              <w:rPr>
                <w:sz w:val="18"/>
                <w:szCs w:val="18"/>
              </w:rPr>
              <w:t>2)</w:t>
            </w:r>
            <w:r w:rsidRPr="00063D42">
              <w:rPr>
                <w:sz w:val="18"/>
                <w:szCs w:val="18"/>
              </w:rPr>
              <w:tab/>
              <w:t>Organization:</w:t>
            </w:r>
          </w:p>
          <w:p w:rsidR="000932DE" w:rsidRPr="00063D42" w:rsidRDefault="000932DE" w:rsidP="00EE3310">
            <w:pPr>
              <w:pStyle w:val="Tabletext"/>
              <w:spacing w:before="0" w:after="0"/>
              <w:rPr>
                <w:sz w:val="18"/>
                <w:szCs w:val="18"/>
              </w:rPr>
            </w:pPr>
            <w:r w:rsidRPr="00063D42">
              <w:rPr>
                <w:sz w:val="18"/>
                <w:szCs w:val="18"/>
              </w:rPr>
              <w:tab/>
              <w:t>–</w:t>
            </w:r>
            <w:r w:rsidRPr="00063D42">
              <w:rPr>
                <w:sz w:val="18"/>
                <w:szCs w:val="18"/>
              </w:rPr>
              <w:tab/>
              <w:t>legal status;</w:t>
            </w:r>
          </w:p>
          <w:p w:rsidR="000932DE" w:rsidRPr="00063D42" w:rsidRDefault="000932DE" w:rsidP="00EE3310">
            <w:pPr>
              <w:pStyle w:val="Tabletext"/>
              <w:spacing w:before="0" w:after="0"/>
              <w:rPr>
                <w:sz w:val="18"/>
                <w:szCs w:val="18"/>
              </w:rPr>
            </w:pPr>
            <w:r w:rsidRPr="00063D42">
              <w:rPr>
                <w:sz w:val="18"/>
                <w:szCs w:val="18"/>
              </w:rPr>
              <w:tab/>
              <w:t>–</w:t>
            </w:r>
            <w:r w:rsidRPr="00063D42">
              <w:rPr>
                <w:sz w:val="18"/>
                <w:szCs w:val="18"/>
              </w:rPr>
              <w:tab/>
              <w:t>accreditation;</w:t>
            </w:r>
          </w:p>
          <w:p w:rsidR="000932DE" w:rsidRPr="00063D42" w:rsidRDefault="000932DE" w:rsidP="00EE3310">
            <w:pPr>
              <w:pStyle w:val="Tabletext"/>
              <w:spacing w:before="0" w:after="0"/>
              <w:rPr>
                <w:sz w:val="18"/>
                <w:szCs w:val="18"/>
              </w:rPr>
            </w:pPr>
            <w:r w:rsidRPr="00063D42">
              <w:rPr>
                <w:sz w:val="18"/>
                <w:szCs w:val="18"/>
              </w:rPr>
              <w:tab/>
              <w:t>–</w:t>
            </w:r>
            <w:r w:rsidRPr="00063D42">
              <w:rPr>
                <w:sz w:val="18"/>
                <w:szCs w:val="18"/>
              </w:rPr>
              <w:tab/>
              <w:t>secretariat;</w:t>
            </w:r>
          </w:p>
          <w:p w:rsidR="000932DE" w:rsidRPr="00063D42" w:rsidRDefault="000932DE" w:rsidP="00EE3310">
            <w:pPr>
              <w:pStyle w:val="Tabletext"/>
              <w:ind w:left="284" w:hanging="284"/>
              <w:rPr>
                <w:sz w:val="18"/>
                <w:szCs w:val="18"/>
              </w:rPr>
            </w:pPr>
            <w:r w:rsidRPr="00063D42">
              <w:rPr>
                <w:sz w:val="18"/>
                <w:szCs w:val="18"/>
              </w:rPr>
              <w:tab/>
              <w:t>–</w:t>
            </w:r>
            <w:r w:rsidRPr="00063D42">
              <w:rPr>
                <w:sz w:val="18"/>
                <w:szCs w:val="18"/>
              </w:rPr>
              <w:tab/>
              <w:t>nominated representative.</w:t>
            </w:r>
          </w:p>
        </w:tc>
        <w:tc>
          <w:tcPr>
            <w:tcW w:w="4961" w:type="dxa"/>
            <w:tcBorders>
              <w:top w:val="single" w:sz="6" w:space="0" w:color="auto"/>
              <w:left w:val="nil"/>
              <w:bottom w:val="single" w:sz="6" w:space="0" w:color="auto"/>
              <w:right w:val="single" w:sz="6" w:space="0" w:color="auto"/>
            </w:tcBorders>
          </w:tcPr>
          <w:p w:rsidR="000932DE" w:rsidRPr="00063D42" w:rsidRDefault="000932DE" w:rsidP="00EE3310">
            <w:pPr>
              <w:pStyle w:val="Tabletext"/>
              <w:rPr>
                <w:sz w:val="18"/>
                <w:szCs w:val="18"/>
              </w:rPr>
            </w:pPr>
          </w:p>
          <w:p w:rsidR="000932DE" w:rsidRPr="00063D42" w:rsidRDefault="000932DE" w:rsidP="00EE3310">
            <w:pPr>
              <w:pStyle w:val="Tabletext"/>
              <w:spacing w:before="0" w:after="0"/>
              <w:rPr>
                <w:sz w:val="18"/>
                <w:szCs w:val="18"/>
              </w:rPr>
            </w:pPr>
            <w:r w:rsidRPr="00063D42">
              <w:rPr>
                <w:sz w:val="18"/>
                <w:szCs w:val="18"/>
              </w:rPr>
              <w:t>–</w:t>
            </w:r>
            <w:r w:rsidRPr="00063D42">
              <w:rPr>
                <w:sz w:val="18"/>
                <w:szCs w:val="18"/>
              </w:rPr>
              <w:tab/>
              <w:t>should indicate in which country/countries it has legal status;</w:t>
            </w:r>
          </w:p>
          <w:p w:rsidR="000932DE" w:rsidRPr="00063D42" w:rsidRDefault="000932DE" w:rsidP="00EE3310">
            <w:pPr>
              <w:pStyle w:val="Tabletext"/>
              <w:spacing w:before="0" w:after="0"/>
              <w:rPr>
                <w:sz w:val="18"/>
                <w:szCs w:val="18"/>
              </w:rPr>
            </w:pPr>
            <w:r w:rsidRPr="00063D42">
              <w:rPr>
                <w:sz w:val="18"/>
                <w:szCs w:val="18"/>
              </w:rPr>
              <w:t>–</w:t>
            </w:r>
            <w:r w:rsidRPr="00063D42">
              <w:rPr>
                <w:sz w:val="18"/>
                <w:szCs w:val="18"/>
              </w:rPr>
              <w:tab/>
              <w:t>should indicate the accrediting entity;</w:t>
            </w:r>
          </w:p>
          <w:p w:rsidR="000932DE" w:rsidRPr="00063D42" w:rsidRDefault="000932DE" w:rsidP="00EE3310">
            <w:pPr>
              <w:pStyle w:val="Tabletext"/>
              <w:spacing w:before="0" w:after="0"/>
              <w:rPr>
                <w:sz w:val="18"/>
                <w:szCs w:val="18"/>
              </w:rPr>
            </w:pPr>
            <w:r w:rsidRPr="00063D42">
              <w:rPr>
                <w:sz w:val="18"/>
                <w:szCs w:val="18"/>
              </w:rPr>
              <w:t>–</w:t>
            </w:r>
            <w:r w:rsidRPr="00063D42">
              <w:rPr>
                <w:sz w:val="18"/>
                <w:szCs w:val="18"/>
              </w:rPr>
              <w:tab/>
              <w:t>should identify the permanent secretariat;</w:t>
            </w:r>
          </w:p>
          <w:p w:rsidR="000932DE" w:rsidRPr="00063D42" w:rsidRDefault="000932DE" w:rsidP="00EE3310">
            <w:pPr>
              <w:pStyle w:val="Tabletext"/>
              <w:ind w:left="284" w:hanging="284"/>
              <w:rPr>
                <w:sz w:val="18"/>
                <w:szCs w:val="18"/>
              </w:rPr>
            </w:pPr>
            <w:r w:rsidRPr="00063D42">
              <w:rPr>
                <w:sz w:val="18"/>
                <w:szCs w:val="18"/>
              </w:rPr>
              <w:t>–</w:t>
            </w:r>
            <w:r w:rsidRPr="00063D42">
              <w:rPr>
                <w:sz w:val="18"/>
                <w:szCs w:val="18"/>
              </w:rPr>
              <w:tab/>
              <w:t>should identify a representative.</w:t>
            </w:r>
          </w:p>
        </w:tc>
        <w:tc>
          <w:tcPr>
            <w:tcW w:w="7230" w:type="dxa"/>
            <w:tcBorders>
              <w:top w:val="single" w:sz="6" w:space="0" w:color="auto"/>
              <w:left w:val="nil"/>
              <w:bottom w:val="single" w:sz="6" w:space="0" w:color="auto"/>
              <w:right w:val="single" w:sz="6" w:space="0" w:color="auto"/>
            </w:tcBorders>
          </w:tcPr>
          <w:p w:rsidR="000932DE" w:rsidRPr="00063D42" w:rsidRDefault="000932DE" w:rsidP="00EE3310">
            <w:pPr>
              <w:pStyle w:val="Tabletext"/>
              <w:rPr>
                <w:rFonts w:asciiTheme="majorBidi" w:hAnsiTheme="majorBidi" w:cstheme="majorBidi"/>
                <w:sz w:val="18"/>
                <w:szCs w:val="18"/>
              </w:rPr>
            </w:pPr>
            <w:r w:rsidRPr="00063D42">
              <w:rPr>
                <w:rFonts w:asciiTheme="majorBidi" w:hAnsiTheme="majorBidi" w:cstheme="majorBidi"/>
                <w:sz w:val="18"/>
                <w:szCs w:val="18"/>
              </w:rPr>
              <w:t>SAE is a not-for-profit corporation registered in Pennsylvania, USA and the registered office shall be at 400 Commonwealth Drive, Warrendale, Pennsylvania 15096-0001 USA. (tel: +1.724.776.4841) (</w:t>
            </w:r>
            <w:hyperlink r:id="rId18" w:history="1">
              <w:r w:rsidRPr="00063D42">
                <w:rPr>
                  <w:rStyle w:val="Hyperlink"/>
                  <w:rFonts w:asciiTheme="majorBidi" w:hAnsiTheme="majorBidi" w:cstheme="majorBidi"/>
                  <w:sz w:val="18"/>
                  <w:szCs w:val="18"/>
                </w:rPr>
                <w:t>Byla</w:t>
              </w:r>
              <w:r>
                <w:rPr>
                  <w:rStyle w:val="Hyperlink"/>
                  <w:rFonts w:asciiTheme="majorBidi" w:hAnsiTheme="majorBidi" w:cstheme="majorBidi"/>
                  <w:sz w:val="18"/>
                  <w:szCs w:val="18"/>
                </w:rPr>
                <w:t>ws</w:t>
              </w:r>
            </w:hyperlink>
            <w:r w:rsidRPr="00063D42">
              <w:rPr>
                <w:rFonts w:asciiTheme="majorBidi" w:hAnsiTheme="majorBidi" w:cstheme="majorBidi"/>
                <w:sz w:val="18"/>
                <w:szCs w:val="18"/>
              </w:rPr>
              <w:t xml:space="preserve"> Article XI)</w:t>
            </w:r>
          </w:p>
          <w:p w:rsidR="000932DE" w:rsidRPr="00063D42" w:rsidRDefault="000932DE" w:rsidP="00EE3310">
            <w:pPr>
              <w:pStyle w:val="Tabletext"/>
              <w:rPr>
                <w:rFonts w:asciiTheme="majorBidi" w:hAnsiTheme="majorBidi" w:cstheme="majorBidi"/>
                <w:sz w:val="18"/>
                <w:szCs w:val="18"/>
              </w:rPr>
            </w:pPr>
            <w:r w:rsidRPr="00063D42">
              <w:rPr>
                <w:rFonts w:asciiTheme="majorBidi" w:hAnsiTheme="majorBidi" w:cstheme="majorBidi"/>
                <w:sz w:val="18"/>
                <w:szCs w:val="18"/>
              </w:rPr>
              <w:t>There are regional offices in Troy MI, Livonia MI, Washington DC, Detroit MI in USA, Brussels, London, and Shanghai (</w:t>
            </w:r>
            <w:hyperlink r:id="rId19" w:history="1">
              <w:r w:rsidRPr="00063D42">
                <w:rPr>
                  <w:rStyle w:val="Hyperlink"/>
                  <w:rFonts w:asciiTheme="majorBidi" w:hAnsiTheme="majorBidi" w:cstheme="majorBidi"/>
                  <w:sz w:val="18"/>
                  <w:szCs w:val="18"/>
                </w:rPr>
                <w:t>webpage on contacts</w:t>
              </w:r>
            </w:hyperlink>
            <w:r w:rsidRPr="00063D42">
              <w:rPr>
                <w:rFonts w:asciiTheme="majorBidi" w:hAnsiTheme="majorBidi" w:cstheme="majorBidi"/>
                <w:sz w:val="18"/>
                <w:szCs w:val="18"/>
              </w:rPr>
              <w:t xml:space="preserve">) . </w:t>
            </w:r>
          </w:p>
          <w:p w:rsidR="000932DE" w:rsidRPr="00063D42" w:rsidRDefault="000932DE" w:rsidP="00EE3310">
            <w:pPr>
              <w:pStyle w:val="Tabletext"/>
              <w:rPr>
                <w:rFonts w:asciiTheme="majorBidi" w:hAnsiTheme="majorBidi" w:cstheme="majorBidi"/>
                <w:sz w:val="18"/>
                <w:szCs w:val="18"/>
              </w:rPr>
            </w:pPr>
            <w:r w:rsidRPr="00063D42">
              <w:rPr>
                <w:rFonts w:asciiTheme="majorBidi" w:hAnsiTheme="majorBidi" w:cstheme="majorBidi"/>
                <w:sz w:val="18"/>
                <w:szCs w:val="18"/>
              </w:rPr>
              <w:t xml:space="preserve">SAE International is governed by the Board of Directors headed by the President who also serves as the Chair of the Board. 2018 President is Mircea Gradu, Velodyne LiDAR, Inc. </w:t>
            </w:r>
          </w:p>
          <w:p w:rsidR="000932DE" w:rsidRPr="00063D42" w:rsidRDefault="000932DE" w:rsidP="00EE3310">
            <w:pPr>
              <w:pStyle w:val="Tabletext"/>
              <w:rPr>
                <w:rFonts w:asciiTheme="majorBidi" w:hAnsiTheme="majorBidi" w:cstheme="majorBidi"/>
                <w:sz w:val="18"/>
                <w:szCs w:val="18"/>
              </w:rPr>
            </w:pPr>
            <w:r w:rsidRPr="00063D42">
              <w:rPr>
                <w:rFonts w:asciiTheme="majorBidi" w:hAnsiTheme="majorBidi" w:cstheme="majorBidi"/>
                <w:sz w:val="18"/>
                <w:szCs w:val="18"/>
              </w:rPr>
              <w:t xml:space="preserve">The Chief Executive Officer is accountable to the Board, authorized to act on behalf of the Board relative to SAE’s rights and responsibilities for affiliates and subsidiaries. The Chief Executive Officer acts as the sole employee of the Board and has all authority and accountability of staff. Current Chief Executive Officer is David L Schutt. </w:t>
            </w:r>
          </w:p>
          <w:p w:rsidR="000932DE" w:rsidRPr="00063D42" w:rsidRDefault="000932DE" w:rsidP="00EE3310">
            <w:pPr>
              <w:pStyle w:val="Tabletext"/>
              <w:ind w:left="284" w:hanging="284"/>
              <w:rPr>
                <w:rFonts w:asciiTheme="majorBidi" w:hAnsiTheme="majorBidi" w:cstheme="majorBidi"/>
                <w:sz w:val="18"/>
                <w:szCs w:val="18"/>
              </w:rPr>
            </w:pPr>
            <w:r w:rsidRPr="00063D42">
              <w:rPr>
                <w:rFonts w:asciiTheme="majorBidi" w:hAnsiTheme="majorBidi" w:cstheme="majorBidi"/>
                <w:sz w:val="18"/>
                <w:szCs w:val="18"/>
              </w:rPr>
              <w:t>(</w:t>
            </w:r>
            <w:hyperlink r:id="rId20" w:history="1">
              <w:r w:rsidRPr="00063D42">
                <w:rPr>
                  <w:rStyle w:val="Hyperlink"/>
                  <w:rFonts w:asciiTheme="majorBidi" w:hAnsiTheme="majorBidi" w:cstheme="majorBidi"/>
                  <w:sz w:val="18"/>
                  <w:szCs w:val="18"/>
                </w:rPr>
                <w:t>Board of Directors Governance Policy Manual</w:t>
              </w:r>
            </w:hyperlink>
            <w:r w:rsidRPr="00063D42">
              <w:rPr>
                <w:rFonts w:asciiTheme="majorBidi" w:hAnsiTheme="majorBidi" w:cstheme="majorBidi"/>
                <w:sz w:val="18"/>
                <w:szCs w:val="18"/>
              </w:rPr>
              <w:t xml:space="preserve">; </w:t>
            </w:r>
            <w:hyperlink r:id="rId21" w:history="1">
              <w:r w:rsidRPr="00063D42">
                <w:rPr>
                  <w:rStyle w:val="Hyperlink"/>
                  <w:sz w:val="18"/>
                  <w:szCs w:val="18"/>
                </w:rPr>
                <w:t>SAE Board of Directors</w:t>
              </w:r>
              <w:r w:rsidRPr="00063D42">
                <w:rPr>
                  <w:rStyle w:val="Hyperlink"/>
                  <w:rFonts w:asciiTheme="majorBidi" w:hAnsiTheme="majorBidi" w:cstheme="majorBidi"/>
                  <w:sz w:val="18"/>
                  <w:szCs w:val="18"/>
                </w:rPr>
                <w:t xml:space="preserve"> list</w:t>
              </w:r>
            </w:hyperlink>
            <w:r w:rsidRPr="00063D42">
              <w:rPr>
                <w:rFonts w:asciiTheme="majorBidi" w:hAnsiTheme="majorBidi" w:cstheme="majorBidi"/>
                <w:sz w:val="18"/>
                <w:szCs w:val="18"/>
              </w:rPr>
              <w:t>)</w:t>
            </w:r>
          </w:p>
          <w:p w:rsidR="000932DE" w:rsidRPr="00063D42" w:rsidRDefault="000932DE" w:rsidP="00EE3310">
            <w:pPr>
              <w:pStyle w:val="Tabletext"/>
              <w:rPr>
                <w:rFonts w:asciiTheme="majorBidi" w:hAnsiTheme="majorBidi" w:cstheme="majorBidi"/>
                <w:sz w:val="18"/>
                <w:szCs w:val="18"/>
                <w:highlight w:val="yellow"/>
              </w:rPr>
            </w:pPr>
            <w:r w:rsidRPr="00063D42">
              <w:rPr>
                <w:rFonts w:asciiTheme="majorBidi" w:hAnsiTheme="majorBidi" w:cstheme="majorBidi"/>
                <w:sz w:val="18"/>
                <w:szCs w:val="18"/>
              </w:rPr>
              <w:t xml:space="preserve">SAE is accredited by </w:t>
            </w:r>
            <w:hyperlink r:id="rId22" w:history="1">
              <w:r w:rsidRPr="00063D42">
                <w:rPr>
                  <w:rStyle w:val="Hyperlink"/>
                  <w:rFonts w:asciiTheme="majorBidi" w:hAnsiTheme="majorBidi" w:cstheme="majorBidi"/>
                  <w:sz w:val="18"/>
                  <w:szCs w:val="18"/>
                </w:rPr>
                <w:t>ANSI</w:t>
              </w:r>
            </w:hyperlink>
            <w:r w:rsidRPr="00063D42">
              <w:rPr>
                <w:rFonts w:asciiTheme="majorBidi" w:hAnsiTheme="majorBidi" w:cstheme="majorBidi"/>
                <w:sz w:val="18"/>
                <w:szCs w:val="18"/>
              </w:rPr>
              <w:t xml:space="preserve"> as a standards developer organization (</w:t>
            </w:r>
            <w:r w:rsidRPr="0006350D">
              <w:rPr>
                <w:rFonts w:asciiTheme="majorBidi" w:hAnsiTheme="majorBidi" w:cstheme="majorBidi"/>
                <w:sz w:val="18"/>
                <w:szCs w:val="18"/>
              </w:rPr>
              <w:t>Date of Accreditation: 8/18/1977</w:t>
            </w:r>
            <w:r>
              <w:rPr>
                <w:rFonts w:asciiTheme="majorBidi" w:hAnsiTheme="majorBidi" w:cstheme="majorBidi"/>
                <w:sz w:val="18"/>
                <w:szCs w:val="18"/>
              </w:rPr>
              <w:t xml:space="preserve">, </w:t>
            </w:r>
            <w:r w:rsidRPr="00063D42">
              <w:rPr>
                <w:rFonts w:asciiTheme="majorBidi" w:hAnsiTheme="majorBidi" w:cstheme="majorBidi"/>
                <w:sz w:val="18"/>
                <w:szCs w:val="18"/>
              </w:rPr>
              <w:t xml:space="preserve">ANSI’s accredited standards developers </w:t>
            </w:r>
            <w:hyperlink r:id="rId23" w:history="1">
              <w:r w:rsidRPr="00063D42">
                <w:rPr>
                  <w:rStyle w:val="Hyperlink"/>
                  <w:rFonts w:asciiTheme="majorBidi" w:hAnsiTheme="majorBidi" w:cstheme="majorBidi"/>
                  <w:sz w:val="18"/>
                  <w:szCs w:val="18"/>
                </w:rPr>
                <w:t>list</w:t>
              </w:r>
            </w:hyperlink>
            <w:r w:rsidRPr="00063D42">
              <w:rPr>
                <w:rFonts w:asciiTheme="majorBidi" w:hAnsiTheme="majorBidi" w:cstheme="majorBidi"/>
                <w:sz w:val="18"/>
                <w:szCs w:val="18"/>
              </w:rPr>
              <w:t>).</w:t>
            </w:r>
          </w:p>
        </w:tc>
      </w:tr>
      <w:tr w:rsidR="000932DE" w:rsidRPr="00063D42" w:rsidTr="00EE3310">
        <w:trPr>
          <w:jc w:val="center"/>
        </w:trPr>
        <w:tc>
          <w:tcPr>
            <w:tcW w:w="2969" w:type="dxa"/>
            <w:tcBorders>
              <w:top w:val="single" w:sz="6" w:space="0" w:color="auto"/>
              <w:left w:val="single" w:sz="6" w:space="0" w:color="auto"/>
              <w:bottom w:val="single" w:sz="6" w:space="0" w:color="auto"/>
              <w:right w:val="single" w:sz="6" w:space="0" w:color="auto"/>
            </w:tcBorders>
          </w:tcPr>
          <w:p w:rsidR="000932DE" w:rsidRPr="00063D42" w:rsidRDefault="000932DE" w:rsidP="00EE3310">
            <w:pPr>
              <w:pStyle w:val="Tabletext"/>
              <w:rPr>
                <w:sz w:val="18"/>
                <w:szCs w:val="18"/>
              </w:rPr>
            </w:pPr>
            <w:r w:rsidRPr="00063D42">
              <w:rPr>
                <w:sz w:val="18"/>
                <w:szCs w:val="18"/>
              </w:rPr>
              <w:lastRenderedPageBreak/>
              <w:t>3)</w:t>
            </w:r>
            <w:r w:rsidRPr="00063D42">
              <w:rPr>
                <w:sz w:val="18"/>
                <w:szCs w:val="18"/>
              </w:rPr>
              <w:tab/>
              <w:t>Membership (openness)</w:t>
            </w:r>
          </w:p>
        </w:tc>
        <w:tc>
          <w:tcPr>
            <w:tcW w:w="4961" w:type="dxa"/>
            <w:tcBorders>
              <w:top w:val="single" w:sz="6" w:space="0" w:color="auto"/>
              <w:left w:val="nil"/>
              <w:bottom w:val="single" w:sz="6" w:space="0" w:color="auto"/>
              <w:right w:val="single" w:sz="6" w:space="0" w:color="auto"/>
            </w:tcBorders>
          </w:tcPr>
          <w:p w:rsidR="000932DE" w:rsidRPr="00063D42" w:rsidRDefault="000932DE" w:rsidP="00EE3310">
            <w:pPr>
              <w:pStyle w:val="Tabletext"/>
              <w:ind w:left="284" w:hanging="284"/>
              <w:rPr>
                <w:sz w:val="18"/>
                <w:szCs w:val="18"/>
              </w:rPr>
            </w:pPr>
            <w:r w:rsidRPr="00063D42">
              <w:rPr>
                <w:sz w:val="18"/>
                <w:szCs w:val="18"/>
              </w:rPr>
              <w:t>–</w:t>
            </w:r>
            <w:r w:rsidRPr="00063D42">
              <w:rPr>
                <w:sz w:val="18"/>
                <w:szCs w:val="18"/>
              </w:rPr>
              <w:tab/>
              <w:t>national or regional standards development organization membership criteria should not preclude any party with material interest;</w:t>
            </w:r>
          </w:p>
          <w:p w:rsidR="000932DE" w:rsidRPr="00063D42" w:rsidRDefault="000932DE" w:rsidP="00EE3310">
            <w:pPr>
              <w:pStyle w:val="Tabletext"/>
              <w:ind w:left="284" w:hanging="284"/>
              <w:rPr>
                <w:sz w:val="18"/>
                <w:szCs w:val="18"/>
              </w:rPr>
            </w:pPr>
            <w:r w:rsidRPr="00063D42">
              <w:rPr>
                <w:sz w:val="18"/>
                <w:szCs w:val="18"/>
              </w:rPr>
              <w:t>–</w:t>
            </w:r>
            <w:r w:rsidRPr="00063D42">
              <w:rPr>
                <w:sz w:val="18"/>
                <w:szCs w:val="18"/>
              </w:rPr>
              <w:tab/>
              <w:t>membership should comprise a significant representation of telecommunications interests.</w:t>
            </w:r>
          </w:p>
        </w:tc>
        <w:tc>
          <w:tcPr>
            <w:tcW w:w="7230" w:type="dxa"/>
            <w:tcBorders>
              <w:top w:val="single" w:sz="6" w:space="0" w:color="auto"/>
              <w:left w:val="nil"/>
              <w:bottom w:val="single" w:sz="6" w:space="0" w:color="auto"/>
              <w:right w:val="single" w:sz="6" w:space="0" w:color="auto"/>
            </w:tcBorders>
          </w:tcPr>
          <w:p w:rsidR="000932DE" w:rsidRPr="00063D42" w:rsidRDefault="000932DE" w:rsidP="00EE3310">
            <w:pPr>
              <w:pStyle w:val="Tabletext"/>
              <w:rPr>
                <w:rFonts w:asciiTheme="majorBidi" w:hAnsiTheme="majorBidi" w:cstheme="majorBidi"/>
                <w:sz w:val="18"/>
                <w:szCs w:val="18"/>
              </w:rPr>
            </w:pPr>
            <w:r w:rsidRPr="00063D42">
              <w:rPr>
                <w:rFonts w:asciiTheme="majorBidi" w:hAnsiTheme="majorBidi" w:cstheme="majorBidi"/>
                <w:sz w:val="18"/>
                <w:szCs w:val="18"/>
              </w:rPr>
              <w:t xml:space="preserve">Any individual whose personal qualifications enables them to contribute to the purposes of SAE are eligible for </w:t>
            </w:r>
            <w:hyperlink r:id="rId24" w:history="1">
              <w:r w:rsidRPr="00F73575">
                <w:rPr>
                  <w:rStyle w:val="Hyperlink"/>
                  <w:rFonts w:asciiTheme="majorBidi" w:hAnsiTheme="majorBidi" w:cstheme="majorBidi"/>
                  <w:sz w:val="18"/>
                  <w:szCs w:val="18"/>
                </w:rPr>
                <w:t>membership</w:t>
              </w:r>
            </w:hyperlink>
            <w:r w:rsidRPr="00063D42">
              <w:rPr>
                <w:rFonts w:asciiTheme="majorBidi" w:hAnsiTheme="majorBidi" w:cstheme="majorBidi"/>
                <w:sz w:val="18"/>
                <w:szCs w:val="18"/>
              </w:rPr>
              <w:t xml:space="preserve"> in SAE provided they meet the following particular qualifications and requirements for the grade to which they have applied or are entitled:</w:t>
            </w:r>
          </w:p>
          <w:p w:rsidR="000932DE" w:rsidRPr="00063D42" w:rsidRDefault="000932DE" w:rsidP="00EE3310">
            <w:pPr>
              <w:pStyle w:val="Tabletext"/>
              <w:rPr>
                <w:rFonts w:asciiTheme="majorBidi" w:hAnsiTheme="majorBidi" w:cstheme="majorBidi"/>
                <w:sz w:val="18"/>
                <w:szCs w:val="18"/>
              </w:rPr>
            </w:pPr>
            <w:r w:rsidRPr="00063D42">
              <w:rPr>
                <w:rFonts w:asciiTheme="majorBidi" w:hAnsiTheme="majorBidi" w:cstheme="majorBidi"/>
                <w:sz w:val="18"/>
                <w:szCs w:val="18"/>
              </w:rPr>
              <w:t>- Honorary; Fellow; Member; (voting members)</w:t>
            </w:r>
          </w:p>
          <w:p w:rsidR="000932DE" w:rsidRPr="00063D42" w:rsidRDefault="000932DE" w:rsidP="00EE3310">
            <w:pPr>
              <w:pStyle w:val="Tabletext"/>
              <w:rPr>
                <w:rFonts w:asciiTheme="majorBidi" w:hAnsiTheme="majorBidi" w:cstheme="majorBidi"/>
                <w:sz w:val="18"/>
                <w:szCs w:val="18"/>
              </w:rPr>
            </w:pPr>
            <w:r w:rsidRPr="00063D42">
              <w:rPr>
                <w:rFonts w:asciiTheme="majorBidi" w:hAnsiTheme="majorBidi" w:cstheme="majorBidi"/>
                <w:sz w:val="18"/>
                <w:szCs w:val="18"/>
              </w:rPr>
              <w:t>- Associate; Joint; and Student. (non-voting members)</w:t>
            </w:r>
          </w:p>
          <w:p w:rsidR="000932DE" w:rsidRPr="00063D42" w:rsidRDefault="000932DE" w:rsidP="00EE3310">
            <w:pPr>
              <w:pStyle w:val="Tabletext"/>
              <w:rPr>
                <w:rFonts w:asciiTheme="majorBidi" w:hAnsiTheme="majorBidi" w:cstheme="majorBidi"/>
                <w:sz w:val="18"/>
                <w:szCs w:val="18"/>
              </w:rPr>
            </w:pPr>
            <w:r w:rsidRPr="00063D42">
              <w:rPr>
                <w:rFonts w:asciiTheme="majorBidi" w:hAnsiTheme="majorBidi" w:cstheme="majorBidi"/>
                <w:sz w:val="18"/>
                <w:szCs w:val="18"/>
              </w:rPr>
              <w:t xml:space="preserve">There are four levels of membership: Student; Classic; Premium; and Elite. </w:t>
            </w:r>
          </w:p>
          <w:p w:rsidR="000932DE" w:rsidRPr="00063D42" w:rsidRDefault="000932DE" w:rsidP="00EE3310">
            <w:pPr>
              <w:pStyle w:val="Tabletext"/>
              <w:rPr>
                <w:rFonts w:asciiTheme="majorBidi" w:hAnsiTheme="majorBidi" w:cstheme="majorBidi"/>
                <w:sz w:val="18"/>
                <w:szCs w:val="18"/>
              </w:rPr>
            </w:pPr>
            <w:r w:rsidRPr="00063D42">
              <w:rPr>
                <w:rFonts w:asciiTheme="majorBidi" w:hAnsiTheme="majorBidi" w:cstheme="majorBidi"/>
                <w:sz w:val="18"/>
                <w:szCs w:val="18"/>
              </w:rPr>
              <w:t xml:space="preserve">Grade: Based on educational background, experience and level of engineering involvement. </w:t>
            </w:r>
          </w:p>
          <w:p w:rsidR="000932DE" w:rsidRPr="00063D42" w:rsidRDefault="000932DE" w:rsidP="00EE3310">
            <w:pPr>
              <w:pStyle w:val="Tabletext"/>
              <w:rPr>
                <w:rFonts w:asciiTheme="majorBidi" w:hAnsiTheme="majorBidi" w:cstheme="majorBidi"/>
                <w:sz w:val="18"/>
                <w:szCs w:val="18"/>
              </w:rPr>
            </w:pPr>
            <w:r w:rsidRPr="00063D42">
              <w:rPr>
                <w:rFonts w:asciiTheme="majorBidi" w:hAnsiTheme="majorBidi" w:cstheme="majorBidi"/>
                <w:sz w:val="18"/>
                <w:szCs w:val="18"/>
              </w:rPr>
              <w:t>Level: Individuals can choose any level of membership depending on the amount of benefits, regardless of his/her grade.</w:t>
            </w:r>
          </w:p>
          <w:p w:rsidR="000932DE" w:rsidRPr="00063D42" w:rsidRDefault="000932DE" w:rsidP="00EE3310">
            <w:pPr>
              <w:pStyle w:val="Tabletext"/>
              <w:rPr>
                <w:rFonts w:asciiTheme="majorBidi" w:hAnsiTheme="majorBidi" w:cstheme="majorBidi"/>
                <w:sz w:val="18"/>
                <w:szCs w:val="18"/>
              </w:rPr>
            </w:pPr>
            <w:r w:rsidRPr="00063D42">
              <w:rPr>
                <w:rFonts w:asciiTheme="majorBidi" w:hAnsiTheme="majorBidi" w:cstheme="majorBidi"/>
                <w:sz w:val="18"/>
                <w:szCs w:val="18"/>
              </w:rPr>
              <w:t>More than 1</w:t>
            </w:r>
            <w:r>
              <w:rPr>
                <w:rFonts w:asciiTheme="majorBidi" w:hAnsiTheme="majorBidi" w:cstheme="majorBidi"/>
                <w:sz w:val="18"/>
                <w:szCs w:val="18"/>
              </w:rPr>
              <w:t>2</w:t>
            </w:r>
            <w:r w:rsidRPr="00063D42">
              <w:rPr>
                <w:rFonts w:asciiTheme="majorBidi" w:hAnsiTheme="majorBidi" w:cstheme="majorBidi"/>
                <w:sz w:val="18"/>
                <w:szCs w:val="18"/>
              </w:rPr>
              <w:t xml:space="preserve">8,000 members participate currently. </w:t>
            </w:r>
          </w:p>
          <w:p w:rsidR="000932DE" w:rsidRPr="00063D42" w:rsidRDefault="000932DE" w:rsidP="00EE3310">
            <w:pPr>
              <w:pStyle w:val="Tabletext"/>
              <w:ind w:left="284" w:hanging="284"/>
              <w:rPr>
                <w:rFonts w:asciiTheme="majorBidi" w:hAnsiTheme="majorBidi" w:cstheme="majorBidi"/>
                <w:sz w:val="18"/>
                <w:szCs w:val="18"/>
              </w:rPr>
            </w:pPr>
            <w:r w:rsidRPr="00063D42">
              <w:rPr>
                <w:rFonts w:asciiTheme="majorBidi" w:hAnsiTheme="majorBidi" w:cstheme="majorBidi"/>
                <w:sz w:val="18"/>
                <w:szCs w:val="18"/>
              </w:rPr>
              <w:t>(</w:t>
            </w:r>
            <w:hyperlink r:id="rId25" w:history="1">
              <w:r w:rsidRPr="00063D42">
                <w:rPr>
                  <w:rStyle w:val="Hyperlink"/>
                  <w:rFonts w:asciiTheme="majorBidi" w:hAnsiTheme="majorBidi" w:cstheme="majorBidi"/>
                  <w:sz w:val="18"/>
                  <w:szCs w:val="18"/>
                </w:rPr>
                <w:t>Byla</w:t>
              </w:r>
              <w:r>
                <w:rPr>
                  <w:rStyle w:val="Hyperlink"/>
                  <w:rFonts w:asciiTheme="majorBidi" w:hAnsiTheme="majorBidi" w:cstheme="majorBidi"/>
                  <w:sz w:val="18"/>
                  <w:szCs w:val="18"/>
                </w:rPr>
                <w:t>ws</w:t>
              </w:r>
            </w:hyperlink>
            <w:r w:rsidRPr="00063D42">
              <w:rPr>
                <w:rFonts w:asciiTheme="majorBidi" w:hAnsiTheme="majorBidi" w:cstheme="majorBidi"/>
                <w:sz w:val="18"/>
                <w:szCs w:val="18"/>
              </w:rPr>
              <w:t xml:space="preserve"> Article III and </w:t>
            </w:r>
            <w:hyperlink r:id="rId26" w:history="1">
              <w:r w:rsidRPr="00063D42">
                <w:rPr>
                  <w:rStyle w:val="Hyperlink"/>
                  <w:rFonts w:asciiTheme="majorBidi" w:hAnsiTheme="majorBidi" w:cstheme="majorBidi"/>
                  <w:sz w:val="18"/>
                  <w:szCs w:val="18"/>
                </w:rPr>
                <w:t>membership page</w:t>
              </w:r>
            </w:hyperlink>
            <w:r w:rsidRPr="00063D42">
              <w:rPr>
                <w:rFonts w:asciiTheme="majorBidi" w:hAnsiTheme="majorBidi" w:cstheme="majorBidi"/>
                <w:sz w:val="18"/>
                <w:szCs w:val="18"/>
              </w:rPr>
              <w:t>)</w:t>
            </w:r>
          </w:p>
          <w:p w:rsidR="000932DE" w:rsidRPr="00063D42" w:rsidRDefault="000932DE" w:rsidP="00EE3310">
            <w:pPr>
              <w:pStyle w:val="Tabletext"/>
              <w:rPr>
                <w:rFonts w:asciiTheme="majorBidi" w:hAnsiTheme="majorBidi" w:cstheme="majorBidi"/>
                <w:sz w:val="18"/>
                <w:szCs w:val="18"/>
              </w:rPr>
            </w:pPr>
            <w:r w:rsidRPr="00063D42">
              <w:rPr>
                <w:rFonts w:asciiTheme="majorBidi" w:hAnsiTheme="majorBidi" w:cstheme="majorBidi"/>
                <w:sz w:val="18"/>
                <w:szCs w:val="18"/>
              </w:rPr>
              <w:t>As connectivity has become a central focus for automakers, telecommunications become more important to SAE's membership.</w:t>
            </w:r>
          </w:p>
        </w:tc>
      </w:tr>
      <w:tr w:rsidR="000932DE" w:rsidRPr="00063D42" w:rsidTr="00EE3310">
        <w:trPr>
          <w:jc w:val="center"/>
        </w:trPr>
        <w:tc>
          <w:tcPr>
            <w:tcW w:w="2969" w:type="dxa"/>
            <w:tcBorders>
              <w:top w:val="single" w:sz="6" w:space="0" w:color="auto"/>
              <w:left w:val="single" w:sz="6" w:space="0" w:color="auto"/>
              <w:bottom w:val="single" w:sz="6" w:space="0" w:color="auto"/>
              <w:right w:val="single" w:sz="6" w:space="0" w:color="auto"/>
            </w:tcBorders>
          </w:tcPr>
          <w:p w:rsidR="000932DE" w:rsidRPr="00063D42" w:rsidRDefault="000932DE" w:rsidP="00EE3310">
            <w:pPr>
              <w:pStyle w:val="Tabletext"/>
              <w:rPr>
                <w:sz w:val="18"/>
                <w:szCs w:val="18"/>
              </w:rPr>
            </w:pPr>
            <w:r w:rsidRPr="00063D42">
              <w:rPr>
                <w:sz w:val="18"/>
                <w:szCs w:val="18"/>
              </w:rPr>
              <w:t>4)</w:t>
            </w:r>
            <w:r w:rsidRPr="00063D42">
              <w:rPr>
                <w:sz w:val="18"/>
                <w:szCs w:val="18"/>
              </w:rPr>
              <w:tab/>
              <w:t>Technical subject areas</w:t>
            </w:r>
          </w:p>
        </w:tc>
        <w:tc>
          <w:tcPr>
            <w:tcW w:w="4961" w:type="dxa"/>
            <w:tcBorders>
              <w:top w:val="single" w:sz="6" w:space="0" w:color="auto"/>
              <w:left w:val="nil"/>
              <w:bottom w:val="single" w:sz="6" w:space="0" w:color="auto"/>
              <w:right w:val="single" w:sz="6" w:space="0" w:color="auto"/>
            </w:tcBorders>
          </w:tcPr>
          <w:p w:rsidR="000932DE" w:rsidRPr="00063D42" w:rsidRDefault="000932DE" w:rsidP="00EE3310">
            <w:pPr>
              <w:pStyle w:val="Tabletext"/>
              <w:rPr>
                <w:sz w:val="18"/>
                <w:szCs w:val="18"/>
              </w:rPr>
            </w:pPr>
            <w:r w:rsidRPr="00063D42">
              <w:rPr>
                <w:sz w:val="18"/>
                <w:szCs w:val="18"/>
              </w:rPr>
              <w:t>Should be relevant to a particular study group(s) or ITU</w:t>
            </w:r>
            <w:r w:rsidRPr="00063D42">
              <w:rPr>
                <w:sz w:val="18"/>
                <w:szCs w:val="18"/>
              </w:rPr>
              <w:noBreakHyphen/>
              <w:t>T as a whole.</w:t>
            </w:r>
          </w:p>
        </w:tc>
        <w:tc>
          <w:tcPr>
            <w:tcW w:w="7230" w:type="dxa"/>
            <w:tcBorders>
              <w:top w:val="single" w:sz="6" w:space="0" w:color="auto"/>
              <w:left w:val="nil"/>
              <w:bottom w:val="single" w:sz="6" w:space="0" w:color="auto"/>
              <w:right w:val="single" w:sz="6" w:space="0" w:color="auto"/>
            </w:tcBorders>
          </w:tcPr>
          <w:p w:rsidR="000932DE" w:rsidRPr="00063D42" w:rsidRDefault="000932DE" w:rsidP="00EE3310">
            <w:pPr>
              <w:pStyle w:val="Tabletext"/>
              <w:rPr>
                <w:rFonts w:asciiTheme="majorBidi" w:hAnsiTheme="majorBidi" w:cstheme="majorBidi"/>
                <w:sz w:val="18"/>
                <w:szCs w:val="18"/>
              </w:rPr>
            </w:pPr>
            <w:r w:rsidRPr="00063D42">
              <w:rPr>
                <w:rFonts w:asciiTheme="majorBidi" w:hAnsiTheme="majorBidi" w:cstheme="majorBidi"/>
                <w:sz w:val="18"/>
                <w:szCs w:val="18"/>
              </w:rPr>
              <w:t>Aerospace, automotive, and commercial vehicle. Connected car is one of the topics that SAE addresses.</w:t>
            </w:r>
          </w:p>
        </w:tc>
      </w:tr>
      <w:tr w:rsidR="000932DE" w:rsidRPr="00063D42" w:rsidTr="00EE3310">
        <w:trPr>
          <w:jc w:val="center"/>
        </w:trPr>
        <w:tc>
          <w:tcPr>
            <w:tcW w:w="2969" w:type="dxa"/>
            <w:tcBorders>
              <w:top w:val="single" w:sz="6" w:space="0" w:color="auto"/>
              <w:left w:val="single" w:sz="6" w:space="0" w:color="auto"/>
              <w:bottom w:val="single" w:sz="6" w:space="0" w:color="auto"/>
              <w:right w:val="single" w:sz="6" w:space="0" w:color="auto"/>
            </w:tcBorders>
          </w:tcPr>
          <w:p w:rsidR="000932DE" w:rsidRPr="00063D42" w:rsidRDefault="000932DE" w:rsidP="00EE3310">
            <w:pPr>
              <w:pStyle w:val="Tabletext"/>
              <w:rPr>
                <w:sz w:val="18"/>
                <w:szCs w:val="18"/>
              </w:rPr>
            </w:pPr>
            <w:r w:rsidRPr="00063D42">
              <w:rPr>
                <w:sz w:val="18"/>
                <w:szCs w:val="18"/>
              </w:rPr>
              <w:t>5)</w:t>
            </w:r>
            <w:r w:rsidRPr="00063D42">
              <w:rPr>
                <w:sz w:val="18"/>
                <w:szCs w:val="18"/>
              </w:rPr>
              <w:tab/>
              <w:t>IPR Policy and Guidelines on:</w:t>
            </w:r>
          </w:p>
          <w:p w:rsidR="000932DE" w:rsidRPr="00063D42" w:rsidRDefault="000932DE" w:rsidP="00EE3310">
            <w:pPr>
              <w:pStyle w:val="Tabletext"/>
              <w:rPr>
                <w:sz w:val="18"/>
                <w:szCs w:val="18"/>
              </w:rPr>
            </w:pPr>
            <w:r w:rsidRPr="00063D42">
              <w:rPr>
                <w:i/>
                <w:iCs/>
                <w:sz w:val="18"/>
                <w:szCs w:val="18"/>
              </w:rPr>
              <w:t>a)</w:t>
            </w:r>
            <w:r w:rsidRPr="00063D42">
              <w:rPr>
                <w:sz w:val="18"/>
                <w:szCs w:val="18"/>
              </w:rPr>
              <w:tab/>
              <w:t>patents;</w:t>
            </w:r>
            <w:r w:rsidRPr="00063D42">
              <w:rPr>
                <w:sz w:val="18"/>
                <w:szCs w:val="18"/>
              </w:rPr>
              <w:br/>
            </w:r>
            <w:r w:rsidRPr="00063D42">
              <w:rPr>
                <w:sz w:val="18"/>
                <w:szCs w:val="18"/>
              </w:rPr>
              <w:br/>
            </w:r>
          </w:p>
          <w:p w:rsidR="000932DE" w:rsidRPr="00063D42" w:rsidRDefault="000932DE" w:rsidP="00EE3310">
            <w:pPr>
              <w:pStyle w:val="Tabletext"/>
              <w:rPr>
                <w:sz w:val="18"/>
                <w:szCs w:val="18"/>
              </w:rPr>
            </w:pPr>
            <w:r w:rsidRPr="00063D42">
              <w:rPr>
                <w:i/>
                <w:iCs/>
                <w:sz w:val="18"/>
                <w:szCs w:val="18"/>
              </w:rPr>
              <w:t>b)</w:t>
            </w:r>
            <w:r w:rsidRPr="00063D42">
              <w:rPr>
                <w:sz w:val="18"/>
                <w:szCs w:val="18"/>
              </w:rPr>
              <w:tab/>
              <w:t>software copyright (if applicable);</w:t>
            </w:r>
          </w:p>
          <w:p w:rsidR="000932DE" w:rsidRPr="00063D42" w:rsidRDefault="000932DE" w:rsidP="00EE3310">
            <w:pPr>
              <w:pStyle w:val="Tabletext"/>
              <w:rPr>
                <w:sz w:val="18"/>
                <w:szCs w:val="18"/>
              </w:rPr>
            </w:pPr>
            <w:r w:rsidRPr="00063D42">
              <w:rPr>
                <w:i/>
                <w:iCs/>
                <w:sz w:val="18"/>
                <w:szCs w:val="18"/>
              </w:rPr>
              <w:t>c)</w:t>
            </w:r>
            <w:r w:rsidRPr="00063D42">
              <w:rPr>
                <w:sz w:val="18"/>
                <w:szCs w:val="18"/>
              </w:rPr>
              <w:tab/>
              <w:t>marks (if applicable); and</w:t>
            </w:r>
            <w:r w:rsidRPr="00063D42">
              <w:rPr>
                <w:sz w:val="18"/>
                <w:szCs w:val="18"/>
              </w:rPr>
              <w:br/>
            </w:r>
          </w:p>
          <w:p w:rsidR="000932DE" w:rsidRPr="00063D42" w:rsidRDefault="000932DE" w:rsidP="00EE3310">
            <w:pPr>
              <w:pStyle w:val="Tabletext"/>
              <w:rPr>
                <w:sz w:val="18"/>
                <w:szCs w:val="18"/>
              </w:rPr>
            </w:pPr>
            <w:r w:rsidRPr="00063D42">
              <w:rPr>
                <w:i/>
                <w:iCs/>
                <w:sz w:val="18"/>
                <w:szCs w:val="18"/>
              </w:rPr>
              <w:t>d)</w:t>
            </w:r>
            <w:r w:rsidRPr="00063D42">
              <w:rPr>
                <w:sz w:val="18"/>
                <w:szCs w:val="18"/>
              </w:rPr>
              <w:tab/>
              <w:t>copyright;</w:t>
            </w:r>
          </w:p>
          <w:p w:rsidR="000932DE" w:rsidRPr="00063D42" w:rsidRDefault="000932DE" w:rsidP="00EE3310">
            <w:pPr>
              <w:pStyle w:val="Tabletext"/>
              <w:rPr>
                <w:sz w:val="18"/>
                <w:szCs w:val="18"/>
              </w:rPr>
            </w:pPr>
          </w:p>
        </w:tc>
        <w:tc>
          <w:tcPr>
            <w:tcW w:w="4961" w:type="dxa"/>
            <w:tcBorders>
              <w:top w:val="single" w:sz="6" w:space="0" w:color="auto"/>
              <w:left w:val="nil"/>
              <w:bottom w:val="single" w:sz="6" w:space="0" w:color="auto"/>
              <w:right w:val="single" w:sz="6" w:space="0" w:color="auto"/>
            </w:tcBorders>
          </w:tcPr>
          <w:p w:rsidR="000932DE" w:rsidRPr="00063D42" w:rsidRDefault="000932DE" w:rsidP="00EE3310">
            <w:pPr>
              <w:pStyle w:val="Tabletext"/>
              <w:ind w:left="284" w:hanging="284"/>
              <w:rPr>
                <w:sz w:val="18"/>
                <w:szCs w:val="18"/>
              </w:rPr>
            </w:pPr>
            <w:r w:rsidRPr="00063D42">
              <w:rPr>
                <w:i/>
                <w:iCs/>
                <w:sz w:val="18"/>
                <w:szCs w:val="18"/>
              </w:rPr>
              <w:t>a)</w:t>
            </w:r>
            <w:r w:rsidRPr="00063D42">
              <w:rPr>
                <w:sz w:val="18"/>
                <w:szCs w:val="18"/>
              </w:rPr>
              <w:tab/>
              <w:t>should be consistent with "Common Patent Policy for ITU</w:t>
            </w:r>
            <w:r w:rsidRPr="00063D42">
              <w:rPr>
                <w:sz w:val="18"/>
                <w:szCs w:val="18"/>
              </w:rPr>
              <w:noBreakHyphen/>
              <w:t>T/ ITU</w:t>
            </w:r>
            <w:r w:rsidRPr="00063D42">
              <w:rPr>
                <w:sz w:val="18"/>
                <w:szCs w:val="18"/>
              </w:rPr>
              <w:noBreakHyphen/>
              <w:t>R/ISO/IEC" and "Guidelines for Implementation of the Common Patent Policy for ITU</w:t>
            </w:r>
            <w:r w:rsidRPr="00063D42">
              <w:rPr>
                <w:sz w:val="18"/>
                <w:szCs w:val="18"/>
              </w:rPr>
              <w:noBreakHyphen/>
              <w:t>T/ITU</w:t>
            </w:r>
            <w:r w:rsidRPr="00063D42">
              <w:rPr>
                <w:sz w:val="18"/>
                <w:szCs w:val="18"/>
              </w:rPr>
              <w:noBreakHyphen/>
              <w:t>R/ISO/IEC"*);</w:t>
            </w:r>
          </w:p>
          <w:p w:rsidR="000932DE" w:rsidRPr="00063D42" w:rsidRDefault="000932DE" w:rsidP="00EE3310">
            <w:pPr>
              <w:pStyle w:val="Tabletext"/>
              <w:ind w:left="284" w:hanging="284"/>
              <w:rPr>
                <w:sz w:val="18"/>
                <w:szCs w:val="18"/>
              </w:rPr>
            </w:pPr>
            <w:r w:rsidRPr="00063D42">
              <w:rPr>
                <w:i/>
                <w:iCs/>
                <w:sz w:val="18"/>
                <w:szCs w:val="18"/>
              </w:rPr>
              <w:t>b)</w:t>
            </w:r>
            <w:r w:rsidRPr="00063D42">
              <w:rPr>
                <w:sz w:val="18"/>
                <w:szCs w:val="18"/>
              </w:rPr>
              <w:tab/>
              <w:t>should be consistent with "ITU</w:t>
            </w:r>
            <w:r w:rsidRPr="00063D42">
              <w:rPr>
                <w:sz w:val="18"/>
                <w:szCs w:val="18"/>
              </w:rPr>
              <w:noBreakHyphen/>
              <w:t>T Software Copyright Guidelines</w:t>
            </w:r>
            <w:r w:rsidRPr="00063D42">
              <w:rPr>
                <w:rFonts w:eastAsia="SimSun"/>
                <w:sz w:val="18"/>
                <w:szCs w:val="18"/>
              </w:rPr>
              <w:t>"*)</w:t>
            </w:r>
            <w:r w:rsidRPr="00063D42">
              <w:rPr>
                <w:sz w:val="18"/>
                <w:szCs w:val="18"/>
              </w:rPr>
              <w:t>;</w:t>
            </w:r>
          </w:p>
          <w:p w:rsidR="000932DE" w:rsidRPr="00063D42" w:rsidRDefault="000932DE" w:rsidP="00EE3310">
            <w:pPr>
              <w:pStyle w:val="Tabletext"/>
              <w:ind w:left="284" w:hanging="284"/>
              <w:rPr>
                <w:rFonts w:eastAsia="SimSun"/>
                <w:sz w:val="18"/>
                <w:szCs w:val="18"/>
              </w:rPr>
            </w:pPr>
            <w:r w:rsidRPr="00063D42">
              <w:rPr>
                <w:i/>
                <w:iCs/>
                <w:sz w:val="18"/>
                <w:szCs w:val="18"/>
              </w:rPr>
              <w:t>c)</w:t>
            </w:r>
            <w:r w:rsidRPr="00063D42">
              <w:rPr>
                <w:rFonts w:eastAsia="SimSun"/>
                <w:sz w:val="18"/>
                <w:szCs w:val="18"/>
              </w:rPr>
              <w:tab/>
              <w:t>should be consistent with "ITU</w:t>
            </w:r>
            <w:r w:rsidRPr="00063D42">
              <w:rPr>
                <w:rFonts w:eastAsia="SimSun"/>
                <w:sz w:val="18"/>
                <w:szCs w:val="18"/>
              </w:rPr>
              <w:noBreakHyphen/>
              <w:t>T Guidelines related to the inclusion of Marks in ITU</w:t>
            </w:r>
            <w:r w:rsidRPr="00063D42">
              <w:rPr>
                <w:rFonts w:eastAsia="SimSun"/>
                <w:sz w:val="18"/>
                <w:szCs w:val="18"/>
              </w:rPr>
              <w:noBreakHyphen/>
              <w:t>T Recommendations";</w:t>
            </w:r>
          </w:p>
          <w:p w:rsidR="000932DE" w:rsidRPr="00063D42" w:rsidRDefault="000932DE" w:rsidP="00EE3310">
            <w:pPr>
              <w:pStyle w:val="Tabletext"/>
              <w:ind w:left="284" w:hanging="284"/>
              <w:rPr>
                <w:sz w:val="18"/>
                <w:szCs w:val="18"/>
              </w:rPr>
            </w:pPr>
            <w:r w:rsidRPr="00063D42">
              <w:rPr>
                <w:i/>
                <w:iCs/>
                <w:sz w:val="18"/>
                <w:szCs w:val="18"/>
              </w:rPr>
              <w:t>d)</w:t>
            </w:r>
            <w:r w:rsidRPr="00063D42">
              <w:rPr>
                <w:rFonts w:eastAsia="SimSun"/>
                <w:sz w:val="18"/>
                <w:szCs w:val="18"/>
              </w:rPr>
              <w:tab/>
              <w:t xml:space="preserve">ITU and ITU Member States and Sector Members should have the right to copy for standardization-related purposes </w:t>
            </w:r>
            <w:r w:rsidRPr="00063D42">
              <w:rPr>
                <w:sz w:val="18"/>
                <w:szCs w:val="18"/>
              </w:rPr>
              <w:t>(see also Rec. ITU</w:t>
            </w:r>
            <w:r w:rsidRPr="00063D42">
              <w:rPr>
                <w:sz w:val="18"/>
                <w:szCs w:val="18"/>
              </w:rPr>
              <w:noBreakHyphen/>
              <w:t>T A.1 with regard to copying and distribution).</w:t>
            </w:r>
          </w:p>
        </w:tc>
        <w:tc>
          <w:tcPr>
            <w:tcW w:w="7230" w:type="dxa"/>
            <w:tcBorders>
              <w:top w:val="single" w:sz="6" w:space="0" w:color="auto"/>
              <w:left w:val="nil"/>
              <w:bottom w:val="single" w:sz="6" w:space="0" w:color="auto"/>
              <w:right w:val="single" w:sz="6" w:space="0" w:color="auto"/>
            </w:tcBorders>
          </w:tcPr>
          <w:p w:rsidR="000932DE" w:rsidRDefault="00FC146E" w:rsidP="00EE3310">
            <w:pPr>
              <w:pStyle w:val="Tabletext"/>
              <w:rPr>
                <w:rFonts w:asciiTheme="majorBidi" w:hAnsiTheme="majorBidi" w:cstheme="majorBidi"/>
                <w:sz w:val="18"/>
                <w:szCs w:val="18"/>
              </w:rPr>
            </w:pPr>
            <w:hyperlink r:id="rId27" w:history="1">
              <w:r w:rsidR="000932DE" w:rsidRPr="00160A88">
                <w:rPr>
                  <w:rStyle w:val="Hyperlink"/>
                  <w:rFonts w:asciiTheme="majorBidi" w:hAnsiTheme="majorBidi" w:cstheme="majorBidi"/>
                  <w:sz w:val="18"/>
                  <w:szCs w:val="18"/>
                </w:rPr>
                <w:t>SAE Intellectual Property Policy</w:t>
              </w:r>
            </w:hyperlink>
            <w:r w:rsidR="000932DE" w:rsidRPr="00160A88">
              <w:rPr>
                <w:rFonts w:eastAsiaTheme="minorHAnsi"/>
                <w:sz w:val="18"/>
                <w:szCs w:val="18"/>
              </w:rPr>
              <w:t xml:space="preserve"> </w:t>
            </w:r>
            <w:r w:rsidR="000932DE" w:rsidRPr="00160A88">
              <w:rPr>
                <w:rFonts w:asciiTheme="majorBidi" w:hAnsiTheme="majorBidi" w:cstheme="majorBidi"/>
                <w:sz w:val="18"/>
                <w:szCs w:val="18"/>
              </w:rPr>
              <w:t xml:space="preserve">includes copyrights, trademarks and patents.  </w:t>
            </w:r>
          </w:p>
          <w:p w:rsidR="000932DE" w:rsidRPr="0016722C" w:rsidRDefault="000932DE" w:rsidP="00EE3310">
            <w:pPr>
              <w:pStyle w:val="Tabletext"/>
              <w:rPr>
                <w:rFonts w:asciiTheme="majorBidi" w:hAnsiTheme="majorBidi" w:cstheme="majorBidi"/>
                <w:sz w:val="18"/>
                <w:szCs w:val="18"/>
              </w:rPr>
            </w:pPr>
            <w:r w:rsidRPr="0016722C">
              <w:rPr>
                <w:rFonts w:asciiTheme="majorBidi" w:hAnsiTheme="majorBidi" w:cstheme="majorBidi"/>
                <w:sz w:val="18"/>
                <w:szCs w:val="18"/>
              </w:rPr>
              <w:t>In addition</w:t>
            </w:r>
            <w:r>
              <w:rPr>
                <w:rFonts w:asciiTheme="majorBidi" w:hAnsiTheme="majorBidi" w:cstheme="majorBidi"/>
                <w:sz w:val="18"/>
                <w:szCs w:val="18"/>
              </w:rPr>
              <w:t xml:space="preserve"> to the above Policy</w:t>
            </w:r>
            <w:r w:rsidRPr="0016722C">
              <w:rPr>
                <w:rFonts w:asciiTheme="majorBidi" w:hAnsiTheme="majorBidi" w:cstheme="majorBidi"/>
                <w:sz w:val="18"/>
                <w:szCs w:val="18"/>
              </w:rPr>
              <w:t>, the following IP and Patent statements are explicitly a part of EVERY standards committee meeting agenda:</w:t>
            </w:r>
          </w:p>
          <w:p w:rsidR="000932DE" w:rsidRPr="0016722C" w:rsidRDefault="000932DE" w:rsidP="00EE3310">
            <w:pPr>
              <w:pStyle w:val="Tabletext"/>
              <w:rPr>
                <w:rFonts w:asciiTheme="majorBidi" w:hAnsiTheme="majorBidi" w:cstheme="majorBidi"/>
                <w:sz w:val="18"/>
                <w:szCs w:val="18"/>
              </w:rPr>
            </w:pPr>
            <w:r w:rsidRPr="008D6A7C">
              <w:rPr>
                <w:rFonts w:asciiTheme="majorBidi" w:hAnsiTheme="majorBidi" w:cstheme="majorBidi"/>
                <w:b/>
                <w:sz w:val="18"/>
                <w:szCs w:val="18"/>
              </w:rPr>
              <w:t>Patent Disclosure:</w:t>
            </w:r>
            <w:r w:rsidRPr="0016722C">
              <w:rPr>
                <w:rFonts w:asciiTheme="majorBidi" w:hAnsiTheme="majorBidi" w:cstheme="majorBidi"/>
                <w:sz w:val="18"/>
                <w:szCs w:val="18"/>
              </w:rPr>
              <w:t xml:space="preserve"> Each SAE Technical Committee or SAE working group member would be required to disclose at specified times during a development process all patents and patent applications that are owned, controlled or licensed by the member, member’s employer or third party and that the member believes may become essential to the draft specification under development. The member would make this disclosure based on the member’s good faith and reasonable inquiry. If SAE International receives a notice that a proposed SAE Technical Report may require the use of an invention claimed in a patent, the respective part of the SAE Technical Standards Board Policy will be followed.</w:t>
            </w:r>
          </w:p>
          <w:p w:rsidR="000932DE" w:rsidRPr="0016722C" w:rsidRDefault="00FC146E" w:rsidP="00EE3310">
            <w:pPr>
              <w:pStyle w:val="Tabletext"/>
              <w:rPr>
                <w:rFonts w:asciiTheme="majorBidi" w:hAnsiTheme="majorBidi" w:cstheme="majorBidi"/>
                <w:sz w:val="18"/>
                <w:szCs w:val="18"/>
              </w:rPr>
            </w:pPr>
            <w:hyperlink r:id="rId28" w:history="1">
              <w:r w:rsidR="000932DE" w:rsidRPr="00FA75EF">
                <w:rPr>
                  <w:rStyle w:val="Hyperlink"/>
                  <w:b/>
                  <w:sz w:val="18"/>
                  <w:szCs w:val="18"/>
                </w:rPr>
                <w:t>IP Statement</w:t>
              </w:r>
            </w:hyperlink>
            <w:r w:rsidR="000932DE" w:rsidRPr="00FA75EF">
              <w:rPr>
                <w:rFonts w:asciiTheme="majorBidi" w:hAnsiTheme="majorBidi" w:cstheme="majorBidi"/>
                <w:b/>
                <w:sz w:val="18"/>
                <w:szCs w:val="18"/>
              </w:rPr>
              <w:t>:</w:t>
            </w:r>
            <w:r w:rsidR="000932DE" w:rsidRPr="0016722C">
              <w:rPr>
                <w:rFonts w:asciiTheme="majorBidi" w:hAnsiTheme="majorBidi" w:cstheme="majorBidi"/>
                <w:sz w:val="18"/>
                <w:szCs w:val="18"/>
              </w:rPr>
              <w:t xml:space="preserve"> </w:t>
            </w:r>
            <w:r w:rsidR="000932DE">
              <w:rPr>
                <w:rFonts w:asciiTheme="majorBidi" w:hAnsiTheme="majorBidi" w:cstheme="majorBidi"/>
                <w:sz w:val="18"/>
                <w:szCs w:val="18"/>
              </w:rPr>
              <w:t>"</w:t>
            </w:r>
            <w:r w:rsidR="000932DE" w:rsidRPr="0016722C">
              <w:rPr>
                <w:rFonts w:asciiTheme="majorBidi" w:hAnsiTheme="majorBidi" w:cstheme="majorBidi"/>
                <w:sz w:val="18"/>
                <w:szCs w:val="18"/>
              </w:rPr>
              <w:t>SAE's intellectual property is its most valuable asset. As such, the Society expends considerable resources maintaining and protecting its rights to its intellectual property.</w:t>
            </w:r>
          </w:p>
          <w:p w:rsidR="000932DE" w:rsidRPr="0016722C" w:rsidRDefault="000932DE" w:rsidP="00EE3310">
            <w:pPr>
              <w:pStyle w:val="Tabletext"/>
              <w:rPr>
                <w:rFonts w:asciiTheme="majorBidi" w:hAnsiTheme="majorBidi" w:cstheme="majorBidi"/>
                <w:sz w:val="18"/>
                <w:szCs w:val="18"/>
              </w:rPr>
            </w:pPr>
            <w:r w:rsidRPr="0016722C">
              <w:rPr>
                <w:rFonts w:asciiTheme="majorBidi" w:hAnsiTheme="majorBidi" w:cstheme="majorBidi"/>
                <w:sz w:val="18"/>
                <w:szCs w:val="18"/>
              </w:rPr>
              <w:t>SAE reserves the right to copyright any of its print products, electronic products, databases, audio/visual products and any other subject matter. This is intended to protect SAE and its members from unauthorized copying and distribution of SAE intellectual property. SAE's intellectual property may only be used in a manner that furthers the organization's purposes.</w:t>
            </w:r>
          </w:p>
          <w:p w:rsidR="000932DE" w:rsidRPr="0016722C" w:rsidRDefault="000932DE" w:rsidP="00EE3310">
            <w:pPr>
              <w:pStyle w:val="Tabletext"/>
              <w:rPr>
                <w:rFonts w:asciiTheme="majorBidi" w:hAnsiTheme="majorBidi" w:cstheme="majorBidi"/>
                <w:sz w:val="18"/>
                <w:szCs w:val="18"/>
              </w:rPr>
            </w:pPr>
            <w:r w:rsidRPr="0016722C">
              <w:rPr>
                <w:rFonts w:asciiTheme="majorBidi" w:hAnsiTheme="majorBidi" w:cstheme="majorBidi"/>
                <w:sz w:val="18"/>
                <w:szCs w:val="18"/>
              </w:rPr>
              <w:t>It is also SAE policy that the copyrights and other intellectual property rights of third parties be respected and not infringed upon by SAE or any of its committees, or any employee, member or other person acting on behalf of SAE.</w:t>
            </w:r>
            <w:r>
              <w:rPr>
                <w:rFonts w:asciiTheme="majorBidi" w:hAnsiTheme="majorBidi" w:cstheme="majorBidi"/>
                <w:sz w:val="18"/>
                <w:szCs w:val="18"/>
              </w:rPr>
              <w:t>"</w:t>
            </w:r>
          </w:p>
          <w:p w:rsidR="000932DE" w:rsidRPr="00160A88" w:rsidRDefault="000932DE" w:rsidP="00EE3310">
            <w:pPr>
              <w:pStyle w:val="Tabletext"/>
              <w:rPr>
                <w:rFonts w:asciiTheme="majorBidi" w:hAnsiTheme="majorBidi" w:cstheme="majorBidi"/>
                <w:sz w:val="18"/>
                <w:szCs w:val="18"/>
              </w:rPr>
            </w:pPr>
            <w:r w:rsidRPr="0016722C">
              <w:rPr>
                <w:rFonts w:asciiTheme="majorBidi" w:hAnsiTheme="majorBidi" w:cstheme="majorBidi"/>
                <w:sz w:val="18"/>
                <w:szCs w:val="18"/>
              </w:rPr>
              <w:lastRenderedPageBreak/>
              <w:t>As a participant in SAE Technical Committees, individuals agree that the collective work of the committee(s) is the property of SAE, and SAE is charged with its publication, dissemination, and protection.</w:t>
            </w:r>
          </w:p>
          <w:p w:rsidR="000932DE" w:rsidRPr="00160A88" w:rsidRDefault="000932DE" w:rsidP="00EE3310">
            <w:pPr>
              <w:pStyle w:val="Tabletext"/>
              <w:ind w:left="284" w:hanging="284"/>
              <w:rPr>
                <w:sz w:val="18"/>
                <w:szCs w:val="18"/>
              </w:rPr>
            </w:pPr>
            <w:r w:rsidRPr="00160A88">
              <w:rPr>
                <w:rFonts w:asciiTheme="majorBidi" w:hAnsiTheme="majorBidi" w:cstheme="majorBidi"/>
                <w:sz w:val="18"/>
                <w:szCs w:val="18"/>
              </w:rPr>
              <w:t>a)</w:t>
            </w:r>
            <w:r w:rsidRPr="00160A88">
              <w:rPr>
                <w:rFonts w:asciiTheme="majorBidi" w:hAnsiTheme="majorBidi" w:cstheme="majorBidi"/>
                <w:sz w:val="18"/>
                <w:szCs w:val="18"/>
              </w:rPr>
              <w:tab/>
              <w:t xml:space="preserve">SAE Patent policy (clause 4) is consistent with </w:t>
            </w:r>
            <w:r w:rsidRPr="00160A88">
              <w:rPr>
                <w:sz w:val="18"/>
                <w:szCs w:val="18"/>
              </w:rPr>
              <w:t>"Common Patent Policy for ITU</w:t>
            </w:r>
            <w:r w:rsidRPr="00160A88">
              <w:rPr>
                <w:sz w:val="18"/>
                <w:szCs w:val="18"/>
              </w:rPr>
              <w:noBreakHyphen/>
              <w:t>T/ ITU</w:t>
            </w:r>
            <w:r w:rsidRPr="00160A88">
              <w:rPr>
                <w:sz w:val="18"/>
                <w:szCs w:val="18"/>
              </w:rPr>
              <w:noBreakHyphen/>
              <w:t>R/ISO/IEC";</w:t>
            </w:r>
          </w:p>
          <w:p w:rsidR="000932DE" w:rsidRPr="00160A88" w:rsidRDefault="000932DE" w:rsidP="00EE3310">
            <w:pPr>
              <w:pStyle w:val="Tabletext"/>
              <w:ind w:left="284" w:hanging="284"/>
              <w:rPr>
                <w:sz w:val="18"/>
                <w:szCs w:val="18"/>
              </w:rPr>
            </w:pPr>
            <w:r w:rsidRPr="00160A88">
              <w:rPr>
                <w:sz w:val="18"/>
                <w:szCs w:val="18"/>
              </w:rPr>
              <w:t>b)</w:t>
            </w:r>
            <w:r w:rsidRPr="00160A88">
              <w:rPr>
                <w:sz w:val="18"/>
                <w:szCs w:val="18"/>
              </w:rPr>
              <w:tab/>
            </w:r>
            <w:r w:rsidRPr="00160A88">
              <w:rPr>
                <w:iCs/>
                <w:sz w:val="18"/>
                <w:szCs w:val="18"/>
              </w:rPr>
              <w:t>No conflicts were identified concerning software copyright matters, as SAE does not have a specific software copyright policy</w:t>
            </w:r>
            <w:r w:rsidRPr="00F73575">
              <w:rPr>
                <w:iCs/>
                <w:sz w:val="18"/>
                <w:szCs w:val="18"/>
              </w:rPr>
              <w:t xml:space="preserve">. Cases of the inclusion of 3rd party software in </w:t>
            </w:r>
            <w:r w:rsidRPr="008D6A7C">
              <w:rPr>
                <w:iCs/>
                <w:sz w:val="18"/>
                <w:szCs w:val="18"/>
              </w:rPr>
              <w:t>SAE</w:t>
            </w:r>
            <w:r w:rsidRPr="00F73575">
              <w:rPr>
                <w:iCs/>
                <w:sz w:val="18"/>
                <w:szCs w:val="18"/>
              </w:rPr>
              <w:t xml:space="preserve"> standards are dealt with on a case-by-case</w:t>
            </w:r>
            <w:r w:rsidRPr="008D6A7C">
              <w:rPr>
                <w:iCs/>
                <w:sz w:val="18"/>
                <w:szCs w:val="18"/>
              </w:rPr>
              <w:t xml:space="preserve"> basi</w:t>
            </w:r>
            <w:r w:rsidRPr="00F73575">
              <w:rPr>
                <w:iCs/>
                <w:sz w:val="18"/>
                <w:szCs w:val="18"/>
              </w:rPr>
              <w:t>s</w:t>
            </w:r>
            <w:r w:rsidRPr="00160A88">
              <w:rPr>
                <w:sz w:val="18"/>
                <w:szCs w:val="18"/>
              </w:rPr>
              <w:t>;</w:t>
            </w:r>
          </w:p>
          <w:p w:rsidR="000932DE" w:rsidRPr="00160A88" w:rsidRDefault="000932DE" w:rsidP="00EE3310">
            <w:pPr>
              <w:pStyle w:val="Tabletext"/>
              <w:ind w:left="284" w:hanging="284"/>
              <w:rPr>
                <w:rFonts w:eastAsia="SimSun"/>
                <w:sz w:val="18"/>
                <w:szCs w:val="18"/>
              </w:rPr>
            </w:pPr>
            <w:r w:rsidRPr="00160A88">
              <w:rPr>
                <w:sz w:val="18"/>
                <w:szCs w:val="18"/>
              </w:rPr>
              <w:t>c)</w:t>
            </w:r>
            <w:r w:rsidRPr="00160A88">
              <w:rPr>
                <w:sz w:val="18"/>
                <w:szCs w:val="18"/>
              </w:rPr>
              <w:tab/>
              <w:t>SAE trademark guidelines for the use of 3rd party Marks (clause 3.2.3) is consistent</w:t>
            </w:r>
            <w:r w:rsidRPr="00160A88">
              <w:rPr>
                <w:rFonts w:asciiTheme="majorBidi" w:hAnsiTheme="majorBidi" w:cstheme="majorBidi"/>
                <w:sz w:val="18"/>
                <w:szCs w:val="18"/>
              </w:rPr>
              <w:t xml:space="preserve"> with the </w:t>
            </w:r>
            <w:r w:rsidRPr="00160A88">
              <w:rPr>
                <w:rFonts w:eastAsia="SimSun"/>
                <w:sz w:val="18"/>
                <w:szCs w:val="18"/>
              </w:rPr>
              <w:t>"ITU</w:t>
            </w:r>
            <w:r w:rsidRPr="00160A88">
              <w:rPr>
                <w:rFonts w:eastAsia="SimSun"/>
                <w:sz w:val="18"/>
                <w:szCs w:val="18"/>
              </w:rPr>
              <w:noBreakHyphen/>
              <w:t>T Guidelines related to the inclusion of Marks in ITU</w:t>
            </w:r>
            <w:r w:rsidRPr="00160A88">
              <w:rPr>
                <w:rFonts w:eastAsia="SimSun"/>
                <w:sz w:val="18"/>
                <w:szCs w:val="18"/>
              </w:rPr>
              <w:noBreakHyphen/>
              <w:t>T Recommendations";</w:t>
            </w:r>
          </w:p>
          <w:p w:rsidR="000932DE" w:rsidRPr="00160A88" w:rsidRDefault="000932DE" w:rsidP="00EE3310">
            <w:pPr>
              <w:pStyle w:val="Tabletext"/>
              <w:ind w:left="284" w:hanging="284"/>
              <w:rPr>
                <w:rFonts w:asciiTheme="majorBidi" w:hAnsiTheme="majorBidi" w:cstheme="majorBidi"/>
                <w:sz w:val="18"/>
                <w:szCs w:val="18"/>
              </w:rPr>
            </w:pPr>
            <w:r w:rsidRPr="00160A88">
              <w:rPr>
                <w:sz w:val="18"/>
                <w:szCs w:val="18"/>
              </w:rPr>
              <w:t>d)</w:t>
            </w:r>
            <w:r w:rsidRPr="00160A88">
              <w:rPr>
                <w:sz w:val="18"/>
                <w:szCs w:val="18"/>
              </w:rPr>
              <w:tab/>
            </w:r>
            <w:r w:rsidRPr="00FA7AA6">
              <w:rPr>
                <w:sz w:val="18"/>
                <w:szCs w:val="18"/>
              </w:rPr>
              <w:t>Conditions under which published and draft texts from SAE could be used within ITU-T Recommendations are on a case-by-case</w:t>
            </w:r>
            <w:r>
              <w:rPr>
                <w:sz w:val="18"/>
                <w:szCs w:val="18"/>
              </w:rPr>
              <w:t xml:space="preserve"> basi</w:t>
            </w:r>
            <w:r w:rsidRPr="00FA7AA6">
              <w:rPr>
                <w:sz w:val="18"/>
                <w:szCs w:val="18"/>
              </w:rPr>
              <w:t>s. A written request needs to be made to the SAE Secretariat to allow the use of a specific SAE document.</w:t>
            </w:r>
          </w:p>
        </w:tc>
      </w:tr>
      <w:tr w:rsidR="000932DE" w:rsidRPr="00063D42" w:rsidTr="00EE3310">
        <w:trPr>
          <w:jc w:val="center"/>
        </w:trPr>
        <w:tc>
          <w:tcPr>
            <w:tcW w:w="2969" w:type="dxa"/>
            <w:tcBorders>
              <w:top w:val="single" w:sz="6" w:space="0" w:color="auto"/>
              <w:left w:val="single" w:sz="6" w:space="0" w:color="auto"/>
              <w:bottom w:val="single" w:sz="6" w:space="0" w:color="auto"/>
              <w:right w:val="single" w:sz="6" w:space="0" w:color="auto"/>
            </w:tcBorders>
          </w:tcPr>
          <w:p w:rsidR="000932DE" w:rsidRPr="00063D42" w:rsidRDefault="000932DE" w:rsidP="00EE3310">
            <w:pPr>
              <w:pStyle w:val="Tabletext"/>
              <w:rPr>
                <w:sz w:val="18"/>
                <w:szCs w:val="18"/>
              </w:rPr>
            </w:pPr>
            <w:r w:rsidRPr="00063D42">
              <w:rPr>
                <w:sz w:val="18"/>
                <w:szCs w:val="18"/>
              </w:rPr>
              <w:lastRenderedPageBreak/>
              <w:t>6)</w:t>
            </w:r>
            <w:r w:rsidRPr="00063D42">
              <w:rPr>
                <w:sz w:val="18"/>
                <w:szCs w:val="18"/>
              </w:rPr>
              <w:tab/>
              <w:t>Working methods/processes</w:t>
            </w:r>
          </w:p>
        </w:tc>
        <w:tc>
          <w:tcPr>
            <w:tcW w:w="4961" w:type="dxa"/>
            <w:tcBorders>
              <w:top w:val="single" w:sz="6" w:space="0" w:color="auto"/>
              <w:left w:val="nil"/>
              <w:bottom w:val="single" w:sz="6" w:space="0" w:color="auto"/>
              <w:right w:val="single" w:sz="6" w:space="0" w:color="auto"/>
            </w:tcBorders>
          </w:tcPr>
          <w:p w:rsidR="000932DE" w:rsidRPr="00063D42" w:rsidRDefault="000932DE" w:rsidP="00EE3310">
            <w:pPr>
              <w:pStyle w:val="Tabletext"/>
              <w:ind w:left="284" w:hanging="284"/>
              <w:rPr>
                <w:sz w:val="18"/>
                <w:szCs w:val="18"/>
              </w:rPr>
            </w:pPr>
            <w:r w:rsidRPr="00063D42">
              <w:rPr>
                <w:sz w:val="18"/>
                <w:szCs w:val="18"/>
              </w:rPr>
              <w:t>–</w:t>
            </w:r>
            <w:r w:rsidRPr="00063D42">
              <w:rPr>
                <w:sz w:val="18"/>
                <w:szCs w:val="18"/>
              </w:rPr>
              <w:tab/>
              <w:t>should be well-documented;</w:t>
            </w:r>
          </w:p>
          <w:p w:rsidR="000932DE" w:rsidRPr="00063D42" w:rsidRDefault="000932DE" w:rsidP="00EE3310">
            <w:pPr>
              <w:pStyle w:val="Tabletext"/>
              <w:ind w:left="284" w:hanging="284"/>
              <w:rPr>
                <w:sz w:val="18"/>
                <w:szCs w:val="18"/>
              </w:rPr>
            </w:pPr>
            <w:r w:rsidRPr="00063D42">
              <w:rPr>
                <w:sz w:val="18"/>
                <w:szCs w:val="18"/>
              </w:rPr>
              <w:t>–</w:t>
            </w:r>
            <w:r w:rsidRPr="00063D42">
              <w:rPr>
                <w:sz w:val="18"/>
                <w:szCs w:val="18"/>
              </w:rPr>
              <w:tab/>
              <w:t>should be open and fair [A.5: and transparent];</w:t>
            </w:r>
          </w:p>
          <w:p w:rsidR="000932DE" w:rsidRPr="00063D42" w:rsidRDefault="000932DE" w:rsidP="00EE3310">
            <w:pPr>
              <w:pStyle w:val="Tabletext"/>
              <w:ind w:left="284" w:hanging="284"/>
              <w:rPr>
                <w:sz w:val="18"/>
                <w:szCs w:val="18"/>
              </w:rPr>
            </w:pPr>
            <w:r w:rsidRPr="00063D42">
              <w:rPr>
                <w:sz w:val="18"/>
                <w:szCs w:val="18"/>
              </w:rPr>
              <w:t>–</w:t>
            </w:r>
            <w:r w:rsidRPr="00063D42">
              <w:rPr>
                <w:sz w:val="18"/>
                <w:szCs w:val="18"/>
              </w:rPr>
              <w:tab/>
              <w:t>should support competition;</w:t>
            </w:r>
          </w:p>
          <w:p w:rsidR="000932DE" w:rsidRPr="00063D42" w:rsidRDefault="000932DE" w:rsidP="00EE3310">
            <w:pPr>
              <w:pStyle w:val="Tabletext"/>
              <w:ind w:left="284" w:hanging="284"/>
              <w:rPr>
                <w:sz w:val="18"/>
                <w:szCs w:val="18"/>
              </w:rPr>
            </w:pPr>
            <w:r w:rsidRPr="00063D42">
              <w:rPr>
                <w:sz w:val="18"/>
                <w:szCs w:val="18"/>
              </w:rPr>
              <w:t>–</w:t>
            </w:r>
            <w:r w:rsidRPr="00063D42">
              <w:rPr>
                <w:sz w:val="18"/>
                <w:szCs w:val="18"/>
              </w:rPr>
              <w:tab/>
              <w:t>should explicitly consider anti-trust issues.</w:t>
            </w:r>
          </w:p>
        </w:tc>
        <w:tc>
          <w:tcPr>
            <w:tcW w:w="7230" w:type="dxa"/>
            <w:tcBorders>
              <w:top w:val="single" w:sz="6" w:space="0" w:color="auto"/>
              <w:left w:val="nil"/>
              <w:bottom w:val="single" w:sz="6" w:space="0" w:color="auto"/>
              <w:right w:val="single" w:sz="6" w:space="0" w:color="auto"/>
            </w:tcBorders>
          </w:tcPr>
          <w:p w:rsidR="000932DE" w:rsidRPr="00160A88" w:rsidRDefault="000932DE" w:rsidP="000932DE">
            <w:pPr>
              <w:pStyle w:val="Tabletext"/>
              <w:numPr>
                <w:ilvl w:val="0"/>
                <w:numId w:val="2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asciiTheme="majorBidi" w:hAnsiTheme="majorBidi" w:cstheme="majorBidi"/>
                <w:sz w:val="18"/>
                <w:szCs w:val="18"/>
              </w:rPr>
            </w:pPr>
            <w:r w:rsidRPr="00160A88">
              <w:rPr>
                <w:rFonts w:asciiTheme="majorBidi" w:hAnsiTheme="majorBidi" w:cstheme="majorBidi"/>
                <w:sz w:val="18"/>
                <w:szCs w:val="18"/>
              </w:rPr>
              <w:t>The Technical Standard Board Governance</w:t>
            </w:r>
            <w:r w:rsidRPr="00207A5C">
              <w:rPr>
                <w:rFonts w:asciiTheme="majorBidi" w:hAnsiTheme="majorBidi" w:cstheme="majorBidi"/>
                <w:sz w:val="18"/>
                <w:szCs w:val="18"/>
              </w:rPr>
              <w:t xml:space="preserve"> </w:t>
            </w:r>
            <w:hyperlink r:id="rId29" w:history="1">
              <w:r w:rsidRPr="008D6A7C">
                <w:rPr>
                  <w:sz w:val="18"/>
                  <w:szCs w:val="18"/>
                </w:rPr>
                <w:t>Policy</w:t>
              </w:r>
            </w:hyperlink>
            <w:r w:rsidRPr="00160A88">
              <w:rPr>
                <w:rFonts w:asciiTheme="majorBidi" w:hAnsiTheme="majorBidi" w:cstheme="majorBidi"/>
                <w:sz w:val="18"/>
                <w:szCs w:val="18"/>
              </w:rPr>
              <w:t xml:space="preserve"> documents the Technical Report development process (</w:t>
            </w:r>
            <w:r w:rsidRPr="00FA7AA6">
              <w:rPr>
                <w:rFonts w:asciiTheme="majorBidi" w:hAnsiTheme="majorBidi" w:cstheme="majorBidi"/>
                <w:sz w:val="18"/>
                <w:szCs w:val="18"/>
              </w:rPr>
              <w:t>§</w:t>
            </w:r>
            <w:r w:rsidRPr="00160A88">
              <w:rPr>
                <w:rFonts w:asciiTheme="majorBidi" w:hAnsiTheme="majorBidi" w:cstheme="majorBidi"/>
                <w:sz w:val="18"/>
                <w:szCs w:val="18"/>
              </w:rPr>
              <w:t xml:space="preserve"> 1.9). </w:t>
            </w:r>
            <w:r w:rsidRPr="00FA7AA6">
              <w:rPr>
                <w:rFonts w:asciiTheme="majorBidi" w:hAnsiTheme="majorBidi" w:cstheme="majorBidi"/>
                <w:sz w:val="18"/>
                <w:szCs w:val="18"/>
              </w:rPr>
              <w:t>Figures 1 and 2 illustrate the reporting structure and the standards development process in SAE.</w:t>
            </w:r>
          </w:p>
          <w:p w:rsidR="000932DE" w:rsidRPr="00FA7AA6" w:rsidRDefault="000932DE" w:rsidP="000932DE">
            <w:pPr>
              <w:pStyle w:val="Tabletext"/>
              <w:numPr>
                <w:ilvl w:val="0"/>
                <w:numId w:val="2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asciiTheme="majorBidi" w:hAnsiTheme="majorBidi" w:cstheme="majorBidi"/>
                <w:sz w:val="18"/>
                <w:szCs w:val="18"/>
              </w:rPr>
            </w:pPr>
            <w:r w:rsidRPr="00160A88">
              <w:rPr>
                <w:rFonts w:asciiTheme="majorBidi" w:hAnsiTheme="majorBidi" w:cstheme="majorBidi"/>
                <w:sz w:val="18"/>
                <w:szCs w:val="18"/>
              </w:rPr>
              <w:t>SAE Technical reports which include SAE Standards; SAE Recommended Practices; SAE Information Reports; and SAE Material Specifications (</w:t>
            </w:r>
            <w:r w:rsidRPr="00FA7AA6">
              <w:rPr>
                <w:rFonts w:asciiTheme="majorBidi" w:hAnsiTheme="majorBidi" w:cstheme="majorBidi"/>
                <w:sz w:val="18"/>
                <w:szCs w:val="18"/>
              </w:rPr>
              <w:t>§</w:t>
            </w:r>
            <w:r w:rsidRPr="00160A88">
              <w:rPr>
                <w:rFonts w:asciiTheme="majorBidi" w:hAnsiTheme="majorBidi" w:cstheme="majorBidi"/>
                <w:sz w:val="18"/>
                <w:szCs w:val="18"/>
              </w:rPr>
              <w:t xml:space="preserve">1.11) are prepared by one of the SAE Technical Committees.  As of the preparation of this analysis, </w:t>
            </w:r>
            <w:r w:rsidRPr="00FA7AA6">
              <w:rPr>
                <w:rFonts w:asciiTheme="majorBidi" w:hAnsiTheme="majorBidi" w:cstheme="majorBidi"/>
                <w:sz w:val="18"/>
                <w:szCs w:val="18"/>
              </w:rPr>
              <w:t>SAE has more than 240 SAE Technical Committees with 450+ subcommittees and task groups whose outputs are approved by the Councils.</w:t>
            </w:r>
          </w:p>
          <w:p w:rsidR="000932DE" w:rsidRDefault="000932DE" w:rsidP="000932DE">
            <w:pPr>
              <w:pStyle w:val="Tabletext"/>
              <w:numPr>
                <w:ilvl w:val="0"/>
                <w:numId w:val="2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8"/>
                <w:szCs w:val="18"/>
              </w:rPr>
            </w:pPr>
            <w:r w:rsidRPr="00724BAC">
              <w:rPr>
                <w:rFonts w:asciiTheme="majorBidi" w:hAnsiTheme="majorBidi" w:cstheme="majorBidi"/>
                <w:sz w:val="18"/>
                <w:szCs w:val="18"/>
              </w:rPr>
              <w:t xml:space="preserve">Anti-trust issues: </w:t>
            </w:r>
            <w:r w:rsidRPr="008D6A7C">
              <w:rPr>
                <w:sz w:val="18"/>
                <w:szCs w:val="18"/>
              </w:rPr>
              <w:t>The following Anti-Trust statement is explicitly a part of EVERY standards committee meeting agenda:</w:t>
            </w:r>
          </w:p>
          <w:p w:rsidR="000932DE" w:rsidRPr="008D6A7C" w:rsidRDefault="000932DE" w:rsidP="00EE3310">
            <w:pPr>
              <w:ind w:left="284"/>
              <w:rPr>
                <w:sz w:val="18"/>
                <w:szCs w:val="18"/>
              </w:rPr>
            </w:pPr>
            <w:r>
              <w:rPr>
                <w:sz w:val="18"/>
                <w:szCs w:val="18"/>
              </w:rPr>
              <w:t>“</w:t>
            </w:r>
            <w:r w:rsidRPr="008D6A7C">
              <w:rPr>
                <w:sz w:val="18"/>
                <w:szCs w:val="18"/>
              </w:rPr>
              <w:t>Anti-Trust Statement:  In discharging their responsibilities, members of the Technical Standards Board, Councils/Division, and Technical Committees function as individuals and not as agents or representatives of any organization with which they may be associated, except that government employees participate in accordance with governmental regulations.  Members are appointed to SAE Technical Committees on the basis of their individual qualifications which enable them to contribute to the work of the Committee.</w:t>
            </w:r>
            <w:r>
              <w:rPr>
                <w:sz w:val="18"/>
                <w:szCs w:val="18"/>
              </w:rPr>
              <w:t>”</w:t>
            </w:r>
          </w:p>
          <w:p w:rsidR="000932DE" w:rsidRPr="00160A88" w:rsidRDefault="000932DE" w:rsidP="000932DE">
            <w:pPr>
              <w:pStyle w:val="Tabletext"/>
              <w:numPr>
                <w:ilvl w:val="0"/>
                <w:numId w:val="2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asciiTheme="majorBidi" w:hAnsiTheme="majorBidi" w:cstheme="majorBidi"/>
                <w:sz w:val="18"/>
                <w:szCs w:val="18"/>
              </w:rPr>
            </w:pPr>
            <w:r>
              <w:rPr>
                <w:rFonts w:asciiTheme="majorBidi" w:hAnsiTheme="majorBidi" w:cstheme="majorBidi"/>
                <w:sz w:val="18"/>
                <w:szCs w:val="18"/>
              </w:rPr>
              <w:t>T</w:t>
            </w:r>
            <w:r w:rsidRPr="00FA7AA6">
              <w:rPr>
                <w:rFonts w:asciiTheme="majorBidi" w:hAnsiTheme="majorBidi" w:cstheme="majorBidi"/>
                <w:sz w:val="18"/>
                <w:szCs w:val="18"/>
              </w:rPr>
              <w:t xml:space="preserve">he </w:t>
            </w:r>
            <w:r w:rsidRPr="00160A88">
              <w:rPr>
                <w:rFonts w:asciiTheme="majorBidi" w:hAnsiTheme="majorBidi" w:cstheme="majorBidi"/>
                <w:sz w:val="18"/>
                <w:szCs w:val="18"/>
              </w:rPr>
              <w:t xml:space="preserve">SAE Secretariat </w:t>
            </w:r>
            <w:r>
              <w:rPr>
                <w:rFonts w:asciiTheme="majorBidi" w:hAnsiTheme="majorBidi" w:cstheme="majorBidi"/>
                <w:sz w:val="18"/>
                <w:szCs w:val="18"/>
              </w:rPr>
              <w:t xml:space="preserve">also </w:t>
            </w:r>
            <w:r w:rsidRPr="00FA7AA6">
              <w:rPr>
                <w:rFonts w:asciiTheme="majorBidi" w:hAnsiTheme="majorBidi" w:cstheme="majorBidi"/>
                <w:sz w:val="18"/>
                <w:szCs w:val="18"/>
              </w:rPr>
              <w:t>stated</w:t>
            </w:r>
            <w:r w:rsidRPr="00160A88">
              <w:rPr>
                <w:rFonts w:asciiTheme="majorBidi" w:hAnsiTheme="majorBidi" w:cstheme="majorBidi"/>
                <w:sz w:val="18"/>
                <w:szCs w:val="18"/>
              </w:rPr>
              <w:t xml:space="preserve"> that the open and collaborative nature of the SAE standards process, including balloting, provides the necessary checks and bounds for protecting against trust issues.” </w:t>
            </w:r>
          </w:p>
          <w:p w:rsidR="000932DE" w:rsidRPr="00160A88" w:rsidRDefault="000932DE" w:rsidP="00EE3310">
            <w:pPr>
              <w:pStyle w:val="Tabletext"/>
              <w:ind w:left="284" w:hanging="284"/>
              <w:jc w:val="center"/>
              <w:rPr>
                <w:sz w:val="18"/>
                <w:szCs w:val="18"/>
              </w:rPr>
            </w:pPr>
            <w:r w:rsidRPr="00160A88">
              <w:rPr>
                <w:sz w:val="18"/>
                <w:szCs w:val="18"/>
              </w:rPr>
              <w:object w:dxaOrig="18165" w:dyaOrig="12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05pt;height:169.05pt" o:ole="">
                  <v:imagedata r:id="rId30" o:title=""/>
                </v:shape>
                <o:OLEObject Type="Embed" ProgID="PBrush" ShapeID="_x0000_i1025" DrawAspect="Content" ObjectID="_1605695134" r:id="rId31"/>
              </w:object>
            </w:r>
          </w:p>
          <w:p w:rsidR="000932DE" w:rsidRPr="008D6A7C" w:rsidRDefault="000932DE" w:rsidP="00EE3310">
            <w:pPr>
              <w:pStyle w:val="Caption"/>
              <w:ind w:left="284" w:hanging="284"/>
              <w:jc w:val="center"/>
              <w:rPr>
                <w:color w:val="auto"/>
              </w:rPr>
            </w:pPr>
            <w:r w:rsidRPr="008D6A7C">
              <w:rPr>
                <w:color w:val="auto"/>
              </w:rPr>
              <w:t xml:space="preserve">Figure </w:t>
            </w:r>
            <w:r w:rsidRPr="008D6A7C">
              <w:rPr>
                <w:noProof/>
                <w:color w:val="auto"/>
              </w:rPr>
              <w:t>1:</w:t>
            </w:r>
            <w:r w:rsidRPr="008D6A7C">
              <w:rPr>
                <w:color w:val="auto"/>
                <w:lang w:val="en-US"/>
              </w:rPr>
              <w:t xml:space="preserve"> Example of Technical Committee Reporting Structure (source: Appendix 4.8 of Technical Standards Board Governance Policy)</w:t>
            </w:r>
          </w:p>
          <w:p w:rsidR="000932DE" w:rsidRPr="00160A88" w:rsidRDefault="000932DE" w:rsidP="00EE3310">
            <w:pPr>
              <w:pStyle w:val="Tabletext"/>
              <w:keepNext/>
              <w:ind w:left="284" w:hanging="284"/>
              <w:jc w:val="center"/>
              <w:rPr>
                <w:sz w:val="18"/>
                <w:szCs w:val="18"/>
              </w:rPr>
            </w:pPr>
            <w:r w:rsidRPr="00160A88">
              <w:rPr>
                <w:sz w:val="18"/>
                <w:szCs w:val="18"/>
              </w:rPr>
              <w:object w:dxaOrig="11880" w:dyaOrig="8145">
                <v:shape id="_x0000_i1026" type="#_x0000_t75" style="width:299.9pt;height:205.35pt" o:ole="">
                  <v:imagedata r:id="rId32" o:title=""/>
                </v:shape>
                <o:OLEObject Type="Embed" ProgID="PBrush" ShapeID="_x0000_i1026" DrawAspect="Content" ObjectID="_1605695135" r:id="rId33"/>
              </w:object>
            </w:r>
          </w:p>
          <w:p w:rsidR="000932DE" w:rsidRPr="00160A88" w:rsidRDefault="000932DE" w:rsidP="00EE3310">
            <w:pPr>
              <w:pStyle w:val="Tabletext"/>
              <w:ind w:left="284" w:hanging="284"/>
              <w:jc w:val="center"/>
              <w:rPr>
                <w:rFonts w:asciiTheme="majorBidi" w:hAnsiTheme="majorBidi" w:cstheme="majorBidi"/>
                <w:sz w:val="18"/>
                <w:szCs w:val="18"/>
              </w:rPr>
            </w:pPr>
            <w:r w:rsidRPr="008D6A7C">
              <w:rPr>
                <w:rFonts w:eastAsiaTheme="minorHAnsi"/>
                <w:i/>
                <w:iCs/>
                <w:sz w:val="18"/>
                <w:szCs w:val="18"/>
                <w:lang w:eastAsia="ja-JP"/>
              </w:rPr>
              <w:t>Figure 2: SAE International Technical Report Process Overview (source: Appendix 4.1 of Technical Standards Board Governance Policy)</w:t>
            </w:r>
          </w:p>
        </w:tc>
      </w:tr>
      <w:tr w:rsidR="000932DE" w:rsidRPr="00063D42" w:rsidTr="00EE3310">
        <w:trPr>
          <w:jc w:val="center"/>
        </w:trPr>
        <w:tc>
          <w:tcPr>
            <w:tcW w:w="2969" w:type="dxa"/>
            <w:tcBorders>
              <w:top w:val="single" w:sz="6" w:space="0" w:color="auto"/>
              <w:left w:val="single" w:sz="6" w:space="0" w:color="auto"/>
              <w:bottom w:val="single" w:sz="6" w:space="0" w:color="auto"/>
              <w:right w:val="single" w:sz="6" w:space="0" w:color="auto"/>
            </w:tcBorders>
          </w:tcPr>
          <w:p w:rsidR="000932DE" w:rsidRPr="00063D42" w:rsidRDefault="000932DE" w:rsidP="00EE3310">
            <w:pPr>
              <w:pStyle w:val="Tabletext"/>
              <w:keepNext/>
              <w:rPr>
                <w:sz w:val="18"/>
                <w:szCs w:val="18"/>
              </w:rPr>
            </w:pPr>
            <w:r w:rsidRPr="00063D42">
              <w:rPr>
                <w:sz w:val="18"/>
                <w:szCs w:val="18"/>
              </w:rPr>
              <w:lastRenderedPageBreak/>
              <w:t>7)</w:t>
            </w:r>
            <w:r w:rsidRPr="00063D42">
              <w:rPr>
                <w:sz w:val="18"/>
                <w:szCs w:val="18"/>
              </w:rPr>
              <w:tab/>
              <w:t>Outputs</w:t>
            </w:r>
          </w:p>
        </w:tc>
        <w:tc>
          <w:tcPr>
            <w:tcW w:w="4961" w:type="dxa"/>
            <w:tcBorders>
              <w:top w:val="single" w:sz="6" w:space="0" w:color="auto"/>
              <w:left w:val="nil"/>
              <w:bottom w:val="single" w:sz="6" w:space="0" w:color="auto"/>
              <w:right w:val="single" w:sz="6" w:space="0" w:color="auto"/>
            </w:tcBorders>
          </w:tcPr>
          <w:p w:rsidR="000932DE" w:rsidRPr="00063D42" w:rsidRDefault="000932DE" w:rsidP="00EE3310">
            <w:pPr>
              <w:pStyle w:val="Tabletext"/>
              <w:keepNext/>
              <w:ind w:left="284" w:hanging="284"/>
              <w:rPr>
                <w:sz w:val="18"/>
                <w:szCs w:val="18"/>
              </w:rPr>
            </w:pPr>
            <w:r w:rsidRPr="00063D42">
              <w:rPr>
                <w:sz w:val="18"/>
                <w:szCs w:val="18"/>
              </w:rPr>
              <w:t>–</w:t>
            </w:r>
            <w:r w:rsidRPr="00063D42">
              <w:rPr>
                <w:sz w:val="18"/>
                <w:szCs w:val="18"/>
              </w:rPr>
              <w:tab/>
              <w:t>outputs available to ITU</w:t>
            </w:r>
            <w:r w:rsidRPr="00063D42">
              <w:rPr>
                <w:sz w:val="18"/>
                <w:szCs w:val="18"/>
              </w:rPr>
              <w:noBreakHyphen/>
              <w:t>T should be identified;</w:t>
            </w:r>
          </w:p>
          <w:p w:rsidR="000932DE" w:rsidRPr="00063D42" w:rsidRDefault="000932DE" w:rsidP="00EE3310">
            <w:pPr>
              <w:pStyle w:val="Tabletext"/>
              <w:keepNext/>
              <w:rPr>
                <w:sz w:val="18"/>
                <w:szCs w:val="18"/>
              </w:rPr>
            </w:pPr>
            <w:r w:rsidRPr="00063D42">
              <w:rPr>
                <w:sz w:val="18"/>
                <w:szCs w:val="18"/>
              </w:rPr>
              <w:t>–</w:t>
            </w:r>
            <w:r w:rsidRPr="00063D42">
              <w:rPr>
                <w:sz w:val="18"/>
                <w:szCs w:val="18"/>
              </w:rPr>
              <w:tab/>
              <w:t>process for ITU</w:t>
            </w:r>
            <w:r w:rsidRPr="00063D42">
              <w:rPr>
                <w:sz w:val="18"/>
                <w:szCs w:val="18"/>
              </w:rPr>
              <w:noBreakHyphen/>
              <w:t>T to obtain outputs should be identified.</w:t>
            </w:r>
          </w:p>
        </w:tc>
        <w:tc>
          <w:tcPr>
            <w:tcW w:w="7230" w:type="dxa"/>
            <w:tcBorders>
              <w:top w:val="single" w:sz="6" w:space="0" w:color="auto"/>
              <w:left w:val="nil"/>
              <w:bottom w:val="single" w:sz="6" w:space="0" w:color="auto"/>
              <w:right w:val="single" w:sz="6" w:space="0" w:color="auto"/>
            </w:tcBorders>
          </w:tcPr>
          <w:p w:rsidR="000932DE" w:rsidRPr="00FA7AA6" w:rsidRDefault="000932DE" w:rsidP="000932DE">
            <w:pPr>
              <w:pStyle w:val="Tabletext"/>
              <w:numPr>
                <w:ilvl w:val="0"/>
                <w:numId w:val="2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rFonts w:asciiTheme="majorBidi" w:hAnsiTheme="majorBidi" w:cstheme="majorBidi"/>
                <w:sz w:val="18"/>
                <w:szCs w:val="18"/>
              </w:rPr>
            </w:pPr>
            <w:r w:rsidRPr="00160A88">
              <w:rPr>
                <w:rFonts w:asciiTheme="majorBidi" w:hAnsiTheme="majorBidi" w:cstheme="majorBidi"/>
                <w:sz w:val="18"/>
                <w:szCs w:val="18"/>
              </w:rPr>
              <w:t xml:space="preserve">Areas of common interest include: mobile, automotive, security, autonomous driving. </w:t>
            </w:r>
            <w:r w:rsidRPr="00FA7AA6" w:rsidDel="000056C5">
              <w:rPr>
                <w:rFonts w:asciiTheme="majorBidi" w:hAnsiTheme="majorBidi" w:cstheme="majorBidi"/>
                <w:sz w:val="18"/>
                <w:szCs w:val="18"/>
              </w:rPr>
              <w:t xml:space="preserve"> </w:t>
            </w:r>
          </w:p>
          <w:p w:rsidR="000932DE" w:rsidRPr="00160A88" w:rsidRDefault="000932DE" w:rsidP="000932DE">
            <w:pPr>
              <w:pStyle w:val="Tabletext"/>
              <w:numPr>
                <w:ilvl w:val="0"/>
                <w:numId w:val="2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rFonts w:asciiTheme="majorBidi" w:hAnsiTheme="majorBidi" w:cstheme="majorBidi"/>
                <w:sz w:val="18"/>
                <w:szCs w:val="18"/>
              </w:rPr>
            </w:pPr>
            <w:r w:rsidRPr="00FA7AA6">
              <w:rPr>
                <w:rFonts w:asciiTheme="majorBidi" w:hAnsiTheme="majorBidi" w:cstheme="majorBidi"/>
                <w:sz w:val="18"/>
                <w:szCs w:val="18"/>
              </w:rPr>
              <w:t xml:space="preserve">Copy of SAE documents may be made available for collaboration purposes by request to the SAE </w:t>
            </w:r>
            <w:r w:rsidRPr="00160A88">
              <w:rPr>
                <w:rFonts w:asciiTheme="majorBidi" w:hAnsiTheme="majorBidi" w:cstheme="majorBidi"/>
                <w:sz w:val="18"/>
                <w:szCs w:val="18"/>
              </w:rPr>
              <w:t>Secretariat</w:t>
            </w:r>
            <w:r w:rsidRPr="00FA7AA6">
              <w:rPr>
                <w:rFonts w:asciiTheme="majorBidi" w:hAnsiTheme="majorBidi" w:cstheme="majorBidi"/>
                <w:sz w:val="18"/>
                <w:szCs w:val="18"/>
              </w:rPr>
              <w:t>. The following information should be provided:</w:t>
            </w:r>
            <w:r w:rsidRPr="00160A88">
              <w:rPr>
                <w:rFonts w:asciiTheme="majorBidi" w:hAnsiTheme="majorBidi" w:cstheme="majorBidi"/>
                <w:sz w:val="18"/>
                <w:szCs w:val="18"/>
              </w:rPr>
              <w:t xml:space="preserve"> </w:t>
            </w:r>
            <w:r w:rsidRPr="00FA7AA6">
              <w:rPr>
                <w:rFonts w:asciiTheme="majorBidi" w:hAnsiTheme="majorBidi" w:cstheme="majorBidi"/>
                <w:sz w:val="18"/>
                <w:szCs w:val="18"/>
              </w:rPr>
              <w:t>the</w:t>
            </w:r>
            <w:r w:rsidRPr="00160A88">
              <w:rPr>
                <w:rFonts w:asciiTheme="majorBidi" w:hAnsiTheme="majorBidi" w:cstheme="majorBidi"/>
                <w:sz w:val="18"/>
                <w:szCs w:val="18"/>
              </w:rPr>
              <w:t xml:space="preserve"> purpose, intended use, safeguards, and </w:t>
            </w:r>
            <w:r w:rsidRPr="00FA7AA6">
              <w:rPr>
                <w:rFonts w:asciiTheme="majorBidi" w:hAnsiTheme="majorBidi" w:cstheme="majorBidi"/>
                <w:sz w:val="18"/>
                <w:szCs w:val="18"/>
              </w:rPr>
              <w:t>intended distribution.</w:t>
            </w:r>
          </w:p>
        </w:tc>
      </w:tr>
      <w:tr w:rsidR="000932DE" w:rsidRPr="00063D42" w:rsidTr="00EE3310">
        <w:trPr>
          <w:jc w:val="center"/>
        </w:trPr>
        <w:tc>
          <w:tcPr>
            <w:tcW w:w="2969" w:type="dxa"/>
            <w:tcBorders>
              <w:top w:val="single" w:sz="6" w:space="0" w:color="auto"/>
              <w:left w:val="single" w:sz="6" w:space="0" w:color="auto"/>
              <w:bottom w:val="single" w:sz="6" w:space="0" w:color="auto"/>
              <w:right w:val="single" w:sz="6" w:space="0" w:color="auto"/>
            </w:tcBorders>
          </w:tcPr>
          <w:p w:rsidR="000932DE" w:rsidRPr="00063D42" w:rsidRDefault="000932DE" w:rsidP="00EE3310">
            <w:pPr>
              <w:pStyle w:val="Tabletext"/>
              <w:rPr>
                <w:sz w:val="18"/>
                <w:szCs w:val="18"/>
              </w:rPr>
            </w:pPr>
            <w:r w:rsidRPr="00063D42">
              <w:rPr>
                <w:sz w:val="18"/>
                <w:szCs w:val="18"/>
              </w:rPr>
              <w:t>8)</w:t>
            </w:r>
            <w:r w:rsidRPr="00063D42">
              <w:rPr>
                <w:sz w:val="18"/>
                <w:szCs w:val="18"/>
              </w:rPr>
              <w:tab/>
              <w:t>Documents submitted to ITU</w:t>
            </w:r>
            <w:r w:rsidRPr="00063D42">
              <w:rPr>
                <w:sz w:val="18"/>
                <w:szCs w:val="18"/>
              </w:rPr>
              <w:noBreakHyphen/>
              <w:t>T</w:t>
            </w:r>
          </w:p>
        </w:tc>
        <w:tc>
          <w:tcPr>
            <w:tcW w:w="4961" w:type="dxa"/>
            <w:tcBorders>
              <w:top w:val="single" w:sz="6" w:space="0" w:color="auto"/>
              <w:left w:val="nil"/>
              <w:bottom w:val="single" w:sz="6" w:space="0" w:color="auto"/>
              <w:right w:val="single" w:sz="6" w:space="0" w:color="auto"/>
            </w:tcBorders>
          </w:tcPr>
          <w:p w:rsidR="000932DE" w:rsidRPr="00063D42" w:rsidRDefault="000932DE" w:rsidP="00EE3310">
            <w:pPr>
              <w:pStyle w:val="Tabletext"/>
              <w:ind w:left="284" w:hanging="284"/>
              <w:rPr>
                <w:sz w:val="18"/>
                <w:szCs w:val="18"/>
              </w:rPr>
            </w:pPr>
            <w:r w:rsidRPr="00063D42">
              <w:rPr>
                <w:sz w:val="18"/>
                <w:szCs w:val="18"/>
              </w:rPr>
              <w:t>–</w:t>
            </w:r>
            <w:r w:rsidRPr="00063D42">
              <w:rPr>
                <w:sz w:val="18"/>
                <w:szCs w:val="18"/>
              </w:rPr>
              <w:tab/>
              <w:t>should indicate source within the national or regional standards development organization (e.g. committee, subcommittee, etc.);</w:t>
            </w:r>
          </w:p>
          <w:p w:rsidR="000932DE" w:rsidRPr="00063D42" w:rsidRDefault="000932DE" w:rsidP="00EE3310">
            <w:pPr>
              <w:pStyle w:val="Tabletext"/>
              <w:ind w:left="284" w:hanging="284"/>
              <w:rPr>
                <w:sz w:val="18"/>
                <w:szCs w:val="18"/>
              </w:rPr>
            </w:pPr>
            <w:r w:rsidRPr="00063D42">
              <w:rPr>
                <w:sz w:val="18"/>
                <w:szCs w:val="18"/>
              </w:rPr>
              <w:t>–</w:t>
            </w:r>
            <w:r w:rsidRPr="00063D42">
              <w:rPr>
                <w:sz w:val="18"/>
                <w:szCs w:val="18"/>
              </w:rPr>
              <w:tab/>
              <w:t>should indicate degree of stability of the document (e.g. preliminary, mature, stable, proposed date of adoption, etc.);</w:t>
            </w:r>
          </w:p>
          <w:p w:rsidR="000932DE" w:rsidRPr="00063D42" w:rsidRDefault="000932DE" w:rsidP="00EE3310">
            <w:pPr>
              <w:pStyle w:val="Tabletext"/>
              <w:ind w:left="284" w:hanging="284"/>
              <w:rPr>
                <w:sz w:val="18"/>
                <w:szCs w:val="18"/>
              </w:rPr>
            </w:pPr>
            <w:r w:rsidRPr="00063D42">
              <w:rPr>
                <w:sz w:val="18"/>
                <w:szCs w:val="18"/>
              </w:rPr>
              <w:t>–</w:t>
            </w:r>
            <w:r w:rsidRPr="00063D42">
              <w:rPr>
                <w:sz w:val="18"/>
                <w:szCs w:val="18"/>
              </w:rPr>
              <w:tab/>
              <w:t>should indicate status of document (i.e. working document, draft, interim or approved standard).</w:t>
            </w:r>
          </w:p>
        </w:tc>
        <w:tc>
          <w:tcPr>
            <w:tcW w:w="7230" w:type="dxa"/>
            <w:tcBorders>
              <w:top w:val="single" w:sz="6" w:space="0" w:color="auto"/>
              <w:left w:val="nil"/>
              <w:bottom w:val="single" w:sz="6" w:space="0" w:color="auto"/>
              <w:right w:val="single" w:sz="6" w:space="0" w:color="auto"/>
            </w:tcBorders>
          </w:tcPr>
          <w:p w:rsidR="000932DE" w:rsidRPr="00063D42" w:rsidRDefault="000932DE" w:rsidP="00EE3310">
            <w:pPr>
              <w:pStyle w:val="Tabletext"/>
              <w:rPr>
                <w:rFonts w:asciiTheme="majorBidi" w:hAnsiTheme="majorBidi" w:cstheme="majorBidi"/>
                <w:sz w:val="18"/>
                <w:szCs w:val="18"/>
              </w:rPr>
            </w:pPr>
            <w:r w:rsidRPr="00063D42">
              <w:rPr>
                <w:rFonts w:asciiTheme="majorBidi" w:hAnsiTheme="majorBidi" w:cstheme="majorBidi"/>
                <w:sz w:val="18"/>
                <w:szCs w:val="18"/>
              </w:rPr>
              <w:t>Technical Report Status (</w:t>
            </w:r>
            <w:r w:rsidRPr="00063D42">
              <w:rPr>
                <w:sz w:val="18"/>
                <w:szCs w:val="18"/>
              </w:rPr>
              <w:t>§</w:t>
            </w:r>
            <w:r w:rsidRPr="00063D42">
              <w:rPr>
                <w:rFonts w:asciiTheme="majorBidi" w:hAnsiTheme="majorBidi" w:cstheme="majorBidi"/>
                <w:sz w:val="18"/>
                <w:szCs w:val="18"/>
              </w:rPr>
              <w:t xml:space="preserve">1.10 of </w:t>
            </w:r>
            <w:hyperlink r:id="rId34" w:history="1">
              <w:r w:rsidRPr="00063D42">
                <w:rPr>
                  <w:rStyle w:val="Hyperlink"/>
                  <w:rFonts w:asciiTheme="majorBidi" w:hAnsiTheme="majorBidi" w:cstheme="majorBidi"/>
                  <w:sz w:val="18"/>
                  <w:szCs w:val="18"/>
                </w:rPr>
                <w:t>Technical Standard Board</w:t>
              </w:r>
            </w:hyperlink>
            <w:r w:rsidRPr="00063D42">
              <w:rPr>
                <w:rFonts w:asciiTheme="majorBidi" w:hAnsiTheme="majorBidi" w:cstheme="majorBidi"/>
                <w:sz w:val="18"/>
                <w:szCs w:val="18"/>
              </w:rPr>
              <w:t xml:space="preserve"> Governance </w:t>
            </w:r>
            <w:hyperlink r:id="rId35" w:history="1">
              <w:r w:rsidRPr="00063D42">
                <w:rPr>
                  <w:rStyle w:val="Hyperlink"/>
                  <w:rFonts w:asciiTheme="majorBidi" w:hAnsiTheme="majorBidi" w:cstheme="majorBidi"/>
                  <w:sz w:val="18"/>
                  <w:szCs w:val="18"/>
                </w:rPr>
                <w:t>Policy</w:t>
              </w:r>
            </w:hyperlink>
            <w:r w:rsidRPr="00063D42">
              <w:rPr>
                <w:rFonts w:eastAsiaTheme="minorHAnsi"/>
                <w:sz w:val="18"/>
                <w:szCs w:val="18"/>
              </w:rPr>
              <w:t xml:space="preserve">; </w:t>
            </w:r>
            <w:hyperlink r:id="rId36" w:history="1">
              <w:r w:rsidRPr="00063D42">
                <w:rPr>
                  <w:rStyle w:val="Hyperlink"/>
                  <w:rFonts w:asciiTheme="majorBidi" w:hAnsiTheme="majorBidi" w:cstheme="majorBidi"/>
                  <w:sz w:val="18"/>
                  <w:szCs w:val="18"/>
                </w:rPr>
                <w:t>Standards Status Definitions</w:t>
              </w:r>
            </w:hyperlink>
            <w:r w:rsidRPr="00063D42">
              <w:rPr>
                <w:rFonts w:eastAsiaTheme="minorHAnsi"/>
                <w:sz w:val="18"/>
                <w:szCs w:val="18"/>
              </w:rPr>
              <w:t>)</w:t>
            </w:r>
            <w:r w:rsidRPr="00063D42">
              <w:rPr>
                <w:rFonts w:asciiTheme="majorBidi" w:hAnsiTheme="majorBidi" w:cstheme="majorBidi"/>
                <w:sz w:val="18"/>
                <w:szCs w:val="18"/>
              </w:rPr>
              <w:t>:</w:t>
            </w:r>
          </w:p>
          <w:p w:rsidR="000932DE" w:rsidRPr="00063D42" w:rsidRDefault="000932DE" w:rsidP="000932DE">
            <w:pPr>
              <w:pStyle w:val="Tabletext"/>
              <w:numPr>
                <w:ilvl w:val="0"/>
                <w:numId w:val="2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rFonts w:asciiTheme="majorBidi" w:hAnsiTheme="majorBidi" w:cstheme="majorBidi"/>
                <w:sz w:val="18"/>
                <w:szCs w:val="18"/>
              </w:rPr>
            </w:pPr>
            <w:r w:rsidRPr="00063D42">
              <w:rPr>
                <w:rFonts w:asciiTheme="majorBidi" w:hAnsiTheme="majorBidi" w:cstheme="majorBidi"/>
                <w:sz w:val="18"/>
                <w:szCs w:val="18"/>
              </w:rPr>
              <w:t xml:space="preserve">There are two basic administrative status categories for Technical Reports: Active and Cancelled. </w:t>
            </w:r>
          </w:p>
          <w:p w:rsidR="000932DE" w:rsidRPr="00160A88" w:rsidRDefault="000932DE" w:rsidP="000932DE">
            <w:pPr>
              <w:pStyle w:val="Tabletext"/>
              <w:numPr>
                <w:ilvl w:val="0"/>
                <w:numId w:val="2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rFonts w:asciiTheme="majorBidi" w:hAnsiTheme="majorBidi" w:cstheme="majorBidi"/>
                <w:sz w:val="18"/>
                <w:szCs w:val="18"/>
              </w:rPr>
            </w:pPr>
            <w:r w:rsidRPr="00160A88">
              <w:rPr>
                <w:rFonts w:asciiTheme="majorBidi" w:hAnsiTheme="majorBidi" w:cstheme="majorBidi"/>
                <w:sz w:val="18"/>
                <w:szCs w:val="18"/>
              </w:rPr>
              <w:t xml:space="preserve">For active documents, there are additional sub-categories: Issued; Revised; Reaffirmed; and Stabilized. Draft documents have several stages: </w:t>
            </w:r>
            <w:r w:rsidRPr="00FA7AA6">
              <w:rPr>
                <w:rFonts w:asciiTheme="majorBidi" w:hAnsiTheme="majorBidi" w:cstheme="majorBidi"/>
                <w:sz w:val="18"/>
                <w:szCs w:val="18"/>
              </w:rPr>
              <w:t>Proposal; Prep Stage (by committee, or by subcommittee, etc.); 1st Level Approval; Review; and 2nd Level Approval</w:t>
            </w:r>
            <w:r w:rsidRPr="00160A88">
              <w:rPr>
                <w:rFonts w:asciiTheme="majorBidi" w:hAnsiTheme="majorBidi" w:cstheme="majorBidi"/>
                <w:sz w:val="18"/>
                <w:szCs w:val="18"/>
              </w:rPr>
              <w:t>.</w:t>
            </w:r>
          </w:p>
          <w:p w:rsidR="000932DE" w:rsidRPr="00063D42" w:rsidRDefault="000932DE" w:rsidP="000932DE">
            <w:pPr>
              <w:pStyle w:val="Tabletext"/>
              <w:numPr>
                <w:ilvl w:val="0"/>
                <w:numId w:val="2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rFonts w:asciiTheme="majorBidi" w:hAnsiTheme="majorBidi" w:cstheme="majorBidi"/>
                <w:sz w:val="18"/>
                <w:szCs w:val="18"/>
              </w:rPr>
            </w:pPr>
            <w:r w:rsidRPr="00160A88">
              <w:rPr>
                <w:rFonts w:asciiTheme="majorBidi" w:hAnsiTheme="majorBidi" w:cstheme="majorBidi"/>
                <w:sz w:val="18"/>
                <w:szCs w:val="18"/>
              </w:rPr>
              <w:t>Normally</w:t>
            </w:r>
            <w:r w:rsidRPr="00FA7AA6">
              <w:rPr>
                <w:rFonts w:asciiTheme="majorBidi" w:hAnsiTheme="majorBidi" w:cstheme="majorBidi"/>
                <w:sz w:val="18"/>
                <w:szCs w:val="18"/>
              </w:rPr>
              <w:t>,</w:t>
            </w:r>
            <w:r w:rsidRPr="00160A88">
              <w:rPr>
                <w:rFonts w:asciiTheme="majorBidi" w:hAnsiTheme="majorBidi" w:cstheme="majorBidi"/>
                <w:sz w:val="18"/>
                <w:szCs w:val="18"/>
              </w:rPr>
              <w:t xml:space="preserve"> draft SAE </w:t>
            </w:r>
            <w:r w:rsidRPr="00FA7AA6">
              <w:rPr>
                <w:rFonts w:asciiTheme="majorBidi" w:hAnsiTheme="majorBidi" w:cstheme="majorBidi"/>
                <w:sz w:val="18"/>
                <w:szCs w:val="18"/>
              </w:rPr>
              <w:t>t</w:t>
            </w:r>
            <w:r w:rsidRPr="00160A88">
              <w:rPr>
                <w:rFonts w:asciiTheme="majorBidi" w:hAnsiTheme="majorBidi" w:cstheme="majorBidi"/>
                <w:sz w:val="18"/>
                <w:szCs w:val="18"/>
              </w:rPr>
              <w:t xml:space="preserve">echnical </w:t>
            </w:r>
            <w:r w:rsidRPr="00FA7AA6">
              <w:rPr>
                <w:rFonts w:asciiTheme="majorBidi" w:hAnsiTheme="majorBidi" w:cstheme="majorBidi"/>
                <w:sz w:val="18"/>
                <w:szCs w:val="18"/>
              </w:rPr>
              <w:t>documents</w:t>
            </w:r>
            <w:r w:rsidRPr="00160A88">
              <w:rPr>
                <w:rFonts w:asciiTheme="majorBidi" w:hAnsiTheme="majorBidi" w:cstheme="majorBidi"/>
                <w:sz w:val="18"/>
                <w:szCs w:val="18"/>
              </w:rPr>
              <w:t xml:space="preserve"> are </w:t>
            </w:r>
            <w:r w:rsidRPr="00FA7AA6">
              <w:rPr>
                <w:rFonts w:asciiTheme="majorBidi" w:hAnsiTheme="majorBidi" w:cstheme="majorBidi"/>
                <w:sz w:val="18"/>
                <w:szCs w:val="18"/>
              </w:rPr>
              <w:t xml:space="preserve">only </w:t>
            </w:r>
            <w:r w:rsidRPr="00160A88">
              <w:rPr>
                <w:rFonts w:asciiTheme="majorBidi" w:hAnsiTheme="majorBidi" w:cstheme="majorBidi"/>
                <w:sz w:val="18"/>
                <w:szCs w:val="18"/>
              </w:rPr>
              <w:t xml:space="preserve">shared </w:t>
            </w:r>
            <w:r w:rsidRPr="00FA7AA6">
              <w:rPr>
                <w:rFonts w:asciiTheme="majorBidi" w:hAnsiTheme="majorBidi" w:cstheme="majorBidi"/>
                <w:sz w:val="18"/>
                <w:szCs w:val="18"/>
              </w:rPr>
              <w:t xml:space="preserve">within the </w:t>
            </w:r>
            <w:r w:rsidRPr="00160A88">
              <w:rPr>
                <w:rFonts w:asciiTheme="majorBidi" w:hAnsiTheme="majorBidi" w:cstheme="majorBidi"/>
                <w:sz w:val="18"/>
                <w:szCs w:val="18"/>
              </w:rPr>
              <w:t xml:space="preserve">SAE </w:t>
            </w:r>
            <w:r w:rsidRPr="00FA7AA6">
              <w:rPr>
                <w:rFonts w:asciiTheme="majorBidi" w:hAnsiTheme="majorBidi" w:cstheme="majorBidi"/>
                <w:sz w:val="18"/>
                <w:szCs w:val="18"/>
              </w:rPr>
              <w:t>committee developing them.</w:t>
            </w:r>
            <w:r w:rsidRPr="00160A88">
              <w:rPr>
                <w:rFonts w:asciiTheme="majorBidi" w:hAnsiTheme="majorBidi" w:cstheme="majorBidi"/>
                <w:sz w:val="18"/>
                <w:szCs w:val="18"/>
              </w:rPr>
              <w:t xml:space="preserve"> </w:t>
            </w:r>
            <w:r w:rsidRPr="00FA7AA6">
              <w:rPr>
                <w:rFonts w:asciiTheme="majorBidi" w:hAnsiTheme="majorBidi" w:cstheme="majorBidi"/>
                <w:sz w:val="18"/>
                <w:szCs w:val="18"/>
              </w:rPr>
              <w:t>To obtain draft documents, requests should be addressed to the SAE Secretariat.</w:t>
            </w:r>
            <w:r w:rsidRPr="00160A88">
              <w:rPr>
                <w:rFonts w:asciiTheme="majorBidi" w:hAnsiTheme="majorBidi" w:cstheme="majorBidi"/>
                <w:sz w:val="18"/>
                <w:szCs w:val="18"/>
              </w:rPr>
              <w:t xml:space="preserve"> </w:t>
            </w:r>
          </w:p>
        </w:tc>
      </w:tr>
      <w:tr w:rsidR="000932DE" w:rsidRPr="00063D42" w:rsidTr="00EE3310">
        <w:trPr>
          <w:jc w:val="center"/>
        </w:trPr>
        <w:tc>
          <w:tcPr>
            <w:tcW w:w="15160" w:type="dxa"/>
            <w:gridSpan w:val="3"/>
            <w:tcBorders>
              <w:top w:val="single" w:sz="6" w:space="0" w:color="auto"/>
              <w:left w:val="single" w:sz="6" w:space="0" w:color="auto"/>
              <w:bottom w:val="single" w:sz="6" w:space="0" w:color="auto"/>
              <w:right w:val="single" w:sz="6" w:space="0" w:color="auto"/>
            </w:tcBorders>
          </w:tcPr>
          <w:p w:rsidR="000932DE" w:rsidRPr="00063D42" w:rsidRDefault="000932DE" w:rsidP="00EE3310">
            <w:pPr>
              <w:pStyle w:val="Tabletext"/>
              <w:rPr>
                <w:sz w:val="18"/>
                <w:szCs w:val="18"/>
              </w:rPr>
            </w:pPr>
            <w:r w:rsidRPr="00063D42">
              <w:rPr>
                <w:rFonts w:eastAsia="SimSun"/>
                <w:sz w:val="18"/>
                <w:szCs w:val="18"/>
              </w:rPr>
              <w:t>*</w:t>
            </w:r>
            <w:r w:rsidRPr="00063D42">
              <w:rPr>
                <w:rFonts w:eastAsia="SimSun"/>
                <w:sz w:val="18"/>
                <w:szCs w:val="18"/>
              </w:rPr>
              <w:tab/>
              <w:t>Particularly, licences must be offered on a non-discriminatory basis on reasonable terms and conditions (whether free of charge or with monetary compensation) to both members and non-members.</w:t>
            </w:r>
          </w:p>
        </w:tc>
      </w:tr>
    </w:tbl>
    <w:p w:rsidR="000932DE" w:rsidRDefault="000932DE" w:rsidP="000932DE">
      <w:pPr>
        <w:jc w:val="center"/>
      </w:pPr>
    </w:p>
    <w:p w:rsidR="000932DE" w:rsidRPr="00EC6734" w:rsidRDefault="000932DE" w:rsidP="000932DE">
      <w:pPr>
        <w:jc w:val="center"/>
      </w:pPr>
      <w:r w:rsidRPr="00EC6734">
        <w:t>_________</w:t>
      </w:r>
      <w:r>
        <w:t>__________</w:t>
      </w:r>
    </w:p>
    <w:p w:rsidR="000932DE" w:rsidRPr="00FF4EE3" w:rsidRDefault="000932DE" w:rsidP="00322905">
      <w:pPr>
        <w:pStyle w:val="ListParagraph"/>
        <w:tabs>
          <w:tab w:val="left" w:pos="720"/>
        </w:tabs>
        <w:textAlignment w:val="baseline"/>
        <w:rPr>
          <w:lang w:val="en-US"/>
        </w:rPr>
      </w:pPr>
    </w:p>
    <w:sectPr w:rsidR="000932DE" w:rsidRPr="00FF4EE3" w:rsidSect="00E74187">
      <w:headerReference w:type="default" r:id="rId37"/>
      <w:pgSz w:w="16840" w:h="11907" w:orient="landscape" w:code="9"/>
      <w:pgMar w:top="1134" w:right="1134" w:bottom="1134" w:left="1134" w:header="426"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8DC" w:rsidRDefault="00BF18DC">
      <w:r>
        <w:separator/>
      </w:r>
    </w:p>
  </w:endnote>
  <w:endnote w:type="continuationSeparator" w:id="0">
    <w:p w:rsidR="00BF18DC" w:rsidRDefault="00BF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46E" w:rsidRDefault="00FC1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46E" w:rsidRDefault="00FC14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46E" w:rsidRDefault="00FC1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8DC" w:rsidRDefault="00BF18DC">
      <w:r>
        <w:separator/>
      </w:r>
    </w:p>
  </w:footnote>
  <w:footnote w:type="continuationSeparator" w:id="0">
    <w:p w:rsidR="00BF18DC" w:rsidRDefault="00BF1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46E" w:rsidRDefault="00FC1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095" w:rsidRPr="00ED1CDB" w:rsidRDefault="00ED1CDB" w:rsidP="00ED1CDB">
    <w:pPr>
      <w:pStyle w:val="Header"/>
    </w:pPr>
    <w:r w:rsidRPr="00ED1CDB">
      <w:t xml:space="preserve">- </w:t>
    </w:r>
    <w:r w:rsidRPr="00ED1CDB">
      <w:fldChar w:fldCharType="begin"/>
    </w:r>
    <w:r w:rsidRPr="00ED1CDB">
      <w:instrText xml:space="preserve"> PAGE  \* MERGEFORMAT </w:instrText>
    </w:r>
    <w:r w:rsidRPr="00ED1CDB">
      <w:fldChar w:fldCharType="separate"/>
    </w:r>
    <w:r w:rsidR="00C13EFF">
      <w:rPr>
        <w:noProof/>
      </w:rPr>
      <w:t>2</w:t>
    </w:r>
    <w:r w:rsidRPr="00ED1CDB">
      <w:fldChar w:fldCharType="end"/>
    </w:r>
    <w:r w:rsidRPr="00ED1CDB">
      <w:t xml:space="preserve"> -</w:t>
    </w:r>
  </w:p>
  <w:p w:rsidR="00ED1CDB" w:rsidRPr="00ED1CDB" w:rsidRDefault="003E3591" w:rsidP="00ED1CDB">
    <w:pPr>
      <w:pStyle w:val="Header"/>
      <w:spacing w:after="240"/>
    </w:pPr>
    <w:r>
      <w:t>TD129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46E" w:rsidRDefault="00FC14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F3F" w:rsidRPr="00C42125" w:rsidRDefault="001E4481" w:rsidP="007E53E4">
    <w:pPr>
      <w:pStyle w:val="Header"/>
    </w:pPr>
    <w:bookmarkStart w:id="12" w:name="_GoBack"/>
    <w:r w:rsidRPr="00C42125">
      <w:t xml:space="preserve">- </w:t>
    </w:r>
    <w:r w:rsidRPr="00C42125">
      <w:fldChar w:fldCharType="begin"/>
    </w:r>
    <w:r w:rsidRPr="00C42125">
      <w:instrText xml:space="preserve"> PAGE  \* MERGEFORMAT </w:instrText>
    </w:r>
    <w:r w:rsidRPr="00C42125">
      <w:fldChar w:fldCharType="separate"/>
    </w:r>
    <w:r w:rsidR="00FC146E">
      <w:rPr>
        <w:noProof/>
      </w:rPr>
      <w:t>6</w:t>
    </w:r>
    <w:r w:rsidRPr="00C42125">
      <w:fldChar w:fldCharType="end"/>
    </w:r>
    <w:r w:rsidRPr="00C42125">
      <w:t xml:space="preserve"> -</w:t>
    </w:r>
    <w:r w:rsidR="00FC146E">
      <w:br/>
      <w:t>TSAG-TD407</w:t>
    </w:r>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7CEA"/>
    <w:multiLevelType w:val="hybridMultilevel"/>
    <w:tmpl w:val="BF78E45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8026ED5"/>
    <w:multiLevelType w:val="hybridMultilevel"/>
    <w:tmpl w:val="6FF6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74DA9"/>
    <w:multiLevelType w:val="hybridMultilevel"/>
    <w:tmpl w:val="47B4175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6B96C5F"/>
    <w:multiLevelType w:val="hybridMultilevel"/>
    <w:tmpl w:val="BA443E66"/>
    <w:lvl w:ilvl="0" w:tplc="28A48B9E">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5293B"/>
    <w:multiLevelType w:val="hybridMultilevel"/>
    <w:tmpl w:val="06A89E2E"/>
    <w:lvl w:ilvl="0" w:tplc="04090001">
      <w:start w:val="1"/>
      <w:numFmt w:val="bullet"/>
      <w:lvlText w:val=""/>
      <w:lvlJc w:val="left"/>
      <w:pPr>
        <w:ind w:left="573" w:hanging="360"/>
      </w:pPr>
      <w:rPr>
        <w:rFonts w:ascii="Symbol" w:hAnsi="Symbol" w:hint="default"/>
      </w:rPr>
    </w:lvl>
    <w:lvl w:ilvl="1" w:tplc="04090003" w:tentative="1">
      <w:start w:val="1"/>
      <w:numFmt w:val="bullet"/>
      <w:lvlText w:val="o"/>
      <w:lvlJc w:val="left"/>
      <w:pPr>
        <w:ind w:left="1293" w:hanging="360"/>
      </w:pPr>
      <w:rPr>
        <w:rFonts w:ascii="Courier New" w:hAnsi="Courier New" w:cs="Courier New" w:hint="default"/>
      </w:rPr>
    </w:lvl>
    <w:lvl w:ilvl="2" w:tplc="04090005" w:tentative="1">
      <w:start w:val="1"/>
      <w:numFmt w:val="bullet"/>
      <w:lvlText w:val=""/>
      <w:lvlJc w:val="left"/>
      <w:pPr>
        <w:ind w:left="2013" w:hanging="360"/>
      </w:pPr>
      <w:rPr>
        <w:rFonts w:ascii="Wingdings" w:hAnsi="Wingdings" w:hint="default"/>
      </w:rPr>
    </w:lvl>
    <w:lvl w:ilvl="3" w:tplc="04090001" w:tentative="1">
      <w:start w:val="1"/>
      <w:numFmt w:val="bullet"/>
      <w:lvlText w:val=""/>
      <w:lvlJc w:val="left"/>
      <w:pPr>
        <w:ind w:left="2733" w:hanging="360"/>
      </w:pPr>
      <w:rPr>
        <w:rFonts w:ascii="Symbol" w:hAnsi="Symbol" w:hint="default"/>
      </w:rPr>
    </w:lvl>
    <w:lvl w:ilvl="4" w:tplc="04090003" w:tentative="1">
      <w:start w:val="1"/>
      <w:numFmt w:val="bullet"/>
      <w:lvlText w:val="o"/>
      <w:lvlJc w:val="left"/>
      <w:pPr>
        <w:ind w:left="3453" w:hanging="360"/>
      </w:pPr>
      <w:rPr>
        <w:rFonts w:ascii="Courier New" w:hAnsi="Courier New" w:cs="Courier New" w:hint="default"/>
      </w:rPr>
    </w:lvl>
    <w:lvl w:ilvl="5" w:tplc="04090005" w:tentative="1">
      <w:start w:val="1"/>
      <w:numFmt w:val="bullet"/>
      <w:lvlText w:val=""/>
      <w:lvlJc w:val="left"/>
      <w:pPr>
        <w:ind w:left="4173" w:hanging="360"/>
      </w:pPr>
      <w:rPr>
        <w:rFonts w:ascii="Wingdings" w:hAnsi="Wingdings" w:hint="default"/>
      </w:rPr>
    </w:lvl>
    <w:lvl w:ilvl="6" w:tplc="04090001" w:tentative="1">
      <w:start w:val="1"/>
      <w:numFmt w:val="bullet"/>
      <w:lvlText w:val=""/>
      <w:lvlJc w:val="left"/>
      <w:pPr>
        <w:ind w:left="4893" w:hanging="360"/>
      </w:pPr>
      <w:rPr>
        <w:rFonts w:ascii="Symbol" w:hAnsi="Symbol" w:hint="default"/>
      </w:rPr>
    </w:lvl>
    <w:lvl w:ilvl="7" w:tplc="04090003" w:tentative="1">
      <w:start w:val="1"/>
      <w:numFmt w:val="bullet"/>
      <w:lvlText w:val="o"/>
      <w:lvlJc w:val="left"/>
      <w:pPr>
        <w:ind w:left="5613" w:hanging="360"/>
      </w:pPr>
      <w:rPr>
        <w:rFonts w:ascii="Courier New" w:hAnsi="Courier New" w:cs="Courier New" w:hint="default"/>
      </w:rPr>
    </w:lvl>
    <w:lvl w:ilvl="8" w:tplc="04090005" w:tentative="1">
      <w:start w:val="1"/>
      <w:numFmt w:val="bullet"/>
      <w:lvlText w:val=""/>
      <w:lvlJc w:val="left"/>
      <w:pPr>
        <w:ind w:left="6333" w:hanging="360"/>
      </w:pPr>
      <w:rPr>
        <w:rFonts w:ascii="Wingdings" w:hAnsi="Wingdings" w:hint="default"/>
      </w:rPr>
    </w:lvl>
  </w:abstractNum>
  <w:abstractNum w:abstractNumId="5" w15:restartNumberingAfterBreak="0">
    <w:nsid w:val="1B931EBF"/>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205F1371"/>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D14FC7"/>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307F3E19"/>
    <w:multiLevelType w:val="hybridMultilevel"/>
    <w:tmpl w:val="4E101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BE5B65"/>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4F221890"/>
    <w:multiLevelType w:val="hybridMultilevel"/>
    <w:tmpl w:val="1620395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53EF341A"/>
    <w:multiLevelType w:val="hybridMultilevel"/>
    <w:tmpl w:val="1266576E"/>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583E1CD9"/>
    <w:multiLevelType w:val="hybridMultilevel"/>
    <w:tmpl w:val="ADA8A1A4"/>
    <w:lvl w:ilvl="0" w:tplc="D6CA7DD2">
      <w:start w:val="1"/>
      <w:numFmt w:val="bullet"/>
      <w:lvlRestart w:val="0"/>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1158DC"/>
    <w:multiLevelType w:val="hybridMultilevel"/>
    <w:tmpl w:val="4E94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5060C4"/>
    <w:multiLevelType w:val="hybridMultilevel"/>
    <w:tmpl w:val="281C302A"/>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632145BE"/>
    <w:multiLevelType w:val="multilevel"/>
    <w:tmpl w:val="B7A84A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CF291E"/>
    <w:multiLevelType w:val="hybridMultilevel"/>
    <w:tmpl w:val="455A136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85B0AA0"/>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8"/>
  </w:num>
  <w:num w:numId="2">
    <w:abstractNumId w:val="19"/>
  </w:num>
  <w:num w:numId="3">
    <w:abstractNumId w:val="5"/>
  </w:num>
  <w:num w:numId="4">
    <w:abstractNumId w:val="8"/>
  </w:num>
  <w:num w:numId="5">
    <w:abstractNumId w:val="10"/>
  </w:num>
  <w:num w:numId="6">
    <w:abstractNumId w:val="6"/>
  </w:num>
  <w:num w:numId="7">
    <w:abstractNumId w:val="4"/>
  </w:num>
  <w:num w:numId="8">
    <w:abstractNumId w:val="12"/>
  </w:num>
  <w:num w:numId="9">
    <w:abstractNumId w:val="2"/>
  </w:num>
  <w:num w:numId="10">
    <w:abstractNumId w:val="15"/>
  </w:num>
  <w:num w:numId="11">
    <w:abstractNumId w:val="17"/>
  </w:num>
  <w:num w:numId="12">
    <w:abstractNumId w:val="14"/>
  </w:num>
  <w:num w:numId="13">
    <w:abstractNumId w:val="9"/>
  </w:num>
  <w:num w:numId="14">
    <w:abstractNumId w:val="1"/>
  </w:num>
  <w:num w:numId="15">
    <w:abstractNumId w:val="11"/>
  </w:num>
  <w:num w:numId="16">
    <w:abstractNumId w:val="7"/>
  </w:num>
  <w:num w:numId="17">
    <w:abstractNumId w:val="16"/>
  </w:num>
  <w:num w:numId="18">
    <w:abstractNumId w:val="0"/>
  </w:num>
  <w:num w:numId="19">
    <w:abstractNumId w:val="3"/>
  </w:num>
  <w:num w:numId="2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embedSystemFonts/>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0B27"/>
    <w:rsid w:val="00000F12"/>
    <w:rsid w:val="00001DA4"/>
    <w:rsid w:val="00005507"/>
    <w:rsid w:val="000068E4"/>
    <w:rsid w:val="00007661"/>
    <w:rsid w:val="000076F1"/>
    <w:rsid w:val="00014594"/>
    <w:rsid w:val="00016E33"/>
    <w:rsid w:val="000231A1"/>
    <w:rsid w:val="000241BC"/>
    <w:rsid w:val="00024FA8"/>
    <w:rsid w:val="00025144"/>
    <w:rsid w:val="00026545"/>
    <w:rsid w:val="0003135F"/>
    <w:rsid w:val="0003185A"/>
    <w:rsid w:val="00031910"/>
    <w:rsid w:val="0003195F"/>
    <w:rsid w:val="000330BA"/>
    <w:rsid w:val="00040210"/>
    <w:rsid w:val="000407E4"/>
    <w:rsid w:val="0004200D"/>
    <w:rsid w:val="0004345D"/>
    <w:rsid w:val="00043A4A"/>
    <w:rsid w:val="0004506C"/>
    <w:rsid w:val="000469BE"/>
    <w:rsid w:val="000474CF"/>
    <w:rsid w:val="00047A2B"/>
    <w:rsid w:val="00047ED1"/>
    <w:rsid w:val="00050250"/>
    <w:rsid w:val="00052CB9"/>
    <w:rsid w:val="00053CB3"/>
    <w:rsid w:val="00060CC7"/>
    <w:rsid w:val="00062034"/>
    <w:rsid w:val="000621DA"/>
    <w:rsid w:val="00064097"/>
    <w:rsid w:val="00064C45"/>
    <w:rsid w:val="00065478"/>
    <w:rsid w:val="00065480"/>
    <w:rsid w:val="00070133"/>
    <w:rsid w:val="00072EB4"/>
    <w:rsid w:val="00072FF3"/>
    <w:rsid w:val="00073210"/>
    <w:rsid w:val="00073A15"/>
    <w:rsid w:val="000754F3"/>
    <w:rsid w:val="00075669"/>
    <w:rsid w:val="0007697D"/>
    <w:rsid w:val="000814DB"/>
    <w:rsid w:val="00081E93"/>
    <w:rsid w:val="000845E3"/>
    <w:rsid w:val="000927DA"/>
    <w:rsid w:val="000928C8"/>
    <w:rsid w:val="000932DE"/>
    <w:rsid w:val="00093914"/>
    <w:rsid w:val="00093CDE"/>
    <w:rsid w:val="000943BF"/>
    <w:rsid w:val="000945C3"/>
    <w:rsid w:val="00094E90"/>
    <w:rsid w:val="000963A2"/>
    <w:rsid w:val="00096576"/>
    <w:rsid w:val="00096E77"/>
    <w:rsid w:val="000A0225"/>
    <w:rsid w:val="000A0D90"/>
    <w:rsid w:val="000A1FC5"/>
    <w:rsid w:val="000A2AA9"/>
    <w:rsid w:val="000A2D94"/>
    <w:rsid w:val="000A3D6F"/>
    <w:rsid w:val="000A6783"/>
    <w:rsid w:val="000A6F62"/>
    <w:rsid w:val="000B53CD"/>
    <w:rsid w:val="000B63E5"/>
    <w:rsid w:val="000C07C9"/>
    <w:rsid w:val="000C25D3"/>
    <w:rsid w:val="000C2FAF"/>
    <w:rsid w:val="000C2FC0"/>
    <w:rsid w:val="000C4E21"/>
    <w:rsid w:val="000C73A0"/>
    <w:rsid w:val="000D1601"/>
    <w:rsid w:val="000D215A"/>
    <w:rsid w:val="000D45E7"/>
    <w:rsid w:val="000D582B"/>
    <w:rsid w:val="000D62E1"/>
    <w:rsid w:val="000D6B53"/>
    <w:rsid w:val="000D78AB"/>
    <w:rsid w:val="000E1B81"/>
    <w:rsid w:val="000E27C5"/>
    <w:rsid w:val="000E2ABC"/>
    <w:rsid w:val="000E2F38"/>
    <w:rsid w:val="000E55BA"/>
    <w:rsid w:val="000E652D"/>
    <w:rsid w:val="000E6A5B"/>
    <w:rsid w:val="000E77F4"/>
    <w:rsid w:val="000F0409"/>
    <w:rsid w:val="000F0622"/>
    <w:rsid w:val="000F2908"/>
    <w:rsid w:val="000F5843"/>
    <w:rsid w:val="000F7261"/>
    <w:rsid w:val="000F735E"/>
    <w:rsid w:val="000F76EB"/>
    <w:rsid w:val="001008A3"/>
    <w:rsid w:val="00101F66"/>
    <w:rsid w:val="00102D39"/>
    <w:rsid w:val="00103412"/>
    <w:rsid w:val="00104842"/>
    <w:rsid w:val="00105D8C"/>
    <w:rsid w:val="001073EE"/>
    <w:rsid w:val="00110A7C"/>
    <w:rsid w:val="0011172F"/>
    <w:rsid w:val="001121B3"/>
    <w:rsid w:val="00112542"/>
    <w:rsid w:val="00113FDE"/>
    <w:rsid w:val="001153B3"/>
    <w:rsid w:val="00116C99"/>
    <w:rsid w:val="0011766A"/>
    <w:rsid w:val="00120119"/>
    <w:rsid w:val="00122BBD"/>
    <w:rsid w:val="001230E2"/>
    <w:rsid w:val="0012420A"/>
    <w:rsid w:val="00125CD1"/>
    <w:rsid w:val="00127B69"/>
    <w:rsid w:val="00130372"/>
    <w:rsid w:val="00130FFE"/>
    <w:rsid w:val="00131A9B"/>
    <w:rsid w:val="00132261"/>
    <w:rsid w:val="00133B5B"/>
    <w:rsid w:val="00134FDC"/>
    <w:rsid w:val="00135BDD"/>
    <w:rsid w:val="00137A3C"/>
    <w:rsid w:val="00137D05"/>
    <w:rsid w:val="0014204E"/>
    <w:rsid w:val="00143131"/>
    <w:rsid w:val="00144995"/>
    <w:rsid w:val="00144C10"/>
    <w:rsid w:val="00144CDB"/>
    <w:rsid w:val="00147334"/>
    <w:rsid w:val="00147AC1"/>
    <w:rsid w:val="00150E64"/>
    <w:rsid w:val="001511B5"/>
    <w:rsid w:val="00151537"/>
    <w:rsid w:val="00153531"/>
    <w:rsid w:val="00154036"/>
    <w:rsid w:val="00154B41"/>
    <w:rsid w:val="00154BAF"/>
    <w:rsid w:val="00157DF6"/>
    <w:rsid w:val="00161841"/>
    <w:rsid w:val="001622B3"/>
    <w:rsid w:val="001631A8"/>
    <w:rsid w:val="0016366E"/>
    <w:rsid w:val="00163F00"/>
    <w:rsid w:val="001640BC"/>
    <w:rsid w:val="00167C97"/>
    <w:rsid w:val="00167FF0"/>
    <w:rsid w:val="001712C1"/>
    <w:rsid w:val="0017136C"/>
    <w:rsid w:val="001741E1"/>
    <w:rsid w:val="0017548B"/>
    <w:rsid w:val="0017589F"/>
    <w:rsid w:val="0017600F"/>
    <w:rsid w:val="001811BA"/>
    <w:rsid w:val="00182532"/>
    <w:rsid w:val="00182E25"/>
    <w:rsid w:val="001850DC"/>
    <w:rsid w:val="001902E2"/>
    <w:rsid w:val="0019273C"/>
    <w:rsid w:val="001956FE"/>
    <w:rsid w:val="001977B1"/>
    <w:rsid w:val="00197AAC"/>
    <w:rsid w:val="001A0BCA"/>
    <w:rsid w:val="001A3573"/>
    <w:rsid w:val="001A38ED"/>
    <w:rsid w:val="001A3E78"/>
    <w:rsid w:val="001A545B"/>
    <w:rsid w:val="001A5649"/>
    <w:rsid w:val="001A7EBD"/>
    <w:rsid w:val="001B057E"/>
    <w:rsid w:val="001B100B"/>
    <w:rsid w:val="001B1C5B"/>
    <w:rsid w:val="001B2163"/>
    <w:rsid w:val="001B3CA9"/>
    <w:rsid w:val="001B3FD6"/>
    <w:rsid w:val="001B6712"/>
    <w:rsid w:val="001B70F2"/>
    <w:rsid w:val="001C11E8"/>
    <w:rsid w:val="001C20F9"/>
    <w:rsid w:val="001C27C1"/>
    <w:rsid w:val="001C3EE5"/>
    <w:rsid w:val="001C59C3"/>
    <w:rsid w:val="001C6664"/>
    <w:rsid w:val="001C66C5"/>
    <w:rsid w:val="001C75BB"/>
    <w:rsid w:val="001D1D2C"/>
    <w:rsid w:val="001D203E"/>
    <w:rsid w:val="001D212C"/>
    <w:rsid w:val="001D59FB"/>
    <w:rsid w:val="001D5CA6"/>
    <w:rsid w:val="001D5EBB"/>
    <w:rsid w:val="001D7176"/>
    <w:rsid w:val="001E1212"/>
    <w:rsid w:val="001E16DF"/>
    <w:rsid w:val="001E4481"/>
    <w:rsid w:val="001E4B74"/>
    <w:rsid w:val="001E5F2B"/>
    <w:rsid w:val="001E6689"/>
    <w:rsid w:val="001E7F59"/>
    <w:rsid w:val="001F0AFA"/>
    <w:rsid w:val="001F251A"/>
    <w:rsid w:val="001F35DE"/>
    <w:rsid w:val="00202893"/>
    <w:rsid w:val="00203304"/>
    <w:rsid w:val="00205C55"/>
    <w:rsid w:val="002061E9"/>
    <w:rsid w:val="0020705A"/>
    <w:rsid w:val="0020763F"/>
    <w:rsid w:val="002125D9"/>
    <w:rsid w:val="002132F6"/>
    <w:rsid w:val="00215AFA"/>
    <w:rsid w:val="002202A8"/>
    <w:rsid w:val="00220DD6"/>
    <w:rsid w:val="002235B2"/>
    <w:rsid w:val="00224CA0"/>
    <w:rsid w:val="00234E2B"/>
    <w:rsid w:val="00237666"/>
    <w:rsid w:val="002404F7"/>
    <w:rsid w:val="002422E9"/>
    <w:rsid w:val="00242D8A"/>
    <w:rsid w:val="002455FF"/>
    <w:rsid w:val="00245938"/>
    <w:rsid w:val="00245B09"/>
    <w:rsid w:val="002472FF"/>
    <w:rsid w:val="0024786F"/>
    <w:rsid w:val="00247A53"/>
    <w:rsid w:val="00247D11"/>
    <w:rsid w:val="0025005E"/>
    <w:rsid w:val="002527ED"/>
    <w:rsid w:val="002534D2"/>
    <w:rsid w:val="00254C68"/>
    <w:rsid w:val="00255913"/>
    <w:rsid w:val="002559CA"/>
    <w:rsid w:val="0025691B"/>
    <w:rsid w:val="002575F5"/>
    <w:rsid w:val="00257E37"/>
    <w:rsid w:val="00261023"/>
    <w:rsid w:val="002610F3"/>
    <w:rsid w:val="0026153C"/>
    <w:rsid w:val="0026192C"/>
    <w:rsid w:val="00261A99"/>
    <w:rsid w:val="002704E1"/>
    <w:rsid w:val="0027052D"/>
    <w:rsid w:val="00271166"/>
    <w:rsid w:val="00273C44"/>
    <w:rsid w:val="00274DC6"/>
    <w:rsid w:val="00275570"/>
    <w:rsid w:val="00276DF2"/>
    <w:rsid w:val="00282DDF"/>
    <w:rsid w:val="00283929"/>
    <w:rsid w:val="0028635A"/>
    <w:rsid w:val="00287AA6"/>
    <w:rsid w:val="00291D47"/>
    <w:rsid w:val="002920CA"/>
    <w:rsid w:val="00293C25"/>
    <w:rsid w:val="00294B56"/>
    <w:rsid w:val="00295A0A"/>
    <w:rsid w:val="00296968"/>
    <w:rsid w:val="0029797C"/>
    <w:rsid w:val="002A0F17"/>
    <w:rsid w:val="002A551D"/>
    <w:rsid w:val="002A5ED8"/>
    <w:rsid w:val="002B01E9"/>
    <w:rsid w:val="002B220B"/>
    <w:rsid w:val="002B2377"/>
    <w:rsid w:val="002B37F0"/>
    <w:rsid w:val="002B3E32"/>
    <w:rsid w:val="002B6B32"/>
    <w:rsid w:val="002B6C35"/>
    <w:rsid w:val="002B6F21"/>
    <w:rsid w:val="002B6FA3"/>
    <w:rsid w:val="002B74AB"/>
    <w:rsid w:val="002B79C7"/>
    <w:rsid w:val="002B7C73"/>
    <w:rsid w:val="002C4617"/>
    <w:rsid w:val="002C5263"/>
    <w:rsid w:val="002C55D1"/>
    <w:rsid w:val="002C6FDF"/>
    <w:rsid w:val="002D0863"/>
    <w:rsid w:val="002D2B75"/>
    <w:rsid w:val="002D3FA3"/>
    <w:rsid w:val="002D4C31"/>
    <w:rsid w:val="002D5431"/>
    <w:rsid w:val="002D70EA"/>
    <w:rsid w:val="002E27B6"/>
    <w:rsid w:val="002E3E7F"/>
    <w:rsid w:val="002E46F7"/>
    <w:rsid w:val="002E507B"/>
    <w:rsid w:val="002E5378"/>
    <w:rsid w:val="002E57B5"/>
    <w:rsid w:val="002F0FEE"/>
    <w:rsid w:val="002F1662"/>
    <w:rsid w:val="002F47B4"/>
    <w:rsid w:val="002F57F0"/>
    <w:rsid w:val="002F5EDD"/>
    <w:rsid w:val="00302A91"/>
    <w:rsid w:val="00303ABA"/>
    <w:rsid w:val="00303F2C"/>
    <w:rsid w:val="0030525E"/>
    <w:rsid w:val="00305356"/>
    <w:rsid w:val="003067E7"/>
    <w:rsid w:val="0031261C"/>
    <w:rsid w:val="00312649"/>
    <w:rsid w:val="00314A04"/>
    <w:rsid w:val="00317453"/>
    <w:rsid w:val="00322905"/>
    <w:rsid w:val="003239EE"/>
    <w:rsid w:val="00323F57"/>
    <w:rsid w:val="003247DD"/>
    <w:rsid w:val="00326222"/>
    <w:rsid w:val="00327324"/>
    <w:rsid w:val="003274F4"/>
    <w:rsid w:val="003305A7"/>
    <w:rsid w:val="00330997"/>
    <w:rsid w:val="00331BF6"/>
    <w:rsid w:val="003345ED"/>
    <w:rsid w:val="00334FBA"/>
    <w:rsid w:val="00335A39"/>
    <w:rsid w:val="003361A6"/>
    <w:rsid w:val="00337735"/>
    <w:rsid w:val="00340FA3"/>
    <w:rsid w:val="00341C0D"/>
    <w:rsid w:val="0034310A"/>
    <w:rsid w:val="00343DF3"/>
    <w:rsid w:val="00345348"/>
    <w:rsid w:val="003455B0"/>
    <w:rsid w:val="00345B88"/>
    <w:rsid w:val="00345D92"/>
    <w:rsid w:val="00346233"/>
    <w:rsid w:val="003464E9"/>
    <w:rsid w:val="00346A7B"/>
    <w:rsid w:val="00350C23"/>
    <w:rsid w:val="00350C80"/>
    <w:rsid w:val="0035206E"/>
    <w:rsid w:val="00352B0A"/>
    <w:rsid w:val="0035391B"/>
    <w:rsid w:val="00355DEB"/>
    <w:rsid w:val="00360502"/>
    <w:rsid w:val="00361C4D"/>
    <w:rsid w:val="00363477"/>
    <w:rsid w:val="0036351A"/>
    <w:rsid w:val="00371A04"/>
    <w:rsid w:val="00372B0E"/>
    <w:rsid w:val="0037420C"/>
    <w:rsid w:val="00374359"/>
    <w:rsid w:val="00375842"/>
    <w:rsid w:val="00375963"/>
    <w:rsid w:val="003774DF"/>
    <w:rsid w:val="00380352"/>
    <w:rsid w:val="0038138E"/>
    <w:rsid w:val="00382A03"/>
    <w:rsid w:val="003858F2"/>
    <w:rsid w:val="0038705B"/>
    <w:rsid w:val="00390A43"/>
    <w:rsid w:val="00391254"/>
    <w:rsid w:val="00391DA5"/>
    <w:rsid w:val="00396DAD"/>
    <w:rsid w:val="00397C2E"/>
    <w:rsid w:val="003A1693"/>
    <w:rsid w:val="003A1DAF"/>
    <w:rsid w:val="003A2559"/>
    <w:rsid w:val="003A38FA"/>
    <w:rsid w:val="003A4359"/>
    <w:rsid w:val="003A555C"/>
    <w:rsid w:val="003A587D"/>
    <w:rsid w:val="003B1638"/>
    <w:rsid w:val="003B174C"/>
    <w:rsid w:val="003B5EF3"/>
    <w:rsid w:val="003B776C"/>
    <w:rsid w:val="003B7DC0"/>
    <w:rsid w:val="003C5965"/>
    <w:rsid w:val="003C5F40"/>
    <w:rsid w:val="003C6DFF"/>
    <w:rsid w:val="003C71BD"/>
    <w:rsid w:val="003D172F"/>
    <w:rsid w:val="003D4011"/>
    <w:rsid w:val="003D414D"/>
    <w:rsid w:val="003D440A"/>
    <w:rsid w:val="003D47A3"/>
    <w:rsid w:val="003D498D"/>
    <w:rsid w:val="003D5668"/>
    <w:rsid w:val="003E162D"/>
    <w:rsid w:val="003E1C7D"/>
    <w:rsid w:val="003E3591"/>
    <w:rsid w:val="003E43B6"/>
    <w:rsid w:val="003E5F3D"/>
    <w:rsid w:val="003E6A95"/>
    <w:rsid w:val="003E6D1D"/>
    <w:rsid w:val="003E6DC4"/>
    <w:rsid w:val="003F0BD3"/>
    <w:rsid w:val="003F0DCF"/>
    <w:rsid w:val="003F12FA"/>
    <w:rsid w:val="003F4013"/>
    <w:rsid w:val="003F41D0"/>
    <w:rsid w:val="003F76DE"/>
    <w:rsid w:val="00400036"/>
    <w:rsid w:val="00400BEF"/>
    <w:rsid w:val="00400F16"/>
    <w:rsid w:val="00402EFF"/>
    <w:rsid w:val="004051DD"/>
    <w:rsid w:val="0040654F"/>
    <w:rsid w:val="004075B5"/>
    <w:rsid w:val="004078DB"/>
    <w:rsid w:val="00411AF3"/>
    <w:rsid w:val="004128D0"/>
    <w:rsid w:val="00412BFD"/>
    <w:rsid w:val="00414774"/>
    <w:rsid w:val="0041590A"/>
    <w:rsid w:val="00416083"/>
    <w:rsid w:val="0042055D"/>
    <w:rsid w:val="004215B2"/>
    <w:rsid w:val="00422B84"/>
    <w:rsid w:val="0042428F"/>
    <w:rsid w:val="00425213"/>
    <w:rsid w:val="004335F9"/>
    <w:rsid w:val="00433AB7"/>
    <w:rsid w:val="00434A21"/>
    <w:rsid w:val="0043747F"/>
    <w:rsid w:val="00437604"/>
    <w:rsid w:val="00437A12"/>
    <w:rsid w:val="0044328C"/>
    <w:rsid w:val="004470C3"/>
    <w:rsid w:val="0044745F"/>
    <w:rsid w:val="00447D0E"/>
    <w:rsid w:val="00450AC1"/>
    <w:rsid w:val="00451378"/>
    <w:rsid w:val="00452B5B"/>
    <w:rsid w:val="004535DA"/>
    <w:rsid w:val="00453728"/>
    <w:rsid w:val="00454CD4"/>
    <w:rsid w:val="004554C7"/>
    <w:rsid w:val="004564C2"/>
    <w:rsid w:val="00456B6A"/>
    <w:rsid w:val="004571D0"/>
    <w:rsid w:val="0045739C"/>
    <w:rsid w:val="00461736"/>
    <w:rsid w:val="00461AAE"/>
    <w:rsid w:val="00461F1E"/>
    <w:rsid w:val="004661CB"/>
    <w:rsid w:val="004663D8"/>
    <w:rsid w:val="00466445"/>
    <w:rsid w:val="004670F7"/>
    <w:rsid w:val="00467399"/>
    <w:rsid w:val="00467BE8"/>
    <w:rsid w:val="00470050"/>
    <w:rsid w:val="0047025C"/>
    <w:rsid w:val="0047094A"/>
    <w:rsid w:val="0047227C"/>
    <w:rsid w:val="0047519B"/>
    <w:rsid w:val="00477185"/>
    <w:rsid w:val="00477A0D"/>
    <w:rsid w:val="00477FCE"/>
    <w:rsid w:val="00482A56"/>
    <w:rsid w:val="00483871"/>
    <w:rsid w:val="00483A83"/>
    <w:rsid w:val="00484195"/>
    <w:rsid w:val="00486ECF"/>
    <w:rsid w:val="00486F72"/>
    <w:rsid w:val="00487698"/>
    <w:rsid w:val="0049059F"/>
    <w:rsid w:val="00491649"/>
    <w:rsid w:val="004916F1"/>
    <w:rsid w:val="0049227B"/>
    <w:rsid w:val="00493CE8"/>
    <w:rsid w:val="004961B1"/>
    <w:rsid w:val="004A1CB9"/>
    <w:rsid w:val="004A2C3E"/>
    <w:rsid w:val="004A3664"/>
    <w:rsid w:val="004A535B"/>
    <w:rsid w:val="004A63F5"/>
    <w:rsid w:val="004A6421"/>
    <w:rsid w:val="004A65B7"/>
    <w:rsid w:val="004A727C"/>
    <w:rsid w:val="004A7813"/>
    <w:rsid w:val="004B0559"/>
    <w:rsid w:val="004B09D0"/>
    <w:rsid w:val="004B642B"/>
    <w:rsid w:val="004B763C"/>
    <w:rsid w:val="004C004A"/>
    <w:rsid w:val="004C1786"/>
    <w:rsid w:val="004C2377"/>
    <w:rsid w:val="004C2B7A"/>
    <w:rsid w:val="004C427F"/>
    <w:rsid w:val="004C42CC"/>
    <w:rsid w:val="004C79C5"/>
    <w:rsid w:val="004D13CA"/>
    <w:rsid w:val="004D1913"/>
    <w:rsid w:val="004D1A5E"/>
    <w:rsid w:val="004D1E5C"/>
    <w:rsid w:val="004D353D"/>
    <w:rsid w:val="004D36F6"/>
    <w:rsid w:val="004D3CF8"/>
    <w:rsid w:val="004D3FD8"/>
    <w:rsid w:val="004D5486"/>
    <w:rsid w:val="004D5AA8"/>
    <w:rsid w:val="004D63F7"/>
    <w:rsid w:val="004D65DB"/>
    <w:rsid w:val="004E1D52"/>
    <w:rsid w:val="004E1E9D"/>
    <w:rsid w:val="004E1FA3"/>
    <w:rsid w:val="004E4493"/>
    <w:rsid w:val="004E6A6D"/>
    <w:rsid w:val="004F03B3"/>
    <w:rsid w:val="004F0D10"/>
    <w:rsid w:val="004F1E37"/>
    <w:rsid w:val="004F203B"/>
    <w:rsid w:val="004F367C"/>
    <w:rsid w:val="004F3C2D"/>
    <w:rsid w:val="004F49F0"/>
    <w:rsid w:val="004F4A35"/>
    <w:rsid w:val="004F592E"/>
    <w:rsid w:val="004F5CCB"/>
    <w:rsid w:val="004F7E5C"/>
    <w:rsid w:val="00501375"/>
    <w:rsid w:val="00501E9F"/>
    <w:rsid w:val="0050325A"/>
    <w:rsid w:val="0050553C"/>
    <w:rsid w:val="00505664"/>
    <w:rsid w:val="00505710"/>
    <w:rsid w:val="005058BD"/>
    <w:rsid w:val="00506691"/>
    <w:rsid w:val="00507EB3"/>
    <w:rsid w:val="0051094C"/>
    <w:rsid w:val="00510FC2"/>
    <w:rsid w:val="005113B0"/>
    <w:rsid w:val="00513CE2"/>
    <w:rsid w:val="00515294"/>
    <w:rsid w:val="00516E04"/>
    <w:rsid w:val="00517708"/>
    <w:rsid w:val="005201CB"/>
    <w:rsid w:val="005203B8"/>
    <w:rsid w:val="00520970"/>
    <w:rsid w:val="005218C9"/>
    <w:rsid w:val="005236BC"/>
    <w:rsid w:val="00526203"/>
    <w:rsid w:val="005262B8"/>
    <w:rsid w:val="00526E51"/>
    <w:rsid w:val="00530F44"/>
    <w:rsid w:val="0053381A"/>
    <w:rsid w:val="00533FB6"/>
    <w:rsid w:val="00535558"/>
    <w:rsid w:val="00536014"/>
    <w:rsid w:val="00536BD8"/>
    <w:rsid w:val="005372D2"/>
    <w:rsid w:val="0053773D"/>
    <w:rsid w:val="005419D1"/>
    <w:rsid w:val="00545C13"/>
    <w:rsid w:val="00545C4F"/>
    <w:rsid w:val="00545ED2"/>
    <w:rsid w:val="00546216"/>
    <w:rsid w:val="005477EB"/>
    <w:rsid w:val="005478C1"/>
    <w:rsid w:val="00550D23"/>
    <w:rsid w:val="0055112C"/>
    <w:rsid w:val="00552A26"/>
    <w:rsid w:val="00554B34"/>
    <w:rsid w:val="00555016"/>
    <w:rsid w:val="00556019"/>
    <w:rsid w:val="0056008D"/>
    <w:rsid w:val="00561001"/>
    <w:rsid w:val="00561623"/>
    <w:rsid w:val="0056311B"/>
    <w:rsid w:val="00564E0E"/>
    <w:rsid w:val="00566D62"/>
    <w:rsid w:val="005707AD"/>
    <w:rsid w:val="00570897"/>
    <w:rsid w:val="005716D7"/>
    <w:rsid w:val="00572958"/>
    <w:rsid w:val="00573557"/>
    <w:rsid w:val="0057379E"/>
    <w:rsid w:val="00580237"/>
    <w:rsid w:val="00580A29"/>
    <w:rsid w:val="00581E2E"/>
    <w:rsid w:val="00581F1F"/>
    <w:rsid w:val="00582464"/>
    <w:rsid w:val="005861BE"/>
    <w:rsid w:val="00586F0C"/>
    <w:rsid w:val="005911DF"/>
    <w:rsid w:val="00591463"/>
    <w:rsid w:val="00591970"/>
    <w:rsid w:val="00591A48"/>
    <w:rsid w:val="0059461F"/>
    <w:rsid w:val="005947C8"/>
    <w:rsid w:val="0059794C"/>
    <w:rsid w:val="005A026F"/>
    <w:rsid w:val="005A05F3"/>
    <w:rsid w:val="005A1E34"/>
    <w:rsid w:val="005A2EE9"/>
    <w:rsid w:val="005A33E8"/>
    <w:rsid w:val="005A391D"/>
    <w:rsid w:val="005A637F"/>
    <w:rsid w:val="005A6408"/>
    <w:rsid w:val="005A6F95"/>
    <w:rsid w:val="005B0BD3"/>
    <w:rsid w:val="005B1265"/>
    <w:rsid w:val="005B1DE5"/>
    <w:rsid w:val="005B5113"/>
    <w:rsid w:val="005C0618"/>
    <w:rsid w:val="005C2096"/>
    <w:rsid w:val="005C60DA"/>
    <w:rsid w:val="005C60DE"/>
    <w:rsid w:val="005D02FE"/>
    <w:rsid w:val="005D4076"/>
    <w:rsid w:val="005D5145"/>
    <w:rsid w:val="005D6F80"/>
    <w:rsid w:val="005E011C"/>
    <w:rsid w:val="005E094B"/>
    <w:rsid w:val="005E19DE"/>
    <w:rsid w:val="005E23D5"/>
    <w:rsid w:val="005E6931"/>
    <w:rsid w:val="005E7026"/>
    <w:rsid w:val="005F1983"/>
    <w:rsid w:val="005F2449"/>
    <w:rsid w:val="005F3D14"/>
    <w:rsid w:val="005F7729"/>
    <w:rsid w:val="006000A4"/>
    <w:rsid w:val="00601369"/>
    <w:rsid w:val="0060201C"/>
    <w:rsid w:val="00602D7C"/>
    <w:rsid w:val="00603068"/>
    <w:rsid w:val="006059C7"/>
    <w:rsid w:val="00606ABB"/>
    <w:rsid w:val="0060731B"/>
    <w:rsid w:val="00607A09"/>
    <w:rsid w:val="00607B4F"/>
    <w:rsid w:val="0061090E"/>
    <w:rsid w:val="00610D47"/>
    <w:rsid w:val="006129C0"/>
    <w:rsid w:val="00614EC1"/>
    <w:rsid w:val="00615382"/>
    <w:rsid w:val="00616BB9"/>
    <w:rsid w:val="00620C8A"/>
    <w:rsid w:val="006230B9"/>
    <w:rsid w:val="006279D3"/>
    <w:rsid w:val="00627ABA"/>
    <w:rsid w:val="006302B2"/>
    <w:rsid w:val="0063088F"/>
    <w:rsid w:val="00633961"/>
    <w:rsid w:val="006339CD"/>
    <w:rsid w:val="00633DE5"/>
    <w:rsid w:val="00636542"/>
    <w:rsid w:val="00637362"/>
    <w:rsid w:val="00637B6C"/>
    <w:rsid w:val="00640100"/>
    <w:rsid w:val="0064056B"/>
    <w:rsid w:val="00641C44"/>
    <w:rsid w:val="00642B74"/>
    <w:rsid w:val="0064338E"/>
    <w:rsid w:val="00650E07"/>
    <w:rsid w:val="006511B6"/>
    <w:rsid w:val="006612B2"/>
    <w:rsid w:val="006612ED"/>
    <w:rsid w:val="00662706"/>
    <w:rsid w:val="00663836"/>
    <w:rsid w:val="006639E7"/>
    <w:rsid w:val="006646AA"/>
    <w:rsid w:val="0066752C"/>
    <w:rsid w:val="00670EFE"/>
    <w:rsid w:val="00672018"/>
    <w:rsid w:val="006728A1"/>
    <w:rsid w:val="006739F6"/>
    <w:rsid w:val="00677D02"/>
    <w:rsid w:val="00680D09"/>
    <w:rsid w:val="00682B94"/>
    <w:rsid w:val="0068402E"/>
    <w:rsid w:val="0068487E"/>
    <w:rsid w:val="00684AAF"/>
    <w:rsid w:val="006867FA"/>
    <w:rsid w:val="00687580"/>
    <w:rsid w:val="00687A65"/>
    <w:rsid w:val="006904C7"/>
    <w:rsid w:val="0069074D"/>
    <w:rsid w:val="0069255B"/>
    <w:rsid w:val="00692D80"/>
    <w:rsid w:val="0069409C"/>
    <w:rsid w:val="00694216"/>
    <w:rsid w:val="00694C57"/>
    <w:rsid w:val="006A1AEA"/>
    <w:rsid w:val="006A3282"/>
    <w:rsid w:val="006A37E2"/>
    <w:rsid w:val="006A6122"/>
    <w:rsid w:val="006B1D8D"/>
    <w:rsid w:val="006B1E61"/>
    <w:rsid w:val="006B2E3E"/>
    <w:rsid w:val="006B5A67"/>
    <w:rsid w:val="006C1C4C"/>
    <w:rsid w:val="006C32AE"/>
    <w:rsid w:val="006C34AE"/>
    <w:rsid w:val="006C3575"/>
    <w:rsid w:val="006C35C8"/>
    <w:rsid w:val="006C3F3D"/>
    <w:rsid w:val="006C446C"/>
    <w:rsid w:val="006C5C2A"/>
    <w:rsid w:val="006C5C5F"/>
    <w:rsid w:val="006C6C18"/>
    <w:rsid w:val="006D2A93"/>
    <w:rsid w:val="006D4B6C"/>
    <w:rsid w:val="006D50A5"/>
    <w:rsid w:val="006D58E6"/>
    <w:rsid w:val="006D69AC"/>
    <w:rsid w:val="006E1586"/>
    <w:rsid w:val="006E279B"/>
    <w:rsid w:val="006E2854"/>
    <w:rsid w:val="006E2BD5"/>
    <w:rsid w:val="006E402A"/>
    <w:rsid w:val="006F10CD"/>
    <w:rsid w:val="006F11D3"/>
    <w:rsid w:val="006F1C22"/>
    <w:rsid w:val="006F3EA7"/>
    <w:rsid w:val="006F4F60"/>
    <w:rsid w:val="006F61DB"/>
    <w:rsid w:val="00701548"/>
    <w:rsid w:val="0070360A"/>
    <w:rsid w:val="0070403D"/>
    <w:rsid w:val="007066BE"/>
    <w:rsid w:val="00706DF2"/>
    <w:rsid w:val="00710F6F"/>
    <w:rsid w:val="00714A37"/>
    <w:rsid w:val="007204F6"/>
    <w:rsid w:val="007215BB"/>
    <w:rsid w:val="00727BEA"/>
    <w:rsid w:val="007305DA"/>
    <w:rsid w:val="00731989"/>
    <w:rsid w:val="007340FA"/>
    <w:rsid w:val="00734B30"/>
    <w:rsid w:val="007355BC"/>
    <w:rsid w:val="00735830"/>
    <w:rsid w:val="007364C5"/>
    <w:rsid w:val="007365FB"/>
    <w:rsid w:val="0073771B"/>
    <w:rsid w:val="00742AF3"/>
    <w:rsid w:val="00744B89"/>
    <w:rsid w:val="00745B7A"/>
    <w:rsid w:val="00746FD3"/>
    <w:rsid w:val="00747591"/>
    <w:rsid w:val="00750247"/>
    <w:rsid w:val="00751321"/>
    <w:rsid w:val="0075197D"/>
    <w:rsid w:val="007527AC"/>
    <w:rsid w:val="0075387E"/>
    <w:rsid w:val="00753E6B"/>
    <w:rsid w:val="00755482"/>
    <w:rsid w:val="00755A3F"/>
    <w:rsid w:val="0075727E"/>
    <w:rsid w:val="00761FA7"/>
    <w:rsid w:val="00762E0E"/>
    <w:rsid w:val="00763B72"/>
    <w:rsid w:val="00764342"/>
    <w:rsid w:val="00764EF4"/>
    <w:rsid w:val="00765C30"/>
    <w:rsid w:val="007660BC"/>
    <w:rsid w:val="007661C8"/>
    <w:rsid w:val="00767E8B"/>
    <w:rsid w:val="007721B7"/>
    <w:rsid w:val="00775B47"/>
    <w:rsid w:val="00777063"/>
    <w:rsid w:val="00777A3E"/>
    <w:rsid w:val="00777BDC"/>
    <w:rsid w:val="00783BD0"/>
    <w:rsid w:val="00783CFA"/>
    <w:rsid w:val="00784C36"/>
    <w:rsid w:val="00785746"/>
    <w:rsid w:val="00785F23"/>
    <w:rsid w:val="0079269E"/>
    <w:rsid w:val="007A159D"/>
    <w:rsid w:val="007A17E0"/>
    <w:rsid w:val="007A3E4C"/>
    <w:rsid w:val="007A45E9"/>
    <w:rsid w:val="007A6405"/>
    <w:rsid w:val="007A6EA7"/>
    <w:rsid w:val="007A7818"/>
    <w:rsid w:val="007B03F7"/>
    <w:rsid w:val="007B1317"/>
    <w:rsid w:val="007B1407"/>
    <w:rsid w:val="007B2223"/>
    <w:rsid w:val="007B23F1"/>
    <w:rsid w:val="007B2B93"/>
    <w:rsid w:val="007B37C9"/>
    <w:rsid w:val="007B52DB"/>
    <w:rsid w:val="007B61D9"/>
    <w:rsid w:val="007B667E"/>
    <w:rsid w:val="007B7C55"/>
    <w:rsid w:val="007B7F15"/>
    <w:rsid w:val="007B7F75"/>
    <w:rsid w:val="007C23B9"/>
    <w:rsid w:val="007C277E"/>
    <w:rsid w:val="007C2EBD"/>
    <w:rsid w:val="007C5163"/>
    <w:rsid w:val="007C797E"/>
    <w:rsid w:val="007C7BA8"/>
    <w:rsid w:val="007D1690"/>
    <w:rsid w:val="007D409E"/>
    <w:rsid w:val="007D5A98"/>
    <w:rsid w:val="007D65F9"/>
    <w:rsid w:val="007D7211"/>
    <w:rsid w:val="007E2212"/>
    <w:rsid w:val="007E2B0A"/>
    <w:rsid w:val="007E4F0C"/>
    <w:rsid w:val="007E695C"/>
    <w:rsid w:val="007E7253"/>
    <w:rsid w:val="007E77DE"/>
    <w:rsid w:val="007F0E5F"/>
    <w:rsid w:val="007F1329"/>
    <w:rsid w:val="007F2A49"/>
    <w:rsid w:val="007F621E"/>
    <w:rsid w:val="007F6ADF"/>
    <w:rsid w:val="007F74C4"/>
    <w:rsid w:val="007F7A1B"/>
    <w:rsid w:val="007F7D39"/>
    <w:rsid w:val="0080153B"/>
    <w:rsid w:val="008015B3"/>
    <w:rsid w:val="00803558"/>
    <w:rsid w:val="00804B06"/>
    <w:rsid w:val="00804D08"/>
    <w:rsid w:val="00804EFA"/>
    <w:rsid w:val="00807840"/>
    <w:rsid w:val="00807A75"/>
    <w:rsid w:val="00810501"/>
    <w:rsid w:val="00810D6B"/>
    <w:rsid w:val="0081469E"/>
    <w:rsid w:val="00815FE9"/>
    <w:rsid w:val="00825C7C"/>
    <w:rsid w:val="0082769E"/>
    <w:rsid w:val="00830D37"/>
    <w:rsid w:val="00835D2D"/>
    <w:rsid w:val="00835FB8"/>
    <w:rsid w:val="0083619C"/>
    <w:rsid w:val="00836EAA"/>
    <w:rsid w:val="00841D75"/>
    <w:rsid w:val="00844761"/>
    <w:rsid w:val="00847390"/>
    <w:rsid w:val="0084789C"/>
    <w:rsid w:val="0085210D"/>
    <w:rsid w:val="008528A7"/>
    <w:rsid w:val="00853D19"/>
    <w:rsid w:val="00855047"/>
    <w:rsid w:val="008560F6"/>
    <w:rsid w:val="0085700E"/>
    <w:rsid w:val="00860288"/>
    <w:rsid w:val="008608C1"/>
    <w:rsid w:val="00860D2A"/>
    <w:rsid w:val="00861408"/>
    <w:rsid w:val="00863095"/>
    <w:rsid w:val="008652DC"/>
    <w:rsid w:val="00867D11"/>
    <w:rsid w:val="0087083F"/>
    <w:rsid w:val="00873A15"/>
    <w:rsid w:val="00874C65"/>
    <w:rsid w:val="00876D0A"/>
    <w:rsid w:val="00877FBF"/>
    <w:rsid w:val="00884EF8"/>
    <w:rsid w:val="0088657B"/>
    <w:rsid w:val="00886AED"/>
    <w:rsid w:val="0088781B"/>
    <w:rsid w:val="00891F95"/>
    <w:rsid w:val="00895D43"/>
    <w:rsid w:val="00896559"/>
    <w:rsid w:val="008A0B8C"/>
    <w:rsid w:val="008A127A"/>
    <w:rsid w:val="008A1F4D"/>
    <w:rsid w:val="008A7DE6"/>
    <w:rsid w:val="008B1659"/>
    <w:rsid w:val="008B1B6B"/>
    <w:rsid w:val="008B265B"/>
    <w:rsid w:val="008B366E"/>
    <w:rsid w:val="008B4D36"/>
    <w:rsid w:val="008B566E"/>
    <w:rsid w:val="008B63E7"/>
    <w:rsid w:val="008B6842"/>
    <w:rsid w:val="008B70C4"/>
    <w:rsid w:val="008B76A8"/>
    <w:rsid w:val="008B7F48"/>
    <w:rsid w:val="008C03D9"/>
    <w:rsid w:val="008C59DC"/>
    <w:rsid w:val="008C5D40"/>
    <w:rsid w:val="008D1D14"/>
    <w:rsid w:val="008D6D04"/>
    <w:rsid w:val="008E0531"/>
    <w:rsid w:val="008E135A"/>
    <w:rsid w:val="008E1EBD"/>
    <w:rsid w:val="008E3EC1"/>
    <w:rsid w:val="008E6A4A"/>
    <w:rsid w:val="008F08A5"/>
    <w:rsid w:val="008F1B2B"/>
    <w:rsid w:val="008F1EF3"/>
    <w:rsid w:val="008F41C3"/>
    <w:rsid w:val="008F47FB"/>
    <w:rsid w:val="008F51CA"/>
    <w:rsid w:val="008F7D55"/>
    <w:rsid w:val="00900010"/>
    <w:rsid w:val="00900999"/>
    <w:rsid w:val="00902BB9"/>
    <w:rsid w:val="00904522"/>
    <w:rsid w:val="00904FEA"/>
    <w:rsid w:val="0091179C"/>
    <w:rsid w:val="00911BA6"/>
    <w:rsid w:val="00911ECD"/>
    <w:rsid w:val="00912204"/>
    <w:rsid w:val="0092079B"/>
    <w:rsid w:val="00921248"/>
    <w:rsid w:val="00923CFA"/>
    <w:rsid w:val="00924265"/>
    <w:rsid w:val="00924C51"/>
    <w:rsid w:val="00926C8E"/>
    <w:rsid w:val="00932ACC"/>
    <w:rsid w:val="00934FE5"/>
    <w:rsid w:val="00936E8F"/>
    <w:rsid w:val="00943F37"/>
    <w:rsid w:val="009449BD"/>
    <w:rsid w:val="00945665"/>
    <w:rsid w:val="00946A3B"/>
    <w:rsid w:val="00947CEB"/>
    <w:rsid w:val="00950930"/>
    <w:rsid w:val="00950DA2"/>
    <w:rsid w:val="00950E1B"/>
    <w:rsid w:val="00951E19"/>
    <w:rsid w:val="00952347"/>
    <w:rsid w:val="009524EC"/>
    <w:rsid w:val="00952F2B"/>
    <w:rsid w:val="0095381D"/>
    <w:rsid w:val="00953D65"/>
    <w:rsid w:val="00954BE1"/>
    <w:rsid w:val="00957688"/>
    <w:rsid w:val="00957FA1"/>
    <w:rsid w:val="00961631"/>
    <w:rsid w:val="00963ACD"/>
    <w:rsid w:val="00965637"/>
    <w:rsid w:val="00966B23"/>
    <w:rsid w:val="00967DA6"/>
    <w:rsid w:val="00971BD8"/>
    <w:rsid w:val="009721D0"/>
    <w:rsid w:val="009723A0"/>
    <w:rsid w:val="009744D1"/>
    <w:rsid w:val="009754D1"/>
    <w:rsid w:val="00976B78"/>
    <w:rsid w:val="00980272"/>
    <w:rsid w:val="00982210"/>
    <w:rsid w:val="00983256"/>
    <w:rsid w:val="00983FAE"/>
    <w:rsid w:val="00984B1A"/>
    <w:rsid w:val="009872AD"/>
    <w:rsid w:val="0098769B"/>
    <w:rsid w:val="00990389"/>
    <w:rsid w:val="00990C31"/>
    <w:rsid w:val="009922D4"/>
    <w:rsid w:val="00993A00"/>
    <w:rsid w:val="00995CDD"/>
    <w:rsid w:val="009961FF"/>
    <w:rsid w:val="009A1654"/>
    <w:rsid w:val="009A2432"/>
    <w:rsid w:val="009A2493"/>
    <w:rsid w:val="009A3FB5"/>
    <w:rsid w:val="009A533F"/>
    <w:rsid w:val="009A7DFA"/>
    <w:rsid w:val="009B3446"/>
    <w:rsid w:val="009B4990"/>
    <w:rsid w:val="009B693D"/>
    <w:rsid w:val="009B6A64"/>
    <w:rsid w:val="009B79AD"/>
    <w:rsid w:val="009B7E47"/>
    <w:rsid w:val="009C06B3"/>
    <w:rsid w:val="009C0CBB"/>
    <w:rsid w:val="009C1820"/>
    <w:rsid w:val="009C1D38"/>
    <w:rsid w:val="009C1F13"/>
    <w:rsid w:val="009C34A2"/>
    <w:rsid w:val="009C3999"/>
    <w:rsid w:val="009C3A3E"/>
    <w:rsid w:val="009C48D9"/>
    <w:rsid w:val="009C501D"/>
    <w:rsid w:val="009C7F0B"/>
    <w:rsid w:val="009D020F"/>
    <w:rsid w:val="009D195C"/>
    <w:rsid w:val="009D1BF7"/>
    <w:rsid w:val="009D35B3"/>
    <w:rsid w:val="009D4248"/>
    <w:rsid w:val="009D50D3"/>
    <w:rsid w:val="009D6980"/>
    <w:rsid w:val="009D75E0"/>
    <w:rsid w:val="009E002E"/>
    <w:rsid w:val="009E20F1"/>
    <w:rsid w:val="009E2E31"/>
    <w:rsid w:val="009E37DC"/>
    <w:rsid w:val="009E65FD"/>
    <w:rsid w:val="009F68B5"/>
    <w:rsid w:val="009F7764"/>
    <w:rsid w:val="009F7B22"/>
    <w:rsid w:val="00A004BB"/>
    <w:rsid w:val="00A02131"/>
    <w:rsid w:val="00A02D6F"/>
    <w:rsid w:val="00A037D6"/>
    <w:rsid w:val="00A04F50"/>
    <w:rsid w:val="00A051B9"/>
    <w:rsid w:val="00A06012"/>
    <w:rsid w:val="00A0745B"/>
    <w:rsid w:val="00A15225"/>
    <w:rsid w:val="00A15E12"/>
    <w:rsid w:val="00A20060"/>
    <w:rsid w:val="00A202AD"/>
    <w:rsid w:val="00A20C11"/>
    <w:rsid w:val="00A230CE"/>
    <w:rsid w:val="00A24371"/>
    <w:rsid w:val="00A26F0C"/>
    <w:rsid w:val="00A335E4"/>
    <w:rsid w:val="00A33C4D"/>
    <w:rsid w:val="00A3414D"/>
    <w:rsid w:val="00A3612B"/>
    <w:rsid w:val="00A36B41"/>
    <w:rsid w:val="00A37581"/>
    <w:rsid w:val="00A409F0"/>
    <w:rsid w:val="00A40B69"/>
    <w:rsid w:val="00A42494"/>
    <w:rsid w:val="00A43405"/>
    <w:rsid w:val="00A46BFF"/>
    <w:rsid w:val="00A46C9B"/>
    <w:rsid w:val="00A47F88"/>
    <w:rsid w:val="00A50F3A"/>
    <w:rsid w:val="00A54404"/>
    <w:rsid w:val="00A549A0"/>
    <w:rsid w:val="00A55177"/>
    <w:rsid w:val="00A560DD"/>
    <w:rsid w:val="00A56F92"/>
    <w:rsid w:val="00A57232"/>
    <w:rsid w:val="00A61147"/>
    <w:rsid w:val="00A613B8"/>
    <w:rsid w:val="00A62276"/>
    <w:rsid w:val="00A62356"/>
    <w:rsid w:val="00A6385B"/>
    <w:rsid w:val="00A652AA"/>
    <w:rsid w:val="00A66C87"/>
    <w:rsid w:val="00A67CE5"/>
    <w:rsid w:val="00A70480"/>
    <w:rsid w:val="00A705FA"/>
    <w:rsid w:val="00A707A8"/>
    <w:rsid w:val="00A71074"/>
    <w:rsid w:val="00A72B72"/>
    <w:rsid w:val="00A731F4"/>
    <w:rsid w:val="00A741E9"/>
    <w:rsid w:val="00A75D8B"/>
    <w:rsid w:val="00A777AF"/>
    <w:rsid w:val="00A80A14"/>
    <w:rsid w:val="00A83CB3"/>
    <w:rsid w:val="00A84085"/>
    <w:rsid w:val="00A860C9"/>
    <w:rsid w:val="00A86AFE"/>
    <w:rsid w:val="00A9034B"/>
    <w:rsid w:val="00A90B8A"/>
    <w:rsid w:val="00A91FD4"/>
    <w:rsid w:val="00A9541A"/>
    <w:rsid w:val="00A967A6"/>
    <w:rsid w:val="00AA1658"/>
    <w:rsid w:val="00AA30A7"/>
    <w:rsid w:val="00AA6B83"/>
    <w:rsid w:val="00AA6C6C"/>
    <w:rsid w:val="00AB0FF9"/>
    <w:rsid w:val="00AB1A33"/>
    <w:rsid w:val="00AB22E2"/>
    <w:rsid w:val="00AB639F"/>
    <w:rsid w:val="00AB6B16"/>
    <w:rsid w:val="00AC0C73"/>
    <w:rsid w:val="00AC17D1"/>
    <w:rsid w:val="00AC1864"/>
    <w:rsid w:val="00AC39FF"/>
    <w:rsid w:val="00AC4A96"/>
    <w:rsid w:val="00AC4C74"/>
    <w:rsid w:val="00AC71E5"/>
    <w:rsid w:val="00AD01ED"/>
    <w:rsid w:val="00AD131A"/>
    <w:rsid w:val="00AD755B"/>
    <w:rsid w:val="00AE1E65"/>
    <w:rsid w:val="00AE5F50"/>
    <w:rsid w:val="00AF0123"/>
    <w:rsid w:val="00AF1AE1"/>
    <w:rsid w:val="00AF302C"/>
    <w:rsid w:val="00AF6929"/>
    <w:rsid w:val="00B00424"/>
    <w:rsid w:val="00B00F75"/>
    <w:rsid w:val="00B04D0A"/>
    <w:rsid w:val="00B0653F"/>
    <w:rsid w:val="00B103BF"/>
    <w:rsid w:val="00B10709"/>
    <w:rsid w:val="00B122E2"/>
    <w:rsid w:val="00B15297"/>
    <w:rsid w:val="00B158B0"/>
    <w:rsid w:val="00B16976"/>
    <w:rsid w:val="00B16BFF"/>
    <w:rsid w:val="00B1795F"/>
    <w:rsid w:val="00B17A18"/>
    <w:rsid w:val="00B20CC2"/>
    <w:rsid w:val="00B20E77"/>
    <w:rsid w:val="00B21B60"/>
    <w:rsid w:val="00B23EF9"/>
    <w:rsid w:val="00B25B18"/>
    <w:rsid w:val="00B270D3"/>
    <w:rsid w:val="00B30B05"/>
    <w:rsid w:val="00B31FE6"/>
    <w:rsid w:val="00B3401F"/>
    <w:rsid w:val="00B3407A"/>
    <w:rsid w:val="00B3514A"/>
    <w:rsid w:val="00B364B1"/>
    <w:rsid w:val="00B42100"/>
    <w:rsid w:val="00B4471A"/>
    <w:rsid w:val="00B5017E"/>
    <w:rsid w:val="00B5173D"/>
    <w:rsid w:val="00B51CC7"/>
    <w:rsid w:val="00B542D1"/>
    <w:rsid w:val="00B55407"/>
    <w:rsid w:val="00B555EC"/>
    <w:rsid w:val="00B56731"/>
    <w:rsid w:val="00B61C75"/>
    <w:rsid w:val="00B62466"/>
    <w:rsid w:val="00B6293F"/>
    <w:rsid w:val="00B62C45"/>
    <w:rsid w:val="00B65D26"/>
    <w:rsid w:val="00B6601F"/>
    <w:rsid w:val="00B6778C"/>
    <w:rsid w:val="00B678E2"/>
    <w:rsid w:val="00B67A8F"/>
    <w:rsid w:val="00B70BD7"/>
    <w:rsid w:val="00B7266B"/>
    <w:rsid w:val="00B72A39"/>
    <w:rsid w:val="00B749C7"/>
    <w:rsid w:val="00B75788"/>
    <w:rsid w:val="00B7605A"/>
    <w:rsid w:val="00B76885"/>
    <w:rsid w:val="00B8071D"/>
    <w:rsid w:val="00B873E8"/>
    <w:rsid w:val="00B926D2"/>
    <w:rsid w:val="00B92760"/>
    <w:rsid w:val="00B93F1E"/>
    <w:rsid w:val="00B9692B"/>
    <w:rsid w:val="00B96F67"/>
    <w:rsid w:val="00BA0423"/>
    <w:rsid w:val="00BA051B"/>
    <w:rsid w:val="00BA1646"/>
    <w:rsid w:val="00BA3218"/>
    <w:rsid w:val="00BA359E"/>
    <w:rsid w:val="00BA3747"/>
    <w:rsid w:val="00BA37BB"/>
    <w:rsid w:val="00BA53C5"/>
    <w:rsid w:val="00BA7408"/>
    <w:rsid w:val="00BA782B"/>
    <w:rsid w:val="00BB1680"/>
    <w:rsid w:val="00BB36EB"/>
    <w:rsid w:val="00BB42A4"/>
    <w:rsid w:val="00BB45AE"/>
    <w:rsid w:val="00BB593D"/>
    <w:rsid w:val="00BB7708"/>
    <w:rsid w:val="00BB770B"/>
    <w:rsid w:val="00BC186B"/>
    <w:rsid w:val="00BC1C14"/>
    <w:rsid w:val="00BC1F93"/>
    <w:rsid w:val="00BC4AC5"/>
    <w:rsid w:val="00BC590F"/>
    <w:rsid w:val="00BC7608"/>
    <w:rsid w:val="00BD0A1E"/>
    <w:rsid w:val="00BD248E"/>
    <w:rsid w:val="00BD6AD1"/>
    <w:rsid w:val="00BD7237"/>
    <w:rsid w:val="00BE05B7"/>
    <w:rsid w:val="00BE1342"/>
    <w:rsid w:val="00BE1858"/>
    <w:rsid w:val="00BE1F78"/>
    <w:rsid w:val="00BE4545"/>
    <w:rsid w:val="00BE6B7A"/>
    <w:rsid w:val="00BF1539"/>
    <w:rsid w:val="00BF18DC"/>
    <w:rsid w:val="00BF313B"/>
    <w:rsid w:val="00BF5245"/>
    <w:rsid w:val="00BF679A"/>
    <w:rsid w:val="00C005C2"/>
    <w:rsid w:val="00C016EE"/>
    <w:rsid w:val="00C01BD6"/>
    <w:rsid w:val="00C02F2E"/>
    <w:rsid w:val="00C03A60"/>
    <w:rsid w:val="00C04686"/>
    <w:rsid w:val="00C06A45"/>
    <w:rsid w:val="00C07974"/>
    <w:rsid w:val="00C07BFF"/>
    <w:rsid w:val="00C11C23"/>
    <w:rsid w:val="00C11DB1"/>
    <w:rsid w:val="00C12195"/>
    <w:rsid w:val="00C138E6"/>
    <w:rsid w:val="00C13EFF"/>
    <w:rsid w:val="00C14B92"/>
    <w:rsid w:val="00C15649"/>
    <w:rsid w:val="00C15839"/>
    <w:rsid w:val="00C2164E"/>
    <w:rsid w:val="00C25FDD"/>
    <w:rsid w:val="00C353AA"/>
    <w:rsid w:val="00C363E3"/>
    <w:rsid w:val="00C37282"/>
    <w:rsid w:val="00C37A6D"/>
    <w:rsid w:val="00C4149D"/>
    <w:rsid w:val="00C41DC9"/>
    <w:rsid w:val="00C436A0"/>
    <w:rsid w:val="00C4420F"/>
    <w:rsid w:val="00C45931"/>
    <w:rsid w:val="00C45B3A"/>
    <w:rsid w:val="00C501EA"/>
    <w:rsid w:val="00C50566"/>
    <w:rsid w:val="00C50CF4"/>
    <w:rsid w:val="00C51DA2"/>
    <w:rsid w:val="00C523DE"/>
    <w:rsid w:val="00C5352E"/>
    <w:rsid w:val="00C5491B"/>
    <w:rsid w:val="00C563A4"/>
    <w:rsid w:val="00C57AA4"/>
    <w:rsid w:val="00C60472"/>
    <w:rsid w:val="00C60AC5"/>
    <w:rsid w:val="00C60C86"/>
    <w:rsid w:val="00C624D7"/>
    <w:rsid w:val="00C62E6D"/>
    <w:rsid w:val="00C63D3C"/>
    <w:rsid w:val="00C64C35"/>
    <w:rsid w:val="00C6718A"/>
    <w:rsid w:val="00C70DD3"/>
    <w:rsid w:val="00C710C5"/>
    <w:rsid w:val="00C71F93"/>
    <w:rsid w:val="00C7311A"/>
    <w:rsid w:val="00C742C7"/>
    <w:rsid w:val="00C766A3"/>
    <w:rsid w:val="00C76F3A"/>
    <w:rsid w:val="00C8013C"/>
    <w:rsid w:val="00C80FFC"/>
    <w:rsid w:val="00C81210"/>
    <w:rsid w:val="00C81583"/>
    <w:rsid w:val="00C82ED4"/>
    <w:rsid w:val="00C84A88"/>
    <w:rsid w:val="00C8585B"/>
    <w:rsid w:val="00C862FD"/>
    <w:rsid w:val="00C86BF2"/>
    <w:rsid w:val="00C9086A"/>
    <w:rsid w:val="00C933A1"/>
    <w:rsid w:val="00C94312"/>
    <w:rsid w:val="00C94A47"/>
    <w:rsid w:val="00C94BE0"/>
    <w:rsid w:val="00C957A9"/>
    <w:rsid w:val="00CA00BB"/>
    <w:rsid w:val="00CA07DA"/>
    <w:rsid w:val="00CA0E6A"/>
    <w:rsid w:val="00CA15A5"/>
    <w:rsid w:val="00CA3353"/>
    <w:rsid w:val="00CA4A94"/>
    <w:rsid w:val="00CA4B4E"/>
    <w:rsid w:val="00CA5F58"/>
    <w:rsid w:val="00CA69B7"/>
    <w:rsid w:val="00CB1A4C"/>
    <w:rsid w:val="00CB2184"/>
    <w:rsid w:val="00CB4F33"/>
    <w:rsid w:val="00CB72B9"/>
    <w:rsid w:val="00CC031E"/>
    <w:rsid w:val="00CC0BF4"/>
    <w:rsid w:val="00CC1C5F"/>
    <w:rsid w:val="00CC220F"/>
    <w:rsid w:val="00CC2A32"/>
    <w:rsid w:val="00CC2B14"/>
    <w:rsid w:val="00CC3FFC"/>
    <w:rsid w:val="00CC4A9E"/>
    <w:rsid w:val="00CC7ADE"/>
    <w:rsid w:val="00CD10CA"/>
    <w:rsid w:val="00CD27C0"/>
    <w:rsid w:val="00CD2EBD"/>
    <w:rsid w:val="00CD2FD4"/>
    <w:rsid w:val="00CD402F"/>
    <w:rsid w:val="00CD47CF"/>
    <w:rsid w:val="00CD52A7"/>
    <w:rsid w:val="00CD5C65"/>
    <w:rsid w:val="00CD6724"/>
    <w:rsid w:val="00CD75FC"/>
    <w:rsid w:val="00CE12DB"/>
    <w:rsid w:val="00CE2464"/>
    <w:rsid w:val="00CE2600"/>
    <w:rsid w:val="00CE2EEF"/>
    <w:rsid w:val="00CF15CD"/>
    <w:rsid w:val="00CF2F9E"/>
    <w:rsid w:val="00CF3E4C"/>
    <w:rsid w:val="00CF7B06"/>
    <w:rsid w:val="00CF7B86"/>
    <w:rsid w:val="00D0418B"/>
    <w:rsid w:val="00D10D73"/>
    <w:rsid w:val="00D11FA9"/>
    <w:rsid w:val="00D12536"/>
    <w:rsid w:val="00D1264D"/>
    <w:rsid w:val="00D12A84"/>
    <w:rsid w:val="00D13A67"/>
    <w:rsid w:val="00D150B1"/>
    <w:rsid w:val="00D15C47"/>
    <w:rsid w:val="00D15D7D"/>
    <w:rsid w:val="00D161BC"/>
    <w:rsid w:val="00D1653C"/>
    <w:rsid w:val="00D21464"/>
    <w:rsid w:val="00D21711"/>
    <w:rsid w:val="00D22AC8"/>
    <w:rsid w:val="00D2453B"/>
    <w:rsid w:val="00D25547"/>
    <w:rsid w:val="00D260BE"/>
    <w:rsid w:val="00D26494"/>
    <w:rsid w:val="00D27D1E"/>
    <w:rsid w:val="00D33A2C"/>
    <w:rsid w:val="00D360FA"/>
    <w:rsid w:val="00D36BD1"/>
    <w:rsid w:val="00D50E2C"/>
    <w:rsid w:val="00D53612"/>
    <w:rsid w:val="00D56EC2"/>
    <w:rsid w:val="00D6088F"/>
    <w:rsid w:val="00D6329D"/>
    <w:rsid w:val="00D70E63"/>
    <w:rsid w:val="00D719F5"/>
    <w:rsid w:val="00D730A1"/>
    <w:rsid w:val="00D7414F"/>
    <w:rsid w:val="00D76C35"/>
    <w:rsid w:val="00D8091B"/>
    <w:rsid w:val="00D81D95"/>
    <w:rsid w:val="00D840D1"/>
    <w:rsid w:val="00D846B6"/>
    <w:rsid w:val="00D85958"/>
    <w:rsid w:val="00D8645F"/>
    <w:rsid w:val="00D8658C"/>
    <w:rsid w:val="00D866EE"/>
    <w:rsid w:val="00D909A3"/>
    <w:rsid w:val="00D90BF4"/>
    <w:rsid w:val="00D90DF5"/>
    <w:rsid w:val="00D9174F"/>
    <w:rsid w:val="00D91D95"/>
    <w:rsid w:val="00D92151"/>
    <w:rsid w:val="00D940AA"/>
    <w:rsid w:val="00DA056B"/>
    <w:rsid w:val="00DA1CD6"/>
    <w:rsid w:val="00DA3BCC"/>
    <w:rsid w:val="00DA4DA4"/>
    <w:rsid w:val="00DA6B09"/>
    <w:rsid w:val="00DA75B4"/>
    <w:rsid w:val="00DA78C9"/>
    <w:rsid w:val="00DB1AD5"/>
    <w:rsid w:val="00DB43DC"/>
    <w:rsid w:val="00DB4A0C"/>
    <w:rsid w:val="00DB5DAA"/>
    <w:rsid w:val="00DB6A5A"/>
    <w:rsid w:val="00DB6CD2"/>
    <w:rsid w:val="00DB7E37"/>
    <w:rsid w:val="00DC2368"/>
    <w:rsid w:val="00DC2C60"/>
    <w:rsid w:val="00DC3AB3"/>
    <w:rsid w:val="00DC5A4A"/>
    <w:rsid w:val="00DC7D96"/>
    <w:rsid w:val="00DD023E"/>
    <w:rsid w:val="00DD082B"/>
    <w:rsid w:val="00DD13B9"/>
    <w:rsid w:val="00DD143E"/>
    <w:rsid w:val="00DD23F8"/>
    <w:rsid w:val="00DD582D"/>
    <w:rsid w:val="00DE2C82"/>
    <w:rsid w:val="00DE2D10"/>
    <w:rsid w:val="00DE4ABF"/>
    <w:rsid w:val="00DE511E"/>
    <w:rsid w:val="00DE6EC7"/>
    <w:rsid w:val="00DE7F58"/>
    <w:rsid w:val="00DF0620"/>
    <w:rsid w:val="00DF1D29"/>
    <w:rsid w:val="00DF4B99"/>
    <w:rsid w:val="00DF5BCB"/>
    <w:rsid w:val="00DF5CD4"/>
    <w:rsid w:val="00DF6BF2"/>
    <w:rsid w:val="00E007A2"/>
    <w:rsid w:val="00E0225C"/>
    <w:rsid w:val="00E02C8B"/>
    <w:rsid w:val="00E100DA"/>
    <w:rsid w:val="00E1086F"/>
    <w:rsid w:val="00E12AD3"/>
    <w:rsid w:val="00E12D84"/>
    <w:rsid w:val="00E1544B"/>
    <w:rsid w:val="00E17BD9"/>
    <w:rsid w:val="00E23BC4"/>
    <w:rsid w:val="00E25B09"/>
    <w:rsid w:val="00E26622"/>
    <w:rsid w:val="00E3092C"/>
    <w:rsid w:val="00E32230"/>
    <w:rsid w:val="00E42BC9"/>
    <w:rsid w:val="00E43479"/>
    <w:rsid w:val="00E43BC4"/>
    <w:rsid w:val="00E44271"/>
    <w:rsid w:val="00E447D8"/>
    <w:rsid w:val="00E44F4E"/>
    <w:rsid w:val="00E475B3"/>
    <w:rsid w:val="00E5028C"/>
    <w:rsid w:val="00E51369"/>
    <w:rsid w:val="00E51B5E"/>
    <w:rsid w:val="00E53D1A"/>
    <w:rsid w:val="00E556A2"/>
    <w:rsid w:val="00E55DB6"/>
    <w:rsid w:val="00E5771F"/>
    <w:rsid w:val="00E620AC"/>
    <w:rsid w:val="00E6775D"/>
    <w:rsid w:val="00E709AA"/>
    <w:rsid w:val="00E70F73"/>
    <w:rsid w:val="00E71AD1"/>
    <w:rsid w:val="00E748E4"/>
    <w:rsid w:val="00E75255"/>
    <w:rsid w:val="00E75597"/>
    <w:rsid w:val="00E758B6"/>
    <w:rsid w:val="00E7619D"/>
    <w:rsid w:val="00E778D3"/>
    <w:rsid w:val="00E80C5A"/>
    <w:rsid w:val="00E81B33"/>
    <w:rsid w:val="00E81E80"/>
    <w:rsid w:val="00E81F6D"/>
    <w:rsid w:val="00E8700B"/>
    <w:rsid w:val="00E87333"/>
    <w:rsid w:val="00E87467"/>
    <w:rsid w:val="00E9053F"/>
    <w:rsid w:val="00E909E2"/>
    <w:rsid w:val="00E91095"/>
    <w:rsid w:val="00E91AED"/>
    <w:rsid w:val="00E923D9"/>
    <w:rsid w:val="00E924DF"/>
    <w:rsid w:val="00E92DE9"/>
    <w:rsid w:val="00E92E79"/>
    <w:rsid w:val="00E947A1"/>
    <w:rsid w:val="00E95A1A"/>
    <w:rsid w:val="00E96203"/>
    <w:rsid w:val="00E9638B"/>
    <w:rsid w:val="00EA2CB1"/>
    <w:rsid w:val="00EA4D96"/>
    <w:rsid w:val="00EA7F5D"/>
    <w:rsid w:val="00EB013A"/>
    <w:rsid w:val="00EB06B3"/>
    <w:rsid w:val="00EB3F36"/>
    <w:rsid w:val="00EB58BF"/>
    <w:rsid w:val="00EC15C7"/>
    <w:rsid w:val="00EC2D61"/>
    <w:rsid w:val="00EC690C"/>
    <w:rsid w:val="00ED04AA"/>
    <w:rsid w:val="00ED141E"/>
    <w:rsid w:val="00ED1CDB"/>
    <w:rsid w:val="00ED333D"/>
    <w:rsid w:val="00ED5281"/>
    <w:rsid w:val="00ED664C"/>
    <w:rsid w:val="00ED6BED"/>
    <w:rsid w:val="00ED7F25"/>
    <w:rsid w:val="00EE0755"/>
    <w:rsid w:val="00EE1F10"/>
    <w:rsid w:val="00EE68CD"/>
    <w:rsid w:val="00EE77AC"/>
    <w:rsid w:val="00EE77EB"/>
    <w:rsid w:val="00EE7D1E"/>
    <w:rsid w:val="00EF0300"/>
    <w:rsid w:val="00EF07F0"/>
    <w:rsid w:val="00EF1A9F"/>
    <w:rsid w:val="00EF2D07"/>
    <w:rsid w:val="00EF5A40"/>
    <w:rsid w:val="00EF5D5D"/>
    <w:rsid w:val="00EF5DAC"/>
    <w:rsid w:val="00EF6F28"/>
    <w:rsid w:val="00EF741E"/>
    <w:rsid w:val="00F02BFD"/>
    <w:rsid w:val="00F10792"/>
    <w:rsid w:val="00F10D48"/>
    <w:rsid w:val="00F1155C"/>
    <w:rsid w:val="00F12D01"/>
    <w:rsid w:val="00F13151"/>
    <w:rsid w:val="00F13B4A"/>
    <w:rsid w:val="00F13F57"/>
    <w:rsid w:val="00F2030E"/>
    <w:rsid w:val="00F20FD6"/>
    <w:rsid w:val="00F21C65"/>
    <w:rsid w:val="00F22A2E"/>
    <w:rsid w:val="00F23541"/>
    <w:rsid w:val="00F23E7F"/>
    <w:rsid w:val="00F23FD7"/>
    <w:rsid w:val="00F24782"/>
    <w:rsid w:val="00F25620"/>
    <w:rsid w:val="00F26657"/>
    <w:rsid w:val="00F27BFC"/>
    <w:rsid w:val="00F30F14"/>
    <w:rsid w:val="00F31488"/>
    <w:rsid w:val="00F3154E"/>
    <w:rsid w:val="00F33E12"/>
    <w:rsid w:val="00F352EB"/>
    <w:rsid w:val="00F35477"/>
    <w:rsid w:val="00F40B3D"/>
    <w:rsid w:val="00F418E9"/>
    <w:rsid w:val="00F43200"/>
    <w:rsid w:val="00F44017"/>
    <w:rsid w:val="00F46309"/>
    <w:rsid w:val="00F46727"/>
    <w:rsid w:val="00F47A4E"/>
    <w:rsid w:val="00F50F17"/>
    <w:rsid w:val="00F51A95"/>
    <w:rsid w:val="00F5235D"/>
    <w:rsid w:val="00F52A03"/>
    <w:rsid w:val="00F5332D"/>
    <w:rsid w:val="00F553BA"/>
    <w:rsid w:val="00F609A3"/>
    <w:rsid w:val="00F61413"/>
    <w:rsid w:val="00F63804"/>
    <w:rsid w:val="00F640EC"/>
    <w:rsid w:val="00F64DDD"/>
    <w:rsid w:val="00F657F6"/>
    <w:rsid w:val="00F660FB"/>
    <w:rsid w:val="00F66369"/>
    <w:rsid w:val="00F71739"/>
    <w:rsid w:val="00F71D0F"/>
    <w:rsid w:val="00F72AAF"/>
    <w:rsid w:val="00F74A18"/>
    <w:rsid w:val="00F76579"/>
    <w:rsid w:val="00F80B1C"/>
    <w:rsid w:val="00F83BE4"/>
    <w:rsid w:val="00F8438B"/>
    <w:rsid w:val="00F86124"/>
    <w:rsid w:val="00F86277"/>
    <w:rsid w:val="00F87332"/>
    <w:rsid w:val="00F879FD"/>
    <w:rsid w:val="00F87AF3"/>
    <w:rsid w:val="00F9059B"/>
    <w:rsid w:val="00F925BF"/>
    <w:rsid w:val="00F9351E"/>
    <w:rsid w:val="00F94220"/>
    <w:rsid w:val="00F94DF9"/>
    <w:rsid w:val="00F959F8"/>
    <w:rsid w:val="00F97411"/>
    <w:rsid w:val="00FA07CC"/>
    <w:rsid w:val="00FA1F0C"/>
    <w:rsid w:val="00FA230F"/>
    <w:rsid w:val="00FA2547"/>
    <w:rsid w:val="00FA25E5"/>
    <w:rsid w:val="00FA4F1C"/>
    <w:rsid w:val="00FA505A"/>
    <w:rsid w:val="00FA5B40"/>
    <w:rsid w:val="00FA67C1"/>
    <w:rsid w:val="00FB1372"/>
    <w:rsid w:val="00FB1CC4"/>
    <w:rsid w:val="00FB2CFA"/>
    <w:rsid w:val="00FB484C"/>
    <w:rsid w:val="00FB53D8"/>
    <w:rsid w:val="00FB61A3"/>
    <w:rsid w:val="00FB6BAB"/>
    <w:rsid w:val="00FB7D55"/>
    <w:rsid w:val="00FC146E"/>
    <w:rsid w:val="00FC242B"/>
    <w:rsid w:val="00FC2D75"/>
    <w:rsid w:val="00FC3494"/>
    <w:rsid w:val="00FC3BF3"/>
    <w:rsid w:val="00FC69F0"/>
    <w:rsid w:val="00FC6EED"/>
    <w:rsid w:val="00FD0D45"/>
    <w:rsid w:val="00FD3586"/>
    <w:rsid w:val="00FD3FC8"/>
    <w:rsid w:val="00FE0F28"/>
    <w:rsid w:val="00FE24FA"/>
    <w:rsid w:val="00FE2797"/>
    <w:rsid w:val="00FE43C1"/>
    <w:rsid w:val="00FE4B74"/>
    <w:rsid w:val="00FE50E4"/>
    <w:rsid w:val="00FE68E9"/>
    <w:rsid w:val="00FF0617"/>
    <w:rsid w:val="00FF2965"/>
    <w:rsid w:val="00FF2BFC"/>
    <w:rsid w:val="00FF4088"/>
    <w:rsid w:val="00FF41BC"/>
    <w:rsid w:val="00FF48B5"/>
    <w:rsid w:val="00FF4BA9"/>
    <w:rsid w:val="00FF4EE3"/>
    <w:rsid w:val="00FF6DB9"/>
    <w:rsid w:val="00FF75F0"/>
    <w:rsid w:val="00FF7A6E"/>
    <w:rsid w:val="00FF7AC9"/>
    <w:rsid w:val="00FF7B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323FD3"/>
  <w15:chartTrackingRefBased/>
  <w15:docId w15:val="{7CB47C45-6AC4-4993-BC9A-D95B1D16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BE1"/>
    <w:pPr>
      <w:spacing w:before="120"/>
    </w:pPr>
    <w:rPr>
      <w:rFonts w:eastAsia="SimSun"/>
      <w:sz w:val="24"/>
      <w:szCs w:val="24"/>
      <w:lang w:val="en-GB" w:eastAsia="ja-JP"/>
    </w:rPr>
  </w:style>
  <w:style w:type="paragraph" w:styleId="Heading1">
    <w:name w:val="heading 1"/>
    <w:basedOn w:val="Normal"/>
    <w:next w:val="Normal"/>
    <w:link w:val="Heading1Char"/>
    <w:qFormat/>
    <w:rsid w:val="00954BE1"/>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954BE1"/>
    <w:pPr>
      <w:keepNext/>
      <w:numPr>
        <w:ilvl w:val="1"/>
        <w:numId w:val="1"/>
      </w:numPr>
      <w:spacing w:before="240" w:after="60"/>
      <w:outlineLvl w:val="1"/>
    </w:pPr>
    <w:rPr>
      <w:rFonts w:cs="Arial"/>
      <w:b/>
      <w:bCs/>
      <w:iCs/>
      <w:szCs w:val="28"/>
    </w:rPr>
  </w:style>
  <w:style w:type="paragraph" w:styleId="Heading3">
    <w:name w:val="heading 3"/>
    <w:basedOn w:val="Normal"/>
    <w:next w:val="Normal"/>
    <w:link w:val="Heading3Char"/>
    <w:qFormat/>
    <w:rsid w:val="00954BE1"/>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954BE1"/>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954BE1"/>
    <w:pPr>
      <w:numPr>
        <w:ilvl w:val="4"/>
        <w:numId w:val="1"/>
      </w:numPr>
      <w:spacing w:before="240" w:after="60"/>
      <w:outlineLvl w:val="4"/>
    </w:pPr>
    <w:rPr>
      <w:b/>
      <w:bCs/>
      <w:i/>
      <w:iCs/>
      <w:szCs w:val="26"/>
    </w:rPr>
  </w:style>
  <w:style w:type="paragraph" w:styleId="Heading6">
    <w:name w:val="heading 6"/>
    <w:basedOn w:val="Normal"/>
    <w:next w:val="Normal"/>
    <w:link w:val="Heading6Char"/>
    <w:qFormat/>
    <w:rsid w:val="00954BE1"/>
    <w:pPr>
      <w:numPr>
        <w:ilvl w:val="5"/>
        <w:numId w:val="1"/>
      </w:numPr>
      <w:spacing w:before="240" w:after="60"/>
      <w:outlineLvl w:val="5"/>
    </w:pPr>
    <w:rPr>
      <w:b/>
      <w:bCs/>
      <w:szCs w:val="22"/>
    </w:rPr>
  </w:style>
  <w:style w:type="paragraph" w:styleId="Heading7">
    <w:name w:val="heading 7"/>
    <w:basedOn w:val="Normal"/>
    <w:next w:val="Normal"/>
    <w:link w:val="Heading7Char"/>
    <w:qFormat/>
    <w:rsid w:val="00954BE1"/>
    <w:pPr>
      <w:numPr>
        <w:ilvl w:val="6"/>
        <w:numId w:val="1"/>
      </w:numPr>
      <w:spacing w:before="240" w:after="60"/>
      <w:outlineLvl w:val="6"/>
    </w:pPr>
  </w:style>
  <w:style w:type="paragraph" w:styleId="Heading8">
    <w:name w:val="heading 8"/>
    <w:basedOn w:val="Normal"/>
    <w:next w:val="Normal"/>
    <w:link w:val="Heading8Char"/>
    <w:qFormat/>
    <w:rsid w:val="00954BE1"/>
    <w:pPr>
      <w:numPr>
        <w:ilvl w:val="7"/>
        <w:numId w:val="1"/>
      </w:numPr>
      <w:spacing w:before="240" w:after="60"/>
      <w:outlineLvl w:val="7"/>
    </w:pPr>
    <w:rPr>
      <w:i/>
      <w:iCs/>
    </w:rPr>
  </w:style>
  <w:style w:type="paragraph" w:styleId="Heading9">
    <w:name w:val="heading 9"/>
    <w:basedOn w:val="Normal"/>
    <w:next w:val="Normal"/>
    <w:link w:val="Heading9Char"/>
    <w:qFormat/>
    <w:rsid w:val="00954BE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54BE1"/>
    <w:rPr>
      <w:rFonts w:eastAsia="SimSun" w:cs="Arial"/>
      <w:b/>
      <w:bCs/>
      <w:kern w:val="32"/>
      <w:sz w:val="24"/>
      <w:szCs w:val="32"/>
      <w:lang w:val="en-GB" w:eastAsia="ja-JP"/>
    </w:rPr>
  </w:style>
  <w:style w:type="character" w:customStyle="1" w:styleId="Heading2Char">
    <w:name w:val="Heading 2 Char"/>
    <w:link w:val="Heading2"/>
    <w:locked/>
    <w:rsid w:val="00954BE1"/>
    <w:rPr>
      <w:rFonts w:eastAsia="SimSun" w:cs="Arial"/>
      <w:b/>
      <w:bCs/>
      <w:iCs/>
      <w:sz w:val="24"/>
      <w:szCs w:val="28"/>
      <w:lang w:val="en-GB" w:eastAsia="ja-JP"/>
    </w:rPr>
  </w:style>
  <w:style w:type="character" w:customStyle="1" w:styleId="Heading3Char">
    <w:name w:val="Heading 3 Char"/>
    <w:link w:val="Heading3"/>
    <w:locked/>
    <w:rsid w:val="00954BE1"/>
    <w:rPr>
      <w:rFonts w:eastAsia="SimSun" w:cs="Arial"/>
      <w:b/>
      <w:bCs/>
      <w:sz w:val="24"/>
      <w:szCs w:val="26"/>
      <w:lang w:val="en-GB" w:eastAsia="ja-JP"/>
    </w:rPr>
  </w:style>
  <w:style w:type="character" w:customStyle="1" w:styleId="Heading4Char">
    <w:name w:val="Heading 4 Char"/>
    <w:link w:val="Heading4"/>
    <w:rsid w:val="00954BE1"/>
    <w:rPr>
      <w:rFonts w:eastAsia="SimSun"/>
      <w:b/>
      <w:bCs/>
      <w:sz w:val="24"/>
      <w:szCs w:val="28"/>
      <w:lang w:val="en-GB" w:eastAsia="ja-JP"/>
    </w:rPr>
  </w:style>
  <w:style w:type="character" w:customStyle="1" w:styleId="Heading5Char">
    <w:name w:val="Heading 5 Char"/>
    <w:link w:val="Heading5"/>
    <w:locked/>
    <w:rsid w:val="00954BE1"/>
    <w:rPr>
      <w:rFonts w:eastAsia="SimSun"/>
      <w:b/>
      <w:bCs/>
      <w:i/>
      <w:iCs/>
      <w:sz w:val="24"/>
      <w:szCs w:val="26"/>
      <w:lang w:val="en-GB" w:eastAsia="ja-JP"/>
    </w:rPr>
  </w:style>
  <w:style w:type="character" w:customStyle="1" w:styleId="Heading6Char">
    <w:name w:val="Heading 6 Char"/>
    <w:link w:val="Heading6"/>
    <w:rsid w:val="00954BE1"/>
    <w:rPr>
      <w:rFonts w:eastAsia="SimSun"/>
      <w:b/>
      <w:bCs/>
      <w:sz w:val="24"/>
      <w:szCs w:val="22"/>
      <w:lang w:val="en-GB" w:eastAsia="ja-JP"/>
    </w:rPr>
  </w:style>
  <w:style w:type="character" w:customStyle="1" w:styleId="Heading7Char">
    <w:name w:val="Heading 7 Char"/>
    <w:link w:val="Heading7"/>
    <w:rsid w:val="00954BE1"/>
    <w:rPr>
      <w:rFonts w:eastAsia="SimSun"/>
      <w:sz w:val="24"/>
      <w:szCs w:val="24"/>
      <w:lang w:val="en-GB" w:eastAsia="ja-JP"/>
    </w:rPr>
  </w:style>
  <w:style w:type="character" w:customStyle="1" w:styleId="Heading8Char">
    <w:name w:val="Heading 8 Char"/>
    <w:link w:val="Heading8"/>
    <w:rsid w:val="00954BE1"/>
    <w:rPr>
      <w:rFonts w:eastAsia="SimSun"/>
      <w:i/>
      <w:iCs/>
      <w:sz w:val="24"/>
      <w:szCs w:val="24"/>
      <w:lang w:val="en-GB" w:eastAsia="ja-JP"/>
    </w:rPr>
  </w:style>
  <w:style w:type="character" w:customStyle="1" w:styleId="Heading9Char">
    <w:name w:val="Heading 9 Char"/>
    <w:link w:val="Heading9"/>
    <w:rsid w:val="00954BE1"/>
    <w:rPr>
      <w:rFonts w:eastAsia="SimSun" w:cs="Arial"/>
      <w:sz w:val="24"/>
      <w:szCs w:val="22"/>
      <w:lang w:val="en-GB" w:eastAsia="ja-JP"/>
    </w:rPr>
  </w:style>
  <w:style w:type="paragraph" w:styleId="Header">
    <w:name w:val="header"/>
    <w:basedOn w:val="Normal"/>
    <w:link w:val="HeaderChar"/>
    <w:rsid w:val="00954BE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link w:val="Header"/>
    <w:rsid w:val="00954BE1"/>
    <w:rPr>
      <w:sz w:val="18"/>
      <w:lang w:val="en-GB" w:eastAsia="en-US"/>
    </w:rPr>
  </w:style>
  <w:style w:type="paragraph" w:styleId="Index1">
    <w:name w:val="index 1"/>
    <w:basedOn w:val="Normal"/>
    <w:next w:val="Normal"/>
    <w:autoRedefine/>
    <w:rsid w:val="00954BE1"/>
    <w:pPr>
      <w:ind w:left="240" w:hanging="240"/>
    </w:pPr>
  </w:style>
  <w:style w:type="paragraph" w:customStyle="1" w:styleId="Heading1Centered">
    <w:name w:val="Heading 1 Centered"/>
    <w:basedOn w:val="Heading1"/>
    <w:rsid w:val="00954BE1"/>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b">
    <w:name w:val="Heading_b"/>
    <w:basedOn w:val="Normal"/>
    <w:next w:val="Normal"/>
    <w:qFormat/>
    <w:rsid w:val="00954BE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rsid w:val="00954BE1"/>
    <w:rPr>
      <w:b/>
      <w:bCs/>
    </w:rPr>
  </w:style>
  <w:style w:type="paragraph" w:customStyle="1" w:styleId="AnnexNotitle">
    <w:name w:val="Annex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54BE1"/>
  </w:style>
  <w:style w:type="paragraph" w:customStyle="1" w:styleId="CorrectionSeparatorBegin">
    <w:name w:val="Correction Separator Begin"/>
    <w:basedOn w:val="Normal"/>
    <w:rsid w:val="00954BE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954BE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Docnumber">
    <w:name w:val="Docnumber"/>
    <w:basedOn w:val="Normal"/>
    <w:link w:val="DocnumberChar"/>
    <w:qFormat/>
    <w:rsid w:val="00954BE1"/>
    <w:pPr>
      <w:tabs>
        <w:tab w:val="left" w:pos="794"/>
        <w:tab w:val="left" w:pos="1191"/>
        <w:tab w:val="left" w:pos="1588"/>
        <w:tab w:val="left" w:pos="1985"/>
      </w:tabs>
      <w:overflowPunct w:val="0"/>
      <w:autoSpaceDE w:val="0"/>
      <w:autoSpaceDN w:val="0"/>
      <w:adjustRightInd w:val="0"/>
      <w:jc w:val="right"/>
      <w:textAlignment w:val="baseline"/>
    </w:pPr>
    <w:rPr>
      <w:b/>
      <w:sz w:val="40"/>
      <w:szCs w:val="20"/>
      <w:lang w:eastAsia="en-US"/>
    </w:rPr>
  </w:style>
  <w:style w:type="character" w:customStyle="1" w:styleId="DocnumberChar">
    <w:name w:val="Docnumber Char"/>
    <w:link w:val="Docnumber"/>
    <w:rsid w:val="00954BE1"/>
    <w:rPr>
      <w:rFonts w:eastAsia="SimSun"/>
      <w:b/>
      <w:sz w:val="40"/>
      <w:lang w:val="en-GB" w:eastAsia="en-US"/>
    </w:rPr>
  </w:style>
  <w:style w:type="paragraph" w:customStyle="1" w:styleId="Figure">
    <w:name w:val="Figur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954BE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954BE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szCs w:val="20"/>
      <w:lang w:val="en-US" w:eastAsia="en-US"/>
    </w:rPr>
  </w:style>
  <w:style w:type="paragraph" w:customStyle="1" w:styleId="Normalbeforetable">
    <w:name w:val="Normal before table"/>
    <w:basedOn w:val="Normal"/>
    <w:rsid w:val="00954BE1"/>
    <w:pPr>
      <w:keepNext/>
      <w:spacing w:after="120"/>
    </w:pPr>
    <w:rPr>
      <w:rFonts w:eastAsia="????"/>
      <w:lang w:eastAsia="en-US"/>
    </w:rPr>
  </w:style>
  <w:style w:type="paragraph" w:customStyle="1" w:styleId="RecNo">
    <w:name w:val="Rec_No"/>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54BE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954BE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uiPriority w:val="99"/>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954BE1"/>
    <w:pPr>
      <w:tabs>
        <w:tab w:val="right" w:leader="dot" w:pos="9639"/>
      </w:tabs>
    </w:pPr>
    <w:rPr>
      <w:rFonts w:eastAsia="MS Mincho"/>
    </w:rPr>
  </w:style>
  <w:style w:type="paragraph" w:styleId="TOC1">
    <w:name w:val="toc 1"/>
    <w:basedOn w:val="Normal"/>
    <w:rsid w:val="00954BE1"/>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954BE1"/>
    <w:pPr>
      <w:tabs>
        <w:tab w:val="clear" w:pos="964"/>
      </w:tabs>
      <w:spacing w:before="80"/>
      <w:ind w:left="1531" w:hanging="851"/>
    </w:pPr>
  </w:style>
  <w:style w:type="paragraph" w:styleId="TOC3">
    <w:name w:val="toc 3"/>
    <w:basedOn w:val="TOC2"/>
    <w:rsid w:val="00954BE1"/>
    <w:pPr>
      <w:ind w:left="2269"/>
    </w:pPr>
  </w:style>
  <w:style w:type="paragraph" w:styleId="Footer">
    <w:name w:val="footer"/>
    <w:basedOn w:val="Normal"/>
    <w:link w:val="FooterChar"/>
    <w:rsid w:val="00954BE1"/>
    <w:pPr>
      <w:tabs>
        <w:tab w:val="center" w:pos="4680"/>
        <w:tab w:val="right" w:pos="9360"/>
      </w:tabs>
    </w:pPr>
  </w:style>
  <w:style w:type="character" w:customStyle="1" w:styleId="FooterChar">
    <w:name w:val="Footer Char"/>
    <w:link w:val="Footer"/>
    <w:rsid w:val="00954BE1"/>
    <w:rPr>
      <w:rFonts w:eastAsia="SimSun"/>
      <w:sz w:val="24"/>
      <w:szCs w:val="24"/>
      <w:lang w:val="en-GB" w:eastAsia="ja-JP"/>
    </w:rPr>
  </w:style>
  <w:style w:type="character" w:customStyle="1" w:styleId="CharChar4">
    <w:name w:val="Char Char4"/>
    <w:semiHidden/>
    <w:locked/>
    <w:rsid w:val="00A02131"/>
    <w:rPr>
      <w:rFonts w:cs="Times New Roman"/>
      <w:sz w:val="24"/>
      <w:szCs w:val="24"/>
      <w:lang w:val="en-US" w:eastAsia="zh-CN"/>
    </w:rPr>
  </w:style>
  <w:style w:type="paragraph" w:styleId="z-TopofForm">
    <w:name w:val="HTML Top of Form"/>
    <w:basedOn w:val="Normal"/>
    <w:next w:val="Normal"/>
    <w:link w:val="z-TopofFormChar"/>
    <w:hidden/>
    <w:semiHidden/>
    <w:rsid w:val="000A1FC5"/>
    <w:pPr>
      <w:pBdr>
        <w:bottom w:val="single" w:sz="6" w:space="1" w:color="auto"/>
      </w:pBdr>
      <w:spacing w:before="0"/>
      <w:jc w:val="center"/>
    </w:pPr>
    <w:rPr>
      <w:rFonts w:ascii="Arial" w:hAnsi="Arial" w:cs="Arial"/>
      <w:vanish/>
      <w:sz w:val="16"/>
      <w:szCs w:val="16"/>
      <w:lang w:val="de-DE" w:eastAsia="de-DE"/>
    </w:rPr>
  </w:style>
  <w:style w:type="character" w:customStyle="1" w:styleId="z-TopofFormChar">
    <w:name w:val="z-Top of Form Char"/>
    <w:link w:val="z-TopofForm"/>
    <w:semiHidden/>
    <w:locked/>
    <w:rsid w:val="000A1FC5"/>
    <w:rPr>
      <w:rFonts w:ascii="Arial" w:hAnsi="Arial" w:cs="Arial"/>
      <w:vanish/>
      <w:sz w:val="16"/>
      <w:szCs w:val="16"/>
      <w:lang w:val="de-DE" w:eastAsia="de-DE" w:bidi="ar-SA"/>
    </w:rPr>
  </w:style>
  <w:style w:type="paragraph" w:styleId="z-BottomofForm">
    <w:name w:val="HTML Bottom of Form"/>
    <w:basedOn w:val="Normal"/>
    <w:next w:val="Normal"/>
    <w:link w:val="z-BottomofFormChar"/>
    <w:hidden/>
    <w:semiHidden/>
    <w:rsid w:val="000A1FC5"/>
    <w:pPr>
      <w:pBdr>
        <w:top w:val="single" w:sz="6" w:space="1" w:color="auto"/>
      </w:pBdr>
      <w:spacing w:before="0"/>
      <w:jc w:val="center"/>
    </w:pPr>
    <w:rPr>
      <w:rFonts w:ascii="Arial" w:hAnsi="Arial" w:cs="Arial"/>
      <w:vanish/>
      <w:sz w:val="16"/>
      <w:szCs w:val="16"/>
      <w:lang w:val="de-DE" w:eastAsia="de-DE"/>
    </w:rPr>
  </w:style>
  <w:style w:type="character" w:customStyle="1" w:styleId="z-BottomofFormChar">
    <w:name w:val="z-Bottom of Form Char"/>
    <w:link w:val="z-BottomofForm"/>
    <w:semiHidden/>
    <w:locked/>
    <w:rsid w:val="000A1FC5"/>
    <w:rPr>
      <w:rFonts w:ascii="Arial" w:hAnsi="Arial" w:cs="Arial"/>
      <w:vanish/>
      <w:sz w:val="16"/>
      <w:szCs w:val="16"/>
      <w:lang w:val="de-DE" w:eastAsia="de-DE" w:bidi="ar-SA"/>
    </w:rPr>
  </w:style>
  <w:style w:type="paragraph" w:customStyle="1" w:styleId="CEOcontributionStart">
    <w:name w:val="CEO_contributionStart"/>
    <w:basedOn w:val="Normal"/>
    <w:rsid w:val="00EF1A9F"/>
    <w:pPr>
      <w:spacing w:before="360" w:after="120"/>
    </w:pPr>
    <w:rPr>
      <w:rFonts w:ascii="Verdana" w:eastAsia="SimHei" w:hAnsi="Verdana" w:cs="Simplified Arabic"/>
      <w:sz w:val="19"/>
      <w:szCs w:val="19"/>
      <w:lang w:eastAsia="en-US"/>
    </w:rPr>
  </w:style>
  <w:style w:type="character" w:styleId="Hyperlink">
    <w:name w:val="Hyperlink"/>
    <w:aliases w:val="超级链接,超?级链,CEO_Hyperlink"/>
    <w:uiPriority w:val="99"/>
    <w:rsid w:val="00A62356"/>
    <w:rPr>
      <w:color w:val="0000FF"/>
      <w:u w:val="single"/>
    </w:rPr>
  </w:style>
  <w:style w:type="paragraph" w:styleId="BalloonText">
    <w:name w:val="Balloon Text"/>
    <w:basedOn w:val="Normal"/>
    <w:link w:val="BalloonTextChar"/>
    <w:rsid w:val="00CC4A9E"/>
    <w:pPr>
      <w:spacing w:before="0"/>
    </w:pPr>
    <w:rPr>
      <w:rFonts w:ascii="Tahoma" w:hAnsi="Tahoma" w:cs="Tahoma"/>
      <w:sz w:val="16"/>
      <w:szCs w:val="16"/>
    </w:rPr>
  </w:style>
  <w:style w:type="character" w:customStyle="1" w:styleId="BalloonTextChar">
    <w:name w:val="Balloon Text Char"/>
    <w:link w:val="BalloonText"/>
    <w:rsid w:val="00CC4A9E"/>
    <w:rPr>
      <w:rFonts w:ascii="Tahoma" w:eastAsia="SimSun" w:hAnsi="Tahoma" w:cs="Tahoma"/>
      <w:sz w:val="16"/>
      <w:szCs w:val="16"/>
      <w:lang w:val="en-GB" w:eastAsia="ja-JP"/>
    </w:rPr>
  </w:style>
  <w:style w:type="character" w:styleId="CommentReference">
    <w:name w:val="annotation reference"/>
    <w:rsid w:val="00BB45AE"/>
    <w:rPr>
      <w:sz w:val="16"/>
      <w:szCs w:val="16"/>
    </w:rPr>
  </w:style>
  <w:style w:type="paragraph" w:styleId="CommentText">
    <w:name w:val="annotation text"/>
    <w:basedOn w:val="Normal"/>
    <w:link w:val="CommentTextChar"/>
    <w:rsid w:val="00BB45AE"/>
    <w:rPr>
      <w:sz w:val="20"/>
      <w:szCs w:val="20"/>
    </w:rPr>
  </w:style>
  <w:style w:type="character" w:customStyle="1" w:styleId="CommentTextChar">
    <w:name w:val="Comment Text Char"/>
    <w:link w:val="CommentText"/>
    <w:rsid w:val="00BB45AE"/>
    <w:rPr>
      <w:rFonts w:eastAsia="SimSun"/>
      <w:lang w:val="en-GB" w:eastAsia="ja-JP"/>
    </w:rPr>
  </w:style>
  <w:style w:type="paragraph" w:styleId="CommentSubject">
    <w:name w:val="annotation subject"/>
    <w:basedOn w:val="CommentText"/>
    <w:next w:val="CommentText"/>
    <w:link w:val="CommentSubjectChar"/>
    <w:rsid w:val="00BB45AE"/>
    <w:rPr>
      <w:b/>
      <w:bCs/>
    </w:rPr>
  </w:style>
  <w:style w:type="character" w:customStyle="1" w:styleId="CommentSubjectChar">
    <w:name w:val="Comment Subject Char"/>
    <w:link w:val="CommentSubject"/>
    <w:rsid w:val="00BB45AE"/>
    <w:rPr>
      <w:rFonts w:eastAsia="SimSun"/>
      <w:b/>
      <w:bCs/>
      <w:lang w:val="en-GB" w:eastAsia="ja-JP"/>
    </w:rPr>
  </w:style>
  <w:style w:type="paragraph" w:styleId="ListParagraph">
    <w:name w:val="List Paragraph"/>
    <w:basedOn w:val="Normal"/>
    <w:uiPriority w:val="34"/>
    <w:qFormat/>
    <w:rsid w:val="003F41D0"/>
    <w:pPr>
      <w:tabs>
        <w:tab w:val="left" w:pos="794"/>
        <w:tab w:val="left" w:pos="1191"/>
        <w:tab w:val="left" w:pos="1588"/>
        <w:tab w:val="left" w:pos="1985"/>
      </w:tabs>
      <w:overflowPunct w:val="0"/>
      <w:autoSpaceDE w:val="0"/>
      <w:autoSpaceDN w:val="0"/>
      <w:adjustRightInd w:val="0"/>
      <w:ind w:left="720"/>
      <w:contextualSpacing/>
    </w:pPr>
    <w:rPr>
      <w:rFonts w:eastAsia="Times New Roman"/>
      <w:szCs w:val="20"/>
      <w:lang w:eastAsia="en-US"/>
    </w:rPr>
  </w:style>
  <w:style w:type="paragraph" w:styleId="HTMLPreformatted">
    <w:name w:val="HTML Preformatted"/>
    <w:basedOn w:val="Normal"/>
    <w:link w:val="HTMLPreformattedChar"/>
    <w:uiPriority w:val="99"/>
    <w:unhideWhenUsed/>
    <w:rsid w:val="005D4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val="en-US" w:eastAsia="zh-CN"/>
    </w:rPr>
  </w:style>
  <w:style w:type="character" w:customStyle="1" w:styleId="HTMLPreformattedChar">
    <w:name w:val="HTML Preformatted Char"/>
    <w:link w:val="HTMLPreformatted"/>
    <w:uiPriority w:val="99"/>
    <w:rsid w:val="005D4076"/>
    <w:rPr>
      <w:rFonts w:ascii="Courier New" w:hAnsi="Courier New" w:cs="Courier New"/>
    </w:rPr>
  </w:style>
  <w:style w:type="character" w:customStyle="1" w:styleId="apple-converted-space">
    <w:name w:val="apple-converted-space"/>
    <w:rsid w:val="003E162D"/>
  </w:style>
  <w:style w:type="character" w:styleId="FollowedHyperlink">
    <w:name w:val="FollowedHyperlink"/>
    <w:rsid w:val="00484195"/>
    <w:rPr>
      <w:color w:val="954F72"/>
      <w:u w:val="single"/>
    </w:rPr>
  </w:style>
  <w:style w:type="paragraph" w:styleId="NormalWeb">
    <w:name w:val="Normal (Web)"/>
    <w:basedOn w:val="Normal"/>
    <w:uiPriority w:val="99"/>
    <w:unhideWhenUsed/>
    <w:rsid w:val="009B693D"/>
    <w:pPr>
      <w:spacing w:before="100" w:beforeAutospacing="1" w:after="100" w:afterAutospacing="1"/>
    </w:pPr>
    <w:rPr>
      <w:rFonts w:eastAsia="Times New Roman"/>
      <w:lang w:val="en-US" w:eastAsia="zh-CN"/>
    </w:rPr>
  </w:style>
  <w:style w:type="paragraph" w:styleId="Date">
    <w:name w:val="Date"/>
    <w:basedOn w:val="Normal"/>
    <w:next w:val="Normal"/>
    <w:link w:val="DateChar"/>
    <w:rsid w:val="00C71F93"/>
  </w:style>
  <w:style w:type="character" w:customStyle="1" w:styleId="DateChar">
    <w:name w:val="Date Char"/>
    <w:link w:val="Date"/>
    <w:rsid w:val="00C71F93"/>
    <w:rPr>
      <w:rFonts w:eastAsia="SimSun"/>
      <w:sz w:val="24"/>
      <w:szCs w:val="24"/>
      <w:lang w:val="en-GB" w:eastAsia="ja-JP"/>
    </w:rPr>
  </w:style>
  <w:style w:type="character" w:styleId="Strong">
    <w:name w:val="Strong"/>
    <w:uiPriority w:val="22"/>
    <w:qFormat/>
    <w:rsid w:val="00DA6B09"/>
    <w:rPr>
      <w:b/>
      <w:bCs/>
    </w:rPr>
  </w:style>
  <w:style w:type="paragraph" w:styleId="Revision">
    <w:name w:val="Revision"/>
    <w:hidden/>
    <w:uiPriority w:val="99"/>
    <w:semiHidden/>
    <w:rsid w:val="004470C3"/>
    <w:rPr>
      <w:rFonts w:eastAsia="SimSun"/>
      <w:sz w:val="24"/>
      <w:szCs w:val="24"/>
      <w:lang w:val="en-GB" w:eastAsia="ja-JP"/>
    </w:rPr>
  </w:style>
  <w:style w:type="paragraph" w:styleId="Caption">
    <w:name w:val="caption"/>
    <w:basedOn w:val="Normal"/>
    <w:next w:val="Normal"/>
    <w:uiPriority w:val="35"/>
    <w:unhideWhenUsed/>
    <w:qFormat/>
    <w:rsid w:val="000932DE"/>
    <w:pPr>
      <w:spacing w:before="0" w:after="200"/>
    </w:pPr>
    <w:rPr>
      <w:rFonts w:eastAsiaTheme="minorHAnsi"/>
      <w:i/>
      <w:iCs/>
      <w:color w:val="44546A" w:themeColor="text2"/>
      <w:sz w:val="18"/>
      <w:szCs w:val="18"/>
    </w:rPr>
  </w:style>
  <w:style w:type="character" w:customStyle="1" w:styleId="TabletextChar">
    <w:name w:val="Table_text Char"/>
    <w:link w:val="Tabletext"/>
    <w:uiPriority w:val="99"/>
    <w:rsid w:val="000932DE"/>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18575">
      <w:bodyDiv w:val="1"/>
      <w:marLeft w:val="45"/>
      <w:marRight w:val="45"/>
      <w:marTop w:val="45"/>
      <w:marBottom w:val="45"/>
      <w:divBdr>
        <w:top w:val="none" w:sz="0" w:space="0" w:color="auto"/>
        <w:left w:val="none" w:sz="0" w:space="0" w:color="auto"/>
        <w:bottom w:val="none" w:sz="0" w:space="0" w:color="auto"/>
        <w:right w:val="none" w:sz="0" w:space="0" w:color="auto"/>
      </w:divBdr>
      <w:divsChild>
        <w:div w:id="108399475">
          <w:marLeft w:val="0"/>
          <w:marRight w:val="0"/>
          <w:marTop w:val="0"/>
          <w:marBottom w:val="0"/>
          <w:divBdr>
            <w:top w:val="single" w:sz="6" w:space="0" w:color="auto"/>
            <w:left w:val="single" w:sz="6" w:space="0" w:color="auto"/>
            <w:bottom w:val="single" w:sz="6" w:space="0" w:color="auto"/>
            <w:right w:val="single" w:sz="6" w:space="0" w:color="auto"/>
          </w:divBdr>
        </w:div>
        <w:div w:id="129179038">
          <w:marLeft w:val="0"/>
          <w:marRight w:val="0"/>
          <w:marTop w:val="0"/>
          <w:marBottom w:val="0"/>
          <w:divBdr>
            <w:top w:val="single" w:sz="6" w:space="0" w:color="auto"/>
            <w:left w:val="single" w:sz="6" w:space="0" w:color="auto"/>
            <w:bottom w:val="single" w:sz="6" w:space="0" w:color="auto"/>
            <w:right w:val="single" w:sz="6" w:space="0" w:color="auto"/>
          </w:divBdr>
        </w:div>
        <w:div w:id="233856397">
          <w:marLeft w:val="0"/>
          <w:marRight w:val="0"/>
          <w:marTop w:val="0"/>
          <w:marBottom w:val="0"/>
          <w:divBdr>
            <w:top w:val="single" w:sz="6" w:space="0" w:color="auto"/>
            <w:left w:val="single" w:sz="6" w:space="0" w:color="auto"/>
            <w:bottom w:val="single" w:sz="6" w:space="0" w:color="auto"/>
            <w:right w:val="single" w:sz="6" w:space="0" w:color="auto"/>
          </w:divBdr>
        </w:div>
        <w:div w:id="298849133">
          <w:marLeft w:val="0"/>
          <w:marRight w:val="0"/>
          <w:marTop w:val="0"/>
          <w:marBottom w:val="0"/>
          <w:divBdr>
            <w:top w:val="single" w:sz="6" w:space="0" w:color="auto"/>
            <w:left w:val="single" w:sz="6" w:space="0" w:color="auto"/>
            <w:bottom w:val="single" w:sz="6" w:space="0" w:color="auto"/>
            <w:right w:val="single" w:sz="6" w:space="0" w:color="auto"/>
          </w:divBdr>
        </w:div>
        <w:div w:id="351960371">
          <w:marLeft w:val="0"/>
          <w:marRight w:val="0"/>
          <w:marTop w:val="0"/>
          <w:marBottom w:val="0"/>
          <w:divBdr>
            <w:top w:val="single" w:sz="6" w:space="0" w:color="auto"/>
            <w:left w:val="single" w:sz="6" w:space="0" w:color="auto"/>
            <w:bottom w:val="single" w:sz="6" w:space="0" w:color="auto"/>
            <w:right w:val="single" w:sz="6" w:space="0" w:color="auto"/>
          </w:divBdr>
        </w:div>
        <w:div w:id="500630556">
          <w:marLeft w:val="0"/>
          <w:marRight w:val="0"/>
          <w:marTop w:val="0"/>
          <w:marBottom w:val="0"/>
          <w:divBdr>
            <w:top w:val="single" w:sz="6" w:space="0" w:color="auto"/>
            <w:left w:val="single" w:sz="6" w:space="0" w:color="auto"/>
            <w:bottom w:val="single" w:sz="6" w:space="0" w:color="auto"/>
            <w:right w:val="single" w:sz="6" w:space="0" w:color="auto"/>
          </w:divBdr>
        </w:div>
        <w:div w:id="621618994">
          <w:marLeft w:val="0"/>
          <w:marRight w:val="0"/>
          <w:marTop w:val="0"/>
          <w:marBottom w:val="0"/>
          <w:divBdr>
            <w:top w:val="single" w:sz="6" w:space="0" w:color="auto"/>
            <w:left w:val="single" w:sz="6" w:space="0" w:color="auto"/>
            <w:bottom w:val="single" w:sz="6" w:space="0" w:color="auto"/>
            <w:right w:val="single" w:sz="6" w:space="0" w:color="auto"/>
          </w:divBdr>
        </w:div>
        <w:div w:id="635840880">
          <w:marLeft w:val="0"/>
          <w:marRight w:val="0"/>
          <w:marTop w:val="0"/>
          <w:marBottom w:val="0"/>
          <w:divBdr>
            <w:top w:val="single" w:sz="6" w:space="0" w:color="auto"/>
            <w:left w:val="single" w:sz="6" w:space="0" w:color="auto"/>
            <w:bottom w:val="single" w:sz="6" w:space="0" w:color="auto"/>
            <w:right w:val="single" w:sz="6" w:space="0" w:color="auto"/>
          </w:divBdr>
        </w:div>
        <w:div w:id="704066481">
          <w:marLeft w:val="0"/>
          <w:marRight w:val="0"/>
          <w:marTop w:val="0"/>
          <w:marBottom w:val="0"/>
          <w:divBdr>
            <w:top w:val="single" w:sz="6" w:space="0" w:color="auto"/>
            <w:left w:val="single" w:sz="6" w:space="0" w:color="auto"/>
            <w:bottom w:val="single" w:sz="6" w:space="0" w:color="auto"/>
            <w:right w:val="single" w:sz="6" w:space="0" w:color="auto"/>
          </w:divBdr>
        </w:div>
        <w:div w:id="818494828">
          <w:marLeft w:val="0"/>
          <w:marRight w:val="0"/>
          <w:marTop w:val="0"/>
          <w:marBottom w:val="0"/>
          <w:divBdr>
            <w:top w:val="single" w:sz="6" w:space="0" w:color="auto"/>
            <w:left w:val="single" w:sz="6" w:space="0" w:color="auto"/>
            <w:bottom w:val="single" w:sz="6" w:space="0" w:color="auto"/>
            <w:right w:val="single" w:sz="6" w:space="0" w:color="auto"/>
          </w:divBdr>
        </w:div>
        <w:div w:id="872763688">
          <w:marLeft w:val="0"/>
          <w:marRight w:val="0"/>
          <w:marTop w:val="0"/>
          <w:marBottom w:val="0"/>
          <w:divBdr>
            <w:top w:val="single" w:sz="6" w:space="0" w:color="auto"/>
            <w:left w:val="single" w:sz="6" w:space="0" w:color="auto"/>
            <w:bottom w:val="single" w:sz="6" w:space="0" w:color="auto"/>
            <w:right w:val="single" w:sz="6" w:space="0" w:color="auto"/>
          </w:divBdr>
        </w:div>
        <w:div w:id="1010765703">
          <w:marLeft w:val="0"/>
          <w:marRight w:val="0"/>
          <w:marTop w:val="0"/>
          <w:marBottom w:val="0"/>
          <w:divBdr>
            <w:top w:val="single" w:sz="6" w:space="0" w:color="auto"/>
            <w:left w:val="single" w:sz="6" w:space="0" w:color="auto"/>
            <w:bottom w:val="single" w:sz="6" w:space="0" w:color="auto"/>
            <w:right w:val="single" w:sz="6" w:space="0" w:color="auto"/>
          </w:divBdr>
        </w:div>
        <w:div w:id="1018504926">
          <w:marLeft w:val="0"/>
          <w:marRight w:val="0"/>
          <w:marTop w:val="0"/>
          <w:marBottom w:val="0"/>
          <w:divBdr>
            <w:top w:val="single" w:sz="6" w:space="0" w:color="auto"/>
            <w:left w:val="single" w:sz="6" w:space="0" w:color="auto"/>
            <w:bottom w:val="single" w:sz="6" w:space="0" w:color="auto"/>
            <w:right w:val="single" w:sz="6" w:space="0" w:color="auto"/>
          </w:divBdr>
        </w:div>
        <w:div w:id="1059283298">
          <w:marLeft w:val="0"/>
          <w:marRight w:val="0"/>
          <w:marTop w:val="0"/>
          <w:marBottom w:val="0"/>
          <w:divBdr>
            <w:top w:val="single" w:sz="6" w:space="0" w:color="auto"/>
            <w:left w:val="single" w:sz="6" w:space="0" w:color="auto"/>
            <w:bottom w:val="single" w:sz="6" w:space="0" w:color="auto"/>
            <w:right w:val="single" w:sz="6" w:space="0" w:color="auto"/>
          </w:divBdr>
        </w:div>
        <w:div w:id="1088959951">
          <w:marLeft w:val="0"/>
          <w:marRight w:val="0"/>
          <w:marTop w:val="0"/>
          <w:marBottom w:val="0"/>
          <w:divBdr>
            <w:top w:val="single" w:sz="6" w:space="0" w:color="auto"/>
            <w:left w:val="single" w:sz="6" w:space="0" w:color="auto"/>
            <w:bottom w:val="single" w:sz="6" w:space="0" w:color="auto"/>
            <w:right w:val="single" w:sz="6" w:space="0" w:color="auto"/>
          </w:divBdr>
        </w:div>
        <w:div w:id="1106802812">
          <w:marLeft w:val="0"/>
          <w:marRight w:val="0"/>
          <w:marTop w:val="0"/>
          <w:marBottom w:val="0"/>
          <w:divBdr>
            <w:top w:val="single" w:sz="6" w:space="0" w:color="auto"/>
            <w:left w:val="single" w:sz="6" w:space="0" w:color="auto"/>
            <w:bottom w:val="single" w:sz="6" w:space="0" w:color="auto"/>
            <w:right w:val="single" w:sz="6" w:space="0" w:color="auto"/>
          </w:divBdr>
        </w:div>
        <w:div w:id="1110861499">
          <w:marLeft w:val="0"/>
          <w:marRight w:val="0"/>
          <w:marTop w:val="0"/>
          <w:marBottom w:val="0"/>
          <w:divBdr>
            <w:top w:val="single" w:sz="6" w:space="0" w:color="auto"/>
            <w:left w:val="single" w:sz="6" w:space="0" w:color="auto"/>
            <w:bottom w:val="single" w:sz="6" w:space="0" w:color="auto"/>
            <w:right w:val="single" w:sz="6" w:space="0" w:color="auto"/>
          </w:divBdr>
        </w:div>
        <w:div w:id="1122581011">
          <w:marLeft w:val="0"/>
          <w:marRight w:val="0"/>
          <w:marTop w:val="0"/>
          <w:marBottom w:val="0"/>
          <w:divBdr>
            <w:top w:val="single" w:sz="6" w:space="0" w:color="auto"/>
            <w:left w:val="single" w:sz="6" w:space="0" w:color="auto"/>
            <w:bottom w:val="single" w:sz="6" w:space="0" w:color="auto"/>
            <w:right w:val="single" w:sz="6" w:space="0" w:color="auto"/>
          </w:divBdr>
        </w:div>
        <w:div w:id="1149321388">
          <w:marLeft w:val="0"/>
          <w:marRight w:val="0"/>
          <w:marTop w:val="0"/>
          <w:marBottom w:val="0"/>
          <w:divBdr>
            <w:top w:val="single" w:sz="6" w:space="0" w:color="auto"/>
            <w:left w:val="single" w:sz="6" w:space="0" w:color="auto"/>
            <w:bottom w:val="single" w:sz="6" w:space="0" w:color="auto"/>
            <w:right w:val="single" w:sz="6" w:space="0" w:color="auto"/>
          </w:divBdr>
        </w:div>
        <w:div w:id="1151024624">
          <w:marLeft w:val="0"/>
          <w:marRight w:val="0"/>
          <w:marTop w:val="0"/>
          <w:marBottom w:val="0"/>
          <w:divBdr>
            <w:top w:val="single" w:sz="6" w:space="0" w:color="auto"/>
            <w:left w:val="single" w:sz="6" w:space="0" w:color="auto"/>
            <w:bottom w:val="single" w:sz="6" w:space="0" w:color="auto"/>
            <w:right w:val="single" w:sz="6" w:space="0" w:color="auto"/>
          </w:divBdr>
        </w:div>
        <w:div w:id="1151753250">
          <w:marLeft w:val="0"/>
          <w:marRight w:val="0"/>
          <w:marTop w:val="0"/>
          <w:marBottom w:val="0"/>
          <w:divBdr>
            <w:top w:val="single" w:sz="6" w:space="0" w:color="auto"/>
            <w:left w:val="single" w:sz="6" w:space="0" w:color="auto"/>
            <w:bottom w:val="single" w:sz="6" w:space="0" w:color="auto"/>
            <w:right w:val="single" w:sz="6" w:space="0" w:color="auto"/>
          </w:divBdr>
        </w:div>
        <w:div w:id="1168866489">
          <w:marLeft w:val="0"/>
          <w:marRight w:val="0"/>
          <w:marTop w:val="0"/>
          <w:marBottom w:val="0"/>
          <w:divBdr>
            <w:top w:val="single" w:sz="6" w:space="0" w:color="auto"/>
            <w:left w:val="single" w:sz="6" w:space="0" w:color="auto"/>
            <w:bottom w:val="single" w:sz="6" w:space="0" w:color="auto"/>
            <w:right w:val="single" w:sz="6" w:space="0" w:color="auto"/>
          </w:divBdr>
        </w:div>
        <w:div w:id="1191722096">
          <w:marLeft w:val="0"/>
          <w:marRight w:val="0"/>
          <w:marTop w:val="0"/>
          <w:marBottom w:val="0"/>
          <w:divBdr>
            <w:top w:val="single" w:sz="6" w:space="0" w:color="auto"/>
            <w:left w:val="single" w:sz="6" w:space="0" w:color="auto"/>
            <w:bottom w:val="single" w:sz="6" w:space="0" w:color="auto"/>
            <w:right w:val="single" w:sz="6" w:space="0" w:color="auto"/>
          </w:divBdr>
        </w:div>
        <w:div w:id="1213925381">
          <w:marLeft w:val="0"/>
          <w:marRight w:val="0"/>
          <w:marTop w:val="0"/>
          <w:marBottom w:val="0"/>
          <w:divBdr>
            <w:top w:val="single" w:sz="6" w:space="0" w:color="auto"/>
            <w:left w:val="single" w:sz="6" w:space="0" w:color="auto"/>
            <w:bottom w:val="single" w:sz="6" w:space="0" w:color="auto"/>
            <w:right w:val="single" w:sz="6" w:space="0" w:color="auto"/>
          </w:divBdr>
        </w:div>
        <w:div w:id="1217930967">
          <w:marLeft w:val="0"/>
          <w:marRight w:val="0"/>
          <w:marTop w:val="0"/>
          <w:marBottom w:val="0"/>
          <w:divBdr>
            <w:top w:val="single" w:sz="6" w:space="0" w:color="auto"/>
            <w:left w:val="single" w:sz="6" w:space="0" w:color="auto"/>
            <w:bottom w:val="single" w:sz="6" w:space="0" w:color="auto"/>
            <w:right w:val="single" w:sz="6" w:space="0" w:color="auto"/>
          </w:divBdr>
        </w:div>
        <w:div w:id="1266306098">
          <w:marLeft w:val="0"/>
          <w:marRight w:val="0"/>
          <w:marTop w:val="0"/>
          <w:marBottom w:val="0"/>
          <w:divBdr>
            <w:top w:val="single" w:sz="6" w:space="0" w:color="auto"/>
            <w:left w:val="single" w:sz="6" w:space="0" w:color="auto"/>
            <w:bottom w:val="single" w:sz="6" w:space="0" w:color="auto"/>
            <w:right w:val="single" w:sz="6" w:space="0" w:color="auto"/>
          </w:divBdr>
        </w:div>
        <w:div w:id="1398820851">
          <w:marLeft w:val="0"/>
          <w:marRight w:val="0"/>
          <w:marTop w:val="0"/>
          <w:marBottom w:val="0"/>
          <w:divBdr>
            <w:top w:val="single" w:sz="6" w:space="0" w:color="auto"/>
            <w:left w:val="single" w:sz="6" w:space="0" w:color="auto"/>
            <w:bottom w:val="single" w:sz="6" w:space="0" w:color="auto"/>
            <w:right w:val="single" w:sz="6" w:space="0" w:color="auto"/>
          </w:divBdr>
        </w:div>
        <w:div w:id="1799102969">
          <w:marLeft w:val="0"/>
          <w:marRight w:val="0"/>
          <w:marTop w:val="0"/>
          <w:marBottom w:val="0"/>
          <w:divBdr>
            <w:top w:val="single" w:sz="6" w:space="0" w:color="auto"/>
            <w:left w:val="single" w:sz="6" w:space="0" w:color="auto"/>
            <w:bottom w:val="single" w:sz="6" w:space="0" w:color="auto"/>
            <w:right w:val="single" w:sz="6" w:space="0" w:color="auto"/>
          </w:divBdr>
        </w:div>
        <w:div w:id="1825313371">
          <w:marLeft w:val="0"/>
          <w:marRight w:val="0"/>
          <w:marTop w:val="0"/>
          <w:marBottom w:val="0"/>
          <w:divBdr>
            <w:top w:val="single" w:sz="6" w:space="0" w:color="auto"/>
            <w:left w:val="single" w:sz="6" w:space="0" w:color="auto"/>
            <w:bottom w:val="single" w:sz="6" w:space="0" w:color="auto"/>
            <w:right w:val="single" w:sz="6" w:space="0" w:color="auto"/>
          </w:divBdr>
        </w:div>
        <w:div w:id="1863395242">
          <w:marLeft w:val="0"/>
          <w:marRight w:val="0"/>
          <w:marTop w:val="0"/>
          <w:marBottom w:val="0"/>
          <w:divBdr>
            <w:top w:val="single" w:sz="6" w:space="0" w:color="auto"/>
            <w:left w:val="single" w:sz="6" w:space="0" w:color="auto"/>
            <w:bottom w:val="single" w:sz="6" w:space="0" w:color="auto"/>
            <w:right w:val="single" w:sz="6" w:space="0" w:color="auto"/>
          </w:divBdr>
        </w:div>
        <w:div w:id="1985115775">
          <w:marLeft w:val="0"/>
          <w:marRight w:val="0"/>
          <w:marTop w:val="0"/>
          <w:marBottom w:val="0"/>
          <w:divBdr>
            <w:top w:val="single" w:sz="6" w:space="0" w:color="auto"/>
            <w:left w:val="single" w:sz="6" w:space="0" w:color="auto"/>
            <w:bottom w:val="single" w:sz="6" w:space="0" w:color="auto"/>
            <w:right w:val="single" w:sz="6" w:space="0" w:color="auto"/>
          </w:divBdr>
        </w:div>
      </w:divsChild>
    </w:div>
    <w:div w:id="123160753">
      <w:bodyDiv w:val="1"/>
      <w:marLeft w:val="0"/>
      <w:marRight w:val="0"/>
      <w:marTop w:val="0"/>
      <w:marBottom w:val="0"/>
      <w:divBdr>
        <w:top w:val="none" w:sz="0" w:space="0" w:color="auto"/>
        <w:left w:val="none" w:sz="0" w:space="0" w:color="auto"/>
        <w:bottom w:val="none" w:sz="0" w:space="0" w:color="auto"/>
        <w:right w:val="none" w:sz="0" w:space="0" w:color="auto"/>
      </w:divBdr>
    </w:div>
    <w:div w:id="251357147">
      <w:bodyDiv w:val="1"/>
      <w:marLeft w:val="0"/>
      <w:marRight w:val="0"/>
      <w:marTop w:val="0"/>
      <w:marBottom w:val="0"/>
      <w:divBdr>
        <w:top w:val="none" w:sz="0" w:space="0" w:color="auto"/>
        <w:left w:val="none" w:sz="0" w:space="0" w:color="auto"/>
        <w:bottom w:val="none" w:sz="0" w:space="0" w:color="auto"/>
        <w:right w:val="none" w:sz="0" w:space="0" w:color="auto"/>
      </w:divBdr>
    </w:div>
    <w:div w:id="306857426">
      <w:bodyDiv w:val="1"/>
      <w:marLeft w:val="0"/>
      <w:marRight w:val="0"/>
      <w:marTop w:val="0"/>
      <w:marBottom w:val="0"/>
      <w:divBdr>
        <w:top w:val="none" w:sz="0" w:space="0" w:color="auto"/>
        <w:left w:val="none" w:sz="0" w:space="0" w:color="auto"/>
        <w:bottom w:val="none" w:sz="0" w:space="0" w:color="auto"/>
        <w:right w:val="none" w:sz="0" w:space="0" w:color="auto"/>
      </w:divBdr>
    </w:div>
    <w:div w:id="353505988">
      <w:bodyDiv w:val="1"/>
      <w:marLeft w:val="0"/>
      <w:marRight w:val="0"/>
      <w:marTop w:val="0"/>
      <w:marBottom w:val="0"/>
      <w:divBdr>
        <w:top w:val="none" w:sz="0" w:space="0" w:color="auto"/>
        <w:left w:val="none" w:sz="0" w:space="0" w:color="auto"/>
        <w:bottom w:val="none" w:sz="0" w:space="0" w:color="auto"/>
        <w:right w:val="none" w:sz="0" w:space="0" w:color="auto"/>
      </w:divBdr>
    </w:div>
    <w:div w:id="442385394">
      <w:bodyDiv w:val="1"/>
      <w:marLeft w:val="0"/>
      <w:marRight w:val="0"/>
      <w:marTop w:val="0"/>
      <w:marBottom w:val="0"/>
      <w:divBdr>
        <w:top w:val="none" w:sz="0" w:space="0" w:color="auto"/>
        <w:left w:val="none" w:sz="0" w:space="0" w:color="auto"/>
        <w:bottom w:val="none" w:sz="0" w:space="0" w:color="auto"/>
        <w:right w:val="none" w:sz="0" w:space="0" w:color="auto"/>
      </w:divBdr>
    </w:div>
    <w:div w:id="531721970">
      <w:bodyDiv w:val="1"/>
      <w:marLeft w:val="0"/>
      <w:marRight w:val="0"/>
      <w:marTop w:val="0"/>
      <w:marBottom w:val="0"/>
      <w:divBdr>
        <w:top w:val="none" w:sz="0" w:space="0" w:color="auto"/>
        <w:left w:val="none" w:sz="0" w:space="0" w:color="auto"/>
        <w:bottom w:val="none" w:sz="0" w:space="0" w:color="auto"/>
        <w:right w:val="none" w:sz="0" w:space="0" w:color="auto"/>
      </w:divBdr>
    </w:div>
    <w:div w:id="778060655">
      <w:bodyDiv w:val="1"/>
      <w:marLeft w:val="0"/>
      <w:marRight w:val="0"/>
      <w:marTop w:val="0"/>
      <w:marBottom w:val="0"/>
      <w:divBdr>
        <w:top w:val="none" w:sz="0" w:space="0" w:color="auto"/>
        <w:left w:val="none" w:sz="0" w:space="0" w:color="auto"/>
        <w:bottom w:val="none" w:sz="0" w:space="0" w:color="auto"/>
        <w:right w:val="none" w:sz="0" w:space="0" w:color="auto"/>
      </w:divBdr>
    </w:div>
    <w:div w:id="894245704">
      <w:bodyDiv w:val="1"/>
      <w:marLeft w:val="0"/>
      <w:marRight w:val="0"/>
      <w:marTop w:val="0"/>
      <w:marBottom w:val="0"/>
      <w:divBdr>
        <w:top w:val="none" w:sz="0" w:space="0" w:color="auto"/>
        <w:left w:val="none" w:sz="0" w:space="0" w:color="auto"/>
        <w:bottom w:val="none" w:sz="0" w:space="0" w:color="auto"/>
        <w:right w:val="none" w:sz="0" w:space="0" w:color="auto"/>
      </w:divBdr>
    </w:div>
    <w:div w:id="1003775122">
      <w:bodyDiv w:val="1"/>
      <w:marLeft w:val="0"/>
      <w:marRight w:val="0"/>
      <w:marTop w:val="0"/>
      <w:marBottom w:val="0"/>
      <w:divBdr>
        <w:top w:val="none" w:sz="0" w:space="0" w:color="auto"/>
        <w:left w:val="none" w:sz="0" w:space="0" w:color="auto"/>
        <w:bottom w:val="none" w:sz="0" w:space="0" w:color="auto"/>
        <w:right w:val="none" w:sz="0" w:space="0" w:color="auto"/>
      </w:divBdr>
    </w:div>
    <w:div w:id="1284076053">
      <w:bodyDiv w:val="1"/>
      <w:marLeft w:val="0"/>
      <w:marRight w:val="0"/>
      <w:marTop w:val="0"/>
      <w:marBottom w:val="0"/>
      <w:divBdr>
        <w:top w:val="none" w:sz="0" w:space="0" w:color="auto"/>
        <w:left w:val="none" w:sz="0" w:space="0" w:color="auto"/>
        <w:bottom w:val="none" w:sz="0" w:space="0" w:color="auto"/>
        <w:right w:val="none" w:sz="0" w:space="0" w:color="auto"/>
      </w:divBdr>
    </w:div>
    <w:div w:id="1334844986">
      <w:bodyDiv w:val="1"/>
      <w:marLeft w:val="0"/>
      <w:marRight w:val="0"/>
      <w:marTop w:val="0"/>
      <w:marBottom w:val="0"/>
      <w:divBdr>
        <w:top w:val="none" w:sz="0" w:space="0" w:color="auto"/>
        <w:left w:val="none" w:sz="0" w:space="0" w:color="auto"/>
        <w:bottom w:val="none" w:sz="0" w:space="0" w:color="auto"/>
        <w:right w:val="none" w:sz="0" w:space="0" w:color="auto"/>
      </w:divBdr>
    </w:div>
    <w:div w:id="1546522888">
      <w:bodyDiv w:val="1"/>
      <w:marLeft w:val="0"/>
      <w:marRight w:val="0"/>
      <w:marTop w:val="0"/>
      <w:marBottom w:val="0"/>
      <w:divBdr>
        <w:top w:val="none" w:sz="0" w:space="0" w:color="auto"/>
        <w:left w:val="none" w:sz="0" w:space="0" w:color="auto"/>
        <w:bottom w:val="none" w:sz="0" w:space="0" w:color="auto"/>
        <w:right w:val="none" w:sz="0" w:space="0" w:color="auto"/>
      </w:divBdr>
    </w:div>
    <w:div w:id="1578783382">
      <w:bodyDiv w:val="1"/>
      <w:marLeft w:val="0"/>
      <w:marRight w:val="0"/>
      <w:marTop w:val="0"/>
      <w:marBottom w:val="0"/>
      <w:divBdr>
        <w:top w:val="none" w:sz="0" w:space="0" w:color="auto"/>
        <w:left w:val="none" w:sz="0" w:space="0" w:color="auto"/>
        <w:bottom w:val="none" w:sz="0" w:space="0" w:color="auto"/>
        <w:right w:val="none" w:sz="0" w:space="0" w:color="auto"/>
      </w:divBdr>
    </w:div>
    <w:div w:id="1609315310">
      <w:bodyDiv w:val="1"/>
      <w:marLeft w:val="0"/>
      <w:marRight w:val="0"/>
      <w:marTop w:val="0"/>
      <w:marBottom w:val="0"/>
      <w:divBdr>
        <w:top w:val="none" w:sz="0" w:space="0" w:color="auto"/>
        <w:left w:val="none" w:sz="0" w:space="0" w:color="auto"/>
        <w:bottom w:val="none" w:sz="0" w:space="0" w:color="auto"/>
        <w:right w:val="none" w:sz="0" w:space="0" w:color="auto"/>
      </w:divBdr>
    </w:div>
    <w:div w:id="173874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hyperlink" Target="https://www.sae.org/binaries/content/assets/cm/content/about/sae-bylaws.pdf" TargetMode="External"/><Relationship Id="rId26" Type="http://schemas.openxmlformats.org/officeDocument/2006/relationships/hyperlink" Target="http://www.sae.org/membership/"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ae.org/about/leadership" TargetMode="External"/><Relationship Id="rId34" Type="http://schemas.openxmlformats.org/officeDocument/2006/relationships/hyperlink" Target="http://www.sae.org/standardsdev/tsb/"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ae.org/binaries/content/assets/cm/content/about/sae-bylaws.pdf" TargetMode="External"/><Relationship Id="rId25" Type="http://schemas.openxmlformats.org/officeDocument/2006/relationships/hyperlink" Target="https://www.sae.org/binaries/content/assets/cm/content/about/sae-bylaws.pdf" TargetMode="External"/><Relationship Id="rId33" Type="http://schemas.openxmlformats.org/officeDocument/2006/relationships/oleObject" Target="embeddings/oleObject2.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e.org/" TargetMode="External"/><Relationship Id="rId20" Type="http://schemas.openxmlformats.org/officeDocument/2006/relationships/hyperlink" Target="https://www.sae.org/binaries/content/assets/cm/content/about/sae-board-of-directors-governance-policy-manual.pdf" TargetMode="External"/><Relationship Id="rId29" Type="http://schemas.openxmlformats.org/officeDocument/2006/relationships/hyperlink" Target="http://www.sae.org/standardsdev/tsb/tsbpoli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sae.org/participate/membership/faq" TargetMode="External"/><Relationship Id="rId32" Type="http://schemas.openxmlformats.org/officeDocument/2006/relationships/image" Target="media/image3.png"/><Relationship Id="rId37"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ansi.org/Accreditation/who-is-accredited" TargetMode="External"/><Relationship Id="rId28" Type="http://schemas.openxmlformats.org/officeDocument/2006/relationships/hyperlink" Target="https://www.sae.org/about/legal-policies?tab=3" TargetMode="External"/><Relationship Id="rId36" Type="http://schemas.openxmlformats.org/officeDocument/2006/relationships/hyperlink" Target="https://www.sae.org/standards/development/definitions/" TargetMode="External"/><Relationship Id="rId10" Type="http://schemas.openxmlformats.org/officeDocument/2006/relationships/header" Target="header1.xml"/><Relationship Id="rId19" Type="http://schemas.openxmlformats.org/officeDocument/2006/relationships/hyperlink" Target="http://www.sae.org/about/contact/" TargetMode="External"/><Relationship Id="rId31"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mailto:kaoru.mizuno@itu.int" TargetMode="External"/><Relationship Id="rId14" Type="http://schemas.openxmlformats.org/officeDocument/2006/relationships/header" Target="header3.xml"/><Relationship Id="rId22" Type="http://schemas.openxmlformats.org/officeDocument/2006/relationships/hyperlink" Target="https://www.ansi.org/standards_activities/domestic_programs/overview?menuid=3" TargetMode="External"/><Relationship Id="rId27" Type="http://schemas.openxmlformats.org/officeDocument/2006/relationships/hyperlink" Target="https://www.sae.org/binaries/content/assets/cm/content/about/sae-ip-policy.pdf" TargetMode="External"/><Relationship Id="rId30" Type="http://schemas.openxmlformats.org/officeDocument/2006/relationships/image" Target="media/image2.png"/><Relationship Id="rId35" Type="http://schemas.openxmlformats.org/officeDocument/2006/relationships/hyperlink" Target="https://www.sae.org/standardsdev/tsb/tsbpolic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21384-F6CA-4658-A629-6E1023DB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0</TotalTime>
  <Pages>6</Pages>
  <Words>1913</Words>
  <Characters>12643</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Implementation of Recommendations A.5 and A.6 for SAE International</vt:lpstr>
    </vt:vector>
  </TitlesOfParts>
  <Manager>ITU-T</Manager>
  <Company>International Telecommunication Union (ITU)</Company>
  <LinksUpToDate>false</LinksUpToDate>
  <CharactersWithSpaces>14527</CharactersWithSpaces>
  <SharedDoc>false</SharedDoc>
  <HLinks>
    <vt:vector size="234" baseType="variant">
      <vt:variant>
        <vt:i4>6750331</vt:i4>
      </vt:variant>
      <vt:variant>
        <vt:i4>114</vt:i4>
      </vt:variant>
      <vt:variant>
        <vt:i4>0</vt:i4>
      </vt:variant>
      <vt:variant>
        <vt:i4>5</vt:i4>
      </vt:variant>
      <vt:variant>
        <vt:lpwstr>https://www.itu.int/md/T17-TSAG-170501-TD-GEN-0118</vt:lpwstr>
      </vt:variant>
      <vt:variant>
        <vt:lpwstr/>
      </vt:variant>
      <vt:variant>
        <vt:i4>852050</vt:i4>
      </vt:variant>
      <vt:variant>
        <vt:i4>111</vt:i4>
      </vt:variant>
      <vt:variant>
        <vt:i4>0</vt:i4>
      </vt:variant>
      <vt:variant>
        <vt:i4>5</vt:i4>
      </vt:variant>
      <vt:variant>
        <vt:lpwstr>https://www.itu.int/md/T17-TSAG-170501-TD-GEN-0076/en</vt:lpwstr>
      </vt:variant>
      <vt:variant>
        <vt:lpwstr/>
      </vt:variant>
      <vt:variant>
        <vt:i4>6815867</vt:i4>
      </vt:variant>
      <vt:variant>
        <vt:i4>108</vt:i4>
      </vt:variant>
      <vt:variant>
        <vt:i4>0</vt:i4>
      </vt:variant>
      <vt:variant>
        <vt:i4>5</vt:i4>
      </vt:variant>
      <vt:variant>
        <vt:lpwstr>https://www.itu.int/md/T17-TSAG-170501-TD-GEN-0117</vt:lpwstr>
      </vt:variant>
      <vt:variant>
        <vt:lpwstr/>
      </vt:variant>
      <vt:variant>
        <vt:i4>7078011</vt:i4>
      </vt:variant>
      <vt:variant>
        <vt:i4>105</vt:i4>
      </vt:variant>
      <vt:variant>
        <vt:i4>0</vt:i4>
      </vt:variant>
      <vt:variant>
        <vt:i4>5</vt:i4>
      </vt:variant>
      <vt:variant>
        <vt:lpwstr>https://www.itu.int/md/T17-TSAG-170501-TD-GEN-0113</vt:lpwstr>
      </vt:variant>
      <vt:variant>
        <vt:lpwstr/>
      </vt:variant>
      <vt:variant>
        <vt:i4>7143546</vt:i4>
      </vt:variant>
      <vt:variant>
        <vt:i4>102</vt:i4>
      </vt:variant>
      <vt:variant>
        <vt:i4>0</vt:i4>
      </vt:variant>
      <vt:variant>
        <vt:i4>5</vt:i4>
      </vt:variant>
      <vt:variant>
        <vt:lpwstr>https://www.itu.int/md/T17-TSAG-170501-TD-GEN-0102</vt:lpwstr>
      </vt:variant>
      <vt:variant>
        <vt:lpwstr/>
      </vt:variant>
      <vt:variant>
        <vt:i4>7012475</vt:i4>
      </vt:variant>
      <vt:variant>
        <vt:i4>99</vt:i4>
      </vt:variant>
      <vt:variant>
        <vt:i4>0</vt:i4>
      </vt:variant>
      <vt:variant>
        <vt:i4>5</vt:i4>
      </vt:variant>
      <vt:variant>
        <vt:lpwstr>https://www.itu.int/md/T17-TSAG-170501-TD-GEN-0114</vt:lpwstr>
      </vt:variant>
      <vt:variant>
        <vt:lpwstr/>
      </vt:variant>
      <vt:variant>
        <vt:i4>7012475</vt:i4>
      </vt:variant>
      <vt:variant>
        <vt:i4>96</vt:i4>
      </vt:variant>
      <vt:variant>
        <vt:i4>0</vt:i4>
      </vt:variant>
      <vt:variant>
        <vt:i4>5</vt:i4>
      </vt:variant>
      <vt:variant>
        <vt:lpwstr>https://www.itu.int/md/T17-TSAG-170501-TD-GEN-0114</vt:lpwstr>
      </vt:variant>
      <vt:variant>
        <vt:lpwstr/>
      </vt:variant>
      <vt:variant>
        <vt:i4>4128859</vt:i4>
      </vt:variant>
      <vt:variant>
        <vt:i4>93</vt:i4>
      </vt:variant>
      <vt:variant>
        <vt:i4>0</vt:i4>
      </vt:variant>
      <vt:variant>
        <vt:i4>5</vt:i4>
      </vt:variant>
      <vt:variant>
        <vt:lpwstr>https://www.itu.int/dms_inf/itu-t/md/13/tsag/td/160718/GEN/T13-TSAG-160718-TD-GEN-0609!R1!MSW-E.docx</vt:lpwstr>
      </vt:variant>
      <vt:variant>
        <vt:lpwstr/>
      </vt:variant>
      <vt:variant>
        <vt:i4>458822</vt:i4>
      </vt:variant>
      <vt:variant>
        <vt:i4>90</vt:i4>
      </vt:variant>
      <vt:variant>
        <vt:i4>0</vt:i4>
      </vt:variant>
      <vt:variant>
        <vt:i4>5</vt:i4>
      </vt:variant>
      <vt:variant>
        <vt:lpwstr>https://www.itu.int/md/T17-TSAG-C-0013/en</vt:lpwstr>
      </vt:variant>
      <vt:variant>
        <vt:lpwstr/>
      </vt:variant>
      <vt:variant>
        <vt:i4>6160384</vt:i4>
      </vt:variant>
      <vt:variant>
        <vt:i4>87</vt:i4>
      </vt:variant>
      <vt:variant>
        <vt:i4>0</vt:i4>
      </vt:variant>
      <vt:variant>
        <vt:i4>5</vt:i4>
      </vt:variant>
      <vt:variant>
        <vt:lpwstr>https://www.itu.int/md/meetingdoc.asp?lang=en&amp;parent=T17-TSAG-C-0011</vt:lpwstr>
      </vt:variant>
      <vt:variant>
        <vt:lpwstr/>
      </vt:variant>
      <vt:variant>
        <vt:i4>5963777</vt:i4>
      </vt:variant>
      <vt:variant>
        <vt:i4>84</vt:i4>
      </vt:variant>
      <vt:variant>
        <vt:i4>0</vt:i4>
      </vt:variant>
      <vt:variant>
        <vt:i4>5</vt:i4>
      </vt:variant>
      <vt:variant>
        <vt:lpwstr>https://www.itu.int/md/meetingdoc.asp?lang=en&amp;parent=T17-TSAG-C-0004</vt:lpwstr>
      </vt:variant>
      <vt:variant>
        <vt:lpwstr/>
      </vt:variant>
      <vt:variant>
        <vt:i4>6029313</vt:i4>
      </vt:variant>
      <vt:variant>
        <vt:i4>81</vt:i4>
      </vt:variant>
      <vt:variant>
        <vt:i4>0</vt:i4>
      </vt:variant>
      <vt:variant>
        <vt:i4>5</vt:i4>
      </vt:variant>
      <vt:variant>
        <vt:lpwstr>https://www.itu.int/md/meetingdoc.asp?lang=en&amp;parent=T17-TSAG-C-0003</vt:lpwstr>
      </vt:variant>
      <vt:variant>
        <vt:lpwstr/>
      </vt:variant>
      <vt:variant>
        <vt:i4>7012479</vt:i4>
      </vt:variant>
      <vt:variant>
        <vt:i4>78</vt:i4>
      </vt:variant>
      <vt:variant>
        <vt:i4>0</vt:i4>
      </vt:variant>
      <vt:variant>
        <vt:i4>5</vt:i4>
      </vt:variant>
      <vt:variant>
        <vt:lpwstr>https://www.itu.int/md/T17-TSAG-170501-TD-GEN-0055</vt:lpwstr>
      </vt:variant>
      <vt:variant>
        <vt:lpwstr/>
      </vt:variant>
      <vt:variant>
        <vt:i4>458821</vt:i4>
      </vt:variant>
      <vt:variant>
        <vt:i4>75</vt:i4>
      </vt:variant>
      <vt:variant>
        <vt:i4>0</vt:i4>
      </vt:variant>
      <vt:variant>
        <vt:i4>5</vt:i4>
      </vt:variant>
      <vt:variant>
        <vt:lpwstr>https://www.itu.int/md/T17-TSAG-C-0023/en</vt:lpwstr>
      </vt:variant>
      <vt:variant>
        <vt:lpwstr/>
      </vt:variant>
      <vt:variant>
        <vt:i4>6750330</vt:i4>
      </vt:variant>
      <vt:variant>
        <vt:i4>72</vt:i4>
      </vt:variant>
      <vt:variant>
        <vt:i4>0</vt:i4>
      </vt:variant>
      <vt:variant>
        <vt:i4>5</vt:i4>
      </vt:variant>
      <vt:variant>
        <vt:lpwstr>https://www.itu.int/md/T17-TSAG-170501-TD-GEN-0108</vt:lpwstr>
      </vt:variant>
      <vt:variant>
        <vt:lpwstr/>
      </vt:variant>
      <vt:variant>
        <vt:i4>7143546</vt:i4>
      </vt:variant>
      <vt:variant>
        <vt:i4>69</vt:i4>
      </vt:variant>
      <vt:variant>
        <vt:i4>0</vt:i4>
      </vt:variant>
      <vt:variant>
        <vt:i4>5</vt:i4>
      </vt:variant>
      <vt:variant>
        <vt:lpwstr>https://www.itu.int/md/T17-TSAG-170501-TD-GEN-0102</vt:lpwstr>
      </vt:variant>
      <vt:variant>
        <vt:lpwstr/>
      </vt:variant>
      <vt:variant>
        <vt:i4>6881407</vt:i4>
      </vt:variant>
      <vt:variant>
        <vt:i4>66</vt:i4>
      </vt:variant>
      <vt:variant>
        <vt:i4>0</vt:i4>
      </vt:variant>
      <vt:variant>
        <vt:i4>5</vt:i4>
      </vt:variant>
      <vt:variant>
        <vt:lpwstr>https://www.itu.int/md/T17-TSAG-170501-TD-GEN-0057</vt:lpwstr>
      </vt:variant>
      <vt:variant>
        <vt:lpwstr/>
      </vt:variant>
      <vt:variant>
        <vt:i4>6684795</vt:i4>
      </vt:variant>
      <vt:variant>
        <vt:i4>63</vt:i4>
      </vt:variant>
      <vt:variant>
        <vt:i4>0</vt:i4>
      </vt:variant>
      <vt:variant>
        <vt:i4>5</vt:i4>
      </vt:variant>
      <vt:variant>
        <vt:lpwstr>https://www.itu.int/md/T17-TSAG-170501-TD-GEN-0018</vt:lpwstr>
      </vt:variant>
      <vt:variant>
        <vt:lpwstr/>
      </vt:variant>
      <vt:variant>
        <vt:i4>6881403</vt:i4>
      </vt:variant>
      <vt:variant>
        <vt:i4>60</vt:i4>
      </vt:variant>
      <vt:variant>
        <vt:i4>0</vt:i4>
      </vt:variant>
      <vt:variant>
        <vt:i4>5</vt:i4>
      </vt:variant>
      <vt:variant>
        <vt:lpwstr>https://www.itu.int/md/T17-TSAG-170501-TD-GEN-0017</vt:lpwstr>
      </vt:variant>
      <vt:variant>
        <vt:lpwstr/>
      </vt:variant>
      <vt:variant>
        <vt:i4>7143546</vt:i4>
      </vt:variant>
      <vt:variant>
        <vt:i4>57</vt:i4>
      </vt:variant>
      <vt:variant>
        <vt:i4>0</vt:i4>
      </vt:variant>
      <vt:variant>
        <vt:i4>5</vt:i4>
      </vt:variant>
      <vt:variant>
        <vt:lpwstr>https://www.itu.int/md/T17-TSAG-170501-TD-GEN-0003</vt:lpwstr>
      </vt:variant>
      <vt:variant>
        <vt:lpwstr/>
      </vt:variant>
      <vt:variant>
        <vt:i4>7078010</vt:i4>
      </vt:variant>
      <vt:variant>
        <vt:i4>54</vt:i4>
      </vt:variant>
      <vt:variant>
        <vt:i4>0</vt:i4>
      </vt:variant>
      <vt:variant>
        <vt:i4>5</vt:i4>
      </vt:variant>
      <vt:variant>
        <vt:lpwstr>https://www.itu.int/md/T17-TSAG-170501-TD-GEN-0002</vt:lpwstr>
      </vt:variant>
      <vt:variant>
        <vt:lpwstr/>
      </vt:variant>
      <vt:variant>
        <vt:i4>6684792</vt:i4>
      </vt:variant>
      <vt:variant>
        <vt:i4>51</vt:i4>
      </vt:variant>
      <vt:variant>
        <vt:i4>0</vt:i4>
      </vt:variant>
      <vt:variant>
        <vt:i4>5</vt:i4>
      </vt:variant>
      <vt:variant>
        <vt:lpwstr>https://www.itu.int/md/T17-TSAG-170501-TD-GEN-0028</vt:lpwstr>
      </vt:variant>
      <vt:variant>
        <vt:lpwstr/>
      </vt:variant>
      <vt:variant>
        <vt:i4>7274621</vt:i4>
      </vt:variant>
      <vt:variant>
        <vt:i4>48</vt:i4>
      </vt:variant>
      <vt:variant>
        <vt:i4>0</vt:i4>
      </vt:variant>
      <vt:variant>
        <vt:i4>5</vt:i4>
      </vt:variant>
      <vt:variant>
        <vt:lpwstr>https://www.itu.int/md/T17-TSAG-170501-TD-GEN-0071</vt:lpwstr>
      </vt:variant>
      <vt:variant>
        <vt:lpwstr/>
      </vt:variant>
      <vt:variant>
        <vt:i4>7078011</vt:i4>
      </vt:variant>
      <vt:variant>
        <vt:i4>45</vt:i4>
      </vt:variant>
      <vt:variant>
        <vt:i4>0</vt:i4>
      </vt:variant>
      <vt:variant>
        <vt:i4>5</vt:i4>
      </vt:variant>
      <vt:variant>
        <vt:lpwstr>https://www.itu.int/md/T17-TSAG-170501-TD-GEN-0113</vt:lpwstr>
      </vt:variant>
      <vt:variant>
        <vt:lpwstr/>
      </vt:variant>
      <vt:variant>
        <vt:i4>7274616</vt:i4>
      </vt:variant>
      <vt:variant>
        <vt:i4>42</vt:i4>
      </vt:variant>
      <vt:variant>
        <vt:i4>0</vt:i4>
      </vt:variant>
      <vt:variant>
        <vt:i4>5</vt:i4>
      </vt:variant>
      <vt:variant>
        <vt:lpwstr>https://www.itu.int/md/T17-TSAG-170501-TD-GEN-0021</vt:lpwstr>
      </vt:variant>
      <vt:variant>
        <vt:lpwstr/>
      </vt:variant>
      <vt:variant>
        <vt:i4>786514</vt:i4>
      </vt:variant>
      <vt:variant>
        <vt:i4>39</vt:i4>
      </vt:variant>
      <vt:variant>
        <vt:i4>0</vt:i4>
      </vt:variant>
      <vt:variant>
        <vt:i4>5</vt:i4>
      </vt:variant>
      <vt:variant>
        <vt:lpwstr>https://www.itu.int/md/T17-TSAG-170501-TD-GEN-0077/en</vt:lpwstr>
      </vt:variant>
      <vt:variant>
        <vt:lpwstr/>
      </vt:variant>
      <vt:variant>
        <vt:i4>6750332</vt:i4>
      </vt:variant>
      <vt:variant>
        <vt:i4>36</vt:i4>
      </vt:variant>
      <vt:variant>
        <vt:i4>0</vt:i4>
      </vt:variant>
      <vt:variant>
        <vt:i4>5</vt:i4>
      </vt:variant>
      <vt:variant>
        <vt:lpwstr>https://www.itu.int/md/T17-TSAG-170501-TD-GEN-0069</vt:lpwstr>
      </vt:variant>
      <vt:variant>
        <vt:lpwstr/>
      </vt:variant>
      <vt:variant>
        <vt:i4>6750323</vt:i4>
      </vt:variant>
      <vt:variant>
        <vt:i4>33</vt:i4>
      </vt:variant>
      <vt:variant>
        <vt:i4>0</vt:i4>
      </vt:variant>
      <vt:variant>
        <vt:i4>5</vt:i4>
      </vt:variant>
      <vt:variant>
        <vt:lpwstr>https://www.itu.int/md/T17-TSAG-170501-TD-GEN-0099</vt:lpwstr>
      </vt:variant>
      <vt:variant>
        <vt:lpwstr/>
      </vt:variant>
      <vt:variant>
        <vt:i4>2293806</vt:i4>
      </vt:variant>
      <vt:variant>
        <vt:i4>30</vt:i4>
      </vt:variant>
      <vt:variant>
        <vt:i4>0</vt:i4>
      </vt:variant>
      <vt:variant>
        <vt:i4>5</vt:i4>
      </vt:variant>
      <vt:variant>
        <vt:lpwstr>https://extranet.itu.int/sites/itu-t/studygroups/2017-2020/tsag/sc/SitePages/Home.aspx</vt:lpwstr>
      </vt:variant>
      <vt:variant>
        <vt:lpwstr/>
      </vt:variant>
      <vt:variant>
        <vt:i4>5439504</vt:i4>
      </vt:variant>
      <vt:variant>
        <vt:i4>27</vt:i4>
      </vt:variant>
      <vt:variant>
        <vt:i4>0</vt:i4>
      </vt:variant>
      <vt:variant>
        <vt:i4>5</vt:i4>
      </vt:variant>
      <vt:variant>
        <vt:lpwstr>https://www.itu.int/md/meetingdoc.asp?lang=en&amp;parent=T13-TSAG-R-0008</vt:lpwstr>
      </vt:variant>
      <vt:variant>
        <vt:lpwstr/>
      </vt:variant>
      <vt:variant>
        <vt:i4>5898259</vt:i4>
      </vt:variant>
      <vt:variant>
        <vt:i4>24</vt:i4>
      </vt:variant>
      <vt:variant>
        <vt:i4>0</vt:i4>
      </vt:variant>
      <vt:variant>
        <vt:i4>5</vt:i4>
      </vt:variant>
      <vt:variant>
        <vt:lpwstr>https://www.itu.int/md/meetingdoc.asp?lang=en&amp;parent=T13-TSAG-160718-TD-GEN-0612</vt:lpwstr>
      </vt:variant>
      <vt:variant>
        <vt:lpwstr/>
      </vt:variant>
      <vt:variant>
        <vt:i4>7733297</vt:i4>
      </vt:variant>
      <vt:variant>
        <vt:i4>21</vt:i4>
      </vt:variant>
      <vt:variant>
        <vt:i4>0</vt:i4>
      </vt:variant>
      <vt:variant>
        <vt:i4>5</vt:i4>
      </vt:variant>
      <vt:variant>
        <vt:lpwstr>http://www.itu.int/go/tsag</vt:lpwstr>
      </vt:variant>
      <vt:variant>
        <vt:lpwstr/>
      </vt:variant>
      <vt:variant>
        <vt:i4>7274610</vt:i4>
      </vt:variant>
      <vt:variant>
        <vt:i4>18</vt:i4>
      </vt:variant>
      <vt:variant>
        <vt:i4>0</vt:i4>
      </vt:variant>
      <vt:variant>
        <vt:i4>5</vt:i4>
      </vt:variant>
      <vt:variant>
        <vt:lpwstr>https://www.itu.int/md/T17-TSAG-170501-TD-GEN-0081</vt:lpwstr>
      </vt:variant>
      <vt:variant>
        <vt:lpwstr/>
      </vt:variant>
      <vt:variant>
        <vt:i4>7012475</vt:i4>
      </vt:variant>
      <vt:variant>
        <vt:i4>15</vt:i4>
      </vt:variant>
      <vt:variant>
        <vt:i4>0</vt:i4>
      </vt:variant>
      <vt:variant>
        <vt:i4>5</vt:i4>
      </vt:variant>
      <vt:variant>
        <vt:lpwstr>https://www.itu.int/md/T17-TSAG-170501-TD-GEN-0114</vt:lpwstr>
      </vt:variant>
      <vt:variant>
        <vt:lpwstr/>
      </vt:variant>
      <vt:variant>
        <vt:i4>6750331</vt:i4>
      </vt:variant>
      <vt:variant>
        <vt:i4>12</vt:i4>
      </vt:variant>
      <vt:variant>
        <vt:i4>0</vt:i4>
      </vt:variant>
      <vt:variant>
        <vt:i4>5</vt:i4>
      </vt:variant>
      <vt:variant>
        <vt:lpwstr>https://www.itu.int/md/T17-TSAG-170501-TD-GEN-0118</vt:lpwstr>
      </vt:variant>
      <vt:variant>
        <vt:lpwstr/>
      </vt:variant>
      <vt:variant>
        <vt:i4>6815867</vt:i4>
      </vt:variant>
      <vt:variant>
        <vt:i4>9</vt:i4>
      </vt:variant>
      <vt:variant>
        <vt:i4>0</vt:i4>
      </vt:variant>
      <vt:variant>
        <vt:i4>5</vt:i4>
      </vt:variant>
      <vt:variant>
        <vt:lpwstr>https://www.itu.int/md/T17-TSAG-170501-TD-GEN-0117</vt:lpwstr>
      </vt:variant>
      <vt:variant>
        <vt:lpwstr/>
      </vt:variant>
      <vt:variant>
        <vt:i4>7078011</vt:i4>
      </vt:variant>
      <vt:variant>
        <vt:i4>6</vt:i4>
      </vt:variant>
      <vt:variant>
        <vt:i4>0</vt:i4>
      </vt:variant>
      <vt:variant>
        <vt:i4>5</vt:i4>
      </vt:variant>
      <vt:variant>
        <vt:lpwstr>https://www.itu.int/md/T17-TSAG-170501-TD-GEN-0113</vt:lpwstr>
      </vt:variant>
      <vt:variant>
        <vt:lpwstr/>
      </vt:variant>
      <vt:variant>
        <vt:i4>7143546</vt:i4>
      </vt:variant>
      <vt:variant>
        <vt:i4>3</vt:i4>
      </vt:variant>
      <vt:variant>
        <vt:i4>0</vt:i4>
      </vt:variant>
      <vt:variant>
        <vt:i4>5</vt:i4>
      </vt:variant>
      <vt:variant>
        <vt:lpwstr>https://www.itu.int/md/T17-TSAG-170501-TD-GEN-0102</vt:lpwstr>
      </vt:variant>
      <vt:variant>
        <vt:lpwstr/>
      </vt:variant>
      <vt:variant>
        <vt:i4>4259893</vt:i4>
      </vt:variant>
      <vt:variant>
        <vt:i4>0</vt:i4>
      </vt:variant>
      <vt:variant>
        <vt:i4>0</vt:i4>
      </vt:variant>
      <vt:variant>
        <vt:i4>5</vt:i4>
      </vt:variant>
      <vt:variant>
        <vt:lpwstr>mailto:glenn.parsons@ericsson.com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Recommendations A.5 and A.6 for SAE International</dc:title>
  <dc:subject/>
  <dc:creator>TSB</dc:creator>
  <cp:keywords>N/A</cp:keywords>
  <dc:description>TSAG-TDXX  For: Geneva, 10-14 December 2018_x000d_Document date: _x000d_Saved by ITU51013388 at 17:04:08 on 05/12/2018</dc:description>
  <cp:lastModifiedBy>Al-Mnini, Lara</cp:lastModifiedBy>
  <cp:revision>2</cp:revision>
  <cp:lastPrinted>2017-05-03T19:40:00Z</cp:lastPrinted>
  <dcterms:created xsi:type="dcterms:W3CDTF">2018-12-07T12:39:00Z</dcterms:created>
  <dcterms:modified xsi:type="dcterms:W3CDTF">2018-12-07T12:39:00Z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Order">
    <vt:lpwstr>100.000000000000</vt:lpwstr>
  </property>
  <property fmtid="{D5CDD505-2E9C-101B-9397-08002B2CF9AE}" pid="8" name="_SourceUrl">
    <vt:lpwstr/>
  </property>
  <property fmtid="{D5CDD505-2E9C-101B-9397-08002B2CF9AE}" pid="9" name="Docnum">
    <vt:lpwstr>TSAG-TDXX</vt:lpwstr>
  </property>
  <property fmtid="{D5CDD505-2E9C-101B-9397-08002B2CF9AE}" pid="10" name="Docdate">
    <vt:lpwstr/>
  </property>
  <property fmtid="{D5CDD505-2E9C-101B-9397-08002B2CF9AE}" pid="11" name="Docorlang">
    <vt:lpwstr/>
  </property>
  <property fmtid="{D5CDD505-2E9C-101B-9397-08002B2CF9AE}" pid="12" name="Docbluepink">
    <vt:lpwstr>N/A</vt:lpwstr>
  </property>
  <property fmtid="{D5CDD505-2E9C-101B-9397-08002B2CF9AE}" pid="13" name="Docdest">
    <vt:lpwstr>Geneva, 10-14 December 2018</vt:lpwstr>
  </property>
  <property fmtid="{D5CDD505-2E9C-101B-9397-08002B2CF9AE}" pid="14" name="Docauthor">
    <vt:lpwstr>TSB</vt:lpwstr>
  </property>
  <property fmtid="{D5CDD505-2E9C-101B-9397-08002B2CF9AE}" pid="15" name="_NewReviewCycle">
    <vt:lpwstr/>
  </property>
</Properties>
</file>