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86"/>
        <w:gridCol w:w="71"/>
        <w:gridCol w:w="9923"/>
        <w:gridCol w:w="841"/>
      </w:tblGrid>
      <w:tr>
        <w:trPr>
          <w:trHeight w:val="48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765"/>
            </w:tblGrid>
            <w:tr>
              <w:trPr/>
              <w:tc>
                <w:tcPr>
                  <w:tcW w:w="10765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09"/>
                    <w:gridCol w:w="1417"/>
                    <w:gridCol w:w="1021"/>
                    <w:gridCol w:w="2953"/>
                    <w:gridCol w:w="159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No. (Provisional No.)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Question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registration in database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"http://www.itu.int/ITU-T/workprog/wp_item.aspx?isn=14355"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E.QSIMBox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The effect of SIM-boxing on QoS and QoE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Q12/12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TD435R1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2018-03-27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2017-10-11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"http://www.itu.int/ITU-T/workprog/wp_item.aspx?isn=13799"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G.IMT2020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QoS Framework for IMT 2020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Q2/12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313r1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2015-12-23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2016-02-19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"http://www.itu.int/ITU-T/workprog/wp_item.aspx?isn=13734"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P.AMD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Perceptual approaches for multi-dimensional analysis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Q9/12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TD137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2017-01-16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2010-12-02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"http://www.itu.int/ITU-T/workprog/wp_item.aspx?isn=13735"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P.TCA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Technical cause analysis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Q16/12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TD122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2017-01-13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2010-12-02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31" w:hRule="atLeast"/>
              </w:trPr>
              <w:tc>
                <w:tcPr>
                  <w:tcW w:w="10765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8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4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2057" w:h="16837"/>
      <w:pgMar w:top="566" w:right="566" w:bottom="566" w:left="566" w:header="" w:footer="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8"/>
      <w:gridCol w:w="5016"/>
      <w:gridCol w:w="1595"/>
      <w:gridCol w:w="3312"/>
      <w:gridCol w:w="841"/>
    </w:tblGrid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200"/>
      <w:gridCol w:w="158"/>
      <w:gridCol w:w="8723"/>
      <w:gridCol w:w="841"/>
    </w:tblGrid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5800" cy="685800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List of possible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stale work items for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SG12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(over 18 months)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Cut-off date: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2018-03-28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4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 items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4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2"/>
                  </w:rPr>
                  <w:t xml:space="preserve">SG12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work items (WIs) which do not contain a reference text, or whose references were updated before the cut-off date, or for which the date of the last update is not recorded in the database.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NOTE -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Repeated rows for the same work item indicate that more than one reference is currently indicated as "active" in the work programme database.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253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9/19/2019 4:14:03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                                                    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</dc:title>
</cp:coreProperties>
</file>