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1B54" w:rsidRPr="00701B54" w14:paraId="2563E441" w14:textId="77777777" w:rsidTr="00F23C36">
        <w:trPr>
          <w:cantSplit/>
        </w:trPr>
        <w:tc>
          <w:tcPr>
            <w:tcW w:w="1191" w:type="dxa"/>
            <w:vMerge w:val="restart"/>
          </w:tcPr>
          <w:p w14:paraId="2D80C30A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FC71293" w14:textId="77777777" w:rsidR="00701B54" w:rsidRPr="00701B54" w:rsidRDefault="00701B54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701B54" w:rsidRPr="00701B54" w:rsidRDefault="00701B54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701B54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vAlign w:val="center"/>
          </w:tcPr>
          <w:p w14:paraId="2EB9B510" w14:textId="1DE99761" w:rsidR="00701B54" w:rsidRPr="002F7D92" w:rsidRDefault="005169CD" w:rsidP="005C040B">
            <w:pPr>
              <w:pStyle w:val="Docnumber"/>
              <w:rPr>
                <w:sz w:val="32"/>
                <w:szCs w:val="32"/>
              </w:rPr>
            </w:pPr>
            <w:r w:rsidRPr="002F7D92">
              <w:rPr>
                <w:sz w:val="32"/>
                <w:szCs w:val="32"/>
              </w:rPr>
              <w:t>T</w:t>
            </w:r>
            <w:r w:rsidR="002F7D92">
              <w:rPr>
                <w:sz w:val="32"/>
                <w:szCs w:val="32"/>
              </w:rPr>
              <w:t>SAG-T</w:t>
            </w:r>
            <w:r w:rsidRPr="002F7D92">
              <w:rPr>
                <w:sz w:val="32"/>
                <w:szCs w:val="32"/>
              </w:rPr>
              <w:t>D</w:t>
            </w:r>
            <w:r w:rsidR="005C040B">
              <w:rPr>
                <w:sz w:val="32"/>
                <w:szCs w:val="32"/>
              </w:rPr>
              <w:t>482</w:t>
            </w:r>
            <w:r w:rsidR="00701B54" w:rsidRPr="002F7D92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701B54" w:rsidRPr="00701B54" w14:paraId="237D2F31" w14:textId="77777777" w:rsidTr="00F23C36">
        <w:trPr>
          <w:cantSplit/>
        </w:trPr>
        <w:tc>
          <w:tcPr>
            <w:tcW w:w="1191" w:type="dxa"/>
            <w:vMerge/>
          </w:tcPr>
          <w:p w14:paraId="0438695C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32E9670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2D4DFA04" w14:textId="607166ED" w:rsidR="00701B54" w:rsidRPr="00701B54" w:rsidRDefault="00701B54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01B54" w:rsidRPr="00701B54" w14:paraId="28870E53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4883D13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7813BEAE" w14:textId="77777777" w:rsidR="00701B54" w:rsidRPr="00701B54" w:rsidRDefault="00701B54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1B54" w:rsidRPr="00701B54" w14:paraId="126981D5" w14:textId="77777777" w:rsidTr="00F23C36">
        <w:trPr>
          <w:cantSplit/>
        </w:trPr>
        <w:tc>
          <w:tcPr>
            <w:tcW w:w="1617" w:type="dxa"/>
            <w:gridSpan w:val="3"/>
          </w:tcPr>
          <w:p w14:paraId="603D5C65" w14:textId="77777777" w:rsidR="00701B54" w:rsidRPr="00701B54" w:rsidRDefault="00701B54" w:rsidP="00701B5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2D0E6B28" w14:textId="4876C5DD" w:rsidR="00701B54" w:rsidRPr="00701B54" w:rsidRDefault="00110502" w:rsidP="00701B54">
            <w:r>
              <w:t>N/A</w:t>
            </w:r>
          </w:p>
        </w:tc>
        <w:tc>
          <w:tcPr>
            <w:tcW w:w="4681" w:type="dxa"/>
          </w:tcPr>
          <w:p w14:paraId="1D31968E" w14:textId="3F422D65" w:rsidR="00701B54" w:rsidRPr="00701B54" w:rsidRDefault="00701B54" w:rsidP="001C3E2F">
            <w:pPr>
              <w:jc w:val="right"/>
            </w:pPr>
            <w:r w:rsidRPr="00701B54">
              <w:t xml:space="preserve">Geneva, </w:t>
            </w:r>
            <w:r w:rsidR="005C040B" w:rsidRPr="00CB7A0A">
              <w:t>23-27 September 2019</w:t>
            </w:r>
          </w:p>
        </w:tc>
      </w:tr>
      <w:tr w:rsidR="00701B54" w:rsidRPr="00701B54" w14:paraId="3223CFA5" w14:textId="77777777" w:rsidTr="00F23C36">
        <w:trPr>
          <w:cantSplit/>
        </w:trPr>
        <w:tc>
          <w:tcPr>
            <w:tcW w:w="9923" w:type="dxa"/>
            <w:gridSpan w:val="5"/>
          </w:tcPr>
          <w:p w14:paraId="74A67D5A" w14:textId="5E7E3F90" w:rsidR="00701B54" w:rsidRPr="00701B54" w:rsidRDefault="00701B54" w:rsidP="00701B54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701B54">
              <w:rPr>
                <w:b/>
                <w:bCs/>
              </w:rPr>
              <w:t>TD</w:t>
            </w:r>
          </w:p>
        </w:tc>
      </w:tr>
      <w:tr w:rsidR="00701B54" w:rsidRPr="00701B54" w14:paraId="2A1230A7" w14:textId="77777777" w:rsidTr="00F23C36">
        <w:trPr>
          <w:cantSplit/>
        </w:trPr>
        <w:tc>
          <w:tcPr>
            <w:tcW w:w="1617" w:type="dxa"/>
            <w:gridSpan w:val="3"/>
          </w:tcPr>
          <w:p w14:paraId="22E1C0CA" w14:textId="77777777" w:rsidR="00701B54" w:rsidRPr="00701B54" w:rsidRDefault="00701B54" w:rsidP="00701B54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49ADC2AD" w14:textId="7763FEC5" w:rsidR="00701B54" w:rsidRPr="00701B54" w:rsidRDefault="00701B54" w:rsidP="00701B54">
            <w:r w:rsidRPr="00701B54">
              <w:t>Chairman, ITU-T SG12</w:t>
            </w:r>
          </w:p>
        </w:tc>
      </w:tr>
      <w:tr w:rsidR="00701B54" w:rsidRPr="00701B54" w14:paraId="3A56F3A5" w14:textId="77777777" w:rsidTr="00F23C36">
        <w:trPr>
          <w:cantSplit/>
        </w:trPr>
        <w:tc>
          <w:tcPr>
            <w:tcW w:w="1617" w:type="dxa"/>
            <w:gridSpan w:val="3"/>
          </w:tcPr>
          <w:p w14:paraId="16E14D4A" w14:textId="77777777" w:rsidR="00701B54" w:rsidRPr="00701B54" w:rsidRDefault="00701B54" w:rsidP="00701B54">
            <w:bookmarkStart w:id="10" w:name="dtitle1" w:colFirst="1" w:colLast="1"/>
            <w:bookmarkEnd w:id="9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5C5EC275" w14:textId="485EE29C" w:rsidR="00701B54" w:rsidRPr="00701B54" w:rsidRDefault="00701B54" w:rsidP="005C040B">
            <w:r w:rsidRPr="00701B54">
              <w:t xml:space="preserve">Report on </w:t>
            </w:r>
            <w:r w:rsidR="00861E34">
              <w:t xml:space="preserve">ITU-T </w:t>
            </w:r>
            <w:r w:rsidRPr="00701B54">
              <w:t>SG12 lead activities (</w:t>
            </w:r>
            <w:r w:rsidR="005C040B">
              <w:t>10 December</w:t>
            </w:r>
            <w:r w:rsidR="00E6292E">
              <w:t xml:space="preserve"> 201</w:t>
            </w:r>
            <w:r w:rsidR="005C040B">
              <w:t>8</w:t>
            </w:r>
            <w:r w:rsidR="00E6292E">
              <w:t xml:space="preserve"> – </w:t>
            </w:r>
            <w:r w:rsidR="005C040B">
              <w:t>10 September 2019</w:t>
            </w:r>
            <w:r w:rsidRPr="00701B54">
              <w:t>)</w:t>
            </w:r>
          </w:p>
        </w:tc>
      </w:tr>
      <w:tr w:rsidR="00701B54" w:rsidRPr="00701B54" w14:paraId="1441B862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4CDE56C" w14:textId="77777777" w:rsidR="00701B54" w:rsidRPr="00701B54" w:rsidRDefault="00701B54" w:rsidP="00701B54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2"/>
            <w:tcBorders>
              <w:bottom w:val="single" w:sz="8" w:space="0" w:color="auto"/>
            </w:tcBorders>
          </w:tcPr>
          <w:p w14:paraId="59E729F6" w14:textId="51D84A50" w:rsidR="00701B54" w:rsidRPr="00701B54" w:rsidRDefault="005169CD" w:rsidP="00701B54">
            <w:r>
              <w:t>Information</w:t>
            </w:r>
          </w:p>
        </w:tc>
      </w:tr>
      <w:bookmarkEnd w:id="2"/>
      <w:bookmarkEnd w:id="11"/>
      <w:tr w:rsidR="002A11C4" w:rsidRPr="003336D1" w14:paraId="574D4B2C" w14:textId="77777777" w:rsidTr="00881C84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264DE374" w:rsidR="002A11C4" w:rsidRPr="00136DDD" w:rsidRDefault="00806D75" w:rsidP="008F027C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F027C" w:rsidRPr="008F027C">
                  <w:rPr>
                    <w:lang w:val="en-US"/>
                  </w:rPr>
                  <w:t xml:space="preserve">Kwame </w:t>
                </w:r>
                <w:proofErr w:type="spellStart"/>
                <w:r w:rsidR="008F027C" w:rsidRPr="008F027C">
                  <w:rPr>
                    <w:lang w:val="en-US"/>
                  </w:rPr>
                  <w:t>Baah-Acheamfuor</w:t>
                </w:r>
                <w:proofErr w:type="spellEnd"/>
                <w:r w:rsidR="008F027C" w:rsidRPr="008F027C">
                  <w:rPr>
                    <w:lang w:val="en-US"/>
                  </w:rPr>
                  <w:br/>
                  <w:t>Na</w:t>
                </w:r>
                <w:r w:rsidR="008F027C">
                  <w:rPr>
                    <w:lang w:val="en-US"/>
                  </w:rPr>
                  <w:t>tional Communications Authority</w:t>
                </w:r>
                <w:r w:rsidR="008F027C" w:rsidRPr="008F027C">
                  <w:rPr>
                    <w:lang w:val="en-US"/>
                  </w:rPr>
                  <w:t xml:space="preserve"> </w:t>
                </w:r>
                <w:r w:rsidR="008F027C" w:rsidRPr="008F027C">
                  <w:rPr>
                    <w:lang w:val="en-US"/>
                  </w:rPr>
                  <w:br/>
                </w:r>
                <w:r w:rsidR="008F027C">
                  <w:rPr>
                    <w:lang w:val="en-US"/>
                  </w:rPr>
                  <w:t>Ghana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67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554959E" w:rsidR="002A11C4" w:rsidRPr="00FF1151" w:rsidRDefault="002A11C4" w:rsidP="00881C84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8F027C" w:rsidRPr="008F027C">
                  <w:rPr>
                    <w:lang w:val="pt-BR"/>
                  </w:rPr>
                  <w:t>+233 24 6375700</w:t>
                </w:r>
                <w:r w:rsidR="008F027C">
                  <w:rPr>
                    <w:lang w:val="pt-BR"/>
                  </w:rPr>
                  <w:br/>
                </w:r>
                <w:r w:rsidRPr="00FF1151">
                  <w:rPr>
                    <w:lang w:val="pt-BR"/>
                  </w:rPr>
                  <w:t xml:space="preserve">E-mail: </w:t>
                </w:r>
                <w:hyperlink r:id="rId11" w:history="1">
                  <w:r w:rsidR="008F027C" w:rsidRPr="00E20068">
                    <w:rPr>
                      <w:rStyle w:val="Hyperlink"/>
                      <w:rFonts w:ascii="Times New Roman" w:hAnsi="Times New Roman"/>
                      <w:lang w:val="pt-BR"/>
                    </w:rPr>
                    <w:t>kwame.baah-acheamfuor@nca.org.gh</w:t>
                  </w:r>
                </w:hyperlink>
                <w:r w:rsidR="008F027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165EE98D" w:rsidR="0089088E" w:rsidRPr="00136DDD" w:rsidRDefault="00806D75" w:rsidP="008E2B26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spellStart"/>
                <w:r w:rsidR="00EA2C4C">
                  <w:rPr>
                    <w:lang w:val="en-US"/>
                  </w:rPr>
                  <w:t>QoS</w:t>
                </w:r>
                <w:proofErr w:type="spellEnd"/>
                <w:r w:rsidR="00EA2C4C">
                  <w:rPr>
                    <w:lang w:val="en-US"/>
                  </w:rPr>
                  <w:t xml:space="preserve">; </w:t>
                </w:r>
                <w:proofErr w:type="spellStart"/>
                <w:r w:rsidR="00EA2C4C">
                  <w:rPr>
                    <w:lang w:val="en-US"/>
                  </w:rPr>
                  <w:t>QoE</w:t>
                </w:r>
                <w:proofErr w:type="spellEnd"/>
                <w:r w:rsidR="00EA2C4C">
                  <w:rPr>
                    <w:lang w:val="en-US"/>
                  </w:rPr>
                  <w:t>; driver distraction; car communications; video quality;</w:t>
                </w:r>
                <w:r w:rsidR="001C3E2F">
                  <w:rPr>
                    <w:lang w:val="en-US"/>
                  </w:rPr>
                  <w:t xml:space="preserve"> </w:t>
                </w:r>
                <w:r w:rsidR="008E2B26">
                  <w:rPr>
                    <w:lang w:val="en-US"/>
                  </w:rPr>
                  <w:t>SG12</w:t>
                </w:r>
                <w:r w:rsidR="00861E34"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5571A4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0D3CA533" w:rsidR="0089088E" w:rsidRPr="00136DDD" w:rsidRDefault="007C6288" w:rsidP="005D3265">
                <w:r w:rsidRPr="007C6288">
                  <w:t>In line with WTSA-16 Resolution 1, this report provides updates about the S</w:t>
                </w:r>
                <w:r w:rsidR="005D3265">
                  <w:t>G12 lead study group activities</w:t>
                </w:r>
                <w:r w:rsidRPr="007C6288">
                  <w:t>.</w:t>
                </w:r>
              </w:p>
            </w:tc>
          </w:sdtContent>
        </w:sdt>
      </w:tr>
    </w:tbl>
    <w:p w14:paraId="00577B56" w14:textId="77777777" w:rsidR="007F671C" w:rsidRDefault="007F671C" w:rsidP="00701B54">
      <w:pPr>
        <w:pStyle w:val="Heading2"/>
      </w:pPr>
      <w:r>
        <w:t>Lead study group on quality of service and quality of experience</w:t>
      </w:r>
    </w:p>
    <w:p w14:paraId="55E785BF" w14:textId="5DDFD84D" w:rsidR="00E6292E" w:rsidRDefault="00E6292E" w:rsidP="001C3E2F">
      <w:r>
        <w:t xml:space="preserve">In the reporting </w:t>
      </w:r>
      <w:r w:rsidR="0028342B">
        <w:t>period</w:t>
      </w:r>
      <w:r>
        <w:t xml:space="preserve">, SG12 held </w:t>
      </w:r>
      <w:r w:rsidR="005C040B">
        <w:t>one</w:t>
      </w:r>
      <w:r>
        <w:t xml:space="preserve"> study group meeting; </w:t>
      </w:r>
      <w:r w:rsidR="005C040B">
        <w:t xml:space="preserve">one meeting of its Working Party 3 on </w:t>
      </w:r>
      <w:r w:rsidR="005C040B" w:rsidRPr="005C040B">
        <w:t xml:space="preserve">Multimedia </w:t>
      </w:r>
      <w:proofErr w:type="spellStart"/>
      <w:r w:rsidR="005C040B" w:rsidRPr="005C040B">
        <w:t>QoS</w:t>
      </w:r>
      <w:proofErr w:type="spellEnd"/>
      <w:r w:rsidR="005C040B" w:rsidRPr="005C040B">
        <w:t xml:space="preserve"> and </w:t>
      </w:r>
      <w:proofErr w:type="spellStart"/>
      <w:r w:rsidR="005C040B" w:rsidRPr="005C040B">
        <w:t>QoE</w:t>
      </w:r>
      <w:proofErr w:type="spellEnd"/>
      <w:r w:rsidR="005C040B">
        <w:t xml:space="preserve">; </w:t>
      </w:r>
      <w:r>
        <w:t xml:space="preserve">one meeting of its Regional Group </w:t>
      </w:r>
      <w:r w:rsidRPr="00E6292E">
        <w:t xml:space="preserve">on </w:t>
      </w:r>
      <w:proofErr w:type="spellStart"/>
      <w:r w:rsidRPr="00E6292E">
        <w:t>QoS</w:t>
      </w:r>
      <w:proofErr w:type="spellEnd"/>
      <w:r w:rsidRPr="00E6292E">
        <w:t xml:space="preserve"> for the Africa Region </w:t>
      </w:r>
      <w:r>
        <w:t xml:space="preserve">(SG12RG-AFR); one meeting of the Quality of Service Development Group (QSDG); and organized </w:t>
      </w:r>
      <w:r w:rsidR="004130AC">
        <w:t>two</w:t>
      </w:r>
      <w:r>
        <w:t xml:space="preserve"> workshops. </w:t>
      </w:r>
    </w:p>
    <w:p w14:paraId="1DFEF47B" w14:textId="4F761D7A" w:rsidR="0028342B" w:rsidRDefault="0028342B" w:rsidP="001C3E2F">
      <w:r>
        <w:t xml:space="preserve">Since the last meeting of TSAG, </w:t>
      </w:r>
      <w:r w:rsidR="001C3E2F">
        <w:t>new</w:t>
      </w:r>
      <w:r>
        <w:t xml:space="preserve"> organizations have enrolled in ITU-T SG12 as new Associates, a positive trend that can be attributed to proactive outreach, </w:t>
      </w:r>
      <w:r w:rsidR="001C3E2F">
        <w:t xml:space="preserve">technically sound </w:t>
      </w:r>
      <w:r>
        <w:t xml:space="preserve">outputs, and constructive and cordial working environment. </w:t>
      </w:r>
    </w:p>
    <w:p w14:paraId="2D83D42A" w14:textId="10F599F5" w:rsidR="00110502" w:rsidRDefault="0028342B" w:rsidP="001C3E2F">
      <w:r>
        <w:t xml:space="preserve">The executive summary of the </w:t>
      </w:r>
      <w:r w:rsidR="005C040B">
        <w:t>May 2019</w:t>
      </w:r>
      <w:r>
        <w:t xml:space="preserve"> meeting can be found at </w:t>
      </w:r>
      <w:hyperlink r:id="rId12" w:history="1">
        <w:r w:rsidR="005C040B">
          <w:rPr>
            <w:rStyle w:val="Hyperlink"/>
          </w:rPr>
          <w:t>https://www.itu.int/en/ITU-T/studygroups/2017-2020/12/Pages/1905-summary.aspx</w:t>
        </w:r>
      </w:hyperlink>
      <w:r>
        <w:t xml:space="preserve">. </w:t>
      </w:r>
      <w:r w:rsidR="005C040B" w:rsidRPr="005C040B">
        <w:t xml:space="preserve">A webinar </w:t>
      </w:r>
      <w:r w:rsidR="005C040B">
        <w:t>(</w:t>
      </w:r>
      <w:hyperlink r:id="rId13" w:history="1">
        <w:r w:rsidR="005C040B" w:rsidRPr="005C040B">
          <w:rPr>
            <w:rStyle w:val="Hyperlink"/>
            <w:rFonts w:ascii="Times New Roman" w:hAnsi="Times New Roman"/>
          </w:rPr>
          <w:t>announcement</w:t>
        </w:r>
      </w:hyperlink>
      <w:r w:rsidR="005C040B">
        <w:t xml:space="preserve"> </w:t>
      </w:r>
      <w:r w:rsidR="005C040B" w:rsidRPr="005C040B">
        <w:t>|</w:t>
      </w:r>
      <w:r w:rsidR="005C040B">
        <w:t xml:space="preserve"> </w:t>
      </w:r>
      <w:hyperlink r:id="rId14" w:history="1">
        <w:r w:rsidR="005C040B" w:rsidRPr="005C040B">
          <w:rPr>
            <w:rStyle w:val="Hyperlink"/>
            <w:rFonts w:ascii="Times New Roman" w:hAnsi="Times New Roman"/>
          </w:rPr>
          <w:t>recording</w:t>
        </w:r>
      </w:hyperlink>
      <w:r w:rsidR="005C040B">
        <w:t xml:space="preserve"> </w:t>
      </w:r>
      <w:r w:rsidR="005C040B" w:rsidRPr="005C040B">
        <w:t>|</w:t>
      </w:r>
      <w:r w:rsidR="005C040B">
        <w:t xml:space="preserve"> </w:t>
      </w:r>
      <w:hyperlink r:id="rId15" w:history="1">
        <w:r w:rsidR="005C040B" w:rsidRPr="005C040B">
          <w:rPr>
            <w:rStyle w:val="Hyperlink"/>
            <w:rFonts w:ascii="Times New Roman" w:hAnsi="Times New Roman"/>
          </w:rPr>
          <w:t>slides</w:t>
        </w:r>
      </w:hyperlink>
      <w:r w:rsidR="005C040B" w:rsidRPr="005C040B">
        <w:t>) was held on 16 May 2019</w:t>
      </w:r>
      <w:proofErr w:type="gramStart"/>
      <w:r w:rsidR="005C040B" w:rsidRPr="005C040B">
        <w:t>​ following</w:t>
      </w:r>
      <w:proofErr w:type="gramEnd"/>
      <w:r w:rsidR="005C040B" w:rsidRPr="005C040B">
        <w:t xml:space="preserve"> the closing plenary, summarizing key meeting results.​</w:t>
      </w:r>
    </w:p>
    <w:p w14:paraId="2C846F21" w14:textId="7EB2D3FE" w:rsidR="00A44928" w:rsidRDefault="0028342B" w:rsidP="001C3E2F">
      <w:r>
        <w:t>Among other achievements</w:t>
      </w:r>
      <w:r w:rsidR="001C3E2F">
        <w:t xml:space="preserve"> in the reporting period</w:t>
      </w:r>
      <w:r>
        <w:t xml:space="preserve">, </w:t>
      </w:r>
      <w:r w:rsidR="00A44928">
        <w:t xml:space="preserve">the membership approved new and revised Recommendations developed by </w:t>
      </w:r>
      <w:r w:rsidR="00E6292E">
        <w:t>SG12</w:t>
      </w:r>
      <w:r w:rsidR="00A44928">
        <w:t>, including Recommendations ITU-T</w:t>
      </w:r>
    </w:p>
    <w:p w14:paraId="1BBAA35E" w14:textId="3AB92B10" w:rsidR="00A44928" w:rsidRDefault="00A44928" w:rsidP="00A44928">
      <w:pPr>
        <w:pStyle w:val="enumlev1"/>
      </w:pPr>
      <w:r>
        <w:t>–</w:t>
      </w:r>
      <w:r>
        <w:tab/>
        <w:t xml:space="preserve">E.806: </w:t>
      </w:r>
      <w:r w:rsidRPr="00A44928">
        <w:t xml:space="preserve">Measurement campaigns, monitoring systems and sampling methodologies to monitor the </w:t>
      </w:r>
      <w:proofErr w:type="spellStart"/>
      <w:r w:rsidRPr="00A44928">
        <w:t>QoS</w:t>
      </w:r>
      <w:proofErr w:type="spellEnd"/>
      <w:r w:rsidRPr="00A44928">
        <w:t xml:space="preserve"> in mobile networks</w:t>
      </w:r>
      <w:r>
        <w:t>;</w:t>
      </w:r>
    </w:p>
    <w:p w14:paraId="6CB5CF83" w14:textId="129330F4" w:rsidR="00A44928" w:rsidRDefault="00A44928" w:rsidP="00A44928">
      <w:pPr>
        <w:pStyle w:val="enumlev1"/>
      </w:pPr>
      <w:r>
        <w:t>–</w:t>
      </w:r>
      <w:r>
        <w:tab/>
        <w:t xml:space="preserve">G.107.1: </w:t>
      </w:r>
      <w:r w:rsidRPr="00A44928">
        <w:t>Wideband E-model</w:t>
      </w:r>
      <w:r w:rsidR="007409F4">
        <w:t>;</w:t>
      </w:r>
    </w:p>
    <w:p w14:paraId="031B6956" w14:textId="50CFDCA7" w:rsidR="00A44928" w:rsidRDefault="00A44928" w:rsidP="00A44928">
      <w:pPr>
        <w:pStyle w:val="enumlev1"/>
      </w:pPr>
      <w:r>
        <w:t>–</w:t>
      </w:r>
      <w:r>
        <w:tab/>
      </w:r>
      <w:r w:rsidRPr="00A44928">
        <w:t>G.107.2</w:t>
      </w:r>
      <w:r>
        <w:t xml:space="preserve">: </w:t>
      </w:r>
      <w:proofErr w:type="spellStart"/>
      <w:r>
        <w:t>Fullband</w:t>
      </w:r>
      <w:proofErr w:type="spellEnd"/>
      <w:r>
        <w:t xml:space="preserve"> E-model</w:t>
      </w:r>
      <w:r w:rsidR="007409F4">
        <w:t>;</w:t>
      </w:r>
    </w:p>
    <w:p w14:paraId="4A736ECC" w14:textId="51ABA334" w:rsidR="00A44928" w:rsidRDefault="00A44928" w:rsidP="00A44928">
      <w:pPr>
        <w:pStyle w:val="enumlev1"/>
      </w:pPr>
      <w:r>
        <w:t>–</w:t>
      </w:r>
      <w:r>
        <w:tab/>
        <w:t xml:space="preserve">G.1028: </w:t>
      </w:r>
      <w:r w:rsidRPr="00A44928">
        <w:t>End-to-end quality of service fo</w:t>
      </w:r>
      <w:r>
        <w:t>r voice over 4G mobile networks</w:t>
      </w:r>
      <w:r w:rsidR="007409F4">
        <w:t>;</w:t>
      </w:r>
    </w:p>
    <w:p w14:paraId="245FE4CC" w14:textId="40A0EB2A" w:rsidR="00A44928" w:rsidRDefault="00A44928" w:rsidP="00A44928">
      <w:pPr>
        <w:pStyle w:val="enumlev1"/>
      </w:pPr>
      <w:r>
        <w:t>–</w:t>
      </w:r>
      <w:r>
        <w:tab/>
        <w:t xml:space="preserve">G.1028.2: </w:t>
      </w:r>
      <w:r w:rsidRPr="00A44928">
        <w:t xml:space="preserve">Assessment of the LTE circuit switched fall back - impact on voice </w:t>
      </w:r>
      <w:proofErr w:type="spellStart"/>
      <w:r w:rsidRPr="00A44928">
        <w:t>QoS</w:t>
      </w:r>
      <w:proofErr w:type="spellEnd"/>
      <w:r w:rsidR="007409F4">
        <w:t>;</w:t>
      </w:r>
    </w:p>
    <w:p w14:paraId="3ED98FFC" w14:textId="31684554" w:rsidR="00A44928" w:rsidRDefault="00A44928" w:rsidP="00A44928">
      <w:pPr>
        <w:pStyle w:val="enumlev1"/>
      </w:pPr>
      <w:r>
        <w:t>–</w:t>
      </w:r>
      <w:r>
        <w:tab/>
        <w:t xml:space="preserve">P.64: </w:t>
      </w:r>
      <w:r w:rsidRPr="00A44928">
        <w:t>Determination of sensitivity/frequency characteristics of local telephone systems</w:t>
      </w:r>
      <w:r w:rsidR="007409F4">
        <w:t>;</w:t>
      </w:r>
    </w:p>
    <w:p w14:paraId="6B6403C3" w14:textId="6059BBBF" w:rsidR="00A44928" w:rsidRDefault="00A44928" w:rsidP="00A44928">
      <w:pPr>
        <w:pStyle w:val="enumlev1"/>
      </w:pPr>
      <w:r>
        <w:t>–</w:t>
      </w:r>
      <w:r>
        <w:tab/>
        <w:t xml:space="preserve">P.700: </w:t>
      </w:r>
      <w:r w:rsidRPr="00A44928">
        <w:t>Calculation of loudness for speech communication</w:t>
      </w:r>
      <w:r w:rsidR="007409F4">
        <w:t>; and</w:t>
      </w:r>
    </w:p>
    <w:p w14:paraId="07F85F68" w14:textId="1C160429" w:rsidR="00A44928" w:rsidRPr="007409F4" w:rsidRDefault="007409F4" w:rsidP="007409F4">
      <w:pPr>
        <w:pStyle w:val="enumlev1"/>
      </w:pPr>
      <w:r>
        <w:t>–</w:t>
      </w:r>
      <w:r>
        <w:tab/>
      </w:r>
      <w:r w:rsidR="00A44928" w:rsidRPr="007409F4">
        <w:t>P.863.1: Application guide for Recommendation ITU-T P.863</w:t>
      </w:r>
      <w:r>
        <w:t>.</w:t>
      </w:r>
    </w:p>
    <w:p w14:paraId="092F8950" w14:textId="75930B07" w:rsidR="007409F4" w:rsidRDefault="007409F4" w:rsidP="00A44928">
      <w:r>
        <w:t>Recommendation ITU-T E.806 and draft new Recommendation ITU-T E.805 on s</w:t>
      </w:r>
      <w:r w:rsidRPr="007409F4">
        <w:t>trategies to establish quality regulatory frameworks</w:t>
      </w:r>
      <w:r>
        <w:t xml:space="preserve"> (currently in TAP consultation), in particular, are </w:t>
      </w:r>
      <w:r>
        <w:lastRenderedPageBreak/>
        <w:t xml:space="preserve">addressing WTSA Resolution 95, </w:t>
      </w:r>
      <w:r w:rsidRPr="007409F4">
        <w:t>ITU Telecommunication Standardization Sector initiatives to raise awareness on best practices and policies related to service quality</w:t>
      </w:r>
      <w:r>
        <w:t>. Several other related work items are nearing completion.</w:t>
      </w:r>
    </w:p>
    <w:p w14:paraId="6512F895" w14:textId="77777777" w:rsidR="007409F4" w:rsidRDefault="007409F4" w:rsidP="007409F4">
      <w:r w:rsidRPr="007409F4">
        <w:t xml:space="preserve">Following over 20 years as an in-force Recommendation, the 2019 Edition </w:t>
      </w:r>
      <w:r>
        <w:t>of Recommendation ITU-T Y.1540 Internet protocol data communication service – IP packet transfer and availability performance parameters, currently undergoing Additional Review,</w:t>
      </w:r>
      <w:r w:rsidRPr="007409F4">
        <w:t xml:space="preserve"> recognizes many changes in the design of IP services and in the protocols employed by end-users. </w:t>
      </w:r>
    </w:p>
    <w:p w14:paraId="58619F58" w14:textId="77777777" w:rsidR="007409F4" w:rsidRDefault="007409F4" w:rsidP="007409F4">
      <w:r w:rsidRPr="007409F4">
        <w:t xml:space="preserve">It introduces the new Annex A that defines IP-layer Capacity parameters in ways that cater toward assessment, and provides requirements for methods of measurement of IP-layer Capacity. </w:t>
      </w:r>
    </w:p>
    <w:p w14:paraId="02D5CB47" w14:textId="77777777" w:rsidR="007409F4" w:rsidRDefault="007409F4" w:rsidP="007409F4">
      <w:r w:rsidRPr="007409F4">
        <w:t xml:space="preserve">This new Annex is the result of years of study, and application of ITU-T Study Group 12 principles of accurately evaluating performance parameters and methods of measurement against a “ground truth” reference in laboratory and field measurements. </w:t>
      </w:r>
    </w:p>
    <w:p w14:paraId="10C487E9" w14:textId="3EE8C4E1" w:rsidR="007409F4" w:rsidRDefault="007409F4" w:rsidP="007409F4">
      <w:r w:rsidRPr="007409F4">
        <w:t>Flow-related Throughput Parameters and Methods of Measurement (Reliable delivery transport), remain for further study, and the text makes a clear distinction between this IP-layer Capacity parameters. In the same way, parameters describing performance of a specific reliable transport layer protocol (TCP) remain for further study, and recognize that reliable transport protocols for the Internet are constantly changing and the subject of on-going research.</w:t>
      </w:r>
    </w:p>
    <w:p w14:paraId="23959F67" w14:textId="77777777" w:rsidR="003336D1" w:rsidRDefault="00014DAF" w:rsidP="00A44928">
      <w:r>
        <w:t xml:space="preserve">SG12 completed the work at a time in which </w:t>
      </w:r>
      <w:r w:rsidRPr="00014DAF">
        <w:t xml:space="preserve">TCP transport </w:t>
      </w:r>
      <w:r>
        <w:t xml:space="preserve">is rapidly being replaced by </w:t>
      </w:r>
      <w:r w:rsidRPr="00014DAF">
        <w:t xml:space="preserve">UDP transport, payloads with open and encrypted portions, and application-layer retransmission and congestion-control. </w:t>
      </w:r>
    </w:p>
    <w:p w14:paraId="1EA8E43B" w14:textId="3A65578D" w:rsidR="00F441E1" w:rsidRPr="003336D1" w:rsidRDefault="00014DAF" w:rsidP="00373BEA">
      <w:r w:rsidRPr="00014DAF">
        <w:t>The use of Google QUIC and impending approval of IETF QUIC will rapidly change the transport landscape of the Internet, and consumers using popular browsers are/will be among the earliest adopters</w:t>
      </w:r>
      <w:r>
        <w:t>, a trend acknowledged by the recent CTO Meeting and Study Group Leadership Assembly</w:t>
      </w:r>
      <w:r w:rsidRPr="00014DAF">
        <w:t>.</w:t>
      </w:r>
    </w:p>
    <w:p w14:paraId="05D06C7A" w14:textId="77777777" w:rsidR="00214C7E" w:rsidRDefault="006D4F08" w:rsidP="00373BEA">
      <w:r>
        <w:t>The updated text is coordinated and aligned with related relevant work in ETSI, BBF, IETF, among others. The work was discussed in depth in the workshops</w:t>
      </w:r>
      <w:r w:rsidR="008137D8">
        <w:t xml:space="preserve"> </w:t>
      </w:r>
      <w:r>
        <w:t xml:space="preserve">on performance, </w:t>
      </w:r>
      <w:proofErr w:type="spellStart"/>
      <w:r>
        <w:t>QoS</w:t>
      </w:r>
      <w:proofErr w:type="spellEnd"/>
      <w:r>
        <w:t xml:space="preserve"> and </w:t>
      </w:r>
      <w:proofErr w:type="spellStart"/>
      <w:r>
        <w:t>QoE</w:t>
      </w:r>
      <w:proofErr w:type="spellEnd"/>
      <w:r>
        <w:t xml:space="preserve"> convened in the reporting </w:t>
      </w:r>
      <w:r w:rsidR="008137D8">
        <w:t xml:space="preserve">timeframe in Kigali and Singapore. The events convened </w:t>
      </w:r>
      <w:r>
        <w:t xml:space="preserve">leading vendors and service providers measuring internet performance and network diagnostics. </w:t>
      </w:r>
    </w:p>
    <w:p w14:paraId="05C0533C" w14:textId="3DD5C7C7" w:rsidR="006D4F08" w:rsidRPr="006D4F08" w:rsidRDefault="008137D8" w:rsidP="00373BEA">
      <w:r>
        <w:t xml:space="preserve">The updated Recommendation </w:t>
      </w:r>
      <w:r w:rsidR="006D4F08">
        <w:t xml:space="preserve">is </w:t>
      </w:r>
      <w:r w:rsidR="00214C7E">
        <w:t xml:space="preserve">also </w:t>
      </w:r>
      <w:r w:rsidR="006D4F08">
        <w:t xml:space="preserve">anticipated by the regulatory community as a </w:t>
      </w:r>
      <w:r w:rsidR="002929FB">
        <w:t xml:space="preserve">means </w:t>
      </w:r>
      <w:r w:rsidR="006D4F08">
        <w:t xml:space="preserve">to </w:t>
      </w:r>
      <w:r w:rsidR="006D4F08" w:rsidRPr="007409F4">
        <w:t xml:space="preserve">accurately evaluating performance parameters and </w:t>
      </w:r>
      <w:r w:rsidR="006D4F08">
        <w:t xml:space="preserve">measuring IP-layer capacity, as opposed to </w:t>
      </w:r>
      <w:r w:rsidR="002929FB">
        <w:t xml:space="preserve">relying on methods </w:t>
      </w:r>
      <w:r w:rsidR="00214C7E">
        <w:t xml:space="preserve">prone to </w:t>
      </w:r>
      <w:r w:rsidR="002929FB">
        <w:t>significant measurement errors discussed elsewhere</w:t>
      </w:r>
      <w:r w:rsidR="006D4F08">
        <w:t>.</w:t>
      </w:r>
    </w:p>
    <w:p w14:paraId="370ED2D7" w14:textId="0FC7F9A1" w:rsidR="005D3265" w:rsidRPr="00F441E1" w:rsidRDefault="00373BEA" w:rsidP="00373BEA">
      <w:pPr>
        <w:rPr>
          <w:lang w:val="en-US"/>
        </w:rPr>
      </w:pPr>
      <w:r>
        <w:rPr>
          <w:lang w:val="en-US"/>
        </w:rPr>
        <w:t>Achievements related to video communications and applications will be discussed below.</w:t>
      </w:r>
    </w:p>
    <w:p w14:paraId="372351C8" w14:textId="77777777" w:rsidR="007F671C" w:rsidRDefault="007F671C" w:rsidP="00701B54">
      <w:pPr>
        <w:pStyle w:val="Heading2"/>
      </w:pPr>
      <w:r>
        <w:t>Lead study group on driver distraction and voice aspects of car communications</w:t>
      </w:r>
    </w:p>
    <w:p w14:paraId="3689E716" w14:textId="77777777" w:rsidR="008137D8" w:rsidRDefault="00012A0A" w:rsidP="008137D8">
      <w:r>
        <w:t>Q4/12 on o</w:t>
      </w:r>
      <w:r w:rsidRPr="00012A0A">
        <w:t xml:space="preserve">bjective methods for speech and audio evaluation in vehicles </w:t>
      </w:r>
      <w:r>
        <w:t xml:space="preserve">held </w:t>
      </w:r>
      <w:r w:rsidR="00373BEA">
        <w:t>one</w:t>
      </w:r>
      <w:r>
        <w:t xml:space="preserve"> rapporteur group meeting in the reporting period. </w:t>
      </w:r>
      <w:r w:rsidR="008137D8">
        <w:t>The current focus of the work is on</w:t>
      </w:r>
      <w:r w:rsidR="00AB782D">
        <w:t xml:space="preserve"> t</w:t>
      </w:r>
      <w:r w:rsidR="00AB782D" w:rsidRPr="00AB782D">
        <w:t>ransmission characteristics for in car communication (P.ICC)</w:t>
      </w:r>
      <w:r w:rsidR="008137D8">
        <w:t>.</w:t>
      </w:r>
      <w:r w:rsidR="00373BEA">
        <w:t xml:space="preserve"> </w:t>
      </w:r>
    </w:p>
    <w:p w14:paraId="191505A3" w14:textId="30175CE0" w:rsidR="00373BEA" w:rsidRDefault="008137D8" w:rsidP="008137D8">
      <w:r>
        <w:t>While c</w:t>
      </w:r>
      <w:r w:rsidR="00373BEA">
        <w:t>ompletion is targeted for 2019</w:t>
      </w:r>
      <w:r>
        <w:t>, the work continues to witness great interest from the automotive industry</w:t>
      </w:r>
      <w:r w:rsidR="00AB782D">
        <w:t>.</w:t>
      </w:r>
      <w:r w:rsidR="00373BEA">
        <w:t xml:space="preserve"> </w:t>
      </w:r>
    </w:p>
    <w:p w14:paraId="519A1469" w14:textId="2C258C74" w:rsidR="005D3265" w:rsidRPr="006D4F08" w:rsidRDefault="00373BEA" w:rsidP="00373BEA">
      <w:r>
        <w:t xml:space="preserve">SG12 is liaising with the newly established Focus Group on </w:t>
      </w:r>
      <w:r w:rsidRPr="00373BEA">
        <w:t>Vehicular Multimedia</w:t>
      </w:r>
      <w:r>
        <w:t>.</w:t>
      </w:r>
    </w:p>
    <w:p w14:paraId="6F02D08A" w14:textId="610540B2" w:rsidR="007F671C" w:rsidRDefault="007F671C" w:rsidP="00701B54">
      <w:pPr>
        <w:pStyle w:val="Heading2"/>
      </w:pPr>
      <w:r>
        <w:t>Lead study group on quality assessment of video communications and applications</w:t>
      </w:r>
    </w:p>
    <w:p w14:paraId="63C7263E" w14:textId="02D76A8A" w:rsidR="00E61956" w:rsidRPr="005D3265" w:rsidRDefault="00E61956" w:rsidP="005D3265">
      <w:r>
        <w:t>A table covering important elements of the work on this topic is made available in Annex.</w:t>
      </w:r>
      <w:r>
        <w:rPr>
          <w:rFonts w:eastAsia="SimSun"/>
          <w:b/>
          <w:i/>
          <w:iCs/>
          <w:lang w:val="en-US" w:eastAsia="zh-CN"/>
        </w:rPr>
        <w:br w:type="page"/>
      </w:r>
    </w:p>
    <w:p w14:paraId="4A5621FE" w14:textId="36BAB5D8" w:rsidR="00E61956" w:rsidRPr="000B575C" w:rsidRDefault="00E61956" w:rsidP="00E61956">
      <w:pPr>
        <w:pStyle w:val="Caption"/>
        <w:jc w:val="center"/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  <w:lastRenderedPageBreak/>
        <w:t>Annex: Recommendations and Work Items</w:t>
      </w:r>
      <w:r>
        <w:rPr>
          <w:rFonts w:eastAsia="SimSun" w:hint="eastAsia"/>
          <w:b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 w:rsidR="002929FB" w:rsidRPr="002929FB"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  <w:t>quality assessment of video communications and applications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08"/>
        <w:gridCol w:w="1882"/>
        <w:gridCol w:w="2559"/>
        <w:gridCol w:w="3680"/>
      </w:tblGrid>
      <w:tr w:rsidR="00E61956" w:rsidRPr="003C3660" w14:paraId="01C64768" w14:textId="77777777" w:rsidTr="007B23ED">
        <w:trPr>
          <w:trHeight w:val="600"/>
          <w:tblHeader/>
        </w:trPr>
        <w:tc>
          <w:tcPr>
            <w:tcW w:w="1508" w:type="dxa"/>
          </w:tcPr>
          <w:p w14:paraId="6562F1AD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1FDE62F9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Recommendation </w:t>
            </w:r>
          </w:p>
        </w:tc>
        <w:tc>
          <w:tcPr>
            <w:tcW w:w="2559" w:type="dxa"/>
            <w:noWrap/>
            <w:hideMark/>
          </w:tcPr>
          <w:p w14:paraId="3187BE3A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T</w:t>
            </w:r>
            <w:r w:rsidRPr="003C3660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  <w:t>itle</w:t>
            </w:r>
          </w:p>
        </w:tc>
        <w:tc>
          <w:tcPr>
            <w:tcW w:w="3680" w:type="dxa"/>
          </w:tcPr>
          <w:p w14:paraId="3F9993C2" w14:textId="77777777" w:rsidR="00E61956" w:rsidRPr="003C3660" w:rsidRDefault="00E61956" w:rsidP="007B23ED">
            <w:pPr>
              <w:spacing w:before="0"/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MS Mincho" w:hint="eastAsia"/>
                <w:b/>
                <w:bCs/>
                <w:color w:val="000000"/>
                <w:sz w:val="22"/>
                <w:szCs w:val="22"/>
                <w:lang w:val="en-US"/>
              </w:rPr>
              <w:t>Summary</w:t>
            </w:r>
          </w:p>
        </w:tc>
      </w:tr>
      <w:tr w:rsidR="00E61956" w:rsidRPr="003C3660" w14:paraId="2896A14D" w14:textId="77777777" w:rsidTr="007B23ED">
        <w:trPr>
          <w:trHeight w:val="575"/>
        </w:trPr>
        <w:tc>
          <w:tcPr>
            <w:tcW w:w="1508" w:type="dxa"/>
            <w:vMerge w:val="restart"/>
          </w:tcPr>
          <w:p w14:paraId="2EAE10A9" w14:textId="552BA6E3" w:rsidR="00E61956" w:rsidRPr="003C3660" w:rsidRDefault="00E61956" w:rsidP="002929FB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 xml:space="preserve">Factors or </w:t>
            </w:r>
            <w:r w:rsid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m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easurement parameters</w:t>
            </w:r>
          </w:p>
        </w:tc>
        <w:tc>
          <w:tcPr>
            <w:tcW w:w="1882" w:type="dxa"/>
            <w:noWrap/>
            <w:hideMark/>
          </w:tcPr>
          <w:p w14:paraId="66C1FFDB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G.1010</w:t>
            </w:r>
          </w:p>
        </w:tc>
        <w:tc>
          <w:tcPr>
            <w:tcW w:w="2559" w:type="dxa"/>
            <w:hideMark/>
          </w:tcPr>
          <w:p w14:paraId="3B816AF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End-user multimedia </w:t>
            </w: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QoS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categories</w:t>
            </w:r>
          </w:p>
        </w:tc>
        <w:tc>
          <w:tcPr>
            <w:tcW w:w="3680" w:type="dxa"/>
          </w:tcPr>
          <w:p w14:paraId="6EF09F73" w14:textId="77777777" w:rsidR="00E61956" w:rsidRPr="003C3660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This Recommendation defines a model for multimedia </w:t>
            </w:r>
            <w:proofErr w:type="spell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QoS</w:t>
            </w:r>
            <w:proofErr w:type="spell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categories from an</w:t>
            </w:r>
          </w:p>
          <w:p w14:paraId="2022014E" w14:textId="77777777" w:rsidR="00E61956" w:rsidRPr="003C3660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proofErr w:type="gram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end-user</w:t>
            </w:r>
            <w:proofErr w:type="gram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viewpoint. By considering user expectations for a range of multimedia applications, eight</w:t>
            </w:r>
          </w:p>
          <w:p w14:paraId="5398D0FF" w14:textId="77777777" w:rsidR="00E61956" w:rsidRPr="003C3660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gram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distinct</w:t>
            </w:r>
            <w:proofErr w:type="gram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categories are identified, based on tolerance to information loss and delay. </w:t>
            </w:r>
          </w:p>
        </w:tc>
      </w:tr>
      <w:tr w:rsidR="00883028" w:rsidRPr="003C3660" w14:paraId="70DF181C" w14:textId="77777777" w:rsidTr="007B23ED">
        <w:trPr>
          <w:trHeight w:val="575"/>
        </w:trPr>
        <w:tc>
          <w:tcPr>
            <w:tcW w:w="1508" w:type="dxa"/>
            <w:vMerge/>
          </w:tcPr>
          <w:p w14:paraId="5921A02D" w14:textId="7777777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7A0ACB4A" w14:textId="6791CF8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G.1028.1</w:t>
            </w:r>
          </w:p>
        </w:tc>
        <w:tc>
          <w:tcPr>
            <w:tcW w:w="2559" w:type="dxa"/>
          </w:tcPr>
          <w:p w14:paraId="0B25DA23" w14:textId="160C6ED0" w:rsidR="00883028" w:rsidRPr="003C3660" w:rsidRDefault="00883028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End-to-end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QoS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for video telephony over 4G mobile networks</w:t>
            </w:r>
          </w:p>
        </w:tc>
        <w:tc>
          <w:tcPr>
            <w:tcW w:w="3680" w:type="dxa"/>
          </w:tcPr>
          <w:p w14:paraId="462E14C1" w14:textId="77777777" w:rsidR="00883028" w:rsidRPr="003C3660" w:rsidRDefault="00883028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37F8FE12" w14:textId="77777777" w:rsidTr="007B23ED">
        <w:trPr>
          <w:trHeight w:val="575"/>
        </w:trPr>
        <w:tc>
          <w:tcPr>
            <w:tcW w:w="1508" w:type="dxa"/>
            <w:vMerge/>
          </w:tcPr>
          <w:p w14:paraId="35B6D89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429F2B76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G.1032</w:t>
            </w:r>
          </w:p>
        </w:tc>
        <w:tc>
          <w:tcPr>
            <w:tcW w:w="2559" w:type="dxa"/>
          </w:tcPr>
          <w:p w14:paraId="6F532036" w14:textId="499D68EA" w:rsidR="00E61956" w:rsidRPr="003C3660" w:rsidRDefault="00E61956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Influence factors on gaming </w:t>
            </w:r>
            <w:proofErr w:type="spellStart"/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</w:p>
        </w:tc>
        <w:tc>
          <w:tcPr>
            <w:tcW w:w="3680" w:type="dxa"/>
          </w:tcPr>
          <w:p w14:paraId="6307A95B" w14:textId="68B2A54D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This Recommendation describes the </w:t>
            </w: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factors of video gaming</w:t>
            </w:r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  <w:tr w:rsidR="00E61956" w:rsidRPr="003C3660" w14:paraId="3B3043C2" w14:textId="77777777" w:rsidTr="007B23ED">
        <w:trPr>
          <w:trHeight w:val="600"/>
        </w:trPr>
        <w:tc>
          <w:tcPr>
            <w:tcW w:w="1508" w:type="dxa"/>
            <w:vMerge/>
          </w:tcPr>
          <w:p w14:paraId="6637D599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070A3F5A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G.1080</w:t>
            </w:r>
          </w:p>
        </w:tc>
        <w:tc>
          <w:tcPr>
            <w:tcW w:w="2559" w:type="dxa"/>
            <w:hideMark/>
          </w:tcPr>
          <w:p w14:paraId="2F2D2155" w14:textId="559BD01F" w:rsidR="00E61956" w:rsidRPr="003C3660" w:rsidRDefault="00883028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="00E61956"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requirements for IPTV services</w:t>
            </w:r>
          </w:p>
        </w:tc>
        <w:tc>
          <w:tcPr>
            <w:tcW w:w="3680" w:type="dxa"/>
          </w:tcPr>
          <w:p w14:paraId="71649836" w14:textId="77777777" w:rsidR="00E61956" w:rsidRPr="003247AA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eastAsia="MS Mincho" w:hAnsi="timesnewroman" w:cs="timesnewroman" w:hint="eastAsia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Recommendation defines user requirements for </w:t>
            </w:r>
            <w:proofErr w:type="spell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for</w:t>
            </w:r>
            <w:r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IPTV </w:t>
            </w: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services.</w:t>
            </w:r>
          </w:p>
        </w:tc>
      </w:tr>
      <w:tr w:rsidR="00E61956" w:rsidRPr="003C3660" w14:paraId="2D3F20B3" w14:textId="77777777" w:rsidTr="007B23ED">
        <w:trPr>
          <w:trHeight w:val="600"/>
        </w:trPr>
        <w:tc>
          <w:tcPr>
            <w:tcW w:w="1508" w:type="dxa"/>
            <w:vMerge/>
          </w:tcPr>
          <w:p w14:paraId="45A431EF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471C6A1A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G.QoE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-VR</w:t>
            </w:r>
          </w:p>
          <w:p w14:paraId="281F3DD7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  <w:hideMark/>
          </w:tcPr>
          <w:p w14:paraId="51942524" w14:textId="716A6E64" w:rsidR="00E61956" w:rsidRPr="003C3660" w:rsidRDefault="002929FB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Influencing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f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actors on </w:t>
            </w:r>
            <w:proofErr w:type="spellStart"/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for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v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irtual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r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eality </w:t>
            </w:r>
            <w:r w:rsid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(VR)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s</w:t>
            </w:r>
            <w:r w:rsidRP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ervices</w:t>
            </w:r>
          </w:p>
        </w:tc>
        <w:tc>
          <w:tcPr>
            <w:tcW w:w="3680" w:type="dxa"/>
          </w:tcPr>
          <w:p w14:paraId="3B61AD38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688E8F31" w14:textId="77777777" w:rsidTr="007B23ED">
        <w:trPr>
          <w:trHeight w:val="600"/>
        </w:trPr>
        <w:tc>
          <w:tcPr>
            <w:tcW w:w="1508" w:type="dxa"/>
            <w:vMerge/>
          </w:tcPr>
          <w:p w14:paraId="69D6475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5C7AFBE4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G.QoE</w:t>
            </w:r>
            <w:proofErr w:type="spellEnd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-AR</w:t>
            </w:r>
          </w:p>
          <w:p w14:paraId="751E3144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254FCEF" w14:textId="5517EC73" w:rsidR="00E61956" w:rsidRPr="003C3660" w:rsidRDefault="00E61956" w:rsidP="002929FB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C3660">
              <w:rPr>
                <w:sz w:val="22"/>
                <w:szCs w:val="22"/>
              </w:rPr>
              <w:t>QoE</w:t>
            </w:r>
            <w:proofErr w:type="spellEnd"/>
            <w:r w:rsidRPr="003C3660">
              <w:rPr>
                <w:sz w:val="22"/>
                <w:szCs w:val="22"/>
              </w:rPr>
              <w:t xml:space="preserve"> factors of </w:t>
            </w:r>
            <w:r w:rsidR="002929FB">
              <w:rPr>
                <w:sz w:val="22"/>
                <w:szCs w:val="22"/>
              </w:rPr>
              <w:t>a</w:t>
            </w:r>
            <w:r w:rsidRPr="003C3660">
              <w:rPr>
                <w:sz w:val="22"/>
                <w:szCs w:val="22"/>
              </w:rPr>
              <w:t xml:space="preserve">ugmented </w:t>
            </w:r>
            <w:r w:rsidR="002929FB">
              <w:rPr>
                <w:sz w:val="22"/>
                <w:szCs w:val="22"/>
              </w:rPr>
              <w:t>r</w:t>
            </w:r>
            <w:r w:rsidRPr="003C3660">
              <w:rPr>
                <w:sz w:val="22"/>
                <w:szCs w:val="22"/>
              </w:rPr>
              <w:t>eality (AR)</w:t>
            </w:r>
          </w:p>
        </w:tc>
        <w:tc>
          <w:tcPr>
            <w:tcW w:w="3680" w:type="dxa"/>
          </w:tcPr>
          <w:p w14:paraId="317820C9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465FED84" w14:textId="77777777" w:rsidTr="007B23ED">
        <w:trPr>
          <w:trHeight w:val="600"/>
        </w:trPr>
        <w:tc>
          <w:tcPr>
            <w:tcW w:w="1508" w:type="dxa"/>
            <w:vMerge/>
          </w:tcPr>
          <w:p w14:paraId="377B3277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noWrap/>
          </w:tcPr>
          <w:p w14:paraId="0C4BE270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MDKT</w:t>
            </w:r>
          </w:p>
          <w:p w14:paraId="563AA90B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373FA57" w14:textId="68BAC072" w:rsidR="00E61956" w:rsidRPr="003C3660" w:rsidRDefault="00883028" w:rsidP="00883028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Methodology for d</w:t>
            </w:r>
            <w:r w:rsidR="00E61956" w:rsidRPr="003C3660">
              <w:rPr>
                <w:sz w:val="22"/>
                <w:szCs w:val="22"/>
              </w:rPr>
              <w:t xml:space="preserve">etermining </w:t>
            </w:r>
            <w:proofErr w:type="spellStart"/>
            <w:r w:rsidR="00E61956" w:rsidRPr="003C3660">
              <w:rPr>
                <w:sz w:val="22"/>
                <w:szCs w:val="22"/>
              </w:rPr>
              <w:t>QoE</w:t>
            </w:r>
            <w:proofErr w:type="spellEnd"/>
            <w:r w:rsidR="00E61956" w:rsidRPr="003C3660">
              <w:rPr>
                <w:sz w:val="22"/>
                <w:szCs w:val="22"/>
              </w:rPr>
              <w:t>-</w:t>
            </w:r>
            <w:r w:rsidR="00E61956" w:rsidRPr="003C3660">
              <w:rPr>
                <w:rFonts w:hint="eastAsia"/>
                <w:sz w:val="22"/>
                <w:szCs w:val="22"/>
                <w:lang w:eastAsia="zh-CN"/>
              </w:rPr>
              <w:t>r</w:t>
            </w:r>
            <w:r w:rsidR="00E61956" w:rsidRPr="003C3660">
              <w:rPr>
                <w:sz w:val="22"/>
                <w:szCs w:val="22"/>
              </w:rPr>
              <w:t xml:space="preserve">elevant KPI </w:t>
            </w:r>
            <w:r>
              <w:rPr>
                <w:sz w:val="22"/>
                <w:szCs w:val="22"/>
              </w:rPr>
              <w:t>t</w:t>
            </w:r>
            <w:r w:rsidR="00E61956" w:rsidRPr="003C3660">
              <w:rPr>
                <w:sz w:val="22"/>
                <w:szCs w:val="22"/>
              </w:rPr>
              <w:t>hresholds</w:t>
            </w:r>
          </w:p>
        </w:tc>
        <w:tc>
          <w:tcPr>
            <w:tcW w:w="3680" w:type="dxa"/>
          </w:tcPr>
          <w:p w14:paraId="3357B24C" w14:textId="26654CC3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This Recommendation will </w:t>
            </w:r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provide a methodology for selecting </w:t>
            </w:r>
            <w:proofErr w:type="spellStart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-relevant KPIs (e.g.</w:t>
            </w:r>
            <w:r w:rsidR="00883028">
              <w:rPr>
                <w:color w:val="000000"/>
                <w:sz w:val="22"/>
                <w:szCs w:val="22"/>
                <w:lang w:val="en-US" w:eastAsia="zh-CN"/>
              </w:rPr>
              <w:t>,</w:t>
            </w:r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 throughput) as independent variables and the per-session MOS predicted with a </w:t>
            </w:r>
            <w:proofErr w:type="spellStart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 model as a dependent variable</w:t>
            </w:r>
          </w:p>
        </w:tc>
      </w:tr>
      <w:tr w:rsidR="00883028" w:rsidRPr="003C3660" w14:paraId="4B8DDEFD" w14:textId="77777777" w:rsidTr="007B23ED">
        <w:trPr>
          <w:trHeight w:val="600"/>
        </w:trPr>
        <w:tc>
          <w:tcPr>
            <w:tcW w:w="1508" w:type="dxa"/>
            <w:vMerge w:val="restart"/>
          </w:tcPr>
          <w:p w14:paraId="6927CDF9" w14:textId="7777777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Planning models</w:t>
            </w:r>
          </w:p>
        </w:tc>
        <w:tc>
          <w:tcPr>
            <w:tcW w:w="1882" w:type="dxa"/>
            <w:noWrap/>
            <w:hideMark/>
          </w:tcPr>
          <w:p w14:paraId="3715AE50" w14:textId="7777777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G.1071</w:t>
            </w:r>
          </w:p>
        </w:tc>
        <w:tc>
          <w:tcPr>
            <w:tcW w:w="2559" w:type="dxa"/>
            <w:hideMark/>
          </w:tcPr>
          <w:p w14:paraId="55CCF945" w14:textId="77777777" w:rsidR="00883028" w:rsidRPr="003C3660" w:rsidRDefault="00883028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Opinion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model for network planning of video and audio streaming applications</w:t>
            </w:r>
          </w:p>
        </w:tc>
        <w:tc>
          <w:tcPr>
            <w:tcW w:w="3680" w:type="dxa"/>
          </w:tcPr>
          <w:p w14:paraId="3383AD79" w14:textId="77777777" w:rsidR="00883028" w:rsidRPr="003C3660" w:rsidRDefault="00883028" w:rsidP="007B23ED">
            <w:pPr>
              <w:pStyle w:val="Default"/>
              <w:rPr>
                <w:sz w:val="22"/>
                <w:szCs w:val="22"/>
              </w:rPr>
            </w:pPr>
            <w:r w:rsidRPr="003C3660">
              <w:rPr>
                <w:rFonts w:eastAsia="MS Mincho" w:hint="eastAsia"/>
                <w:sz w:val="22"/>
                <w:szCs w:val="22"/>
                <w:lang w:eastAsia="ja-JP"/>
              </w:rPr>
              <w:t xml:space="preserve">This </w:t>
            </w:r>
            <w:r w:rsidRPr="003C3660">
              <w:rPr>
                <w:sz w:val="22"/>
                <w:szCs w:val="22"/>
              </w:rPr>
              <w:t xml:space="preserve">Recommendation provides algorithmic models for network planning of video and audio quality of IP-based video services. </w:t>
            </w:r>
          </w:p>
          <w:p w14:paraId="5DA2D9E4" w14:textId="77777777" w:rsidR="00883028" w:rsidRPr="003C3660" w:rsidRDefault="00883028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883028" w:rsidRPr="003C3660" w14:paraId="6D1E9AD1" w14:textId="77777777" w:rsidTr="007B23ED">
        <w:trPr>
          <w:trHeight w:val="600"/>
        </w:trPr>
        <w:tc>
          <w:tcPr>
            <w:tcW w:w="1508" w:type="dxa"/>
            <w:vMerge/>
          </w:tcPr>
          <w:p w14:paraId="1CB05D9D" w14:textId="7777777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35041160" w14:textId="7777777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G.1070</w:t>
            </w:r>
          </w:p>
        </w:tc>
        <w:tc>
          <w:tcPr>
            <w:tcW w:w="2559" w:type="dxa"/>
            <w:hideMark/>
          </w:tcPr>
          <w:p w14:paraId="781B5255" w14:textId="77777777" w:rsidR="00883028" w:rsidRPr="003C3660" w:rsidRDefault="00883028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Opinion model for video-telephony applications</w:t>
            </w:r>
          </w:p>
        </w:tc>
        <w:tc>
          <w:tcPr>
            <w:tcW w:w="3680" w:type="dxa"/>
          </w:tcPr>
          <w:p w14:paraId="4B328B80" w14:textId="77777777" w:rsidR="00883028" w:rsidRPr="003C3660" w:rsidRDefault="00883028" w:rsidP="007B23ED">
            <w:pPr>
              <w:pStyle w:val="Default"/>
              <w:rPr>
                <w:rFonts w:eastAsia="SimSun"/>
                <w:sz w:val="22"/>
                <w:szCs w:val="22"/>
              </w:rPr>
            </w:pPr>
            <w:r w:rsidRPr="003C3660">
              <w:rPr>
                <w:rFonts w:eastAsia="MS Mincho" w:hint="eastAsia"/>
                <w:sz w:val="22"/>
                <w:szCs w:val="22"/>
                <w:lang w:eastAsia="ja-JP"/>
              </w:rPr>
              <w:t xml:space="preserve">This </w:t>
            </w:r>
            <w:r w:rsidRPr="003C3660">
              <w:rPr>
                <w:sz w:val="22"/>
                <w:szCs w:val="22"/>
              </w:rPr>
              <w:t xml:space="preserve">Recommendation defines an algorithm that estimates videophone quality for </w:t>
            </w:r>
            <w:proofErr w:type="spellStart"/>
            <w:r>
              <w:rPr>
                <w:sz w:val="22"/>
                <w:szCs w:val="22"/>
              </w:rPr>
              <w:t>QoE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QoS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C3660">
              <w:rPr>
                <w:sz w:val="22"/>
                <w:szCs w:val="22"/>
              </w:rPr>
              <w:t xml:space="preserve">planners. This model can be used by </w:t>
            </w:r>
            <w:proofErr w:type="spellStart"/>
            <w:r w:rsidRPr="003C3660">
              <w:rPr>
                <w:sz w:val="22"/>
                <w:szCs w:val="22"/>
              </w:rPr>
              <w:t>QoE</w:t>
            </w:r>
            <w:proofErr w:type="spellEnd"/>
            <w:r w:rsidRPr="003C3660">
              <w:rPr>
                <w:sz w:val="22"/>
                <w:szCs w:val="22"/>
              </w:rPr>
              <w:t>/</w:t>
            </w:r>
            <w:proofErr w:type="spellStart"/>
            <w:r w:rsidRPr="003C3660">
              <w:rPr>
                <w:sz w:val="22"/>
                <w:szCs w:val="22"/>
              </w:rPr>
              <w:t>QoS</w:t>
            </w:r>
            <w:proofErr w:type="spellEnd"/>
            <w:r w:rsidRPr="003C3660">
              <w:rPr>
                <w:sz w:val="22"/>
                <w:szCs w:val="22"/>
              </w:rPr>
              <w:t xml:space="preserve"> planners to help ensure that users will be satisfied with end-to-end service quality. </w:t>
            </w:r>
            <w:r w:rsidRPr="003C3660">
              <w:rPr>
                <w:rFonts w:eastAsia="SimSun"/>
                <w:sz w:val="22"/>
                <w:szCs w:val="22"/>
              </w:rPr>
              <w:t xml:space="preserve"> </w:t>
            </w:r>
          </w:p>
        </w:tc>
      </w:tr>
      <w:tr w:rsidR="00883028" w:rsidRPr="003C3660" w14:paraId="238156CE" w14:textId="77777777" w:rsidTr="007B23ED">
        <w:trPr>
          <w:trHeight w:val="600"/>
        </w:trPr>
        <w:tc>
          <w:tcPr>
            <w:tcW w:w="1508" w:type="dxa"/>
            <w:vMerge/>
          </w:tcPr>
          <w:p w14:paraId="2B984429" w14:textId="7777777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307CD380" w14:textId="77777777" w:rsidR="00883028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G.OMG</w:t>
            </w:r>
          </w:p>
          <w:p w14:paraId="0B7BA600" w14:textId="7C7D7138" w:rsidR="00883028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19BFDF5" w14:textId="12E2E754" w:rsidR="00883028" w:rsidRPr="00883028" w:rsidRDefault="00883028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Opinion model for gaming applications</w:t>
            </w:r>
          </w:p>
        </w:tc>
        <w:tc>
          <w:tcPr>
            <w:tcW w:w="3680" w:type="dxa"/>
          </w:tcPr>
          <w:p w14:paraId="786A5D11" w14:textId="77777777" w:rsidR="00883028" w:rsidRPr="003C3660" w:rsidRDefault="00883028" w:rsidP="007B23ED">
            <w:pPr>
              <w:pStyle w:val="Defaul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83028" w:rsidRPr="003C3660" w14:paraId="2506A3ED" w14:textId="77777777" w:rsidTr="007B23ED">
        <w:trPr>
          <w:trHeight w:val="600"/>
        </w:trPr>
        <w:tc>
          <w:tcPr>
            <w:tcW w:w="1508" w:type="dxa"/>
            <w:vMerge/>
          </w:tcPr>
          <w:p w14:paraId="443DE6F8" w14:textId="7777777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38CC23B4" w14:textId="77777777" w:rsidR="00883028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G.QUIT</w:t>
            </w:r>
          </w:p>
          <w:p w14:paraId="15D28892" w14:textId="73A37857" w:rsidR="00883028" w:rsidRPr="003C3660" w:rsidRDefault="00883028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48CDFFA9" w14:textId="0AE8C527" w:rsidR="00883028" w:rsidRPr="003C3660" w:rsidRDefault="00883028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883028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Objective model for assessing impact of initial loading delay on user experience</w:t>
            </w:r>
          </w:p>
        </w:tc>
        <w:tc>
          <w:tcPr>
            <w:tcW w:w="3680" w:type="dxa"/>
          </w:tcPr>
          <w:p w14:paraId="21D5E032" w14:textId="77777777" w:rsidR="00883028" w:rsidRPr="003C3660" w:rsidRDefault="00883028" w:rsidP="007B23ED">
            <w:pPr>
              <w:pStyle w:val="Defaul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61956" w:rsidRPr="003C3660" w14:paraId="7099B8A0" w14:textId="77777777" w:rsidTr="007B23ED">
        <w:trPr>
          <w:trHeight w:val="600"/>
        </w:trPr>
        <w:tc>
          <w:tcPr>
            <w:tcW w:w="1508" w:type="dxa"/>
            <w:vMerge w:val="restart"/>
          </w:tcPr>
          <w:p w14:paraId="4A2644A7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Monitoring models</w:t>
            </w:r>
          </w:p>
        </w:tc>
        <w:tc>
          <w:tcPr>
            <w:tcW w:w="1882" w:type="dxa"/>
            <w:noWrap/>
            <w:hideMark/>
          </w:tcPr>
          <w:p w14:paraId="392496E8" w14:textId="77777777" w:rsidR="00E61956" w:rsidRPr="003C3660" w:rsidRDefault="00E61956" w:rsidP="007B23ED">
            <w:pPr>
              <w:spacing w:before="0"/>
              <w:jc w:val="center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P.1201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(PNAMS)</w:t>
            </w:r>
          </w:p>
        </w:tc>
        <w:tc>
          <w:tcPr>
            <w:tcW w:w="2559" w:type="dxa"/>
            <w:hideMark/>
          </w:tcPr>
          <w:p w14:paraId="4BBE0CC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Parametric non-intrusive assessment of audiovisual media streaming quality</w:t>
            </w:r>
          </w:p>
        </w:tc>
        <w:tc>
          <w:tcPr>
            <w:tcW w:w="3680" w:type="dxa"/>
          </w:tcPr>
          <w:p w14:paraId="54FC5D7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Recommendation provides an algorithmic model for non-intrusive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monitoring of the audio, video and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lastRenderedPageBreak/>
              <w:t>audiovisual quality of IP-based video services based on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packet-header information. Video resolution should be HD or below.</w:t>
            </w:r>
          </w:p>
        </w:tc>
      </w:tr>
      <w:tr w:rsidR="00E61956" w:rsidRPr="003C3660" w14:paraId="2974E3EB" w14:textId="77777777" w:rsidTr="007B23ED">
        <w:trPr>
          <w:trHeight w:val="600"/>
        </w:trPr>
        <w:tc>
          <w:tcPr>
            <w:tcW w:w="1508" w:type="dxa"/>
            <w:vMerge/>
          </w:tcPr>
          <w:p w14:paraId="544CC6A3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206D4671" w14:textId="77777777" w:rsidR="00E61956" w:rsidRPr="003C3660" w:rsidRDefault="00E61956" w:rsidP="007B23ED">
            <w:pPr>
              <w:spacing w:before="0"/>
              <w:jc w:val="center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P.1203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(PNATS)</w:t>
            </w:r>
          </w:p>
        </w:tc>
        <w:tc>
          <w:tcPr>
            <w:tcW w:w="2559" w:type="dxa"/>
            <w:hideMark/>
          </w:tcPr>
          <w:p w14:paraId="1B340DC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Parametric </w:t>
            </w: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bitstream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-based quality assessment of progressive download and adaptive audiovisual streaming services over reliable transport</w:t>
            </w:r>
          </w:p>
        </w:tc>
        <w:tc>
          <w:tcPr>
            <w:tcW w:w="3680" w:type="dxa"/>
          </w:tcPr>
          <w:p w14:paraId="37008180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Recommendation provides model algorithms for monitoring the integral media session quality for TCP-type video streaming. 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>Supported v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ideo resolution should be HD or below.</w:t>
            </w:r>
          </w:p>
        </w:tc>
      </w:tr>
      <w:tr w:rsidR="00E61956" w:rsidRPr="003C3660" w14:paraId="0A3CDAD0" w14:textId="77777777" w:rsidTr="007B23ED">
        <w:trPr>
          <w:trHeight w:val="600"/>
        </w:trPr>
        <w:tc>
          <w:tcPr>
            <w:tcW w:w="1508" w:type="dxa"/>
            <w:vMerge/>
          </w:tcPr>
          <w:p w14:paraId="04586EBD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4F9CFD4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P.NATS-PH2</w:t>
            </w:r>
          </w:p>
          <w:p w14:paraId="54ACBA7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 in Q14, Recommendation planned end of 2019)</w:t>
            </w:r>
          </w:p>
        </w:tc>
        <w:tc>
          <w:tcPr>
            <w:tcW w:w="2559" w:type="dxa"/>
          </w:tcPr>
          <w:p w14:paraId="01798FB8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sz w:val="22"/>
                <w:szCs w:val="22"/>
              </w:rPr>
              <w:t xml:space="preserve">Parametric </w:t>
            </w:r>
            <w:proofErr w:type="spellStart"/>
            <w:r w:rsidRPr="003C3660">
              <w:rPr>
                <w:sz w:val="22"/>
                <w:szCs w:val="22"/>
              </w:rPr>
              <w:t>bitstream</w:t>
            </w:r>
            <w:proofErr w:type="spellEnd"/>
            <w:r w:rsidRPr="003C3660">
              <w:rPr>
                <w:sz w:val="22"/>
                <w:szCs w:val="22"/>
              </w:rPr>
              <w:t xml:space="preserve">-based and pixel based quality assessment of progressive download and adaptive </w:t>
            </w:r>
            <w:proofErr w:type="spellStart"/>
            <w:r w:rsidRPr="003C3660">
              <w:rPr>
                <w:sz w:val="22"/>
                <w:szCs w:val="22"/>
              </w:rPr>
              <w:t>audiovisual</w:t>
            </w:r>
            <w:proofErr w:type="spellEnd"/>
            <w:r w:rsidRPr="003C3660">
              <w:rPr>
                <w:sz w:val="22"/>
                <w:szCs w:val="22"/>
              </w:rPr>
              <w:t xml:space="preserve"> streaming services over reliable transport for HEVC and UHD</w:t>
            </w:r>
          </w:p>
        </w:tc>
        <w:tc>
          <w:tcPr>
            <w:tcW w:w="3680" w:type="dxa"/>
          </w:tcPr>
          <w:p w14:paraId="2F8B3354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 xml:space="preserve">This work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extends P.1203 to UHD, and also includes pixel-based and hybrid model types.</w:t>
            </w:r>
          </w:p>
        </w:tc>
      </w:tr>
      <w:tr w:rsidR="00E61956" w:rsidRPr="003C3660" w14:paraId="34D11B53" w14:textId="77777777" w:rsidTr="007B23ED">
        <w:trPr>
          <w:trHeight w:val="1402"/>
        </w:trPr>
        <w:tc>
          <w:tcPr>
            <w:tcW w:w="1508" w:type="dxa"/>
            <w:vMerge/>
          </w:tcPr>
          <w:p w14:paraId="5BA30C81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1923962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P.NAMS-PH2</w:t>
            </w:r>
          </w:p>
          <w:p w14:paraId="0543494F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 in Q14)</w:t>
            </w:r>
          </w:p>
        </w:tc>
        <w:tc>
          <w:tcPr>
            <w:tcW w:w="2559" w:type="dxa"/>
          </w:tcPr>
          <w:p w14:paraId="015FFC99" w14:textId="77777777" w:rsidR="00E61956" w:rsidRPr="003C3660" w:rsidRDefault="00E61956" w:rsidP="007B23ED">
            <w:pPr>
              <w:spacing w:before="0"/>
              <w:rPr>
                <w:sz w:val="22"/>
                <w:szCs w:val="22"/>
              </w:rPr>
            </w:pPr>
            <w:r w:rsidRPr="003C3660">
              <w:rPr>
                <w:sz w:val="22"/>
                <w:szCs w:val="22"/>
              </w:rPr>
              <w:t xml:space="preserve">Parametric Non-intrusive </w:t>
            </w:r>
            <w:proofErr w:type="spellStart"/>
            <w:r w:rsidRPr="003C3660">
              <w:rPr>
                <w:sz w:val="22"/>
                <w:szCs w:val="22"/>
              </w:rPr>
              <w:t>Bitstream</w:t>
            </w:r>
            <w:proofErr w:type="spellEnd"/>
            <w:r w:rsidRPr="003C3660">
              <w:rPr>
                <w:sz w:val="22"/>
                <w:szCs w:val="22"/>
              </w:rPr>
              <w:t xml:space="preserve"> Assessment for High Efficiency Video Coding (HEVC) and 4K Media Streaming Quality over UDP</w:t>
            </w:r>
          </w:p>
        </w:tc>
        <w:tc>
          <w:tcPr>
            <w:tcW w:w="3680" w:type="dxa"/>
          </w:tcPr>
          <w:p w14:paraId="5A6A2317" w14:textId="46BE997E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This work extends P.1201 to UHD</w:t>
            </w:r>
            <w:r w:rsidR="002929FB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</w:tbl>
    <w:p w14:paraId="13D32785" w14:textId="77777777" w:rsidR="00E61956" w:rsidRDefault="00E61956" w:rsidP="00A01ED5"/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701B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F1CB" w14:textId="77777777" w:rsidR="00B16B6A" w:rsidRDefault="00B16B6A" w:rsidP="00C42125">
      <w:pPr>
        <w:spacing w:before="0"/>
      </w:pPr>
      <w:r>
        <w:separator/>
      </w:r>
    </w:p>
  </w:endnote>
  <w:endnote w:type="continuationSeparator" w:id="0">
    <w:p w14:paraId="6A6C1165" w14:textId="77777777" w:rsidR="00B16B6A" w:rsidRDefault="00B16B6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B9992" w14:textId="77777777" w:rsidR="006E0C38" w:rsidRDefault="006E0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162CE" w14:textId="77777777" w:rsidR="006E0C38" w:rsidRDefault="006E0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8E037" w14:textId="77777777" w:rsidR="006E0C38" w:rsidRDefault="006E0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88ACE" w14:textId="77777777" w:rsidR="00B16B6A" w:rsidRDefault="00B16B6A" w:rsidP="00C42125">
      <w:pPr>
        <w:spacing w:before="0"/>
      </w:pPr>
      <w:r>
        <w:separator/>
      </w:r>
    </w:p>
  </w:footnote>
  <w:footnote w:type="continuationSeparator" w:id="0">
    <w:p w14:paraId="464AE821" w14:textId="77777777" w:rsidR="00B16B6A" w:rsidRDefault="00B16B6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282C" w14:textId="77777777" w:rsidR="006E0C38" w:rsidRDefault="006E0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4034539C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806D75">
      <w:rPr>
        <w:noProof/>
        <w:sz w:val="18"/>
      </w:rPr>
      <w:t>4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4F1F31D0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806D75">
      <w:rPr>
        <w:noProof/>
        <w:sz w:val="18"/>
      </w:rPr>
      <w:t>TSAG-TD482</w:t>
    </w:r>
    <w:r w:rsidRPr="00701B54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B225" w14:textId="77777777" w:rsidR="006E0C38" w:rsidRDefault="006E0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art7F90"/>
      </v:shape>
    </w:pict>
  </w:numPicBullet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2A0A"/>
    <w:rsid w:val="00014DAF"/>
    <w:rsid w:val="00014F69"/>
    <w:rsid w:val="000171DB"/>
    <w:rsid w:val="00023D9A"/>
    <w:rsid w:val="00027BC5"/>
    <w:rsid w:val="0003582E"/>
    <w:rsid w:val="00043D75"/>
    <w:rsid w:val="00057000"/>
    <w:rsid w:val="000640E0"/>
    <w:rsid w:val="00067FDC"/>
    <w:rsid w:val="00086D80"/>
    <w:rsid w:val="000966A8"/>
    <w:rsid w:val="000A5CA2"/>
    <w:rsid w:val="000E6083"/>
    <w:rsid w:val="000E6125"/>
    <w:rsid w:val="000F3E8D"/>
    <w:rsid w:val="00100BAF"/>
    <w:rsid w:val="00110502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3E2F"/>
    <w:rsid w:val="001C62B8"/>
    <w:rsid w:val="001D22D8"/>
    <w:rsid w:val="001D4296"/>
    <w:rsid w:val="001E7B0E"/>
    <w:rsid w:val="001F141D"/>
    <w:rsid w:val="00200A06"/>
    <w:rsid w:val="00200A98"/>
    <w:rsid w:val="00201AFA"/>
    <w:rsid w:val="00214C7E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342B"/>
    <w:rsid w:val="002929FB"/>
    <w:rsid w:val="002A11C4"/>
    <w:rsid w:val="002A399B"/>
    <w:rsid w:val="002B12EE"/>
    <w:rsid w:val="002C26C0"/>
    <w:rsid w:val="002C2BC5"/>
    <w:rsid w:val="002C48F1"/>
    <w:rsid w:val="002E0407"/>
    <w:rsid w:val="002E79CB"/>
    <w:rsid w:val="002F0471"/>
    <w:rsid w:val="002F1714"/>
    <w:rsid w:val="002F7D92"/>
    <w:rsid w:val="002F7F55"/>
    <w:rsid w:val="0030745F"/>
    <w:rsid w:val="00314630"/>
    <w:rsid w:val="0032090A"/>
    <w:rsid w:val="00321CDE"/>
    <w:rsid w:val="003336D1"/>
    <w:rsid w:val="00333E15"/>
    <w:rsid w:val="003571BC"/>
    <w:rsid w:val="0036090C"/>
    <w:rsid w:val="00364979"/>
    <w:rsid w:val="00373BEA"/>
    <w:rsid w:val="00385B9C"/>
    <w:rsid w:val="00385FB5"/>
    <w:rsid w:val="0038715D"/>
    <w:rsid w:val="00392E84"/>
    <w:rsid w:val="00394DBF"/>
    <w:rsid w:val="003957A6"/>
    <w:rsid w:val="003A43EF"/>
    <w:rsid w:val="003C7445"/>
    <w:rsid w:val="003E39A2"/>
    <w:rsid w:val="003E57AB"/>
    <w:rsid w:val="003F2BED"/>
    <w:rsid w:val="00400B49"/>
    <w:rsid w:val="004130AC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4631"/>
    <w:rsid w:val="005169CD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040B"/>
    <w:rsid w:val="005C27A2"/>
    <w:rsid w:val="005D3265"/>
    <w:rsid w:val="005D4FEB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08"/>
    <w:rsid w:val="006D7355"/>
    <w:rsid w:val="006E0C38"/>
    <w:rsid w:val="006F7DEE"/>
    <w:rsid w:val="00701B54"/>
    <w:rsid w:val="00715CA6"/>
    <w:rsid w:val="00731135"/>
    <w:rsid w:val="007324AF"/>
    <w:rsid w:val="007409B4"/>
    <w:rsid w:val="007409F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6288"/>
    <w:rsid w:val="007C7122"/>
    <w:rsid w:val="007D3F11"/>
    <w:rsid w:val="007E2C69"/>
    <w:rsid w:val="007E53E4"/>
    <w:rsid w:val="007E656A"/>
    <w:rsid w:val="007F3CAA"/>
    <w:rsid w:val="007F664D"/>
    <w:rsid w:val="007F671C"/>
    <w:rsid w:val="00806D75"/>
    <w:rsid w:val="008137D8"/>
    <w:rsid w:val="00837203"/>
    <w:rsid w:val="00842137"/>
    <w:rsid w:val="00846EB8"/>
    <w:rsid w:val="00853F5F"/>
    <w:rsid w:val="00861E34"/>
    <w:rsid w:val="008623ED"/>
    <w:rsid w:val="00875AA6"/>
    <w:rsid w:val="00880944"/>
    <w:rsid w:val="00881C84"/>
    <w:rsid w:val="00883028"/>
    <w:rsid w:val="0089088E"/>
    <w:rsid w:val="00892297"/>
    <w:rsid w:val="008964D6"/>
    <w:rsid w:val="008B5123"/>
    <w:rsid w:val="008E0172"/>
    <w:rsid w:val="008E2B26"/>
    <w:rsid w:val="008F027C"/>
    <w:rsid w:val="00936852"/>
    <w:rsid w:val="0094045D"/>
    <w:rsid w:val="009406B5"/>
    <w:rsid w:val="00946166"/>
    <w:rsid w:val="009646A6"/>
    <w:rsid w:val="00983164"/>
    <w:rsid w:val="009972EF"/>
    <w:rsid w:val="009B5035"/>
    <w:rsid w:val="009C3160"/>
    <w:rsid w:val="009D644B"/>
    <w:rsid w:val="009E766E"/>
    <w:rsid w:val="009F1960"/>
    <w:rsid w:val="009F715E"/>
    <w:rsid w:val="00A01ED5"/>
    <w:rsid w:val="00A10DBB"/>
    <w:rsid w:val="00A11720"/>
    <w:rsid w:val="00A21247"/>
    <w:rsid w:val="00A31D47"/>
    <w:rsid w:val="00A4013E"/>
    <w:rsid w:val="00A4045F"/>
    <w:rsid w:val="00A427CD"/>
    <w:rsid w:val="00A44928"/>
    <w:rsid w:val="00A45FEE"/>
    <w:rsid w:val="00A4600B"/>
    <w:rsid w:val="00A50506"/>
    <w:rsid w:val="00A51EF0"/>
    <w:rsid w:val="00A67A81"/>
    <w:rsid w:val="00A730A6"/>
    <w:rsid w:val="00A971A0"/>
    <w:rsid w:val="00AA1186"/>
    <w:rsid w:val="00AA1F22"/>
    <w:rsid w:val="00AB782D"/>
    <w:rsid w:val="00B05821"/>
    <w:rsid w:val="00B100D6"/>
    <w:rsid w:val="00B164C9"/>
    <w:rsid w:val="00B16B6A"/>
    <w:rsid w:val="00B20E36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14F6D"/>
    <w:rsid w:val="00C42125"/>
    <w:rsid w:val="00C62814"/>
    <w:rsid w:val="00C67B25"/>
    <w:rsid w:val="00C748F7"/>
    <w:rsid w:val="00C74937"/>
    <w:rsid w:val="00C82876"/>
    <w:rsid w:val="00CB2599"/>
    <w:rsid w:val="00CD0970"/>
    <w:rsid w:val="00CD2139"/>
    <w:rsid w:val="00CE5986"/>
    <w:rsid w:val="00D31686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1956"/>
    <w:rsid w:val="00E6292E"/>
    <w:rsid w:val="00EA0BE7"/>
    <w:rsid w:val="00EA2C4C"/>
    <w:rsid w:val="00EB444D"/>
    <w:rsid w:val="00EE1A06"/>
    <w:rsid w:val="00EE5C0D"/>
    <w:rsid w:val="00EF4792"/>
    <w:rsid w:val="00F02294"/>
    <w:rsid w:val="00F07BB8"/>
    <w:rsid w:val="00F30DE7"/>
    <w:rsid w:val="00F35F57"/>
    <w:rsid w:val="00F441E1"/>
    <w:rsid w:val="00F50467"/>
    <w:rsid w:val="00F562A0"/>
    <w:rsid w:val="00F57FA4"/>
    <w:rsid w:val="00FA02CB"/>
    <w:rsid w:val="00FA2177"/>
    <w:rsid w:val="00FB0783"/>
    <w:rsid w:val="00FB5B35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4F6D"/>
  </w:style>
  <w:style w:type="table" w:styleId="TableGrid">
    <w:name w:val="Table Grid"/>
    <w:basedOn w:val="TableNormal"/>
    <w:uiPriority w:val="39"/>
    <w:rsid w:val="00E6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28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28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semiHidden/>
    <w:rsid w:val="007C6288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s.itu.int/webinar-itu-standards-measure-ip-performance-4g-voice-qualit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17-2020/12/Pages/1905-summary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wame.baah-acheamfuor@nca.org.gh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T17-SG12-190507-TD-GEN-0924/en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en/ITU-T/studygroups/2017-2020/12/Documents/2019-05-16-webinar.mp4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44428"/>
    <w:rsid w:val="001A1C4C"/>
    <w:rsid w:val="00256D54"/>
    <w:rsid w:val="00271D92"/>
    <w:rsid w:val="002A0AE4"/>
    <w:rsid w:val="00300983"/>
    <w:rsid w:val="00325284"/>
    <w:rsid w:val="00325869"/>
    <w:rsid w:val="003962CD"/>
    <w:rsid w:val="003A0E86"/>
    <w:rsid w:val="003F520B"/>
    <w:rsid w:val="00400FFE"/>
    <w:rsid w:val="00403A9C"/>
    <w:rsid w:val="00464382"/>
    <w:rsid w:val="004D3A5B"/>
    <w:rsid w:val="004E07FF"/>
    <w:rsid w:val="004E2252"/>
    <w:rsid w:val="004F124B"/>
    <w:rsid w:val="0058155E"/>
    <w:rsid w:val="005B0AEB"/>
    <w:rsid w:val="005B38F3"/>
    <w:rsid w:val="005F6CD5"/>
    <w:rsid w:val="0061653B"/>
    <w:rsid w:val="006431B1"/>
    <w:rsid w:val="006B688A"/>
    <w:rsid w:val="006D2486"/>
    <w:rsid w:val="006F6568"/>
    <w:rsid w:val="00726DDE"/>
    <w:rsid w:val="00731377"/>
    <w:rsid w:val="00747A76"/>
    <w:rsid w:val="00841C9F"/>
    <w:rsid w:val="00891F17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75F3"/>
    <w:rsid w:val="00B603E6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32D"/>
    <w:rsid w:val="00E32D0C"/>
    <w:rsid w:val="00E66F7A"/>
    <w:rsid w:val="00EB6760"/>
    <w:rsid w:val="00EE281E"/>
    <w:rsid w:val="00F176CB"/>
    <w:rsid w:val="00F32DA0"/>
    <w:rsid w:val="00F869EF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76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In line with WTSA-16 Resolution 1, this report provides updates about the SG12 lead study group activities.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3f6fad35-1f81-480e-a4e5-6e5474dcfb96"/>
    <ds:schemaRef ds:uri="http://schemas.microsoft.com/office/infopath/2007/PartnerControls"/>
    <ds:schemaRef ds:uri="http://schemas.microsoft.com/sharepoint.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ITU-T SG12 lead activities (10 December 2018 – 10 September 2019)</vt:lpstr>
    </vt:vector>
  </TitlesOfParts>
  <Manager>ITU-T</Manager>
  <Company>International Telecommunication Union (ITU)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ITU-T SG12 lead activities (10 December 2018 – 10 September 2019)</dc:title>
  <dc:subject/>
  <dc:creator>Chairman, ITU-T SG12</dc:creator>
  <cp:keywords>QoS; QoE; driver distraction; car communications; video quality; SG12;</cp:keywords>
  <dc:description>TSAG-TD482  For: Geneva, 23-27 September 2019_x000d_Document date: _x000d_Saved by ITU51011775 at 22:55:01 on 16/09/2019</dc:description>
  <cp:lastModifiedBy>Al-Mnini, Lara</cp:lastModifiedBy>
  <cp:revision>2</cp:revision>
  <cp:lastPrinted>2016-12-23T12:52:00Z</cp:lastPrinted>
  <dcterms:created xsi:type="dcterms:W3CDTF">2019-09-17T10:40:00Z</dcterms:created>
  <dcterms:modified xsi:type="dcterms:W3CDTF">2019-09-17T10:40:00Z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TSAG-TD482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ITU-T SG12</vt:lpwstr>
  </property>
</Properties>
</file>