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435DE4" w:rsidRPr="00435DE4" w:rsidTr="003F6975">
        <w:trPr>
          <w:cantSplit/>
        </w:trPr>
        <w:tc>
          <w:tcPr>
            <w:tcW w:w="1191" w:type="dxa"/>
            <w:vMerge w:val="restart"/>
          </w:tcPr>
          <w:p w:rsidR="00435DE4" w:rsidRPr="00435DE4" w:rsidRDefault="00435DE4" w:rsidP="00435DE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435DE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435DE4" w:rsidRPr="00435DE4" w:rsidRDefault="00435DE4" w:rsidP="00435DE4">
            <w:pPr>
              <w:rPr>
                <w:sz w:val="16"/>
                <w:szCs w:val="16"/>
              </w:rPr>
            </w:pPr>
            <w:r w:rsidRPr="00435DE4">
              <w:rPr>
                <w:sz w:val="16"/>
                <w:szCs w:val="16"/>
              </w:rPr>
              <w:t>INTERNATIONAL TELECOMMUNICATION UNION</w:t>
            </w:r>
          </w:p>
          <w:p w:rsidR="00435DE4" w:rsidRPr="00435DE4" w:rsidRDefault="00435DE4" w:rsidP="00435DE4">
            <w:pPr>
              <w:rPr>
                <w:b/>
                <w:bCs/>
                <w:sz w:val="26"/>
                <w:szCs w:val="26"/>
              </w:rPr>
            </w:pPr>
            <w:r w:rsidRPr="00435DE4">
              <w:rPr>
                <w:b/>
                <w:bCs/>
                <w:sz w:val="26"/>
                <w:szCs w:val="26"/>
              </w:rPr>
              <w:t>TELECOMMUNICATION</w:t>
            </w:r>
            <w:r w:rsidRPr="00435DE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35DE4" w:rsidRPr="00435DE4" w:rsidRDefault="00435DE4" w:rsidP="00435DE4">
            <w:pPr>
              <w:rPr>
                <w:sz w:val="20"/>
                <w:szCs w:val="20"/>
              </w:rPr>
            </w:pPr>
            <w:r w:rsidRPr="00435DE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435DE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:rsidR="00435DE4" w:rsidRPr="00435DE4" w:rsidRDefault="00435DE4" w:rsidP="00435DE4">
            <w:pPr>
              <w:pStyle w:val="Docnumber"/>
            </w:pPr>
            <w:r>
              <w:t>TSAG-TD619</w:t>
            </w:r>
          </w:p>
        </w:tc>
      </w:tr>
      <w:tr w:rsidR="00435DE4" w:rsidRPr="00435DE4" w:rsidTr="003F6975">
        <w:trPr>
          <w:cantSplit/>
        </w:trPr>
        <w:tc>
          <w:tcPr>
            <w:tcW w:w="1191" w:type="dxa"/>
            <w:vMerge/>
          </w:tcPr>
          <w:p w:rsidR="00435DE4" w:rsidRPr="00435DE4" w:rsidRDefault="00435DE4" w:rsidP="00435DE4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435DE4" w:rsidRPr="00435DE4" w:rsidRDefault="00435DE4" w:rsidP="00435DE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435DE4" w:rsidRPr="00435DE4" w:rsidRDefault="00435DE4" w:rsidP="00435DE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435DE4" w:rsidRPr="00435DE4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435DE4" w:rsidRPr="00435DE4" w:rsidRDefault="00435DE4" w:rsidP="00435DE4">
            <w:pPr>
              <w:jc w:val="right"/>
              <w:rPr>
                <w:b/>
                <w:bCs/>
                <w:sz w:val="28"/>
                <w:szCs w:val="28"/>
              </w:rPr>
            </w:pPr>
            <w:r w:rsidRPr="00435DE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35DE4" w:rsidRPr="00435DE4" w:rsidTr="003F6975">
        <w:trPr>
          <w:cantSplit/>
        </w:trPr>
        <w:tc>
          <w:tcPr>
            <w:tcW w:w="1617" w:type="dxa"/>
            <w:gridSpan w:val="3"/>
          </w:tcPr>
          <w:p w:rsidR="00435DE4" w:rsidRPr="00435DE4" w:rsidRDefault="00435DE4" w:rsidP="00435DE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435DE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435DE4" w:rsidRPr="00435DE4" w:rsidRDefault="00435DE4" w:rsidP="00435DE4">
            <w:r w:rsidRPr="00435DE4">
              <w:t>N/A</w:t>
            </w:r>
          </w:p>
        </w:tc>
        <w:tc>
          <w:tcPr>
            <w:tcW w:w="4681" w:type="dxa"/>
            <w:gridSpan w:val="2"/>
          </w:tcPr>
          <w:p w:rsidR="00435DE4" w:rsidRPr="00435DE4" w:rsidRDefault="00435DE4" w:rsidP="00435DE4">
            <w:pPr>
              <w:jc w:val="right"/>
            </w:pPr>
            <w:r w:rsidRPr="00435DE4">
              <w:t>Geneva, 23-27 September 2019</w:t>
            </w:r>
          </w:p>
        </w:tc>
      </w:tr>
      <w:tr w:rsidR="00435DE4" w:rsidRPr="00435DE4" w:rsidTr="003F6975">
        <w:trPr>
          <w:cantSplit/>
        </w:trPr>
        <w:tc>
          <w:tcPr>
            <w:tcW w:w="9923" w:type="dxa"/>
            <w:gridSpan w:val="6"/>
          </w:tcPr>
          <w:p w:rsidR="00435DE4" w:rsidRPr="00435DE4" w:rsidRDefault="00435DE4" w:rsidP="00435DE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435DE4">
              <w:rPr>
                <w:b/>
                <w:bCs/>
              </w:rPr>
              <w:t>TD</w:t>
            </w:r>
          </w:p>
        </w:tc>
      </w:tr>
      <w:tr w:rsidR="00435DE4" w:rsidRPr="00435DE4" w:rsidTr="003F6975">
        <w:trPr>
          <w:cantSplit/>
        </w:trPr>
        <w:tc>
          <w:tcPr>
            <w:tcW w:w="1617" w:type="dxa"/>
            <w:gridSpan w:val="3"/>
          </w:tcPr>
          <w:p w:rsidR="00435DE4" w:rsidRPr="00435DE4" w:rsidRDefault="00435DE4" w:rsidP="00435DE4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435DE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435DE4" w:rsidRPr="00435DE4" w:rsidRDefault="00435DE4" w:rsidP="00435DE4">
            <w:r w:rsidRPr="00435DE4">
              <w:t xml:space="preserve">Chairman, Quantum </w:t>
            </w:r>
            <w:proofErr w:type="spellStart"/>
            <w:r w:rsidRPr="00435DE4">
              <w:t>Adhoc</w:t>
            </w:r>
            <w:proofErr w:type="spellEnd"/>
            <w:r w:rsidRPr="00435DE4">
              <w:t xml:space="preserve"> Sessions</w:t>
            </w:r>
          </w:p>
        </w:tc>
      </w:tr>
      <w:tr w:rsidR="00435DE4" w:rsidRPr="00435DE4" w:rsidTr="003F6975">
        <w:trPr>
          <w:cantSplit/>
        </w:trPr>
        <w:tc>
          <w:tcPr>
            <w:tcW w:w="1617" w:type="dxa"/>
            <w:gridSpan w:val="3"/>
          </w:tcPr>
          <w:p w:rsidR="00435DE4" w:rsidRPr="00435DE4" w:rsidRDefault="00435DE4" w:rsidP="00435DE4">
            <w:bookmarkStart w:id="9" w:name="dtitle1" w:colFirst="1" w:colLast="1"/>
            <w:bookmarkEnd w:id="8"/>
            <w:r w:rsidRPr="00435DE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435DE4" w:rsidRPr="00435DE4" w:rsidRDefault="00435DE4" w:rsidP="00435DE4">
            <w:r w:rsidRPr="00435DE4">
              <w:t xml:space="preserve">Agenda of the first </w:t>
            </w:r>
            <w:proofErr w:type="spellStart"/>
            <w:r w:rsidRPr="00435DE4">
              <w:t>adhoc</w:t>
            </w:r>
            <w:proofErr w:type="spellEnd"/>
            <w:r w:rsidRPr="00435DE4">
              <w:t xml:space="preserve"> session on Quantum</w:t>
            </w:r>
          </w:p>
        </w:tc>
      </w:tr>
      <w:tr w:rsidR="00435DE4" w:rsidRPr="00435DE4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435DE4" w:rsidRPr="00435DE4" w:rsidRDefault="00435DE4" w:rsidP="00435DE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435DE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435DE4" w:rsidRPr="00435DE4" w:rsidRDefault="005D06FD" w:rsidP="00435DE4">
            <w:r>
              <w:t>Information</w:t>
            </w:r>
          </w:p>
        </w:tc>
      </w:tr>
      <w:bookmarkEnd w:id="1"/>
      <w:bookmarkEnd w:id="10"/>
      <w:tr w:rsidR="00856C7A" w:rsidRPr="00056322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162ED6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19567E">
                  <w:rPr>
                    <w:lang w:val="en-US"/>
                  </w:rPr>
                  <w:t>Arnaud Taddei</w:t>
                </w:r>
                <w:r w:rsidR="00856C7A" w:rsidRPr="00136DDD">
                  <w:rPr>
                    <w:lang w:val="en-US"/>
                  </w:rPr>
                  <w:br/>
                </w:r>
                <w:r w:rsidR="0019567E">
                  <w:rPr>
                    <w:lang w:val="en-US"/>
                  </w:rPr>
                  <w:t>Symantec Corporation</w:t>
                </w:r>
                <w:r w:rsidR="00856C7A" w:rsidRPr="00136DDD">
                  <w:rPr>
                    <w:lang w:val="en-US"/>
                  </w:rPr>
                  <w:br/>
                </w:r>
                <w:r w:rsidR="0019567E">
                  <w:rPr>
                    <w:lang w:val="en-US"/>
                  </w:rPr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19567E">
                  <w:rPr>
                    <w:lang w:val="pt-BR"/>
                  </w:rPr>
                  <w:t>41 79 506 1129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D30219" w:rsidRPr="00947E8B">
                    <w:rPr>
                      <w:rStyle w:val="Hyperlink"/>
                      <w:rFonts w:ascii="Times New Roman" w:hAnsi="Times New Roman"/>
                      <w:lang w:val="pt-BR"/>
                    </w:rPr>
                    <w:t>Arnaud_Taddei@symantec.com</w:t>
                  </w:r>
                </w:hyperlink>
                <w:r w:rsidR="00D30219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62ED6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9567E" w:rsidRDefault="00162ED6" w:rsidP="005976A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9567E" w:rsidRPr="0019567E">
                  <w:rPr>
                    <w:lang w:val="fr-CH"/>
                  </w:rPr>
                  <w:t xml:space="preserve">Agenda; First </w:t>
                </w:r>
                <w:proofErr w:type="spellStart"/>
                <w:r w:rsidR="0019567E" w:rsidRPr="0019567E">
                  <w:rPr>
                    <w:lang w:val="fr-CH"/>
                  </w:rPr>
                  <w:t>Adhoc</w:t>
                </w:r>
                <w:proofErr w:type="spellEnd"/>
                <w:r w:rsidR="0019567E" w:rsidRPr="0019567E">
                  <w:rPr>
                    <w:lang w:val="fr-CH"/>
                  </w:rPr>
                  <w:t xml:space="preserve"> Session; Quantu</w:t>
                </w:r>
                <w:r w:rsidR="0019567E">
                  <w:rPr>
                    <w:lang w:val="fr-CH"/>
                  </w:rPr>
                  <w:t>m</w:t>
                </w:r>
                <w:r w:rsidR="00D30219">
                  <w:rPr>
                    <w:lang w:val="fr-CH"/>
                  </w:rPr>
                  <w:t>;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19567E" w:rsidP="008B5123">
                <w:r>
                  <w:t xml:space="preserve">This document is the agenda for the first </w:t>
                </w:r>
                <w:proofErr w:type="spellStart"/>
                <w:r>
                  <w:t>adhoc</w:t>
                </w:r>
                <w:proofErr w:type="spellEnd"/>
                <w:r>
                  <w:t xml:space="preserve"> session on quantum</w:t>
                </w:r>
                <w:r w:rsidR="00D30219">
                  <w:t>.</w:t>
                </w:r>
              </w:p>
            </w:tc>
          </w:sdtContent>
        </w:sdt>
      </w:tr>
    </w:tbl>
    <w:p w:rsidR="0089088E" w:rsidRDefault="0089088E" w:rsidP="0089088E"/>
    <w:p w:rsidR="0019567E" w:rsidRDefault="0019567E" w:rsidP="0089088E">
      <w:r>
        <w:t xml:space="preserve">This document carries the </w:t>
      </w:r>
      <w:r w:rsidR="00282094">
        <w:t xml:space="preserve">proposed </w:t>
      </w:r>
      <w:r>
        <w:t xml:space="preserve">agenda of the first TSAG </w:t>
      </w:r>
      <w:proofErr w:type="spellStart"/>
      <w:r>
        <w:t>adhoc</w:t>
      </w:r>
      <w:proofErr w:type="spellEnd"/>
      <w:r>
        <w:t xml:space="preserve"> Session on Quantum at 18:00-20:00 on Tuesday 24</w:t>
      </w:r>
      <w:r w:rsidRPr="0019567E">
        <w:rPr>
          <w:vertAlign w:val="superscript"/>
        </w:rPr>
        <w:t>th</w:t>
      </w:r>
      <w:r>
        <w:t xml:space="preserve"> of September 2019.</w:t>
      </w:r>
    </w:p>
    <w:p w:rsidR="00282094" w:rsidRDefault="00282094" w:rsidP="0089088E"/>
    <w:p w:rsidR="0019567E" w:rsidRDefault="0019567E" w:rsidP="00282094">
      <w:pPr>
        <w:pStyle w:val="ListParagraph"/>
        <w:numPr>
          <w:ilvl w:val="0"/>
          <w:numId w:val="11"/>
        </w:numPr>
      </w:pPr>
      <w:r>
        <w:t xml:space="preserve">Opening </w:t>
      </w:r>
      <w:r w:rsidR="00282094">
        <w:t>remarks</w:t>
      </w:r>
    </w:p>
    <w:p w:rsidR="0019567E" w:rsidRDefault="0019567E" w:rsidP="00282094">
      <w:pPr>
        <w:pStyle w:val="ListParagraph"/>
        <w:numPr>
          <w:ilvl w:val="0"/>
          <w:numId w:val="11"/>
        </w:numPr>
      </w:pPr>
      <w:r>
        <w:t>Approval of this agenda</w:t>
      </w:r>
    </w:p>
    <w:p w:rsidR="002F1ECD" w:rsidRDefault="00282094" w:rsidP="002F1ECD">
      <w:pPr>
        <w:pStyle w:val="ListParagraph"/>
        <w:numPr>
          <w:ilvl w:val="0"/>
          <w:numId w:val="11"/>
        </w:numPr>
      </w:pPr>
      <w:r>
        <w:t xml:space="preserve">Proposed schedule for </w:t>
      </w:r>
      <w:proofErr w:type="spellStart"/>
      <w:r>
        <w:t>adhoc</w:t>
      </w:r>
      <w:proofErr w:type="spellEnd"/>
      <w:r>
        <w:t xml:space="preserve"> sessions on quantum at this TSAG meeting</w:t>
      </w:r>
    </w:p>
    <w:p w:rsidR="002F1ECD" w:rsidRDefault="002F1ECD" w:rsidP="002F1ECD">
      <w:pPr>
        <w:ind w:firstLine="360"/>
      </w:pPr>
      <w:r>
        <w:t>See Table 1 of Annex 1</w:t>
      </w:r>
    </w:p>
    <w:p w:rsidR="00E73371" w:rsidRDefault="00282094" w:rsidP="00282094">
      <w:pPr>
        <w:pStyle w:val="ListParagraph"/>
        <w:numPr>
          <w:ilvl w:val="0"/>
          <w:numId w:val="11"/>
        </w:numPr>
      </w:pPr>
      <w:r>
        <w:t>Identification of relevant documents</w:t>
      </w:r>
    </w:p>
    <w:p w:rsidR="002F1ECD" w:rsidRDefault="002F1ECD" w:rsidP="002F1ECD">
      <w:pPr>
        <w:ind w:firstLine="360"/>
      </w:pPr>
      <w:r>
        <w:t>See Table 2 of Annex 1</w:t>
      </w:r>
    </w:p>
    <w:p w:rsidR="00204202" w:rsidRDefault="00CE0953" w:rsidP="002F1ECD">
      <w:pPr>
        <w:ind w:firstLine="360"/>
      </w:pPr>
      <w:r>
        <w:t>Unless specifically requested, Chairman does not intend to review those documents again</w:t>
      </w:r>
    </w:p>
    <w:p w:rsidR="00282094" w:rsidRDefault="00282094" w:rsidP="00282094">
      <w:pPr>
        <w:pStyle w:val="ListParagraph"/>
        <w:numPr>
          <w:ilvl w:val="0"/>
          <w:numId w:val="11"/>
        </w:numPr>
      </w:pPr>
      <w:r>
        <w:t>Chairman proposed shared vision</w:t>
      </w:r>
    </w:p>
    <w:p w:rsidR="002F1ECD" w:rsidRDefault="002F1ECD" w:rsidP="003E5888">
      <w:pPr>
        <w:ind w:left="360"/>
      </w:pPr>
      <w:r>
        <w:t xml:space="preserve">See </w:t>
      </w:r>
      <w:hyperlink r:id="rId12" w:history="1">
        <w:r w:rsidRPr="003E5888">
          <w:rPr>
            <w:rStyle w:val="Hyperlink"/>
            <w:rFonts w:ascii="Times New Roman" w:hAnsi="Times New Roman"/>
          </w:rPr>
          <w:t>TD</w:t>
        </w:r>
        <w:r w:rsidR="003E5888" w:rsidRPr="003E5888">
          <w:rPr>
            <w:rStyle w:val="Hyperlink"/>
            <w:rFonts w:ascii="Times New Roman" w:hAnsi="Times New Roman"/>
          </w:rPr>
          <w:t xml:space="preserve"> 620</w:t>
        </w:r>
      </w:hyperlink>
    </w:p>
    <w:p w:rsidR="00282094" w:rsidRDefault="00282094" w:rsidP="00282094">
      <w:pPr>
        <w:pStyle w:val="ListParagraph"/>
        <w:numPr>
          <w:ilvl w:val="0"/>
          <w:numId w:val="11"/>
        </w:numPr>
      </w:pPr>
      <w:r>
        <w:t>Discussion</w:t>
      </w:r>
    </w:p>
    <w:p w:rsidR="00282094" w:rsidRDefault="00282094" w:rsidP="00282094">
      <w:pPr>
        <w:pStyle w:val="ListParagraph"/>
        <w:numPr>
          <w:ilvl w:val="0"/>
          <w:numId w:val="11"/>
        </w:numPr>
      </w:pPr>
      <w:r>
        <w:t>Way forward</w:t>
      </w:r>
    </w:p>
    <w:p w:rsidR="0019567E" w:rsidRDefault="0019567E" w:rsidP="00282094">
      <w:pPr>
        <w:pStyle w:val="ListParagraph"/>
        <w:numPr>
          <w:ilvl w:val="0"/>
          <w:numId w:val="11"/>
        </w:numPr>
      </w:pPr>
      <w:r>
        <w:t>Any Other Business</w:t>
      </w:r>
    </w:p>
    <w:p w:rsidR="0019567E" w:rsidRDefault="0019567E" w:rsidP="00282094">
      <w:pPr>
        <w:pStyle w:val="ListParagraph"/>
        <w:numPr>
          <w:ilvl w:val="0"/>
          <w:numId w:val="11"/>
        </w:numPr>
      </w:pPr>
      <w:r>
        <w:t>Closing</w:t>
      </w:r>
    </w:p>
    <w:p w:rsidR="0019567E" w:rsidRDefault="0019567E" w:rsidP="0089088E"/>
    <w:p w:rsidR="002F1ECD" w:rsidRDefault="002F1ECD">
      <w:pPr>
        <w:spacing w:before="0" w:after="160" w:line="259" w:lineRule="auto"/>
      </w:pPr>
      <w:r>
        <w:br w:type="page"/>
      </w:r>
    </w:p>
    <w:p w:rsidR="002F1ECD" w:rsidRDefault="002F1ECD" w:rsidP="002F1ECD">
      <w:pPr>
        <w:pStyle w:val="AnnexNotitle"/>
      </w:pPr>
      <w:r>
        <w:lastRenderedPageBreak/>
        <w:t>Annex 1 – Tables</w:t>
      </w:r>
    </w:p>
    <w:p w:rsidR="002F1ECD" w:rsidRDefault="002F1ECD" w:rsidP="002F1EC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Proposed Schedule of Work for the </w:t>
      </w:r>
      <w:proofErr w:type="spellStart"/>
      <w:r>
        <w:t>adhoc</w:t>
      </w:r>
      <w:proofErr w:type="spellEnd"/>
      <w:r>
        <w:t xml:space="preserve"> sessions on quantum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6"/>
        <w:gridCol w:w="2261"/>
        <w:gridCol w:w="5215"/>
        <w:gridCol w:w="2268"/>
      </w:tblGrid>
      <w:tr w:rsidR="002F1ECD" w:rsidRPr="00FD736C" w:rsidTr="000E44CF">
        <w:tc>
          <w:tcPr>
            <w:tcW w:w="316" w:type="dxa"/>
            <w:shd w:val="clear" w:color="auto" w:fill="BFBFBF" w:themeFill="background1" w:themeFillShade="BF"/>
          </w:tcPr>
          <w:p w:rsidR="002F1ECD" w:rsidRPr="00FD736C" w:rsidRDefault="002F1ECD" w:rsidP="000E44CF">
            <w:pPr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2F1ECD" w:rsidRPr="00FD736C" w:rsidRDefault="002F1ECD" w:rsidP="000E44CF">
            <w:pPr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5215" w:type="dxa"/>
            <w:shd w:val="clear" w:color="auto" w:fill="BFBFBF" w:themeFill="background1" w:themeFillShade="BF"/>
          </w:tcPr>
          <w:p w:rsidR="002F1ECD" w:rsidRPr="00FD736C" w:rsidRDefault="002F1ECD" w:rsidP="000E44CF">
            <w:pPr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F1ECD" w:rsidRPr="00FD736C" w:rsidRDefault="002F1ECD" w:rsidP="000E44CF">
            <w:pPr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2F1ECD" w:rsidRPr="00282094" w:rsidTr="000E44CF">
        <w:tc>
          <w:tcPr>
            <w:tcW w:w="316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</w:tcPr>
          <w:p w:rsidR="002F1ECD" w:rsidRPr="00204202" w:rsidRDefault="002F1ECD" w:rsidP="000E44CF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Tuesday 24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6-8pm</w:t>
            </w:r>
          </w:p>
        </w:tc>
        <w:tc>
          <w:tcPr>
            <w:tcW w:w="5215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1AC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 xml:space="preserve"> Session: Build a common shared vision</w:t>
            </w:r>
          </w:p>
        </w:tc>
        <w:tc>
          <w:tcPr>
            <w:tcW w:w="2268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</w:p>
        </w:tc>
      </w:tr>
      <w:tr w:rsidR="002F1ECD" w:rsidRPr="00282094" w:rsidTr="000E44CF">
        <w:tc>
          <w:tcPr>
            <w:tcW w:w="316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25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6-8pm</w:t>
            </w:r>
          </w:p>
        </w:tc>
        <w:tc>
          <w:tcPr>
            <w:tcW w:w="5215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1AC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 xml:space="preserve"> Session: Expressed views towards consensus or not</w:t>
            </w:r>
          </w:p>
        </w:tc>
        <w:tc>
          <w:tcPr>
            <w:tcW w:w="2268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</w:p>
        </w:tc>
      </w:tr>
      <w:tr w:rsidR="002F1ECD" w:rsidRPr="00282094" w:rsidTr="000E44CF">
        <w:tc>
          <w:tcPr>
            <w:tcW w:w="316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1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26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8-9:30am</w:t>
            </w:r>
          </w:p>
        </w:tc>
        <w:tc>
          <w:tcPr>
            <w:tcW w:w="5215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21AC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 xml:space="preserve"> Session: Draft reviews of any consensus</w:t>
            </w:r>
          </w:p>
        </w:tc>
        <w:tc>
          <w:tcPr>
            <w:tcW w:w="2268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if consensus</w:t>
            </w:r>
          </w:p>
        </w:tc>
      </w:tr>
      <w:tr w:rsidR="002F1ECD" w:rsidRPr="00282094" w:rsidTr="000E44CF">
        <w:tc>
          <w:tcPr>
            <w:tcW w:w="316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1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26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6-8pm</w:t>
            </w:r>
          </w:p>
        </w:tc>
        <w:tc>
          <w:tcPr>
            <w:tcW w:w="5215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1AC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 xml:space="preserve"> Session: Final call and consensus</w:t>
            </w:r>
          </w:p>
        </w:tc>
        <w:tc>
          <w:tcPr>
            <w:tcW w:w="2268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if time needed</w:t>
            </w:r>
          </w:p>
        </w:tc>
      </w:tr>
      <w:tr w:rsidR="002F1ECD" w:rsidRPr="00282094" w:rsidTr="000E44CF">
        <w:tc>
          <w:tcPr>
            <w:tcW w:w="316" w:type="dxa"/>
          </w:tcPr>
          <w:p w:rsidR="002F1ECD" w:rsidRPr="00282094" w:rsidRDefault="00056322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1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27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5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at TSAG closing plenary</w:t>
            </w:r>
          </w:p>
        </w:tc>
        <w:tc>
          <w:tcPr>
            <w:tcW w:w="2268" w:type="dxa"/>
          </w:tcPr>
          <w:p w:rsidR="002F1ECD" w:rsidRPr="00282094" w:rsidRDefault="002F1ECD" w:rsidP="000E44CF">
            <w:pPr>
              <w:rPr>
                <w:sz w:val="20"/>
                <w:szCs w:val="20"/>
              </w:rPr>
            </w:pPr>
          </w:p>
        </w:tc>
      </w:tr>
    </w:tbl>
    <w:p w:rsidR="002F1ECD" w:rsidRDefault="002F1ECD" w:rsidP="002F1ECD">
      <w:pPr>
        <w:spacing w:before="0" w:after="160" w:line="259" w:lineRule="auto"/>
      </w:pPr>
    </w:p>
    <w:p w:rsidR="002F1ECD" w:rsidRDefault="002F1ECD" w:rsidP="002F1EC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Input documents specified at TSAG opening plenary for the </w:t>
      </w:r>
      <w:proofErr w:type="spellStart"/>
      <w:r>
        <w:t>adhoc</w:t>
      </w:r>
      <w:proofErr w:type="spellEnd"/>
      <w:r>
        <w:t xml:space="preserve"> sessions on quantum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2F1ECD" w:rsidRPr="00CE0953" w:rsidTr="000E44CF">
        <w:tc>
          <w:tcPr>
            <w:tcW w:w="988" w:type="dxa"/>
            <w:shd w:val="clear" w:color="auto" w:fill="BFBFBF" w:themeFill="background1" w:themeFillShade="BF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CE0953">
              <w:rPr>
                <w:sz w:val="20"/>
                <w:szCs w:val="20"/>
              </w:rPr>
              <w:t>Ref</w:t>
            </w:r>
          </w:p>
        </w:tc>
        <w:tc>
          <w:tcPr>
            <w:tcW w:w="8641" w:type="dxa"/>
            <w:shd w:val="clear" w:color="auto" w:fill="BFBFBF" w:themeFill="background1" w:themeFillShade="BF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CE0953">
              <w:rPr>
                <w:sz w:val="20"/>
                <w:szCs w:val="20"/>
              </w:rPr>
              <w:t>Title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3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TD538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ITU-T SG3: LS/r on proposed ITU-T Focus Group on Quantum Information Technology for Networks (FG-QIT4N) (reply to TSAG-LS19) [from ITU-T SG3]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4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TD560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2F1ECD">
              <w:rPr>
                <w:rStyle w:val="Hyperlink"/>
                <w:color w:val="000000" w:themeColor="text1"/>
                <w:sz w:val="20"/>
                <w:u w:val="none"/>
              </w:rPr>
              <w:t>ITU-T SG5:</w:t>
            </w:r>
            <w:r w:rsidRPr="002F1ECD">
              <w:rPr>
                <w:rStyle w:val="Hyperlink"/>
                <w:color w:val="000000" w:themeColor="text1"/>
                <w:sz w:val="20"/>
              </w:rPr>
              <w:t xml:space="preserve"> </w:t>
            </w:r>
            <w:r w:rsidRPr="004674EB">
              <w:rPr>
                <w:sz w:val="20"/>
              </w:rPr>
              <w:t>LS/r on proposed ITU-T Focus Group on Quantum Information Technology for Networks (FG-QIT4N) (reply to TSAG-LS19) [from ITU-T SG5]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5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TD532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ITU-T SG13: LS/r on proposed ITU-T Focus Group on Quantum Information Technology for Networks (FG-QIT4N) (reply to TSAG-LS19) [from ITU-T SG13]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6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TD572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2F1ECD">
              <w:rPr>
                <w:rStyle w:val="Hyperlink"/>
                <w:color w:val="000000" w:themeColor="text1"/>
                <w:sz w:val="20"/>
                <w:u w:val="none"/>
              </w:rPr>
              <w:t>ITU-T SG15:</w:t>
            </w:r>
            <w:r w:rsidRPr="002F1ECD">
              <w:rPr>
                <w:rStyle w:val="Hyperlink"/>
                <w:color w:val="000000" w:themeColor="text1"/>
                <w:sz w:val="20"/>
              </w:rPr>
              <w:t xml:space="preserve"> </w:t>
            </w:r>
            <w:r w:rsidRPr="004674EB">
              <w:rPr>
                <w:sz w:val="20"/>
              </w:rPr>
              <w:t>LS/r to TSAG on proposed ITU-T Focus Group on Quantum Information Technology for Networks (FG-QIT4N) (reply toTSAG-LS19 -E) [from ITU-T SG15]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7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TD526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ITU-T SG16: LS/r on proposed ITU-T Focus Group on Quantum Information Technology for Networks (FG-QIT4N) (TSAG-LS19) [from ITU-T SG16]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8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TD594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D14AFC">
              <w:rPr>
                <w:sz w:val="20"/>
              </w:rPr>
              <w:t>ITU-T SG17</w:t>
            </w:r>
            <w:r>
              <w:rPr>
                <w:sz w:val="20"/>
              </w:rPr>
              <w:t xml:space="preserve">: </w:t>
            </w:r>
            <w:r w:rsidRPr="00D14AFC">
              <w:rPr>
                <w:sz w:val="20"/>
              </w:rPr>
              <w:t>LS on the co-located meetings between Q4/17 and Q16/13 for Quantum-based security work items [from ITU-T SG17]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19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TD553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4674EB">
              <w:rPr>
                <w:sz w:val="20"/>
              </w:rPr>
              <w:t>ITU-T SG20: LS/r on proposed ITU-T Focus Group on Quantum Information Technology for Networks (FG-QIT4N) (reply to TSAG-LS19 -E) [from ITU-T SG20]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20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C97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5614F5">
              <w:rPr>
                <w:rFonts w:asciiTheme="majorBidi" w:hAnsiTheme="majorBidi" w:cstheme="majorBidi"/>
                <w:sz w:val="20"/>
              </w:rPr>
              <w:t>Beijing University of Posts</w:t>
            </w:r>
            <w:r>
              <w:rPr>
                <w:rFonts w:asciiTheme="majorBidi" w:hAnsiTheme="majorBidi" w:cstheme="majorBidi"/>
                <w:sz w:val="20"/>
              </w:rPr>
              <w:t xml:space="preserve"> and Telecommunications (China)</w:t>
            </w:r>
            <w:r w:rsidRPr="005614F5">
              <w:rPr>
                <w:rFonts w:asciiTheme="majorBidi" w:hAnsiTheme="majorBidi" w:cstheme="majorBidi"/>
                <w:sz w:val="20"/>
              </w:rPr>
              <w:t>, CAS Q</w:t>
            </w:r>
            <w:r>
              <w:rPr>
                <w:rFonts w:asciiTheme="majorBidi" w:hAnsiTheme="majorBidi" w:cstheme="majorBidi"/>
                <w:sz w:val="20"/>
              </w:rPr>
              <w:t>uantum Network Co. Ltd. (China)</w:t>
            </w:r>
            <w:r w:rsidRPr="005614F5">
              <w:rPr>
                <w:rFonts w:asciiTheme="majorBidi" w:hAnsiTheme="majorBidi" w:cstheme="majorBidi"/>
                <w:sz w:val="20"/>
              </w:rPr>
              <w:t>, China Information C</w:t>
            </w:r>
            <w:r>
              <w:rPr>
                <w:rFonts w:asciiTheme="majorBidi" w:hAnsiTheme="majorBidi" w:cstheme="majorBidi"/>
                <w:sz w:val="20"/>
              </w:rPr>
              <w:t>ommunication Technologies Group</w:t>
            </w:r>
            <w:r w:rsidRPr="005614F5">
              <w:rPr>
                <w:rFonts w:asciiTheme="majorBidi" w:hAnsiTheme="majorBidi" w:cstheme="majorBidi"/>
                <w:sz w:val="20"/>
              </w:rPr>
              <w:t>, China Mo</w:t>
            </w:r>
            <w:r>
              <w:rPr>
                <w:rFonts w:asciiTheme="majorBidi" w:hAnsiTheme="majorBidi" w:cstheme="majorBidi"/>
                <w:sz w:val="20"/>
              </w:rPr>
              <w:t>bile Communications Corporation</w:t>
            </w:r>
            <w:r w:rsidRPr="005614F5">
              <w:rPr>
                <w:rFonts w:asciiTheme="majorBidi" w:hAnsiTheme="majorBidi" w:cstheme="majorBidi"/>
                <w:sz w:val="20"/>
              </w:rPr>
              <w:t>, China</w:t>
            </w:r>
            <w:r>
              <w:rPr>
                <w:rFonts w:asciiTheme="majorBidi" w:hAnsiTheme="majorBidi" w:cstheme="majorBidi"/>
                <w:sz w:val="20"/>
              </w:rPr>
              <w:t xml:space="preserve"> Telecommunications Corporation, China Unicom</w:t>
            </w:r>
            <w:r w:rsidRPr="005614F5">
              <w:rPr>
                <w:rFonts w:asciiTheme="majorBidi" w:hAnsiTheme="majorBidi" w:cstheme="majorBidi"/>
                <w:sz w:val="20"/>
              </w:rPr>
              <w:t>, Huawei</w:t>
            </w:r>
            <w:r>
              <w:rPr>
                <w:rFonts w:asciiTheme="majorBidi" w:hAnsiTheme="majorBidi" w:cstheme="majorBidi"/>
                <w:sz w:val="20"/>
              </w:rPr>
              <w:t xml:space="preserve"> Technologies Co., Ltd. (China)</w:t>
            </w:r>
            <w:r w:rsidRPr="005614F5">
              <w:rPr>
                <w:rFonts w:asciiTheme="majorBidi" w:hAnsiTheme="majorBidi" w:cstheme="majorBidi"/>
                <w:sz w:val="20"/>
              </w:rPr>
              <w:t>, K</w:t>
            </w:r>
            <w:r>
              <w:rPr>
                <w:rFonts w:asciiTheme="majorBidi" w:hAnsiTheme="majorBidi" w:cstheme="majorBidi"/>
                <w:sz w:val="20"/>
              </w:rPr>
              <w:t xml:space="preserve">T Corporation (Korea (Rep. of)), </w:t>
            </w:r>
            <w:proofErr w:type="spellStart"/>
            <w:r>
              <w:rPr>
                <w:rFonts w:asciiTheme="majorBidi" w:hAnsiTheme="majorBidi" w:cstheme="majorBidi"/>
                <w:sz w:val="20"/>
              </w:rPr>
              <w:t>QuantumCTek</w:t>
            </w:r>
            <w:proofErr w:type="spellEnd"/>
            <w:r>
              <w:rPr>
                <w:rFonts w:asciiTheme="majorBidi" w:hAnsiTheme="majorBidi" w:cstheme="majorBidi"/>
                <w:sz w:val="20"/>
              </w:rPr>
              <w:t xml:space="preserve"> Co., Ltd. (China), ZTE Corporation (China): </w:t>
            </w:r>
            <w:r w:rsidRPr="005614F5">
              <w:rPr>
                <w:rFonts w:asciiTheme="majorBidi" w:hAnsiTheme="majorBidi" w:cstheme="majorBidi"/>
                <w:sz w:val="20"/>
              </w:rPr>
              <w:t>Proposal to set up a new ITU-T Focus Group on Quantum Information Technology for Networks (FG-QIT4N)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21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TD579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77091C">
              <w:rPr>
                <w:sz w:val="20"/>
              </w:rPr>
              <w:t>ITU-T SG13 Chairman, ITU-T SG17 Chairman: Quantum Work Consolidation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22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TD493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9C0E83">
              <w:rPr>
                <w:sz w:val="20"/>
              </w:rPr>
              <w:t>ITU-T Liaison Officer to JTC 1</w:t>
            </w:r>
            <w:r>
              <w:rPr>
                <w:sz w:val="20"/>
              </w:rPr>
              <w:t xml:space="preserve">: </w:t>
            </w:r>
            <w:r w:rsidRPr="009C0E83">
              <w:rPr>
                <w:sz w:val="20"/>
              </w:rPr>
              <w:t>Report of the ISO/IEC JTC 1 Plenary, (Lahaina, 6-11 May 2019)</w:t>
            </w:r>
          </w:p>
        </w:tc>
      </w:tr>
      <w:tr w:rsidR="002F1ECD" w:rsidRPr="00CE0953" w:rsidTr="000E44CF">
        <w:tc>
          <w:tcPr>
            <w:tcW w:w="988" w:type="dxa"/>
          </w:tcPr>
          <w:p w:rsidR="002F1ECD" w:rsidRPr="00CE0953" w:rsidRDefault="00162ED6" w:rsidP="000E44CF">
            <w:pPr>
              <w:rPr>
                <w:sz w:val="20"/>
                <w:szCs w:val="20"/>
              </w:rPr>
            </w:pPr>
            <w:hyperlink r:id="rId23" w:history="1">
              <w:r w:rsidR="002F1ECD" w:rsidRPr="002F1E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TD605</w:t>
              </w:r>
            </w:hyperlink>
          </w:p>
        </w:tc>
        <w:tc>
          <w:tcPr>
            <w:tcW w:w="8641" w:type="dxa"/>
          </w:tcPr>
          <w:p w:rsidR="002F1ECD" w:rsidRPr="00CE0953" w:rsidRDefault="002F1ECD" w:rsidP="000E44CF">
            <w:pPr>
              <w:rPr>
                <w:sz w:val="20"/>
                <w:szCs w:val="20"/>
              </w:rPr>
            </w:pPr>
            <w:r w:rsidRPr="009302F8">
              <w:rPr>
                <w:sz w:val="20"/>
                <w:lang w:eastAsia="zh-CN"/>
              </w:rPr>
              <w:t>SPCG Chair</w:t>
            </w:r>
            <w:r>
              <w:rPr>
                <w:sz w:val="20"/>
                <w:lang w:eastAsia="zh-CN"/>
              </w:rPr>
              <w:t xml:space="preserve">: </w:t>
            </w:r>
            <w:r w:rsidRPr="009302F8">
              <w:rPr>
                <w:sz w:val="20"/>
                <w:lang w:eastAsia="zh-CN"/>
              </w:rPr>
              <w:t>IEC/ISO/ITU SPCG recommendation on TSAG-C97 Proposal to set up a new ITU-T Focus Group on Quantum Information Technology for Networks (FG-QIT4N)</w:t>
            </w:r>
          </w:p>
        </w:tc>
      </w:tr>
    </w:tbl>
    <w:p w:rsidR="002F1ECD" w:rsidRDefault="002F1ECD" w:rsidP="002F1ECD">
      <w:pPr>
        <w:spacing w:before="0" w:after="160" w:line="259" w:lineRule="auto"/>
      </w:pPr>
    </w:p>
    <w:p w:rsidR="00794F4F" w:rsidRDefault="00394DBF" w:rsidP="001200A6">
      <w:pPr>
        <w:jc w:val="center"/>
      </w:pPr>
      <w:r>
        <w:t>_______________________</w:t>
      </w:r>
    </w:p>
    <w:sectPr w:rsidR="00794F4F" w:rsidSect="00435DE4">
      <w:headerReference w:type="default" r:id="rId2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76" w:rsidRDefault="00662176" w:rsidP="00C42125">
      <w:pPr>
        <w:spacing w:before="0"/>
      </w:pPr>
      <w:r>
        <w:separator/>
      </w:r>
    </w:p>
  </w:endnote>
  <w:endnote w:type="continuationSeparator" w:id="0">
    <w:p w:rsidR="00662176" w:rsidRDefault="0066217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76" w:rsidRDefault="00662176" w:rsidP="00C42125">
      <w:pPr>
        <w:spacing w:before="0"/>
      </w:pPr>
      <w:r>
        <w:separator/>
      </w:r>
    </w:p>
  </w:footnote>
  <w:footnote w:type="continuationSeparator" w:id="0">
    <w:p w:rsidR="00662176" w:rsidRDefault="0066217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A1" w:rsidRPr="00435DE4" w:rsidRDefault="00435DE4" w:rsidP="00435DE4">
    <w:pPr>
      <w:pStyle w:val="Header"/>
      <w:rPr>
        <w:sz w:val="18"/>
      </w:rPr>
    </w:pPr>
    <w:r w:rsidRPr="00435DE4">
      <w:rPr>
        <w:sz w:val="18"/>
      </w:rPr>
      <w:t xml:space="preserve">- </w:t>
    </w:r>
    <w:r w:rsidRPr="00435DE4">
      <w:rPr>
        <w:sz w:val="18"/>
      </w:rPr>
      <w:fldChar w:fldCharType="begin"/>
    </w:r>
    <w:r w:rsidRPr="00435DE4">
      <w:rPr>
        <w:sz w:val="18"/>
      </w:rPr>
      <w:instrText xml:space="preserve"> PAGE  \* MERGEFORMAT </w:instrText>
    </w:r>
    <w:r w:rsidRPr="00435DE4">
      <w:rPr>
        <w:sz w:val="18"/>
      </w:rPr>
      <w:fldChar w:fldCharType="separate"/>
    </w:r>
    <w:r w:rsidR="00162ED6">
      <w:rPr>
        <w:noProof/>
        <w:sz w:val="18"/>
      </w:rPr>
      <w:t>2</w:t>
    </w:r>
    <w:r w:rsidRPr="00435DE4">
      <w:rPr>
        <w:sz w:val="18"/>
      </w:rPr>
      <w:fldChar w:fldCharType="end"/>
    </w:r>
    <w:r w:rsidRPr="00435DE4">
      <w:rPr>
        <w:sz w:val="18"/>
      </w:rPr>
      <w:t xml:space="preserve"> -</w:t>
    </w:r>
  </w:p>
  <w:p w:rsidR="00435DE4" w:rsidRPr="00435DE4" w:rsidRDefault="003E5888" w:rsidP="00435DE4">
    <w:pPr>
      <w:pStyle w:val="Header"/>
      <w:spacing w:after="240"/>
      <w:rPr>
        <w:sz w:val="18"/>
      </w:rPr>
    </w:pPr>
    <w:r>
      <w:rPr>
        <w:sz w:val="18"/>
      </w:rPr>
      <w:t>TSAG-TD619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C09A72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B2FE1"/>
    <w:multiLevelType w:val="hybridMultilevel"/>
    <w:tmpl w:val="62828814"/>
    <w:lvl w:ilvl="0" w:tplc="837CCF8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6322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62ED6"/>
    <w:rsid w:val="001871EC"/>
    <w:rsid w:val="0019567E"/>
    <w:rsid w:val="001A20C3"/>
    <w:rsid w:val="001A670F"/>
    <w:rsid w:val="001B0002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04202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2094"/>
    <w:rsid w:val="002A11C4"/>
    <w:rsid w:val="002A399B"/>
    <w:rsid w:val="002C26C0"/>
    <w:rsid w:val="002C2BC5"/>
    <w:rsid w:val="002E0407"/>
    <w:rsid w:val="002E79CB"/>
    <w:rsid w:val="002F0471"/>
    <w:rsid w:val="002F1714"/>
    <w:rsid w:val="002F1ECD"/>
    <w:rsid w:val="002F7F55"/>
    <w:rsid w:val="0030745F"/>
    <w:rsid w:val="00314630"/>
    <w:rsid w:val="0032090A"/>
    <w:rsid w:val="00321ACD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E5888"/>
    <w:rsid w:val="003F2BED"/>
    <w:rsid w:val="00400B49"/>
    <w:rsid w:val="00435DE4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06FD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62176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E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8F16D6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3413"/>
    <w:rsid w:val="00C42125"/>
    <w:rsid w:val="00C62814"/>
    <w:rsid w:val="00C67B25"/>
    <w:rsid w:val="00C748F7"/>
    <w:rsid w:val="00C74937"/>
    <w:rsid w:val="00CB2599"/>
    <w:rsid w:val="00CC386F"/>
    <w:rsid w:val="00CD2139"/>
    <w:rsid w:val="00CE0953"/>
    <w:rsid w:val="00CE5986"/>
    <w:rsid w:val="00D26477"/>
    <w:rsid w:val="00D30219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73371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36C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282094"/>
    <w:pPr>
      <w:ind w:left="720"/>
      <w:contextualSpacing/>
    </w:pPr>
  </w:style>
  <w:style w:type="table" w:styleId="TableGrid">
    <w:name w:val="Table Grid"/>
    <w:basedOn w:val="TableNormal"/>
    <w:uiPriority w:val="39"/>
    <w:rsid w:val="0028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F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190923-TD-GEN-0538/en" TargetMode="External"/><Relationship Id="rId18" Type="http://schemas.openxmlformats.org/officeDocument/2006/relationships/hyperlink" Target="https://www.itu.int/md/T17-TSAG-190923-TD-GEN-0594/en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190923-TD-GEN-0579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190923-TD-GEN-0620/en" TargetMode="External"/><Relationship Id="rId17" Type="http://schemas.openxmlformats.org/officeDocument/2006/relationships/hyperlink" Target="https://www.itu.int/md/T17-TSAG-190923-TD-GEN-0526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190923-TD-GEN-0572/en" TargetMode="External"/><Relationship Id="rId20" Type="http://schemas.openxmlformats.org/officeDocument/2006/relationships/hyperlink" Target="https://www.itu.int/md/meetingdoc.asp?lang=en&amp;parent=T17-TSAG-C-009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190923-TD-GEN-0532/en" TargetMode="External"/><Relationship Id="rId23" Type="http://schemas.openxmlformats.org/officeDocument/2006/relationships/hyperlink" Target="https://www.itu.int/md/T17-TSAG-190923-TD-GEN-0605/en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www.itu.int/md/T17-TSAG-190923-TD-GEN-0553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190923-TD-GEN-0560/en" TargetMode="External"/><Relationship Id="rId22" Type="http://schemas.openxmlformats.org/officeDocument/2006/relationships/hyperlink" Target="https://www.itu.int/md/T17-TSAG-190923-TD-GEN-0493/e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FE7AE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FE7AE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FE7AE6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FE7AE6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237422"/>
    <w:rsid w:val="002D5FF5"/>
    <w:rsid w:val="0072670F"/>
    <w:rsid w:val="00A43D87"/>
    <w:rsid w:val="00FE399B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the first adhoc session on quantum.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3f6fad35-1f81-480e-a4e5-6e5474dcfb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2</Pages>
  <Words>676</Words>
  <Characters>3859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of the first adhoc session on Quantum</vt:lpstr>
      <vt:lpstr/>
    </vt:vector>
  </TitlesOfParts>
  <Manager>ITU-T</Manager>
  <Company>International Telecommunication Union (ITU)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first adhoc session on Quantum</dc:title>
  <dc:subject/>
  <dc:creator>Chairman, Quantum Adhoc Sessions</dc:creator>
  <cp:keywords>Agenda; First Adhoc Session; Quantum;</cp:keywords>
  <dc:description>TSAG-TD619  For: Geneva, 23-27 September 2019_x000d_Document date: _x000d_Saved by ITU51011769 at 09:28:39 on 24/09/2019</dc:description>
  <cp:lastModifiedBy>Al-Mnini, Lara</cp:lastModifiedBy>
  <cp:revision>2</cp:revision>
  <cp:lastPrinted>2016-12-23T12:52:00Z</cp:lastPrinted>
  <dcterms:created xsi:type="dcterms:W3CDTF">2019-09-24T07:56:00Z</dcterms:created>
  <dcterms:modified xsi:type="dcterms:W3CDTF">2019-09-24T07:56:00Z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Quantum Adhoc Sessions</vt:lpwstr>
  </property>
</Properties>
</file>