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9A62AF" w:rsidRPr="004F4226" w:rsidTr="0037655F">
        <w:trPr>
          <w:cantSplit/>
        </w:trPr>
        <w:tc>
          <w:tcPr>
            <w:tcW w:w="1189" w:type="dxa"/>
            <w:vMerge w:val="restart"/>
          </w:tcPr>
          <w:p w:rsidR="009A62AF" w:rsidRPr="004F4226" w:rsidRDefault="009A62AF" w:rsidP="005E623C">
            <w:pPr>
              <w:spacing w:before="120" w:after="100" w:afterAutospacing="1"/>
              <w:rPr>
                <w:sz w:val="20"/>
                <w:lang w:eastAsia="ja-JP"/>
              </w:rPr>
            </w:pPr>
            <w:r w:rsidRPr="004F4226">
              <w:rPr>
                <w:noProof/>
                <w:sz w:val="20"/>
              </w:rPr>
              <w:drawing>
                <wp:inline distT="0" distB="0" distL="0" distR="0" wp14:anchorId="3176785A" wp14:editId="28F3F2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9A62AF" w:rsidRPr="004F4226" w:rsidRDefault="009A62AF" w:rsidP="005E623C">
            <w:pPr>
              <w:spacing w:before="120" w:after="100" w:afterAutospacing="1"/>
              <w:rPr>
                <w:rFonts w:asciiTheme="majorBidi" w:hAnsiTheme="majorBidi" w:cstheme="majorBidi"/>
                <w:sz w:val="16"/>
                <w:szCs w:val="16"/>
                <w:lang w:eastAsia="ja-JP"/>
              </w:rPr>
            </w:pPr>
            <w:r w:rsidRPr="004F4226">
              <w:rPr>
                <w:rFonts w:asciiTheme="majorBidi" w:hAnsiTheme="majorBidi" w:cstheme="majorBidi"/>
                <w:sz w:val="16"/>
                <w:szCs w:val="16"/>
                <w:lang w:eastAsia="ja-JP"/>
              </w:rPr>
              <w:t>INTERNATIONAL TELECOMMUNICATION UNION</w:t>
            </w:r>
          </w:p>
          <w:p w:rsidR="009A62AF" w:rsidRPr="004F4226" w:rsidRDefault="009A62AF" w:rsidP="005E623C">
            <w:pPr>
              <w:spacing w:before="120" w:after="100" w:afterAutospacing="1"/>
              <w:rPr>
                <w:rFonts w:asciiTheme="majorBidi" w:hAnsiTheme="majorBidi" w:cstheme="majorBidi"/>
                <w:b/>
                <w:bCs/>
                <w:sz w:val="26"/>
                <w:szCs w:val="26"/>
                <w:lang w:eastAsia="ja-JP"/>
              </w:rPr>
            </w:pPr>
            <w:r w:rsidRPr="004F4226">
              <w:rPr>
                <w:rFonts w:asciiTheme="majorBidi" w:hAnsiTheme="majorBidi" w:cstheme="majorBidi"/>
                <w:b/>
                <w:bCs/>
                <w:sz w:val="26"/>
                <w:szCs w:val="26"/>
                <w:lang w:eastAsia="ja-JP"/>
              </w:rPr>
              <w:t>TELECOMMUNICATION</w:t>
            </w:r>
            <w:r w:rsidRPr="004F4226">
              <w:rPr>
                <w:rFonts w:asciiTheme="majorBidi" w:hAnsiTheme="majorBidi" w:cstheme="majorBidi"/>
                <w:b/>
                <w:bCs/>
                <w:sz w:val="26"/>
                <w:szCs w:val="26"/>
                <w:lang w:eastAsia="ja-JP"/>
              </w:rPr>
              <w:br/>
              <w:t>STANDARDIZATION SECTOR</w:t>
            </w:r>
          </w:p>
          <w:p w:rsidR="009A62AF" w:rsidRPr="004F4226" w:rsidRDefault="009A62AF" w:rsidP="005E623C">
            <w:pPr>
              <w:spacing w:before="120" w:after="100" w:afterAutospacing="1"/>
              <w:rPr>
                <w:rFonts w:asciiTheme="majorBidi" w:hAnsiTheme="majorBidi" w:cstheme="majorBidi"/>
                <w:sz w:val="20"/>
                <w:lang w:eastAsia="ja-JP"/>
              </w:rPr>
            </w:pPr>
            <w:r w:rsidRPr="004F4226">
              <w:rPr>
                <w:rFonts w:asciiTheme="majorBidi" w:hAnsiTheme="majorBidi" w:cstheme="majorBidi"/>
                <w:sz w:val="20"/>
                <w:lang w:eastAsia="ja-JP"/>
              </w:rPr>
              <w:t xml:space="preserve">STUDY PERIOD </w:t>
            </w:r>
            <w:bookmarkStart w:id="0" w:name="dstudyperiod"/>
            <w:r w:rsidRPr="004F4226">
              <w:rPr>
                <w:rFonts w:asciiTheme="majorBidi" w:hAnsiTheme="majorBidi" w:cstheme="majorBidi"/>
                <w:sz w:val="20"/>
                <w:lang w:eastAsia="ja-JP"/>
              </w:rPr>
              <w:t>2017-2020</w:t>
            </w:r>
            <w:bookmarkEnd w:id="0"/>
          </w:p>
        </w:tc>
        <w:tc>
          <w:tcPr>
            <w:tcW w:w="4682" w:type="dxa"/>
            <w:vAlign w:val="center"/>
          </w:tcPr>
          <w:p w:rsidR="009A62AF" w:rsidRPr="004F4226" w:rsidRDefault="00912198" w:rsidP="00C73D2D">
            <w:pPr>
              <w:pStyle w:val="Docnumber"/>
            </w:pPr>
            <w:r w:rsidRPr="004F4226">
              <w:t>T</w:t>
            </w:r>
            <w:r w:rsidR="00FC0AB0" w:rsidRPr="004F4226">
              <w:t>SAG-T</w:t>
            </w:r>
            <w:r w:rsidRPr="004F4226">
              <w:t>D</w:t>
            </w:r>
            <w:r w:rsidR="00C73D2D" w:rsidRPr="004F4226">
              <w:t>661</w:t>
            </w:r>
          </w:p>
        </w:tc>
      </w:tr>
      <w:tr w:rsidR="009A62AF" w:rsidRPr="004F4226" w:rsidTr="0037655F">
        <w:trPr>
          <w:cantSplit/>
        </w:trPr>
        <w:tc>
          <w:tcPr>
            <w:tcW w:w="1189" w:type="dxa"/>
            <w:vMerge/>
          </w:tcPr>
          <w:p w:rsidR="009A62AF" w:rsidRPr="004F4226" w:rsidRDefault="009A62AF" w:rsidP="005E623C">
            <w:pPr>
              <w:spacing w:before="120" w:after="100" w:afterAutospacing="1"/>
              <w:rPr>
                <w:smallCaps/>
                <w:sz w:val="20"/>
                <w:szCs w:val="24"/>
                <w:lang w:eastAsia="ja-JP"/>
              </w:rPr>
            </w:pPr>
          </w:p>
        </w:tc>
        <w:tc>
          <w:tcPr>
            <w:tcW w:w="4052" w:type="dxa"/>
            <w:gridSpan w:val="3"/>
            <w:vMerge/>
          </w:tcPr>
          <w:p w:rsidR="009A62AF" w:rsidRPr="004F4226" w:rsidRDefault="009A62AF" w:rsidP="005E623C">
            <w:pPr>
              <w:spacing w:before="120" w:after="100" w:afterAutospacing="1"/>
              <w:rPr>
                <w:rFonts w:asciiTheme="majorBidi" w:hAnsiTheme="majorBidi" w:cstheme="majorBidi"/>
                <w:smallCaps/>
                <w:sz w:val="20"/>
                <w:szCs w:val="24"/>
                <w:lang w:eastAsia="ja-JP"/>
              </w:rPr>
            </w:pPr>
          </w:p>
        </w:tc>
        <w:tc>
          <w:tcPr>
            <w:tcW w:w="4682" w:type="dxa"/>
          </w:tcPr>
          <w:p w:rsidR="009A62AF" w:rsidRPr="004F4226" w:rsidRDefault="009A62AF" w:rsidP="005E623C">
            <w:pPr>
              <w:pStyle w:val="Docnumber"/>
              <w:rPr>
                <w:sz w:val="28"/>
              </w:rPr>
            </w:pPr>
            <w:r w:rsidRPr="004F4226">
              <w:rPr>
                <w:sz w:val="28"/>
              </w:rPr>
              <w:t>TSAG</w:t>
            </w:r>
          </w:p>
        </w:tc>
      </w:tr>
      <w:tr w:rsidR="009A62AF" w:rsidRPr="004F4226" w:rsidTr="0037655F">
        <w:trPr>
          <w:cantSplit/>
        </w:trPr>
        <w:tc>
          <w:tcPr>
            <w:tcW w:w="1189" w:type="dxa"/>
            <w:vMerge/>
            <w:tcBorders>
              <w:bottom w:val="single" w:sz="12" w:space="0" w:color="auto"/>
            </w:tcBorders>
          </w:tcPr>
          <w:p w:rsidR="009A62AF" w:rsidRPr="004F4226" w:rsidRDefault="009A62AF" w:rsidP="005E623C">
            <w:pPr>
              <w:spacing w:before="120" w:after="100" w:afterAutospacing="1"/>
              <w:rPr>
                <w:b/>
                <w:bCs/>
                <w:sz w:val="26"/>
                <w:szCs w:val="24"/>
                <w:lang w:eastAsia="ja-JP"/>
              </w:rPr>
            </w:pPr>
          </w:p>
        </w:tc>
        <w:tc>
          <w:tcPr>
            <w:tcW w:w="4052" w:type="dxa"/>
            <w:gridSpan w:val="3"/>
            <w:vMerge/>
            <w:tcBorders>
              <w:bottom w:val="single" w:sz="12" w:space="0" w:color="auto"/>
            </w:tcBorders>
          </w:tcPr>
          <w:p w:rsidR="009A62AF" w:rsidRPr="004F4226" w:rsidRDefault="009A62AF" w:rsidP="005E623C">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9A62AF" w:rsidRPr="004F4226" w:rsidRDefault="009A62AF" w:rsidP="00FC0AB0">
            <w:pPr>
              <w:spacing w:after="0" w:line="240" w:lineRule="auto"/>
              <w:jc w:val="right"/>
              <w:rPr>
                <w:rFonts w:ascii="Times New Roman" w:eastAsia="Calibri" w:hAnsi="Times New Roman" w:cs="Times New Roman"/>
                <w:b/>
                <w:bCs/>
                <w:sz w:val="28"/>
                <w:szCs w:val="24"/>
                <w:lang w:eastAsia="ja-JP"/>
              </w:rPr>
            </w:pPr>
            <w:r w:rsidRPr="004F4226">
              <w:rPr>
                <w:rFonts w:ascii="Times New Roman" w:eastAsia="Calibri" w:hAnsi="Times New Roman" w:cs="Times New Roman"/>
                <w:b/>
                <w:bCs/>
                <w:sz w:val="28"/>
                <w:szCs w:val="24"/>
                <w:lang w:eastAsia="ja-JP"/>
              </w:rPr>
              <w:t>Original: English</w:t>
            </w:r>
          </w:p>
        </w:tc>
      </w:tr>
      <w:tr w:rsidR="009A62AF" w:rsidRPr="004F4226" w:rsidTr="0037655F">
        <w:trPr>
          <w:cantSplit/>
        </w:trPr>
        <w:tc>
          <w:tcPr>
            <w:tcW w:w="1615" w:type="dxa"/>
            <w:gridSpan w:val="3"/>
          </w:tcPr>
          <w:p w:rsidR="009A62AF" w:rsidRPr="004F4226" w:rsidRDefault="009A62AF" w:rsidP="005E623C">
            <w:pPr>
              <w:spacing w:before="120" w:after="100" w:afterAutospacing="1"/>
              <w:rPr>
                <w:rFonts w:asciiTheme="majorBidi" w:hAnsiTheme="majorBidi" w:cstheme="majorBidi"/>
                <w:b/>
                <w:bCs/>
                <w:szCs w:val="24"/>
                <w:lang w:eastAsia="ja-JP"/>
              </w:rPr>
            </w:pPr>
            <w:r w:rsidRPr="004F4226">
              <w:rPr>
                <w:rFonts w:asciiTheme="majorBidi" w:hAnsiTheme="majorBidi" w:cstheme="majorBidi"/>
                <w:b/>
                <w:bCs/>
                <w:szCs w:val="24"/>
                <w:lang w:eastAsia="ja-JP"/>
              </w:rPr>
              <w:t>Question(s):</w:t>
            </w:r>
          </w:p>
        </w:tc>
        <w:tc>
          <w:tcPr>
            <w:tcW w:w="3626" w:type="dxa"/>
          </w:tcPr>
          <w:p w:rsidR="009A62AF" w:rsidRPr="004F4226" w:rsidRDefault="009A62AF" w:rsidP="005E623C">
            <w:pPr>
              <w:spacing w:before="120" w:after="100" w:afterAutospacing="1"/>
              <w:rPr>
                <w:rFonts w:asciiTheme="majorBidi" w:hAnsiTheme="majorBidi" w:cstheme="majorBidi"/>
                <w:szCs w:val="24"/>
                <w:lang w:eastAsia="ja-JP"/>
              </w:rPr>
            </w:pPr>
            <w:r w:rsidRPr="004F4226">
              <w:rPr>
                <w:rFonts w:asciiTheme="majorBidi" w:hAnsiTheme="majorBidi" w:cstheme="majorBidi"/>
                <w:szCs w:val="24"/>
                <w:lang w:eastAsia="ja-JP"/>
              </w:rPr>
              <w:t>N/A</w:t>
            </w:r>
          </w:p>
        </w:tc>
        <w:tc>
          <w:tcPr>
            <w:tcW w:w="4682" w:type="dxa"/>
          </w:tcPr>
          <w:p w:rsidR="009A62AF" w:rsidRPr="004F4226" w:rsidRDefault="00047D24" w:rsidP="00C73D2D">
            <w:pPr>
              <w:spacing w:before="120" w:after="0" w:line="240" w:lineRule="auto"/>
              <w:jc w:val="right"/>
              <w:rPr>
                <w:rFonts w:ascii="Times New Roman" w:eastAsia="Calibri" w:hAnsi="Times New Roman" w:cs="Times New Roman"/>
                <w:sz w:val="24"/>
                <w:szCs w:val="24"/>
                <w:lang w:eastAsia="ja-JP"/>
              </w:rPr>
            </w:pPr>
            <w:r w:rsidRPr="004F4226">
              <w:rPr>
                <w:rFonts w:ascii="Times New Roman" w:eastAsia="Calibri" w:hAnsi="Times New Roman" w:cs="Times New Roman"/>
                <w:sz w:val="24"/>
                <w:szCs w:val="24"/>
                <w:lang w:eastAsia="ja-JP"/>
              </w:rPr>
              <w:t xml:space="preserve">Geneva, </w:t>
            </w:r>
            <w:r w:rsidR="00C73D2D" w:rsidRPr="004F4226">
              <w:rPr>
                <w:rFonts w:ascii="Times New Roman" w:eastAsia="Calibri" w:hAnsi="Times New Roman" w:cs="Times New Roman"/>
                <w:sz w:val="24"/>
                <w:szCs w:val="24"/>
                <w:lang w:eastAsia="ja-JP"/>
              </w:rPr>
              <w:t>10-14 February 2020</w:t>
            </w:r>
          </w:p>
        </w:tc>
      </w:tr>
      <w:tr w:rsidR="009A62AF" w:rsidRPr="004F4226" w:rsidTr="005E623C">
        <w:trPr>
          <w:cantSplit/>
        </w:trPr>
        <w:tc>
          <w:tcPr>
            <w:tcW w:w="9923" w:type="dxa"/>
            <w:gridSpan w:val="5"/>
          </w:tcPr>
          <w:p w:rsidR="009A62AF" w:rsidRPr="004F4226" w:rsidRDefault="009A62AF" w:rsidP="005E623C">
            <w:pPr>
              <w:spacing w:before="120" w:after="100" w:afterAutospacing="1"/>
              <w:jc w:val="center"/>
              <w:rPr>
                <w:rFonts w:asciiTheme="majorBidi" w:hAnsiTheme="majorBidi" w:cstheme="majorBidi"/>
                <w:b/>
                <w:bCs/>
                <w:sz w:val="24"/>
                <w:szCs w:val="24"/>
                <w:lang w:eastAsia="ja-JP"/>
              </w:rPr>
            </w:pPr>
            <w:bookmarkStart w:id="1" w:name="ddoctype" w:colFirst="0" w:colLast="0"/>
            <w:r w:rsidRPr="004F4226">
              <w:rPr>
                <w:rFonts w:asciiTheme="majorBidi" w:hAnsiTheme="majorBidi" w:cstheme="majorBidi"/>
                <w:b/>
                <w:bCs/>
                <w:sz w:val="24"/>
                <w:szCs w:val="24"/>
                <w:lang w:eastAsia="ja-JP"/>
              </w:rPr>
              <w:t>TD</w:t>
            </w:r>
          </w:p>
        </w:tc>
      </w:tr>
      <w:bookmarkEnd w:id="1"/>
      <w:tr w:rsidR="009A62AF" w:rsidRPr="004F4226" w:rsidTr="0037655F">
        <w:trPr>
          <w:cantSplit/>
        </w:trPr>
        <w:tc>
          <w:tcPr>
            <w:tcW w:w="1615" w:type="dxa"/>
            <w:gridSpan w:val="3"/>
          </w:tcPr>
          <w:p w:rsidR="009A62AF" w:rsidRPr="004F4226" w:rsidRDefault="009A62AF" w:rsidP="005E623C">
            <w:pPr>
              <w:spacing w:before="120" w:after="100" w:afterAutospacing="1"/>
              <w:rPr>
                <w:rFonts w:asciiTheme="majorBidi" w:hAnsiTheme="majorBidi" w:cstheme="majorBidi"/>
                <w:b/>
                <w:bCs/>
                <w:sz w:val="24"/>
                <w:szCs w:val="24"/>
                <w:lang w:eastAsia="ja-JP"/>
              </w:rPr>
            </w:pPr>
            <w:r w:rsidRPr="004F4226">
              <w:rPr>
                <w:rFonts w:asciiTheme="majorBidi" w:hAnsiTheme="majorBidi" w:cstheme="majorBidi"/>
                <w:b/>
                <w:bCs/>
                <w:sz w:val="24"/>
                <w:szCs w:val="24"/>
                <w:lang w:eastAsia="ja-JP"/>
              </w:rPr>
              <w:t>Source:</w:t>
            </w:r>
          </w:p>
        </w:tc>
        <w:tc>
          <w:tcPr>
            <w:tcW w:w="8308" w:type="dxa"/>
            <w:gridSpan w:val="2"/>
          </w:tcPr>
          <w:p w:rsidR="009A62AF" w:rsidRPr="004F4226" w:rsidRDefault="009A62AF" w:rsidP="005E623C">
            <w:pPr>
              <w:spacing w:before="120" w:after="100" w:afterAutospacing="1"/>
              <w:rPr>
                <w:rFonts w:asciiTheme="majorBidi" w:hAnsiTheme="majorBidi" w:cstheme="majorBidi"/>
                <w:sz w:val="24"/>
                <w:szCs w:val="24"/>
              </w:rPr>
            </w:pPr>
            <w:r w:rsidRPr="004F4226">
              <w:rPr>
                <w:rFonts w:asciiTheme="majorBidi" w:hAnsiTheme="majorBidi" w:cstheme="majorBidi"/>
                <w:sz w:val="24"/>
                <w:szCs w:val="24"/>
              </w:rPr>
              <w:t>TSB</w:t>
            </w:r>
          </w:p>
        </w:tc>
      </w:tr>
      <w:tr w:rsidR="009A62AF" w:rsidRPr="004F4226" w:rsidTr="0037655F">
        <w:trPr>
          <w:cantSplit/>
        </w:trPr>
        <w:tc>
          <w:tcPr>
            <w:tcW w:w="1615" w:type="dxa"/>
            <w:gridSpan w:val="3"/>
          </w:tcPr>
          <w:p w:rsidR="009A62AF" w:rsidRPr="004F4226" w:rsidRDefault="009A62AF" w:rsidP="005E623C">
            <w:pPr>
              <w:spacing w:before="120" w:after="100" w:afterAutospacing="1"/>
              <w:rPr>
                <w:rFonts w:asciiTheme="majorBidi" w:hAnsiTheme="majorBidi" w:cstheme="majorBidi"/>
                <w:sz w:val="24"/>
                <w:szCs w:val="24"/>
                <w:lang w:eastAsia="ja-JP"/>
              </w:rPr>
            </w:pPr>
            <w:r w:rsidRPr="004F4226">
              <w:rPr>
                <w:rFonts w:asciiTheme="majorBidi" w:hAnsiTheme="majorBidi" w:cstheme="majorBidi"/>
                <w:b/>
                <w:bCs/>
                <w:sz w:val="24"/>
                <w:szCs w:val="24"/>
                <w:lang w:eastAsia="ja-JP"/>
              </w:rPr>
              <w:t>Title:</w:t>
            </w:r>
          </w:p>
        </w:tc>
        <w:tc>
          <w:tcPr>
            <w:tcW w:w="8308" w:type="dxa"/>
            <w:gridSpan w:val="2"/>
          </w:tcPr>
          <w:p w:rsidR="009A62AF" w:rsidRPr="004F4226" w:rsidRDefault="00C73D2D" w:rsidP="005E623C">
            <w:pPr>
              <w:spacing w:before="120" w:after="100" w:afterAutospacing="1"/>
              <w:rPr>
                <w:rFonts w:asciiTheme="majorBidi" w:hAnsiTheme="majorBidi" w:cstheme="majorBidi"/>
                <w:sz w:val="24"/>
                <w:szCs w:val="24"/>
              </w:rPr>
            </w:pPr>
            <w:r w:rsidRPr="004F4226">
              <w:rPr>
                <w:rFonts w:asciiTheme="majorBidi" w:hAnsiTheme="majorBidi" w:cstheme="majorBidi"/>
                <w:sz w:val="24"/>
                <w:szCs w:val="24"/>
              </w:rPr>
              <w:t xml:space="preserve">Communiqué of the TSB Director </w:t>
            </w:r>
            <w:proofErr w:type="spellStart"/>
            <w:r w:rsidRPr="004F4226">
              <w:rPr>
                <w:rFonts w:asciiTheme="majorBidi" w:hAnsiTheme="majorBidi" w:cstheme="majorBidi"/>
                <w:sz w:val="24"/>
                <w:szCs w:val="24"/>
              </w:rPr>
              <w:t>CxO</w:t>
            </w:r>
            <w:proofErr w:type="spellEnd"/>
            <w:r w:rsidRPr="004F4226">
              <w:rPr>
                <w:rFonts w:asciiTheme="majorBidi" w:hAnsiTheme="majorBidi" w:cstheme="majorBidi"/>
                <w:sz w:val="24"/>
                <w:szCs w:val="24"/>
              </w:rPr>
              <w:t xml:space="preserve"> consultation meeting, 11 December 2019, Dubai, United Arab Emirates</w:t>
            </w:r>
          </w:p>
        </w:tc>
      </w:tr>
      <w:tr w:rsidR="009A62AF" w:rsidRPr="004F4226" w:rsidTr="0037655F">
        <w:trPr>
          <w:cantSplit/>
        </w:trPr>
        <w:tc>
          <w:tcPr>
            <w:tcW w:w="1615" w:type="dxa"/>
            <w:gridSpan w:val="3"/>
            <w:tcBorders>
              <w:bottom w:val="single" w:sz="8" w:space="0" w:color="auto"/>
            </w:tcBorders>
          </w:tcPr>
          <w:p w:rsidR="009A62AF" w:rsidRPr="004F4226" w:rsidRDefault="009A62AF" w:rsidP="005E623C">
            <w:pPr>
              <w:spacing w:before="120" w:after="100" w:afterAutospacing="1"/>
              <w:rPr>
                <w:rFonts w:asciiTheme="majorBidi" w:hAnsiTheme="majorBidi" w:cstheme="majorBidi"/>
                <w:b/>
                <w:bCs/>
                <w:sz w:val="24"/>
                <w:szCs w:val="24"/>
                <w:lang w:eastAsia="ja-JP"/>
              </w:rPr>
            </w:pPr>
            <w:bookmarkStart w:id="2" w:name="dpurpose" w:colFirst="1" w:colLast="1"/>
            <w:r w:rsidRPr="004F4226">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9A62AF" w:rsidRPr="004F4226" w:rsidRDefault="009A62AF" w:rsidP="005E623C">
            <w:pPr>
              <w:spacing w:before="120" w:after="100" w:afterAutospacing="1"/>
              <w:rPr>
                <w:rFonts w:asciiTheme="majorBidi" w:hAnsiTheme="majorBidi" w:cstheme="majorBidi"/>
                <w:sz w:val="24"/>
                <w:szCs w:val="24"/>
                <w:lang w:eastAsia="ja-JP"/>
              </w:rPr>
            </w:pPr>
            <w:r w:rsidRPr="004F4226">
              <w:rPr>
                <w:rFonts w:asciiTheme="majorBidi" w:hAnsiTheme="majorBidi" w:cstheme="majorBidi"/>
                <w:sz w:val="24"/>
                <w:szCs w:val="24"/>
                <w:lang w:eastAsia="ja-JP"/>
              </w:rPr>
              <w:t>Information</w:t>
            </w:r>
          </w:p>
        </w:tc>
      </w:tr>
      <w:bookmarkEnd w:id="2"/>
      <w:tr w:rsidR="009A62AF" w:rsidRPr="004F4226" w:rsidTr="0037655F">
        <w:trPr>
          <w:cantSplit/>
        </w:trPr>
        <w:tc>
          <w:tcPr>
            <w:tcW w:w="1606" w:type="dxa"/>
            <w:gridSpan w:val="2"/>
            <w:tcBorders>
              <w:top w:val="single" w:sz="8" w:space="0" w:color="auto"/>
              <w:bottom w:val="single" w:sz="8" w:space="0" w:color="auto"/>
            </w:tcBorders>
          </w:tcPr>
          <w:p w:rsidR="009A62AF" w:rsidRPr="004F4226" w:rsidRDefault="009A62AF" w:rsidP="005E623C">
            <w:pPr>
              <w:spacing w:before="120" w:after="100" w:afterAutospacing="1"/>
              <w:rPr>
                <w:rFonts w:asciiTheme="majorBidi" w:hAnsiTheme="majorBidi" w:cstheme="majorBidi"/>
                <w:b/>
                <w:bCs/>
                <w:sz w:val="24"/>
                <w:szCs w:val="24"/>
                <w:lang w:eastAsia="ja-JP"/>
              </w:rPr>
            </w:pPr>
            <w:r w:rsidRPr="004F4226">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9A62AF" w:rsidRPr="004F4226" w:rsidRDefault="009A62AF" w:rsidP="005E623C">
            <w:pPr>
              <w:spacing w:before="120" w:after="100" w:afterAutospacing="1"/>
              <w:rPr>
                <w:rFonts w:asciiTheme="majorBidi" w:hAnsiTheme="majorBidi" w:cstheme="majorBidi"/>
                <w:sz w:val="24"/>
                <w:szCs w:val="24"/>
              </w:rPr>
            </w:pPr>
            <w:r w:rsidRPr="004F4226">
              <w:rPr>
                <w:rFonts w:asciiTheme="majorBidi" w:hAnsiTheme="majorBidi" w:cstheme="majorBidi"/>
                <w:sz w:val="24"/>
                <w:szCs w:val="24"/>
              </w:rPr>
              <w:t>Bilel Jamoussi</w:t>
            </w:r>
            <w:r w:rsidRPr="004F4226">
              <w:rPr>
                <w:rFonts w:asciiTheme="majorBidi" w:hAnsiTheme="majorBidi" w:cstheme="majorBidi"/>
                <w:sz w:val="24"/>
                <w:szCs w:val="24"/>
              </w:rPr>
              <w:br/>
              <w:t>ITU-T SG Department</w:t>
            </w:r>
          </w:p>
        </w:tc>
        <w:tc>
          <w:tcPr>
            <w:tcW w:w="4682" w:type="dxa"/>
            <w:tcBorders>
              <w:top w:val="single" w:sz="8" w:space="0" w:color="auto"/>
              <w:bottom w:val="single" w:sz="8" w:space="0" w:color="auto"/>
            </w:tcBorders>
          </w:tcPr>
          <w:p w:rsidR="009A62AF" w:rsidRPr="004F4226" w:rsidRDefault="009A62AF" w:rsidP="005E623C">
            <w:pPr>
              <w:spacing w:before="120" w:after="100" w:afterAutospacing="1"/>
              <w:rPr>
                <w:rFonts w:asciiTheme="majorBidi" w:hAnsiTheme="majorBidi" w:cstheme="majorBidi"/>
                <w:sz w:val="24"/>
                <w:szCs w:val="24"/>
              </w:rPr>
            </w:pPr>
            <w:r w:rsidRPr="004F4226">
              <w:rPr>
                <w:rFonts w:asciiTheme="majorBidi" w:hAnsiTheme="majorBidi" w:cstheme="majorBidi"/>
                <w:sz w:val="24"/>
                <w:szCs w:val="24"/>
              </w:rPr>
              <w:t>Tel:</w:t>
            </w:r>
            <w:r w:rsidRPr="004F4226">
              <w:rPr>
                <w:rFonts w:asciiTheme="majorBidi" w:hAnsiTheme="majorBidi" w:cstheme="majorBidi"/>
                <w:sz w:val="24"/>
                <w:szCs w:val="24"/>
              </w:rPr>
              <w:tab/>
              <w:t>+41 22 730 6311</w:t>
            </w:r>
            <w:r w:rsidRPr="004F4226">
              <w:rPr>
                <w:rFonts w:asciiTheme="majorBidi" w:hAnsiTheme="majorBidi" w:cstheme="majorBidi"/>
                <w:sz w:val="24"/>
                <w:szCs w:val="24"/>
              </w:rPr>
              <w:br/>
              <w:t xml:space="preserve">E-mail: </w:t>
            </w:r>
            <w:hyperlink r:id="rId8" w:history="1">
              <w:r w:rsidRPr="004F4226">
                <w:rPr>
                  <w:rStyle w:val="Hyperlink"/>
                  <w:rFonts w:asciiTheme="majorBidi" w:hAnsiTheme="majorBidi" w:cstheme="majorBidi"/>
                  <w:sz w:val="24"/>
                  <w:szCs w:val="24"/>
                </w:rPr>
                <w:t>Bilel.Jamoussi@itu.int</w:t>
              </w:r>
            </w:hyperlink>
          </w:p>
        </w:tc>
      </w:tr>
    </w:tbl>
    <w:p w:rsidR="0037655F" w:rsidRPr="004F4226" w:rsidRDefault="0037655F"/>
    <w:tbl>
      <w:tblPr>
        <w:tblW w:w="9923" w:type="dxa"/>
        <w:tblLayout w:type="fixed"/>
        <w:tblCellMar>
          <w:left w:w="57" w:type="dxa"/>
          <w:right w:w="57" w:type="dxa"/>
        </w:tblCellMar>
        <w:tblLook w:val="0000" w:firstRow="0" w:lastRow="0" w:firstColumn="0" w:lastColumn="0" w:noHBand="0" w:noVBand="0"/>
      </w:tblPr>
      <w:tblGrid>
        <w:gridCol w:w="1615"/>
        <w:gridCol w:w="8308"/>
      </w:tblGrid>
      <w:tr w:rsidR="009A62AF" w:rsidRPr="004F4226" w:rsidTr="0037655F">
        <w:trPr>
          <w:cantSplit/>
        </w:trPr>
        <w:tc>
          <w:tcPr>
            <w:tcW w:w="1615" w:type="dxa"/>
          </w:tcPr>
          <w:p w:rsidR="009A62AF" w:rsidRPr="004F4226" w:rsidRDefault="009A62AF" w:rsidP="005E623C">
            <w:pPr>
              <w:spacing w:before="120" w:after="100" w:afterAutospacing="1" w:line="240" w:lineRule="auto"/>
              <w:rPr>
                <w:rFonts w:asciiTheme="majorBidi" w:hAnsiTheme="majorBidi" w:cstheme="majorBidi"/>
                <w:b/>
                <w:bCs/>
                <w:sz w:val="24"/>
                <w:szCs w:val="24"/>
                <w:highlight w:val="yellow"/>
              </w:rPr>
            </w:pPr>
            <w:r w:rsidRPr="004F4226">
              <w:rPr>
                <w:rFonts w:asciiTheme="majorBidi" w:hAnsiTheme="majorBidi" w:cstheme="majorBidi"/>
                <w:b/>
                <w:bCs/>
                <w:sz w:val="24"/>
                <w:szCs w:val="24"/>
              </w:rPr>
              <w:t>Keywords:</w:t>
            </w:r>
          </w:p>
        </w:tc>
        <w:tc>
          <w:tcPr>
            <w:tcW w:w="8308" w:type="dxa"/>
          </w:tcPr>
          <w:p w:rsidR="009A62AF" w:rsidRPr="004F4226" w:rsidRDefault="009A62AF" w:rsidP="005E623C">
            <w:pPr>
              <w:spacing w:before="120" w:after="100" w:afterAutospacing="1" w:line="240" w:lineRule="auto"/>
              <w:rPr>
                <w:rFonts w:asciiTheme="majorBidi" w:hAnsiTheme="majorBidi" w:cstheme="majorBidi"/>
                <w:sz w:val="24"/>
                <w:szCs w:val="24"/>
              </w:rPr>
            </w:pPr>
            <w:r w:rsidRPr="004F4226">
              <w:rPr>
                <w:rFonts w:asciiTheme="majorBidi" w:hAnsiTheme="majorBidi" w:cstheme="majorBidi"/>
                <w:sz w:val="24"/>
                <w:szCs w:val="24"/>
              </w:rPr>
              <w:t>CTO group meeting communiqué</w:t>
            </w:r>
            <w:r w:rsidR="0037655F" w:rsidRPr="004F4226">
              <w:rPr>
                <w:rFonts w:asciiTheme="majorBidi" w:hAnsiTheme="majorBidi" w:cstheme="majorBidi"/>
                <w:sz w:val="24"/>
                <w:szCs w:val="24"/>
              </w:rPr>
              <w:t>;</w:t>
            </w:r>
          </w:p>
        </w:tc>
      </w:tr>
      <w:tr w:rsidR="009A62AF" w:rsidRPr="004F4226" w:rsidTr="0037655F">
        <w:trPr>
          <w:cantSplit/>
        </w:trPr>
        <w:tc>
          <w:tcPr>
            <w:tcW w:w="1615" w:type="dxa"/>
          </w:tcPr>
          <w:p w:rsidR="009A62AF" w:rsidRPr="004F4226" w:rsidRDefault="009A62AF" w:rsidP="005E623C">
            <w:pPr>
              <w:spacing w:before="120" w:after="100" w:afterAutospacing="1"/>
              <w:rPr>
                <w:rFonts w:asciiTheme="majorBidi" w:hAnsiTheme="majorBidi" w:cstheme="majorBidi"/>
                <w:b/>
                <w:bCs/>
                <w:sz w:val="24"/>
                <w:szCs w:val="24"/>
                <w:highlight w:val="yellow"/>
              </w:rPr>
            </w:pPr>
            <w:r w:rsidRPr="004F4226">
              <w:rPr>
                <w:rFonts w:asciiTheme="majorBidi" w:hAnsiTheme="majorBidi" w:cstheme="majorBidi"/>
                <w:b/>
                <w:bCs/>
                <w:sz w:val="24"/>
                <w:szCs w:val="24"/>
              </w:rPr>
              <w:t>Abstract:</w:t>
            </w:r>
          </w:p>
        </w:tc>
        <w:tc>
          <w:tcPr>
            <w:tcW w:w="8308" w:type="dxa"/>
          </w:tcPr>
          <w:p w:rsidR="009A62AF" w:rsidRPr="004F4226" w:rsidRDefault="009A62AF" w:rsidP="00047D24">
            <w:pPr>
              <w:spacing w:before="120" w:after="0" w:line="240" w:lineRule="auto"/>
              <w:rPr>
                <w:rFonts w:asciiTheme="majorBidi" w:hAnsiTheme="majorBidi" w:cstheme="majorBidi"/>
                <w:sz w:val="24"/>
                <w:szCs w:val="24"/>
              </w:rPr>
            </w:pPr>
            <w:r w:rsidRPr="004F4226">
              <w:rPr>
                <w:rFonts w:asciiTheme="majorBidi" w:hAnsiTheme="majorBidi" w:cstheme="majorBidi"/>
                <w:sz w:val="24"/>
                <w:szCs w:val="24"/>
              </w:rPr>
              <w:t xml:space="preserve">This TD provides the communiqué of the </w:t>
            </w:r>
            <w:r w:rsidR="00204146" w:rsidRPr="004F4226">
              <w:rPr>
                <w:rFonts w:asciiTheme="majorBidi" w:hAnsiTheme="majorBidi" w:cstheme="majorBidi"/>
                <w:sz w:val="24"/>
                <w:szCs w:val="24"/>
              </w:rPr>
              <w:t xml:space="preserve">TSB Director </w:t>
            </w:r>
            <w:proofErr w:type="spellStart"/>
            <w:r w:rsidR="00204146" w:rsidRPr="004F4226">
              <w:rPr>
                <w:rFonts w:asciiTheme="majorBidi" w:hAnsiTheme="majorBidi" w:cstheme="majorBidi"/>
                <w:sz w:val="24"/>
                <w:szCs w:val="24"/>
              </w:rPr>
              <w:t>CxO</w:t>
            </w:r>
            <w:proofErr w:type="spellEnd"/>
            <w:r w:rsidR="00204146" w:rsidRPr="004F4226">
              <w:rPr>
                <w:rFonts w:asciiTheme="majorBidi" w:hAnsiTheme="majorBidi" w:cstheme="majorBidi"/>
                <w:sz w:val="24"/>
                <w:szCs w:val="24"/>
              </w:rPr>
              <w:t xml:space="preserve"> consultation meeting, 11 December 2019, Dubai, United Arab Emirates</w:t>
            </w:r>
            <w:r w:rsidRPr="004F4226">
              <w:rPr>
                <w:rFonts w:asciiTheme="majorBidi" w:hAnsiTheme="majorBidi" w:cstheme="majorBidi"/>
                <w:sz w:val="24"/>
                <w:szCs w:val="24"/>
              </w:rPr>
              <w:t>.</w:t>
            </w:r>
          </w:p>
        </w:tc>
      </w:tr>
    </w:tbl>
    <w:p w:rsidR="00F0792F" w:rsidRPr="004F4226" w:rsidRDefault="00F0792F" w:rsidP="00533D91">
      <w:pPr>
        <w:spacing w:before="120" w:after="0" w:line="240" w:lineRule="auto"/>
        <w:rPr>
          <w:rFonts w:asciiTheme="majorBidi" w:hAnsiTheme="majorBidi" w:cstheme="majorBidi"/>
          <w:b/>
          <w:bCs/>
          <w:sz w:val="24"/>
          <w:szCs w:val="24"/>
        </w:rPr>
      </w:pPr>
    </w:p>
    <w:p w:rsidR="00146C7B" w:rsidRPr="004F4226" w:rsidRDefault="00146C7B" w:rsidP="00533D91">
      <w:pPr>
        <w:spacing w:before="120" w:after="0" w:line="240" w:lineRule="auto"/>
        <w:rPr>
          <w:rFonts w:asciiTheme="majorBidi" w:hAnsiTheme="majorBidi" w:cstheme="majorBidi"/>
          <w:sz w:val="24"/>
          <w:szCs w:val="24"/>
        </w:rPr>
      </w:pPr>
      <w:r w:rsidRPr="004F4226">
        <w:rPr>
          <w:rFonts w:asciiTheme="majorBidi" w:hAnsiTheme="majorBidi" w:cstheme="majorBidi"/>
          <w:b/>
          <w:bCs/>
          <w:sz w:val="24"/>
          <w:szCs w:val="24"/>
        </w:rPr>
        <w:t>Action</w:t>
      </w:r>
      <w:r w:rsidR="00CD4ABE" w:rsidRPr="004F4226">
        <w:rPr>
          <w:rFonts w:asciiTheme="majorBidi" w:hAnsiTheme="majorBidi" w:cstheme="majorBidi"/>
          <w:sz w:val="24"/>
          <w:szCs w:val="24"/>
        </w:rPr>
        <w:t>:</w:t>
      </w:r>
      <w:r w:rsidR="00CD4ABE" w:rsidRPr="004F4226">
        <w:rPr>
          <w:rFonts w:asciiTheme="majorBidi" w:hAnsiTheme="majorBidi" w:cstheme="majorBidi"/>
          <w:sz w:val="24"/>
          <w:szCs w:val="24"/>
        </w:rPr>
        <w:tab/>
      </w:r>
      <w:r w:rsidRPr="004F4226">
        <w:rPr>
          <w:rFonts w:asciiTheme="majorBidi" w:hAnsiTheme="majorBidi" w:cstheme="majorBidi"/>
          <w:sz w:val="24"/>
          <w:szCs w:val="24"/>
        </w:rPr>
        <w:t>TSAG</w:t>
      </w:r>
      <w:r w:rsidR="00525F34" w:rsidRPr="004F4226">
        <w:rPr>
          <w:rFonts w:asciiTheme="majorBidi" w:hAnsiTheme="majorBidi" w:cstheme="majorBidi"/>
          <w:sz w:val="24"/>
          <w:szCs w:val="24"/>
        </w:rPr>
        <w:t xml:space="preserve"> </w:t>
      </w:r>
      <w:r w:rsidR="00285319" w:rsidRPr="004F4226">
        <w:rPr>
          <w:rFonts w:asciiTheme="majorBidi" w:hAnsiTheme="majorBidi" w:cstheme="majorBidi"/>
          <w:sz w:val="24"/>
          <w:szCs w:val="24"/>
        </w:rPr>
        <w:t>RG-</w:t>
      </w:r>
      <w:proofErr w:type="spellStart"/>
      <w:r w:rsidR="00285319" w:rsidRPr="004F4226">
        <w:rPr>
          <w:rFonts w:asciiTheme="majorBidi" w:hAnsiTheme="majorBidi" w:cstheme="majorBidi"/>
          <w:sz w:val="24"/>
          <w:szCs w:val="24"/>
        </w:rPr>
        <w:t>StdsStrat</w:t>
      </w:r>
      <w:proofErr w:type="spellEnd"/>
      <w:r w:rsidRPr="004F4226">
        <w:rPr>
          <w:rFonts w:asciiTheme="majorBidi" w:hAnsiTheme="majorBidi" w:cstheme="majorBidi"/>
          <w:sz w:val="24"/>
          <w:szCs w:val="24"/>
        </w:rPr>
        <w:t xml:space="preserve"> </w:t>
      </w:r>
      <w:r w:rsidR="006642FA" w:rsidRPr="004F4226">
        <w:rPr>
          <w:rFonts w:asciiTheme="majorBidi" w:hAnsiTheme="majorBidi" w:cstheme="majorBidi"/>
          <w:sz w:val="24"/>
          <w:szCs w:val="24"/>
        </w:rPr>
        <w:t xml:space="preserve">is invited to </w:t>
      </w:r>
      <w:r w:rsidR="0028666B" w:rsidRPr="004F4226">
        <w:rPr>
          <w:rFonts w:asciiTheme="majorBidi" w:hAnsiTheme="majorBidi" w:cstheme="majorBidi"/>
          <w:sz w:val="24"/>
          <w:szCs w:val="24"/>
        </w:rPr>
        <w:t>consider</w:t>
      </w:r>
      <w:r w:rsidR="006642FA" w:rsidRPr="004F4226">
        <w:rPr>
          <w:rFonts w:asciiTheme="majorBidi" w:hAnsiTheme="majorBidi" w:cstheme="majorBidi"/>
          <w:sz w:val="24"/>
          <w:szCs w:val="24"/>
        </w:rPr>
        <w:t xml:space="preserve"> this document</w:t>
      </w:r>
      <w:r w:rsidR="00506C0E" w:rsidRPr="004F4226">
        <w:rPr>
          <w:rFonts w:asciiTheme="majorBidi" w:hAnsiTheme="majorBidi" w:cstheme="majorBidi"/>
          <w:sz w:val="24"/>
          <w:szCs w:val="24"/>
        </w:rPr>
        <w:t>.</w:t>
      </w:r>
    </w:p>
    <w:p w:rsidR="00204146" w:rsidRPr="004F4226" w:rsidRDefault="00EB2AF9" w:rsidP="004F4226">
      <w:pPr>
        <w:spacing w:before="240" w:after="0" w:line="240" w:lineRule="auto"/>
        <w:rPr>
          <w:rFonts w:ascii="Times New Roman" w:eastAsia="Times New Roman" w:hAnsi="Times New Roman" w:cs="Times New Roman"/>
          <w:sz w:val="24"/>
        </w:rPr>
      </w:pPr>
      <w:r w:rsidRPr="004F4226">
        <w:rPr>
          <w:rFonts w:asciiTheme="majorBidi" w:hAnsiTheme="majorBidi" w:cstheme="majorBidi"/>
          <w:sz w:val="24"/>
          <w:szCs w:val="24"/>
        </w:rPr>
        <w:t xml:space="preserve">This TD provides the communiqué of the </w:t>
      </w:r>
      <w:r w:rsidR="003A0CCF" w:rsidRPr="004F4226">
        <w:rPr>
          <w:rFonts w:asciiTheme="majorBidi" w:hAnsiTheme="majorBidi" w:cstheme="majorBidi"/>
          <w:sz w:val="24"/>
          <w:szCs w:val="24"/>
        </w:rPr>
        <w:t>last</w:t>
      </w:r>
      <w:r w:rsidRPr="004F4226">
        <w:rPr>
          <w:rFonts w:asciiTheme="majorBidi" w:hAnsiTheme="majorBidi" w:cstheme="majorBidi"/>
          <w:sz w:val="24"/>
          <w:szCs w:val="24"/>
        </w:rPr>
        <w:t xml:space="preserve"> TSB Director </w:t>
      </w:r>
      <w:proofErr w:type="spellStart"/>
      <w:r w:rsidRPr="004F4226">
        <w:rPr>
          <w:rFonts w:asciiTheme="majorBidi" w:hAnsiTheme="majorBidi" w:cstheme="majorBidi"/>
          <w:sz w:val="24"/>
          <w:szCs w:val="24"/>
        </w:rPr>
        <w:t>CxO</w:t>
      </w:r>
      <w:proofErr w:type="spellEnd"/>
      <w:r w:rsidRPr="004F4226">
        <w:rPr>
          <w:rFonts w:asciiTheme="majorBidi" w:hAnsiTheme="majorBidi" w:cstheme="majorBidi"/>
          <w:sz w:val="24"/>
          <w:szCs w:val="24"/>
        </w:rPr>
        <w:t xml:space="preserve"> meeting</w:t>
      </w:r>
      <w:r w:rsidR="003A0CCF" w:rsidRPr="004F4226">
        <w:rPr>
          <w:rFonts w:asciiTheme="majorBidi" w:hAnsiTheme="majorBidi" w:cstheme="majorBidi"/>
          <w:sz w:val="24"/>
          <w:szCs w:val="24"/>
        </w:rPr>
        <w:t xml:space="preserve">. </w:t>
      </w:r>
      <w:r w:rsidR="00096966" w:rsidRPr="004F4226">
        <w:rPr>
          <w:rFonts w:asciiTheme="majorBidi" w:hAnsiTheme="majorBidi" w:cstheme="majorBidi"/>
          <w:sz w:val="24"/>
          <w:szCs w:val="24"/>
        </w:rPr>
        <w:t xml:space="preserve">The </w:t>
      </w:r>
      <w:r w:rsidR="00204146" w:rsidRPr="004F4226">
        <w:rPr>
          <w:rFonts w:asciiTheme="majorBidi" w:hAnsiTheme="majorBidi" w:cstheme="majorBidi"/>
          <w:sz w:val="24"/>
          <w:szCs w:val="24"/>
        </w:rPr>
        <w:t xml:space="preserve">TSB Director </w:t>
      </w:r>
      <w:proofErr w:type="spellStart"/>
      <w:r w:rsidR="00204146" w:rsidRPr="004F4226">
        <w:rPr>
          <w:rFonts w:asciiTheme="majorBidi" w:hAnsiTheme="majorBidi" w:cstheme="majorBidi"/>
          <w:sz w:val="24"/>
          <w:szCs w:val="24"/>
        </w:rPr>
        <w:t>CxO</w:t>
      </w:r>
      <w:proofErr w:type="spellEnd"/>
      <w:r w:rsidR="00204146" w:rsidRPr="004F4226">
        <w:rPr>
          <w:rFonts w:asciiTheme="majorBidi" w:hAnsiTheme="majorBidi" w:cstheme="majorBidi"/>
          <w:sz w:val="24"/>
          <w:szCs w:val="24"/>
        </w:rPr>
        <w:t xml:space="preserve"> consultation meeting, 11 December 2019, Dubai, United Arab Emirates</w:t>
      </w:r>
      <w:r w:rsidR="006642FA" w:rsidRPr="004F4226">
        <w:rPr>
          <w:rFonts w:asciiTheme="majorBidi" w:hAnsiTheme="majorBidi" w:cstheme="majorBidi"/>
          <w:sz w:val="24"/>
          <w:szCs w:val="24"/>
        </w:rPr>
        <w:t xml:space="preserve">. The published </w:t>
      </w:r>
      <w:r w:rsidR="00A0614D" w:rsidRPr="004F4226">
        <w:rPr>
          <w:rFonts w:asciiTheme="majorBidi" w:hAnsiTheme="majorBidi" w:cstheme="majorBidi"/>
          <w:sz w:val="24"/>
          <w:szCs w:val="24"/>
        </w:rPr>
        <w:t xml:space="preserve">communiqué </w:t>
      </w:r>
      <w:r w:rsidR="006642FA" w:rsidRPr="004F4226">
        <w:rPr>
          <w:rFonts w:asciiTheme="majorBidi" w:hAnsiTheme="majorBidi" w:cstheme="majorBidi"/>
          <w:sz w:val="24"/>
          <w:szCs w:val="24"/>
        </w:rPr>
        <w:t xml:space="preserve">is attached and </w:t>
      </w:r>
      <w:r w:rsidR="00335F76" w:rsidRPr="004F4226">
        <w:rPr>
          <w:rFonts w:asciiTheme="majorBidi" w:hAnsiTheme="majorBidi" w:cstheme="majorBidi"/>
          <w:sz w:val="24"/>
          <w:szCs w:val="24"/>
        </w:rPr>
        <w:t xml:space="preserve">is </w:t>
      </w:r>
      <w:r w:rsidR="006642FA" w:rsidRPr="004F4226">
        <w:rPr>
          <w:rFonts w:asciiTheme="majorBidi" w:hAnsiTheme="majorBidi" w:cstheme="majorBidi"/>
          <w:sz w:val="24"/>
          <w:szCs w:val="24"/>
        </w:rPr>
        <w:t>also available at</w:t>
      </w:r>
      <w:r w:rsidR="004F4226">
        <w:rPr>
          <w:rFonts w:asciiTheme="majorBidi" w:hAnsiTheme="majorBidi" w:cstheme="majorBidi"/>
          <w:sz w:val="24"/>
          <w:szCs w:val="24"/>
        </w:rPr>
        <w:t xml:space="preserve">: </w:t>
      </w:r>
      <w:bookmarkStart w:id="3" w:name="page1"/>
      <w:bookmarkStart w:id="4" w:name="_GoBack"/>
      <w:bookmarkEnd w:id="3"/>
      <w:bookmarkEnd w:id="4"/>
      <w:r w:rsidR="00204146" w:rsidRPr="004F4226">
        <w:rPr>
          <w:rFonts w:ascii="Times New Roman" w:eastAsia="Times New Roman" w:hAnsi="Times New Roman" w:cs="Times New Roman"/>
          <w:sz w:val="24"/>
        </w:rPr>
        <w:fldChar w:fldCharType="begin"/>
      </w:r>
      <w:r w:rsidR="00204146" w:rsidRPr="004F4226">
        <w:rPr>
          <w:rFonts w:ascii="Times New Roman" w:eastAsia="Times New Roman" w:hAnsi="Times New Roman" w:cs="Times New Roman"/>
          <w:sz w:val="24"/>
        </w:rPr>
        <w:instrText xml:space="preserve"> HYPERLINK "https://www.itu.int/en/ITU-T/tsbdir/CxO/Documents/Communique%20-%20CxO%20-%20Dubai%202019.pdf" </w:instrText>
      </w:r>
      <w:r w:rsidR="00204146" w:rsidRPr="004F4226">
        <w:rPr>
          <w:rFonts w:ascii="Times New Roman" w:eastAsia="Times New Roman" w:hAnsi="Times New Roman" w:cs="Times New Roman"/>
          <w:sz w:val="24"/>
        </w:rPr>
        <w:fldChar w:fldCharType="separate"/>
      </w:r>
      <w:r w:rsidR="00204146" w:rsidRPr="004F4226">
        <w:rPr>
          <w:rStyle w:val="Hyperlink"/>
          <w:rFonts w:ascii="Times New Roman" w:eastAsia="Times New Roman" w:hAnsi="Times New Roman" w:cs="Times New Roman"/>
          <w:sz w:val="24"/>
        </w:rPr>
        <w:t>https://www.itu.int/en/ITU-T/tsbdir/CxO/Documents/Communique%20-%20CxO%20-%20Dubai%202019.pdf</w:t>
      </w:r>
      <w:r w:rsidR="00204146" w:rsidRPr="004F4226">
        <w:rPr>
          <w:rFonts w:ascii="Times New Roman" w:eastAsia="Times New Roman" w:hAnsi="Times New Roman" w:cs="Times New Roman"/>
          <w:sz w:val="24"/>
        </w:rPr>
        <w:fldChar w:fldCharType="end"/>
      </w:r>
    </w:p>
    <w:p w:rsidR="001E4570" w:rsidRPr="004F4226" w:rsidRDefault="001E4570" w:rsidP="001E4570">
      <w:pPr>
        <w:pageBreakBefore/>
        <w:adjustRightInd w:val="0"/>
        <w:snapToGrid w:val="0"/>
        <w:spacing w:line="240" w:lineRule="auto"/>
        <w:ind w:right="62"/>
        <w:jc w:val="center"/>
        <w:rPr>
          <w:rFonts w:ascii="Times New Roman" w:hAnsi="Times New Roman" w:cs="Times New Roman"/>
          <w:b/>
          <w:sz w:val="24"/>
          <w:szCs w:val="24"/>
        </w:rPr>
      </w:pPr>
      <w:proofErr w:type="spellStart"/>
      <w:r w:rsidRPr="004F4226">
        <w:rPr>
          <w:rFonts w:ascii="Times New Roman" w:hAnsi="Times New Roman" w:cs="Times New Roman"/>
          <w:b/>
          <w:sz w:val="24"/>
          <w:szCs w:val="24"/>
        </w:rPr>
        <w:lastRenderedPageBreak/>
        <w:t>CxO</w:t>
      </w:r>
      <w:proofErr w:type="spellEnd"/>
      <w:r w:rsidRPr="004F4226">
        <w:rPr>
          <w:rFonts w:ascii="Times New Roman" w:hAnsi="Times New Roman" w:cs="Times New Roman"/>
          <w:b/>
          <w:sz w:val="24"/>
          <w:szCs w:val="24"/>
        </w:rPr>
        <w:t xml:space="preserve"> MEETING</w:t>
      </w:r>
    </w:p>
    <w:p w:rsidR="001E4570" w:rsidRPr="004F4226" w:rsidRDefault="001E4570" w:rsidP="001E4570">
      <w:pPr>
        <w:adjustRightInd w:val="0"/>
        <w:snapToGrid w:val="0"/>
        <w:spacing w:line="240" w:lineRule="auto"/>
        <w:ind w:right="60"/>
        <w:jc w:val="center"/>
        <w:rPr>
          <w:rFonts w:ascii="Times New Roman" w:hAnsi="Times New Roman" w:cs="Times New Roman"/>
          <w:b/>
          <w:sz w:val="24"/>
          <w:szCs w:val="24"/>
        </w:rPr>
      </w:pPr>
      <w:r w:rsidRPr="004F4226">
        <w:rPr>
          <w:rFonts w:ascii="Times New Roman" w:hAnsi="Times New Roman" w:cs="Times New Roman"/>
          <w:b/>
          <w:sz w:val="24"/>
          <w:szCs w:val="24"/>
        </w:rPr>
        <w:t>11 December 2019, Dubai, United Arab Emirates</w:t>
      </w:r>
    </w:p>
    <w:p w:rsidR="001E4570" w:rsidRPr="004F4226" w:rsidRDefault="001E4570" w:rsidP="001E4570">
      <w:pPr>
        <w:adjustRightInd w:val="0"/>
        <w:snapToGrid w:val="0"/>
        <w:spacing w:line="240" w:lineRule="auto"/>
        <w:ind w:right="60"/>
        <w:jc w:val="center"/>
        <w:rPr>
          <w:rFonts w:ascii="Times New Roman" w:hAnsi="Times New Roman" w:cs="Times New Roman"/>
          <w:b/>
          <w:sz w:val="24"/>
          <w:szCs w:val="24"/>
        </w:rPr>
      </w:pPr>
      <w:r w:rsidRPr="004F4226">
        <w:rPr>
          <w:rFonts w:ascii="Times New Roman" w:hAnsi="Times New Roman" w:cs="Times New Roman"/>
          <w:b/>
          <w:sz w:val="24"/>
          <w:szCs w:val="24"/>
        </w:rPr>
        <w:t>COMMUNIQUÉ</w:t>
      </w:r>
    </w:p>
    <w:p w:rsidR="001E4570" w:rsidRPr="004F4226" w:rsidRDefault="001E4570" w:rsidP="001E4570">
      <w:pPr>
        <w:adjustRightInd w:val="0"/>
        <w:snapToGrid w:val="0"/>
        <w:spacing w:line="240" w:lineRule="auto"/>
        <w:ind w:right="60"/>
        <w:rPr>
          <w:rFonts w:ascii="Times New Roman" w:hAnsi="Times New Roman" w:cs="Times New Roman"/>
          <w:sz w:val="24"/>
          <w:szCs w:val="24"/>
        </w:rPr>
      </w:pPr>
      <w:r w:rsidRPr="004F4226">
        <w:rPr>
          <w:rFonts w:ascii="Times New Roman" w:hAnsi="Times New Roman" w:cs="Times New Roman"/>
          <w:sz w:val="24"/>
          <w:szCs w:val="24"/>
        </w:rPr>
        <w:t>High-level industry executives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met with the senior management of the ITU Telecommunication Standardization Bureau on 11 December 2019 at the Telecom Review Summit in Dubai, UAE, to exchange views on industry needs and related standardization priorities.</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 xml:space="preserve">The </w:t>
      </w:r>
      <w:proofErr w:type="spellStart"/>
      <w:r w:rsidRPr="004F4226">
        <w:rPr>
          <w:rFonts w:ascii="Times New Roman" w:hAnsi="Times New Roman" w:cs="Times New Roman"/>
          <w:sz w:val="24"/>
          <w:szCs w:val="24"/>
        </w:rPr>
        <w:t>CxO</w:t>
      </w:r>
      <w:proofErr w:type="spellEnd"/>
      <w:r w:rsidRPr="004F4226">
        <w:rPr>
          <w:rFonts w:ascii="Times New Roman" w:hAnsi="Times New Roman" w:cs="Times New Roman"/>
          <w:sz w:val="24"/>
          <w:szCs w:val="24"/>
        </w:rPr>
        <w:t xml:space="preserve"> meeting’s discussions revolved around industry preparations for IMT-2020/5G.</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discussed the innovation required to achieve ‘self-driving’ 5G networks; the importance of collaboration in the interests of 5G security; the benefits and practical aspects of network infrastructure sharing; the concept of ‘open’ radio access networks (RANs); and the insights gained from early 5G deployments and trials of 5G-enabled industrial IoT applications.</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also discussed the monitoring and assessment of AI performance in the context of autonomous driving; conformance assessment for </w:t>
      </w:r>
      <w:proofErr w:type="spellStart"/>
      <w:r w:rsidRPr="004F4226">
        <w:rPr>
          <w:rFonts w:ascii="Times New Roman" w:hAnsi="Times New Roman" w:cs="Times New Roman"/>
          <w:sz w:val="24"/>
          <w:szCs w:val="24"/>
        </w:rPr>
        <w:t>radiocommunications</w:t>
      </w:r>
      <w:proofErr w:type="spellEnd"/>
      <w:r w:rsidRPr="004F4226">
        <w:rPr>
          <w:rFonts w:ascii="Times New Roman" w:hAnsi="Times New Roman" w:cs="Times New Roman"/>
          <w:sz w:val="24"/>
          <w:szCs w:val="24"/>
        </w:rPr>
        <w:t xml:space="preserve"> supporting Intelligent Transport Systems; and the harmonization of approaches to the measurement of quality of service (</w:t>
      </w:r>
      <w:proofErr w:type="spellStart"/>
      <w:r w:rsidRPr="004F4226">
        <w:rPr>
          <w:rFonts w:ascii="Times New Roman" w:hAnsi="Times New Roman" w:cs="Times New Roman"/>
          <w:sz w:val="24"/>
          <w:szCs w:val="24"/>
        </w:rPr>
        <w:t>QoS</w:t>
      </w:r>
      <w:proofErr w:type="spellEnd"/>
      <w:r w:rsidRPr="004F4226">
        <w:rPr>
          <w:rFonts w:ascii="Times New Roman" w:hAnsi="Times New Roman" w:cs="Times New Roman"/>
          <w:sz w:val="24"/>
          <w:szCs w:val="24"/>
        </w:rPr>
        <w:t>) perceived by users.</w:t>
      </w:r>
    </w:p>
    <w:p w:rsidR="001E4570" w:rsidRPr="004F4226" w:rsidRDefault="001E4570" w:rsidP="001E4570">
      <w:pPr>
        <w:adjustRightInd w:val="0"/>
        <w:snapToGrid w:val="0"/>
        <w:spacing w:line="240" w:lineRule="auto"/>
        <w:ind w:right="60"/>
        <w:rPr>
          <w:rFonts w:ascii="Times New Roman" w:hAnsi="Times New Roman" w:cs="Times New Roman"/>
          <w:b/>
          <w:sz w:val="24"/>
          <w:szCs w:val="24"/>
        </w:rPr>
      </w:pPr>
      <w:r w:rsidRPr="004F4226">
        <w:rPr>
          <w:rFonts w:ascii="Times New Roman" w:hAnsi="Times New Roman" w:cs="Times New Roman"/>
          <w:b/>
          <w:sz w:val="24"/>
          <w:szCs w:val="24"/>
        </w:rPr>
        <w:t>Self-driving networks</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The optimization of network management and orchestration is becoming increasingly challenging, and increasingly important, as networks gain in complexity to support the coexistence of a diverse range of ICT services.</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highlighted that real-time network monitoring, artificial intelligence / machine learning and automation will form the foundations of ‘self-driving networks’.</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 xml:space="preserve">The optimization of network management and orchestration – capitalizing on real-time network performance data, artificial intelligence / machine learning for prediction and self-learning, and the automated build and configuration of virtual network functions – will improve ICT services and introduce new cost efficiencies, said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encouraged ITU to study the evolution of network operation and maintenance in view of increasing network complexity and the resulting importance of automation informed by machine learning.</w:t>
      </w:r>
    </w:p>
    <w:p w:rsidR="001E4570" w:rsidRPr="004F4226" w:rsidRDefault="001E4570" w:rsidP="001E4570">
      <w:pPr>
        <w:adjustRightInd w:val="0"/>
        <w:snapToGrid w:val="0"/>
        <w:spacing w:line="240" w:lineRule="auto"/>
        <w:ind w:right="60"/>
        <w:rPr>
          <w:rFonts w:ascii="Times New Roman" w:hAnsi="Times New Roman" w:cs="Times New Roman"/>
          <w:b/>
          <w:sz w:val="24"/>
          <w:szCs w:val="24"/>
        </w:rPr>
      </w:pPr>
      <w:r w:rsidRPr="004F4226">
        <w:rPr>
          <w:rFonts w:ascii="Times New Roman" w:hAnsi="Times New Roman" w:cs="Times New Roman"/>
          <w:b/>
          <w:sz w:val="24"/>
          <w:szCs w:val="24"/>
        </w:rPr>
        <w:t>Security</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highlighted that 5G security will demand significant industry collaboration and well-coordinated contributions from a wide range of standards bodies.</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discussed the progress achieved in responding to the ‘Ottawa Accord’ considered by ITU’s annual Chief Technology Officer (CTO) meeting in Budapest, Hungary, 8 September 2019.</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The Ottawa Accord is a set of security priorities developed in June 2019 by network operators, standards bodies and industry associations.</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The Budapest CTO meeting endorsed the findings of the Ottawa Accord in relation to three security priorities:</w:t>
      </w:r>
    </w:p>
    <w:p w:rsidR="001E4570" w:rsidRPr="004F4226" w:rsidRDefault="001E4570" w:rsidP="001E4570">
      <w:pPr>
        <w:pStyle w:val="ListParagraph"/>
        <w:numPr>
          <w:ilvl w:val="0"/>
          <w:numId w:val="32"/>
        </w:numPr>
        <w:adjustRightInd w:val="0"/>
        <w:snapToGrid w:val="0"/>
        <w:spacing w:before="120" w:after="120" w:line="240" w:lineRule="auto"/>
        <w:ind w:left="714" w:right="62" w:hanging="357"/>
        <w:contextualSpacing w:val="0"/>
        <w:rPr>
          <w:rFonts w:ascii="Times New Roman" w:hAnsi="Times New Roman" w:cs="Times New Roman"/>
          <w:sz w:val="24"/>
          <w:szCs w:val="24"/>
        </w:rPr>
      </w:pPr>
      <w:r w:rsidRPr="004F4226">
        <w:rPr>
          <w:rFonts w:ascii="Times New Roman" w:hAnsi="Times New Roman" w:cs="Times New Roman"/>
          <w:sz w:val="24"/>
          <w:szCs w:val="24"/>
        </w:rPr>
        <w:t>Global threat exchange: Common understanding of security threats and common terminology to enable the sharing of threat intelligence.</w:t>
      </w:r>
    </w:p>
    <w:p w:rsidR="001E4570" w:rsidRPr="004F4226" w:rsidRDefault="001E4570" w:rsidP="001E4570">
      <w:pPr>
        <w:pStyle w:val="ListParagraph"/>
        <w:numPr>
          <w:ilvl w:val="0"/>
          <w:numId w:val="32"/>
        </w:numPr>
        <w:adjustRightInd w:val="0"/>
        <w:snapToGrid w:val="0"/>
        <w:spacing w:before="120" w:after="120" w:line="240" w:lineRule="auto"/>
        <w:ind w:left="714" w:right="62" w:hanging="357"/>
        <w:contextualSpacing w:val="0"/>
        <w:rPr>
          <w:rFonts w:ascii="Times New Roman" w:hAnsi="Times New Roman" w:cs="Times New Roman"/>
          <w:sz w:val="24"/>
          <w:szCs w:val="24"/>
        </w:rPr>
      </w:pPr>
      <w:r w:rsidRPr="004F4226">
        <w:rPr>
          <w:rFonts w:ascii="Times New Roman" w:hAnsi="Times New Roman" w:cs="Times New Roman"/>
          <w:sz w:val="24"/>
          <w:szCs w:val="24"/>
        </w:rPr>
        <w:lastRenderedPageBreak/>
        <w:t>Best practices for operational security: Best practices for 5G security and widespread commitment to infrastructure protection.</w:t>
      </w:r>
    </w:p>
    <w:p w:rsidR="001E4570" w:rsidRPr="004F4226" w:rsidRDefault="001E4570" w:rsidP="001E4570">
      <w:pPr>
        <w:pStyle w:val="ListParagraph"/>
        <w:numPr>
          <w:ilvl w:val="0"/>
          <w:numId w:val="32"/>
        </w:numPr>
        <w:adjustRightInd w:val="0"/>
        <w:snapToGrid w:val="0"/>
        <w:spacing w:before="120" w:after="120" w:line="240" w:lineRule="auto"/>
        <w:ind w:left="714" w:right="62" w:hanging="357"/>
        <w:contextualSpacing w:val="0"/>
        <w:rPr>
          <w:rFonts w:ascii="Times New Roman" w:hAnsi="Times New Roman" w:cs="Times New Roman"/>
          <w:sz w:val="24"/>
          <w:szCs w:val="24"/>
        </w:rPr>
      </w:pPr>
      <w:r w:rsidRPr="004F4226">
        <w:rPr>
          <w:rFonts w:ascii="Times New Roman" w:hAnsi="Times New Roman" w:cs="Times New Roman"/>
          <w:sz w:val="24"/>
          <w:szCs w:val="24"/>
        </w:rPr>
        <w:t>Security Incentives: Measurement schemes based on agreed metrics could bring attention to prevailing levels of security and create incentives for investment in security.</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echoed the sentiment of the Budapest CTO meeting that a holistic approach to 5G security could receive valuable support from a global centre for the development of security solutions and their testing and assurance. Such a ‘living lab’ open to multiple vendors, said CTOs in Budapest, could bring cohesion to 5G security efforts as well as reduce the costs of testing security solutions.</w:t>
      </w:r>
    </w:p>
    <w:p w:rsidR="001E4570" w:rsidRPr="004F4226" w:rsidRDefault="001E4570" w:rsidP="001E4570">
      <w:pPr>
        <w:adjustRightInd w:val="0"/>
        <w:snapToGrid w:val="0"/>
        <w:spacing w:line="240" w:lineRule="auto"/>
        <w:ind w:right="60"/>
        <w:rPr>
          <w:rFonts w:ascii="Times New Roman" w:hAnsi="Times New Roman" w:cs="Times New Roman"/>
          <w:b/>
          <w:sz w:val="24"/>
          <w:szCs w:val="24"/>
        </w:rPr>
      </w:pPr>
      <w:r w:rsidRPr="004F4226">
        <w:rPr>
          <w:rFonts w:ascii="Times New Roman" w:hAnsi="Times New Roman" w:cs="Times New Roman"/>
          <w:b/>
          <w:sz w:val="24"/>
          <w:szCs w:val="24"/>
        </w:rPr>
        <w:t>Lessons learnt</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with experience in the early commercial deployment of 5G reiterated the importance of investment in fibre. Fibre-optic networks form the ‘backbone’ of the ICT ecosystem. Investment in fibre continues to rise, recognizing the importance of this investment to the 5G vision.</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 xml:space="preserve">Experience with industrial IoT applications as part of the development of 5G-enabled use cases such as smart sea ports and smart factories, said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has highlighted the importance of network slicing and shown edge computing to be capable of supporting low latencies.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experience with 5Genabled smart factories has shown such factories to be capable of highly efficient production and quality control.</w:t>
      </w:r>
    </w:p>
    <w:p w:rsidR="001E4570" w:rsidRPr="004F4226" w:rsidRDefault="001E4570" w:rsidP="001E4570">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 xml:space="preserve">With lessons learnt from initial 5G deployments,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agreed that industry’s focus should be on 5G use cases responding to market demand (considering the usage scenarios of IMT for 2020 and beyond: enhanced mobile broadband, massive machine type communications, and ultra-reliable and low latency communications).</w:t>
      </w:r>
    </w:p>
    <w:p w:rsidR="001E4570" w:rsidRPr="004F4226" w:rsidRDefault="001E4570" w:rsidP="001E4570">
      <w:pPr>
        <w:adjustRightInd w:val="0"/>
        <w:snapToGrid w:val="0"/>
        <w:spacing w:line="240" w:lineRule="auto"/>
        <w:ind w:right="60"/>
        <w:rPr>
          <w:rFonts w:ascii="Times New Roman" w:hAnsi="Times New Roman" w:cs="Times New Roman"/>
          <w:b/>
          <w:sz w:val="24"/>
          <w:szCs w:val="24"/>
        </w:rPr>
      </w:pPr>
      <w:r w:rsidRPr="004F4226">
        <w:rPr>
          <w:rFonts w:ascii="Times New Roman" w:hAnsi="Times New Roman" w:cs="Times New Roman"/>
          <w:b/>
          <w:sz w:val="24"/>
          <w:szCs w:val="24"/>
        </w:rPr>
        <w:t>Network infrastructure sharing</w:t>
      </w:r>
    </w:p>
    <w:p w:rsidR="001E4570" w:rsidRPr="004F4226" w:rsidRDefault="001E4570" w:rsidP="00725E5A">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Infrastructure sharing can potentially assist network operators in reducing time-to-market for new</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solutions, gaining cost efficiencies and increasing coverage in certain network deployment</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scenarios.</w:t>
      </w:r>
    </w:p>
    <w:p w:rsidR="001E4570" w:rsidRPr="004F4226" w:rsidRDefault="001E4570" w:rsidP="00725E5A">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illustrated possible scenarios for consideration with respect to the sharing of infrastructure</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 xml:space="preserve">such as core networks, central offices, backhaul infrastructure, towers, and RANs.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also</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highlighted the need to consider different country-specific requirements.</w:t>
      </w:r>
    </w:p>
    <w:p w:rsidR="001E4570" w:rsidRPr="004F4226" w:rsidRDefault="001E4570" w:rsidP="00725E5A">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considered an example of ‘Multi-Core Operator Networks’, networks said to be capable of</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reducing an operator’s infrastructure investments through sharing, while improving network</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performance.</w:t>
      </w:r>
    </w:p>
    <w:p w:rsidR="001E4570" w:rsidRPr="004F4226" w:rsidRDefault="001E4570" w:rsidP="001E4570">
      <w:pPr>
        <w:adjustRightInd w:val="0"/>
        <w:snapToGrid w:val="0"/>
        <w:spacing w:line="240" w:lineRule="auto"/>
        <w:ind w:right="60"/>
        <w:rPr>
          <w:rFonts w:ascii="Times New Roman" w:hAnsi="Times New Roman" w:cs="Times New Roman"/>
          <w:b/>
          <w:sz w:val="24"/>
          <w:szCs w:val="24"/>
        </w:rPr>
      </w:pPr>
      <w:r w:rsidRPr="004F4226">
        <w:rPr>
          <w:rFonts w:ascii="Times New Roman" w:hAnsi="Times New Roman" w:cs="Times New Roman"/>
          <w:b/>
          <w:sz w:val="24"/>
          <w:szCs w:val="24"/>
        </w:rPr>
        <w:t>Open RAN</w:t>
      </w:r>
    </w:p>
    <w:p w:rsidR="001E4570" w:rsidRPr="004F4226" w:rsidRDefault="001E4570" w:rsidP="00725E5A">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General-purpose ‘white box’ hardware, standardized interfaces and virtualized network elements</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 xml:space="preserve">are the foundations of the ‘open RAN’ concept, said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w:t>
      </w:r>
    </w:p>
    <w:p w:rsidR="001E4570" w:rsidRPr="004F4226" w:rsidRDefault="001E4570" w:rsidP="00725E5A">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The standardization of open, interoperable RAN interfaces and RAN functional architecture could</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support a diverse business ecosystem in deploying and operating RANs with considerable cost</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 xml:space="preserve">efficiency, said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w:t>
      </w:r>
    </w:p>
    <w:p w:rsidR="001E4570" w:rsidRPr="004F4226" w:rsidRDefault="001E4570" w:rsidP="00725E5A">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Open RAN could support industry in avoiding the challenges that may result from proprietary RAN</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 xml:space="preserve">interfaces, challenges such as RAN equipment vendor lock-in, limited </w:t>
      </w:r>
      <w:r w:rsidRPr="004F4226">
        <w:rPr>
          <w:rFonts w:ascii="Times New Roman" w:hAnsi="Times New Roman" w:cs="Times New Roman"/>
          <w:sz w:val="24"/>
          <w:szCs w:val="24"/>
        </w:rPr>
        <w:lastRenderedPageBreak/>
        <w:t>interoperability between</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different vendors’ RAN equipment, and limited scope for active RAN sharing.</w:t>
      </w:r>
    </w:p>
    <w:p w:rsidR="001E4570" w:rsidRPr="004F4226" w:rsidRDefault="001E4570" w:rsidP="00725E5A">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highlighted the value ITU’s work on machine learning applications for 5G and associated ITU</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collaboration with open-source communities.</w:t>
      </w:r>
    </w:p>
    <w:p w:rsidR="001E4570" w:rsidRPr="004F4226" w:rsidRDefault="001E4570" w:rsidP="00725E5A">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suggested in addition that ITU take a proactive approach to the promotion of standards</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collaboration in support of the open RAN concept, an approach that could potentially be supported</w:t>
      </w:r>
      <w:r w:rsidR="00725E5A" w:rsidRPr="004F4226">
        <w:rPr>
          <w:rFonts w:ascii="Times New Roman" w:hAnsi="Times New Roman" w:cs="Times New Roman"/>
          <w:sz w:val="24"/>
          <w:szCs w:val="24"/>
        </w:rPr>
        <w:t xml:space="preserve"> </w:t>
      </w:r>
      <w:r w:rsidRPr="004F4226">
        <w:rPr>
          <w:rFonts w:ascii="Times New Roman" w:hAnsi="Times New Roman" w:cs="Times New Roman"/>
          <w:sz w:val="24"/>
          <w:szCs w:val="24"/>
        </w:rPr>
        <w:t>in partnership by ITU, the O-RAN Alliance and NGMN.</w:t>
      </w:r>
    </w:p>
    <w:p w:rsidR="001E4570" w:rsidRPr="004F4226" w:rsidRDefault="001E4570" w:rsidP="001E4570">
      <w:pPr>
        <w:adjustRightInd w:val="0"/>
        <w:snapToGrid w:val="0"/>
        <w:spacing w:line="240" w:lineRule="auto"/>
        <w:ind w:right="60"/>
        <w:rPr>
          <w:rFonts w:ascii="Times New Roman" w:hAnsi="Times New Roman" w:cs="Times New Roman"/>
          <w:b/>
          <w:sz w:val="24"/>
          <w:szCs w:val="24"/>
        </w:rPr>
      </w:pPr>
      <w:r w:rsidRPr="004F4226">
        <w:rPr>
          <w:rFonts w:ascii="Times New Roman" w:hAnsi="Times New Roman" w:cs="Times New Roman"/>
          <w:b/>
          <w:sz w:val="24"/>
          <w:szCs w:val="24"/>
        </w:rPr>
        <w:t>AI on the road</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ITU has established a new Focus Group on 'AI for autonomous and assisted driving' to work towards</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the establishment of international standards to monitor and assess the performance of the AI</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'Drivers' in control of automated vehicles.</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The Focus Group's primary objective is to validate that the driving behaviour of automated vehicles</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presents evidence to justify public trust in these vehicles.</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discussed the ITU Focus Group’s aim to devise a ‘Driving Test’ for AI ‘Drivers’. The proposed</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test could become the basis for an International Driving Permit for AI. The right to hold this permit</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would be assessed continuously, based on the AI Driver’s behavioural performance on the road.</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highlighted their support for the Focus Group’s expected contribution to public trust in</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automated vehicles as well as the value of ITU collaboration with UNECE in this regard.</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In addition, recognizing the importance of new radio technology and applications to Intelligent</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 xml:space="preserve">Transport Systems (ITS),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highlighted the importance of conformance assessment based on</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harmonized test requirements.</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 xml:space="preserve">Compliance, conformance and quality testing, said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will make a key contribution to industry</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 xml:space="preserve">and consumer confidence in safety-critical </w:t>
      </w:r>
      <w:proofErr w:type="spellStart"/>
      <w:r w:rsidRPr="004F4226">
        <w:rPr>
          <w:rFonts w:ascii="Times New Roman" w:hAnsi="Times New Roman" w:cs="Times New Roman"/>
          <w:sz w:val="24"/>
          <w:szCs w:val="24"/>
        </w:rPr>
        <w:t>radiocommunications</w:t>
      </w:r>
      <w:proofErr w:type="spellEnd"/>
      <w:r w:rsidRPr="004F4226">
        <w:rPr>
          <w:rFonts w:ascii="Times New Roman" w:hAnsi="Times New Roman" w:cs="Times New Roman"/>
          <w:sz w:val="24"/>
          <w:szCs w:val="24"/>
        </w:rPr>
        <w:t xml:space="preserve"> in the ITS context. Conformance</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 xml:space="preserve">assessment would also support ITS interoperability and cost efficiency, said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w:t>
      </w:r>
    </w:p>
    <w:p w:rsidR="001E4570" w:rsidRPr="004F4226" w:rsidRDefault="001E4570" w:rsidP="001E4570">
      <w:pPr>
        <w:adjustRightInd w:val="0"/>
        <w:snapToGrid w:val="0"/>
        <w:spacing w:line="240" w:lineRule="auto"/>
        <w:ind w:right="60"/>
        <w:rPr>
          <w:rFonts w:ascii="Times New Roman" w:hAnsi="Times New Roman" w:cs="Times New Roman"/>
          <w:b/>
          <w:sz w:val="24"/>
          <w:szCs w:val="24"/>
        </w:rPr>
      </w:pPr>
      <w:r w:rsidRPr="004F4226">
        <w:rPr>
          <w:rFonts w:ascii="Times New Roman" w:hAnsi="Times New Roman" w:cs="Times New Roman"/>
          <w:b/>
          <w:sz w:val="24"/>
          <w:szCs w:val="24"/>
        </w:rPr>
        <w:t xml:space="preserve">User-perceived </w:t>
      </w:r>
      <w:proofErr w:type="spellStart"/>
      <w:r w:rsidRPr="004F4226">
        <w:rPr>
          <w:rFonts w:ascii="Times New Roman" w:hAnsi="Times New Roman" w:cs="Times New Roman"/>
          <w:b/>
          <w:sz w:val="24"/>
          <w:szCs w:val="24"/>
        </w:rPr>
        <w:t>QoS</w:t>
      </w:r>
      <w:proofErr w:type="spellEnd"/>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identified potential for improvement in standards’ support for the measurement of </w:t>
      </w:r>
      <w:proofErr w:type="spellStart"/>
      <w:r w:rsidRPr="004F4226">
        <w:rPr>
          <w:rFonts w:ascii="Times New Roman" w:hAnsi="Times New Roman" w:cs="Times New Roman"/>
          <w:sz w:val="24"/>
          <w:szCs w:val="24"/>
        </w:rPr>
        <w:t>QoS</w:t>
      </w:r>
      <w:proofErr w:type="spellEnd"/>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perceived by users, recognizing the leading role played by ITU in standards development for</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 xml:space="preserve">performance, </w:t>
      </w:r>
      <w:proofErr w:type="spellStart"/>
      <w:r w:rsidRPr="004F4226">
        <w:rPr>
          <w:rFonts w:ascii="Times New Roman" w:hAnsi="Times New Roman" w:cs="Times New Roman"/>
          <w:sz w:val="24"/>
          <w:szCs w:val="24"/>
        </w:rPr>
        <w:t>QoS</w:t>
      </w:r>
      <w:proofErr w:type="spellEnd"/>
      <w:r w:rsidRPr="004F4226">
        <w:rPr>
          <w:rFonts w:ascii="Times New Roman" w:hAnsi="Times New Roman" w:cs="Times New Roman"/>
          <w:sz w:val="24"/>
          <w:szCs w:val="24"/>
        </w:rPr>
        <w:t xml:space="preserve"> and </w:t>
      </w:r>
      <w:proofErr w:type="spellStart"/>
      <w:r w:rsidRPr="004F4226">
        <w:rPr>
          <w:rFonts w:ascii="Times New Roman" w:hAnsi="Times New Roman" w:cs="Times New Roman"/>
          <w:sz w:val="24"/>
          <w:szCs w:val="24"/>
        </w:rPr>
        <w:t>QoE</w:t>
      </w:r>
      <w:proofErr w:type="spellEnd"/>
      <w:r w:rsidRPr="004F4226">
        <w:rPr>
          <w:rFonts w:ascii="Times New Roman" w:hAnsi="Times New Roman" w:cs="Times New Roman"/>
          <w:sz w:val="24"/>
          <w:szCs w:val="24"/>
        </w:rPr>
        <w:t xml:space="preserve"> (Quality of Experience), which brings transparency to benchmarking.</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identified six areas for further ITU study:</w:t>
      </w:r>
    </w:p>
    <w:p w:rsidR="001E4570" w:rsidRPr="004F4226" w:rsidRDefault="001E4570" w:rsidP="00B616A9">
      <w:pPr>
        <w:pStyle w:val="ListParagraph"/>
        <w:numPr>
          <w:ilvl w:val="0"/>
          <w:numId w:val="33"/>
        </w:numPr>
        <w:adjustRightInd w:val="0"/>
        <w:snapToGrid w:val="0"/>
        <w:spacing w:before="120" w:after="120" w:line="240" w:lineRule="auto"/>
        <w:ind w:left="714" w:right="62" w:hanging="357"/>
        <w:contextualSpacing w:val="0"/>
        <w:rPr>
          <w:rFonts w:ascii="Times New Roman" w:hAnsi="Times New Roman" w:cs="Times New Roman"/>
          <w:sz w:val="24"/>
          <w:szCs w:val="24"/>
        </w:rPr>
      </w:pPr>
      <w:r w:rsidRPr="004F4226">
        <w:rPr>
          <w:rFonts w:ascii="Times New Roman" w:hAnsi="Times New Roman" w:cs="Times New Roman"/>
          <w:sz w:val="24"/>
          <w:szCs w:val="24"/>
        </w:rPr>
        <w:t>The precise definition of priority ICT services and metrics.</w:t>
      </w:r>
    </w:p>
    <w:p w:rsidR="001E4570" w:rsidRPr="004F4226" w:rsidRDefault="001E4570" w:rsidP="00B616A9">
      <w:pPr>
        <w:pStyle w:val="ListParagraph"/>
        <w:numPr>
          <w:ilvl w:val="0"/>
          <w:numId w:val="33"/>
        </w:numPr>
        <w:adjustRightInd w:val="0"/>
        <w:snapToGrid w:val="0"/>
        <w:spacing w:before="120" w:after="120" w:line="240" w:lineRule="auto"/>
        <w:ind w:left="714" w:right="62" w:hanging="357"/>
        <w:contextualSpacing w:val="0"/>
        <w:rPr>
          <w:rFonts w:ascii="Times New Roman" w:hAnsi="Times New Roman" w:cs="Times New Roman"/>
          <w:sz w:val="24"/>
          <w:szCs w:val="24"/>
        </w:rPr>
      </w:pPr>
      <w:r w:rsidRPr="004F4226">
        <w:rPr>
          <w:rFonts w:ascii="Times New Roman" w:hAnsi="Times New Roman" w:cs="Times New Roman"/>
          <w:sz w:val="24"/>
          <w:szCs w:val="24"/>
        </w:rPr>
        <w:t>More focus on customer experience and associated metrics and measurement, in addition</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to technical performance.</w:t>
      </w:r>
    </w:p>
    <w:p w:rsidR="001E4570" w:rsidRPr="004F4226" w:rsidRDefault="001E4570" w:rsidP="00B616A9">
      <w:pPr>
        <w:pStyle w:val="ListParagraph"/>
        <w:numPr>
          <w:ilvl w:val="0"/>
          <w:numId w:val="33"/>
        </w:numPr>
        <w:adjustRightInd w:val="0"/>
        <w:snapToGrid w:val="0"/>
        <w:spacing w:before="120" w:after="120" w:line="240" w:lineRule="auto"/>
        <w:ind w:left="714" w:right="62" w:hanging="357"/>
        <w:contextualSpacing w:val="0"/>
        <w:rPr>
          <w:rFonts w:ascii="Times New Roman" w:hAnsi="Times New Roman" w:cs="Times New Roman"/>
          <w:sz w:val="24"/>
          <w:szCs w:val="24"/>
        </w:rPr>
      </w:pPr>
      <w:r w:rsidRPr="004F4226">
        <w:rPr>
          <w:rFonts w:ascii="Times New Roman" w:hAnsi="Times New Roman" w:cs="Times New Roman"/>
          <w:sz w:val="24"/>
          <w:szCs w:val="24"/>
        </w:rPr>
        <w:t>Leverage the practical knowledge and expertise of service operators and technology</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vendors, alongside that of regulators and vendors of testing equipment.</w:t>
      </w:r>
    </w:p>
    <w:p w:rsidR="001E4570" w:rsidRPr="004F4226" w:rsidRDefault="001E4570" w:rsidP="00B616A9">
      <w:pPr>
        <w:pStyle w:val="ListParagraph"/>
        <w:numPr>
          <w:ilvl w:val="0"/>
          <w:numId w:val="33"/>
        </w:numPr>
        <w:adjustRightInd w:val="0"/>
        <w:snapToGrid w:val="0"/>
        <w:spacing w:before="120" w:after="120" w:line="240" w:lineRule="auto"/>
        <w:ind w:left="714" w:right="62" w:hanging="357"/>
        <w:contextualSpacing w:val="0"/>
        <w:rPr>
          <w:rFonts w:ascii="Times New Roman" w:hAnsi="Times New Roman" w:cs="Times New Roman"/>
          <w:sz w:val="24"/>
          <w:szCs w:val="24"/>
        </w:rPr>
      </w:pPr>
      <w:r w:rsidRPr="004F4226">
        <w:rPr>
          <w:rFonts w:ascii="Times New Roman" w:hAnsi="Times New Roman" w:cs="Times New Roman"/>
          <w:sz w:val="24"/>
          <w:szCs w:val="24"/>
        </w:rPr>
        <w:t>Maintain existing standards or develop new standards to account for new network</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technologies (e.g., NFV, 5G network slicing, new transmission protocols, machine learning)</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and new service verticals (e.g., vehicle communications, IoT, mobile banking).</w:t>
      </w:r>
    </w:p>
    <w:p w:rsidR="001E4570" w:rsidRPr="004F4226" w:rsidRDefault="001E4570" w:rsidP="00B616A9">
      <w:pPr>
        <w:pStyle w:val="ListParagraph"/>
        <w:numPr>
          <w:ilvl w:val="0"/>
          <w:numId w:val="33"/>
        </w:numPr>
        <w:adjustRightInd w:val="0"/>
        <w:snapToGrid w:val="0"/>
        <w:spacing w:before="120" w:after="120" w:line="240" w:lineRule="auto"/>
        <w:ind w:left="714" w:right="62" w:hanging="357"/>
        <w:contextualSpacing w:val="0"/>
        <w:rPr>
          <w:rFonts w:ascii="Times New Roman" w:hAnsi="Times New Roman" w:cs="Times New Roman"/>
          <w:sz w:val="24"/>
          <w:szCs w:val="24"/>
        </w:rPr>
      </w:pPr>
      <w:r w:rsidRPr="004F4226">
        <w:rPr>
          <w:rFonts w:ascii="Times New Roman" w:hAnsi="Times New Roman" w:cs="Times New Roman"/>
          <w:sz w:val="24"/>
          <w:szCs w:val="24"/>
        </w:rPr>
        <w:lastRenderedPageBreak/>
        <w:t xml:space="preserve">Identify and utilize new, broader sources of </w:t>
      </w:r>
      <w:proofErr w:type="spellStart"/>
      <w:r w:rsidRPr="004F4226">
        <w:rPr>
          <w:rFonts w:ascii="Times New Roman" w:hAnsi="Times New Roman" w:cs="Times New Roman"/>
          <w:sz w:val="24"/>
          <w:szCs w:val="24"/>
        </w:rPr>
        <w:t>QoS</w:t>
      </w:r>
      <w:proofErr w:type="spellEnd"/>
      <w:r w:rsidRPr="004F4226">
        <w:rPr>
          <w:rFonts w:ascii="Times New Roman" w:hAnsi="Times New Roman" w:cs="Times New Roman"/>
          <w:sz w:val="24"/>
          <w:szCs w:val="24"/>
        </w:rPr>
        <w:t xml:space="preserve"> data (e.g., data crowdsourced from users,</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 xml:space="preserve">cross-usage of data from networks and devices), including </w:t>
      </w:r>
      <w:proofErr w:type="spellStart"/>
      <w:r w:rsidRPr="004F4226">
        <w:rPr>
          <w:rFonts w:ascii="Times New Roman" w:hAnsi="Times New Roman" w:cs="Times New Roman"/>
          <w:sz w:val="24"/>
          <w:szCs w:val="24"/>
        </w:rPr>
        <w:t>QoE</w:t>
      </w:r>
      <w:proofErr w:type="spellEnd"/>
      <w:r w:rsidRPr="004F4226">
        <w:rPr>
          <w:rFonts w:ascii="Times New Roman" w:hAnsi="Times New Roman" w:cs="Times New Roman"/>
          <w:sz w:val="24"/>
          <w:szCs w:val="24"/>
        </w:rPr>
        <w:t xml:space="preserve"> feedback loop.</w:t>
      </w:r>
    </w:p>
    <w:p w:rsidR="001E4570" w:rsidRPr="004F4226" w:rsidRDefault="001E4570" w:rsidP="00B616A9">
      <w:pPr>
        <w:pStyle w:val="ListParagraph"/>
        <w:numPr>
          <w:ilvl w:val="0"/>
          <w:numId w:val="33"/>
        </w:numPr>
        <w:adjustRightInd w:val="0"/>
        <w:snapToGrid w:val="0"/>
        <w:spacing w:before="120" w:after="120" w:line="240" w:lineRule="auto"/>
        <w:ind w:left="714" w:right="62" w:hanging="357"/>
        <w:contextualSpacing w:val="0"/>
        <w:rPr>
          <w:rFonts w:ascii="Times New Roman" w:hAnsi="Times New Roman" w:cs="Times New Roman"/>
          <w:sz w:val="24"/>
          <w:szCs w:val="24"/>
        </w:rPr>
      </w:pPr>
      <w:r w:rsidRPr="004F4226">
        <w:rPr>
          <w:rFonts w:ascii="Times New Roman" w:hAnsi="Times New Roman" w:cs="Times New Roman"/>
          <w:sz w:val="24"/>
          <w:szCs w:val="24"/>
        </w:rPr>
        <w:t xml:space="preserve">Present clear information on </w:t>
      </w:r>
      <w:proofErr w:type="spellStart"/>
      <w:r w:rsidRPr="004F4226">
        <w:rPr>
          <w:rFonts w:ascii="Times New Roman" w:hAnsi="Times New Roman" w:cs="Times New Roman"/>
          <w:sz w:val="24"/>
          <w:szCs w:val="24"/>
        </w:rPr>
        <w:t>QoS</w:t>
      </w:r>
      <w:proofErr w:type="spellEnd"/>
      <w:r w:rsidRPr="004F4226">
        <w:rPr>
          <w:rFonts w:ascii="Times New Roman" w:hAnsi="Times New Roman" w:cs="Times New Roman"/>
          <w:sz w:val="24"/>
          <w:szCs w:val="24"/>
        </w:rPr>
        <w:t xml:space="preserve"> to users, supported by open data and global metrics.</w:t>
      </w:r>
    </w:p>
    <w:p w:rsidR="001E4570" w:rsidRPr="004F4226" w:rsidRDefault="001E4570" w:rsidP="001E4570">
      <w:pPr>
        <w:adjustRightInd w:val="0"/>
        <w:snapToGrid w:val="0"/>
        <w:spacing w:line="240" w:lineRule="auto"/>
        <w:ind w:right="60"/>
        <w:rPr>
          <w:rFonts w:ascii="Times New Roman" w:hAnsi="Times New Roman" w:cs="Times New Roman"/>
          <w:b/>
          <w:sz w:val="24"/>
          <w:szCs w:val="24"/>
        </w:rPr>
      </w:pPr>
      <w:r w:rsidRPr="004F4226">
        <w:rPr>
          <w:rFonts w:ascii="Times New Roman" w:hAnsi="Times New Roman" w:cs="Times New Roman"/>
          <w:b/>
          <w:sz w:val="24"/>
          <w:szCs w:val="24"/>
        </w:rPr>
        <w:t>Director’s update</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 xml:space="preserve">Chaesub Lee, the Director of the ITU Telecommunication Standardization Bureau, updated </w:t>
      </w: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on</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the evolution of ITU-T membership.</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ITU-T membership has maintained strong growth in 2019, with the sector welcoming 51 new</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members (19 Sector Members and 32 Associates).</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r w:rsidRPr="004F4226">
        <w:rPr>
          <w:rFonts w:ascii="Times New Roman" w:hAnsi="Times New Roman" w:cs="Times New Roman"/>
          <w:sz w:val="24"/>
          <w:szCs w:val="24"/>
        </w:rPr>
        <w:t>New ITU-T members include companies in energy and utilities, shipping and logistics, mobile</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payments, over-the-top applications, automotive, IoT/M2M connectivity, distributed ledger</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technologies, quantum communications, cybersecurity, AI, and quality of service and experience.</w:t>
      </w:r>
    </w:p>
    <w:p w:rsidR="001E4570" w:rsidRPr="004F4226" w:rsidRDefault="001E4570" w:rsidP="00B616A9">
      <w:pPr>
        <w:adjustRightInd w:val="0"/>
        <w:snapToGrid w:val="0"/>
        <w:spacing w:before="120" w:after="120" w:line="240" w:lineRule="auto"/>
        <w:ind w:right="62"/>
        <w:rPr>
          <w:rFonts w:ascii="Times New Roman" w:hAnsi="Times New Roman" w:cs="Times New Roman"/>
          <w:sz w:val="24"/>
          <w:szCs w:val="24"/>
        </w:rPr>
      </w:pPr>
      <w:proofErr w:type="spellStart"/>
      <w:r w:rsidRPr="004F4226">
        <w:rPr>
          <w:rFonts w:ascii="Times New Roman" w:hAnsi="Times New Roman" w:cs="Times New Roman"/>
          <w:sz w:val="24"/>
          <w:szCs w:val="24"/>
        </w:rPr>
        <w:t>CxOs</w:t>
      </w:r>
      <w:proofErr w:type="spellEnd"/>
      <w:r w:rsidRPr="004F4226">
        <w:rPr>
          <w:rFonts w:ascii="Times New Roman" w:hAnsi="Times New Roman" w:cs="Times New Roman"/>
          <w:sz w:val="24"/>
          <w:szCs w:val="24"/>
        </w:rPr>
        <w:t xml:space="preserve"> were also briefed on preparations for the ITU World Telecommunication Standardization</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Assembly (WTSA-20) in Hyderabad, India, 17-27 November 2020, and the preceding Global</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Standards Symposium (GSS-20) themed: ‘International standards in support of digital</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transformation’. WTSA is the governing body of the ITU Telecommunication Standardization Sector</w:t>
      </w:r>
      <w:r w:rsidR="00B616A9" w:rsidRPr="004F4226">
        <w:rPr>
          <w:rFonts w:ascii="Times New Roman" w:hAnsi="Times New Roman" w:cs="Times New Roman"/>
          <w:sz w:val="24"/>
          <w:szCs w:val="24"/>
        </w:rPr>
        <w:t xml:space="preserve"> </w:t>
      </w:r>
      <w:r w:rsidRPr="004F4226">
        <w:rPr>
          <w:rFonts w:ascii="Times New Roman" w:hAnsi="Times New Roman" w:cs="Times New Roman"/>
          <w:sz w:val="24"/>
          <w:szCs w:val="24"/>
        </w:rPr>
        <w:t>(ITU-T), responsible for reviewing the strategy, structure and working methods of ITU-T.</w:t>
      </w:r>
    </w:p>
    <w:p w:rsidR="001E4570" w:rsidRPr="004F4226" w:rsidRDefault="001E4570" w:rsidP="001E4570">
      <w:pPr>
        <w:adjustRightInd w:val="0"/>
        <w:snapToGrid w:val="0"/>
        <w:spacing w:line="240" w:lineRule="auto"/>
        <w:ind w:right="60"/>
        <w:rPr>
          <w:rFonts w:ascii="Times New Roman" w:hAnsi="Times New Roman" w:cs="Times New Roman"/>
          <w:b/>
          <w:sz w:val="24"/>
          <w:szCs w:val="24"/>
        </w:rPr>
      </w:pPr>
      <w:r w:rsidRPr="004F4226">
        <w:rPr>
          <w:rFonts w:ascii="Times New Roman" w:hAnsi="Times New Roman" w:cs="Times New Roman"/>
          <w:b/>
          <w:sz w:val="24"/>
          <w:szCs w:val="24"/>
        </w:rPr>
        <w:t>The participating organizations were:</w:t>
      </w:r>
    </w:p>
    <w:p w:rsidR="009802D5" w:rsidRPr="004F4226" w:rsidRDefault="001E4570" w:rsidP="001E4570">
      <w:pPr>
        <w:adjustRightInd w:val="0"/>
        <w:snapToGrid w:val="0"/>
        <w:spacing w:line="240" w:lineRule="auto"/>
        <w:ind w:right="60"/>
        <w:rPr>
          <w:rFonts w:ascii="Times New Roman" w:hAnsi="Times New Roman" w:cs="Times New Roman"/>
          <w:sz w:val="24"/>
          <w:szCs w:val="24"/>
        </w:rPr>
      </w:pPr>
      <w:r w:rsidRPr="004F4226">
        <w:rPr>
          <w:rFonts w:ascii="Times New Roman" w:hAnsi="Times New Roman" w:cs="Times New Roman"/>
          <w:sz w:val="24"/>
          <w:szCs w:val="24"/>
        </w:rPr>
        <w:t xml:space="preserve">Arab Information &amp; Communication Technologies Organization (AICTO), du, Etisalat, Facebook, Fujitsu, </w:t>
      </w:r>
      <w:proofErr w:type="spellStart"/>
      <w:r w:rsidRPr="004F4226">
        <w:rPr>
          <w:rFonts w:ascii="Times New Roman" w:hAnsi="Times New Roman" w:cs="Times New Roman"/>
          <w:sz w:val="24"/>
          <w:szCs w:val="24"/>
        </w:rPr>
        <w:t>Korek</w:t>
      </w:r>
      <w:proofErr w:type="spellEnd"/>
      <w:r w:rsidRPr="004F4226">
        <w:rPr>
          <w:rFonts w:ascii="Times New Roman" w:hAnsi="Times New Roman" w:cs="Times New Roman"/>
          <w:sz w:val="24"/>
          <w:szCs w:val="24"/>
        </w:rPr>
        <w:t xml:space="preserve"> Telecom, Krypton Security, Nokia, Orange, </w:t>
      </w:r>
      <w:proofErr w:type="spellStart"/>
      <w:r w:rsidRPr="004F4226">
        <w:rPr>
          <w:rFonts w:ascii="Times New Roman" w:hAnsi="Times New Roman" w:cs="Times New Roman"/>
          <w:sz w:val="24"/>
          <w:szCs w:val="24"/>
        </w:rPr>
        <w:t>Roborace</w:t>
      </w:r>
      <w:proofErr w:type="spellEnd"/>
      <w:r w:rsidRPr="004F4226">
        <w:rPr>
          <w:rFonts w:ascii="Times New Roman" w:hAnsi="Times New Roman" w:cs="Times New Roman"/>
          <w:sz w:val="24"/>
          <w:szCs w:val="24"/>
        </w:rPr>
        <w:t>, Rohde and Schwarz, SES Networks, Telecom Review North America, Telecommunication Industry Association (TIA), TELUS.</w:t>
      </w:r>
    </w:p>
    <w:p w:rsidR="007F493D" w:rsidRPr="004F4226" w:rsidRDefault="0037655F" w:rsidP="00FC0AB0">
      <w:pPr>
        <w:spacing w:line="240" w:lineRule="auto"/>
        <w:jc w:val="center"/>
        <w:rPr>
          <w:rFonts w:asciiTheme="majorBidi" w:hAnsiTheme="majorBidi" w:cstheme="majorBidi"/>
          <w:sz w:val="24"/>
          <w:szCs w:val="24"/>
        </w:rPr>
      </w:pPr>
      <w:r w:rsidRPr="004F4226">
        <w:rPr>
          <w:rFonts w:asciiTheme="majorBidi" w:eastAsia="Times New Roman" w:hAnsiTheme="majorBidi" w:cstheme="majorBidi"/>
          <w:kern w:val="36"/>
          <w:sz w:val="24"/>
          <w:szCs w:val="24"/>
        </w:rPr>
        <w:t>_______________</w:t>
      </w:r>
      <w:r w:rsidR="007F493D" w:rsidRPr="004F4226">
        <w:rPr>
          <w:rFonts w:asciiTheme="majorBidi" w:eastAsia="Times New Roman" w:hAnsiTheme="majorBidi" w:cstheme="majorBidi"/>
          <w:kern w:val="36"/>
          <w:sz w:val="24"/>
          <w:szCs w:val="24"/>
        </w:rPr>
        <w:t>____</w:t>
      </w:r>
    </w:p>
    <w:sectPr w:rsidR="007F493D" w:rsidRPr="004F4226" w:rsidSect="008C3F2D">
      <w:headerReference w:type="default" r:id="rId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57" w:rsidRDefault="00D90757" w:rsidP="008C3F2D">
      <w:pPr>
        <w:spacing w:after="0" w:line="240" w:lineRule="auto"/>
      </w:pPr>
      <w:r>
        <w:separator/>
      </w:r>
    </w:p>
  </w:endnote>
  <w:endnote w:type="continuationSeparator" w:id="0">
    <w:p w:rsidR="00D90757" w:rsidRDefault="00D90757"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57" w:rsidRDefault="00D90757" w:rsidP="008C3F2D">
      <w:pPr>
        <w:spacing w:after="0" w:line="240" w:lineRule="auto"/>
      </w:pPr>
      <w:r>
        <w:separator/>
      </w:r>
    </w:p>
  </w:footnote>
  <w:footnote w:type="continuationSeparator" w:id="0">
    <w:p w:rsidR="00D90757" w:rsidRDefault="00D90757"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EE0189">
        <w:pPr>
          <w:pStyle w:val="Header"/>
          <w:jc w:val="center"/>
          <w:rPr>
            <w:rFonts w:asciiTheme="majorBidi" w:hAnsiTheme="majorBidi" w:cstheme="majorBidi"/>
            <w:sz w:val="18"/>
            <w:szCs w:val="18"/>
          </w:rPr>
        </w:pPr>
        <w:r w:rsidRPr="008C3F2D">
          <w:rPr>
            <w:rFonts w:asciiTheme="majorBidi" w:hAnsiTheme="majorBidi" w:cstheme="majorBidi"/>
            <w:sz w:val="18"/>
            <w:szCs w:val="18"/>
          </w:rPr>
          <w:fldChar w:fldCharType="begin"/>
        </w:r>
        <w:r w:rsidRPr="008C3F2D">
          <w:rPr>
            <w:rFonts w:asciiTheme="majorBidi" w:hAnsiTheme="majorBidi" w:cstheme="majorBidi"/>
            <w:sz w:val="18"/>
            <w:szCs w:val="18"/>
          </w:rPr>
          <w:instrText xml:space="preserve"> PAGE   \* MERGEFORMAT </w:instrText>
        </w:r>
        <w:r w:rsidRPr="008C3F2D">
          <w:rPr>
            <w:rFonts w:asciiTheme="majorBidi" w:hAnsiTheme="majorBidi" w:cstheme="majorBidi"/>
            <w:sz w:val="18"/>
            <w:szCs w:val="18"/>
          </w:rPr>
          <w:fldChar w:fldCharType="separate"/>
        </w:r>
        <w:r w:rsidR="004F4226">
          <w:rPr>
            <w:rFonts w:asciiTheme="majorBidi" w:hAnsiTheme="majorBidi" w:cstheme="majorBidi"/>
            <w:noProof/>
            <w:sz w:val="18"/>
            <w:szCs w:val="18"/>
          </w:rPr>
          <w:t>- 3 -</w:t>
        </w:r>
        <w:r w:rsidRPr="008C3F2D">
          <w:rPr>
            <w:rFonts w:asciiTheme="majorBidi" w:hAnsiTheme="majorBidi" w:cstheme="majorBidi"/>
            <w:noProof/>
            <w:sz w:val="18"/>
            <w:szCs w:val="18"/>
          </w:rPr>
          <w:fldChar w:fldCharType="end"/>
        </w:r>
        <w:r w:rsidR="00023A0A">
          <w:rPr>
            <w:rFonts w:asciiTheme="majorBidi" w:hAnsiTheme="majorBidi" w:cstheme="majorBidi"/>
            <w:noProof/>
            <w:sz w:val="18"/>
            <w:szCs w:val="18"/>
          </w:rPr>
          <w:br/>
          <w:t>T</w:t>
        </w:r>
        <w:r w:rsidR="00FC0AB0">
          <w:rPr>
            <w:rFonts w:asciiTheme="majorBidi" w:hAnsiTheme="majorBidi" w:cstheme="majorBidi"/>
            <w:noProof/>
            <w:sz w:val="18"/>
            <w:szCs w:val="18"/>
          </w:rPr>
          <w:t>SAG-T</w:t>
        </w:r>
        <w:r w:rsidR="00023A0A">
          <w:rPr>
            <w:rFonts w:asciiTheme="majorBidi" w:hAnsiTheme="majorBidi" w:cstheme="majorBidi"/>
            <w:noProof/>
            <w:sz w:val="18"/>
            <w:szCs w:val="18"/>
          </w:rPr>
          <w:t>D</w:t>
        </w:r>
        <w:r w:rsidR="00F0792F">
          <w:rPr>
            <w:rFonts w:asciiTheme="majorBidi" w:hAnsiTheme="majorBidi" w:cstheme="majorBidi"/>
            <w:noProof/>
            <w:sz w:val="18"/>
            <w:szCs w:val="18"/>
          </w:rPr>
          <w:t>66</w:t>
        </w:r>
        <w:r w:rsidR="00780CFF">
          <w:rPr>
            <w:rFonts w:asciiTheme="majorBidi" w:hAnsiTheme="majorBidi" w:cstheme="majorBidi"/>
            <w:noProof/>
            <w:sz w:val="18"/>
            <w:szCs w:val="18"/>
          </w:rPr>
          <w:t>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D39FD"/>
    <w:multiLevelType w:val="hybridMultilevel"/>
    <w:tmpl w:val="B7AA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D78BA"/>
    <w:multiLevelType w:val="hybridMultilevel"/>
    <w:tmpl w:val="72D2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631D1"/>
    <w:multiLevelType w:val="hybridMultilevel"/>
    <w:tmpl w:val="CC64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0625D"/>
    <w:multiLevelType w:val="hybridMultilevel"/>
    <w:tmpl w:val="81728A76"/>
    <w:lvl w:ilvl="0" w:tplc="260A95E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F7D3F28"/>
    <w:multiLevelType w:val="hybridMultilevel"/>
    <w:tmpl w:val="4AC020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4881C0A"/>
    <w:multiLevelType w:val="hybridMultilevel"/>
    <w:tmpl w:val="A5C28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6"/>
  </w:num>
  <w:num w:numId="3">
    <w:abstractNumId w:val="2"/>
  </w:num>
  <w:num w:numId="4">
    <w:abstractNumId w:val="4"/>
  </w:num>
  <w:num w:numId="5">
    <w:abstractNumId w:val="10"/>
  </w:num>
  <w:num w:numId="6">
    <w:abstractNumId w:val="3"/>
  </w:num>
  <w:num w:numId="7">
    <w:abstractNumId w:val="14"/>
  </w:num>
  <w:num w:numId="8">
    <w:abstractNumId w:val="19"/>
  </w:num>
  <w:num w:numId="9">
    <w:abstractNumId w:val="22"/>
  </w:num>
  <w:num w:numId="10">
    <w:abstractNumId w:val="9"/>
  </w:num>
  <w:num w:numId="11">
    <w:abstractNumId w:val="15"/>
  </w:num>
  <w:num w:numId="12">
    <w:abstractNumId w:val="1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num>
  <w:num w:numId="16">
    <w:abstractNumId w:val="13"/>
  </w:num>
  <w:num w:numId="17">
    <w:abstractNumId w:val="30"/>
  </w:num>
  <w:num w:numId="18">
    <w:abstractNumId w:val="32"/>
  </w:num>
  <w:num w:numId="19">
    <w:abstractNumId w:val="0"/>
  </w:num>
  <w:num w:numId="20">
    <w:abstractNumId w:val="29"/>
  </w:num>
  <w:num w:numId="21">
    <w:abstractNumId w:val="31"/>
  </w:num>
  <w:num w:numId="22">
    <w:abstractNumId w:val="21"/>
  </w:num>
  <w:num w:numId="23">
    <w:abstractNumId w:val="28"/>
  </w:num>
  <w:num w:numId="24">
    <w:abstractNumId w:val="1"/>
  </w:num>
  <w:num w:numId="25">
    <w:abstractNumId w:val="23"/>
  </w:num>
  <w:num w:numId="26">
    <w:abstractNumId w:val="12"/>
  </w:num>
  <w:num w:numId="27">
    <w:abstractNumId w:val="20"/>
  </w:num>
  <w:num w:numId="28">
    <w:abstractNumId w:val="6"/>
  </w:num>
  <w:num w:numId="29">
    <w:abstractNumId w:val="7"/>
  </w:num>
  <w:num w:numId="30">
    <w:abstractNumId w:val="18"/>
  </w:num>
  <w:num w:numId="31">
    <w:abstractNumId w:val="16"/>
  </w:num>
  <w:num w:numId="32">
    <w:abstractNumId w:va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33F67"/>
    <w:rsid w:val="00041C6B"/>
    <w:rsid w:val="00047538"/>
    <w:rsid w:val="00047D24"/>
    <w:rsid w:val="0007083E"/>
    <w:rsid w:val="00084C1B"/>
    <w:rsid w:val="00096966"/>
    <w:rsid w:val="000B00C1"/>
    <w:rsid w:val="000D3C80"/>
    <w:rsid w:val="000E51C1"/>
    <w:rsid w:val="000E7091"/>
    <w:rsid w:val="0010274F"/>
    <w:rsid w:val="0012773A"/>
    <w:rsid w:val="001311C2"/>
    <w:rsid w:val="00146C7B"/>
    <w:rsid w:val="00162AAB"/>
    <w:rsid w:val="00162B8B"/>
    <w:rsid w:val="001643FD"/>
    <w:rsid w:val="001840BD"/>
    <w:rsid w:val="00187218"/>
    <w:rsid w:val="001977E1"/>
    <w:rsid w:val="001C1603"/>
    <w:rsid w:val="001C29C8"/>
    <w:rsid w:val="001C70EC"/>
    <w:rsid w:val="001D795C"/>
    <w:rsid w:val="001E4570"/>
    <w:rsid w:val="001F42C5"/>
    <w:rsid w:val="00200E34"/>
    <w:rsid w:val="00204146"/>
    <w:rsid w:val="00217FE5"/>
    <w:rsid w:val="0022429C"/>
    <w:rsid w:val="00230DE2"/>
    <w:rsid w:val="00234E64"/>
    <w:rsid w:val="00240C9B"/>
    <w:rsid w:val="00285319"/>
    <w:rsid w:val="0028666B"/>
    <w:rsid w:val="00291743"/>
    <w:rsid w:val="00291D86"/>
    <w:rsid w:val="002920F3"/>
    <w:rsid w:val="002B20D9"/>
    <w:rsid w:val="002C23E3"/>
    <w:rsid w:val="002D500C"/>
    <w:rsid w:val="002F1334"/>
    <w:rsid w:val="00306D89"/>
    <w:rsid w:val="00335F76"/>
    <w:rsid w:val="00346DE5"/>
    <w:rsid w:val="003527EA"/>
    <w:rsid w:val="003630D6"/>
    <w:rsid w:val="0037655F"/>
    <w:rsid w:val="00377C85"/>
    <w:rsid w:val="0038599A"/>
    <w:rsid w:val="00386367"/>
    <w:rsid w:val="003A0CCF"/>
    <w:rsid w:val="003A238B"/>
    <w:rsid w:val="003A64F7"/>
    <w:rsid w:val="003A7828"/>
    <w:rsid w:val="003C0319"/>
    <w:rsid w:val="003C1B79"/>
    <w:rsid w:val="003C5008"/>
    <w:rsid w:val="003C5154"/>
    <w:rsid w:val="003C5475"/>
    <w:rsid w:val="003D493F"/>
    <w:rsid w:val="003D6872"/>
    <w:rsid w:val="003E0C41"/>
    <w:rsid w:val="00420432"/>
    <w:rsid w:val="00426144"/>
    <w:rsid w:val="00437523"/>
    <w:rsid w:val="00442F89"/>
    <w:rsid w:val="00450E24"/>
    <w:rsid w:val="00451117"/>
    <w:rsid w:val="00456069"/>
    <w:rsid w:val="00456089"/>
    <w:rsid w:val="004836EC"/>
    <w:rsid w:val="004856AC"/>
    <w:rsid w:val="004A522D"/>
    <w:rsid w:val="004D076F"/>
    <w:rsid w:val="004D0E28"/>
    <w:rsid w:val="004D24AF"/>
    <w:rsid w:val="004D6090"/>
    <w:rsid w:val="004F4226"/>
    <w:rsid w:val="00506C0E"/>
    <w:rsid w:val="00523B0E"/>
    <w:rsid w:val="00525F34"/>
    <w:rsid w:val="005266B3"/>
    <w:rsid w:val="00533D91"/>
    <w:rsid w:val="00541E79"/>
    <w:rsid w:val="005432EB"/>
    <w:rsid w:val="00545E1A"/>
    <w:rsid w:val="00586C56"/>
    <w:rsid w:val="005A234D"/>
    <w:rsid w:val="006011A0"/>
    <w:rsid w:val="00631A92"/>
    <w:rsid w:val="00647FAF"/>
    <w:rsid w:val="006642FA"/>
    <w:rsid w:val="00665D48"/>
    <w:rsid w:val="00677049"/>
    <w:rsid w:val="00685B8C"/>
    <w:rsid w:val="006A21C2"/>
    <w:rsid w:val="006A7A43"/>
    <w:rsid w:val="006B3403"/>
    <w:rsid w:val="006B4A2A"/>
    <w:rsid w:val="006B57DB"/>
    <w:rsid w:val="006D5402"/>
    <w:rsid w:val="006E0F44"/>
    <w:rsid w:val="006E15B4"/>
    <w:rsid w:val="00700385"/>
    <w:rsid w:val="00701473"/>
    <w:rsid w:val="007022A6"/>
    <w:rsid w:val="007214E8"/>
    <w:rsid w:val="00725E5A"/>
    <w:rsid w:val="00760621"/>
    <w:rsid w:val="00762C91"/>
    <w:rsid w:val="007651A7"/>
    <w:rsid w:val="00770DBD"/>
    <w:rsid w:val="00780CFF"/>
    <w:rsid w:val="007B27B7"/>
    <w:rsid w:val="007B6113"/>
    <w:rsid w:val="007C36AF"/>
    <w:rsid w:val="007C44EF"/>
    <w:rsid w:val="007F493D"/>
    <w:rsid w:val="00803A91"/>
    <w:rsid w:val="008062B9"/>
    <w:rsid w:val="00821290"/>
    <w:rsid w:val="00827CFA"/>
    <w:rsid w:val="008376A7"/>
    <w:rsid w:val="0085443A"/>
    <w:rsid w:val="008654CD"/>
    <w:rsid w:val="00885988"/>
    <w:rsid w:val="00885BC5"/>
    <w:rsid w:val="0089331B"/>
    <w:rsid w:val="008947EB"/>
    <w:rsid w:val="008962E6"/>
    <w:rsid w:val="008A5B2C"/>
    <w:rsid w:val="008A6BE0"/>
    <w:rsid w:val="008C043B"/>
    <w:rsid w:val="008C34BC"/>
    <w:rsid w:val="008C3F2D"/>
    <w:rsid w:val="008D2BC6"/>
    <w:rsid w:val="008E5F5E"/>
    <w:rsid w:val="008F6AA9"/>
    <w:rsid w:val="009006D1"/>
    <w:rsid w:val="00912198"/>
    <w:rsid w:val="00915F69"/>
    <w:rsid w:val="00946075"/>
    <w:rsid w:val="009462B9"/>
    <w:rsid w:val="00962211"/>
    <w:rsid w:val="009633B2"/>
    <w:rsid w:val="009802D5"/>
    <w:rsid w:val="00993B36"/>
    <w:rsid w:val="00997B16"/>
    <w:rsid w:val="009A2718"/>
    <w:rsid w:val="009A62AF"/>
    <w:rsid w:val="009A789A"/>
    <w:rsid w:val="009C28C9"/>
    <w:rsid w:val="009D142F"/>
    <w:rsid w:val="009D4B36"/>
    <w:rsid w:val="009D74F7"/>
    <w:rsid w:val="009E6A56"/>
    <w:rsid w:val="009E73ED"/>
    <w:rsid w:val="009E754D"/>
    <w:rsid w:val="009F4D10"/>
    <w:rsid w:val="00A02CA4"/>
    <w:rsid w:val="00A0614D"/>
    <w:rsid w:val="00A151D0"/>
    <w:rsid w:val="00A20326"/>
    <w:rsid w:val="00A24238"/>
    <w:rsid w:val="00A26513"/>
    <w:rsid w:val="00A429C8"/>
    <w:rsid w:val="00A833F9"/>
    <w:rsid w:val="00A8668A"/>
    <w:rsid w:val="00A91372"/>
    <w:rsid w:val="00AA674E"/>
    <w:rsid w:val="00AC3668"/>
    <w:rsid w:val="00B1138A"/>
    <w:rsid w:val="00B14782"/>
    <w:rsid w:val="00B236B4"/>
    <w:rsid w:val="00B31033"/>
    <w:rsid w:val="00B31961"/>
    <w:rsid w:val="00B322C3"/>
    <w:rsid w:val="00B346CB"/>
    <w:rsid w:val="00B36FD1"/>
    <w:rsid w:val="00B5349E"/>
    <w:rsid w:val="00B56169"/>
    <w:rsid w:val="00B616A9"/>
    <w:rsid w:val="00B75880"/>
    <w:rsid w:val="00B841C7"/>
    <w:rsid w:val="00B9272A"/>
    <w:rsid w:val="00BA2DFB"/>
    <w:rsid w:val="00BD0344"/>
    <w:rsid w:val="00BD2011"/>
    <w:rsid w:val="00BD22EF"/>
    <w:rsid w:val="00BE179B"/>
    <w:rsid w:val="00BF5DF1"/>
    <w:rsid w:val="00C0399D"/>
    <w:rsid w:val="00C227EC"/>
    <w:rsid w:val="00C41FEA"/>
    <w:rsid w:val="00C4358B"/>
    <w:rsid w:val="00C47B3C"/>
    <w:rsid w:val="00C60B25"/>
    <w:rsid w:val="00C70EA5"/>
    <w:rsid w:val="00C73D2D"/>
    <w:rsid w:val="00C81183"/>
    <w:rsid w:val="00C8414E"/>
    <w:rsid w:val="00C857BC"/>
    <w:rsid w:val="00C85BFD"/>
    <w:rsid w:val="00C9278D"/>
    <w:rsid w:val="00C92B79"/>
    <w:rsid w:val="00C9761C"/>
    <w:rsid w:val="00CA3D07"/>
    <w:rsid w:val="00CD2791"/>
    <w:rsid w:val="00CD4ABE"/>
    <w:rsid w:val="00CE06E1"/>
    <w:rsid w:val="00D010A9"/>
    <w:rsid w:val="00D17766"/>
    <w:rsid w:val="00D2592A"/>
    <w:rsid w:val="00D271B1"/>
    <w:rsid w:val="00D351B9"/>
    <w:rsid w:val="00D43996"/>
    <w:rsid w:val="00D45F79"/>
    <w:rsid w:val="00D523D5"/>
    <w:rsid w:val="00D56BF1"/>
    <w:rsid w:val="00D6487B"/>
    <w:rsid w:val="00D6513F"/>
    <w:rsid w:val="00D70645"/>
    <w:rsid w:val="00D7092A"/>
    <w:rsid w:val="00D84BA9"/>
    <w:rsid w:val="00D90757"/>
    <w:rsid w:val="00D95E59"/>
    <w:rsid w:val="00DB7920"/>
    <w:rsid w:val="00DC2B3E"/>
    <w:rsid w:val="00DD5A88"/>
    <w:rsid w:val="00DE20A9"/>
    <w:rsid w:val="00DE2787"/>
    <w:rsid w:val="00DE64CF"/>
    <w:rsid w:val="00DF1A29"/>
    <w:rsid w:val="00DF2F8B"/>
    <w:rsid w:val="00E038F5"/>
    <w:rsid w:val="00E05DCD"/>
    <w:rsid w:val="00E12CE6"/>
    <w:rsid w:val="00E157BD"/>
    <w:rsid w:val="00E35903"/>
    <w:rsid w:val="00E57E4D"/>
    <w:rsid w:val="00E61598"/>
    <w:rsid w:val="00E76BA0"/>
    <w:rsid w:val="00E93286"/>
    <w:rsid w:val="00E96A34"/>
    <w:rsid w:val="00EA3CBC"/>
    <w:rsid w:val="00EB0013"/>
    <w:rsid w:val="00EB2AF9"/>
    <w:rsid w:val="00EC2500"/>
    <w:rsid w:val="00EC62EE"/>
    <w:rsid w:val="00ED0754"/>
    <w:rsid w:val="00EE0189"/>
    <w:rsid w:val="00EE2405"/>
    <w:rsid w:val="00EE3192"/>
    <w:rsid w:val="00EF4449"/>
    <w:rsid w:val="00EF7CA2"/>
    <w:rsid w:val="00F00679"/>
    <w:rsid w:val="00F0792F"/>
    <w:rsid w:val="00F12647"/>
    <w:rsid w:val="00F1409E"/>
    <w:rsid w:val="00F15BF4"/>
    <w:rsid w:val="00F24960"/>
    <w:rsid w:val="00F27122"/>
    <w:rsid w:val="00F34C41"/>
    <w:rsid w:val="00F4364A"/>
    <w:rsid w:val="00F53A2F"/>
    <w:rsid w:val="00F5614F"/>
    <w:rsid w:val="00F579A3"/>
    <w:rsid w:val="00F942CB"/>
    <w:rsid w:val="00FC0AB0"/>
    <w:rsid w:val="00FC487A"/>
    <w:rsid w:val="00FE59C1"/>
    <w:rsid w:val="00FE5CCC"/>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D17766"/>
    <w:pPr>
      <w:spacing w:before="120" w:after="0" w:line="240" w:lineRule="auto"/>
      <w:jc w:val="right"/>
    </w:pPr>
    <w:rPr>
      <w:rFonts w:ascii="Times New Roman" w:eastAsia="Calibri" w:hAnsi="Times New Roman" w:cs="Times New Roman"/>
      <w:b/>
      <w:bCs/>
      <w:sz w:val="32"/>
      <w:szCs w:val="24"/>
      <w:lang w:eastAsia="ja-JP"/>
    </w:rPr>
  </w:style>
  <w:style w:type="character" w:customStyle="1" w:styleId="DocnumberChar">
    <w:name w:val="Docnumber Char"/>
    <w:link w:val="Docnumber"/>
    <w:rsid w:val="00D17766"/>
    <w:rPr>
      <w:rFonts w:ascii="Times New Roman" w:eastAsia="Calibri" w:hAnsi="Times New Roman" w:cs="Times New Roman"/>
      <w:b/>
      <w:bCs/>
      <w:sz w:val="3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el.Jamoussi@itu.int"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1674</Words>
  <Characters>9542</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2017-04-28T08:40:00Z</cp:lastPrinted>
  <dcterms:created xsi:type="dcterms:W3CDTF">2020-01-13T09:15:00Z</dcterms:created>
  <dcterms:modified xsi:type="dcterms:W3CDTF">2020-01-13T09:16:00Z</dcterms:modified>
</cp:coreProperties>
</file>