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01B54" w:rsidRPr="00701B54" w14:paraId="2563E441" w14:textId="77777777" w:rsidTr="00EF1A1E">
        <w:trPr>
          <w:cantSplit/>
        </w:trPr>
        <w:tc>
          <w:tcPr>
            <w:tcW w:w="1191" w:type="dxa"/>
            <w:vMerge w:val="restart"/>
          </w:tcPr>
          <w:p w14:paraId="2D80C30A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701B54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FC71293" w14:textId="77777777" w:rsidR="00701B54" w:rsidRPr="00701B54" w:rsidRDefault="00701B54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701B54" w:rsidRPr="00701B54" w:rsidRDefault="00701B54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701B54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vAlign w:val="center"/>
          </w:tcPr>
          <w:p w14:paraId="2EB9B510" w14:textId="5BA3D657" w:rsidR="00701B54" w:rsidRPr="002F7D92" w:rsidRDefault="005169CD" w:rsidP="005C040B">
            <w:pPr>
              <w:pStyle w:val="Docnumber"/>
              <w:rPr>
                <w:sz w:val="32"/>
                <w:szCs w:val="32"/>
              </w:rPr>
            </w:pPr>
            <w:r w:rsidRPr="002F7D92">
              <w:rPr>
                <w:sz w:val="32"/>
                <w:szCs w:val="32"/>
              </w:rPr>
              <w:t>T</w:t>
            </w:r>
            <w:r w:rsidR="002F7D92">
              <w:rPr>
                <w:sz w:val="32"/>
                <w:szCs w:val="32"/>
              </w:rPr>
              <w:t>SAG-T</w:t>
            </w:r>
            <w:r w:rsidRPr="002F7D92">
              <w:rPr>
                <w:sz w:val="32"/>
                <w:szCs w:val="32"/>
              </w:rPr>
              <w:t>D</w:t>
            </w:r>
            <w:r w:rsidR="00AF47C9">
              <w:rPr>
                <w:sz w:val="32"/>
                <w:szCs w:val="32"/>
              </w:rPr>
              <w:t>668</w:t>
            </w:r>
            <w:r w:rsidR="00701B54" w:rsidRPr="002F7D92">
              <w:rPr>
                <w:sz w:val="32"/>
                <w:szCs w:val="32"/>
              </w:rPr>
              <w:t xml:space="preserve"> </w:t>
            </w:r>
          </w:p>
        </w:tc>
      </w:tr>
      <w:bookmarkEnd w:id="0"/>
      <w:tr w:rsidR="00701B54" w:rsidRPr="00701B54" w14:paraId="237D2F31" w14:textId="77777777" w:rsidTr="00EF1A1E">
        <w:trPr>
          <w:cantSplit/>
        </w:trPr>
        <w:tc>
          <w:tcPr>
            <w:tcW w:w="1191" w:type="dxa"/>
            <w:vMerge/>
          </w:tcPr>
          <w:p w14:paraId="0438695C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32E9670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2D4DFA04" w14:textId="607166ED" w:rsidR="00701B54" w:rsidRPr="00701B54" w:rsidRDefault="00701B54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01B54" w:rsidRPr="00701B54" w14:paraId="28870E53" w14:textId="77777777" w:rsidTr="00EF1A1E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4883D13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7813BEAE" w14:textId="77777777" w:rsidR="00701B54" w:rsidRPr="00701B54" w:rsidRDefault="00701B54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1B54" w:rsidRPr="00701B54" w14:paraId="126981D5" w14:textId="77777777" w:rsidTr="00EF1A1E">
        <w:trPr>
          <w:cantSplit/>
        </w:trPr>
        <w:tc>
          <w:tcPr>
            <w:tcW w:w="1617" w:type="dxa"/>
            <w:gridSpan w:val="3"/>
          </w:tcPr>
          <w:p w14:paraId="603D5C65" w14:textId="77777777" w:rsidR="00701B54" w:rsidRPr="00701B54" w:rsidRDefault="00701B54" w:rsidP="00701B54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2D0E6B28" w14:textId="4876C5DD" w:rsidR="00701B54" w:rsidRPr="00701B54" w:rsidRDefault="00110502" w:rsidP="00701B54">
            <w:r>
              <w:t>N/A</w:t>
            </w:r>
          </w:p>
        </w:tc>
        <w:tc>
          <w:tcPr>
            <w:tcW w:w="4681" w:type="dxa"/>
          </w:tcPr>
          <w:p w14:paraId="1D31968E" w14:textId="198F20AC" w:rsidR="00701B54" w:rsidRPr="00701B54" w:rsidRDefault="00701B54" w:rsidP="001C3E2F">
            <w:pPr>
              <w:jc w:val="right"/>
            </w:pPr>
            <w:r w:rsidRPr="00701B54">
              <w:t xml:space="preserve">Geneva, </w:t>
            </w:r>
            <w:r w:rsidR="00AF47C9">
              <w:t>10</w:t>
            </w:r>
            <w:r w:rsidR="005C040B" w:rsidRPr="00CB7A0A">
              <w:t>-</w:t>
            </w:r>
            <w:r w:rsidR="00AF47C9">
              <w:t>14</w:t>
            </w:r>
            <w:r w:rsidR="005C040B" w:rsidRPr="00CB7A0A">
              <w:t xml:space="preserve"> </w:t>
            </w:r>
            <w:r w:rsidR="00AF47C9">
              <w:t xml:space="preserve">February </w:t>
            </w:r>
            <w:r w:rsidR="005C040B" w:rsidRPr="00CB7A0A">
              <w:t>20</w:t>
            </w:r>
            <w:r w:rsidR="00AF47C9">
              <w:t>20</w:t>
            </w:r>
          </w:p>
        </w:tc>
      </w:tr>
      <w:tr w:rsidR="00701B54" w:rsidRPr="00701B54" w14:paraId="3223CFA5" w14:textId="77777777" w:rsidTr="00EF1A1E">
        <w:trPr>
          <w:cantSplit/>
        </w:trPr>
        <w:tc>
          <w:tcPr>
            <w:tcW w:w="9923" w:type="dxa"/>
            <w:gridSpan w:val="5"/>
          </w:tcPr>
          <w:p w14:paraId="74A67D5A" w14:textId="5E7E3F90" w:rsidR="00701B54" w:rsidRPr="00701B54" w:rsidRDefault="00701B54" w:rsidP="00701B54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701B54">
              <w:rPr>
                <w:b/>
                <w:bCs/>
              </w:rPr>
              <w:t>TD</w:t>
            </w:r>
          </w:p>
        </w:tc>
      </w:tr>
      <w:tr w:rsidR="00701B54" w:rsidRPr="00701B54" w14:paraId="2A1230A7" w14:textId="77777777" w:rsidTr="00EF1A1E">
        <w:trPr>
          <w:cantSplit/>
        </w:trPr>
        <w:tc>
          <w:tcPr>
            <w:tcW w:w="1617" w:type="dxa"/>
            <w:gridSpan w:val="3"/>
          </w:tcPr>
          <w:p w14:paraId="22E1C0CA" w14:textId="77777777" w:rsidR="00701B54" w:rsidRPr="00701B54" w:rsidRDefault="00701B54" w:rsidP="00701B54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49ADC2AD" w14:textId="7763FEC5" w:rsidR="00701B54" w:rsidRPr="00701B54" w:rsidRDefault="00701B54" w:rsidP="00701B54">
            <w:r w:rsidRPr="00701B54">
              <w:t>Chairman, ITU-T SG12</w:t>
            </w:r>
          </w:p>
        </w:tc>
      </w:tr>
      <w:tr w:rsidR="00701B54" w:rsidRPr="00701B54" w14:paraId="3A56F3A5" w14:textId="77777777" w:rsidTr="00EF1A1E">
        <w:trPr>
          <w:cantSplit/>
        </w:trPr>
        <w:tc>
          <w:tcPr>
            <w:tcW w:w="1617" w:type="dxa"/>
            <w:gridSpan w:val="3"/>
          </w:tcPr>
          <w:p w14:paraId="16E14D4A" w14:textId="77777777" w:rsidR="00701B54" w:rsidRPr="00701B54" w:rsidRDefault="00701B54" w:rsidP="00701B54">
            <w:bookmarkStart w:id="10" w:name="dtitle1" w:colFirst="1" w:colLast="1"/>
            <w:bookmarkEnd w:id="9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5C5EC275" w14:textId="3026580B" w:rsidR="00701B54" w:rsidRPr="00701B54" w:rsidRDefault="00701B54" w:rsidP="005C040B">
            <w:r w:rsidRPr="00701B54">
              <w:t xml:space="preserve">Report on </w:t>
            </w:r>
            <w:r w:rsidR="00861E34">
              <w:t xml:space="preserve">ITU-T </w:t>
            </w:r>
            <w:r w:rsidRPr="00701B54">
              <w:t>SG12 lead activities (</w:t>
            </w:r>
            <w:r w:rsidR="00AF47C9">
              <w:t xml:space="preserve">October 2019 </w:t>
            </w:r>
            <w:r w:rsidR="00E6292E">
              <w:t>–</w:t>
            </w:r>
            <w:r w:rsidR="00AF47C9">
              <w:t xml:space="preserve"> January </w:t>
            </w:r>
            <w:r w:rsidR="005C040B">
              <w:t>20</w:t>
            </w:r>
            <w:r w:rsidR="00AF47C9">
              <w:t>20</w:t>
            </w:r>
            <w:r w:rsidRPr="00701B54">
              <w:t>)</w:t>
            </w:r>
          </w:p>
        </w:tc>
      </w:tr>
      <w:tr w:rsidR="00701B54" w:rsidRPr="00701B54" w14:paraId="1441B862" w14:textId="77777777" w:rsidTr="00EF1A1E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34CDE56C" w14:textId="77777777" w:rsidR="00701B54" w:rsidRPr="00701B54" w:rsidRDefault="00701B54" w:rsidP="00701B54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2"/>
            <w:tcBorders>
              <w:bottom w:val="single" w:sz="8" w:space="0" w:color="auto"/>
            </w:tcBorders>
          </w:tcPr>
          <w:p w14:paraId="59E729F6" w14:textId="51D84A50" w:rsidR="00701B54" w:rsidRPr="00701B54" w:rsidRDefault="005169CD" w:rsidP="00701B54">
            <w:r>
              <w:t>Information</w:t>
            </w:r>
          </w:p>
        </w:tc>
      </w:tr>
      <w:bookmarkEnd w:id="2"/>
      <w:bookmarkEnd w:id="11"/>
      <w:tr w:rsidR="002A11C4" w:rsidRPr="00B17625" w14:paraId="574D4B2C" w14:textId="77777777" w:rsidTr="00881C84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264DE374" w:rsidR="002A11C4" w:rsidRPr="00136DDD" w:rsidRDefault="00B17625" w:rsidP="008F027C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F027C" w:rsidRPr="008F027C">
                  <w:rPr>
                    <w:lang w:val="en-US"/>
                  </w:rPr>
                  <w:t xml:space="preserve">Kwame </w:t>
                </w:r>
                <w:proofErr w:type="spellStart"/>
                <w:r w:rsidR="008F027C" w:rsidRPr="008F027C">
                  <w:rPr>
                    <w:lang w:val="en-US"/>
                  </w:rPr>
                  <w:t>Baah-Acheamfuor</w:t>
                </w:r>
                <w:proofErr w:type="spellEnd"/>
                <w:r w:rsidR="008F027C" w:rsidRPr="008F027C">
                  <w:rPr>
                    <w:lang w:val="en-US"/>
                  </w:rPr>
                  <w:br/>
                  <w:t>Na</w:t>
                </w:r>
                <w:r w:rsidR="008F027C">
                  <w:rPr>
                    <w:lang w:val="en-US"/>
                  </w:rPr>
                  <w:t>tional Communications Authority</w:t>
                </w:r>
                <w:r w:rsidR="008F027C" w:rsidRPr="008F027C">
                  <w:rPr>
                    <w:lang w:val="en-US"/>
                  </w:rPr>
                  <w:t xml:space="preserve"> </w:t>
                </w:r>
                <w:r w:rsidR="008F027C" w:rsidRPr="008F027C">
                  <w:rPr>
                    <w:lang w:val="en-US"/>
                  </w:rPr>
                  <w:br/>
                </w:r>
                <w:r w:rsidR="008F027C">
                  <w:rPr>
                    <w:lang w:val="en-US"/>
                  </w:rPr>
                  <w:t>Ghana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67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3554959E" w:rsidR="002A11C4" w:rsidRPr="00FF1151" w:rsidRDefault="002A11C4" w:rsidP="00881C84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="008F027C" w:rsidRPr="008F027C">
                  <w:rPr>
                    <w:lang w:val="pt-BR"/>
                  </w:rPr>
                  <w:t>+233 24 6375700</w:t>
                </w:r>
                <w:r w:rsidR="008F027C">
                  <w:rPr>
                    <w:lang w:val="pt-BR"/>
                  </w:rPr>
                  <w:br/>
                </w:r>
                <w:r w:rsidRPr="00FF1151">
                  <w:rPr>
                    <w:lang w:val="pt-BR"/>
                  </w:rPr>
                  <w:t xml:space="preserve">E-mail: </w:t>
                </w:r>
                <w:hyperlink r:id="rId11" w:history="1">
                  <w:r w:rsidR="008F027C" w:rsidRPr="00E20068">
                    <w:rPr>
                      <w:rStyle w:val="Hyperlink"/>
                      <w:rFonts w:ascii="Times New Roman" w:hAnsi="Times New Roman"/>
                      <w:lang w:val="pt-BR"/>
                    </w:rPr>
                    <w:t>kwame.baah-acheamfuor@nca.org.gh</w:t>
                  </w:r>
                </w:hyperlink>
                <w:r w:rsidR="008F027C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5571A4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5E3B1EF" w14:textId="165EE98D" w:rsidR="0089088E" w:rsidRPr="00136DDD" w:rsidRDefault="00B17625" w:rsidP="008E2B26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A2C4C">
                  <w:rPr>
                    <w:lang w:val="en-US"/>
                  </w:rPr>
                  <w:t xml:space="preserve">QoS; </w:t>
                </w:r>
                <w:proofErr w:type="spellStart"/>
                <w:r w:rsidR="00EA2C4C">
                  <w:rPr>
                    <w:lang w:val="en-US"/>
                  </w:rPr>
                  <w:t>QoE</w:t>
                </w:r>
                <w:proofErr w:type="spellEnd"/>
                <w:r w:rsidR="00EA2C4C">
                  <w:rPr>
                    <w:lang w:val="en-US"/>
                  </w:rPr>
                  <w:t>; driver distraction; car communications; video quality;</w:t>
                </w:r>
                <w:r w:rsidR="001C3E2F">
                  <w:rPr>
                    <w:lang w:val="en-US"/>
                  </w:rPr>
                  <w:t xml:space="preserve"> </w:t>
                </w:r>
                <w:r w:rsidR="008E2B26">
                  <w:rPr>
                    <w:lang w:val="en-US"/>
                  </w:rPr>
                  <w:t>SG12</w:t>
                </w:r>
                <w:r w:rsidR="00861E34"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5571A4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BE3CBD5" w14:textId="0D3CA533" w:rsidR="0089088E" w:rsidRPr="00136DDD" w:rsidRDefault="007C6288" w:rsidP="005D3265">
                <w:r w:rsidRPr="007C6288">
                  <w:t>In line with WTSA-16 Resolution 1, this report provides updates about the S</w:t>
                </w:r>
                <w:r w:rsidR="005D3265">
                  <w:t>G12 lead study group activities</w:t>
                </w:r>
                <w:r w:rsidRPr="007C6288">
                  <w:t>.</w:t>
                </w:r>
              </w:p>
            </w:tc>
          </w:sdtContent>
        </w:sdt>
      </w:tr>
    </w:tbl>
    <w:p w14:paraId="00577B56" w14:textId="77777777" w:rsidR="007F671C" w:rsidRDefault="007F671C" w:rsidP="00701B54">
      <w:pPr>
        <w:pStyle w:val="Heading2"/>
      </w:pPr>
      <w:r>
        <w:t>Lead study group on quality of service and quality of experience</w:t>
      </w:r>
    </w:p>
    <w:p w14:paraId="55E785BF" w14:textId="6AF7D356" w:rsidR="00E6292E" w:rsidRDefault="00E6292E" w:rsidP="001C3E2F">
      <w:r>
        <w:t xml:space="preserve">In the reporting </w:t>
      </w:r>
      <w:r w:rsidR="0028342B">
        <w:t>period</w:t>
      </w:r>
      <w:r>
        <w:t xml:space="preserve">, SG12 held </w:t>
      </w:r>
      <w:r w:rsidR="005C040B">
        <w:t>one</w:t>
      </w:r>
      <w:r>
        <w:t xml:space="preserve"> study group meeting. </w:t>
      </w:r>
    </w:p>
    <w:p w14:paraId="1DFEF47B" w14:textId="4F761D7A" w:rsidR="0028342B" w:rsidRDefault="0028342B" w:rsidP="001C3E2F">
      <w:r>
        <w:t xml:space="preserve">Since the last meeting of TSAG, </w:t>
      </w:r>
      <w:r w:rsidR="001C3E2F">
        <w:t>new</w:t>
      </w:r>
      <w:r>
        <w:t xml:space="preserve"> organizations have enrolled in ITU-T SG12 as new Associates, a positive trend that can be attributed to proactive outreach, </w:t>
      </w:r>
      <w:r w:rsidR="001C3E2F">
        <w:t xml:space="preserve">technically sound </w:t>
      </w:r>
      <w:r>
        <w:t xml:space="preserve">outputs, and constructive and cordial working environment. </w:t>
      </w:r>
    </w:p>
    <w:p w14:paraId="2D83D42A" w14:textId="15E7D907" w:rsidR="00110502" w:rsidRDefault="0028342B" w:rsidP="001C3E2F">
      <w:r>
        <w:t xml:space="preserve">The executive summary of the </w:t>
      </w:r>
      <w:r w:rsidR="00AF47C9">
        <w:t xml:space="preserve">Nov-Dec </w:t>
      </w:r>
      <w:r w:rsidR="005C040B">
        <w:t>2019</w:t>
      </w:r>
      <w:r>
        <w:t xml:space="preserve"> meeting can be found at </w:t>
      </w:r>
      <w:hyperlink r:id="rId12" w:history="1">
        <w:r w:rsidR="00CB2D0D" w:rsidRPr="00602F51">
          <w:rPr>
            <w:rStyle w:val="Hyperlink"/>
            <w:rFonts w:ascii="Times New Roman" w:hAnsi="Times New Roman"/>
          </w:rPr>
          <w:t>https://itu.int/en/ITU-T/studygroups/2017-2020/12/Pages/1911-summary.aspx</w:t>
        </w:r>
      </w:hyperlink>
      <w:r>
        <w:t xml:space="preserve">. </w:t>
      </w:r>
      <w:r w:rsidR="00AF47C9" w:rsidRPr="00AF47C9">
        <w:t>A webinar (</w:t>
      </w:r>
      <w:hyperlink r:id="rId13" w:history="1">
        <w:r w:rsidR="00AF47C9" w:rsidRPr="00AF47C9">
          <w:rPr>
            <w:rStyle w:val="Hyperlink"/>
            <w:rFonts w:ascii="Times New Roman" w:hAnsi="Times New Roman"/>
          </w:rPr>
          <w:t>Announcement</w:t>
        </w:r>
      </w:hyperlink>
      <w:r w:rsidR="00AF47C9">
        <w:t xml:space="preserve"> </w:t>
      </w:r>
      <w:r w:rsidR="00AF47C9" w:rsidRPr="00AF47C9">
        <w:t>|</w:t>
      </w:r>
      <w:r w:rsidR="00AF47C9">
        <w:t xml:space="preserve"> </w:t>
      </w:r>
      <w:hyperlink r:id="rId14" w:history="1">
        <w:r w:rsidR="00AF47C9" w:rsidRPr="00AF47C9">
          <w:rPr>
            <w:rStyle w:val="Hyperlink"/>
            <w:rFonts w:ascii="Times New Roman" w:hAnsi="Times New Roman"/>
          </w:rPr>
          <w:t>Recording</w:t>
        </w:r>
      </w:hyperlink>
      <w:r w:rsidR="00AF47C9">
        <w:t xml:space="preserve"> </w:t>
      </w:r>
      <w:r w:rsidR="00AF47C9" w:rsidRPr="00AF47C9">
        <w:t>|</w:t>
      </w:r>
      <w:r w:rsidR="00AF47C9">
        <w:t xml:space="preserve"> </w:t>
      </w:r>
      <w:hyperlink r:id="rId15" w:history="1">
        <w:r w:rsidR="00AF47C9" w:rsidRPr="00AF47C9">
          <w:rPr>
            <w:rStyle w:val="Hyperlink"/>
            <w:rFonts w:ascii="Times New Roman" w:hAnsi="Times New Roman"/>
          </w:rPr>
          <w:t>Slides</w:t>
        </w:r>
      </w:hyperlink>
      <w:r w:rsidR="00AF47C9" w:rsidRPr="00AF47C9">
        <w:t>) was held on 5 December 2019​ following the closing plenary, summarizing key meeting results.</w:t>
      </w:r>
    </w:p>
    <w:p w14:paraId="2C846F21" w14:textId="7EB2D3FE" w:rsidR="00A44928" w:rsidRDefault="0028342B" w:rsidP="001C3E2F">
      <w:r>
        <w:t>Among other achievements</w:t>
      </w:r>
      <w:r w:rsidR="001C3E2F">
        <w:t xml:space="preserve"> in the reporting period</w:t>
      </w:r>
      <w:r>
        <w:t xml:space="preserve">, </w:t>
      </w:r>
      <w:r w:rsidR="00A44928">
        <w:t xml:space="preserve">the membership approved new and revised Recommendations developed by </w:t>
      </w:r>
      <w:r w:rsidR="00E6292E">
        <w:t>SG12</w:t>
      </w:r>
      <w:r w:rsidR="00A44928">
        <w:t xml:space="preserve">, </w:t>
      </w:r>
      <w:r w:rsidR="00A44928" w:rsidRPr="00CB2D0D">
        <w:rPr>
          <w:i/>
          <w:iCs/>
        </w:rPr>
        <w:t>including</w:t>
      </w:r>
      <w:r w:rsidR="00A44928">
        <w:t xml:space="preserve"> Recommendations ITU-T</w:t>
      </w:r>
    </w:p>
    <w:p w14:paraId="5E2F2FF7" w14:textId="77777777" w:rsidR="00CB2D0D" w:rsidRDefault="00CB2D0D" w:rsidP="00CB2D0D">
      <w:pPr>
        <w:pStyle w:val="enumlev1"/>
      </w:pPr>
      <w:r>
        <w:t>–</w:t>
      </w:r>
      <w:r>
        <w:tab/>
        <w:t>E.475: G</w:t>
      </w:r>
      <w:r w:rsidRPr="00AF47C9">
        <w:t>uidelines for intelligent network analytics and diagnostics</w:t>
      </w:r>
      <w:r>
        <w:t>;</w:t>
      </w:r>
    </w:p>
    <w:p w14:paraId="1BBAA35E" w14:textId="19C7143A" w:rsidR="00A44928" w:rsidRPr="00AF47C9" w:rsidRDefault="00043BA9" w:rsidP="00043BA9">
      <w:pPr>
        <w:pStyle w:val="enumlev1"/>
      </w:pPr>
      <w:r>
        <w:t>–</w:t>
      </w:r>
      <w:r>
        <w:tab/>
      </w:r>
      <w:r w:rsidR="00A44928">
        <w:t>E.80</w:t>
      </w:r>
      <w:r w:rsidR="00AF47C9">
        <w:t>5</w:t>
      </w:r>
      <w:r w:rsidR="00A44928">
        <w:t xml:space="preserve">: </w:t>
      </w:r>
      <w:r w:rsidR="00AF47C9" w:rsidRPr="00AF47C9">
        <w:t>Strategies to establish quality regulatory frameworks</w:t>
      </w:r>
      <w:r w:rsidR="00A44928">
        <w:t>;</w:t>
      </w:r>
    </w:p>
    <w:p w14:paraId="2FC314E0" w14:textId="0119F553" w:rsidR="00AF47C9" w:rsidRPr="00AF47C9" w:rsidRDefault="00043BA9" w:rsidP="00043BA9">
      <w:pPr>
        <w:pStyle w:val="enumlev1"/>
      </w:pPr>
      <w:r>
        <w:t>–</w:t>
      </w:r>
      <w:r>
        <w:tab/>
      </w:r>
      <w:r w:rsidR="00AF47C9">
        <w:t xml:space="preserve">G.1034: </w:t>
      </w:r>
      <w:proofErr w:type="spellStart"/>
      <w:r w:rsidR="00AF47C9" w:rsidRPr="00AF47C9">
        <w:t>QoE</w:t>
      </w:r>
      <w:proofErr w:type="spellEnd"/>
      <w:r w:rsidR="00AF47C9" w:rsidRPr="00AF47C9">
        <w:t xml:space="preserve"> metrics for mobile telephony communication during rail travel</w:t>
      </w:r>
      <w:r w:rsidR="00AF47C9">
        <w:t>;</w:t>
      </w:r>
    </w:p>
    <w:p w14:paraId="16395B5C" w14:textId="6408A454" w:rsidR="00AF47C9" w:rsidRPr="00AF47C9" w:rsidRDefault="00043BA9" w:rsidP="00043BA9">
      <w:pPr>
        <w:pStyle w:val="enumlev1"/>
      </w:pPr>
      <w:r>
        <w:t>–</w:t>
      </w:r>
      <w:r>
        <w:tab/>
      </w:r>
      <w:r w:rsidR="00AF47C9">
        <w:t>G.1072: O</w:t>
      </w:r>
      <w:r w:rsidR="00AF47C9" w:rsidRPr="00AF47C9">
        <w:t xml:space="preserve">pinion model predicting gaming </w:t>
      </w:r>
      <w:proofErr w:type="spellStart"/>
      <w:r w:rsidR="00AF47C9">
        <w:t>Q</w:t>
      </w:r>
      <w:r w:rsidR="00AF47C9" w:rsidRPr="00AF47C9">
        <w:t>o</w:t>
      </w:r>
      <w:r w:rsidR="00AF47C9">
        <w:t>E</w:t>
      </w:r>
      <w:proofErr w:type="spellEnd"/>
      <w:r w:rsidR="00AF47C9" w:rsidRPr="00AF47C9">
        <w:t xml:space="preserve"> for cloud gaming services</w:t>
      </w:r>
      <w:r w:rsidR="00AF47C9">
        <w:t>;</w:t>
      </w:r>
    </w:p>
    <w:p w14:paraId="07C70866" w14:textId="63EBA8A4" w:rsidR="00AF47C9" w:rsidRDefault="00043BA9" w:rsidP="00043BA9">
      <w:pPr>
        <w:pStyle w:val="enumlev1"/>
      </w:pPr>
      <w:r>
        <w:t>–</w:t>
      </w:r>
      <w:r>
        <w:tab/>
      </w:r>
      <w:r w:rsidR="00AF47C9">
        <w:t xml:space="preserve">P.565: </w:t>
      </w:r>
      <w:r w:rsidR="00AF47C9" w:rsidRPr="00AF47C9">
        <w:t>Framework for creation and performance testing of machine learning based models for the assessment of transmission network impact on speech quality for mobile packet-switched voice services</w:t>
      </w:r>
      <w:r>
        <w:t>;</w:t>
      </w:r>
    </w:p>
    <w:p w14:paraId="0197FF2A" w14:textId="7EF325A7" w:rsidR="00AF47C9" w:rsidRPr="00AF47C9" w:rsidRDefault="00043BA9" w:rsidP="00043BA9">
      <w:pPr>
        <w:pStyle w:val="enumlev1"/>
      </w:pPr>
      <w:r>
        <w:t>–</w:t>
      </w:r>
      <w:r>
        <w:tab/>
      </w:r>
      <w:r w:rsidR="00AF47C9">
        <w:t xml:space="preserve">P.1150: </w:t>
      </w:r>
      <w:r w:rsidR="00AF47C9" w:rsidRPr="00AF47C9">
        <w:t>In-</w:t>
      </w:r>
      <w:r w:rsidR="00AF47C9">
        <w:t>c</w:t>
      </w:r>
      <w:r w:rsidR="00AF47C9" w:rsidRPr="00AF47C9">
        <w:t xml:space="preserve">ar </w:t>
      </w:r>
      <w:r w:rsidR="00AF47C9">
        <w:t>c</w:t>
      </w:r>
      <w:r w:rsidR="00AF47C9" w:rsidRPr="00AF47C9">
        <w:t xml:space="preserve">ommunication </w:t>
      </w:r>
      <w:r w:rsidR="00AF47C9">
        <w:t>a</w:t>
      </w:r>
      <w:r w:rsidR="00AF47C9" w:rsidRPr="00AF47C9">
        <w:t xml:space="preserve">udio </w:t>
      </w:r>
      <w:r w:rsidR="00AF47C9">
        <w:t>s</w:t>
      </w:r>
      <w:r w:rsidR="00AF47C9" w:rsidRPr="00AF47C9">
        <w:t>pecification</w:t>
      </w:r>
      <w:r w:rsidR="00AF47C9">
        <w:t>;</w:t>
      </w:r>
    </w:p>
    <w:p w14:paraId="12655167" w14:textId="3616FA19" w:rsidR="00AF47C9" w:rsidRPr="00AF47C9" w:rsidRDefault="00043BA9" w:rsidP="00043BA9">
      <w:pPr>
        <w:pStyle w:val="enumlev1"/>
      </w:pPr>
      <w:r>
        <w:t>–</w:t>
      </w:r>
      <w:r>
        <w:tab/>
      </w:r>
      <w:r w:rsidR="00AF47C9">
        <w:t xml:space="preserve">P.1502: </w:t>
      </w:r>
      <w:r w:rsidR="00AF47C9" w:rsidRPr="00AF47C9">
        <w:t xml:space="preserve">Methodology for </w:t>
      </w:r>
      <w:proofErr w:type="spellStart"/>
      <w:r w:rsidR="00AF47C9" w:rsidRPr="00AF47C9">
        <w:t>QoE</w:t>
      </w:r>
      <w:proofErr w:type="spellEnd"/>
      <w:r w:rsidR="00AF47C9" w:rsidRPr="00AF47C9">
        <w:t xml:space="preserve"> testing of digital financial services</w:t>
      </w:r>
      <w:r w:rsidR="00CB2D0D">
        <w:t>;</w:t>
      </w:r>
    </w:p>
    <w:p w14:paraId="1F32022A" w14:textId="3B718BBE" w:rsidR="00CB2D0D" w:rsidRPr="00AF47C9" w:rsidRDefault="00CB2D0D" w:rsidP="00CB2D0D">
      <w:pPr>
        <w:pStyle w:val="enumlev1"/>
      </w:pPr>
      <w:r>
        <w:t>–</w:t>
      </w:r>
      <w:r>
        <w:tab/>
      </w:r>
      <w:r w:rsidRPr="00AF47C9">
        <w:t>Y.1540</w:t>
      </w:r>
      <w:r>
        <w:t xml:space="preserve">: </w:t>
      </w:r>
      <w:r w:rsidRPr="00AF47C9">
        <w:t>Internet protocol data communication service - IP packet transfer and availability performance parameters</w:t>
      </w:r>
      <w:r>
        <w:t>.</w:t>
      </w:r>
    </w:p>
    <w:p w14:paraId="07F85F68" w14:textId="5085ABE2" w:rsidR="00A44928" w:rsidRPr="007409F4" w:rsidRDefault="00AF47C9" w:rsidP="00AF47C9">
      <w:pPr>
        <w:pStyle w:val="enumlev1"/>
      </w:pPr>
      <w:r>
        <w:tab/>
      </w:r>
    </w:p>
    <w:p w14:paraId="092F8950" w14:textId="2DE141D5" w:rsidR="007409F4" w:rsidRDefault="004A3BF2" w:rsidP="00A44928">
      <w:r>
        <w:lastRenderedPageBreak/>
        <w:t>N</w:t>
      </w:r>
      <w:r w:rsidR="007409F4">
        <w:t>ew Recommendation ITU-T E.805 on s</w:t>
      </w:r>
      <w:r w:rsidR="007409F4" w:rsidRPr="007409F4">
        <w:t>trategies to establish quality regulatory frameworks</w:t>
      </w:r>
      <w:r w:rsidR="007409F4">
        <w:t xml:space="preserve"> </w:t>
      </w:r>
      <w:r>
        <w:t>is</w:t>
      </w:r>
      <w:r w:rsidR="007409F4">
        <w:t xml:space="preserve"> addressing WTSA Resolution 95, </w:t>
      </w:r>
      <w:r w:rsidR="007409F4" w:rsidRPr="007409F4">
        <w:t>ITU Telecommunication Standardization Sector initiatives to raise awareness on best practices and policies related to service quality</w:t>
      </w:r>
      <w:r w:rsidR="007409F4">
        <w:t>. Several other related work items are nearing completion.</w:t>
      </w:r>
    </w:p>
    <w:p w14:paraId="6512F895" w14:textId="397676E8" w:rsidR="007409F4" w:rsidRDefault="007409F4" w:rsidP="007409F4">
      <w:r w:rsidRPr="007409F4">
        <w:t xml:space="preserve">Following over 20 years as an in-force Recommendation, the 2019 Edition </w:t>
      </w:r>
      <w:r>
        <w:t>of Recommendation ITU-T Y.1540 Internet protocol data communication service – IP packet transfer and availability performance parameters</w:t>
      </w:r>
      <w:r w:rsidR="004A3BF2">
        <w:t xml:space="preserve"> </w:t>
      </w:r>
      <w:r w:rsidRPr="007409F4">
        <w:t xml:space="preserve">recognizes many changes in the design of IP services and in the protocols employed by end-users. </w:t>
      </w:r>
    </w:p>
    <w:p w14:paraId="32B44789" w14:textId="45CE172F" w:rsidR="004A3BF2" w:rsidRPr="004A3BF2" w:rsidRDefault="004A3BF2" w:rsidP="007409F4">
      <w:r>
        <w:t>Addressing the mandate of WTSA Resolution 89 on</w:t>
      </w:r>
      <w:r w:rsidRPr="004A3BF2">
        <w:t xml:space="preserve"> </w:t>
      </w:r>
      <w:r>
        <w:t>p</w:t>
      </w:r>
      <w:r w:rsidRPr="004A3BF2">
        <w:t>romoting the use of information and communication technologies to bridge the financial inclusion gap</w:t>
      </w:r>
      <w:r>
        <w:t>, n</w:t>
      </w:r>
      <w:r w:rsidRPr="004A3BF2">
        <w:t xml:space="preserve">ew Recommendation ITU-T P.1502 introduces a </w:t>
      </w:r>
      <w:r>
        <w:rPr>
          <w:rFonts w:eastAsia="Times New Roman"/>
          <w:szCs w:val="20"/>
          <w:lang w:eastAsia="en-US"/>
        </w:rPr>
        <w:t>m</w:t>
      </w:r>
      <w:r w:rsidRPr="00AF47C9">
        <w:rPr>
          <w:rFonts w:eastAsia="Times New Roman"/>
          <w:szCs w:val="20"/>
          <w:lang w:eastAsia="en-US"/>
        </w:rPr>
        <w:t xml:space="preserve">ethodology for testing </w:t>
      </w:r>
      <w:proofErr w:type="spellStart"/>
      <w:r w:rsidRPr="00AF47C9">
        <w:rPr>
          <w:rFonts w:eastAsia="Times New Roman"/>
          <w:szCs w:val="20"/>
          <w:lang w:eastAsia="en-US"/>
        </w:rPr>
        <w:t>QoE</w:t>
      </w:r>
      <w:proofErr w:type="spellEnd"/>
      <w:r w:rsidRPr="00AF47C9">
        <w:rPr>
          <w:rFonts w:eastAsia="Times New Roman"/>
          <w:szCs w:val="20"/>
          <w:lang w:eastAsia="en-US"/>
        </w:rPr>
        <w:t xml:space="preserve"> of digital financial services</w:t>
      </w:r>
      <w:r>
        <w:rPr>
          <w:rFonts w:eastAsia="Times New Roman"/>
          <w:szCs w:val="20"/>
          <w:lang w:eastAsia="en-US"/>
        </w:rPr>
        <w:t xml:space="preserve"> (DFS).</w:t>
      </w:r>
    </w:p>
    <w:p w14:paraId="4D0393F1" w14:textId="77777777" w:rsidR="009F0E11" w:rsidRDefault="00043BA9" w:rsidP="00043BA9">
      <w:pPr>
        <w:rPr>
          <w:lang w:val="en-US"/>
        </w:rPr>
      </w:pPr>
      <w:r w:rsidRPr="00043BA9">
        <w:rPr>
          <w:lang w:val="en-US"/>
        </w:rPr>
        <w:t xml:space="preserve">Machine learning has become a widely used tool in the context of developing speech, audio and video quality </w:t>
      </w:r>
      <w:r w:rsidR="009F0E11">
        <w:rPr>
          <w:lang w:val="en-US"/>
        </w:rPr>
        <w:t xml:space="preserve">assessment </w:t>
      </w:r>
      <w:r w:rsidRPr="00043BA9">
        <w:rPr>
          <w:lang w:val="en-US"/>
        </w:rPr>
        <w:t>models</w:t>
      </w:r>
      <w:r w:rsidR="00EF1A1E">
        <w:rPr>
          <w:lang w:val="en-US"/>
        </w:rPr>
        <w:t xml:space="preserve">. </w:t>
      </w:r>
    </w:p>
    <w:p w14:paraId="795C6815" w14:textId="1BA611BF" w:rsidR="00043BA9" w:rsidRPr="00043BA9" w:rsidRDefault="00EF1A1E" w:rsidP="00043BA9">
      <w:pPr>
        <w:rPr>
          <w:lang w:val="en-US"/>
        </w:rPr>
      </w:pPr>
      <w:r>
        <w:rPr>
          <w:lang w:val="en-US"/>
        </w:rPr>
        <w:t>Examples of new Recommendations benefitting from this tool include the ITU-T P.1204 series</w:t>
      </w:r>
      <w:r w:rsidR="00043BA9" w:rsidRPr="00043BA9">
        <w:rPr>
          <w:lang w:val="en-US"/>
        </w:rPr>
        <w:t xml:space="preserve"> (Video quality assessment of streaming services over reliable transport for resolutions up to 4K)</w:t>
      </w:r>
      <w:r>
        <w:rPr>
          <w:lang w:val="en-US"/>
        </w:rPr>
        <w:t xml:space="preserve">; ITU-T P.565 </w:t>
      </w:r>
      <w:r w:rsidR="00043BA9" w:rsidRPr="00043BA9">
        <w:rPr>
          <w:lang w:val="en-US"/>
        </w:rPr>
        <w:t>(framework for creation and performance testing of machine learning based models for the assessment of transmission network impact on speech quality for mobile packet-switched voice services</w:t>
      </w:r>
      <w:r>
        <w:rPr>
          <w:lang w:val="en-US"/>
        </w:rPr>
        <w:t xml:space="preserve">); and ITU-T E.475 </w:t>
      </w:r>
      <w:r w:rsidRPr="00EF1A1E">
        <w:rPr>
          <w:lang w:val="en-US"/>
        </w:rPr>
        <w:t>(</w:t>
      </w:r>
      <w:r>
        <w:rPr>
          <w:lang w:val="en-US"/>
        </w:rPr>
        <w:t>g</w:t>
      </w:r>
      <w:r w:rsidR="00043BA9" w:rsidRPr="00043BA9">
        <w:rPr>
          <w:lang w:val="en-US"/>
        </w:rPr>
        <w:t>uidelines for intelligent network analytics and diagnostics</w:t>
      </w:r>
      <w:r w:rsidRPr="00EF1A1E">
        <w:rPr>
          <w:lang w:val="en-US"/>
        </w:rPr>
        <w:t>)</w:t>
      </w:r>
      <w:r w:rsidR="00043BA9" w:rsidRPr="00043BA9">
        <w:rPr>
          <w:lang w:val="en-US"/>
        </w:rPr>
        <w:t>,</w:t>
      </w:r>
      <w:r w:rsidRPr="00EF1A1E">
        <w:rPr>
          <w:lang w:val="en-US"/>
        </w:rPr>
        <w:t xml:space="preserve"> all</w:t>
      </w:r>
      <w:r w:rsidR="00043BA9" w:rsidRPr="00043BA9">
        <w:rPr>
          <w:lang w:val="en-US"/>
        </w:rPr>
        <w:t xml:space="preserve"> approved in January 2020.</w:t>
      </w:r>
    </w:p>
    <w:p w14:paraId="4744ECA2" w14:textId="7ED100D2" w:rsidR="00043BA9" w:rsidRPr="00F441E1" w:rsidRDefault="00043BA9" w:rsidP="00043BA9">
      <w:pPr>
        <w:rPr>
          <w:lang w:val="en-US"/>
        </w:rPr>
      </w:pPr>
      <w:r w:rsidRPr="00043BA9">
        <w:rPr>
          <w:lang w:val="en-US"/>
        </w:rPr>
        <w:t>Some of the lessons learned in the development of the above Recommendations will be presented in the form of a technical report (</w:t>
      </w:r>
      <w:r w:rsidRPr="00EF1A1E">
        <w:rPr>
          <w:lang w:val="en-US"/>
        </w:rPr>
        <w:t>TR-ML</w:t>
      </w:r>
      <w:r w:rsidRPr="00043BA9">
        <w:rPr>
          <w:lang w:val="en-US"/>
        </w:rPr>
        <w:t>) and a supplement (</w:t>
      </w:r>
      <w:r w:rsidRPr="00EF1A1E">
        <w:rPr>
          <w:lang w:val="en-US"/>
        </w:rPr>
        <w:t>Suppl.ML</w:t>
      </w:r>
      <w:r w:rsidRPr="00043BA9">
        <w:rPr>
          <w:lang w:val="en-US"/>
        </w:rPr>
        <w:t xml:space="preserve">) describing considerations on the use of algorithms based on machine learning for QoS and </w:t>
      </w:r>
      <w:proofErr w:type="spellStart"/>
      <w:r w:rsidRPr="00043BA9">
        <w:rPr>
          <w:lang w:val="en-US"/>
        </w:rPr>
        <w:t>QoE</w:t>
      </w:r>
      <w:proofErr w:type="spellEnd"/>
      <w:r w:rsidRPr="00043BA9">
        <w:rPr>
          <w:lang w:val="en-US"/>
        </w:rPr>
        <w:t xml:space="preserve"> purposes.</w:t>
      </w:r>
    </w:p>
    <w:p w14:paraId="372351C8" w14:textId="77777777" w:rsidR="007F671C" w:rsidRDefault="007F671C" w:rsidP="00701B54">
      <w:pPr>
        <w:pStyle w:val="Heading2"/>
      </w:pPr>
      <w:r>
        <w:t>Lead study group on driver distraction and voice aspects of car communications</w:t>
      </w:r>
    </w:p>
    <w:p w14:paraId="191505A3" w14:textId="00DABD31" w:rsidR="00373BEA" w:rsidRDefault="00012A0A" w:rsidP="008137D8">
      <w:r>
        <w:t>Q4/12 on o</w:t>
      </w:r>
      <w:r w:rsidRPr="00012A0A">
        <w:t xml:space="preserve">bjective methods for speech and audio evaluation in vehicles </w:t>
      </w:r>
      <w:r w:rsidR="004A3BF2">
        <w:t xml:space="preserve">completed work on a new Recommendation, ITU-T P.1150, describing </w:t>
      </w:r>
      <w:r w:rsidR="00AB782D">
        <w:t>t</w:t>
      </w:r>
      <w:r w:rsidR="00AB782D" w:rsidRPr="00AB782D">
        <w:t>ransmission characteristics for in car communication (ICC)</w:t>
      </w:r>
      <w:r w:rsidR="004A3BF2">
        <w:t xml:space="preserve"> and introducing related test methods</w:t>
      </w:r>
      <w:r w:rsidR="008137D8">
        <w:t>.</w:t>
      </w:r>
      <w:r w:rsidR="00373BEA">
        <w:t xml:space="preserve"> </w:t>
      </w:r>
    </w:p>
    <w:p w14:paraId="519A1469" w14:textId="04908D5F" w:rsidR="005D3265" w:rsidRPr="006D4F08" w:rsidRDefault="00373BEA" w:rsidP="00373BEA">
      <w:r>
        <w:t xml:space="preserve">SG12 is liaising with </w:t>
      </w:r>
      <w:r w:rsidR="004A3BF2">
        <w:t xml:space="preserve">the </w:t>
      </w:r>
      <w:r>
        <w:t xml:space="preserve">Focus Group on </w:t>
      </w:r>
      <w:r w:rsidRPr="00373BEA">
        <w:t>Vehicular Multimedia</w:t>
      </w:r>
      <w:r>
        <w:t>.</w:t>
      </w:r>
    </w:p>
    <w:p w14:paraId="6F02D08A" w14:textId="610540B2" w:rsidR="007F671C" w:rsidRDefault="007F671C" w:rsidP="00701B54">
      <w:pPr>
        <w:pStyle w:val="Heading2"/>
      </w:pPr>
      <w:r>
        <w:t>Lead study group on quality assessment of video communications and applications</w:t>
      </w:r>
    </w:p>
    <w:p w14:paraId="055BACDE" w14:textId="50C8A1AF" w:rsidR="00043BA9" w:rsidRDefault="00043BA9" w:rsidP="005D3265">
      <w:r>
        <w:t>SG12 achieved an important milestone in the completion of four new Recommendations in the P.1204 series covering v</w:t>
      </w:r>
      <w:r w:rsidRPr="00043BA9">
        <w:t>ideo quality assessment of streaming services over reliable transport for resolutions up to 4K</w:t>
      </w:r>
      <w:r>
        <w:t xml:space="preserve">. </w:t>
      </w:r>
    </w:p>
    <w:p w14:paraId="5E7B1ADD" w14:textId="44160342" w:rsidR="00043BA9" w:rsidRDefault="00043BA9" w:rsidP="005D3265">
      <w:r>
        <w:t xml:space="preserve">Undertaken jointly </w:t>
      </w:r>
      <w:r w:rsidRPr="00043BA9">
        <w:t>with the Video Quality Expert Group (VQEG)</w:t>
      </w:r>
      <w:r>
        <w:t>, this project will yield in two additional Recommendations, targeting completion in April 2020.</w:t>
      </w:r>
    </w:p>
    <w:p w14:paraId="4D3022FF" w14:textId="5A854A97" w:rsidR="00043BA9" w:rsidRDefault="00EF1A1E" w:rsidP="005D3265">
      <w:r>
        <w:t xml:space="preserve">Other work on quality assessment of video communications and applications in the reporting timeframe includes new Recommendation ITU-T P.918 on </w:t>
      </w:r>
      <w:r w:rsidRPr="00EF1A1E">
        <w:t>dimension-based subjective quality evaluation for video content</w:t>
      </w:r>
      <w:r>
        <w:t xml:space="preserve">, and new Recommendation ITU-T G.1072 proposing an </w:t>
      </w:r>
      <w:r w:rsidRPr="00EF1A1E">
        <w:t xml:space="preserve">opinion model predicting gaming </w:t>
      </w:r>
      <w:proofErr w:type="spellStart"/>
      <w:r>
        <w:t>QoE</w:t>
      </w:r>
      <w:proofErr w:type="spellEnd"/>
      <w:r w:rsidRPr="00EF1A1E">
        <w:t xml:space="preserve"> for cloud </w:t>
      </w:r>
      <w:r>
        <w:t xml:space="preserve">video </w:t>
      </w:r>
      <w:r w:rsidRPr="00EF1A1E">
        <w:t>gaming services</w:t>
      </w:r>
      <w:r>
        <w:t>.</w:t>
      </w:r>
    </w:p>
    <w:p w14:paraId="468B5B59" w14:textId="5E201398" w:rsidR="00EF1A1E" w:rsidRDefault="00EF1A1E" w:rsidP="005D3265">
      <w:r>
        <w:t xml:space="preserve">SG12 launched a call for participation </w:t>
      </w:r>
      <w:r w:rsidR="00CB2D0D">
        <w:t>for the d</w:t>
      </w:r>
      <w:r w:rsidR="00CB2D0D" w:rsidRPr="00CB2D0D">
        <w:t xml:space="preserve">evelopment of a computational model to assess QoS and </w:t>
      </w:r>
      <w:proofErr w:type="spellStart"/>
      <w:r w:rsidR="00CB2D0D" w:rsidRPr="00CB2D0D">
        <w:t>QoE</w:t>
      </w:r>
      <w:proofErr w:type="spellEnd"/>
      <w:r w:rsidR="00CB2D0D" w:rsidRPr="00CB2D0D">
        <w:t xml:space="preserve"> of videotelephony services</w:t>
      </w:r>
      <w:r w:rsidR="00CB2D0D">
        <w:t xml:space="preserve"> (TSB Circular 223), and is contributing to the </w:t>
      </w:r>
      <w:proofErr w:type="spellStart"/>
      <w:r w:rsidR="00CB2D0D">
        <w:t>Intersector</w:t>
      </w:r>
      <w:proofErr w:type="spellEnd"/>
      <w:r w:rsidR="00CB2D0D">
        <w:t xml:space="preserve"> Rapporteur Group on </w:t>
      </w:r>
      <w:proofErr w:type="spellStart"/>
      <w:r w:rsidR="00CB2D0D" w:rsidRPr="00CB2D0D">
        <w:t>Audiovisual</w:t>
      </w:r>
      <w:proofErr w:type="spellEnd"/>
      <w:r w:rsidR="00CB2D0D" w:rsidRPr="00CB2D0D">
        <w:t xml:space="preserve"> Quality Assessment</w:t>
      </w:r>
      <w:r w:rsidR="00CB2D0D">
        <w:t xml:space="preserve"> (IRG-AVQA), convened alongside the </w:t>
      </w:r>
      <w:r w:rsidR="00B4340C">
        <w:t xml:space="preserve">VQEG </w:t>
      </w:r>
      <w:r w:rsidR="00CB2D0D">
        <w:t>meeting in March 2020 in Seattle, Washington, USA.</w:t>
      </w:r>
    </w:p>
    <w:p w14:paraId="63C7263E" w14:textId="6E36F3B4" w:rsidR="00E61956" w:rsidRPr="005D3265" w:rsidRDefault="00E61956" w:rsidP="005D3265">
      <w:r>
        <w:t>A table covering important elements of the work on this topic is made available in Annex.</w:t>
      </w:r>
      <w:r>
        <w:rPr>
          <w:rFonts w:eastAsia="SimSun"/>
          <w:b/>
          <w:i/>
          <w:iCs/>
          <w:lang w:val="en-US" w:eastAsia="zh-CN"/>
        </w:rPr>
        <w:br w:type="page"/>
      </w:r>
    </w:p>
    <w:p w14:paraId="4A5621FE" w14:textId="36BAB5D8" w:rsidR="00E61956" w:rsidRPr="000B575C" w:rsidRDefault="00E61956" w:rsidP="00E61956">
      <w:pPr>
        <w:pStyle w:val="Caption"/>
        <w:jc w:val="center"/>
        <w:rPr>
          <w:rFonts w:eastAsia="SimSun"/>
          <w:b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eastAsia="SimSun"/>
          <w:b/>
          <w:i w:val="0"/>
          <w:iCs w:val="0"/>
          <w:color w:val="auto"/>
          <w:sz w:val="24"/>
          <w:szCs w:val="24"/>
          <w:lang w:val="en-US" w:eastAsia="zh-CN"/>
        </w:rPr>
        <w:lastRenderedPageBreak/>
        <w:t>Annex: Recommendations and Work Items</w:t>
      </w:r>
      <w:r>
        <w:rPr>
          <w:rFonts w:eastAsia="SimSun" w:hint="eastAsia"/>
          <w:b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 w:rsidR="002929FB" w:rsidRPr="002929FB">
        <w:rPr>
          <w:rFonts w:eastAsia="SimSun"/>
          <w:b/>
          <w:i w:val="0"/>
          <w:iCs w:val="0"/>
          <w:color w:val="auto"/>
          <w:sz w:val="24"/>
          <w:szCs w:val="24"/>
          <w:lang w:val="en-US" w:eastAsia="zh-CN"/>
        </w:rPr>
        <w:t>quality assessment of video communications and applications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08"/>
        <w:gridCol w:w="1882"/>
        <w:gridCol w:w="2559"/>
        <w:gridCol w:w="3680"/>
      </w:tblGrid>
      <w:tr w:rsidR="00E61956" w:rsidRPr="003C3660" w14:paraId="01C64768" w14:textId="77777777" w:rsidTr="00EF1A1E">
        <w:trPr>
          <w:trHeight w:val="600"/>
          <w:tblHeader/>
        </w:trPr>
        <w:tc>
          <w:tcPr>
            <w:tcW w:w="1508" w:type="dxa"/>
          </w:tcPr>
          <w:p w14:paraId="6562F1AD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1FDE62F9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Recommendation </w:t>
            </w:r>
          </w:p>
        </w:tc>
        <w:tc>
          <w:tcPr>
            <w:tcW w:w="2559" w:type="dxa"/>
            <w:noWrap/>
            <w:hideMark/>
          </w:tcPr>
          <w:p w14:paraId="3187BE3A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T</w:t>
            </w:r>
            <w:r w:rsidRPr="003C3660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  <w:t>itle</w:t>
            </w:r>
          </w:p>
        </w:tc>
        <w:tc>
          <w:tcPr>
            <w:tcW w:w="3680" w:type="dxa"/>
          </w:tcPr>
          <w:p w14:paraId="3F9993C2" w14:textId="77777777" w:rsidR="00E61956" w:rsidRPr="003C3660" w:rsidRDefault="00E61956" w:rsidP="00EF1A1E">
            <w:pPr>
              <w:spacing w:before="0"/>
              <w:jc w:val="center"/>
              <w:rPr>
                <w:rFonts w:eastAsia="MS Mincho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C3660">
              <w:rPr>
                <w:rFonts w:eastAsia="MS Mincho" w:hint="eastAsia"/>
                <w:b/>
                <w:bCs/>
                <w:color w:val="000000"/>
                <w:sz w:val="22"/>
                <w:szCs w:val="22"/>
                <w:lang w:val="en-US"/>
              </w:rPr>
              <w:t>Summary</w:t>
            </w:r>
          </w:p>
        </w:tc>
      </w:tr>
      <w:tr w:rsidR="00E61956" w:rsidRPr="003C3660" w14:paraId="2896A14D" w14:textId="77777777" w:rsidTr="00EF1A1E">
        <w:trPr>
          <w:trHeight w:val="575"/>
        </w:trPr>
        <w:tc>
          <w:tcPr>
            <w:tcW w:w="1508" w:type="dxa"/>
            <w:vMerge w:val="restart"/>
          </w:tcPr>
          <w:p w14:paraId="2EAE10A9" w14:textId="552BA6E3" w:rsidR="00E61956" w:rsidRPr="003C3660" w:rsidRDefault="00E61956" w:rsidP="002929FB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 xml:space="preserve">Factors or </w:t>
            </w:r>
            <w:r w:rsid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m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easurement parameters</w:t>
            </w:r>
          </w:p>
        </w:tc>
        <w:tc>
          <w:tcPr>
            <w:tcW w:w="1882" w:type="dxa"/>
            <w:noWrap/>
            <w:hideMark/>
          </w:tcPr>
          <w:p w14:paraId="66C1FFDB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G.1010</w:t>
            </w:r>
          </w:p>
        </w:tc>
        <w:tc>
          <w:tcPr>
            <w:tcW w:w="2559" w:type="dxa"/>
            <w:hideMark/>
          </w:tcPr>
          <w:p w14:paraId="3B816AF2" w14:textId="77777777" w:rsidR="00E61956" w:rsidRPr="003C3660" w:rsidRDefault="00E61956" w:rsidP="00EF1A1E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End-user multimedia QoS categories</w:t>
            </w:r>
          </w:p>
        </w:tc>
        <w:tc>
          <w:tcPr>
            <w:tcW w:w="3680" w:type="dxa"/>
          </w:tcPr>
          <w:p w14:paraId="6EF09F73" w14:textId="77777777" w:rsidR="00E61956" w:rsidRPr="003C3660" w:rsidRDefault="00E61956" w:rsidP="00EF1A1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</w:pP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This Recommendation defines a model for multimedia QoS categories from an</w:t>
            </w:r>
          </w:p>
          <w:p w14:paraId="2022014E" w14:textId="77777777" w:rsidR="00E61956" w:rsidRPr="003C3660" w:rsidRDefault="00E61956" w:rsidP="00EF1A1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</w:pP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end-user viewpoint. By considering user expectations for a range of multimedia applications, eight</w:t>
            </w:r>
          </w:p>
          <w:p w14:paraId="5398D0FF" w14:textId="77777777" w:rsidR="00E61956" w:rsidRPr="003C3660" w:rsidRDefault="00E61956" w:rsidP="00EF1A1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distinct categories are identified, based on tolerance to information loss and delay. </w:t>
            </w:r>
          </w:p>
        </w:tc>
      </w:tr>
      <w:tr w:rsidR="00883028" w:rsidRPr="003C3660" w14:paraId="70DF181C" w14:textId="77777777" w:rsidTr="00EF1A1E">
        <w:trPr>
          <w:trHeight w:val="575"/>
        </w:trPr>
        <w:tc>
          <w:tcPr>
            <w:tcW w:w="1508" w:type="dxa"/>
            <w:vMerge/>
          </w:tcPr>
          <w:p w14:paraId="5921A02D" w14:textId="77777777" w:rsidR="00883028" w:rsidRPr="003C3660" w:rsidRDefault="00883028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7A0ACB4A" w14:textId="6791CF87" w:rsidR="00883028" w:rsidRPr="003C3660" w:rsidRDefault="00883028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G.1028.1</w:t>
            </w:r>
          </w:p>
        </w:tc>
        <w:tc>
          <w:tcPr>
            <w:tcW w:w="2559" w:type="dxa"/>
          </w:tcPr>
          <w:p w14:paraId="0B25DA23" w14:textId="160C6ED0" w:rsidR="00883028" w:rsidRPr="003C3660" w:rsidRDefault="00883028" w:rsidP="00883028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End-to-end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QoS </w:t>
            </w:r>
            <w:r w:rsidRP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for video telephony over 4G mobile networks</w:t>
            </w:r>
          </w:p>
        </w:tc>
        <w:tc>
          <w:tcPr>
            <w:tcW w:w="3680" w:type="dxa"/>
          </w:tcPr>
          <w:p w14:paraId="462E14C1" w14:textId="77777777" w:rsidR="00883028" w:rsidRPr="003C3660" w:rsidRDefault="00883028" w:rsidP="00EF1A1E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61956" w:rsidRPr="003C3660" w14:paraId="37F8FE12" w14:textId="77777777" w:rsidTr="00EF1A1E">
        <w:trPr>
          <w:trHeight w:val="575"/>
        </w:trPr>
        <w:tc>
          <w:tcPr>
            <w:tcW w:w="1508" w:type="dxa"/>
            <w:vMerge/>
          </w:tcPr>
          <w:p w14:paraId="35B6D892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429F2B76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G.1032</w:t>
            </w:r>
          </w:p>
        </w:tc>
        <w:tc>
          <w:tcPr>
            <w:tcW w:w="2559" w:type="dxa"/>
          </w:tcPr>
          <w:p w14:paraId="6F532036" w14:textId="499D68EA" w:rsidR="00E61956" w:rsidRPr="003C3660" w:rsidRDefault="00E61956" w:rsidP="00883028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Influence factors on gaming </w:t>
            </w:r>
            <w:proofErr w:type="spellStart"/>
            <w:r w:rsid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</w:p>
        </w:tc>
        <w:tc>
          <w:tcPr>
            <w:tcW w:w="3680" w:type="dxa"/>
          </w:tcPr>
          <w:p w14:paraId="6307A95B" w14:textId="68B2A54D" w:rsidR="00E61956" w:rsidRPr="003C3660" w:rsidRDefault="00E61956" w:rsidP="00EF1A1E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This Recommendation describes the </w:t>
            </w:r>
            <w:proofErr w:type="spell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factors of video gaming</w:t>
            </w:r>
            <w:r w:rsid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  <w:tr w:rsidR="00E61956" w:rsidRPr="003C3660" w14:paraId="3B3043C2" w14:textId="77777777" w:rsidTr="00EF1A1E">
        <w:trPr>
          <w:trHeight w:val="600"/>
        </w:trPr>
        <w:tc>
          <w:tcPr>
            <w:tcW w:w="1508" w:type="dxa"/>
            <w:vMerge/>
          </w:tcPr>
          <w:p w14:paraId="6637D599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070A3F5A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G.1080</w:t>
            </w:r>
          </w:p>
        </w:tc>
        <w:tc>
          <w:tcPr>
            <w:tcW w:w="2559" w:type="dxa"/>
            <w:hideMark/>
          </w:tcPr>
          <w:p w14:paraId="2F2D2155" w14:textId="559BD01F" w:rsidR="00E61956" w:rsidRPr="003C3660" w:rsidRDefault="00883028" w:rsidP="00EF1A1E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="00E61956"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requirements for IPTV services</w:t>
            </w:r>
          </w:p>
        </w:tc>
        <w:tc>
          <w:tcPr>
            <w:tcW w:w="3680" w:type="dxa"/>
          </w:tcPr>
          <w:p w14:paraId="71649836" w14:textId="77777777" w:rsidR="00E61956" w:rsidRPr="003247AA" w:rsidRDefault="00E61956" w:rsidP="00EF1A1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</w:pPr>
            <w:r w:rsidRPr="003C3660">
              <w:rPr>
                <w:rFonts w:ascii="timesnewroman" w:eastAsia="MS Mincho" w:hAnsi="timesnewroman" w:cs="timesnewroman" w:hint="eastAsia"/>
                <w:sz w:val="22"/>
                <w:szCs w:val="22"/>
                <w:lang w:val="en-US"/>
              </w:rPr>
              <w:t xml:space="preserve">This </w:t>
            </w: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Recommendation defines user requirements for </w:t>
            </w:r>
            <w:proofErr w:type="spellStart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for</w:t>
            </w:r>
            <w:r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IPTV </w:t>
            </w: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services.</w:t>
            </w:r>
          </w:p>
        </w:tc>
      </w:tr>
      <w:tr w:rsidR="00E61956" w:rsidRPr="003C3660" w14:paraId="2D3F20B3" w14:textId="77777777" w:rsidTr="00EF1A1E">
        <w:trPr>
          <w:trHeight w:val="600"/>
        </w:trPr>
        <w:tc>
          <w:tcPr>
            <w:tcW w:w="1508" w:type="dxa"/>
            <w:vMerge/>
          </w:tcPr>
          <w:p w14:paraId="45A431EF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471C6A1A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proofErr w:type="gram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G.QoE</w:t>
            </w:r>
            <w:proofErr w:type="spellEnd"/>
            <w:proofErr w:type="gram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-VR</w:t>
            </w:r>
          </w:p>
          <w:p w14:paraId="281F3DD7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  <w:hideMark/>
          </w:tcPr>
          <w:p w14:paraId="51942524" w14:textId="716A6E64" w:rsidR="00E61956" w:rsidRPr="003C3660" w:rsidRDefault="002929FB" w:rsidP="00883028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Influencing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f</w:t>
            </w: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actors on </w:t>
            </w:r>
            <w:proofErr w:type="spellStart"/>
            <w:r w:rsid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for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v</w:t>
            </w: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irtual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r</w:t>
            </w: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eality </w:t>
            </w:r>
            <w:r w:rsid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(VR)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s</w:t>
            </w: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ervices</w:t>
            </w:r>
          </w:p>
        </w:tc>
        <w:tc>
          <w:tcPr>
            <w:tcW w:w="3680" w:type="dxa"/>
          </w:tcPr>
          <w:p w14:paraId="3B61AD38" w14:textId="77777777" w:rsidR="00E61956" w:rsidRPr="003C3660" w:rsidRDefault="00E61956" w:rsidP="00EF1A1E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61956" w:rsidRPr="003C3660" w14:paraId="688E8F31" w14:textId="77777777" w:rsidTr="00EF1A1E">
        <w:trPr>
          <w:trHeight w:val="600"/>
        </w:trPr>
        <w:tc>
          <w:tcPr>
            <w:tcW w:w="1508" w:type="dxa"/>
            <w:vMerge/>
          </w:tcPr>
          <w:p w14:paraId="69D64752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5C7AFBE4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proofErr w:type="gramStart"/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G.QoE</w:t>
            </w:r>
            <w:proofErr w:type="spellEnd"/>
            <w:proofErr w:type="gramEnd"/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-AR</w:t>
            </w:r>
          </w:p>
          <w:p w14:paraId="751E3144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2254FCEF" w14:textId="5517EC73" w:rsidR="00E61956" w:rsidRPr="003C3660" w:rsidRDefault="00E61956" w:rsidP="002929FB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C3660">
              <w:rPr>
                <w:sz w:val="22"/>
                <w:szCs w:val="22"/>
              </w:rPr>
              <w:t>QoE</w:t>
            </w:r>
            <w:proofErr w:type="spellEnd"/>
            <w:r w:rsidRPr="003C3660">
              <w:rPr>
                <w:sz w:val="22"/>
                <w:szCs w:val="22"/>
              </w:rPr>
              <w:t xml:space="preserve"> factors of </w:t>
            </w:r>
            <w:r w:rsidR="002929FB">
              <w:rPr>
                <w:sz w:val="22"/>
                <w:szCs w:val="22"/>
              </w:rPr>
              <w:t>a</w:t>
            </w:r>
            <w:r w:rsidRPr="003C3660">
              <w:rPr>
                <w:sz w:val="22"/>
                <w:szCs w:val="22"/>
              </w:rPr>
              <w:t xml:space="preserve">ugmented </w:t>
            </w:r>
            <w:r w:rsidR="002929FB">
              <w:rPr>
                <w:sz w:val="22"/>
                <w:szCs w:val="22"/>
              </w:rPr>
              <w:t>r</w:t>
            </w:r>
            <w:r w:rsidRPr="003C3660">
              <w:rPr>
                <w:sz w:val="22"/>
                <w:szCs w:val="22"/>
              </w:rPr>
              <w:t>eality (AR)</w:t>
            </w:r>
          </w:p>
        </w:tc>
        <w:tc>
          <w:tcPr>
            <w:tcW w:w="3680" w:type="dxa"/>
          </w:tcPr>
          <w:p w14:paraId="317820C9" w14:textId="77777777" w:rsidR="00E61956" w:rsidRPr="003C3660" w:rsidRDefault="00E61956" w:rsidP="00EF1A1E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61956" w:rsidRPr="003C3660" w14:paraId="465FED84" w14:textId="77777777" w:rsidTr="00EF1A1E">
        <w:trPr>
          <w:trHeight w:val="600"/>
        </w:trPr>
        <w:tc>
          <w:tcPr>
            <w:tcW w:w="1508" w:type="dxa"/>
            <w:vMerge/>
          </w:tcPr>
          <w:p w14:paraId="377B3277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noWrap/>
          </w:tcPr>
          <w:p w14:paraId="0C4BE270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gramStart"/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MDKT</w:t>
            </w:r>
            <w:proofErr w:type="gramEnd"/>
          </w:p>
          <w:p w14:paraId="563AA90B" w14:textId="77777777" w:rsidR="00E61956" w:rsidRPr="003C3660" w:rsidRDefault="00E61956" w:rsidP="00EF1A1E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2373FA57" w14:textId="68BAC072" w:rsidR="00E61956" w:rsidRPr="003C3660" w:rsidRDefault="00883028" w:rsidP="00883028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Methodology for d</w:t>
            </w:r>
            <w:r w:rsidR="00E61956" w:rsidRPr="003C3660">
              <w:rPr>
                <w:sz w:val="22"/>
                <w:szCs w:val="22"/>
              </w:rPr>
              <w:t xml:space="preserve">etermining </w:t>
            </w:r>
            <w:proofErr w:type="spellStart"/>
            <w:r w:rsidR="00E61956" w:rsidRPr="003C3660">
              <w:rPr>
                <w:sz w:val="22"/>
                <w:szCs w:val="22"/>
              </w:rPr>
              <w:t>QoE</w:t>
            </w:r>
            <w:proofErr w:type="spellEnd"/>
            <w:r w:rsidR="00E61956" w:rsidRPr="003C3660">
              <w:rPr>
                <w:sz w:val="22"/>
                <w:szCs w:val="22"/>
              </w:rPr>
              <w:t>-</w:t>
            </w:r>
            <w:r w:rsidR="00E61956" w:rsidRPr="003C3660">
              <w:rPr>
                <w:rFonts w:hint="eastAsia"/>
                <w:sz w:val="22"/>
                <w:szCs w:val="22"/>
                <w:lang w:eastAsia="zh-CN"/>
              </w:rPr>
              <w:t>r</w:t>
            </w:r>
            <w:r w:rsidR="00E61956" w:rsidRPr="003C3660">
              <w:rPr>
                <w:sz w:val="22"/>
                <w:szCs w:val="22"/>
              </w:rPr>
              <w:t xml:space="preserve">elevant KPI </w:t>
            </w:r>
            <w:r>
              <w:rPr>
                <w:sz w:val="22"/>
                <w:szCs w:val="22"/>
              </w:rPr>
              <w:t>t</w:t>
            </w:r>
            <w:r w:rsidR="00E61956" w:rsidRPr="003C3660">
              <w:rPr>
                <w:sz w:val="22"/>
                <w:szCs w:val="22"/>
              </w:rPr>
              <w:t>hresholds</w:t>
            </w:r>
          </w:p>
        </w:tc>
        <w:tc>
          <w:tcPr>
            <w:tcW w:w="3680" w:type="dxa"/>
          </w:tcPr>
          <w:p w14:paraId="3357B24C" w14:textId="26654CC3" w:rsidR="00E61956" w:rsidRPr="003C3660" w:rsidRDefault="00E61956" w:rsidP="00EF1A1E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This Recommendation will </w:t>
            </w:r>
            <w:r w:rsidRPr="003C3660">
              <w:rPr>
                <w:color w:val="000000"/>
                <w:sz w:val="22"/>
                <w:szCs w:val="22"/>
                <w:lang w:val="en-US" w:eastAsia="zh-CN"/>
              </w:rPr>
              <w:t xml:space="preserve">provide a methodology for selecting </w:t>
            </w:r>
            <w:proofErr w:type="spellStart"/>
            <w:r w:rsidRPr="003C3660">
              <w:rPr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color w:val="000000"/>
                <w:sz w:val="22"/>
                <w:szCs w:val="22"/>
                <w:lang w:val="en-US" w:eastAsia="zh-CN"/>
              </w:rPr>
              <w:t>-relevant KPIs (e.g.</w:t>
            </w:r>
            <w:r w:rsidR="00883028">
              <w:rPr>
                <w:color w:val="000000"/>
                <w:sz w:val="22"/>
                <w:szCs w:val="22"/>
                <w:lang w:val="en-US" w:eastAsia="zh-CN"/>
              </w:rPr>
              <w:t>,</w:t>
            </w:r>
            <w:r w:rsidRPr="003C3660">
              <w:rPr>
                <w:color w:val="000000"/>
                <w:sz w:val="22"/>
                <w:szCs w:val="22"/>
                <w:lang w:val="en-US" w:eastAsia="zh-CN"/>
              </w:rPr>
              <w:t xml:space="preserve"> throughput) as independent variables and the per-session MOS predicted with a </w:t>
            </w:r>
            <w:proofErr w:type="spellStart"/>
            <w:r w:rsidRPr="003C3660">
              <w:rPr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color w:val="000000"/>
                <w:sz w:val="22"/>
                <w:szCs w:val="22"/>
                <w:lang w:val="en-US" w:eastAsia="zh-CN"/>
              </w:rPr>
              <w:t xml:space="preserve"> model as a dependent variable</w:t>
            </w:r>
          </w:p>
        </w:tc>
      </w:tr>
      <w:tr w:rsidR="00CB2D0D" w:rsidRPr="003C3660" w14:paraId="4B8DDEFD" w14:textId="77777777" w:rsidTr="00CB2D0D">
        <w:trPr>
          <w:trHeight w:val="600"/>
        </w:trPr>
        <w:tc>
          <w:tcPr>
            <w:tcW w:w="1508" w:type="dxa"/>
            <w:vMerge w:val="restart"/>
          </w:tcPr>
          <w:p w14:paraId="6927CDF9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Planning models</w:t>
            </w:r>
          </w:p>
        </w:tc>
        <w:tc>
          <w:tcPr>
            <w:tcW w:w="1882" w:type="dxa"/>
            <w:noWrap/>
          </w:tcPr>
          <w:p w14:paraId="3715AE50" w14:textId="0B9E6F08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G.1070</w:t>
            </w:r>
          </w:p>
        </w:tc>
        <w:tc>
          <w:tcPr>
            <w:tcW w:w="2559" w:type="dxa"/>
          </w:tcPr>
          <w:p w14:paraId="55CCF945" w14:textId="5816381B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Opinion model for video-telephony applications</w:t>
            </w:r>
          </w:p>
        </w:tc>
        <w:tc>
          <w:tcPr>
            <w:tcW w:w="3680" w:type="dxa"/>
          </w:tcPr>
          <w:p w14:paraId="5DA2D9E4" w14:textId="67735878" w:rsidR="00CB2D0D" w:rsidRPr="00CB2D0D" w:rsidRDefault="00CB2D0D" w:rsidP="00CB2D0D">
            <w:pPr>
              <w:pStyle w:val="Default"/>
              <w:rPr>
                <w:sz w:val="22"/>
                <w:szCs w:val="22"/>
              </w:rPr>
            </w:pPr>
            <w:r w:rsidRPr="003C3660">
              <w:rPr>
                <w:rFonts w:eastAsia="MS Mincho" w:hint="eastAsia"/>
                <w:sz w:val="22"/>
                <w:szCs w:val="22"/>
                <w:lang w:eastAsia="ja-JP"/>
              </w:rPr>
              <w:t xml:space="preserve">This </w:t>
            </w:r>
            <w:r w:rsidRPr="003C3660">
              <w:rPr>
                <w:sz w:val="22"/>
                <w:szCs w:val="22"/>
              </w:rPr>
              <w:t xml:space="preserve">Recommendation defines an algorithm that estimates videophone quality for </w:t>
            </w:r>
            <w:proofErr w:type="spellStart"/>
            <w:r>
              <w:rPr>
                <w:sz w:val="22"/>
                <w:szCs w:val="22"/>
              </w:rPr>
              <w:t>QoE</w:t>
            </w:r>
            <w:proofErr w:type="spellEnd"/>
            <w:r>
              <w:rPr>
                <w:sz w:val="22"/>
                <w:szCs w:val="22"/>
              </w:rPr>
              <w:t xml:space="preserve">/QoS </w:t>
            </w:r>
            <w:r w:rsidRPr="003C3660">
              <w:rPr>
                <w:sz w:val="22"/>
                <w:szCs w:val="22"/>
              </w:rPr>
              <w:t xml:space="preserve">planners. This model can be used by </w:t>
            </w:r>
            <w:proofErr w:type="spellStart"/>
            <w:r w:rsidRPr="003C3660">
              <w:rPr>
                <w:sz w:val="22"/>
                <w:szCs w:val="22"/>
              </w:rPr>
              <w:t>QoE</w:t>
            </w:r>
            <w:proofErr w:type="spellEnd"/>
            <w:r w:rsidRPr="003C3660">
              <w:rPr>
                <w:sz w:val="22"/>
                <w:szCs w:val="22"/>
              </w:rPr>
              <w:t xml:space="preserve">/QoS planners to help ensure that users will be satisfied with end-to-end service quality. </w:t>
            </w:r>
            <w:r w:rsidRPr="003C3660">
              <w:rPr>
                <w:rFonts w:eastAsia="SimSun"/>
                <w:sz w:val="22"/>
                <w:szCs w:val="22"/>
              </w:rPr>
              <w:t xml:space="preserve"> </w:t>
            </w:r>
          </w:p>
        </w:tc>
      </w:tr>
      <w:tr w:rsidR="00CB2D0D" w:rsidRPr="003C3660" w14:paraId="43AED92D" w14:textId="77777777" w:rsidTr="00EF1A1E">
        <w:trPr>
          <w:trHeight w:val="600"/>
        </w:trPr>
        <w:tc>
          <w:tcPr>
            <w:tcW w:w="1508" w:type="dxa"/>
            <w:vMerge/>
          </w:tcPr>
          <w:p w14:paraId="14DA272D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101D98EE" w14:textId="65921EA5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G.1071</w:t>
            </w:r>
          </w:p>
        </w:tc>
        <w:tc>
          <w:tcPr>
            <w:tcW w:w="2559" w:type="dxa"/>
          </w:tcPr>
          <w:p w14:paraId="5A80A30C" w14:textId="31AE7DFA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Opinion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model for network planning of video and audio streaming applications</w:t>
            </w:r>
          </w:p>
        </w:tc>
        <w:tc>
          <w:tcPr>
            <w:tcW w:w="3680" w:type="dxa"/>
          </w:tcPr>
          <w:p w14:paraId="13FBF33B" w14:textId="0E23B817" w:rsidR="00CB2D0D" w:rsidRPr="003C3660" w:rsidRDefault="00CB2D0D" w:rsidP="00CB2D0D">
            <w:pPr>
              <w:pStyle w:val="Default"/>
              <w:rPr>
                <w:rFonts w:eastAsia="MS Mincho"/>
                <w:sz w:val="22"/>
                <w:szCs w:val="22"/>
                <w:lang w:eastAsia="ja-JP"/>
              </w:rPr>
            </w:pPr>
            <w:r w:rsidRPr="003C3660">
              <w:rPr>
                <w:rFonts w:eastAsia="MS Mincho" w:hint="eastAsia"/>
                <w:sz w:val="22"/>
                <w:szCs w:val="22"/>
                <w:lang w:eastAsia="ja-JP"/>
              </w:rPr>
              <w:t xml:space="preserve">This </w:t>
            </w:r>
            <w:r w:rsidRPr="003C3660">
              <w:rPr>
                <w:sz w:val="22"/>
                <w:szCs w:val="22"/>
              </w:rPr>
              <w:t xml:space="preserve">Recommendation provides algorithmic models for network planning of video and audio quality of IP-based video services. </w:t>
            </w:r>
          </w:p>
        </w:tc>
      </w:tr>
      <w:tr w:rsidR="00CB2D0D" w:rsidRPr="003C3660" w14:paraId="238156CE" w14:textId="77777777" w:rsidTr="00EF1A1E">
        <w:trPr>
          <w:trHeight w:val="600"/>
        </w:trPr>
        <w:tc>
          <w:tcPr>
            <w:tcW w:w="1508" w:type="dxa"/>
            <w:vMerge/>
          </w:tcPr>
          <w:p w14:paraId="2B984429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0B7BA600" w14:textId="10F0F84B" w:rsidR="00CB2D0D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G.1072</w:t>
            </w:r>
          </w:p>
        </w:tc>
        <w:tc>
          <w:tcPr>
            <w:tcW w:w="2559" w:type="dxa"/>
          </w:tcPr>
          <w:p w14:paraId="219BFDF5" w14:textId="627C2612" w:rsidR="00CB2D0D" w:rsidRPr="00883028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EF1A1E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Opinion model predicting gaming </w:t>
            </w:r>
            <w:proofErr w:type="spellStart"/>
            <w:r w:rsidRPr="00EF1A1E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EF1A1E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for cloud gaming services</w:t>
            </w:r>
          </w:p>
        </w:tc>
        <w:tc>
          <w:tcPr>
            <w:tcW w:w="3680" w:type="dxa"/>
          </w:tcPr>
          <w:p w14:paraId="786A5D11" w14:textId="77777777" w:rsidR="00CB2D0D" w:rsidRPr="003C3660" w:rsidRDefault="00CB2D0D" w:rsidP="00CB2D0D">
            <w:pPr>
              <w:pStyle w:val="Defaul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CB2D0D" w:rsidRPr="003C3660" w14:paraId="2506A3ED" w14:textId="77777777" w:rsidTr="00EF1A1E">
        <w:trPr>
          <w:trHeight w:val="600"/>
        </w:trPr>
        <w:tc>
          <w:tcPr>
            <w:tcW w:w="1508" w:type="dxa"/>
            <w:vMerge/>
          </w:tcPr>
          <w:p w14:paraId="443DE6F8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38CC23B4" w14:textId="77777777" w:rsidR="00CB2D0D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gramStart"/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G.QUIT</w:t>
            </w:r>
            <w:proofErr w:type="gramEnd"/>
          </w:p>
          <w:p w14:paraId="15D28892" w14:textId="73A3785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48CDFFA9" w14:textId="0AE8C527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Objective model for assessing impact of initial loading delay on user experience</w:t>
            </w:r>
          </w:p>
        </w:tc>
        <w:tc>
          <w:tcPr>
            <w:tcW w:w="3680" w:type="dxa"/>
          </w:tcPr>
          <w:p w14:paraId="21D5E032" w14:textId="77777777" w:rsidR="00CB2D0D" w:rsidRPr="003C3660" w:rsidRDefault="00CB2D0D" w:rsidP="00CB2D0D">
            <w:pPr>
              <w:pStyle w:val="Defaul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CB2D0D" w:rsidRPr="003C3660" w14:paraId="7099B8A0" w14:textId="77777777" w:rsidTr="00EF1A1E">
        <w:trPr>
          <w:trHeight w:val="600"/>
        </w:trPr>
        <w:tc>
          <w:tcPr>
            <w:tcW w:w="1508" w:type="dxa"/>
            <w:vMerge w:val="restart"/>
          </w:tcPr>
          <w:p w14:paraId="4A2644A7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Monitoring models</w:t>
            </w:r>
          </w:p>
        </w:tc>
        <w:tc>
          <w:tcPr>
            <w:tcW w:w="1882" w:type="dxa"/>
            <w:noWrap/>
            <w:hideMark/>
          </w:tcPr>
          <w:p w14:paraId="392496E8" w14:textId="77777777" w:rsidR="00CB2D0D" w:rsidRPr="003C3660" w:rsidRDefault="00CB2D0D" w:rsidP="00CB2D0D">
            <w:pPr>
              <w:spacing w:before="0"/>
              <w:jc w:val="center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P.1201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(PNAMS)</w:t>
            </w:r>
          </w:p>
        </w:tc>
        <w:tc>
          <w:tcPr>
            <w:tcW w:w="2559" w:type="dxa"/>
            <w:hideMark/>
          </w:tcPr>
          <w:p w14:paraId="4BBE0CC2" w14:textId="77777777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Parametric non-intrusive assessment of audiovisual media streaming quality</w:t>
            </w:r>
          </w:p>
        </w:tc>
        <w:tc>
          <w:tcPr>
            <w:tcW w:w="3680" w:type="dxa"/>
          </w:tcPr>
          <w:p w14:paraId="54FC5D72" w14:textId="77777777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This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Recommendation provides an algorithmic model for non-intrusive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monitoring of the audio, video and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lastRenderedPageBreak/>
              <w:t>audiovisual quality of IP-based video services based on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packet-header information. Video resolution should be HD or below.</w:t>
            </w:r>
          </w:p>
        </w:tc>
      </w:tr>
      <w:tr w:rsidR="00CB2D0D" w:rsidRPr="003C3660" w14:paraId="2974E3EB" w14:textId="77777777" w:rsidTr="00EF1A1E">
        <w:trPr>
          <w:trHeight w:val="600"/>
        </w:trPr>
        <w:tc>
          <w:tcPr>
            <w:tcW w:w="1508" w:type="dxa"/>
            <w:vMerge/>
          </w:tcPr>
          <w:p w14:paraId="544CC6A3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206D4671" w14:textId="77777777" w:rsidR="00CB2D0D" w:rsidRPr="003C3660" w:rsidRDefault="00CB2D0D" w:rsidP="00CB2D0D">
            <w:pPr>
              <w:spacing w:before="0"/>
              <w:jc w:val="center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P.1203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(PNATS)</w:t>
            </w:r>
          </w:p>
        </w:tc>
        <w:tc>
          <w:tcPr>
            <w:tcW w:w="2559" w:type="dxa"/>
            <w:hideMark/>
          </w:tcPr>
          <w:p w14:paraId="1B340DC2" w14:textId="77777777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Parametric bitstream-based quality assessment of progressive download and adaptive audiovisual streaming services over reliable transport</w:t>
            </w:r>
          </w:p>
        </w:tc>
        <w:tc>
          <w:tcPr>
            <w:tcW w:w="3680" w:type="dxa"/>
          </w:tcPr>
          <w:p w14:paraId="37008180" w14:textId="77777777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This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Recommendation provides model algorithms for monitoring the integral media session quality for TCP-type video streaming. 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>Supported v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ideo resolution should be HD or below.</w:t>
            </w:r>
          </w:p>
        </w:tc>
      </w:tr>
      <w:tr w:rsidR="00CB2D0D" w:rsidRPr="003C3660" w14:paraId="0A3CDAD0" w14:textId="77777777" w:rsidTr="00EF1A1E">
        <w:trPr>
          <w:trHeight w:val="600"/>
        </w:trPr>
        <w:tc>
          <w:tcPr>
            <w:tcW w:w="1508" w:type="dxa"/>
            <w:vMerge/>
          </w:tcPr>
          <w:p w14:paraId="04586EBD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54ACBA72" w14:textId="68A7848A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P.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1204 (P</w:t>
            </w: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NATS-PH2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559" w:type="dxa"/>
          </w:tcPr>
          <w:p w14:paraId="01798FB8" w14:textId="1A9A5838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V</w:t>
            </w:r>
            <w:r w:rsidRPr="00EF1A1E">
              <w:rPr>
                <w:sz w:val="22"/>
                <w:szCs w:val="22"/>
              </w:rPr>
              <w:t>ideo quality assessment of streaming services over reliable transport for resolutions up to 4K</w:t>
            </w:r>
          </w:p>
        </w:tc>
        <w:tc>
          <w:tcPr>
            <w:tcW w:w="3680" w:type="dxa"/>
          </w:tcPr>
          <w:p w14:paraId="2F8B3354" w14:textId="77777777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 xml:space="preserve">This work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extends P.1203 to UHD, </w:t>
            </w:r>
            <w:proofErr w:type="gram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and also</w:t>
            </w:r>
            <w:proofErr w:type="gram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includes pixel-based and hybrid model types.</w:t>
            </w:r>
          </w:p>
        </w:tc>
      </w:tr>
      <w:tr w:rsidR="00CB2D0D" w:rsidRPr="003C3660" w14:paraId="34D11B53" w14:textId="77777777" w:rsidTr="00EF1A1E">
        <w:trPr>
          <w:trHeight w:val="1402"/>
        </w:trPr>
        <w:tc>
          <w:tcPr>
            <w:tcW w:w="1508" w:type="dxa"/>
            <w:vMerge/>
          </w:tcPr>
          <w:p w14:paraId="5BA30C81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19239622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gramStart"/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P.NAMS</w:t>
            </w:r>
            <w:proofErr w:type="gramEnd"/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-PH2</w:t>
            </w:r>
          </w:p>
          <w:p w14:paraId="0543494F" w14:textId="77777777" w:rsidR="00CB2D0D" w:rsidRPr="003C3660" w:rsidRDefault="00CB2D0D" w:rsidP="00CB2D0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 in Q14)</w:t>
            </w:r>
          </w:p>
        </w:tc>
        <w:tc>
          <w:tcPr>
            <w:tcW w:w="2559" w:type="dxa"/>
          </w:tcPr>
          <w:p w14:paraId="015FFC99" w14:textId="77777777" w:rsidR="00CB2D0D" w:rsidRPr="003C3660" w:rsidRDefault="00CB2D0D" w:rsidP="00CB2D0D">
            <w:pPr>
              <w:spacing w:before="0"/>
              <w:rPr>
                <w:sz w:val="22"/>
                <w:szCs w:val="22"/>
              </w:rPr>
            </w:pPr>
            <w:r w:rsidRPr="003C3660">
              <w:rPr>
                <w:sz w:val="22"/>
                <w:szCs w:val="22"/>
              </w:rPr>
              <w:t>Parametric Non-intrusive Bitstream Assessment for High Efficiency Video Coding (HEVC) and 4K Media Streaming Quality over UDP</w:t>
            </w:r>
          </w:p>
        </w:tc>
        <w:tc>
          <w:tcPr>
            <w:tcW w:w="3680" w:type="dxa"/>
          </w:tcPr>
          <w:p w14:paraId="5A6A2317" w14:textId="46BE997E" w:rsidR="00CB2D0D" w:rsidRPr="003C3660" w:rsidRDefault="00CB2D0D" w:rsidP="00CB2D0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This work extends P.1201 to UHD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</w:tbl>
    <w:p w14:paraId="13D32785" w14:textId="77777777" w:rsidR="00E61956" w:rsidRDefault="00E61956" w:rsidP="00A01ED5"/>
    <w:p w14:paraId="2B3B28A6" w14:textId="1B84F5EE" w:rsidR="00794F4F" w:rsidRDefault="00394DBF" w:rsidP="001200A6">
      <w:pPr>
        <w:jc w:val="center"/>
      </w:pPr>
      <w:r>
        <w:t>_______________________</w:t>
      </w:r>
    </w:p>
    <w:sectPr w:rsidR="00794F4F" w:rsidSect="00701B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F1CB" w14:textId="77777777" w:rsidR="00EF1A1E" w:rsidRDefault="00EF1A1E" w:rsidP="00C42125">
      <w:pPr>
        <w:spacing w:before="0"/>
      </w:pPr>
      <w:r>
        <w:separator/>
      </w:r>
    </w:p>
  </w:endnote>
  <w:endnote w:type="continuationSeparator" w:id="0">
    <w:p w14:paraId="6A6C1165" w14:textId="77777777" w:rsidR="00EF1A1E" w:rsidRDefault="00EF1A1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B9992" w14:textId="77777777" w:rsidR="00EF1A1E" w:rsidRDefault="00EF1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162CE" w14:textId="77777777" w:rsidR="00EF1A1E" w:rsidRDefault="00EF1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E037" w14:textId="77777777" w:rsidR="00EF1A1E" w:rsidRDefault="00EF1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88ACE" w14:textId="77777777" w:rsidR="00EF1A1E" w:rsidRDefault="00EF1A1E" w:rsidP="00C42125">
      <w:pPr>
        <w:spacing w:before="0"/>
      </w:pPr>
      <w:r>
        <w:separator/>
      </w:r>
    </w:p>
  </w:footnote>
  <w:footnote w:type="continuationSeparator" w:id="0">
    <w:p w14:paraId="464AE821" w14:textId="77777777" w:rsidR="00EF1A1E" w:rsidRDefault="00EF1A1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282C" w14:textId="77777777" w:rsidR="00EF1A1E" w:rsidRDefault="00EF1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4F5C" w14:textId="4034539C" w:rsidR="00EF1A1E" w:rsidRPr="00701B54" w:rsidRDefault="00EF1A1E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>
      <w:rPr>
        <w:noProof/>
        <w:sz w:val="18"/>
      </w:rPr>
      <w:t>4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03CEF0C3" w:rsidR="00EF1A1E" w:rsidRPr="00701B54" w:rsidRDefault="00EF1A1E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B17625">
      <w:rPr>
        <w:noProof/>
        <w:sz w:val="18"/>
      </w:rPr>
      <w:t>TSAG-TD668</w:t>
    </w:r>
    <w:r w:rsidRPr="00701B54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B225" w14:textId="77777777" w:rsidR="00EF1A1E" w:rsidRDefault="00EF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art7F90"/>
      </v:shape>
    </w:pict>
  </w:numPicBullet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A0A"/>
    <w:rsid w:val="00014DAF"/>
    <w:rsid w:val="00014F69"/>
    <w:rsid w:val="000171DB"/>
    <w:rsid w:val="00023D9A"/>
    <w:rsid w:val="00027BC5"/>
    <w:rsid w:val="0003582E"/>
    <w:rsid w:val="00043BA9"/>
    <w:rsid w:val="00043D75"/>
    <w:rsid w:val="00057000"/>
    <w:rsid w:val="000640E0"/>
    <w:rsid w:val="00067FDC"/>
    <w:rsid w:val="00086D80"/>
    <w:rsid w:val="000966A8"/>
    <w:rsid w:val="000A5CA2"/>
    <w:rsid w:val="000E6083"/>
    <w:rsid w:val="000E6125"/>
    <w:rsid w:val="000F3E8D"/>
    <w:rsid w:val="00100BAF"/>
    <w:rsid w:val="00110502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3E2F"/>
    <w:rsid w:val="001C62B8"/>
    <w:rsid w:val="001D22D8"/>
    <w:rsid w:val="001D4296"/>
    <w:rsid w:val="001E7B0E"/>
    <w:rsid w:val="001F141D"/>
    <w:rsid w:val="00200A06"/>
    <w:rsid w:val="00200A98"/>
    <w:rsid w:val="00201AFA"/>
    <w:rsid w:val="00214C7E"/>
    <w:rsid w:val="002229F1"/>
    <w:rsid w:val="00233F75"/>
    <w:rsid w:val="00253DBE"/>
    <w:rsid w:val="00253DC6"/>
    <w:rsid w:val="002542D0"/>
    <w:rsid w:val="0025489C"/>
    <w:rsid w:val="002622FA"/>
    <w:rsid w:val="00263518"/>
    <w:rsid w:val="002759E7"/>
    <w:rsid w:val="00277326"/>
    <w:rsid w:val="0028342B"/>
    <w:rsid w:val="002929FB"/>
    <w:rsid w:val="002A11C4"/>
    <w:rsid w:val="002A399B"/>
    <w:rsid w:val="002B12EE"/>
    <w:rsid w:val="002C26C0"/>
    <w:rsid w:val="002C2BC5"/>
    <w:rsid w:val="002C48F1"/>
    <w:rsid w:val="002E0407"/>
    <w:rsid w:val="002E79CB"/>
    <w:rsid w:val="002F0471"/>
    <w:rsid w:val="002F1714"/>
    <w:rsid w:val="002F7D92"/>
    <w:rsid w:val="002F7F55"/>
    <w:rsid w:val="0030745F"/>
    <w:rsid w:val="00314630"/>
    <w:rsid w:val="0032090A"/>
    <w:rsid w:val="00321CDE"/>
    <w:rsid w:val="003336D1"/>
    <w:rsid w:val="00333E15"/>
    <w:rsid w:val="003571BC"/>
    <w:rsid w:val="0036090C"/>
    <w:rsid w:val="00364979"/>
    <w:rsid w:val="00373BEA"/>
    <w:rsid w:val="00385B9C"/>
    <w:rsid w:val="00385FB5"/>
    <w:rsid w:val="0038715D"/>
    <w:rsid w:val="00392E84"/>
    <w:rsid w:val="00394DBF"/>
    <w:rsid w:val="003957A6"/>
    <w:rsid w:val="003A43EF"/>
    <w:rsid w:val="003C7445"/>
    <w:rsid w:val="003E39A2"/>
    <w:rsid w:val="003E57AB"/>
    <w:rsid w:val="003F2BED"/>
    <w:rsid w:val="00400B49"/>
    <w:rsid w:val="004130AC"/>
    <w:rsid w:val="00443878"/>
    <w:rsid w:val="004539A8"/>
    <w:rsid w:val="004712CA"/>
    <w:rsid w:val="0047422E"/>
    <w:rsid w:val="0049674B"/>
    <w:rsid w:val="004A3BF2"/>
    <w:rsid w:val="004C0673"/>
    <w:rsid w:val="004C4E4E"/>
    <w:rsid w:val="004F3816"/>
    <w:rsid w:val="004F500A"/>
    <w:rsid w:val="00514631"/>
    <w:rsid w:val="005169CD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040B"/>
    <w:rsid w:val="005C27A2"/>
    <w:rsid w:val="005D3265"/>
    <w:rsid w:val="005D4FEB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4F08"/>
    <w:rsid w:val="006D7355"/>
    <w:rsid w:val="006E0C38"/>
    <w:rsid w:val="006F7DEE"/>
    <w:rsid w:val="00701B54"/>
    <w:rsid w:val="00715CA6"/>
    <w:rsid w:val="00731135"/>
    <w:rsid w:val="007324AF"/>
    <w:rsid w:val="007409B4"/>
    <w:rsid w:val="007409F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6288"/>
    <w:rsid w:val="007C7122"/>
    <w:rsid w:val="007D3F11"/>
    <w:rsid w:val="007E2C69"/>
    <w:rsid w:val="007E53E4"/>
    <w:rsid w:val="007E656A"/>
    <w:rsid w:val="007F3CAA"/>
    <w:rsid w:val="007F664D"/>
    <w:rsid w:val="007F671C"/>
    <w:rsid w:val="008137D8"/>
    <w:rsid w:val="00837203"/>
    <w:rsid w:val="00842137"/>
    <w:rsid w:val="00846EB8"/>
    <w:rsid w:val="00853F5F"/>
    <w:rsid w:val="00861E34"/>
    <w:rsid w:val="008623ED"/>
    <w:rsid w:val="00875AA6"/>
    <w:rsid w:val="00880944"/>
    <w:rsid w:val="00881C84"/>
    <w:rsid w:val="00883028"/>
    <w:rsid w:val="0089088E"/>
    <w:rsid w:val="00892297"/>
    <w:rsid w:val="008964D6"/>
    <w:rsid w:val="008B5123"/>
    <w:rsid w:val="008E0172"/>
    <w:rsid w:val="008E2B26"/>
    <w:rsid w:val="008F027C"/>
    <w:rsid w:val="00936852"/>
    <w:rsid w:val="0094045D"/>
    <w:rsid w:val="009406B5"/>
    <w:rsid w:val="00946166"/>
    <w:rsid w:val="009646A6"/>
    <w:rsid w:val="00983164"/>
    <w:rsid w:val="009972EF"/>
    <w:rsid w:val="009B5035"/>
    <w:rsid w:val="009C3160"/>
    <w:rsid w:val="009D644B"/>
    <w:rsid w:val="009E766E"/>
    <w:rsid w:val="009F0E11"/>
    <w:rsid w:val="009F1960"/>
    <w:rsid w:val="009F715E"/>
    <w:rsid w:val="00A01ED5"/>
    <w:rsid w:val="00A10DBB"/>
    <w:rsid w:val="00A11720"/>
    <w:rsid w:val="00A21247"/>
    <w:rsid w:val="00A31D47"/>
    <w:rsid w:val="00A4013E"/>
    <w:rsid w:val="00A4045F"/>
    <w:rsid w:val="00A427CD"/>
    <w:rsid w:val="00A44928"/>
    <w:rsid w:val="00A45FEE"/>
    <w:rsid w:val="00A4600B"/>
    <w:rsid w:val="00A50506"/>
    <w:rsid w:val="00A51EF0"/>
    <w:rsid w:val="00A67A81"/>
    <w:rsid w:val="00A730A6"/>
    <w:rsid w:val="00A971A0"/>
    <w:rsid w:val="00AA1186"/>
    <w:rsid w:val="00AA1F22"/>
    <w:rsid w:val="00AB782D"/>
    <w:rsid w:val="00AF47C9"/>
    <w:rsid w:val="00B05821"/>
    <w:rsid w:val="00B100D6"/>
    <w:rsid w:val="00B164C9"/>
    <w:rsid w:val="00B16B6A"/>
    <w:rsid w:val="00B17625"/>
    <w:rsid w:val="00B20E36"/>
    <w:rsid w:val="00B26C28"/>
    <w:rsid w:val="00B4174C"/>
    <w:rsid w:val="00B4340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14F6D"/>
    <w:rsid w:val="00C42125"/>
    <w:rsid w:val="00C62814"/>
    <w:rsid w:val="00C67B25"/>
    <w:rsid w:val="00C748F7"/>
    <w:rsid w:val="00C74937"/>
    <w:rsid w:val="00C82876"/>
    <w:rsid w:val="00CB2599"/>
    <w:rsid w:val="00CB2D0D"/>
    <w:rsid w:val="00CD0970"/>
    <w:rsid w:val="00CD2139"/>
    <w:rsid w:val="00CE5986"/>
    <w:rsid w:val="00D31686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61956"/>
    <w:rsid w:val="00E6292E"/>
    <w:rsid w:val="00EA0BE7"/>
    <w:rsid w:val="00EA2C4C"/>
    <w:rsid w:val="00EB444D"/>
    <w:rsid w:val="00EE1A06"/>
    <w:rsid w:val="00EE5C0D"/>
    <w:rsid w:val="00EF1A1E"/>
    <w:rsid w:val="00EF4792"/>
    <w:rsid w:val="00F02294"/>
    <w:rsid w:val="00F07BB8"/>
    <w:rsid w:val="00F30DE7"/>
    <w:rsid w:val="00F35F57"/>
    <w:rsid w:val="00F441E1"/>
    <w:rsid w:val="00F50467"/>
    <w:rsid w:val="00F562A0"/>
    <w:rsid w:val="00F57FA4"/>
    <w:rsid w:val="00FA02CB"/>
    <w:rsid w:val="00FA2177"/>
    <w:rsid w:val="00FB0783"/>
    <w:rsid w:val="00FB5B35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4F6D"/>
  </w:style>
  <w:style w:type="table" w:styleId="TableGrid">
    <w:name w:val="Table Grid"/>
    <w:basedOn w:val="TableNormal"/>
    <w:uiPriority w:val="39"/>
    <w:rsid w:val="00E6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28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28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semiHidden/>
    <w:rsid w:val="007C6288"/>
    <w:rPr>
      <w:position w:val="6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9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s.itu.int/webinar-itu-standards-quality-video-streaming-cloud-gaming-fintech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itu.int/en/ITU-T/studygroups/2017-2020/12/Pages/1911-summary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wame.baah-acheamfuor@nca.org.gh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T17-SG12-191126-TD-GEN-1014/en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en/ITU-T/studygroups/2017-2020/12/Documents/2019-12-05-webinar.mp4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E25BB"/>
    <w:rsid w:val="00144428"/>
    <w:rsid w:val="001A1C4C"/>
    <w:rsid w:val="00256D54"/>
    <w:rsid w:val="00271D92"/>
    <w:rsid w:val="002A0AE4"/>
    <w:rsid w:val="00300983"/>
    <w:rsid w:val="00325284"/>
    <w:rsid w:val="00325869"/>
    <w:rsid w:val="003962CD"/>
    <w:rsid w:val="003A0E86"/>
    <w:rsid w:val="003F520B"/>
    <w:rsid w:val="00400FFE"/>
    <w:rsid w:val="00403A9C"/>
    <w:rsid w:val="00464382"/>
    <w:rsid w:val="004D3A5B"/>
    <w:rsid w:val="004E07FF"/>
    <w:rsid w:val="004E2252"/>
    <w:rsid w:val="004F124B"/>
    <w:rsid w:val="0058155E"/>
    <w:rsid w:val="005B0AEB"/>
    <w:rsid w:val="005B38F3"/>
    <w:rsid w:val="005F6CD5"/>
    <w:rsid w:val="0061653B"/>
    <w:rsid w:val="006431B1"/>
    <w:rsid w:val="006B688A"/>
    <w:rsid w:val="006D2486"/>
    <w:rsid w:val="006F6568"/>
    <w:rsid w:val="00726DDE"/>
    <w:rsid w:val="00731377"/>
    <w:rsid w:val="00747A76"/>
    <w:rsid w:val="00841C9F"/>
    <w:rsid w:val="00891F17"/>
    <w:rsid w:val="008D554D"/>
    <w:rsid w:val="00947D8D"/>
    <w:rsid w:val="00992675"/>
    <w:rsid w:val="009A4B03"/>
    <w:rsid w:val="009F2F69"/>
    <w:rsid w:val="00A3586C"/>
    <w:rsid w:val="00A65845"/>
    <w:rsid w:val="00A8359E"/>
    <w:rsid w:val="00A93718"/>
    <w:rsid w:val="00AB0F92"/>
    <w:rsid w:val="00AF3CAC"/>
    <w:rsid w:val="00B375F3"/>
    <w:rsid w:val="00B603E6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32D"/>
    <w:rsid w:val="00E32D0C"/>
    <w:rsid w:val="00E66F7A"/>
    <w:rsid w:val="00EB6760"/>
    <w:rsid w:val="00EE281E"/>
    <w:rsid w:val="00F176CB"/>
    <w:rsid w:val="00F32DA0"/>
    <w:rsid w:val="00F869EF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76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">
    <w:name w:val="DDDA5E3DD2C94785B556D7BC8421B96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">
    <w:name w:val="24635ECA0EAF4CF9B31C2407330D62E2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">
    <w:name w:val="CDF9D542E8A84EEEBAD509350CAF549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">
    <w:name w:val="04A5D664061D443D9804D85B7992234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E32D0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1">
    <w:name w:val="DDDA5E3DD2C94785B556D7BC8421B961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1">
    <w:name w:val="24635ECA0EAF4CF9B31C2407330D62E2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1">
    <w:name w:val="CDF9D542E8A84EEEBAD509350CAF549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1">
    <w:name w:val="04A5D664061D443D9804D85B7992234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2">
    <w:name w:val="DDDA5E3DD2C94785B556D7BC8421B961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2">
    <w:name w:val="24635ECA0EAF4CF9B31C2407330D62E2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3">
    <w:name w:val="CDD51279900B4252B2D0D289877D02EA3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2">
    <w:name w:val="CDF9D542E8A84EEEBAD509350CAF549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2">
    <w:name w:val="04A5D664061D443D9804D85B7992234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CF2A362197E4BCB95A6F46CC9E10302">
    <w:name w:val="3CF2A362197E4BCB95A6F46CC9E10302"/>
    <w:rsid w:val="00F32DA0"/>
  </w:style>
  <w:style w:type="paragraph" w:customStyle="1" w:styleId="ADFAA714186A4A3B9599E1C108162BCA">
    <w:name w:val="ADFAA714186A4A3B9599E1C108162BCA"/>
    <w:rsid w:val="00F32DA0"/>
  </w:style>
  <w:style w:type="paragraph" w:customStyle="1" w:styleId="7A367C34FDC14E518B0C1003DB5D6790">
    <w:name w:val="7A367C34FDC14E518B0C1003DB5D6790"/>
    <w:rsid w:val="00F32DA0"/>
  </w:style>
  <w:style w:type="paragraph" w:customStyle="1" w:styleId="F724F7E1AF2A48808624A81F09F34B77">
    <w:name w:val="F724F7E1AF2A48808624A81F09F34B77"/>
    <w:rsid w:val="00F32DA0"/>
  </w:style>
  <w:style w:type="paragraph" w:customStyle="1" w:styleId="78568DB62A1D4BF996A71BC11798AC15">
    <w:name w:val="78568DB62A1D4BF996A71BC11798AC15"/>
    <w:rsid w:val="00F32DA0"/>
  </w:style>
  <w:style w:type="paragraph" w:customStyle="1" w:styleId="C985284391F84432B3E15321E89B4E92">
    <w:name w:val="C985284391F84432B3E15321E89B4E92"/>
    <w:rsid w:val="00F32DA0"/>
  </w:style>
  <w:style w:type="paragraph" w:customStyle="1" w:styleId="DDDA5E3DD2C94785B556D7BC8421B9613">
    <w:name w:val="DDDA5E3DD2C94785B556D7BC8421B961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3">
    <w:name w:val="24635ECA0EAF4CF9B31C2407330D62E2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635A5D730D9499F954705C83EB7CD19">
    <w:name w:val="D635A5D730D9499F954705C83EB7CD19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3">
    <w:name w:val="CDF9D542E8A84EEEBAD509350CAF549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3">
    <w:name w:val="04A5D664061D443D9804D85B7992234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1">
    <w:name w:val="272FBD78AB1F4582865B443E8080462B11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6">
    <w:name w:val="0747E8C3C0B94E57A2B87F941A299AA0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6">
    <w:name w:val="AC14B36049EE4F7F9B8ACAEB3B0ACAED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8">
    <w:name w:val="38A333F0FDB64DFC85824C3547C1B1B118"/>
    <w:rsid w:val="00C95AF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4">
    <w:name w:val="DDDA5E3DD2C94785B556D7BC8421B961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4">
    <w:name w:val="24635ECA0EAF4CF9B31C2407330D62E2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027B879D5D04D61855793B64D8B5B12">
    <w:name w:val="7027B879D5D04D61855793B64D8B5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4">
    <w:name w:val="CDF9D542E8A84EEEBAD509350CAF549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4">
    <w:name w:val="04A5D664061D443D9804D85B7992234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2">
    <w:name w:val="272FBD78AB1F4582865B443E8080462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9">
    <w:name w:val="38A333F0FDB64DFC85824C3547C1B1B119"/>
    <w:rsid w:val="00EB676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In line with WTSA-16 Resolution 1, this report provides updates about the SG12 lead study group activities.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.v3"/>
    <ds:schemaRef ds:uri="http://schemas.microsoft.com/office/infopath/2007/PartnerControls"/>
    <ds:schemaRef ds:uri="http://schemas.openxmlformats.org/package/2006/metadata/core-properties"/>
    <ds:schemaRef ds:uri="3f6fad35-1f81-480e-a4e5-6e5474dcfb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7579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ITU-T SG12 lead activities (October 2019 – January 2020)</vt:lpstr>
    </vt:vector>
  </TitlesOfParts>
  <Manager>ITU-T</Manager>
  <Company>International Telecommunication Union (ITU)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ITU-T SG12 lead activities (October 2019 – January 2020)</dc:title>
  <dc:subject/>
  <dc:creator>Chairman, ITU-T SG12</dc:creator>
  <cp:keywords>QoS; QoE; driver distraction; car communications; video quality; SG12;</cp:keywords>
  <dc:description>TSAG-TD668  For: Geneva, 10-14 February 2020_x000d_Document date: _x000d_Saved by ITU51011775 at 15:54:45 on 03/02/2020</dc:description>
  <cp:lastModifiedBy>Al-Mnini, Lara</cp:lastModifiedBy>
  <cp:revision>2</cp:revision>
  <cp:lastPrinted>2016-12-23T12:52:00Z</cp:lastPrinted>
  <dcterms:created xsi:type="dcterms:W3CDTF">2020-02-04T10:06:00Z</dcterms:created>
  <dcterms:modified xsi:type="dcterms:W3CDTF">2020-02-04T10:06:00Z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TSAG-TD668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Chairman, ITU-T SG12</vt:lpwstr>
  </property>
</Properties>
</file>