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7C779F" w:rsidRPr="00CA215A" w14:paraId="01F05CD0" w14:textId="77777777" w:rsidTr="00467FEF">
        <w:trPr>
          <w:cantSplit/>
          <w:jc w:val="center"/>
        </w:trPr>
        <w:tc>
          <w:tcPr>
            <w:tcW w:w="1191" w:type="dxa"/>
            <w:vMerge w:val="restart"/>
          </w:tcPr>
          <w:p w14:paraId="513959D6" w14:textId="77777777" w:rsidR="007C779F" w:rsidRPr="00CA215A" w:rsidRDefault="007C779F" w:rsidP="00467FEF">
            <w:pPr>
              <w:tabs>
                <w:tab w:val="left" w:pos="567"/>
                <w:tab w:val="left" w:pos="1134"/>
                <w:tab w:val="left" w:pos="1701"/>
                <w:tab w:val="left" w:pos="2268"/>
                <w:tab w:val="left" w:pos="2835"/>
              </w:tabs>
              <w:overflowPunct w:val="0"/>
              <w:autoSpaceDE w:val="0"/>
              <w:autoSpaceDN w:val="0"/>
              <w:adjustRightInd w:val="0"/>
              <w:textAlignment w:val="baseline"/>
              <w:rPr>
                <w:sz w:val="20"/>
                <w:szCs w:val="20"/>
              </w:rPr>
            </w:pPr>
            <w:r w:rsidRPr="00CA215A">
              <w:rPr>
                <w:noProof/>
                <w:sz w:val="20"/>
                <w:szCs w:val="20"/>
                <w:lang w:eastAsia="en-GB"/>
              </w:rPr>
              <w:drawing>
                <wp:inline distT="0" distB="0" distL="0" distR="0" wp14:anchorId="009DAD93" wp14:editId="3C188006">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20383F76" w14:textId="77777777" w:rsidR="007C779F" w:rsidRPr="00CA215A" w:rsidRDefault="007C779F" w:rsidP="00467FEF">
            <w:pPr>
              <w:tabs>
                <w:tab w:val="left" w:pos="567"/>
                <w:tab w:val="left" w:pos="1134"/>
                <w:tab w:val="left" w:pos="1701"/>
                <w:tab w:val="left" w:pos="2268"/>
                <w:tab w:val="left" w:pos="2835"/>
              </w:tabs>
              <w:overflowPunct w:val="0"/>
              <w:autoSpaceDE w:val="0"/>
              <w:autoSpaceDN w:val="0"/>
              <w:adjustRightInd w:val="0"/>
              <w:textAlignment w:val="baseline"/>
              <w:rPr>
                <w:sz w:val="16"/>
                <w:szCs w:val="16"/>
              </w:rPr>
            </w:pPr>
            <w:r w:rsidRPr="00CA215A">
              <w:rPr>
                <w:sz w:val="16"/>
                <w:szCs w:val="16"/>
              </w:rPr>
              <w:t>INTERNATIONAL TELECOMMUNICATION UNION</w:t>
            </w:r>
          </w:p>
          <w:p w14:paraId="28E747BE" w14:textId="77777777" w:rsidR="007C779F" w:rsidRPr="00CA215A" w:rsidRDefault="007C779F" w:rsidP="00467FEF">
            <w:pPr>
              <w:tabs>
                <w:tab w:val="left" w:pos="567"/>
                <w:tab w:val="left" w:pos="1134"/>
                <w:tab w:val="left" w:pos="1701"/>
                <w:tab w:val="left" w:pos="2268"/>
                <w:tab w:val="left" w:pos="2835"/>
              </w:tabs>
              <w:overflowPunct w:val="0"/>
              <w:autoSpaceDE w:val="0"/>
              <w:autoSpaceDN w:val="0"/>
              <w:adjustRightInd w:val="0"/>
              <w:textAlignment w:val="baseline"/>
              <w:rPr>
                <w:b/>
                <w:bCs/>
                <w:sz w:val="26"/>
                <w:szCs w:val="26"/>
              </w:rPr>
            </w:pPr>
            <w:r w:rsidRPr="00CA215A">
              <w:rPr>
                <w:b/>
                <w:bCs/>
                <w:sz w:val="26"/>
                <w:szCs w:val="26"/>
              </w:rPr>
              <w:t>TELECOMMUNICATION</w:t>
            </w:r>
            <w:r w:rsidRPr="00CA215A">
              <w:rPr>
                <w:b/>
                <w:bCs/>
                <w:sz w:val="26"/>
                <w:szCs w:val="26"/>
              </w:rPr>
              <w:br/>
              <w:t>STANDARDIZATION SECTOR</w:t>
            </w:r>
          </w:p>
          <w:p w14:paraId="4BB80E80" w14:textId="77777777" w:rsidR="007C779F" w:rsidRPr="00CA215A" w:rsidRDefault="007C779F" w:rsidP="00467FEF">
            <w:pPr>
              <w:tabs>
                <w:tab w:val="left" w:pos="567"/>
                <w:tab w:val="left" w:pos="1134"/>
                <w:tab w:val="left" w:pos="1701"/>
                <w:tab w:val="left" w:pos="2268"/>
                <w:tab w:val="left" w:pos="2835"/>
              </w:tabs>
              <w:overflowPunct w:val="0"/>
              <w:autoSpaceDE w:val="0"/>
              <w:autoSpaceDN w:val="0"/>
              <w:adjustRightInd w:val="0"/>
              <w:textAlignment w:val="baseline"/>
              <w:rPr>
                <w:sz w:val="20"/>
                <w:szCs w:val="20"/>
              </w:rPr>
            </w:pPr>
            <w:r w:rsidRPr="00CA215A">
              <w:rPr>
                <w:sz w:val="20"/>
                <w:szCs w:val="20"/>
              </w:rPr>
              <w:t>STUDY PERIOD 2017-2020</w:t>
            </w:r>
          </w:p>
        </w:tc>
        <w:tc>
          <w:tcPr>
            <w:tcW w:w="4681" w:type="dxa"/>
            <w:gridSpan w:val="2"/>
            <w:vAlign w:val="center"/>
          </w:tcPr>
          <w:p w14:paraId="6F113377" w14:textId="77777777" w:rsidR="007C779F" w:rsidRPr="00CA215A" w:rsidRDefault="007C779F" w:rsidP="0070754D">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jc w:val="right"/>
              <w:textAlignment w:val="baseline"/>
              <w:rPr>
                <w:b/>
                <w:sz w:val="32"/>
                <w:szCs w:val="20"/>
                <w:lang w:eastAsia="en-US"/>
              </w:rPr>
            </w:pPr>
            <w:r w:rsidRPr="00CA215A">
              <w:rPr>
                <w:b/>
                <w:sz w:val="32"/>
                <w:szCs w:val="20"/>
                <w:lang w:eastAsia="en-US"/>
              </w:rPr>
              <w:t>TSAG-TD</w:t>
            </w:r>
            <w:r w:rsidR="0070754D">
              <w:rPr>
                <w:b/>
                <w:sz w:val="32"/>
                <w:szCs w:val="20"/>
                <w:lang w:eastAsia="en-US"/>
              </w:rPr>
              <w:t>677</w:t>
            </w:r>
          </w:p>
        </w:tc>
      </w:tr>
      <w:tr w:rsidR="007C779F" w:rsidRPr="00CA215A" w14:paraId="3CB9FB55" w14:textId="77777777" w:rsidTr="00467FEF">
        <w:trPr>
          <w:cantSplit/>
          <w:jc w:val="center"/>
        </w:trPr>
        <w:tc>
          <w:tcPr>
            <w:tcW w:w="1191" w:type="dxa"/>
            <w:vMerge/>
          </w:tcPr>
          <w:p w14:paraId="7D253F59" w14:textId="77777777" w:rsidR="007C779F" w:rsidRPr="00CA215A" w:rsidRDefault="007C779F" w:rsidP="00467FEF">
            <w:pPr>
              <w:tabs>
                <w:tab w:val="left" w:pos="567"/>
                <w:tab w:val="left" w:pos="1134"/>
                <w:tab w:val="left" w:pos="1701"/>
                <w:tab w:val="left" w:pos="2268"/>
                <w:tab w:val="left" w:pos="2835"/>
              </w:tabs>
              <w:overflowPunct w:val="0"/>
              <w:autoSpaceDE w:val="0"/>
              <w:autoSpaceDN w:val="0"/>
              <w:adjustRightInd w:val="0"/>
              <w:textAlignment w:val="baseline"/>
              <w:rPr>
                <w:smallCaps/>
                <w:sz w:val="20"/>
              </w:rPr>
            </w:pPr>
          </w:p>
        </w:tc>
        <w:tc>
          <w:tcPr>
            <w:tcW w:w="4051" w:type="dxa"/>
            <w:gridSpan w:val="3"/>
            <w:vMerge/>
          </w:tcPr>
          <w:p w14:paraId="18FC247C" w14:textId="77777777" w:rsidR="007C779F" w:rsidRPr="00CA215A" w:rsidRDefault="007C779F" w:rsidP="00467FEF">
            <w:pPr>
              <w:tabs>
                <w:tab w:val="left" w:pos="567"/>
                <w:tab w:val="left" w:pos="1134"/>
                <w:tab w:val="left" w:pos="1701"/>
                <w:tab w:val="left" w:pos="2268"/>
                <w:tab w:val="left" w:pos="2835"/>
              </w:tabs>
              <w:overflowPunct w:val="0"/>
              <w:autoSpaceDE w:val="0"/>
              <w:autoSpaceDN w:val="0"/>
              <w:adjustRightInd w:val="0"/>
              <w:textAlignment w:val="baseline"/>
              <w:rPr>
                <w:smallCaps/>
                <w:sz w:val="20"/>
              </w:rPr>
            </w:pPr>
          </w:p>
        </w:tc>
        <w:tc>
          <w:tcPr>
            <w:tcW w:w="4681" w:type="dxa"/>
            <w:gridSpan w:val="2"/>
          </w:tcPr>
          <w:p w14:paraId="1C1069DD" w14:textId="77777777" w:rsidR="007C779F" w:rsidRPr="00CA215A" w:rsidRDefault="007C779F" w:rsidP="00467FEF">
            <w:pPr>
              <w:tabs>
                <w:tab w:val="left" w:pos="567"/>
                <w:tab w:val="left" w:pos="1134"/>
                <w:tab w:val="left" w:pos="1701"/>
                <w:tab w:val="left" w:pos="2268"/>
                <w:tab w:val="left" w:pos="2835"/>
              </w:tabs>
              <w:overflowPunct w:val="0"/>
              <w:autoSpaceDE w:val="0"/>
              <w:autoSpaceDN w:val="0"/>
              <w:adjustRightInd w:val="0"/>
              <w:jc w:val="right"/>
              <w:textAlignment w:val="baseline"/>
              <w:rPr>
                <w:b/>
                <w:bCs/>
                <w:smallCaps/>
                <w:sz w:val="28"/>
                <w:szCs w:val="28"/>
              </w:rPr>
            </w:pPr>
            <w:r w:rsidRPr="00CA215A">
              <w:rPr>
                <w:b/>
                <w:bCs/>
                <w:smallCaps/>
                <w:sz w:val="28"/>
                <w:szCs w:val="28"/>
              </w:rPr>
              <w:t>TSAG</w:t>
            </w:r>
          </w:p>
        </w:tc>
      </w:tr>
      <w:tr w:rsidR="007C779F" w:rsidRPr="00CA215A" w14:paraId="1CA28A69" w14:textId="77777777" w:rsidTr="00467FEF">
        <w:trPr>
          <w:cantSplit/>
          <w:jc w:val="center"/>
        </w:trPr>
        <w:tc>
          <w:tcPr>
            <w:tcW w:w="1191" w:type="dxa"/>
            <w:vMerge/>
            <w:tcBorders>
              <w:bottom w:val="single" w:sz="12" w:space="0" w:color="auto"/>
            </w:tcBorders>
          </w:tcPr>
          <w:p w14:paraId="45EBC09F" w14:textId="77777777" w:rsidR="007C779F" w:rsidRPr="00CA215A" w:rsidRDefault="007C779F" w:rsidP="00467FEF">
            <w:pPr>
              <w:tabs>
                <w:tab w:val="left" w:pos="567"/>
                <w:tab w:val="left" w:pos="1134"/>
                <w:tab w:val="left" w:pos="1701"/>
                <w:tab w:val="left" w:pos="2268"/>
                <w:tab w:val="left" w:pos="2835"/>
              </w:tabs>
              <w:overflowPunct w:val="0"/>
              <w:autoSpaceDE w:val="0"/>
              <w:autoSpaceDN w:val="0"/>
              <w:adjustRightInd w:val="0"/>
              <w:textAlignment w:val="baseline"/>
              <w:rPr>
                <w:b/>
                <w:bCs/>
                <w:sz w:val="26"/>
              </w:rPr>
            </w:pPr>
          </w:p>
        </w:tc>
        <w:tc>
          <w:tcPr>
            <w:tcW w:w="4051" w:type="dxa"/>
            <w:gridSpan w:val="3"/>
            <w:vMerge/>
            <w:tcBorders>
              <w:bottom w:val="single" w:sz="12" w:space="0" w:color="auto"/>
            </w:tcBorders>
          </w:tcPr>
          <w:p w14:paraId="00497E50" w14:textId="77777777" w:rsidR="007C779F" w:rsidRPr="00CA215A" w:rsidRDefault="007C779F" w:rsidP="00467FEF">
            <w:pPr>
              <w:tabs>
                <w:tab w:val="left" w:pos="567"/>
                <w:tab w:val="left" w:pos="1134"/>
                <w:tab w:val="left" w:pos="1701"/>
                <w:tab w:val="left" w:pos="2268"/>
                <w:tab w:val="left" w:pos="2835"/>
              </w:tabs>
              <w:overflowPunct w:val="0"/>
              <w:autoSpaceDE w:val="0"/>
              <w:autoSpaceDN w:val="0"/>
              <w:adjustRightInd w:val="0"/>
              <w:textAlignment w:val="baseline"/>
              <w:rPr>
                <w:b/>
                <w:bCs/>
                <w:sz w:val="26"/>
              </w:rPr>
            </w:pPr>
          </w:p>
        </w:tc>
        <w:tc>
          <w:tcPr>
            <w:tcW w:w="4681" w:type="dxa"/>
            <w:gridSpan w:val="2"/>
            <w:tcBorders>
              <w:bottom w:val="single" w:sz="12" w:space="0" w:color="auto"/>
            </w:tcBorders>
            <w:vAlign w:val="center"/>
          </w:tcPr>
          <w:p w14:paraId="1E7F81C8" w14:textId="77777777" w:rsidR="007C779F" w:rsidRPr="00CA215A" w:rsidRDefault="007C779F" w:rsidP="00467FEF">
            <w:pPr>
              <w:tabs>
                <w:tab w:val="left" w:pos="567"/>
                <w:tab w:val="left" w:pos="1134"/>
                <w:tab w:val="left" w:pos="1701"/>
                <w:tab w:val="left" w:pos="2268"/>
                <w:tab w:val="left" w:pos="2835"/>
              </w:tabs>
              <w:overflowPunct w:val="0"/>
              <w:autoSpaceDE w:val="0"/>
              <w:autoSpaceDN w:val="0"/>
              <w:adjustRightInd w:val="0"/>
              <w:jc w:val="right"/>
              <w:textAlignment w:val="baseline"/>
              <w:rPr>
                <w:b/>
                <w:bCs/>
                <w:sz w:val="28"/>
                <w:szCs w:val="28"/>
              </w:rPr>
            </w:pPr>
            <w:r w:rsidRPr="00CA215A">
              <w:rPr>
                <w:b/>
                <w:bCs/>
                <w:sz w:val="28"/>
                <w:szCs w:val="28"/>
              </w:rPr>
              <w:t>Original: English</w:t>
            </w:r>
          </w:p>
        </w:tc>
      </w:tr>
      <w:tr w:rsidR="007C779F" w:rsidRPr="00CA215A" w14:paraId="355D65A9" w14:textId="77777777" w:rsidTr="00467FEF">
        <w:trPr>
          <w:cantSplit/>
          <w:jc w:val="center"/>
        </w:trPr>
        <w:tc>
          <w:tcPr>
            <w:tcW w:w="1617" w:type="dxa"/>
            <w:gridSpan w:val="3"/>
          </w:tcPr>
          <w:p w14:paraId="22A49B37" w14:textId="77777777" w:rsidR="007C779F" w:rsidRPr="00CA215A" w:rsidRDefault="007C779F" w:rsidP="00467FEF">
            <w:pPr>
              <w:tabs>
                <w:tab w:val="left" w:pos="567"/>
                <w:tab w:val="left" w:pos="1134"/>
                <w:tab w:val="left" w:pos="1701"/>
                <w:tab w:val="left" w:pos="2268"/>
                <w:tab w:val="left" w:pos="2835"/>
              </w:tabs>
              <w:overflowPunct w:val="0"/>
              <w:autoSpaceDE w:val="0"/>
              <w:autoSpaceDN w:val="0"/>
              <w:adjustRightInd w:val="0"/>
              <w:textAlignment w:val="baseline"/>
              <w:rPr>
                <w:b/>
                <w:bCs/>
              </w:rPr>
            </w:pPr>
            <w:r w:rsidRPr="00CA215A">
              <w:rPr>
                <w:b/>
                <w:bCs/>
              </w:rPr>
              <w:t>Question(s):</w:t>
            </w:r>
          </w:p>
        </w:tc>
        <w:tc>
          <w:tcPr>
            <w:tcW w:w="3625" w:type="dxa"/>
          </w:tcPr>
          <w:p w14:paraId="1FE341E2" w14:textId="77777777" w:rsidR="007C779F" w:rsidRPr="00CA215A" w:rsidRDefault="007C779F" w:rsidP="00467FEF">
            <w:pPr>
              <w:tabs>
                <w:tab w:val="left" w:pos="567"/>
                <w:tab w:val="left" w:pos="1134"/>
                <w:tab w:val="left" w:pos="1701"/>
                <w:tab w:val="left" w:pos="2268"/>
                <w:tab w:val="left" w:pos="2835"/>
              </w:tabs>
              <w:overflowPunct w:val="0"/>
              <w:autoSpaceDE w:val="0"/>
              <w:autoSpaceDN w:val="0"/>
              <w:adjustRightInd w:val="0"/>
              <w:textAlignment w:val="baseline"/>
            </w:pPr>
            <w:r w:rsidRPr="00CA215A">
              <w:t>N/A</w:t>
            </w:r>
          </w:p>
        </w:tc>
        <w:tc>
          <w:tcPr>
            <w:tcW w:w="4681" w:type="dxa"/>
            <w:gridSpan w:val="2"/>
          </w:tcPr>
          <w:p w14:paraId="6C6337B7" w14:textId="77777777" w:rsidR="007C779F" w:rsidRPr="00CA215A" w:rsidRDefault="007C779F" w:rsidP="00467FEF">
            <w:pPr>
              <w:tabs>
                <w:tab w:val="left" w:pos="567"/>
                <w:tab w:val="left" w:pos="1134"/>
                <w:tab w:val="left" w:pos="1701"/>
                <w:tab w:val="left" w:pos="2268"/>
                <w:tab w:val="left" w:pos="2835"/>
              </w:tabs>
              <w:overflowPunct w:val="0"/>
              <w:autoSpaceDE w:val="0"/>
              <w:autoSpaceDN w:val="0"/>
              <w:adjustRightInd w:val="0"/>
              <w:jc w:val="right"/>
              <w:textAlignment w:val="baseline"/>
            </w:pPr>
            <w:r w:rsidRPr="00CA215A">
              <w:t>Geneva, 10-14 February 2020</w:t>
            </w:r>
          </w:p>
        </w:tc>
      </w:tr>
      <w:tr w:rsidR="007C779F" w:rsidRPr="00CA215A" w14:paraId="56DAFD3A" w14:textId="77777777" w:rsidTr="00467FEF">
        <w:trPr>
          <w:cantSplit/>
          <w:jc w:val="center"/>
        </w:trPr>
        <w:tc>
          <w:tcPr>
            <w:tcW w:w="9923" w:type="dxa"/>
            <w:gridSpan w:val="6"/>
          </w:tcPr>
          <w:p w14:paraId="5B11D9BD" w14:textId="77777777" w:rsidR="007C779F" w:rsidRPr="00CA215A" w:rsidRDefault="007C779F" w:rsidP="00467FEF">
            <w:pPr>
              <w:tabs>
                <w:tab w:val="left" w:pos="567"/>
                <w:tab w:val="left" w:pos="1134"/>
                <w:tab w:val="left" w:pos="1701"/>
                <w:tab w:val="left" w:pos="2268"/>
                <w:tab w:val="left" w:pos="2835"/>
              </w:tabs>
              <w:overflowPunct w:val="0"/>
              <w:autoSpaceDE w:val="0"/>
              <w:autoSpaceDN w:val="0"/>
              <w:adjustRightInd w:val="0"/>
              <w:jc w:val="center"/>
              <w:textAlignment w:val="baseline"/>
              <w:rPr>
                <w:b/>
                <w:bCs/>
              </w:rPr>
            </w:pPr>
            <w:r w:rsidRPr="00CA215A">
              <w:rPr>
                <w:b/>
                <w:bCs/>
              </w:rPr>
              <w:t>TD</w:t>
            </w:r>
          </w:p>
        </w:tc>
      </w:tr>
      <w:tr w:rsidR="007C779F" w:rsidRPr="00CA215A" w14:paraId="2222678B" w14:textId="77777777" w:rsidTr="00467FEF">
        <w:trPr>
          <w:cantSplit/>
          <w:jc w:val="center"/>
        </w:trPr>
        <w:tc>
          <w:tcPr>
            <w:tcW w:w="1617" w:type="dxa"/>
            <w:gridSpan w:val="3"/>
          </w:tcPr>
          <w:p w14:paraId="2A31848C" w14:textId="77777777" w:rsidR="007C779F" w:rsidRPr="00CA215A" w:rsidRDefault="007C779F" w:rsidP="00467FEF">
            <w:pPr>
              <w:tabs>
                <w:tab w:val="left" w:pos="567"/>
                <w:tab w:val="left" w:pos="1134"/>
                <w:tab w:val="left" w:pos="1701"/>
                <w:tab w:val="left" w:pos="2268"/>
                <w:tab w:val="left" w:pos="2835"/>
              </w:tabs>
              <w:overflowPunct w:val="0"/>
              <w:autoSpaceDE w:val="0"/>
              <w:autoSpaceDN w:val="0"/>
              <w:adjustRightInd w:val="0"/>
              <w:textAlignment w:val="baseline"/>
              <w:rPr>
                <w:b/>
                <w:bCs/>
              </w:rPr>
            </w:pPr>
            <w:r w:rsidRPr="00CA215A">
              <w:rPr>
                <w:b/>
                <w:bCs/>
              </w:rPr>
              <w:t>Source:</w:t>
            </w:r>
          </w:p>
        </w:tc>
        <w:tc>
          <w:tcPr>
            <w:tcW w:w="8306" w:type="dxa"/>
            <w:gridSpan w:val="3"/>
          </w:tcPr>
          <w:p w14:paraId="48B6A69B" w14:textId="77777777" w:rsidR="007C779F" w:rsidRPr="00CA215A" w:rsidRDefault="007C779F" w:rsidP="00467FEF">
            <w:pPr>
              <w:tabs>
                <w:tab w:val="left" w:pos="567"/>
                <w:tab w:val="left" w:pos="1134"/>
                <w:tab w:val="left" w:pos="1701"/>
                <w:tab w:val="left" w:pos="2268"/>
                <w:tab w:val="left" w:pos="2835"/>
              </w:tabs>
              <w:overflowPunct w:val="0"/>
              <w:autoSpaceDE w:val="0"/>
              <w:autoSpaceDN w:val="0"/>
              <w:adjustRightInd w:val="0"/>
              <w:textAlignment w:val="baseline"/>
              <w:rPr>
                <w:rFonts w:eastAsia="Times New Roman"/>
                <w:lang w:eastAsia="en-US"/>
              </w:rPr>
            </w:pPr>
            <w:r w:rsidRPr="00CA215A">
              <w:t>TSB</w:t>
            </w:r>
          </w:p>
        </w:tc>
      </w:tr>
      <w:tr w:rsidR="007C779F" w:rsidRPr="00CA215A" w14:paraId="784F64F0" w14:textId="77777777" w:rsidTr="00467FEF">
        <w:trPr>
          <w:cantSplit/>
          <w:jc w:val="center"/>
        </w:trPr>
        <w:tc>
          <w:tcPr>
            <w:tcW w:w="1617" w:type="dxa"/>
            <w:gridSpan w:val="3"/>
          </w:tcPr>
          <w:p w14:paraId="1CEB142B" w14:textId="77777777" w:rsidR="007C779F" w:rsidRPr="00CA215A" w:rsidRDefault="007C779F" w:rsidP="00467FEF">
            <w:pPr>
              <w:tabs>
                <w:tab w:val="left" w:pos="567"/>
                <w:tab w:val="left" w:pos="1134"/>
                <w:tab w:val="left" w:pos="1701"/>
                <w:tab w:val="left" w:pos="2268"/>
                <w:tab w:val="left" w:pos="2835"/>
              </w:tabs>
              <w:overflowPunct w:val="0"/>
              <w:autoSpaceDE w:val="0"/>
              <w:autoSpaceDN w:val="0"/>
              <w:adjustRightInd w:val="0"/>
              <w:textAlignment w:val="baseline"/>
            </w:pPr>
            <w:r w:rsidRPr="00CA215A">
              <w:rPr>
                <w:b/>
                <w:bCs/>
              </w:rPr>
              <w:t>Title:</w:t>
            </w:r>
          </w:p>
        </w:tc>
        <w:tc>
          <w:tcPr>
            <w:tcW w:w="8306" w:type="dxa"/>
            <w:gridSpan w:val="3"/>
          </w:tcPr>
          <w:p w14:paraId="017172D7" w14:textId="77777777" w:rsidR="007C779F" w:rsidRPr="00CA215A" w:rsidRDefault="007C779F" w:rsidP="00467FEF">
            <w:pPr>
              <w:tabs>
                <w:tab w:val="left" w:pos="567"/>
                <w:tab w:val="left" w:pos="1134"/>
                <w:tab w:val="left" w:pos="1701"/>
                <w:tab w:val="left" w:pos="2268"/>
                <w:tab w:val="left" w:pos="2835"/>
              </w:tabs>
              <w:overflowPunct w:val="0"/>
              <w:autoSpaceDE w:val="0"/>
              <w:autoSpaceDN w:val="0"/>
              <w:adjustRightInd w:val="0"/>
              <w:textAlignment w:val="baseline"/>
              <w:rPr>
                <w:rFonts w:eastAsia="Times New Roman"/>
                <w:lang w:eastAsia="en-US"/>
              </w:rPr>
            </w:pPr>
            <w:r>
              <w:t>G</w:t>
            </w:r>
            <w:r w:rsidRPr="008402D9">
              <w:t>uidelines for drafting WTSA Resolutions</w:t>
            </w:r>
          </w:p>
        </w:tc>
      </w:tr>
      <w:tr w:rsidR="007C779F" w:rsidRPr="00CA215A" w14:paraId="563F1508" w14:textId="77777777" w:rsidTr="00467FEF">
        <w:trPr>
          <w:cantSplit/>
          <w:jc w:val="center"/>
        </w:trPr>
        <w:tc>
          <w:tcPr>
            <w:tcW w:w="1617" w:type="dxa"/>
            <w:gridSpan w:val="3"/>
            <w:tcBorders>
              <w:bottom w:val="single" w:sz="8" w:space="0" w:color="auto"/>
            </w:tcBorders>
          </w:tcPr>
          <w:p w14:paraId="18E04C4B" w14:textId="77777777" w:rsidR="007C779F" w:rsidRPr="00CA215A" w:rsidRDefault="007C779F" w:rsidP="00467FEF">
            <w:pPr>
              <w:tabs>
                <w:tab w:val="left" w:pos="567"/>
                <w:tab w:val="left" w:pos="1134"/>
                <w:tab w:val="left" w:pos="1701"/>
                <w:tab w:val="left" w:pos="2268"/>
                <w:tab w:val="left" w:pos="2835"/>
              </w:tabs>
              <w:overflowPunct w:val="0"/>
              <w:autoSpaceDE w:val="0"/>
              <w:autoSpaceDN w:val="0"/>
              <w:adjustRightInd w:val="0"/>
              <w:textAlignment w:val="baseline"/>
              <w:rPr>
                <w:b/>
                <w:bCs/>
              </w:rPr>
            </w:pPr>
            <w:r w:rsidRPr="00CA215A">
              <w:rPr>
                <w:b/>
                <w:bCs/>
              </w:rPr>
              <w:t>Purpose:</w:t>
            </w:r>
          </w:p>
        </w:tc>
        <w:tc>
          <w:tcPr>
            <w:tcW w:w="8306" w:type="dxa"/>
            <w:gridSpan w:val="3"/>
            <w:tcBorders>
              <w:bottom w:val="single" w:sz="8" w:space="0" w:color="auto"/>
            </w:tcBorders>
          </w:tcPr>
          <w:p w14:paraId="6FDB970F" w14:textId="77777777" w:rsidR="007C779F" w:rsidRPr="00CA215A" w:rsidRDefault="007C779F" w:rsidP="00467FEF">
            <w:pPr>
              <w:tabs>
                <w:tab w:val="left" w:pos="567"/>
                <w:tab w:val="left" w:pos="1134"/>
                <w:tab w:val="left" w:pos="1701"/>
                <w:tab w:val="left" w:pos="2268"/>
                <w:tab w:val="left" w:pos="2835"/>
              </w:tabs>
              <w:overflowPunct w:val="0"/>
              <w:autoSpaceDE w:val="0"/>
              <w:autoSpaceDN w:val="0"/>
              <w:adjustRightInd w:val="0"/>
              <w:textAlignment w:val="baseline"/>
              <w:rPr>
                <w:rFonts w:eastAsia="Times New Roman"/>
              </w:rPr>
            </w:pPr>
            <w:r w:rsidRPr="00CA215A">
              <w:rPr>
                <w:rFonts w:eastAsia="MS Mincho"/>
              </w:rPr>
              <w:t>Information, Discussion</w:t>
            </w:r>
          </w:p>
        </w:tc>
      </w:tr>
      <w:tr w:rsidR="007C779F" w:rsidRPr="00835B7C" w14:paraId="4CD32970" w14:textId="77777777" w:rsidTr="00467FEF">
        <w:trPr>
          <w:cantSplit/>
          <w:jc w:val="center"/>
        </w:trPr>
        <w:tc>
          <w:tcPr>
            <w:tcW w:w="1608" w:type="dxa"/>
            <w:gridSpan w:val="2"/>
            <w:tcBorders>
              <w:top w:val="single" w:sz="8" w:space="0" w:color="auto"/>
              <w:bottom w:val="single" w:sz="8" w:space="0" w:color="auto"/>
            </w:tcBorders>
          </w:tcPr>
          <w:p w14:paraId="4D16B40A" w14:textId="77777777" w:rsidR="007C779F" w:rsidRPr="00CA215A" w:rsidRDefault="007C779F" w:rsidP="00467FEF">
            <w:pPr>
              <w:tabs>
                <w:tab w:val="left" w:pos="567"/>
                <w:tab w:val="left" w:pos="1134"/>
                <w:tab w:val="left" w:pos="1701"/>
                <w:tab w:val="left" w:pos="2268"/>
                <w:tab w:val="left" w:pos="2835"/>
              </w:tabs>
              <w:overflowPunct w:val="0"/>
              <w:autoSpaceDE w:val="0"/>
              <w:autoSpaceDN w:val="0"/>
              <w:adjustRightInd w:val="0"/>
              <w:textAlignment w:val="baseline"/>
              <w:rPr>
                <w:b/>
                <w:bCs/>
              </w:rPr>
            </w:pPr>
            <w:r w:rsidRPr="00CA215A">
              <w:rPr>
                <w:b/>
                <w:bCs/>
              </w:rPr>
              <w:t>Contact:</w:t>
            </w:r>
          </w:p>
        </w:tc>
        <w:tc>
          <w:tcPr>
            <w:tcW w:w="3779" w:type="dxa"/>
            <w:gridSpan w:val="3"/>
            <w:tcBorders>
              <w:top w:val="single" w:sz="8" w:space="0" w:color="auto"/>
              <w:bottom w:val="single" w:sz="8" w:space="0" w:color="auto"/>
            </w:tcBorders>
          </w:tcPr>
          <w:p w14:paraId="7B05BF31" w14:textId="77777777" w:rsidR="007C779F" w:rsidRPr="00CA215A" w:rsidRDefault="007C779F" w:rsidP="00467FEF">
            <w:pPr>
              <w:tabs>
                <w:tab w:val="left" w:pos="567"/>
                <w:tab w:val="left" w:pos="1134"/>
                <w:tab w:val="left" w:pos="1701"/>
                <w:tab w:val="left" w:pos="2268"/>
                <w:tab w:val="left" w:pos="2835"/>
              </w:tabs>
              <w:overflowPunct w:val="0"/>
              <w:autoSpaceDE w:val="0"/>
              <w:autoSpaceDN w:val="0"/>
              <w:adjustRightInd w:val="0"/>
              <w:textAlignment w:val="baseline"/>
            </w:pPr>
            <w:r w:rsidRPr="00CA215A">
              <w:rPr>
                <w:rFonts w:asciiTheme="majorBidi" w:hAnsiTheme="majorBidi" w:cstheme="majorBidi"/>
              </w:rPr>
              <w:t>Martin Euchner</w:t>
            </w:r>
            <w:r w:rsidRPr="00CA215A">
              <w:rPr>
                <w:rFonts w:asciiTheme="majorBidi" w:hAnsiTheme="majorBidi" w:cstheme="majorBidi"/>
              </w:rPr>
              <w:br/>
              <w:t>TSB</w:t>
            </w:r>
          </w:p>
        </w:tc>
        <w:tc>
          <w:tcPr>
            <w:tcW w:w="4536" w:type="dxa"/>
            <w:tcBorders>
              <w:top w:val="single" w:sz="8" w:space="0" w:color="auto"/>
              <w:bottom w:val="single" w:sz="8" w:space="0" w:color="auto"/>
            </w:tcBorders>
          </w:tcPr>
          <w:p w14:paraId="2684B9A8" w14:textId="77777777" w:rsidR="007C779F" w:rsidRPr="00835B7C" w:rsidRDefault="007C779F" w:rsidP="00467FEF">
            <w:pPr>
              <w:tabs>
                <w:tab w:val="left" w:pos="567"/>
                <w:tab w:val="left" w:pos="1134"/>
                <w:tab w:val="left" w:pos="1701"/>
                <w:tab w:val="left" w:pos="2268"/>
                <w:tab w:val="left" w:pos="2835"/>
              </w:tabs>
              <w:overflowPunct w:val="0"/>
              <w:autoSpaceDE w:val="0"/>
              <w:autoSpaceDN w:val="0"/>
              <w:adjustRightInd w:val="0"/>
              <w:textAlignment w:val="baseline"/>
              <w:rPr>
                <w:lang w:val="fr-FR"/>
              </w:rPr>
            </w:pPr>
            <w:r w:rsidRPr="00835B7C">
              <w:rPr>
                <w:rFonts w:asciiTheme="majorBidi" w:hAnsiTheme="majorBidi" w:cstheme="majorBidi"/>
                <w:lang w:val="fr-FR"/>
              </w:rPr>
              <w:t>Tel:</w:t>
            </w:r>
            <w:r w:rsidRPr="00835B7C">
              <w:rPr>
                <w:rFonts w:asciiTheme="majorBidi" w:hAnsiTheme="majorBidi" w:cstheme="majorBidi"/>
                <w:lang w:val="fr-FR"/>
              </w:rPr>
              <w:tab/>
              <w:t>+41 22 730 5866</w:t>
            </w:r>
            <w:r w:rsidRPr="00835B7C">
              <w:rPr>
                <w:rFonts w:asciiTheme="majorBidi" w:hAnsiTheme="majorBidi" w:cstheme="majorBidi"/>
                <w:lang w:val="fr-FR"/>
              </w:rPr>
              <w:br/>
              <w:t xml:space="preserve">E-mail: </w:t>
            </w:r>
            <w:hyperlink r:id="rId9" w:history="1">
              <w:r w:rsidRPr="00835B7C">
                <w:rPr>
                  <w:rStyle w:val="Hyperlink"/>
                  <w:rFonts w:asciiTheme="majorBidi" w:hAnsiTheme="majorBidi" w:cstheme="majorBidi"/>
                  <w:lang w:val="fr-FR"/>
                </w:rPr>
                <w:t>martin.euchner@itu.int</w:t>
              </w:r>
            </w:hyperlink>
          </w:p>
        </w:tc>
      </w:tr>
    </w:tbl>
    <w:p w14:paraId="5BE98B7F" w14:textId="77777777" w:rsidR="007C779F" w:rsidRPr="00835B7C" w:rsidRDefault="007C779F" w:rsidP="007C779F">
      <w:pPr>
        <w:rPr>
          <w:lang w:val="fr-FR"/>
        </w:rPr>
      </w:pPr>
    </w:p>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7C779F" w:rsidRPr="00CA215A" w14:paraId="4AAFF3FC" w14:textId="77777777" w:rsidTr="00467FEF">
        <w:trPr>
          <w:cantSplit/>
          <w:jc w:val="center"/>
        </w:trPr>
        <w:tc>
          <w:tcPr>
            <w:tcW w:w="1615" w:type="dxa"/>
          </w:tcPr>
          <w:p w14:paraId="299970DD" w14:textId="77777777" w:rsidR="007C779F" w:rsidRPr="00CA215A" w:rsidRDefault="007C779F" w:rsidP="00467FEF">
            <w:pPr>
              <w:spacing w:after="100" w:afterAutospacing="1"/>
              <w:rPr>
                <w:rFonts w:asciiTheme="majorBidi" w:hAnsiTheme="majorBidi" w:cstheme="majorBidi"/>
                <w:b/>
                <w:bCs/>
              </w:rPr>
            </w:pPr>
            <w:r w:rsidRPr="00CA215A">
              <w:rPr>
                <w:rFonts w:asciiTheme="majorBidi" w:hAnsiTheme="majorBidi" w:cstheme="majorBidi"/>
                <w:b/>
                <w:bCs/>
              </w:rPr>
              <w:t>Keywords:</w:t>
            </w:r>
          </w:p>
        </w:tc>
        <w:tc>
          <w:tcPr>
            <w:tcW w:w="8308" w:type="dxa"/>
          </w:tcPr>
          <w:p w14:paraId="7E8B8D12" w14:textId="7B4B6597" w:rsidR="007C779F" w:rsidRPr="00CA215A" w:rsidRDefault="007C779F" w:rsidP="007C779F">
            <w:pPr>
              <w:spacing w:after="100" w:afterAutospacing="1"/>
              <w:rPr>
                <w:rFonts w:asciiTheme="majorBidi" w:hAnsiTheme="majorBidi" w:cstheme="majorBidi"/>
              </w:rPr>
            </w:pPr>
            <w:r w:rsidRPr="00CA215A">
              <w:rPr>
                <w:rFonts w:asciiTheme="majorBidi" w:hAnsiTheme="majorBidi" w:cstheme="majorBidi"/>
              </w:rPr>
              <w:t>Resolutions; streamlining</w:t>
            </w:r>
            <w:r w:rsidR="00835B7C">
              <w:rPr>
                <w:rFonts w:asciiTheme="majorBidi" w:hAnsiTheme="majorBidi" w:cstheme="majorBidi"/>
              </w:rPr>
              <w:t>;</w:t>
            </w:r>
            <w:r>
              <w:rPr>
                <w:rFonts w:asciiTheme="majorBidi" w:hAnsiTheme="majorBidi" w:cstheme="majorBidi"/>
              </w:rPr>
              <w:t xml:space="preserve"> guidelines</w:t>
            </w:r>
            <w:r w:rsidR="00835B7C">
              <w:rPr>
                <w:rFonts w:asciiTheme="majorBidi" w:hAnsiTheme="majorBidi" w:cstheme="majorBidi"/>
              </w:rPr>
              <w:t>;</w:t>
            </w:r>
          </w:p>
        </w:tc>
      </w:tr>
      <w:tr w:rsidR="007C779F" w:rsidRPr="00CA215A" w14:paraId="4A742681" w14:textId="77777777" w:rsidTr="00467FEF">
        <w:trPr>
          <w:cantSplit/>
          <w:jc w:val="center"/>
        </w:trPr>
        <w:tc>
          <w:tcPr>
            <w:tcW w:w="1615" w:type="dxa"/>
          </w:tcPr>
          <w:p w14:paraId="5B2FDB8B" w14:textId="77777777" w:rsidR="007C779F" w:rsidRPr="00CA215A" w:rsidRDefault="007C779F" w:rsidP="00467FEF">
            <w:pPr>
              <w:spacing w:after="100" w:afterAutospacing="1"/>
              <w:rPr>
                <w:rFonts w:asciiTheme="majorBidi" w:hAnsiTheme="majorBidi" w:cstheme="majorBidi"/>
                <w:b/>
                <w:bCs/>
              </w:rPr>
            </w:pPr>
            <w:r w:rsidRPr="00CA215A">
              <w:rPr>
                <w:rFonts w:asciiTheme="majorBidi" w:hAnsiTheme="majorBidi" w:cstheme="majorBidi"/>
                <w:b/>
                <w:bCs/>
              </w:rPr>
              <w:t>Abstract:</w:t>
            </w:r>
          </w:p>
        </w:tc>
        <w:tc>
          <w:tcPr>
            <w:tcW w:w="8308" w:type="dxa"/>
          </w:tcPr>
          <w:p w14:paraId="56064AE5" w14:textId="77777777" w:rsidR="007C779F" w:rsidRPr="00CA215A" w:rsidRDefault="007C779F" w:rsidP="00160AEF">
            <w:pPr>
              <w:spacing w:before="240" w:after="120"/>
              <w:rPr>
                <w:rFonts w:asciiTheme="majorBidi" w:hAnsiTheme="majorBidi" w:cstheme="majorBidi"/>
                <w:highlight w:val="yellow"/>
              </w:rPr>
            </w:pPr>
            <w:r w:rsidRPr="007C779F">
              <w:rPr>
                <w:rFonts w:asciiTheme="majorBidi" w:eastAsia="Times New Roman" w:hAnsiTheme="majorBidi" w:cstheme="majorBidi"/>
                <w:kern w:val="36"/>
              </w:rPr>
              <w:t xml:space="preserve">This document reproduces partly </w:t>
            </w:r>
            <w:r w:rsidR="008448F7">
              <w:rPr>
                <w:rFonts w:asciiTheme="majorBidi" w:hAnsiTheme="majorBidi" w:cstheme="majorBidi"/>
              </w:rPr>
              <w:t xml:space="preserve">(with some minor amendments) </w:t>
            </w:r>
            <w:r w:rsidRPr="007C779F">
              <w:rPr>
                <w:rFonts w:asciiTheme="majorBidi" w:eastAsia="Times New Roman" w:hAnsiTheme="majorBidi" w:cstheme="majorBidi"/>
                <w:kern w:val="36"/>
              </w:rPr>
              <w:t>TSAG-TD532 (SP 2013-2016) that summarized the findings of a TSB study on the evolution of WTSA Resolutions since 1993. This TD also reproduces Guidelines for drafting WTSA resolutions</w:t>
            </w:r>
            <w:r w:rsidR="008E5865">
              <w:rPr>
                <w:rFonts w:asciiTheme="majorBidi" w:eastAsia="Times New Roman" w:hAnsiTheme="majorBidi" w:cstheme="majorBidi"/>
                <w:kern w:val="36"/>
              </w:rPr>
              <w:t xml:space="preserve"> </w:t>
            </w:r>
            <w:r w:rsidRPr="007C779F">
              <w:rPr>
                <w:rFonts w:asciiTheme="majorBidi" w:eastAsia="Times New Roman" w:hAnsiTheme="majorBidi" w:cstheme="majorBidi"/>
                <w:kern w:val="36"/>
              </w:rPr>
              <w:t>(as reviewed at TSAG, Geneva, 18-22 July 2016).</w:t>
            </w:r>
          </w:p>
        </w:tc>
      </w:tr>
      <w:tr w:rsidR="007C779F" w:rsidRPr="00CA215A" w14:paraId="739241B2" w14:textId="77777777" w:rsidTr="00467FEF">
        <w:trPr>
          <w:cantSplit/>
          <w:jc w:val="center"/>
        </w:trPr>
        <w:tc>
          <w:tcPr>
            <w:tcW w:w="1615" w:type="dxa"/>
          </w:tcPr>
          <w:p w14:paraId="64F6119B" w14:textId="77777777" w:rsidR="007C779F" w:rsidRPr="00CA215A" w:rsidRDefault="007C779F" w:rsidP="00467FEF">
            <w:pPr>
              <w:spacing w:after="100" w:afterAutospacing="1"/>
              <w:rPr>
                <w:rFonts w:asciiTheme="majorBidi" w:hAnsiTheme="majorBidi" w:cstheme="majorBidi"/>
                <w:b/>
                <w:bCs/>
              </w:rPr>
            </w:pPr>
            <w:r w:rsidRPr="00CA215A">
              <w:rPr>
                <w:rFonts w:asciiTheme="majorBidi" w:hAnsiTheme="majorBidi" w:cstheme="majorBidi"/>
                <w:b/>
                <w:bCs/>
              </w:rPr>
              <w:t>Action</w:t>
            </w:r>
          </w:p>
        </w:tc>
        <w:tc>
          <w:tcPr>
            <w:tcW w:w="8308" w:type="dxa"/>
          </w:tcPr>
          <w:p w14:paraId="4F0E52FB" w14:textId="77777777" w:rsidR="007C779F" w:rsidRPr="00CA215A" w:rsidRDefault="007C779F" w:rsidP="007C779F">
            <w:pPr>
              <w:spacing w:after="100" w:afterAutospacing="1"/>
              <w:rPr>
                <w:rFonts w:asciiTheme="majorBidi" w:hAnsiTheme="majorBidi" w:cstheme="majorBidi"/>
              </w:rPr>
            </w:pPr>
            <w:r w:rsidRPr="00CA215A">
              <w:rPr>
                <w:rFonts w:asciiTheme="majorBidi" w:hAnsiTheme="majorBidi" w:cstheme="majorBidi"/>
              </w:rPr>
              <w:t xml:space="preserve">TSAG RG-ResReview to discuss and to take </w:t>
            </w:r>
            <w:r>
              <w:rPr>
                <w:rFonts w:asciiTheme="majorBidi" w:hAnsiTheme="majorBidi" w:cstheme="majorBidi"/>
              </w:rPr>
              <w:t>note of</w:t>
            </w:r>
            <w:r w:rsidRPr="00CA215A">
              <w:rPr>
                <w:rFonts w:asciiTheme="majorBidi" w:hAnsiTheme="majorBidi" w:cstheme="majorBidi"/>
              </w:rPr>
              <w:t>.</w:t>
            </w:r>
          </w:p>
        </w:tc>
      </w:tr>
    </w:tbl>
    <w:p w14:paraId="4CEF33B0" w14:textId="77777777" w:rsidR="00CC7874" w:rsidRDefault="00CC7874" w:rsidP="008E5865">
      <w:pPr>
        <w:tabs>
          <w:tab w:val="left" w:pos="650"/>
          <w:tab w:val="left" w:pos="1384"/>
          <w:tab w:val="left" w:pos="4902"/>
          <w:tab w:val="left" w:pos="5753"/>
        </w:tabs>
        <w:spacing w:before="240"/>
        <w:ind w:left="-62"/>
        <w:rPr>
          <w:rFonts w:asciiTheme="majorBidi" w:hAnsiTheme="majorBidi" w:cstheme="majorBidi"/>
          <w:b/>
        </w:rPr>
      </w:pPr>
      <w:r>
        <w:rPr>
          <w:rFonts w:asciiTheme="majorBidi" w:hAnsiTheme="majorBidi" w:cstheme="majorBidi"/>
          <w:b/>
        </w:rPr>
        <w:t>Background</w:t>
      </w:r>
    </w:p>
    <w:p w14:paraId="0F9EC1AE" w14:textId="77777777" w:rsidR="008E5865" w:rsidRDefault="00CC7874" w:rsidP="00C735EB">
      <w:pPr>
        <w:tabs>
          <w:tab w:val="left" w:pos="650"/>
          <w:tab w:val="left" w:pos="1384"/>
          <w:tab w:val="left" w:pos="4902"/>
          <w:tab w:val="left" w:pos="5753"/>
        </w:tabs>
        <w:ind w:left="-62"/>
        <w:rPr>
          <w:rFonts w:asciiTheme="majorBidi" w:hAnsiTheme="majorBidi" w:cstheme="majorBidi"/>
        </w:rPr>
      </w:pPr>
      <w:r w:rsidRPr="00CC7874">
        <w:rPr>
          <w:rFonts w:asciiTheme="majorBidi" w:hAnsiTheme="majorBidi" w:cstheme="majorBidi"/>
        </w:rPr>
        <w:t xml:space="preserve">This </w:t>
      </w:r>
      <w:r>
        <w:rPr>
          <w:rFonts w:asciiTheme="majorBidi" w:hAnsiTheme="majorBidi" w:cstheme="majorBidi"/>
        </w:rPr>
        <w:t xml:space="preserve">document reproduces partly </w:t>
      </w:r>
      <w:r w:rsidR="008448F7">
        <w:rPr>
          <w:rFonts w:asciiTheme="majorBidi" w:hAnsiTheme="majorBidi" w:cstheme="majorBidi"/>
        </w:rPr>
        <w:t xml:space="preserve">(with some minor amendments) </w:t>
      </w:r>
      <w:hyperlink r:id="rId10" w:history="1">
        <w:r w:rsidRPr="008E5865">
          <w:rPr>
            <w:rStyle w:val="Hyperlink"/>
            <w:rFonts w:asciiTheme="majorBidi" w:hAnsiTheme="majorBidi" w:cstheme="majorBidi"/>
          </w:rPr>
          <w:t>TSAG-TD532</w:t>
        </w:r>
      </w:hyperlink>
      <w:r w:rsidRPr="00CC7874">
        <w:rPr>
          <w:rFonts w:asciiTheme="majorBidi" w:hAnsiTheme="majorBidi" w:cstheme="majorBidi"/>
        </w:rPr>
        <w:t xml:space="preserve"> (SP 2013-2016) </w:t>
      </w:r>
      <w:r w:rsidR="008E5865">
        <w:rPr>
          <w:rFonts w:asciiTheme="majorBidi" w:hAnsiTheme="majorBidi" w:cstheme="majorBidi"/>
        </w:rPr>
        <w:t>“</w:t>
      </w:r>
      <w:r w:rsidR="008E5865" w:rsidRPr="008E5865">
        <w:rPr>
          <w:rFonts w:asciiTheme="majorBidi" w:hAnsiTheme="majorBidi" w:cstheme="majorBidi"/>
        </w:rPr>
        <w:t>Analysis of the evolution of WTSA Resolutions since 1993 and a proposal for guidelines for drafting WTSA Resolutions</w:t>
      </w:r>
      <w:r w:rsidR="008E5865">
        <w:rPr>
          <w:rFonts w:asciiTheme="majorBidi" w:hAnsiTheme="majorBidi" w:cstheme="majorBidi"/>
        </w:rPr>
        <w:t xml:space="preserve">” </w:t>
      </w:r>
      <w:r w:rsidRPr="00CC7874">
        <w:rPr>
          <w:rFonts w:asciiTheme="majorBidi" w:hAnsiTheme="majorBidi" w:cstheme="majorBidi"/>
        </w:rPr>
        <w:t xml:space="preserve">that summarized the findings of a TSB study on the evolution </w:t>
      </w:r>
      <w:r w:rsidR="008E5865">
        <w:rPr>
          <w:rFonts w:asciiTheme="majorBidi" w:hAnsiTheme="majorBidi" w:cstheme="majorBidi"/>
        </w:rPr>
        <w:t>of WTSA Resolutions since 1993.</w:t>
      </w:r>
    </w:p>
    <w:p w14:paraId="5878E269" w14:textId="77777777" w:rsidR="00CC7874" w:rsidRDefault="00CC7874" w:rsidP="00C735EB">
      <w:pPr>
        <w:tabs>
          <w:tab w:val="left" w:pos="650"/>
          <w:tab w:val="left" w:pos="1384"/>
          <w:tab w:val="left" w:pos="4902"/>
          <w:tab w:val="left" w:pos="5753"/>
        </w:tabs>
        <w:ind w:left="-62"/>
        <w:rPr>
          <w:rFonts w:asciiTheme="majorBidi" w:hAnsiTheme="majorBidi" w:cstheme="majorBidi"/>
        </w:rPr>
      </w:pPr>
      <w:r w:rsidRPr="00CC7874">
        <w:rPr>
          <w:rFonts w:asciiTheme="majorBidi" w:hAnsiTheme="majorBidi" w:cstheme="majorBidi"/>
        </w:rPr>
        <w:t xml:space="preserve">This TD also reproduces </w:t>
      </w:r>
      <w:r w:rsidR="00940D20">
        <w:rPr>
          <w:rFonts w:asciiTheme="majorBidi" w:hAnsiTheme="majorBidi" w:cstheme="majorBidi"/>
        </w:rPr>
        <w:t xml:space="preserve">in Annex A </w:t>
      </w:r>
      <w:r w:rsidR="00C01F53">
        <w:rPr>
          <w:rFonts w:asciiTheme="majorBidi" w:hAnsiTheme="majorBidi" w:cstheme="majorBidi"/>
        </w:rPr>
        <w:t>twelve principle g</w:t>
      </w:r>
      <w:r w:rsidRPr="00CC7874">
        <w:rPr>
          <w:rFonts w:asciiTheme="majorBidi" w:hAnsiTheme="majorBidi" w:cstheme="majorBidi"/>
        </w:rPr>
        <w:t>uidelines for drafting WTSA resolutions</w:t>
      </w:r>
      <w:r w:rsidR="008E5865">
        <w:rPr>
          <w:rFonts w:asciiTheme="majorBidi" w:hAnsiTheme="majorBidi" w:cstheme="majorBidi"/>
        </w:rPr>
        <w:t xml:space="preserve"> </w:t>
      </w:r>
      <w:r w:rsidRPr="00CC7874">
        <w:rPr>
          <w:rFonts w:asciiTheme="majorBidi" w:hAnsiTheme="majorBidi" w:cstheme="majorBidi"/>
        </w:rPr>
        <w:t xml:space="preserve">(as </w:t>
      </w:r>
      <w:r w:rsidR="00C01F53">
        <w:rPr>
          <w:rFonts w:asciiTheme="majorBidi" w:hAnsiTheme="majorBidi" w:cstheme="majorBidi"/>
        </w:rPr>
        <w:t>agreed</w:t>
      </w:r>
      <w:r w:rsidRPr="00CC7874">
        <w:rPr>
          <w:rFonts w:asciiTheme="majorBidi" w:hAnsiTheme="majorBidi" w:cstheme="majorBidi"/>
        </w:rPr>
        <w:t xml:space="preserve"> at TSAG, Geneva, 18-22 July 2016) and as contained in outgoing liaison statement </w:t>
      </w:r>
      <w:hyperlink r:id="rId11" w:history="1">
        <w:r w:rsidRPr="008E5865">
          <w:rPr>
            <w:rStyle w:val="Hyperlink"/>
            <w:rFonts w:asciiTheme="majorBidi" w:hAnsiTheme="majorBidi" w:cstheme="majorBidi"/>
          </w:rPr>
          <w:t>sp15-tsag-oLS-00024r1</w:t>
        </w:r>
      </w:hyperlink>
      <w:r w:rsidRPr="00CC7874">
        <w:rPr>
          <w:rFonts w:asciiTheme="majorBidi" w:hAnsiTheme="majorBidi" w:cstheme="majorBidi"/>
        </w:rPr>
        <w:t xml:space="preserve"> “LS on preparations for WTSA-16 [to regional preparatory group meetings]”.</w:t>
      </w:r>
      <w:r w:rsidR="005114FC">
        <w:rPr>
          <w:rFonts w:asciiTheme="majorBidi" w:hAnsiTheme="majorBidi" w:cstheme="majorBidi"/>
        </w:rPr>
        <w:t xml:space="preserve"> </w:t>
      </w:r>
      <w:r w:rsidR="00C01F53">
        <w:rPr>
          <w:rFonts w:asciiTheme="majorBidi" w:hAnsiTheme="majorBidi" w:cstheme="majorBidi"/>
        </w:rPr>
        <w:t xml:space="preserve">Those guidelines were </w:t>
      </w:r>
      <w:r w:rsidR="00C01F53" w:rsidRPr="00A67117">
        <w:rPr>
          <w:rFonts w:asciiTheme="majorBidi" w:hAnsiTheme="majorBidi" w:cstheme="majorBidi"/>
          <w:bCs/>
        </w:rPr>
        <w:t>to help the ITU membership draft proposals for WTSA so that WTSA Resolutions are concise and ITU-T focused, implementable and effective.</w:t>
      </w:r>
    </w:p>
    <w:p w14:paraId="3092CACF" w14:textId="77777777" w:rsidR="008E5865" w:rsidRDefault="00C01F53" w:rsidP="00C735EB">
      <w:pPr>
        <w:tabs>
          <w:tab w:val="left" w:pos="650"/>
          <w:tab w:val="left" w:pos="1384"/>
          <w:tab w:val="left" w:pos="4902"/>
          <w:tab w:val="left" w:pos="5753"/>
        </w:tabs>
        <w:ind w:left="-62"/>
        <w:rPr>
          <w:rFonts w:asciiTheme="majorBidi" w:hAnsiTheme="majorBidi" w:cstheme="majorBidi"/>
        </w:rPr>
      </w:pPr>
      <w:r>
        <w:rPr>
          <w:rFonts w:asciiTheme="majorBidi" w:hAnsiTheme="majorBidi" w:cstheme="majorBidi"/>
        </w:rPr>
        <w:t xml:space="preserve">TSAG noted that </w:t>
      </w:r>
      <w:r w:rsidRPr="00C01F53">
        <w:rPr>
          <w:rFonts w:asciiTheme="majorBidi" w:hAnsiTheme="majorBidi" w:cstheme="majorBidi"/>
        </w:rPr>
        <w:t>these principles would not have a formal status but would be seen as draft guidelines to assist the membership in drafting or revising Resolutions for WTSA-16.</w:t>
      </w:r>
    </w:p>
    <w:p w14:paraId="0A7B39EC" w14:textId="77777777" w:rsidR="003A5B18" w:rsidRPr="00A20EB7" w:rsidRDefault="003A5B18" w:rsidP="003A5B18">
      <w:pPr>
        <w:pStyle w:val="Heading1"/>
      </w:pPr>
      <w:r w:rsidRPr="00A20EB7">
        <w:t>Introduction</w:t>
      </w:r>
    </w:p>
    <w:p w14:paraId="3469DA97" w14:textId="77777777" w:rsidR="0077004D" w:rsidRPr="00E32B79" w:rsidRDefault="0077004D" w:rsidP="00EF5922">
      <w:pPr>
        <w:spacing w:after="120"/>
        <w:rPr>
          <w:rFonts w:eastAsia="Times New Roman"/>
        </w:rPr>
      </w:pPr>
      <w:r w:rsidRPr="0053607B">
        <w:rPr>
          <w:rFonts w:eastAsia="Times New Roman"/>
        </w:rPr>
        <w:t>Since ITU-T’s inception in 1992, WTSA Resolutions/Opinion have continuously and significantly increased both in number and volume, along with the proliferation of Resolutions in four major conference/assemblies of ITU (</w:t>
      </w:r>
      <w:r w:rsidRPr="0053607B">
        <w:t>World Telecommunication Standardization Assembly (</w:t>
      </w:r>
      <w:r w:rsidRPr="0053607B">
        <w:rPr>
          <w:rFonts w:eastAsia="Times New Roman"/>
        </w:rPr>
        <w:t>WTSA), World Telecommunication Development Conference (WTDC), Radiocommunication Assembly (RA) and Plenipotentiary Conference (PP)). The</w:t>
      </w:r>
      <w:r w:rsidRPr="00A20EB7">
        <w:rPr>
          <w:rFonts w:eastAsia="Times New Roman"/>
        </w:rPr>
        <w:t xml:space="preserve"> WTSA-1</w:t>
      </w:r>
      <w:r w:rsidR="005507FD">
        <w:rPr>
          <w:rFonts w:eastAsia="Times New Roman"/>
        </w:rPr>
        <w:t>6</w:t>
      </w:r>
      <w:r w:rsidR="00E32B79">
        <w:rPr>
          <w:rFonts w:eastAsia="Times New Roman"/>
        </w:rPr>
        <w:t xml:space="preserve"> Proceedings contain 6</w:t>
      </w:r>
      <w:r w:rsidRPr="00A20EB7">
        <w:rPr>
          <w:rFonts w:eastAsia="Times New Roman"/>
        </w:rPr>
        <w:t>0 Resolutions and one Opinion</w:t>
      </w:r>
      <w:r w:rsidR="00E32B79">
        <w:rPr>
          <w:rFonts w:eastAsia="Times New Roman"/>
        </w:rPr>
        <w:t xml:space="preserve"> in force</w:t>
      </w:r>
      <w:r w:rsidRPr="00A20EB7">
        <w:rPr>
          <w:rFonts w:eastAsia="Times New Roman"/>
        </w:rPr>
        <w:t xml:space="preserve">, amounting to </w:t>
      </w:r>
      <w:r w:rsidR="00E32B79">
        <w:rPr>
          <w:rFonts w:eastAsia="Times New Roman"/>
        </w:rPr>
        <w:t>225</w:t>
      </w:r>
      <w:r w:rsidRPr="00A20EB7">
        <w:rPr>
          <w:rFonts w:eastAsia="Times New Roman"/>
        </w:rPr>
        <w:t xml:space="preserve"> A4-pages. The Resolutions make </w:t>
      </w:r>
      <w:r w:rsidR="00EF5922">
        <w:rPr>
          <w:rFonts w:eastAsia="Times New Roman"/>
        </w:rPr>
        <w:t>m</w:t>
      </w:r>
      <w:r w:rsidR="00E32B79">
        <w:rPr>
          <w:rFonts w:eastAsia="Times New Roman"/>
        </w:rPr>
        <w:t>any, many</w:t>
      </w:r>
      <w:r w:rsidRPr="00A20EB7">
        <w:rPr>
          <w:rFonts w:eastAsia="Times New Roman"/>
        </w:rPr>
        <w:t xml:space="preserve"> references to other ITU Resolutions, </w:t>
      </w:r>
      <w:r w:rsidR="00E32B79">
        <w:rPr>
          <w:rFonts w:eastAsia="Times New Roman"/>
        </w:rPr>
        <w:t>many</w:t>
      </w:r>
      <w:r w:rsidRPr="00A20EB7">
        <w:rPr>
          <w:rFonts w:eastAsia="Times New Roman"/>
        </w:rPr>
        <w:t xml:space="preserve"> references to the ITU Constitution (CS) and </w:t>
      </w:r>
      <w:r w:rsidR="004E527C">
        <w:rPr>
          <w:rFonts w:eastAsia="Times New Roman"/>
        </w:rPr>
        <w:t xml:space="preserve">to the ITU Convention </w:t>
      </w:r>
      <w:r w:rsidR="004E527C" w:rsidRPr="00E32B79">
        <w:rPr>
          <w:rFonts w:eastAsia="Times New Roman"/>
        </w:rPr>
        <w:t>(CV).</w:t>
      </w:r>
    </w:p>
    <w:p w14:paraId="5BF3B41C" w14:textId="77777777" w:rsidR="0077004D" w:rsidRPr="00E32B79" w:rsidRDefault="0077004D" w:rsidP="0077004D">
      <w:pPr>
        <w:spacing w:after="120"/>
        <w:rPr>
          <w:rFonts w:eastAsia="Times New Roman"/>
        </w:rPr>
      </w:pPr>
      <w:r w:rsidRPr="00E32B79">
        <w:rPr>
          <w:rFonts w:eastAsia="Times New Roman"/>
        </w:rPr>
        <w:lastRenderedPageBreak/>
        <w:t>The ITU membership has been increasingly concerned about the workload to maintain ITU Resolutions. In the ITU-T Sector, WTSA-1</w:t>
      </w:r>
      <w:r w:rsidR="002116DB" w:rsidRPr="00E32B79">
        <w:rPr>
          <w:rFonts w:eastAsia="Times New Roman"/>
        </w:rPr>
        <w:t>6 Resolution 1 instruct</w:t>
      </w:r>
      <w:r w:rsidR="005507FD" w:rsidRPr="00E32B79">
        <w:rPr>
          <w:rFonts w:eastAsia="Times New Roman"/>
        </w:rPr>
        <w:t>s</w:t>
      </w:r>
      <w:r w:rsidR="002116DB" w:rsidRPr="00E32B79">
        <w:rPr>
          <w:rFonts w:eastAsia="Times New Roman"/>
        </w:rPr>
        <w:t xml:space="preserve"> that,</w:t>
      </w:r>
    </w:p>
    <w:p w14:paraId="2F518D89" w14:textId="77777777" w:rsidR="002116DB" w:rsidRDefault="0077004D" w:rsidP="00EF5922">
      <w:pPr>
        <w:spacing w:after="120"/>
        <w:ind w:left="567"/>
        <w:rPr>
          <w:i/>
          <w:iCs/>
        </w:rPr>
      </w:pPr>
      <w:r w:rsidRPr="00E32B79">
        <w:rPr>
          <w:b/>
          <w:bCs/>
          <w:i/>
          <w:iCs/>
        </w:rPr>
        <w:t>5.3</w:t>
      </w:r>
      <w:r w:rsidRPr="00E32B79">
        <w:rPr>
          <w:i/>
          <w:iCs/>
        </w:rPr>
        <w:tab/>
      </w:r>
      <w:r w:rsidR="002116DB" w:rsidRPr="00E32B79">
        <w:rPr>
          <w:i/>
          <w:iCs/>
        </w:rPr>
        <w:t>The Director shall suggest editorial updates to WTSA resolutions and provide a recommendation as to whether the modifications are significant enough to warrant the production of a revised version.</w:t>
      </w:r>
    </w:p>
    <w:p w14:paraId="66AF81CE" w14:textId="77777777" w:rsidR="0077004D" w:rsidRPr="00A20EB7" w:rsidRDefault="0077004D" w:rsidP="0077004D">
      <w:pPr>
        <w:pStyle w:val="Heading1"/>
        <w:numPr>
          <w:ilvl w:val="0"/>
          <w:numId w:val="1"/>
        </w:numPr>
        <w:spacing w:line="259" w:lineRule="auto"/>
      </w:pPr>
      <w:r w:rsidRPr="00A20EB7">
        <w:t>Discussion</w:t>
      </w:r>
    </w:p>
    <w:p w14:paraId="7613AF26" w14:textId="77777777" w:rsidR="0077004D" w:rsidRPr="00621270" w:rsidRDefault="0077004D" w:rsidP="0077004D">
      <w:pPr>
        <w:pStyle w:val="Heading2"/>
        <w:numPr>
          <w:ilvl w:val="1"/>
          <w:numId w:val="1"/>
        </w:numPr>
        <w:spacing w:line="259" w:lineRule="auto"/>
      </w:pPr>
      <w:r w:rsidRPr="00621270">
        <w:t>Definition</w:t>
      </w:r>
    </w:p>
    <w:p w14:paraId="6C33338C" w14:textId="77777777" w:rsidR="0077004D" w:rsidRPr="00621270" w:rsidRDefault="0077004D" w:rsidP="0077004D">
      <w:r w:rsidRPr="00621270">
        <w:t>WTSA</w:t>
      </w:r>
      <w:r w:rsidR="00EF5922" w:rsidRPr="00621270">
        <w:t xml:space="preserve"> Resolutions and </w:t>
      </w:r>
      <w:r w:rsidRPr="00621270">
        <w:t>Opinion</w:t>
      </w:r>
      <w:r w:rsidR="00EF5922" w:rsidRPr="00621270">
        <w:t>s</w:t>
      </w:r>
      <w:r w:rsidRPr="00621270">
        <w:t xml:space="preserve"> are texts adopted by ITU Member States at the quadrennial World Telecommunication Standardization Assembly. WTSA-1</w:t>
      </w:r>
      <w:r w:rsidR="002B4EBD" w:rsidRPr="00621270">
        <w:t>6</w:t>
      </w:r>
      <w:r w:rsidRPr="00621270">
        <w:t xml:space="preserve"> Resolution 1 include</w:t>
      </w:r>
      <w:r w:rsidR="002B4EBD" w:rsidRPr="00621270">
        <w:t>s in clause A.2.1</w:t>
      </w:r>
      <w:r w:rsidRPr="00621270">
        <w:t xml:space="preserve"> a definition of WTSA Resolution as follow</w:t>
      </w:r>
      <w:r w:rsidR="00621270" w:rsidRPr="00621270">
        <w:t>s</w:t>
      </w:r>
      <w:r w:rsidRPr="00621270">
        <w:t>:</w:t>
      </w:r>
    </w:p>
    <w:p w14:paraId="034D6DAF" w14:textId="77777777" w:rsidR="002B4EBD" w:rsidRPr="00621270" w:rsidRDefault="002B4EBD" w:rsidP="002B4EBD">
      <w:pPr>
        <w:ind w:left="567"/>
      </w:pPr>
      <w:r w:rsidRPr="00621270">
        <w:rPr>
          <w:b/>
          <w:bCs/>
        </w:rPr>
        <w:t>Resolution</w:t>
      </w:r>
      <w:r w:rsidRPr="00621270">
        <w:t>: A text of the World Telecommunication Standardization Assembly containing provisions on the organization, working methods and programmes of the ITU Telecommunication Standardization Sector.</w:t>
      </w:r>
    </w:p>
    <w:p w14:paraId="4C7594BC" w14:textId="77777777" w:rsidR="0077004D" w:rsidRPr="00621270" w:rsidRDefault="0077004D" w:rsidP="0077004D">
      <w:r w:rsidRPr="00621270">
        <w:t>Although this definition attempt</w:t>
      </w:r>
      <w:r w:rsidR="00621270" w:rsidRPr="00621270">
        <w:t>s</w:t>
      </w:r>
      <w:r w:rsidRPr="00621270">
        <w:t xml:space="preserve"> to outline the possible scope a WTSA Resolution might span, it does not provide further specifics on how a WTSA Resolution co</w:t>
      </w:r>
      <w:r w:rsidR="00550C18" w:rsidRPr="00621270">
        <w:t>uld serve its intended purpose.</w:t>
      </w:r>
    </w:p>
    <w:p w14:paraId="55D7D90C" w14:textId="77777777" w:rsidR="00550C18" w:rsidRPr="00A20EB7" w:rsidRDefault="00550C18" w:rsidP="0077004D">
      <w:r w:rsidRPr="00621270">
        <w:t>WTSA Res.1 clause 1.3</w:t>
      </w:r>
      <w:r w:rsidR="003F2718" w:rsidRPr="00621270">
        <w:t xml:space="preserve"> states that</w:t>
      </w:r>
      <w:r w:rsidRPr="00621270">
        <w:t xml:space="preserve"> </w:t>
      </w:r>
      <w:r w:rsidRPr="00621270">
        <w:rPr>
          <w:i/>
        </w:rPr>
        <w:t>WTSA shall establish resolutions which define working methods and identify priority issues</w:t>
      </w:r>
      <w:r w:rsidRPr="00621270">
        <w:t>.</w:t>
      </w:r>
    </w:p>
    <w:p w14:paraId="54AE8FA7" w14:textId="77777777" w:rsidR="0077004D" w:rsidRPr="00A20EB7" w:rsidRDefault="00621270" w:rsidP="0077004D">
      <w:pPr>
        <w:pStyle w:val="Heading2"/>
        <w:numPr>
          <w:ilvl w:val="1"/>
          <w:numId w:val="1"/>
        </w:numPr>
        <w:spacing w:line="259" w:lineRule="auto"/>
      </w:pPr>
      <w:r>
        <w:t>Cross-Referencing Resolution</w:t>
      </w:r>
    </w:p>
    <w:p w14:paraId="47C9E1E5" w14:textId="77777777" w:rsidR="00A9235A" w:rsidRPr="00A20EB7" w:rsidRDefault="00621270" w:rsidP="00A9235A">
      <w:r w:rsidRPr="00621270">
        <w:t>Cross-referencing</w:t>
      </w:r>
      <w:r w:rsidR="00A9235A" w:rsidRPr="00621270">
        <w:t xml:space="preserve"> among all ITU Resolutions is widespread and the issue of obsolete cross-references is becoming increasingly difficult to manage because Resolutions of one particular conference are revised only every four years whereas each year in between that particular conference, references to Resolutions of another ITU conference become obsolete after the conference updated them.</w:t>
      </w:r>
    </w:p>
    <w:p w14:paraId="26EBDB12" w14:textId="77777777" w:rsidR="0077004D" w:rsidRPr="00621270" w:rsidRDefault="0077004D" w:rsidP="0077004D">
      <w:pPr>
        <w:pStyle w:val="Heading3"/>
        <w:numPr>
          <w:ilvl w:val="2"/>
          <w:numId w:val="1"/>
        </w:numPr>
        <w:spacing w:line="259" w:lineRule="auto"/>
      </w:pPr>
      <w:r w:rsidRPr="00621270">
        <w:t>Lack of drafting guideline principles</w:t>
      </w:r>
    </w:p>
    <w:p w14:paraId="414002F4" w14:textId="77777777" w:rsidR="0077004D" w:rsidRPr="00621270" w:rsidRDefault="0077004D" w:rsidP="0077004D">
      <w:r w:rsidRPr="00621270">
        <w:t>Because there have been no guidelines to assist ITU members in drafting their proposals and guide their focus and expectation during the discussion to generate final text from contribution(s) received, often much time and effort is spent on the wording of the "preamble" (</w:t>
      </w:r>
      <w:r w:rsidRPr="00621270">
        <w:rPr>
          <w:i/>
          <w:iCs/>
        </w:rPr>
        <w:t>noting</w:t>
      </w:r>
      <w:r w:rsidRPr="00621270">
        <w:t xml:space="preserve">, </w:t>
      </w:r>
      <w:r w:rsidRPr="00621270">
        <w:rPr>
          <w:i/>
          <w:iCs/>
        </w:rPr>
        <w:t>considering</w:t>
      </w:r>
      <w:r w:rsidR="00A9235A" w:rsidRPr="00621270">
        <w:t>, </w:t>
      </w:r>
      <w:r w:rsidRPr="00621270">
        <w:t>…) but not enough time to discuss the "operational" part (</w:t>
      </w:r>
      <w:r w:rsidRPr="00621270">
        <w:rPr>
          <w:i/>
          <w:iCs/>
        </w:rPr>
        <w:t>resolves</w:t>
      </w:r>
      <w:r w:rsidRPr="00621270">
        <w:t xml:space="preserve">, </w:t>
      </w:r>
      <w:r w:rsidRPr="00621270">
        <w:rPr>
          <w:i/>
          <w:iCs/>
        </w:rPr>
        <w:t>instructs</w:t>
      </w:r>
      <w:r w:rsidRPr="00621270">
        <w:t xml:space="preserve"> …).</w:t>
      </w:r>
    </w:p>
    <w:p w14:paraId="4FBE1412" w14:textId="77777777" w:rsidR="0077004D" w:rsidRPr="00621270" w:rsidRDefault="0077004D" w:rsidP="0077004D">
      <w:r w:rsidRPr="00621270">
        <w:t>Also, there are diverse approaches in the "preamble" to justify the necessity and importance of a particular Resolution: some intend to keep a detailed and complete chronicle of events, some intend to list all relevant literature, some present a list of historical activities/achievements to prove IT</w:t>
      </w:r>
      <w:r w:rsidR="00621270" w:rsidRPr="00621270">
        <w:t>U</w:t>
      </w:r>
      <w:r w:rsidR="00621270" w:rsidRPr="00621270">
        <w:noBreakHyphen/>
        <w:t>T’s relevance and competence.</w:t>
      </w:r>
    </w:p>
    <w:p w14:paraId="4A14D0AD" w14:textId="77777777" w:rsidR="0077004D" w:rsidRPr="00A20EB7" w:rsidRDefault="0077004D" w:rsidP="00BC0EA5">
      <w:r w:rsidRPr="00621270">
        <w:t xml:space="preserve">In the "operational" part – the part of a Resolution which is substantive –, except for </w:t>
      </w:r>
      <w:r w:rsidRPr="00621270">
        <w:rPr>
          <w:i/>
          <w:iCs/>
        </w:rPr>
        <w:t>instructions to the TSB Director</w:t>
      </w:r>
      <w:r w:rsidRPr="00621270">
        <w:t xml:space="preserve"> which are mostly implementable, many instructions are given either in passive tense without specifying the executive entity, or to "ITU-T" in general, making it difficult to follow up the implementation.</w:t>
      </w:r>
    </w:p>
    <w:p w14:paraId="1B966A65" w14:textId="77777777" w:rsidR="0077004D" w:rsidRPr="00A20EB7" w:rsidRDefault="0077004D" w:rsidP="0077004D">
      <w:pPr>
        <w:pStyle w:val="Heading3"/>
        <w:numPr>
          <w:ilvl w:val="2"/>
          <w:numId w:val="1"/>
        </w:numPr>
        <w:spacing w:line="259" w:lineRule="auto"/>
      </w:pPr>
      <w:r w:rsidRPr="00A20EB7">
        <w:t>ITU-T working methods scattered with obsoletes and inconsistencies</w:t>
      </w:r>
    </w:p>
    <w:p w14:paraId="747C6D98" w14:textId="77777777" w:rsidR="0077004D" w:rsidRPr="00A20EB7" w:rsidRDefault="0077004D" w:rsidP="0077004D">
      <w:r w:rsidRPr="00A20EB7">
        <w:t xml:space="preserve">Those WTSA Resolutions which fall into the "ITU-T rules and procedures" category reflect the evolvement of ITU-T working method over the years. Although they are pretty well implemented, up-to-date ITU-T working methods are </w:t>
      </w:r>
      <w:r w:rsidRPr="00A20EB7">
        <w:rPr>
          <w:b/>
          <w:bCs/>
        </w:rPr>
        <w:t>scattered</w:t>
      </w:r>
      <w:r w:rsidRPr="00A20EB7">
        <w:t xml:space="preserve"> in various places, mostly in WTSA Resolution 1 but also in Recommendation ITU-T A.1 (working method of study groups), Resolution 31 </w:t>
      </w:r>
      <w:r w:rsidRPr="00A20EB7">
        <w:lastRenderedPageBreak/>
        <w:t xml:space="preserve">(associates), Resolution 71 (academia), etc. As there has never been a holistic view of them together, taking into consideration the evolvement of ITU’s basic text (CS/CV/PP Resolutions), </w:t>
      </w:r>
      <w:r w:rsidRPr="00A20EB7">
        <w:rPr>
          <w:b/>
          <w:bCs/>
        </w:rPr>
        <w:t>obsolete passages, duplications and inconsistencies</w:t>
      </w:r>
      <w:r w:rsidRPr="00A20EB7">
        <w:t xml:space="preserve"> exist. </w:t>
      </w:r>
    </w:p>
    <w:p w14:paraId="6485564E" w14:textId="77777777" w:rsidR="0077004D" w:rsidRPr="00621270" w:rsidRDefault="0077004D" w:rsidP="0077004D">
      <w:pPr>
        <w:pStyle w:val="Heading3"/>
        <w:numPr>
          <w:ilvl w:val="2"/>
          <w:numId w:val="1"/>
        </w:numPr>
        <w:spacing w:line="259" w:lineRule="auto"/>
      </w:pPr>
      <w:r w:rsidRPr="00621270">
        <w:t>Effectiveness of thematic WTSA Resolutions</w:t>
      </w:r>
    </w:p>
    <w:p w14:paraId="6A4CD25D" w14:textId="77777777" w:rsidR="0077004D" w:rsidRPr="00A20EB7" w:rsidRDefault="0077004D" w:rsidP="00A453AD">
      <w:r w:rsidRPr="00621270">
        <w:t>Those WTSA Resolutions which fall into the "thematic to one lead study group" category served to highlight the priorities for ITU-T to study. They often contain invitation for action by the ITU membership, or instructions to "ITU-T" or even to sp</w:t>
      </w:r>
      <w:r w:rsidR="00A453AD" w:rsidRPr="00621270">
        <w:t xml:space="preserve">ecific ITU-T study group(s). Even though </w:t>
      </w:r>
      <w:r w:rsidRPr="00621270">
        <w:t xml:space="preserve">WTSA Resolutions/Opinion are </w:t>
      </w:r>
      <w:r w:rsidR="00A453AD" w:rsidRPr="00621270">
        <w:t xml:space="preserve">approved at the Assembly, they are </w:t>
      </w:r>
      <w:r w:rsidRPr="00621270">
        <w:t>not binding</w:t>
      </w:r>
      <w:r w:rsidRPr="00621270">
        <w:rPr>
          <w:b/>
          <w:bCs/>
        </w:rPr>
        <w:t xml:space="preserve"> </w:t>
      </w:r>
      <w:r w:rsidR="00A453AD" w:rsidRPr="00621270">
        <w:t xml:space="preserve">for the ITU membership, nor could they </w:t>
      </w:r>
      <w:r w:rsidRPr="00621270">
        <w:t>substitute ITU-T Recommendation</w:t>
      </w:r>
      <w:r w:rsidR="00A453AD" w:rsidRPr="00621270">
        <w:t>s</w:t>
      </w:r>
      <w:r w:rsidRPr="00621270">
        <w:t xml:space="preserve">. Furthermore, as work in ITU-T study groups is "contribution-driven", just </w:t>
      </w:r>
      <w:r w:rsidR="00A453AD" w:rsidRPr="00621270">
        <w:t>having</w:t>
      </w:r>
      <w:r w:rsidRPr="00621270">
        <w:t xml:space="preserve"> a </w:t>
      </w:r>
      <w:r w:rsidR="00A453AD" w:rsidRPr="00621270">
        <w:t xml:space="preserve">new or revised </w:t>
      </w:r>
      <w:r w:rsidRPr="00621270">
        <w:t xml:space="preserve">WTSA Resolution will not serve its purpose without follow-up contributions to an ITU-T </w:t>
      </w:r>
      <w:r w:rsidR="00A453AD" w:rsidRPr="00621270">
        <w:t>study group</w:t>
      </w:r>
      <w:r w:rsidRPr="00621270">
        <w:t xml:space="preserve"> during the study period to drive the work in </w:t>
      </w:r>
      <w:r w:rsidR="00A453AD" w:rsidRPr="00621270">
        <w:t xml:space="preserve">a </w:t>
      </w:r>
      <w:r w:rsidR="00E27BF4" w:rsidRPr="00621270">
        <w:t>particular Question(s).</w:t>
      </w:r>
    </w:p>
    <w:p w14:paraId="202F266F" w14:textId="77777777" w:rsidR="0077004D" w:rsidRPr="00A20EB7" w:rsidRDefault="0077004D" w:rsidP="0077004D">
      <w:pPr>
        <w:pStyle w:val="Heading2"/>
        <w:numPr>
          <w:ilvl w:val="1"/>
          <w:numId w:val="1"/>
        </w:numPr>
        <w:spacing w:line="259" w:lineRule="auto"/>
      </w:pPr>
      <w:r w:rsidRPr="00A20EB7">
        <w:t>Emerging concerns of ITU Membership</w:t>
      </w:r>
    </w:p>
    <w:p w14:paraId="4BE23256" w14:textId="77777777" w:rsidR="0077004D" w:rsidRPr="00A20EB7" w:rsidRDefault="0077004D" w:rsidP="0077004D">
      <w:r w:rsidRPr="00A20EB7">
        <w:t xml:space="preserve">At recent WTSAs, the ITU membership was concerned that a large portion of their time and effort in preparing and attending WTSA had been spent on WTSA Resolutions – to re-examine Resolutions of previous WTSA to see if there were any obsolete ones or parts thereof to be suppressed, merged or updated/revised, and to negotiate adding new Resolution(s). </w:t>
      </w:r>
    </w:p>
    <w:p w14:paraId="3FB1E80E" w14:textId="77777777" w:rsidR="0077004D" w:rsidRPr="00A20EB7" w:rsidRDefault="0077004D" w:rsidP="0077004D">
      <w:r w:rsidRPr="00A20EB7">
        <w:t>To this end, WTSA-1</w:t>
      </w:r>
      <w:r w:rsidR="000F78EE">
        <w:t xml:space="preserve">6 </w:t>
      </w:r>
      <w:r w:rsidRPr="00A20EB7">
        <w:t>Resolution 1 include</w:t>
      </w:r>
      <w:r w:rsidR="000F78EE">
        <w:t>s</w:t>
      </w:r>
      <w:r w:rsidRPr="00A20EB7">
        <w:t xml:space="preserve"> the following guidelines:</w:t>
      </w:r>
    </w:p>
    <w:p w14:paraId="2720409F" w14:textId="77777777" w:rsidR="00716731" w:rsidRPr="00716731" w:rsidRDefault="00716731" w:rsidP="00716731">
      <w:pPr>
        <w:ind w:left="567"/>
        <w:rPr>
          <w:i/>
        </w:rPr>
      </w:pPr>
      <w:r w:rsidRPr="00716731">
        <w:rPr>
          <w:b/>
          <w:bCs/>
          <w:i/>
        </w:rPr>
        <w:t>1.3</w:t>
      </w:r>
      <w:r w:rsidRPr="00716731">
        <w:rPr>
          <w:i/>
        </w:rPr>
        <w:tab/>
        <w:t>WTSA shall establish resolutions which define working methods and identify priority issues. Prior to and during the development process the following questions should be taken into consideration:</w:t>
      </w:r>
    </w:p>
    <w:p w14:paraId="1B5BDDF1" w14:textId="77777777" w:rsidR="00716731" w:rsidRPr="00716731" w:rsidRDefault="00716731" w:rsidP="00716731">
      <w:pPr>
        <w:pStyle w:val="enumlev1"/>
        <w:numPr>
          <w:ilvl w:val="0"/>
          <w:numId w:val="20"/>
        </w:numPr>
        <w:rPr>
          <w:i/>
          <w:lang w:val="en-GB"/>
        </w:rPr>
      </w:pPr>
      <w:r w:rsidRPr="00716731">
        <w:rPr>
          <w:i/>
          <w:lang w:val="en-GB"/>
        </w:rPr>
        <w:t>If an existing Plenipotentiary Conference resolution identifies a priority issue, the need for a similar WTSA resolution should be questioned.</w:t>
      </w:r>
    </w:p>
    <w:p w14:paraId="2E5E39A6" w14:textId="77777777" w:rsidR="00716731" w:rsidRPr="00716731" w:rsidRDefault="00716731" w:rsidP="00716731">
      <w:pPr>
        <w:pStyle w:val="enumlev1"/>
        <w:numPr>
          <w:ilvl w:val="0"/>
          <w:numId w:val="20"/>
        </w:numPr>
        <w:rPr>
          <w:i/>
          <w:lang w:val="en-GB"/>
        </w:rPr>
      </w:pPr>
      <w:r w:rsidRPr="00716731">
        <w:rPr>
          <w:i/>
          <w:lang w:val="en-GB"/>
        </w:rPr>
        <w:t>If an existing resolution identifies a priority issue, the need to recycle this resolution at various conferences or assemblies should be questioned.</w:t>
      </w:r>
    </w:p>
    <w:p w14:paraId="6FD659A3" w14:textId="77777777" w:rsidR="00716731" w:rsidRPr="00716731" w:rsidRDefault="00716731" w:rsidP="00716731">
      <w:pPr>
        <w:pStyle w:val="enumlev1"/>
        <w:numPr>
          <w:ilvl w:val="0"/>
          <w:numId w:val="20"/>
        </w:numPr>
        <w:rPr>
          <w:i/>
          <w:lang w:val="en-GB"/>
        </w:rPr>
      </w:pPr>
      <w:r w:rsidRPr="00716731">
        <w:rPr>
          <w:i/>
          <w:lang w:val="en-GB"/>
        </w:rPr>
        <w:t>If only editorial updates are required to a WTSA resolution, the need to produce a revised version should be questioned.</w:t>
      </w:r>
    </w:p>
    <w:p w14:paraId="0D39B53C" w14:textId="77777777" w:rsidR="0077004D" w:rsidRPr="00716731" w:rsidRDefault="00716731" w:rsidP="00716731">
      <w:pPr>
        <w:pStyle w:val="enumlev1"/>
        <w:numPr>
          <w:ilvl w:val="0"/>
          <w:numId w:val="20"/>
        </w:numPr>
        <w:rPr>
          <w:i/>
          <w:lang w:val="en-GB"/>
        </w:rPr>
      </w:pPr>
      <w:r w:rsidRPr="00716731">
        <w:rPr>
          <w:i/>
          <w:lang w:val="en-GB"/>
        </w:rPr>
        <w:t>If the actions proposed have been accomplished, the resolution should be viewed as fulfilled and the need for it should be questioned.</w:t>
      </w:r>
    </w:p>
    <w:p w14:paraId="79EA6B60" w14:textId="77777777" w:rsidR="0077004D" w:rsidRPr="00A20EB7" w:rsidRDefault="0077004D" w:rsidP="00A453AD">
      <w:r w:rsidRPr="00A20EB7">
        <w:t>and instructed:</w:t>
      </w:r>
    </w:p>
    <w:p w14:paraId="31264500" w14:textId="77777777" w:rsidR="00A77A03" w:rsidRDefault="00A77A03" w:rsidP="00A77A03">
      <w:pPr>
        <w:spacing w:after="120"/>
        <w:ind w:left="567"/>
        <w:rPr>
          <w:i/>
          <w:iCs/>
        </w:rPr>
      </w:pPr>
      <w:r w:rsidRPr="00E97193">
        <w:rPr>
          <w:b/>
          <w:bCs/>
          <w:i/>
          <w:iCs/>
        </w:rPr>
        <w:t>5.3</w:t>
      </w:r>
      <w:r w:rsidRPr="00E97193">
        <w:rPr>
          <w:i/>
          <w:iCs/>
        </w:rPr>
        <w:tab/>
        <w:t>The Director shall suggest editorial updates to WTSA resolutions and provide a recommendation as to whether the modifications are significant enough to warrant the production of a revised version.</w:t>
      </w:r>
    </w:p>
    <w:p w14:paraId="2431E60C" w14:textId="77777777" w:rsidR="00A77A03" w:rsidRPr="00E97193" w:rsidRDefault="00E97193" w:rsidP="00A77A03">
      <w:pPr>
        <w:pStyle w:val="AnnexNotitle"/>
        <w:pageBreakBefore/>
        <w:spacing w:before="0"/>
      </w:pPr>
      <w:r>
        <w:lastRenderedPageBreak/>
        <w:t>Annex A</w:t>
      </w:r>
      <w:r w:rsidR="00A77A03" w:rsidRPr="00E97193">
        <w:br/>
        <w:t>Guidelines for drafting WTSA resolutions</w:t>
      </w:r>
    </w:p>
    <w:p w14:paraId="2953140E" w14:textId="77777777" w:rsidR="00A77A03" w:rsidRPr="00E97193" w:rsidRDefault="00A77A03" w:rsidP="00A77A03">
      <w:pPr>
        <w:jc w:val="center"/>
        <w:rPr>
          <w:b/>
          <w:bCs/>
        </w:rPr>
      </w:pPr>
      <w:r w:rsidRPr="00E97193">
        <w:rPr>
          <w:b/>
          <w:bCs/>
        </w:rPr>
        <w:t>(as reviewed at TSAG, Geneva, 18-22 July 2016)</w:t>
      </w:r>
    </w:p>
    <w:p w14:paraId="733531AD" w14:textId="77777777" w:rsidR="00A77A03" w:rsidRPr="00E97193" w:rsidRDefault="00A77A03" w:rsidP="00A77A03">
      <w:r w:rsidRPr="00E97193">
        <w:t>The following principles are be followed to the extent possible to help the ITU membership to draft proposals, so that resolutions of the World Telecommunication Standardization Assembly are concise and ITU-T focused; implementable; effective; and stay abreast with the evolution of telecommunication and information technologies and the ICT standardization environment.</w:t>
      </w:r>
    </w:p>
    <w:p w14:paraId="5ABFBCD2" w14:textId="77777777" w:rsidR="00A77A03" w:rsidRPr="00E97193" w:rsidRDefault="00A77A03" w:rsidP="00A77A03">
      <w:pPr>
        <w:numPr>
          <w:ilvl w:val="0"/>
          <w:numId w:val="17"/>
        </w:numPr>
        <w:overflowPunct w:val="0"/>
        <w:autoSpaceDE w:val="0"/>
        <w:autoSpaceDN w:val="0"/>
        <w:adjustRightInd w:val="0"/>
        <w:spacing w:before="80"/>
        <w:ind w:left="567" w:hanging="567"/>
        <w:textAlignment w:val="baseline"/>
      </w:pPr>
      <w:r w:rsidRPr="00E97193">
        <w:t>At WTSA, all in-force WTSA resolutions should be examined with the objective to suppress completed/obsolete ones and parts thereof.</w:t>
      </w:r>
    </w:p>
    <w:p w14:paraId="08BBB19D" w14:textId="77777777" w:rsidR="00A77A03" w:rsidRPr="00E97193" w:rsidRDefault="00A77A03" w:rsidP="00A77A03">
      <w:pPr>
        <w:numPr>
          <w:ilvl w:val="0"/>
          <w:numId w:val="17"/>
        </w:numPr>
        <w:overflowPunct w:val="0"/>
        <w:autoSpaceDE w:val="0"/>
        <w:autoSpaceDN w:val="0"/>
        <w:adjustRightInd w:val="0"/>
        <w:spacing w:before="80"/>
        <w:ind w:left="567" w:hanging="567"/>
        <w:textAlignment w:val="baseline"/>
      </w:pPr>
      <w:r w:rsidRPr="00E97193">
        <w:t>If no change is to be made to the substance of the WTSA resolution, no editorial updates (such as date/venue of conference) will be made to the WTSA resolution, i.e. it should remain as is (unchanged).</w:t>
      </w:r>
    </w:p>
    <w:p w14:paraId="2399880A" w14:textId="77777777" w:rsidR="00A77A03" w:rsidRPr="00E97193" w:rsidRDefault="00A77A03" w:rsidP="00A77A03">
      <w:pPr>
        <w:numPr>
          <w:ilvl w:val="0"/>
          <w:numId w:val="17"/>
        </w:numPr>
        <w:overflowPunct w:val="0"/>
        <w:autoSpaceDE w:val="0"/>
        <w:autoSpaceDN w:val="0"/>
        <w:adjustRightInd w:val="0"/>
        <w:spacing w:before="80"/>
        <w:ind w:left="567" w:hanging="567"/>
        <w:textAlignment w:val="baseline"/>
      </w:pPr>
      <w:r w:rsidRPr="00E97193">
        <w:t>All similar/related subjects should be addressed in one single WTSA resolution to the extent possible ("stand-alone principle"). Thus, in general, revising an existing WTSA resolution is preferable to adding a new WTSA resolution.</w:t>
      </w:r>
    </w:p>
    <w:p w14:paraId="54049D5B" w14:textId="77777777" w:rsidR="00A77A03" w:rsidRPr="00E97193" w:rsidRDefault="00A77A03" w:rsidP="00A77A03">
      <w:pPr>
        <w:numPr>
          <w:ilvl w:val="0"/>
          <w:numId w:val="17"/>
        </w:numPr>
        <w:overflowPunct w:val="0"/>
        <w:autoSpaceDE w:val="0"/>
        <w:autoSpaceDN w:val="0"/>
        <w:adjustRightInd w:val="0"/>
        <w:spacing w:before="80"/>
        <w:ind w:left="567" w:hanging="567"/>
        <w:textAlignment w:val="baseline"/>
      </w:pPr>
      <w:r w:rsidRPr="00E97193">
        <w:t>Normally a WTSA resolution should not exceed four A4-pages (except Resolutions 1 and 2).</w:t>
      </w:r>
    </w:p>
    <w:p w14:paraId="50158EF7" w14:textId="77777777" w:rsidR="00A77A03" w:rsidRPr="00E97193" w:rsidRDefault="00A77A03" w:rsidP="00A77A03">
      <w:pPr>
        <w:numPr>
          <w:ilvl w:val="0"/>
          <w:numId w:val="17"/>
        </w:numPr>
        <w:overflowPunct w:val="0"/>
        <w:autoSpaceDE w:val="0"/>
        <w:autoSpaceDN w:val="0"/>
        <w:adjustRightInd w:val="0"/>
        <w:spacing w:before="80"/>
        <w:ind w:left="567" w:hanging="567"/>
        <w:textAlignment w:val="baseline"/>
      </w:pPr>
      <w:r w:rsidRPr="00E97193">
        <w:t>The "preamble" part of a WTSA resolution should be as concise as possible, summarizing key rationales for justification. Normally it should not exceed one A4-page. While any additional explanation and justification such as a detailed chronicle of events, bibliography, historical activities and achievements could be submitted as background material in a contribution, their inclusion should be avoided in the adopted final WTSA resolution text. A separate publication could be produced and referenced by this WTSA resolution if necessary.</w:t>
      </w:r>
    </w:p>
    <w:p w14:paraId="661A6A93" w14:textId="77777777" w:rsidR="00A77A03" w:rsidRPr="00E97193" w:rsidRDefault="00A77A03" w:rsidP="00A77A03">
      <w:pPr>
        <w:numPr>
          <w:ilvl w:val="0"/>
          <w:numId w:val="17"/>
        </w:numPr>
        <w:overflowPunct w:val="0"/>
        <w:autoSpaceDE w:val="0"/>
        <w:autoSpaceDN w:val="0"/>
        <w:adjustRightInd w:val="0"/>
        <w:spacing w:before="80"/>
        <w:ind w:left="567" w:hanging="567"/>
        <w:textAlignment w:val="baseline"/>
      </w:pPr>
      <w:r w:rsidRPr="00E97193">
        <w:t>Cross-reference to other ITU resolutions should be kept to the minimum as necessary ("minimum cross-reference principle"), at the same time striking a balance not to insert material copied from other instruments.</w:t>
      </w:r>
    </w:p>
    <w:p w14:paraId="1E77893B" w14:textId="77777777" w:rsidR="00A77A03" w:rsidRPr="00E97193" w:rsidRDefault="00A77A03" w:rsidP="00A77A03">
      <w:pPr>
        <w:numPr>
          <w:ilvl w:val="0"/>
          <w:numId w:val="17"/>
        </w:numPr>
        <w:overflowPunct w:val="0"/>
        <w:autoSpaceDE w:val="0"/>
        <w:autoSpaceDN w:val="0"/>
        <w:adjustRightInd w:val="0"/>
        <w:spacing w:before="80"/>
        <w:ind w:left="567" w:hanging="567"/>
        <w:textAlignment w:val="baseline"/>
      </w:pPr>
      <w:r w:rsidRPr="00E97193">
        <w:t>Once an ITU resolution on the same/relevant subject is referenced, any duplicated justification/rational text should be avoided whereas additional ITU-T specific justification/rational could be added to this WTSA resolution ("no repetition principle").</w:t>
      </w:r>
    </w:p>
    <w:p w14:paraId="6AD871A0" w14:textId="77777777" w:rsidR="00A77A03" w:rsidRPr="00E97193" w:rsidRDefault="00A77A03" w:rsidP="00A77A03">
      <w:pPr>
        <w:numPr>
          <w:ilvl w:val="0"/>
          <w:numId w:val="17"/>
        </w:numPr>
        <w:overflowPunct w:val="0"/>
        <w:autoSpaceDE w:val="0"/>
        <w:autoSpaceDN w:val="0"/>
        <w:adjustRightInd w:val="0"/>
        <w:spacing w:before="80"/>
        <w:ind w:left="567" w:hanging="567"/>
        <w:textAlignment w:val="baseline"/>
      </w:pPr>
      <w:r w:rsidRPr="00E97193">
        <w:t>Reference to the ITU Constitution, Convention and the General rules should prevail a reference to a resolution of a Plenipotentiary conference when applicable, and could exist together with a duplication of the referred text to make the WTSA resolution stand on its own (exception to "stand-alone principle").</w:t>
      </w:r>
    </w:p>
    <w:p w14:paraId="0C8BF520" w14:textId="77777777" w:rsidR="00A77A03" w:rsidRPr="00E97193" w:rsidRDefault="00A77A03" w:rsidP="00A77A03">
      <w:pPr>
        <w:numPr>
          <w:ilvl w:val="0"/>
          <w:numId w:val="17"/>
        </w:numPr>
        <w:overflowPunct w:val="0"/>
        <w:autoSpaceDE w:val="0"/>
        <w:autoSpaceDN w:val="0"/>
        <w:adjustRightInd w:val="0"/>
        <w:spacing w:before="80"/>
        <w:ind w:left="567" w:hanging="567"/>
        <w:textAlignment w:val="baseline"/>
      </w:pPr>
      <w:r w:rsidRPr="00E97193">
        <w:t>When reference to the conclusion or output of an event is deemed necessary, the reference should be meaningful and in substance to specify its relevance, avoiding only listing the event per se ("no chronicle of events principle").</w:t>
      </w:r>
    </w:p>
    <w:p w14:paraId="7047729C" w14:textId="77777777" w:rsidR="00A77A03" w:rsidRPr="00E97193" w:rsidRDefault="00A77A03" w:rsidP="00A77A03">
      <w:pPr>
        <w:numPr>
          <w:ilvl w:val="0"/>
          <w:numId w:val="17"/>
        </w:numPr>
        <w:overflowPunct w:val="0"/>
        <w:autoSpaceDE w:val="0"/>
        <w:autoSpaceDN w:val="0"/>
        <w:adjustRightInd w:val="0"/>
        <w:spacing w:before="80"/>
        <w:ind w:left="567" w:hanging="567"/>
        <w:textAlignment w:val="baseline"/>
      </w:pPr>
      <w:r w:rsidRPr="00E97193">
        <w:t>References to literature should be meaningful and in substance to specify its relevance ("no bibliography principle").</w:t>
      </w:r>
    </w:p>
    <w:p w14:paraId="0004CE66" w14:textId="77777777" w:rsidR="00A77A03" w:rsidRPr="00E97193" w:rsidRDefault="00A77A03" w:rsidP="00A77A03">
      <w:pPr>
        <w:numPr>
          <w:ilvl w:val="0"/>
          <w:numId w:val="17"/>
        </w:numPr>
        <w:overflowPunct w:val="0"/>
        <w:autoSpaceDE w:val="0"/>
        <w:autoSpaceDN w:val="0"/>
        <w:adjustRightInd w:val="0"/>
        <w:spacing w:before="80"/>
        <w:ind w:left="567" w:hanging="567"/>
        <w:textAlignment w:val="baseline"/>
      </w:pPr>
      <w:r w:rsidRPr="00E97193">
        <w:t>When drafting the "operational" part of a WTSA resolution, it should be borne in mind that:</w:t>
      </w:r>
    </w:p>
    <w:p w14:paraId="536EDF1E" w14:textId="77777777" w:rsidR="00A77A03" w:rsidRPr="00E97193" w:rsidRDefault="00A77A03" w:rsidP="00A77A03">
      <w:pPr>
        <w:numPr>
          <w:ilvl w:val="1"/>
          <w:numId w:val="17"/>
        </w:numPr>
        <w:overflowPunct w:val="0"/>
        <w:autoSpaceDE w:val="0"/>
        <w:autoSpaceDN w:val="0"/>
        <w:adjustRightInd w:val="0"/>
        <w:spacing w:before="80"/>
        <w:ind w:left="1134" w:hanging="567"/>
        <w:contextualSpacing/>
        <w:textAlignment w:val="baseline"/>
      </w:pPr>
      <w:r w:rsidRPr="00E97193">
        <w:t>an instruction given to the ITU membership is non-binding;</w:t>
      </w:r>
    </w:p>
    <w:p w14:paraId="5F72675A" w14:textId="77777777" w:rsidR="00A77A03" w:rsidRPr="00E97193" w:rsidRDefault="00A77A03" w:rsidP="00A77A03">
      <w:pPr>
        <w:numPr>
          <w:ilvl w:val="1"/>
          <w:numId w:val="17"/>
        </w:numPr>
        <w:overflowPunct w:val="0"/>
        <w:autoSpaceDE w:val="0"/>
        <w:autoSpaceDN w:val="0"/>
        <w:adjustRightInd w:val="0"/>
        <w:spacing w:before="80"/>
        <w:ind w:left="1134" w:hanging="567"/>
        <w:contextualSpacing/>
        <w:textAlignment w:val="baseline"/>
      </w:pPr>
      <w:r w:rsidRPr="00E97193">
        <w:t>an instruction given to ITU-T SG will serve little purpose unless followed up by a contribution to the ITU-T study group to drive the work to progress.</w:t>
      </w:r>
    </w:p>
    <w:p w14:paraId="42F3CD26" w14:textId="77777777" w:rsidR="00A77A03" w:rsidRPr="00E97193" w:rsidRDefault="00A77A03" w:rsidP="00A77A03">
      <w:pPr>
        <w:keepNext/>
        <w:numPr>
          <w:ilvl w:val="0"/>
          <w:numId w:val="17"/>
        </w:numPr>
        <w:overflowPunct w:val="0"/>
        <w:autoSpaceDE w:val="0"/>
        <w:autoSpaceDN w:val="0"/>
        <w:adjustRightInd w:val="0"/>
        <w:spacing w:before="80"/>
        <w:ind w:left="567" w:hanging="567"/>
        <w:textAlignment w:val="baseline"/>
      </w:pPr>
      <w:r w:rsidRPr="00E97193">
        <w:t>The "operational" part of a WTSA resolution should:</w:t>
      </w:r>
    </w:p>
    <w:p w14:paraId="1E120266" w14:textId="77777777" w:rsidR="00A77A03" w:rsidRPr="00E97193" w:rsidRDefault="00A77A03" w:rsidP="00A77A03">
      <w:pPr>
        <w:numPr>
          <w:ilvl w:val="1"/>
          <w:numId w:val="17"/>
        </w:numPr>
        <w:overflowPunct w:val="0"/>
        <w:autoSpaceDE w:val="0"/>
        <w:autoSpaceDN w:val="0"/>
        <w:adjustRightInd w:val="0"/>
        <w:spacing w:before="80"/>
        <w:ind w:left="1134" w:hanging="567"/>
        <w:contextualSpacing/>
        <w:textAlignment w:val="baseline"/>
      </w:pPr>
      <w:r w:rsidRPr="00E97193">
        <w:t>use an appropriate verb to specify an implementable action by a respective entity according to its proper mandate ("identified entity and specific action principle");</w:t>
      </w:r>
    </w:p>
    <w:p w14:paraId="33F2C37E" w14:textId="77777777" w:rsidR="00A77A03" w:rsidRPr="00E97193" w:rsidRDefault="00A77A03" w:rsidP="00A77A03">
      <w:pPr>
        <w:numPr>
          <w:ilvl w:val="1"/>
          <w:numId w:val="17"/>
        </w:numPr>
        <w:overflowPunct w:val="0"/>
        <w:autoSpaceDE w:val="0"/>
        <w:autoSpaceDN w:val="0"/>
        <w:adjustRightInd w:val="0"/>
        <w:spacing w:before="80"/>
        <w:ind w:left="1134" w:hanging="567"/>
        <w:contextualSpacing/>
        <w:textAlignment w:val="baseline"/>
      </w:pPr>
      <w:r w:rsidRPr="00E97193">
        <w:lastRenderedPageBreak/>
        <w:t>specify an expected result(s) so that the achievement in implementing this action can be measurable as much as possible using objective measurement methodologies ("measurable result principle");</w:t>
      </w:r>
    </w:p>
    <w:p w14:paraId="03429AB5" w14:textId="77777777" w:rsidR="00A77A03" w:rsidRPr="00E97193" w:rsidRDefault="00A77A03" w:rsidP="00A77A03">
      <w:pPr>
        <w:numPr>
          <w:ilvl w:val="1"/>
          <w:numId w:val="17"/>
        </w:numPr>
        <w:overflowPunct w:val="0"/>
        <w:autoSpaceDE w:val="0"/>
        <w:autoSpaceDN w:val="0"/>
        <w:adjustRightInd w:val="0"/>
        <w:spacing w:before="80"/>
        <w:ind w:left="1134" w:hanging="567"/>
        <w:contextualSpacing/>
        <w:textAlignment w:val="baseline"/>
      </w:pPr>
      <w:r w:rsidRPr="00E97193">
        <w:t>plan or recommend a course of actions with milestones/check-points as appropriate ("planning principle"); and</w:t>
      </w:r>
    </w:p>
    <w:p w14:paraId="2D35D4BE" w14:textId="77777777" w:rsidR="007C63F2" w:rsidRPr="00E97193" w:rsidRDefault="00A77A03" w:rsidP="00A77A03">
      <w:pPr>
        <w:numPr>
          <w:ilvl w:val="1"/>
          <w:numId w:val="17"/>
        </w:numPr>
        <w:overflowPunct w:val="0"/>
        <w:autoSpaceDE w:val="0"/>
        <w:autoSpaceDN w:val="0"/>
        <w:adjustRightInd w:val="0"/>
        <w:spacing w:before="80"/>
        <w:ind w:left="1134" w:hanging="567"/>
        <w:contextualSpacing/>
        <w:textAlignment w:val="baseline"/>
      </w:pPr>
      <w:r w:rsidRPr="00E97193">
        <w:t>specify a reporting and expiration mechanism as appropriate ("report/expire principle").</w:t>
      </w:r>
    </w:p>
    <w:p w14:paraId="052F3F57" w14:textId="77777777" w:rsidR="007B2FFC" w:rsidRPr="00A20EB7" w:rsidRDefault="007B2FFC" w:rsidP="007B2FFC">
      <w:pPr>
        <w:spacing w:before="0" w:after="160" w:line="259" w:lineRule="auto"/>
        <w:jc w:val="center"/>
      </w:pPr>
      <w:r w:rsidRPr="00A20EB7">
        <w:t>_______________</w:t>
      </w:r>
    </w:p>
    <w:sectPr w:rsidR="007B2FFC" w:rsidRPr="00A20EB7" w:rsidSect="008402D9">
      <w:headerReference w:type="even" r:id="rId12"/>
      <w:headerReference w:type="default" r:id="rId13"/>
      <w:footerReference w:type="even" r:id="rId14"/>
      <w:footerReference w:type="default" r:id="rId15"/>
      <w:headerReference w:type="first" r:id="rId16"/>
      <w:footerReference w:type="first" r:id="rId17"/>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4C51F" w14:textId="77777777" w:rsidR="002B6706" w:rsidRDefault="002B6706">
      <w:pPr>
        <w:spacing w:before="0"/>
      </w:pPr>
      <w:r>
        <w:separator/>
      </w:r>
    </w:p>
  </w:endnote>
  <w:endnote w:type="continuationSeparator" w:id="0">
    <w:p w14:paraId="68FAB9EC" w14:textId="77777777" w:rsidR="002B6706" w:rsidRDefault="002B670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69A0B" w14:textId="77777777" w:rsidR="00835B7C" w:rsidRDefault="00835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6F9AB" w14:textId="77777777" w:rsidR="00835B7C" w:rsidRDefault="00835B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01E78" w14:textId="77777777" w:rsidR="008402D9" w:rsidRPr="008402D9" w:rsidRDefault="008402D9" w:rsidP="008402D9">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432B0" w14:textId="77777777" w:rsidR="002B6706" w:rsidRDefault="002B6706">
      <w:pPr>
        <w:spacing w:before="0"/>
      </w:pPr>
      <w:r>
        <w:separator/>
      </w:r>
    </w:p>
  </w:footnote>
  <w:footnote w:type="continuationSeparator" w:id="0">
    <w:p w14:paraId="3C5BAD7A" w14:textId="77777777" w:rsidR="002B6706" w:rsidRDefault="002B670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33D95" w14:textId="77777777" w:rsidR="00835B7C" w:rsidRDefault="00835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ED0CA" w14:textId="77777777" w:rsidR="00E8221A" w:rsidRPr="008402D9" w:rsidRDefault="008402D9" w:rsidP="008402D9">
    <w:pPr>
      <w:pStyle w:val="Header"/>
    </w:pPr>
    <w:r w:rsidRPr="008402D9">
      <w:t xml:space="preserve">- </w:t>
    </w:r>
    <w:r w:rsidRPr="008402D9">
      <w:fldChar w:fldCharType="begin"/>
    </w:r>
    <w:r w:rsidRPr="008402D9">
      <w:instrText xml:space="preserve"> PAGE  \* MERGEFORMAT </w:instrText>
    </w:r>
    <w:r w:rsidRPr="008402D9">
      <w:fldChar w:fldCharType="separate"/>
    </w:r>
    <w:r w:rsidR="0070754D">
      <w:rPr>
        <w:noProof/>
      </w:rPr>
      <w:t>5</w:t>
    </w:r>
    <w:r w:rsidRPr="008402D9">
      <w:fldChar w:fldCharType="end"/>
    </w:r>
    <w:r w:rsidRPr="008402D9">
      <w:t xml:space="preserve"> -</w:t>
    </w:r>
  </w:p>
  <w:p w14:paraId="770CB9B5" w14:textId="6EA29280" w:rsidR="008402D9" w:rsidRPr="008402D9" w:rsidRDefault="00621270" w:rsidP="008402D9">
    <w:pPr>
      <w:pStyle w:val="Header"/>
      <w:spacing w:after="240"/>
    </w:pPr>
    <w:r>
      <w:t>T</w:t>
    </w:r>
    <w:r w:rsidR="00835B7C">
      <w:t>SAG-T</w:t>
    </w:r>
    <w:bookmarkStart w:id="0" w:name="_GoBack"/>
    <w:bookmarkEnd w:id="0"/>
    <w:r>
      <w:t>D</w:t>
    </w:r>
    <w:r w:rsidR="0070754D">
      <w:t>677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8B419" w14:textId="77777777" w:rsidR="00835B7C" w:rsidRDefault="00835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2E01"/>
    <w:multiLevelType w:val="hybridMultilevel"/>
    <w:tmpl w:val="21D8BF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A4473E"/>
    <w:multiLevelType w:val="hybridMultilevel"/>
    <w:tmpl w:val="C630BF50"/>
    <w:lvl w:ilvl="0" w:tplc="DDF6C5BA">
      <w:start w:val="1"/>
      <w:numFmt w:val="bullet"/>
      <w:lvlText w:val="•"/>
      <w:lvlJc w:val="left"/>
      <w:pPr>
        <w:tabs>
          <w:tab w:val="num" w:pos="720"/>
        </w:tabs>
        <w:ind w:left="720" w:hanging="360"/>
      </w:pPr>
      <w:rPr>
        <w:rFonts w:ascii="Arial" w:hAnsi="Arial" w:hint="default"/>
      </w:rPr>
    </w:lvl>
    <w:lvl w:ilvl="1" w:tplc="FAE6068A">
      <w:start w:val="45"/>
      <w:numFmt w:val="bullet"/>
      <w:lvlText w:val="•"/>
      <w:lvlJc w:val="left"/>
      <w:pPr>
        <w:tabs>
          <w:tab w:val="num" w:pos="1440"/>
        </w:tabs>
        <w:ind w:left="1440" w:hanging="360"/>
      </w:pPr>
      <w:rPr>
        <w:rFonts w:ascii="Arial" w:hAnsi="Arial" w:hint="default"/>
      </w:rPr>
    </w:lvl>
    <w:lvl w:ilvl="2" w:tplc="1BAE28F2" w:tentative="1">
      <w:start w:val="1"/>
      <w:numFmt w:val="bullet"/>
      <w:lvlText w:val="•"/>
      <w:lvlJc w:val="left"/>
      <w:pPr>
        <w:tabs>
          <w:tab w:val="num" w:pos="2160"/>
        </w:tabs>
        <w:ind w:left="2160" w:hanging="360"/>
      </w:pPr>
      <w:rPr>
        <w:rFonts w:ascii="Arial" w:hAnsi="Arial" w:hint="default"/>
      </w:rPr>
    </w:lvl>
    <w:lvl w:ilvl="3" w:tplc="292AA3F4" w:tentative="1">
      <w:start w:val="1"/>
      <w:numFmt w:val="bullet"/>
      <w:lvlText w:val="•"/>
      <w:lvlJc w:val="left"/>
      <w:pPr>
        <w:tabs>
          <w:tab w:val="num" w:pos="2880"/>
        </w:tabs>
        <w:ind w:left="2880" w:hanging="360"/>
      </w:pPr>
      <w:rPr>
        <w:rFonts w:ascii="Arial" w:hAnsi="Arial" w:hint="default"/>
      </w:rPr>
    </w:lvl>
    <w:lvl w:ilvl="4" w:tplc="7B886FA2" w:tentative="1">
      <w:start w:val="1"/>
      <w:numFmt w:val="bullet"/>
      <w:lvlText w:val="•"/>
      <w:lvlJc w:val="left"/>
      <w:pPr>
        <w:tabs>
          <w:tab w:val="num" w:pos="3600"/>
        </w:tabs>
        <w:ind w:left="3600" w:hanging="360"/>
      </w:pPr>
      <w:rPr>
        <w:rFonts w:ascii="Arial" w:hAnsi="Arial" w:hint="default"/>
      </w:rPr>
    </w:lvl>
    <w:lvl w:ilvl="5" w:tplc="FB1277CE" w:tentative="1">
      <w:start w:val="1"/>
      <w:numFmt w:val="bullet"/>
      <w:lvlText w:val="•"/>
      <w:lvlJc w:val="left"/>
      <w:pPr>
        <w:tabs>
          <w:tab w:val="num" w:pos="4320"/>
        </w:tabs>
        <w:ind w:left="4320" w:hanging="360"/>
      </w:pPr>
      <w:rPr>
        <w:rFonts w:ascii="Arial" w:hAnsi="Arial" w:hint="default"/>
      </w:rPr>
    </w:lvl>
    <w:lvl w:ilvl="6" w:tplc="7A9E9F1C" w:tentative="1">
      <w:start w:val="1"/>
      <w:numFmt w:val="bullet"/>
      <w:lvlText w:val="•"/>
      <w:lvlJc w:val="left"/>
      <w:pPr>
        <w:tabs>
          <w:tab w:val="num" w:pos="5040"/>
        </w:tabs>
        <w:ind w:left="5040" w:hanging="360"/>
      </w:pPr>
      <w:rPr>
        <w:rFonts w:ascii="Arial" w:hAnsi="Arial" w:hint="default"/>
      </w:rPr>
    </w:lvl>
    <w:lvl w:ilvl="7" w:tplc="5B32F584" w:tentative="1">
      <w:start w:val="1"/>
      <w:numFmt w:val="bullet"/>
      <w:lvlText w:val="•"/>
      <w:lvlJc w:val="left"/>
      <w:pPr>
        <w:tabs>
          <w:tab w:val="num" w:pos="5760"/>
        </w:tabs>
        <w:ind w:left="5760" w:hanging="360"/>
      </w:pPr>
      <w:rPr>
        <w:rFonts w:ascii="Arial" w:hAnsi="Arial" w:hint="default"/>
      </w:rPr>
    </w:lvl>
    <w:lvl w:ilvl="8" w:tplc="705E62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881647"/>
    <w:multiLevelType w:val="hybridMultilevel"/>
    <w:tmpl w:val="55483024"/>
    <w:lvl w:ilvl="0" w:tplc="13FCE9BC">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A2A02"/>
    <w:multiLevelType w:val="hybridMultilevel"/>
    <w:tmpl w:val="7264FFC2"/>
    <w:lvl w:ilvl="0" w:tplc="0409000F">
      <w:start w:val="1"/>
      <w:numFmt w:val="decimal"/>
      <w:lvlText w:val="%1."/>
      <w:lvlJc w:val="left"/>
      <w:pPr>
        <w:ind w:left="1069"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7A69BF"/>
    <w:multiLevelType w:val="hybridMultilevel"/>
    <w:tmpl w:val="36EC8830"/>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41397BF1"/>
    <w:multiLevelType w:val="hybridMultilevel"/>
    <w:tmpl w:val="6D62C1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8C538F"/>
    <w:multiLevelType w:val="hybridMultilevel"/>
    <w:tmpl w:val="9CBC7816"/>
    <w:lvl w:ilvl="0" w:tplc="BB3EEFC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687E76"/>
    <w:multiLevelType w:val="hybridMultilevel"/>
    <w:tmpl w:val="E248AA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15:restartNumberingAfterBreak="0">
    <w:nsid w:val="54632EA7"/>
    <w:multiLevelType w:val="hybridMultilevel"/>
    <w:tmpl w:val="D3BA41D0"/>
    <w:lvl w:ilvl="0" w:tplc="1ACECF4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15:restartNumberingAfterBreak="0">
    <w:nsid w:val="5D4915D3"/>
    <w:multiLevelType w:val="hybridMultilevel"/>
    <w:tmpl w:val="C2CCC374"/>
    <w:lvl w:ilvl="0" w:tplc="C46E427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
  </w:num>
  <w:num w:numId="11">
    <w:abstractNumId w:val="2"/>
  </w:num>
  <w:num w:numId="12">
    <w:abstractNumId w:val="11"/>
  </w:num>
  <w:num w:numId="13">
    <w:abstractNumId w:val="6"/>
  </w:num>
  <w:num w:numId="14">
    <w:abstractNumId w:val="4"/>
  </w:num>
  <w:num w:numId="15">
    <w:abstractNumId w:val="0"/>
  </w:num>
  <w:num w:numId="16">
    <w:abstractNumId w:val="7"/>
  </w:num>
  <w:num w:numId="17">
    <w:abstractNumId w:val="8"/>
  </w:num>
  <w:num w:numId="18">
    <w:abstractNumId w:val="1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309"/>
    <w:rsid w:val="000002CE"/>
    <w:rsid w:val="00000339"/>
    <w:rsid w:val="00000FA8"/>
    <w:rsid w:val="0001104D"/>
    <w:rsid w:val="00012EB5"/>
    <w:rsid w:val="00017655"/>
    <w:rsid w:val="00017FE7"/>
    <w:rsid w:val="00022B29"/>
    <w:rsid w:val="00025502"/>
    <w:rsid w:val="00027A32"/>
    <w:rsid w:val="00030DBC"/>
    <w:rsid w:val="0003117B"/>
    <w:rsid w:val="0004493F"/>
    <w:rsid w:val="00050A24"/>
    <w:rsid w:val="00055464"/>
    <w:rsid w:val="0006330F"/>
    <w:rsid w:val="00063556"/>
    <w:rsid w:val="000661D3"/>
    <w:rsid w:val="000769E6"/>
    <w:rsid w:val="00077E88"/>
    <w:rsid w:val="0008099A"/>
    <w:rsid w:val="000842F4"/>
    <w:rsid w:val="00085268"/>
    <w:rsid w:val="00096D82"/>
    <w:rsid w:val="00097D70"/>
    <w:rsid w:val="000A1971"/>
    <w:rsid w:val="000A31CB"/>
    <w:rsid w:val="000B286A"/>
    <w:rsid w:val="000B594B"/>
    <w:rsid w:val="000B748C"/>
    <w:rsid w:val="000C1868"/>
    <w:rsid w:val="000C5FD9"/>
    <w:rsid w:val="000D7A19"/>
    <w:rsid w:val="000E32BE"/>
    <w:rsid w:val="000E4E82"/>
    <w:rsid w:val="000E6414"/>
    <w:rsid w:val="000F2E95"/>
    <w:rsid w:val="000F67F1"/>
    <w:rsid w:val="000F78EE"/>
    <w:rsid w:val="00103F3E"/>
    <w:rsid w:val="00106AAB"/>
    <w:rsid w:val="00110480"/>
    <w:rsid w:val="001113C7"/>
    <w:rsid w:val="00112783"/>
    <w:rsid w:val="00114606"/>
    <w:rsid w:val="0012002D"/>
    <w:rsid w:val="00122669"/>
    <w:rsid w:val="00123A2B"/>
    <w:rsid w:val="001266E6"/>
    <w:rsid w:val="00131282"/>
    <w:rsid w:val="00131D86"/>
    <w:rsid w:val="0013344F"/>
    <w:rsid w:val="00134BB5"/>
    <w:rsid w:val="00137E61"/>
    <w:rsid w:val="00146FED"/>
    <w:rsid w:val="00147EE6"/>
    <w:rsid w:val="001528E6"/>
    <w:rsid w:val="00155DD6"/>
    <w:rsid w:val="00157413"/>
    <w:rsid w:val="001605F4"/>
    <w:rsid w:val="00160AEF"/>
    <w:rsid w:val="00161BAB"/>
    <w:rsid w:val="0016529A"/>
    <w:rsid w:val="001664ED"/>
    <w:rsid w:val="00166E75"/>
    <w:rsid w:val="00167647"/>
    <w:rsid w:val="00172670"/>
    <w:rsid w:val="00175A41"/>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39CB"/>
    <w:rsid w:val="001F5DA4"/>
    <w:rsid w:val="00201267"/>
    <w:rsid w:val="002027A2"/>
    <w:rsid w:val="00202AA7"/>
    <w:rsid w:val="002116DB"/>
    <w:rsid w:val="00213C1C"/>
    <w:rsid w:val="002157FB"/>
    <w:rsid w:val="00216499"/>
    <w:rsid w:val="0022194A"/>
    <w:rsid w:val="00222121"/>
    <w:rsid w:val="00223009"/>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B4EBD"/>
    <w:rsid w:val="002B6706"/>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2F7F28"/>
    <w:rsid w:val="00306040"/>
    <w:rsid w:val="003102A3"/>
    <w:rsid w:val="00310F96"/>
    <w:rsid w:val="00314E84"/>
    <w:rsid w:val="00315755"/>
    <w:rsid w:val="00317835"/>
    <w:rsid w:val="00327081"/>
    <w:rsid w:val="003331EE"/>
    <w:rsid w:val="00335A28"/>
    <w:rsid w:val="00337560"/>
    <w:rsid w:val="003429F2"/>
    <w:rsid w:val="00343245"/>
    <w:rsid w:val="00343BA0"/>
    <w:rsid w:val="0034439C"/>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553A"/>
    <w:rsid w:val="00376609"/>
    <w:rsid w:val="00377C74"/>
    <w:rsid w:val="0038320B"/>
    <w:rsid w:val="00383C8F"/>
    <w:rsid w:val="00387228"/>
    <w:rsid w:val="003A121C"/>
    <w:rsid w:val="003A229D"/>
    <w:rsid w:val="003A5B18"/>
    <w:rsid w:val="003A76F6"/>
    <w:rsid w:val="003B1D28"/>
    <w:rsid w:val="003B2A40"/>
    <w:rsid w:val="003B53B3"/>
    <w:rsid w:val="003D0967"/>
    <w:rsid w:val="003D2C2B"/>
    <w:rsid w:val="003D3C3E"/>
    <w:rsid w:val="003D58F8"/>
    <w:rsid w:val="003D7964"/>
    <w:rsid w:val="003E152B"/>
    <w:rsid w:val="003E21BA"/>
    <w:rsid w:val="003E440C"/>
    <w:rsid w:val="003F0B59"/>
    <w:rsid w:val="003F2718"/>
    <w:rsid w:val="003F5E9C"/>
    <w:rsid w:val="003F6921"/>
    <w:rsid w:val="003F7CBB"/>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3FE8"/>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5492"/>
    <w:rsid w:val="004A019C"/>
    <w:rsid w:val="004A460E"/>
    <w:rsid w:val="004A66F3"/>
    <w:rsid w:val="004A7E65"/>
    <w:rsid w:val="004B1BCD"/>
    <w:rsid w:val="004B34BB"/>
    <w:rsid w:val="004B3BD0"/>
    <w:rsid w:val="004B404C"/>
    <w:rsid w:val="004B4317"/>
    <w:rsid w:val="004B5105"/>
    <w:rsid w:val="004C2E42"/>
    <w:rsid w:val="004C3990"/>
    <w:rsid w:val="004C5F5E"/>
    <w:rsid w:val="004C6C19"/>
    <w:rsid w:val="004D054B"/>
    <w:rsid w:val="004D0FFC"/>
    <w:rsid w:val="004D217C"/>
    <w:rsid w:val="004D53AD"/>
    <w:rsid w:val="004D5D51"/>
    <w:rsid w:val="004E1D1B"/>
    <w:rsid w:val="004E527C"/>
    <w:rsid w:val="004E7413"/>
    <w:rsid w:val="004F18BB"/>
    <w:rsid w:val="004F467F"/>
    <w:rsid w:val="004F4EB6"/>
    <w:rsid w:val="00500C55"/>
    <w:rsid w:val="00502C16"/>
    <w:rsid w:val="00504261"/>
    <w:rsid w:val="00507D55"/>
    <w:rsid w:val="005114FC"/>
    <w:rsid w:val="005166B9"/>
    <w:rsid w:val="00517C7D"/>
    <w:rsid w:val="00520385"/>
    <w:rsid w:val="00522154"/>
    <w:rsid w:val="00524AFA"/>
    <w:rsid w:val="00527984"/>
    <w:rsid w:val="005307FF"/>
    <w:rsid w:val="0053607B"/>
    <w:rsid w:val="00542167"/>
    <w:rsid w:val="0054509D"/>
    <w:rsid w:val="00547A8B"/>
    <w:rsid w:val="005507FD"/>
    <w:rsid w:val="00550C18"/>
    <w:rsid w:val="00553C5C"/>
    <w:rsid w:val="00554DAD"/>
    <w:rsid w:val="00555133"/>
    <w:rsid w:val="00560C65"/>
    <w:rsid w:val="005614F6"/>
    <w:rsid w:val="005633B4"/>
    <w:rsid w:val="00573412"/>
    <w:rsid w:val="00575F9B"/>
    <w:rsid w:val="005771A3"/>
    <w:rsid w:val="0057782F"/>
    <w:rsid w:val="005815CC"/>
    <w:rsid w:val="00583141"/>
    <w:rsid w:val="0058633E"/>
    <w:rsid w:val="00593191"/>
    <w:rsid w:val="00593340"/>
    <w:rsid w:val="005A2A95"/>
    <w:rsid w:val="005B0D58"/>
    <w:rsid w:val="005B1C8B"/>
    <w:rsid w:val="005B29FD"/>
    <w:rsid w:val="005B5835"/>
    <w:rsid w:val="005B66FC"/>
    <w:rsid w:val="005B75B4"/>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0479B"/>
    <w:rsid w:val="00612E37"/>
    <w:rsid w:val="00616390"/>
    <w:rsid w:val="00621270"/>
    <w:rsid w:val="0062151C"/>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688F"/>
    <w:rsid w:val="006871D2"/>
    <w:rsid w:val="00691155"/>
    <w:rsid w:val="0069505A"/>
    <w:rsid w:val="0069505B"/>
    <w:rsid w:val="006A0E75"/>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4DF1"/>
    <w:rsid w:val="0070754D"/>
    <w:rsid w:val="00707C72"/>
    <w:rsid w:val="0071032C"/>
    <w:rsid w:val="0071243A"/>
    <w:rsid w:val="00712802"/>
    <w:rsid w:val="007139EE"/>
    <w:rsid w:val="007164A1"/>
    <w:rsid w:val="00716731"/>
    <w:rsid w:val="00721FE0"/>
    <w:rsid w:val="007231AD"/>
    <w:rsid w:val="007238CA"/>
    <w:rsid w:val="00723B74"/>
    <w:rsid w:val="007262D6"/>
    <w:rsid w:val="00726B8B"/>
    <w:rsid w:val="00727E6B"/>
    <w:rsid w:val="0074553A"/>
    <w:rsid w:val="007472FB"/>
    <w:rsid w:val="00753305"/>
    <w:rsid w:val="00753F94"/>
    <w:rsid w:val="00755A6D"/>
    <w:rsid w:val="00761CA4"/>
    <w:rsid w:val="00762E3F"/>
    <w:rsid w:val="00764015"/>
    <w:rsid w:val="00766B94"/>
    <w:rsid w:val="0077004D"/>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4F9B"/>
    <w:rsid w:val="007A522A"/>
    <w:rsid w:val="007A7398"/>
    <w:rsid w:val="007B2FFC"/>
    <w:rsid w:val="007B3431"/>
    <w:rsid w:val="007B40F5"/>
    <w:rsid w:val="007C11F2"/>
    <w:rsid w:val="007C63F2"/>
    <w:rsid w:val="007C7042"/>
    <w:rsid w:val="007C779F"/>
    <w:rsid w:val="007D2F0F"/>
    <w:rsid w:val="007D2F42"/>
    <w:rsid w:val="007D7074"/>
    <w:rsid w:val="007E1D1A"/>
    <w:rsid w:val="007F107B"/>
    <w:rsid w:val="007F5562"/>
    <w:rsid w:val="0080534A"/>
    <w:rsid w:val="008062A5"/>
    <w:rsid w:val="008068EE"/>
    <w:rsid w:val="00807B28"/>
    <w:rsid w:val="00811118"/>
    <w:rsid w:val="00814C73"/>
    <w:rsid w:val="00821E6D"/>
    <w:rsid w:val="00823B5F"/>
    <w:rsid w:val="00823E8E"/>
    <w:rsid w:val="00831BDA"/>
    <w:rsid w:val="0083402B"/>
    <w:rsid w:val="00835B7C"/>
    <w:rsid w:val="008402D9"/>
    <w:rsid w:val="00840CDC"/>
    <w:rsid w:val="008448F7"/>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3AA7"/>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865"/>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17A4"/>
    <w:rsid w:val="009232E9"/>
    <w:rsid w:val="0092642F"/>
    <w:rsid w:val="00926E88"/>
    <w:rsid w:val="00932726"/>
    <w:rsid w:val="0093606E"/>
    <w:rsid w:val="00940D20"/>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3623"/>
    <w:rsid w:val="009847FC"/>
    <w:rsid w:val="00993F54"/>
    <w:rsid w:val="009961B2"/>
    <w:rsid w:val="009A0558"/>
    <w:rsid w:val="009A0FF0"/>
    <w:rsid w:val="009A629B"/>
    <w:rsid w:val="009B20B2"/>
    <w:rsid w:val="009B3D53"/>
    <w:rsid w:val="009B7695"/>
    <w:rsid w:val="009B7E38"/>
    <w:rsid w:val="009C17D4"/>
    <w:rsid w:val="009C1C09"/>
    <w:rsid w:val="009C6A37"/>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9F6B74"/>
    <w:rsid w:val="00A01EE1"/>
    <w:rsid w:val="00A02421"/>
    <w:rsid w:val="00A10A16"/>
    <w:rsid w:val="00A113F2"/>
    <w:rsid w:val="00A12E8B"/>
    <w:rsid w:val="00A20EB7"/>
    <w:rsid w:val="00A270F6"/>
    <w:rsid w:val="00A3107C"/>
    <w:rsid w:val="00A31EDE"/>
    <w:rsid w:val="00A3317A"/>
    <w:rsid w:val="00A33885"/>
    <w:rsid w:val="00A376AD"/>
    <w:rsid w:val="00A4004D"/>
    <w:rsid w:val="00A4137D"/>
    <w:rsid w:val="00A41716"/>
    <w:rsid w:val="00A41EB0"/>
    <w:rsid w:val="00A44E77"/>
    <w:rsid w:val="00A453AD"/>
    <w:rsid w:val="00A46AE4"/>
    <w:rsid w:val="00A52F64"/>
    <w:rsid w:val="00A564AE"/>
    <w:rsid w:val="00A62887"/>
    <w:rsid w:val="00A64EF2"/>
    <w:rsid w:val="00A6587A"/>
    <w:rsid w:val="00A67788"/>
    <w:rsid w:val="00A7057D"/>
    <w:rsid w:val="00A71A73"/>
    <w:rsid w:val="00A72130"/>
    <w:rsid w:val="00A74048"/>
    <w:rsid w:val="00A74697"/>
    <w:rsid w:val="00A74ED9"/>
    <w:rsid w:val="00A76ABC"/>
    <w:rsid w:val="00A77A03"/>
    <w:rsid w:val="00A77A81"/>
    <w:rsid w:val="00A81DD7"/>
    <w:rsid w:val="00A90A92"/>
    <w:rsid w:val="00A91B6A"/>
    <w:rsid w:val="00A9235A"/>
    <w:rsid w:val="00A9519D"/>
    <w:rsid w:val="00A952C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4"/>
    <w:rsid w:val="00AF031A"/>
    <w:rsid w:val="00AF0E98"/>
    <w:rsid w:val="00AF4B26"/>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913"/>
    <w:rsid w:val="00B33DFA"/>
    <w:rsid w:val="00B451A9"/>
    <w:rsid w:val="00B46698"/>
    <w:rsid w:val="00B472A5"/>
    <w:rsid w:val="00B4747D"/>
    <w:rsid w:val="00B54C4B"/>
    <w:rsid w:val="00B641D0"/>
    <w:rsid w:val="00B648E0"/>
    <w:rsid w:val="00B67496"/>
    <w:rsid w:val="00B8109D"/>
    <w:rsid w:val="00B8179B"/>
    <w:rsid w:val="00B81E99"/>
    <w:rsid w:val="00B84329"/>
    <w:rsid w:val="00B846A3"/>
    <w:rsid w:val="00B912E0"/>
    <w:rsid w:val="00B91CBA"/>
    <w:rsid w:val="00B9268E"/>
    <w:rsid w:val="00B94B9A"/>
    <w:rsid w:val="00B959B9"/>
    <w:rsid w:val="00B974E8"/>
    <w:rsid w:val="00B9764D"/>
    <w:rsid w:val="00BA0281"/>
    <w:rsid w:val="00BA2256"/>
    <w:rsid w:val="00BA2B4C"/>
    <w:rsid w:val="00BA3F2D"/>
    <w:rsid w:val="00BA451B"/>
    <w:rsid w:val="00BB0838"/>
    <w:rsid w:val="00BB2183"/>
    <w:rsid w:val="00BB411B"/>
    <w:rsid w:val="00BB46A0"/>
    <w:rsid w:val="00BB7122"/>
    <w:rsid w:val="00BC031E"/>
    <w:rsid w:val="00BC0EA5"/>
    <w:rsid w:val="00BC1F8A"/>
    <w:rsid w:val="00BC27D4"/>
    <w:rsid w:val="00BC41A0"/>
    <w:rsid w:val="00BD0091"/>
    <w:rsid w:val="00BD06A6"/>
    <w:rsid w:val="00BD3ACE"/>
    <w:rsid w:val="00BD6C74"/>
    <w:rsid w:val="00BE735C"/>
    <w:rsid w:val="00BF0878"/>
    <w:rsid w:val="00BF3358"/>
    <w:rsid w:val="00BF5690"/>
    <w:rsid w:val="00BF639B"/>
    <w:rsid w:val="00C0104E"/>
    <w:rsid w:val="00C01F53"/>
    <w:rsid w:val="00C02937"/>
    <w:rsid w:val="00C0323E"/>
    <w:rsid w:val="00C036F7"/>
    <w:rsid w:val="00C03E5B"/>
    <w:rsid w:val="00C04058"/>
    <w:rsid w:val="00C06B27"/>
    <w:rsid w:val="00C076C1"/>
    <w:rsid w:val="00C10877"/>
    <w:rsid w:val="00C13153"/>
    <w:rsid w:val="00C13B0C"/>
    <w:rsid w:val="00C142A5"/>
    <w:rsid w:val="00C158D0"/>
    <w:rsid w:val="00C15FF8"/>
    <w:rsid w:val="00C16FA2"/>
    <w:rsid w:val="00C22888"/>
    <w:rsid w:val="00C24E33"/>
    <w:rsid w:val="00C27945"/>
    <w:rsid w:val="00C31D81"/>
    <w:rsid w:val="00C352EA"/>
    <w:rsid w:val="00C40D49"/>
    <w:rsid w:val="00C42100"/>
    <w:rsid w:val="00C43515"/>
    <w:rsid w:val="00C44450"/>
    <w:rsid w:val="00C44893"/>
    <w:rsid w:val="00C44E1B"/>
    <w:rsid w:val="00C45C0E"/>
    <w:rsid w:val="00C46BCF"/>
    <w:rsid w:val="00C4740B"/>
    <w:rsid w:val="00C4763B"/>
    <w:rsid w:val="00C603DE"/>
    <w:rsid w:val="00C61742"/>
    <w:rsid w:val="00C61D2C"/>
    <w:rsid w:val="00C62383"/>
    <w:rsid w:val="00C63CB5"/>
    <w:rsid w:val="00C6485D"/>
    <w:rsid w:val="00C64E15"/>
    <w:rsid w:val="00C672A3"/>
    <w:rsid w:val="00C7181F"/>
    <w:rsid w:val="00C735EB"/>
    <w:rsid w:val="00C802CE"/>
    <w:rsid w:val="00C81734"/>
    <w:rsid w:val="00C83124"/>
    <w:rsid w:val="00C839F2"/>
    <w:rsid w:val="00C8468B"/>
    <w:rsid w:val="00C939FC"/>
    <w:rsid w:val="00C9502D"/>
    <w:rsid w:val="00CA0B6A"/>
    <w:rsid w:val="00CA0E12"/>
    <w:rsid w:val="00CA1EC3"/>
    <w:rsid w:val="00CA318C"/>
    <w:rsid w:val="00CA577E"/>
    <w:rsid w:val="00CA6505"/>
    <w:rsid w:val="00CA7227"/>
    <w:rsid w:val="00CC37DB"/>
    <w:rsid w:val="00CC7874"/>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0F96"/>
    <w:rsid w:val="00D22FC6"/>
    <w:rsid w:val="00D25E27"/>
    <w:rsid w:val="00D305B5"/>
    <w:rsid w:val="00D32900"/>
    <w:rsid w:val="00D34EC4"/>
    <w:rsid w:val="00D42D8D"/>
    <w:rsid w:val="00D43B84"/>
    <w:rsid w:val="00D45DE4"/>
    <w:rsid w:val="00D50BAD"/>
    <w:rsid w:val="00D50DD7"/>
    <w:rsid w:val="00D5167B"/>
    <w:rsid w:val="00D51AFF"/>
    <w:rsid w:val="00D53F49"/>
    <w:rsid w:val="00D561D6"/>
    <w:rsid w:val="00D671C7"/>
    <w:rsid w:val="00D672BA"/>
    <w:rsid w:val="00D6768B"/>
    <w:rsid w:val="00D67CAA"/>
    <w:rsid w:val="00D70D16"/>
    <w:rsid w:val="00D72F49"/>
    <w:rsid w:val="00D76ABB"/>
    <w:rsid w:val="00D80ACE"/>
    <w:rsid w:val="00D816A5"/>
    <w:rsid w:val="00D816D3"/>
    <w:rsid w:val="00D82464"/>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BF4"/>
    <w:rsid w:val="00E27E41"/>
    <w:rsid w:val="00E32B79"/>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97193"/>
    <w:rsid w:val="00EA1377"/>
    <w:rsid w:val="00EA4AEB"/>
    <w:rsid w:val="00EA4E00"/>
    <w:rsid w:val="00EA51DE"/>
    <w:rsid w:val="00EA6BD4"/>
    <w:rsid w:val="00EA6E19"/>
    <w:rsid w:val="00EA6FA7"/>
    <w:rsid w:val="00EB000D"/>
    <w:rsid w:val="00EB22C2"/>
    <w:rsid w:val="00EB2D68"/>
    <w:rsid w:val="00EB5397"/>
    <w:rsid w:val="00EB64D4"/>
    <w:rsid w:val="00EB6D19"/>
    <w:rsid w:val="00EB6E6A"/>
    <w:rsid w:val="00EC00CA"/>
    <w:rsid w:val="00EC2769"/>
    <w:rsid w:val="00EC4AAC"/>
    <w:rsid w:val="00EC7452"/>
    <w:rsid w:val="00EC784D"/>
    <w:rsid w:val="00ED4081"/>
    <w:rsid w:val="00ED5BA8"/>
    <w:rsid w:val="00EF23EE"/>
    <w:rsid w:val="00EF32A4"/>
    <w:rsid w:val="00EF39B8"/>
    <w:rsid w:val="00EF3E94"/>
    <w:rsid w:val="00EF591D"/>
    <w:rsid w:val="00EF5922"/>
    <w:rsid w:val="00F01F9E"/>
    <w:rsid w:val="00F02A93"/>
    <w:rsid w:val="00F03019"/>
    <w:rsid w:val="00F0430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A9190B"/>
  <w15:chartTrackingRefBased/>
  <w15:docId w15:val="{56227FB7-4269-47C4-84F3-C13FAB31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309"/>
    <w:pPr>
      <w:spacing w:before="120"/>
    </w:pPr>
    <w:rPr>
      <w:rFonts w:eastAsia="SimSun"/>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basedOn w:val="DefaultParagraphFont"/>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BB46A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超?级链,CEO_Hyperlink"/>
    <w:basedOn w:val="DefaultParagraphFont"/>
    <w:uiPriority w:val="99"/>
    <w:rsid w:val="00BB46A0"/>
    <w:rPr>
      <w:color w:val="0000FF"/>
      <w:u w:val="single"/>
    </w:rPr>
  </w:style>
  <w:style w:type="paragraph" w:customStyle="1" w:styleId="LSDeadline">
    <w:name w:val="LSDeadlin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For">
    <w:name w:val="LSFor"/>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Source">
    <w:name w:val="LSSourc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itle">
    <w:name w:val="LSTitl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o">
    <w:name w:val="LSTo"/>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Note">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rsid w:val="00B1096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B10963"/>
    <w:pPr>
      <w:tabs>
        <w:tab w:val="clear" w:pos="964"/>
      </w:tabs>
      <w:spacing w:before="80"/>
      <w:ind w:left="1531" w:hanging="851"/>
    </w:pPr>
  </w:style>
  <w:style w:type="paragraph" w:styleId="TOC3">
    <w:name w:val="toc 3"/>
    <w:basedOn w:val="TOC2"/>
    <w:rsid w:val="00B10963"/>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B29FD"/>
    <w:rPr>
      <w:rFonts w:eastAsia="Times New Roman"/>
      <w:sz w:val="18"/>
      <w:lang w:val="en-GB" w:eastAsia="en-US"/>
    </w:rPr>
  </w:style>
  <w:style w:type="table" w:styleId="TableGrid">
    <w:name w:val="Table Grid"/>
    <w:basedOn w:val="TableNormal"/>
    <w:uiPriority w:val="59"/>
    <w:rsid w:val="00F0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158D0"/>
    <w:pPr>
      <w:tabs>
        <w:tab w:val="center" w:pos="4680"/>
        <w:tab w:val="right" w:pos="9360"/>
      </w:tabs>
      <w:spacing w:before="0"/>
    </w:pPr>
  </w:style>
  <w:style w:type="character" w:customStyle="1" w:styleId="FooterChar">
    <w:name w:val="Footer Char"/>
    <w:basedOn w:val="DefaultParagraphFont"/>
    <w:link w:val="Footer"/>
    <w:uiPriority w:val="99"/>
    <w:rsid w:val="00C158D0"/>
    <w:rPr>
      <w:rFonts w:eastAsia="SimSun"/>
      <w:sz w:val="24"/>
      <w:szCs w:val="24"/>
      <w:lang w:val="en-GB" w:eastAsia="ja-JP"/>
    </w:rPr>
  </w:style>
  <w:style w:type="character" w:styleId="CommentReference">
    <w:name w:val="annotation reference"/>
    <w:basedOn w:val="DefaultParagraphFont"/>
    <w:uiPriority w:val="99"/>
    <w:semiHidden/>
    <w:unhideWhenUsed/>
    <w:rsid w:val="003A5B18"/>
    <w:rPr>
      <w:sz w:val="16"/>
      <w:szCs w:val="16"/>
    </w:rPr>
  </w:style>
  <w:style w:type="paragraph" w:styleId="CommentText">
    <w:name w:val="annotation text"/>
    <w:basedOn w:val="Normal"/>
    <w:link w:val="CommentTextChar"/>
    <w:uiPriority w:val="99"/>
    <w:semiHidden/>
    <w:unhideWhenUsed/>
    <w:rsid w:val="003A5B18"/>
    <w:rPr>
      <w:sz w:val="20"/>
      <w:szCs w:val="20"/>
    </w:rPr>
  </w:style>
  <w:style w:type="character" w:customStyle="1" w:styleId="CommentTextChar">
    <w:name w:val="Comment Text Char"/>
    <w:basedOn w:val="DefaultParagraphFont"/>
    <w:link w:val="CommentText"/>
    <w:uiPriority w:val="99"/>
    <w:semiHidden/>
    <w:rsid w:val="003A5B18"/>
    <w:rPr>
      <w:rFonts w:eastAsia="SimSun"/>
      <w:lang w:val="en-GB" w:eastAsia="ja-JP"/>
    </w:rPr>
  </w:style>
  <w:style w:type="paragraph" w:styleId="CommentSubject">
    <w:name w:val="annotation subject"/>
    <w:basedOn w:val="CommentText"/>
    <w:next w:val="CommentText"/>
    <w:link w:val="CommentSubjectChar"/>
    <w:uiPriority w:val="99"/>
    <w:semiHidden/>
    <w:unhideWhenUsed/>
    <w:rsid w:val="003A5B18"/>
    <w:rPr>
      <w:b/>
      <w:bCs/>
    </w:rPr>
  </w:style>
  <w:style w:type="character" w:customStyle="1" w:styleId="CommentSubjectChar">
    <w:name w:val="Comment Subject Char"/>
    <w:basedOn w:val="CommentTextChar"/>
    <w:link w:val="CommentSubject"/>
    <w:uiPriority w:val="99"/>
    <w:semiHidden/>
    <w:rsid w:val="003A5B18"/>
    <w:rPr>
      <w:rFonts w:eastAsia="SimSun"/>
      <w:b/>
      <w:bCs/>
      <w:lang w:val="en-GB" w:eastAsia="ja-JP"/>
    </w:rPr>
  </w:style>
  <w:style w:type="paragraph" w:styleId="Revision">
    <w:name w:val="Revision"/>
    <w:hidden/>
    <w:uiPriority w:val="99"/>
    <w:semiHidden/>
    <w:rsid w:val="003A5B18"/>
    <w:rPr>
      <w:rFonts w:eastAsia="SimSun"/>
      <w:sz w:val="24"/>
      <w:szCs w:val="24"/>
      <w:lang w:val="en-GB" w:eastAsia="ja-JP"/>
    </w:rPr>
  </w:style>
  <w:style w:type="paragraph" w:styleId="BalloonText">
    <w:name w:val="Balloon Text"/>
    <w:basedOn w:val="Normal"/>
    <w:link w:val="BalloonTextChar"/>
    <w:uiPriority w:val="99"/>
    <w:semiHidden/>
    <w:unhideWhenUsed/>
    <w:rsid w:val="003A5B1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B18"/>
    <w:rPr>
      <w:rFonts w:ascii="Segoe UI" w:eastAsia="SimSun" w:hAnsi="Segoe UI" w:cs="Segoe UI"/>
      <w:sz w:val="18"/>
      <w:szCs w:val="18"/>
      <w:lang w:val="en-GB" w:eastAsia="ja-JP"/>
    </w:rPr>
  </w:style>
  <w:style w:type="paragraph" w:styleId="FootnoteText">
    <w:name w:val="footnote text"/>
    <w:basedOn w:val="Normal"/>
    <w:link w:val="FootnoteTextChar"/>
    <w:uiPriority w:val="99"/>
    <w:semiHidden/>
    <w:unhideWhenUsed/>
    <w:rsid w:val="008068EE"/>
    <w:pPr>
      <w:spacing w:before="0"/>
    </w:pPr>
    <w:rPr>
      <w:rFonts w:asciiTheme="minorHAnsi" w:eastAsiaTheme="minorEastAsia" w:hAnsiTheme="minorHAnsi" w:cstheme="minorBidi"/>
      <w:sz w:val="20"/>
      <w:szCs w:val="20"/>
      <w:lang w:val="en-US" w:eastAsia="zh-CN"/>
    </w:rPr>
  </w:style>
  <w:style w:type="character" w:customStyle="1" w:styleId="FootnoteTextChar">
    <w:name w:val="Footnote Text Char"/>
    <w:basedOn w:val="DefaultParagraphFont"/>
    <w:link w:val="FootnoteText"/>
    <w:uiPriority w:val="99"/>
    <w:semiHidden/>
    <w:rsid w:val="008068EE"/>
    <w:rPr>
      <w:rFonts w:asciiTheme="minorHAnsi" w:hAnsiTheme="minorHAnsi" w:cstheme="minorBidi"/>
    </w:rPr>
  </w:style>
  <w:style w:type="character" w:styleId="FootnoteReference">
    <w:name w:val="footnote reference"/>
    <w:basedOn w:val="DefaultParagraphFont"/>
    <w:uiPriority w:val="99"/>
    <w:semiHidden/>
    <w:unhideWhenUsed/>
    <w:rsid w:val="008068EE"/>
    <w:rPr>
      <w:vertAlign w:val="superscript"/>
    </w:rPr>
  </w:style>
  <w:style w:type="paragraph" w:customStyle="1" w:styleId="e">
    <w:name w:val="e"/>
    <w:basedOn w:val="Normal"/>
    <w:rsid w:val="007B2FFC"/>
    <w:pPr>
      <w:spacing w:before="0" w:after="160" w:line="259" w:lineRule="auto"/>
      <w:ind w:left="360" w:hanging="360"/>
    </w:pPr>
    <w:rPr>
      <w:rFonts w:asciiTheme="minorHAnsi" w:eastAsiaTheme="minorEastAsia" w:hAnsiTheme="minorHAnsi" w:cstheme="minorBidi"/>
      <w:sz w:val="22"/>
      <w:szCs w:val="22"/>
      <w:lang w:eastAsia="zh-CN"/>
    </w:rPr>
  </w:style>
  <w:style w:type="paragraph" w:customStyle="1" w:styleId="enumlev1">
    <w:name w:val="enumlev1"/>
    <w:basedOn w:val="Normal"/>
    <w:link w:val="enumlev1Char"/>
    <w:qFormat/>
    <w:rsid w:val="00716731"/>
    <w:pPr>
      <w:tabs>
        <w:tab w:val="left" w:pos="794"/>
        <w:tab w:val="left" w:pos="1191"/>
        <w:tab w:val="left" w:pos="1588"/>
        <w:tab w:val="left" w:pos="1985"/>
      </w:tabs>
      <w:overflowPunct w:val="0"/>
      <w:autoSpaceDE w:val="0"/>
      <w:autoSpaceDN w:val="0"/>
      <w:adjustRightInd w:val="0"/>
      <w:spacing w:before="80" w:line="280" w:lineRule="exact"/>
      <w:ind w:left="794" w:hanging="794"/>
      <w:jc w:val="both"/>
      <w:textAlignment w:val="baseline"/>
    </w:pPr>
    <w:rPr>
      <w:rFonts w:eastAsia="Times New Roman"/>
      <w:sz w:val="22"/>
      <w:szCs w:val="20"/>
      <w:lang w:val="fr-FR" w:eastAsia="en-US"/>
    </w:rPr>
  </w:style>
  <w:style w:type="character" w:customStyle="1" w:styleId="enumlev1Char">
    <w:name w:val="enumlev1 Char"/>
    <w:link w:val="enumlev1"/>
    <w:rsid w:val="00716731"/>
    <w:rPr>
      <w:rFonts w:eastAsia="Times New Roman"/>
      <w:sz w:val="22"/>
      <w:lang w:val="fr-FR" w:eastAsia="en-US"/>
    </w:rPr>
  </w:style>
  <w:style w:type="paragraph" w:styleId="ListParagraph">
    <w:name w:val="List Paragraph"/>
    <w:basedOn w:val="Normal"/>
    <w:link w:val="ListParagraphChar"/>
    <w:uiPriority w:val="34"/>
    <w:qFormat/>
    <w:rsid w:val="007C779F"/>
    <w:pPr>
      <w:spacing w:before="0" w:after="160" w:line="259" w:lineRule="auto"/>
      <w:ind w:left="720"/>
      <w:contextualSpacing/>
    </w:pPr>
    <w:rPr>
      <w:rFonts w:asciiTheme="minorHAnsi" w:eastAsiaTheme="minorEastAsia" w:hAnsiTheme="minorHAnsi" w:cstheme="minorBidi"/>
      <w:sz w:val="22"/>
      <w:szCs w:val="22"/>
      <w:lang w:eastAsia="zh-CN"/>
    </w:rPr>
  </w:style>
  <w:style w:type="character" w:customStyle="1" w:styleId="ListParagraphChar">
    <w:name w:val="List Paragraph Char"/>
    <w:link w:val="ListParagraph"/>
    <w:uiPriority w:val="34"/>
    <w:rsid w:val="007C779F"/>
    <w:rPr>
      <w:rFonts w:ascii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8760">
      <w:bodyDiv w:val="1"/>
      <w:marLeft w:val="0"/>
      <w:marRight w:val="0"/>
      <w:marTop w:val="0"/>
      <w:marBottom w:val="0"/>
      <w:divBdr>
        <w:top w:val="none" w:sz="0" w:space="0" w:color="auto"/>
        <w:left w:val="none" w:sz="0" w:space="0" w:color="auto"/>
        <w:bottom w:val="none" w:sz="0" w:space="0" w:color="auto"/>
        <w:right w:val="none" w:sz="0" w:space="0" w:color="auto"/>
      </w:divBdr>
      <w:divsChild>
        <w:div w:id="966736793">
          <w:marLeft w:val="360"/>
          <w:marRight w:val="0"/>
          <w:marTop w:val="200"/>
          <w:marBottom w:val="0"/>
          <w:divBdr>
            <w:top w:val="none" w:sz="0" w:space="0" w:color="auto"/>
            <w:left w:val="none" w:sz="0" w:space="0" w:color="auto"/>
            <w:bottom w:val="none" w:sz="0" w:space="0" w:color="auto"/>
            <w:right w:val="none" w:sz="0" w:space="0" w:color="auto"/>
          </w:divBdr>
        </w:div>
        <w:div w:id="1852184127">
          <w:marLeft w:val="1080"/>
          <w:marRight w:val="0"/>
          <w:marTop w:val="100"/>
          <w:marBottom w:val="0"/>
          <w:divBdr>
            <w:top w:val="none" w:sz="0" w:space="0" w:color="auto"/>
            <w:left w:val="none" w:sz="0" w:space="0" w:color="auto"/>
            <w:bottom w:val="none" w:sz="0" w:space="0" w:color="auto"/>
            <w:right w:val="none" w:sz="0" w:space="0" w:color="auto"/>
          </w:divBdr>
        </w:div>
        <w:div w:id="1934506982">
          <w:marLeft w:val="1080"/>
          <w:marRight w:val="0"/>
          <w:marTop w:val="100"/>
          <w:marBottom w:val="0"/>
          <w:divBdr>
            <w:top w:val="none" w:sz="0" w:space="0" w:color="auto"/>
            <w:left w:val="none" w:sz="0" w:space="0" w:color="auto"/>
            <w:bottom w:val="none" w:sz="0" w:space="0" w:color="auto"/>
            <w:right w:val="none" w:sz="0" w:space="0" w:color="auto"/>
          </w:divBdr>
        </w:div>
      </w:divsChild>
    </w:div>
    <w:div w:id="2122992508">
      <w:bodyDiv w:val="1"/>
      <w:marLeft w:val="0"/>
      <w:marRight w:val="0"/>
      <w:marTop w:val="0"/>
      <w:marBottom w:val="0"/>
      <w:divBdr>
        <w:top w:val="none" w:sz="0" w:space="0" w:color="auto"/>
        <w:left w:val="none" w:sz="0" w:space="0" w:color="auto"/>
        <w:bottom w:val="none" w:sz="0" w:space="0" w:color="auto"/>
        <w:right w:val="none" w:sz="0" w:space="0" w:color="auto"/>
      </w:divBdr>
      <w:divsChild>
        <w:div w:id="266039376">
          <w:marLeft w:val="360"/>
          <w:marRight w:val="0"/>
          <w:marTop w:val="200"/>
          <w:marBottom w:val="0"/>
          <w:divBdr>
            <w:top w:val="none" w:sz="0" w:space="0" w:color="auto"/>
            <w:left w:val="none" w:sz="0" w:space="0" w:color="auto"/>
            <w:bottom w:val="none" w:sz="0" w:space="0" w:color="auto"/>
            <w:right w:val="none" w:sz="0" w:space="0" w:color="auto"/>
          </w:divBdr>
        </w:div>
        <w:div w:id="1366830413">
          <w:marLeft w:val="360"/>
          <w:marRight w:val="0"/>
          <w:marTop w:val="200"/>
          <w:marBottom w:val="0"/>
          <w:divBdr>
            <w:top w:val="none" w:sz="0" w:space="0" w:color="auto"/>
            <w:left w:val="none" w:sz="0" w:space="0" w:color="auto"/>
            <w:bottom w:val="none" w:sz="0" w:space="0" w:color="auto"/>
            <w:right w:val="none" w:sz="0" w:space="0" w:color="auto"/>
          </w:divBdr>
        </w:div>
        <w:div w:id="2020891681">
          <w:marLeft w:val="360"/>
          <w:marRight w:val="0"/>
          <w:marTop w:val="200"/>
          <w:marBottom w:val="0"/>
          <w:divBdr>
            <w:top w:val="none" w:sz="0" w:space="0" w:color="auto"/>
            <w:left w:val="none" w:sz="0" w:space="0" w:color="auto"/>
            <w:bottom w:val="none" w:sz="0" w:space="0" w:color="auto"/>
            <w:right w:val="none" w:sz="0" w:space="0" w:color="auto"/>
          </w:divBdr>
        </w:div>
        <w:div w:id="86316036">
          <w:marLeft w:val="360"/>
          <w:marRight w:val="0"/>
          <w:marTop w:val="200"/>
          <w:marBottom w:val="0"/>
          <w:divBdr>
            <w:top w:val="none" w:sz="0" w:space="0" w:color="auto"/>
            <w:left w:val="none" w:sz="0" w:space="0" w:color="auto"/>
            <w:bottom w:val="none" w:sz="0" w:space="0" w:color="auto"/>
            <w:right w:val="none" w:sz="0" w:space="0" w:color="auto"/>
          </w:divBdr>
        </w:div>
        <w:div w:id="1841508389">
          <w:marLeft w:val="360"/>
          <w:marRight w:val="0"/>
          <w:marTop w:val="200"/>
          <w:marBottom w:val="0"/>
          <w:divBdr>
            <w:top w:val="none" w:sz="0" w:space="0" w:color="auto"/>
            <w:left w:val="none" w:sz="0" w:space="0" w:color="auto"/>
            <w:bottom w:val="none" w:sz="0" w:space="0" w:color="auto"/>
            <w:right w:val="none" w:sz="0" w:space="0" w:color="auto"/>
          </w:divBdr>
        </w:div>
        <w:div w:id="425077810">
          <w:marLeft w:val="1080"/>
          <w:marRight w:val="0"/>
          <w:marTop w:val="100"/>
          <w:marBottom w:val="0"/>
          <w:divBdr>
            <w:top w:val="none" w:sz="0" w:space="0" w:color="auto"/>
            <w:left w:val="none" w:sz="0" w:space="0" w:color="auto"/>
            <w:bottom w:val="none" w:sz="0" w:space="0" w:color="auto"/>
            <w:right w:val="none" w:sz="0" w:space="0" w:color="auto"/>
          </w:divBdr>
        </w:div>
        <w:div w:id="13503133">
          <w:marLeft w:val="1080"/>
          <w:marRight w:val="0"/>
          <w:marTop w:val="100"/>
          <w:marBottom w:val="0"/>
          <w:divBdr>
            <w:top w:val="none" w:sz="0" w:space="0" w:color="auto"/>
            <w:left w:val="none" w:sz="0" w:space="0" w:color="auto"/>
            <w:bottom w:val="none" w:sz="0" w:space="0" w:color="auto"/>
            <w:right w:val="none" w:sz="0" w:space="0" w:color="auto"/>
          </w:divBdr>
        </w:div>
        <w:div w:id="77922386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fa/t/2013/ls/tsag/sp15-tsag-oLS-00024r1.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meetingdoc.asp?lang=en&amp;parent=T13-TSAG-160718-TD-GEN-053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tin.euchner@itu.i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This document reproduces partly TSAG-TD532 (SP 2013-2016) that summarized the findings of a TSB study on the evolution of WTSA Resolutions since 1993. This TD also reproduces Guidelines for drafting WTSA resolutions(as reviewed at TSAG, Geneva, 18-22 July 2016) and as contained in outgoing liaison statement sp15-tsag-oLS-00024r1 “LS on preparations for WTSA-16 [to regional preparatory group meetings]”.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1758</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Analysis of the evolution of WTSA Resolutions since 1993 and a proposal for guidelines for drafting WTSA Resolutions</vt:lpstr>
    </vt:vector>
  </TitlesOfParts>
  <Manager>ITU-T</Manager>
  <Company>International Telecommunication Union (ITU)</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the evolution of WTSA Resolutions since 1993 and a proposal for guidelines for drafting WTSA Resolutions</dc:title>
  <dc:subject/>
  <dc:creator>TSB Director</dc:creator>
  <cp:keywords>TSAG RG WPR</cp:keywords>
  <dc:description>TD 532  For: Geneva, 18-22 July 2016_x000d_Document date: _x000d_Saved by ITU51011769 at 09:36:43 on 04/07/2016</dc:description>
  <cp:lastModifiedBy>Al-Mnini, Lara</cp:lastModifiedBy>
  <cp:revision>3</cp:revision>
  <cp:lastPrinted>2016-06-15T10:04:00Z</cp:lastPrinted>
  <dcterms:created xsi:type="dcterms:W3CDTF">2020-01-22T15:13:00Z</dcterms:created>
  <dcterms:modified xsi:type="dcterms:W3CDTF">2020-01-22T15:18:00Z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532</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TSAG RG WPR</vt:lpwstr>
  </property>
  <property fmtid="{D5CDD505-2E9C-101B-9397-08002B2CF9AE}" pid="6" name="Docdest">
    <vt:lpwstr>Geneva, 18-22 July 2016</vt:lpwstr>
  </property>
  <property fmtid="{D5CDD505-2E9C-101B-9397-08002B2CF9AE}" pid="7" name="Docauthor">
    <vt:lpwstr>TSB Director</vt:lpwstr>
  </property>
</Properties>
</file>