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F24FCF" w14:paraId="2F298FF7" w14:textId="77777777" w:rsidTr="0037655F">
        <w:trPr>
          <w:cantSplit/>
        </w:trPr>
        <w:tc>
          <w:tcPr>
            <w:tcW w:w="1189" w:type="dxa"/>
            <w:vMerge w:val="restart"/>
          </w:tcPr>
          <w:p w14:paraId="39647A7B" w14:textId="77777777" w:rsidR="009A62AF" w:rsidRPr="00F24FCF" w:rsidRDefault="009A62AF" w:rsidP="00EA5CD1">
            <w:pPr>
              <w:spacing w:before="120" w:after="100" w:afterAutospacing="1"/>
              <w:rPr>
                <w:sz w:val="20"/>
                <w:lang w:eastAsia="ja-JP"/>
              </w:rPr>
            </w:pPr>
            <w:bookmarkStart w:id="0" w:name="dnum" w:colFirst="2" w:colLast="2"/>
            <w:bookmarkStart w:id="1" w:name="dsg" w:colFirst="1" w:colLast="1"/>
            <w:bookmarkStart w:id="2" w:name="dtableau"/>
            <w:r w:rsidRPr="00F24FCF">
              <w:rPr>
                <w:noProof/>
                <w:sz w:val="20"/>
              </w:rPr>
              <w:drawing>
                <wp:inline distT="0" distB="0" distL="0" distR="0" wp14:anchorId="20315267" wp14:editId="1F32F59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EBB8970" w14:textId="77777777" w:rsidR="009A62AF" w:rsidRPr="00F24FCF" w:rsidRDefault="009A62AF" w:rsidP="00EA5CD1">
            <w:pPr>
              <w:spacing w:before="120" w:after="100" w:afterAutospacing="1"/>
              <w:rPr>
                <w:rFonts w:asciiTheme="majorBidi" w:hAnsiTheme="majorBidi" w:cstheme="majorBidi"/>
                <w:sz w:val="16"/>
                <w:szCs w:val="16"/>
                <w:lang w:eastAsia="ja-JP"/>
              </w:rPr>
            </w:pPr>
            <w:r w:rsidRPr="00F24FCF">
              <w:rPr>
                <w:rFonts w:asciiTheme="majorBidi" w:hAnsiTheme="majorBidi" w:cstheme="majorBidi"/>
                <w:sz w:val="16"/>
                <w:szCs w:val="16"/>
                <w:lang w:eastAsia="ja-JP"/>
              </w:rPr>
              <w:t>INTERNATIONAL TELECOMMUNICATION UNION</w:t>
            </w:r>
          </w:p>
          <w:p w14:paraId="5B9475D6" w14:textId="77777777" w:rsidR="009A62AF" w:rsidRPr="00F24FCF" w:rsidRDefault="009A62AF" w:rsidP="00EA5CD1">
            <w:pPr>
              <w:spacing w:before="120" w:after="100" w:afterAutospacing="1"/>
              <w:rPr>
                <w:rFonts w:asciiTheme="majorBidi" w:hAnsiTheme="majorBidi" w:cstheme="majorBidi"/>
                <w:b/>
                <w:bCs/>
                <w:sz w:val="26"/>
                <w:szCs w:val="26"/>
                <w:lang w:eastAsia="ja-JP"/>
              </w:rPr>
            </w:pPr>
            <w:r w:rsidRPr="00F24FCF">
              <w:rPr>
                <w:rFonts w:asciiTheme="majorBidi" w:hAnsiTheme="majorBidi" w:cstheme="majorBidi"/>
                <w:b/>
                <w:bCs/>
                <w:sz w:val="26"/>
                <w:szCs w:val="26"/>
                <w:lang w:eastAsia="ja-JP"/>
              </w:rPr>
              <w:t>TELECOMMUNICATION</w:t>
            </w:r>
            <w:r w:rsidRPr="00F24FCF">
              <w:rPr>
                <w:rFonts w:asciiTheme="majorBidi" w:hAnsiTheme="majorBidi" w:cstheme="majorBidi"/>
                <w:b/>
                <w:bCs/>
                <w:sz w:val="26"/>
                <w:szCs w:val="26"/>
                <w:lang w:eastAsia="ja-JP"/>
              </w:rPr>
              <w:br/>
              <w:t>STANDARDIZATION SECTOR</w:t>
            </w:r>
          </w:p>
          <w:p w14:paraId="69797F03" w14:textId="77777777" w:rsidR="009A62AF" w:rsidRPr="00F24FCF" w:rsidRDefault="009A62AF" w:rsidP="00EA5CD1">
            <w:pPr>
              <w:spacing w:before="120" w:after="100" w:afterAutospacing="1"/>
              <w:rPr>
                <w:rFonts w:asciiTheme="majorBidi" w:hAnsiTheme="majorBidi" w:cstheme="majorBidi"/>
                <w:sz w:val="20"/>
                <w:lang w:eastAsia="ja-JP"/>
              </w:rPr>
            </w:pPr>
            <w:r w:rsidRPr="00F24FCF">
              <w:rPr>
                <w:rFonts w:asciiTheme="majorBidi" w:hAnsiTheme="majorBidi" w:cstheme="majorBidi"/>
                <w:sz w:val="20"/>
                <w:lang w:eastAsia="ja-JP"/>
              </w:rPr>
              <w:t xml:space="preserve">STUDY PERIOD </w:t>
            </w:r>
            <w:bookmarkStart w:id="3" w:name="dstudyperiod"/>
            <w:r w:rsidRPr="00F24FCF">
              <w:rPr>
                <w:rFonts w:asciiTheme="majorBidi" w:hAnsiTheme="majorBidi" w:cstheme="majorBidi"/>
                <w:sz w:val="20"/>
                <w:lang w:eastAsia="ja-JP"/>
              </w:rPr>
              <w:t>2017-2020</w:t>
            </w:r>
            <w:bookmarkEnd w:id="3"/>
          </w:p>
        </w:tc>
        <w:tc>
          <w:tcPr>
            <w:tcW w:w="4682" w:type="dxa"/>
            <w:vAlign w:val="center"/>
          </w:tcPr>
          <w:p w14:paraId="750A81FC" w14:textId="0DB3C4B1" w:rsidR="009A62AF" w:rsidRPr="00F24FCF" w:rsidRDefault="00912198" w:rsidP="000B0A5B">
            <w:pPr>
              <w:pStyle w:val="Docnumber"/>
            </w:pPr>
            <w:r w:rsidRPr="00F24FCF">
              <w:t>T</w:t>
            </w:r>
            <w:r w:rsidR="00FC0AB0" w:rsidRPr="00F24FCF">
              <w:t>SAG-T</w:t>
            </w:r>
            <w:r w:rsidRPr="00F24FCF">
              <w:t>D</w:t>
            </w:r>
            <w:r w:rsidR="00323E4C">
              <w:t>727</w:t>
            </w:r>
          </w:p>
        </w:tc>
      </w:tr>
      <w:bookmarkEnd w:id="0"/>
      <w:tr w:rsidR="009A62AF" w:rsidRPr="00F24FCF" w14:paraId="0F8DA900" w14:textId="77777777" w:rsidTr="0037655F">
        <w:trPr>
          <w:cantSplit/>
        </w:trPr>
        <w:tc>
          <w:tcPr>
            <w:tcW w:w="1189" w:type="dxa"/>
            <w:vMerge/>
          </w:tcPr>
          <w:p w14:paraId="6884D477" w14:textId="77777777" w:rsidR="009A62AF" w:rsidRPr="00F24FCF" w:rsidRDefault="009A62AF" w:rsidP="00EA5CD1">
            <w:pPr>
              <w:spacing w:before="120" w:after="100" w:afterAutospacing="1"/>
              <w:rPr>
                <w:smallCaps/>
                <w:sz w:val="20"/>
                <w:szCs w:val="24"/>
                <w:lang w:eastAsia="ja-JP"/>
              </w:rPr>
            </w:pPr>
          </w:p>
        </w:tc>
        <w:tc>
          <w:tcPr>
            <w:tcW w:w="4052" w:type="dxa"/>
            <w:gridSpan w:val="3"/>
            <w:vMerge/>
          </w:tcPr>
          <w:p w14:paraId="4AD7BBFC" w14:textId="77777777" w:rsidR="009A62AF" w:rsidRPr="00F24FCF" w:rsidRDefault="009A62AF" w:rsidP="00EA5CD1">
            <w:pPr>
              <w:spacing w:before="120" w:after="100" w:afterAutospacing="1"/>
              <w:rPr>
                <w:rFonts w:asciiTheme="majorBidi" w:hAnsiTheme="majorBidi" w:cstheme="majorBidi"/>
                <w:smallCaps/>
                <w:sz w:val="20"/>
                <w:szCs w:val="24"/>
                <w:lang w:eastAsia="ja-JP"/>
              </w:rPr>
            </w:pPr>
          </w:p>
        </w:tc>
        <w:tc>
          <w:tcPr>
            <w:tcW w:w="4682" w:type="dxa"/>
          </w:tcPr>
          <w:p w14:paraId="51539BD2" w14:textId="77777777" w:rsidR="009A62AF" w:rsidRPr="00F24FCF" w:rsidRDefault="009A62AF" w:rsidP="00EA5CD1">
            <w:pPr>
              <w:pStyle w:val="Docnumber"/>
              <w:rPr>
                <w:sz w:val="28"/>
              </w:rPr>
            </w:pPr>
            <w:r w:rsidRPr="00F24FCF">
              <w:rPr>
                <w:sz w:val="28"/>
              </w:rPr>
              <w:t>TSAG</w:t>
            </w:r>
          </w:p>
        </w:tc>
      </w:tr>
      <w:tr w:rsidR="009A62AF" w:rsidRPr="00F24FCF" w14:paraId="53617762" w14:textId="77777777" w:rsidTr="0037655F">
        <w:trPr>
          <w:cantSplit/>
        </w:trPr>
        <w:tc>
          <w:tcPr>
            <w:tcW w:w="1189" w:type="dxa"/>
            <w:vMerge/>
            <w:tcBorders>
              <w:bottom w:val="single" w:sz="12" w:space="0" w:color="auto"/>
            </w:tcBorders>
          </w:tcPr>
          <w:p w14:paraId="48991315" w14:textId="77777777" w:rsidR="009A62AF" w:rsidRPr="00F24FCF" w:rsidRDefault="009A62AF" w:rsidP="00EA5CD1">
            <w:pPr>
              <w:spacing w:before="120" w:after="100" w:afterAutospacing="1"/>
              <w:rPr>
                <w:b/>
                <w:bCs/>
                <w:sz w:val="26"/>
                <w:szCs w:val="24"/>
                <w:lang w:eastAsia="ja-JP"/>
              </w:rPr>
            </w:pPr>
          </w:p>
        </w:tc>
        <w:tc>
          <w:tcPr>
            <w:tcW w:w="4052" w:type="dxa"/>
            <w:gridSpan w:val="3"/>
            <w:vMerge/>
            <w:tcBorders>
              <w:bottom w:val="single" w:sz="12" w:space="0" w:color="auto"/>
            </w:tcBorders>
          </w:tcPr>
          <w:p w14:paraId="337DDB4E" w14:textId="77777777" w:rsidR="009A62AF" w:rsidRPr="00F24FCF" w:rsidRDefault="009A62AF" w:rsidP="00EA5CD1">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7E530E88" w14:textId="77777777" w:rsidR="009A62AF" w:rsidRPr="00F24FCF" w:rsidRDefault="009A62AF" w:rsidP="00FC0AB0">
            <w:pPr>
              <w:spacing w:after="0" w:line="240" w:lineRule="auto"/>
              <w:jc w:val="right"/>
              <w:rPr>
                <w:rFonts w:ascii="Times New Roman" w:eastAsia="Calibri" w:hAnsi="Times New Roman" w:cs="Times New Roman"/>
                <w:b/>
                <w:bCs/>
                <w:sz w:val="28"/>
                <w:szCs w:val="24"/>
                <w:lang w:eastAsia="ja-JP"/>
              </w:rPr>
            </w:pPr>
            <w:r w:rsidRPr="00F24FCF">
              <w:rPr>
                <w:rFonts w:ascii="Times New Roman" w:eastAsia="Calibri" w:hAnsi="Times New Roman" w:cs="Times New Roman"/>
                <w:b/>
                <w:bCs/>
                <w:sz w:val="28"/>
                <w:szCs w:val="24"/>
                <w:lang w:eastAsia="ja-JP"/>
              </w:rPr>
              <w:t>Original: English</w:t>
            </w:r>
          </w:p>
        </w:tc>
      </w:tr>
      <w:tr w:rsidR="009A62AF" w:rsidRPr="00323E4C" w14:paraId="37A432F3" w14:textId="77777777" w:rsidTr="0037655F">
        <w:trPr>
          <w:cantSplit/>
        </w:trPr>
        <w:tc>
          <w:tcPr>
            <w:tcW w:w="1615" w:type="dxa"/>
            <w:gridSpan w:val="3"/>
          </w:tcPr>
          <w:p w14:paraId="5D2DCDBB" w14:textId="77777777" w:rsidR="009A62AF" w:rsidRPr="00323E4C" w:rsidRDefault="009A62AF" w:rsidP="00EA5CD1">
            <w:pPr>
              <w:spacing w:before="120" w:after="100" w:afterAutospacing="1"/>
              <w:rPr>
                <w:rFonts w:asciiTheme="majorBidi" w:hAnsiTheme="majorBidi" w:cstheme="majorBidi"/>
                <w:b/>
                <w:bCs/>
                <w:sz w:val="24"/>
                <w:szCs w:val="24"/>
                <w:lang w:eastAsia="ja-JP"/>
              </w:rPr>
            </w:pPr>
            <w:bookmarkStart w:id="4" w:name="dbluepink" w:colFirst="1" w:colLast="1"/>
            <w:bookmarkStart w:id="5" w:name="dmeeting" w:colFirst="2" w:colLast="2"/>
            <w:bookmarkEnd w:id="1"/>
            <w:r w:rsidRPr="00323E4C">
              <w:rPr>
                <w:rFonts w:asciiTheme="majorBidi" w:hAnsiTheme="majorBidi" w:cstheme="majorBidi"/>
                <w:b/>
                <w:bCs/>
                <w:sz w:val="24"/>
                <w:szCs w:val="24"/>
                <w:lang w:eastAsia="ja-JP"/>
              </w:rPr>
              <w:t>Question(s):</w:t>
            </w:r>
          </w:p>
        </w:tc>
        <w:tc>
          <w:tcPr>
            <w:tcW w:w="3626" w:type="dxa"/>
          </w:tcPr>
          <w:p w14:paraId="413A64B0" w14:textId="77777777" w:rsidR="009A62AF" w:rsidRPr="00323E4C" w:rsidRDefault="009A62AF" w:rsidP="00EA5CD1">
            <w:pPr>
              <w:spacing w:before="120" w:after="100" w:afterAutospacing="1"/>
              <w:rPr>
                <w:rFonts w:asciiTheme="majorBidi" w:hAnsiTheme="majorBidi" w:cstheme="majorBidi"/>
                <w:sz w:val="24"/>
                <w:szCs w:val="24"/>
                <w:lang w:eastAsia="ja-JP"/>
              </w:rPr>
            </w:pPr>
            <w:r w:rsidRPr="00323E4C">
              <w:rPr>
                <w:rFonts w:asciiTheme="majorBidi" w:hAnsiTheme="majorBidi" w:cstheme="majorBidi"/>
                <w:sz w:val="24"/>
                <w:szCs w:val="24"/>
                <w:lang w:eastAsia="ja-JP"/>
              </w:rPr>
              <w:t>N/A</w:t>
            </w:r>
          </w:p>
        </w:tc>
        <w:tc>
          <w:tcPr>
            <w:tcW w:w="4682" w:type="dxa"/>
          </w:tcPr>
          <w:p w14:paraId="78358109" w14:textId="5469C800" w:rsidR="009A62AF" w:rsidRPr="00323E4C" w:rsidRDefault="00047D24" w:rsidP="00EA5CD1">
            <w:pPr>
              <w:spacing w:before="120" w:after="0" w:line="240" w:lineRule="auto"/>
              <w:jc w:val="right"/>
              <w:rPr>
                <w:rFonts w:asciiTheme="majorBidi" w:eastAsia="Calibri" w:hAnsiTheme="majorBidi" w:cstheme="majorBidi"/>
                <w:sz w:val="24"/>
                <w:szCs w:val="24"/>
                <w:lang w:eastAsia="ja-JP"/>
              </w:rPr>
            </w:pPr>
            <w:r w:rsidRPr="00323E4C">
              <w:rPr>
                <w:rFonts w:asciiTheme="majorBidi" w:eastAsia="Calibri" w:hAnsiTheme="majorBidi" w:cstheme="majorBidi"/>
                <w:sz w:val="24"/>
                <w:szCs w:val="24"/>
                <w:lang w:eastAsia="ja-JP"/>
              </w:rPr>
              <w:t xml:space="preserve">Geneva, </w:t>
            </w:r>
            <w:r w:rsidR="00233F12" w:rsidRPr="00323E4C">
              <w:rPr>
                <w:rFonts w:asciiTheme="majorBidi" w:eastAsia="Calibri" w:hAnsiTheme="majorBidi" w:cstheme="majorBidi"/>
                <w:sz w:val="24"/>
                <w:szCs w:val="24"/>
                <w:lang w:eastAsia="ja-JP"/>
              </w:rPr>
              <w:t>10</w:t>
            </w:r>
            <w:r w:rsidRPr="00323E4C">
              <w:rPr>
                <w:rFonts w:asciiTheme="majorBidi" w:eastAsia="Calibri" w:hAnsiTheme="majorBidi" w:cstheme="majorBidi"/>
                <w:sz w:val="24"/>
                <w:szCs w:val="24"/>
                <w:lang w:eastAsia="ja-JP"/>
              </w:rPr>
              <w:t>-</w:t>
            </w:r>
            <w:r w:rsidR="00233F12" w:rsidRPr="00323E4C">
              <w:rPr>
                <w:rFonts w:asciiTheme="majorBidi" w:eastAsia="Calibri" w:hAnsiTheme="majorBidi" w:cstheme="majorBidi"/>
                <w:sz w:val="24"/>
                <w:szCs w:val="24"/>
                <w:lang w:eastAsia="ja-JP"/>
              </w:rPr>
              <w:t>14</w:t>
            </w:r>
            <w:r w:rsidRPr="00323E4C">
              <w:rPr>
                <w:rFonts w:asciiTheme="majorBidi" w:eastAsia="Calibri" w:hAnsiTheme="majorBidi" w:cstheme="majorBidi"/>
                <w:sz w:val="24"/>
                <w:szCs w:val="24"/>
                <w:lang w:eastAsia="ja-JP"/>
              </w:rPr>
              <w:t xml:space="preserve"> </w:t>
            </w:r>
            <w:r w:rsidR="00233F12" w:rsidRPr="00323E4C">
              <w:rPr>
                <w:rFonts w:asciiTheme="majorBidi" w:eastAsia="Calibri" w:hAnsiTheme="majorBidi" w:cstheme="majorBidi"/>
                <w:sz w:val="24"/>
                <w:szCs w:val="24"/>
                <w:lang w:eastAsia="ja-JP"/>
              </w:rPr>
              <w:t>February</w:t>
            </w:r>
            <w:r w:rsidRPr="00323E4C">
              <w:rPr>
                <w:rFonts w:asciiTheme="majorBidi" w:eastAsia="Calibri" w:hAnsiTheme="majorBidi" w:cstheme="majorBidi"/>
                <w:sz w:val="24"/>
                <w:szCs w:val="24"/>
                <w:lang w:eastAsia="ja-JP"/>
              </w:rPr>
              <w:t xml:space="preserve"> 20</w:t>
            </w:r>
            <w:r w:rsidR="00233F12" w:rsidRPr="00323E4C">
              <w:rPr>
                <w:rFonts w:asciiTheme="majorBidi" w:eastAsia="Calibri" w:hAnsiTheme="majorBidi" w:cstheme="majorBidi"/>
                <w:sz w:val="24"/>
                <w:szCs w:val="24"/>
                <w:lang w:eastAsia="ja-JP"/>
              </w:rPr>
              <w:t>20</w:t>
            </w:r>
          </w:p>
        </w:tc>
      </w:tr>
      <w:tr w:rsidR="009A62AF" w:rsidRPr="00323E4C" w14:paraId="04543605" w14:textId="77777777" w:rsidTr="00EA5CD1">
        <w:trPr>
          <w:cantSplit/>
        </w:trPr>
        <w:tc>
          <w:tcPr>
            <w:tcW w:w="9923" w:type="dxa"/>
            <w:gridSpan w:val="5"/>
          </w:tcPr>
          <w:p w14:paraId="314377B5" w14:textId="77777777" w:rsidR="009A62AF" w:rsidRPr="00323E4C" w:rsidRDefault="009A62AF" w:rsidP="00EA5CD1">
            <w:pPr>
              <w:spacing w:before="120" w:after="100" w:afterAutospacing="1"/>
              <w:jc w:val="center"/>
              <w:rPr>
                <w:rFonts w:asciiTheme="majorBidi" w:hAnsiTheme="majorBidi" w:cstheme="majorBidi"/>
                <w:b/>
                <w:bCs/>
                <w:sz w:val="24"/>
                <w:szCs w:val="24"/>
                <w:lang w:eastAsia="ja-JP"/>
              </w:rPr>
            </w:pPr>
            <w:bookmarkStart w:id="6" w:name="ddoctype" w:colFirst="0" w:colLast="0"/>
            <w:bookmarkStart w:id="7" w:name="dtitle" w:colFirst="0" w:colLast="0"/>
            <w:bookmarkEnd w:id="4"/>
            <w:bookmarkEnd w:id="5"/>
            <w:r w:rsidRPr="00323E4C">
              <w:rPr>
                <w:rFonts w:asciiTheme="majorBidi" w:hAnsiTheme="majorBidi" w:cstheme="majorBidi"/>
                <w:b/>
                <w:bCs/>
                <w:sz w:val="24"/>
                <w:szCs w:val="24"/>
                <w:lang w:eastAsia="ja-JP"/>
              </w:rPr>
              <w:t>TD</w:t>
            </w:r>
          </w:p>
        </w:tc>
      </w:tr>
      <w:tr w:rsidR="009A62AF" w:rsidRPr="00323E4C" w14:paraId="6CDAF66B" w14:textId="77777777" w:rsidTr="0037655F">
        <w:trPr>
          <w:cantSplit/>
        </w:trPr>
        <w:tc>
          <w:tcPr>
            <w:tcW w:w="1615" w:type="dxa"/>
            <w:gridSpan w:val="3"/>
          </w:tcPr>
          <w:p w14:paraId="2DA91A6F" w14:textId="77777777" w:rsidR="009A62AF" w:rsidRPr="00323E4C" w:rsidRDefault="009A62AF" w:rsidP="00EA5CD1">
            <w:pPr>
              <w:spacing w:before="120" w:after="100" w:afterAutospacing="1"/>
              <w:rPr>
                <w:rFonts w:asciiTheme="majorBidi" w:hAnsiTheme="majorBidi" w:cstheme="majorBidi"/>
                <w:b/>
                <w:bCs/>
                <w:sz w:val="24"/>
                <w:szCs w:val="24"/>
                <w:lang w:eastAsia="ja-JP"/>
              </w:rPr>
            </w:pPr>
            <w:bookmarkStart w:id="8" w:name="dsource" w:colFirst="1" w:colLast="1"/>
            <w:bookmarkEnd w:id="6"/>
            <w:bookmarkEnd w:id="7"/>
            <w:r w:rsidRPr="00323E4C">
              <w:rPr>
                <w:rFonts w:asciiTheme="majorBidi" w:hAnsiTheme="majorBidi" w:cstheme="majorBidi"/>
                <w:b/>
                <w:bCs/>
                <w:sz w:val="24"/>
                <w:szCs w:val="24"/>
                <w:lang w:eastAsia="ja-JP"/>
              </w:rPr>
              <w:t>Source:</w:t>
            </w:r>
          </w:p>
        </w:tc>
        <w:tc>
          <w:tcPr>
            <w:tcW w:w="8308" w:type="dxa"/>
            <w:gridSpan w:val="2"/>
          </w:tcPr>
          <w:p w14:paraId="4B67EC24" w14:textId="77777777" w:rsidR="009A62AF" w:rsidRPr="00323E4C" w:rsidRDefault="009A62AF" w:rsidP="00EA5CD1">
            <w:pPr>
              <w:spacing w:before="120" w:after="100" w:afterAutospacing="1"/>
              <w:rPr>
                <w:rFonts w:asciiTheme="majorBidi" w:hAnsiTheme="majorBidi" w:cstheme="majorBidi"/>
                <w:sz w:val="24"/>
                <w:szCs w:val="24"/>
              </w:rPr>
            </w:pPr>
            <w:r w:rsidRPr="00323E4C">
              <w:rPr>
                <w:rFonts w:asciiTheme="majorBidi" w:hAnsiTheme="majorBidi" w:cstheme="majorBidi"/>
                <w:sz w:val="24"/>
                <w:szCs w:val="24"/>
              </w:rPr>
              <w:t>TSB</w:t>
            </w:r>
          </w:p>
        </w:tc>
      </w:tr>
      <w:tr w:rsidR="009A62AF" w:rsidRPr="00323E4C" w14:paraId="184FADC5" w14:textId="77777777" w:rsidTr="0037655F">
        <w:trPr>
          <w:cantSplit/>
        </w:trPr>
        <w:tc>
          <w:tcPr>
            <w:tcW w:w="1615" w:type="dxa"/>
            <w:gridSpan w:val="3"/>
          </w:tcPr>
          <w:p w14:paraId="272C62CE" w14:textId="77777777" w:rsidR="009A62AF" w:rsidRPr="00323E4C" w:rsidRDefault="009A62AF" w:rsidP="00EA5CD1">
            <w:pPr>
              <w:spacing w:before="120" w:after="100" w:afterAutospacing="1"/>
              <w:rPr>
                <w:rFonts w:asciiTheme="majorBidi" w:hAnsiTheme="majorBidi" w:cstheme="majorBidi"/>
                <w:sz w:val="24"/>
                <w:szCs w:val="24"/>
                <w:lang w:eastAsia="ja-JP"/>
              </w:rPr>
            </w:pPr>
            <w:bookmarkStart w:id="9" w:name="dtitle1" w:colFirst="1" w:colLast="1"/>
            <w:bookmarkEnd w:id="8"/>
            <w:r w:rsidRPr="00323E4C">
              <w:rPr>
                <w:rFonts w:asciiTheme="majorBidi" w:hAnsiTheme="majorBidi" w:cstheme="majorBidi"/>
                <w:b/>
                <w:bCs/>
                <w:sz w:val="24"/>
                <w:szCs w:val="24"/>
                <w:lang w:eastAsia="ja-JP"/>
              </w:rPr>
              <w:t>Title:</w:t>
            </w:r>
          </w:p>
        </w:tc>
        <w:tc>
          <w:tcPr>
            <w:tcW w:w="8308" w:type="dxa"/>
            <w:gridSpan w:val="2"/>
          </w:tcPr>
          <w:p w14:paraId="6CD73D18" w14:textId="0BCE8CDD" w:rsidR="009A62AF" w:rsidRPr="00323E4C" w:rsidRDefault="00FD7A59" w:rsidP="00A24B9D">
            <w:pPr>
              <w:spacing w:before="120" w:after="100" w:afterAutospacing="1"/>
              <w:rPr>
                <w:rFonts w:asciiTheme="majorBidi" w:hAnsiTheme="majorBidi" w:cstheme="majorBidi"/>
                <w:sz w:val="24"/>
                <w:szCs w:val="24"/>
              </w:rPr>
            </w:pPr>
            <w:r w:rsidRPr="00323E4C">
              <w:rPr>
                <w:rFonts w:asciiTheme="majorBidi" w:hAnsiTheme="majorBidi" w:cstheme="majorBidi"/>
                <w:sz w:val="24"/>
                <w:szCs w:val="24"/>
              </w:rPr>
              <w:t>Update</w:t>
            </w:r>
            <w:r w:rsidR="00990E5C" w:rsidRPr="00323E4C">
              <w:rPr>
                <w:rFonts w:asciiTheme="majorBidi" w:hAnsiTheme="majorBidi" w:cstheme="majorBidi"/>
                <w:sz w:val="24"/>
                <w:szCs w:val="24"/>
              </w:rPr>
              <w:t xml:space="preserve"> on</w:t>
            </w:r>
            <w:r w:rsidRPr="00323E4C">
              <w:rPr>
                <w:rFonts w:asciiTheme="majorBidi" w:hAnsiTheme="majorBidi" w:cstheme="majorBidi"/>
                <w:sz w:val="24"/>
                <w:szCs w:val="24"/>
              </w:rPr>
              <w:t xml:space="preserve"> </w:t>
            </w:r>
            <w:r w:rsidR="00917D91" w:rsidRPr="00323E4C">
              <w:rPr>
                <w:rFonts w:asciiTheme="majorBidi" w:hAnsiTheme="majorBidi" w:cstheme="majorBidi"/>
                <w:sz w:val="24"/>
                <w:szCs w:val="24"/>
              </w:rPr>
              <w:t>Bridging the Standardization Gap activities</w:t>
            </w:r>
          </w:p>
        </w:tc>
      </w:tr>
      <w:tr w:rsidR="009A62AF" w:rsidRPr="00323E4C" w14:paraId="6A1CF272" w14:textId="77777777" w:rsidTr="0037655F">
        <w:trPr>
          <w:cantSplit/>
        </w:trPr>
        <w:tc>
          <w:tcPr>
            <w:tcW w:w="1615" w:type="dxa"/>
            <w:gridSpan w:val="3"/>
            <w:tcBorders>
              <w:bottom w:val="single" w:sz="8" w:space="0" w:color="auto"/>
            </w:tcBorders>
          </w:tcPr>
          <w:p w14:paraId="43CA0F58" w14:textId="77777777" w:rsidR="009A62AF" w:rsidRPr="00323E4C" w:rsidRDefault="009A62AF" w:rsidP="00EA5CD1">
            <w:pPr>
              <w:spacing w:before="120" w:after="100" w:afterAutospacing="1"/>
              <w:rPr>
                <w:rFonts w:asciiTheme="majorBidi" w:hAnsiTheme="majorBidi" w:cstheme="majorBidi"/>
                <w:b/>
                <w:bCs/>
                <w:sz w:val="24"/>
                <w:szCs w:val="24"/>
                <w:lang w:eastAsia="ja-JP"/>
              </w:rPr>
            </w:pPr>
            <w:bookmarkStart w:id="10" w:name="dpurpose" w:colFirst="1" w:colLast="1"/>
            <w:bookmarkEnd w:id="9"/>
            <w:r w:rsidRPr="00323E4C">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39BB8653" w14:textId="77777777" w:rsidR="009A62AF" w:rsidRPr="00323E4C" w:rsidRDefault="009A62AF" w:rsidP="00EA5CD1">
            <w:pPr>
              <w:spacing w:before="120" w:after="100" w:afterAutospacing="1"/>
              <w:rPr>
                <w:rFonts w:asciiTheme="majorBidi" w:hAnsiTheme="majorBidi" w:cstheme="majorBidi"/>
                <w:sz w:val="24"/>
                <w:szCs w:val="24"/>
                <w:lang w:eastAsia="ja-JP"/>
              </w:rPr>
            </w:pPr>
            <w:r w:rsidRPr="00323E4C">
              <w:rPr>
                <w:rFonts w:asciiTheme="majorBidi" w:hAnsiTheme="majorBidi" w:cstheme="majorBidi"/>
                <w:sz w:val="24"/>
                <w:szCs w:val="24"/>
                <w:lang w:eastAsia="ja-JP"/>
              </w:rPr>
              <w:t>Information</w:t>
            </w:r>
          </w:p>
        </w:tc>
      </w:tr>
      <w:bookmarkEnd w:id="2"/>
      <w:bookmarkEnd w:id="10"/>
      <w:tr w:rsidR="009A62AF" w:rsidRPr="00323E4C" w14:paraId="4E0695A1" w14:textId="77777777" w:rsidTr="0037655F">
        <w:trPr>
          <w:cantSplit/>
        </w:trPr>
        <w:tc>
          <w:tcPr>
            <w:tcW w:w="1606" w:type="dxa"/>
            <w:gridSpan w:val="2"/>
            <w:tcBorders>
              <w:top w:val="single" w:sz="8" w:space="0" w:color="auto"/>
              <w:bottom w:val="single" w:sz="8" w:space="0" w:color="auto"/>
            </w:tcBorders>
          </w:tcPr>
          <w:p w14:paraId="738DE683" w14:textId="77777777" w:rsidR="009A62AF" w:rsidRPr="00323E4C" w:rsidRDefault="009A62AF" w:rsidP="00EA5CD1">
            <w:pPr>
              <w:spacing w:before="120" w:after="100" w:afterAutospacing="1"/>
              <w:rPr>
                <w:rFonts w:asciiTheme="majorBidi" w:hAnsiTheme="majorBidi" w:cstheme="majorBidi"/>
                <w:b/>
                <w:bCs/>
                <w:sz w:val="24"/>
                <w:szCs w:val="24"/>
                <w:lang w:eastAsia="ja-JP"/>
              </w:rPr>
            </w:pPr>
            <w:r w:rsidRPr="00323E4C">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25D12D65" w14:textId="77777777" w:rsidR="009A62AF" w:rsidRPr="00323E4C" w:rsidRDefault="009A62AF" w:rsidP="00092B5A">
            <w:pPr>
              <w:spacing w:before="120" w:after="100" w:afterAutospacing="1"/>
              <w:rPr>
                <w:rFonts w:asciiTheme="majorBidi" w:hAnsiTheme="majorBidi" w:cstheme="majorBidi"/>
                <w:sz w:val="24"/>
                <w:szCs w:val="24"/>
              </w:rPr>
            </w:pPr>
            <w:r w:rsidRPr="00323E4C">
              <w:rPr>
                <w:rFonts w:asciiTheme="majorBidi" w:hAnsiTheme="majorBidi" w:cstheme="majorBidi"/>
                <w:sz w:val="24"/>
                <w:szCs w:val="24"/>
              </w:rPr>
              <w:t>Bilel Jamoussi</w:t>
            </w:r>
            <w:r w:rsidRPr="00323E4C">
              <w:rPr>
                <w:rFonts w:asciiTheme="majorBidi" w:hAnsiTheme="majorBidi" w:cstheme="majorBidi"/>
                <w:sz w:val="24"/>
                <w:szCs w:val="24"/>
              </w:rPr>
              <w:br/>
              <w:t>ITU-T S</w:t>
            </w:r>
            <w:r w:rsidR="001470E7" w:rsidRPr="00323E4C">
              <w:rPr>
                <w:rFonts w:asciiTheme="majorBidi" w:hAnsiTheme="majorBidi" w:cstheme="majorBidi"/>
                <w:sz w:val="24"/>
                <w:szCs w:val="24"/>
              </w:rPr>
              <w:t xml:space="preserve">tudy </w:t>
            </w:r>
            <w:r w:rsidRPr="00323E4C">
              <w:rPr>
                <w:rFonts w:asciiTheme="majorBidi" w:hAnsiTheme="majorBidi" w:cstheme="majorBidi"/>
                <w:sz w:val="24"/>
                <w:szCs w:val="24"/>
              </w:rPr>
              <w:t>G</w:t>
            </w:r>
            <w:r w:rsidR="001470E7" w:rsidRPr="00323E4C">
              <w:rPr>
                <w:rFonts w:asciiTheme="majorBidi" w:hAnsiTheme="majorBidi" w:cstheme="majorBidi"/>
                <w:sz w:val="24"/>
                <w:szCs w:val="24"/>
              </w:rPr>
              <w:t>roup</w:t>
            </w:r>
            <w:r w:rsidRPr="00323E4C">
              <w:rPr>
                <w:rFonts w:asciiTheme="majorBidi" w:hAnsiTheme="majorBidi" w:cstheme="majorBidi"/>
                <w:sz w:val="24"/>
                <w:szCs w:val="24"/>
              </w:rPr>
              <w:t xml:space="preserve"> Department</w:t>
            </w:r>
          </w:p>
        </w:tc>
        <w:tc>
          <w:tcPr>
            <w:tcW w:w="4682" w:type="dxa"/>
            <w:tcBorders>
              <w:top w:val="single" w:sz="8" w:space="0" w:color="auto"/>
              <w:bottom w:val="single" w:sz="8" w:space="0" w:color="auto"/>
            </w:tcBorders>
          </w:tcPr>
          <w:p w14:paraId="64C754A1" w14:textId="637C8180" w:rsidR="00523DFB" w:rsidRPr="00323E4C" w:rsidRDefault="009A62AF" w:rsidP="00EA5CD1">
            <w:pPr>
              <w:spacing w:before="120" w:after="100" w:afterAutospacing="1"/>
              <w:rPr>
                <w:rFonts w:asciiTheme="majorBidi" w:hAnsiTheme="majorBidi" w:cstheme="majorBidi"/>
                <w:color w:val="0000FF"/>
                <w:sz w:val="24"/>
                <w:szCs w:val="24"/>
                <w:u w:val="single"/>
                <w:lang w:val="fr-FR"/>
              </w:rPr>
            </w:pPr>
            <w:r w:rsidRPr="00323E4C">
              <w:rPr>
                <w:rFonts w:asciiTheme="majorBidi" w:hAnsiTheme="majorBidi" w:cstheme="majorBidi"/>
                <w:sz w:val="24"/>
                <w:szCs w:val="24"/>
                <w:lang w:val="fr-FR"/>
              </w:rPr>
              <w:t>Tel:</w:t>
            </w:r>
            <w:r w:rsidRPr="00323E4C">
              <w:rPr>
                <w:rFonts w:asciiTheme="majorBidi" w:hAnsiTheme="majorBidi" w:cstheme="majorBidi"/>
                <w:sz w:val="24"/>
                <w:szCs w:val="24"/>
                <w:lang w:val="fr-FR"/>
              </w:rPr>
              <w:tab/>
              <w:t>+41 22 730 6311</w:t>
            </w:r>
            <w:r w:rsidRPr="00323E4C">
              <w:rPr>
                <w:rFonts w:asciiTheme="majorBidi" w:hAnsiTheme="majorBidi" w:cstheme="majorBidi"/>
                <w:sz w:val="24"/>
                <w:szCs w:val="24"/>
                <w:lang w:val="fr-FR"/>
              </w:rPr>
              <w:br/>
              <w:t xml:space="preserve">E-mail: </w:t>
            </w:r>
            <w:hyperlink r:id="rId9" w:history="1">
              <w:r w:rsidRPr="00323E4C">
                <w:rPr>
                  <w:rStyle w:val="Hyperlink"/>
                  <w:rFonts w:asciiTheme="majorBidi" w:hAnsiTheme="majorBidi" w:cstheme="majorBidi"/>
                  <w:sz w:val="24"/>
                  <w:szCs w:val="24"/>
                  <w:lang w:val="fr-FR"/>
                </w:rPr>
                <w:t>Bilel.Jamoussi@itu.int</w:t>
              </w:r>
            </w:hyperlink>
            <w:r w:rsidR="00523DFB" w:rsidRPr="00323E4C">
              <w:rPr>
                <w:rStyle w:val="Hyperlink"/>
                <w:rFonts w:asciiTheme="majorBidi" w:hAnsiTheme="majorBidi" w:cstheme="majorBidi"/>
                <w:sz w:val="24"/>
                <w:szCs w:val="24"/>
                <w:lang w:val="fr-FR"/>
              </w:rPr>
              <w:br/>
            </w:r>
            <w:r w:rsidR="00523DFB" w:rsidRPr="00323E4C">
              <w:rPr>
                <w:rStyle w:val="Hyperlink"/>
                <w:rFonts w:asciiTheme="majorBidi" w:hAnsiTheme="majorBidi" w:cstheme="majorBidi"/>
                <w:sz w:val="24"/>
                <w:szCs w:val="24"/>
                <w:u w:val="none"/>
                <w:lang w:val="fr-FR"/>
              </w:rPr>
              <w:t xml:space="preserve">             </w:t>
            </w:r>
            <w:hyperlink r:id="rId10" w:history="1">
              <w:r w:rsidR="007823B9" w:rsidRPr="00323E4C">
                <w:rPr>
                  <w:rStyle w:val="Hyperlink"/>
                  <w:rFonts w:asciiTheme="majorBidi" w:hAnsiTheme="majorBidi" w:cstheme="majorBidi"/>
                  <w:sz w:val="24"/>
                  <w:szCs w:val="24"/>
                  <w:lang w:val="fr-FR"/>
                </w:rPr>
                <w:t>Bridging@itu.int</w:t>
              </w:r>
            </w:hyperlink>
          </w:p>
        </w:tc>
      </w:tr>
    </w:tbl>
    <w:p w14:paraId="6DA725F7" w14:textId="77777777" w:rsidR="0037655F" w:rsidRPr="00323E4C" w:rsidRDefault="0037655F">
      <w:pPr>
        <w:rPr>
          <w:rFonts w:asciiTheme="majorBidi" w:hAnsiTheme="majorBidi" w:cstheme="majorBidi"/>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323E4C" w14:paraId="525AE108" w14:textId="77777777" w:rsidTr="0037655F">
        <w:trPr>
          <w:cantSplit/>
        </w:trPr>
        <w:tc>
          <w:tcPr>
            <w:tcW w:w="1615" w:type="dxa"/>
          </w:tcPr>
          <w:p w14:paraId="406864D3" w14:textId="77777777" w:rsidR="009A62AF" w:rsidRPr="00323E4C" w:rsidRDefault="009A62AF" w:rsidP="00EA5CD1">
            <w:pPr>
              <w:spacing w:before="120" w:after="100" w:afterAutospacing="1" w:line="240" w:lineRule="auto"/>
              <w:rPr>
                <w:rFonts w:asciiTheme="majorBidi" w:hAnsiTheme="majorBidi" w:cstheme="majorBidi"/>
                <w:b/>
                <w:bCs/>
                <w:sz w:val="24"/>
                <w:szCs w:val="24"/>
                <w:highlight w:val="yellow"/>
              </w:rPr>
            </w:pPr>
            <w:r w:rsidRPr="00323E4C">
              <w:rPr>
                <w:rFonts w:asciiTheme="majorBidi" w:hAnsiTheme="majorBidi" w:cstheme="majorBidi"/>
                <w:b/>
                <w:bCs/>
                <w:sz w:val="24"/>
                <w:szCs w:val="24"/>
              </w:rPr>
              <w:t>Keywords:</w:t>
            </w:r>
          </w:p>
        </w:tc>
        <w:tc>
          <w:tcPr>
            <w:tcW w:w="8308" w:type="dxa"/>
          </w:tcPr>
          <w:p w14:paraId="7FF0C24C" w14:textId="1CB42C52" w:rsidR="009A62AF" w:rsidRPr="00323E4C" w:rsidRDefault="001470E7" w:rsidP="00EA5CD1">
            <w:pPr>
              <w:spacing w:before="120" w:after="100" w:afterAutospacing="1" w:line="240" w:lineRule="auto"/>
              <w:rPr>
                <w:rFonts w:asciiTheme="majorBidi" w:hAnsiTheme="majorBidi" w:cstheme="majorBidi"/>
                <w:sz w:val="24"/>
                <w:szCs w:val="24"/>
              </w:rPr>
            </w:pPr>
            <w:r w:rsidRPr="00323E4C">
              <w:rPr>
                <w:rFonts w:asciiTheme="majorBidi" w:hAnsiTheme="majorBidi" w:cstheme="majorBidi"/>
                <w:sz w:val="24"/>
                <w:szCs w:val="24"/>
              </w:rPr>
              <w:t>Implementation of WTSA-16 Resolution 44 and RESOLUTION 123 (Rev. DUBAI, 2018)</w:t>
            </w:r>
            <w:r w:rsidR="00323E4C">
              <w:rPr>
                <w:rFonts w:asciiTheme="majorBidi" w:hAnsiTheme="majorBidi" w:cstheme="majorBidi"/>
                <w:sz w:val="24"/>
                <w:szCs w:val="24"/>
              </w:rPr>
              <w:t>;</w:t>
            </w:r>
            <w:bookmarkStart w:id="11" w:name="_GoBack"/>
            <w:bookmarkEnd w:id="11"/>
            <w:r w:rsidRPr="00323E4C">
              <w:rPr>
                <w:rFonts w:asciiTheme="majorBidi" w:hAnsiTheme="majorBidi" w:cstheme="majorBidi"/>
                <w:sz w:val="24"/>
                <w:szCs w:val="24"/>
              </w:rPr>
              <w:t xml:space="preserve"> fellowships</w:t>
            </w:r>
            <w:r w:rsidR="0037655F" w:rsidRPr="00323E4C">
              <w:rPr>
                <w:rFonts w:asciiTheme="majorBidi" w:hAnsiTheme="majorBidi" w:cstheme="majorBidi"/>
                <w:sz w:val="24"/>
                <w:szCs w:val="24"/>
              </w:rPr>
              <w:t>;</w:t>
            </w:r>
          </w:p>
        </w:tc>
      </w:tr>
      <w:tr w:rsidR="009A62AF" w:rsidRPr="00323E4C" w14:paraId="315EE2C9" w14:textId="77777777" w:rsidTr="0037655F">
        <w:trPr>
          <w:cantSplit/>
        </w:trPr>
        <w:tc>
          <w:tcPr>
            <w:tcW w:w="1615" w:type="dxa"/>
          </w:tcPr>
          <w:p w14:paraId="0377E0D4" w14:textId="77777777" w:rsidR="009A62AF" w:rsidRPr="00323E4C" w:rsidRDefault="009A62AF" w:rsidP="00EA5CD1">
            <w:pPr>
              <w:spacing w:before="120" w:after="100" w:afterAutospacing="1"/>
              <w:rPr>
                <w:rFonts w:asciiTheme="majorBidi" w:hAnsiTheme="majorBidi" w:cstheme="majorBidi"/>
                <w:b/>
                <w:bCs/>
                <w:sz w:val="24"/>
                <w:szCs w:val="24"/>
                <w:highlight w:val="yellow"/>
              </w:rPr>
            </w:pPr>
            <w:r w:rsidRPr="00323E4C">
              <w:rPr>
                <w:rFonts w:asciiTheme="majorBidi" w:hAnsiTheme="majorBidi" w:cstheme="majorBidi"/>
                <w:b/>
                <w:bCs/>
                <w:sz w:val="24"/>
                <w:szCs w:val="24"/>
              </w:rPr>
              <w:t>Abstract:</w:t>
            </w:r>
          </w:p>
        </w:tc>
        <w:tc>
          <w:tcPr>
            <w:tcW w:w="8308" w:type="dxa"/>
          </w:tcPr>
          <w:p w14:paraId="6C0C5D29" w14:textId="3FEAF78E" w:rsidR="009A62AF" w:rsidRPr="00323E4C" w:rsidRDefault="009A62AF" w:rsidP="00F24FCF">
            <w:pPr>
              <w:spacing w:before="120" w:after="0" w:line="240" w:lineRule="auto"/>
              <w:rPr>
                <w:rFonts w:asciiTheme="majorBidi" w:hAnsiTheme="majorBidi" w:cstheme="majorBidi"/>
                <w:sz w:val="24"/>
                <w:szCs w:val="24"/>
              </w:rPr>
            </w:pPr>
            <w:r w:rsidRPr="00323E4C">
              <w:rPr>
                <w:rFonts w:asciiTheme="majorBidi" w:hAnsiTheme="majorBidi" w:cstheme="majorBidi"/>
                <w:sz w:val="24"/>
                <w:szCs w:val="24"/>
              </w:rPr>
              <w:t xml:space="preserve">This </w:t>
            </w:r>
            <w:r w:rsidR="00990E5C" w:rsidRPr="00323E4C">
              <w:rPr>
                <w:rFonts w:asciiTheme="majorBidi" w:hAnsiTheme="majorBidi" w:cstheme="majorBidi"/>
                <w:sz w:val="24"/>
                <w:szCs w:val="24"/>
              </w:rPr>
              <w:t>TD</w:t>
            </w:r>
            <w:r w:rsidRPr="00323E4C">
              <w:rPr>
                <w:rFonts w:asciiTheme="majorBidi" w:hAnsiTheme="majorBidi" w:cstheme="majorBidi"/>
                <w:sz w:val="24"/>
                <w:szCs w:val="24"/>
              </w:rPr>
              <w:t xml:space="preserve"> </w:t>
            </w:r>
            <w:r w:rsidR="00233F12" w:rsidRPr="00323E4C">
              <w:rPr>
                <w:rFonts w:asciiTheme="majorBidi" w:hAnsiTheme="majorBidi" w:cstheme="majorBidi"/>
                <w:sz w:val="24"/>
                <w:szCs w:val="24"/>
              </w:rPr>
              <w:t xml:space="preserve">underscores </w:t>
            </w:r>
            <w:r w:rsidR="001470E7" w:rsidRPr="00323E4C">
              <w:rPr>
                <w:rFonts w:asciiTheme="majorBidi" w:hAnsiTheme="majorBidi" w:cstheme="majorBidi"/>
                <w:sz w:val="24"/>
                <w:szCs w:val="24"/>
              </w:rPr>
              <w:t>the</w:t>
            </w:r>
            <w:r w:rsidR="00233F12" w:rsidRPr="00323E4C">
              <w:rPr>
                <w:rFonts w:asciiTheme="majorBidi" w:hAnsiTheme="majorBidi" w:cstheme="majorBidi"/>
                <w:sz w:val="24"/>
                <w:szCs w:val="24"/>
              </w:rPr>
              <w:t xml:space="preserve"> main</w:t>
            </w:r>
            <w:r w:rsidR="001470E7" w:rsidRPr="00323E4C">
              <w:rPr>
                <w:rFonts w:asciiTheme="majorBidi" w:hAnsiTheme="majorBidi" w:cstheme="majorBidi"/>
                <w:sz w:val="24"/>
                <w:szCs w:val="24"/>
              </w:rPr>
              <w:t xml:space="preserve"> </w:t>
            </w:r>
            <w:r w:rsidR="00FD7A59" w:rsidRPr="00323E4C">
              <w:rPr>
                <w:rFonts w:asciiTheme="majorBidi" w:hAnsiTheme="majorBidi" w:cstheme="majorBidi"/>
                <w:sz w:val="24"/>
                <w:szCs w:val="24"/>
              </w:rPr>
              <w:t xml:space="preserve">activities carried </w:t>
            </w:r>
            <w:r w:rsidR="00233F12" w:rsidRPr="00323E4C">
              <w:rPr>
                <w:rFonts w:asciiTheme="majorBidi" w:hAnsiTheme="majorBidi" w:cstheme="majorBidi"/>
                <w:sz w:val="24"/>
                <w:szCs w:val="24"/>
              </w:rPr>
              <w:t xml:space="preserve">out </w:t>
            </w:r>
            <w:r w:rsidR="00990E5C" w:rsidRPr="00323E4C">
              <w:rPr>
                <w:rFonts w:asciiTheme="majorBidi" w:hAnsiTheme="majorBidi" w:cstheme="majorBidi"/>
                <w:sz w:val="24"/>
                <w:szCs w:val="24"/>
              </w:rPr>
              <w:t xml:space="preserve">under the purview of the </w:t>
            </w:r>
            <w:r w:rsidR="00233F12" w:rsidRPr="00323E4C">
              <w:rPr>
                <w:rFonts w:asciiTheme="majorBidi" w:hAnsiTheme="majorBidi" w:cstheme="majorBidi"/>
                <w:sz w:val="24"/>
                <w:szCs w:val="24"/>
              </w:rPr>
              <w:t xml:space="preserve">BSG programme </w:t>
            </w:r>
            <w:r w:rsidR="00990E5C" w:rsidRPr="00323E4C">
              <w:rPr>
                <w:rFonts w:asciiTheme="majorBidi" w:hAnsiTheme="majorBidi" w:cstheme="majorBidi"/>
                <w:sz w:val="24"/>
                <w:szCs w:val="24"/>
              </w:rPr>
              <w:t xml:space="preserve">(in </w:t>
            </w:r>
            <w:r w:rsidR="00233F12" w:rsidRPr="00323E4C">
              <w:rPr>
                <w:rFonts w:asciiTheme="majorBidi" w:hAnsiTheme="majorBidi" w:cstheme="majorBidi"/>
                <w:sz w:val="24"/>
                <w:szCs w:val="24"/>
              </w:rPr>
              <w:t xml:space="preserve">line with </w:t>
            </w:r>
            <w:r w:rsidR="00FD7A59" w:rsidRPr="00323E4C">
              <w:rPr>
                <w:rFonts w:asciiTheme="majorBidi" w:hAnsiTheme="majorBidi" w:cstheme="majorBidi"/>
                <w:sz w:val="24"/>
                <w:szCs w:val="24"/>
              </w:rPr>
              <w:t>WTSA-16 Resolution 44</w:t>
            </w:r>
            <w:r w:rsidR="00990E5C" w:rsidRPr="00323E4C">
              <w:rPr>
                <w:rFonts w:asciiTheme="majorBidi" w:hAnsiTheme="majorBidi" w:cstheme="majorBidi"/>
                <w:sz w:val="24"/>
                <w:szCs w:val="24"/>
              </w:rPr>
              <w:t>)</w:t>
            </w:r>
            <w:r w:rsidR="001470E7" w:rsidRPr="00323E4C">
              <w:rPr>
                <w:rFonts w:asciiTheme="majorBidi" w:hAnsiTheme="majorBidi" w:cstheme="majorBidi"/>
                <w:sz w:val="24"/>
                <w:szCs w:val="24"/>
              </w:rPr>
              <w:t>.</w:t>
            </w:r>
            <w:r w:rsidR="00E0771C" w:rsidRPr="00323E4C">
              <w:rPr>
                <w:rFonts w:asciiTheme="majorBidi" w:hAnsiTheme="majorBidi" w:cstheme="majorBidi"/>
                <w:sz w:val="24"/>
                <w:szCs w:val="24"/>
              </w:rPr>
              <w:t xml:space="preserve"> TSAG is invited to consider the </w:t>
            </w:r>
            <w:r w:rsidR="00990E5C" w:rsidRPr="00323E4C">
              <w:rPr>
                <w:rFonts w:asciiTheme="majorBidi" w:hAnsiTheme="majorBidi" w:cstheme="majorBidi"/>
                <w:sz w:val="24"/>
                <w:szCs w:val="24"/>
              </w:rPr>
              <w:t xml:space="preserve">updated </w:t>
            </w:r>
            <w:r w:rsidR="00E0771C" w:rsidRPr="00323E4C">
              <w:rPr>
                <w:rFonts w:asciiTheme="majorBidi" w:hAnsiTheme="majorBidi" w:cstheme="majorBidi"/>
                <w:sz w:val="24"/>
                <w:szCs w:val="24"/>
              </w:rPr>
              <w:t>information</w:t>
            </w:r>
            <w:r w:rsidR="00990E5C" w:rsidRPr="00323E4C">
              <w:rPr>
                <w:rFonts w:asciiTheme="majorBidi" w:hAnsiTheme="majorBidi" w:cstheme="majorBidi"/>
                <w:sz w:val="24"/>
                <w:szCs w:val="24"/>
              </w:rPr>
              <w:t xml:space="preserve"> on BSG</w:t>
            </w:r>
            <w:r w:rsidR="00E0771C" w:rsidRPr="00323E4C">
              <w:rPr>
                <w:rFonts w:asciiTheme="majorBidi" w:hAnsiTheme="majorBidi" w:cstheme="majorBidi"/>
                <w:sz w:val="24"/>
                <w:szCs w:val="24"/>
              </w:rPr>
              <w:t xml:space="preserve"> provided by the TSB Director.</w:t>
            </w:r>
          </w:p>
        </w:tc>
      </w:tr>
    </w:tbl>
    <w:p w14:paraId="36F836C3" w14:textId="77777777" w:rsidR="00233F12" w:rsidRDefault="00233F12" w:rsidP="00565121">
      <w:pPr>
        <w:spacing w:before="240" w:after="0" w:line="240" w:lineRule="auto"/>
        <w:rPr>
          <w:rFonts w:asciiTheme="majorBidi" w:hAnsiTheme="majorBidi" w:cstheme="majorBidi"/>
          <w:sz w:val="24"/>
          <w:szCs w:val="24"/>
        </w:rPr>
      </w:pPr>
    </w:p>
    <w:p w14:paraId="28BA3803" w14:textId="6FFF12D8" w:rsidR="004C7C70" w:rsidRDefault="00B62493" w:rsidP="00565121">
      <w:pPr>
        <w:spacing w:before="240" w:after="0" w:line="240" w:lineRule="auto"/>
        <w:rPr>
          <w:rFonts w:asciiTheme="majorBidi" w:hAnsiTheme="majorBidi" w:cstheme="majorBidi"/>
          <w:sz w:val="24"/>
          <w:szCs w:val="24"/>
        </w:rPr>
      </w:pPr>
      <w:r>
        <w:rPr>
          <w:rFonts w:asciiTheme="majorBidi" w:hAnsiTheme="majorBidi" w:cstheme="majorBidi"/>
          <w:sz w:val="24"/>
          <w:szCs w:val="24"/>
        </w:rPr>
        <w:t>A</w:t>
      </w:r>
      <w:r w:rsidR="007444BF">
        <w:rPr>
          <w:rFonts w:asciiTheme="majorBidi" w:hAnsiTheme="majorBidi" w:cstheme="majorBidi"/>
          <w:sz w:val="24"/>
          <w:szCs w:val="24"/>
        </w:rPr>
        <w:t xml:space="preserve">n integral part of ITU’s mission, </w:t>
      </w:r>
      <w:r>
        <w:rPr>
          <w:rFonts w:asciiTheme="majorBidi" w:hAnsiTheme="majorBidi" w:cstheme="majorBidi"/>
          <w:sz w:val="24"/>
          <w:szCs w:val="24"/>
        </w:rPr>
        <w:t>‘</w:t>
      </w:r>
      <w:r w:rsidR="005A7729" w:rsidRPr="005A7729">
        <w:rPr>
          <w:rFonts w:asciiTheme="majorBidi" w:hAnsiTheme="majorBidi" w:cstheme="majorBidi"/>
          <w:sz w:val="24"/>
          <w:szCs w:val="24"/>
        </w:rPr>
        <w:t>Bridging the Standardization Gap</w:t>
      </w:r>
      <w:r>
        <w:rPr>
          <w:rFonts w:asciiTheme="majorBidi" w:hAnsiTheme="majorBidi" w:cstheme="majorBidi"/>
          <w:sz w:val="24"/>
          <w:szCs w:val="24"/>
        </w:rPr>
        <w:t>’</w:t>
      </w:r>
      <w:r w:rsidR="005A7729" w:rsidRPr="005A7729">
        <w:rPr>
          <w:rFonts w:asciiTheme="majorBidi" w:hAnsiTheme="majorBidi" w:cstheme="majorBidi"/>
          <w:sz w:val="24"/>
          <w:szCs w:val="24"/>
        </w:rPr>
        <w:t xml:space="preserve"> (BSG) </w:t>
      </w:r>
      <w:r w:rsidR="007444BF">
        <w:rPr>
          <w:rFonts w:asciiTheme="majorBidi" w:hAnsiTheme="majorBidi" w:cstheme="majorBidi"/>
          <w:sz w:val="24"/>
          <w:szCs w:val="24"/>
        </w:rPr>
        <w:t xml:space="preserve">aims to </w:t>
      </w:r>
      <w:r w:rsidR="005A7729" w:rsidRPr="005A7729">
        <w:rPr>
          <w:rFonts w:asciiTheme="majorBidi" w:hAnsiTheme="majorBidi" w:cstheme="majorBidi"/>
          <w:sz w:val="24"/>
          <w:szCs w:val="24"/>
        </w:rPr>
        <w:t xml:space="preserve">address the disparities in the ability of developing </w:t>
      </w:r>
      <w:r w:rsidR="00FD4CE2" w:rsidRPr="005A7729">
        <w:rPr>
          <w:rFonts w:asciiTheme="majorBidi" w:hAnsiTheme="majorBidi" w:cstheme="majorBidi"/>
          <w:sz w:val="24"/>
          <w:szCs w:val="24"/>
        </w:rPr>
        <w:t>countries</w:t>
      </w:r>
      <w:r w:rsidR="005A7729" w:rsidRPr="005A7729">
        <w:rPr>
          <w:rFonts w:asciiTheme="majorBidi" w:hAnsiTheme="majorBidi" w:cstheme="majorBidi"/>
          <w:sz w:val="24"/>
          <w:szCs w:val="24"/>
        </w:rPr>
        <w:t xml:space="preserve"> to </w:t>
      </w:r>
      <w:r w:rsidR="005A7729" w:rsidRPr="00B83B40">
        <w:rPr>
          <w:rFonts w:asciiTheme="majorBidi" w:hAnsiTheme="majorBidi" w:cstheme="majorBidi"/>
          <w:i/>
          <w:iCs/>
          <w:sz w:val="24"/>
          <w:szCs w:val="24"/>
        </w:rPr>
        <w:t>access, implement and influence</w:t>
      </w:r>
      <w:r w:rsidR="007444BF">
        <w:rPr>
          <w:rFonts w:asciiTheme="majorBidi" w:hAnsiTheme="majorBidi" w:cstheme="majorBidi"/>
          <w:sz w:val="24"/>
          <w:szCs w:val="24"/>
        </w:rPr>
        <w:t xml:space="preserve"> the development of</w:t>
      </w:r>
      <w:r w:rsidR="005A7729" w:rsidRPr="005A7729">
        <w:rPr>
          <w:rFonts w:asciiTheme="majorBidi" w:hAnsiTheme="majorBidi" w:cstheme="majorBidi"/>
          <w:sz w:val="24"/>
          <w:szCs w:val="24"/>
        </w:rPr>
        <w:t xml:space="preserve"> international standards</w:t>
      </w:r>
      <w:r w:rsidR="007444BF">
        <w:rPr>
          <w:rFonts w:asciiTheme="majorBidi" w:hAnsiTheme="majorBidi" w:cstheme="majorBidi"/>
          <w:sz w:val="24"/>
          <w:szCs w:val="24"/>
        </w:rPr>
        <w:t xml:space="preserve"> at the ITU</w:t>
      </w:r>
      <w:r w:rsidR="005A7729" w:rsidRPr="005A7729">
        <w:rPr>
          <w:rFonts w:asciiTheme="majorBidi" w:hAnsiTheme="majorBidi" w:cstheme="majorBidi"/>
          <w:sz w:val="24"/>
          <w:szCs w:val="24"/>
        </w:rPr>
        <w:t xml:space="preserve">. </w:t>
      </w:r>
      <w:r w:rsidR="007444BF">
        <w:rPr>
          <w:rFonts w:asciiTheme="majorBidi" w:hAnsiTheme="majorBidi" w:cstheme="majorBidi"/>
          <w:sz w:val="24"/>
          <w:szCs w:val="24"/>
        </w:rPr>
        <w:t>Accordingly</w:t>
      </w:r>
      <w:r w:rsidR="005A7729" w:rsidRPr="005A7729">
        <w:rPr>
          <w:rFonts w:asciiTheme="majorBidi" w:hAnsiTheme="majorBidi" w:cstheme="majorBidi"/>
          <w:sz w:val="24"/>
          <w:szCs w:val="24"/>
        </w:rPr>
        <w:t>, the BSG</w:t>
      </w:r>
      <w:r w:rsidR="007444BF">
        <w:rPr>
          <w:rFonts w:asciiTheme="majorBidi" w:hAnsiTheme="majorBidi" w:cstheme="majorBidi"/>
          <w:sz w:val="24"/>
          <w:szCs w:val="24"/>
        </w:rPr>
        <w:t>, through various linked programmes has been foster</w:t>
      </w:r>
      <w:r>
        <w:rPr>
          <w:rFonts w:asciiTheme="majorBidi" w:hAnsiTheme="majorBidi" w:cstheme="majorBidi"/>
          <w:sz w:val="24"/>
          <w:szCs w:val="24"/>
        </w:rPr>
        <w:t>ed</w:t>
      </w:r>
      <w:r w:rsidR="007444BF">
        <w:rPr>
          <w:rFonts w:asciiTheme="majorBidi" w:hAnsiTheme="majorBidi" w:cstheme="majorBidi"/>
          <w:sz w:val="24"/>
          <w:szCs w:val="24"/>
        </w:rPr>
        <w:t xml:space="preserve"> the effective </w:t>
      </w:r>
      <w:r w:rsidR="005A7729" w:rsidRPr="005A7729">
        <w:rPr>
          <w:rFonts w:asciiTheme="majorBidi" w:hAnsiTheme="majorBidi" w:cstheme="majorBidi"/>
          <w:sz w:val="24"/>
          <w:szCs w:val="24"/>
        </w:rPr>
        <w:t>participation of developing countries in ITU</w:t>
      </w:r>
      <w:r w:rsidR="007444BF">
        <w:rPr>
          <w:rFonts w:asciiTheme="majorBidi" w:hAnsiTheme="majorBidi" w:cstheme="majorBidi"/>
          <w:sz w:val="24"/>
          <w:szCs w:val="24"/>
        </w:rPr>
        <w:t>-T</w:t>
      </w:r>
      <w:r w:rsidR="005A7729" w:rsidRPr="005A7729">
        <w:rPr>
          <w:rFonts w:asciiTheme="majorBidi" w:hAnsiTheme="majorBidi" w:cstheme="majorBidi"/>
          <w:sz w:val="24"/>
          <w:szCs w:val="24"/>
        </w:rPr>
        <w:t>'s standards-making process</w:t>
      </w:r>
      <w:r w:rsidR="007444BF">
        <w:rPr>
          <w:rFonts w:asciiTheme="majorBidi" w:hAnsiTheme="majorBidi" w:cstheme="majorBidi"/>
          <w:sz w:val="24"/>
          <w:szCs w:val="24"/>
        </w:rPr>
        <w:t>.</w:t>
      </w:r>
    </w:p>
    <w:p w14:paraId="6E70F56E" w14:textId="552CC88A" w:rsidR="008E3F33" w:rsidRPr="008E3F33" w:rsidRDefault="008E3F33" w:rsidP="008E3F33">
      <w:p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 xml:space="preserve">BSG programme is built around </w:t>
      </w:r>
      <w:r>
        <w:rPr>
          <w:rFonts w:asciiTheme="majorBidi" w:hAnsiTheme="majorBidi" w:cstheme="majorBidi"/>
          <w:sz w:val="24"/>
          <w:szCs w:val="24"/>
        </w:rPr>
        <w:t>five</w:t>
      </w:r>
      <w:r w:rsidRPr="008E3F33">
        <w:rPr>
          <w:rFonts w:asciiTheme="majorBidi" w:hAnsiTheme="majorBidi" w:cstheme="majorBidi"/>
          <w:sz w:val="24"/>
          <w:szCs w:val="24"/>
        </w:rPr>
        <w:t xml:space="preserve"> main pillars: </w:t>
      </w:r>
    </w:p>
    <w:p w14:paraId="6A692671" w14:textId="77777777" w:rsidR="008E3F33"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Awareness: raising awareness through activities such as regional group meetings.</w:t>
      </w:r>
    </w:p>
    <w:p w14:paraId="5C1EAE85" w14:textId="77777777" w:rsidR="008E3F33"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Know-How: developing the right skills and capabilities for international standards-making through training course such as ITU-T A.1 course.</w:t>
      </w:r>
    </w:p>
    <w:p w14:paraId="4CE1610C" w14:textId="77777777" w:rsidR="008E3F33"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Community: building a strong community through ITU Regional Standardization Forums and Regional Group meetings</w:t>
      </w:r>
    </w:p>
    <w:p w14:paraId="161CEE0C" w14:textId="77777777" w:rsidR="008E3F33"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Engagement: through the provision of fellowships to participate in ITU Study Group meetings</w:t>
      </w:r>
    </w:p>
    <w:p w14:paraId="65570312" w14:textId="3AE6BF6D" w:rsidR="008E3F33"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8E3F33">
        <w:rPr>
          <w:rFonts w:asciiTheme="majorBidi" w:hAnsiTheme="majorBidi" w:cstheme="majorBidi"/>
          <w:sz w:val="24"/>
          <w:szCs w:val="24"/>
        </w:rPr>
        <w:t>Partnering: by offering the opportunity</w:t>
      </w:r>
      <w:r w:rsidR="00724611">
        <w:rPr>
          <w:rFonts w:asciiTheme="majorBidi" w:hAnsiTheme="majorBidi" w:cstheme="majorBidi"/>
          <w:sz w:val="24"/>
          <w:szCs w:val="24"/>
        </w:rPr>
        <w:t xml:space="preserve"> to</w:t>
      </w:r>
      <w:r w:rsidRPr="008E3F33">
        <w:rPr>
          <w:rFonts w:asciiTheme="majorBidi" w:hAnsiTheme="majorBidi" w:cstheme="majorBidi"/>
          <w:sz w:val="24"/>
          <w:szCs w:val="24"/>
        </w:rPr>
        <w:t xml:space="preserve"> sponsor trainings on ITU-T Standards and contribute to the BSG fund.</w:t>
      </w:r>
    </w:p>
    <w:p w14:paraId="60226B23" w14:textId="1D32DEC7" w:rsidR="008E3F33" w:rsidRDefault="008E3F33" w:rsidP="008E3F33">
      <w:pPr>
        <w:spacing w:before="240" w:after="0" w:line="240" w:lineRule="auto"/>
        <w:rPr>
          <w:rFonts w:asciiTheme="majorBidi" w:hAnsiTheme="majorBidi" w:cstheme="majorBidi"/>
          <w:sz w:val="24"/>
          <w:szCs w:val="24"/>
        </w:rPr>
      </w:pPr>
    </w:p>
    <w:p w14:paraId="43993B21" w14:textId="77777777" w:rsidR="008E3F33" w:rsidRPr="008E3F33" w:rsidRDefault="008E3F33" w:rsidP="008E3F33">
      <w:pPr>
        <w:spacing w:before="240" w:after="0" w:line="240" w:lineRule="auto"/>
        <w:rPr>
          <w:rFonts w:asciiTheme="majorBidi" w:hAnsiTheme="majorBidi" w:cstheme="majorBidi"/>
          <w:sz w:val="24"/>
          <w:szCs w:val="24"/>
        </w:rPr>
      </w:pPr>
    </w:p>
    <w:p w14:paraId="547AD083" w14:textId="036EBABC" w:rsidR="00E73F47" w:rsidRPr="0055267E" w:rsidRDefault="0055267E" w:rsidP="0055267E">
      <w:pPr>
        <w:pStyle w:val="Heading3"/>
        <w:jc w:val="center"/>
        <w:rPr>
          <w:rFonts w:ascii="Times New Roman" w:hAnsi="Times New Roman" w:cs="Times New Roman"/>
          <w:b/>
          <w:bCs/>
          <w:color w:val="000000" w:themeColor="text1"/>
        </w:rPr>
      </w:pPr>
      <w:bookmarkStart w:id="12" w:name="_Hlk30952873"/>
      <w:r w:rsidRPr="00017DF9">
        <w:rPr>
          <w:rFonts w:ascii="Times New Roman" w:hAnsi="Times New Roman" w:cs="Times New Roman"/>
          <w:b/>
          <w:bCs/>
          <w:color w:val="000000" w:themeColor="text1"/>
        </w:rPr>
        <w:lastRenderedPageBreak/>
        <w:t>Table 1: Relevant Resolutions concerning Bridging the Standardization Gap (BSG)</w:t>
      </w:r>
      <w:bookmarkEnd w:id="12"/>
    </w:p>
    <w:tbl>
      <w:tblPr>
        <w:tblStyle w:val="TableGrid"/>
        <w:tblW w:w="0" w:type="auto"/>
        <w:tblLook w:val="04A0" w:firstRow="1" w:lastRow="0" w:firstColumn="1" w:lastColumn="0" w:noHBand="0" w:noVBand="1"/>
      </w:tblPr>
      <w:tblGrid>
        <w:gridCol w:w="2972"/>
        <w:gridCol w:w="6044"/>
      </w:tblGrid>
      <w:tr w:rsidR="004C7C70" w14:paraId="00590155" w14:textId="77777777" w:rsidTr="00E73F47">
        <w:tc>
          <w:tcPr>
            <w:tcW w:w="9016" w:type="dxa"/>
            <w:gridSpan w:val="2"/>
          </w:tcPr>
          <w:p w14:paraId="68F0FE4F" w14:textId="1E2913DA" w:rsidR="004C7C70" w:rsidRPr="00E73F47" w:rsidRDefault="00E73F47" w:rsidP="00E73F47">
            <w:pPr>
              <w:spacing w:before="240"/>
              <w:jc w:val="center"/>
              <w:rPr>
                <w:rFonts w:asciiTheme="majorBidi" w:hAnsiTheme="majorBidi" w:cstheme="majorBidi"/>
                <w:b/>
                <w:bCs/>
                <w:sz w:val="24"/>
                <w:szCs w:val="24"/>
              </w:rPr>
            </w:pPr>
            <w:r w:rsidRPr="00E73F47">
              <w:rPr>
                <w:rFonts w:asciiTheme="majorBidi" w:hAnsiTheme="majorBidi" w:cstheme="majorBidi"/>
                <w:b/>
                <w:bCs/>
                <w:sz w:val="24"/>
                <w:szCs w:val="24"/>
              </w:rPr>
              <w:t>Relevant Resolutions</w:t>
            </w:r>
          </w:p>
        </w:tc>
      </w:tr>
      <w:tr w:rsidR="004C7C70" w14:paraId="01112F6E" w14:textId="77777777" w:rsidTr="004C7C70">
        <w:tc>
          <w:tcPr>
            <w:tcW w:w="2972" w:type="dxa"/>
          </w:tcPr>
          <w:p w14:paraId="607F7FDF" w14:textId="3DF0D0B4" w:rsidR="004C7C70" w:rsidRDefault="004C7C70" w:rsidP="00565121">
            <w:pPr>
              <w:spacing w:before="240"/>
              <w:rPr>
                <w:rFonts w:asciiTheme="majorBidi" w:hAnsiTheme="majorBidi" w:cstheme="majorBidi"/>
                <w:sz w:val="24"/>
                <w:szCs w:val="24"/>
              </w:rPr>
            </w:pPr>
            <w:r>
              <w:rPr>
                <w:rFonts w:asciiTheme="majorBidi" w:hAnsiTheme="majorBidi" w:cstheme="majorBidi"/>
                <w:sz w:val="24"/>
                <w:szCs w:val="24"/>
              </w:rPr>
              <w:t>Resolution 123 (Rev. Dubai, 2018) of the Plenipotentiary Conference</w:t>
            </w:r>
          </w:p>
        </w:tc>
        <w:tc>
          <w:tcPr>
            <w:tcW w:w="6044" w:type="dxa"/>
          </w:tcPr>
          <w:p w14:paraId="16597604" w14:textId="335CFFF5" w:rsidR="004C7C70" w:rsidRDefault="004C7C70" w:rsidP="004C7C70">
            <w:pPr>
              <w:spacing w:before="240"/>
              <w:rPr>
                <w:rFonts w:asciiTheme="majorBidi" w:hAnsiTheme="majorBidi" w:cstheme="majorBidi"/>
                <w:sz w:val="24"/>
                <w:szCs w:val="24"/>
              </w:rPr>
            </w:pPr>
            <w:r w:rsidRPr="004C7C70">
              <w:rPr>
                <w:rFonts w:asciiTheme="majorBidi" w:hAnsiTheme="majorBidi" w:cstheme="majorBidi"/>
                <w:sz w:val="24"/>
                <w:szCs w:val="24"/>
              </w:rPr>
              <w:t>Bridging the standardization gap between developing</w:t>
            </w:r>
            <w:r>
              <w:rPr>
                <w:rFonts w:asciiTheme="majorBidi" w:hAnsiTheme="majorBidi" w:cstheme="majorBidi"/>
                <w:sz w:val="24"/>
                <w:szCs w:val="24"/>
              </w:rPr>
              <w:t xml:space="preserve"> </w:t>
            </w:r>
            <w:r w:rsidRPr="004C7C70">
              <w:rPr>
                <w:rFonts w:asciiTheme="majorBidi" w:hAnsiTheme="majorBidi" w:cstheme="majorBidi"/>
                <w:sz w:val="24"/>
                <w:szCs w:val="24"/>
              </w:rPr>
              <w:t>and</w:t>
            </w:r>
            <w:r>
              <w:rPr>
                <w:rFonts w:asciiTheme="majorBidi" w:hAnsiTheme="majorBidi" w:cstheme="majorBidi"/>
                <w:sz w:val="24"/>
                <w:szCs w:val="24"/>
              </w:rPr>
              <w:t xml:space="preserve"> </w:t>
            </w:r>
            <w:r w:rsidRPr="004C7C70">
              <w:rPr>
                <w:rFonts w:asciiTheme="majorBidi" w:hAnsiTheme="majorBidi" w:cstheme="majorBidi"/>
                <w:sz w:val="24"/>
                <w:szCs w:val="24"/>
              </w:rPr>
              <w:t>developed countries</w:t>
            </w:r>
          </w:p>
        </w:tc>
      </w:tr>
      <w:tr w:rsidR="004C7C70" w14:paraId="1519D9EB" w14:textId="77777777" w:rsidTr="004C7C70">
        <w:tc>
          <w:tcPr>
            <w:tcW w:w="2972" w:type="dxa"/>
          </w:tcPr>
          <w:p w14:paraId="0B553660" w14:textId="1C9A9A96" w:rsidR="004C7C70" w:rsidRDefault="004C7C70" w:rsidP="00565121">
            <w:pPr>
              <w:spacing w:before="240"/>
              <w:rPr>
                <w:rFonts w:asciiTheme="majorBidi" w:hAnsiTheme="majorBidi" w:cstheme="majorBidi"/>
                <w:sz w:val="24"/>
                <w:szCs w:val="24"/>
              </w:rPr>
            </w:pPr>
            <w:r>
              <w:rPr>
                <w:rFonts w:asciiTheme="majorBidi" w:hAnsiTheme="majorBidi" w:cstheme="majorBidi"/>
                <w:sz w:val="24"/>
                <w:szCs w:val="24"/>
              </w:rPr>
              <w:t>WTSA-16 Resolution 44 (Rev. Hammamet, 2016)</w:t>
            </w:r>
          </w:p>
        </w:tc>
        <w:tc>
          <w:tcPr>
            <w:tcW w:w="6044" w:type="dxa"/>
          </w:tcPr>
          <w:p w14:paraId="5F13C92E" w14:textId="1D959B2A" w:rsidR="004C7C70" w:rsidRDefault="004C7C70" w:rsidP="004C7C70">
            <w:pPr>
              <w:spacing w:before="240"/>
              <w:rPr>
                <w:rFonts w:asciiTheme="majorBidi" w:hAnsiTheme="majorBidi" w:cstheme="majorBidi"/>
                <w:sz w:val="24"/>
                <w:szCs w:val="24"/>
              </w:rPr>
            </w:pPr>
            <w:r w:rsidRPr="004C7C70">
              <w:rPr>
                <w:rFonts w:asciiTheme="majorBidi" w:hAnsiTheme="majorBidi" w:cstheme="majorBidi"/>
                <w:sz w:val="24"/>
                <w:szCs w:val="24"/>
              </w:rPr>
              <w:t>Bridging the standardization gap between developing</w:t>
            </w:r>
            <w:r>
              <w:rPr>
                <w:rFonts w:asciiTheme="majorBidi" w:hAnsiTheme="majorBidi" w:cstheme="majorBidi"/>
                <w:sz w:val="24"/>
                <w:szCs w:val="24"/>
              </w:rPr>
              <w:t xml:space="preserve"> </w:t>
            </w:r>
            <w:r w:rsidRPr="004C7C70">
              <w:rPr>
                <w:rFonts w:asciiTheme="majorBidi" w:hAnsiTheme="majorBidi" w:cstheme="majorBidi"/>
                <w:sz w:val="24"/>
                <w:szCs w:val="24"/>
              </w:rPr>
              <w:t>and developed countries</w:t>
            </w:r>
          </w:p>
        </w:tc>
      </w:tr>
    </w:tbl>
    <w:p w14:paraId="687DFDA4" w14:textId="2B2DC574" w:rsidR="00565121" w:rsidRPr="00F24FCF" w:rsidRDefault="00233F12" w:rsidP="00E73F47">
      <w:pPr>
        <w:spacing w:before="240" w:after="0" w:line="240" w:lineRule="auto"/>
        <w:rPr>
          <w:rFonts w:asciiTheme="majorBidi" w:hAnsiTheme="majorBidi" w:cstheme="majorBidi"/>
          <w:sz w:val="24"/>
          <w:szCs w:val="24"/>
        </w:rPr>
      </w:pPr>
      <w:r>
        <w:rPr>
          <w:rFonts w:asciiTheme="majorBidi" w:hAnsiTheme="majorBidi" w:cstheme="majorBidi"/>
          <w:sz w:val="24"/>
          <w:szCs w:val="24"/>
        </w:rPr>
        <w:t xml:space="preserve">For the implementation of </w:t>
      </w:r>
      <w:r w:rsidRPr="00233F12">
        <w:rPr>
          <w:rFonts w:asciiTheme="majorBidi" w:hAnsiTheme="majorBidi" w:cstheme="majorBidi"/>
          <w:sz w:val="24"/>
          <w:szCs w:val="24"/>
        </w:rPr>
        <w:t>Resolution 123 of the Plenipotentiary Conference</w:t>
      </w:r>
      <w:r w:rsidR="00917D91">
        <w:rPr>
          <w:rFonts w:asciiTheme="majorBidi" w:hAnsiTheme="majorBidi" w:cstheme="majorBidi"/>
          <w:sz w:val="24"/>
          <w:szCs w:val="24"/>
        </w:rPr>
        <w:t>, Annex to WTSA Resolution 44</w:t>
      </w:r>
      <w:r w:rsidR="00917D91" w:rsidRPr="00917D91">
        <w:t xml:space="preserve"> </w:t>
      </w:r>
      <w:r w:rsidR="00917D91" w:rsidRPr="00917D91">
        <w:rPr>
          <w:rFonts w:asciiTheme="majorBidi" w:hAnsiTheme="majorBidi" w:cstheme="majorBidi"/>
          <w:sz w:val="24"/>
          <w:szCs w:val="24"/>
        </w:rPr>
        <w:t>(Rev. Hammamet, 2016)</w:t>
      </w:r>
      <w:r w:rsidR="00917D91">
        <w:rPr>
          <w:rFonts w:asciiTheme="majorBidi" w:hAnsiTheme="majorBidi" w:cstheme="majorBidi"/>
          <w:sz w:val="24"/>
          <w:szCs w:val="24"/>
        </w:rPr>
        <w:t xml:space="preserve">, contains an action plan. This action plan details a list of four </w:t>
      </w:r>
      <w:r w:rsidR="00D61202" w:rsidRPr="00F24FCF">
        <w:rPr>
          <w:rFonts w:asciiTheme="majorBidi" w:hAnsiTheme="majorBidi" w:cstheme="majorBidi"/>
          <w:sz w:val="24"/>
          <w:szCs w:val="24"/>
        </w:rPr>
        <w:t>programmes</w:t>
      </w:r>
      <w:r w:rsidR="00990E5C">
        <w:rPr>
          <w:rFonts w:asciiTheme="majorBidi" w:hAnsiTheme="majorBidi" w:cstheme="majorBidi"/>
          <w:sz w:val="24"/>
          <w:szCs w:val="24"/>
        </w:rPr>
        <w:t xml:space="preserve">. </w:t>
      </w:r>
      <w:r w:rsidR="004C7C70">
        <w:rPr>
          <w:rFonts w:asciiTheme="majorBidi" w:hAnsiTheme="majorBidi" w:cstheme="majorBidi"/>
          <w:sz w:val="24"/>
          <w:szCs w:val="24"/>
        </w:rPr>
        <w:t>In this context, t</w:t>
      </w:r>
      <w:r w:rsidR="00565121" w:rsidRPr="00F24FCF">
        <w:rPr>
          <w:rFonts w:asciiTheme="majorBidi" w:hAnsiTheme="majorBidi" w:cstheme="majorBidi"/>
          <w:sz w:val="24"/>
          <w:szCs w:val="24"/>
        </w:rPr>
        <w:t>his document provides an o</w:t>
      </w:r>
      <w:r w:rsidR="00917D91">
        <w:rPr>
          <w:rFonts w:asciiTheme="majorBidi" w:hAnsiTheme="majorBidi" w:cstheme="majorBidi"/>
          <w:sz w:val="24"/>
          <w:szCs w:val="24"/>
        </w:rPr>
        <w:t>verview</w:t>
      </w:r>
      <w:r w:rsidR="00565121" w:rsidRPr="00F24FCF">
        <w:rPr>
          <w:rFonts w:asciiTheme="majorBidi" w:hAnsiTheme="majorBidi" w:cstheme="majorBidi"/>
          <w:sz w:val="24"/>
          <w:szCs w:val="24"/>
        </w:rPr>
        <w:t xml:space="preserve"> of activities carried out </w:t>
      </w:r>
      <w:r w:rsidR="00C578FC" w:rsidRPr="00F24FCF">
        <w:rPr>
          <w:rFonts w:asciiTheme="majorBidi" w:hAnsiTheme="majorBidi" w:cstheme="majorBidi"/>
          <w:sz w:val="24"/>
          <w:szCs w:val="24"/>
        </w:rPr>
        <w:t xml:space="preserve">by </w:t>
      </w:r>
      <w:r w:rsidR="00565121" w:rsidRPr="00F24FCF">
        <w:rPr>
          <w:rFonts w:asciiTheme="majorBidi" w:hAnsiTheme="majorBidi" w:cstheme="majorBidi"/>
          <w:sz w:val="24"/>
          <w:szCs w:val="24"/>
        </w:rPr>
        <w:t>the Telecommunication Standardization Bureau (TSB) in line with these pr</w:t>
      </w:r>
      <w:r w:rsidR="009E3298" w:rsidRPr="00F24FCF">
        <w:rPr>
          <w:rFonts w:asciiTheme="majorBidi" w:hAnsiTheme="majorBidi" w:cstheme="majorBidi"/>
          <w:sz w:val="24"/>
          <w:szCs w:val="24"/>
        </w:rPr>
        <w:t xml:space="preserve">ogrammes </w:t>
      </w:r>
      <w:r w:rsidR="00917D91">
        <w:rPr>
          <w:rFonts w:asciiTheme="majorBidi" w:hAnsiTheme="majorBidi" w:cstheme="majorBidi"/>
          <w:sz w:val="24"/>
          <w:szCs w:val="24"/>
        </w:rPr>
        <w:t>(since September 2019).</w:t>
      </w:r>
    </w:p>
    <w:p w14:paraId="7EAAFE77" w14:textId="4566F2D3" w:rsidR="00990E5C" w:rsidRPr="00017DF9" w:rsidRDefault="00565121" w:rsidP="00017DF9">
      <w:pPr>
        <w:pStyle w:val="MyHeading"/>
      </w:pPr>
      <w:r w:rsidRPr="00F24FCF">
        <w:t>Programme 1: Strengthening standards-making capabilities</w:t>
      </w:r>
    </w:p>
    <w:p w14:paraId="5F3339A7" w14:textId="4FC429FD" w:rsidR="005A7729" w:rsidRPr="00D22474" w:rsidRDefault="00990E5C" w:rsidP="005D682E">
      <w:pPr>
        <w:pStyle w:val="ListParagraph"/>
        <w:numPr>
          <w:ilvl w:val="0"/>
          <w:numId w:val="33"/>
        </w:numPr>
        <w:ind w:left="360"/>
        <w:rPr>
          <w:rFonts w:asciiTheme="majorBidi" w:hAnsiTheme="majorBidi" w:cstheme="majorBidi"/>
          <w:sz w:val="24"/>
          <w:szCs w:val="24"/>
        </w:rPr>
      </w:pPr>
      <w:r w:rsidRPr="00D22474">
        <w:rPr>
          <w:rFonts w:asciiTheme="majorBidi" w:hAnsiTheme="majorBidi" w:cstheme="majorBidi"/>
          <w:i/>
          <w:sz w:val="24"/>
          <w:szCs w:val="24"/>
        </w:rPr>
        <w:t>Recommendation ITU-T A.1: Working Methods of ITU-T Study Groups 2019</w:t>
      </w:r>
      <w:r w:rsidR="00F82FA7">
        <w:rPr>
          <w:rFonts w:asciiTheme="majorBidi" w:hAnsiTheme="majorBidi" w:cstheme="majorBidi"/>
          <w:i/>
          <w:sz w:val="24"/>
          <w:szCs w:val="24"/>
        </w:rPr>
        <w:t>- Online course</w:t>
      </w:r>
      <w:r w:rsidR="00CA1BAB" w:rsidRPr="00D22474">
        <w:rPr>
          <w:rFonts w:asciiTheme="majorBidi" w:hAnsiTheme="majorBidi" w:cstheme="majorBidi"/>
          <w:i/>
          <w:sz w:val="24"/>
          <w:szCs w:val="24"/>
        </w:rPr>
        <w:t>:</w:t>
      </w:r>
      <w:r w:rsidR="00CA1BAB" w:rsidRPr="00D22474">
        <w:rPr>
          <w:rFonts w:asciiTheme="majorBidi" w:hAnsiTheme="majorBidi" w:cstheme="majorBidi"/>
          <w:sz w:val="24"/>
          <w:szCs w:val="24"/>
        </w:rPr>
        <w:t xml:space="preserve"> </w:t>
      </w:r>
      <w:r w:rsidR="00C65232" w:rsidRPr="00D22474">
        <w:rPr>
          <w:rFonts w:asciiTheme="majorBidi" w:hAnsiTheme="majorBidi" w:cstheme="majorBidi"/>
          <w:sz w:val="24"/>
          <w:szCs w:val="24"/>
        </w:rPr>
        <w:t>In order to equip new delegates from developing countries with the required knowledge and skills to participa</w:t>
      </w:r>
      <w:r w:rsidR="00FD4CE2">
        <w:rPr>
          <w:rFonts w:asciiTheme="majorBidi" w:hAnsiTheme="majorBidi" w:cstheme="majorBidi"/>
          <w:sz w:val="24"/>
          <w:szCs w:val="24"/>
        </w:rPr>
        <w:t>te</w:t>
      </w:r>
      <w:r w:rsidR="00C65232" w:rsidRPr="00D22474">
        <w:rPr>
          <w:rFonts w:asciiTheme="majorBidi" w:hAnsiTheme="majorBidi" w:cstheme="majorBidi"/>
          <w:sz w:val="24"/>
          <w:szCs w:val="24"/>
        </w:rPr>
        <w:t xml:space="preserve"> and contribute effectively to the standards work of ITU-T, </w:t>
      </w:r>
      <w:r w:rsidR="00CA1BAB" w:rsidRPr="00D22474">
        <w:rPr>
          <w:rFonts w:asciiTheme="majorBidi" w:hAnsiTheme="majorBidi" w:cstheme="majorBidi"/>
          <w:sz w:val="24"/>
          <w:szCs w:val="24"/>
        </w:rPr>
        <w:t xml:space="preserve">the </w:t>
      </w:r>
      <w:r w:rsidR="00C65232" w:rsidRPr="00D22474">
        <w:rPr>
          <w:rFonts w:asciiTheme="majorBidi" w:hAnsiTheme="majorBidi" w:cstheme="majorBidi"/>
          <w:sz w:val="24"/>
          <w:szCs w:val="24"/>
        </w:rPr>
        <w:t xml:space="preserve">online </w:t>
      </w:r>
      <w:r w:rsidR="00CA1BAB" w:rsidRPr="00D22474">
        <w:rPr>
          <w:rFonts w:asciiTheme="majorBidi" w:hAnsiTheme="majorBidi" w:cstheme="majorBidi"/>
          <w:sz w:val="24"/>
          <w:szCs w:val="24"/>
        </w:rPr>
        <w:t>training course on “Recommendation ITU-T A.1: Working Methods of ITU-T Study Groups 2019”</w:t>
      </w:r>
      <w:r w:rsidR="00C65232" w:rsidRPr="00D22474">
        <w:rPr>
          <w:rFonts w:asciiTheme="majorBidi" w:hAnsiTheme="majorBidi" w:cstheme="majorBidi"/>
          <w:sz w:val="24"/>
          <w:szCs w:val="24"/>
        </w:rPr>
        <w:t xml:space="preserve"> has been </w:t>
      </w:r>
      <w:r w:rsidR="00FD4CE2">
        <w:rPr>
          <w:rFonts w:asciiTheme="majorBidi" w:hAnsiTheme="majorBidi" w:cstheme="majorBidi"/>
          <w:sz w:val="24"/>
          <w:szCs w:val="24"/>
        </w:rPr>
        <w:t xml:space="preserve">made </w:t>
      </w:r>
      <w:r w:rsidR="00CA1BAB" w:rsidRPr="00D22474">
        <w:rPr>
          <w:rFonts w:asciiTheme="majorBidi" w:hAnsiTheme="majorBidi" w:cstheme="majorBidi"/>
          <w:sz w:val="24"/>
          <w:szCs w:val="24"/>
        </w:rPr>
        <w:t xml:space="preserve">available on the </w:t>
      </w:r>
      <w:hyperlink r:id="rId11" w:history="1">
        <w:r w:rsidR="00CA1BAB" w:rsidRPr="00D22474">
          <w:rPr>
            <w:rStyle w:val="Hyperlink"/>
            <w:rFonts w:asciiTheme="majorBidi" w:hAnsiTheme="majorBidi" w:cstheme="majorBidi"/>
            <w:sz w:val="24"/>
            <w:szCs w:val="24"/>
          </w:rPr>
          <w:t>ITU Academy</w:t>
        </w:r>
      </w:hyperlink>
      <w:r w:rsidR="00CA1BAB" w:rsidRPr="00D22474">
        <w:rPr>
          <w:rFonts w:asciiTheme="majorBidi" w:hAnsiTheme="majorBidi" w:cstheme="majorBidi"/>
          <w:sz w:val="24"/>
          <w:szCs w:val="24"/>
        </w:rPr>
        <w:t xml:space="preserve"> </w:t>
      </w:r>
      <w:r w:rsidR="00761B69" w:rsidRPr="00D22474">
        <w:rPr>
          <w:rFonts w:asciiTheme="majorBidi" w:hAnsiTheme="majorBidi" w:cstheme="majorBidi"/>
          <w:sz w:val="24"/>
          <w:szCs w:val="24"/>
        </w:rPr>
        <w:t>platform</w:t>
      </w:r>
      <w:r w:rsidR="0007085B" w:rsidRPr="00D22474">
        <w:rPr>
          <w:rFonts w:asciiTheme="majorBidi" w:hAnsiTheme="majorBidi" w:cstheme="majorBidi"/>
          <w:sz w:val="24"/>
          <w:szCs w:val="24"/>
        </w:rPr>
        <w:t>, free of charge</w:t>
      </w:r>
      <w:r w:rsidR="00CA1BAB" w:rsidRPr="00D22474">
        <w:rPr>
          <w:rFonts w:asciiTheme="majorBidi" w:hAnsiTheme="majorBidi" w:cstheme="majorBidi"/>
          <w:sz w:val="24"/>
          <w:szCs w:val="24"/>
        </w:rPr>
        <w:t xml:space="preserve">. </w:t>
      </w:r>
      <w:r w:rsidR="00D22474" w:rsidRPr="00D22474">
        <w:rPr>
          <w:rFonts w:asciiTheme="majorBidi" w:hAnsiTheme="majorBidi" w:cstheme="majorBidi"/>
          <w:sz w:val="24"/>
          <w:szCs w:val="24"/>
        </w:rPr>
        <w:t xml:space="preserve">Each module is a self-contained unit, including course content and quizzes. </w:t>
      </w:r>
      <w:r w:rsidR="00FD4CE2">
        <w:rPr>
          <w:rFonts w:asciiTheme="majorBidi" w:hAnsiTheme="majorBidi" w:cstheme="majorBidi"/>
          <w:sz w:val="24"/>
          <w:szCs w:val="24"/>
        </w:rPr>
        <w:t xml:space="preserve">After achieving a score of </w:t>
      </w:r>
      <w:r w:rsidR="00D22474" w:rsidRPr="00D22474">
        <w:rPr>
          <w:rFonts w:asciiTheme="majorBidi" w:hAnsiTheme="majorBidi" w:cstheme="majorBidi"/>
          <w:sz w:val="24"/>
          <w:szCs w:val="24"/>
        </w:rPr>
        <w:t>80%</w:t>
      </w:r>
      <w:r w:rsidR="00FD4CE2">
        <w:rPr>
          <w:rFonts w:asciiTheme="majorBidi" w:hAnsiTheme="majorBidi" w:cstheme="majorBidi"/>
          <w:sz w:val="24"/>
          <w:szCs w:val="24"/>
        </w:rPr>
        <w:t xml:space="preserve"> overall, one</w:t>
      </w:r>
      <w:r w:rsidR="00D22474" w:rsidRPr="00D22474">
        <w:rPr>
          <w:rFonts w:asciiTheme="majorBidi" w:hAnsiTheme="majorBidi" w:cstheme="majorBidi"/>
          <w:sz w:val="24"/>
          <w:szCs w:val="24"/>
        </w:rPr>
        <w:t xml:space="preserve"> can obtain a certificate of achievement.</w:t>
      </w:r>
      <w:r w:rsidR="00A45B45">
        <w:rPr>
          <w:rFonts w:asciiTheme="majorBidi" w:hAnsiTheme="majorBidi" w:cstheme="majorBidi"/>
          <w:sz w:val="24"/>
          <w:szCs w:val="24"/>
        </w:rPr>
        <w:t xml:space="preserve"> </w:t>
      </w:r>
      <w:r w:rsidR="00C65232" w:rsidRPr="00D22474">
        <w:rPr>
          <w:rFonts w:asciiTheme="majorBidi" w:hAnsiTheme="majorBidi" w:cstheme="majorBidi"/>
          <w:sz w:val="24"/>
          <w:szCs w:val="24"/>
        </w:rPr>
        <w:t>The course is supplemented by the BSG hands-on training sessions/workshops which are often collocated with ITU-T Study Group meetings</w:t>
      </w:r>
      <w:r w:rsidR="00FD4CE2">
        <w:rPr>
          <w:rFonts w:asciiTheme="majorBidi" w:hAnsiTheme="majorBidi" w:cstheme="majorBidi"/>
          <w:sz w:val="24"/>
          <w:szCs w:val="24"/>
        </w:rPr>
        <w:t xml:space="preserve"> and SG regional meetings</w:t>
      </w:r>
      <w:r w:rsidR="00C65232" w:rsidRPr="00D22474">
        <w:rPr>
          <w:rFonts w:asciiTheme="majorBidi" w:hAnsiTheme="majorBidi" w:cstheme="majorBidi"/>
          <w:sz w:val="24"/>
          <w:szCs w:val="24"/>
        </w:rPr>
        <w:t xml:space="preserve">. </w:t>
      </w:r>
      <w:r w:rsidR="005A7729" w:rsidRPr="00D22474">
        <w:rPr>
          <w:rFonts w:asciiTheme="majorBidi" w:hAnsiTheme="majorBidi" w:cstheme="majorBidi"/>
          <w:sz w:val="24"/>
          <w:szCs w:val="24"/>
        </w:rPr>
        <w:t>The</w:t>
      </w:r>
      <w:r w:rsidR="00FD4CE2">
        <w:rPr>
          <w:rFonts w:asciiTheme="majorBidi" w:hAnsiTheme="majorBidi" w:cstheme="majorBidi"/>
          <w:sz w:val="24"/>
          <w:szCs w:val="24"/>
        </w:rPr>
        <w:t xml:space="preserve"> online</w:t>
      </w:r>
      <w:r w:rsidR="005A7729" w:rsidRPr="00D22474">
        <w:rPr>
          <w:rFonts w:asciiTheme="majorBidi" w:hAnsiTheme="majorBidi" w:cstheme="majorBidi"/>
          <w:sz w:val="24"/>
          <w:szCs w:val="24"/>
        </w:rPr>
        <w:t xml:space="preserve"> course is comprised of six</w:t>
      </w:r>
      <w:r w:rsidR="00D22474">
        <w:rPr>
          <w:rFonts w:asciiTheme="majorBidi" w:hAnsiTheme="majorBidi" w:cstheme="majorBidi"/>
          <w:sz w:val="24"/>
          <w:szCs w:val="24"/>
        </w:rPr>
        <w:t xml:space="preserve"> core</w:t>
      </w:r>
      <w:r w:rsidR="005A7729" w:rsidRPr="00D22474">
        <w:rPr>
          <w:rFonts w:asciiTheme="majorBidi" w:hAnsiTheme="majorBidi" w:cstheme="majorBidi"/>
          <w:sz w:val="24"/>
          <w:szCs w:val="24"/>
        </w:rPr>
        <w:t xml:space="preserve"> modules</w:t>
      </w:r>
      <w:r w:rsidR="00D22474">
        <w:rPr>
          <w:rFonts w:asciiTheme="majorBidi" w:hAnsiTheme="majorBidi" w:cstheme="majorBidi"/>
          <w:sz w:val="24"/>
          <w:szCs w:val="24"/>
        </w:rPr>
        <w:t xml:space="preserve"> including</w:t>
      </w:r>
      <w:r w:rsidR="005A7729" w:rsidRPr="00D22474">
        <w:rPr>
          <w:rFonts w:asciiTheme="majorBidi" w:hAnsiTheme="majorBidi" w:cstheme="majorBidi"/>
          <w:sz w:val="24"/>
          <w:szCs w:val="24"/>
        </w:rPr>
        <w:t>:</w:t>
      </w:r>
    </w:p>
    <w:p w14:paraId="4B37B68D" w14:textId="115BBACB"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Standardization in ITU-T</w:t>
      </w:r>
    </w:p>
    <w:p w14:paraId="336314DE" w14:textId="0060017F"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Managing the study groups</w:t>
      </w:r>
    </w:p>
    <w:p w14:paraId="7B2453B9" w14:textId="134C5616"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Coordination</w:t>
      </w:r>
    </w:p>
    <w:p w14:paraId="3BACE08F" w14:textId="7E919B1B"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Inputs to the study groups</w:t>
      </w:r>
    </w:p>
    <w:p w14:paraId="722FADA1" w14:textId="7980F999"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Outputs of the study groups</w:t>
      </w:r>
    </w:p>
    <w:p w14:paraId="2A24F7F8" w14:textId="2ED5497E"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Further infrastructure supporting the study group process</w:t>
      </w:r>
    </w:p>
    <w:p w14:paraId="6FA31B78" w14:textId="2E3623A9" w:rsidR="00565121" w:rsidRDefault="00C65232" w:rsidP="005A7729">
      <w:pPr>
        <w:pStyle w:val="ListParagraph"/>
        <w:rPr>
          <w:rFonts w:asciiTheme="majorBidi" w:hAnsiTheme="majorBidi" w:cstheme="majorBidi"/>
          <w:sz w:val="24"/>
          <w:szCs w:val="24"/>
        </w:rPr>
      </w:pPr>
      <w:r w:rsidRPr="005A7729">
        <w:rPr>
          <w:rFonts w:asciiTheme="majorBidi" w:hAnsiTheme="majorBidi" w:cstheme="majorBidi"/>
          <w:sz w:val="24"/>
          <w:szCs w:val="24"/>
        </w:rPr>
        <w:t>T</w:t>
      </w:r>
      <w:r w:rsidR="001D6BDA" w:rsidRPr="005A7729">
        <w:rPr>
          <w:rFonts w:asciiTheme="majorBidi" w:hAnsiTheme="majorBidi" w:cstheme="majorBidi"/>
          <w:sz w:val="24"/>
          <w:szCs w:val="24"/>
        </w:rPr>
        <w:t xml:space="preserve">his course </w:t>
      </w:r>
      <w:r w:rsidR="00F82FA7">
        <w:rPr>
          <w:rFonts w:asciiTheme="majorBidi" w:hAnsiTheme="majorBidi" w:cstheme="majorBidi"/>
          <w:sz w:val="24"/>
          <w:szCs w:val="24"/>
        </w:rPr>
        <w:t xml:space="preserve">has had over </w:t>
      </w:r>
      <w:r w:rsidR="001D6BDA" w:rsidRPr="005A7729">
        <w:rPr>
          <w:rFonts w:asciiTheme="majorBidi" w:hAnsiTheme="majorBidi" w:cstheme="majorBidi"/>
          <w:sz w:val="24"/>
          <w:szCs w:val="24"/>
        </w:rPr>
        <w:t xml:space="preserve">824 </w:t>
      </w:r>
      <w:r w:rsidR="00F82FA7">
        <w:rPr>
          <w:rFonts w:asciiTheme="majorBidi" w:hAnsiTheme="majorBidi" w:cstheme="majorBidi"/>
          <w:sz w:val="24"/>
          <w:szCs w:val="24"/>
        </w:rPr>
        <w:t xml:space="preserve">enrolments </w:t>
      </w:r>
      <w:r w:rsidR="001D6BDA" w:rsidRPr="005A7729">
        <w:rPr>
          <w:rFonts w:asciiTheme="majorBidi" w:hAnsiTheme="majorBidi" w:cstheme="majorBidi"/>
          <w:sz w:val="24"/>
          <w:szCs w:val="24"/>
        </w:rPr>
        <w:t>and has awarded 382 certificates</w:t>
      </w:r>
      <w:r w:rsidR="00FD4CE2">
        <w:rPr>
          <w:rFonts w:asciiTheme="majorBidi" w:hAnsiTheme="majorBidi" w:cstheme="majorBidi"/>
          <w:sz w:val="24"/>
          <w:szCs w:val="24"/>
        </w:rPr>
        <w:t xml:space="preserve"> through the platform</w:t>
      </w:r>
      <w:r w:rsidR="001D6BDA" w:rsidRPr="005A7729">
        <w:rPr>
          <w:rFonts w:asciiTheme="majorBidi" w:hAnsiTheme="majorBidi" w:cstheme="majorBidi"/>
          <w:sz w:val="24"/>
          <w:szCs w:val="24"/>
        </w:rPr>
        <w:t>.</w:t>
      </w:r>
    </w:p>
    <w:p w14:paraId="2B683B55" w14:textId="77777777" w:rsidR="00D22474" w:rsidRPr="005A7729" w:rsidRDefault="00D22474" w:rsidP="005A7729">
      <w:pPr>
        <w:pStyle w:val="ListParagraph"/>
        <w:rPr>
          <w:rFonts w:asciiTheme="majorBidi" w:hAnsiTheme="majorBidi" w:cstheme="majorBidi"/>
          <w:sz w:val="24"/>
          <w:szCs w:val="24"/>
        </w:rPr>
      </w:pPr>
    </w:p>
    <w:p w14:paraId="05A87C4D" w14:textId="4E6875F6" w:rsidR="00D25D39" w:rsidRPr="00E927B7" w:rsidRDefault="00533F4F" w:rsidP="00533F4F">
      <w:pPr>
        <w:pStyle w:val="ListParagraph"/>
        <w:numPr>
          <w:ilvl w:val="0"/>
          <w:numId w:val="33"/>
        </w:numPr>
        <w:rPr>
          <w:rFonts w:ascii="Times New Roman" w:hAnsi="Times New Roman" w:cs="Times New Roman"/>
          <w:sz w:val="24"/>
          <w:szCs w:val="24"/>
        </w:rPr>
      </w:pPr>
      <w:r>
        <w:rPr>
          <w:rFonts w:asciiTheme="majorBidi" w:hAnsiTheme="majorBidi" w:cstheme="majorBidi"/>
          <w:i/>
          <w:sz w:val="24"/>
          <w:szCs w:val="24"/>
        </w:rPr>
        <w:t>Geographical distribution of Study Group meetings</w:t>
      </w:r>
      <w:r w:rsidR="00653CCC">
        <w:rPr>
          <w:rFonts w:asciiTheme="majorBidi" w:hAnsiTheme="majorBidi" w:cstheme="majorBidi"/>
          <w:i/>
          <w:sz w:val="24"/>
          <w:szCs w:val="24"/>
        </w:rPr>
        <w:t xml:space="preserve">, </w:t>
      </w:r>
      <w:r w:rsidR="00AD77E7">
        <w:rPr>
          <w:rFonts w:asciiTheme="majorBidi" w:hAnsiTheme="majorBidi" w:cstheme="majorBidi"/>
          <w:i/>
          <w:sz w:val="24"/>
          <w:szCs w:val="24"/>
        </w:rPr>
        <w:t>regional group meetings</w:t>
      </w:r>
      <w:r w:rsidR="00653CCC">
        <w:rPr>
          <w:rFonts w:asciiTheme="majorBidi" w:hAnsiTheme="majorBidi" w:cstheme="majorBidi"/>
          <w:i/>
          <w:sz w:val="24"/>
          <w:szCs w:val="24"/>
        </w:rPr>
        <w:t xml:space="preserve"> and regional standardization forums</w:t>
      </w:r>
      <w:r>
        <w:rPr>
          <w:rFonts w:asciiTheme="majorBidi" w:hAnsiTheme="majorBidi" w:cstheme="majorBidi"/>
          <w:i/>
          <w:sz w:val="24"/>
          <w:szCs w:val="24"/>
        </w:rPr>
        <w:t>:</w:t>
      </w:r>
      <w:r>
        <w:rPr>
          <w:rFonts w:asciiTheme="majorBidi" w:hAnsiTheme="majorBidi" w:cstheme="majorBidi"/>
          <w:sz w:val="24"/>
          <w:szCs w:val="24"/>
        </w:rPr>
        <w:t xml:space="preserve"> The ITU-T Study Group meetings and regional group meetings are held across the globe in different regions to allow interested stakeholders in the region the opportunity to participate physically in the meetings.</w:t>
      </w:r>
      <w:r w:rsidR="00AD77E7">
        <w:rPr>
          <w:rFonts w:asciiTheme="majorBidi" w:hAnsiTheme="majorBidi" w:cstheme="majorBidi"/>
          <w:sz w:val="24"/>
          <w:szCs w:val="24"/>
        </w:rPr>
        <w:t xml:space="preserve"> Additionally, regional group</w:t>
      </w:r>
      <w:r w:rsidR="00653CCC">
        <w:rPr>
          <w:rFonts w:asciiTheme="majorBidi" w:hAnsiTheme="majorBidi" w:cstheme="majorBidi"/>
          <w:sz w:val="24"/>
          <w:szCs w:val="24"/>
        </w:rPr>
        <w:t>s within ITU-T Study Groups</w:t>
      </w:r>
      <w:r w:rsidR="00AD77E7">
        <w:rPr>
          <w:rFonts w:asciiTheme="majorBidi" w:hAnsiTheme="majorBidi" w:cstheme="majorBidi"/>
          <w:sz w:val="24"/>
          <w:szCs w:val="24"/>
        </w:rPr>
        <w:t xml:space="preserve"> also serve as channels to coordinate and </w:t>
      </w:r>
      <w:r w:rsidR="00653CCC">
        <w:rPr>
          <w:rFonts w:asciiTheme="majorBidi" w:hAnsiTheme="majorBidi" w:cstheme="majorBidi"/>
          <w:sz w:val="24"/>
          <w:szCs w:val="24"/>
        </w:rPr>
        <w:t xml:space="preserve">improve the </w:t>
      </w:r>
      <w:r w:rsidR="00AD77E7">
        <w:rPr>
          <w:rFonts w:asciiTheme="majorBidi" w:hAnsiTheme="majorBidi" w:cstheme="majorBidi"/>
          <w:sz w:val="24"/>
          <w:szCs w:val="24"/>
        </w:rPr>
        <w:t>quality of technical contributions</w:t>
      </w:r>
      <w:r w:rsidR="00653CCC">
        <w:rPr>
          <w:rFonts w:asciiTheme="majorBidi" w:hAnsiTheme="majorBidi" w:cstheme="majorBidi"/>
          <w:sz w:val="24"/>
          <w:szCs w:val="24"/>
        </w:rPr>
        <w:t xml:space="preserve"> from developing countries. Regional standardization forums (RSFs) (often collocated with regional group meetings) </w:t>
      </w:r>
      <w:r w:rsidR="00D25D39">
        <w:rPr>
          <w:rFonts w:asciiTheme="majorBidi" w:hAnsiTheme="majorBidi" w:cstheme="majorBidi"/>
          <w:sz w:val="24"/>
          <w:szCs w:val="24"/>
        </w:rPr>
        <w:t>are</w:t>
      </w:r>
      <w:r w:rsidR="00616838">
        <w:rPr>
          <w:rFonts w:asciiTheme="majorBidi" w:hAnsiTheme="majorBidi" w:cstheme="majorBidi"/>
          <w:sz w:val="24"/>
          <w:szCs w:val="24"/>
        </w:rPr>
        <w:t xml:space="preserve"> also</w:t>
      </w:r>
      <w:r w:rsidR="00D25D39">
        <w:rPr>
          <w:rFonts w:asciiTheme="majorBidi" w:hAnsiTheme="majorBidi" w:cstheme="majorBidi"/>
          <w:sz w:val="24"/>
          <w:szCs w:val="24"/>
        </w:rPr>
        <w:t xml:space="preserve"> utilized </w:t>
      </w:r>
      <w:r w:rsidR="00653CCC">
        <w:rPr>
          <w:rFonts w:asciiTheme="majorBidi" w:hAnsiTheme="majorBidi" w:cstheme="majorBidi"/>
          <w:sz w:val="24"/>
          <w:szCs w:val="24"/>
        </w:rPr>
        <w:t xml:space="preserve">as a platform to deliver tutorials </w:t>
      </w:r>
      <w:r w:rsidR="00D25D39">
        <w:rPr>
          <w:rFonts w:asciiTheme="majorBidi" w:hAnsiTheme="majorBidi" w:cstheme="majorBidi"/>
          <w:sz w:val="24"/>
          <w:szCs w:val="24"/>
        </w:rPr>
        <w:t>related to</w:t>
      </w:r>
      <w:r w:rsidR="00653CCC">
        <w:rPr>
          <w:rFonts w:asciiTheme="majorBidi" w:hAnsiTheme="majorBidi" w:cstheme="majorBidi"/>
          <w:sz w:val="24"/>
          <w:szCs w:val="24"/>
        </w:rPr>
        <w:t xml:space="preserve"> ITU-T working methods and various topics including </w:t>
      </w:r>
      <w:r w:rsidR="00D25D39">
        <w:rPr>
          <w:rFonts w:asciiTheme="majorBidi" w:hAnsiTheme="majorBidi" w:cstheme="majorBidi"/>
          <w:sz w:val="24"/>
          <w:szCs w:val="24"/>
        </w:rPr>
        <w:t xml:space="preserve">(but not limited to) EMF, mobile </w:t>
      </w:r>
      <w:r w:rsidR="00D25D39">
        <w:rPr>
          <w:rFonts w:asciiTheme="majorBidi" w:hAnsiTheme="majorBidi" w:cstheme="majorBidi"/>
          <w:sz w:val="24"/>
          <w:szCs w:val="24"/>
        </w:rPr>
        <w:lastRenderedPageBreak/>
        <w:t xml:space="preserve">financial services, big data etc. Since August 2019, 9 regional group meetings have been </w:t>
      </w:r>
      <w:r w:rsidR="00D25D39" w:rsidRPr="00E927B7">
        <w:rPr>
          <w:rFonts w:ascii="Times New Roman" w:hAnsi="Times New Roman" w:cs="Times New Roman"/>
          <w:sz w:val="24"/>
          <w:szCs w:val="24"/>
        </w:rPr>
        <w:t>held. Two regional standardization forums have been organized:</w:t>
      </w:r>
    </w:p>
    <w:p w14:paraId="010479F6" w14:textId="77D3F045" w:rsidR="00533F4F" w:rsidRPr="00E927B7" w:rsidRDefault="00D25D39" w:rsidP="00D25D39">
      <w:pPr>
        <w:pStyle w:val="ListParagraph"/>
        <w:numPr>
          <w:ilvl w:val="0"/>
          <w:numId w:val="45"/>
        </w:numPr>
        <w:rPr>
          <w:rFonts w:ascii="Times New Roman" w:hAnsi="Times New Roman" w:cs="Times New Roman"/>
          <w:sz w:val="24"/>
          <w:szCs w:val="24"/>
        </w:rPr>
      </w:pPr>
      <w:r w:rsidRPr="003F5BDC">
        <w:rPr>
          <w:rFonts w:ascii="Times New Roman" w:hAnsi="Times New Roman" w:cs="Times New Roman"/>
        </w:rPr>
        <w:t>Colombo, Sri Lanka, 1 October 2019</w:t>
      </w:r>
      <w:r>
        <w:rPr>
          <w:rFonts w:ascii="Times New Roman" w:hAnsi="Times New Roman" w:cs="Times New Roman"/>
        </w:rPr>
        <w:t xml:space="preserve">: </w:t>
      </w:r>
      <w:hyperlink r:id="rId12" w:history="1">
        <w:r w:rsidRPr="00E927B7">
          <w:rPr>
            <w:rFonts w:ascii="Times New Roman" w:hAnsi="Times New Roman" w:cs="Times New Roman"/>
            <w:bCs/>
            <w:color w:val="0000FF"/>
            <w:u w:val="single"/>
          </w:rPr>
          <w:t>ITU Regional Standardization Forum (RSF) on “Addressing Competition Issues in ICT Economy”</w:t>
        </w:r>
      </w:hyperlink>
      <w:r>
        <w:rPr>
          <w:rFonts w:ascii="Times New Roman" w:hAnsi="Times New Roman" w:cs="Times New Roman"/>
        </w:rPr>
        <w:t xml:space="preserve"> </w:t>
      </w:r>
    </w:p>
    <w:p w14:paraId="2E55D418" w14:textId="24F5769B" w:rsidR="00D25D39" w:rsidRPr="00E927B7" w:rsidRDefault="00D25D39" w:rsidP="00E927B7">
      <w:pPr>
        <w:pStyle w:val="ListParagraph"/>
        <w:numPr>
          <w:ilvl w:val="0"/>
          <w:numId w:val="45"/>
        </w:numPr>
        <w:rPr>
          <w:rFonts w:ascii="Times New Roman" w:hAnsi="Times New Roman" w:cs="Times New Roman"/>
          <w:sz w:val="24"/>
          <w:szCs w:val="24"/>
        </w:rPr>
      </w:pPr>
      <w:r w:rsidRPr="00884898">
        <w:rPr>
          <w:rFonts w:ascii="Times New Roman" w:hAnsi="Times New Roman" w:cs="Times New Roman"/>
        </w:rPr>
        <w:t>Dubai, UAE, 22 October 2019</w:t>
      </w:r>
      <w:r>
        <w:rPr>
          <w:rFonts w:ascii="Times New Roman" w:hAnsi="Times New Roman" w:cs="Times New Roman"/>
        </w:rPr>
        <w:t xml:space="preserve">: </w:t>
      </w:r>
      <w:hyperlink r:id="rId13" w:history="1">
        <w:r w:rsidRPr="00E927B7">
          <w:rPr>
            <w:rStyle w:val="Hyperlink"/>
            <w:rFonts w:ascii="Times New Roman" w:hAnsi="Times New Roman" w:cs="Times New Roman"/>
          </w:rPr>
          <w:t>ITU Inter-Regional Standardization Forum on “Operational issues on numbering, emergency service and OTTs”</w:t>
        </w:r>
      </w:hyperlink>
      <w:r w:rsidRPr="00E927B7">
        <w:rPr>
          <w:rFonts w:ascii="Times New Roman" w:hAnsi="Times New Roman" w:cs="Times New Roman"/>
        </w:rPr>
        <w:t xml:space="preserve"> </w:t>
      </w:r>
    </w:p>
    <w:p w14:paraId="49B520B0" w14:textId="77777777" w:rsidR="00533F4F" w:rsidRPr="00533F4F" w:rsidRDefault="00533F4F" w:rsidP="00533F4F">
      <w:pPr>
        <w:pStyle w:val="ListParagraph"/>
        <w:rPr>
          <w:rFonts w:asciiTheme="majorBidi" w:hAnsiTheme="majorBidi" w:cstheme="majorBidi"/>
          <w:sz w:val="24"/>
          <w:szCs w:val="24"/>
        </w:rPr>
      </w:pPr>
    </w:p>
    <w:p w14:paraId="49A4FD7A" w14:textId="76AEF518" w:rsidR="00D22474" w:rsidRPr="00533F4F" w:rsidRDefault="00CA1BAB" w:rsidP="00533F4F">
      <w:pPr>
        <w:pStyle w:val="ListParagraph"/>
        <w:numPr>
          <w:ilvl w:val="0"/>
          <w:numId w:val="33"/>
        </w:numPr>
        <w:rPr>
          <w:rFonts w:asciiTheme="majorBidi" w:hAnsiTheme="majorBidi" w:cstheme="majorBidi"/>
          <w:sz w:val="24"/>
          <w:szCs w:val="24"/>
        </w:rPr>
      </w:pPr>
      <w:r w:rsidRPr="00F24FCF">
        <w:rPr>
          <w:rFonts w:asciiTheme="majorBidi" w:hAnsiTheme="majorBidi" w:cstheme="majorBidi"/>
          <w:i/>
          <w:sz w:val="24"/>
          <w:szCs w:val="24"/>
        </w:rPr>
        <w:t>Remote participation:</w:t>
      </w:r>
      <w:r w:rsidRPr="00F24FCF">
        <w:rPr>
          <w:rFonts w:asciiTheme="majorBidi" w:hAnsiTheme="majorBidi" w:cstheme="majorBidi"/>
          <w:sz w:val="24"/>
          <w:szCs w:val="24"/>
        </w:rPr>
        <w:t xml:space="preserve"> </w:t>
      </w:r>
      <w:r w:rsidR="00D22474">
        <w:rPr>
          <w:rFonts w:asciiTheme="majorBidi" w:hAnsiTheme="majorBidi" w:cstheme="majorBidi"/>
          <w:sz w:val="24"/>
          <w:szCs w:val="24"/>
        </w:rPr>
        <w:t>The I</w:t>
      </w:r>
      <w:r w:rsidRPr="00F24FCF">
        <w:rPr>
          <w:rFonts w:asciiTheme="majorBidi" w:hAnsiTheme="majorBidi" w:cstheme="majorBidi"/>
          <w:sz w:val="24"/>
          <w:szCs w:val="24"/>
        </w:rPr>
        <w:t>TU-T Study Group</w:t>
      </w:r>
      <w:r w:rsidR="00D22474">
        <w:rPr>
          <w:rFonts w:asciiTheme="majorBidi" w:hAnsiTheme="majorBidi" w:cstheme="majorBidi"/>
          <w:sz w:val="24"/>
          <w:szCs w:val="24"/>
        </w:rPr>
        <w:t xml:space="preserve"> meetings</w:t>
      </w:r>
      <w:r w:rsidRPr="00F24FCF">
        <w:rPr>
          <w:rFonts w:asciiTheme="majorBidi" w:hAnsiTheme="majorBidi" w:cstheme="majorBidi"/>
          <w:sz w:val="24"/>
          <w:szCs w:val="24"/>
        </w:rPr>
        <w:t xml:space="preserve"> and Focus Group meeting</w:t>
      </w:r>
      <w:r w:rsidR="004D6FD7">
        <w:rPr>
          <w:rFonts w:asciiTheme="majorBidi" w:hAnsiTheme="majorBidi" w:cstheme="majorBidi"/>
          <w:sz w:val="24"/>
          <w:szCs w:val="24"/>
        </w:rPr>
        <w:t>s</w:t>
      </w:r>
      <w:r w:rsidRPr="00F24FCF">
        <w:rPr>
          <w:rFonts w:asciiTheme="majorBidi" w:hAnsiTheme="majorBidi" w:cstheme="majorBidi"/>
          <w:sz w:val="24"/>
          <w:szCs w:val="24"/>
        </w:rPr>
        <w:t xml:space="preserve"> (including workshops) </w:t>
      </w:r>
      <w:r w:rsidR="00D22474">
        <w:rPr>
          <w:rFonts w:asciiTheme="majorBidi" w:hAnsiTheme="majorBidi" w:cstheme="majorBidi"/>
          <w:sz w:val="24"/>
          <w:szCs w:val="24"/>
        </w:rPr>
        <w:t xml:space="preserve">have integrated the use of </w:t>
      </w:r>
      <w:r w:rsidRPr="00F24FCF">
        <w:rPr>
          <w:rFonts w:asciiTheme="majorBidi" w:hAnsiTheme="majorBidi" w:cstheme="majorBidi"/>
          <w:sz w:val="24"/>
          <w:szCs w:val="24"/>
        </w:rPr>
        <w:t>web</w:t>
      </w:r>
      <w:r w:rsidR="004D6FD7">
        <w:rPr>
          <w:rFonts w:asciiTheme="majorBidi" w:hAnsiTheme="majorBidi" w:cstheme="majorBidi"/>
          <w:sz w:val="24"/>
          <w:szCs w:val="24"/>
        </w:rPr>
        <w:t>-</w:t>
      </w:r>
      <w:r w:rsidRPr="00F24FCF">
        <w:rPr>
          <w:rFonts w:asciiTheme="majorBidi" w:hAnsiTheme="majorBidi" w:cstheme="majorBidi"/>
          <w:sz w:val="24"/>
          <w:szCs w:val="24"/>
        </w:rPr>
        <w:t xml:space="preserve">conferencing tools </w:t>
      </w:r>
      <w:r w:rsidR="00D22474">
        <w:rPr>
          <w:rFonts w:asciiTheme="majorBidi" w:hAnsiTheme="majorBidi" w:cstheme="majorBidi"/>
          <w:sz w:val="24"/>
          <w:szCs w:val="24"/>
        </w:rPr>
        <w:t>(</w:t>
      </w:r>
      <w:r w:rsidRPr="00F24FCF">
        <w:rPr>
          <w:rFonts w:asciiTheme="majorBidi" w:hAnsiTheme="majorBidi" w:cstheme="majorBidi"/>
          <w:sz w:val="24"/>
          <w:szCs w:val="24"/>
        </w:rPr>
        <w:t>including GoToMeetings and Zoom</w:t>
      </w:r>
      <w:r w:rsidR="00D22474">
        <w:rPr>
          <w:rFonts w:asciiTheme="majorBidi" w:hAnsiTheme="majorBidi" w:cstheme="majorBidi"/>
          <w:sz w:val="24"/>
          <w:szCs w:val="24"/>
        </w:rPr>
        <w:t>), which allow for participants to attend the meeting remotely (as required)</w:t>
      </w:r>
      <w:r w:rsidR="00533F4F">
        <w:rPr>
          <w:rFonts w:asciiTheme="majorBidi" w:hAnsiTheme="majorBidi" w:cstheme="majorBidi"/>
          <w:sz w:val="24"/>
          <w:szCs w:val="24"/>
        </w:rPr>
        <w:t>, present contributions and to this end be able to effectively contribute to the standards development process at ITU-T</w:t>
      </w:r>
      <w:r w:rsidR="00D22474">
        <w:rPr>
          <w:rFonts w:asciiTheme="majorBidi" w:hAnsiTheme="majorBidi" w:cstheme="majorBidi"/>
          <w:sz w:val="24"/>
          <w:szCs w:val="24"/>
        </w:rPr>
        <w:t>.</w:t>
      </w:r>
    </w:p>
    <w:p w14:paraId="6F8BE7D1" w14:textId="77777777" w:rsidR="00A45B45" w:rsidRPr="00A45B45" w:rsidRDefault="00A45B45" w:rsidP="00A45B45">
      <w:pPr>
        <w:pStyle w:val="ListParagraph"/>
        <w:rPr>
          <w:rFonts w:asciiTheme="majorBidi" w:hAnsiTheme="majorBidi" w:cstheme="majorBidi"/>
          <w:sz w:val="24"/>
          <w:szCs w:val="24"/>
        </w:rPr>
      </w:pPr>
    </w:p>
    <w:p w14:paraId="0BABE6C5" w14:textId="1FFF00A7" w:rsidR="00533F4F" w:rsidRDefault="00A45B45" w:rsidP="008E5A2A">
      <w:pPr>
        <w:pStyle w:val="ListParagraph"/>
        <w:numPr>
          <w:ilvl w:val="0"/>
          <w:numId w:val="33"/>
        </w:numPr>
        <w:rPr>
          <w:rFonts w:asciiTheme="majorBidi" w:hAnsiTheme="majorBidi" w:cstheme="majorBidi"/>
          <w:sz w:val="24"/>
          <w:szCs w:val="24"/>
        </w:rPr>
      </w:pPr>
      <w:r w:rsidRPr="004D6FD7">
        <w:rPr>
          <w:rFonts w:asciiTheme="majorBidi" w:hAnsiTheme="majorBidi" w:cstheme="majorBidi"/>
          <w:i/>
          <w:iCs/>
          <w:sz w:val="24"/>
          <w:szCs w:val="24"/>
        </w:rPr>
        <w:t>Pilot project for SMEs</w:t>
      </w:r>
      <w:r w:rsidR="00533F4F" w:rsidRPr="004D6FD7">
        <w:rPr>
          <w:rFonts w:asciiTheme="majorBidi" w:hAnsiTheme="majorBidi" w:cstheme="majorBidi"/>
          <w:i/>
          <w:iCs/>
          <w:sz w:val="24"/>
          <w:szCs w:val="24"/>
        </w:rPr>
        <w:t xml:space="preserve"> in ITU-T</w:t>
      </w:r>
      <w:r>
        <w:rPr>
          <w:rFonts w:asciiTheme="majorBidi" w:hAnsiTheme="majorBidi" w:cstheme="majorBidi"/>
          <w:sz w:val="24"/>
          <w:szCs w:val="24"/>
        </w:rPr>
        <w:t xml:space="preserve">: </w:t>
      </w:r>
      <w:r w:rsidR="00533F4F">
        <w:rPr>
          <w:rFonts w:asciiTheme="majorBidi" w:hAnsiTheme="majorBidi" w:cstheme="majorBidi"/>
          <w:sz w:val="24"/>
          <w:szCs w:val="24"/>
        </w:rPr>
        <w:t>Through a new launched pilot project</w:t>
      </w:r>
      <w:r w:rsidR="00223125">
        <w:rPr>
          <w:rStyle w:val="FootnoteReference"/>
          <w:rFonts w:asciiTheme="majorBidi" w:hAnsiTheme="majorBidi" w:cstheme="majorBidi"/>
          <w:sz w:val="24"/>
          <w:szCs w:val="24"/>
        </w:rPr>
        <w:footnoteReference w:id="1"/>
      </w:r>
      <w:r w:rsidR="00533F4F">
        <w:rPr>
          <w:rFonts w:asciiTheme="majorBidi" w:hAnsiTheme="majorBidi" w:cstheme="majorBidi"/>
          <w:sz w:val="24"/>
          <w:szCs w:val="24"/>
        </w:rPr>
        <w:t xml:space="preserve">, </w:t>
      </w:r>
      <w:r w:rsidRPr="00A45B45">
        <w:rPr>
          <w:rFonts w:asciiTheme="majorBidi" w:hAnsiTheme="majorBidi" w:cstheme="majorBidi"/>
          <w:sz w:val="24"/>
          <w:szCs w:val="24"/>
        </w:rPr>
        <w:t xml:space="preserve">SMEs </w:t>
      </w:r>
      <w:r w:rsidR="00533F4F">
        <w:rPr>
          <w:rFonts w:asciiTheme="majorBidi" w:hAnsiTheme="majorBidi" w:cstheme="majorBidi"/>
          <w:sz w:val="24"/>
          <w:szCs w:val="24"/>
        </w:rPr>
        <w:t xml:space="preserve">are allowed to </w:t>
      </w:r>
      <w:r w:rsidRPr="00A45B45">
        <w:rPr>
          <w:rFonts w:asciiTheme="majorBidi" w:hAnsiTheme="majorBidi" w:cstheme="majorBidi"/>
          <w:sz w:val="24"/>
          <w:szCs w:val="24"/>
        </w:rPr>
        <w:t>participate</w:t>
      </w:r>
      <w:r w:rsidR="00533F4F">
        <w:rPr>
          <w:rFonts w:asciiTheme="majorBidi" w:hAnsiTheme="majorBidi" w:cstheme="majorBidi"/>
          <w:sz w:val="24"/>
          <w:szCs w:val="24"/>
        </w:rPr>
        <w:t xml:space="preserve"> in certain designated</w:t>
      </w:r>
      <w:r w:rsidRPr="00A45B45">
        <w:rPr>
          <w:rFonts w:asciiTheme="majorBidi" w:hAnsiTheme="majorBidi" w:cstheme="majorBidi"/>
          <w:sz w:val="24"/>
          <w:szCs w:val="24"/>
        </w:rPr>
        <w:t xml:space="preserve"> </w:t>
      </w:r>
      <w:r w:rsidR="00533F4F">
        <w:rPr>
          <w:rFonts w:asciiTheme="majorBidi" w:hAnsiTheme="majorBidi" w:cstheme="majorBidi"/>
          <w:sz w:val="24"/>
          <w:szCs w:val="24"/>
        </w:rPr>
        <w:t xml:space="preserve">ITU-T </w:t>
      </w:r>
      <w:r w:rsidRPr="00A45B45">
        <w:rPr>
          <w:rFonts w:asciiTheme="majorBidi" w:hAnsiTheme="majorBidi" w:cstheme="majorBidi"/>
          <w:sz w:val="24"/>
          <w:szCs w:val="24"/>
        </w:rPr>
        <w:t>Study Groups</w:t>
      </w:r>
      <w:r w:rsidR="00223125">
        <w:rPr>
          <w:rFonts w:asciiTheme="majorBidi" w:hAnsiTheme="majorBidi" w:cstheme="majorBidi"/>
          <w:sz w:val="24"/>
          <w:szCs w:val="24"/>
        </w:rPr>
        <w:t>. This</w:t>
      </w:r>
      <w:r w:rsidR="00533F4F">
        <w:rPr>
          <w:rFonts w:asciiTheme="majorBidi" w:hAnsiTheme="majorBidi" w:cstheme="majorBidi"/>
          <w:sz w:val="24"/>
          <w:szCs w:val="24"/>
        </w:rPr>
        <w:t xml:space="preserve"> provide them with the</w:t>
      </w:r>
      <w:r w:rsidR="00223125">
        <w:rPr>
          <w:rFonts w:asciiTheme="majorBidi" w:hAnsiTheme="majorBidi" w:cstheme="majorBidi"/>
          <w:sz w:val="24"/>
          <w:szCs w:val="24"/>
        </w:rPr>
        <w:t xml:space="preserve"> unique</w:t>
      </w:r>
      <w:r w:rsidR="00533F4F">
        <w:rPr>
          <w:rFonts w:asciiTheme="majorBidi" w:hAnsiTheme="majorBidi" w:cstheme="majorBidi"/>
          <w:sz w:val="24"/>
          <w:szCs w:val="24"/>
        </w:rPr>
        <w:t xml:space="preserve"> opportunity to understand the standardization process at ITU-T. The ITU-T Study Groups which are a part of this pilot project include:</w:t>
      </w:r>
    </w:p>
    <w:p w14:paraId="5CC0D2CE" w14:textId="77777777" w:rsidR="00533F4F" w:rsidRPr="00533F4F" w:rsidRDefault="00533F4F" w:rsidP="00533F4F">
      <w:pPr>
        <w:pStyle w:val="ListParagraph"/>
        <w:rPr>
          <w:rFonts w:asciiTheme="majorBidi" w:hAnsiTheme="majorBidi" w:cstheme="majorBidi"/>
          <w:sz w:val="24"/>
          <w:szCs w:val="24"/>
        </w:rPr>
      </w:pPr>
    </w:p>
    <w:p w14:paraId="1C7724C4" w14:textId="3149BCDE"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5</w:t>
      </w:r>
      <w:r>
        <w:rPr>
          <w:rFonts w:asciiTheme="majorBidi" w:hAnsiTheme="majorBidi" w:cstheme="majorBidi"/>
          <w:sz w:val="24"/>
          <w:szCs w:val="24"/>
        </w:rPr>
        <w:t xml:space="preserve">: </w:t>
      </w:r>
      <w:r w:rsidR="00A45B45" w:rsidRPr="00A45B45">
        <w:rPr>
          <w:rFonts w:asciiTheme="majorBidi" w:hAnsiTheme="majorBidi" w:cstheme="majorBidi"/>
          <w:sz w:val="24"/>
          <w:szCs w:val="24"/>
        </w:rPr>
        <w:t>Environment</w:t>
      </w:r>
      <w:r>
        <w:rPr>
          <w:rFonts w:asciiTheme="majorBidi" w:hAnsiTheme="majorBidi" w:cstheme="majorBidi"/>
          <w:sz w:val="24"/>
          <w:szCs w:val="24"/>
        </w:rPr>
        <w:t xml:space="preserve"> climate change </w:t>
      </w:r>
      <w:r w:rsidR="00A45B45" w:rsidRPr="00A45B45">
        <w:rPr>
          <w:rFonts w:asciiTheme="majorBidi" w:hAnsiTheme="majorBidi" w:cstheme="majorBidi"/>
          <w:sz w:val="24"/>
          <w:szCs w:val="24"/>
        </w:rPr>
        <w:t xml:space="preserve">and circular economy </w:t>
      </w:r>
    </w:p>
    <w:p w14:paraId="2B260936" w14:textId="690985E9"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11</w:t>
      </w:r>
      <w:r>
        <w:rPr>
          <w:rFonts w:asciiTheme="majorBidi" w:hAnsiTheme="majorBidi" w:cstheme="majorBidi"/>
          <w:sz w:val="24"/>
          <w:szCs w:val="24"/>
        </w:rPr>
        <w:t xml:space="preserve">: </w:t>
      </w:r>
      <w:r w:rsidR="00A45B45" w:rsidRPr="00A45B45">
        <w:rPr>
          <w:rFonts w:asciiTheme="majorBidi" w:hAnsiTheme="majorBidi" w:cstheme="majorBidi"/>
          <w:sz w:val="24"/>
          <w:szCs w:val="24"/>
        </w:rPr>
        <w:t>Signalling requirements, protocols and test specifications</w:t>
      </w:r>
    </w:p>
    <w:p w14:paraId="1E645F19" w14:textId="7B17927C"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16</w:t>
      </w:r>
      <w:r>
        <w:rPr>
          <w:rFonts w:asciiTheme="majorBidi" w:hAnsiTheme="majorBidi" w:cstheme="majorBidi"/>
          <w:sz w:val="24"/>
          <w:szCs w:val="24"/>
        </w:rPr>
        <w:t xml:space="preserve">: </w:t>
      </w:r>
      <w:r w:rsidR="00A45B45" w:rsidRPr="00A45B45">
        <w:rPr>
          <w:rFonts w:asciiTheme="majorBidi" w:hAnsiTheme="majorBidi" w:cstheme="majorBidi"/>
          <w:sz w:val="24"/>
          <w:szCs w:val="24"/>
        </w:rPr>
        <w:t xml:space="preserve"> Multimedia </w:t>
      </w:r>
    </w:p>
    <w:p w14:paraId="79593D27" w14:textId="3011E4AF" w:rsidR="00A45B45"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20</w:t>
      </w:r>
      <w:r>
        <w:rPr>
          <w:rFonts w:asciiTheme="majorBidi" w:hAnsiTheme="majorBidi" w:cstheme="majorBidi"/>
          <w:sz w:val="24"/>
          <w:szCs w:val="24"/>
        </w:rPr>
        <w:t xml:space="preserve">: </w:t>
      </w:r>
      <w:r w:rsidR="00A45B45" w:rsidRPr="00A45B45">
        <w:rPr>
          <w:rFonts w:asciiTheme="majorBidi" w:hAnsiTheme="majorBidi" w:cstheme="majorBidi"/>
          <w:sz w:val="24"/>
          <w:szCs w:val="24"/>
        </w:rPr>
        <w:t>IoT, smart cities &amp; communities</w:t>
      </w:r>
    </w:p>
    <w:p w14:paraId="397EC9F8" w14:textId="3B025313" w:rsidR="00F1624A" w:rsidRPr="00DF0B1A" w:rsidRDefault="00DF0B1A" w:rsidP="00223125">
      <w:pPr>
        <w:pStyle w:val="MyHeading"/>
        <w:jc w:val="center"/>
      </w:pPr>
      <w:bookmarkStart w:id="13" w:name="_Hlk30965000"/>
      <w:r>
        <w:t>Figure</w:t>
      </w:r>
      <w:r w:rsidRPr="00F1624A">
        <w:t xml:space="preserve"> 1:</w:t>
      </w:r>
      <w:r>
        <w:t xml:space="preserve"> Geographical distribution of SMEs participating in the pilot project</w:t>
      </w:r>
    </w:p>
    <w:bookmarkEnd w:id="13"/>
    <w:p w14:paraId="002916EC" w14:textId="27B36A47" w:rsidR="00533F4F" w:rsidRPr="00533F4F" w:rsidRDefault="00F1624A" w:rsidP="00223125">
      <w:pPr>
        <w:jc w:val="center"/>
        <w:rPr>
          <w:rFonts w:asciiTheme="majorBidi" w:hAnsiTheme="majorBidi" w:cstheme="majorBidi"/>
          <w:sz w:val="24"/>
          <w:szCs w:val="24"/>
        </w:rPr>
      </w:pPr>
      <w:r>
        <w:rPr>
          <w:noProof/>
        </w:rPr>
        <w:drawing>
          <wp:inline distT="0" distB="0" distL="0" distR="0" wp14:anchorId="2900EE7A" wp14:editId="5A43D13F">
            <wp:extent cx="4572000" cy="2743200"/>
            <wp:effectExtent l="0" t="0" r="0" b="0"/>
            <wp:docPr id="1" name="Chart 1">
              <a:extLst xmlns:a="http://schemas.openxmlformats.org/drawingml/2006/main">
                <a:ext uri="{FF2B5EF4-FFF2-40B4-BE49-F238E27FC236}">
                  <a16:creationId xmlns:a16="http://schemas.microsoft.com/office/drawing/2014/main" id="{EB6776E6-4AF0-4B69-886A-CAA449945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B3887" w14:textId="77777777" w:rsidR="00DF0B1A" w:rsidRDefault="00DF0B1A" w:rsidP="008E5A2A">
      <w:pPr>
        <w:pStyle w:val="MyHeading"/>
      </w:pPr>
    </w:p>
    <w:p w14:paraId="254C415E" w14:textId="6339CB5A" w:rsidR="008E5A2A" w:rsidRPr="00F24FCF" w:rsidRDefault="008E5A2A" w:rsidP="008E5A2A">
      <w:pPr>
        <w:pStyle w:val="MyHeading"/>
      </w:pPr>
      <w:r w:rsidRPr="00F24FCF">
        <w:lastRenderedPageBreak/>
        <w:t>Programme 2: Assisting developing countries with respect to the application of standards</w:t>
      </w:r>
    </w:p>
    <w:p w14:paraId="79746D11" w14:textId="00211D93" w:rsidR="00593483" w:rsidRPr="00F24FCF" w:rsidRDefault="0055267E" w:rsidP="004049C3">
      <w:pPr>
        <w:pStyle w:val="ListParagraph"/>
        <w:numPr>
          <w:ilvl w:val="0"/>
          <w:numId w:val="34"/>
        </w:numPr>
        <w:rPr>
          <w:rFonts w:asciiTheme="majorBidi" w:hAnsiTheme="majorBidi" w:cstheme="majorBidi"/>
          <w:sz w:val="24"/>
          <w:szCs w:val="24"/>
        </w:rPr>
      </w:pPr>
      <w:r>
        <w:rPr>
          <w:rFonts w:asciiTheme="majorBidi" w:hAnsiTheme="majorBidi" w:cstheme="majorBidi"/>
          <w:i/>
          <w:sz w:val="24"/>
          <w:szCs w:val="24"/>
        </w:rPr>
        <w:t>Creation of National Standardization Secretariat (</w:t>
      </w:r>
      <w:r w:rsidR="00D61202" w:rsidRPr="00F24FCF">
        <w:rPr>
          <w:rFonts w:asciiTheme="majorBidi" w:hAnsiTheme="majorBidi" w:cstheme="majorBidi"/>
          <w:i/>
          <w:sz w:val="24"/>
          <w:szCs w:val="24"/>
        </w:rPr>
        <w:t>NSS</w:t>
      </w:r>
      <w:r>
        <w:rPr>
          <w:rFonts w:asciiTheme="majorBidi" w:hAnsiTheme="majorBidi" w:cstheme="majorBidi"/>
          <w:i/>
          <w:sz w:val="24"/>
          <w:szCs w:val="24"/>
        </w:rPr>
        <w:t>)</w:t>
      </w:r>
      <w:r w:rsidR="00D61202" w:rsidRPr="00F24FCF">
        <w:rPr>
          <w:rFonts w:asciiTheme="majorBidi" w:hAnsiTheme="majorBidi" w:cstheme="majorBidi"/>
          <w:i/>
          <w:sz w:val="24"/>
          <w:szCs w:val="24"/>
        </w:rPr>
        <w:t>:</w:t>
      </w:r>
      <w:r w:rsidR="00D61202" w:rsidRPr="00F24FCF">
        <w:t xml:space="preserve"> </w:t>
      </w:r>
      <w:r w:rsidR="00523DFB">
        <w:rPr>
          <w:rFonts w:ascii="Times New Roman" w:hAnsi="Times New Roman" w:cs="Times New Roman"/>
        </w:rPr>
        <w:t xml:space="preserve">To drive the </w:t>
      </w:r>
      <w:r w:rsidR="00523DFB" w:rsidRPr="00523DFB">
        <w:rPr>
          <w:rFonts w:ascii="Times New Roman" w:hAnsi="Times New Roman" w:cs="Times New Roman"/>
        </w:rPr>
        <w:t xml:space="preserve">coordination and actions </w:t>
      </w:r>
      <w:r w:rsidR="00523DFB">
        <w:rPr>
          <w:rFonts w:ascii="Times New Roman" w:hAnsi="Times New Roman" w:cs="Times New Roman"/>
        </w:rPr>
        <w:t xml:space="preserve">related to ICT standardization, developing countries are encouraged to establish a </w:t>
      </w:r>
      <w:r w:rsidR="00523DFB" w:rsidRPr="00523DFB">
        <w:rPr>
          <w:rFonts w:ascii="Times New Roman" w:hAnsi="Times New Roman" w:cs="Times New Roman"/>
        </w:rPr>
        <w:t>national-level standardization secretariat</w:t>
      </w:r>
      <w:r w:rsidR="00523DFB">
        <w:rPr>
          <w:rFonts w:ascii="Times New Roman" w:hAnsi="Times New Roman" w:cs="Times New Roman"/>
        </w:rPr>
        <w:t xml:space="preserve"> (NSS), which can help boost</w:t>
      </w:r>
      <w:r w:rsidR="00523DFB" w:rsidRPr="00523DFB">
        <w:rPr>
          <w:rFonts w:ascii="Times New Roman" w:hAnsi="Times New Roman" w:cs="Times New Roman"/>
          <w:sz w:val="24"/>
          <w:szCs w:val="24"/>
        </w:rPr>
        <w:t xml:space="preserve"> participation in ITU-T</w:t>
      </w:r>
      <w:r w:rsidR="00523DFB">
        <w:rPr>
          <w:rFonts w:ascii="Times New Roman" w:hAnsi="Times New Roman" w:cs="Times New Roman"/>
          <w:sz w:val="24"/>
          <w:szCs w:val="24"/>
        </w:rPr>
        <w:t xml:space="preserve"> Study Groups</w:t>
      </w:r>
      <w:r w:rsidR="00523DFB" w:rsidRPr="00523DFB">
        <w:rPr>
          <w:rFonts w:ascii="Times New Roman" w:hAnsi="Times New Roman" w:cs="Times New Roman"/>
          <w:sz w:val="24"/>
          <w:szCs w:val="24"/>
        </w:rPr>
        <w:t xml:space="preserve">. </w:t>
      </w:r>
      <w:r w:rsidR="008E5A2A" w:rsidRPr="00F24FCF">
        <w:rPr>
          <w:rFonts w:asciiTheme="majorBidi" w:hAnsiTheme="majorBidi" w:cstheme="majorBidi"/>
          <w:sz w:val="24"/>
          <w:szCs w:val="24"/>
        </w:rPr>
        <w:t xml:space="preserve">The steps for establishing an NSS </w:t>
      </w:r>
      <w:r w:rsidR="00C578FC" w:rsidRPr="00F24FCF">
        <w:rPr>
          <w:rFonts w:asciiTheme="majorBidi" w:hAnsiTheme="majorBidi" w:cstheme="majorBidi"/>
          <w:sz w:val="24"/>
          <w:szCs w:val="24"/>
        </w:rPr>
        <w:t>are</w:t>
      </w:r>
      <w:r w:rsidR="008E5A2A" w:rsidRPr="00F24FCF">
        <w:rPr>
          <w:rFonts w:asciiTheme="majorBidi" w:hAnsiTheme="majorBidi" w:cstheme="majorBidi"/>
          <w:sz w:val="24"/>
          <w:szCs w:val="24"/>
        </w:rPr>
        <w:t xml:space="preserve"> </w:t>
      </w:r>
      <w:r w:rsidR="00523DFB">
        <w:rPr>
          <w:rFonts w:asciiTheme="majorBidi" w:hAnsiTheme="majorBidi" w:cstheme="majorBidi"/>
          <w:sz w:val="24"/>
          <w:szCs w:val="24"/>
        </w:rPr>
        <w:t>elaborated in its guideline document</w:t>
      </w:r>
      <w:r>
        <w:rPr>
          <w:rFonts w:asciiTheme="majorBidi" w:hAnsiTheme="majorBidi" w:cstheme="majorBidi"/>
          <w:sz w:val="24"/>
          <w:szCs w:val="24"/>
        </w:rPr>
        <w:t xml:space="preserve"> </w:t>
      </w:r>
      <w:r w:rsidR="008E5A2A" w:rsidRPr="00F24FCF">
        <w:rPr>
          <w:rFonts w:asciiTheme="majorBidi" w:hAnsiTheme="majorBidi" w:cstheme="majorBidi"/>
          <w:sz w:val="24"/>
          <w:szCs w:val="24"/>
        </w:rPr>
        <w:t>“</w:t>
      </w:r>
      <w:hyperlink r:id="rId15" w:history="1">
        <w:r w:rsidR="008E5A2A" w:rsidRPr="00F24FCF">
          <w:rPr>
            <w:rStyle w:val="Hyperlink"/>
            <w:rFonts w:asciiTheme="majorBidi" w:hAnsiTheme="majorBidi" w:cstheme="majorBidi"/>
            <w:sz w:val="24"/>
            <w:szCs w:val="24"/>
          </w:rPr>
          <w:t>Towards the Establishment of a National Standardization Secretariat for ITU-T: Options and Guidelines</w:t>
        </w:r>
      </w:hyperlink>
      <w:r w:rsidR="008E5A2A" w:rsidRPr="00F24FCF">
        <w:rPr>
          <w:rFonts w:asciiTheme="majorBidi" w:hAnsiTheme="majorBidi" w:cstheme="majorBidi"/>
          <w:sz w:val="24"/>
          <w:szCs w:val="24"/>
        </w:rPr>
        <w:t>”</w:t>
      </w:r>
      <w:r w:rsidR="00146DA5" w:rsidRPr="00F24FCF">
        <w:rPr>
          <w:rFonts w:asciiTheme="majorBidi" w:hAnsiTheme="majorBidi" w:cstheme="majorBidi"/>
          <w:sz w:val="24"/>
          <w:szCs w:val="24"/>
        </w:rPr>
        <w:t xml:space="preserve"> (201</w:t>
      </w:r>
      <w:r w:rsidR="004049C3" w:rsidRPr="00F24FCF">
        <w:rPr>
          <w:rFonts w:asciiTheme="majorBidi" w:hAnsiTheme="majorBidi" w:cstheme="majorBidi"/>
          <w:sz w:val="24"/>
          <w:szCs w:val="24"/>
        </w:rPr>
        <w:t>9</w:t>
      </w:r>
      <w:r w:rsidR="00523DFB">
        <w:rPr>
          <w:rFonts w:asciiTheme="majorBidi" w:hAnsiTheme="majorBidi" w:cstheme="majorBidi"/>
          <w:sz w:val="24"/>
          <w:szCs w:val="24"/>
        </w:rPr>
        <w:t>)</w:t>
      </w:r>
      <w:r w:rsidR="008E5A2A" w:rsidRPr="00F24FCF">
        <w:rPr>
          <w:rFonts w:asciiTheme="majorBidi" w:hAnsiTheme="majorBidi" w:cstheme="majorBidi"/>
          <w:sz w:val="24"/>
          <w:szCs w:val="24"/>
        </w:rPr>
        <w:t>.</w:t>
      </w:r>
      <w:r w:rsidR="00223125">
        <w:rPr>
          <w:rFonts w:asciiTheme="majorBidi" w:hAnsiTheme="majorBidi" w:cstheme="majorBidi"/>
          <w:sz w:val="24"/>
          <w:szCs w:val="24"/>
        </w:rPr>
        <w:t xml:space="preserve"> </w:t>
      </w:r>
      <w:r w:rsidR="00523DFB">
        <w:rPr>
          <w:rFonts w:asciiTheme="majorBidi" w:hAnsiTheme="majorBidi" w:cstheme="majorBidi"/>
          <w:sz w:val="24"/>
          <w:szCs w:val="24"/>
        </w:rPr>
        <w:t xml:space="preserve">As </w:t>
      </w:r>
      <w:r w:rsidR="00D04F16">
        <w:rPr>
          <w:rFonts w:asciiTheme="majorBidi" w:hAnsiTheme="majorBidi" w:cstheme="majorBidi"/>
          <w:sz w:val="24"/>
          <w:szCs w:val="24"/>
        </w:rPr>
        <w:t xml:space="preserve">provided </w:t>
      </w:r>
      <w:r w:rsidR="00523DFB">
        <w:rPr>
          <w:rFonts w:asciiTheme="majorBidi" w:hAnsiTheme="majorBidi" w:cstheme="majorBidi"/>
          <w:sz w:val="24"/>
          <w:szCs w:val="24"/>
        </w:rPr>
        <w:t xml:space="preserve">in this guideline document, the main benefits for having an NSS </w:t>
      </w:r>
      <w:r w:rsidR="00223125">
        <w:rPr>
          <w:rFonts w:asciiTheme="majorBidi" w:hAnsiTheme="majorBidi" w:cstheme="majorBidi"/>
          <w:sz w:val="24"/>
          <w:szCs w:val="24"/>
        </w:rPr>
        <w:t>are</w:t>
      </w:r>
      <w:r w:rsidR="00523DFB">
        <w:rPr>
          <w:rFonts w:asciiTheme="majorBidi" w:hAnsiTheme="majorBidi" w:cstheme="majorBidi"/>
          <w:sz w:val="24"/>
          <w:szCs w:val="24"/>
        </w:rPr>
        <w:t xml:space="preserve"> as follows</w:t>
      </w:r>
      <w:r w:rsidR="00593483" w:rsidRPr="00F24FCF">
        <w:rPr>
          <w:rFonts w:asciiTheme="majorBidi" w:hAnsiTheme="majorBidi" w:cstheme="majorBidi"/>
          <w:sz w:val="24"/>
          <w:szCs w:val="24"/>
        </w:rPr>
        <w:t>:</w:t>
      </w:r>
    </w:p>
    <w:p w14:paraId="02890EAE"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increased effectiveness through coordinated participation and positions by industry and government players across multiple ITU-T study groups;</w:t>
      </w:r>
    </w:p>
    <w:p w14:paraId="5F04D318"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avoidance of conflicting positions in the same or in different ITU-T study groups;</w:t>
      </w:r>
    </w:p>
    <w:p w14:paraId="57232E2A"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improved awareness regarding exchange of information with ITU-T;</w:t>
      </w:r>
    </w:p>
    <w:p w14:paraId="7BAEE80E"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better dissemination of information from ITU to appropriate national experts;</w:t>
      </w:r>
    </w:p>
    <w:p w14:paraId="00096962"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increased efficiency in the use of limited human and financial resources; and</w:t>
      </w:r>
    </w:p>
    <w:p w14:paraId="041C97AB" w14:textId="77777777" w:rsidR="00D61202"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implementation of more ITU-T Recommendations.</w:t>
      </w:r>
    </w:p>
    <w:p w14:paraId="57F31E0A" w14:textId="0FF54045" w:rsidR="00593483" w:rsidRPr="00F24FCF" w:rsidRDefault="008E529E" w:rsidP="00593483">
      <w:pPr>
        <w:ind w:left="720"/>
        <w:rPr>
          <w:rFonts w:asciiTheme="majorBidi" w:hAnsiTheme="majorBidi" w:cstheme="majorBidi"/>
          <w:sz w:val="24"/>
          <w:szCs w:val="24"/>
        </w:rPr>
      </w:pPr>
      <w:r w:rsidRPr="00F24FCF">
        <w:rPr>
          <w:rFonts w:asciiTheme="majorBidi" w:hAnsiTheme="majorBidi" w:cstheme="majorBidi"/>
          <w:sz w:val="24"/>
          <w:szCs w:val="24"/>
        </w:rPr>
        <w:t>Zambi</w:t>
      </w:r>
      <w:r w:rsidR="0055267E">
        <w:rPr>
          <w:rFonts w:asciiTheme="majorBidi" w:hAnsiTheme="majorBidi" w:cstheme="majorBidi"/>
          <w:sz w:val="24"/>
          <w:szCs w:val="24"/>
        </w:rPr>
        <w:t>a is the first country to have established an NSS. Since the conception of this idea of having NSSs, the related guidelines have been revised. Many other countries have already commenced the establishment of NSS</w:t>
      </w:r>
      <w:r w:rsidR="00223125">
        <w:rPr>
          <w:rFonts w:asciiTheme="majorBidi" w:hAnsiTheme="majorBidi" w:cstheme="majorBidi"/>
          <w:sz w:val="24"/>
          <w:szCs w:val="24"/>
        </w:rPr>
        <w:t>s in their respective regions</w:t>
      </w:r>
      <w:r w:rsidR="0055267E">
        <w:rPr>
          <w:rFonts w:asciiTheme="majorBidi" w:hAnsiTheme="majorBidi" w:cstheme="majorBidi"/>
          <w:sz w:val="24"/>
          <w:szCs w:val="24"/>
        </w:rPr>
        <w:t>.</w:t>
      </w:r>
    </w:p>
    <w:p w14:paraId="4E88C00E" w14:textId="256847AB" w:rsidR="0055267E" w:rsidRPr="0055267E" w:rsidRDefault="000B52D1" w:rsidP="000B52D1">
      <w:pPr>
        <w:pStyle w:val="ListParagraph"/>
        <w:numPr>
          <w:ilvl w:val="0"/>
          <w:numId w:val="34"/>
        </w:numPr>
        <w:rPr>
          <w:rFonts w:asciiTheme="majorBidi" w:hAnsiTheme="majorBidi" w:cstheme="majorBidi"/>
          <w:i/>
          <w:sz w:val="24"/>
          <w:szCs w:val="24"/>
        </w:rPr>
      </w:pPr>
      <w:r w:rsidRPr="00F24FCF">
        <w:rPr>
          <w:rFonts w:asciiTheme="majorBidi" w:hAnsiTheme="majorBidi" w:cstheme="majorBidi"/>
          <w:i/>
          <w:sz w:val="24"/>
          <w:szCs w:val="24"/>
        </w:rPr>
        <w:t>Implementation</w:t>
      </w:r>
      <w:r w:rsidR="0055267E">
        <w:rPr>
          <w:rFonts w:asciiTheme="majorBidi" w:hAnsiTheme="majorBidi" w:cstheme="majorBidi"/>
          <w:i/>
          <w:sz w:val="24"/>
          <w:szCs w:val="24"/>
        </w:rPr>
        <w:t xml:space="preserve"> </w:t>
      </w:r>
      <w:r w:rsidRPr="00F24FCF">
        <w:rPr>
          <w:rFonts w:asciiTheme="majorBidi" w:hAnsiTheme="majorBidi" w:cstheme="majorBidi"/>
          <w:i/>
          <w:sz w:val="24"/>
          <w:szCs w:val="24"/>
        </w:rPr>
        <w:t xml:space="preserve">programmes: </w:t>
      </w:r>
    </w:p>
    <w:p w14:paraId="133640AB" w14:textId="4EAF4DEA" w:rsidR="007823B9" w:rsidRDefault="0055267E" w:rsidP="0055267E">
      <w:pPr>
        <w:pStyle w:val="ListParagraph"/>
        <w:rPr>
          <w:rFonts w:asciiTheme="majorBidi" w:hAnsiTheme="majorBidi" w:cstheme="majorBidi"/>
          <w:iCs/>
          <w:sz w:val="24"/>
          <w:szCs w:val="24"/>
        </w:rPr>
      </w:pPr>
      <w:r>
        <w:rPr>
          <w:rFonts w:asciiTheme="majorBidi" w:hAnsiTheme="majorBidi" w:cstheme="majorBidi"/>
          <w:iCs/>
          <w:sz w:val="24"/>
          <w:szCs w:val="24"/>
        </w:rPr>
        <w:t>The following initiatives</w:t>
      </w:r>
      <w:r w:rsidR="007823B9">
        <w:rPr>
          <w:rFonts w:asciiTheme="majorBidi" w:hAnsiTheme="majorBidi" w:cstheme="majorBidi"/>
          <w:iCs/>
          <w:sz w:val="24"/>
          <w:szCs w:val="24"/>
        </w:rPr>
        <w:t xml:space="preserve"> and program</w:t>
      </w:r>
      <w:r w:rsidR="00223125">
        <w:rPr>
          <w:rFonts w:asciiTheme="majorBidi" w:hAnsiTheme="majorBidi" w:cstheme="majorBidi"/>
          <w:iCs/>
          <w:sz w:val="24"/>
          <w:szCs w:val="24"/>
        </w:rPr>
        <w:t>m</w:t>
      </w:r>
      <w:r w:rsidR="007823B9">
        <w:rPr>
          <w:rFonts w:asciiTheme="majorBidi" w:hAnsiTheme="majorBidi" w:cstheme="majorBidi"/>
          <w:iCs/>
          <w:sz w:val="24"/>
          <w:szCs w:val="24"/>
        </w:rPr>
        <w:t>es</w:t>
      </w:r>
      <w:r>
        <w:rPr>
          <w:rFonts w:asciiTheme="majorBidi" w:hAnsiTheme="majorBidi" w:cstheme="majorBidi"/>
          <w:iCs/>
          <w:sz w:val="24"/>
          <w:szCs w:val="24"/>
        </w:rPr>
        <w:t xml:space="preserve"> within ITU-T focus on implementation of existing standards </w:t>
      </w:r>
      <w:r w:rsidR="007823B9">
        <w:rPr>
          <w:rFonts w:asciiTheme="majorBidi" w:hAnsiTheme="majorBidi" w:cstheme="majorBidi"/>
          <w:iCs/>
          <w:sz w:val="24"/>
          <w:szCs w:val="24"/>
        </w:rPr>
        <w:t xml:space="preserve">(ITU-T Recommendations) </w:t>
      </w:r>
      <w:r>
        <w:rPr>
          <w:rFonts w:asciiTheme="majorBidi" w:hAnsiTheme="majorBidi" w:cstheme="majorBidi"/>
          <w:iCs/>
          <w:sz w:val="24"/>
          <w:szCs w:val="24"/>
        </w:rPr>
        <w:t>while exploring new domains</w:t>
      </w:r>
      <w:r w:rsidR="007823B9">
        <w:rPr>
          <w:rFonts w:asciiTheme="majorBidi" w:hAnsiTheme="majorBidi" w:cstheme="majorBidi"/>
          <w:iCs/>
          <w:sz w:val="24"/>
          <w:szCs w:val="24"/>
        </w:rPr>
        <w:t>:</w:t>
      </w:r>
    </w:p>
    <w:p w14:paraId="2B4DC73A" w14:textId="39C69BEC" w:rsidR="007823B9" w:rsidRPr="007823B9" w:rsidRDefault="00323E4C" w:rsidP="007823B9">
      <w:pPr>
        <w:pStyle w:val="ListParagraph"/>
        <w:numPr>
          <w:ilvl w:val="0"/>
          <w:numId w:val="44"/>
        </w:numPr>
        <w:rPr>
          <w:rFonts w:asciiTheme="majorBidi" w:hAnsiTheme="majorBidi" w:cstheme="majorBidi"/>
          <w:i/>
          <w:sz w:val="24"/>
          <w:szCs w:val="24"/>
        </w:rPr>
      </w:pPr>
      <w:hyperlink r:id="rId16" w:history="1">
        <w:r w:rsidR="007823B9" w:rsidRPr="007823B9">
          <w:rPr>
            <w:rStyle w:val="Hyperlink"/>
            <w:rFonts w:asciiTheme="majorBidi" w:hAnsiTheme="majorBidi" w:cstheme="majorBidi"/>
            <w:iCs/>
            <w:sz w:val="24"/>
            <w:szCs w:val="24"/>
          </w:rPr>
          <w:t>AI and Data Commons</w:t>
        </w:r>
      </w:hyperlink>
      <w:r w:rsidR="007823B9">
        <w:rPr>
          <w:rFonts w:asciiTheme="majorBidi" w:hAnsiTheme="majorBidi" w:cstheme="majorBidi"/>
          <w:iCs/>
          <w:sz w:val="24"/>
          <w:szCs w:val="24"/>
        </w:rPr>
        <w:t xml:space="preserve">: </w:t>
      </w:r>
      <w:r w:rsidR="007823B9" w:rsidRPr="007823B9">
        <w:rPr>
          <w:rFonts w:asciiTheme="majorBidi" w:hAnsiTheme="majorBidi" w:cstheme="majorBidi"/>
          <w:iCs/>
          <w:sz w:val="24"/>
          <w:szCs w:val="24"/>
        </w:rPr>
        <w:t xml:space="preserve">This initiative </w:t>
      </w:r>
      <w:r w:rsidR="007823B9">
        <w:rPr>
          <w:rFonts w:asciiTheme="majorBidi" w:hAnsiTheme="majorBidi" w:cstheme="majorBidi"/>
          <w:iCs/>
          <w:sz w:val="24"/>
          <w:szCs w:val="24"/>
        </w:rPr>
        <w:t xml:space="preserve">aims to </w:t>
      </w:r>
      <w:r w:rsidR="007823B9" w:rsidRPr="007823B9">
        <w:rPr>
          <w:rFonts w:asciiTheme="majorBidi" w:hAnsiTheme="majorBidi" w:cstheme="majorBidi"/>
          <w:iCs/>
          <w:sz w:val="24"/>
          <w:szCs w:val="24"/>
        </w:rPr>
        <w:t>approach problem</w:t>
      </w:r>
      <w:r w:rsidR="007823B9">
        <w:rPr>
          <w:rFonts w:asciiTheme="majorBidi" w:hAnsiTheme="majorBidi" w:cstheme="majorBidi"/>
          <w:iCs/>
          <w:sz w:val="24"/>
          <w:szCs w:val="24"/>
        </w:rPr>
        <w:t>-</w:t>
      </w:r>
      <w:r w:rsidR="007823B9" w:rsidRPr="007823B9">
        <w:rPr>
          <w:rFonts w:asciiTheme="majorBidi" w:hAnsiTheme="majorBidi" w:cstheme="majorBidi"/>
          <w:iCs/>
          <w:sz w:val="24"/>
          <w:szCs w:val="24"/>
        </w:rPr>
        <w:t>solving using AI and data and make it available as a common resource to achieve scale</w:t>
      </w:r>
      <w:r w:rsidR="007823B9">
        <w:rPr>
          <w:rFonts w:asciiTheme="majorBidi" w:hAnsiTheme="majorBidi" w:cstheme="majorBidi"/>
          <w:iCs/>
          <w:sz w:val="24"/>
          <w:szCs w:val="24"/>
        </w:rPr>
        <w:t xml:space="preserve"> and the 2030 Sustainable Development Goals</w:t>
      </w:r>
    </w:p>
    <w:p w14:paraId="72A3B4E2" w14:textId="11783798" w:rsidR="007823B9" w:rsidRPr="007823B9" w:rsidRDefault="00323E4C" w:rsidP="007823B9">
      <w:pPr>
        <w:pStyle w:val="ListParagraph"/>
        <w:numPr>
          <w:ilvl w:val="0"/>
          <w:numId w:val="44"/>
        </w:numPr>
        <w:rPr>
          <w:rFonts w:asciiTheme="majorBidi" w:hAnsiTheme="majorBidi" w:cstheme="majorBidi"/>
          <w:sz w:val="24"/>
          <w:szCs w:val="24"/>
        </w:rPr>
      </w:pPr>
      <w:hyperlink r:id="rId17" w:history="1">
        <w:r w:rsidR="000B52D1" w:rsidRPr="00F24FCF">
          <w:rPr>
            <w:rStyle w:val="Hyperlink"/>
            <w:rFonts w:asciiTheme="majorBidi" w:hAnsiTheme="majorBidi" w:cstheme="majorBidi"/>
            <w:sz w:val="24"/>
            <w:szCs w:val="24"/>
          </w:rPr>
          <w:t>Smart Incubator</w:t>
        </w:r>
      </w:hyperlink>
      <w:r w:rsidR="007823B9">
        <w:rPr>
          <w:rFonts w:asciiTheme="majorBidi" w:hAnsiTheme="majorBidi" w:cstheme="majorBidi"/>
          <w:sz w:val="24"/>
          <w:szCs w:val="24"/>
        </w:rPr>
        <w:t>: This p</w:t>
      </w:r>
      <w:r w:rsidR="007823B9" w:rsidRPr="007823B9">
        <w:rPr>
          <w:rFonts w:asciiTheme="majorBidi" w:hAnsiTheme="majorBidi" w:cstheme="majorBidi"/>
          <w:sz w:val="24"/>
          <w:szCs w:val="24"/>
        </w:rPr>
        <w:t>rogramme facilitate</w:t>
      </w:r>
      <w:r w:rsidR="007823B9">
        <w:rPr>
          <w:rFonts w:asciiTheme="majorBidi" w:hAnsiTheme="majorBidi" w:cstheme="majorBidi"/>
          <w:sz w:val="24"/>
          <w:szCs w:val="24"/>
        </w:rPr>
        <w:t>s</w:t>
      </w:r>
      <w:r w:rsidR="007823B9" w:rsidRPr="007823B9">
        <w:rPr>
          <w:rFonts w:asciiTheme="majorBidi" w:hAnsiTheme="majorBidi" w:cstheme="majorBidi"/>
          <w:sz w:val="24"/>
          <w:szCs w:val="24"/>
        </w:rPr>
        <w:t xml:space="preserve"> the linking </w:t>
      </w:r>
      <w:r w:rsidR="007823B9">
        <w:rPr>
          <w:rFonts w:asciiTheme="majorBidi" w:hAnsiTheme="majorBidi" w:cstheme="majorBidi"/>
          <w:sz w:val="24"/>
          <w:szCs w:val="24"/>
        </w:rPr>
        <w:t xml:space="preserve">of </w:t>
      </w:r>
      <w:r w:rsidR="007823B9" w:rsidRPr="007823B9">
        <w:rPr>
          <w:rFonts w:asciiTheme="majorBidi" w:hAnsiTheme="majorBidi" w:cstheme="majorBidi"/>
          <w:sz w:val="24"/>
          <w:szCs w:val="24"/>
        </w:rPr>
        <w:t xml:space="preserve">innovations to the standardization process </w:t>
      </w:r>
      <w:r w:rsidR="007823B9">
        <w:rPr>
          <w:rFonts w:asciiTheme="majorBidi" w:hAnsiTheme="majorBidi" w:cstheme="majorBidi"/>
          <w:sz w:val="24"/>
          <w:szCs w:val="24"/>
        </w:rPr>
        <w:t>(</w:t>
      </w:r>
      <w:r w:rsidR="00223125">
        <w:rPr>
          <w:rFonts w:asciiTheme="majorBidi" w:hAnsiTheme="majorBidi" w:cstheme="majorBidi"/>
          <w:sz w:val="24"/>
          <w:szCs w:val="24"/>
        </w:rPr>
        <w:t xml:space="preserve">including </w:t>
      </w:r>
      <w:r w:rsidR="007823B9" w:rsidRPr="007823B9">
        <w:rPr>
          <w:rFonts w:asciiTheme="majorBidi" w:hAnsiTheme="majorBidi" w:cstheme="majorBidi"/>
          <w:sz w:val="24"/>
          <w:szCs w:val="24"/>
        </w:rPr>
        <w:t>defini</w:t>
      </w:r>
      <w:r w:rsidR="007823B9">
        <w:rPr>
          <w:rFonts w:asciiTheme="majorBidi" w:hAnsiTheme="majorBidi" w:cstheme="majorBidi"/>
          <w:sz w:val="24"/>
          <w:szCs w:val="24"/>
        </w:rPr>
        <w:t>ng</w:t>
      </w:r>
      <w:r w:rsidR="007823B9" w:rsidRPr="007823B9">
        <w:rPr>
          <w:rFonts w:asciiTheme="majorBidi" w:hAnsiTheme="majorBidi" w:cstheme="majorBidi"/>
          <w:sz w:val="24"/>
          <w:szCs w:val="24"/>
        </w:rPr>
        <w:t>, promotion and adoption of ITU-T standards and specifications</w:t>
      </w:r>
      <w:r w:rsidR="007823B9">
        <w:rPr>
          <w:rFonts w:asciiTheme="majorBidi" w:hAnsiTheme="majorBidi" w:cstheme="majorBidi"/>
          <w:sz w:val="24"/>
          <w:szCs w:val="24"/>
        </w:rPr>
        <w:t>)</w:t>
      </w:r>
      <w:r w:rsidR="007823B9" w:rsidRPr="007823B9">
        <w:rPr>
          <w:rFonts w:asciiTheme="majorBidi" w:hAnsiTheme="majorBidi" w:cstheme="majorBidi"/>
          <w:sz w:val="24"/>
          <w:szCs w:val="24"/>
        </w:rPr>
        <w:t>.</w:t>
      </w:r>
      <w:r w:rsidR="007823B9">
        <w:rPr>
          <w:rFonts w:asciiTheme="majorBidi" w:hAnsiTheme="majorBidi" w:cstheme="majorBidi"/>
          <w:sz w:val="24"/>
          <w:szCs w:val="24"/>
        </w:rPr>
        <w:t xml:space="preserve"> In this context,</w:t>
      </w:r>
      <w:r w:rsidR="007823B9" w:rsidRPr="007823B9">
        <w:rPr>
          <w:rFonts w:asciiTheme="majorBidi" w:hAnsiTheme="majorBidi" w:cstheme="majorBidi"/>
          <w:sz w:val="24"/>
          <w:szCs w:val="24"/>
        </w:rPr>
        <w:t xml:space="preserve"> ITU Smart Incubator enables start-ups or SMEs by having them join the standardization process right at the start.  </w:t>
      </w:r>
    </w:p>
    <w:p w14:paraId="656A3051" w14:textId="79C95E30" w:rsidR="007823B9" w:rsidRPr="00E927B7" w:rsidRDefault="00323E4C" w:rsidP="007823B9">
      <w:pPr>
        <w:pStyle w:val="ListParagraph"/>
        <w:numPr>
          <w:ilvl w:val="0"/>
          <w:numId w:val="44"/>
        </w:numPr>
        <w:rPr>
          <w:rFonts w:asciiTheme="majorBidi" w:hAnsiTheme="majorBidi" w:cstheme="majorBidi"/>
          <w:i/>
          <w:sz w:val="24"/>
          <w:szCs w:val="24"/>
        </w:rPr>
      </w:pPr>
      <w:hyperlink r:id="rId18" w:history="1">
        <w:r w:rsidR="000B52D1" w:rsidRPr="00F24FCF">
          <w:rPr>
            <w:rStyle w:val="Hyperlink"/>
            <w:rFonts w:asciiTheme="majorBidi" w:hAnsiTheme="majorBidi" w:cstheme="majorBidi"/>
            <w:sz w:val="24"/>
            <w:szCs w:val="24"/>
          </w:rPr>
          <w:t>United for Smart Sustainable Cities</w:t>
        </w:r>
      </w:hyperlink>
      <w:r w:rsidR="007823B9">
        <w:rPr>
          <w:rFonts w:asciiTheme="majorBidi" w:hAnsiTheme="majorBidi" w:cstheme="majorBidi"/>
          <w:sz w:val="24"/>
          <w:szCs w:val="24"/>
        </w:rPr>
        <w:t>: This is an initiative which promotes the use of public policies for the integration of ICTs for the establishment of smart sustainable cities (SSC)</w:t>
      </w:r>
      <w:r w:rsidR="00223125">
        <w:rPr>
          <w:rFonts w:asciiTheme="majorBidi" w:hAnsiTheme="majorBidi" w:cstheme="majorBidi"/>
          <w:sz w:val="24"/>
          <w:szCs w:val="24"/>
        </w:rPr>
        <w:t>.</w:t>
      </w:r>
    </w:p>
    <w:p w14:paraId="3D2F57A4" w14:textId="5004BFE2" w:rsidR="00CB07AD" w:rsidRPr="00E927B7" w:rsidRDefault="00CB07AD" w:rsidP="00CB07AD">
      <w:pPr>
        <w:pStyle w:val="ListParagraph"/>
        <w:numPr>
          <w:ilvl w:val="0"/>
          <w:numId w:val="44"/>
        </w:numPr>
        <w:rPr>
          <w:rFonts w:asciiTheme="majorBidi" w:hAnsiTheme="majorBidi" w:cstheme="majorBidi"/>
          <w:i/>
          <w:sz w:val="24"/>
          <w:szCs w:val="24"/>
        </w:rPr>
      </w:pPr>
      <w:r w:rsidRPr="00E927B7">
        <w:rPr>
          <w:rFonts w:asciiTheme="majorBidi" w:hAnsiTheme="majorBidi" w:cstheme="majorBidi"/>
          <w:iCs/>
          <w:sz w:val="24"/>
          <w:szCs w:val="24"/>
        </w:rPr>
        <w:t>SG Mentoring Programme:</w:t>
      </w:r>
      <w:r>
        <w:rPr>
          <w:rFonts w:asciiTheme="majorBidi" w:hAnsiTheme="majorBidi" w:cstheme="majorBidi"/>
          <w:iCs/>
          <w:sz w:val="24"/>
          <w:szCs w:val="24"/>
        </w:rPr>
        <w:t xml:space="preserve"> </w:t>
      </w:r>
      <w:r w:rsidRPr="00E927B7">
        <w:rPr>
          <w:rFonts w:asciiTheme="majorBidi" w:hAnsiTheme="majorBidi" w:cstheme="majorBidi"/>
          <w:iCs/>
          <w:sz w:val="24"/>
          <w:szCs w:val="24"/>
        </w:rPr>
        <w:t>This programme continues to assist new delegates gain knowledge on the ITU-T working methods and promote participation and contribution from developing countries.</w:t>
      </w:r>
    </w:p>
    <w:p w14:paraId="24D43F7E" w14:textId="7B7BE3A0" w:rsidR="000B52D1" w:rsidRDefault="00CB07AD" w:rsidP="007823B9">
      <w:pPr>
        <w:ind w:left="720"/>
        <w:rPr>
          <w:rFonts w:asciiTheme="majorBidi" w:hAnsiTheme="majorBidi" w:cstheme="majorBidi"/>
          <w:sz w:val="24"/>
          <w:szCs w:val="24"/>
        </w:rPr>
      </w:pPr>
      <w:r>
        <w:rPr>
          <w:rFonts w:asciiTheme="majorBidi" w:hAnsiTheme="majorBidi" w:cstheme="majorBidi"/>
          <w:sz w:val="24"/>
          <w:szCs w:val="24"/>
        </w:rPr>
        <w:t>Other a</w:t>
      </w:r>
      <w:r w:rsidR="007823B9">
        <w:rPr>
          <w:rFonts w:asciiTheme="majorBidi" w:hAnsiTheme="majorBidi" w:cstheme="majorBidi"/>
          <w:sz w:val="24"/>
          <w:szCs w:val="24"/>
        </w:rPr>
        <w:t>ctivities</w:t>
      </w:r>
      <w:r>
        <w:rPr>
          <w:rFonts w:asciiTheme="majorBidi" w:hAnsiTheme="majorBidi" w:cstheme="majorBidi"/>
          <w:sz w:val="24"/>
          <w:szCs w:val="24"/>
        </w:rPr>
        <w:t xml:space="preserve"> and surveys</w:t>
      </w:r>
      <w:r w:rsidR="007823B9">
        <w:rPr>
          <w:rFonts w:asciiTheme="majorBidi" w:hAnsiTheme="majorBidi" w:cstheme="majorBidi"/>
          <w:sz w:val="24"/>
          <w:szCs w:val="24"/>
        </w:rPr>
        <w:t xml:space="preserve"> related to the</w:t>
      </w:r>
      <w:r w:rsidR="000B52D1" w:rsidRPr="007823B9">
        <w:rPr>
          <w:rFonts w:asciiTheme="majorBidi" w:hAnsiTheme="majorBidi" w:cstheme="majorBidi"/>
          <w:sz w:val="24"/>
          <w:szCs w:val="24"/>
        </w:rPr>
        <w:t xml:space="preserve"> implementation </w:t>
      </w:r>
      <w:r w:rsidR="007823B9">
        <w:rPr>
          <w:rFonts w:asciiTheme="majorBidi" w:hAnsiTheme="majorBidi" w:cstheme="majorBidi"/>
          <w:sz w:val="24"/>
          <w:szCs w:val="24"/>
        </w:rPr>
        <w:t xml:space="preserve">of </w:t>
      </w:r>
      <w:r w:rsidR="000B52D1" w:rsidRPr="007823B9">
        <w:rPr>
          <w:rFonts w:asciiTheme="majorBidi" w:hAnsiTheme="majorBidi" w:cstheme="majorBidi"/>
          <w:sz w:val="24"/>
          <w:szCs w:val="24"/>
        </w:rPr>
        <w:t xml:space="preserve">ITU-T Recommendations </w:t>
      </w:r>
      <w:r w:rsidR="007823B9">
        <w:rPr>
          <w:rFonts w:asciiTheme="majorBidi" w:hAnsiTheme="majorBidi" w:cstheme="majorBidi"/>
          <w:sz w:val="24"/>
          <w:szCs w:val="24"/>
        </w:rPr>
        <w:t>are con</w:t>
      </w:r>
      <w:r w:rsidR="000B52D1" w:rsidRPr="007823B9">
        <w:rPr>
          <w:rFonts w:asciiTheme="majorBidi" w:hAnsiTheme="majorBidi" w:cstheme="majorBidi"/>
          <w:sz w:val="24"/>
          <w:szCs w:val="24"/>
        </w:rPr>
        <w:t>d</w:t>
      </w:r>
      <w:r w:rsidR="007823B9">
        <w:rPr>
          <w:rFonts w:asciiTheme="majorBidi" w:hAnsiTheme="majorBidi" w:cstheme="majorBidi"/>
          <w:sz w:val="24"/>
          <w:szCs w:val="24"/>
        </w:rPr>
        <w:t>ucted</w:t>
      </w:r>
      <w:r w:rsidR="000B52D1" w:rsidRPr="007823B9">
        <w:rPr>
          <w:rFonts w:asciiTheme="majorBidi" w:hAnsiTheme="majorBidi" w:cstheme="majorBidi"/>
          <w:sz w:val="24"/>
          <w:szCs w:val="24"/>
        </w:rPr>
        <w:t xml:space="preserve"> in collaboration with BDT through the ITU regional offices and </w:t>
      </w:r>
      <w:r w:rsidR="007823B9">
        <w:rPr>
          <w:rFonts w:asciiTheme="majorBidi" w:hAnsiTheme="majorBidi" w:cstheme="majorBidi"/>
          <w:sz w:val="24"/>
          <w:szCs w:val="24"/>
        </w:rPr>
        <w:t xml:space="preserve">(as appropriate) </w:t>
      </w:r>
      <w:r w:rsidR="000B52D1" w:rsidRPr="007823B9">
        <w:rPr>
          <w:rFonts w:asciiTheme="majorBidi" w:hAnsiTheme="majorBidi" w:cstheme="majorBidi"/>
          <w:sz w:val="24"/>
          <w:szCs w:val="24"/>
        </w:rPr>
        <w:t>liaison offices</w:t>
      </w:r>
      <w:r w:rsidR="007823B9">
        <w:rPr>
          <w:rFonts w:asciiTheme="majorBidi" w:hAnsiTheme="majorBidi" w:cstheme="majorBidi"/>
          <w:sz w:val="24"/>
          <w:szCs w:val="24"/>
        </w:rPr>
        <w:t>.</w:t>
      </w:r>
    </w:p>
    <w:p w14:paraId="51270C8E" w14:textId="18822F5E" w:rsidR="00D25D39" w:rsidRDefault="00D25D39" w:rsidP="00D25D39">
      <w:pPr>
        <w:pStyle w:val="ListParagraph"/>
        <w:rPr>
          <w:rFonts w:asciiTheme="majorBidi" w:hAnsiTheme="majorBidi" w:cstheme="majorBidi"/>
          <w:iCs/>
          <w:sz w:val="24"/>
          <w:szCs w:val="24"/>
        </w:rPr>
      </w:pPr>
    </w:p>
    <w:p w14:paraId="555FEA2F" w14:textId="5BA80063" w:rsidR="00616838" w:rsidRDefault="00616838" w:rsidP="00D25D39">
      <w:pPr>
        <w:pStyle w:val="ListParagraph"/>
        <w:rPr>
          <w:rFonts w:asciiTheme="majorBidi" w:hAnsiTheme="majorBidi" w:cstheme="majorBidi"/>
          <w:iCs/>
          <w:sz w:val="24"/>
          <w:szCs w:val="24"/>
        </w:rPr>
      </w:pPr>
    </w:p>
    <w:p w14:paraId="5723C4B5" w14:textId="77777777" w:rsidR="00616838" w:rsidRPr="00E927B7" w:rsidRDefault="00616838" w:rsidP="00E927B7">
      <w:pPr>
        <w:pStyle w:val="ListParagraph"/>
        <w:rPr>
          <w:rFonts w:asciiTheme="majorBidi" w:hAnsiTheme="majorBidi" w:cstheme="majorBidi"/>
          <w:iCs/>
          <w:sz w:val="24"/>
          <w:szCs w:val="24"/>
        </w:rPr>
      </w:pPr>
    </w:p>
    <w:p w14:paraId="7D948E93" w14:textId="77777777" w:rsidR="000B52D1" w:rsidRPr="00F24FCF" w:rsidRDefault="000B52D1" w:rsidP="000B52D1">
      <w:pPr>
        <w:pStyle w:val="MyHeading"/>
      </w:pPr>
      <w:r w:rsidRPr="00F24FCF">
        <w:lastRenderedPageBreak/>
        <w:t>Programme 3: Human resources capacity building</w:t>
      </w:r>
    </w:p>
    <w:p w14:paraId="5313FF7E" w14:textId="77777777" w:rsidR="00736496" w:rsidRDefault="00990E5C" w:rsidP="00736496">
      <w:pPr>
        <w:pStyle w:val="ListParagraph"/>
        <w:numPr>
          <w:ilvl w:val="0"/>
          <w:numId w:val="36"/>
        </w:numPr>
        <w:rPr>
          <w:rFonts w:asciiTheme="majorBidi" w:hAnsiTheme="majorBidi" w:cstheme="majorBidi"/>
          <w:sz w:val="24"/>
          <w:szCs w:val="24"/>
        </w:rPr>
      </w:pPr>
      <w:r w:rsidRPr="005F7E18">
        <w:rPr>
          <w:rFonts w:asciiTheme="majorBidi" w:hAnsiTheme="majorBidi" w:cstheme="majorBidi"/>
          <w:i/>
          <w:iCs/>
          <w:sz w:val="24"/>
          <w:szCs w:val="24"/>
        </w:rPr>
        <w:t>Organization of BSG hands-on training sessions/workshops:</w:t>
      </w:r>
      <w:r w:rsidRPr="00990E5C">
        <w:rPr>
          <w:rFonts w:asciiTheme="majorBidi" w:hAnsiTheme="majorBidi" w:cstheme="majorBidi"/>
          <w:sz w:val="24"/>
          <w:szCs w:val="24"/>
        </w:rPr>
        <w:t xml:space="preserve"> Keeping in mind the need to equip delegates from developing countries with the skills and knowledge to </w:t>
      </w:r>
      <w:r w:rsidR="005F7E18">
        <w:rPr>
          <w:rFonts w:asciiTheme="majorBidi" w:hAnsiTheme="majorBidi" w:cstheme="majorBidi"/>
          <w:sz w:val="24"/>
          <w:szCs w:val="24"/>
        </w:rPr>
        <w:t>participate and contribute to ITU-T meetings, BSG hands-on trainings</w:t>
      </w:r>
      <w:r w:rsidR="00736496">
        <w:rPr>
          <w:rFonts w:asciiTheme="majorBidi" w:hAnsiTheme="majorBidi" w:cstheme="majorBidi"/>
          <w:sz w:val="24"/>
          <w:szCs w:val="24"/>
        </w:rPr>
        <w:t xml:space="preserve"> (and other related trainings)</w:t>
      </w:r>
      <w:r w:rsidR="005F7E18">
        <w:rPr>
          <w:rFonts w:asciiTheme="majorBidi" w:hAnsiTheme="majorBidi" w:cstheme="majorBidi"/>
          <w:sz w:val="24"/>
          <w:szCs w:val="24"/>
        </w:rPr>
        <w:t xml:space="preserve"> are regularly organized and collocated with ITU-T Study Group meetings. These trainings provide delegates with a snapshot of </w:t>
      </w:r>
      <w:r w:rsidR="005A7729" w:rsidRPr="005A7729">
        <w:rPr>
          <w:rFonts w:asciiTheme="majorBidi" w:hAnsiTheme="majorBidi" w:cstheme="majorBidi"/>
          <w:sz w:val="24"/>
          <w:szCs w:val="24"/>
        </w:rPr>
        <w:t xml:space="preserve">structures, management, coordination mechanisms and operating procedures of ITU-T study groups as defined in Recommendation ITU-T A.1. </w:t>
      </w:r>
      <w:r w:rsidR="00223125">
        <w:rPr>
          <w:rFonts w:asciiTheme="majorBidi" w:hAnsiTheme="majorBidi" w:cstheme="majorBidi"/>
          <w:sz w:val="24"/>
          <w:szCs w:val="24"/>
        </w:rPr>
        <w:t>O</w:t>
      </w:r>
      <w:r w:rsidR="00576B26" w:rsidRPr="008C2796">
        <w:rPr>
          <w:rFonts w:asciiTheme="majorBidi" w:hAnsiTheme="majorBidi" w:cstheme="majorBidi"/>
          <w:sz w:val="24"/>
          <w:szCs w:val="24"/>
        </w:rPr>
        <w:t xml:space="preserve">ver </w:t>
      </w:r>
      <w:r w:rsidR="005F7E18">
        <w:rPr>
          <w:rFonts w:asciiTheme="majorBidi" w:hAnsiTheme="majorBidi" w:cstheme="majorBidi"/>
          <w:sz w:val="24"/>
          <w:szCs w:val="24"/>
        </w:rPr>
        <w:t>600</w:t>
      </w:r>
      <w:r w:rsidR="00576B26" w:rsidRPr="008C2796">
        <w:rPr>
          <w:rFonts w:asciiTheme="majorBidi" w:hAnsiTheme="majorBidi" w:cstheme="majorBidi"/>
          <w:sz w:val="24"/>
          <w:szCs w:val="24"/>
        </w:rPr>
        <w:t xml:space="preserve"> delegates have been trained, representing 7</w:t>
      </w:r>
      <w:r w:rsidR="005F7E18">
        <w:rPr>
          <w:rFonts w:asciiTheme="majorBidi" w:hAnsiTheme="majorBidi" w:cstheme="majorBidi"/>
          <w:sz w:val="24"/>
          <w:szCs w:val="24"/>
        </w:rPr>
        <w:t>4</w:t>
      </w:r>
      <w:r w:rsidR="00576B26" w:rsidRPr="008C2796">
        <w:rPr>
          <w:rFonts w:asciiTheme="majorBidi" w:hAnsiTheme="majorBidi" w:cstheme="majorBidi"/>
          <w:sz w:val="24"/>
          <w:szCs w:val="24"/>
        </w:rPr>
        <w:t xml:space="preserve"> countries and </w:t>
      </w:r>
      <w:r w:rsidR="005F7E18">
        <w:rPr>
          <w:rFonts w:asciiTheme="majorBidi" w:hAnsiTheme="majorBidi" w:cstheme="majorBidi"/>
          <w:sz w:val="24"/>
          <w:szCs w:val="24"/>
        </w:rPr>
        <w:t>80</w:t>
      </w:r>
      <w:r w:rsidR="00576B26" w:rsidRPr="008C2796">
        <w:rPr>
          <w:rFonts w:asciiTheme="majorBidi" w:hAnsiTheme="majorBidi" w:cstheme="majorBidi"/>
          <w:sz w:val="24"/>
          <w:szCs w:val="24"/>
        </w:rPr>
        <w:t xml:space="preserve"> organizations.</w:t>
      </w:r>
      <w:r w:rsidR="0026301E" w:rsidRPr="008C2796">
        <w:rPr>
          <w:rFonts w:asciiTheme="majorBidi" w:hAnsiTheme="majorBidi" w:cstheme="majorBidi"/>
          <w:sz w:val="24"/>
          <w:szCs w:val="24"/>
        </w:rPr>
        <w:t xml:space="preserve"> </w:t>
      </w:r>
      <w:r w:rsidR="005F7E18">
        <w:rPr>
          <w:rFonts w:asciiTheme="majorBidi" w:hAnsiTheme="majorBidi" w:cstheme="majorBidi"/>
          <w:sz w:val="24"/>
          <w:szCs w:val="24"/>
        </w:rPr>
        <w:t>In 2019, over 200 delegates from various developing countries have been trained.</w:t>
      </w:r>
    </w:p>
    <w:p w14:paraId="472E9A62" w14:textId="67F819AE" w:rsidR="000B52D1" w:rsidRPr="00E927B7" w:rsidRDefault="00C25D95" w:rsidP="00E927B7">
      <w:pPr>
        <w:pStyle w:val="ListParagraph"/>
        <w:rPr>
          <w:rFonts w:asciiTheme="majorBidi" w:hAnsiTheme="majorBidi" w:cstheme="majorBidi"/>
          <w:sz w:val="24"/>
          <w:szCs w:val="24"/>
        </w:rPr>
      </w:pPr>
      <w:r>
        <w:rPr>
          <w:rFonts w:asciiTheme="majorBidi" w:hAnsiTheme="majorBidi" w:cstheme="majorBidi"/>
          <w:sz w:val="24"/>
          <w:szCs w:val="24"/>
        </w:rPr>
        <w:t xml:space="preserve"> </w:t>
      </w:r>
      <w:r w:rsidR="00736496" w:rsidRPr="00736496">
        <w:rPr>
          <w:rFonts w:asciiTheme="majorBidi" w:hAnsiTheme="majorBidi" w:cstheme="majorBidi"/>
          <w:sz w:val="24"/>
          <w:szCs w:val="24"/>
        </w:rPr>
        <w:t xml:space="preserve">A training on the other aspects of the Resolution 44 was </w:t>
      </w:r>
      <w:r w:rsidR="00736496">
        <w:rPr>
          <w:rFonts w:asciiTheme="majorBidi" w:hAnsiTheme="majorBidi" w:cstheme="majorBidi"/>
          <w:sz w:val="24"/>
          <w:szCs w:val="24"/>
        </w:rPr>
        <w:t xml:space="preserve">collocated </w:t>
      </w:r>
      <w:r w:rsidR="00736496" w:rsidRPr="00736496">
        <w:rPr>
          <w:rFonts w:asciiTheme="majorBidi" w:hAnsiTheme="majorBidi" w:cstheme="majorBidi"/>
          <w:sz w:val="24"/>
          <w:szCs w:val="24"/>
        </w:rPr>
        <w:t xml:space="preserve">with the Regional Preparatory Meeting of ATU, </w:t>
      </w:r>
      <w:r w:rsidR="00736496">
        <w:rPr>
          <w:rFonts w:asciiTheme="majorBidi" w:hAnsiTheme="majorBidi" w:cstheme="majorBidi"/>
          <w:sz w:val="24"/>
          <w:szCs w:val="24"/>
        </w:rPr>
        <w:t xml:space="preserve">in </w:t>
      </w:r>
      <w:r w:rsidR="00736496" w:rsidRPr="00736496">
        <w:rPr>
          <w:rFonts w:asciiTheme="majorBidi" w:hAnsiTheme="majorBidi" w:cstheme="majorBidi"/>
          <w:sz w:val="24"/>
          <w:szCs w:val="24"/>
        </w:rPr>
        <w:t>Entebbe, Uganda</w:t>
      </w:r>
      <w:r w:rsidR="00736496">
        <w:rPr>
          <w:rFonts w:asciiTheme="majorBidi" w:hAnsiTheme="majorBidi" w:cstheme="majorBidi"/>
          <w:sz w:val="24"/>
          <w:szCs w:val="24"/>
        </w:rPr>
        <w:t xml:space="preserve"> in </w:t>
      </w:r>
      <w:r w:rsidR="00736496" w:rsidRPr="00736496">
        <w:rPr>
          <w:rFonts w:asciiTheme="majorBidi" w:hAnsiTheme="majorBidi" w:cstheme="majorBidi"/>
          <w:sz w:val="24"/>
          <w:szCs w:val="24"/>
        </w:rPr>
        <w:t xml:space="preserve">October 2019. The training was </w:t>
      </w:r>
      <w:r w:rsidR="00736496">
        <w:rPr>
          <w:rFonts w:asciiTheme="majorBidi" w:hAnsiTheme="majorBidi" w:cstheme="majorBidi"/>
          <w:sz w:val="24"/>
          <w:szCs w:val="24"/>
        </w:rPr>
        <w:t>delivered</w:t>
      </w:r>
      <w:r w:rsidR="00736496" w:rsidRPr="00736496">
        <w:rPr>
          <w:rFonts w:asciiTheme="majorBidi" w:hAnsiTheme="majorBidi" w:cstheme="majorBidi"/>
          <w:sz w:val="24"/>
          <w:szCs w:val="24"/>
        </w:rPr>
        <w:t xml:space="preserve"> </w:t>
      </w:r>
      <w:r w:rsidR="00DD2678">
        <w:rPr>
          <w:rFonts w:asciiTheme="majorBidi" w:hAnsiTheme="majorBidi" w:cstheme="majorBidi"/>
          <w:sz w:val="24"/>
          <w:szCs w:val="24"/>
        </w:rPr>
        <w:t>(</w:t>
      </w:r>
      <w:r w:rsidR="00736496" w:rsidRPr="00736496">
        <w:rPr>
          <w:rFonts w:asciiTheme="majorBidi" w:hAnsiTheme="majorBidi" w:cstheme="majorBidi"/>
          <w:sz w:val="24"/>
          <w:szCs w:val="24"/>
        </w:rPr>
        <w:t>from Geneva</w:t>
      </w:r>
      <w:r w:rsidR="00DD2678">
        <w:rPr>
          <w:rFonts w:asciiTheme="majorBidi" w:hAnsiTheme="majorBidi" w:cstheme="majorBidi"/>
          <w:sz w:val="24"/>
          <w:szCs w:val="24"/>
        </w:rPr>
        <w:t xml:space="preserve">) on the </w:t>
      </w:r>
      <w:r w:rsidR="00736496" w:rsidRPr="00736496">
        <w:rPr>
          <w:rFonts w:asciiTheme="majorBidi" w:hAnsiTheme="majorBidi" w:cstheme="majorBidi"/>
          <w:sz w:val="24"/>
          <w:szCs w:val="24"/>
        </w:rPr>
        <w:t>TSB tools and services</w:t>
      </w:r>
      <w:r w:rsidR="00736496">
        <w:rPr>
          <w:rFonts w:asciiTheme="majorBidi" w:hAnsiTheme="majorBidi" w:cstheme="majorBidi"/>
          <w:sz w:val="24"/>
          <w:szCs w:val="24"/>
        </w:rPr>
        <w:t xml:space="preserve">, </w:t>
      </w:r>
      <w:r w:rsidR="00736496" w:rsidRPr="00736496">
        <w:rPr>
          <w:rFonts w:asciiTheme="majorBidi" w:hAnsiTheme="majorBidi" w:cstheme="majorBidi"/>
          <w:sz w:val="24"/>
          <w:szCs w:val="24"/>
        </w:rPr>
        <w:t>with the objective of covering</w:t>
      </w:r>
      <w:r w:rsidR="00736496">
        <w:rPr>
          <w:rFonts w:asciiTheme="majorBidi" w:hAnsiTheme="majorBidi" w:cstheme="majorBidi"/>
          <w:sz w:val="24"/>
          <w:szCs w:val="24"/>
        </w:rPr>
        <w:t xml:space="preserve"> </w:t>
      </w:r>
      <w:r w:rsidR="00DD2678">
        <w:rPr>
          <w:rFonts w:asciiTheme="majorBidi" w:hAnsiTheme="majorBidi" w:cstheme="majorBidi"/>
          <w:sz w:val="24"/>
          <w:szCs w:val="24"/>
        </w:rPr>
        <w:t xml:space="preserve">a </w:t>
      </w:r>
      <w:r w:rsidR="00736496" w:rsidRPr="00736496">
        <w:rPr>
          <w:rFonts w:asciiTheme="majorBidi" w:hAnsiTheme="majorBidi" w:cstheme="majorBidi"/>
          <w:sz w:val="24"/>
          <w:szCs w:val="24"/>
        </w:rPr>
        <w:t xml:space="preserve">range of services </w:t>
      </w:r>
      <w:r w:rsidR="00736496">
        <w:rPr>
          <w:rFonts w:asciiTheme="majorBidi" w:hAnsiTheme="majorBidi" w:cstheme="majorBidi"/>
          <w:sz w:val="24"/>
          <w:szCs w:val="24"/>
        </w:rPr>
        <w:t xml:space="preserve">to </w:t>
      </w:r>
      <w:r w:rsidR="00736496" w:rsidRPr="00736496">
        <w:rPr>
          <w:rFonts w:asciiTheme="majorBidi" w:hAnsiTheme="majorBidi" w:cstheme="majorBidi"/>
          <w:sz w:val="24"/>
          <w:szCs w:val="24"/>
        </w:rPr>
        <w:t xml:space="preserve">empower delegates </w:t>
      </w:r>
      <w:r w:rsidR="00736496">
        <w:rPr>
          <w:rFonts w:asciiTheme="majorBidi" w:hAnsiTheme="majorBidi" w:cstheme="majorBidi"/>
          <w:sz w:val="24"/>
          <w:szCs w:val="24"/>
        </w:rPr>
        <w:t xml:space="preserve">for </w:t>
      </w:r>
      <w:r w:rsidR="00736496" w:rsidRPr="00736496">
        <w:rPr>
          <w:rFonts w:asciiTheme="majorBidi" w:hAnsiTheme="majorBidi" w:cstheme="majorBidi"/>
          <w:sz w:val="24"/>
          <w:szCs w:val="24"/>
        </w:rPr>
        <w:t>more active and efficient participation in ITU-T meetings</w:t>
      </w:r>
      <w:r w:rsidR="00736496">
        <w:rPr>
          <w:rFonts w:asciiTheme="majorBidi" w:hAnsiTheme="majorBidi" w:cstheme="majorBidi"/>
          <w:sz w:val="24"/>
          <w:szCs w:val="24"/>
        </w:rPr>
        <w:t xml:space="preserve">. </w:t>
      </w:r>
      <w:r w:rsidR="00DD2678" w:rsidRPr="00DD2678">
        <w:rPr>
          <w:rFonts w:asciiTheme="majorBidi" w:hAnsiTheme="majorBidi" w:cstheme="majorBidi"/>
          <w:sz w:val="24"/>
          <w:szCs w:val="24"/>
        </w:rPr>
        <w:t xml:space="preserve">The full programme can be found </w:t>
      </w:r>
      <w:hyperlink r:id="rId19" w:history="1">
        <w:r w:rsidR="00DD2678" w:rsidRPr="00DD2678">
          <w:rPr>
            <w:rStyle w:val="Hyperlink"/>
            <w:rFonts w:asciiTheme="majorBidi" w:hAnsiTheme="majorBidi" w:cstheme="majorBidi"/>
            <w:sz w:val="24"/>
            <w:szCs w:val="24"/>
          </w:rPr>
          <w:t>here</w:t>
        </w:r>
      </w:hyperlink>
      <w:r w:rsidR="00DD2678" w:rsidRPr="00DD2678">
        <w:rPr>
          <w:rFonts w:asciiTheme="majorBidi" w:hAnsiTheme="majorBidi" w:cstheme="majorBidi"/>
          <w:sz w:val="24"/>
          <w:szCs w:val="24"/>
        </w:rPr>
        <w:t>.</w:t>
      </w:r>
    </w:p>
    <w:p w14:paraId="4226EEE9" w14:textId="1085F94C" w:rsidR="009E3298" w:rsidRPr="00F24FCF" w:rsidRDefault="009E3298" w:rsidP="006C6910">
      <w:pPr>
        <w:pStyle w:val="MyHeading"/>
        <w:jc w:val="center"/>
      </w:pPr>
      <w:r w:rsidRPr="00F24FCF">
        <w:t xml:space="preserve">Table </w:t>
      </w:r>
      <w:r w:rsidR="0055267E">
        <w:t>2</w:t>
      </w:r>
      <w:r w:rsidRPr="00F24FCF">
        <w:t xml:space="preserve">: List of BSG trainings and events carried out </w:t>
      </w:r>
      <w:r w:rsidR="00DF0B1A">
        <w:t xml:space="preserve">since September 2019 </w:t>
      </w:r>
      <w:r w:rsidRPr="00F24FCF">
        <w:t xml:space="preserve">and planned </w:t>
      </w:r>
      <w:r w:rsidR="008E3F33">
        <w:t xml:space="preserve">during the first quarter of </w:t>
      </w:r>
      <w:r w:rsidRPr="00F24FCF">
        <w:t>20</w:t>
      </w:r>
      <w:r w:rsidR="008E3F33">
        <w:t>20</w:t>
      </w:r>
    </w:p>
    <w:tbl>
      <w:tblPr>
        <w:tblStyle w:val="TableGrid"/>
        <w:tblW w:w="0" w:type="auto"/>
        <w:tblLook w:val="04A0" w:firstRow="1" w:lastRow="0" w:firstColumn="1" w:lastColumn="0" w:noHBand="0" w:noVBand="1"/>
      </w:tblPr>
      <w:tblGrid>
        <w:gridCol w:w="3005"/>
        <w:gridCol w:w="3005"/>
        <w:gridCol w:w="3006"/>
      </w:tblGrid>
      <w:tr w:rsidR="00BB3027" w:rsidRPr="00F24FCF" w14:paraId="1843E46E" w14:textId="77777777" w:rsidTr="00BB3027">
        <w:tc>
          <w:tcPr>
            <w:tcW w:w="3005" w:type="dxa"/>
          </w:tcPr>
          <w:p w14:paraId="6AA82A5F" w14:textId="77777777" w:rsidR="00BB3027" w:rsidRPr="00F24FCF" w:rsidRDefault="00BB3027" w:rsidP="00BB3027">
            <w:pPr>
              <w:jc w:val="center"/>
              <w:rPr>
                <w:rFonts w:asciiTheme="majorBidi" w:hAnsiTheme="majorBidi" w:cstheme="majorBidi"/>
                <w:b/>
                <w:sz w:val="24"/>
                <w:szCs w:val="24"/>
              </w:rPr>
            </w:pPr>
            <w:r w:rsidRPr="00F24FCF">
              <w:rPr>
                <w:rFonts w:asciiTheme="majorBidi" w:hAnsiTheme="majorBidi" w:cstheme="majorBidi"/>
                <w:b/>
                <w:sz w:val="24"/>
                <w:szCs w:val="24"/>
              </w:rPr>
              <w:t>Date</w:t>
            </w:r>
          </w:p>
        </w:tc>
        <w:tc>
          <w:tcPr>
            <w:tcW w:w="3005" w:type="dxa"/>
          </w:tcPr>
          <w:p w14:paraId="506E7486" w14:textId="77777777" w:rsidR="00BB3027" w:rsidRPr="00F24FCF" w:rsidRDefault="002E5C0E" w:rsidP="00BB3027">
            <w:pPr>
              <w:jc w:val="center"/>
              <w:rPr>
                <w:rFonts w:asciiTheme="majorBidi" w:hAnsiTheme="majorBidi" w:cstheme="majorBidi"/>
                <w:b/>
                <w:sz w:val="24"/>
                <w:szCs w:val="24"/>
              </w:rPr>
            </w:pPr>
            <w:r w:rsidRPr="00F24FCF">
              <w:rPr>
                <w:rFonts w:asciiTheme="majorBidi" w:hAnsiTheme="majorBidi" w:cstheme="majorBidi"/>
                <w:b/>
                <w:sz w:val="24"/>
                <w:szCs w:val="24"/>
              </w:rPr>
              <w:t xml:space="preserve">Related </w:t>
            </w:r>
            <w:r w:rsidR="00BB3027" w:rsidRPr="00F24FCF">
              <w:rPr>
                <w:rFonts w:asciiTheme="majorBidi" w:hAnsiTheme="majorBidi" w:cstheme="majorBidi"/>
                <w:b/>
                <w:sz w:val="24"/>
                <w:szCs w:val="24"/>
              </w:rPr>
              <w:t>Study Group</w:t>
            </w:r>
            <w:r w:rsidR="009E3298" w:rsidRPr="00F24FCF">
              <w:rPr>
                <w:rFonts w:asciiTheme="majorBidi" w:hAnsiTheme="majorBidi" w:cstheme="majorBidi"/>
                <w:b/>
                <w:sz w:val="24"/>
                <w:szCs w:val="24"/>
              </w:rPr>
              <w:t>/Event</w:t>
            </w:r>
          </w:p>
        </w:tc>
        <w:tc>
          <w:tcPr>
            <w:tcW w:w="3006" w:type="dxa"/>
          </w:tcPr>
          <w:p w14:paraId="387915BE" w14:textId="77777777" w:rsidR="00BB3027" w:rsidRPr="00F24FCF" w:rsidRDefault="00BB3027" w:rsidP="00BB3027">
            <w:pPr>
              <w:jc w:val="center"/>
              <w:rPr>
                <w:rFonts w:asciiTheme="majorBidi" w:hAnsiTheme="majorBidi" w:cstheme="majorBidi"/>
                <w:b/>
                <w:sz w:val="24"/>
                <w:szCs w:val="24"/>
              </w:rPr>
            </w:pPr>
            <w:r w:rsidRPr="00F24FCF">
              <w:rPr>
                <w:rFonts w:asciiTheme="majorBidi" w:hAnsiTheme="majorBidi" w:cstheme="majorBidi"/>
                <w:b/>
                <w:sz w:val="24"/>
                <w:szCs w:val="24"/>
              </w:rPr>
              <w:t>Location</w:t>
            </w:r>
          </w:p>
        </w:tc>
      </w:tr>
      <w:tr w:rsidR="002E5C0E" w:rsidRPr="00F24FCF" w14:paraId="6B099F05" w14:textId="77777777" w:rsidTr="00BB3027">
        <w:tc>
          <w:tcPr>
            <w:tcW w:w="3005" w:type="dxa"/>
          </w:tcPr>
          <w:p w14:paraId="35ECBA1A" w14:textId="77777777" w:rsidR="002E5C0E" w:rsidRPr="00F24FCF" w:rsidRDefault="002E5C0E" w:rsidP="00BB3027">
            <w:pPr>
              <w:rPr>
                <w:rFonts w:asciiTheme="majorBidi" w:hAnsiTheme="majorBidi" w:cstheme="majorBidi"/>
                <w:sz w:val="24"/>
                <w:szCs w:val="24"/>
              </w:rPr>
            </w:pPr>
            <w:r w:rsidRPr="00F24FCF">
              <w:rPr>
                <w:rFonts w:asciiTheme="majorBidi" w:hAnsiTheme="majorBidi" w:cstheme="majorBidi"/>
                <w:sz w:val="24"/>
                <w:szCs w:val="24"/>
              </w:rPr>
              <w:t>1 October 2019</w:t>
            </w:r>
          </w:p>
        </w:tc>
        <w:tc>
          <w:tcPr>
            <w:tcW w:w="3005" w:type="dxa"/>
          </w:tcPr>
          <w:p w14:paraId="55AC3C27" w14:textId="77777777" w:rsidR="002E5C0E" w:rsidRPr="00F24FCF" w:rsidRDefault="002E5C0E" w:rsidP="00BB3027">
            <w:pPr>
              <w:rPr>
                <w:rFonts w:asciiTheme="majorBidi" w:hAnsiTheme="majorBidi" w:cstheme="majorBidi"/>
                <w:sz w:val="24"/>
                <w:szCs w:val="24"/>
              </w:rPr>
            </w:pPr>
            <w:r w:rsidRPr="00F24FCF">
              <w:rPr>
                <w:rFonts w:asciiTheme="majorBidi" w:hAnsiTheme="majorBidi" w:cstheme="majorBidi"/>
                <w:sz w:val="24"/>
                <w:szCs w:val="24"/>
              </w:rPr>
              <w:t>Regional Standardization Forum-SG3 Regional Group for Asia and Oceania</w:t>
            </w:r>
          </w:p>
        </w:tc>
        <w:tc>
          <w:tcPr>
            <w:tcW w:w="3006" w:type="dxa"/>
          </w:tcPr>
          <w:p w14:paraId="4B8C93A9" w14:textId="77777777" w:rsidR="002E5C0E" w:rsidRPr="00F24FCF" w:rsidRDefault="002E5C0E" w:rsidP="004019BC">
            <w:pPr>
              <w:jc w:val="center"/>
              <w:rPr>
                <w:rFonts w:asciiTheme="majorBidi" w:hAnsiTheme="majorBidi" w:cstheme="majorBidi"/>
                <w:sz w:val="24"/>
                <w:szCs w:val="24"/>
              </w:rPr>
            </w:pPr>
            <w:r w:rsidRPr="00F24FCF">
              <w:rPr>
                <w:rFonts w:asciiTheme="majorBidi" w:hAnsiTheme="majorBidi" w:cstheme="majorBidi"/>
                <w:sz w:val="24"/>
                <w:szCs w:val="24"/>
              </w:rPr>
              <w:t>Colombo, Sri-Lanka</w:t>
            </w:r>
          </w:p>
        </w:tc>
      </w:tr>
      <w:tr w:rsidR="00BB3027" w:rsidRPr="00F24FCF" w14:paraId="3A535078" w14:textId="77777777" w:rsidTr="00BB3027">
        <w:tc>
          <w:tcPr>
            <w:tcW w:w="3005" w:type="dxa"/>
          </w:tcPr>
          <w:p w14:paraId="6B2680D8" w14:textId="77777777" w:rsidR="00BB3027" w:rsidRPr="00F24FCF" w:rsidRDefault="00BB3027" w:rsidP="00BB3027">
            <w:pPr>
              <w:rPr>
                <w:rFonts w:asciiTheme="majorBidi" w:hAnsiTheme="majorBidi" w:cstheme="majorBidi"/>
                <w:sz w:val="24"/>
                <w:szCs w:val="24"/>
              </w:rPr>
            </w:pPr>
            <w:r w:rsidRPr="00F24FCF">
              <w:rPr>
                <w:rFonts w:asciiTheme="majorBidi" w:hAnsiTheme="majorBidi" w:cstheme="majorBidi"/>
                <w:sz w:val="24"/>
                <w:szCs w:val="24"/>
              </w:rPr>
              <w:t>20-21 October 2019</w:t>
            </w:r>
          </w:p>
        </w:tc>
        <w:tc>
          <w:tcPr>
            <w:tcW w:w="3005" w:type="dxa"/>
          </w:tcPr>
          <w:p w14:paraId="3F29CC64" w14:textId="550CC065"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SG2 Regional Group for Africa, SG2 Regional Group for the Arab Region</w:t>
            </w:r>
            <w:r w:rsidR="00B36970" w:rsidRPr="00F24FCF">
              <w:rPr>
                <w:rFonts w:asciiTheme="majorBidi" w:hAnsiTheme="majorBidi" w:cstheme="majorBidi"/>
                <w:sz w:val="24"/>
                <w:szCs w:val="24"/>
              </w:rPr>
              <w:t>, SG3 Regional Group for the Arab Region</w:t>
            </w:r>
          </w:p>
        </w:tc>
        <w:tc>
          <w:tcPr>
            <w:tcW w:w="3006" w:type="dxa"/>
          </w:tcPr>
          <w:p w14:paraId="4192DDC9"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Dubai, United Arab Emirates</w:t>
            </w:r>
          </w:p>
        </w:tc>
      </w:tr>
      <w:tr w:rsidR="00BB3027" w:rsidRPr="00F24FCF" w14:paraId="13D0A444" w14:textId="77777777" w:rsidTr="00BB3027">
        <w:tc>
          <w:tcPr>
            <w:tcW w:w="3005" w:type="dxa"/>
          </w:tcPr>
          <w:p w14:paraId="2942ED60"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22 October 2019</w:t>
            </w:r>
          </w:p>
        </w:tc>
        <w:tc>
          <w:tcPr>
            <w:tcW w:w="3005" w:type="dxa"/>
          </w:tcPr>
          <w:p w14:paraId="0799574B"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SG13, SG11</w:t>
            </w:r>
          </w:p>
        </w:tc>
        <w:tc>
          <w:tcPr>
            <w:tcW w:w="3006" w:type="dxa"/>
          </w:tcPr>
          <w:p w14:paraId="20B67C70"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Geneva, Switzerland</w:t>
            </w:r>
          </w:p>
        </w:tc>
      </w:tr>
      <w:tr w:rsidR="00BB3027" w:rsidRPr="00F24FCF" w14:paraId="7437DA5B" w14:textId="77777777" w:rsidTr="00BB3027">
        <w:tc>
          <w:tcPr>
            <w:tcW w:w="3005" w:type="dxa"/>
          </w:tcPr>
          <w:p w14:paraId="463A746F"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25 November 2019</w:t>
            </w:r>
          </w:p>
        </w:tc>
        <w:tc>
          <w:tcPr>
            <w:tcW w:w="3005" w:type="dxa"/>
          </w:tcPr>
          <w:p w14:paraId="4B9194D9"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SG20</w:t>
            </w:r>
          </w:p>
        </w:tc>
        <w:tc>
          <w:tcPr>
            <w:tcW w:w="3006" w:type="dxa"/>
          </w:tcPr>
          <w:p w14:paraId="2B083076"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Geneva Switzerland</w:t>
            </w:r>
          </w:p>
        </w:tc>
      </w:tr>
      <w:tr w:rsidR="008E3F33" w:rsidRPr="00F24FCF" w14:paraId="0810F83D" w14:textId="77777777" w:rsidTr="00BB3027">
        <w:tc>
          <w:tcPr>
            <w:tcW w:w="3005" w:type="dxa"/>
          </w:tcPr>
          <w:p w14:paraId="4386A76A" w14:textId="0E090A74"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February 2020</w:t>
            </w:r>
            <w:r w:rsidR="00523DFB">
              <w:rPr>
                <w:rFonts w:asciiTheme="majorBidi" w:hAnsiTheme="majorBidi" w:cstheme="majorBidi"/>
                <w:sz w:val="24"/>
                <w:szCs w:val="24"/>
              </w:rPr>
              <w:t>*</w:t>
            </w:r>
          </w:p>
        </w:tc>
        <w:tc>
          <w:tcPr>
            <w:tcW w:w="3005" w:type="dxa"/>
          </w:tcPr>
          <w:p w14:paraId="1FD15F7B" w14:textId="1160FE63"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SG13 Regional Group for Africa</w:t>
            </w:r>
          </w:p>
        </w:tc>
        <w:tc>
          <w:tcPr>
            <w:tcW w:w="3006" w:type="dxa"/>
          </w:tcPr>
          <w:p w14:paraId="3E48C095" w14:textId="21118F2A" w:rsidR="008E3F33" w:rsidRPr="00F24FCF" w:rsidRDefault="008E3F33" w:rsidP="004019BC">
            <w:pPr>
              <w:jc w:val="center"/>
              <w:rPr>
                <w:rFonts w:asciiTheme="majorBidi" w:hAnsiTheme="majorBidi" w:cstheme="majorBidi"/>
                <w:sz w:val="24"/>
                <w:szCs w:val="24"/>
              </w:rPr>
            </w:pPr>
            <w:r>
              <w:rPr>
                <w:rFonts w:asciiTheme="majorBidi" w:hAnsiTheme="majorBidi" w:cstheme="majorBidi"/>
                <w:sz w:val="24"/>
                <w:szCs w:val="24"/>
              </w:rPr>
              <w:t>Abuja, Nigeria</w:t>
            </w:r>
          </w:p>
        </w:tc>
      </w:tr>
      <w:tr w:rsidR="008E3F33" w:rsidRPr="00F24FCF" w14:paraId="5F176FD6" w14:textId="77777777" w:rsidTr="00BB3027">
        <w:tc>
          <w:tcPr>
            <w:tcW w:w="3005" w:type="dxa"/>
          </w:tcPr>
          <w:p w14:paraId="42BBADEB" w14:textId="0BE2CE19"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4 March 2020</w:t>
            </w:r>
            <w:r w:rsidR="00523DFB">
              <w:rPr>
                <w:rFonts w:asciiTheme="majorBidi" w:hAnsiTheme="majorBidi" w:cstheme="majorBidi"/>
                <w:sz w:val="24"/>
                <w:szCs w:val="24"/>
              </w:rPr>
              <w:t>*</w:t>
            </w:r>
          </w:p>
        </w:tc>
        <w:tc>
          <w:tcPr>
            <w:tcW w:w="3005" w:type="dxa"/>
          </w:tcPr>
          <w:p w14:paraId="350BEF4E" w14:textId="55D18AE2"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SG11</w:t>
            </w:r>
          </w:p>
        </w:tc>
        <w:tc>
          <w:tcPr>
            <w:tcW w:w="3006" w:type="dxa"/>
          </w:tcPr>
          <w:p w14:paraId="25E8627F" w14:textId="582624F1" w:rsidR="008E3F33" w:rsidRPr="00F24FCF" w:rsidRDefault="008E3F33" w:rsidP="004019BC">
            <w:pPr>
              <w:jc w:val="center"/>
              <w:rPr>
                <w:rFonts w:asciiTheme="majorBidi" w:hAnsiTheme="majorBidi" w:cstheme="majorBidi"/>
                <w:sz w:val="24"/>
                <w:szCs w:val="24"/>
              </w:rPr>
            </w:pPr>
            <w:r>
              <w:rPr>
                <w:rFonts w:asciiTheme="majorBidi" w:hAnsiTheme="majorBidi" w:cstheme="majorBidi"/>
                <w:sz w:val="24"/>
                <w:szCs w:val="24"/>
              </w:rPr>
              <w:t>Geneva, Switzerland</w:t>
            </w:r>
          </w:p>
        </w:tc>
      </w:tr>
      <w:tr w:rsidR="005F7E18" w:rsidRPr="00F24FCF" w14:paraId="01154EDB" w14:textId="77777777" w:rsidTr="00BB3027">
        <w:tc>
          <w:tcPr>
            <w:tcW w:w="3005" w:type="dxa"/>
          </w:tcPr>
          <w:p w14:paraId="03142023" w14:textId="07D0C743" w:rsidR="005F7E18" w:rsidRDefault="005F7E18" w:rsidP="00BB3027">
            <w:pPr>
              <w:rPr>
                <w:rFonts w:asciiTheme="majorBidi" w:hAnsiTheme="majorBidi" w:cstheme="majorBidi"/>
                <w:sz w:val="24"/>
                <w:szCs w:val="24"/>
              </w:rPr>
            </w:pPr>
            <w:r>
              <w:rPr>
                <w:rFonts w:asciiTheme="majorBidi" w:hAnsiTheme="majorBidi" w:cstheme="majorBidi"/>
                <w:sz w:val="24"/>
                <w:szCs w:val="24"/>
              </w:rPr>
              <w:t>16 March 2020</w:t>
            </w:r>
          </w:p>
        </w:tc>
        <w:tc>
          <w:tcPr>
            <w:tcW w:w="3005" w:type="dxa"/>
          </w:tcPr>
          <w:p w14:paraId="36219962" w14:textId="57488674" w:rsidR="005F7E18" w:rsidRDefault="005F7E18" w:rsidP="00BB3027">
            <w:pPr>
              <w:rPr>
                <w:rFonts w:asciiTheme="majorBidi" w:hAnsiTheme="majorBidi" w:cstheme="majorBidi"/>
                <w:sz w:val="24"/>
                <w:szCs w:val="24"/>
              </w:rPr>
            </w:pPr>
            <w:r w:rsidRPr="005F7E18">
              <w:rPr>
                <w:rFonts w:asciiTheme="majorBidi" w:hAnsiTheme="majorBidi" w:cstheme="majorBidi"/>
                <w:sz w:val="24"/>
                <w:szCs w:val="24"/>
              </w:rPr>
              <w:t>Arab Smart Agriculture Forum</w:t>
            </w:r>
          </w:p>
        </w:tc>
        <w:tc>
          <w:tcPr>
            <w:tcW w:w="3006" w:type="dxa"/>
          </w:tcPr>
          <w:p w14:paraId="4206270F" w14:textId="5FD33FD5" w:rsidR="005F7E18" w:rsidRDefault="005F7E18" w:rsidP="004019BC">
            <w:pPr>
              <w:jc w:val="center"/>
              <w:rPr>
                <w:rFonts w:asciiTheme="majorBidi" w:hAnsiTheme="majorBidi" w:cstheme="majorBidi"/>
                <w:sz w:val="24"/>
                <w:szCs w:val="24"/>
              </w:rPr>
            </w:pPr>
            <w:r>
              <w:rPr>
                <w:rFonts w:asciiTheme="majorBidi" w:hAnsiTheme="majorBidi" w:cstheme="majorBidi"/>
                <w:sz w:val="24"/>
                <w:szCs w:val="24"/>
              </w:rPr>
              <w:t>Doha, Qatar</w:t>
            </w:r>
          </w:p>
        </w:tc>
      </w:tr>
      <w:tr w:rsidR="008E3F33" w:rsidRPr="00F24FCF" w14:paraId="432E87E0" w14:textId="77777777" w:rsidTr="00BB3027">
        <w:tc>
          <w:tcPr>
            <w:tcW w:w="3005" w:type="dxa"/>
          </w:tcPr>
          <w:p w14:paraId="2D17BA35" w14:textId="17095346"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July 2020</w:t>
            </w:r>
            <w:r w:rsidR="00523DFB">
              <w:rPr>
                <w:rFonts w:asciiTheme="majorBidi" w:hAnsiTheme="majorBidi" w:cstheme="majorBidi"/>
                <w:sz w:val="24"/>
                <w:szCs w:val="24"/>
              </w:rPr>
              <w:t>*</w:t>
            </w:r>
          </w:p>
        </w:tc>
        <w:tc>
          <w:tcPr>
            <w:tcW w:w="3005" w:type="dxa"/>
          </w:tcPr>
          <w:p w14:paraId="024F3E27" w14:textId="761B3D3B" w:rsidR="008E3F33" w:rsidRPr="00F24FCF" w:rsidRDefault="00523DFB" w:rsidP="00BB3027">
            <w:pPr>
              <w:rPr>
                <w:rFonts w:asciiTheme="majorBidi" w:hAnsiTheme="majorBidi" w:cstheme="majorBidi"/>
                <w:sz w:val="24"/>
                <w:szCs w:val="24"/>
              </w:rPr>
            </w:pPr>
            <w:r>
              <w:rPr>
                <w:rFonts w:asciiTheme="majorBidi" w:hAnsiTheme="majorBidi" w:cstheme="majorBidi"/>
                <w:sz w:val="24"/>
                <w:szCs w:val="24"/>
              </w:rPr>
              <w:t xml:space="preserve">SG11, </w:t>
            </w:r>
            <w:r w:rsidR="008E3F33">
              <w:rPr>
                <w:rFonts w:asciiTheme="majorBidi" w:hAnsiTheme="majorBidi" w:cstheme="majorBidi"/>
                <w:sz w:val="24"/>
                <w:szCs w:val="24"/>
              </w:rPr>
              <w:t>SG13</w:t>
            </w:r>
          </w:p>
        </w:tc>
        <w:tc>
          <w:tcPr>
            <w:tcW w:w="3006" w:type="dxa"/>
          </w:tcPr>
          <w:p w14:paraId="351008CE" w14:textId="72640539" w:rsidR="008E3F33" w:rsidRPr="00F24FCF" w:rsidRDefault="00523DFB" w:rsidP="004019BC">
            <w:pPr>
              <w:jc w:val="center"/>
              <w:rPr>
                <w:rFonts w:asciiTheme="majorBidi" w:hAnsiTheme="majorBidi" w:cstheme="majorBidi"/>
                <w:sz w:val="24"/>
                <w:szCs w:val="24"/>
              </w:rPr>
            </w:pPr>
            <w:r>
              <w:rPr>
                <w:rFonts w:asciiTheme="majorBidi" w:hAnsiTheme="majorBidi" w:cstheme="majorBidi"/>
                <w:sz w:val="24"/>
                <w:szCs w:val="24"/>
              </w:rPr>
              <w:t>Geneva, Switzerland</w:t>
            </w:r>
          </w:p>
        </w:tc>
      </w:tr>
    </w:tbl>
    <w:p w14:paraId="4DB63E84" w14:textId="31FB7F39" w:rsidR="00523DFB" w:rsidRPr="00523DFB" w:rsidRDefault="00523DFB" w:rsidP="00523DFB">
      <w:pPr>
        <w:rPr>
          <w:rFonts w:asciiTheme="majorBidi" w:hAnsiTheme="majorBidi" w:cstheme="majorBidi"/>
          <w:i/>
          <w:sz w:val="20"/>
          <w:szCs w:val="20"/>
        </w:rPr>
      </w:pPr>
      <w:r w:rsidRPr="00523DFB">
        <w:rPr>
          <w:rFonts w:asciiTheme="majorBidi" w:hAnsiTheme="majorBidi" w:cstheme="majorBidi"/>
          <w:i/>
          <w:sz w:val="20"/>
          <w:szCs w:val="20"/>
        </w:rPr>
        <w:t>*</w:t>
      </w:r>
      <w:r w:rsidR="005F7E18">
        <w:rPr>
          <w:rFonts w:asciiTheme="majorBidi" w:hAnsiTheme="majorBidi" w:cstheme="majorBidi"/>
          <w:i/>
          <w:sz w:val="20"/>
          <w:szCs w:val="20"/>
        </w:rPr>
        <w:t>planned</w:t>
      </w:r>
      <w:r w:rsidRPr="00523DFB">
        <w:rPr>
          <w:rFonts w:asciiTheme="majorBidi" w:hAnsiTheme="majorBidi" w:cstheme="majorBidi"/>
          <w:i/>
          <w:sz w:val="20"/>
          <w:szCs w:val="20"/>
        </w:rPr>
        <w:t xml:space="preserve"> trainings</w:t>
      </w:r>
    </w:p>
    <w:p w14:paraId="52E238C6" w14:textId="3C9D33F8" w:rsidR="00D46F57" w:rsidRPr="00E927B7" w:rsidRDefault="00921095" w:rsidP="00D46F57">
      <w:pPr>
        <w:pStyle w:val="ListParagraph"/>
        <w:numPr>
          <w:ilvl w:val="0"/>
          <w:numId w:val="36"/>
        </w:numPr>
        <w:rPr>
          <w:rFonts w:asciiTheme="majorBidi" w:hAnsiTheme="majorBidi" w:cstheme="majorBidi"/>
          <w:i/>
          <w:sz w:val="24"/>
          <w:szCs w:val="24"/>
        </w:rPr>
      </w:pPr>
      <w:r w:rsidRPr="00F24FCF">
        <w:rPr>
          <w:rFonts w:asciiTheme="majorBidi" w:hAnsiTheme="majorBidi" w:cstheme="majorBidi"/>
          <w:i/>
          <w:sz w:val="24"/>
          <w:szCs w:val="24"/>
        </w:rPr>
        <w:t>Fellowships</w:t>
      </w:r>
      <w:r w:rsidR="00DF0B1A">
        <w:rPr>
          <w:rFonts w:asciiTheme="majorBidi" w:hAnsiTheme="majorBidi" w:cstheme="majorBidi"/>
          <w:i/>
          <w:sz w:val="24"/>
          <w:szCs w:val="24"/>
        </w:rPr>
        <w:t xml:space="preserve"> to attend ITU-T meetings</w:t>
      </w:r>
      <w:r w:rsidRPr="00F24FCF">
        <w:rPr>
          <w:rFonts w:asciiTheme="majorBidi" w:hAnsiTheme="majorBidi" w:cstheme="majorBidi"/>
          <w:i/>
          <w:sz w:val="24"/>
          <w:szCs w:val="24"/>
        </w:rPr>
        <w:t>:</w:t>
      </w:r>
      <w:r w:rsidR="00B74AB8" w:rsidRPr="00F24FCF">
        <w:rPr>
          <w:rFonts w:asciiTheme="majorBidi" w:hAnsiTheme="majorBidi" w:cstheme="majorBidi"/>
          <w:sz w:val="24"/>
          <w:szCs w:val="24"/>
        </w:rPr>
        <w:t xml:space="preserve"> TSB offers fellowship</w:t>
      </w:r>
      <w:r w:rsidR="00367722" w:rsidRPr="00F24FCF">
        <w:rPr>
          <w:rFonts w:asciiTheme="majorBidi" w:hAnsiTheme="majorBidi" w:cstheme="majorBidi"/>
          <w:sz w:val="24"/>
          <w:szCs w:val="24"/>
        </w:rPr>
        <w:t>s</w:t>
      </w:r>
      <w:r w:rsidR="00DF0B1A">
        <w:rPr>
          <w:rFonts w:asciiTheme="majorBidi" w:hAnsiTheme="majorBidi" w:cstheme="majorBidi"/>
          <w:sz w:val="24"/>
          <w:szCs w:val="24"/>
        </w:rPr>
        <w:t xml:space="preserve"> (and partial fellowships)</w:t>
      </w:r>
      <w:r w:rsidR="00B74AB8" w:rsidRPr="00F24FCF">
        <w:rPr>
          <w:rFonts w:asciiTheme="majorBidi" w:hAnsiTheme="majorBidi" w:cstheme="majorBidi"/>
          <w:sz w:val="24"/>
          <w:szCs w:val="24"/>
        </w:rPr>
        <w:t xml:space="preserve"> </w:t>
      </w:r>
      <w:r w:rsidR="00367722" w:rsidRPr="00F24FCF">
        <w:rPr>
          <w:rFonts w:asciiTheme="majorBidi" w:hAnsiTheme="majorBidi" w:cstheme="majorBidi"/>
          <w:sz w:val="24"/>
          <w:szCs w:val="24"/>
        </w:rPr>
        <w:t xml:space="preserve">to </w:t>
      </w:r>
      <w:r w:rsidR="00B74AB8" w:rsidRPr="00F24FCF">
        <w:rPr>
          <w:rFonts w:asciiTheme="majorBidi" w:hAnsiTheme="majorBidi" w:cstheme="majorBidi"/>
          <w:sz w:val="24"/>
          <w:szCs w:val="24"/>
        </w:rPr>
        <w:t xml:space="preserve">delegates from least developed countries (LDCs) and developing countries </w:t>
      </w:r>
      <w:r w:rsidR="00367722" w:rsidRPr="00F24FCF">
        <w:rPr>
          <w:rFonts w:asciiTheme="majorBidi" w:hAnsiTheme="majorBidi" w:cstheme="majorBidi"/>
          <w:sz w:val="24"/>
          <w:szCs w:val="24"/>
        </w:rPr>
        <w:t>based on availab</w:t>
      </w:r>
      <w:r w:rsidR="00F30696" w:rsidRPr="00F24FCF">
        <w:rPr>
          <w:rFonts w:asciiTheme="majorBidi" w:hAnsiTheme="majorBidi" w:cstheme="majorBidi"/>
          <w:sz w:val="24"/>
          <w:szCs w:val="24"/>
        </w:rPr>
        <w:t>ility of</w:t>
      </w:r>
      <w:r w:rsidR="00367722" w:rsidRPr="00F24FCF">
        <w:rPr>
          <w:rFonts w:asciiTheme="majorBidi" w:hAnsiTheme="majorBidi" w:cstheme="majorBidi"/>
          <w:sz w:val="24"/>
          <w:szCs w:val="24"/>
        </w:rPr>
        <w:t xml:space="preserve"> budget. Within this study period, the number of fellowships awarded have increased steadily.</w:t>
      </w:r>
      <w:r w:rsidR="006A78EE" w:rsidRPr="00F24FCF">
        <w:rPr>
          <w:rFonts w:asciiTheme="majorBidi" w:hAnsiTheme="majorBidi" w:cstheme="majorBidi"/>
          <w:sz w:val="24"/>
          <w:szCs w:val="24"/>
        </w:rPr>
        <w:t xml:space="preserve"> </w:t>
      </w:r>
      <w:r w:rsidR="00D46F57">
        <w:rPr>
          <w:rFonts w:asciiTheme="majorBidi" w:hAnsiTheme="majorBidi" w:cstheme="majorBidi"/>
          <w:sz w:val="24"/>
          <w:szCs w:val="24"/>
        </w:rPr>
        <w:t>D</w:t>
      </w:r>
      <w:r w:rsidR="00D321A6" w:rsidRPr="00F24FCF">
        <w:rPr>
          <w:rFonts w:asciiTheme="majorBidi" w:hAnsiTheme="majorBidi" w:cstheme="majorBidi"/>
          <w:sz w:val="24"/>
          <w:szCs w:val="24"/>
        </w:rPr>
        <w:t xml:space="preserve">elegates who have been granted a fellowship are </w:t>
      </w:r>
      <w:r w:rsidR="00B36970" w:rsidRPr="00F24FCF">
        <w:rPr>
          <w:rFonts w:asciiTheme="majorBidi" w:hAnsiTheme="majorBidi" w:cstheme="majorBidi"/>
          <w:sz w:val="24"/>
          <w:szCs w:val="24"/>
        </w:rPr>
        <w:t xml:space="preserve">expected </w:t>
      </w:r>
      <w:r w:rsidR="00D321A6" w:rsidRPr="00F24FCF">
        <w:rPr>
          <w:rFonts w:asciiTheme="majorBidi" w:hAnsiTheme="majorBidi" w:cstheme="majorBidi"/>
          <w:sz w:val="24"/>
          <w:szCs w:val="24"/>
        </w:rPr>
        <w:t xml:space="preserve">to </w:t>
      </w:r>
      <w:r w:rsidR="00B36970" w:rsidRPr="00F24FCF">
        <w:rPr>
          <w:rFonts w:asciiTheme="majorBidi" w:hAnsiTheme="majorBidi" w:cstheme="majorBidi"/>
          <w:sz w:val="24"/>
          <w:szCs w:val="24"/>
        </w:rPr>
        <w:t xml:space="preserve">submit </w:t>
      </w:r>
      <w:r w:rsidR="00EA48D8" w:rsidRPr="00F24FCF">
        <w:rPr>
          <w:rFonts w:asciiTheme="majorBidi" w:hAnsiTheme="majorBidi" w:cstheme="majorBidi"/>
          <w:sz w:val="24"/>
          <w:szCs w:val="24"/>
        </w:rPr>
        <w:t>an (</w:t>
      </w:r>
      <w:r w:rsidR="00D321A6" w:rsidRPr="00F24FCF">
        <w:rPr>
          <w:rFonts w:asciiTheme="majorBidi" w:hAnsiTheme="majorBidi" w:cstheme="majorBidi"/>
          <w:sz w:val="24"/>
          <w:szCs w:val="24"/>
        </w:rPr>
        <w:t>applica</w:t>
      </w:r>
      <w:r w:rsidR="00EA48D8" w:rsidRPr="00F24FCF">
        <w:rPr>
          <w:rFonts w:asciiTheme="majorBidi" w:hAnsiTheme="majorBidi" w:cstheme="majorBidi"/>
          <w:sz w:val="24"/>
          <w:szCs w:val="24"/>
        </w:rPr>
        <w:t>ble)</w:t>
      </w:r>
      <w:r w:rsidR="00D321A6" w:rsidRPr="00F24FCF">
        <w:rPr>
          <w:rFonts w:asciiTheme="majorBidi" w:hAnsiTheme="majorBidi" w:cstheme="majorBidi"/>
          <w:sz w:val="24"/>
          <w:szCs w:val="24"/>
        </w:rPr>
        <w:t xml:space="preserve"> contribution to the Study Group meeting they will be attending.</w:t>
      </w:r>
      <w:r w:rsidR="00DF0B1A">
        <w:rPr>
          <w:rFonts w:asciiTheme="majorBidi" w:hAnsiTheme="majorBidi" w:cstheme="majorBidi"/>
          <w:sz w:val="24"/>
          <w:szCs w:val="24"/>
        </w:rPr>
        <w:t xml:space="preserve"> Since </w:t>
      </w:r>
      <w:r w:rsidR="00CB07AD">
        <w:rPr>
          <w:rFonts w:asciiTheme="majorBidi" w:hAnsiTheme="majorBidi" w:cstheme="majorBidi"/>
          <w:sz w:val="24"/>
          <w:szCs w:val="24"/>
        </w:rPr>
        <w:t xml:space="preserve">August </w:t>
      </w:r>
      <w:r w:rsidR="00DF0B1A">
        <w:rPr>
          <w:rFonts w:asciiTheme="majorBidi" w:hAnsiTheme="majorBidi" w:cstheme="majorBidi"/>
          <w:sz w:val="24"/>
          <w:szCs w:val="24"/>
        </w:rPr>
        <w:t>2019, 8</w:t>
      </w:r>
      <w:r w:rsidR="00CB07AD">
        <w:rPr>
          <w:rFonts w:asciiTheme="majorBidi" w:hAnsiTheme="majorBidi" w:cstheme="majorBidi"/>
          <w:sz w:val="24"/>
          <w:szCs w:val="24"/>
        </w:rPr>
        <w:t>5</w:t>
      </w:r>
      <w:r w:rsidR="00DF0B1A">
        <w:rPr>
          <w:rFonts w:asciiTheme="majorBidi" w:hAnsiTheme="majorBidi" w:cstheme="majorBidi"/>
          <w:sz w:val="24"/>
          <w:szCs w:val="24"/>
        </w:rPr>
        <w:t xml:space="preserve"> fellowships have been provided.</w:t>
      </w:r>
    </w:p>
    <w:p w14:paraId="626DE460" w14:textId="5331911F" w:rsidR="00C25D95" w:rsidRDefault="00C25D95">
      <w:pPr>
        <w:rPr>
          <w:rFonts w:asciiTheme="majorBidi" w:hAnsiTheme="majorBidi" w:cstheme="majorBidi"/>
          <w:i/>
          <w:sz w:val="24"/>
          <w:szCs w:val="24"/>
        </w:rPr>
      </w:pPr>
      <w:r>
        <w:rPr>
          <w:rFonts w:asciiTheme="majorBidi" w:hAnsiTheme="majorBidi" w:cstheme="majorBidi"/>
          <w:i/>
          <w:sz w:val="24"/>
          <w:szCs w:val="24"/>
        </w:rPr>
        <w:br w:type="page"/>
      </w:r>
    </w:p>
    <w:p w14:paraId="2F9921D7" w14:textId="77777777" w:rsidR="00C25D95" w:rsidRPr="00E927B7" w:rsidRDefault="00C25D95" w:rsidP="00E927B7">
      <w:pPr>
        <w:rPr>
          <w:rFonts w:asciiTheme="majorBidi" w:hAnsiTheme="majorBidi" w:cstheme="majorBidi"/>
          <w:i/>
          <w:sz w:val="24"/>
          <w:szCs w:val="24"/>
        </w:rPr>
      </w:pPr>
    </w:p>
    <w:p w14:paraId="7B658102" w14:textId="75DF8E9A" w:rsidR="00DF0B1A" w:rsidRPr="00D46F57" w:rsidRDefault="00D46F57" w:rsidP="00D46F57">
      <w:pPr>
        <w:pStyle w:val="MyHeading"/>
        <w:ind w:left="360"/>
      </w:pPr>
      <w:r>
        <w:t>Figure</w:t>
      </w:r>
      <w:r w:rsidRPr="00F1624A">
        <w:t xml:space="preserve"> </w:t>
      </w:r>
      <w:r>
        <w:t>2</w:t>
      </w:r>
      <w:r w:rsidRPr="00F1624A">
        <w:t>:</w:t>
      </w:r>
      <w:r>
        <w:t xml:space="preserve"> Fellowships granted to attend ITU-T meetings (since </w:t>
      </w:r>
      <w:r w:rsidR="00CB07AD">
        <w:t xml:space="preserve">August </w:t>
      </w:r>
      <w:r>
        <w:t>2019)</w:t>
      </w:r>
    </w:p>
    <w:p w14:paraId="17097CE3" w14:textId="21BA8E0A" w:rsidR="00D321A6" w:rsidRDefault="00616838" w:rsidP="00D321A6">
      <w:pPr>
        <w:pStyle w:val="ListParagraph"/>
        <w:rPr>
          <w:rFonts w:asciiTheme="majorBidi" w:hAnsiTheme="majorBidi" w:cstheme="majorBidi"/>
          <w:i/>
          <w:sz w:val="24"/>
          <w:szCs w:val="24"/>
        </w:rPr>
      </w:pPr>
      <w:r>
        <w:rPr>
          <w:noProof/>
        </w:rPr>
        <mc:AlternateContent>
          <mc:Choice Requires="cx2">
            <w:drawing>
              <wp:inline distT="0" distB="0" distL="0" distR="0" wp14:anchorId="130B19E0" wp14:editId="2BEC50F0">
                <wp:extent cx="4572000" cy="2743200"/>
                <wp:effectExtent l="0" t="0" r="0" b="0"/>
                <wp:docPr id="6" name="Chart 6">
                  <a:extLst xmlns:a="http://schemas.openxmlformats.org/drawingml/2006/main">
                    <a:ext uri="{FF2B5EF4-FFF2-40B4-BE49-F238E27FC236}">
                      <a16:creationId xmlns:a16="http://schemas.microsoft.com/office/drawing/2014/main" id="{4850CA23-A439-492E-B359-2759DF371D4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130B19E0" wp14:editId="2BEC50F0">
                <wp:extent cx="4572000" cy="2743200"/>
                <wp:effectExtent l="0" t="0" r="0" b="0"/>
                <wp:docPr id="6" name="Chart 6">
                  <a:extLst xmlns:a="http://schemas.openxmlformats.org/drawingml/2006/main">
                    <a:ext uri="{FF2B5EF4-FFF2-40B4-BE49-F238E27FC236}">
                      <a16:creationId xmlns:a16="http://schemas.microsoft.com/office/drawing/2014/main" id="{4850CA23-A439-492E-B359-2759DF371D4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4850CA23-A439-492E-B359-2759DF371D45}"/>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572000" cy="2743200"/>
                        </a:xfrm>
                        <a:prstGeom prst="rect">
                          <a:avLst/>
                        </a:prstGeom>
                      </pic:spPr>
                    </pic:pic>
                  </a:graphicData>
                </a:graphic>
              </wp:inline>
            </w:drawing>
          </mc:Fallback>
        </mc:AlternateContent>
      </w:r>
      <w:r w:rsidDel="00616838">
        <w:rPr>
          <w:noProof/>
        </w:rPr>
        <w:t xml:space="preserve"> </w:t>
      </w:r>
    </w:p>
    <w:p w14:paraId="1B298543" w14:textId="77777777" w:rsidR="00DF0B1A" w:rsidRPr="00F24FCF" w:rsidRDefault="00DF0B1A" w:rsidP="00D321A6">
      <w:pPr>
        <w:pStyle w:val="ListParagraph"/>
        <w:rPr>
          <w:rFonts w:asciiTheme="majorBidi" w:hAnsiTheme="majorBidi" w:cstheme="majorBidi"/>
          <w:i/>
          <w:sz w:val="24"/>
          <w:szCs w:val="24"/>
        </w:rPr>
      </w:pPr>
    </w:p>
    <w:p w14:paraId="58AC2687" w14:textId="77777777" w:rsidR="00653CCC" w:rsidRPr="00E927B7" w:rsidRDefault="00653CCC" w:rsidP="00E927B7">
      <w:pPr>
        <w:pStyle w:val="ListParagraph"/>
        <w:jc w:val="both"/>
        <w:rPr>
          <w:rFonts w:asciiTheme="majorBidi" w:hAnsiTheme="majorBidi" w:cstheme="majorBidi"/>
          <w:iCs/>
          <w:sz w:val="24"/>
          <w:szCs w:val="24"/>
        </w:rPr>
      </w:pPr>
    </w:p>
    <w:p w14:paraId="6208DEEA" w14:textId="778E874A" w:rsidR="0052086D" w:rsidRPr="00A2747A" w:rsidRDefault="00D321A6" w:rsidP="0052086D">
      <w:pPr>
        <w:pStyle w:val="ListParagraph"/>
        <w:numPr>
          <w:ilvl w:val="0"/>
          <w:numId w:val="36"/>
        </w:numPr>
        <w:jc w:val="both"/>
        <w:rPr>
          <w:rFonts w:asciiTheme="majorBidi" w:hAnsiTheme="majorBidi" w:cstheme="majorBidi"/>
          <w:i/>
          <w:sz w:val="24"/>
          <w:szCs w:val="24"/>
        </w:rPr>
      </w:pPr>
      <w:r w:rsidRPr="00F24FCF">
        <w:rPr>
          <w:rFonts w:asciiTheme="majorBidi" w:hAnsiTheme="majorBidi" w:cstheme="majorBidi"/>
          <w:i/>
          <w:sz w:val="24"/>
          <w:szCs w:val="24"/>
        </w:rPr>
        <w:t>Contributions from developing countries:</w:t>
      </w:r>
      <w:r w:rsidRPr="00F24FCF">
        <w:rPr>
          <w:rFonts w:asciiTheme="majorBidi" w:hAnsiTheme="majorBidi" w:cstheme="majorBidi"/>
          <w:sz w:val="24"/>
          <w:szCs w:val="24"/>
        </w:rPr>
        <w:t xml:space="preserve"> Developing countries have been extensively involved in the work of the Study Groups. There has been a significant increase in the number of the contributions submitted by developing countries within this study period.</w:t>
      </w:r>
    </w:p>
    <w:p w14:paraId="774257AE" w14:textId="57D433C2" w:rsidR="00A2747A" w:rsidRDefault="00A2747A" w:rsidP="00A2747A">
      <w:pPr>
        <w:jc w:val="both"/>
        <w:rPr>
          <w:rFonts w:asciiTheme="majorBidi" w:hAnsiTheme="majorBidi" w:cstheme="majorBidi"/>
          <w:i/>
          <w:sz w:val="24"/>
          <w:szCs w:val="24"/>
        </w:rPr>
      </w:pPr>
    </w:p>
    <w:p w14:paraId="02D274BE" w14:textId="5ED559A4" w:rsidR="00A2747A" w:rsidRDefault="00A2747A" w:rsidP="00A2747A">
      <w:pPr>
        <w:jc w:val="both"/>
        <w:rPr>
          <w:rFonts w:asciiTheme="majorBidi" w:hAnsiTheme="majorBidi" w:cstheme="majorBidi"/>
          <w:i/>
          <w:sz w:val="24"/>
          <w:szCs w:val="24"/>
        </w:rPr>
      </w:pPr>
    </w:p>
    <w:p w14:paraId="39DCC066" w14:textId="64CDCF09" w:rsidR="00A2747A" w:rsidRDefault="00A2747A" w:rsidP="00A2747A">
      <w:pPr>
        <w:jc w:val="both"/>
        <w:rPr>
          <w:rFonts w:asciiTheme="majorBidi" w:hAnsiTheme="majorBidi" w:cstheme="majorBidi"/>
          <w:i/>
          <w:sz w:val="24"/>
          <w:szCs w:val="24"/>
        </w:rPr>
      </w:pPr>
    </w:p>
    <w:p w14:paraId="468C7F22" w14:textId="16F626A7" w:rsidR="00A2747A" w:rsidRDefault="00A2747A" w:rsidP="00A2747A">
      <w:pPr>
        <w:jc w:val="both"/>
        <w:rPr>
          <w:rFonts w:asciiTheme="majorBidi" w:hAnsiTheme="majorBidi" w:cstheme="majorBidi"/>
          <w:i/>
          <w:sz w:val="24"/>
          <w:szCs w:val="24"/>
        </w:rPr>
      </w:pPr>
    </w:p>
    <w:p w14:paraId="7C358C56" w14:textId="20B3FBD7" w:rsidR="00C25D95" w:rsidRDefault="00C25D95">
      <w:pPr>
        <w:rPr>
          <w:rFonts w:asciiTheme="majorBidi" w:hAnsiTheme="majorBidi" w:cstheme="majorBidi"/>
          <w:i/>
          <w:sz w:val="24"/>
          <w:szCs w:val="24"/>
        </w:rPr>
      </w:pPr>
      <w:bookmarkStart w:id="14" w:name="_Hlk30968547"/>
      <w:r>
        <w:rPr>
          <w:rFonts w:asciiTheme="majorBidi" w:hAnsiTheme="majorBidi" w:cstheme="majorBidi"/>
          <w:i/>
          <w:sz w:val="24"/>
          <w:szCs w:val="24"/>
        </w:rPr>
        <w:br w:type="page"/>
      </w:r>
    </w:p>
    <w:p w14:paraId="33D12C91" w14:textId="77777777" w:rsidR="00A2747A" w:rsidRDefault="00A2747A" w:rsidP="00A2747A">
      <w:pPr>
        <w:jc w:val="both"/>
        <w:rPr>
          <w:rFonts w:asciiTheme="majorBidi" w:hAnsiTheme="majorBidi" w:cstheme="majorBidi"/>
          <w:i/>
          <w:sz w:val="24"/>
          <w:szCs w:val="24"/>
        </w:rPr>
      </w:pPr>
    </w:p>
    <w:p w14:paraId="4D61ECF3" w14:textId="66643F23" w:rsidR="00A2747A" w:rsidRPr="00A2747A" w:rsidRDefault="00A2747A" w:rsidP="00A2747A">
      <w:pPr>
        <w:pStyle w:val="MyHeading"/>
      </w:pPr>
      <w:r>
        <w:t>Figure</w:t>
      </w:r>
      <w:r w:rsidRPr="00F1624A">
        <w:t xml:space="preserve"> </w:t>
      </w:r>
      <w:r>
        <w:t>3</w:t>
      </w:r>
      <w:r w:rsidRPr="00F1624A">
        <w:t>:</w:t>
      </w:r>
      <w:r>
        <w:t xml:space="preserve"> Contributions submitted by developing countries within this study period</w:t>
      </w:r>
    </w:p>
    <w:bookmarkEnd w:id="14"/>
    <w:p w14:paraId="095C97AB" w14:textId="2B1372E6" w:rsidR="0052086D" w:rsidRDefault="00A2747A" w:rsidP="0052086D">
      <w:pPr>
        <w:pStyle w:val="ListParagraph"/>
        <w:rPr>
          <w:rFonts w:asciiTheme="majorBidi" w:hAnsiTheme="majorBidi" w:cstheme="majorBidi"/>
          <w:i/>
          <w:sz w:val="24"/>
          <w:szCs w:val="24"/>
        </w:rPr>
      </w:pPr>
      <w:r>
        <w:rPr>
          <w:rFonts w:asciiTheme="majorBidi" w:hAnsiTheme="majorBidi" w:cstheme="majorBidi"/>
          <w:i/>
          <w:noProof/>
          <w:sz w:val="24"/>
          <w:szCs w:val="24"/>
        </w:rPr>
        <w:drawing>
          <wp:inline distT="0" distB="0" distL="0" distR="0" wp14:anchorId="6A715039" wp14:editId="21D76725">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E490F5A" w14:textId="77777777" w:rsidR="00D42222" w:rsidRDefault="00D42222" w:rsidP="00D42222">
      <w:pPr>
        <w:jc w:val="both"/>
        <w:rPr>
          <w:rFonts w:asciiTheme="majorBidi" w:hAnsiTheme="majorBidi" w:cstheme="majorBidi"/>
          <w:i/>
          <w:sz w:val="24"/>
          <w:szCs w:val="24"/>
        </w:rPr>
      </w:pPr>
    </w:p>
    <w:p w14:paraId="19D19AF5" w14:textId="3B26B7FC" w:rsidR="00D42222" w:rsidRPr="00D42222" w:rsidRDefault="00D42222" w:rsidP="00D42222">
      <w:pPr>
        <w:pStyle w:val="MyHeading"/>
      </w:pPr>
      <w:r>
        <w:t>Figure</w:t>
      </w:r>
      <w:r w:rsidRPr="00F1624A">
        <w:t xml:space="preserve"> </w:t>
      </w:r>
      <w:r>
        <w:t>4</w:t>
      </w:r>
      <w:r w:rsidRPr="00F1624A">
        <w:t>:</w:t>
      </w:r>
      <w:r>
        <w:t xml:space="preserve"> Representation from developing countries in the Study Group management teams between study periods</w:t>
      </w:r>
    </w:p>
    <w:p w14:paraId="0861204F" w14:textId="130A3153" w:rsidR="008C25AF" w:rsidRPr="00A2747A" w:rsidRDefault="00D42222" w:rsidP="00D42222">
      <w:pPr>
        <w:jc w:val="center"/>
        <w:rPr>
          <w:rFonts w:asciiTheme="majorBidi" w:hAnsiTheme="majorBidi" w:cstheme="majorBidi"/>
          <w:i/>
          <w:sz w:val="24"/>
          <w:szCs w:val="24"/>
        </w:rPr>
      </w:pPr>
      <w:r>
        <w:rPr>
          <w:rFonts w:asciiTheme="majorBidi" w:hAnsiTheme="majorBidi" w:cstheme="majorBidi"/>
          <w:i/>
          <w:noProof/>
          <w:sz w:val="24"/>
          <w:szCs w:val="24"/>
        </w:rPr>
        <w:drawing>
          <wp:inline distT="0" distB="0" distL="0" distR="0" wp14:anchorId="5FC3BA8D" wp14:editId="2D899AF3">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1211A4B" w14:textId="77777777" w:rsidR="00F651DB" w:rsidRPr="00F24FCF" w:rsidRDefault="008C25AF" w:rsidP="008C25AF">
      <w:pPr>
        <w:pStyle w:val="MyHeading"/>
      </w:pPr>
      <w:r w:rsidRPr="00F24FCF">
        <w:t>Programme 4: Fundraising for bridging the standardization gap</w:t>
      </w:r>
    </w:p>
    <w:p w14:paraId="2030C1B2" w14:textId="32615940" w:rsidR="00C25D95" w:rsidRDefault="0052086D" w:rsidP="008C25AF">
      <w:pPr>
        <w:pStyle w:val="MyHeading"/>
        <w:rPr>
          <w:b w:val="0"/>
        </w:rPr>
      </w:pPr>
      <w:r w:rsidRPr="00F24FCF">
        <w:rPr>
          <w:b w:val="0"/>
        </w:rPr>
        <w:t xml:space="preserve">In addition to voluntary contributions from member states, the TSB </w:t>
      </w:r>
      <w:r w:rsidR="00223125">
        <w:rPr>
          <w:b w:val="0"/>
        </w:rPr>
        <w:t>continues to allocate a certain</w:t>
      </w:r>
      <w:r w:rsidRPr="00F24FCF">
        <w:rPr>
          <w:b w:val="0"/>
        </w:rPr>
        <w:t xml:space="preserve"> portion of its regular budget for granting fellowships to attend ITU-T Study Group meetings. </w:t>
      </w:r>
    </w:p>
    <w:p w14:paraId="5BA9BDC5" w14:textId="77777777" w:rsidR="00C25D95" w:rsidRDefault="00C25D95">
      <w:pPr>
        <w:rPr>
          <w:rFonts w:ascii="Times New Roman" w:eastAsia="Times New Roman" w:hAnsi="Times New Roman" w:cs="Times New Roman"/>
          <w:bCs/>
          <w:kern w:val="36"/>
          <w:sz w:val="24"/>
          <w:szCs w:val="24"/>
        </w:rPr>
      </w:pPr>
      <w:r>
        <w:rPr>
          <w:b/>
        </w:rPr>
        <w:br w:type="page"/>
      </w:r>
    </w:p>
    <w:p w14:paraId="05D0B2A0" w14:textId="77777777" w:rsidR="00D42222" w:rsidRDefault="00D42222" w:rsidP="008C25AF">
      <w:pPr>
        <w:pStyle w:val="MyHeading"/>
      </w:pPr>
    </w:p>
    <w:p w14:paraId="77ABD719" w14:textId="22267D7D" w:rsidR="00AB728F" w:rsidRPr="00E927B7" w:rsidRDefault="00AB728F" w:rsidP="008C25AF">
      <w:pPr>
        <w:pStyle w:val="MyHeading"/>
      </w:pPr>
      <w:r w:rsidRPr="00E927B7">
        <w:t xml:space="preserve">Discussion of points raised in </w:t>
      </w:r>
      <w:hyperlink r:id="rId24" w:history="1">
        <w:r w:rsidRPr="00E927B7">
          <w:rPr>
            <w:rStyle w:val="Hyperlink"/>
          </w:rPr>
          <w:t>C</w:t>
        </w:r>
        <w:r w:rsidR="009C7922" w:rsidRPr="00E927B7">
          <w:rPr>
            <w:rStyle w:val="Hyperlink"/>
          </w:rPr>
          <w:t>100</w:t>
        </w:r>
      </w:hyperlink>
    </w:p>
    <w:p w14:paraId="2594E6EE" w14:textId="2E4C3C41" w:rsidR="00D42222" w:rsidRPr="00F24FCF" w:rsidRDefault="00202FFE" w:rsidP="009C7922">
      <w:pPr>
        <w:pStyle w:val="MyHeading"/>
        <w:rPr>
          <w:b w:val="0"/>
        </w:rPr>
      </w:pPr>
      <w:r w:rsidRPr="00E927B7">
        <w:rPr>
          <w:b w:val="0"/>
        </w:rPr>
        <w:t>T</w:t>
      </w:r>
      <w:r w:rsidR="006756EF" w:rsidRPr="00E927B7">
        <w:rPr>
          <w:b w:val="0"/>
        </w:rPr>
        <w:t xml:space="preserve">he proposal presented in </w:t>
      </w:r>
      <w:hyperlink r:id="rId25" w:history="1">
        <w:r w:rsidR="00D42222" w:rsidRPr="00E927B7">
          <w:rPr>
            <w:rStyle w:val="Hyperlink"/>
            <w:b w:val="0"/>
            <w:bCs w:val="0"/>
          </w:rPr>
          <w:t>C100</w:t>
        </w:r>
      </w:hyperlink>
      <w:r w:rsidR="00D42222" w:rsidRPr="00E927B7">
        <w:t xml:space="preserve"> </w:t>
      </w:r>
      <w:r w:rsidR="006756EF" w:rsidRPr="00E927B7">
        <w:rPr>
          <w:b w:val="0"/>
        </w:rPr>
        <w:t>(</w:t>
      </w:r>
      <w:r w:rsidR="00146581" w:rsidRPr="00E927B7">
        <w:rPr>
          <w:b w:val="0"/>
        </w:rPr>
        <w:t xml:space="preserve">received in </w:t>
      </w:r>
      <w:r w:rsidR="00D42222" w:rsidRPr="00E927B7">
        <w:rPr>
          <w:b w:val="0"/>
        </w:rPr>
        <w:t xml:space="preserve">January 2020 </w:t>
      </w:r>
      <w:r w:rsidR="00146581" w:rsidRPr="00E927B7">
        <w:rPr>
          <w:b w:val="0"/>
        </w:rPr>
        <w:t>for TSAG</w:t>
      </w:r>
      <w:r w:rsidR="006756EF" w:rsidRPr="00E927B7">
        <w:rPr>
          <w:b w:val="0"/>
        </w:rPr>
        <w:t>)</w:t>
      </w:r>
      <w:r w:rsidRPr="00E927B7">
        <w:rPr>
          <w:b w:val="0"/>
        </w:rPr>
        <w:t xml:space="preserve"> </w:t>
      </w:r>
      <w:r w:rsidR="00D42222" w:rsidRPr="00E927B7">
        <w:rPr>
          <w:b w:val="0"/>
        </w:rPr>
        <w:t>to foster the establishment of additional NSS is commendable and the BSG programme looks forward to supporting the proponent</w:t>
      </w:r>
      <w:r w:rsidR="00223125" w:rsidRPr="00E927B7">
        <w:rPr>
          <w:b w:val="0"/>
        </w:rPr>
        <w:t>s and the regions</w:t>
      </w:r>
      <w:r w:rsidR="00D42222" w:rsidRPr="00E927B7">
        <w:rPr>
          <w:b w:val="0"/>
        </w:rPr>
        <w:t xml:space="preserve"> in this endeavour.</w:t>
      </w:r>
    </w:p>
    <w:p w14:paraId="22AB6BD1" w14:textId="77777777" w:rsidR="00F344E4" w:rsidRPr="00F24FCF" w:rsidRDefault="00F344E4" w:rsidP="00F344E4">
      <w:pPr>
        <w:rPr>
          <w:rFonts w:asciiTheme="majorBidi" w:hAnsiTheme="majorBidi" w:cstheme="majorBidi"/>
          <w:b/>
        </w:rPr>
      </w:pPr>
    </w:p>
    <w:p w14:paraId="71424F68" w14:textId="17ED4CCF" w:rsidR="00F344E4" w:rsidRPr="00F24FCF" w:rsidRDefault="00F344E4" w:rsidP="00F344E4">
      <w:pPr>
        <w:jc w:val="center"/>
        <w:rPr>
          <w:rFonts w:asciiTheme="majorBidi" w:hAnsiTheme="majorBidi" w:cstheme="majorBidi"/>
          <w:b/>
        </w:rPr>
      </w:pPr>
      <w:r w:rsidRPr="00E927B7">
        <w:rPr>
          <w:rFonts w:asciiTheme="majorBidi" w:hAnsiTheme="majorBidi" w:cstheme="majorBidi"/>
          <w:b/>
        </w:rPr>
        <w:t>____________________</w:t>
      </w:r>
    </w:p>
    <w:sectPr w:rsidR="00F344E4" w:rsidRPr="00F24FCF" w:rsidSect="008C3F2D">
      <w:headerReference w:type="default" r:id="rId2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11F8" w14:textId="77777777" w:rsidR="00986ECE" w:rsidRDefault="00986ECE" w:rsidP="008C3F2D">
      <w:pPr>
        <w:spacing w:after="0" w:line="240" w:lineRule="auto"/>
      </w:pPr>
      <w:r>
        <w:separator/>
      </w:r>
    </w:p>
  </w:endnote>
  <w:endnote w:type="continuationSeparator" w:id="0">
    <w:p w14:paraId="5502899E" w14:textId="77777777" w:rsidR="00986ECE" w:rsidRDefault="00986EC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F3BC" w14:textId="77777777" w:rsidR="00986ECE" w:rsidRDefault="00986ECE" w:rsidP="008C3F2D">
      <w:pPr>
        <w:spacing w:after="0" w:line="240" w:lineRule="auto"/>
      </w:pPr>
      <w:r>
        <w:separator/>
      </w:r>
    </w:p>
  </w:footnote>
  <w:footnote w:type="continuationSeparator" w:id="0">
    <w:p w14:paraId="00A6B454" w14:textId="77777777" w:rsidR="00986ECE" w:rsidRDefault="00986ECE" w:rsidP="008C3F2D">
      <w:pPr>
        <w:spacing w:after="0" w:line="240" w:lineRule="auto"/>
      </w:pPr>
      <w:r>
        <w:continuationSeparator/>
      </w:r>
    </w:p>
  </w:footnote>
  <w:footnote w:id="1">
    <w:p w14:paraId="6C5A60C8" w14:textId="048020AA" w:rsidR="00223125" w:rsidRPr="00A66D05" w:rsidRDefault="00223125">
      <w:pPr>
        <w:pStyle w:val="FootnoteText"/>
        <w:rPr>
          <w:rFonts w:ascii="Times New Roman" w:hAnsi="Times New Roman" w:cs="Times New Roman"/>
          <w:lang w:val="en-US"/>
        </w:rPr>
      </w:pPr>
      <w:r w:rsidRPr="00A66D05">
        <w:rPr>
          <w:rStyle w:val="FootnoteReference"/>
          <w:rFonts w:ascii="Times New Roman" w:hAnsi="Times New Roman" w:cs="Times New Roman"/>
        </w:rPr>
        <w:footnoteRef/>
      </w:r>
      <w:r w:rsidRPr="00A66D05">
        <w:rPr>
          <w:rFonts w:ascii="Times New Roman" w:hAnsi="Times New Roman" w:cs="Times New Roman"/>
        </w:rPr>
        <w:t xml:space="preserve"> </w:t>
      </w:r>
      <w:r w:rsidRPr="00A66D05">
        <w:rPr>
          <w:rFonts w:ascii="Times New Roman" w:hAnsi="Times New Roman" w:cs="Times New Roman"/>
          <w:lang w:val="en-US"/>
        </w:rPr>
        <w:t>In accordance PP Resolution 209 (Dubai,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3488"/>
      <w:docPartObj>
        <w:docPartGallery w:val="Page Numbers (Top of Page)"/>
        <w:docPartUnique/>
      </w:docPartObj>
    </w:sdtPr>
    <w:sdtEndPr>
      <w:rPr>
        <w:rFonts w:asciiTheme="majorBidi" w:hAnsiTheme="majorBidi" w:cstheme="majorBidi"/>
        <w:noProof/>
        <w:sz w:val="18"/>
        <w:szCs w:val="18"/>
      </w:rPr>
    </w:sdtEndPr>
    <w:sdtContent>
      <w:p w14:paraId="23AE2807" w14:textId="334BB475" w:rsidR="00E73F47" w:rsidRPr="008C3F2D" w:rsidRDefault="00E73F47"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Pr>
            <w:rFonts w:asciiTheme="majorBidi" w:hAnsiTheme="majorBidi" w:cstheme="majorBidi"/>
            <w:noProof/>
            <w:sz w:val="18"/>
            <w:szCs w:val="18"/>
          </w:rPr>
          <w:t>- 5 -</w:t>
        </w:r>
        <w:r w:rsidRPr="008C3F2D">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323E4C">
          <w:rPr>
            <w:rFonts w:asciiTheme="majorBidi" w:hAnsiTheme="majorBidi" w:cstheme="majorBidi"/>
            <w:noProof/>
            <w:sz w:val="18"/>
            <w:szCs w:val="18"/>
          </w:rPr>
          <w:t>727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C40A6"/>
    <w:multiLevelType w:val="hybridMultilevel"/>
    <w:tmpl w:val="CB9A66EE"/>
    <w:lvl w:ilvl="0" w:tplc="AEFEE16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54B20"/>
    <w:multiLevelType w:val="hybridMultilevel"/>
    <w:tmpl w:val="95428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44366"/>
    <w:multiLevelType w:val="hybridMultilevel"/>
    <w:tmpl w:val="9B8E3BE0"/>
    <w:lvl w:ilvl="0" w:tplc="AEFEE162">
      <w:start w:val="1"/>
      <w:numFmt w:val="decimal"/>
      <w:lvlText w:val="%1"/>
      <w:lvlJc w:val="center"/>
      <w:pPr>
        <w:ind w:left="720" w:hanging="360"/>
      </w:pPr>
      <w:rPr>
        <w:rFonts w:hint="default"/>
      </w:rPr>
    </w:lvl>
    <w:lvl w:ilvl="1" w:tplc="8E26F2E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608C"/>
    <w:multiLevelType w:val="hybridMultilevel"/>
    <w:tmpl w:val="E6C6BCAE"/>
    <w:lvl w:ilvl="0" w:tplc="08090005">
      <w:start w:val="1"/>
      <w:numFmt w:val="bullet"/>
      <w:lvlText w:val=""/>
      <w:lvlJc w:val="left"/>
      <w:pPr>
        <w:ind w:left="1440" w:hanging="360"/>
      </w:pPr>
      <w:rPr>
        <w:rFonts w:ascii="Wingdings" w:hAnsi="Wingdings" w:hint="default"/>
      </w:rPr>
    </w:lvl>
    <w:lvl w:ilvl="1" w:tplc="00725BDC">
      <w:numFmt w:val="bullet"/>
      <w:lvlText w:val="•"/>
      <w:lvlJc w:val="left"/>
      <w:pPr>
        <w:ind w:left="2160" w:hanging="360"/>
      </w:pPr>
      <w:rPr>
        <w:rFonts w:ascii="SimSun" w:eastAsia="SimSun" w:hAnsi="SimSun" w:cstheme="majorBidi" w:hint="eastAsia"/>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042E38"/>
    <w:multiLevelType w:val="hybridMultilevel"/>
    <w:tmpl w:val="ADCA9A18"/>
    <w:lvl w:ilvl="0" w:tplc="08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C5005A"/>
    <w:multiLevelType w:val="hybridMultilevel"/>
    <w:tmpl w:val="6DC218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E0A1878"/>
    <w:multiLevelType w:val="hybridMultilevel"/>
    <w:tmpl w:val="D1C4D2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F327096"/>
    <w:multiLevelType w:val="hybridMultilevel"/>
    <w:tmpl w:val="97F05A40"/>
    <w:lvl w:ilvl="0" w:tplc="C73CEE6E">
      <w:start w:val="1"/>
      <w:numFmt w:val="lowerLetter"/>
      <w:lvlText w:val="%1)"/>
      <w:lvlJc w:val="left"/>
      <w:pPr>
        <w:ind w:left="1498" w:hanging="360"/>
      </w:pPr>
      <w:rPr>
        <w:b w:val="0"/>
        <w:bCs/>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2"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A64DA"/>
    <w:multiLevelType w:val="hybridMultilevel"/>
    <w:tmpl w:val="A0C0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A7447"/>
    <w:multiLevelType w:val="hybridMultilevel"/>
    <w:tmpl w:val="1812B8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361A0A"/>
    <w:multiLevelType w:val="hybridMultilevel"/>
    <w:tmpl w:val="2E00152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04E6E"/>
    <w:multiLevelType w:val="hybridMultilevel"/>
    <w:tmpl w:val="13AC1EFA"/>
    <w:lvl w:ilvl="0" w:tplc="AEFEE16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57467"/>
    <w:multiLevelType w:val="hybridMultilevel"/>
    <w:tmpl w:val="EF2C133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BDE3B66"/>
    <w:multiLevelType w:val="hybridMultilevel"/>
    <w:tmpl w:val="E54E6476"/>
    <w:lvl w:ilvl="0" w:tplc="AEFEE162">
      <w:start w:val="1"/>
      <w:numFmt w:val="decimal"/>
      <w:lvlText w:val="%1"/>
      <w:lvlJc w:val="center"/>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1"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5"/>
  </w:num>
  <w:num w:numId="3">
    <w:abstractNumId w:val="2"/>
  </w:num>
  <w:num w:numId="4">
    <w:abstractNumId w:val="4"/>
  </w:num>
  <w:num w:numId="5">
    <w:abstractNumId w:val="14"/>
  </w:num>
  <w:num w:numId="6">
    <w:abstractNumId w:val="3"/>
  </w:num>
  <w:num w:numId="7">
    <w:abstractNumId w:val="18"/>
  </w:num>
  <w:num w:numId="8">
    <w:abstractNumId w:val="26"/>
  </w:num>
  <w:num w:numId="9">
    <w:abstractNumId w:val="31"/>
  </w:num>
  <w:num w:numId="10">
    <w:abstractNumId w:val="11"/>
  </w:num>
  <w:num w:numId="11">
    <w:abstractNumId w:val="19"/>
  </w:num>
  <w:num w:numId="12">
    <w:abstractNumId w:val="2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6"/>
  </w:num>
  <w:num w:numId="16">
    <w:abstractNumId w:val="16"/>
  </w:num>
  <w:num w:numId="17">
    <w:abstractNumId w:val="42"/>
  </w:num>
  <w:num w:numId="18">
    <w:abstractNumId w:val="44"/>
  </w:num>
  <w:num w:numId="19">
    <w:abstractNumId w:val="0"/>
  </w:num>
  <w:num w:numId="20">
    <w:abstractNumId w:val="41"/>
  </w:num>
  <w:num w:numId="21">
    <w:abstractNumId w:val="43"/>
  </w:num>
  <w:num w:numId="22">
    <w:abstractNumId w:val="30"/>
  </w:num>
  <w:num w:numId="23">
    <w:abstractNumId w:val="39"/>
  </w:num>
  <w:num w:numId="24">
    <w:abstractNumId w:val="1"/>
  </w:num>
  <w:num w:numId="25">
    <w:abstractNumId w:val="32"/>
  </w:num>
  <w:num w:numId="26">
    <w:abstractNumId w:val="15"/>
  </w:num>
  <w:num w:numId="27">
    <w:abstractNumId w:val="29"/>
  </w:num>
  <w:num w:numId="28">
    <w:abstractNumId w:val="7"/>
  </w:num>
  <w:num w:numId="29">
    <w:abstractNumId w:val="9"/>
  </w:num>
  <w:num w:numId="30">
    <w:abstractNumId w:val="24"/>
  </w:num>
  <w:num w:numId="31">
    <w:abstractNumId w:val="22"/>
  </w:num>
  <w:num w:numId="32">
    <w:abstractNumId w:val="25"/>
  </w:num>
  <w:num w:numId="33">
    <w:abstractNumId w:val="36"/>
  </w:num>
  <w:num w:numId="34">
    <w:abstractNumId w:val="10"/>
  </w:num>
  <w:num w:numId="35">
    <w:abstractNumId w:val="12"/>
  </w:num>
  <w:num w:numId="36">
    <w:abstractNumId w:val="5"/>
  </w:num>
  <w:num w:numId="37">
    <w:abstractNumId w:val="40"/>
  </w:num>
  <w:num w:numId="38">
    <w:abstractNumId w:val="38"/>
  </w:num>
  <w:num w:numId="39">
    <w:abstractNumId w:val="20"/>
  </w:num>
  <w:num w:numId="40">
    <w:abstractNumId w:val="21"/>
  </w:num>
  <w:num w:numId="41">
    <w:abstractNumId w:val="27"/>
  </w:num>
  <w:num w:numId="42">
    <w:abstractNumId w:val="28"/>
  </w:num>
  <w:num w:numId="43">
    <w:abstractNumId w:val="8"/>
  </w:num>
  <w:num w:numId="44">
    <w:abstractNumId w:val="1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activeWritingStyle w:appName="MSWord" w:lang="en-GB" w:vendorID="64" w:dllVersion="4096" w:nlCheck="1" w:checkStyle="0"/>
  <w:activeWritingStyle w:appName="MSWord" w:lang="fr-FR" w:vendorID="64" w:dllVersion="0"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TM0tzC2MDY0NrRQ0lEKTi0uzszPAykwrQUAzyds3ywAAAA="/>
  </w:docVars>
  <w:rsids>
    <w:rsidRoot w:val="009462B9"/>
    <w:rsid w:val="0000102E"/>
    <w:rsid w:val="00017DF9"/>
    <w:rsid w:val="00023343"/>
    <w:rsid w:val="00023A0A"/>
    <w:rsid w:val="00033F67"/>
    <w:rsid w:val="000357CA"/>
    <w:rsid w:val="00041C6B"/>
    <w:rsid w:val="00047538"/>
    <w:rsid w:val="00047D24"/>
    <w:rsid w:val="000501D7"/>
    <w:rsid w:val="000651BA"/>
    <w:rsid w:val="00066592"/>
    <w:rsid w:val="0007083E"/>
    <w:rsid w:val="0007085B"/>
    <w:rsid w:val="00084C1B"/>
    <w:rsid w:val="00092B5A"/>
    <w:rsid w:val="00096966"/>
    <w:rsid w:val="000B00C1"/>
    <w:rsid w:val="000B0A5B"/>
    <w:rsid w:val="000B2534"/>
    <w:rsid w:val="000B52D1"/>
    <w:rsid w:val="000D3C80"/>
    <w:rsid w:val="000E51C1"/>
    <w:rsid w:val="000E7091"/>
    <w:rsid w:val="0012773A"/>
    <w:rsid w:val="001311C2"/>
    <w:rsid w:val="00146581"/>
    <w:rsid w:val="00146C7B"/>
    <w:rsid w:val="00146DA5"/>
    <w:rsid w:val="001470E7"/>
    <w:rsid w:val="00162AAB"/>
    <w:rsid w:val="00162B8B"/>
    <w:rsid w:val="001643FD"/>
    <w:rsid w:val="001840BD"/>
    <w:rsid w:val="00187218"/>
    <w:rsid w:val="001977E1"/>
    <w:rsid w:val="001C1603"/>
    <w:rsid w:val="001C29C8"/>
    <w:rsid w:val="001C70EC"/>
    <w:rsid w:val="001D5D16"/>
    <w:rsid w:val="001D6BDA"/>
    <w:rsid w:val="001D795C"/>
    <w:rsid w:val="001F42C5"/>
    <w:rsid w:val="00200E34"/>
    <w:rsid w:val="00200E75"/>
    <w:rsid w:val="00202FFE"/>
    <w:rsid w:val="00217FE5"/>
    <w:rsid w:val="00223125"/>
    <w:rsid w:val="0022429C"/>
    <w:rsid w:val="00230DE2"/>
    <w:rsid w:val="00233F12"/>
    <w:rsid w:val="00234E64"/>
    <w:rsid w:val="00240C9B"/>
    <w:rsid w:val="0026301E"/>
    <w:rsid w:val="00285319"/>
    <w:rsid w:val="0028666B"/>
    <w:rsid w:val="00291743"/>
    <w:rsid w:val="00291D86"/>
    <w:rsid w:val="002A733A"/>
    <w:rsid w:val="002B20D9"/>
    <w:rsid w:val="002C23E3"/>
    <w:rsid w:val="002D500C"/>
    <w:rsid w:val="002E5C0E"/>
    <w:rsid w:val="002F1334"/>
    <w:rsid w:val="00306D89"/>
    <w:rsid w:val="00307D12"/>
    <w:rsid w:val="00323E4C"/>
    <w:rsid w:val="00335F76"/>
    <w:rsid w:val="00346DE5"/>
    <w:rsid w:val="003527EA"/>
    <w:rsid w:val="003630D6"/>
    <w:rsid w:val="00367722"/>
    <w:rsid w:val="0037655F"/>
    <w:rsid w:val="00377C85"/>
    <w:rsid w:val="0038599A"/>
    <w:rsid w:val="00386367"/>
    <w:rsid w:val="00397B56"/>
    <w:rsid w:val="003A0CCF"/>
    <w:rsid w:val="003A238B"/>
    <w:rsid w:val="003A64F7"/>
    <w:rsid w:val="003A7828"/>
    <w:rsid w:val="003B5B84"/>
    <w:rsid w:val="003C0319"/>
    <w:rsid w:val="003C1B79"/>
    <w:rsid w:val="003C5008"/>
    <w:rsid w:val="003C5154"/>
    <w:rsid w:val="003C5475"/>
    <w:rsid w:val="003D493F"/>
    <w:rsid w:val="003D4D5E"/>
    <w:rsid w:val="003D6872"/>
    <w:rsid w:val="003E0C41"/>
    <w:rsid w:val="003E192B"/>
    <w:rsid w:val="004019BC"/>
    <w:rsid w:val="004049C3"/>
    <w:rsid w:val="00420432"/>
    <w:rsid w:val="00426144"/>
    <w:rsid w:val="00427EFF"/>
    <w:rsid w:val="00437523"/>
    <w:rsid w:val="00442F89"/>
    <w:rsid w:val="00450E24"/>
    <w:rsid w:val="00451117"/>
    <w:rsid w:val="00456069"/>
    <w:rsid w:val="00456089"/>
    <w:rsid w:val="004836EC"/>
    <w:rsid w:val="004856AC"/>
    <w:rsid w:val="004A522D"/>
    <w:rsid w:val="004A6FCA"/>
    <w:rsid w:val="004C6670"/>
    <w:rsid w:val="004C7C70"/>
    <w:rsid w:val="004D076F"/>
    <w:rsid w:val="004D0E28"/>
    <w:rsid w:val="004D24AF"/>
    <w:rsid w:val="004D6090"/>
    <w:rsid w:val="004D6FD7"/>
    <w:rsid w:val="004F4928"/>
    <w:rsid w:val="00506C0E"/>
    <w:rsid w:val="0052086D"/>
    <w:rsid w:val="00523B0E"/>
    <w:rsid w:val="00523DFB"/>
    <w:rsid w:val="00525F34"/>
    <w:rsid w:val="005266B3"/>
    <w:rsid w:val="00533D91"/>
    <w:rsid w:val="00533F4F"/>
    <w:rsid w:val="00541E79"/>
    <w:rsid w:val="005432EB"/>
    <w:rsid w:val="00545E1A"/>
    <w:rsid w:val="0055267E"/>
    <w:rsid w:val="005631EA"/>
    <w:rsid w:val="00565121"/>
    <w:rsid w:val="00576B26"/>
    <w:rsid w:val="00586C56"/>
    <w:rsid w:val="00593483"/>
    <w:rsid w:val="005A234D"/>
    <w:rsid w:val="005A7729"/>
    <w:rsid w:val="005B6E7E"/>
    <w:rsid w:val="005D07F0"/>
    <w:rsid w:val="005F7E18"/>
    <w:rsid w:val="006011A0"/>
    <w:rsid w:val="00616838"/>
    <w:rsid w:val="00631A92"/>
    <w:rsid w:val="00647FAF"/>
    <w:rsid w:val="00653CCC"/>
    <w:rsid w:val="006642FA"/>
    <w:rsid w:val="00665D48"/>
    <w:rsid w:val="00673CE3"/>
    <w:rsid w:val="006756EF"/>
    <w:rsid w:val="00677049"/>
    <w:rsid w:val="0068259C"/>
    <w:rsid w:val="00685B8C"/>
    <w:rsid w:val="006A21C2"/>
    <w:rsid w:val="006A78EE"/>
    <w:rsid w:val="006A7A43"/>
    <w:rsid w:val="006B3403"/>
    <w:rsid w:val="006B4A2A"/>
    <w:rsid w:val="006B57DB"/>
    <w:rsid w:val="006C6910"/>
    <w:rsid w:val="006D0C75"/>
    <w:rsid w:val="006D2CDE"/>
    <w:rsid w:val="006D5402"/>
    <w:rsid w:val="006E0F44"/>
    <w:rsid w:val="006E15B4"/>
    <w:rsid w:val="006E7624"/>
    <w:rsid w:val="00700385"/>
    <w:rsid w:val="00701473"/>
    <w:rsid w:val="007022A6"/>
    <w:rsid w:val="007032D7"/>
    <w:rsid w:val="007214E8"/>
    <w:rsid w:val="00724611"/>
    <w:rsid w:val="00736496"/>
    <w:rsid w:val="00736C79"/>
    <w:rsid w:val="00740B27"/>
    <w:rsid w:val="007444BF"/>
    <w:rsid w:val="00760621"/>
    <w:rsid w:val="00761B69"/>
    <w:rsid w:val="00762C91"/>
    <w:rsid w:val="007651A7"/>
    <w:rsid w:val="00770DBD"/>
    <w:rsid w:val="007823B9"/>
    <w:rsid w:val="00784DDA"/>
    <w:rsid w:val="007A357C"/>
    <w:rsid w:val="007B27B7"/>
    <w:rsid w:val="007B6113"/>
    <w:rsid w:val="007C36AF"/>
    <w:rsid w:val="007C44EF"/>
    <w:rsid w:val="007F493D"/>
    <w:rsid w:val="00803A91"/>
    <w:rsid w:val="008062B9"/>
    <w:rsid w:val="00821290"/>
    <w:rsid w:val="00827CFA"/>
    <w:rsid w:val="008376A7"/>
    <w:rsid w:val="0085443A"/>
    <w:rsid w:val="00855881"/>
    <w:rsid w:val="00861E7D"/>
    <w:rsid w:val="008654CD"/>
    <w:rsid w:val="00885988"/>
    <w:rsid w:val="00885BC5"/>
    <w:rsid w:val="0089331B"/>
    <w:rsid w:val="008947EB"/>
    <w:rsid w:val="008962E6"/>
    <w:rsid w:val="008A5B2C"/>
    <w:rsid w:val="008A6BE0"/>
    <w:rsid w:val="008C043B"/>
    <w:rsid w:val="008C25AF"/>
    <w:rsid w:val="008C2796"/>
    <w:rsid w:val="008C34BC"/>
    <w:rsid w:val="008C3F2D"/>
    <w:rsid w:val="008D2BC6"/>
    <w:rsid w:val="008E3F33"/>
    <w:rsid w:val="008E529E"/>
    <w:rsid w:val="008E5A2A"/>
    <w:rsid w:val="008E5F5E"/>
    <w:rsid w:val="008F6AA9"/>
    <w:rsid w:val="009006D1"/>
    <w:rsid w:val="00912198"/>
    <w:rsid w:val="00915F69"/>
    <w:rsid w:val="00917D91"/>
    <w:rsid w:val="00921095"/>
    <w:rsid w:val="00946075"/>
    <w:rsid w:val="009462B9"/>
    <w:rsid w:val="00952B35"/>
    <w:rsid w:val="00962211"/>
    <w:rsid w:val="009633B2"/>
    <w:rsid w:val="009802D5"/>
    <w:rsid w:val="00986ECE"/>
    <w:rsid w:val="00990E5C"/>
    <w:rsid w:val="00992308"/>
    <w:rsid w:val="00993B36"/>
    <w:rsid w:val="00997413"/>
    <w:rsid w:val="00997B16"/>
    <w:rsid w:val="009A2718"/>
    <w:rsid w:val="009A5F83"/>
    <w:rsid w:val="009A62AF"/>
    <w:rsid w:val="009A789A"/>
    <w:rsid w:val="009B7CEA"/>
    <w:rsid w:val="009C28C9"/>
    <w:rsid w:val="009C7922"/>
    <w:rsid w:val="009D142F"/>
    <w:rsid w:val="009D4B36"/>
    <w:rsid w:val="009D74F7"/>
    <w:rsid w:val="009E3298"/>
    <w:rsid w:val="009E6A56"/>
    <w:rsid w:val="009E73ED"/>
    <w:rsid w:val="009E754D"/>
    <w:rsid w:val="009F4D10"/>
    <w:rsid w:val="00A02CA4"/>
    <w:rsid w:val="00A0614D"/>
    <w:rsid w:val="00A151D0"/>
    <w:rsid w:val="00A20326"/>
    <w:rsid w:val="00A24238"/>
    <w:rsid w:val="00A24B9D"/>
    <w:rsid w:val="00A26513"/>
    <w:rsid w:val="00A2747A"/>
    <w:rsid w:val="00A429C8"/>
    <w:rsid w:val="00A45B45"/>
    <w:rsid w:val="00A66D05"/>
    <w:rsid w:val="00A66EC9"/>
    <w:rsid w:val="00A67993"/>
    <w:rsid w:val="00A8282E"/>
    <w:rsid w:val="00A833F9"/>
    <w:rsid w:val="00A8668A"/>
    <w:rsid w:val="00A91372"/>
    <w:rsid w:val="00AA3552"/>
    <w:rsid w:val="00AA674E"/>
    <w:rsid w:val="00AB728F"/>
    <w:rsid w:val="00AC3668"/>
    <w:rsid w:val="00AD6501"/>
    <w:rsid w:val="00AD77E7"/>
    <w:rsid w:val="00AE39C7"/>
    <w:rsid w:val="00AF6979"/>
    <w:rsid w:val="00B1138A"/>
    <w:rsid w:val="00B14349"/>
    <w:rsid w:val="00B14782"/>
    <w:rsid w:val="00B236B4"/>
    <w:rsid w:val="00B31033"/>
    <w:rsid w:val="00B31961"/>
    <w:rsid w:val="00B322C3"/>
    <w:rsid w:val="00B346CB"/>
    <w:rsid w:val="00B36970"/>
    <w:rsid w:val="00B36FD1"/>
    <w:rsid w:val="00B5349E"/>
    <w:rsid w:val="00B56169"/>
    <w:rsid w:val="00B62493"/>
    <w:rsid w:val="00B74AB8"/>
    <w:rsid w:val="00B75880"/>
    <w:rsid w:val="00B83B40"/>
    <w:rsid w:val="00B841C7"/>
    <w:rsid w:val="00B9272A"/>
    <w:rsid w:val="00B95BF2"/>
    <w:rsid w:val="00BA2DFB"/>
    <w:rsid w:val="00BA3AFE"/>
    <w:rsid w:val="00BB3027"/>
    <w:rsid w:val="00BD0344"/>
    <w:rsid w:val="00BD0E47"/>
    <w:rsid w:val="00BD2011"/>
    <w:rsid w:val="00BD22EF"/>
    <w:rsid w:val="00BE179B"/>
    <w:rsid w:val="00BF5DF1"/>
    <w:rsid w:val="00C0399D"/>
    <w:rsid w:val="00C05AE3"/>
    <w:rsid w:val="00C227EC"/>
    <w:rsid w:val="00C25D95"/>
    <w:rsid w:val="00C41FEA"/>
    <w:rsid w:val="00C4358B"/>
    <w:rsid w:val="00C47B3C"/>
    <w:rsid w:val="00C50FEB"/>
    <w:rsid w:val="00C578FC"/>
    <w:rsid w:val="00C60B25"/>
    <w:rsid w:val="00C65232"/>
    <w:rsid w:val="00C70EA5"/>
    <w:rsid w:val="00C81183"/>
    <w:rsid w:val="00C8414E"/>
    <w:rsid w:val="00C857BC"/>
    <w:rsid w:val="00C85BFD"/>
    <w:rsid w:val="00C9278D"/>
    <w:rsid w:val="00C92B79"/>
    <w:rsid w:val="00C9761C"/>
    <w:rsid w:val="00CA1BAB"/>
    <w:rsid w:val="00CA3D07"/>
    <w:rsid w:val="00CB07AD"/>
    <w:rsid w:val="00CD2791"/>
    <w:rsid w:val="00CD4ABE"/>
    <w:rsid w:val="00CE06E1"/>
    <w:rsid w:val="00CE6A97"/>
    <w:rsid w:val="00CF76DB"/>
    <w:rsid w:val="00D010A9"/>
    <w:rsid w:val="00D04F16"/>
    <w:rsid w:val="00D14195"/>
    <w:rsid w:val="00D17766"/>
    <w:rsid w:val="00D22474"/>
    <w:rsid w:val="00D2592A"/>
    <w:rsid w:val="00D25D39"/>
    <w:rsid w:val="00D271B1"/>
    <w:rsid w:val="00D3007C"/>
    <w:rsid w:val="00D321A6"/>
    <w:rsid w:val="00D351B9"/>
    <w:rsid w:val="00D40570"/>
    <w:rsid w:val="00D42222"/>
    <w:rsid w:val="00D43996"/>
    <w:rsid w:val="00D45F79"/>
    <w:rsid w:val="00D46F57"/>
    <w:rsid w:val="00D523D5"/>
    <w:rsid w:val="00D56BF1"/>
    <w:rsid w:val="00D61202"/>
    <w:rsid w:val="00D6487B"/>
    <w:rsid w:val="00D6513F"/>
    <w:rsid w:val="00D70645"/>
    <w:rsid w:val="00D7092A"/>
    <w:rsid w:val="00D84BA9"/>
    <w:rsid w:val="00D8587A"/>
    <w:rsid w:val="00D95E59"/>
    <w:rsid w:val="00DB7920"/>
    <w:rsid w:val="00DC23B1"/>
    <w:rsid w:val="00DC2B3E"/>
    <w:rsid w:val="00DC71FA"/>
    <w:rsid w:val="00DD2678"/>
    <w:rsid w:val="00DD4E2C"/>
    <w:rsid w:val="00DD5A88"/>
    <w:rsid w:val="00DE20A9"/>
    <w:rsid w:val="00DE2787"/>
    <w:rsid w:val="00DE64CF"/>
    <w:rsid w:val="00DF0B1A"/>
    <w:rsid w:val="00DF1786"/>
    <w:rsid w:val="00DF1A29"/>
    <w:rsid w:val="00DF2F8B"/>
    <w:rsid w:val="00E038F5"/>
    <w:rsid w:val="00E05DCD"/>
    <w:rsid w:val="00E0771C"/>
    <w:rsid w:val="00E12CE6"/>
    <w:rsid w:val="00E157BD"/>
    <w:rsid w:val="00E35903"/>
    <w:rsid w:val="00E57E4D"/>
    <w:rsid w:val="00E61598"/>
    <w:rsid w:val="00E64724"/>
    <w:rsid w:val="00E73F47"/>
    <w:rsid w:val="00E76BA0"/>
    <w:rsid w:val="00E927B7"/>
    <w:rsid w:val="00E93286"/>
    <w:rsid w:val="00E934A2"/>
    <w:rsid w:val="00E93D91"/>
    <w:rsid w:val="00E96A34"/>
    <w:rsid w:val="00EA3CBC"/>
    <w:rsid w:val="00EA48D8"/>
    <w:rsid w:val="00EA5CD1"/>
    <w:rsid w:val="00EA7BDE"/>
    <w:rsid w:val="00EB0013"/>
    <w:rsid w:val="00EB2AF9"/>
    <w:rsid w:val="00EC2500"/>
    <w:rsid w:val="00EC62EE"/>
    <w:rsid w:val="00ED0754"/>
    <w:rsid w:val="00ED47D3"/>
    <w:rsid w:val="00EE0189"/>
    <w:rsid w:val="00EE2405"/>
    <w:rsid w:val="00EE3192"/>
    <w:rsid w:val="00EF4449"/>
    <w:rsid w:val="00EF7CA2"/>
    <w:rsid w:val="00F00679"/>
    <w:rsid w:val="00F03F94"/>
    <w:rsid w:val="00F12647"/>
    <w:rsid w:val="00F1409E"/>
    <w:rsid w:val="00F14981"/>
    <w:rsid w:val="00F15BF4"/>
    <w:rsid w:val="00F1624A"/>
    <w:rsid w:val="00F24960"/>
    <w:rsid w:val="00F24FCF"/>
    <w:rsid w:val="00F27122"/>
    <w:rsid w:val="00F30696"/>
    <w:rsid w:val="00F344E4"/>
    <w:rsid w:val="00F34C41"/>
    <w:rsid w:val="00F4364A"/>
    <w:rsid w:val="00F53A2F"/>
    <w:rsid w:val="00F5614F"/>
    <w:rsid w:val="00F579A3"/>
    <w:rsid w:val="00F651DB"/>
    <w:rsid w:val="00F72376"/>
    <w:rsid w:val="00F82FA7"/>
    <w:rsid w:val="00F93D0F"/>
    <w:rsid w:val="00F942CB"/>
    <w:rsid w:val="00FB5225"/>
    <w:rsid w:val="00FC0AB0"/>
    <w:rsid w:val="00FC487A"/>
    <w:rsid w:val="00FD4735"/>
    <w:rsid w:val="00FD4CE2"/>
    <w:rsid w:val="00FD7A59"/>
    <w:rsid w:val="00FE02B3"/>
    <w:rsid w:val="00FE2754"/>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3B681"/>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E73F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 w:type="paragraph" w:customStyle="1" w:styleId="Style1">
    <w:name w:val="Style1"/>
    <w:basedOn w:val="Normal"/>
    <w:link w:val="Style1Char"/>
    <w:qFormat/>
    <w:rsid w:val="00565121"/>
    <w:pPr>
      <w:spacing w:before="240" w:after="0" w:line="240" w:lineRule="auto"/>
    </w:pPr>
    <w:rPr>
      <w:rFonts w:asciiTheme="majorBidi" w:hAnsiTheme="majorBidi" w:cstheme="majorBidi"/>
      <w:b/>
      <w:sz w:val="24"/>
      <w:szCs w:val="24"/>
    </w:rPr>
  </w:style>
  <w:style w:type="paragraph" w:customStyle="1" w:styleId="Heading44">
    <w:name w:val="Heading 44"/>
    <w:basedOn w:val="Heading1"/>
    <w:link w:val="Heading44Char"/>
    <w:qFormat/>
    <w:rsid w:val="00565121"/>
  </w:style>
  <w:style w:type="character" w:customStyle="1" w:styleId="Style1Char">
    <w:name w:val="Style1 Char"/>
    <w:basedOn w:val="DefaultParagraphFont"/>
    <w:link w:val="Style1"/>
    <w:rsid w:val="00565121"/>
    <w:rPr>
      <w:rFonts w:asciiTheme="majorBidi" w:hAnsiTheme="majorBidi" w:cstheme="majorBidi"/>
      <w:b/>
      <w:sz w:val="24"/>
      <w:szCs w:val="24"/>
    </w:rPr>
  </w:style>
  <w:style w:type="paragraph" w:customStyle="1" w:styleId="MyHeading">
    <w:name w:val="MyHeading"/>
    <w:basedOn w:val="Heading44"/>
    <w:link w:val="MyHeadingChar"/>
    <w:qFormat/>
    <w:rsid w:val="00565121"/>
    <w:rPr>
      <w:sz w:val="24"/>
      <w:szCs w:val="24"/>
    </w:rPr>
  </w:style>
  <w:style w:type="character" w:customStyle="1" w:styleId="Heading44Char">
    <w:name w:val="Heading 44 Char"/>
    <w:basedOn w:val="Heading1Char"/>
    <w:link w:val="Heading44"/>
    <w:rsid w:val="00565121"/>
    <w:rPr>
      <w:rFonts w:ascii="Times New Roman" w:eastAsia="Times New Roman" w:hAnsi="Times New Roman" w:cs="Times New Roman"/>
      <w:b/>
      <w:bCs/>
      <w:kern w:val="36"/>
      <w:sz w:val="48"/>
      <w:szCs w:val="48"/>
    </w:rPr>
  </w:style>
  <w:style w:type="character" w:customStyle="1" w:styleId="MyHeadingChar">
    <w:name w:val="MyHeading Char"/>
    <w:basedOn w:val="Heading44Char"/>
    <w:link w:val="MyHeading"/>
    <w:rsid w:val="00565121"/>
    <w:rPr>
      <w:rFonts w:ascii="Times New Roman" w:eastAsia="Times New Roman" w:hAnsi="Times New Roman" w:cs="Times New Roman"/>
      <w:b/>
      <w:bCs/>
      <w:kern w:val="36"/>
      <w:sz w:val="24"/>
      <w:szCs w:val="24"/>
    </w:rPr>
  </w:style>
  <w:style w:type="character" w:styleId="CommentReference">
    <w:name w:val="annotation reference"/>
    <w:basedOn w:val="DefaultParagraphFont"/>
    <w:uiPriority w:val="99"/>
    <w:semiHidden/>
    <w:unhideWhenUsed/>
    <w:rsid w:val="00C578FC"/>
    <w:rPr>
      <w:sz w:val="16"/>
      <w:szCs w:val="16"/>
    </w:rPr>
  </w:style>
  <w:style w:type="paragraph" w:styleId="CommentText">
    <w:name w:val="annotation text"/>
    <w:basedOn w:val="Normal"/>
    <w:link w:val="CommentTextChar"/>
    <w:uiPriority w:val="99"/>
    <w:semiHidden/>
    <w:unhideWhenUsed/>
    <w:rsid w:val="00C578FC"/>
    <w:pPr>
      <w:spacing w:line="240" w:lineRule="auto"/>
    </w:pPr>
    <w:rPr>
      <w:sz w:val="20"/>
      <w:szCs w:val="20"/>
    </w:rPr>
  </w:style>
  <w:style w:type="character" w:customStyle="1" w:styleId="CommentTextChar">
    <w:name w:val="Comment Text Char"/>
    <w:basedOn w:val="DefaultParagraphFont"/>
    <w:link w:val="CommentText"/>
    <w:uiPriority w:val="99"/>
    <w:semiHidden/>
    <w:rsid w:val="00C578FC"/>
    <w:rPr>
      <w:sz w:val="20"/>
      <w:szCs w:val="20"/>
    </w:rPr>
  </w:style>
  <w:style w:type="paragraph" w:styleId="CommentSubject">
    <w:name w:val="annotation subject"/>
    <w:basedOn w:val="CommentText"/>
    <w:next w:val="CommentText"/>
    <w:link w:val="CommentSubjectChar"/>
    <w:uiPriority w:val="99"/>
    <w:semiHidden/>
    <w:unhideWhenUsed/>
    <w:rsid w:val="00C578FC"/>
    <w:rPr>
      <w:b/>
      <w:bCs/>
    </w:rPr>
  </w:style>
  <w:style w:type="character" w:customStyle="1" w:styleId="CommentSubjectChar">
    <w:name w:val="Comment Subject Char"/>
    <w:basedOn w:val="CommentTextChar"/>
    <w:link w:val="CommentSubject"/>
    <w:uiPriority w:val="99"/>
    <w:semiHidden/>
    <w:rsid w:val="00C578FC"/>
    <w:rPr>
      <w:b/>
      <w:bCs/>
      <w:sz w:val="20"/>
      <w:szCs w:val="20"/>
    </w:rPr>
  </w:style>
  <w:style w:type="character" w:customStyle="1" w:styleId="UnresolvedMention1">
    <w:name w:val="Unresolved Mention1"/>
    <w:basedOn w:val="DefaultParagraphFont"/>
    <w:uiPriority w:val="99"/>
    <w:semiHidden/>
    <w:unhideWhenUsed/>
    <w:rsid w:val="00202FFE"/>
    <w:rPr>
      <w:color w:val="605E5C"/>
      <w:shd w:val="clear" w:color="auto" w:fill="E1DFDD"/>
    </w:rPr>
  </w:style>
  <w:style w:type="paragraph" w:styleId="Revision">
    <w:name w:val="Revision"/>
    <w:hidden/>
    <w:uiPriority w:val="99"/>
    <w:semiHidden/>
    <w:rsid w:val="00B36970"/>
    <w:pPr>
      <w:spacing w:after="0" w:line="240" w:lineRule="auto"/>
    </w:pPr>
  </w:style>
  <w:style w:type="character" w:styleId="FollowedHyperlink">
    <w:name w:val="FollowedHyperlink"/>
    <w:basedOn w:val="DefaultParagraphFont"/>
    <w:uiPriority w:val="99"/>
    <w:semiHidden/>
    <w:unhideWhenUsed/>
    <w:rsid w:val="00761B69"/>
    <w:rPr>
      <w:color w:val="954F72" w:themeColor="followedHyperlink"/>
      <w:u w:val="single"/>
    </w:rPr>
  </w:style>
  <w:style w:type="character" w:styleId="UnresolvedMention">
    <w:name w:val="Unresolved Mention"/>
    <w:basedOn w:val="DefaultParagraphFont"/>
    <w:uiPriority w:val="99"/>
    <w:semiHidden/>
    <w:unhideWhenUsed/>
    <w:rsid w:val="00233F12"/>
    <w:rPr>
      <w:color w:val="605E5C"/>
      <w:shd w:val="clear" w:color="auto" w:fill="E1DFDD"/>
    </w:rPr>
  </w:style>
  <w:style w:type="character" w:customStyle="1" w:styleId="Heading3Char">
    <w:name w:val="Heading 3 Char"/>
    <w:basedOn w:val="DefaultParagraphFont"/>
    <w:link w:val="Heading3"/>
    <w:uiPriority w:val="9"/>
    <w:rsid w:val="00E73F4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23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125"/>
    <w:rPr>
      <w:sz w:val="20"/>
      <w:szCs w:val="20"/>
    </w:rPr>
  </w:style>
  <w:style w:type="character" w:styleId="FootnoteReference">
    <w:name w:val="footnote reference"/>
    <w:basedOn w:val="DefaultParagraphFont"/>
    <w:uiPriority w:val="99"/>
    <w:semiHidden/>
    <w:unhideWhenUsed/>
    <w:rsid w:val="00223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21083">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224216848">
      <w:bodyDiv w:val="1"/>
      <w:marLeft w:val="0"/>
      <w:marRight w:val="0"/>
      <w:marTop w:val="0"/>
      <w:marBottom w:val="0"/>
      <w:divBdr>
        <w:top w:val="none" w:sz="0" w:space="0" w:color="auto"/>
        <w:left w:val="none" w:sz="0" w:space="0" w:color="auto"/>
        <w:bottom w:val="none" w:sz="0" w:space="0" w:color="auto"/>
        <w:right w:val="none" w:sz="0" w:space="0" w:color="auto"/>
      </w:divBdr>
    </w:div>
    <w:div w:id="1711539094">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en/ITU-T/Workshops-and-Seminars/bsg/20191022/Pages/default.aspx" TargetMode="External"/><Relationship Id="rId18" Type="http://schemas.openxmlformats.org/officeDocument/2006/relationships/hyperlink" Target="https://www.itu.int/en/ITU-T/ssc/united/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en/ITU-T/Workshops-and-Seminars/bsg/201910/Pages/default.aspx" TargetMode="External"/><Relationship Id="rId17" Type="http://schemas.openxmlformats.org/officeDocument/2006/relationships/hyperlink" Target="https://incubator.itu.int/" TargetMode="External"/><Relationship Id="rId25" Type="http://schemas.openxmlformats.org/officeDocument/2006/relationships/hyperlink" Target="https://www.itu.int/md/T17-TSAG-C-0100/en" TargetMode="External"/><Relationship Id="rId2" Type="http://schemas.openxmlformats.org/officeDocument/2006/relationships/numbering" Target="numbering.xml"/><Relationship Id="rId16" Type="http://schemas.openxmlformats.org/officeDocument/2006/relationships/hyperlink" Target="https://www.itu.int/en/ITU-T/extcoop/ai-data-commons/Pages/default.aspx" TargetMode="External"/><Relationship Id="rId20" Type="http://schemas.microsoft.com/office/2014/relationships/chartEx" Target="charts/chart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itu.int/training-courses/full-catalogue/recommendation-itu-t-a1-working-methods-itu-t-study-groups-2019" TargetMode="External"/><Relationship Id="rId24" Type="http://schemas.openxmlformats.org/officeDocument/2006/relationships/hyperlink" Target="https://www.itu.int/md/T17-TSAG-C-0100/en" TargetMode="External"/><Relationship Id="rId5" Type="http://schemas.openxmlformats.org/officeDocument/2006/relationships/webSettings" Target="webSettings.xml"/><Relationship Id="rId15" Type="http://schemas.openxmlformats.org/officeDocument/2006/relationships/hyperlink" Target="https://www.itu.int/en/ITU-T/gap/Documents/nss-rep-may.pdf"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Bridging@itu.int" TargetMode="External"/><Relationship Id="rId19" Type="http://schemas.openxmlformats.org/officeDocument/2006/relationships/hyperlink" Target="http://atu-uat.org/7-11-oct-2019/" TargetMode="External"/><Relationship Id="rId4" Type="http://schemas.openxmlformats.org/officeDocument/2006/relationships/settings" Target="settings.xml"/><Relationship Id="rId9" Type="http://schemas.openxmlformats.org/officeDocument/2006/relationships/hyperlink" Target="mailto:Bilel.Jamoussi@itu.int" TargetMode="Externa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enon\AppData\Local\Microsoft\Windows\INetCache\Content.Outlook\X5A16DPN\Fellowships%20Sept-Dec%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63B-4188-997F-345497C1217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63B-4188-997F-345497C1217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63B-4188-997F-345497C1217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63B-4188-997F-345497C1217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63B-4188-997F-345497C1217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63B-4188-997F-345497C1217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63B-4188-997F-345497C1217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63B-4188-997F-345497C1217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63B-4188-997F-345497C1217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63B-4188-997F-345497C1217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63B-4188-997F-345497C1217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F63B-4188-997F-345497C1217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63B-4188-997F-345497C1217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F63B-4188-997F-345497C1217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Sheet1!$C$1:$I$1</c:f>
              <c:strCache>
                <c:ptCount val="7"/>
                <c:pt idx="0">
                  <c:v>Arab States</c:v>
                </c:pt>
                <c:pt idx="2">
                  <c:v>Asia &amp; Pacific</c:v>
                </c:pt>
                <c:pt idx="4">
                  <c:v>Europe</c:v>
                </c:pt>
                <c:pt idx="6">
                  <c:v>Americas</c:v>
                </c:pt>
              </c:strCache>
            </c:strRef>
          </c:cat>
          <c:val>
            <c:numRef>
              <c:f>Sheet1!$C$2:$I$2</c:f>
              <c:numCache>
                <c:formatCode>General</c:formatCode>
                <c:ptCount val="7"/>
                <c:pt idx="0">
                  <c:v>4</c:v>
                </c:pt>
                <c:pt idx="2">
                  <c:v>3</c:v>
                </c:pt>
                <c:pt idx="4">
                  <c:v>7</c:v>
                </c:pt>
                <c:pt idx="6">
                  <c:v>1</c:v>
                </c:pt>
              </c:numCache>
            </c:numRef>
          </c:val>
          <c:extLst>
            <c:ext xmlns:c16="http://schemas.microsoft.com/office/drawing/2014/chart" uri="{C3380CC4-5D6E-409C-BE32-E72D297353CC}">
              <c16:uniqueId val="{0000000E-F63B-4188-997F-345497C1217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Sheet1!$A$1:$M$1</cx:f>
        <cx:lvl ptCount="13">
          <cx:pt idx="0">SG17</cx:pt>
          <cx:pt idx="1">SG5RG-AFR SG20RG-AFR</cx:pt>
          <cx:pt idx="2">SG5</cx:pt>
          <cx:pt idx="3">TSAG</cx:pt>
          <cx:pt idx="4">SG11RG-AFR</cx:pt>
          <cx:pt idx="5">SG3RG-AO</cx:pt>
          <cx:pt idx="6">SG16</cx:pt>
          <cx:pt idx="7">SG13</cx:pt>
          <cx:pt idx="8">SG11</cx:pt>
          <cx:pt idx="9">SG3RG ARB SG2RG-AFR SG2-ARB</cx:pt>
          <cx:pt idx="10">SG20</cx:pt>
          <cx:pt idx="11">SG12</cx:pt>
          <cx:pt idx="12">SG2</cx:pt>
        </cx:lvl>
      </cx:strDim>
      <cx:numDim type="val">
        <cx:f>Sheet1!$A$2:$M$2</cx:f>
        <cx:lvl ptCount="13" formatCode="General">
          <cx:pt idx="0">4</cx:pt>
          <cx:pt idx="1">7</cx:pt>
          <cx:pt idx="2">6</cx:pt>
          <cx:pt idx="3">10</cx:pt>
          <cx:pt idx="4">4</cx:pt>
          <cx:pt idx="5">1</cx:pt>
          <cx:pt idx="6">6</cx:pt>
          <cx:pt idx="7">5</cx:pt>
          <cx:pt idx="8">7</cx:pt>
          <cx:pt idx="9">20</cx:pt>
          <cx:pt idx="10">5</cx:pt>
          <cx:pt idx="11">6</cx:pt>
          <cx:pt idx="12">4</cx:pt>
        </cx:lvl>
      </cx:numDim>
    </cx:data>
  </cx:chartData>
  <cx:chart>
    <cx:plotArea>
      <cx:plotAreaRegion>
        <cx:series layoutId="funnel" uniqueId="{FA2CCF33-D8BD-494D-8A19-65D1D964903D}">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8035-85F0-4ED2-A8ED-A6948E3F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1906</Words>
  <Characters>10866</Characters>
  <Application>Microsoft Office Word</Application>
  <DocSecurity>4</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 on Bridging the Standardization Gap activities</vt:lpstr>
      <vt:lpstr/>
    </vt:vector>
  </TitlesOfParts>
  <Manager>ITU-T</Manager>
  <Company>International Telecommunication Union (ITU)</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Bridging the Standardization Gap activities</dc:title>
  <dc:subject/>
  <dc:creator>TSB</dc:creator>
  <cp:keywords/>
  <dc:description>TSAG-TDXX  For: Geneva, 10-14 February 2020_x000d_Document date: _x000d_Saved by ITU51014378 at 23:01:09 on 26/01/2020</dc:description>
  <cp:lastModifiedBy>Al-Mnini, Lara</cp:lastModifiedBy>
  <cp:revision>2</cp:revision>
  <cp:lastPrinted>2017-04-28T08:40:00Z</cp:lastPrinted>
  <dcterms:created xsi:type="dcterms:W3CDTF">2020-01-31T15:17:00Z</dcterms:created>
  <dcterms:modified xsi:type="dcterms:W3CDTF">2020-01-31T15:17:00Z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TSB</vt:lpwstr>
  </property>
</Properties>
</file>