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18F3F8C0" w14:textId="77777777" w:rsidTr="00DF0620">
        <w:trPr>
          <w:cantSplit/>
        </w:trPr>
        <w:tc>
          <w:tcPr>
            <w:tcW w:w="1191" w:type="dxa"/>
            <w:vMerge w:val="restart"/>
          </w:tcPr>
          <w:p w14:paraId="6A4EA9C6" w14:textId="77777777" w:rsidR="00ED1CDB" w:rsidRPr="00804EFA" w:rsidRDefault="005C0618" w:rsidP="00804EFA">
            <w:pPr>
              <w:rPr>
                <w:sz w:val="20"/>
                <w:szCs w:val="20"/>
              </w:rPr>
            </w:pPr>
            <w:bookmarkStart w:id="0" w:name="dnum" w:colFirst="2" w:colLast="2"/>
            <w:bookmarkStart w:id="1" w:name="dtableau"/>
            <w:r w:rsidRPr="00804EFA">
              <w:rPr>
                <w:noProof/>
                <w:sz w:val="20"/>
                <w:szCs w:val="20"/>
                <w:lang w:eastAsia="en-GB"/>
              </w:rPr>
              <w:drawing>
                <wp:inline distT="0" distB="0" distL="0" distR="0" wp14:anchorId="403B7AB9" wp14:editId="44DFDAC8">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6D3FC4D" w14:textId="77777777" w:rsidR="00ED1CDB" w:rsidRPr="00804EFA" w:rsidRDefault="00ED1CDB" w:rsidP="00804EFA">
            <w:pPr>
              <w:rPr>
                <w:sz w:val="16"/>
                <w:szCs w:val="16"/>
              </w:rPr>
            </w:pPr>
            <w:r w:rsidRPr="00804EFA">
              <w:rPr>
                <w:sz w:val="16"/>
                <w:szCs w:val="16"/>
              </w:rPr>
              <w:t>INTERNATIONAL TELECOMMUNICATION UNION</w:t>
            </w:r>
          </w:p>
          <w:p w14:paraId="6D82FAF9"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54E31CF7" w14:textId="77777777"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14:paraId="27DB08F9" w14:textId="77777777" w:rsidR="00ED1CDB" w:rsidRPr="003C7237" w:rsidRDefault="00E81B33" w:rsidP="00F9270F">
            <w:pPr>
              <w:pStyle w:val="Docnumber"/>
              <w:rPr>
                <w:sz w:val="32"/>
                <w:szCs w:val="32"/>
              </w:rPr>
            </w:pPr>
            <w:r w:rsidRPr="003C7237">
              <w:rPr>
                <w:sz w:val="32"/>
                <w:szCs w:val="32"/>
              </w:rPr>
              <w:t>TSAG-</w:t>
            </w:r>
            <w:r w:rsidR="00ED1CDB" w:rsidRPr="003C7237">
              <w:rPr>
                <w:sz w:val="32"/>
                <w:szCs w:val="32"/>
              </w:rPr>
              <w:t>TD</w:t>
            </w:r>
            <w:r w:rsidR="00F9270F">
              <w:rPr>
                <w:sz w:val="32"/>
                <w:szCs w:val="32"/>
              </w:rPr>
              <w:t>751</w:t>
            </w:r>
          </w:p>
        </w:tc>
      </w:tr>
      <w:tr w:rsidR="00ED1CDB" w:rsidRPr="00804EFA" w14:paraId="6E34F1EA" w14:textId="77777777" w:rsidTr="00DF0620">
        <w:trPr>
          <w:cantSplit/>
        </w:trPr>
        <w:tc>
          <w:tcPr>
            <w:tcW w:w="1191" w:type="dxa"/>
            <w:vMerge/>
          </w:tcPr>
          <w:p w14:paraId="629A8B61" w14:textId="77777777" w:rsidR="00ED1CDB" w:rsidRPr="00804EFA" w:rsidRDefault="00ED1CDB" w:rsidP="00804EFA">
            <w:pPr>
              <w:rPr>
                <w:smallCaps/>
                <w:sz w:val="20"/>
              </w:rPr>
            </w:pPr>
            <w:bookmarkStart w:id="3" w:name="dsg" w:colFirst="2" w:colLast="2"/>
            <w:bookmarkEnd w:id="0"/>
          </w:p>
        </w:tc>
        <w:tc>
          <w:tcPr>
            <w:tcW w:w="4051" w:type="dxa"/>
            <w:gridSpan w:val="3"/>
            <w:vMerge/>
          </w:tcPr>
          <w:p w14:paraId="5DE1F9D4" w14:textId="77777777" w:rsidR="00ED1CDB" w:rsidRPr="00804EFA" w:rsidRDefault="00ED1CDB" w:rsidP="00804EFA">
            <w:pPr>
              <w:rPr>
                <w:smallCaps/>
                <w:sz w:val="20"/>
              </w:rPr>
            </w:pPr>
          </w:p>
        </w:tc>
        <w:tc>
          <w:tcPr>
            <w:tcW w:w="4681" w:type="dxa"/>
            <w:gridSpan w:val="2"/>
          </w:tcPr>
          <w:p w14:paraId="413A21F1" w14:textId="77777777"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14:paraId="19EEC56F" w14:textId="77777777" w:rsidTr="00DF0620">
        <w:trPr>
          <w:cantSplit/>
        </w:trPr>
        <w:tc>
          <w:tcPr>
            <w:tcW w:w="1191" w:type="dxa"/>
            <w:vMerge/>
            <w:tcBorders>
              <w:bottom w:val="single" w:sz="12" w:space="0" w:color="auto"/>
            </w:tcBorders>
          </w:tcPr>
          <w:p w14:paraId="00319646" w14:textId="77777777" w:rsidR="00ED1CDB" w:rsidRPr="00804EFA" w:rsidRDefault="00ED1CDB" w:rsidP="00804EFA">
            <w:pPr>
              <w:rPr>
                <w:b/>
                <w:bCs/>
                <w:sz w:val="26"/>
              </w:rPr>
            </w:pPr>
          </w:p>
        </w:tc>
        <w:tc>
          <w:tcPr>
            <w:tcW w:w="4051" w:type="dxa"/>
            <w:gridSpan w:val="3"/>
            <w:vMerge/>
            <w:tcBorders>
              <w:bottom w:val="single" w:sz="12" w:space="0" w:color="auto"/>
            </w:tcBorders>
          </w:tcPr>
          <w:p w14:paraId="095E9D13"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0DBCAABD"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3DA45E1A" w14:textId="77777777" w:rsidTr="00DF0620">
        <w:trPr>
          <w:cantSplit/>
        </w:trPr>
        <w:tc>
          <w:tcPr>
            <w:tcW w:w="1617" w:type="dxa"/>
            <w:gridSpan w:val="3"/>
          </w:tcPr>
          <w:p w14:paraId="7818E111" w14:textId="77777777"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14:paraId="6D7F3209" w14:textId="77777777" w:rsidR="00ED1CDB" w:rsidRPr="00804EFA" w:rsidRDefault="00ED1CDB" w:rsidP="00804EFA">
            <w:r w:rsidRPr="00804EFA">
              <w:t>N/A</w:t>
            </w:r>
          </w:p>
        </w:tc>
        <w:tc>
          <w:tcPr>
            <w:tcW w:w="4681" w:type="dxa"/>
            <w:gridSpan w:val="2"/>
          </w:tcPr>
          <w:p w14:paraId="43AF783C" w14:textId="77777777" w:rsidR="00ED1CDB" w:rsidRPr="00804EFA" w:rsidRDefault="00D15520" w:rsidP="00916E13">
            <w:pPr>
              <w:jc w:val="right"/>
            </w:pPr>
            <w:r w:rsidRPr="003B481C">
              <w:rPr>
                <w:rFonts w:asciiTheme="majorBidi" w:hAnsiTheme="majorBidi" w:cstheme="majorBidi"/>
                <w:lang w:val="en-US"/>
              </w:rPr>
              <w:t xml:space="preserve">Geneva, </w:t>
            </w:r>
            <w:r w:rsidR="00916E13">
              <w:rPr>
                <w:rFonts w:asciiTheme="majorBidi" w:hAnsiTheme="majorBidi" w:cstheme="majorBidi"/>
                <w:lang w:val="en-US"/>
              </w:rPr>
              <w:t>10-14 February 2020</w:t>
            </w:r>
          </w:p>
        </w:tc>
      </w:tr>
      <w:tr w:rsidR="00ED1CDB" w:rsidRPr="00804EFA" w14:paraId="4F9BC070" w14:textId="77777777" w:rsidTr="00DF0620">
        <w:trPr>
          <w:cantSplit/>
        </w:trPr>
        <w:tc>
          <w:tcPr>
            <w:tcW w:w="9923" w:type="dxa"/>
            <w:gridSpan w:val="6"/>
          </w:tcPr>
          <w:p w14:paraId="65BAF026" w14:textId="77777777" w:rsidR="00ED1CDB" w:rsidRPr="00804EFA" w:rsidRDefault="00ED1CDB" w:rsidP="00804EFA">
            <w:pPr>
              <w:jc w:val="center"/>
              <w:rPr>
                <w:b/>
                <w:bCs/>
              </w:rPr>
            </w:pPr>
            <w:bookmarkStart w:id="6" w:name="ddoctype" w:colFirst="0" w:colLast="0"/>
            <w:bookmarkEnd w:id="4"/>
            <w:bookmarkEnd w:id="5"/>
            <w:r w:rsidRPr="00804EFA">
              <w:rPr>
                <w:b/>
                <w:bCs/>
              </w:rPr>
              <w:t>TD</w:t>
            </w:r>
          </w:p>
        </w:tc>
      </w:tr>
      <w:tr w:rsidR="00ED1CDB" w:rsidRPr="00804EFA" w14:paraId="46E3DACD" w14:textId="77777777" w:rsidTr="00DF0620">
        <w:trPr>
          <w:cantSplit/>
        </w:trPr>
        <w:tc>
          <w:tcPr>
            <w:tcW w:w="1617" w:type="dxa"/>
            <w:gridSpan w:val="3"/>
          </w:tcPr>
          <w:p w14:paraId="25327257" w14:textId="77777777" w:rsidR="00ED1CDB" w:rsidRPr="00804EFA" w:rsidRDefault="00ED1CDB" w:rsidP="00804EFA">
            <w:pPr>
              <w:rPr>
                <w:b/>
                <w:bCs/>
              </w:rPr>
            </w:pPr>
            <w:bookmarkStart w:id="7" w:name="dsource" w:colFirst="1" w:colLast="1"/>
            <w:bookmarkEnd w:id="6"/>
            <w:r w:rsidRPr="00804EFA">
              <w:rPr>
                <w:b/>
                <w:bCs/>
              </w:rPr>
              <w:t>Source:</w:t>
            </w:r>
          </w:p>
        </w:tc>
        <w:tc>
          <w:tcPr>
            <w:tcW w:w="8306" w:type="dxa"/>
            <w:gridSpan w:val="3"/>
          </w:tcPr>
          <w:p w14:paraId="1B592B6E" w14:textId="77777777" w:rsidR="00ED1CDB" w:rsidRPr="00804EFA" w:rsidRDefault="00ED1CDB" w:rsidP="00804EFA">
            <w:r w:rsidRPr="00804EFA">
              <w:t>Rapporteur, TSAG Rapporteur Group “</w:t>
            </w:r>
            <w:r w:rsidR="00D15520" w:rsidRPr="00D15520">
              <w:rPr>
                <w:rFonts w:asciiTheme="majorBidi" w:hAnsiTheme="majorBidi" w:cstheme="majorBidi"/>
                <w:bCs/>
              </w:rPr>
              <w:t>Review of WTSA Resolutions</w:t>
            </w:r>
            <w:r w:rsidRPr="00804EFA">
              <w:t>”</w:t>
            </w:r>
          </w:p>
        </w:tc>
      </w:tr>
      <w:tr w:rsidR="00ED1CDB" w:rsidRPr="00804EFA" w14:paraId="3867753F" w14:textId="77777777" w:rsidTr="00DF0620">
        <w:trPr>
          <w:cantSplit/>
        </w:trPr>
        <w:tc>
          <w:tcPr>
            <w:tcW w:w="1617" w:type="dxa"/>
            <w:gridSpan w:val="3"/>
          </w:tcPr>
          <w:p w14:paraId="2E4DBB06" w14:textId="77777777" w:rsidR="00ED1CDB" w:rsidRPr="00804EFA" w:rsidRDefault="00ED1CDB" w:rsidP="00804EFA">
            <w:bookmarkStart w:id="8" w:name="dtitle1" w:colFirst="1" w:colLast="1"/>
            <w:bookmarkEnd w:id="7"/>
            <w:r w:rsidRPr="00804EFA">
              <w:rPr>
                <w:b/>
                <w:bCs/>
              </w:rPr>
              <w:t>Title:</w:t>
            </w:r>
          </w:p>
        </w:tc>
        <w:tc>
          <w:tcPr>
            <w:tcW w:w="8306" w:type="dxa"/>
            <w:gridSpan w:val="3"/>
          </w:tcPr>
          <w:p w14:paraId="770C92C5" w14:textId="77777777" w:rsidR="00ED1CDB" w:rsidRPr="00804EFA" w:rsidRDefault="009861AE" w:rsidP="001C5069">
            <w:r>
              <w:t xml:space="preserve">Meeting </w:t>
            </w:r>
            <w:r w:rsidR="00916E13">
              <w:t xml:space="preserve">output - </w:t>
            </w:r>
            <w:r w:rsidR="00916E13" w:rsidRPr="00F470C0">
              <w:t>Principles, Guidelines on streamlining</w:t>
            </w:r>
            <w:r>
              <w:t xml:space="preserve"> Resolutions</w:t>
            </w:r>
            <w:r w:rsidR="00456856">
              <w:t xml:space="preserve">, and </w:t>
            </w:r>
            <w:r w:rsidR="005E0748">
              <w:t xml:space="preserve">for </w:t>
            </w:r>
            <w:r w:rsidR="00456856">
              <w:t>drafting Resolutions</w:t>
            </w:r>
          </w:p>
        </w:tc>
      </w:tr>
      <w:tr w:rsidR="00ED1CDB" w:rsidRPr="00804EFA" w14:paraId="72A3748E" w14:textId="77777777" w:rsidTr="00DF0620">
        <w:trPr>
          <w:cantSplit/>
        </w:trPr>
        <w:tc>
          <w:tcPr>
            <w:tcW w:w="1617" w:type="dxa"/>
            <w:gridSpan w:val="3"/>
            <w:tcBorders>
              <w:bottom w:val="single" w:sz="8" w:space="0" w:color="auto"/>
            </w:tcBorders>
          </w:tcPr>
          <w:p w14:paraId="7409B817" w14:textId="77777777" w:rsidR="00ED1CDB" w:rsidRPr="00804EFA" w:rsidRDefault="00ED1CDB" w:rsidP="00804EFA">
            <w:pPr>
              <w:rPr>
                <w:b/>
                <w:bCs/>
              </w:rPr>
            </w:pPr>
            <w:bookmarkStart w:id="9" w:name="dpurpose" w:colFirst="1" w:colLast="1"/>
            <w:bookmarkEnd w:id="8"/>
            <w:r w:rsidRPr="00804EFA">
              <w:rPr>
                <w:b/>
                <w:bCs/>
              </w:rPr>
              <w:t>Purpose:</w:t>
            </w:r>
          </w:p>
        </w:tc>
        <w:tc>
          <w:tcPr>
            <w:tcW w:w="8306" w:type="dxa"/>
            <w:gridSpan w:val="3"/>
            <w:tcBorders>
              <w:bottom w:val="single" w:sz="8" w:space="0" w:color="auto"/>
            </w:tcBorders>
          </w:tcPr>
          <w:p w14:paraId="33E85220" w14:textId="77777777" w:rsidR="00ED1CDB" w:rsidRPr="00804EFA" w:rsidRDefault="00916E13" w:rsidP="00804EFA">
            <w:r>
              <w:t>Information</w:t>
            </w:r>
          </w:p>
        </w:tc>
      </w:tr>
      <w:bookmarkEnd w:id="1"/>
      <w:bookmarkEnd w:id="9"/>
      <w:tr w:rsidR="00C8388A" w:rsidRPr="00FD05BE" w14:paraId="6B4138B9" w14:textId="77777777" w:rsidTr="00ED1CDB">
        <w:trPr>
          <w:cantSplit/>
        </w:trPr>
        <w:tc>
          <w:tcPr>
            <w:tcW w:w="1607" w:type="dxa"/>
            <w:gridSpan w:val="2"/>
            <w:tcBorders>
              <w:top w:val="single" w:sz="8" w:space="0" w:color="auto"/>
              <w:bottom w:val="single" w:sz="8" w:space="0" w:color="auto"/>
            </w:tcBorders>
          </w:tcPr>
          <w:p w14:paraId="03BB711D" w14:textId="77777777" w:rsidR="00C8388A" w:rsidRPr="00804EFA" w:rsidRDefault="00C8388A" w:rsidP="00C8388A">
            <w:pPr>
              <w:rPr>
                <w:b/>
                <w:bCs/>
              </w:rPr>
            </w:pPr>
            <w:r w:rsidRPr="00804EFA">
              <w:rPr>
                <w:b/>
                <w:bCs/>
              </w:rPr>
              <w:t>Contact:</w:t>
            </w:r>
          </w:p>
        </w:tc>
        <w:tc>
          <w:tcPr>
            <w:tcW w:w="3780" w:type="dxa"/>
            <w:gridSpan w:val="3"/>
            <w:tcBorders>
              <w:top w:val="single" w:sz="8" w:space="0" w:color="auto"/>
              <w:bottom w:val="single" w:sz="8" w:space="0" w:color="auto"/>
            </w:tcBorders>
          </w:tcPr>
          <w:p w14:paraId="48EF0D06" w14:textId="77777777" w:rsidR="00C8388A" w:rsidRPr="006C0405" w:rsidRDefault="00C8388A" w:rsidP="00C8388A">
            <w:pPr>
              <w:spacing w:after="100" w:afterAutospacing="1"/>
              <w:rPr>
                <w:rFonts w:asciiTheme="majorBidi" w:hAnsiTheme="majorBidi" w:cstheme="majorBidi"/>
                <w:lang w:val="fr-FR"/>
              </w:rPr>
            </w:pPr>
            <w:r w:rsidRPr="002C1164">
              <w:rPr>
                <w:rFonts w:asciiTheme="majorBidi" w:hAnsiTheme="majorBidi" w:cstheme="majorBidi"/>
                <w:lang w:val="fr-FR"/>
              </w:rPr>
              <w:t>Vladimir Minkin</w:t>
            </w:r>
            <w:r w:rsidRPr="006C0405">
              <w:rPr>
                <w:rFonts w:asciiTheme="majorBidi" w:hAnsiTheme="majorBidi" w:cstheme="majorBidi"/>
                <w:lang w:val="fr-FR"/>
              </w:rPr>
              <w:br/>
              <w:t xml:space="preserve">Rapporteur </w:t>
            </w:r>
            <w:r w:rsidRPr="00DA2F1C">
              <w:rPr>
                <w:rFonts w:asciiTheme="majorBidi" w:hAnsiTheme="majorBidi" w:cstheme="majorBidi"/>
                <w:lang w:val="fr-CH"/>
              </w:rPr>
              <w:t>RG-ResReview</w:t>
            </w:r>
          </w:p>
        </w:tc>
        <w:tc>
          <w:tcPr>
            <w:tcW w:w="4536" w:type="dxa"/>
            <w:tcBorders>
              <w:top w:val="single" w:sz="8" w:space="0" w:color="auto"/>
              <w:bottom w:val="single" w:sz="8" w:space="0" w:color="auto"/>
            </w:tcBorders>
          </w:tcPr>
          <w:p w14:paraId="15D36E75" w14:textId="77777777" w:rsidR="00C8388A" w:rsidRPr="00B36FD1" w:rsidRDefault="00C8388A" w:rsidP="00C8388A">
            <w:pPr>
              <w:spacing w:after="100" w:afterAutospacing="1"/>
              <w:rPr>
                <w:rFonts w:asciiTheme="majorBidi" w:hAnsiTheme="majorBidi" w:cstheme="majorBidi"/>
                <w:lang w:val="de-DE"/>
              </w:rPr>
            </w:pPr>
            <w:r w:rsidRPr="00B36FD1">
              <w:rPr>
                <w:rFonts w:asciiTheme="majorBidi" w:hAnsiTheme="majorBidi" w:cstheme="majorBidi"/>
                <w:lang w:val="de-DE"/>
              </w:rPr>
              <w:t>Tel:</w:t>
            </w:r>
            <w:r w:rsidRPr="00B36FD1">
              <w:rPr>
                <w:rFonts w:asciiTheme="majorBidi" w:hAnsiTheme="majorBidi" w:cstheme="majorBidi"/>
                <w:lang w:val="de-DE"/>
              </w:rPr>
              <w:tab/>
            </w:r>
            <w:r w:rsidRPr="002C1164">
              <w:rPr>
                <w:rFonts w:asciiTheme="majorBidi" w:hAnsiTheme="majorBidi" w:cstheme="majorBidi"/>
                <w:lang w:val="de-DE"/>
              </w:rPr>
              <w:t>+7 (495) 261-9307</w:t>
            </w:r>
            <w:r w:rsidRPr="00B36FD1">
              <w:rPr>
                <w:rFonts w:asciiTheme="majorBidi" w:hAnsiTheme="majorBidi" w:cstheme="majorBidi"/>
                <w:lang w:val="de-DE"/>
              </w:rPr>
              <w:br/>
              <w:t xml:space="preserve">E-mail: </w:t>
            </w:r>
            <w:hyperlink r:id="rId8" w:history="1">
              <w:r w:rsidRPr="00186E82">
                <w:rPr>
                  <w:rStyle w:val="Hyperlink"/>
                  <w:rFonts w:asciiTheme="majorBidi" w:hAnsiTheme="majorBidi" w:cstheme="majorBidi"/>
                  <w:lang w:val="de-DE"/>
                </w:rPr>
                <w:t>minkin-itu@mail.ru</w:t>
              </w:r>
            </w:hyperlink>
          </w:p>
        </w:tc>
      </w:tr>
    </w:tbl>
    <w:p w14:paraId="4029F037" w14:textId="77777777" w:rsidR="00804EFA" w:rsidRPr="00FD05BE"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0515D0D4" w14:textId="77777777" w:rsidTr="00ED1CDB">
        <w:trPr>
          <w:cantSplit/>
        </w:trPr>
        <w:tc>
          <w:tcPr>
            <w:tcW w:w="1641" w:type="dxa"/>
          </w:tcPr>
          <w:p w14:paraId="23F1541C" w14:textId="77777777" w:rsidR="00BD0A1E" w:rsidRPr="00804EFA" w:rsidRDefault="00BD0A1E" w:rsidP="00804EFA">
            <w:pPr>
              <w:spacing w:after="100" w:afterAutospacing="1"/>
              <w:rPr>
                <w:b/>
                <w:bCs/>
              </w:rPr>
            </w:pPr>
            <w:r w:rsidRPr="00804EFA">
              <w:rPr>
                <w:b/>
                <w:bCs/>
              </w:rPr>
              <w:t>Keywords:</w:t>
            </w:r>
          </w:p>
        </w:tc>
        <w:tc>
          <w:tcPr>
            <w:tcW w:w="8282" w:type="dxa"/>
          </w:tcPr>
          <w:p w14:paraId="7C347FC0" w14:textId="11165C6C" w:rsidR="00BD0A1E" w:rsidRPr="00804EFA" w:rsidRDefault="00916E13" w:rsidP="00916E13">
            <w:pPr>
              <w:spacing w:after="100" w:afterAutospacing="1"/>
            </w:pPr>
            <w:r w:rsidRPr="00F470C0">
              <w:t>Streamlining</w:t>
            </w:r>
            <w:r w:rsidR="005B6B7C">
              <w:t xml:space="preserve"> Resolutions</w:t>
            </w:r>
            <w:r w:rsidR="00FD05BE">
              <w:t>;</w:t>
            </w:r>
            <w:r w:rsidR="00D1766A">
              <w:t xml:space="preserve"> guidelines</w:t>
            </w:r>
            <w:r w:rsidR="00FD05BE">
              <w:t>;</w:t>
            </w:r>
            <w:r w:rsidR="00D1766A">
              <w:t xml:space="preserve"> principles</w:t>
            </w:r>
            <w:r w:rsidR="00FD05BE">
              <w:t>;</w:t>
            </w:r>
            <w:bookmarkStart w:id="10" w:name="_GoBack"/>
            <w:bookmarkEnd w:id="10"/>
          </w:p>
        </w:tc>
      </w:tr>
      <w:tr w:rsidR="00BD0A1E" w:rsidRPr="00804EFA" w14:paraId="46FEF0F7" w14:textId="77777777" w:rsidTr="00ED1CDB">
        <w:trPr>
          <w:cantSplit/>
        </w:trPr>
        <w:tc>
          <w:tcPr>
            <w:tcW w:w="1641" w:type="dxa"/>
          </w:tcPr>
          <w:p w14:paraId="30F91408" w14:textId="77777777" w:rsidR="00BD0A1E" w:rsidRPr="00804EFA" w:rsidRDefault="00BD0A1E" w:rsidP="00804EFA">
            <w:pPr>
              <w:spacing w:after="100" w:afterAutospacing="1"/>
              <w:rPr>
                <w:b/>
                <w:bCs/>
              </w:rPr>
            </w:pPr>
            <w:r w:rsidRPr="00804EFA">
              <w:rPr>
                <w:b/>
                <w:bCs/>
              </w:rPr>
              <w:t>Abstract:</w:t>
            </w:r>
          </w:p>
        </w:tc>
        <w:tc>
          <w:tcPr>
            <w:tcW w:w="8282" w:type="dxa"/>
          </w:tcPr>
          <w:p w14:paraId="5E824787" w14:textId="77777777" w:rsidR="00BD0A1E" w:rsidRPr="00804EFA" w:rsidRDefault="00BD0A1E" w:rsidP="00EF19F1">
            <w:pPr>
              <w:spacing w:after="100" w:afterAutospacing="1"/>
            </w:pPr>
            <w:r w:rsidRPr="00804EFA">
              <w:t xml:space="preserve">This TD </w:t>
            </w:r>
            <w:r w:rsidR="00916E13">
              <w:t>consolidates material on principles and guidelines for streamlining Resolutions</w:t>
            </w:r>
            <w:r w:rsidR="00224E09">
              <w:t xml:space="preserve">, and </w:t>
            </w:r>
            <w:r w:rsidR="00224E09" w:rsidRPr="00224E09">
              <w:t>Guidelines for drafting WTSA resolutions</w:t>
            </w:r>
            <w:r w:rsidR="00916E13">
              <w:t xml:space="preserve"> from </w:t>
            </w:r>
            <w:r w:rsidRPr="00804EFA">
              <w:t>RG-</w:t>
            </w:r>
            <w:r w:rsidR="00C8388A">
              <w:t>ResReview</w:t>
            </w:r>
            <w:r w:rsidR="00C8388A" w:rsidRPr="00804EFA">
              <w:t xml:space="preserve"> </w:t>
            </w:r>
            <w:r w:rsidRPr="00804EFA">
              <w:t>meeting</w:t>
            </w:r>
            <w:r w:rsidR="00916E13">
              <w:t>s</w:t>
            </w:r>
            <w:r w:rsidRPr="00804EFA">
              <w:t>.</w:t>
            </w:r>
          </w:p>
        </w:tc>
      </w:tr>
    </w:tbl>
    <w:p w14:paraId="3D6F154A" w14:textId="77777777" w:rsidR="005A6892" w:rsidRPr="00CC3845" w:rsidRDefault="005A6892" w:rsidP="005A6892">
      <w:pPr>
        <w:tabs>
          <w:tab w:val="left" w:pos="0"/>
        </w:tabs>
        <w:overflowPunct w:val="0"/>
        <w:autoSpaceDE w:val="0"/>
        <w:autoSpaceDN w:val="0"/>
        <w:adjustRightInd w:val="0"/>
        <w:textAlignment w:val="baseline"/>
        <w:rPr>
          <w:b/>
          <w:lang w:val="en-US"/>
        </w:rPr>
      </w:pPr>
      <w:r w:rsidRPr="00CC3845">
        <w:rPr>
          <w:b/>
          <w:lang w:val="en-US"/>
        </w:rPr>
        <w:t>PP-18 agreement on streamlining</w:t>
      </w:r>
      <w:r>
        <w:rPr>
          <w:b/>
          <w:lang w:val="en-US"/>
        </w:rPr>
        <w:t>:</w:t>
      </w:r>
    </w:p>
    <w:p w14:paraId="69907E63" w14:textId="77777777" w:rsidR="005A6892" w:rsidRPr="00CC3845" w:rsidRDefault="005A6892" w:rsidP="005A6892">
      <w:pPr>
        <w:tabs>
          <w:tab w:val="left" w:pos="0"/>
        </w:tabs>
        <w:overflowPunct w:val="0"/>
        <w:autoSpaceDE w:val="0"/>
        <w:autoSpaceDN w:val="0"/>
        <w:adjustRightInd w:val="0"/>
        <w:ind w:left="360"/>
        <w:textAlignment w:val="baseline"/>
      </w:pPr>
      <w:r w:rsidRPr="00CC3845">
        <w:rPr>
          <w:i/>
          <w:iCs/>
        </w:rPr>
        <w:t xml:space="preserve">As has been discussed in multiple sessions of Council, this Plenipotentiary Conference (PP) acknowledged the need for streamlining of resolutions. The discussions included </w:t>
      </w:r>
      <w:r w:rsidRPr="00CC3845">
        <w:rPr>
          <w:b/>
          <w:bCs/>
          <w:i/>
          <w:iCs/>
        </w:rPr>
        <w:t>observations that multiple resolutions in all three Sectors reproduce preambular text that exists in a PP resolution. PP aware that some Sector resolutions are integrations of PP resolutions, these resolutions should not be considered as repetition.</w:t>
      </w:r>
    </w:p>
    <w:p w14:paraId="674D993E" w14:textId="77777777" w:rsidR="005A6892" w:rsidRPr="00CC3845" w:rsidRDefault="005A6892" w:rsidP="005A6892">
      <w:pPr>
        <w:tabs>
          <w:tab w:val="left" w:pos="0"/>
        </w:tabs>
        <w:overflowPunct w:val="0"/>
        <w:autoSpaceDE w:val="0"/>
        <w:autoSpaceDN w:val="0"/>
        <w:adjustRightInd w:val="0"/>
        <w:ind w:left="360"/>
        <w:textAlignment w:val="baseline"/>
      </w:pPr>
      <w:r w:rsidRPr="00CC3845">
        <w:rPr>
          <w:b/>
          <w:bCs/>
          <w:i/>
          <w:iCs/>
        </w:rPr>
        <w:t>Repetition of such text among Conferences and Assemblies of the ITU causes inefficiencies and increased costs.</w:t>
      </w:r>
    </w:p>
    <w:p w14:paraId="26FCD457" w14:textId="77777777" w:rsidR="005A6892" w:rsidRPr="00CC3845" w:rsidRDefault="005A6892" w:rsidP="005A6892">
      <w:pPr>
        <w:tabs>
          <w:tab w:val="left" w:pos="0"/>
        </w:tabs>
        <w:overflowPunct w:val="0"/>
        <w:autoSpaceDE w:val="0"/>
        <w:autoSpaceDN w:val="0"/>
        <w:adjustRightInd w:val="0"/>
        <w:ind w:left="360"/>
        <w:textAlignment w:val="baseline"/>
      </w:pPr>
      <w:r w:rsidRPr="00CC3845">
        <w:rPr>
          <w:b/>
          <w:bCs/>
          <w:i/>
          <w:iCs/>
        </w:rPr>
        <w:t>PP instructs the Secretariat to provide analysis and identify outcomes of PP and Sectoral Assemblies/Conferences, which address similar topics and submit it for consideration to RAG, TSAG, TDAG and Council, and the inter-Sector coordination team.</w:t>
      </w:r>
    </w:p>
    <w:p w14:paraId="4C6AC7E6" w14:textId="77777777" w:rsidR="005A6892" w:rsidRPr="00CC3845" w:rsidRDefault="005A6892" w:rsidP="005A6892">
      <w:pPr>
        <w:tabs>
          <w:tab w:val="left" w:pos="0"/>
        </w:tabs>
        <w:overflowPunct w:val="0"/>
        <w:autoSpaceDE w:val="0"/>
        <w:autoSpaceDN w:val="0"/>
        <w:adjustRightInd w:val="0"/>
        <w:ind w:left="360"/>
        <w:textAlignment w:val="baseline"/>
      </w:pPr>
      <w:r w:rsidRPr="00CC3845">
        <w:rPr>
          <w:i/>
          <w:iCs/>
        </w:rPr>
        <w:t>Member States and Sector Members are invited to use this material in their preparation to Sector Assemblies/Conferences, as appropriate.</w:t>
      </w:r>
    </w:p>
    <w:p w14:paraId="3783A888" w14:textId="77777777" w:rsidR="005A6892" w:rsidRPr="00CC3845" w:rsidRDefault="005A6892" w:rsidP="005A6892">
      <w:pPr>
        <w:tabs>
          <w:tab w:val="left" w:pos="0"/>
        </w:tabs>
        <w:overflowPunct w:val="0"/>
        <w:autoSpaceDE w:val="0"/>
        <w:autoSpaceDN w:val="0"/>
        <w:adjustRightInd w:val="0"/>
        <w:ind w:left="360"/>
        <w:textAlignment w:val="baseline"/>
      </w:pPr>
      <w:r w:rsidRPr="00CC3845">
        <w:rPr>
          <w:b/>
          <w:bCs/>
          <w:i/>
          <w:iCs/>
        </w:rP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p w14:paraId="50E54B69" w14:textId="77777777" w:rsidR="005A6892" w:rsidRPr="00CC3845" w:rsidRDefault="005A6892" w:rsidP="00106EA7">
      <w:pPr>
        <w:tabs>
          <w:tab w:val="left" w:pos="0"/>
        </w:tabs>
        <w:overflowPunct w:val="0"/>
        <w:autoSpaceDE w:val="0"/>
        <w:autoSpaceDN w:val="0"/>
        <w:adjustRightInd w:val="0"/>
        <w:spacing w:before="240"/>
        <w:textAlignment w:val="baseline"/>
        <w:rPr>
          <w:b/>
          <w:lang w:val="en-US"/>
        </w:rPr>
      </w:pPr>
      <w:r w:rsidRPr="00CC3845">
        <w:rPr>
          <w:b/>
          <w:lang w:val="en-US"/>
        </w:rPr>
        <w:t>What is streamlining of Resolutions?</w:t>
      </w:r>
    </w:p>
    <w:p w14:paraId="078AEB77" w14:textId="77777777" w:rsidR="005A6892" w:rsidRPr="00CC3845" w:rsidRDefault="005A6892" w:rsidP="005A6892">
      <w:pPr>
        <w:numPr>
          <w:ilvl w:val="0"/>
          <w:numId w:val="28"/>
        </w:numPr>
        <w:tabs>
          <w:tab w:val="left" w:pos="0"/>
        </w:tabs>
        <w:overflowPunct w:val="0"/>
        <w:autoSpaceDE w:val="0"/>
        <w:autoSpaceDN w:val="0"/>
        <w:adjustRightInd w:val="0"/>
        <w:textAlignment w:val="baseline"/>
      </w:pPr>
      <w:r w:rsidRPr="00CC3845">
        <w:t>Look for the potential of Resolutions to be</w:t>
      </w:r>
    </w:p>
    <w:p w14:paraId="7777F26B" w14:textId="77777777" w:rsidR="005A6892" w:rsidRPr="00CC3845" w:rsidRDefault="005A6892" w:rsidP="005A6892">
      <w:pPr>
        <w:numPr>
          <w:ilvl w:val="1"/>
          <w:numId w:val="28"/>
        </w:numPr>
        <w:tabs>
          <w:tab w:val="left" w:pos="0"/>
        </w:tabs>
        <w:overflowPunct w:val="0"/>
        <w:autoSpaceDE w:val="0"/>
        <w:autoSpaceDN w:val="0"/>
        <w:adjustRightInd w:val="0"/>
        <w:textAlignment w:val="baseline"/>
      </w:pPr>
      <w:r>
        <w:t>merged (for thematically related Resolutions</w:t>
      </w:r>
      <w:r w:rsidR="006C7336">
        <w:t>, or Resolution of the same category/subject</w:t>
      </w:r>
      <w:r>
        <w:t>)</w:t>
      </w:r>
      <w:r w:rsidR="00B130F8">
        <w:t xml:space="preserve"> so as to reduce redundancy or overlap</w:t>
      </w:r>
      <w:r>
        <w:t>, or</w:t>
      </w:r>
    </w:p>
    <w:p w14:paraId="4F9BE9EE" w14:textId="77777777" w:rsidR="005A6892" w:rsidRDefault="005A6892" w:rsidP="00B130F8">
      <w:pPr>
        <w:numPr>
          <w:ilvl w:val="1"/>
          <w:numId w:val="28"/>
        </w:numPr>
        <w:tabs>
          <w:tab w:val="left" w:pos="0"/>
        </w:tabs>
        <w:overflowPunct w:val="0"/>
        <w:autoSpaceDE w:val="0"/>
        <w:autoSpaceDN w:val="0"/>
        <w:adjustRightInd w:val="0"/>
        <w:textAlignment w:val="baseline"/>
      </w:pPr>
      <w:r>
        <w:t>s</w:t>
      </w:r>
      <w:r w:rsidRPr="00CC3845">
        <w:t>horten</w:t>
      </w:r>
      <w:r>
        <w:t xml:space="preserve">ed (for lengthy Resolutions, in preamble and/or in operational parts), or </w:t>
      </w:r>
      <w:r w:rsidR="002E0B44">
        <w:t xml:space="preserve">be </w:t>
      </w:r>
      <w:r>
        <w:t>simplified (for complex Resolutions)</w:t>
      </w:r>
      <w:r w:rsidR="00B130F8">
        <w:t xml:space="preserve"> </w:t>
      </w:r>
      <w:r w:rsidR="00B130F8" w:rsidRPr="00B130F8">
        <w:t xml:space="preserve">which attempts to reduce the length of the </w:t>
      </w:r>
      <w:r w:rsidR="00B130F8" w:rsidRPr="00B130F8">
        <w:lastRenderedPageBreak/>
        <w:t>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r>
        <w:t>, or</w:t>
      </w:r>
    </w:p>
    <w:p w14:paraId="2B6A416E" w14:textId="77777777" w:rsidR="005A6892" w:rsidRPr="00CC3845" w:rsidRDefault="005A6892" w:rsidP="005A6892">
      <w:pPr>
        <w:numPr>
          <w:ilvl w:val="1"/>
          <w:numId w:val="28"/>
        </w:numPr>
        <w:tabs>
          <w:tab w:val="left" w:pos="0"/>
        </w:tabs>
        <w:overflowPunct w:val="0"/>
        <w:autoSpaceDE w:val="0"/>
        <w:autoSpaceDN w:val="0"/>
        <w:adjustRightInd w:val="0"/>
        <w:textAlignment w:val="baseline"/>
      </w:pPr>
      <w:r>
        <w:t>modified (to bring them up-to-date</w:t>
      </w:r>
      <w:r w:rsidR="00CC5A9B">
        <w:t xml:space="preserve">, or </w:t>
      </w:r>
      <w:r w:rsidR="0059506D">
        <w:t xml:space="preserve">for </w:t>
      </w:r>
      <w:r w:rsidR="00CC5A9B">
        <w:t>house-keeping</w:t>
      </w:r>
      <w:r>
        <w:t>), or</w:t>
      </w:r>
    </w:p>
    <w:p w14:paraId="265CD701" w14:textId="77777777" w:rsidR="005A6892" w:rsidRPr="00CC3845" w:rsidRDefault="005A6892" w:rsidP="005A6892">
      <w:pPr>
        <w:numPr>
          <w:ilvl w:val="1"/>
          <w:numId w:val="28"/>
        </w:numPr>
        <w:tabs>
          <w:tab w:val="left" w:pos="0"/>
        </w:tabs>
        <w:overflowPunct w:val="0"/>
        <w:autoSpaceDE w:val="0"/>
        <w:autoSpaceDN w:val="0"/>
        <w:adjustRightInd w:val="0"/>
        <w:textAlignment w:val="baseline"/>
      </w:pPr>
      <w:r>
        <w:t>supressed (for obsolete Resolutions), or</w:t>
      </w:r>
    </w:p>
    <w:p w14:paraId="52B10420" w14:textId="77777777" w:rsidR="005A6892" w:rsidRPr="00510700" w:rsidRDefault="005A6892" w:rsidP="005A6892">
      <w:pPr>
        <w:numPr>
          <w:ilvl w:val="1"/>
          <w:numId w:val="28"/>
        </w:numPr>
        <w:tabs>
          <w:tab w:val="left" w:pos="0"/>
        </w:tabs>
        <w:overflowPunct w:val="0"/>
        <w:autoSpaceDE w:val="0"/>
        <w:autoSpaceDN w:val="0"/>
        <w:adjustRightInd w:val="0"/>
        <w:textAlignment w:val="baseline"/>
      </w:pPr>
      <w:r>
        <w:t>aligned</w:t>
      </w:r>
      <w:r w:rsidRPr="00CC3845">
        <w:t xml:space="preserve"> with other Resolutions, and to avoid duplication</w:t>
      </w:r>
      <w:r>
        <w:t xml:space="preserve"> or repetition</w:t>
      </w:r>
      <w:r>
        <w:rPr>
          <w:lang w:val="en-US"/>
        </w:rPr>
        <w:t>, or</w:t>
      </w:r>
    </w:p>
    <w:p w14:paraId="6BF81364" w14:textId="77777777" w:rsidR="005A6892" w:rsidRPr="00CC3845" w:rsidRDefault="005A6892" w:rsidP="005A6892">
      <w:pPr>
        <w:numPr>
          <w:ilvl w:val="1"/>
          <w:numId w:val="28"/>
        </w:numPr>
        <w:tabs>
          <w:tab w:val="left" w:pos="0"/>
        </w:tabs>
        <w:overflowPunct w:val="0"/>
        <w:autoSpaceDE w:val="0"/>
        <w:autoSpaceDN w:val="0"/>
        <w:adjustRightInd w:val="0"/>
        <w:textAlignment w:val="baseline"/>
      </w:pPr>
      <w:r>
        <w:rPr>
          <w:lang w:val="en-US"/>
        </w:rPr>
        <w:t>restructured (grouping together scattered aspects found in various Resolutions into one Resolution).</w:t>
      </w:r>
    </w:p>
    <w:p w14:paraId="270CE661" w14:textId="77777777" w:rsidR="005A6892" w:rsidRPr="00CC3845" w:rsidRDefault="005A6892" w:rsidP="00106EA7">
      <w:pPr>
        <w:tabs>
          <w:tab w:val="left" w:pos="0"/>
        </w:tabs>
        <w:overflowPunct w:val="0"/>
        <w:autoSpaceDE w:val="0"/>
        <w:autoSpaceDN w:val="0"/>
        <w:adjustRightInd w:val="0"/>
        <w:spacing w:before="240"/>
        <w:textAlignment w:val="baseline"/>
        <w:rPr>
          <w:b/>
          <w:lang w:val="en-US"/>
        </w:rPr>
      </w:pPr>
      <w:r w:rsidRPr="00CC3845">
        <w:rPr>
          <w:b/>
          <w:lang w:val="en-US"/>
        </w:rPr>
        <w:t>Approach for streamlining of Resolutions</w:t>
      </w:r>
    </w:p>
    <w:p w14:paraId="34EEE53D" w14:textId="77777777" w:rsidR="005A6892" w:rsidRPr="00CC3845" w:rsidRDefault="005A6892" w:rsidP="005A6892">
      <w:pPr>
        <w:numPr>
          <w:ilvl w:val="0"/>
          <w:numId w:val="29"/>
        </w:numPr>
        <w:tabs>
          <w:tab w:val="left" w:pos="0"/>
        </w:tabs>
        <w:overflowPunct w:val="0"/>
        <w:autoSpaceDE w:val="0"/>
        <w:autoSpaceDN w:val="0"/>
        <w:adjustRightInd w:val="0"/>
        <w:textAlignment w:val="baseline"/>
      </w:pPr>
      <w:r w:rsidRPr="00CC3845">
        <w:t>To review existing WTSA Resolutions with a view to streamlining them, taking into account</w:t>
      </w:r>
    </w:p>
    <w:p w14:paraId="4BDD325F" w14:textId="77777777" w:rsidR="005A6892" w:rsidRPr="00CC3845" w:rsidRDefault="005A6892" w:rsidP="005A6892">
      <w:pPr>
        <w:numPr>
          <w:ilvl w:val="1"/>
          <w:numId w:val="29"/>
        </w:numPr>
        <w:tabs>
          <w:tab w:val="left" w:pos="0"/>
        </w:tabs>
        <w:overflowPunct w:val="0"/>
        <w:autoSpaceDE w:val="0"/>
        <w:autoSpaceDN w:val="0"/>
        <w:adjustRightInd w:val="0"/>
        <w:textAlignment w:val="baseline"/>
      </w:pPr>
      <w:r w:rsidRPr="00CC3845">
        <w:t>the PP Resolutions a</w:t>
      </w:r>
      <w:r>
        <w:t>nd</w:t>
      </w:r>
      <w:r w:rsidR="00F80D24">
        <w:t xml:space="preserve"> </w:t>
      </w:r>
      <w:r w:rsidR="00F80D24">
        <w:rPr>
          <w:rFonts w:asciiTheme="majorBidi" w:eastAsia="Times New Roman" w:hAnsiTheme="majorBidi" w:cstheme="majorBidi"/>
          <w:kern w:val="36"/>
        </w:rPr>
        <w:t>Council Resolution,</w:t>
      </w:r>
    </w:p>
    <w:p w14:paraId="7FE23ED9" w14:textId="77777777" w:rsidR="005A6892" w:rsidRPr="00CC3845" w:rsidRDefault="005A6892" w:rsidP="005A6892">
      <w:pPr>
        <w:numPr>
          <w:ilvl w:val="1"/>
          <w:numId w:val="29"/>
        </w:numPr>
        <w:tabs>
          <w:tab w:val="left" w:pos="0"/>
        </w:tabs>
        <w:overflowPunct w:val="0"/>
        <w:autoSpaceDE w:val="0"/>
        <w:autoSpaceDN w:val="0"/>
        <w:adjustRightInd w:val="0"/>
        <w:textAlignment w:val="baseline"/>
      </w:pPr>
      <w:r w:rsidRPr="00CC3845">
        <w:t>Resolutions of other Sectors</w:t>
      </w:r>
      <w:r w:rsidR="00F80D24">
        <w:t xml:space="preserve"> </w:t>
      </w:r>
      <w:r w:rsidR="00F80D24">
        <w:rPr>
          <w:rFonts w:asciiTheme="majorBidi" w:eastAsia="Times New Roman" w:hAnsiTheme="majorBidi" w:cstheme="majorBidi"/>
          <w:kern w:val="36"/>
        </w:rPr>
        <w:t>(WTDC/RA)</w:t>
      </w:r>
    </w:p>
    <w:p w14:paraId="259210F5" w14:textId="77777777" w:rsidR="005A6892" w:rsidRPr="00CC3845" w:rsidRDefault="005A6892" w:rsidP="005A6892">
      <w:pPr>
        <w:tabs>
          <w:tab w:val="left" w:pos="0"/>
        </w:tabs>
        <w:overflowPunct w:val="0"/>
        <w:autoSpaceDE w:val="0"/>
        <w:autoSpaceDN w:val="0"/>
        <w:adjustRightInd w:val="0"/>
        <w:ind w:left="720"/>
        <w:textAlignment w:val="baseline"/>
      </w:pPr>
      <w:r w:rsidRPr="00CC3845">
        <w:t>as appropriate.</w:t>
      </w:r>
    </w:p>
    <w:p w14:paraId="6FA13FDF" w14:textId="77777777" w:rsidR="005A6892" w:rsidRPr="00CC3845" w:rsidRDefault="005A6892" w:rsidP="005A6892">
      <w:pPr>
        <w:numPr>
          <w:ilvl w:val="0"/>
          <w:numId w:val="30"/>
        </w:numPr>
        <w:tabs>
          <w:tab w:val="left" w:pos="0"/>
        </w:tabs>
        <w:overflowPunct w:val="0"/>
        <w:autoSpaceDE w:val="0"/>
        <w:autoSpaceDN w:val="0"/>
        <w:adjustRightInd w:val="0"/>
        <w:textAlignment w:val="baseline"/>
      </w:pPr>
      <w:r w:rsidRPr="00CC3845">
        <w:t>To examine t</w:t>
      </w:r>
      <w:r>
        <w:t>he WTSA Resolutions with a view</w:t>
      </w:r>
    </w:p>
    <w:p w14:paraId="181C490C" w14:textId="77777777" w:rsidR="005A6892" w:rsidRPr="00CC3845" w:rsidRDefault="005A6892" w:rsidP="005A6892">
      <w:pPr>
        <w:numPr>
          <w:ilvl w:val="1"/>
          <w:numId w:val="30"/>
        </w:numPr>
        <w:tabs>
          <w:tab w:val="left" w:pos="0"/>
        </w:tabs>
        <w:overflowPunct w:val="0"/>
        <w:autoSpaceDE w:val="0"/>
        <w:autoSpaceDN w:val="0"/>
        <w:adjustRightInd w:val="0"/>
        <w:textAlignment w:val="baseline"/>
      </w:pPr>
      <w:r w:rsidRPr="00CC3845">
        <w:t>to avoid repetitions and duplication</w:t>
      </w:r>
    </w:p>
    <w:p w14:paraId="102B0EBB" w14:textId="77777777" w:rsidR="005A6892" w:rsidRPr="00CC3845" w:rsidRDefault="005A6892" w:rsidP="005A6892">
      <w:pPr>
        <w:tabs>
          <w:tab w:val="left" w:pos="0"/>
        </w:tabs>
        <w:overflowPunct w:val="0"/>
        <w:autoSpaceDE w:val="0"/>
        <w:autoSpaceDN w:val="0"/>
        <w:adjustRightInd w:val="0"/>
        <w:ind w:left="720"/>
        <w:textAlignment w:val="baseline"/>
      </w:pPr>
      <w:r w:rsidRPr="00CC3845">
        <w:t>with the PP Resolutions.</w:t>
      </w:r>
      <w:r>
        <w:t xml:space="preserve"> </w:t>
      </w:r>
      <w:r w:rsidRPr="00CC3845">
        <w:rPr>
          <w:lang w:val="en-US"/>
        </w:rPr>
        <w:t>(Ref. TSAG RG-ResReview ToR).</w:t>
      </w:r>
    </w:p>
    <w:p w14:paraId="5EE0C657" w14:textId="77777777" w:rsidR="005A6892" w:rsidRPr="00CC3845" w:rsidRDefault="005A6892" w:rsidP="005A6892">
      <w:pPr>
        <w:numPr>
          <w:ilvl w:val="0"/>
          <w:numId w:val="31"/>
        </w:numPr>
        <w:tabs>
          <w:tab w:val="left" w:pos="0"/>
        </w:tabs>
        <w:overflowPunct w:val="0"/>
        <w:autoSpaceDE w:val="0"/>
        <w:autoSpaceDN w:val="0"/>
        <w:adjustRightInd w:val="0"/>
        <w:textAlignment w:val="baseline"/>
      </w:pPr>
      <w:r w:rsidRPr="00CC3845">
        <w:rPr>
          <w:lang w:val="en-US"/>
        </w:rPr>
        <w:t>To prepare towards revision/modification/suppression/addition of Resolutions for WTSA-20 and for PP-22.</w:t>
      </w:r>
    </w:p>
    <w:p w14:paraId="7025F076" w14:textId="77777777" w:rsidR="005A6892" w:rsidRDefault="005A6892" w:rsidP="007E4C13">
      <w:pPr>
        <w:tabs>
          <w:tab w:val="left" w:pos="0"/>
        </w:tabs>
        <w:overflowPunct w:val="0"/>
        <w:autoSpaceDE w:val="0"/>
        <w:autoSpaceDN w:val="0"/>
        <w:adjustRightInd w:val="0"/>
        <w:spacing w:before="240"/>
        <w:textAlignment w:val="baseline"/>
        <w:rPr>
          <w:b/>
          <w:lang w:val="en-US"/>
        </w:rPr>
      </w:pPr>
      <w:r w:rsidRPr="00F6010D">
        <w:rPr>
          <w:b/>
          <w:lang w:val="en-US"/>
        </w:rPr>
        <w:t>Guiding principles for streamlining existing WTSA resolutions</w:t>
      </w:r>
      <w:r>
        <w:rPr>
          <w:b/>
          <w:lang w:val="en-US"/>
        </w:rPr>
        <w:t>:</w:t>
      </w:r>
    </w:p>
    <w:p w14:paraId="7A86DE8B" w14:textId="77777777" w:rsidR="007E4C13" w:rsidRPr="007E4C13" w:rsidRDefault="007E4C13" w:rsidP="007E4C13">
      <w:pPr>
        <w:overflowPunct w:val="0"/>
        <w:autoSpaceDE w:val="0"/>
        <w:autoSpaceDN w:val="0"/>
        <w:adjustRightInd w:val="0"/>
        <w:textAlignment w:val="baseline"/>
        <w:rPr>
          <w:lang w:val="en-US"/>
        </w:rPr>
      </w:pPr>
      <w:r w:rsidRPr="007E4C13">
        <w:rPr>
          <w:lang w:val="en-US"/>
        </w:rPr>
        <w:t>At WTSA, all in-force WTSA resolutions should be examined with the objective to suppress completed/obsolete ones and parts thereof.</w:t>
      </w:r>
    </w:p>
    <w:p w14:paraId="2314681E" w14:textId="77777777" w:rsidR="007E4C13" w:rsidRPr="007E4C13" w:rsidRDefault="007E4C13" w:rsidP="007E4C13">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7E4C13">
        <w:rPr>
          <w:rFonts w:ascii="Times New Roman" w:hAnsi="Times New Roman"/>
          <w:sz w:val="24"/>
        </w:rPr>
        <w:t>The following guiding principles might prove useful in the work on streamlining resolutions and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 taking into account SDGs:</w:t>
      </w:r>
    </w:p>
    <w:tbl>
      <w:tblPr>
        <w:tblW w:w="10340" w:type="dxa"/>
        <w:tblCellMar>
          <w:left w:w="0" w:type="dxa"/>
          <w:right w:w="0" w:type="dxa"/>
        </w:tblCellMar>
        <w:tblLook w:val="04A0" w:firstRow="1" w:lastRow="0" w:firstColumn="1" w:lastColumn="0" w:noHBand="0" w:noVBand="1"/>
      </w:tblPr>
      <w:tblGrid>
        <w:gridCol w:w="2199"/>
        <w:gridCol w:w="6298"/>
        <w:gridCol w:w="1843"/>
      </w:tblGrid>
      <w:tr w:rsidR="005A6892" w:rsidRPr="00F6010D" w14:paraId="10C62C88" w14:textId="77777777" w:rsidTr="00E8611A">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0EB16D8" w14:textId="77777777" w:rsidR="005A6892" w:rsidRPr="00F6010D" w:rsidRDefault="005A6892" w:rsidP="00A031C6">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35D85567" w14:textId="77777777" w:rsidR="005A6892" w:rsidRPr="00F6010D" w:rsidRDefault="005A6892" w:rsidP="00A031C6">
            <w:pPr>
              <w:tabs>
                <w:tab w:val="left" w:pos="0"/>
              </w:tabs>
              <w:overflowPunct w:val="0"/>
              <w:autoSpaceDE w:val="0"/>
              <w:autoSpaceDN w:val="0"/>
              <w:adjustRightInd w:val="0"/>
              <w:jc w:val="center"/>
              <w:textAlignment w:val="baseline"/>
            </w:pPr>
            <w:r w:rsidRPr="00F6010D">
              <w:rPr>
                <w:b/>
                <w:bCs/>
              </w:rPr>
              <w:t>Questions</w:t>
            </w:r>
          </w:p>
        </w:tc>
        <w:tc>
          <w:tcPr>
            <w:tcW w:w="1843" w:type="dxa"/>
            <w:tcBorders>
              <w:top w:val="single" w:sz="8" w:space="0" w:color="000000"/>
              <w:left w:val="single" w:sz="8" w:space="0" w:color="000000"/>
              <w:bottom w:val="single" w:sz="8" w:space="0" w:color="000000"/>
              <w:right w:val="single" w:sz="8" w:space="0" w:color="000000"/>
            </w:tcBorders>
            <w:shd w:val="clear" w:color="auto" w:fill="E48312"/>
          </w:tcPr>
          <w:p w14:paraId="475130B3" w14:textId="77777777" w:rsidR="005A6892" w:rsidRPr="00F6010D" w:rsidRDefault="005A6892" w:rsidP="00A031C6">
            <w:pPr>
              <w:tabs>
                <w:tab w:val="left" w:pos="0"/>
              </w:tabs>
              <w:overflowPunct w:val="0"/>
              <w:autoSpaceDE w:val="0"/>
              <w:autoSpaceDN w:val="0"/>
              <w:adjustRightInd w:val="0"/>
              <w:jc w:val="center"/>
              <w:textAlignment w:val="baseline"/>
              <w:rPr>
                <w:b/>
                <w:bCs/>
              </w:rPr>
            </w:pPr>
            <w:r>
              <w:rPr>
                <w:b/>
                <w:bCs/>
              </w:rPr>
              <w:t>Possible streamlining actions</w:t>
            </w:r>
          </w:p>
        </w:tc>
      </w:tr>
      <w:tr w:rsidR="005A6892" w:rsidRPr="00F6010D" w14:paraId="4BBF060F" w14:textId="77777777" w:rsidTr="00A031C6">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1DA7074B" w14:textId="77777777" w:rsidR="005A6892" w:rsidRPr="00F6010D" w:rsidRDefault="005A6892" w:rsidP="00A031C6">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2BCF9054" w14:textId="77777777" w:rsidR="005A6892" w:rsidRPr="00F6010D" w:rsidRDefault="005A6892" w:rsidP="00A031C6">
            <w:pPr>
              <w:tabs>
                <w:tab w:val="left" w:pos="0"/>
              </w:tabs>
              <w:overflowPunct w:val="0"/>
              <w:autoSpaceDE w:val="0"/>
              <w:autoSpaceDN w:val="0"/>
              <w:adjustRightInd w:val="0"/>
              <w:textAlignment w:val="baseline"/>
            </w:pPr>
            <w:r w:rsidRPr="00F6010D">
              <w:t>Is the resolution consistent with the ITU-T mandate and the WTSA-16 Action Plan?</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54E0B650" w14:textId="77777777" w:rsidR="005A6892" w:rsidRPr="00F6010D" w:rsidRDefault="005A6892" w:rsidP="005A6892">
            <w:pPr>
              <w:numPr>
                <w:ilvl w:val="0"/>
                <w:numId w:val="32"/>
              </w:numPr>
              <w:tabs>
                <w:tab w:val="left" w:pos="0"/>
              </w:tabs>
              <w:overflowPunct w:val="0"/>
              <w:autoSpaceDE w:val="0"/>
              <w:autoSpaceDN w:val="0"/>
              <w:adjustRightInd w:val="0"/>
              <w:textAlignment w:val="baseline"/>
            </w:pPr>
            <w:r>
              <w:t>MOD</w:t>
            </w:r>
          </w:p>
        </w:tc>
      </w:tr>
      <w:tr w:rsidR="005A6892" w:rsidRPr="00F6010D" w14:paraId="75070037" w14:textId="77777777" w:rsidTr="00A031C6">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7A5855F9" w14:textId="77777777" w:rsidR="005A6892" w:rsidRPr="00F6010D" w:rsidRDefault="005A6892" w:rsidP="00A031C6">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29E71A35" w14:textId="77777777" w:rsidR="005A6892" w:rsidRPr="00F6010D" w:rsidRDefault="005A6892" w:rsidP="00A031C6">
            <w:pPr>
              <w:tabs>
                <w:tab w:val="left" w:pos="0"/>
              </w:tabs>
              <w:overflowPunct w:val="0"/>
              <w:autoSpaceDE w:val="0"/>
              <w:autoSpaceDN w:val="0"/>
              <w:adjustRightInd w:val="0"/>
              <w:textAlignment w:val="baseline"/>
            </w:pPr>
            <w:r w:rsidRPr="00F6010D">
              <w:t>Is there an overlap or duplication with existing WTSA resolutions or with the WTSA-16 Action Plan?</w:t>
            </w:r>
          </w:p>
          <w:p w14:paraId="21E53AB3" w14:textId="77777777" w:rsidR="005A6892" w:rsidRPr="00F6010D" w:rsidRDefault="005A6892" w:rsidP="00A031C6">
            <w:pPr>
              <w:tabs>
                <w:tab w:val="left" w:pos="0"/>
              </w:tabs>
              <w:overflowPunct w:val="0"/>
              <w:autoSpaceDE w:val="0"/>
              <w:autoSpaceDN w:val="0"/>
              <w:adjustRightInd w:val="0"/>
              <w:textAlignment w:val="baseline"/>
            </w:pPr>
            <w:r w:rsidRPr="00F6010D">
              <w:t>Are the goals of resolutions already reflected in the ITU-T Strategic Plan objectives, outputs and outcomes, Study Group (SG) Questions or working methods?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72099787" w14:textId="77777777" w:rsidR="005A6892" w:rsidRPr="00F6010D" w:rsidRDefault="005A6892" w:rsidP="005A6892">
            <w:pPr>
              <w:numPr>
                <w:ilvl w:val="0"/>
                <w:numId w:val="33"/>
              </w:numPr>
              <w:tabs>
                <w:tab w:val="left" w:pos="0"/>
              </w:tabs>
              <w:overflowPunct w:val="0"/>
              <w:autoSpaceDE w:val="0"/>
              <w:autoSpaceDN w:val="0"/>
              <w:adjustRightInd w:val="0"/>
              <w:textAlignment w:val="baseline"/>
            </w:pPr>
            <w:r>
              <w:t>Merge, and/or SUP</w:t>
            </w:r>
          </w:p>
        </w:tc>
      </w:tr>
      <w:tr w:rsidR="005A6892" w:rsidRPr="00F6010D" w14:paraId="294C34BE" w14:textId="77777777" w:rsidTr="00A031C6">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8A026A8" w14:textId="77777777" w:rsidR="005A6892" w:rsidRPr="00F6010D" w:rsidRDefault="005A6892" w:rsidP="00A031C6">
            <w:pPr>
              <w:tabs>
                <w:tab w:val="left" w:pos="0"/>
              </w:tabs>
              <w:overflowPunct w:val="0"/>
              <w:autoSpaceDE w:val="0"/>
              <w:autoSpaceDN w:val="0"/>
              <w:adjustRightInd w:val="0"/>
              <w:textAlignment w:val="baseline"/>
            </w:pPr>
            <w:r w:rsidRPr="00F6010D">
              <w:rPr>
                <w:b/>
                <w:bCs/>
              </w:rPr>
              <w:lastRenderedPageBreak/>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22F7CB6E" w14:textId="77777777" w:rsidR="005A6892" w:rsidRPr="00F6010D" w:rsidRDefault="005A6892" w:rsidP="00A031C6">
            <w:pPr>
              <w:tabs>
                <w:tab w:val="left" w:pos="0"/>
              </w:tabs>
              <w:overflowPunct w:val="0"/>
              <w:autoSpaceDE w:val="0"/>
              <w:autoSpaceDN w:val="0"/>
              <w:adjustRightInd w:val="0"/>
              <w:textAlignment w:val="baseline"/>
            </w:pPr>
            <w:r w:rsidRPr="00F6010D">
              <w:t>Is the resolution indispensable?</w:t>
            </w:r>
            <w:r w:rsidRPr="00F6010D">
              <w:br/>
              <w:t>Is there already another WTSA/Council/PP resolution or resolutions which address the same topic or action?</w:t>
            </w:r>
            <w:r w:rsidRPr="00F6010D">
              <w:br/>
              <w:t>Has the resolution already been implemented?</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174410FB" w14:textId="77777777" w:rsidR="005A6892" w:rsidRPr="00F6010D" w:rsidRDefault="005A6892" w:rsidP="005A6892">
            <w:pPr>
              <w:numPr>
                <w:ilvl w:val="0"/>
                <w:numId w:val="32"/>
              </w:numPr>
              <w:tabs>
                <w:tab w:val="left" w:pos="0"/>
              </w:tabs>
              <w:overflowPunct w:val="0"/>
              <w:autoSpaceDE w:val="0"/>
              <w:autoSpaceDN w:val="0"/>
              <w:adjustRightInd w:val="0"/>
              <w:textAlignment w:val="baseline"/>
            </w:pPr>
            <w:r>
              <w:t>Merge, and/or SUP</w:t>
            </w:r>
          </w:p>
        </w:tc>
      </w:tr>
      <w:tr w:rsidR="005A6892" w:rsidRPr="00F6010D" w14:paraId="2AA34E6F" w14:textId="77777777" w:rsidTr="00A031C6">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6B902268" w14:textId="77777777" w:rsidR="005A6892" w:rsidRPr="00F6010D" w:rsidRDefault="005A6892" w:rsidP="00A031C6">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84D144" w14:textId="77777777" w:rsidR="005A6892" w:rsidRPr="00F6010D" w:rsidRDefault="005A6892" w:rsidP="00A031C6">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t>What are the cost implications of the resolution for ITU-T, in terms of implementation budget and related costs?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695CDD51" w14:textId="77777777" w:rsidR="005A6892" w:rsidRPr="00F6010D" w:rsidRDefault="005A6892" w:rsidP="005A6892">
            <w:pPr>
              <w:numPr>
                <w:ilvl w:val="0"/>
                <w:numId w:val="32"/>
              </w:numPr>
              <w:tabs>
                <w:tab w:val="left" w:pos="0"/>
              </w:tabs>
              <w:overflowPunct w:val="0"/>
              <w:autoSpaceDE w:val="0"/>
              <w:autoSpaceDN w:val="0"/>
              <w:adjustRightInd w:val="0"/>
              <w:textAlignment w:val="baseline"/>
            </w:pPr>
            <w:r>
              <w:t>MOD</w:t>
            </w:r>
          </w:p>
        </w:tc>
      </w:tr>
    </w:tbl>
    <w:p w14:paraId="5604C247" w14:textId="77777777" w:rsidR="007E4C13" w:rsidRPr="005233B0" w:rsidRDefault="007E4C13" w:rsidP="007E4C13">
      <w:pPr>
        <w:tabs>
          <w:tab w:val="left" w:pos="851"/>
          <w:tab w:val="left" w:pos="1134"/>
          <w:tab w:val="left" w:pos="1701"/>
        </w:tabs>
        <w:jc w:val="both"/>
        <w:rPr>
          <w:lang w:val="en-US"/>
        </w:rPr>
      </w:pPr>
      <w:r w:rsidRPr="00EF439C">
        <w:rPr>
          <w:lang w:val="en-US"/>
        </w:rPr>
        <w:t xml:space="preserve">All similar/related subjects should be addressed in one single WTSA resolution to the extent possible ("stand-alone principle"). </w:t>
      </w:r>
      <w:r w:rsidRPr="005233B0">
        <w:rPr>
          <w:lang w:val="en-US"/>
        </w:rPr>
        <w:t xml:space="preserve">In general, streamlining existing resolutions is preferable rather than adding a new </w:t>
      </w:r>
      <w:r w:rsidRPr="00EF439C">
        <w:rPr>
          <w:lang w:val="en-US"/>
        </w:rPr>
        <w:t>WTSA</w:t>
      </w:r>
      <w:r w:rsidRPr="005233B0">
        <w:rPr>
          <w:lang w:val="en-US"/>
        </w:rPr>
        <w:t xml:space="preserve"> resolution.</w:t>
      </w:r>
    </w:p>
    <w:p w14:paraId="0F9E025A" w14:textId="77777777" w:rsidR="007E4C13" w:rsidRPr="005233B0" w:rsidRDefault="007E4C13" w:rsidP="007E4C13">
      <w:pPr>
        <w:tabs>
          <w:tab w:val="left" w:pos="851"/>
          <w:tab w:val="left" w:pos="1134"/>
          <w:tab w:val="left" w:pos="1701"/>
        </w:tabs>
        <w:jc w:val="both"/>
        <w:rPr>
          <w:lang w:val="en-US"/>
        </w:rPr>
      </w:pPr>
      <w:r w:rsidRPr="005233B0">
        <w:rPr>
          <w:lang w:val="en-US"/>
        </w:rPr>
        <w:t>When the actions or activities put forward in a resolution have been implemented or accomplished, the resolution can be viewed as fulfilled and can be removed.</w:t>
      </w:r>
    </w:p>
    <w:p w14:paraId="3BCCE108" w14:textId="77777777" w:rsidR="007E4C13" w:rsidRPr="005233B0" w:rsidRDefault="007E4C13" w:rsidP="007E4C13">
      <w:pPr>
        <w:overflowPunct w:val="0"/>
        <w:autoSpaceDE w:val="0"/>
        <w:autoSpaceDN w:val="0"/>
        <w:adjustRightInd w:val="0"/>
        <w:spacing w:before="80"/>
        <w:textAlignment w:val="baseline"/>
        <w:rPr>
          <w:lang w:val="en-US"/>
        </w:rPr>
      </w:pPr>
      <w:r w:rsidRPr="005233B0">
        <w:rPr>
          <w:lang w:val="en-US"/>
        </w:rPr>
        <w:t>If no change is to be made to the substance of the WTSA resolution, no editorial updates (such as date/venue of conference) will be made to the WTSA resolution, i.e. it should remain as is (unchanged).</w:t>
      </w:r>
    </w:p>
    <w:p w14:paraId="3DE1BB6F" w14:textId="77777777" w:rsidR="007E4C13" w:rsidRPr="005233B0" w:rsidRDefault="007E4C13" w:rsidP="007E4C13">
      <w:pPr>
        <w:tabs>
          <w:tab w:val="left" w:pos="851"/>
          <w:tab w:val="left" w:pos="1134"/>
          <w:tab w:val="left" w:pos="1701"/>
        </w:tabs>
        <w:jc w:val="both"/>
        <w:rPr>
          <w:highlight w:val="yellow"/>
          <w:lang w:val="en-US"/>
        </w:rPr>
      </w:pPr>
      <w:r w:rsidRPr="005233B0">
        <w:rPr>
          <w:lang w:val="en-US"/>
        </w:rPr>
        <w:t xml:space="preserve">Editorial revisions of adopted resolutions should be kept to the minimum or to what is strictly necessary for its efficient implementation. </w:t>
      </w:r>
    </w:p>
    <w:p w14:paraId="17E06EC3" w14:textId="77777777" w:rsidR="007E4C13" w:rsidRPr="005233B0" w:rsidRDefault="007E4C13" w:rsidP="007E4C13">
      <w:pPr>
        <w:jc w:val="both"/>
        <w:rPr>
          <w:b/>
          <w:lang w:val="en-US"/>
        </w:rPr>
      </w:pPr>
      <w:r w:rsidRPr="005233B0">
        <w:rPr>
          <w:lang w:val="en-US"/>
        </w:rPr>
        <w:t>If only editorial updates are required to a WTSA resolution, the need to produce a revised version should be questioned.</w:t>
      </w:r>
    </w:p>
    <w:p w14:paraId="1805F5BA" w14:textId="77777777" w:rsidR="003D5930" w:rsidRPr="003D5930" w:rsidRDefault="003D5930" w:rsidP="00381983">
      <w:pPr>
        <w:pageBreakBefore/>
        <w:jc w:val="center"/>
        <w:rPr>
          <w:b/>
        </w:rPr>
      </w:pPr>
      <w:r w:rsidRPr="003D5930">
        <w:rPr>
          <w:b/>
        </w:rPr>
        <w:lastRenderedPageBreak/>
        <w:t>Annex –</w:t>
      </w:r>
      <w:r w:rsidR="00F75B25">
        <w:rPr>
          <w:b/>
        </w:rPr>
        <w:t xml:space="preserve"> </w:t>
      </w:r>
      <w:r w:rsidR="00F75B25" w:rsidRPr="00F75B25">
        <w:rPr>
          <w:b/>
        </w:rPr>
        <w:t>Guidelines for drafting WTSA Resolutions</w:t>
      </w:r>
    </w:p>
    <w:p w14:paraId="37B08D9A" w14:textId="77777777" w:rsidR="00F75B25" w:rsidRPr="00E97193" w:rsidRDefault="00F75B25" w:rsidP="00F75B25">
      <w:pPr>
        <w:jc w:val="center"/>
        <w:rPr>
          <w:b/>
          <w:bCs/>
        </w:rPr>
      </w:pPr>
      <w:r w:rsidRPr="00E97193">
        <w:rPr>
          <w:b/>
          <w:bCs/>
        </w:rPr>
        <w:t>(as reviewed at TSAG, Geneva, 18-22 July 2016</w:t>
      </w:r>
      <w:r w:rsidR="008E2560">
        <w:rPr>
          <w:b/>
          <w:bCs/>
        </w:rPr>
        <w:t xml:space="preserve">, and </w:t>
      </w:r>
      <w:r w:rsidR="005E4761">
        <w:rPr>
          <w:b/>
          <w:bCs/>
        </w:rPr>
        <w:t xml:space="preserve">at </w:t>
      </w:r>
      <w:r w:rsidR="008E2560">
        <w:rPr>
          <w:b/>
          <w:bCs/>
        </w:rPr>
        <w:t>TSAG, Geneva 10-14 February 2020</w:t>
      </w:r>
      <w:r w:rsidRPr="00E97193">
        <w:rPr>
          <w:b/>
          <w:bCs/>
        </w:rPr>
        <w:t>)</w:t>
      </w:r>
    </w:p>
    <w:p w14:paraId="0B352D28" w14:textId="77777777" w:rsidR="00F75B25" w:rsidRPr="00E97193" w:rsidRDefault="00F75B25" w:rsidP="00F75B25">
      <w:r w:rsidRPr="00E97193">
        <w:t>The following principles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121213B4"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At WTSA, all in-force WTSA resolutions should be examined with the objective to suppress completed/obsolete ones and parts thereof.</w:t>
      </w:r>
    </w:p>
    <w:p w14:paraId="5A8A8E65"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If no change is to be made to the substance of the WTSA resolution, no editorial updates (such as date/venue of conference) will be made to the WTSA resolution, i.e. it should remain as is (unchanged).</w:t>
      </w:r>
    </w:p>
    <w:p w14:paraId="1085A6C4"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All similar/related subjects should be addressed in one single WTSA resolution to the extent possible ("stand-alone principle"). Thus, in general, revising an existing WTSA resolution is preferable to adding a new WTSA resolution.</w:t>
      </w:r>
    </w:p>
    <w:p w14:paraId="725B5A28"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Normally a WTSA resolution should not exceed four A4-pages (except Resolutions 1 and 2).</w:t>
      </w:r>
    </w:p>
    <w:p w14:paraId="359EB023"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The "preamble" part of a WTSA resolution should be as concise as possible, summarizing key rationales for justification. Normally it should not exceed one A4-page. While any additional explanation and justification such as a detailed chronicle of events, bibliography, historical activities and achievements could be submitted as background material in a contribution, their inclusion should be avoided in the adopted final WTSA resolution text. A separate publication could be produced and referenced by this WTSA resolution if necessary.</w:t>
      </w:r>
    </w:p>
    <w:p w14:paraId="23D7EF15"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2DFBAD3B"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Once an ITU resolution on the same/relevant subject is referenced, any duplicated justification/rational text should be avoided whereas additional ITU-T specific justification/rational could be added to this WTSA resolution ("no repetition principle").</w:t>
      </w:r>
    </w:p>
    <w:p w14:paraId="2B31778B"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Reference to the ITU Constitution, Convention and the General rules should prevail a reference to a resolution of a Plenipotentiary conference when applicable, and could exist together with a duplication of the referred text to make the WTSA resolution stand on its own (exception to "stand-alone principle").</w:t>
      </w:r>
    </w:p>
    <w:p w14:paraId="23C3D16F"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2A46632C"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References to literature should be meaningful and in substance to specify its relevance ("no bibliography principle").</w:t>
      </w:r>
    </w:p>
    <w:p w14:paraId="69574C46" w14:textId="77777777" w:rsidR="00F75B25" w:rsidRPr="00E97193" w:rsidRDefault="00F75B25" w:rsidP="00F75B25">
      <w:pPr>
        <w:numPr>
          <w:ilvl w:val="0"/>
          <w:numId w:val="35"/>
        </w:numPr>
        <w:overflowPunct w:val="0"/>
        <w:autoSpaceDE w:val="0"/>
        <w:autoSpaceDN w:val="0"/>
        <w:adjustRightInd w:val="0"/>
        <w:spacing w:before="80"/>
        <w:ind w:left="567" w:hanging="567"/>
        <w:textAlignment w:val="baseline"/>
      </w:pPr>
      <w:r w:rsidRPr="00E97193">
        <w:t>When drafting the "operational" part of a WTSA resolution, it should be borne in mind that:</w:t>
      </w:r>
    </w:p>
    <w:p w14:paraId="55160999"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t>an instruction given to the ITU membership is non-binding;</w:t>
      </w:r>
    </w:p>
    <w:p w14:paraId="497B0933"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t>an instruction given to ITU-T SG will serve little purpose unless followed up by a contribution to the ITU-T study group to drive the work to progress.</w:t>
      </w:r>
    </w:p>
    <w:p w14:paraId="101CC278" w14:textId="77777777" w:rsidR="00F75B25" w:rsidRPr="00E97193" w:rsidRDefault="00F75B25" w:rsidP="00F75B25">
      <w:pPr>
        <w:keepNext/>
        <w:numPr>
          <w:ilvl w:val="0"/>
          <w:numId w:val="35"/>
        </w:numPr>
        <w:overflowPunct w:val="0"/>
        <w:autoSpaceDE w:val="0"/>
        <w:autoSpaceDN w:val="0"/>
        <w:adjustRightInd w:val="0"/>
        <w:spacing w:before="80"/>
        <w:ind w:left="567" w:hanging="567"/>
        <w:textAlignment w:val="baseline"/>
      </w:pPr>
      <w:r w:rsidRPr="00E97193">
        <w:t>The "operational" part of a WTSA resolution should:</w:t>
      </w:r>
    </w:p>
    <w:p w14:paraId="3A5D405F"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t>use an appropriate verb to specify an implementable action by a respective entity according to its proper mandate ("identified entity and specific action principle");</w:t>
      </w:r>
    </w:p>
    <w:p w14:paraId="267B60FE"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t>specify an expected result(s) so that the achievement in implementing this action can be measurable as much as possible using objective measurement methodologies ("measurable result principle");</w:t>
      </w:r>
    </w:p>
    <w:p w14:paraId="6644BA00"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lastRenderedPageBreak/>
        <w:t>plan or recommend a course of actions with milestones/check-points as appropriate ("planning principle"); and</w:t>
      </w:r>
    </w:p>
    <w:p w14:paraId="75A08802" w14:textId="77777777" w:rsidR="00F75B25" w:rsidRPr="00E97193" w:rsidRDefault="00F75B25" w:rsidP="00F75B25">
      <w:pPr>
        <w:numPr>
          <w:ilvl w:val="1"/>
          <w:numId w:val="35"/>
        </w:numPr>
        <w:overflowPunct w:val="0"/>
        <w:autoSpaceDE w:val="0"/>
        <w:autoSpaceDN w:val="0"/>
        <w:adjustRightInd w:val="0"/>
        <w:spacing w:before="80"/>
        <w:ind w:left="1134" w:hanging="567"/>
        <w:contextualSpacing/>
        <w:textAlignment w:val="baseline"/>
      </w:pPr>
      <w:r w:rsidRPr="00E97193">
        <w:t>specify a reporting and expiration mechanism as appropriate ("report/expire principle").</w:t>
      </w:r>
    </w:p>
    <w:p w14:paraId="2A8EB827" w14:textId="77777777" w:rsidR="005861BE" w:rsidRPr="00804EFA"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sectPr w:rsidR="005861BE" w:rsidRPr="00804EFA" w:rsidSect="00ED1CDB">
      <w:headerReference w:type="even" r:id="rId9"/>
      <w:headerReference w:type="default" r:id="rId10"/>
      <w:footerReference w:type="even" r:id="rId11"/>
      <w:footerReference w:type="default" r:id="rId12"/>
      <w:headerReference w:type="first" r:id="rId13"/>
      <w:footerReference w:type="first" r:id="rId1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02EF" w14:textId="77777777" w:rsidR="00AF159F" w:rsidRDefault="00AF159F">
      <w:r>
        <w:separator/>
      </w:r>
    </w:p>
  </w:endnote>
  <w:endnote w:type="continuationSeparator" w:id="0">
    <w:p w14:paraId="5E9920EC" w14:textId="77777777" w:rsidR="00AF159F" w:rsidRDefault="00AF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0263" w14:textId="77777777" w:rsidR="00F9270F" w:rsidRDefault="00F92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3F35" w14:textId="77777777" w:rsidR="00F9270F" w:rsidRDefault="00F92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96BC" w14:textId="77777777" w:rsidR="00F9270F" w:rsidRDefault="00F9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900BF" w14:textId="77777777" w:rsidR="00AF159F" w:rsidRDefault="00AF159F">
      <w:r>
        <w:separator/>
      </w:r>
    </w:p>
  </w:footnote>
  <w:footnote w:type="continuationSeparator" w:id="0">
    <w:p w14:paraId="2E8B290F" w14:textId="77777777" w:rsidR="00AF159F" w:rsidRDefault="00AF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E9DE" w14:textId="77777777" w:rsidR="00F9270F" w:rsidRDefault="00F92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96E4" w14:textId="77777777"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CB5B41">
      <w:rPr>
        <w:noProof/>
      </w:rPr>
      <w:t>5</w:t>
    </w:r>
    <w:r w:rsidRPr="00ED1CDB">
      <w:fldChar w:fldCharType="end"/>
    </w:r>
    <w:r w:rsidRPr="00ED1CDB">
      <w:t xml:space="preserve"> -</w:t>
    </w:r>
  </w:p>
  <w:p w14:paraId="3B8983DE" w14:textId="77777777" w:rsidR="00ED1CDB" w:rsidRPr="00ED1CDB" w:rsidRDefault="003E3591" w:rsidP="00ED1CDB">
    <w:pPr>
      <w:pStyle w:val="Header"/>
      <w:spacing w:after="240"/>
    </w:pPr>
    <w:r>
      <w:t>T</w:t>
    </w:r>
    <w:r w:rsidR="003C7237">
      <w:t>SAG-</w:t>
    </w:r>
    <w:r w:rsidR="003C7237" w:rsidRPr="00F9270F">
      <w:t>T</w:t>
    </w:r>
    <w:r w:rsidRPr="00F9270F">
      <w:t>D</w:t>
    </w:r>
    <w:r w:rsidR="00F9270F" w:rsidRPr="00F9270F">
      <w:t>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BD6B" w14:textId="77777777" w:rsidR="00F9270F" w:rsidRDefault="00F9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62B"/>
    <w:multiLevelType w:val="hybridMultilevel"/>
    <w:tmpl w:val="FC7A6196"/>
    <w:lvl w:ilvl="0" w:tplc="304C4E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C68F4"/>
    <w:multiLevelType w:val="hybridMultilevel"/>
    <w:tmpl w:val="C37C1CEC"/>
    <w:lvl w:ilvl="0" w:tplc="2578B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9"/>
  </w:num>
  <w:num w:numId="2">
    <w:abstractNumId w:val="33"/>
  </w:num>
  <w:num w:numId="3">
    <w:abstractNumId w:val="10"/>
  </w:num>
  <w:num w:numId="4">
    <w:abstractNumId w:val="14"/>
  </w:num>
  <w:num w:numId="5">
    <w:abstractNumId w:val="17"/>
  </w:num>
  <w:num w:numId="6">
    <w:abstractNumId w:val="11"/>
  </w:num>
  <w:num w:numId="7">
    <w:abstractNumId w:val="9"/>
  </w:num>
  <w:num w:numId="8">
    <w:abstractNumId w:val="23"/>
  </w:num>
  <w:num w:numId="9">
    <w:abstractNumId w:val="7"/>
  </w:num>
  <w:num w:numId="10">
    <w:abstractNumId w:val="26"/>
  </w:num>
  <w:num w:numId="11">
    <w:abstractNumId w:val="28"/>
  </w:num>
  <w:num w:numId="12">
    <w:abstractNumId w:val="25"/>
  </w:num>
  <w:num w:numId="13">
    <w:abstractNumId w:val="16"/>
  </w:num>
  <w:num w:numId="14">
    <w:abstractNumId w:val="3"/>
  </w:num>
  <w:num w:numId="15">
    <w:abstractNumId w:val="20"/>
  </w:num>
  <w:num w:numId="16">
    <w:abstractNumId w:val="13"/>
  </w:num>
  <w:num w:numId="17">
    <w:abstractNumId w:val="27"/>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12"/>
  </w:num>
  <w:num w:numId="23">
    <w:abstractNumId w:val="8"/>
  </w:num>
  <w:num w:numId="24">
    <w:abstractNumId w:val="30"/>
  </w:num>
  <w:num w:numId="25">
    <w:abstractNumId w:val="18"/>
  </w:num>
  <w:num w:numId="26">
    <w:abstractNumId w:val="31"/>
  </w:num>
  <w:num w:numId="27">
    <w:abstractNumId w:val="0"/>
  </w:num>
  <w:num w:numId="28">
    <w:abstractNumId w:val="4"/>
  </w:num>
  <w:num w:numId="29">
    <w:abstractNumId w:val="24"/>
  </w:num>
  <w:num w:numId="30">
    <w:abstractNumId w:val="19"/>
  </w:num>
  <w:num w:numId="31">
    <w:abstractNumId w:val="22"/>
  </w:num>
  <w:num w:numId="32">
    <w:abstractNumId w:val="6"/>
  </w:num>
  <w:num w:numId="33">
    <w:abstractNumId w:val="5"/>
  </w:num>
  <w:num w:numId="34">
    <w:abstractNumId w:val="32"/>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B27"/>
    <w:rsid w:val="00000F12"/>
    <w:rsid w:val="00001DA4"/>
    <w:rsid w:val="00005507"/>
    <w:rsid w:val="000068E4"/>
    <w:rsid w:val="00007661"/>
    <w:rsid w:val="000076F1"/>
    <w:rsid w:val="00014594"/>
    <w:rsid w:val="00016E33"/>
    <w:rsid w:val="000231A1"/>
    <w:rsid w:val="000241BC"/>
    <w:rsid w:val="00024FA8"/>
    <w:rsid w:val="00025144"/>
    <w:rsid w:val="00026545"/>
    <w:rsid w:val="0003135F"/>
    <w:rsid w:val="0003185A"/>
    <w:rsid w:val="00031910"/>
    <w:rsid w:val="0003195F"/>
    <w:rsid w:val="00033075"/>
    <w:rsid w:val="000330BA"/>
    <w:rsid w:val="0003778C"/>
    <w:rsid w:val="00040210"/>
    <w:rsid w:val="000407E4"/>
    <w:rsid w:val="0004200D"/>
    <w:rsid w:val="0004345D"/>
    <w:rsid w:val="00043A4A"/>
    <w:rsid w:val="0004506C"/>
    <w:rsid w:val="000469BE"/>
    <w:rsid w:val="000474CF"/>
    <w:rsid w:val="00047A2B"/>
    <w:rsid w:val="00047ED1"/>
    <w:rsid w:val="00050250"/>
    <w:rsid w:val="00052CB9"/>
    <w:rsid w:val="00053CB3"/>
    <w:rsid w:val="00053DD5"/>
    <w:rsid w:val="00060CC7"/>
    <w:rsid w:val="00062034"/>
    <w:rsid w:val="000621DA"/>
    <w:rsid w:val="000625E8"/>
    <w:rsid w:val="00062A8E"/>
    <w:rsid w:val="00064097"/>
    <w:rsid w:val="00064C45"/>
    <w:rsid w:val="00065478"/>
    <w:rsid w:val="00065480"/>
    <w:rsid w:val="00070133"/>
    <w:rsid w:val="00072EB4"/>
    <w:rsid w:val="00072FF3"/>
    <w:rsid w:val="00073A15"/>
    <w:rsid w:val="00073FB1"/>
    <w:rsid w:val="000754F3"/>
    <w:rsid w:val="00075669"/>
    <w:rsid w:val="0007697D"/>
    <w:rsid w:val="000814DB"/>
    <w:rsid w:val="00081E93"/>
    <w:rsid w:val="000845E3"/>
    <w:rsid w:val="000927DA"/>
    <w:rsid w:val="000928C8"/>
    <w:rsid w:val="00092E7D"/>
    <w:rsid w:val="00093914"/>
    <w:rsid w:val="00093CDE"/>
    <w:rsid w:val="000943BF"/>
    <w:rsid w:val="000945C3"/>
    <w:rsid w:val="0009570F"/>
    <w:rsid w:val="000963A2"/>
    <w:rsid w:val="00096576"/>
    <w:rsid w:val="00096E77"/>
    <w:rsid w:val="000A0225"/>
    <w:rsid w:val="000A0D90"/>
    <w:rsid w:val="000A1FC5"/>
    <w:rsid w:val="000A2AA9"/>
    <w:rsid w:val="000A2D94"/>
    <w:rsid w:val="000A3D6F"/>
    <w:rsid w:val="000A4B58"/>
    <w:rsid w:val="000A6783"/>
    <w:rsid w:val="000A6F62"/>
    <w:rsid w:val="000B53CD"/>
    <w:rsid w:val="000B63E5"/>
    <w:rsid w:val="000C07C9"/>
    <w:rsid w:val="000C25D3"/>
    <w:rsid w:val="000C2FAF"/>
    <w:rsid w:val="000C2FC0"/>
    <w:rsid w:val="000C4E21"/>
    <w:rsid w:val="000C73A0"/>
    <w:rsid w:val="000D1601"/>
    <w:rsid w:val="000D18F0"/>
    <w:rsid w:val="000D215A"/>
    <w:rsid w:val="000D45E7"/>
    <w:rsid w:val="000D582B"/>
    <w:rsid w:val="000D62E1"/>
    <w:rsid w:val="000D6B53"/>
    <w:rsid w:val="000D78AB"/>
    <w:rsid w:val="000E1B81"/>
    <w:rsid w:val="000E27C5"/>
    <w:rsid w:val="000E2ABC"/>
    <w:rsid w:val="000E2F38"/>
    <w:rsid w:val="000E46DB"/>
    <w:rsid w:val="000E55BA"/>
    <w:rsid w:val="000E652D"/>
    <w:rsid w:val="000E6A5B"/>
    <w:rsid w:val="000E77F4"/>
    <w:rsid w:val="000F0409"/>
    <w:rsid w:val="000F0622"/>
    <w:rsid w:val="000F1F56"/>
    <w:rsid w:val="000F2908"/>
    <w:rsid w:val="000F5843"/>
    <w:rsid w:val="000F7261"/>
    <w:rsid w:val="000F735E"/>
    <w:rsid w:val="000F76EB"/>
    <w:rsid w:val="00101A9A"/>
    <w:rsid w:val="00101F66"/>
    <w:rsid w:val="00102D39"/>
    <w:rsid w:val="00103412"/>
    <w:rsid w:val="00104842"/>
    <w:rsid w:val="00105D8C"/>
    <w:rsid w:val="00106EA7"/>
    <w:rsid w:val="001073EE"/>
    <w:rsid w:val="00107A1E"/>
    <w:rsid w:val="00110A7C"/>
    <w:rsid w:val="0011172F"/>
    <w:rsid w:val="001121B3"/>
    <w:rsid w:val="00112542"/>
    <w:rsid w:val="00113FDE"/>
    <w:rsid w:val="001153B3"/>
    <w:rsid w:val="00116C99"/>
    <w:rsid w:val="0011766A"/>
    <w:rsid w:val="00120119"/>
    <w:rsid w:val="00122BBD"/>
    <w:rsid w:val="001230E2"/>
    <w:rsid w:val="0012420A"/>
    <w:rsid w:val="00125CD1"/>
    <w:rsid w:val="00126760"/>
    <w:rsid w:val="001277AC"/>
    <w:rsid w:val="00127B69"/>
    <w:rsid w:val="00130372"/>
    <w:rsid w:val="00130FFE"/>
    <w:rsid w:val="00131A9B"/>
    <w:rsid w:val="00132261"/>
    <w:rsid w:val="00133B5B"/>
    <w:rsid w:val="00134FDC"/>
    <w:rsid w:val="00135BDD"/>
    <w:rsid w:val="0013662D"/>
    <w:rsid w:val="00137D05"/>
    <w:rsid w:val="0014204E"/>
    <w:rsid w:val="00143131"/>
    <w:rsid w:val="00144995"/>
    <w:rsid w:val="00144C10"/>
    <w:rsid w:val="001472C7"/>
    <w:rsid w:val="00147AC1"/>
    <w:rsid w:val="00150E64"/>
    <w:rsid w:val="001511B5"/>
    <w:rsid w:val="00151537"/>
    <w:rsid w:val="00153531"/>
    <w:rsid w:val="00154036"/>
    <w:rsid w:val="00154B41"/>
    <w:rsid w:val="00154BAF"/>
    <w:rsid w:val="00157DF6"/>
    <w:rsid w:val="00161841"/>
    <w:rsid w:val="001622B3"/>
    <w:rsid w:val="001628D0"/>
    <w:rsid w:val="001631A8"/>
    <w:rsid w:val="0016366E"/>
    <w:rsid w:val="00163F00"/>
    <w:rsid w:val="001640BC"/>
    <w:rsid w:val="0016799C"/>
    <w:rsid w:val="00167C97"/>
    <w:rsid w:val="00167FF0"/>
    <w:rsid w:val="001712C1"/>
    <w:rsid w:val="0017136C"/>
    <w:rsid w:val="001741E1"/>
    <w:rsid w:val="0017548B"/>
    <w:rsid w:val="0017589F"/>
    <w:rsid w:val="0017600F"/>
    <w:rsid w:val="00177831"/>
    <w:rsid w:val="001811BA"/>
    <w:rsid w:val="00182532"/>
    <w:rsid w:val="00182E25"/>
    <w:rsid w:val="001850DC"/>
    <w:rsid w:val="001902E2"/>
    <w:rsid w:val="0019273C"/>
    <w:rsid w:val="001956FE"/>
    <w:rsid w:val="001977B1"/>
    <w:rsid w:val="00197AAC"/>
    <w:rsid w:val="001A0BCA"/>
    <w:rsid w:val="001A3573"/>
    <w:rsid w:val="001A38ED"/>
    <w:rsid w:val="001A3E78"/>
    <w:rsid w:val="001A545B"/>
    <w:rsid w:val="001A5649"/>
    <w:rsid w:val="001A7EBD"/>
    <w:rsid w:val="001B057E"/>
    <w:rsid w:val="001B100B"/>
    <w:rsid w:val="001B1C5B"/>
    <w:rsid w:val="001B2163"/>
    <w:rsid w:val="001B3CA9"/>
    <w:rsid w:val="001B3FD6"/>
    <w:rsid w:val="001B6712"/>
    <w:rsid w:val="001B70F2"/>
    <w:rsid w:val="001C09DF"/>
    <w:rsid w:val="001C11E8"/>
    <w:rsid w:val="001C20F9"/>
    <w:rsid w:val="001C274B"/>
    <w:rsid w:val="001C3EE5"/>
    <w:rsid w:val="001C5069"/>
    <w:rsid w:val="001C59C3"/>
    <w:rsid w:val="001C64FF"/>
    <w:rsid w:val="001C6664"/>
    <w:rsid w:val="001C66C5"/>
    <w:rsid w:val="001C75BB"/>
    <w:rsid w:val="001D1D2C"/>
    <w:rsid w:val="001D203E"/>
    <w:rsid w:val="001D212C"/>
    <w:rsid w:val="001D59FB"/>
    <w:rsid w:val="001D5CA6"/>
    <w:rsid w:val="001D5EBB"/>
    <w:rsid w:val="001D7176"/>
    <w:rsid w:val="001E0BB6"/>
    <w:rsid w:val="001E1212"/>
    <w:rsid w:val="001E16DF"/>
    <w:rsid w:val="001E4B74"/>
    <w:rsid w:val="001E52D5"/>
    <w:rsid w:val="001E5F2B"/>
    <w:rsid w:val="001E6689"/>
    <w:rsid w:val="001E7F59"/>
    <w:rsid w:val="001F0AFA"/>
    <w:rsid w:val="001F251A"/>
    <w:rsid w:val="001F35DE"/>
    <w:rsid w:val="001F4608"/>
    <w:rsid w:val="001F477E"/>
    <w:rsid w:val="00202893"/>
    <w:rsid w:val="00203603"/>
    <w:rsid w:val="00205C55"/>
    <w:rsid w:val="002061E9"/>
    <w:rsid w:val="0020705A"/>
    <w:rsid w:val="0020763F"/>
    <w:rsid w:val="00207B0A"/>
    <w:rsid w:val="002125D9"/>
    <w:rsid w:val="002132F6"/>
    <w:rsid w:val="00215AFA"/>
    <w:rsid w:val="002202A8"/>
    <w:rsid w:val="00220DD6"/>
    <w:rsid w:val="0022341C"/>
    <w:rsid w:val="002235B2"/>
    <w:rsid w:val="00224CA0"/>
    <w:rsid w:val="00224E09"/>
    <w:rsid w:val="002276D9"/>
    <w:rsid w:val="00234E2B"/>
    <w:rsid w:val="0023742E"/>
    <w:rsid w:val="00237666"/>
    <w:rsid w:val="002404F7"/>
    <w:rsid w:val="002422E9"/>
    <w:rsid w:val="002455FF"/>
    <w:rsid w:val="00245938"/>
    <w:rsid w:val="00245B09"/>
    <w:rsid w:val="002472FF"/>
    <w:rsid w:val="0024786F"/>
    <w:rsid w:val="00247A53"/>
    <w:rsid w:val="00247D11"/>
    <w:rsid w:val="0025005E"/>
    <w:rsid w:val="002527ED"/>
    <w:rsid w:val="002534D2"/>
    <w:rsid w:val="00253973"/>
    <w:rsid w:val="00255913"/>
    <w:rsid w:val="002559CA"/>
    <w:rsid w:val="0025691B"/>
    <w:rsid w:val="002575F5"/>
    <w:rsid w:val="00257E37"/>
    <w:rsid w:val="00261023"/>
    <w:rsid w:val="002610F3"/>
    <w:rsid w:val="0026153C"/>
    <w:rsid w:val="0026192C"/>
    <w:rsid w:val="00261A99"/>
    <w:rsid w:val="00262BD5"/>
    <w:rsid w:val="002704E1"/>
    <w:rsid w:val="0027052D"/>
    <w:rsid w:val="00271166"/>
    <w:rsid w:val="00273C44"/>
    <w:rsid w:val="00274DC6"/>
    <w:rsid w:val="00275570"/>
    <w:rsid w:val="00276DF2"/>
    <w:rsid w:val="00282DDF"/>
    <w:rsid w:val="00283929"/>
    <w:rsid w:val="0028635A"/>
    <w:rsid w:val="002865EE"/>
    <w:rsid w:val="00287AA6"/>
    <w:rsid w:val="00291D47"/>
    <w:rsid w:val="002920CA"/>
    <w:rsid w:val="00293C25"/>
    <w:rsid w:val="00294B56"/>
    <w:rsid w:val="00295A0A"/>
    <w:rsid w:val="00296968"/>
    <w:rsid w:val="0029797C"/>
    <w:rsid w:val="002A0F17"/>
    <w:rsid w:val="002A551D"/>
    <w:rsid w:val="002A5ED8"/>
    <w:rsid w:val="002A74C8"/>
    <w:rsid w:val="002B01E9"/>
    <w:rsid w:val="002B220B"/>
    <w:rsid w:val="002B2377"/>
    <w:rsid w:val="002B37F0"/>
    <w:rsid w:val="002B3E32"/>
    <w:rsid w:val="002B4C63"/>
    <w:rsid w:val="002B6446"/>
    <w:rsid w:val="002B6B32"/>
    <w:rsid w:val="002B6C35"/>
    <w:rsid w:val="002B6F21"/>
    <w:rsid w:val="002B6FA3"/>
    <w:rsid w:val="002B74AB"/>
    <w:rsid w:val="002B79C7"/>
    <w:rsid w:val="002B7C73"/>
    <w:rsid w:val="002C2206"/>
    <w:rsid w:val="002C3C5F"/>
    <w:rsid w:val="002C4617"/>
    <w:rsid w:val="002C5263"/>
    <w:rsid w:val="002C55D1"/>
    <w:rsid w:val="002C6D2E"/>
    <w:rsid w:val="002C6FDF"/>
    <w:rsid w:val="002D0863"/>
    <w:rsid w:val="002D2B75"/>
    <w:rsid w:val="002D3FA3"/>
    <w:rsid w:val="002D4C31"/>
    <w:rsid w:val="002D5431"/>
    <w:rsid w:val="002D70EA"/>
    <w:rsid w:val="002E0B44"/>
    <w:rsid w:val="002E27B6"/>
    <w:rsid w:val="002E3E7F"/>
    <w:rsid w:val="002E46F7"/>
    <w:rsid w:val="002E507B"/>
    <w:rsid w:val="002E5378"/>
    <w:rsid w:val="002E57B5"/>
    <w:rsid w:val="002F0FEE"/>
    <w:rsid w:val="002F1662"/>
    <w:rsid w:val="002F214F"/>
    <w:rsid w:val="002F24A7"/>
    <w:rsid w:val="002F47B4"/>
    <w:rsid w:val="002F53B8"/>
    <w:rsid w:val="002F57F0"/>
    <w:rsid w:val="002F5EDD"/>
    <w:rsid w:val="00302A91"/>
    <w:rsid w:val="00303ABA"/>
    <w:rsid w:val="00303F2C"/>
    <w:rsid w:val="0030525E"/>
    <w:rsid w:val="00305356"/>
    <w:rsid w:val="003067E7"/>
    <w:rsid w:val="00307CCC"/>
    <w:rsid w:val="0031261C"/>
    <w:rsid w:val="00312649"/>
    <w:rsid w:val="00314A04"/>
    <w:rsid w:val="00317453"/>
    <w:rsid w:val="003239EE"/>
    <w:rsid w:val="00323F57"/>
    <w:rsid w:val="003247DD"/>
    <w:rsid w:val="00326222"/>
    <w:rsid w:val="00327324"/>
    <w:rsid w:val="003274F4"/>
    <w:rsid w:val="003305A7"/>
    <w:rsid w:val="00330997"/>
    <w:rsid w:val="00331BF6"/>
    <w:rsid w:val="003345ED"/>
    <w:rsid w:val="00334AD1"/>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206E"/>
    <w:rsid w:val="003526B1"/>
    <w:rsid w:val="00352B0A"/>
    <w:rsid w:val="0035391B"/>
    <w:rsid w:val="00355DEB"/>
    <w:rsid w:val="00357FF5"/>
    <w:rsid w:val="00360502"/>
    <w:rsid w:val="00361262"/>
    <w:rsid w:val="00361C4D"/>
    <w:rsid w:val="0036234B"/>
    <w:rsid w:val="00363477"/>
    <w:rsid w:val="0036351A"/>
    <w:rsid w:val="00370324"/>
    <w:rsid w:val="00371A04"/>
    <w:rsid w:val="00372B0E"/>
    <w:rsid w:val="003737E5"/>
    <w:rsid w:val="0037420C"/>
    <w:rsid w:val="00374359"/>
    <w:rsid w:val="00375842"/>
    <w:rsid w:val="00375963"/>
    <w:rsid w:val="00375C0E"/>
    <w:rsid w:val="003774DF"/>
    <w:rsid w:val="00380352"/>
    <w:rsid w:val="0038138E"/>
    <w:rsid w:val="00381983"/>
    <w:rsid w:val="00382A03"/>
    <w:rsid w:val="003858F2"/>
    <w:rsid w:val="0038705B"/>
    <w:rsid w:val="00390A43"/>
    <w:rsid w:val="00391254"/>
    <w:rsid w:val="00391DA5"/>
    <w:rsid w:val="00396DAD"/>
    <w:rsid w:val="00397C2E"/>
    <w:rsid w:val="00397EFA"/>
    <w:rsid w:val="003A1693"/>
    <w:rsid w:val="003A1DAF"/>
    <w:rsid w:val="003A2559"/>
    <w:rsid w:val="003A38FA"/>
    <w:rsid w:val="003A4359"/>
    <w:rsid w:val="003A555C"/>
    <w:rsid w:val="003A587D"/>
    <w:rsid w:val="003B174C"/>
    <w:rsid w:val="003B5EF3"/>
    <w:rsid w:val="003B776C"/>
    <w:rsid w:val="003B7DC0"/>
    <w:rsid w:val="003C413F"/>
    <w:rsid w:val="003C5965"/>
    <w:rsid w:val="003C5F40"/>
    <w:rsid w:val="003C6DFF"/>
    <w:rsid w:val="003C71BD"/>
    <w:rsid w:val="003C7237"/>
    <w:rsid w:val="003D172F"/>
    <w:rsid w:val="003D4011"/>
    <w:rsid w:val="003D414D"/>
    <w:rsid w:val="003D440A"/>
    <w:rsid w:val="003D47A3"/>
    <w:rsid w:val="003D498D"/>
    <w:rsid w:val="003D5668"/>
    <w:rsid w:val="003D5930"/>
    <w:rsid w:val="003E162D"/>
    <w:rsid w:val="003E1C7D"/>
    <w:rsid w:val="003E3591"/>
    <w:rsid w:val="003E43B6"/>
    <w:rsid w:val="003E5F3D"/>
    <w:rsid w:val="003E6540"/>
    <w:rsid w:val="003E6A95"/>
    <w:rsid w:val="003E6D1D"/>
    <w:rsid w:val="003E6DC4"/>
    <w:rsid w:val="003F0BD3"/>
    <w:rsid w:val="003F0DCF"/>
    <w:rsid w:val="003F12FA"/>
    <w:rsid w:val="003F4013"/>
    <w:rsid w:val="003F41D0"/>
    <w:rsid w:val="003F76DE"/>
    <w:rsid w:val="00400036"/>
    <w:rsid w:val="00400BEF"/>
    <w:rsid w:val="00400F16"/>
    <w:rsid w:val="00402EFF"/>
    <w:rsid w:val="00404DC4"/>
    <w:rsid w:val="004051DD"/>
    <w:rsid w:val="004063BD"/>
    <w:rsid w:val="0040654F"/>
    <w:rsid w:val="004075B5"/>
    <w:rsid w:val="004078DB"/>
    <w:rsid w:val="00407FF7"/>
    <w:rsid w:val="004128D0"/>
    <w:rsid w:val="00412BFD"/>
    <w:rsid w:val="00414774"/>
    <w:rsid w:val="0041590A"/>
    <w:rsid w:val="00416083"/>
    <w:rsid w:val="0042055D"/>
    <w:rsid w:val="004215B2"/>
    <w:rsid w:val="00423B6C"/>
    <w:rsid w:val="0042428F"/>
    <w:rsid w:val="00425213"/>
    <w:rsid w:val="004335F9"/>
    <w:rsid w:val="00433AB7"/>
    <w:rsid w:val="00434A21"/>
    <w:rsid w:val="0043747F"/>
    <w:rsid w:val="00437604"/>
    <w:rsid w:val="00437A12"/>
    <w:rsid w:val="0044328C"/>
    <w:rsid w:val="004470C3"/>
    <w:rsid w:val="0044745F"/>
    <w:rsid w:val="00447D0E"/>
    <w:rsid w:val="00450AC1"/>
    <w:rsid w:val="00451378"/>
    <w:rsid w:val="00452B5B"/>
    <w:rsid w:val="004535DA"/>
    <w:rsid w:val="00453728"/>
    <w:rsid w:val="00454CD4"/>
    <w:rsid w:val="004553C3"/>
    <w:rsid w:val="004554C7"/>
    <w:rsid w:val="004564C2"/>
    <w:rsid w:val="00456856"/>
    <w:rsid w:val="00456B6A"/>
    <w:rsid w:val="004571D0"/>
    <w:rsid w:val="0045739C"/>
    <w:rsid w:val="00461736"/>
    <w:rsid w:val="00461AAE"/>
    <w:rsid w:val="00461F1E"/>
    <w:rsid w:val="004661CB"/>
    <w:rsid w:val="004663D8"/>
    <w:rsid w:val="00466445"/>
    <w:rsid w:val="00466ACC"/>
    <w:rsid w:val="004670F7"/>
    <w:rsid w:val="00467399"/>
    <w:rsid w:val="00467BE8"/>
    <w:rsid w:val="00470050"/>
    <w:rsid w:val="0047025C"/>
    <w:rsid w:val="0047094A"/>
    <w:rsid w:val="00471AF0"/>
    <w:rsid w:val="0047227C"/>
    <w:rsid w:val="0047519B"/>
    <w:rsid w:val="00477185"/>
    <w:rsid w:val="00477A0D"/>
    <w:rsid w:val="00477FCE"/>
    <w:rsid w:val="004807FC"/>
    <w:rsid w:val="0048123C"/>
    <w:rsid w:val="00482A56"/>
    <w:rsid w:val="00483871"/>
    <w:rsid w:val="00483A83"/>
    <w:rsid w:val="00484195"/>
    <w:rsid w:val="00486ECF"/>
    <w:rsid w:val="00486F72"/>
    <w:rsid w:val="00487698"/>
    <w:rsid w:val="00487732"/>
    <w:rsid w:val="0049059F"/>
    <w:rsid w:val="00491649"/>
    <w:rsid w:val="004916F1"/>
    <w:rsid w:val="0049227B"/>
    <w:rsid w:val="00493CE8"/>
    <w:rsid w:val="00494B91"/>
    <w:rsid w:val="004961B1"/>
    <w:rsid w:val="004A1CB9"/>
    <w:rsid w:val="004A1DF1"/>
    <w:rsid w:val="004A2C3E"/>
    <w:rsid w:val="004A3664"/>
    <w:rsid w:val="004A535B"/>
    <w:rsid w:val="004A63F5"/>
    <w:rsid w:val="004A6421"/>
    <w:rsid w:val="004A65B7"/>
    <w:rsid w:val="004A6DF4"/>
    <w:rsid w:val="004A727C"/>
    <w:rsid w:val="004A7813"/>
    <w:rsid w:val="004B0559"/>
    <w:rsid w:val="004B09D0"/>
    <w:rsid w:val="004B2C27"/>
    <w:rsid w:val="004B642B"/>
    <w:rsid w:val="004B763C"/>
    <w:rsid w:val="004C004A"/>
    <w:rsid w:val="004C1786"/>
    <w:rsid w:val="004C1A17"/>
    <w:rsid w:val="004C2377"/>
    <w:rsid w:val="004C2B7A"/>
    <w:rsid w:val="004C427F"/>
    <w:rsid w:val="004C42CC"/>
    <w:rsid w:val="004C79C5"/>
    <w:rsid w:val="004D13CA"/>
    <w:rsid w:val="004D1913"/>
    <w:rsid w:val="004D1A5E"/>
    <w:rsid w:val="004D1E5C"/>
    <w:rsid w:val="004D346D"/>
    <w:rsid w:val="004D353D"/>
    <w:rsid w:val="004D36F6"/>
    <w:rsid w:val="004D3CF8"/>
    <w:rsid w:val="004D3FD8"/>
    <w:rsid w:val="004D42FA"/>
    <w:rsid w:val="004D5486"/>
    <w:rsid w:val="004D5AA8"/>
    <w:rsid w:val="004D63F7"/>
    <w:rsid w:val="004D65DB"/>
    <w:rsid w:val="004E1D52"/>
    <w:rsid w:val="004E1E9D"/>
    <w:rsid w:val="004E1FA3"/>
    <w:rsid w:val="004E4493"/>
    <w:rsid w:val="004E6A6D"/>
    <w:rsid w:val="004E7F69"/>
    <w:rsid w:val="004F03B3"/>
    <w:rsid w:val="004F0D10"/>
    <w:rsid w:val="004F1E37"/>
    <w:rsid w:val="004F203B"/>
    <w:rsid w:val="004F367C"/>
    <w:rsid w:val="004F3C2D"/>
    <w:rsid w:val="004F49F0"/>
    <w:rsid w:val="004F4A35"/>
    <w:rsid w:val="004F592E"/>
    <w:rsid w:val="004F5CCB"/>
    <w:rsid w:val="004F7E5C"/>
    <w:rsid w:val="00501375"/>
    <w:rsid w:val="00501E9F"/>
    <w:rsid w:val="0050325A"/>
    <w:rsid w:val="0050552F"/>
    <w:rsid w:val="0050553C"/>
    <w:rsid w:val="00505664"/>
    <w:rsid w:val="00505710"/>
    <w:rsid w:val="005058BD"/>
    <w:rsid w:val="00506691"/>
    <w:rsid w:val="00507EB3"/>
    <w:rsid w:val="0051094C"/>
    <w:rsid w:val="00510FC2"/>
    <w:rsid w:val="005113B0"/>
    <w:rsid w:val="005119E6"/>
    <w:rsid w:val="00513CE2"/>
    <w:rsid w:val="00513F1B"/>
    <w:rsid w:val="00515294"/>
    <w:rsid w:val="00515C28"/>
    <w:rsid w:val="00516E04"/>
    <w:rsid w:val="00517708"/>
    <w:rsid w:val="00517FE5"/>
    <w:rsid w:val="005201CB"/>
    <w:rsid w:val="005203B8"/>
    <w:rsid w:val="00520970"/>
    <w:rsid w:val="005218C9"/>
    <w:rsid w:val="005236BC"/>
    <w:rsid w:val="00526203"/>
    <w:rsid w:val="005262B8"/>
    <w:rsid w:val="00526E51"/>
    <w:rsid w:val="00530330"/>
    <w:rsid w:val="00530F44"/>
    <w:rsid w:val="00532B95"/>
    <w:rsid w:val="0053381A"/>
    <w:rsid w:val="00533FB6"/>
    <w:rsid w:val="00535558"/>
    <w:rsid w:val="00536014"/>
    <w:rsid w:val="00536BD8"/>
    <w:rsid w:val="005372D2"/>
    <w:rsid w:val="0053773D"/>
    <w:rsid w:val="005419D1"/>
    <w:rsid w:val="00545C13"/>
    <w:rsid w:val="00545C4F"/>
    <w:rsid w:val="00545ED2"/>
    <w:rsid w:val="00546216"/>
    <w:rsid w:val="005477EB"/>
    <w:rsid w:val="005478C1"/>
    <w:rsid w:val="00550D23"/>
    <w:rsid w:val="0055112C"/>
    <w:rsid w:val="00552A26"/>
    <w:rsid w:val="00554B34"/>
    <w:rsid w:val="00555016"/>
    <w:rsid w:val="00556019"/>
    <w:rsid w:val="005572A0"/>
    <w:rsid w:val="0056008D"/>
    <w:rsid w:val="00561001"/>
    <w:rsid w:val="00561623"/>
    <w:rsid w:val="0056311B"/>
    <w:rsid w:val="00564E0E"/>
    <w:rsid w:val="00566D62"/>
    <w:rsid w:val="005707AD"/>
    <w:rsid w:val="00570897"/>
    <w:rsid w:val="005713D3"/>
    <w:rsid w:val="005716D7"/>
    <w:rsid w:val="00572958"/>
    <w:rsid w:val="00573557"/>
    <w:rsid w:val="0057379E"/>
    <w:rsid w:val="00576A94"/>
    <w:rsid w:val="00580237"/>
    <w:rsid w:val="00580A29"/>
    <w:rsid w:val="00581E2E"/>
    <w:rsid w:val="00581F1F"/>
    <w:rsid w:val="00582464"/>
    <w:rsid w:val="00584CE6"/>
    <w:rsid w:val="005861BE"/>
    <w:rsid w:val="00586F0C"/>
    <w:rsid w:val="005911DF"/>
    <w:rsid w:val="00591463"/>
    <w:rsid w:val="00591970"/>
    <w:rsid w:val="0059461F"/>
    <w:rsid w:val="005947C8"/>
    <w:rsid w:val="0059506D"/>
    <w:rsid w:val="0059794C"/>
    <w:rsid w:val="005A026F"/>
    <w:rsid w:val="005A05F3"/>
    <w:rsid w:val="005A1E34"/>
    <w:rsid w:val="005A2DB3"/>
    <w:rsid w:val="005A2EE9"/>
    <w:rsid w:val="005A33E8"/>
    <w:rsid w:val="005A391D"/>
    <w:rsid w:val="005A637F"/>
    <w:rsid w:val="005A6408"/>
    <w:rsid w:val="005A6892"/>
    <w:rsid w:val="005A6B6C"/>
    <w:rsid w:val="005A6F95"/>
    <w:rsid w:val="005B0BD3"/>
    <w:rsid w:val="005B1265"/>
    <w:rsid w:val="005B1DE5"/>
    <w:rsid w:val="005B5113"/>
    <w:rsid w:val="005B6B7C"/>
    <w:rsid w:val="005C0618"/>
    <w:rsid w:val="005C2096"/>
    <w:rsid w:val="005C4DEF"/>
    <w:rsid w:val="005C60DE"/>
    <w:rsid w:val="005D02FE"/>
    <w:rsid w:val="005D4076"/>
    <w:rsid w:val="005D5145"/>
    <w:rsid w:val="005D6F80"/>
    <w:rsid w:val="005E011C"/>
    <w:rsid w:val="005E0748"/>
    <w:rsid w:val="005E094B"/>
    <w:rsid w:val="005E19DE"/>
    <w:rsid w:val="005E23D5"/>
    <w:rsid w:val="005E4761"/>
    <w:rsid w:val="005E7026"/>
    <w:rsid w:val="005F2449"/>
    <w:rsid w:val="005F3D14"/>
    <w:rsid w:val="005F3DA6"/>
    <w:rsid w:val="005F7729"/>
    <w:rsid w:val="006000A4"/>
    <w:rsid w:val="00601369"/>
    <w:rsid w:val="0060201C"/>
    <w:rsid w:val="00602D7C"/>
    <w:rsid w:val="00603068"/>
    <w:rsid w:val="006059C7"/>
    <w:rsid w:val="00606ABB"/>
    <w:rsid w:val="0060731B"/>
    <w:rsid w:val="00607B4F"/>
    <w:rsid w:val="0061090E"/>
    <w:rsid w:val="00610D47"/>
    <w:rsid w:val="0061105A"/>
    <w:rsid w:val="006129C0"/>
    <w:rsid w:val="00614EC1"/>
    <w:rsid w:val="00615382"/>
    <w:rsid w:val="00616BB9"/>
    <w:rsid w:val="00620C8A"/>
    <w:rsid w:val="00620C8F"/>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612B2"/>
    <w:rsid w:val="006612ED"/>
    <w:rsid w:val="00662706"/>
    <w:rsid w:val="00663836"/>
    <w:rsid w:val="006639E7"/>
    <w:rsid w:val="006641E6"/>
    <w:rsid w:val="006646AA"/>
    <w:rsid w:val="0066752C"/>
    <w:rsid w:val="00670EFE"/>
    <w:rsid w:val="00672018"/>
    <w:rsid w:val="006739F6"/>
    <w:rsid w:val="00677D02"/>
    <w:rsid w:val="00680D09"/>
    <w:rsid w:val="00682B94"/>
    <w:rsid w:val="0068402E"/>
    <w:rsid w:val="0068487E"/>
    <w:rsid w:val="00684AAF"/>
    <w:rsid w:val="006867FA"/>
    <w:rsid w:val="00687580"/>
    <w:rsid w:val="00687A65"/>
    <w:rsid w:val="006904C7"/>
    <w:rsid w:val="0069074D"/>
    <w:rsid w:val="0069255B"/>
    <w:rsid w:val="00692D80"/>
    <w:rsid w:val="0069409C"/>
    <w:rsid w:val="00694216"/>
    <w:rsid w:val="00694C57"/>
    <w:rsid w:val="00696FE3"/>
    <w:rsid w:val="006A1AEA"/>
    <w:rsid w:val="006A3282"/>
    <w:rsid w:val="006A3729"/>
    <w:rsid w:val="006A37E2"/>
    <w:rsid w:val="006A6122"/>
    <w:rsid w:val="006B1D8D"/>
    <w:rsid w:val="006B1E61"/>
    <w:rsid w:val="006B2E3E"/>
    <w:rsid w:val="006B3958"/>
    <w:rsid w:val="006B5A67"/>
    <w:rsid w:val="006C1C4C"/>
    <w:rsid w:val="006C32AE"/>
    <w:rsid w:val="006C34AE"/>
    <w:rsid w:val="006C3575"/>
    <w:rsid w:val="006C35C8"/>
    <w:rsid w:val="006C3F3D"/>
    <w:rsid w:val="006C446C"/>
    <w:rsid w:val="006C5C2A"/>
    <w:rsid w:val="006C5C5F"/>
    <w:rsid w:val="006C6C18"/>
    <w:rsid w:val="006C7336"/>
    <w:rsid w:val="006D2A93"/>
    <w:rsid w:val="006D4B6C"/>
    <w:rsid w:val="006D50A5"/>
    <w:rsid w:val="006D58E6"/>
    <w:rsid w:val="006D69AC"/>
    <w:rsid w:val="006E1586"/>
    <w:rsid w:val="006E279B"/>
    <w:rsid w:val="006E2854"/>
    <w:rsid w:val="006E2BD5"/>
    <w:rsid w:val="006E402A"/>
    <w:rsid w:val="006F10CD"/>
    <w:rsid w:val="006F11D3"/>
    <w:rsid w:val="006F1C22"/>
    <w:rsid w:val="006F3EA7"/>
    <w:rsid w:val="006F4F60"/>
    <w:rsid w:val="006F61DB"/>
    <w:rsid w:val="00701548"/>
    <w:rsid w:val="0070360A"/>
    <w:rsid w:val="0070403D"/>
    <w:rsid w:val="007066BE"/>
    <w:rsid w:val="00706DF2"/>
    <w:rsid w:val="00710F6F"/>
    <w:rsid w:val="00714A37"/>
    <w:rsid w:val="00715927"/>
    <w:rsid w:val="007163D0"/>
    <w:rsid w:val="007204F6"/>
    <w:rsid w:val="007215BB"/>
    <w:rsid w:val="00727014"/>
    <w:rsid w:val="00727BEA"/>
    <w:rsid w:val="007305DA"/>
    <w:rsid w:val="00731989"/>
    <w:rsid w:val="00732553"/>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27AC"/>
    <w:rsid w:val="0075387E"/>
    <w:rsid w:val="00753E6B"/>
    <w:rsid w:val="00755482"/>
    <w:rsid w:val="00755A3F"/>
    <w:rsid w:val="0075727E"/>
    <w:rsid w:val="00761FA7"/>
    <w:rsid w:val="00762E0E"/>
    <w:rsid w:val="00763619"/>
    <w:rsid w:val="00763B72"/>
    <w:rsid w:val="00764342"/>
    <w:rsid w:val="00764EF4"/>
    <w:rsid w:val="00765C30"/>
    <w:rsid w:val="007660BC"/>
    <w:rsid w:val="007661C8"/>
    <w:rsid w:val="00767E8B"/>
    <w:rsid w:val="007721B7"/>
    <w:rsid w:val="00775B47"/>
    <w:rsid w:val="00777063"/>
    <w:rsid w:val="00777A3E"/>
    <w:rsid w:val="00777BDC"/>
    <w:rsid w:val="00781CF4"/>
    <w:rsid w:val="00783BD0"/>
    <w:rsid w:val="00783CFA"/>
    <w:rsid w:val="00784C36"/>
    <w:rsid w:val="00785746"/>
    <w:rsid w:val="00785F23"/>
    <w:rsid w:val="007919D5"/>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EBD"/>
    <w:rsid w:val="007C5163"/>
    <w:rsid w:val="007C797E"/>
    <w:rsid w:val="007C7BA8"/>
    <w:rsid w:val="007D0672"/>
    <w:rsid w:val="007D1690"/>
    <w:rsid w:val="007D409E"/>
    <w:rsid w:val="007D5A98"/>
    <w:rsid w:val="007D65F9"/>
    <w:rsid w:val="007E2B0A"/>
    <w:rsid w:val="007E4756"/>
    <w:rsid w:val="007E4C13"/>
    <w:rsid w:val="007E4F0C"/>
    <w:rsid w:val="007E695C"/>
    <w:rsid w:val="007E7253"/>
    <w:rsid w:val="007E77DE"/>
    <w:rsid w:val="007F0E5F"/>
    <w:rsid w:val="007F1329"/>
    <w:rsid w:val="007F2A49"/>
    <w:rsid w:val="007F621E"/>
    <w:rsid w:val="007F6ADF"/>
    <w:rsid w:val="007F74C4"/>
    <w:rsid w:val="007F7A1B"/>
    <w:rsid w:val="007F7D39"/>
    <w:rsid w:val="0080153B"/>
    <w:rsid w:val="008015B3"/>
    <w:rsid w:val="00803558"/>
    <w:rsid w:val="00804B06"/>
    <w:rsid w:val="00804D08"/>
    <w:rsid w:val="00804EFA"/>
    <w:rsid w:val="00807840"/>
    <w:rsid w:val="00807A75"/>
    <w:rsid w:val="00810501"/>
    <w:rsid w:val="00810D6B"/>
    <w:rsid w:val="0081469E"/>
    <w:rsid w:val="00815FE9"/>
    <w:rsid w:val="00825C7C"/>
    <w:rsid w:val="0082769E"/>
    <w:rsid w:val="00830B60"/>
    <w:rsid w:val="00830D37"/>
    <w:rsid w:val="008349DC"/>
    <w:rsid w:val="00835D2D"/>
    <w:rsid w:val="00835FB8"/>
    <w:rsid w:val="0083619C"/>
    <w:rsid w:val="00836EAA"/>
    <w:rsid w:val="00844761"/>
    <w:rsid w:val="00847390"/>
    <w:rsid w:val="0084789C"/>
    <w:rsid w:val="00847BEB"/>
    <w:rsid w:val="00851A16"/>
    <w:rsid w:val="0085210D"/>
    <w:rsid w:val="008528A7"/>
    <w:rsid w:val="00853D19"/>
    <w:rsid w:val="00855047"/>
    <w:rsid w:val="008560F6"/>
    <w:rsid w:val="00856F9B"/>
    <w:rsid w:val="0085700E"/>
    <w:rsid w:val="00860288"/>
    <w:rsid w:val="008608C1"/>
    <w:rsid w:val="00860D2A"/>
    <w:rsid w:val="00861408"/>
    <w:rsid w:val="00863095"/>
    <w:rsid w:val="008652DC"/>
    <w:rsid w:val="00867D11"/>
    <w:rsid w:val="0087007C"/>
    <w:rsid w:val="0087083F"/>
    <w:rsid w:val="00870D54"/>
    <w:rsid w:val="00873A15"/>
    <w:rsid w:val="00874C65"/>
    <w:rsid w:val="00876D0A"/>
    <w:rsid w:val="00877FBF"/>
    <w:rsid w:val="0088225B"/>
    <w:rsid w:val="00884EF8"/>
    <w:rsid w:val="0088657B"/>
    <w:rsid w:val="00886AED"/>
    <w:rsid w:val="0088781B"/>
    <w:rsid w:val="00891F95"/>
    <w:rsid w:val="00895D43"/>
    <w:rsid w:val="00896559"/>
    <w:rsid w:val="008A0B8C"/>
    <w:rsid w:val="008A127A"/>
    <w:rsid w:val="008A1F4D"/>
    <w:rsid w:val="008A50ED"/>
    <w:rsid w:val="008A7DE6"/>
    <w:rsid w:val="008B1659"/>
    <w:rsid w:val="008B1B6B"/>
    <w:rsid w:val="008B265B"/>
    <w:rsid w:val="008B366E"/>
    <w:rsid w:val="008B3DFE"/>
    <w:rsid w:val="008B4D36"/>
    <w:rsid w:val="008B566E"/>
    <w:rsid w:val="008B63E7"/>
    <w:rsid w:val="008B6842"/>
    <w:rsid w:val="008B70C4"/>
    <w:rsid w:val="008B76E0"/>
    <w:rsid w:val="008B7F48"/>
    <w:rsid w:val="008C03D9"/>
    <w:rsid w:val="008C59DC"/>
    <w:rsid w:val="008C5D40"/>
    <w:rsid w:val="008D1D14"/>
    <w:rsid w:val="008D48B3"/>
    <w:rsid w:val="008D6D04"/>
    <w:rsid w:val="008E0531"/>
    <w:rsid w:val="008E135A"/>
    <w:rsid w:val="008E1EBD"/>
    <w:rsid w:val="008E23C1"/>
    <w:rsid w:val="008E2560"/>
    <w:rsid w:val="008E3EC1"/>
    <w:rsid w:val="008E5650"/>
    <w:rsid w:val="008E60C4"/>
    <w:rsid w:val="008E6A4A"/>
    <w:rsid w:val="008F08A5"/>
    <w:rsid w:val="008F0F88"/>
    <w:rsid w:val="008F19B3"/>
    <w:rsid w:val="008F1B2B"/>
    <w:rsid w:val="008F41C3"/>
    <w:rsid w:val="008F47FB"/>
    <w:rsid w:val="008F51CA"/>
    <w:rsid w:val="008F7CC5"/>
    <w:rsid w:val="008F7D55"/>
    <w:rsid w:val="00900010"/>
    <w:rsid w:val="00900999"/>
    <w:rsid w:val="00902BB9"/>
    <w:rsid w:val="00904522"/>
    <w:rsid w:val="00904FEA"/>
    <w:rsid w:val="0091179C"/>
    <w:rsid w:val="00911BA6"/>
    <w:rsid w:val="00911ECD"/>
    <w:rsid w:val="00912204"/>
    <w:rsid w:val="009131D4"/>
    <w:rsid w:val="00916E13"/>
    <w:rsid w:val="0092079B"/>
    <w:rsid w:val="00921248"/>
    <w:rsid w:val="00923CFA"/>
    <w:rsid w:val="00924265"/>
    <w:rsid w:val="00924C51"/>
    <w:rsid w:val="00926C8E"/>
    <w:rsid w:val="00927843"/>
    <w:rsid w:val="00932ACC"/>
    <w:rsid w:val="00934FE5"/>
    <w:rsid w:val="00936770"/>
    <w:rsid w:val="00936E8F"/>
    <w:rsid w:val="00943F37"/>
    <w:rsid w:val="009449BD"/>
    <w:rsid w:val="00945665"/>
    <w:rsid w:val="00946A3B"/>
    <w:rsid w:val="0094723C"/>
    <w:rsid w:val="00947CEB"/>
    <w:rsid w:val="00950930"/>
    <w:rsid w:val="00950DA2"/>
    <w:rsid w:val="00950E1B"/>
    <w:rsid w:val="00951802"/>
    <w:rsid w:val="00951E19"/>
    <w:rsid w:val="00952347"/>
    <w:rsid w:val="009524EC"/>
    <w:rsid w:val="00952F2B"/>
    <w:rsid w:val="0095381D"/>
    <w:rsid w:val="00953D65"/>
    <w:rsid w:val="00954BE1"/>
    <w:rsid w:val="00957688"/>
    <w:rsid w:val="00957FA1"/>
    <w:rsid w:val="00961631"/>
    <w:rsid w:val="00961E28"/>
    <w:rsid w:val="00963ACD"/>
    <w:rsid w:val="00965637"/>
    <w:rsid w:val="00966B23"/>
    <w:rsid w:val="00967DA6"/>
    <w:rsid w:val="00971BD8"/>
    <w:rsid w:val="009721D0"/>
    <w:rsid w:val="009723A0"/>
    <w:rsid w:val="009744D1"/>
    <w:rsid w:val="009751C6"/>
    <w:rsid w:val="009754D1"/>
    <w:rsid w:val="00980115"/>
    <w:rsid w:val="00980272"/>
    <w:rsid w:val="00982210"/>
    <w:rsid w:val="00983256"/>
    <w:rsid w:val="00983FAE"/>
    <w:rsid w:val="00984B1A"/>
    <w:rsid w:val="009861AE"/>
    <w:rsid w:val="009872AD"/>
    <w:rsid w:val="0098769B"/>
    <w:rsid w:val="00990389"/>
    <w:rsid w:val="00990C31"/>
    <w:rsid w:val="009922D4"/>
    <w:rsid w:val="00993A00"/>
    <w:rsid w:val="00995CDD"/>
    <w:rsid w:val="009961FF"/>
    <w:rsid w:val="00996E36"/>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1820"/>
    <w:rsid w:val="009C1D38"/>
    <w:rsid w:val="009C1F13"/>
    <w:rsid w:val="009C34A2"/>
    <w:rsid w:val="009C3999"/>
    <w:rsid w:val="009C3A3E"/>
    <w:rsid w:val="009C48D9"/>
    <w:rsid w:val="009C501D"/>
    <w:rsid w:val="009C7F0B"/>
    <w:rsid w:val="009D020F"/>
    <w:rsid w:val="009D195C"/>
    <w:rsid w:val="009D1BF7"/>
    <w:rsid w:val="009D2FAF"/>
    <w:rsid w:val="009D35B3"/>
    <w:rsid w:val="009D4248"/>
    <w:rsid w:val="009D50D3"/>
    <w:rsid w:val="009D6980"/>
    <w:rsid w:val="009D75E0"/>
    <w:rsid w:val="009E002E"/>
    <w:rsid w:val="009E20F1"/>
    <w:rsid w:val="009E2E31"/>
    <w:rsid w:val="009E37DC"/>
    <w:rsid w:val="009E65FD"/>
    <w:rsid w:val="009F7764"/>
    <w:rsid w:val="009F7B22"/>
    <w:rsid w:val="00A004BB"/>
    <w:rsid w:val="00A0063B"/>
    <w:rsid w:val="00A008C3"/>
    <w:rsid w:val="00A02131"/>
    <w:rsid w:val="00A02D6F"/>
    <w:rsid w:val="00A03559"/>
    <w:rsid w:val="00A03675"/>
    <w:rsid w:val="00A037D6"/>
    <w:rsid w:val="00A04F50"/>
    <w:rsid w:val="00A051B9"/>
    <w:rsid w:val="00A06012"/>
    <w:rsid w:val="00A15225"/>
    <w:rsid w:val="00A15E12"/>
    <w:rsid w:val="00A20060"/>
    <w:rsid w:val="00A202AD"/>
    <w:rsid w:val="00A20C11"/>
    <w:rsid w:val="00A21E0D"/>
    <w:rsid w:val="00A230CE"/>
    <w:rsid w:val="00A24371"/>
    <w:rsid w:val="00A26F0C"/>
    <w:rsid w:val="00A335E4"/>
    <w:rsid w:val="00A33C4D"/>
    <w:rsid w:val="00A3414D"/>
    <w:rsid w:val="00A3612B"/>
    <w:rsid w:val="00A36B41"/>
    <w:rsid w:val="00A37581"/>
    <w:rsid w:val="00A409F0"/>
    <w:rsid w:val="00A42494"/>
    <w:rsid w:val="00A43405"/>
    <w:rsid w:val="00A46C9B"/>
    <w:rsid w:val="00A47F88"/>
    <w:rsid w:val="00A50F3A"/>
    <w:rsid w:val="00A54404"/>
    <w:rsid w:val="00A549A0"/>
    <w:rsid w:val="00A55177"/>
    <w:rsid w:val="00A560DD"/>
    <w:rsid w:val="00A56829"/>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77AF"/>
    <w:rsid w:val="00A80A14"/>
    <w:rsid w:val="00A83CB3"/>
    <w:rsid w:val="00A84085"/>
    <w:rsid w:val="00A860C9"/>
    <w:rsid w:val="00A86AFE"/>
    <w:rsid w:val="00A877C4"/>
    <w:rsid w:val="00A9034B"/>
    <w:rsid w:val="00A90B8A"/>
    <w:rsid w:val="00A91FD4"/>
    <w:rsid w:val="00A9541A"/>
    <w:rsid w:val="00A967A6"/>
    <w:rsid w:val="00AA30A7"/>
    <w:rsid w:val="00AA3684"/>
    <w:rsid w:val="00AA6B83"/>
    <w:rsid w:val="00AA6C6C"/>
    <w:rsid w:val="00AA6FFB"/>
    <w:rsid w:val="00AB0FF9"/>
    <w:rsid w:val="00AB1A33"/>
    <w:rsid w:val="00AB22E2"/>
    <w:rsid w:val="00AB639F"/>
    <w:rsid w:val="00AB6B16"/>
    <w:rsid w:val="00AC0C73"/>
    <w:rsid w:val="00AC17D1"/>
    <w:rsid w:val="00AC1864"/>
    <w:rsid w:val="00AC39FF"/>
    <w:rsid w:val="00AC4A96"/>
    <w:rsid w:val="00AC4C74"/>
    <w:rsid w:val="00AC53D8"/>
    <w:rsid w:val="00AC71E5"/>
    <w:rsid w:val="00AD01ED"/>
    <w:rsid w:val="00AD131A"/>
    <w:rsid w:val="00AD755B"/>
    <w:rsid w:val="00AD76A6"/>
    <w:rsid w:val="00AE1E65"/>
    <w:rsid w:val="00AE5F50"/>
    <w:rsid w:val="00AF0123"/>
    <w:rsid w:val="00AF159F"/>
    <w:rsid w:val="00AF1AE1"/>
    <w:rsid w:val="00AF302C"/>
    <w:rsid w:val="00AF6929"/>
    <w:rsid w:val="00B00424"/>
    <w:rsid w:val="00B00F75"/>
    <w:rsid w:val="00B04D0A"/>
    <w:rsid w:val="00B0653F"/>
    <w:rsid w:val="00B06D1E"/>
    <w:rsid w:val="00B103BF"/>
    <w:rsid w:val="00B10709"/>
    <w:rsid w:val="00B122E2"/>
    <w:rsid w:val="00B130F8"/>
    <w:rsid w:val="00B15142"/>
    <w:rsid w:val="00B15297"/>
    <w:rsid w:val="00B158B0"/>
    <w:rsid w:val="00B16976"/>
    <w:rsid w:val="00B16BFF"/>
    <w:rsid w:val="00B1795F"/>
    <w:rsid w:val="00B17A18"/>
    <w:rsid w:val="00B20CC2"/>
    <w:rsid w:val="00B20E77"/>
    <w:rsid w:val="00B21B60"/>
    <w:rsid w:val="00B23EF9"/>
    <w:rsid w:val="00B25B18"/>
    <w:rsid w:val="00B270D3"/>
    <w:rsid w:val="00B30B05"/>
    <w:rsid w:val="00B31FE6"/>
    <w:rsid w:val="00B3401F"/>
    <w:rsid w:val="00B3407A"/>
    <w:rsid w:val="00B3514A"/>
    <w:rsid w:val="00B364B1"/>
    <w:rsid w:val="00B42100"/>
    <w:rsid w:val="00B4471A"/>
    <w:rsid w:val="00B5017E"/>
    <w:rsid w:val="00B5173D"/>
    <w:rsid w:val="00B51CC7"/>
    <w:rsid w:val="00B542D1"/>
    <w:rsid w:val="00B5495B"/>
    <w:rsid w:val="00B55407"/>
    <w:rsid w:val="00B555EC"/>
    <w:rsid w:val="00B56731"/>
    <w:rsid w:val="00B61C75"/>
    <w:rsid w:val="00B62466"/>
    <w:rsid w:val="00B6293F"/>
    <w:rsid w:val="00B62C45"/>
    <w:rsid w:val="00B63B05"/>
    <w:rsid w:val="00B65D26"/>
    <w:rsid w:val="00B6601F"/>
    <w:rsid w:val="00B6778C"/>
    <w:rsid w:val="00B678E2"/>
    <w:rsid w:val="00B67A8F"/>
    <w:rsid w:val="00B70BD7"/>
    <w:rsid w:val="00B7266B"/>
    <w:rsid w:val="00B7273E"/>
    <w:rsid w:val="00B72A39"/>
    <w:rsid w:val="00B749C7"/>
    <w:rsid w:val="00B75788"/>
    <w:rsid w:val="00B7605A"/>
    <w:rsid w:val="00B76885"/>
    <w:rsid w:val="00B77D86"/>
    <w:rsid w:val="00B8071D"/>
    <w:rsid w:val="00B873E8"/>
    <w:rsid w:val="00B926D2"/>
    <w:rsid w:val="00B92760"/>
    <w:rsid w:val="00B92951"/>
    <w:rsid w:val="00B93F1E"/>
    <w:rsid w:val="00B9692B"/>
    <w:rsid w:val="00B96F67"/>
    <w:rsid w:val="00BA0423"/>
    <w:rsid w:val="00BA051B"/>
    <w:rsid w:val="00BA1646"/>
    <w:rsid w:val="00BA3218"/>
    <w:rsid w:val="00BA359E"/>
    <w:rsid w:val="00BA3747"/>
    <w:rsid w:val="00BA37BB"/>
    <w:rsid w:val="00BA53C5"/>
    <w:rsid w:val="00BA7408"/>
    <w:rsid w:val="00BB1680"/>
    <w:rsid w:val="00BB36EB"/>
    <w:rsid w:val="00BB42A4"/>
    <w:rsid w:val="00BB45AE"/>
    <w:rsid w:val="00BB593D"/>
    <w:rsid w:val="00BB7708"/>
    <w:rsid w:val="00BB770B"/>
    <w:rsid w:val="00BC186B"/>
    <w:rsid w:val="00BC1C14"/>
    <w:rsid w:val="00BC1F93"/>
    <w:rsid w:val="00BC4AC5"/>
    <w:rsid w:val="00BC590F"/>
    <w:rsid w:val="00BD0A1E"/>
    <w:rsid w:val="00BD248E"/>
    <w:rsid w:val="00BD6103"/>
    <w:rsid w:val="00BD61F1"/>
    <w:rsid w:val="00BD6AD1"/>
    <w:rsid w:val="00BD7237"/>
    <w:rsid w:val="00BE05B7"/>
    <w:rsid w:val="00BE1342"/>
    <w:rsid w:val="00BE1858"/>
    <w:rsid w:val="00BE4545"/>
    <w:rsid w:val="00BE6B7A"/>
    <w:rsid w:val="00BF1539"/>
    <w:rsid w:val="00BF313B"/>
    <w:rsid w:val="00BF5245"/>
    <w:rsid w:val="00BF679A"/>
    <w:rsid w:val="00C005C2"/>
    <w:rsid w:val="00C016EE"/>
    <w:rsid w:val="00C01BD6"/>
    <w:rsid w:val="00C02F2E"/>
    <w:rsid w:val="00C03A60"/>
    <w:rsid w:val="00C06A45"/>
    <w:rsid w:val="00C07974"/>
    <w:rsid w:val="00C07BFF"/>
    <w:rsid w:val="00C11C23"/>
    <w:rsid w:val="00C11DB1"/>
    <w:rsid w:val="00C12195"/>
    <w:rsid w:val="00C138E6"/>
    <w:rsid w:val="00C14B92"/>
    <w:rsid w:val="00C15649"/>
    <w:rsid w:val="00C15839"/>
    <w:rsid w:val="00C2164E"/>
    <w:rsid w:val="00C25FDD"/>
    <w:rsid w:val="00C27B40"/>
    <w:rsid w:val="00C30BE7"/>
    <w:rsid w:val="00C3135E"/>
    <w:rsid w:val="00C353AA"/>
    <w:rsid w:val="00C363E3"/>
    <w:rsid w:val="00C37282"/>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4861"/>
    <w:rsid w:val="00C766A3"/>
    <w:rsid w:val="00C76F3A"/>
    <w:rsid w:val="00C8013C"/>
    <w:rsid w:val="00C80FFC"/>
    <w:rsid w:val="00C81210"/>
    <w:rsid w:val="00C81583"/>
    <w:rsid w:val="00C82ED4"/>
    <w:rsid w:val="00C8388A"/>
    <w:rsid w:val="00C84A88"/>
    <w:rsid w:val="00C8585B"/>
    <w:rsid w:val="00C862FD"/>
    <w:rsid w:val="00C86BF2"/>
    <w:rsid w:val="00C9086A"/>
    <w:rsid w:val="00C91794"/>
    <w:rsid w:val="00C933A1"/>
    <w:rsid w:val="00C94312"/>
    <w:rsid w:val="00C94A47"/>
    <w:rsid w:val="00C94BE0"/>
    <w:rsid w:val="00C957A9"/>
    <w:rsid w:val="00CA00BB"/>
    <w:rsid w:val="00CA07DA"/>
    <w:rsid w:val="00CA0E6A"/>
    <w:rsid w:val="00CA15A5"/>
    <w:rsid w:val="00CA3353"/>
    <w:rsid w:val="00CA3B77"/>
    <w:rsid w:val="00CA4A94"/>
    <w:rsid w:val="00CA4B4E"/>
    <w:rsid w:val="00CA5F58"/>
    <w:rsid w:val="00CA69B7"/>
    <w:rsid w:val="00CB1A4C"/>
    <w:rsid w:val="00CB2184"/>
    <w:rsid w:val="00CB4F33"/>
    <w:rsid w:val="00CB5B41"/>
    <w:rsid w:val="00CB7004"/>
    <w:rsid w:val="00CB72B9"/>
    <w:rsid w:val="00CC031E"/>
    <w:rsid w:val="00CC0BF4"/>
    <w:rsid w:val="00CC1C5F"/>
    <w:rsid w:val="00CC220F"/>
    <w:rsid w:val="00CC2A32"/>
    <w:rsid w:val="00CC2B14"/>
    <w:rsid w:val="00CC3FFC"/>
    <w:rsid w:val="00CC4A9E"/>
    <w:rsid w:val="00CC5A9B"/>
    <w:rsid w:val="00CC7ADE"/>
    <w:rsid w:val="00CD10CA"/>
    <w:rsid w:val="00CD27C0"/>
    <w:rsid w:val="00CD2898"/>
    <w:rsid w:val="00CD2EBD"/>
    <w:rsid w:val="00CD2FD4"/>
    <w:rsid w:val="00CD47CF"/>
    <w:rsid w:val="00CD52A7"/>
    <w:rsid w:val="00CD5C65"/>
    <w:rsid w:val="00CD6724"/>
    <w:rsid w:val="00CD75FC"/>
    <w:rsid w:val="00CE12DB"/>
    <w:rsid w:val="00CE2464"/>
    <w:rsid w:val="00CE2600"/>
    <w:rsid w:val="00CE2EEF"/>
    <w:rsid w:val="00CE76ED"/>
    <w:rsid w:val="00CF15CD"/>
    <w:rsid w:val="00CF2F9E"/>
    <w:rsid w:val="00CF3E4C"/>
    <w:rsid w:val="00CF7B06"/>
    <w:rsid w:val="00CF7B86"/>
    <w:rsid w:val="00D00B14"/>
    <w:rsid w:val="00D0418B"/>
    <w:rsid w:val="00D10D73"/>
    <w:rsid w:val="00D11FA9"/>
    <w:rsid w:val="00D12536"/>
    <w:rsid w:val="00D1264D"/>
    <w:rsid w:val="00D12A84"/>
    <w:rsid w:val="00D13A67"/>
    <w:rsid w:val="00D14A5F"/>
    <w:rsid w:val="00D150B1"/>
    <w:rsid w:val="00D15520"/>
    <w:rsid w:val="00D15C47"/>
    <w:rsid w:val="00D15D7D"/>
    <w:rsid w:val="00D161BC"/>
    <w:rsid w:val="00D1653C"/>
    <w:rsid w:val="00D1766A"/>
    <w:rsid w:val="00D17FC8"/>
    <w:rsid w:val="00D21464"/>
    <w:rsid w:val="00D21711"/>
    <w:rsid w:val="00D22AC8"/>
    <w:rsid w:val="00D2453B"/>
    <w:rsid w:val="00D25547"/>
    <w:rsid w:val="00D260BE"/>
    <w:rsid w:val="00D26494"/>
    <w:rsid w:val="00D27D1E"/>
    <w:rsid w:val="00D33A2C"/>
    <w:rsid w:val="00D360FA"/>
    <w:rsid w:val="00D36BD1"/>
    <w:rsid w:val="00D37F8A"/>
    <w:rsid w:val="00D37FCA"/>
    <w:rsid w:val="00D424A5"/>
    <w:rsid w:val="00D469FE"/>
    <w:rsid w:val="00D50E2C"/>
    <w:rsid w:val="00D53612"/>
    <w:rsid w:val="00D56EC2"/>
    <w:rsid w:val="00D57EE6"/>
    <w:rsid w:val="00D6088F"/>
    <w:rsid w:val="00D6329D"/>
    <w:rsid w:val="00D64213"/>
    <w:rsid w:val="00D66665"/>
    <w:rsid w:val="00D70E63"/>
    <w:rsid w:val="00D719F5"/>
    <w:rsid w:val="00D7264B"/>
    <w:rsid w:val="00D730A1"/>
    <w:rsid w:val="00D7414F"/>
    <w:rsid w:val="00D758B5"/>
    <w:rsid w:val="00D76C35"/>
    <w:rsid w:val="00D8091B"/>
    <w:rsid w:val="00D8144C"/>
    <w:rsid w:val="00D81D95"/>
    <w:rsid w:val="00D83699"/>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2368"/>
    <w:rsid w:val="00DC2C60"/>
    <w:rsid w:val="00DC3AB3"/>
    <w:rsid w:val="00DC5A4A"/>
    <w:rsid w:val="00DC7D96"/>
    <w:rsid w:val="00DD023E"/>
    <w:rsid w:val="00DD104B"/>
    <w:rsid w:val="00DD13B9"/>
    <w:rsid w:val="00DD143E"/>
    <w:rsid w:val="00DD23F8"/>
    <w:rsid w:val="00DD3F11"/>
    <w:rsid w:val="00DD582D"/>
    <w:rsid w:val="00DE2C82"/>
    <w:rsid w:val="00DE2D10"/>
    <w:rsid w:val="00DE4ABF"/>
    <w:rsid w:val="00DE511E"/>
    <w:rsid w:val="00DE6EC7"/>
    <w:rsid w:val="00DE7F58"/>
    <w:rsid w:val="00DF0620"/>
    <w:rsid w:val="00DF1D29"/>
    <w:rsid w:val="00DF4218"/>
    <w:rsid w:val="00DF4B99"/>
    <w:rsid w:val="00DF5BCB"/>
    <w:rsid w:val="00DF5CD4"/>
    <w:rsid w:val="00DF6BF2"/>
    <w:rsid w:val="00E007A2"/>
    <w:rsid w:val="00E0187E"/>
    <w:rsid w:val="00E0225C"/>
    <w:rsid w:val="00E02C8B"/>
    <w:rsid w:val="00E100DA"/>
    <w:rsid w:val="00E1086F"/>
    <w:rsid w:val="00E12AD3"/>
    <w:rsid w:val="00E12D84"/>
    <w:rsid w:val="00E1544B"/>
    <w:rsid w:val="00E17BD9"/>
    <w:rsid w:val="00E23BC4"/>
    <w:rsid w:val="00E25B09"/>
    <w:rsid w:val="00E26622"/>
    <w:rsid w:val="00E30651"/>
    <w:rsid w:val="00E3092C"/>
    <w:rsid w:val="00E32230"/>
    <w:rsid w:val="00E3465D"/>
    <w:rsid w:val="00E42BC9"/>
    <w:rsid w:val="00E43479"/>
    <w:rsid w:val="00E44271"/>
    <w:rsid w:val="00E447D8"/>
    <w:rsid w:val="00E44F4E"/>
    <w:rsid w:val="00E475B3"/>
    <w:rsid w:val="00E5028C"/>
    <w:rsid w:val="00E51369"/>
    <w:rsid w:val="00E51B5E"/>
    <w:rsid w:val="00E53D1A"/>
    <w:rsid w:val="00E556A2"/>
    <w:rsid w:val="00E55DB6"/>
    <w:rsid w:val="00E5771F"/>
    <w:rsid w:val="00E620AC"/>
    <w:rsid w:val="00E6775D"/>
    <w:rsid w:val="00E709AA"/>
    <w:rsid w:val="00E70F73"/>
    <w:rsid w:val="00E71AD1"/>
    <w:rsid w:val="00E748E4"/>
    <w:rsid w:val="00E75255"/>
    <w:rsid w:val="00E75597"/>
    <w:rsid w:val="00E758B6"/>
    <w:rsid w:val="00E76040"/>
    <w:rsid w:val="00E7619D"/>
    <w:rsid w:val="00E778D3"/>
    <w:rsid w:val="00E80C5A"/>
    <w:rsid w:val="00E81B33"/>
    <w:rsid w:val="00E81E80"/>
    <w:rsid w:val="00E81F6D"/>
    <w:rsid w:val="00E8611A"/>
    <w:rsid w:val="00E8700B"/>
    <w:rsid w:val="00E87333"/>
    <w:rsid w:val="00E87467"/>
    <w:rsid w:val="00E9053F"/>
    <w:rsid w:val="00E909E2"/>
    <w:rsid w:val="00E91095"/>
    <w:rsid w:val="00E923D9"/>
    <w:rsid w:val="00E924DF"/>
    <w:rsid w:val="00E92A38"/>
    <w:rsid w:val="00E92AEF"/>
    <w:rsid w:val="00E92DE9"/>
    <w:rsid w:val="00E92E79"/>
    <w:rsid w:val="00E947A1"/>
    <w:rsid w:val="00E95A1A"/>
    <w:rsid w:val="00E96203"/>
    <w:rsid w:val="00E9638B"/>
    <w:rsid w:val="00E96430"/>
    <w:rsid w:val="00EA2CB1"/>
    <w:rsid w:val="00EA4D96"/>
    <w:rsid w:val="00EA7F5D"/>
    <w:rsid w:val="00EB013A"/>
    <w:rsid w:val="00EB06B3"/>
    <w:rsid w:val="00EB3F36"/>
    <w:rsid w:val="00EB58BF"/>
    <w:rsid w:val="00EB6BAB"/>
    <w:rsid w:val="00EC15C7"/>
    <w:rsid w:val="00EC2D61"/>
    <w:rsid w:val="00EC5F29"/>
    <w:rsid w:val="00EC690C"/>
    <w:rsid w:val="00ED04AA"/>
    <w:rsid w:val="00ED141E"/>
    <w:rsid w:val="00ED1CDB"/>
    <w:rsid w:val="00ED252C"/>
    <w:rsid w:val="00ED333D"/>
    <w:rsid w:val="00ED40C0"/>
    <w:rsid w:val="00ED5281"/>
    <w:rsid w:val="00ED664C"/>
    <w:rsid w:val="00ED6BED"/>
    <w:rsid w:val="00ED7F25"/>
    <w:rsid w:val="00EE0755"/>
    <w:rsid w:val="00EE1F10"/>
    <w:rsid w:val="00EE68CD"/>
    <w:rsid w:val="00EE77AC"/>
    <w:rsid w:val="00EE77EB"/>
    <w:rsid w:val="00EE7B46"/>
    <w:rsid w:val="00EE7D1E"/>
    <w:rsid w:val="00EF0300"/>
    <w:rsid w:val="00EF07F0"/>
    <w:rsid w:val="00EF19F1"/>
    <w:rsid w:val="00EF1A9F"/>
    <w:rsid w:val="00EF2D07"/>
    <w:rsid w:val="00EF5A40"/>
    <w:rsid w:val="00EF5D5D"/>
    <w:rsid w:val="00EF5DAC"/>
    <w:rsid w:val="00EF6F28"/>
    <w:rsid w:val="00EF741E"/>
    <w:rsid w:val="00F02BFD"/>
    <w:rsid w:val="00F10792"/>
    <w:rsid w:val="00F10D48"/>
    <w:rsid w:val="00F1155C"/>
    <w:rsid w:val="00F12D01"/>
    <w:rsid w:val="00F12E0D"/>
    <w:rsid w:val="00F13151"/>
    <w:rsid w:val="00F13B4A"/>
    <w:rsid w:val="00F13F57"/>
    <w:rsid w:val="00F2030E"/>
    <w:rsid w:val="00F20FD6"/>
    <w:rsid w:val="00F21C65"/>
    <w:rsid w:val="00F22A2E"/>
    <w:rsid w:val="00F23541"/>
    <w:rsid w:val="00F23E7F"/>
    <w:rsid w:val="00F23FD7"/>
    <w:rsid w:val="00F24782"/>
    <w:rsid w:val="00F25620"/>
    <w:rsid w:val="00F26657"/>
    <w:rsid w:val="00F27BFC"/>
    <w:rsid w:val="00F306FF"/>
    <w:rsid w:val="00F30F14"/>
    <w:rsid w:val="00F31488"/>
    <w:rsid w:val="00F3154E"/>
    <w:rsid w:val="00F33E12"/>
    <w:rsid w:val="00F352EB"/>
    <w:rsid w:val="00F35477"/>
    <w:rsid w:val="00F40B3D"/>
    <w:rsid w:val="00F418E9"/>
    <w:rsid w:val="00F43200"/>
    <w:rsid w:val="00F44017"/>
    <w:rsid w:val="00F44577"/>
    <w:rsid w:val="00F46309"/>
    <w:rsid w:val="00F46727"/>
    <w:rsid w:val="00F468F3"/>
    <w:rsid w:val="00F47A4E"/>
    <w:rsid w:val="00F47BC2"/>
    <w:rsid w:val="00F50F17"/>
    <w:rsid w:val="00F51A95"/>
    <w:rsid w:val="00F52135"/>
    <w:rsid w:val="00F5235D"/>
    <w:rsid w:val="00F52A03"/>
    <w:rsid w:val="00F52F48"/>
    <w:rsid w:val="00F5332D"/>
    <w:rsid w:val="00F553BA"/>
    <w:rsid w:val="00F609A3"/>
    <w:rsid w:val="00F61413"/>
    <w:rsid w:val="00F63804"/>
    <w:rsid w:val="00F640EC"/>
    <w:rsid w:val="00F64DDD"/>
    <w:rsid w:val="00F657F6"/>
    <w:rsid w:val="00F660FB"/>
    <w:rsid w:val="00F66369"/>
    <w:rsid w:val="00F66D45"/>
    <w:rsid w:val="00F71739"/>
    <w:rsid w:val="00F71D0F"/>
    <w:rsid w:val="00F72AAF"/>
    <w:rsid w:val="00F7430F"/>
    <w:rsid w:val="00F74A18"/>
    <w:rsid w:val="00F75B25"/>
    <w:rsid w:val="00F76579"/>
    <w:rsid w:val="00F80B1C"/>
    <w:rsid w:val="00F80D24"/>
    <w:rsid w:val="00F83BE4"/>
    <w:rsid w:val="00F8438B"/>
    <w:rsid w:val="00F86124"/>
    <w:rsid w:val="00F86277"/>
    <w:rsid w:val="00F87332"/>
    <w:rsid w:val="00F879FD"/>
    <w:rsid w:val="00F87AF3"/>
    <w:rsid w:val="00F9059B"/>
    <w:rsid w:val="00F925BF"/>
    <w:rsid w:val="00F9270F"/>
    <w:rsid w:val="00F9351E"/>
    <w:rsid w:val="00F94220"/>
    <w:rsid w:val="00F94DF9"/>
    <w:rsid w:val="00F959F8"/>
    <w:rsid w:val="00F96913"/>
    <w:rsid w:val="00F97411"/>
    <w:rsid w:val="00FA07CC"/>
    <w:rsid w:val="00FA1F0C"/>
    <w:rsid w:val="00FA230F"/>
    <w:rsid w:val="00FA2547"/>
    <w:rsid w:val="00FA25E5"/>
    <w:rsid w:val="00FA4F1C"/>
    <w:rsid w:val="00FA505A"/>
    <w:rsid w:val="00FA5B40"/>
    <w:rsid w:val="00FA67C1"/>
    <w:rsid w:val="00FB1372"/>
    <w:rsid w:val="00FB1CC4"/>
    <w:rsid w:val="00FB2CFA"/>
    <w:rsid w:val="00FB3AD8"/>
    <w:rsid w:val="00FB484C"/>
    <w:rsid w:val="00FB53D8"/>
    <w:rsid w:val="00FB61A3"/>
    <w:rsid w:val="00FB6BAB"/>
    <w:rsid w:val="00FB7D55"/>
    <w:rsid w:val="00FC193E"/>
    <w:rsid w:val="00FC242B"/>
    <w:rsid w:val="00FC2D75"/>
    <w:rsid w:val="00FC3494"/>
    <w:rsid w:val="00FC3BF3"/>
    <w:rsid w:val="00FC60A9"/>
    <w:rsid w:val="00FC69F0"/>
    <w:rsid w:val="00FC6EED"/>
    <w:rsid w:val="00FD05BE"/>
    <w:rsid w:val="00FD0D45"/>
    <w:rsid w:val="00FD3586"/>
    <w:rsid w:val="00FD3FC8"/>
    <w:rsid w:val="00FE0F28"/>
    <w:rsid w:val="00FE24FA"/>
    <w:rsid w:val="00FE2797"/>
    <w:rsid w:val="00FE43C1"/>
    <w:rsid w:val="00FE4795"/>
    <w:rsid w:val="00FE4B74"/>
    <w:rsid w:val="00FE50E4"/>
    <w:rsid w:val="00FE5E1B"/>
    <w:rsid w:val="00FE68E9"/>
    <w:rsid w:val="00FF0617"/>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1669B"/>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uiPriority w:val="99"/>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 w:type="paragraph" w:customStyle="1" w:styleId="Call">
    <w:name w:val="Call"/>
    <w:basedOn w:val="Normal"/>
    <w:next w:val="Normal"/>
    <w:link w:val="CallChar"/>
    <w:rsid w:val="00A0367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A03675"/>
    <w:rPr>
      <w:i/>
      <w:sz w:val="22"/>
      <w:lang w:val="fr-FR"/>
    </w:rPr>
  </w:style>
  <w:style w:type="paragraph" w:customStyle="1" w:styleId="NormalFR">
    <w:name w:val="NormalFR"/>
    <w:basedOn w:val="Normal"/>
    <w:qFormat/>
    <w:rsid w:val="007E4C13"/>
    <w:pPr>
      <w:tabs>
        <w:tab w:val="left" w:pos="794"/>
        <w:tab w:val="left" w:pos="1191"/>
        <w:tab w:val="left" w:pos="1588"/>
        <w:tab w:val="left" w:pos="1985"/>
      </w:tabs>
      <w:jc w:val="both"/>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4</TotalTime>
  <Pages>5</Pages>
  <Words>1399</Words>
  <Characters>8242</Characters>
  <Application>Microsoft Office Word</Application>
  <DocSecurity>4</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Draft report TSAG Rapporteur Group “Strengthening Collaboration” meeting, 3 May 2017</vt:lpstr>
      <vt:lpstr>Draft report TSAG Rapporteur Group “Strengthening Collaboration” meeting, 3 May 2017</vt:lpstr>
    </vt:vector>
  </TitlesOfParts>
  <Manager>ITU-T</Manager>
  <Company>International Telecommunication Union (ITU)</Company>
  <LinksUpToDate>false</LinksUpToDate>
  <CharactersWithSpaces>9622</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3 May 2017</dc:title>
  <dc:subject/>
  <dc:creator>Rapporteur, TSAG Rapporteur Group “Strengthening Collaboration”</dc:creator>
  <cp:keywords>N/A</cp:keywords>
  <dc:description>TD 086  For: Geneva, 1-4 May 2017_x000d_Document date: _x000d_Saved by ITU51011769 at 09:23:19 on 04/05/2017</dc:description>
  <cp:lastModifiedBy>Al-Mnini, Lara</cp:lastModifiedBy>
  <cp:revision>2</cp:revision>
  <cp:lastPrinted>2019-09-24T16:44:00Z</cp:lastPrinted>
  <dcterms:created xsi:type="dcterms:W3CDTF">2020-02-09T20:42:00Z</dcterms:created>
  <dcterms:modified xsi:type="dcterms:W3CDTF">2020-02-09T20:42:00Z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_SourceUrl">
    <vt:lpwstr/>
  </property>
  <property fmtid="{D5CDD505-2E9C-101B-9397-08002B2CF9AE}" pid="9" name="Docnum">
    <vt:lpwstr>TD 086</vt:lpwstr>
  </property>
  <property fmtid="{D5CDD505-2E9C-101B-9397-08002B2CF9AE}" pid="10" name="Docdate">
    <vt:lpwstr/>
  </property>
  <property fmtid="{D5CDD505-2E9C-101B-9397-08002B2CF9AE}" pid="11" name="Docorlang">
    <vt:lpwstr/>
  </property>
  <property fmtid="{D5CDD505-2E9C-101B-9397-08002B2CF9AE}" pid="12" name="Docbluepink">
    <vt:lpwstr>N/A</vt:lpwstr>
  </property>
  <property fmtid="{D5CDD505-2E9C-101B-9397-08002B2CF9AE}" pid="13" name="Docdest">
    <vt:lpwstr>Geneva, 1-4 May 2017</vt:lpwstr>
  </property>
  <property fmtid="{D5CDD505-2E9C-101B-9397-08002B2CF9AE}" pid="14" name="Docauthor">
    <vt:lpwstr>Rapporteur, TSAG Rapporteur Group “Strengthening Collaboration”</vt:lpwstr>
  </property>
  <property fmtid="{D5CDD505-2E9C-101B-9397-08002B2CF9AE}" pid="15" name="_NewReviewCycle">
    <vt:lpwstr/>
  </property>
</Properties>
</file>