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347154" w:rsidRPr="00DB0B7D" w14:paraId="0A2B7B24" w14:textId="77777777" w:rsidTr="00F27B78">
        <w:trPr>
          <w:cantSplit/>
          <w:jc w:val="center"/>
        </w:trPr>
        <w:tc>
          <w:tcPr>
            <w:tcW w:w="1189" w:type="dxa"/>
            <w:vMerge w:val="restart"/>
          </w:tcPr>
          <w:p w14:paraId="3D718577" w14:textId="77777777" w:rsidR="00347154" w:rsidRPr="00DB0B7D" w:rsidRDefault="00347154" w:rsidP="00F27B78">
            <w:pPr>
              <w:spacing w:before="120" w:after="0" w:line="240" w:lineRule="auto"/>
              <w:rPr>
                <w:sz w:val="20"/>
                <w:lang w:eastAsia="ja-JP"/>
              </w:rPr>
            </w:pPr>
            <w:r w:rsidRPr="00DB0B7D">
              <w:rPr>
                <w:noProof/>
                <w:sz w:val="20"/>
                <w:lang w:eastAsia="en-GB"/>
              </w:rPr>
              <w:drawing>
                <wp:inline distT="0" distB="0" distL="0" distR="0" wp14:anchorId="4EEF84C4" wp14:editId="55C533C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471A0204" w14:textId="77777777" w:rsidR="00347154" w:rsidRPr="00DB0B7D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16"/>
                <w:szCs w:val="16"/>
                <w:lang w:eastAsia="ja-JP"/>
              </w:rPr>
            </w:pPr>
            <w:r w:rsidRPr="00DB0B7D">
              <w:rPr>
                <w:rFonts w:asciiTheme="majorBidi" w:hAnsiTheme="majorBidi" w:cstheme="majorBidi"/>
                <w:sz w:val="16"/>
                <w:szCs w:val="16"/>
                <w:lang w:eastAsia="ja-JP"/>
              </w:rPr>
              <w:t>INTERNATIONAL TELECOMMUNICATION UNION</w:t>
            </w:r>
          </w:p>
          <w:p w14:paraId="4BCC40D9" w14:textId="77777777" w:rsidR="00347154" w:rsidRPr="00DB0B7D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B0B7D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75E0A629" w14:textId="77777777" w:rsidR="00347154" w:rsidRPr="00DB0B7D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DB0B7D">
              <w:rPr>
                <w:rFonts w:asciiTheme="majorBidi" w:hAnsiTheme="majorBidi" w:cstheme="majorBidi"/>
                <w:sz w:val="20"/>
                <w:lang w:eastAsia="ja-JP"/>
              </w:rPr>
              <w:t xml:space="preserve">STUDY PERIOD </w:t>
            </w:r>
            <w:bookmarkStart w:id="0" w:name="dstudyperiod"/>
            <w:r w:rsidRPr="00DB0B7D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2" w:type="dxa"/>
            <w:vAlign w:val="center"/>
          </w:tcPr>
          <w:p w14:paraId="46537139" w14:textId="56DC43AB" w:rsidR="00347154" w:rsidRPr="00B97067" w:rsidRDefault="00347154" w:rsidP="00F27B78">
            <w:pPr>
              <w:spacing w:before="120" w:after="0" w:line="240" w:lineRule="auto"/>
              <w:jc w:val="right"/>
              <w:rPr>
                <w:rFonts w:asciiTheme="majorBidi" w:eastAsia="SimSun" w:hAnsiTheme="majorBidi" w:cstheme="majorBidi"/>
                <w:b/>
                <w:sz w:val="32"/>
                <w:szCs w:val="32"/>
              </w:rPr>
            </w:pPr>
            <w:r w:rsidRPr="00B97067"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TSAG-TD</w:t>
            </w:r>
            <w:r>
              <w:rPr>
                <w:rFonts w:asciiTheme="majorBidi" w:eastAsia="SimSun" w:hAnsiTheme="majorBidi" w:cstheme="majorBidi"/>
                <w:b/>
                <w:sz w:val="32"/>
                <w:szCs w:val="32"/>
              </w:rPr>
              <w:t>753</w:t>
            </w:r>
          </w:p>
        </w:tc>
      </w:tr>
      <w:tr w:rsidR="00347154" w:rsidRPr="00DB0B7D" w14:paraId="5067053A" w14:textId="77777777" w:rsidTr="00F27B78">
        <w:trPr>
          <w:cantSplit/>
          <w:jc w:val="center"/>
        </w:trPr>
        <w:tc>
          <w:tcPr>
            <w:tcW w:w="1189" w:type="dxa"/>
            <w:vMerge/>
          </w:tcPr>
          <w:p w14:paraId="411FC8FA" w14:textId="77777777" w:rsidR="00347154" w:rsidRPr="00DB0B7D" w:rsidRDefault="00347154" w:rsidP="00F27B78">
            <w:pPr>
              <w:spacing w:before="120" w:after="0" w:line="240" w:lineRule="auto"/>
              <w:rPr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</w:tcPr>
          <w:p w14:paraId="7B6E01CC" w14:textId="77777777" w:rsidR="00347154" w:rsidRPr="00DB0B7D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14:paraId="4647ED4A" w14:textId="77777777" w:rsidR="00347154" w:rsidRPr="00DB0B7D" w:rsidRDefault="00347154" w:rsidP="00F27B78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</w:pPr>
            <w:r w:rsidRPr="00DB0B7D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347154" w:rsidRPr="00DB0B7D" w14:paraId="174A3399" w14:textId="77777777" w:rsidTr="00F27B78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1B4057A4" w14:textId="77777777" w:rsidR="00347154" w:rsidRPr="00DB0B7D" w:rsidRDefault="00347154" w:rsidP="00F27B78">
            <w:pPr>
              <w:spacing w:before="120" w:after="0" w:line="240" w:lineRule="auto"/>
              <w:rPr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0E6EF2B1" w14:textId="77777777" w:rsidR="00347154" w:rsidRPr="00DB0B7D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5161280C" w14:textId="77777777" w:rsidR="00347154" w:rsidRPr="00DB0B7D" w:rsidRDefault="00347154" w:rsidP="00F27B78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</w:pPr>
            <w:r w:rsidRPr="00DB0B7D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347154" w:rsidRPr="00B97067" w14:paraId="01971DE8" w14:textId="77777777" w:rsidTr="00F27B78">
        <w:trPr>
          <w:cantSplit/>
          <w:jc w:val="center"/>
        </w:trPr>
        <w:tc>
          <w:tcPr>
            <w:tcW w:w="1615" w:type="dxa"/>
            <w:gridSpan w:val="3"/>
          </w:tcPr>
          <w:p w14:paraId="14AA22E4" w14:textId="77777777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6" w:type="dxa"/>
          </w:tcPr>
          <w:p w14:paraId="5E09420B" w14:textId="77777777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14:paraId="24378933" w14:textId="77777777" w:rsidR="00347154" w:rsidRPr="00B97067" w:rsidRDefault="00347154" w:rsidP="00F27B78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E20635">
              <w:rPr>
                <w:rFonts w:asciiTheme="majorBidi" w:hAnsiTheme="majorBidi" w:cstheme="majorBidi"/>
                <w:sz w:val="24"/>
                <w:szCs w:val="24"/>
              </w:rPr>
              <w:t xml:space="preserve">Geneva,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10-14 February </w:t>
            </w:r>
            <w:r w:rsidRPr="00E20635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347154" w:rsidRPr="00B97067" w14:paraId="79F00658" w14:textId="77777777" w:rsidTr="00F27B78">
        <w:trPr>
          <w:cantSplit/>
          <w:jc w:val="center"/>
        </w:trPr>
        <w:tc>
          <w:tcPr>
            <w:tcW w:w="9923" w:type="dxa"/>
            <w:gridSpan w:val="5"/>
          </w:tcPr>
          <w:p w14:paraId="1D62FF7C" w14:textId="77777777" w:rsidR="00347154" w:rsidRPr="00B97067" w:rsidRDefault="00347154" w:rsidP="00F27B78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1" w:name="ddoctype" w:colFirst="0" w:colLast="0"/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1"/>
      <w:tr w:rsidR="00347154" w:rsidRPr="00B97067" w14:paraId="4B419BF6" w14:textId="77777777" w:rsidTr="00F27B78">
        <w:trPr>
          <w:cantSplit/>
          <w:jc w:val="center"/>
        </w:trPr>
        <w:tc>
          <w:tcPr>
            <w:tcW w:w="1615" w:type="dxa"/>
            <w:gridSpan w:val="3"/>
          </w:tcPr>
          <w:p w14:paraId="0830628F" w14:textId="77777777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8" w:type="dxa"/>
            <w:gridSpan w:val="2"/>
          </w:tcPr>
          <w:p w14:paraId="4341B821" w14:textId="45746EAD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TSB </w:t>
            </w:r>
          </w:p>
        </w:tc>
      </w:tr>
      <w:tr w:rsidR="00347154" w:rsidRPr="00B97067" w14:paraId="33E22974" w14:textId="77777777" w:rsidTr="00F27B78">
        <w:trPr>
          <w:cantSplit/>
          <w:jc w:val="center"/>
        </w:trPr>
        <w:tc>
          <w:tcPr>
            <w:tcW w:w="1615" w:type="dxa"/>
            <w:gridSpan w:val="3"/>
          </w:tcPr>
          <w:p w14:paraId="2F08FB45" w14:textId="77777777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8" w:type="dxa"/>
            <w:gridSpan w:val="2"/>
          </w:tcPr>
          <w:p w14:paraId="069C43D0" w14:textId="0D5BB07F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Announcement to be read by Chairmen for best practice of remote participation and interpretation</w:t>
            </w:r>
          </w:p>
        </w:tc>
      </w:tr>
      <w:tr w:rsidR="00347154" w:rsidRPr="00B97067" w14:paraId="6BF977BA" w14:textId="77777777" w:rsidTr="00F27B78">
        <w:trPr>
          <w:cantSplit/>
          <w:jc w:val="center"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14:paraId="065D0509" w14:textId="77777777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2" w:name="dpurpose" w:colFirst="1" w:colLast="1"/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14:paraId="3996DF18" w14:textId="77777777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</w:t>
            </w:r>
          </w:p>
        </w:tc>
      </w:tr>
      <w:bookmarkEnd w:id="2"/>
      <w:tr w:rsidR="00347154" w:rsidRPr="00D03CEB" w14:paraId="3528A109" w14:textId="77777777" w:rsidTr="00F27B78">
        <w:trPr>
          <w:cantSplit/>
          <w:jc w:val="center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C731CDF" w14:textId="77777777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7276C0E" w14:textId="5561A3C0" w:rsidR="00347154" w:rsidRPr="00A1342E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8" w:space="0" w:color="auto"/>
            </w:tcBorders>
          </w:tcPr>
          <w:p w14:paraId="4E693525" w14:textId="360B8245" w:rsidR="00347154" w:rsidRPr="00A1342E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1342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E-mail: </w:t>
            </w:r>
            <w:bookmarkStart w:id="3" w:name="_GoBack"/>
            <w:bookmarkEnd w:id="3"/>
            <w:r w:rsidR="00AD387C">
              <w:rPr>
                <w:rFonts w:asciiTheme="majorBidi" w:hAnsiTheme="majorBidi" w:cstheme="majorBidi"/>
                <w:sz w:val="24"/>
                <w:szCs w:val="24"/>
                <w:lang w:val="fr-FR"/>
              </w:rPr>
              <w:fldChar w:fldCharType="begin"/>
            </w:r>
            <w:r w:rsidR="00AD387C">
              <w:rPr>
                <w:rFonts w:asciiTheme="majorBidi" w:hAnsiTheme="majorBidi" w:cstheme="majorBidi"/>
                <w:sz w:val="24"/>
                <w:szCs w:val="24"/>
                <w:lang w:val="fr-FR"/>
              </w:rPr>
              <w:instrText xml:space="preserve"> HYPERLINK "mailto:</w:instrText>
            </w:r>
            <w:r w:rsidR="00AD387C" w:rsidRPr="00AD387C">
              <w:rPr>
                <w:rFonts w:asciiTheme="majorBidi" w:hAnsiTheme="majorBidi" w:cstheme="majorBidi"/>
                <w:sz w:val="24"/>
                <w:szCs w:val="24"/>
                <w:lang w:val="fr-FR"/>
              </w:rPr>
              <w:instrText>tsbtsag@itu.int</w:instrText>
            </w:r>
            <w:r w:rsidR="00AD387C">
              <w:rPr>
                <w:rFonts w:asciiTheme="majorBidi" w:hAnsiTheme="majorBidi" w:cstheme="majorBidi"/>
                <w:sz w:val="24"/>
                <w:szCs w:val="24"/>
                <w:lang w:val="fr-FR"/>
              </w:rPr>
              <w:instrText xml:space="preserve">" </w:instrText>
            </w:r>
            <w:r w:rsidR="00AD387C">
              <w:rPr>
                <w:rFonts w:asciiTheme="majorBidi" w:hAnsiTheme="majorBidi" w:cstheme="majorBidi"/>
                <w:sz w:val="24"/>
                <w:szCs w:val="24"/>
                <w:lang w:val="fr-FR"/>
              </w:rPr>
              <w:fldChar w:fldCharType="separate"/>
            </w:r>
            <w:r w:rsidR="00AD387C" w:rsidRPr="005E11E0">
              <w:rPr>
                <w:rStyle w:val="Hyperlink"/>
                <w:rFonts w:asciiTheme="majorBidi" w:hAnsiTheme="majorBidi" w:cstheme="majorBidi"/>
                <w:sz w:val="24"/>
                <w:szCs w:val="24"/>
                <w:lang w:val="fr-FR"/>
              </w:rPr>
              <w:t>tsbtsag@itu.int</w:t>
            </w:r>
            <w:r w:rsidR="00AD387C">
              <w:rPr>
                <w:rFonts w:asciiTheme="majorBidi" w:hAnsiTheme="majorBidi" w:cstheme="majorBidi"/>
                <w:sz w:val="24"/>
                <w:szCs w:val="24"/>
                <w:lang w:val="fr-FR"/>
              </w:rPr>
              <w:fldChar w:fldCharType="end"/>
            </w:r>
          </w:p>
        </w:tc>
      </w:tr>
    </w:tbl>
    <w:p w14:paraId="72B6B2E1" w14:textId="77777777" w:rsidR="00347154" w:rsidRPr="00A1342E" w:rsidRDefault="00347154" w:rsidP="00347154">
      <w:pPr>
        <w:rPr>
          <w:sz w:val="24"/>
          <w:szCs w:val="24"/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347154" w:rsidRPr="001679FB" w14:paraId="3E730385" w14:textId="77777777" w:rsidTr="00F27B78">
        <w:trPr>
          <w:cantSplit/>
          <w:jc w:val="center"/>
        </w:trPr>
        <w:tc>
          <w:tcPr>
            <w:tcW w:w="1615" w:type="dxa"/>
          </w:tcPr>
          <w:p w14:paraId="65F94F0F" w14:textId="77777777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8" w:type="dxa"/>
          </w:tcPr>
          <w:p w14:paraId="285ACCE4" w14:textId="1E18BBC0" w:rsidR="00347154" w:rsidRPr="00A1342E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Remote participation;</w:t>
            </w:r>
            <w:r w:rsidRPr="00A1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interpretation;</w:t>
            </w:r>
            <w:r w:rsidRPr="00A13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new tool; </w:t>
            </w:r>
            <w:r w:rsidR="00D03C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nterprefy;</w:t>
            </w:r>
          </w:p>
        </w:tc>
      </w:tr>
      <w:tr w:rsidR="00347154" w:rsidRPr="00B97067" w14:paraId="6DED9810" w14:textId="77777777" w:rsidTr="00F27B78">
        <w:trPr>
          <w:cantSplit/>
          <w:jc w:val="center"/>
        </w:trPr>
        <w:tc>
          <w:tcPr>
            <w:tcW w:w="1615" w:type="dxa"/>
          </w:tcPr>
          <w:p w14:paraId="5D5AE419" w14:textId="77777777" w:rsidR="00347154" w:rsidRPr="00B97067" w:rsidRDefault="00347154" w:rsidP="00F27B78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B970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8" w:type="dxa"/>
          </w:tcPr>
          <w:p w14:paraId="02ED8AAC" w14:textId="5206B16A" w:rsidR="00347154" w:rsidRPr="00946246" w:rsidRDefault="00347154" w:rsidP="00F27B7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067">
              <w:rPr>
                <w:rFonts w:asciiTheme="majorBidi" w:hAnsiTheme="majorBidi" w:cstheme="majorBidi"/>
                <w:sz w:val="24"/>
                <w:szCs w:val="24"/>
              </w:rPr>
              <w:t xml:space="preserve">This TD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reports the announcement to be read </w:t>
            </w:r>
            <w:r w:rsidR="00D03CEB">
              <w:rPr>
                <w:rFonts w:asciiTheme="majorBidi" w:hAnsiTheme="majorBidi" w:cstheme="majorBidi"/>
                <w:sz w:val="24"/>
                <w:szCs w:val="24"/>
              </w:rPr>
              <w:t xml:space="preserve">by Chairmen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at the beginning of sessions for best practice for optimum remote participation and interpretation.</w:t>
            </w:r>
          </w:p>
        </w:tc>
      </w:tr>
    </w:tbl>
    <w:p w14:paraId="5D7A0464" w14:textId="2D076405" w:rsidR="00347154" w:rsidRDefault="00347154" w:rsidP="001C0A44">
      <w:pPr>
        <w:pStyle w:val="Default"/>
      </w:pPr>
    </w:p>
    <w:p w14:paraId="0F94D8AE" w14:textId="77777777" w:rsidR="00347154" w:rsidRDefault="00347154" w:rsidP="001C0A44">
      <w:pPr>
        <w:pStyle w:val="Default"/>
      </w:pPr>
    </w:p>
    <w:p w14:paraId="406BA4F8" w14:textId="77777777" w:rsidR="001C0A44" w:rsidRDefault="001C0A44" w:rsidP="001C0A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NOTE TO BE READ BY THE CHAIRPERSON AT THE START OF THE MEETING</w:t>
      </w:r>
    </w:p>
    <w:p w14:paraId="7CA497B4" w14:textId="77777777" w:rsidR="001C0A44" w:rsidRDefault="001C0A44" w:rsidP="001C0A44">
      <w:pPr>
        <w:pStyle w:val="Default"/>
        <w:rPr>
          <w:sz w:val="28"/>
          <w:szCs w:val="28"/>
        </w:rPr>
      </w:pPr>
    </w:p>
    <w:p w14:paraId="515CDDE2" w14:textId="77777777" w:rsidR="001C0A44" w:rsidRDefault="001C0A44" w:rsidP="001C0A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making an intervention remotely, please remember that your remarks </w:t>
      </w:r>
      <w:r w:rsidR="00271616">
        <w:rPr>
          <w:sz w:val="28"/>
          <w:szCs w:val="28"/>
        </w:rPr>
        <w:t xml:space="preserve">are captioned and </w:t>
      </w:r>
      <w:r>
        <w:rPr>
          <w:sz w:val="28"/>
          <w:szCs w:val="28"/>
        </w:rPr>
        <w:t xml:space="preserve">are being interpreted into five languages. </w:t>
      </w:r>
    </w:p>
    <w:p w14:paraId="1A9D5415" w14:textId="77777777" w:rsidR="000701C9" w:rsidRDefault="000701C9" w:rsidP="001C0A44">
      <w:pPr>
        <w:pStyle w:val="Default"/>
        <w:rPr>
          <w:sz w:val="28"/>
          <w:szCs w:val="28"/>
        </w:rPr>
      </w:pPr>
    </w:p>
    <w:p w14:paraId="05FA9F4C" w14:textId="55EAAE7B" w:rsidR="000701C9" w:rsidRPr="000701C9" w:rsidRDefault="000701C9" w:rsidP="001C0A4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Please note that ITU is using a new </w:t>
      </w:r>
      <w:r w:rsidRPr="000701C9">
        <w:rPr>
          <w:sz w:val="28"/>
          <w:szCs w:val="28"/>
        </w:rPr>
        <w:t xml:space="preserve">remote participation application </w:t>
      </w:r>
      <w:r>
        <w:rPr>
          <w:sz w:val="28"/>
          <w:szCs w:val="28"/>
        </w:rPr>
        <w:t xml:space="preserve">called </w:t>
      </w:r>
      <w:r w:rsidRPr="000701C9">
        <w:rPr>
          <w:sz w:val="28"/>
          <w:szCs w:val="28"/>
        </w:rPr>
        <w:t>“Interprefy”</w:t>
      </w:r>
      <w:r>
        <w:rPr>
          <w:sz w:val="28"/>
          <w:szCs w:val="28"/>
        </w:rPr>
        <w:t xml:space="preserve">. It has been </w:t>
      </w:r>
      <w:r w:rsidRPr="000701C9">
        <w:rPr>
          <w:sz w:val="28"/>
          <w:szCs w:val="28"/>
        </w:rPr>
        <w:t xml:space="preserve">introduced as a replacement of Adobe Connect. We will be using it </w:t>
      </w:r>
      <w:r>
        <w:rPr>
          <w:sz w:val="28"/>
          <w:szCs w:val="28"/>
        </w:rPr>
        <w:t xml:space="preserve">this week </w:t>
      </w:r>
      <w:r w:rsidRPr="000701C9">
        <w:rPr>
          <w:sz w:val="28"/>
          <w:szCs w:val="28"/>
        </w:rPr>
        <w:t xml:space="preserve">to provide remote participation throughout the </w:t>
      </w:r>
      <w:r>
        <w:rPr>
          <w:sz w:val="28"/>
          <w:szCs w:val="28"/>
        </w:rPr>
        <w:t xml:space="preserve">TSAG </w:t>
      </w:r>
      <w:r w:rsidRPr="000701C9">
        <w:rPr>
          <w:sz w:val="28"/>
          <w:szCs w:val="28"/>
        </w:rPr>
        <w:t xml:space="preserve">meeting in </w:t>
      </w:r>
      <w:r>
        <w:rPr>
          <w:sz w:val="28"/>
          <w:szCs w:val="28"/>
        </w:rPr>
        <w:t xml:space="preserve">meeting </w:t>
      </w:r>
      <w:r w:rsidRPr="000701C9">
        <w:rPr>
          <w:sz w:val="28"/>
          <w:szCs w:val="28"/>
        </w:rPr>
        <w:t>room Popov.</w:t>
      </w:r>
    </w:p>
    <w:p w14:paraId="62EB1290" w14:textId="77777777" w:rsidR="000701C9" w:rsidRDefault="000701C9" w:rsidP="001C0A44">
      <w:pPr>
        <w:pStyle w:val="Default"/>
        <w:rPr>
          <w:sz w:val="28"/>
          <w:szCs w:val="28"/>
        </w:rPr>
      </w:pPr>
    </w:p>
    <w:p w14:paraId="72B90CED" w14:textId="7ABDEAF1" w:rsidR="001C0A44" w:rsidRDefault="001C0A44" w:rsidP="001C0A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is also important to keep the following points in mind: </w:t>
      </w:r>
    </w:p>
    <w:p w14:paraId="63ED2D1C" w14:textId="77777777" w:rsidR="000701C9" w:rsidRDefault="000701C9" w:rsidP="001C0A44">
      <w:pPr>
        <w:pStyle w:val="Default"/>
        <w:rPr>
          <w:sz w:val="28"/>
          <w:szCs w:val="28"/>
        </w:rPr>
      </w:pPr>
    </w:p>
    <w:p w14:paraId="4031DA88" w14:textId="77777777" w:rsidR="001C0A44" w:rsidRDefault="001C0A44" w:rsidP="00FB63FC">
      <w:pPr>
        <w:pStyle w:val="Default"/>
        <w:numPr>
          <w:ilvl w:val="0"/>
          <w:numId w:val="1"/>
        </w:numPr>
        <w:spacing w:after="246"/>
        <w:rPr>
          <w:sz w:val="28"/>
          <w:szCs w:val="28"/>
        </w:rPr>
      </w:pPr>
      <w:r>
        <w:rPr>
          <w:sz w:val="28"/>
          <w:szCs w:val="28"/>
        </w:rPr>
        <w:t xml:space="preserve">Audio quality deemed satisfactory by a delegate may be insufficient for interpretation </w:t>
      </w:r>
      <w:r w:rsidR="00FB63FC">
        <w:rPr>
          <w:sz w:val="28"/>
          <w:szCs w:val="28"/>
        </w:rPr>
        <w:t xml:space="preserve">or captioning </w:t>
      </w:r>
      <w:r>
        <w:rPr>
          <w:sz w:val="28"/>
          <w:szCs w:val="28"/>
        </w:rPr>
        <w:t xml:space="preserve">purposes. </w:t>
      </w:r>
    </w:p>
    <w:p w14:paraId="539965C0" w14:textId="663FCC14" w:rsidR="001C0A44" w:rsidRDefault="001C0A44" w:rsidP="00FB63FC">
      <w:pPr>
        <w:pStyle w:val="Default"/>
        <w:numPr>
          <w:ilvl w:val="0"/>
          <w:numId w:val="1"/>
        </w:numPr>
        <w:spacing w:after="246"/>
        <w:rPr>
          <w:sz w:val="28"/>
          <w:szCs w:val="28"/>
        </w:rPr>
      </w:pPr>
      <w:r>
        <w:rPr>
          <w:sz w:val="28"/>
          <w:szCs w:val="28"/>
        </w:rPr>
        <w:t>For interpreters</w:t>
      </w:r>
      <w:r w:rsidR="00FB63FC">
        <w:rPr>
          <w:sz w:val="28"/>
          <w:szCs w:val="28"/>
        </w:rPr>
        <w:t xml:space="preserve"> and captioners</w:t>
      </w:r>
      <w:r>
        <w:rPr>
          <w:sz w:val="28"/>
          <w:szCs w:val="28"/>
        </w:rPr>
        <w:t xml:space="preserve">, the audio quality has to be near-perfect. </w:t>
      </w:r>
      <w:r w:rsidR="00A10530">
        <w:rPr>
          <w:sz w:val="28"/>
          <w:szCs w:val="28"/>
        </w:rPr>
        <w:t>Remote delegates are reminded to speak clearly, loudly and slowly; any background noise should be avoided.</w:t>
      </w:r>
      <w:r w:rsidR="008A11E2">
        <w:rPr>
          <w:sz w:val="28"/>
          <w:szCs w:val="28"/>
        </w:rPr>
        <w:t xml:space="preserve"> </w:t>
      </w:r>
      <w:r w:rsidR="008A11E2" w:rsidRPr="008A11E2">
        <w:rPr>
          <w:sz w:val="28"/>
          <w:szCs w:val="28"/>
        </w:rPr>
        <w:t xml:space="preserve">Remote participants are asked to mute their microphones until they wish to </w:t>
      </w:r>
      <w:r w:rsidR="001D3287">
        <w:rPr>
          <w:sz w:val="28"/>
          <w:szCs w:val="28"/>
        </w:rPr>
        <w:t>intervene</w:t>
      </w:r>
      <w:r w:rsidR="008A11E2" w:rsidRPr="008A11E2">
        <w:rPr>
          <w:sz w:val="28"/>
          <w:szCs w:val="28"/>
        </w:rPr>
        <w:t>.</w:t>
      </w:r>
    </w:p>
    <w:p w14:paraId="3EE1687E" w14:textId="77777777" w:rsidR="001C0A44" w:rsidRDefault="001C0A44" w:rsidP="00FB63FC">
      <w:pPr>
        <w:pStyle w:val="Default"/>
        <w:numPr>
          <w:ilvl w:val="0"/>
          <w:numId w:val="1"/>
        </w:numPr>
        <w:spacing w:after="24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Audio quality may deteriorate without prior notice, eventually hindering an interpreter’s </w:t>
      </w:r>
      <w:r w:rsidR="00FB63FC">
        <w:rPr>
          <w:sz w:val="28"/>
          <w:szCs w:val="28"/>
        </w:rPr>
        <w:t xml:space="preserve">or captioner’s </w:t>
      </w:r>
      <w:r>
        <w:rPr>
          <w:sz w:val="28"/>
          <w:szCs w:val="28"/>
        </w:rPr>
        <w:t xml:space="preserve">ability to provide a smooth rendering. </w:t>
      </w:r>
    </w:p>
    <w:p w14:paraId="68727945" w14:textId="77777777" w:rsidR="001C0A44" w:rsidRDefault="001C0A44" w:rsidP="00FB63FC">
      <w:pPr>
        <w:pStyle w:val="Default"/>
        <w:numPr>
          <w:ilvl w:val="0"/>
          <w:numId w:val="1"/>
        </w:numPr>
        <w:spacing w:after="246"/>
        <w:rPr>
          <w:sz w:val="28"/>
          <w:szCs w:val="28"/>
        </w:rPr>
      </w:pPr>
      <w:r>
        <w:rPr>
          <w:sz w:val="28"/>
          <w:szCs w:val="28"/>
        </w:rPr>
        <w:t xml:space="preserve">In extreme cases, despite their training and experience, our interpreters </w:t>
      </w:r>
      <w:r w:rsidR="00FB63FC">
        <w:rPr>
          <w:sz w:val="28"/>
          <w:szCs w:val="28"/>
        </w:rPr>
        <w:t xml:space="preserve">or captioners </w:t>
      </w:r>
      <w:r>
        <w:rPr>
          <w:sz w:val="28"/>
          <w:szCs w:val="28"/>
        </w:rPr>
        <w:t xml:space="preserve">may have to refrain from interpreting </w:t>
      </w:r>
      <w:r w:rsidR="00FB63FC">
        <w:rPr>
          <w:sz w:val="28"/>
          <w:szCs w:val="28"/>
        </w:rPr>
        <w:t xml:space="preserve">or captioning </w:t>
      </w:r>
      <w:r>
        <w:rPr>
          <w:sz w:val="28"/>
          <w:szCs w:val="28"/>
        </w:rPr>
        <w:t xml:space="preserve">altogether. </w:t>
      </w:r>
    </w:p>
    <w:p w14:paraId="0AA3418F" w14:textId="24A09AED" w:rsidR="007A26F1" w:rsidRPr="007A26F1" w:rsidRDefault="007A26F1" w:rsidP="007A26F1">
      <w:pPr>
        <w:pStyle w:val="Default"/>
        <w:numPr>
          <w:ilvl w:val="0"/>
          <w:numId w:val="1"/>
        </w:numPr>
        <w:spacing w:after="246"/>
        <w:rPr>
          <w:sz w:val="28"/>
          <w:szCs w:val="28"/>
        </w:rPr>
      </w:pPr>
      <w:r w:rsidRPr="007A26F1">
        <w:rPr>
          <w:sz w:val="28"/>
          <w:szCs w:val="28"/>
        </w:rPr>
        <w:t>T</w:t>
      </w:r>
      <w:r w:rsidRPr="00F77DE8">
        <w:rPr>
          <w:sz w:val="28"/>
          <w:szCs w:val="28"/>
        </w:rPr>
        <w:t xml:space="preserve">he chairman or the remote participation moderator is permitted to mute remote participants with bad connections or </w:t>
      </w:r>
      <w:r w:rsidRPr="007A26F1">
        <w:rPr>
          <w:sz w:val="28"/>
          <w:szCs w:val="28"/>
        </w:rPr>
        <w:t xml:space="preserve">whose connections introduce too much </w:t>
      </w:r>
      <w:r w:rsidR="00347154" w:rsidRPr="007A26F1">
        <w:rPr>
          <w:sz w:val="28"/>
          <w:szCs w:val="28"/>
        </w:rPr>
        <w:t>noise or</w:t>
      </w:r>
      <w:r w:rsidRPr="007A26F1">
        <w:rPr>
          <w:sz w:val="28"/>
          <w:szCs w:val="28"/>
        </w:rPr>
        <w:t xml:space="preserve"> may ask them to leave the meeting if the situation cannot be remedied.</w:t>
      </w:r>
    </w:p>
    <w:p w14:paraId="3416B73C" w14:textId="1F3E568B" w:rsidR="008A11E2" w:rsidRDefault="00D2234B" w:rsidP="008A11E2">
      <w:pPr>
        <w:pStyle w:val="Default"/>
        <w:numPr>
          <w:ilvl w:val="0"/>
          <w:numId w:val="1"/>
        </w:numPr>
        <w:spacing w:after="246"/>
        <w:rPr>
          <w:sz w:val="28"/>
          <w:szCs w:val="28"/>
        </w:rPr>
      </w:pPr>
      <w:r>
        <w:rPr>
          <w:sz w:val="28"/>
          <w:szCs w:val="28"/>
        </w:rPr>
        <w:t xml:space="preserve">A remote delegate wishing to make an intervention, should first request the floor. </w:t>
      </w:r>
      <w:r w:rsidR="008A11E2" w:rsidRPr="008A11E2">
        <w:rPr>
          <w:sz w:val="28"/>
          <w:szCs w:val="28"/>
        </w:rPr>
        <w:t xml:space="preserve">The remote participation assistant would then inform the meeting that a remote participant </w:t>
      </w:r>
      <w:r w:rsidR="00714DF2">
        <w:rPr>
          <w:sz w:val="28"/>
          <w:szCs w:val="28"/>
        </w:rPr>
        <w:t>would like to</w:t>
      </w:r>
      <w:r w:rsidR="008A11E2" w:rsidRPr="008A11E2">
        <w:rPr>
          <w:sz w:val="28"/>
          <w:szCs w:val="28"/>
        </w:rPr>
        <w:t xml:space="preserve"> </w:t>
      </w:r>
      <w:r w:rsidR="00347154" w:rsidRPr="008A11E2">
        <w:rPr>
          <w:sz w:val="28"/>
          <w:szCs w:val="28"/>
        </w:rPr>
        <w:t>intervene,</w:t>
      </w:r>
      <w:r w:rsidR="008A11E2" w:rsidRPr="008A11E2">
        <w:rPr>
          <w:sz w:val="28"/>
          <w:szCs w:val="28"/>
        </w:rPr>
        <w:t xml:space="preserve"> and the chairman would include the remote participant in the queue of meeting participants who want to </w:t>
      </w:r>
      <w:r w:rsidR="00714DF2">
        <w:rPr>
          <w:sz w:val="28"/>
          <w:szCs w:val="28"/>
        </w:rPr>
        <w:t>take the floor</w:t>
      </w:r>
      <w:r w:rsidR="008A11E2" w:rsidRPr="008A11E2">
        <w:rPr>
          <w:sz w:val="28"/>
          <w:szCs w:val="28"/>
        </w:rPr>
        <w:t>.</w:t>
      </w:r>
      <w:r w:rsidR="00535320">
        <w:rPr>
          <w:sz w:val="28"/>
          <w:szCs w:val="28"/>
        </w:rPr>
        <w:t xml:space="preserve"> </w:t>
      </w:r>
    </w:p>
    <w:p w14:paraId="668039AF" w14:textId="0F3F934E" w:rsidR="00535320" w:rsidRPr="00535320" w:rsidRDefault="00535320" w:rsidP="0053532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535320">
        <w:rPr>
          <w:rFonts w:ascii="Arial" w:hAnsi="Arial" w:cs="Arial"/>
          <w:color w:val="000000"/>
          <w:sz w:val="28"/>
          <w:szCs w:val="28"/>
        </w:rPr>
        <w:t xml:space="preserve">All remote participants </w:t>
      </w:r>
      <w:r w:rsidR="00714DF2">
        <w:rPr>
          <w:rFonts w:ascii="Arial" w:hAnsi="Arial" w:cs="Arial"/>
          <w:color w:val="000000"/>
          <w:sz w:val="28"/>
          <w:szCs w:val="28"/>
        </w:rPr>
        <w:t xml:space="preserve">should </w:t>
      </w:r>
      <w:r w:rsidRPr="00535320">
        <w:rPr>
          <w:rFonts w:ascii="Arial" w:hAnsi="Arial" w:cs="Arial"/>
          <w:color w:val="000000"/>
          <w:sz w:val="28"/>
          <w:szCs w:val="28"/>
        </w:rPr>
        <w:t>introduce themselves by mentioning their name and affiliation.</w:t>
      </w:r>
    </w:p>
    <w:p w14:paraId="6031D3F3" w14:textId="77777777" w:rsidR="001C0A44" w:rsidRPr="0091291E" w:rsidRDefault="001C0A44" w:rsidP="00FB63FC">
      <w:pPr>
        <w:pStyle w:val="Default"/>
        <w:numPr>
          <w:ilvl w:val="0"/>
          <w:numId w:val="1"/>
        </w:numPr>
        <w:spacing w:after="246"/>
        <w:rPr>
          <w:sz w:val="28"/>
          <w:szCs w:val="28"/>
        </w:rPr>
      </w:pPr>
      <w:r>
        <w:rPr>
          <w:sz w:val="28"/>
          <w:szCs w:val="28"/>
        </w:rPr>
        <w:t xml:space="preserve">A remote delegate may on occasion be asked to repeat a statement and may have his statement paraphrased by an official </w:t>
      </w:r>
      <w:r w:rsidRPr="0091291E">
        <w:rPr>
          <w:sz w:val="28"/>
          <w:szCs w:val="28"/>
        </w:rPr>
        <w:t xml:space="preserve">in the room. </w:t>
      </w:r>
    </w:p>
    <w:p w14:paraId="729D0843" w14:textId="388DB6EE" w:rsidR="00F77DE8" w:rsidRPr="0091291E" w:rsidRDefault="00F77DE8" w:rsidP="00F77DE8">
      <w:pPr>
        <w:pStyle w:val="ListParagraph"/>
        <w:keepNext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91291E">
        <w:rPr>
          <w:rFonts w:ascii="Arial" w:hAnsi="Arial" w:cs="Arial"/>
          <w:color w:val="000000"/>
          <w:sz w:val="28"/>
          <w:szCs w:val="28"/>
        </w:rPr>
        <w:t xml:space="preserve">Remote participants are encouraged to use a headset (and not the microphone and speaker of their machine). Remote participants should make sure that </w:t>
      </w:r>
      <w:r w:rsidR="00E81D81" w:rsidRPr="0091291E">
        <w:rPr>
          <w:rFonts w:ascii="Arial" w:hAnsi="Arial" w:cs="Arial"/>
          <w:color w:val="000000"/>
          <w:sz w:val="28"/>
          <w:szCs w:val="28"/>
        </w:rPr>
        <w:t>they are muted when not having the floor</w:t>
      </w:r>
      <w:r w:rsidRPr="0091291E">
        <w:rPr>
          <w:rFonts w:ascii="Arial" w:hAnsi="Arial" w:cs="Arial"/>
          <w:color w:val="000000"/>
          <w:sz w:val="28"/>
          <w:szCs w:val="28"/>
        </w:rPr>
        <w:t>.</w:t>
      </w:r>
    </w:p>
    <w:p w14:paraId="3EFF34F9" w14:textId="77777777" w:rsidR="001C0A44" w:rsidRDefault="001C0A44" w:rsidP="001C0A44">
      <w:pPr>
        <w:pStyle w:val="Default"/>
        <w:rPr>
          <w:sz w:val="28"/>
          <w:szCs w:val="28"/>
        </w:rPr>
      </w:pPr>
    </w:p>
    <w:p w14:paraId="5FA001EE" w14:textId="77777777" w:rsidR="001C0A44" w:rsidRDefault="001C0A44" w:rsidP="001C0A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Thank you very much for your cooperation. This concludes this announcement. </w:t>
      </w:r>
    </w:p>
    <w:p w14:paraId="33A18D64" w14:textId="7E73ACD6" w:rsidR="00E92EE9" w:rsidRDefault="00E92EE9" w:rsidP="001C0A44">
      <w:pPr>
        <w:rPr>
          <w:sz w:val="28"/>
          <w:szCs w:val="28"/>
        </w:rPr>
      </w:pPr>
    </w:p>
    <w:p w14:paraId="36BA77B1" w14:textId="18DA8194" w:rsidR="0098422A" w:rsidRDefault="0098422A" w:rsidP="009842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98422A" w:rsidSect="0098422A">
      <w:headerReference w:type="default" r:id="rId8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05EF0" w14:textId="77777777" w:rsidR="0098422A" w:rsidRDefault="0098422A" w:rsidP="0098422A">
      <w:pPr>
        <w:spacing w:after="0" w:line="240" w:lineRule="auto"/>
      </w:pPr>
      <w:r>
        <w:separator/>
      </w:r>
    </w:p>
  </w:endnote>
  <w:endnote w:type="continuationSeparator" w:id="0">
    <w:p w14:paraId="4B2458A3" w14:textId="77777777" w:rsidR="0098422A" w:rsidRDefault="0098422A" w:rsidP="0098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FC54D" w14:textId="77777777" w:rsidR="0098422A" w:rsidRDefault="0098422A" w:rsidP="0098422A">
      <w:pPr>
        <w:spacing w:after="0" w:line="240" w:lineRule="auto"/>
      </w:pPr>
      <w:r>
        <w:separator/>
      </w:r>
    </w:p>
  </w:footnote>
  <w:footnote w:type="continuationSeparator" w:id="0">
    <w:p w14:paraId="57BBB68C" w14:textId="77777777" w:rsidR="0098422A" w:rsidRDefault="0098422A" w:rsidP="0098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35244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9FC8B9" w14:textId="3B1E675A" w:rsidR="0098422A" w:rsidRDefault="0098422A">
        <w:pPr>
          <w:pStyle w:val="Header"/>
          <w:jc w:val="center"/>
        </w:pPr>
        <w:r w:rsidRPr="0098422A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98422A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98422A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Pr="0098422A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98422A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Pr="0098422A">
          <w:rPr>
            <w:rFonts w:asciiTheme="majorBidi" w:hAnsiTheme="majorBidi" w:cstheme="majorBidi"/>
            <w:noProof/>
            <w:sz w:val="18"/>
            <w:szCs w:val="18"/>
          </w:rPr>
          <w:br/>
          <w:t>TSAG-TD753</w:t>
        </w:r>
      </w:p>
    </w:sdtContent>
  </w:sdt>
  <w:p w14:paraId="5A542223" w14:textId="77777777" w:rsidR="0098422A" w:rsidRDefault="00984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F1542"/>
    <w:multiLevelType w:val="hybridMultilevel"/>
    <w:tmpl w:val="8912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44"/>
    <w:rsid w:val="000701C9"/>
    <w:rsid w:val="001C0A44"/>
    <w:rsid w:val="001D3287"/>
    <w:rsid w:val="00271616"/>
    <w:rsid w:val="00347154"/>
    <w:rsid w:val="003E2D21"/>
    <w:rsid w:val="00535320"/>
    <w:rsid w:val="006F216C"/>
    <w:rsid w:val="00714DF2"/>
    <w:rsid w:val="007A26F1"/>
    <w:rsid w:val="008A11E2"/>
    <w:rsid w:val="0091291E"/>
    <w:rsid w:val="0098422A"/>
    <w:rsid w:val="009E6715"/>
    <w:rsid w:val="00A10530"/>
    <w:rsid w:val="00AD387C"/>
    <w:rsid w:val="00BF58B2"/>
    <w:rsid w:val="00D03CEB"/>
    <w:rsid w:val="00D2234B"/>
    <w:rsid w:val="00E81D81"/>
    <w:rsid w:val="00E92EE9"/>
    <w:rsid w:val="00F77DE8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ED31A0"/>
  <w15:chartTrackingRefBased/>
  <w15:docId w15:val="{C554460C-0F50-458C-A0F4-9F8CF3ED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0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320"/>
    <w:pPr>
      <w:ind w:left="720"/>
      <w:contextualSpacing/>
    </w:p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3471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1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22A"/>
  </w:style>
  <w:style w:type="paragraph" w:styleId="Footer">
    <w:name w:val="footer"/>
    <w:basedOn w:val="Normal"/>
    <w:link w:val="FooterChar"/>
    <w:uiPriority w:val="99"/>
    <w:unhideWhenUsed/>
    <w:rsid w:val="0098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Euchner, Martin</dc:creator>
  <cp:keywords/>
  <dc:description/>
  <cp:lastModifiedBy>Al-Mnini, Lara</cp:lastModifiedBy>
  <cp:revision>7</cp:revision>
  <dcterms:created xsi:type="dcterms:W3CDTF">2020-02-10T08:49:00Z</dcterms:created>
  <dcterms:modified xsi:type="dcterms:W3CDTF">2020-02-10T09:09:00Z</dcterms:modified>
</cp:coreProperties>
</file>