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jc w:val="center"/>
        <w:tblLayout w:type="fixed"/>
        <w:tblCellMar>
          <w:left w:w="57" w:type="dxa"/>
          <w:right w:w="57" w:type="dxa"/>
        </w:tblCellMar>
        <w:tblLook w:val="0000" w:firstRow="0" w:lastRow="0" w:firstColumn="0" w:lastColumn="0" w:noHBand="0" w:noVBand="0"/>
      </w:tblPr>
      <w:tblGrid>
        <w:gridCol w:w="1191"/>
        <w:gridCol w:w="417"/>
        <w:gridCol w:w="9"/>
        <w:gridCol w:w="3486"/>
        <w:gridCol w:w="138"/>
        <w:gridCol w:w="4682"/>
      </w:tblGrid>
      <w:tr w:rsidR="00BD77C3" w:rsidRPr="007E6558" w14:paraId="11FC1407" w14:textId="77777777" w:rsidTr="00072059">
        <w:trPr>
          <w:cantSplit/>
          <w:jc w:val="center"/>
        </w:trPr>
        <w:tc>
          <w:tcPr>
            <w:tcW w:w="1191" w:type="dxa"/>
            <w:vMerge w:val="restart"/>
          </w:tcPr>
          <w:p w14:paraId="0836137D" w14:textId="77777777" w:rsidR="00BD77C3" w:rsidRPr="007E6558" w:rsidRDefault="00BD77C3" w:rsidP="00072059">
            <w:pPr>
              <w:tabs>
                <w:tab w:val="left" w:pos="567"/>
                <w:tab w:val="left" w:pos="1134"/>
                <w:tab w:val="left" w:pos="1701"/>
                <w:tab w:val="left" w:pos="2268"/>
                <w:tab w:val="left" w:pos="2835"/>
              </w:tabs>
              <w:overflowPunct w:val="0"/>
              <w:autoSpaceDE w:val="0"/>
              <w:autoSpaceDN w:val="0"/>
              <w:adjustRightInd w:val="0"/>
              <w:spacing w:before="120"/>
              <w:textAlignment w:val="baseline"/>
              <w:rPr>
                <w:rFonts w:eastAsia="SimSun"/>
                <w:sz w:val="20"/>
                <w:szCs w:val="20"/>
                <w:lang w:eastAsia="ja-JP"/>
              </w:rPr>
            </w:pPr>
            <w:bookmarkStart w:id="0" w:name="dnum" w:colFirst="2" w:colLast="2"/>
            <w:bookmarkStart w:id="1" w:name="dtableau"/>
            <w:r w:rsidRPr="007E6558">
              <w:rPr>
                <w:rFonts w:eastAsia="SimSun"/>
                <w:noProof/>
                <w:sz w:val="20"/>
                <w:szCs w:val="20"/>
                <w:lang w:val="en-GB" w:eastAsia="en-GB"/>
              </w:rPr>
              <w:drawing>
                <wp:inline distT="0" distB="0" distL="0" distR="0" wp14:anchorId="166CA681" wp14:editId="613C57C3">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0" w:type="dxa"/>
            <w:gridSpan w:val="4"/>
            <w:vMerge w:val="restart"/>
          </w:tcPr>
          <w:p w14:paraId="1D9663E6" w14:textId="77777777" w:rsidR="00BD77C3" w:rsidRPr="007E6558" w:rsidRDefault="00BD77C3" w:rsidP="00072059">
            <w:pPr>
              <w:tabs>
                <w:tab w:val="left" w:pos="567"/>
                <w:tab w:val="left" w:pos="1134"/>
                <w:tab w:val="left" w:pos="1701"/>
                <w:tab w:val="left" w:pos="2268"/>
                <w:tab w:val="left" w:pos="2835"/>
              </w:tabs>
              <w:overflowPunct w:val="0"/>
              <w:autoSpaceDE w:val="0"/>
              <w:autoSpaceDN w:val="0"/>
              <w:adjustRightInd w:val="0"/>
              <w:spacing w:before="120"/>
              <w:textAlignment w:val="baseline"/>
              <w:rPr>
                <w:rFonts w:eastAsia="SimSun"/>
                <w:sz w:val="16"/>
                <w:szCs w:val="16"/>
                <w:lang w:eastAsia="ja-JP"/>
              </w:rPr>
            </w:pPr>
            <w:r w:rsidRPr="007E6558">
              <w:rPr>
                <w:rFonts w:eastAsia="SimSun"/>
                <w:sz w:val="16"/>
                <w:szCs w:val="16"/>
                <w:lang w:eastAsia="ja-JP"/>
              </w:rPr>
              <w:t>INTERNATIONAL TELECOMMUNICATION UNION</w:t>
            </w:r>
          </w:p>
          <w:p w14:paraId="2D833EF4" w14:textId="77777777" w:rsidR="00BD77C3" w:rsidRPr="007E6558" w:rsidRDefault="00BD77C3" w:rsidP="00072059">
            <w:pPr>
              <w:tabs>
                <w:tab w:val="left" w:pos="567"/>
                <w:tab w:val="left" w:pos="1134"/>
                <w:tab w:val="left" w:pos="1701"/>
                <w:tab w:val="left" w:pos="2268"/>
                <w:tab w:val="left" w:pos="2835"/>
              </w:tabs>
              <w:overflowPunct w:val="0"/>
              <w:autoSpaceDE w:val="0"/>
              <w:autoSpaceDN w:val="0"/>
              <w:adjustRightInd w:val="0"/>
              <w:spacing w:before="120"/>
              <w:textAlignment w:val="baseline"/>
              <w:rPr>
                <w:rFonts w:eastAsia="SimSun"/>
                <w:b/>
                <w:bCs/>
                <w:sz w:val="26"/>
                <w:szCs w:val="26"/>
                <w:lang w:eastAsia="ja-JP"/>
              </w:rPr>
            </w:pPr>
            <w:r w:rsidRPr="007E6558">
              <w:rPr>
                <w:rFonts w:eastAsia="SimSun"/>
                <w:b/>
                <w:bCs/>
                <w:sz w:val="26"/>
                <w:szCs w:val="26"/>
                <w:lang w:eastAsia="ja-JP"/>
              </w:rPr>
              <w:t>TELECOMMUNICATION</w:t>
            </w:r>
            <w:r w:rsidRPr="007E6558">
              <w:rPr>
                <w:rFonts w:eastAsia="SimSun"/>
                <w:b/>
                <w:bCs/>
                <w:sz w:val="26"/>
                <w:szCs w:val="26"/>
                <w:lang w:eastAsia="ja-JP"/>
              </w:rPr>
              <w:br/>
              <w:t>STANDARDIZATION SECTOR</w:t>
            </w:r>
          </w:p>
          <w:p w14:paraId="1F12ECA9" w14:textId="77777777" w:rsidR="00BD77C3" w:rsidRPr="007E6558" w:rsidRDefault="00BD77C3" w:rsidP="00072059">
            <w:pPr>
              <w:tabs>
                <w:tab w:val="left" w:pos="567"/>
                <w:tab w:val="left" w:pos="1134"/>
                <w:tab w:val="left" w:pos="1701"/>
                <w:tab w:val="left" w:pos="2268"/>
                <w:tab w:val="left" w:pos="2835"/>
              </w:tabs>
              <w:overflowPunct w:val="0"/>
              <w:autoSpaceDE w:val="0"/>
              <w:autoSpaceDN w:val="0"/>
              <w:adjustRightInd w:val="0"/>
              <w:spacing w:before="120"/>
              <w:textAlignment w:val="baseline"/>
              <w:rPr>
                <w:rFonts w:eastAsia="SimSun"/>
                <w:sz w:val="20"/>
                <w:szCs w:val="20"/>
                <w:lang w:eastAsia="ja-JP"/>
              </w:rPr>
            </w:pPr>
            <w:r w:rsidRPr="007E6558">
              <w:rPr>
                <w:rFonts w:eastAsia="SimSun"/>
                <w:sz w:val="20"/>
                <w:szCs w:val="20"/>
                <w:lang w:eastAsia="ja-JP"/>
              </w:rPr>
              <w:t>STUDY PERIOD 2017-2020</w:t>
            </w:r>
          </w:p>
        </w:tc>
        <w:tc>
          <w:tcPr>
            <w:tcW w:w="4682" w:type="dxa"/>
            <w:vAlign w:val="center"/>
          </w:tcPr>
          <w:p w14:paraId="340DD6F4" w14:textId="3B7B3CE1" w:rsidR="00BD77C3" w:rsidRPr="007E6558" w:rsidRDefault="00BD77C3" w:rsidP="00DC060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jc w:val="right"/>
              <w:textAlignment w:val="baseline"/>
              <w:rPr>
                <w:rFonts w:eastAsia="SimSun"/>
                <w:b/>
                <w:sz w:val="32"/>
                <w:szCs w:val="20"/>
              </w:rPr>
            </w:pPr>
            <w:r w:rsidRPr="007E6558">
              <w:rPr>
                <w:rFonts w:eastAsia="SimSun"/>
                <w:b/>
                <w:sz w:val="32"/>
                <w:szCs w:val="20"/>
              </w:rPr>
              <w:t>TSAG-</w:t>
            </w:r>
            <w:r w:rsidRPr="00862621">
              <w:rPr>
                <w:rFonts w:eastAsia="SimSun"/>
                <w:b/>
                <w:sz w:val="32"/>
                <w:szCs w:val="20"/>
              </w:rPr>
              <w:t>TD</w:t>
            </w:r>
            <w:r w:rsidR="00862621" w:rsidRPr="00862621">
              <w:rPr>
                <w:rFonts w:eastAsia="SimSun"/>
                <w:b/>
                <w:sz w:val="32"/>
                <w:szCs w:val="20"/>
              </w:rPr>
              <w:t>766</w:t>
            </w:r>
          </w:p>
        </w:tc>
      </w:tr>
      <w:tr w:rsidR="00BD77C3" w:rsidRPr="007E6558" w14:paraId="06D52C62" w14:textId="77777777" w:rsidTr="00072059">
        <w:trPr>
          <w:cantSplit/>
          <w:jc w:val="center"/>
        </w:trPr>
        <w:tc>
          <w:tcPr>
            <w:tcW w:w="1191" w:type="dxa"/>
            <w:vMerge/>
          </w:tcPr>
          <w:p w14:paraId="0E990BAA" w14:textId="77777777" w:rsidR="00BD77C3" w:rsidRPr="007E6558" w:rsidRDefault="00BD77C3" w:rsidP="00072059">
            <w:pPr>
              <w:tabs>
                <w:tab w:val="left" w:pos="567"/>
                <w:tab w:val="left" w:pos="1134"/>
                <w:tab w:val="left" w:pos="1701"/>
                <w:tab w:val="left" w:pos="2268"/>
                <w:tab w:val="left" w:pos="2835"/>
              </w:tabs>
              <w:overflowPunct w:val="0"/>
              <w:autoSpaceDE w:val="0"/>
              <w:autoSpaceDN w:val="0"/>
              <w:adjustRightInd w:val="0"/>
              <w:spacing w:before="120"/>
              <w:textAlignment w:val="baseline"/>
              <w:rPr>
                <w:rFonts w:eastAsia="SimSun"/>
                <w:smallCaps/>
                <w:sz w:val="20"/>
                <w:lang w:eastAsia="ja-JP"/>
              </w:rPr>
            </w:pPr>
            <w:bookmarkStart w:id="2" w:name="dsg" w:colFirst="2" w:colLast="2"/>
            <w:bookmarkEnd w:id="0"/>
          </w:p>
        </w:tc>
        <w:tc>
          <w:tcPr>
            <w:tcW w:w="4050" w:type="dxa"/>
            <w:gridSpan w:val="4"/>
            <w:vMerge/>
          </w:tcPr>
          <w:p w14:paraId="2061384D" w14:textId="77777777" w:rsidR="00BD77C3" w:rsidRPr="007E6558" w:rsidRDefault="00BD77C3" w:rsidP="00072059">
            <w:pPr>
              <w:tabs>
                <w:tab w:val="left" w:pos="567"/>
                <w:tab w:val="left" w:pos="1134"/>
                <w:tab w:val="left" w:pos="1701"/>
                <w:tab w:val="left" w:pos="2268"/>
                <w:tab w:val="left" w:pos="2835"/>
              </w:tabs>
              <w:overflowPunct w:val="0"/>
              <w:autoSpaceDE w:val="0"/>
              <w:autoSpaceDN w:val="0"/>
              <w:adjustRightInd w:val="0"/>
              <w:spacing w:before="120"/>
              <w:textAlignment w:val="baseline"/>
              <w:rPr>
                <w:rFonts w:eastAsia="SimSun"/>
                <w:smallCaps/>
                <w:sz w:val="20"/>
                <w:lang w:eastAsia="ja-JP"/>
              </w:rPr>
            </w:pPr>
          </w:p>
        </w:tc>
        <w:tc>
          <w:tcPr>
            <w:tcW w:w="4682" w:type="dxa"/>
          </w:tcPr>
          <w:p w14:paraId="4CB996A6" w14:textId="77777777" w:rsidR="00BD77C3" w:rsidRPr="007E6558" w:rsidRDefault="00BD77C3" w:rsidP="00072059">
            <w:pPr>
              <w:tabs>
                <w:tab w:val="left" w:pos="567"/>
                <w:tab w:val="left" w:pos="1134"/>
                <w:tab w:val="left" w:pos="1701"/>
                <w:tab w:val="left" w:pos="2268"/>
                <w:tab w:val="left" w:pos="2835"/>
              </w:tabs>
              <w:overflowPunct w:val="0"/>
              <w:autoSpaceDE w:val="0"/>
              <w:autoSpaceDN w:val="0"/>
              <w:adjustRightInd w:val="0"/>
              <w:spacing w:before="120"/>
              <w:jc w:val="right"/>
              <w:textAlignment w:val="baseline"/>
              <w:rPr>
                <w:rFonts w:eastAsia="SimSun"/>
                <w:b/>
                <w:bCs/>
                <w:smallCaps/>
                <w:sz w:val="28"/>
                <w:szCs w:val="28"/>
                <w:lang w:eastAsia="ja-JP"/>
              </w:rPr>
            </w:pPr>
            <w:r w:rsidRPr="007E6558">
              <w:rPr>
                <w:rFonts w:eastAsia="SimSun"/>
                <w:b/>
                <w:bCs/>
                <w:smallCaps/>
                <w:sz w:val="28"/>
                <w:szCs w:val="28"/>
                <w:lang w:eastAsia="ja-JP"/>
              </w:rPr>
              <w:t>TSAG</w:t>
            </w:r>
          </w:p>
        </w:tc>
      </w:tr>
      <w:bookmarkEnd w:id="2"/>
      <w:tr w:rsidR="00BD77C3" w:rsidRPr="007E6558" w14:paraId="7C79F2F8" w14:textId="77777777" w:rsidTr="00072059">
        <w:trPr>
          <w:cantSplit/>
          <w:jc w:val="center"/>
        </w:trPr>
        <w:tc>
          <w:tcPr>
            <w:tcW w:w="1191" w:type="dxa"/>
            <w:vMerge/>
            <w:tcBorders>
              <w:bottom w:val="single" w:sz="12" w:space="0" w:color="auto"/>
            </w:tcBorders>
          </w:tcPr>
          <w:p w14:paraId="3B14696B" w14:textId="77777777" w:rsidR="00BD77C3" w:rsidRPr="007E6558" w:rsidRDefault="00BD77C3" w:rsidP="00072059">
            <w:pPr>
              <w:tabs>
                <w:tab w:val="left" w:pos="567"/>
                <w:tab w:val="left" w:pos="1134"/>
                <w:tab w:val="left" w:pos="1701"/>
                <w:tab w:val="left" w:pos="2268"/>
                <w:tab w:val="left" w:pos="2835"/>
              </w:tabs>
              <w:overflowPunct w:val="0"/>
              <w:autoSpaceDE w:val="0"/>
              <w:autoSpaceDN w:val="0"/>
              <w:adjustRightInd w:val="0"/>
              <w:spacing w:before="120"/>
              <w:textAlignment w:val="baseline"/>
              <w:rPr>
                <w:rFonts w:eastAsia="SimSun"/>
                <w:b/>
                <w:bCs/>
                <w:sz w:val="26"/>
                <w:lang w:eastAsia="ja-JP"/>
              </w:rPr>
            </w:pPr>
          </w:p>
        </w:tc>
        <w:tc>
          <w:tcPr>
            <w:tcW w:w="4050" w:type="dxa"/>
            <w:gridSpan w:val="4"/>
            <w:vMerge/>
            <w:tcBorders>
              <w:bottom w:val="single" w:sz="12" w:space="0" w:color="auto"/>
            </w:tcBorders>
          </w:tcPr>
          <w:p w14:paraId="191D0218" w14:textId="77777777" w:rsidR="00BD77C3" w:rsidRPr="007E6558" w:rsidRDefault="00BD77C3" w:rsidP="00072059">
            <w:pPr>
              <w:tabs>
                <w:tab w:val="left" w:pos="567"/>
                <w:tab w:val="left" w:pos="1134"/>
                <w:tab w:val="left" w:pos="1701"/>
                <w:tab w:val="left" w:pos="2268"/>
                <w:tab w:val="left" w:pos="2835"/>
              </w:tabs>
              <w:overflowPunct w:val="0"/>
              <w:autoSpaceDE w:val="0"/>
              <w:autoSpaceDN w:val="0"/>
              <w:adjustRightInd w:val="0"/>
              <w:spacing w:before="120"/>
              <w:textAlignment w:val="baseline"/>
              <w:rPr>
                <w:rFonts w:eastAsia="SimSun"/>
                <w:b/>
                <w:bCs/>
                <w:sz w:val="26"/>
                <w:lang w:eastAsia="ja-JP"/>
              </w:rPr>
            </w:pPr>
          </w:p>
        </w:tc>
        <w:tc>
          <w:tcPr>
            <w:tcW w:w="4682" w:type="dxa"/>
            <w:tcBorders>
              <w:bottom w:val="single" w:sz="12" w:space="0" w:color="auto"/>
            </w:tcBorders>
            <w:vAlign w:val="center"/>
          </w:tcPr>
          <w:p w14:paraId="08E60C7E" w14:textId="77777777" w:rsidR="00BD77C3" w:rsidRPr="007E6558" w:rsidRDefault="00BD77C3" w:rsidP="00072059">
            <w:pPr>
              <w:tabs>
                <w:tab w:val="left" w:pos="567"/>
                <w:tab w:val="left" w:pos="1134"/>
                <w:tab w:val="left" w:pos="1701"/>
                <w:tab w:val="left" w:pos="2268"/>
                <w:tab w:val="left" w:pos="2835"/>
              </w:tabs>
              <w:overflowPunct w:val="0"/>
              <w:autoSpaceDE w:val="0"/>
              <w:autoSpaceDN w:val="0"/>
              <w:adjustRightInd w:val="0"/>
              <w:spacing w:before="120"/>
              <w:jc w:val="right"/>
              <w:textAlignment w:val="baseline"/>
              <w:rPr>
                <w:rFonts w:eastAsia="SimSun"/>
                <w:b/>
                <w:bCs/>
                <w:sz w:val="28"/>
                <w:szCs w:val="28"/>
                <w:lang w:eastAsia="ja-JP"/>
              </w:rPr>
            </w:pPr>
            <w:r w:rsidRPr="007E6558">
              <w:rPr>
                <w:rFonts w:eastAsia="SimSun"/>
                <w:b/>
                <w:bCs/>
                <w:sz w:val="28"/>
                <w:szCs w:val="28"/>
                <w:lang w:eastAsia="ja-JP"/>
              </w:rPr>
              <w:t>Original: English</w:t>
            </w:r>
          </w:p>
        </w:tc>
      </w:tr>
      <w:tr w:rsidR="00BD77C3" w:rsidRPr="007E6558" w14:paraId="1EAFA733" w14:textId="77777777" w:rsidTr="00072059">
        <w:trPr>
          <w:cantSplit/>
          <w:jc w:val="center"/>
        </w:trPr>
        <w:tc>
          <w:tcPr>
            <w:tcW w:w="1617" w:type="dxa"/>
            <w:gridSpan w:val="3"/>
          </w:tcPr>
          <w:p w14:paraId="6D6B12F2" w14:textId="77777777" w:rsidR="00BD77C3" w:rsidRPr="007E6558" w:rsidRDefault="00BD77C3" w:rsidP="00072059">
            <w:pPr>
              <w:tabs>
                <w:tab w:val="left" w:pos="567"/>
                <w:tab w:val="left" w:pos="1134"/>
                <w:tab w:val="left" w:pos="1701"/>
                <w:tab w:val="left" w:pos="2268"/>
                <w:tab w:val="left" w:pos="2835"/>
              </w:tabs>
              <w:overflowPunct w:val="0"/>
              <w:autoSpaceDE w:val="0"/>
              <w:autoSpaceDN w:val="0"/>
              <w:adjustRightInd w:val="0"/>
              <w:spacing w:before="120"/>
              <w:textAlignment w:val="baseline"/>
              <w:rPr>
                <w:rFonts w:asciiTheme="majorBidi" w:eastAsia="SimSun" w:hAnsiTheme="majorBidi" w:cstheme="majorBidi"/>
                <w:b/>
                <w:bCs/>
                <w:lang w:eastAsia="ja-JP"/>
              </w:rPr>
            </w:pPr>
            <w:bookmarkStart w:id="3" w:name="dbluepink" w:colFirst="1" w:colLast="1"/>
            <w:bookmarkStart w:id="4" w:name="dmeeting" w:colFirst="2" w:colLast="2"/>
            <w:r w:rsidRPr="007E6558">
              <w:rPr>
                <w:rFonts w:asciiTheme="majorBidi" w:eastAsia="SimSun" w:hAnsiTheme="majorBidi" w:cstheme="majorBidi"/>
                <w:b/>
                <w:bCs/>
                <w:lang w:eastAsia="ja-JP"/>
              </w:rPr>
              <w:t>Question(s):</w:t>
            </w:r>
          </w:p>
        </w:tc>
        <w:tc>
          <w:tcPr>
            <w:tcW w:w="3624" w:type="dxa"/>
            <w:gridSpan w:val="2"/>
          </w:tcPr>
          <w:p w14:paraId="3FC2BBAF" w14:textId="77777777" w:rsidR="00BD77C3" w:rsidRPr="007E6558" w:rsidRDefault="00BD77C3" w:rsidP="00072059">
            <w:pPr>
              <w:tabs>
                <w:tab w:val="left" w:pos="567"/>
                <w:tab w:val="left" w:pos="1134"/>
                <w:tab w:val="left" w:pos="1701"/>
                <w:tab w:val="left" w:pos="2268"/>
                <w:tab w:val="left" w:pos="2835"/>
              </w:tabs>
              <w:overflowPunct w:val="0"/>
              <w:autoSpaceDE w:val="0"/>
              <w:autoSpaceDN w:val="0"/>
              <w:adjustRightInd w:val="0"/>
              <w:spacing w:before="120"/>
              <w:textAlignment w:val="baseline"/>
              <w:rPr>
                <w:rFonts w:asciiTheme="majorBidi" w:eastAsia="SimSun" w:hAnsiTheme="majorBidi" w:cstheme="majorBidi"/>
                <w:lang w:eastAsia="ja-JP"/>
              </w:rPr>
            </w:pPr>
            <w:r w:rsidRPr="007E6558">
              <w:rPr>
                <w:rFonts w:asciiTheme="majorBidi" w:eastAsia="SimSun" w:hAnsiTheme="majorBidi" w:cstheme="majorBidi"/>
                <w:lang w:eastAsia="ja-JP"/>
              </w:rPr>
              <w:t>N/A</w:t>
            </w:r>
          </w:p>
        </w:tc>
        <w:tc>
          <w:tcPr>
            <w:tcW w:w="4682" w:type="dxa"/>
          </w:tcPr>
          <w:p w14:paraId="2CA70676" w14:textId="3BCB747D" w:rsidR="00BD77C3" w:rsidRPr="007E6558" w:rsidRDefault="00BD77C3" w:rsidP="00072059">
            <w:pPr>
              <w:tabs>
                <w:tab w:val="left" w:pos="567"/>
                <w:tab w:val="left" w:pos="1134"/>
                <w:tab w:val="left" w:pos="1701"/>
                <w:tab w:val="left" w:pos="2268"/>
                <w:tab w:val="left" w:pos="2835"/>
              </w:tabs>
              <w:overflowPunct w:val="0"/>
              <w:autoSpaceDE w:val="0"/>
              <w:autoSpaceDN w:val="0"/>
              <w:adjustRightInd w:val="0"/>
              <w:spacing w:before="120"/>
              <w:jc w:val="right"/>
              <w:textAlignment w:val="baseline"/>
              <w:rPr>
                <w:rFonts w:asciiTheme="majorBidi" w:eastAsia="SimSun" w:hAnsiTheme="majorBidi" w:cstheme="majorBidi"/>
                <w:lang w:eastAsia="ja-JP"/>
              </w:rPr>
            </w:pPr>
            <w:r w:rsidRPr="007E6558">
              <w:rPr>
                <w:rFonts w:asciiTheme="majorBidi" w:eastAsia="SimSun" w:hAnsiTheme="majorBidi" w:cstheme="majorBidi"/>
                <w:lang w:eastAsia="ja-JP"/>
              </w:rPr>
              <w:t xml:space="preserve">Geneva, </w:t>
            </w:r>
            <w:r w:rsidR="00C83F3E" w:rsidRPr="00C83F3E">
              <w:rPr>
                <w:rFonts w:asciiTheme="majorBidi" w:eastAsia="SimSun" w:hAnsiTheme="majorBidi" w:cstheme="majorBidi"/>
                <w:lang w:eastAsia="ja-JP"/>
              </w:rPr>
              <w:t>10-14 February 2020</w:t>
            </w:r>
          </w:p>
        </w:tc>
      </w:tr>
      <w:bookmarkEnd w:id="3"/>
      <w:bookmarkEnd w:id="4"/>
      <w:tr w:rsidR="00BD77C3" w:rsidRPr="007E6558" w14:paraId="56CA029E" w14:textId="77777777" w:rsidTr="00072059">
        <w:trPr>
          <w:cantSplit/>
          <w:jc w:val="center"/>
        </w:trPr>
        <w:tc>
          <w:tcPr>
            <w:tcW w:w="9923" w:type="dxa"/>
            <w:gridSpan w:val="6"/>
          </w:tcPr>
          <w:p w14:paraId="53AE0A32" w14:textId="77777777" w:rsidR="00BD77C3" w:rsidRPr="007E6558" w:rsidRDefault="00BD77C3" w:rsidP="00072059">
            <w:pPr>
              <w:tabs>
                <w:tab w:val="left" w:pos="567"/>
                <w:tab w:val="left" w:pos="1134"/>
                <w:tab w:val="left" w:pos="1701"/>
                <w:tab w:val="left" w:pos="2268"/>
                <w:tab w:val="left" w:pos="2835"/>
              </w:tabs>
              <w:overflowPunct w:val="0"/>
              <w:autoSpaceDE w:val="0"/>
              <w:autoSpaceDN w:val="0"/>
              <w:adjustRightInd w:val="0"/>
              <w:spacing w:before="120"/>
              <w:jc w:val="center"/>
              <w:textAlignment w:val="baseline"/>
              <w:rPr>
                <w:rFonts w:asciiTheme="majorBidi" w:eastAsia="SimSun" w:hAnsiTheme="majorBidi" w:cstheme="majorBidi"/>
                <w:b/>
                <w:bCs/>
                <w:lang w:eastAsia="ja-JP"/>
              </w:rPr>
            </w:pPr>
            <w:r w:rsidRPr="007E6558">
              <w:rPr>
                <w:rFonts w:asciiTheme="majorBidi" w:eastAsia="SimSun" w:hAnsiTheme="majorBidi" w:cstheme="majorBidi"/>
                <w:b/>
                <w:bCs/>
                <w:lang w:eastAsia="ja-JP"/>
              </w:rPr>
              <w:t>TD</w:t>
            </w:r>
          </w:p>
        </w:tc>
      </w:tr>
      <w:tr w:rsidR="00BD77C3" w:rsidRPr="007E6558" w14:paraId="698AECF0" w14:textId="77777777" w:rsidTr="00072059">
        <w:trPr>
          <w:cantSplit/>
          <w:jc w:val="center"/>
        </w:trPr>
        <w:tc>
          <w:tcPr>
            <w:tcW w:w="1617" w:type="dxa"/>
            <w:gridSpan w:val="3"/>
          </w:tcPr>
          <w:p w14:paraId="1ED35B2A" w14:textId="77777777" w:rsidR="00BD77C3" w:rsidRPr="007E6558" w:rsidRDefault="00BD77C3" w:rsidP="00072059">
            <w:pPr>
              <w:tabs>
                <w:tab w:val="left" w:pos="567"/>
                <w:tab w:val="left" w:pos="1134"/>
                <w:tab w:val="left" w:pos="1701"/>
                <w:tab w:val="left" w:pos="2268"/>
                <w:tab w:val="left" w:pos="2835"/>
              </w:tabs>
              <w:overflowPunct w:val="0"/>
              <w:autoSpaceDE w:val="0"/>
              <w:autoSpaceDN w:val="0"/>
              <w:adjustRightInd w:val="0"/>
              <w:spacing w:before="120"/>
              <w:textAlignment w:val="baseline"/>
              <w:rPr>
                <w:rFonts w:asciiTheme="majorBidi" w:eastAsia="SimSun" w:hAnsiTheme="majorBidi" w:cstheme="majorBidi"/>
                <w:b/>
                <w:bCs/>
                <w:lang w:eastAsia="ja-JP"/>
              </w:rPr>
            </w:pPr>
            <w:bookmarkStart w:id="5" w:name="dsource" w:colFirst="1" w:colLast="1"/>
            <w:r w:rsidRPr="007E6558">
              <w:rPr>
                <w:rFonts w:asciiTheme="majorBidi" w:eastAsia="SimSun" w:hAnsiTheme="majorBidi" w:cstheme="majorBidi"/>
                <w:b/>
                <w:bCs/>
                <w:lang w:eastAsia="ja-JP"/>
              </w:rPr>
              <w:t>Source:</w:t>
            </w:r>
          </w:p>
        </w:tc>
        <w:tc>
          <w:tcPr>
            <w:tcW w:w="8306" w:type="dxa"/>
            <w:gridSpan w:val="3"/>
          </w:tcPr>
          <w:p w14:paraId="2D5D2616" w14:textId="77777777" w:rsidR="00BD77C3" w:rsidRPr="007E6558" w:rsidRDefault="00BD77C3" w:rsidP="00D513AA">
            <w:pPr>
              <w:spacing w:before="120" w:after="100" w:afterAutospacing="1"/>
              <w:rPr>
                <w:rFonts w:asciiTheme="majorBidi" w:hAnsiTheme="majorBidi" w:cstheme="majorBidi"/>
              </w:rPr>
            </w:pPr>
            <w:r w:rsidRPr="007E6558">
              <w:rPr>
                <w:rFonts w:asciiTheme="majorBidi" w:hAnsiTheme="majorBidi" w:cstheme="majorBidi"/>
              </w:rPr>
              <w:t>Rapporteur, TSAG RG-</w:t>
            </w:r>
            <w:r w:rsidR="00D513AA" w:rsidRPr="007E6558">
              <w:rPr>
                <w:rFonts w:asciiTheme="majorBidi" w:hAnsiTheme="majorBidi" w:cstheme="majorBidi"/>
              </w:rPr>
              <w:t>CPTRG</w:t>
            </w:r>
          </w:p>
        </w:tc>
      </w:tr>
      <w:tr w:rsidR="00BD77C3" w:rsidRPr="007E6558" w14:paraId="3984941B" w14:textId="77777777" w:rsidTr="00072059">
        <w:trPr>
          <w:cantSplit/>
          <w:jc w:val="center"/>
        </w:trPr>
        <w:tc>
          <w:tcPr>
            <w:tcW w:w="1617" w:type="dxa"/>
            <w:gridSpan w:val="3"/>
          </w:tcPr>
          <w:p w14:paraId="11B08FF4" w14:textId="77777777" w:rsidR="00BD77C3" w:rsidRPr="007E6558" w:rsidRDefault="00BD77C3" w:rsidP="00072059">
            <w:pPr>
              <w:tabs>
                <w:tab w:val="left" w:pos="567"/>
                <w:tab w:val="left" w:pos="1134"/>
                <w:tab w:val="left" w:pos="1701"/>
                <w:tab w:val="left" w:pos="2268"/>
                <w:tab w:val="left" w:pos="2835"/>
              </w:tabs>
              <w:overflowPunct w:val="0"/>
              <w:autoSpaceDE w:val="0"/>
              <w:autoSpaceDN w:val="0"/>
              <w:adjustRightInd w:val="0"/>
              <w:spacing w:before="120"/>
              <w:textAlignment w:val="baseline"/>
              <w:rPr>
                <w:rFonts w:asciiTheme="majorBidi" w:eastAsia="SimSun" w:hAnsiTheme="majorBidi" w:cstheme="majorBidi"/>
                <w:lang w:eastAsia="ja-JP"/>
              </w:rPr>
            </w:pPr>
            <w:bookmarkStart w:id="6" w:name="dtitle1" w:colFirst="1" w:colLast="1"/>
            <w:bookmarkEnd w:id="5"/>
            <w:r w:rsidRPr="007E6558">
              <w:rPr>
                <w:rFonts w:asciiTheme="majorBidi" w:eastAsia="SimSun" w:hAnsiTheme="majorBidi" w:cstheme="majorBidi"/>
                <w:b/>
                <w:bCs/>
                <w:lang w:eastAsia="ja-JP"/>
              </w:rPr>
              <w:t>Title:</w:t>
            </w:r>
          </w:p>
        </w:tc>
        <w:tc>
          <w:tcPr>
            <w:tcW w:w="8306" w:type="dxa"/>
            <w:gridSpan w:val="3"/>
          </w:tcPr>
          <w:p w14:paraId="3D8F322C" w14:textId="641228BD" w:rsidR="00A167F9" w:rsidRPr="007E6558" w:rsidRDefault="00DC0600" w:rsidP="00FF7A8F">
            <w:pPr>
              <w:spacing w:before="120" w:after="100" w:afterAutospacing="1"/>
              <w:rPr>
                <w:rFonts w:asciiTheme="majorBidi" w:hAnsiTheme="majorBidi" w:cstheme="majorBidi"/>
              </w:rPr>
            </w:pPr>
            <w:r>
              <w:rPr>
                <w:rFonts w:asciiTheme="majorBidi" w:hAnsiTheme="majorBidi" w:cstheme="majorBidi"/>
              </w:rPr>
              <w:t>Summary of O</w:t>
            </w:r>
            <w:r w:rsidRPr="00DC0600">
              <w:rPr>
                <w:rFonts w:asciiTheme="majorBidi" w:hAnsiTheme="majorBidi" w:cstheme="majorBidi"/>
              </w:rPr>
              <w:t>utcomes for TSAG Rapporteur Group on Creation, Participation and Terminatio</w:t>
            </w:r>
            <w:r>
              <w:rPr>
                <w:rFonts w:asciiTheme="majorBidi" w:hAnsiTheme="majorBidi" w:cstheme="majorBidi"/>
              </w:rPr>
              <w:t>n of Regional Groups (RG-CPTRG)</w:t>
            </w:r>
          </w:p>
        </w:tc>
      </w:tr>
      <w:bookmarkEnd w:id="6"/>
      <w:tr w:rsidR="00BD77C3" w:rsidRPr="007E6558" w14:paraId="0EB5D9D7" w14:textId="77777777" w:rsidTr="00072059">
        <w:trPr>
          <w:cantSplit/>
          <w:jc w:val="center"/>
        </w:trPr>
        <w:tc>
          <w:tcPr>
            <w:tcW w:w="1617" w:type="dxa"/>
            <w:gridSpan w:val="3"/>
            <w:tcBorders>
              <w:bottom w:val="single" w:sz="8" w:space="0" w:color="auto"/>
            </w:tcBorders>
          </w:tcPr>
          <w:p w14:paraId="2E32ACA5" w14:textId="77777777" w:rsidR="00BD77C3" w:rsidRPr="007E6558" w:rsidRDefault="00BD77C3" w:rsidP="00072059">
            <w:pPr>
              <w:tabs>
                <w:tab w:val="left" w:pos="567"/>
                <w:tab w:val="left" w:pos="1134"/>
                <w:tab w:val="left" w:pos="1701"/>
                <w:tab w:val="left" w:pos="2268"/>
                <w:tab w:val="left" w:pos="2835"/>
              </w:tabs>
              <w:overflowPunct w:val="0"/>
              <w:autoSpaceDE w:val="0"/>
              <w:autoSpaceDN w:val="0"/>
              <w:adjustRightInd w:val="0"/>
              <w:spacing w:before="120"/>
              <w:textAlignment w:val="baseline"/>
              <w:rPr>
                <w:rFonts w:asciiTheme="majorBidi" w:eastAsia="SimSun" w:hAnsiTheme="majorBidi" w:cstheme="majorBidi"/>
                <w:b/>
                <w:bCs/>
                <w:lang w:eastAsia="ja-JP"/>
              </w:rPr>
            </w:pPr>
            <w:r w:rsidRPr="007E6558">
              <w:rPr>
                <w:rFonts w:asciiTheme="majorBidi" w:eastAsia="SimSun" w:hAnsiTheme="majorBidi" w:cstheme="majorBidi"/>
                <w:b/>
                <w:bCs/>
                <w:lang w:eastAsia="ja-JP"/>
              </w:rPr>
              <w:t>Purpose:</w:t>
            </w:r>
          </w:p>
        </w:tc>
        <w:tc>
          <w:tcPr>
            <w:tcW w:w="8306" w:type="dxa"/>
            <w:gridSpan w:val="3"/>
            <w:tcBorders>
              <w:bottom w:val="single" w:sz="8" w:space="0" w:color="auto"/>
            </w:tcBorders>
          </w:tcPr>
          <w:p w14:paraId="691611CD" w14:textId="77777777" w:rsidR="00BD77C3" w:rsidRPr="007E6558" w:rsidRDefault="00BD77C3" w:rsidP="00FF7A8F">
            <w:pPr>
              <w:spacing w:before="120" w:after="100" w:afterAutospacing="1"/>
              <w:rPr>
                <w:rFonts w:asciiTheme="majorBidi" w:hAnsiTheme="majorBidi" w:cstheme="majorBidi"/>
                <w:lang w:eastAsia="ja-JP"/>
              </w:rPr>
            </w:pPr>
            <w:r w:rsidRPr="007E6558">
              <w:rPr>
                <w:rFonts w:asciiTheme="majorBidi" w:hAnsiTheme="majorBidi" w:cstheme="majorBidi"/>
                <w:lang w:eastAsia="ja-JP"/>
              </w:rPr>
              <w:t xml:space="preserve">Information, </w:t>
            </w:r>
            <w:r w:rsidR="00FF7A8F" w:rsidRPr="007E6558">
              <w:rPr>
                <w:rFonts w:asciiTheme="majorBidi" w:hAnsiTheme="majorBidi" w:cstheme="majorBidi"/>
                <w:lang w:eastAsia="ja-JP"/>
              </w:rPr>
              <w:t>Action</w:t>
            </w:r>
          </w:p>
        </w:tc>
      </w:tr>
      <w:bookmarkEnd w:id="1"/>
      <w:tr w:rsidR="00BD77C3" w:rsidRPr="00862621" w14:paraId="7F1B5F80" w14:textId="77777777" w:rsidTr="00736E2A">
        <w:trPr>
          <w:cantSplit/>
          <w:jc w:val="center"/>
        </w:trPr>
        <w:tc>
          <w:tcPr>
            <w:tcW w:w="1608" w:type="dxa"/>
            <w:gridSpan w:val="2"/>
            <w:tcBorders>
              <w:top w:val="single" w:sz="8" w:space="0" w:color="auto"/>
              <w:bottom w:val="single" w:sz="8" w:space="0" w:color="auto"/>
            </w:tcBorders>
          </w:tcPr>
          <w:p w14:paraId="7172C3F3" w14:textId="77777777" w:rsidR="00BD77C3" w:rsidRPr="007E6558" w:rsidRDefault="00BD77C3" w:rsidP="00072059">
            <w:pPr>
              <w:tabs>
                <w:tab w:val="left" w:pos="567"/>
                <w:tab w:val="left" w:pos="1134"/>
                <w:tab w:val="left" w:pos="1701"/>
                <w:tab w:val="left" w:pos="2268"/>
                <w:tab w:val="left" w:pos="2835"/>
              </w:tabs>
              <w:overflowPunct w:val="0"/>
              <w:autoSpaceDE w:val="0"/>
              <w:autoSpaceDN w:val="0"/>
              <w:adjustRightInd w:val="0"/>
              <w:spacing w:before="120"/>
              <w:textAlignment w:val="baseline"/>
              <w:rPr>
                <w:rFonts w:asciiTheme="majorBidi" w:eastAsia="SimSun" w:hAnsiTheme="majorBidi" w:cstheme="majorBidi"/>
                <w:b/>
                <w:bCs/>
                <w:lang w:eastAsia="ja-JP"/>
              </w:rPr>
            </w:pPr>
            <w:r w:rsidRPr="007E6558">
              <w:rPr>
                <w:rFonts w:asciiTheme="majorBidi" w:eastAsia="SimSun" w:hAnsiTheme="majorBidi" w:cstheme="majorBidi"/>
                <w:b/>
                <w:bCs/>
                <w:lang w:eastAsia="ja-JP"/>
              </w:rPr>
              <w:t>Contact:</w:t>
            </w:r>
          </w:p>
        </w:tc>
        <w:tc>
          <w:tcPr>
            <w:tcW w:w="3495" w:type="dxa"/>
            <w:gridSpan w:val="2"/>
            <w:tcBorders>
              <w:top w:val="single" w:sz="8" w:space="0" w:color="auto"/>
              <w:bottom w:val="single" w:sz="8" w:space="0" w:color="auto"/>
            </w:tcBorders>
          </w:tcPr>
          <w:p w14:paraId="5AD43FFB" w14:textId="77777777" w:rsidR="00BD77C3" w:rsidRPr="007E217E" w:rsidRDefault="00D513AA" w:rsidP="00D513AA">
            <w:pPr>
              <w:spacing w:before="120" w:after="100" w:afterAutospacing="1"/>
              <w:rPr>
                <w:rFonts w:asciiTheme="majorBidi" w:hAnsiTheme="majorBidi" w:cstheme="majorBidi"/>
                <w:lang w:val="fr-FR"/>
              </w:rPr>
            </w:pPr>
            <w:r w:rsidRPr="007E217E">
              <w:rPr>
                <w:rFonts w:asciiTheme="majorBidi" w:hAnsiTheme="majorBidi" w:cstheme="majorBidi"/>
                <w:lang w:val="fr-FR"/>
              </w:rPr>
              <w:t>Kwame BAAH-ACHEAMFUOR</w:t>
            </w:r>
            <w:r w:rsidR="00BD77C3" w:rsidRPr="007E217E">
              <w:rPr>
                <w:rFonts w:asciiTheme="majorBidi" w:hAnsiTheme="majorBidi" w:cstheme="majorBidi"/>
                <w:lang w:val="fr-FR"/>
              </w:rPr>
              <w:br/>
              <w:t>Rapporteur TSAG RG-</w:t>
            </w:r>
            <w:r w:rsidRPr="007E217E">
              <w:rPr>
                <w:rFonts w:asciiTheme="majorBidi" w:hAnsiTheme="majorBidi" w:cstheme="majorBidi"/>
                <w:lang w:val="fr-FR"/>
              </w:rPr>
              <w:t>CPTRG</w:t>
            </w:r>
          </w:p>
        </w:tc>
        <w:tc>
          <w:tcPr>
            <w:tcW w:w="4820" w:type="dxa"/>
            <w:gridSpan w:val="2"/>
            <w:tcBorders>
              <w:top w:val="single" w:sz="8" w:space="0" w:color="auto"/>
              <w:bottom w:val="single" w:sz="8" w:space="0" w:color="auto"/>
            </w:tcBorders>
          </w:tcPr>
          <w:p w14:paraId="1BA76005" w14:textId="77777777" w:rsidR="00BD77C3" w:rsidRPr="00A50756" w:rsidRDefault="00BD77C3" w:rsidP="00D513AA">
            <w:pPr>
              <w:spacing w:before="120" w:after="100" w:afterAutospacing="1"/>
              <w:rPr>
                <w:rFonts w:asciiTheme="majorBidi" w:hAnsiTheme="majorBidi" w:cstheme="majorBidi"/>
                <w:lang w:val="de-DE"/>
              </w:rPr>
            </w:pPr>
            <w:r w:rsidRPr="00A50756">
              <w:rPr>
                <w:rFonts w:asciiTheme="majorBidi" w:hAnsiTheme="majorBidi" w:cstheme="majorBidi"/>
                <w:lang w:val="de-DE"/>
              </w:rPr>
              <w:t>Tel:</w:t>
            </w:r>
            <w:r w:rsidRPr="00A50756">
              <w:rPr>
                <w:rFonts w:asciiTheme="majorBidi" w:hAnsiTheme="majorBidi" w:cstheme="majorBidi"/>
                <w:lang w:val="de-DE"/>
              </w:rPr>
              <w:tab/>
            </w:r>
            <w:r w:rsidR="00877D31" w:rsidRPr="00A50756">
              <w:rPr>
                <w:rFonts w:asciiTheme="majorBidi" w:hAnsiTheme="majorBidi" w:cstheme="majorBidi"/>
                <w:lang w:val="de-DE"/>
              </w:rPr>
              <w:t>+233 24 6375700</w:t>
            </w:r>
            <w:r w:rsidRPr="00A50756">
              <w:rPr>
                <w:rFonts w:asciiTheme="majorBidi" w:hAnsiTheme="majorBidi" w:cstheme="majorBidi"/>
                <w:lang w:val="de-DE"/>
              </w:rPr>
              <w:br/>
              <w:t xml:space="preserve">E-mail: </w:t>
            </w:r>
            <w:r w:rsidR="00D513AA" w:rsidRPr="00A50756">
              <w:rPr>
                <w:rStyle w:val="Hyperlink"/>
                <w:rFonts w:asciiTheme="majorBidi" w:hAnsiTheme="majorBidi" w:cstheme="majorBidi"/>
                <w:lang w:val="de-DE"/>
              </w:rPr>
              <w:t>kwame.baah-acheamfuor@nca.org.gh</w:t>
            </w:r>
          </w:p>
        </w:tc>
      </w:tr>
    </w:tbl>
    <w:p w14:paraId="582BC0D6" w14:textId="77777777" w:rsidR="00BD77C3" w:rsidRPr="00A50756" w:rsidRDefault="00BD77C3">
      <w:pPr>
        <w:rPr>
          <w:lang w:val="de-DE"/>
        </w:rPr>
      </w:pPr>
    </w:p>
    <w:tbl>
      <w:tblPr>
        <w:tblW w:w="9923" w:type="dxa"/>
        <w:jc w:val="center"/>
        <w:tblLayout w:type="fixed"/>
        <w:tblCellMar>
          <w:left w:w="57" w:type="dxa"/>
          <w:right w:w="57" w:type="dxa"/>
        </w:tblCellMar>
        <w:tblLook w:val="0000" w:firstRow="0" w:lastRow="0" w:firstColumn="0" w:lastColumn="0" w:noHBand="0" w:noVBand="0"/>
      </w:tblPr>
      <w:tblGrid>
        <w:gridCol w:w="1616"/>
        <w:gridCol w:w="8307"/>
      </w:tblGrid>
      <w:tr w:rsidR="00BD77C3" w:rsidRPr="00F5695C" w14:paraId="21B606F8" w14:textId="77777777" w:rsidTr="00BD77C3">
        <w:trPr>
          <w:cantSplit/>
          <w:jc w:val="center"/>
        </w:trPr>
        <w:tc>
          <w:tcPr>
            <w:tcW w:w="1616" w:type="dxa"/>
          </w:tcPr>
          <w:p w14:paraId="2191BE04" w14:textId="77777777" w:rsidR="00BD77C3" w:rsidRPr="007E6558" w:rsidRDefault="00BD77C3" w:rsidP="00072059">
            <w:pPr>
              <w:spacing w:before="120" w:after="100" w:afterAutospacing="1"/>
              <w:rPr>
                <w:rFonts w:asciiTheme="majorBidi" w:hAnsiTheme="majorBidi" w:cstheme="majorBidi"/>
                <w:b/>
                <w:bCs/>
                <w:highlight w:val="yellow"/>
              </w:rPr>
            </w:pPr>
            <w:r w:rsidRPr="007E6558">
              <w:rPr>
                <w:rFonts w:asciiTheme="majorBidi" w:hAnsiTheme="majorBidi" w:cstheme="majorBidi"/>
                <w:b/>
                <w:bCs/>
              </w:rPr>
              <w:t>Keywords:</w:t>
            </w:r>
          </w:p>
        </w:tc>
        <w:tc>
          <w:tcPr>
            <w:tcW w:w="8307" w:type="dxa"/>
          </w:tcPr>
          <w:p w14:paraId="6F3364FC" w14:textId="0BFFE3AD" w:rsidR="00BD77C3" w:rsidRPr="001446BE" w:rsidRDefault="00BD77C3" w:rsidP="00DC0600">
            <w:pPr>
              <w:spacing w:before="120" w:after="100" w:afterAutospacing="1"/>
              <w:rPr>
                <w:rFonts w:asciiTheme="majorBidi" w:hAnsiTheme="majorBidi" w:cstheme="majorBidi"/>
              </w:rPr>
            </w:pPr>
            <w:r w:rsidRPr="001446BE">
              <w:rPr>
                <w:rFonts w:asciiTheme="majorBidi" w:hAnsiTheme="majorBidi" w:cstheme="majorBidi"/>
              </w:rPr>
              <w:t>TSAG RG-</w:t>
            </w:r>
            <w:r w:rsidR="00D513AA" w:rsidRPr="001446BE">
              <w:rPr>
                <w:rFonts w:asciiTheme="majorBidi" w:hAnsiTheme="majorBidi" w:cstheme="majorBidi"/>
              </w:rPr>
              <w:t>CPTRG</w:t>
            </w:r>
            <w:r w:rsidRPr="001446BE">
              <w:rPr>
                <w:rFonts w:asciiTheme="majorBidi" w:hAnsiTheme="majorBidi" w:cstheme="majorBidi"/>
              </w:rPr>
              <w:t>;</w:t>
            </w:r>
            <w:r w:rsidR="00DC0600" w:rsidRPr="001446BE">
              <w:rPr>
                <w:rFonts w:asciiTheme="majorBidi" w:hAnsiTheme="majorBidi" w:cstheme="majorBidi"/>
              </w:rPr>
              <w:t xml:space="preserve"> summary of outcomes</w:t>
            </w:r>
            <w:r w:rsidR="00615B3C">
              <w:rPr>
                <w:rFonts w:asciiTheme="majorBidi" w:hAnsiTheme="majorBidi" w:cstheme="majorBidi"/>
              </w:rPr>
              <w:t>;</w:t>
            </w:r>
          </w:p>
        </w:tc>
      </w:tr>
      <w:tr w:rsidR="00BD77C3" w:rsidRPr="007E6558" w14:paraId="6009EED2" w14:textId="77777777" w:rsidTr="00BD77C3">
        <w:trPr>
          <w:cantSplit/>
          <w:jc w:val="center"/>
        </w:trPr>
        <w:tc>
          <w:tcPr>
            <w:tcW w:w="1616" w:type="dxa"/>
          </w:tcPr>
          <w:p w14:paraId="5F360F77" w14:textId="77777777" w:rsidR="00BD77C3" w:rsidRPr="007E6558" w:rsidRDefault="00BD77C3" w:rsidP="00072059">
            <w:pPr>
              <w:spacing w:before="120" w:after="100" w:afterAutospacing="1"/>
              <w:rPr>
                <w:rFonts w:asciiTheme="majorBidi" w:hAnsiTheme="majorBidi" w:cstheme="majorBidi"/>
                <w:b/>
                <w:bCs/>
                <w:highlight w:val="yellow"/>
              </w:rPr>
            </w:pPr>
            <w:r w:rsidRPr="007E6558">
              <w:rPr>
                <w:rFonts w:asciiTheme="majorBidi" w:hAnsiTheme="majorBidi" w:cstheme="majorBidi"/>
                <w:b/>
                <w:bCs/>
              </w:rPr>
              <w:t>Abstract:</w:t>
            </w:r>
          </w:p>
        </w:tc>
        <w:tc>
          <w:tcPr>
            <w:tcW w:w="8307" w:type="dxa"/>
          </w:tcPr>
          <w:p w14:paraId="37FC2AFD" w14:textId="321D0E49" w:rsidR="00FC69E4" w:rsidRPr="007E6558" w:rsidRDefault="00BD77C3" w:rsidP="00DC0600">
            <w:pPr>
              <w:spacing w:before="120" w:after="100" w:afterAutospacing="1"/>
              <w:rPr>
                <w:rFonts w:asciiTheme="majorBidi" w:hAnsiTheme="majorBidi" w:cstheme="majorBidi"/>
              </w:rPr>
            </w:pPr>
            <w:r w:rsidRPr="007E6558">
              <w:rPr>
                <w:rFonts w:asciiTheme="majorBidi" w:hAnsiTheme="majorBidi" w:cstheme="majorBidi"/>
              </w:rPr>
              <w:t xml:space="preserve">This TD provides the </w:t>
            </w:r>
            <w:r w:rsidR="00DC0600">
              <w:rPr>
                <w:rFonts w:asciiTheme="majorBidi" w:hAnsiTheme="majorBidi" w:cstheme="majorBidi"/>
              </w:rPr>
              <w:t>summary of outcomes</w:t>
            </w:r>
            <w:r w:rsidRPr="007E6558">
              <w:rPr>
                <w:rFonts w:asciiTheme="majorBidi" w:hAnsiTheme="majorBidi" w:cstheme="majorBidi"/>
              </w:rPr>
              <w:t xml:space="preserve"> for </w:t>
            </w:r>
            <w:r w:rsidR="00D513AA" w:rsidRPr="007E6558">
              <w:rPr>
                <w:rFonts w:asciiTheme="majorBidi" w:hAnsiTheme="majorBidi" w:cstheme="majorBidi"/>
              </w:rPr>
              <w:t xml:space="preserve">TSAG </w:t>
            </w:r>
            <w:r w:rsidR="00DC0600" w:rsidRPr="00DC0600">
              <w:rPr>
                <w:rFonts w:asciiTheme="majorBidi" w:hAnsiTheme="majorBidi" w:cstheme="majorBidi"/>
              </w:rPr>
              <w:t>Rapporteur Group on Creation, Participation and Termination of Regional Groups (RG-CPTRG).</w:t>
            </w:r>
          </w:p>
        </w:tc>
      </w:tr>
    </w:tbl>
    <w:p w14:paraId="781BCFFE" w14:textId="5B4043A2" w:rsidR="000D473C" w:rsidRPr="00F52845" w:rsidRDefault="00146C7B" w:rsidP="000D473C">
      <w:pPr>
        <w:spacing w:before="240" w:after="240"/>
        <w:ind w:left="-426" w:right="-472"/>
        <w:rPr>
          <w:rFonts w:asciiTheme="majorBidi" w:hAnsiTheme="majorBidi" w:cstheme="majorBidi"/>
        </w:rPr>
      </w:pPr>
      <w:r w:rsidRPr="00F52845">
        <w:rPr>
          <w:rFonts w:asciiTheme="majorBidi" w:hAnsiTheme="majorBidi" w:cstheme="majorBidi"/>
          <w:b/>
          <w:bCs/>
        </w:rPr>
        <w:t>Action</w:t>
      </w:r>
      <w:r w:rsidR="00CD4ABE" w:rsidRPr="00F52845">
        <w:rPr>
          <w:rFonts w:asciiTheme="majorBidi" w:hAnsiTheme="majorBidi" w:cstheme="majorBidi"/>
        </w:rPr>
        <w:t>:</w:t>
      </w:r>
      <w:r w:rsidR="00CD4ABE" w:rsidRPr="00F52845">
        <w:rPr>
          <w:rFonts w:asciiTheme="majorBidi" w:hAnsiTheme="majorBidi" w:cstheme="majorBidi"/>
        </w:rPr>
        <w:tab/>
      </w:r>
      <w:r w:rsidRPr="00F52845">
        <w:rPr>
          <w:rFonts w:asciiTheme="majorBidi" w:hAnsiTheme="majorBidi" w:cstheme="majorBidi"/>
        </w:rPr>
        <w:t>TSAG</w:t>
      </w:r>
      <w:r w:rsidR="00525F34" w:rsidRPr="00F52845">
        <w:rPr>
          <w:rFonts w:asciiTheme="majorBidi" w:hAnsiTheme="majorBidi" w:cstheme="majorBidi"/>
        </w:rPr>
        <w:t xml:space="preserve"> </w:t>
      </w:r>
      <w:r w:rsidR="00C85BFD" w:rsidRPr="00F52845">
        <w:rPr>
          <w:rFonts w:asciiTheme="majorBidi" w:hAnsiTheme="majorBidi" w:cstheme="majorBidi"/>
        </w:rPr>
        <w:t xml:space="preserve">invited </w:t>
      </w:r>
      <w:r w:rsidR="001F42C5" w:rsidRPr="00F52845">
        <w:rPr>
          <w:rFonts w:asciiTheme="majorBidi" w:hAnsiTheme="majorBidi" w:cstheme="majorBidi"/>
        </w:rPr>
        <w:t xml:space="preserve">to </w:t>
      </w:r>
      <w:r w:rsidR="00F52845">
        <w:rPr>
          <w:rFonts w:asciiTheme="majorBidi" w:hAnsiTheme="majorBidi" w:cstheme="majorBidi"/>
        </w:rPr>
        <w:t>take note of</w:t>
      </w:r>
      <w:r w:rsidR="004E19D6">
        <w:rPr>
          <w:rFonts w:asciiTheme="majorBidi" w:hAnsiTheme="majorBidi" w:cstheme="majorBidi"/>
        </w:rPr>
        <w:t xml:space="preserve"> the</w:t>
      </w:r>
      <w:r w:rsidR="00F52845">
        <w:rPr>
          <w:rFonts w:asciiTheme="majorBidi" w:hAnsiTheme="majorBidi" w:cstheme="majorBidi"/>
        </w:rPr>
        <w:t xml:space="preserve"> </w:t>
      </w:r>
      <w:r w:rsidR="00F52845" w:rsidRPr="00F52845">
        <w:rPr>
          <w:rFonts w:asciiTheme="majorBidi" w:hAnsiTheme="majorBidi" w:cstheme="majorBidi"/>
        </w:rPr>
        <w:t xml:space="preserve">summary </w:t>
      </w:r>
      <w:r w:rsidR="004E19D6">
        <w:rPr>
          <w:rFonts w:asciiTheme="majorBidi" w:hAnsiTheme="majorBidi" w:cstheme="majorBidi"/>
        </w:rPr>
        <w:t xml:space="preserve">of </w:t>
      </w:r>
      <w:r w:rsidR="00F52845" w:rsidRPr="00F52845">
        <w:rPr>
          <w:rFonts w:asciiTheme="majorBidi" w:hAnsiTheme="majorBidi" w:cstheme="majorBidi"/>
        </w:rPr>
        <w:t xml:space="preserve">outcomes </w:t>
      </w:r>
      <w:r w:rsidR="004E19D6">
        <w:rPr>
          <w:rFonts w:asciiTheme="majorBidi" w:hAnsiTheme="majorBidi" w:cstheme="majorBidi"/>
        </w:rPr>
        <w:t>for</w:t>
      </w:r>
      <w:r w:rsidR="00F52845" w:rsidRPr="00F52845">
        <w:rPr>
          <w:rFonts w:asciiTheme="majorBidi" w:hAnsiTheme="majorBidi" w:cstheme="majorBidi"/>
        </w:rPr>
        <w:t xml:space="preserve"> the</w:t>
      </w:r>
      <w:r w:rsidR="00FF7A8F" w:rsidRPr="00F52845">
        <w:rPr>
          <w:rFonts w:asciiTheme="majorBidi" w:hAnsiTheme="majorBidi" w:cstheme="majorBidi"/>
        </w:rPr>
        <w:t xml:space="preserve"> </w:t>
      </w:r>
      <w:r w:rsidR="00312911" w:rsidRPr="00F52845">
        <w:rPr>
          <w:rFonts w:asciiTheme="majorBidi" w:hAnsiTheme="majorBidi" w:cstheme="majorBidi"/>
        </w:rPr>
        <w:t>Rapporteur Group on Creation, Participation and Termination of Regional Groups (RG-CPTRG)</w:t>
      </w:r>
      <w:r w:rsidR="006C3AA2">
        <w:rPr>
          <w:rFonts w:asciiTheme="majorBidi" w:hAnsiTheme="majorBidi" w:cstheme="majorBidi"/>
        </w:rPr>
        <w:t xml:space="preserve"> </w:t>
      </w:r>
      <w:r w:rsidR="009D20CD">
        <w:rPr>
          <w:rFonts w:asciiTheme="majorBidi" w:hAnsiTheme="majorBidi" w:cstheme="majorBidi"/>
        </w:rPr>
        <w:t xml:space="preserve">and to </w:t>
      </w:r>
      <w:r w:rsidR="009D20CD" w:rsidRPr="00312911">
        <w:rPr>
          <w:rFonts w:asciiTheme="majorBidi" w:hAnsiTheme="majorBidi" w:cstheme="majorBidi"/>
        </w:rPr>
        <w:t>consider to</w:t>
      </w:r>
      <w:r w:rsidR="00BA7CF5">
        <w:rPr>
          <w:rFonts w:asciiTheme="majorBidi" w:hAnsiTheme="majorBidi" w:cstheme="majorBidi"/>
        </w:rPr>
        <w:t xml:space="preserve"> </w:t>
      </w:r>
      <w:r w:rsidR="009D20CD" w:rsidRPr="00312911">
        <w:rPr>
          <w:rFonts w:asciiTheme="majorBidi" w:hAnsiTheme="majorBidi" w:cstheme="majorBidi"/>
        </w:rPr>
        <w:t>close the Rapporteur Group on Creation, Participation and Termination of Regional Groups (RG-CPTRG)</w:t>
      </w:r>
      <w:r w:rsidR="00312911" w:rsidRPr="00F52845">
        <w:rPr>
          <w:rFonts w:asciiTheme="majorBidi" w:hAnsiTheme="majorBidi" w:cstheme="majorBidi"/>
        </w:rPr>
        <w:t>.</w:t>
      </w:r>
    </w:p>
    <w:p w14:paraId="56E57A61" w14:textId="086A0B13" w:rsidR="000D473C" w:rsidRPr="00F52845" w:rsidRDefault="000D473C" w:rsidP="000D473C">
      <w:pPr>
        <w:rPr>
          <w:rFonts w:asciiTheme="majorBidi" w:hAnsiTheme="majorBidi" w:cstheme="majorBidi"/>
        </w:rPr>
      </w:pPr>
      <w:r w:rsidRPr="00F52845">
        <w:rPr>
          <w:rFonts w:asciiTheme="majorBidi" w:hAnsiTheme="majorBidi" w:cstheme="majorBidi"/>
        </w:rPr>
        <w:t>The TSAG Rapporteur Group</w:t>
      </w:r>
      <w:r w:rsidRPr="00F52845">
        <w:rPr>
          <w:rFonts w:asciiTheme="majorBidi" w:hAnsiTheme="majorBidi" w:cstheme="majorBidi"/>
          <w:b/>
          <w:bCs/>
        </w:rPr>
        <w:t xml:space="preserve"> </w:t>
      </w:r>
      <w:r w:rsidRPr="00F52845">
        <w:rPr>
          <w:rFonts w:asciiTheme="majorBidi" w:hAnsiTheme="majorBidi" w:cstheme="majorBidi"/>
        </w:rPr>
        <w:t xml:space="preserve">on </w:t>
      </w:r>
      <w:r w:rsidR="00F45BAF" w:rsidRPr="00F52845">
        <w:rPr>
          <w:rFonts w:asciiTheme="majorBidi" w:hAnsiTheme="majorBidi" w:cstheme="majorBidi"/>
        </w:rPr>
        <w:t xml:space="preserve">Creation, Participation and Termination of Regional Groups (RG-CPTRG) </w:t>
      </w:r>
      <w:r w:rsidR="001D7C75">
        <w:rPr>
          <w:rFonts w:asciiTheme="majorBidi" w:hAnsiTheme="majorBidi" w:cstheme="majorBidi"/>
        </w:rPr>
        <w:t xml:space="preserve">is </w:t>
      </w:r>
      <w:r w:rsidRPr="00F52845">
        <w:rPr>
          <w:rFonts w:asciiTheme="majorBidi" w:hAnsiTheme="majorBidi" w:cstheme="majorBidi"/>
        </w:rPr>
        <w:t>pleased to bring to the attention of the TSAG plenary:</w:t>
      </w:r>
    </w:p>
    <w:p w14:paraId="3C94B168" w14:textId="099016A7" w:rsidR="000D473C" w:rsidRDefault="00BB2FA8" w:rsidP="00F52845">
      <w:pPr>
        <w:pStyle w:val="ListParagraph"/>
        <w:numPr>
          <w:ilvl w:val="0"/>
          <w:numId w:val="33"/>
        </w:numPr>
        <w:rPr>
          <w:rFonts w:asciiTheme="majorBidi" w:hAnsiTheme="majorBidi" w:cstheme="majorBidi"/>
        </w:rPr>
      </w:pPr>
      <w:r w:rsidRPr="00F52845">
        <w:rPr>
          <w:rFonts w:asciiTheme="majorBidi" w:hAnsiTheme="majorBidi" w:cstheme="majorBidi"/>
          <w:b/>
          <w:bCs/>
        </w:rPr>
        <w:t>TSAG to take note</w:t>
      </w:r>
      <w:r w:rsidR="000D473C" w:rsidRPr="00F52845">
        <w:rPr>
          <w:rFonts w:asciiTheme="majorBidi" w:hAnsiTheme="majorBidi" w:cstheme="majorBidi"/>
          <w:b/>
          <w:bCs/>
        </w:rPr>
        <w:t xml:space="preserve"> </w:t>
      </w:r>
      <w:r w:rsidR="00F52845" w:rsidRPr="00F52845">
        <w:rPr>
          <w:rFonts w:asciiTheme="majorBidi" w:hAnsiTheme="majorBidi" w:cstheme="majorBidi"/>
        </w:rPr>
        <w:t xml:space="preserve">of the summary outcomes </w:t>
      </w:r>
      <w:r w:rsidR="004E19D6">
        <w:rPr>
          <w:rFonts w:asciiTheme="majorBidi" w:hAnsiTheme="majorBidi" w:cstheme="majorBidi"/>
        </w:rPr>
        <w:t>for</w:t>
      </w:r>
      <w:r w:rsidR="00F52845" w:rsidRPr="00F52845">
        <w:rPr>
          <w:rFonts w:asciiTheme="majorBidi" w:hAnsiTheme="majorBidi" w:cstheme="majorBidi"/>
        </w:rPr>
        <w:t xml:space="preserve"> the Rapporteur Group on Creation, Participation and Termination of Regional Groups (RG-CPTRG).</w:t>
      </w:r>
    </w:p>
    <w:p w14:paraId="4A30149C" w14:textId="6C733A6B" w:rsidR="00C005BA" w:rsidRPr="00BB2FA8" w:rsidRDefault="00C005BA" w:rsidP="00C005BA">
      <w:pPr>
        <w:pStyle w:val="ListParagraph"/>
        <w:numPr>
          <w:ilvl w:val="0"/>
          <w:numId w:val="33"/>
        </w:numPr>
        <w:rPr>
          <w:rFonts w:asciiTheme="majorBidi" w:hAnsiTheme="majorBidi" w:cstheme="majorBidi"/>
        </w:rPr>
      </w:pPr>
      <w:r>
        <w:rPr>
          <w:rFonts w:asciiTheme="majorBidi" w:hAnsiTheme="majorBidi" w:cstheme="majorBidi"/>
          <w:b/>
          <w:bCs/>
        </w:rPr>
        <w:t xml:space="preserve">TSAG to consider </w:t>
      </w:r>
      <w:r w:rsidRPr="00994C5B">
        <w:rPr>
          <w:rFonts w:asciiTheme="majorBidi" w:hAnsiTheme="majorBidi" w:cstheme="majorBidi"/>
          <w:bCs/>
        </w:rPr>
        <w:t>to</w:t>
      </w:r>
      <w:r w:rsidR="007B0525">
        <w:rPr>
          <w:rFonts w:asciiTheme="majorBidi" w:hAnsiTheme="majorBidi" w:cstheme="majorBidi"/>
          <w:bCs/>
        </w:rPr>
        <w:t xml:space="preserve"> </w:t>
      </w:r>
      <w:r w:rsidRPr="00994C5B">
        <w:rPr>
          <w:rFonts w:asciiTheme="majorBidi" w:hAnsiTheme="majorBidi" w:cstheme="majorBidi"/>
          <w:bCs/>
        </w:rPr>
        <w:t>close the Rapporteur Group on Creation, Participation and Termination of Regional Groups (RG-CPTRG)</w:t>
      </w:r>
      <w:r>
        <w:rPr>
          <w:rFonts w:asciiTheme="majorBidi" w:hAnsiTheme="majorBidi" w:cstheme="majorBidi"/>
          <w:bCs/>
        </w:rPr>
        <w:t>.</w:t>
      </w:r>
    </w:p>
    <w:p w14:paraId="3499887D" w14:textId="61A05EC9" w:rsidR="00F52845" w:rsidRDefault="00F52845">
      <w:pPr>
        <w:spacing w:after="160" w:line="259" w:lineRule="auto"/>
        <w:rPr>
          <w:rFonts w:asciiTheme="majorBidi" w:hAnsiTheme="majorBidi" w:cstheme="majorBidi"/>
          <w:b/>
          <w:bCs/>
        </w:rPr>
      </w:pPr>
      <w:r>
        <w:rPr>
          <w:rFonts w:asciiTheme="majorBidi" w:hAnsiTheme="majorBidi" w:cstheme="majorBidi"/>
          <w:b/>
          <w:bCs/>
        </w:rPr>
        <w:br w:type="page"/>
      </w:r>
    </w:p>
    <w:p w14:paraId="406D0B0E" w14:textId="3E008275" w:rsidR="000D473C" w:rsidRPr="007E6558" w:rsidRDefault="000D473C" w:rsidP="000D473C">
      <w:pPr>
        <w:rPr>
          <w:rFonts w:asciiTheme="majorBidi" w:hAnsiTheme="majorBidi" w:cstheme="majorBidi"/>
          <w:b/>
          <w:bCs/>
        </w:rPr>
      </w:pPr>
      <w:r w:rsidRPr="007E6558">
        <w:rPr>
          <w:rFonts w:asciiTheme="majorBidi" w:hAnsiTheme="majorBidi" w:cstheme="majorBidi"/>
          <w:b/>
          <w:bCs/>
        </w:rPr>
        <w:lastRenderedPageBreak/>
        <w:t>1</w:t>
      </w:r>
      <w:r w:rsidRPr="007E6558">
        <w:rPr>
          <w:rFonts w:asciiTheme="majorBidi" w:hAnsiTheme="majorBidi" w:cstheme="majorBidi"/>
          <w:b/>
          <w:bCs/>
        </w:rPr>
        <w:tab/>
      </w:r>
      <w:r w:rsidR="00E666BE" w:rsidRPr="0032604B">
        <w:rPr>
          <w:rFonts w:asciiTheme="majorBidi" w:hAnsiTheme="majorBidi" w:cstheme="majorBidi"/>
          <w:b/>
          <w:bCs/>
        </w:rPr>
        <w:t>Terms of Reference of RG-CPTRG</w:t>
      </w:r>
    </w:p>
    <w:p w14:paraId="16041AD1" w14:textId="6204DEA2" w:rsidR="000D473C" w:rsidRDefault="000D473C" w:rsidP="00080977">
      <w:pPr>
        <w:spacing w:before="120"/>
        <w:rPr>
          <w:rStyle w:val="Hyperlink"/>
          <w:color w:val="auto"/>
          <w:u w:val="none"/>
        </w:rPr>
      </w:pPr>
      <w:r w:rsidRPr="007E6558">
        <w:rPr>
          <w:rFonts w:asciiTheme="majorBidi" w:hAnsiTheme="majorBidi" w:cstheme="majorBidi"/>
        </w:rPr>
        <w:t xml:space="preserve">The </w:t>
      </w:r>
      <w:r w:rsidR="00E22B81" w:rsidRPr="007E6558">
        <w:rPr>
          <w:rFonts w:asciiTheme="majorBidi" w:hAnsiTheme="majorBidi" w:cstheme="majorBidi"/>
        </w:rPr>
        <w:t>Rapporteur Group on</w:t>
      </w:r>
      <w:r w:rsidR="00E22B81">
        <w:rPr>
          <w:rFonts w:asciiTheme="majorBidi" w:hAnsiTheme="majorBidi" w:cstheme="majorBidi"/>
        </w:rPr>
        <w:t xml:space="preserve"> Creation, Participation and Termination of</w:t>
      </w:r>
      <w:r w:rsidR="0033307B">
        <w:rPr>
          <w:rFonts w:asciiTheme="majorBidi" w:hAnsiTheme="majorBidi" w:cstheme="majorBidi"/>
        </w:rPr>
        <w:t xml:space="preserve"> Regional Groups (RG-CPTRG) </w:t>
      </w:r>
      <w:r w:rsidR="00483DD0">
        <w:rPr>
          <w:rFonts w:asciiTheme="majorBidi" w:hAnsiTheme="majorBidi" w:cstheme="majorBidi"/>
        </w:rPr>
        <w:t xml:space="preserve">functioned </w:t>
      </w:r>
      <w:r w:rsidR="00AE2387">
        <w:rPr>
          <w:rFonts w:asciiTheme="majorBidi" w:hAnsiTheme="majorBidi" w:cstheme="majorBidi"/>
        </w:rPr>
        <w:t>under</w:t>
      </w:r>
      <w:r w:rsidR="00483DD0">
        <w:rPr>
          <w:rFonts w:asciiTheme="majorBidi" w:hAnsiTheme="majorBidi" w:cstheme="majorBidi"/>
        </w:rPr>
        <w:t xml:space="preserve"> the Terms of Reference</w:t>
      </w:r>
      <w:r w:rsidR="00D82DCF">
        <w:rPr>
          <w:rFonts w:asciiTheme="majorBidi" w:hAnsiTheme="majorBidi" w:cstheme="majorBidi"/>
        </w:rPr>
        <w:t xml:space="preserve"> as contained </w:t>
      </w:r>
      <w:bookmarkStart w:id="7" w:name="_GoBack"/>
      <w:bookmarkEnd w:id="7"/>
      <w:r w:rsidR="00D82DCF">
        <w:rPr>
          <w:rFonts w:asciiTheme="majorBidi" w:hAnsiTheme="majorBidi" w:cstheme="majorBidi"/>
        </w:rPr>
        <w:t xml:space="preserve">in Annex A. The </w:t>
      </w:r>
      <w:proofErr w:type="spellStart"/>
      <w:r w:rsidR="00D82DCF">
        <w:rPr>
          <w:rFonts w:asciiTheme="majorBidi" w:hAnsiTheme="majorBidi" w:cstheme="majorBidi"/>
        </w:rPr>
        <w:t>ToR</w:t>
      </w:r>
      <w:proofErr w:type="spellEnd"/>
      <w:r w:rsidR="00BA234C">
        <w:rPr>
          <w:rFonts w:asciiTheme="majorBidi" w:hAnsiTheme="majorBidi" w:cstheme="majorBidi"/>
        </w:rPr>
        <w:t>,</w:t>
      </w:r>
      <w:r w:rsidR="00D82DCF">
        <w:rPr>
          <w:rFonts w:asciiTheme="majorBidi" w:hAnsiTheme="majorBidi" w:cstheme="majorBidi"/>
        </w:rPr>
        <w:t xml:space="preserve"> </w:t>
      </w:r>
      <w:r w:rsidR="00E2729B">
        <w:rPr>
          <w:rFonts w:asciiTheme="majorBidi" w:hAnsiTheme="majorBidi" w:cstheme="majorBidi"/>
        </w:rPr>
        <w:t xml:space="preserve">which can be </w:t>
      </w:r>
      <w:r w:rsidR="00D82DCF">
        <w:rPr>
          <w:rFonts w:asciiTheme="majorBidi" w:hAnsiTheme="majorBidi" w:cstheme="majorBidi"/>
        </w:rPr>
        <w:t xml:space="preserve">also be found in </w:t>
      </w:r>
      <w:hyperlink r:id="rId11" w:history="1">
        <w:r w:rsidR="0010163A" w:rsidRPr="00FC69E4">
          <w:rPr>
            <w:rStyle w:val="Hyperlink"/>
          </w:rPr>
          <w:t>TD4</w:t>
        </w:r>
        <w:r w:rsidR="0010163A">
          <w:rPr>
            <w:rStyle w:val="Hyperlink"/>
          </w:rPr>
          <w:t>29-R2</w:t>
        </w:r>
      </w:hyperlink>
      <w:r w:rsidR="00BA234C" w:rsidRPr="00BA234C">
        <w:rPr>
          <w:rStyle w:val="Hyperlink"/>
          <w:color w:val="auto"/>
          <w:u w:val="none"/>
        </w:rPr>
        <w:t>,</w:t>
      </w:r>
      <w:r w:rsidR="00E2729B">
        <w:rPr>
          <w:rStyle w:val="Hyperlink"/>
          <w:color w:val="auto"/>
          <w:u w:val="none"/>
        </w:rPr>
        <w:t xml:space="preserve"> was approved</w:t>
      </w:r>
      <w:r w:rsidR="004933E5">
        <w:rPr>
          <w:rStyle w:val="Hyperlink"/>
          <w:color w:val="auto"/>
          <w:u w:val="none"/>
        </w:rPr>
        <w:t xml:space="preserve"> by TSAG</w:t>
      </w:r>
      <w:r w:rsidR="00E2729B">
        <w:rPr>
          <w:rStyle w:val="Hyperlink"/>
          <w:color w:val="auto"/>
          <w:u w:val="none"/>
        </w:rPr>
        <w:t xml:space="preserve"> </w:t>
      </w:r>
      <w:r w:rsidR="004933E5">
        <w:rPr>
          <w:rStyle w:val="Hyperlink"/>
          <w:color w:val="auto"/>
          <w:u w:val="none"/>
        </w:rPr>
        <w:t>after the first two meetings</w:t>
      </w:r>
      <w:r w:rsidR="0010163A" w:rsidRPr="0010163A">
        <w:rPr>
          <w:rStyle w:val="Hyperlink"/>
          <w:color w:val="auto"/>
          <w:u w:val="none"/>
        </w:rPr>
        <w:t>.</w:t>
      </w:r>
      <w:r w:rsidR="003641D3">
        <w:rPr>
          <w:rStyle w:val="Hyperlink"/>
          <w:color w:val="auto"/>
          <w:u w:val="none"/>
        </w:rPr>
        <w:t xml:space="preserve"> </w:t>
      </w:r>
    </w:p>
    <w:p w14:paraId="4EDD0D66" w14:textId="711D7D96" w:rsidR="00736116" w:rsidRDefault="00D26DF3" w:rsidP="00045473">
      <w:pPr>
        <w:spacing w:before="120" w:after="60"/>
        <w:rPr>
          <w:rFonts w:asciiTheme="majorBidi" w:hAnsiTheme="majorBidi" w:cstheme="majorBidi"/>
        </w:rPr>
      </w:pPr>
      <w:r>
        <w:rPr>
          <w:rFonts w:asciiTheme="majorBidi" w:hAnsiTheme="majorBidi" w:cstheme="majorBidi"/>
        </w:rPr>
        <w:t>RG-CPTRG was formed</w:t>
      </w:r>
      <w:r w:rsidR="00D31FC6">
        <w:rPr>
          <w:rFonts w:asciiTheme="majorBidi" w:hAnsiTheme="majorBidi" w:cstheme="majorBidi"/>
        </w:rPr>
        <w:t xml:space="preserve"> </w:t>
      </w:r>
      <w:r w:rsidR="004872AE">
        <w:rPr>
          <w:rFonts w:asciiTheme="majorBidi" w:hAnsiTheme="majorBidi" w:cstheme="majorBidi"/>
        </w:rPr>
        <w:t>by TSAG after</w:t>
      </w:r>
      <w:r>
        <w:rPr>
          <w:rFonts w:asciiTheme="majorBidi" w:hAnsiTheme="majorBidi" w:cstheme="majorBidi"/>
        </w:rPr>
        <w:t xml:space="preserve"> </w:t>
      </w:r>
      <w:r w:rsidR="001C0C52">
        <w:rPr>
          <w:rFonts w:asciiTheme="majorBidi" w:hAnsiTheme="majorBidi" w:cstheme="majorBidi"/>
        </w:rPr>
        <w:t>discussions on contributions</w:t>
      </w:r>
      <w:r w:rsidR="00ED7AD2">
        <w:rPr>
          <w:rFonts w:asciiTheme="majorBidi" w:hAnsiTheme="majorBidi" w:cstheme="majorBidi"/>
        </w:rPr>
        <w:t xml:space="preserve"> below</w:t>
      </w:r>
      <w:r w:rsidR="00736116">
        <w:rPr>
          <w:rFonts w:asciiTheme="majorBidi" w:hAnsiTheme="majorBidi" w:cstheme="majorBidi"/>
        </w:rPr>
        <w:t>:</w:t>
      </w:r>
    </w:p>
    <w:tbl>
      <w:tblPr>
        <w:tblStyle w:val="TableGrid"/>
        <w:tblW w:w="0" w:type="auto"/>
        <w:tblLook w:val="04A0" w:firstRow="1" w:lastRow="0" w:firstColumn="1" w:lastColumn="0" w:noHBand="0" w:noVBand="1"/>
      </w:tblPr>
      <w:tblGrid>
        <w:gridCol w:w="988"/>
        <w:gridCol w:w="2835"/>
        <w:gridCol w:w="5103"/>
      </w:tblGrid>
      <w:tr w:rsidR="00045473" w:rsidRPr="00E53C01" w14:paraId="7FC2BA9E" w14:textId="77777777" w:rsidTr="00045473">
        <w:tc>
          <w:tcPr>
            <w:tcW w:w="988" w:type="dxa"/>
            <w:vAlign w:val="center"/>
          </w:tcPr>
          <w:p w14:paraId="24D61CB1" w14:textId="77777777" w:rsidR="00045473" w:rsidRPr="00315E2E" w:rsidRDefault="00045473" w:rsidP="00A42E99">
            <w:pPr>
              <w:spacing w:before="60" w:after="60"/>
              <w:jc w:val="center"/>
            </w:pPr>
            <w:r w:rsidRPr="00315E2E">
              <w:rPr>
                <w:i/>
              </w:rPr>
              <w:t>C</w:t>
            </w:r>
          </w:p>
        </w:tc>
        <w:tc>
          <w:tcPr>
            <w:tcW w:w="2835" w:type="dxa"/>
            <w:vAlign w:val="center"/>
          </w:tcPr>
          <w:p w14:paraId="45178446" w14:textId="77777777" w:rsidR="00045473" w:rsidRPr="00315E2E" w:rsidRDefault="00045473" w:rsidP="00A42E99">
            <w:pPr>
              <w:spacing w:before="60" w:after="60"/>
              <w:jc w:val="center"/>
            </w:pPr>
            <w:r w:rsidRPr="00315E2E">
              <w:rPr>
                <w:i/>
              </w:rPr>
              <w:t>Source</w:t>
            </w:r>
          </w:p>
        </w:tc>
        <w:tc>
          <w:tcPr>
            <w:tcW w:w="5103" w:type="dxa"/>
          </w:tcPr>
          <w:p w14:paraId="323A4055" w14:textId="77777777" w:rsidR="00045473" w:rsidRPr="00315E2E" w:rsidRDefault="00045473" w:rsidP="00A42E99">
            <w:pPr>
              <w:spacing w:before="60" w:after="60"/>
              <w:jc w:val="center"/>
            </w:pPr>
            <w:r w:rsidRPr="00315E2E">
              <w:rPr>
                <w:i/>
              </w:rPr>
              <w:t>Title</w:t>
            </w:r>
          </w:p>
        </w:tc>
      </w:tr>
      <w:tr w:rsidR="00045473" w:rsidRPr="00E53C01" w14:paraId="47429587" w14:textId="77777777" w:rsidTr="00045473">
        <w:tc>
          <w:tcPr>
            <w:tcW w:w="988" w:type="dxa"/>
            <w:vAlign w:val="center"/>
          </w:tcPr>
          <w:p w14:paraId="4077DE6B" w14:textId="77777777" w:rsidR="00045473" w:rsidRPr="00315E2E" w:rsidRDefault="00615B3C" w:rsidP="00A42E99">
            <w:pPr>
              <w:spacing w:before="60" w:after="60"/>
              <w:jc w:val="center"/>
            </w:pPr>
            <w:hyperlink r:id="rId12" w:history="1">
              <w:r w:rsidR="00045473" w:rsidRPr="00315E2E">
                <w:rPr>
                  <w:rStyle w:val="Hyperlink"/>
                </w:rPr>
                <w:t>C55</w:t>
              </w:r>
            </w:hyperlink>
          </w:p>
        </w:tc>
        <w:tc>
          <w:tcPr>
            <w:tcW w:w="2835" w:type="dxa"/>
            <w:vAlign w:val="center"/>
          </w:tcPr>
          <w:p w14:paraId="519C911A" w14:textId="77777777" w:rsidR="00045473" w:rsidRPr="00315E2E" w:rsidRDefault="00045473" w:rsidP="00A42E99">
            <w:pPr>
              <w:spacing w:before="60" w:after="60"/>
              <w:jc w:val="center"/>
              <w:rPr>
                <w:i/>
              </w:rPr>
            </w:pPr>
            <w:r w:rsidRPr="00315E2E">
              <w:t>GSMA</w:t>
            </w:r>
          </w:p>
        </w:tc>
        <w:tc>
          <w:tcPr>
            <w:tcW w:w="5103" w:type="dxa"/>
          </w:tcPr>
          <w:p w14:paraId="7E77714D" w14:textId="77777777" w:rsidR="00045473" w:rsidRPr="00315E2E" w:rsidRDefault="00045473" w:rsidP="00A42E99">
            <w:pPr>
              <w:spacing w:before="60" w:after="60"/>
            </w:pPr>
            <w:r w:rsidRPr="00315E2E">
              <w:t>TSAG to progress ITU Plenipotentiary 2018 Proposal on rights and obligations of the various categories of membership and participation in the work of ITU-T</w:t>
            </w:r>
          </w:p>
        </w:tc>
      </w:tr>
      <w:tr w:rsidR="00045473" w:rsidRPr="00E53C01" w14:paraId="38740D18" w14:textId="77777777" w:rsidTr="00045473">
        <w:tc>
          <w:tcPr>
            <w:tcW w:w="988" w:type="dxa"/>
            <w:vAlign w:val="center"/>
          </w:tcPr>
          <w:p w14:paraId="24423E7C" w14:textId="77777777" w:rsidR="00045473" w:rsidRPr="00315E2E" w:rsidRDefault="00615B3C" w:rsidP="00A42E99">
            <w:pPr>
              <w:spacing w:before="60" w:after="60"/>
              <w:jc w:val="center"/>
            </w:pPr>
            <w:hyperlink r:id="rId13" w:history="1">
              <w:r w:rsidR="00045473" w:rsidRPr="00315E2E">
                <w:rPr>
                  <w:rStyle w:val="Hyperlink"/>
                </w:rPr>
                <w:t>C56</w:t>
              </w:r>
            </w:hyperlink>
          </w:p>
        </w:tc>
        <w:tc>
          <w:tcPr>
            <w:tcW w:w="2835" w:type="dxa"/>
            <w:vAlign w:val="center"/>
          </w:tcPr>
          <w:p w14:paraId="1C63DCE9" w14:textId="77777777" w:rsidR="00045473" w:rsidRPr="00315E2E" w:rsidRDefault="00045473" w:rsidP="00A42E99">
            <w:pPr>
              <w:spacing w:before="60" w:after="60"/>
              <w:jc w:val="center"/>
            </w:pPr>
            <w:r w:rsidRPr="00315E2E">
              <w:t>United States of America</w:t>
            </w:r>
          </w:p>
        </w:tc>
        <w:tc>
          <w:tcPr>
            <w:tcW w:w="5103" w:type="dxa"/>
          </w:tcPr>
          <w:p w14:paraId="3E1EA385" w14:textId="77777777" w:rsidR="00045473" w:rsidRPr="00315E2E" w:rsidRDefault="00045473" w:rsidP="00A42E99">
            <w:pPr>
              <w:spacing w:before="60" w:after="60"/>
            </w:pPr>
            <w:r w:rsidRPr="00315E2E">
              <w:t>TSAG's role in clarifying the criteria for the creation of, participation in, and termination of regional groups of Study Groups</w:t>
            </w:r>
          </w:p>
        </w:tc>
      </w:tr>
      <w:tr w:rsidR="00045473" w:rsidRPr="00E53C01" w14:paraId="7F9D29A1" w14:textId="77777777" w:rsidTr="00045473">
        <w:tc>
          <w:tcPr>
            <w:tcW w:w="988" w:type="dxa"/>
            <w:vAlign w:val="center"/>
          </w:tcPr>
          <w:p w14:paraId="12495AF2" w14:textId="77777777" w:rsidR="00045473" w:rsidRPr="00315E2E" w:rsidRDefault="00615B3C" w:rsidP="00A42E99">
            <w:pPr>
              <w:spacing w:before="60" w:after="60"/>
              <w:jc w:val="center"/>
            </w:pPr>
            <w:hyperlink r:id="rId14" w:history="1">
              <w:r w:rsidR="00045473" w:rsidRPr="00315E2E">
                <w:rPr>
                  <w:rStyle w:val="Hyperlink"/>
                </w:rPr>
                <w:t>C61</w:t>
              </w:r>
            </w:hyperlink>
          </w:p>
        </w:tc>
        <w:tc>
          <w:tcPr>
            <w:tcW w:w="2835" w:type="dxa"/>
            <w:vAlign w:val="center"/>
          </w:tcPr>
          <w:p w14:paraId="2332BD19" w14:textId="77777777" w:rsidR="00045473" w:rsidRPr="00315E2E" w:rsidRDefault="00045473" w:rsidP="00A42E99">
            <w:pPr>
              <w:spacing w:before="60" w:after="60"/>
              <w:jc w:val="center"/>
              <w:rPr>
                <w:i/>
              </w:rPr>
            </w:pPr>
            <w:r w:rsidRPr="00315E2E">
              <w:t>Brazil</w:t>
            </w:r>
          </w:p>
        </w:tc>
        <w:tc>
          <w:tcPr>
            <w:tcW w:w="5103" w:type="dxa"/>
          </w:tcPr>
          <w:p w14:paraId="6C8D30FC" w14:textId="77777777" w:rsidR="00045473" w:rsidRPr="00315E2E" w:rsidRDefault="00045473" w:rsidP="00A42E99">
            <w:pPr>
              <w:spacing w:before="60" w:after="60"/>
            </w:pPr>
            <w:r w:rsidRPr="00315E2E">
              <w:t>Proposal for TSAG to establish an ad-hoc group to clarify criteria for creation, participation and termination of regional groups</w:t>
            </w:r>
          </w:p>
        </w:tc>
      </w:tr>
    </w:tbl>
    <w:p w14:paraId="66CC6755" w14:textId="521EEACC" w:rsidR="005509E9" w:rsidRDefault="000A0D66" w:rsidP="00080977">
      <w:pPr>
        <w:spacing w:before="120"/>
        <w:rPr>
          <w:rFonts w:asciiTheme="majorBidi" w:hAnsiTheme="majorBidi" w:cstheme="majorBidi"/>
          <w:bCs/>
        </w:rPr>
      </w:pPr>
      <w:r w:rsidRPr="00D77AC0">
        <w:rPr>
          <w:rFonts w:asciiTheme="majorBidi" w:hAnsiTheme="majorBidi" w:cstheme="majorBidi"/>
        </w:rPr>
        <w:t xml:space="preserve">TSB presented </w:t>
      </w:r>
      <w:hyperlink r:id="rId15" w:history="1">
        <w:r w:rsidRPr="00BA234C">
          <w:rPr>
            <w:rStyle w:val="Hyperlink"/>
            <w:rFonts w:asciiTheme="majorBidi" w:hAnsiTheme="majorBidi" w:cstheme="majorBidi"/>
          </w:rPr>
          <w:t>TD427</w:t>
        </w:r>
      </w:hyperlink>
      <w:r w:rsidRPr="00D77AC0">
        <w:rPr>
          <w:rFonts w:asciiTheme="majorBidi" w:hAnsiTheme="majorBidi" w:cstheme="majorBidi"/>
        </w:rPr>
        <w:t xml:space="preserve"> containing</w:t>
      </w:r>
      <w:r w:rsidRPr="00D77AC0">
        <w:t xml:space="preserve"> </w:t>
      </w:r>
      <w:r w:rsidRPr="00D77AC0">
        <w:rPr>
          <w:rFonts w:asciiTheme="majorBidi" w:hAnsiTheme="majorBidi" w:cstheme="majorBidi"/>
        </w:rPr>
        <w:t>information on the governing texts on the creation and participation in IT</w:t>
      </w:r>
      <w:r>
        <w:rPr>
          <w:rFonts w:asciiTheme="majorBidi" w:hAnsiTheme="majorBidi" w:cstheme="majorBidi"/>
        </w:rPr>
        <w:t>U-T Regional groups and provided</w:t>
      </w:r>
      <w:r w:rsidRPr="00D77AC0">
        <w:rPr>
          <w:rFonts w:asciiTheme="majorBidi" w:hAnsiTheme="majorBidi" w:cstheme="majorBidi"/>
        </w:rPr>
        <w:t xml:space="preserve"> a list of Regional Groups of ITU-T SGs</w:t>
      </w:r>
      <w:r>
        <w:rPr>
          <w:rFonts w:asciiTheme="majorBidi" w:hAnsiTheme="majorBidi" w:cstheme="majorBidi"/>
        </w:rPr>
        <w:t>.</w:t>
      </w:r>
    </w:p>
    <w:p w14:paraId="67C77442" w14:textId="4918EBA5" w:rsidR="00D82DCF" w:rsidRPr="00D82DCF" w:rsidRDefault="00D82DCF" w:rsidP="00AA062E">
      <w:pPr>
        <w:rPr>
          <w:rFonts w:asciiTheme="majorBidi" w:hAnsiTheme="majorBidi" w:cstheme="majorBidi"/>
        </w:rPr>
      </w:pPr>
    </w:p>
    <w:p w14:paraId="368589E9" w14:textId="3C41A5A0" w:rsidR="000D473C" w:rsidRPr="007E6558" w:rsidRDefault="000D473C" w:rsidP="000D473C">
      <w:pPr>
        <w:rPr>
          <w:rFonts w:asciiTheme="majorBidi" w:hAnsiTheme="majorBidi" w:cstheme="majorBidi"/>
          <w:b/>
          <w:bCs/>
        </w:rPr>
      </w:pPr>
      <w:r w:rsidRPr="007E6558">
        <w:rPr>
          <w:rFonts w:asciiTheme="majorBidi" w:hAnsiTheme="majorBidi" w:cstheme="majorBidi"/>
          <w:b/>
          <w:bCs/>
        </w:rPr>
        <w:t>2</w:t>
      </w:r>
      <w:r w:rsidRPr="007E6558">
        <w:rPr>
          <w:rFonts w:asciiTheme="majorBidi" w:hAnsiTheme="majorBidi" w:cstheme="majorBidi"/>
          <w:b/>
          <w:bCs/>
        </w:rPr>
        <w:tab/>
      </w:r>
      <w:r w:rsidR="00E666BE" w:rsidRPr="0032604B">
        <w:rPr>
          <w:rFonts w:asciiTheme="majorBidi" w:hAnsiTheme="majorBidi" w:cstheme="majorBidi"/>
          <w:b/>
          <w:bCs/>
        </w:rPr>
        <w:t>Meetings of RG-CPTRG</w:t>
      </w:r>
    </w:p>
    <w:p w14:paraId="658D6054" w14:textId="0F6F28FF" w:rsidR="00844CCA" w:rsidRDefault="00B703BD" w:rsidP="00045473">
      <w:pPr>
        <w:spacing w:before="120" w:after="60"/>
        <w:rPr>
          <w:rFonts w:asciiTheme="majorBidi" w:hAnsiTheme="majorBidi" w:cstheme="majorBidi"/>
        </w:rPr>
      </w:pPr>
      <w:r w:rsidRPr="007E6558">
        <w:rPr>
          <w:rFonts w:asciiTheme="majorBidi" w:hAnsiTheme="majorBidi" w:cstheme="majorBidi"/>
        </w:rPr>
        <w:t xml:space="preserve">The Rapporteur Group </w:t>
      </w:r>
      <w:r w:rsidR="00D03F2F">
        <w:rPr>
          <w:rFonts w:asciiTheme="majorBidi" w:hAnsiTheme="majorBidi" w:cstheme="majorBidi"/>
        </w:rPr>
        <w:t xml:space="preserve">met at the following TSAG meetings. </w:t>
      </w:r>
    </w:p>
    <w:tbl>
      <w:tblPr>
        <w:tblStyle w:val="TableGrid"/>
        <w:tblW w:w="8784" w:type="dxa"/>
        <w:tblLook w:val="04A0" w:firstRow="1" w:lastRow="0" w:firstColumn="1" w:lastColumn="0" w:noHBand="0" w:noVBand="1"/>
      </w:tblPr>
      <w:tblGrid>
        <w:gridCol w:w="5665"/>
        <w:gridCol w:w="1559"/>
        <w:gridCol w:w="1560"/>
      </w:tblGrid>
      <w:tr w:rsidR="00D03F2F" w14:paraId="57145402" w14:textId="77777777" w:rsidTr="0032604B">
        <w:tc>
          <w:tcPr>
            <w:tcW w:w="5665" w:type="dxa"/>
          </w:tcPr>
          <w:p w14:paraId="74BC40D5" w14:textId="19D8DC9E" w:rsidR="00D03F2F" w:rsidRPr="00D03F2F" w:rsidRDefault="00D03F2F" w:rsidP="00D03F2F">
            <w:pPr>
              <w:spacing w:before="60" w:after="60"/>
              <w:jc w:val="center"/>
              <w:rPr>
                <w:rFonts w:asciiTheme="majorBidi" w:hAnsiTheme="majorBidi" w:cstheme="majorBidi"/>
                <w:i/>
              </w:rPr>
            </w:pPr>
            <w:r w:rsidRPr="00D03F2F">
              <w:rPr>
                <w:rFonts w:asciiTheme="majorBidi" w:hAnsiTheme="majorBidi" w:cstheme="majorBidi"/>
                <w:i/>
              </w:rPr>
              <w:t>Meeting Date &amp; Time</w:t>
            </w:r>
          </w:p>
        </w:tc>
        <w:tc>
          <w:tcPr>
            <w:tcW w:w="1559" w:type="dxa"/>
          </w:tcPr>
          <w:p w14:paraId="77495B4F" w14:textId="0BB84B53" w:rsidR="00D03F2F" w:rsidRPr="00D03F2F" w:rsidRDefault="00D03F2F" w:rsidP="00D03F2F">
            <w:pPr>
              <w:spacing w:before="60" w:after="60"/>
              <w:jc w:val="center"/>
              <w:rPr>
                <w:rFonts w:asciiTheme="majorBidi" w:hAnsiTheme="majorBidi" w:cstheme="majorBidi"/>
                <w:i/>
              </w:rPr>
            </w:pPr>
            <w:r w:rsidRPr="00D03F2F">
              <w:rPr>
                <w:rFonts w:asciiTheme="majorBidi" w:hAnsiTheme="majorBidi" w:cstheme="majorBidi"/>
                <w:i/>
              </w:rPr>
              <w:t>Agenda</w:t>
            </w:r>
          </w:p>
        </w:tc>
        <w:tc>
          <w:tcPr>
            <w:tcW w:w="1560" w:type="dxa"/>
          </w:tcPr>
          <w:p w14:paraId="5440DABC" w14:textId="3B78C955" w:rsidR="00D03F2F" w:rsidRPr="00D03F2F" w:rsidRDefault="00D03F2F" w:rsidP="00D03F2F">
            <w:pPr>
              <w:spacing w:before="60" w:after="60"/>
              <w:jc w:val="center"/>
              <w:rPr>
                <w:rFonts w:asciiTheme="majorBidi" w:hAnsiTheme="majorBidi" w:cstheme="majorBidi"/>
                <w:i/>
              </w:rPr>
            </w:pPr>
            <w:r w:rsidRPr="00D03F2F">
              <w:rPr>
                <w:rFonts w:asciiTheme="majorBidi" w:hAnsiTheme="majorBidi" w:cstheme="majorBidi"/>
                <w:i/>
              </w:rPr>
              <w:t>Report</w:t>
            </w:r>
          </w:p>
        </w:tc>
      </w:tr>
      <w:tr w:rsidR="0033307B" w14:paraId="177E5341" w14:textId="77777777" w:rsidTr="0033307B">
        <w:tc>
          <w:tcPr>
            <w:tcW w:w="5665" w:type="dxa"/>
          </w:tcPr>
          <w:p w14:paraId="16FBF947" w14:textId="66494D7F" w:rsidR="0033307B" w:rsidRDefault="0033307B" w:rsidP="0033307B">
            <w:pPr>
              <w:spacing w:before="60" w:after="60"/>
              <w:jc w:val="center"/>
              <w:rPr>
                <w:rFonts w:asciiTheme="majorBidi" w:hAnsiTheme="majorBidi" w:cstheme="majorBidi"/>
              </w:rPr>
            </w:pPr>
            <w:r>
              <w:rPr>
                <w:rFonts w:asciiTheme="majorBidi" w:hAnsiTheme="majorBidi" w:cstheme="majorBidi"/>
              </w:rPr>
              <w:t xml:space="preserve">Wednesday, </w:t>
            </w:r>
            <w:r w:rsidRPr="0033307B">
              <w:rPr>
                <w:rFonts w:asciiTheme="majorBidi" w:hAnsiTheme="majorBidi" w:cstheme="majorBidi"/>
              </w:rPr>
              <w:t>12</w:t>
            </w:r>
            <w:r>
              <w:rPr>
                <w:rFonts w:asciiTheme="majorBidi" w:hAnsiTheme="majorBidi" w:cstheme="majorBidi"/>
              </w:rPr>
              <w:t xml:space="preserve"> December 2018, 14:55PM to 16:00PM</w:t>
            </w:r>
          </w:p>
        </w:tc>
        <w:tc>
          <w:tcPr>
            <w:tcW w:w="1559" w:type="dxa"/>
            <w:vMerge w:val="restart"/>
            <w:vAlign w:val="center"/>
          </w:tcPr>
          <w:p w14:paraId="5B96CB71" w14:textId="7F548E43" w:rsidR="0033307B" w:rsidRPr="00300DF2" w:rsidRDefault="00615B3C" w:rsidP="0033307B">
            <w:pPr>
              <w:spacing w:before="60" w:after="60"/>
              <w:jc w:val="center"/>
              <w:rPr>
                <w:rFonts w:asciiTheme="majorBidi" w:hAnsiTheme="majorBidi" w:cstheme="majorBidi"/>
              </w:rPr>
            </w:pPr>
            <w:hyperlink r:id="rId16" w:history="1">
              <w:r w:rsidR="0033307B" w:rsidRPr="00300DF2">
                <w:rPr>
                  <w:rStyle w:val="Hyperlink"/>
                </w:rPr>
                <w:t>TD428</w:t>
              </w:r>
            </w:hyperlink>
          </w:p>
        </w:tc>
        <w:tc>
          <w:tcPr>
            <w:tcW w:w="1560" w:type="dxa"/>
            <w:vMerge w:val="restart"/>
            <w:vAlign w:val="center"/>
          </w:tcPr>
          <w:p w14:paraId="4307A629" w14:textId="61DE3E07" w:rsidR="0033307B" w:rsidRPr="00300DF2" w:rsidRDefault="00615B3C" w:rsidP="00300DF2">
            <w:pPr>
              <w:spacing w:before="60" w:after="60"/>
              <w:jc w:val="center"/>
            </w:pPr>
            <w:hyperlink r:id="rId17" w:history="1">
              <w:r w:rsidR="00096717" w:rsidRPr="00300DF2">
                <w:rPr>
                  <w:rStyle w:val="Hyperlink"/>
                </w:rPr>
                <w:t>TD</w:t>
              </w:r>
              <w:r w:rsidR="00300DF2" w:rsidRPr="00300DF2">
                <w:rPr>
                  <w:rStyle w:val="Hyperlink"/>
                </w:rPr>
                <w:t>284</w:t>
              </w:r>
            </w:hyperlink>
          </w:p>
        </w:tc>
      </w:tr>
      <w:tr w:rsidR="0033307B" w14:paraId="4C2BE277" w14:textId="77777777" w:rsidTr="0032604B">
        <w:tc>
          <w:tcPr>
            <w:tcW w:w="5665" w:type="dxa"/>
          </w:tcPr>
          <w:p w14:paraId="2AD8D642" w14:textId="37C6BFE0" w:rsidR="0033307B" w:rsidRDefault="0033307B" w:rsidP="00D03F2F">
            <w:pPr>
              <w:spacing w:before="60" w:after="60"/>
              <w:jc w:val="center"/>
              <w:rPr>
                <w:rFonts w:asciiTheme="majorBidi" w:hAnsiTheme="majorBidi" w:cstheme="majorBidi"/>
              </w:rPr>
            </w:pPr>
            <w:r>
              <w:rPr>
                <w:rFonts w:asciiTheme="majorBidi" w:hAnsiTheme="majorBidi" w:cstheme="majorBidi"/>
              </w:rPr>
              <w:t xml:space="preserve">Thursday </w:t>
            </w:r>
            <w:r w:rsidRPr="0033307B">
              <w:rPr>
                <w:rFonts w:asciiTheme="majorBidi" w:hAnsiTheme="majorBidi" w:cstheme="majorBidi"/>
              </w:rPr>
              <w:t>13</w:t>
            </w:r>
            <w:r>
              <w:rPr>
                <w:rFonts w:asciiTheme="majorBidi" w:hAnsiTheme="majorBidi" w:cstheme="majorBidi"/>
              </w:rPr>
              <w:t xml:space="preserve"> December 2018, 14:30PM to 15:45PM</w:t>
            </w:r>
          </w:p>
        </w:tc>
        <w:tc>
          <w:tcPr>
            <w:tcW w:w="1559" w:type="dxa"/>
            <w:vMerge/>
          </w:tcPr>
          <w:p w14:paraId="5BA06FD3" w14:textId="77777777" w:rsidR="0033307B" w:rsidRPr="0010163A" w:rsidRDefault="0033307B" w:rsidP="00D03F2F">
            <w:pPr>
              <w:spacing w:before="60" w:after="60"/>
              <w:jc w:val="center"/>
              <w:rPr>
                <w:rFonts w:asciiTheme="majorBidi" w:hAnsiTheme="majorBidi" w:cstheme="majorBidi"/>
                <w:highlight w:val="yellow"/>
              </w:rPr>
            </w:pPr>
          </w:p>
        </w:tc>
        <w:tc>
          <w:tcPr>
            <w:tcW w:w="1560" w:type="dxa"/>
            <w:vMerge/>
            <w:vAlign w:val="center"/>
          </w:tcPr>
          <w:p w14:paraId="34EEE74A" w14:textId="77777777" w:rsidR="0033307B" w:rsidRPr="0010163A" w:rsidRDefault="0033307B" w:rsidP="0032604B">
            <w:pPr>
              <w:spacing w:before="60" w:after="60"/>
              <w:jc w:val="center"/>
              <w:rPr>
                <w:highlight w:val="yellow"/>
              </w:rPr>
            </w:pPr>
          </w:p>
        </w:tc>
      </w:tr>
      <w:tr w:rsidR="00D03F2F" w14:paraId="04FCFFD7" w14:textId="77777777" w:rsidTr="0032604B">
        <w:tc>
          <w:tcPr>
            <w:tcW w:w="5665" w:type="dxa"/>
          </w:tcPr>
          <w:p w14:paraId="29151312" w14:textId="3F3ABD73" w:rsidR="00D03F2F" w:rsidRDefault="0032604B" w:rsidP="00D03F2F">
            <w:pPr>
              <w:spacing w:before="60" w:after="60"/>
              <w:jc w:val="center"/>
              <w:rPr>
                <w:rFonts w:asciiTheme="majorBidi" w:hAnsiTheme="majorBidi" w:cstheme="majorBidi"/>
              </w:rPr>
            </w:pPr>
            <w:r>
              <w:rPr>
                <w:rFonts w:asciiTheme="majorBidi" w:hAnsiTheme="majorBidi" w:cstheme="majorBidi"/>
              </w:rPr>
              <w:t>Wednesday, 25 September 2019, 16:15PM</w:t>
            </w:r>
            <w:r w:rsidR="0033307B">
              <w:rPr>
                <w:rFonts w:asciiTheme="majorBidi" w:hAnsiTheme="majorBidi" w:cstheme="majorBidi"/>
              </w:rPr>
              <w:t xml:space="preserve"> to </w:t>
            </w:r>
            <w:r>
              <w:rPr>
                <w:rFonts w:asciiTheme="majorBidi" w:hAnsiTheme="majorBidi" w:cstheme="majorBidi"/>
              </w:rPr>
              <w:t>17:57PM</w:t>
            </w:r>
          </w:p>
        </w:tc>
        <w:tc>
          <w:tcPr>
            <w:tcW w:w="1559" w:type="dxa"/>
          </w:tcPr>
          <w:p w14:paraId="2094C550" w14:textId="2F8B53E9" w:rsidR="00D03F2F" w:rsidRPr="0010163A" w:rsidRDefault="00615B3C" w:rsidP="00D03F2F">
            <w:pPr>
              <w:spacing w:before="60" w:after="60"/>
              <w:jc w:val="center"/>
              <w:rPr>
                <w:rFonts w:asciiTheme="majorBidi" w:hAnsiTheme="majorBidi" w:cstheme="majorBidi"/>
                <w:highlight w:val="yellow"/>
              </w:rPr>
            </w:pPr>
            <w:hyperlink r:id="rId18" w:history="1">
              <w:r w:rsidR="00AE2387" w:rsidRPr="00D40767">
                <w:rPr>
                  <w:rStyle w:val="Hyperlink"/>
                </w:rPr>
                <w:t>TD452</w:t>
              </w:r>
            </w:hyperlink>
          </w:p>
        </w:tc>
        <w:tc>
          <w:tcPr>
            <w:tcW w:w="1560" w:type="dxa"/>
            <w:vAlign w:val="center"/>
          </w:tcPr>
          <w:p w14:paraId="06625253" w14:textId="4FF46997" w:rsidR="00D03F2F" w:rsidRPr="0010163A" w:rsidRDefault="00615B3C" w:rsidP="0032604B">
            <w:pPr>
              <w:spacing w:before="60" w:after="60"/>
              <w:jc w:val="center"/>
              <w:rPr>
                <w:rFonts w:asciiTheme="majorBidi" w:hAnsiTheme="majorBidi" w:cstheme="majorBidi"/>
                <w:highlight w:val="yellow"/>
              </w:rPr>
            </w:pPr>
            <w:hyperlink r:id="rId19" w:history="1">
              <w:r w:rsidR="0032604B" w:rsidRPr="00D40767">
                <w:rPr>
                  <w:color w:val="0000FF"/>
                  <w:u w:val="single"/>
                  <w:lang w:eastAsia="ja-JP"/>
                </w:rPr>
                <w:t>TD453</w:t>
              </w:r>
            </w:hyperlink>
          </w:p>
        </w:tc>
      </w:tr>
      <w:tr w:rsidR="00D03F2F" w14:paraId="2472FCB1" w14:textId="77777777" w:rsidTr="0032604B">
        <w:tc>
          <w:tcPr>
            <w:tcW w:w="5665" w:type="dxa"/>
          </w:tcPr>
          <w:p w14:paraId="35C32F8D" w14:textId="5C5C1186" w:rsidR="0032604B" w:rsidRDefault="00D03F2F" w:rsidP="0032604B">
            <w:pPr>
              <w:spacing w:before="60" w:after="60"/>
              <w:jc w:val="center"/>
              <w:rPr>
                <w:rFonts w:asciiTheme="majorBidi" w:hAnsiTheme="majorBidi" w:cstheme="majorBidi"/>
              </w:rPr>
            </w:pPr>
            <w:r>
              <w:rPr>
                <w:rFonts w:asciiTheme="majorBidi" w:hAnsiTheme="majorBidi" w:cstheme="majorBidi"/>
              </w:rPr>
              <w:t>Tuesday, 11 February 2020</w:t>
            </w:r>
            <w:r w:rsidR="0032604B">
              <w:rPr>
                <w:rFonts w:asciiTheme="majorBidi" w:hAnsiTheme="majorBidi" w:cstheme="majorBidi"/>
              </w:rPr>
              <w:t>, 9:30AM to 10:50AM</w:t>
            </w:r>
          </w:p>
        </w:tc>
        <w:tc>
          <w:tcPr>
            <w:tcW w:w="1559" w:type="dxa"/>
          </w:tcPr>
          <w:p w14:paraId="3514FEB8" w14:textId="4658C38F" w:rsidR="00D03F2F" w:rsidRPr="0010163A" w:rsidRDefault="00615B3C" w:rsidP="00D03F2F">
            <w:pPr>
              <w:spacing w:before="60" w:after="60"/>
              <w:jc w:val="center"/>
              <w:rPr>
                <w:rFonts w:asciiTheme="majorBidi" w:hAnsiTheme="majorBidi" w:cstheme="majorBidi"/>
                <w:highlight w:val="yellow"/>
              </w:rPr>
            </w:pPr>
            <w:hyperlink r:id="rId20" w:history="1">
              <w:r w:rsidR="00D03F2F" w:rsidRPr="00D40767">
                <w:rPr>
                  <w:rStyle w:val="Hyperlink"/>
                </w:rPr>
                <w:t>TD644</w:t>
              </w:r>
            </w:hyperlink>
          </w:p>
        </w:tc>
        <w:tc>
          <w:tcPr>
            <w:tcW w:w="1560" w:type="dxa"/>
            <w:vAlign w:val="center"/>
          </w:tcPr>
          <w:p w14:paraId="017C9BD5" w14:textId="3D96678D" w:rsidR="00D03F2F" w:rsidRPr="0010163A" w:rsidRDefault="00615B3C" w:rsidP="00096717">
            <w:pPr>
              <w:spacing w:before="60" w:after="60"/>
              <w:jc w:val="center"/>
              <w:rPr>
                <w:rFonts w:asciiTheme="majorBidi" w:hAnsiTheme="majorBidi" w:cstheme="majorBidi"/>
                <w:highlight w:val="yellow"/>
              </w:rPr>
            </w:pPr>
            <w:hyperlink r:id="rId21" w:history="1">
              <w:r w:rsidR="00096717" w:rsidRPr="00045473">
                <w:rPr>
                  <w:rStyle w:val="Hyperlink"/>
                </w:rPr>
                <w:t>TD645</w:t>
              </w:r>
            </w:hyperlink>
          </w:p>
        </w:tc>
      </w:tr>
    </w:tbl>
    <w:p w14:paraId="47895E38" w14:textId="09F5B58F" w:rsidR="00E666BE" w:rsidRDefault="0032604B" w:rsidP="00EB29C7">
      <w:pPr>
        <w:spacing w:before="120"/>
        <w:rPr>
          <w:rFonts w:asciiTheme="majorBidi" w:hAnsiTheme="majorBidi" w:cstheme="majorBidi"/>
        </w:rPr>
      </w:pPr>
      <w:r>
        <w:rPr>
          <w:rFonts w:asciiTheme="majorBidi" w:hAnsiTheme="majorBidi" w:cstheme="majorBidi"/>
        </w:rPr>
        <w:t xml:space="preserve">TSB organized Adobe Connect and </w:t>
      </w:r>
      <w:proofErr w:type="spellStart"/>
      <w:r w:rsidRPr="00AA216D">
        <w:rPr>
          <w:rFonts w:asciiTheme="majorBidi" w:hAnsiTheme="majorBidi" w:cstheme="majorBidi"/>
        </w:rPr>
        <w:t>Interprefy</w:t>
      </w:r>
      <w:proofErr w:type="spellEnd"/>
      <w:r>
        <w:rPr>
          <w:rFonts w:asciiTheme="majorBidi" w:hAnsiTheme="majorBidi" w:cstheme="majorBidi"/>
        </w:rPr>
        <w:t xml:space="preserve"> for remote participation. </w:t>
      </w:r>
      <w:r w:rsidRPr="007E6558">
        <w:rPr>
          <w:rFonts w:asciiTheme="majorBidi" w:hAnsiTheme="majorBidi" w:cstheme="majorBidi"/>
        </w:rPr>
        <w:t xml:space="preserve">TSB also organized captioning and interpretation to the 6 UN languages for </w:t>
      </w:r>
      <w:r w:rsidR="00F17496" w:rsidRPr="00F52845">
        <w:rPr>
          <w:rFonts w:asciiTheme="majorBidi" w:hAnsiTheme="majorBidi" w:cstheme="majorBidi"/>
        </w:rPr>
        <w:t>RG-CPTRG</w:t>
      </w:r>
      <w:r w:rsidR="00F17496" w:rsidRPr="007E6558" w:rsidDel="00F17496">
        <w:rPr>
          <w:rFonts w:asciiTheme="majorBidi" w:hAnsiTheme="majorBidi" w:cstheme="majorBidi"/>
        </w:rPr>
        <w:t xml:space="preserve"> </w:t>
      </w:r>
      <w:r w:rsidRPr="007E6558">
        <w:rPr>
          <w:rFonts w:asciiTheme="majorBidi" w:hAnsiTheme="majorBidi" w:cstheme="majorBidi"/>
        </w:rPr>
        <w:t>meeting</w:t>
      </w:r>
      <w:r w:rsidR="007F5CB3">
        <w:rPr>
          <w:rFonts w:asciiTheme="majorBidi" w:hAnsiTheme="majorBidi" w:cstheme="majorBidi"/>
        </w:rPr>
        <w:t>s</w:t>
      </w:r>
      <w:r w:rsidRPr="007E6558">
        <w:rPr>
          <w:rFonts w:asciiTheme="majorBidi" w:hAnsiTheme="majorBidi" w:cstheme="majorBidi"/>
        </w:rPr>
        <w:t>.</w:t>
      </w:r>
      <w:r w:rsidR="004A5C9C">
        <w:rPr>
          <w:rFonts w:asciiTheme="majorBidi" w:hAnsiTheme="majorBidi" w:cstheme="majorBidi"/>
        </w:rPr>
        <w:t xml:space="preserve"> </w:t>
      </w:r>
      <w:r w:rsidR="008031C4">
        <w:rPr>
          <w:rFonts w:asciiTheme="majorBidi" w:hAnsiTheme="majorBidi" w:cstheme="majorBidi"/>
        </w:rPr>
        <w:t>There were no interim meetings.</w:t>
      </w:r>
    </w:p>
    <w:p w14:paraId="33BD5053" w14:textId="3074D541" w:rsidR="00926419" w:rsidRDefault="00926419" w:rsidP="00926419">
      <w:pPr>
        <w:rPr>
          <w:rFonts w:asciiTheme="majorBidi" w:hAnsiTheme="majorBidi" w:cstheme="majorBidi"/>
          <w:b/>
        </w:rPr>
      </w:pPr>
    </w:p>
    <w:p w14:paraId="02CC5E95" w14:textId="28B1EAA4" w:rsidR="0032604B" w:rsidRPr="00A55644" w:rsidRDefault="00302075" w:rsidP="00A428AF">
      <w:pPr>
        <w:spacing w:before="120" w:after="120"/>
        <w:rPr>
          <w:rFonts w:asciiTheme="majorBidi" w:hAnsiTheme="majorBidi" w:cstheme="majorBidi"/>
          <w:b/>
        </w:rPr>
      </w:pPr>
      <w:r>
        <w:rPr>
          <w:rFonts w:asciiTheme="majorBidi" w:hAnsiTheme="majorBidi" w:cstheme="majorBidi"/>
          <w:b/>
        </w:rPr>
        <w:t>3</w:t>
      </w:r>
      <w:r w:rsidR="0033307B">
        <w:rPr>
          <w:rFonts w:asciiTheme="majorBidi" w:hAnsiTheme="majorBidi" w:cstheme="majorBidi"/>
          <w:b/>
        </w:rPr>
        <w:tab/>
      </w:r>
      <w:r>
        <w:rPr>
          <w:rFonts w:asciiTheme="majorBidi" w:hAnsiTheme="majorBidi" w:cstheme="majorBidi"/>
          <w:b/>
        </w:rPr>
        <w:t>Chronolo</w:t>
      </w:r>
      <w:r w:rsidR="00F82569">
        <w:rPr>
          <w:rFonts w:asciiTheme="majorBidi" w:hAnsiTheme="majorBidi" w:cstheme="majorBidi"/>
          <w:b/>
        </w:rPr>
        <w:t>gy of activities and input documents</w:t>
      </w:r>
    </w:p>
    <w:p w14:paraId="6907E521" w14:textId="1A7E4F57" w:rsidR="00A55644" w:rsidRDefault="002D02C0" w:rsidP="0055017E">
      <w:pPr>
        <w:rPr>
          <w:rFonts w:asciiTheme="majorBidi" w:hAnsiTheme="majorBidi" w:cstheme="majorBidi"/>
        </w:rPr>
      </w:pPr>
      <w:r>
        <w:rPr>
          <w:rFonts w:asciiTheme="majorBidi" w:hAnsiTheme="majorBidi" w:cstheme="majorBidi"/>
        </w:rPr>
        <w:t>A</w:t>
      </w:r>
      <w:r w:rsidR="000D78EF">
        <w:rPr>
          <w:rFonts w:asciiTheme="majorBidi" w:hAnsiTheme="majorBidi" w:cstheme="majorBidi"/>
        </w:rPr>
        <w:t xml:space="preserve">fter </w:t>
      </w:r>
      <w:r w:rsidR="00A55644">
        <w:rPr>
          <w:rFonts w:asciiTheme="majorBidi" w:hAnsiTheme="majorBidi" w:cstheme="majorBidi"/>
        </w:rPr>
        <w:t xml:space="preserve">the </w:t>
      </w:r>
      <w:r w:rsidR="000D4575">
        <w:rPr>
          <w:rFonts w:asciiTheme="majorBidi" w:hAnsiTheme="majorBidi" w:cstheme="majorBidi"/>
        </w:rPr>
        <w:t xml:space="preserve">approval of the </w:t>
      </w:r>
      <w:proofErr w:type="spellStart"/>
      <w:r w:rsidR="000D4575">
        <w:rPr>
          <w:rFonts w:asciiTheme="majorBidi" w:hAnsiTheme="majorBidi" w:cstheme="majorBidi"/>
        </w:rPr>
        <w:t>To</w:t>
      </w:r>
      <w:r w:rsidR="00213AC0">
        <w:rPr>
          <w:rFonts w:asciiTheme="majorBidi" w:hAnsiTheme="majorBidi" w:cstheme="majorBidi"/>
        </w:rPr>
        <w:t>R</w:t>
      </w:r>
      <w:proofErr w:type="spellEnd"/>
      <w:r w:rsidR="00A55644">
        <w:rPr>
          <w:rFonts w:asciiTheme="majorBidi" w:hAnsiTheme="majorBidi" w:cstheme="majorBidi"/>
        </w:rPr>
        <w:t xml:space="preserve"> of t</w:t>
      </w:r>
      <w:r w:rsidR="0055017E" w:rsidRPr="007E6558">
        <w:rPr>
          <w:rFonts w:asciiTheme="majorBidi" w:hAnsiTheme="majorBidi" w:cstheme="majorBidi"/>
        </w:rPr>
        <w:t>he</w:t>
      </w:r>
      <w:r w:rsidR="00A55644">
        <w:rPr>
          <w:rFonts w:asciiTheme="majorBidi" w:hAnsiTheme="majorBidi" w:cstheme="majorBidi"/>
        </w:rPr>
        <w:t xml:space="preserve"> Rapporteur Group, it was agreed to send </w:t>
      </w:r>
      <w:hyperlink r:id="rId22" w:history="1">
        <w:r w:rsidR="00A55644" w:rsidRPr="00E53C01">
          <w:rPr>
            <w:rStyle w:val="Hyperlink"/>
            <w:rFonts w:asciiTheme="majorBidi" w:hAnsiTheme="majorBidi" w:cstheme="majorBidi"/>
          </w:rPr>
          <w:t>TSAG-LS18</w:t>
        </w:r>
      </w:hyperlink>
      <w:r w:rsidR="00A55644">
        <w:rPr>
          <w:rFonts w:asciiTheme="majorBidi" w:hAnsiTheme="majorBidi" w:cstheme="majorBidi"/>
        </w:rPr>
        <w:t xml:space="preserve"> to all ITU-T Study Groups</w:t>
      </w:r>
      <w:r w:rsidR="00E53C01">
        <w:rPr>
          <w:rFonts w:asciiTheme="majorBidi" w:hAnsiTheme="majorBidi" w:cstheme="majorBidi"/>
        </w:rPr>
        <w:t xml:space="preserve"> with regional groups (</w:t>
      </w:r>
      <w:r w:rsidR="00E53C01" w:rsidRPr="00E53C01">
        <w:rPr>
          <w:rFonts w:asciiTheme="majorBidi" w:hAnsiTheme="majorBidi" w:cstheme="majorBidi"/>
        </w:rPr>
        <w:t>SG2; SG3; SG</w:t>
      </w:r>
      <w:r w:rsidR="00E53C01">
        <w:rPr>
          <w:rFonts w:asciiTheme="majorBidi" w:hAnsiTheme="majorBidi" w:cstheme="majorBidi"/>
        </w:rPr>
        <w:t>5; SG11; SG12; SG13; SG17; SG20)</w:t>
      </w:r>
      <w:r w:rsidR="00A55644">
        <w:rPr>
          <w:rFonts w:asciiTheme="majorBidi" w:hAnsiTheme="majorBidi" w:cstheme="majorBidi"/>
        </w:rPr>
        <w:t xml:space="preserve"> to request the following information: </w:t>
      </w:r>
    </w:p>
    <w:p w14:paraId="1FFB77FC" w14:textId="77777777" w:rsidR="00AE2387" w:rsidRPr="00FB6868" w:rsidRDefault="00AE2387" w:rsidP="00FB6868">
      <w:pPr>
        <w:pStyle w:val="ListParagraph"/>
        <w:numPr>
          <w:ilvl w:val="0"/>
          <w:numId w:val="36"/>
        </w:numPr>
      </w:pPr>
      <w:r w:rsidRPr="00FB6868">
        <w:t>Year of creation of each Regional Group;</w:t>
      </w:r>
    </w:p>
    <w:p w14:paraId="40C89D9B" w14:textId="77777777" w:rsidR="00AE2387" w:rsidRPr="00FB6868" w:rsidRDefault="00AE2387" w:rsidP="00FB6868">
      <w:pPr>
        <w:pStyle w:val="ListParagraph"/>
        <w:numPr>
          <w:ilvl w:val="0"/>
          <w:numId w:val="36"/>
        </w:numPr>
      </w:pPr>
      <w:r w:rsidRPr="00FB6868">
        <w:t>Number of Member States who requested and supported the creation of the Regional Group;</w:t>
      </w:r>
    </w:p>
    <w:p w14:paraId="5BD52C81" w14:textId="77777777" w:rsidR="00AE2387" w:rsidRPr="00FB6868" w:rsidRDefault="00AE2387" w:rsidP="00FB6868">
      <w:pPr>
        <w:pStyle w:val="ListParagraph"/>
        <w:numPr>
          <w:ilvl w:val="0"/>
          <w:numId w:val="36"/>
        </w:numPr>
      </w:pPr>
      <w:r w:rsidRPr="00FB6868">
        <w:t>The criteria of creation for a Regional group;</w:t>
      </w:r>
    </w:p>
    <w:p w14:paraId="374E5C3F" w14:textId="77777777" w:rsidR="00AE2387" w:rsidRPr="00FB6868" w:rsidRDefault="00AE2387" w:rsidP="00FB6868">
      <w:pPr>
        <w:pStyle w:val="ListParagraph"/>
        <w:numPr>
          <w:ilvl w:val="0"/>
          <w:numId w:val="36"/>
        </w:numPr>
      </w:pPr>
      <w:r w:rsidRPr="00FB6868">
        <w:t>The approved Term of Reference for the Regional Group as well as the Questions of the Study Group the Regional Group contributes to;</w:t>
      </w:r>
    </w:p>
    <w:p w14:paraId="7E2BB59A" w14:textId="77777777" w:rsidR="00AE2387" w:rsidRPr="00FB6868" w:rsidRDefault="00AE2387" w:rsidP="00FB6868">
      <w:pPr>
        <w:pStyle w:val="ListParagraph"/>
        <w:numPr>
          <w:ilvl w:val="0"/>
          <w:numId w:val="36"/>
        </w:numPr>
      </w:pPr>
      <w:r w:rsidRPr="00FB6868">
        <w:lastRenderedPageBreak/>
        <w:t>The criteria for participation in the Regional Groups and how cases, if any, of participation of Member States and Sector Members from outside the region are considered;</w:t>
      </w:r>
    </w:p>
    <w:p w14:paraId="622AD46D" w14:textId="707D02C0" w:rsidR="00045473" w:rsidRPr="00045473" w:rsidRDefault="00AE2387" w:rsidP="00045473">
      <w:pPr>
        <w:pStyle w:val="ListParagraph"/>
        <w:numPr>
          <w:ilvl w:val="0"/>
          <w:numId w:val="36"/>
        </w:numPr>
      </w:pPr>
      <w:r w:rsidRPr="00FB6868">
        <w:t>Any request for termination of an existing Regional group and criteria for termination, if any.</w:t>
      </w:r>
    </w:p>
    <w:p w14:paraId="10C2311F" w14:textId="584D1111" w:rsidR="0055017E" w:rsidRPr="007E6558" w:rsidRDefault="00A55644" w:rsidP="00045473">
      <w:pPr>
        <w:spacing w:before="120" w:after="60"/>
        <w:rPr>
          <w:rFonts w:asciiTheme="majorBidi" w:hAnsiTheme="majorBidi" w:cstheme="majorBidi"/>
        </w:rPr>
      </w:pPr>
      <w:r>
        <w:rPr>
          <w:rFonts w:asciiTheme="majorBidi" w:hAnsiTheme="majorBidi" w:cstheme="majorBidi"/>
        </w:rPr>
        <w:t>I</w:t>
      </w:r>
      <w:r w:rsidRPr="007E6558">
        <w:rPr>
          <w:rFonts w:asciiTheme="majorBidi" w:hAnsiTheme="majorBidi" w:cstheme="majorBidi"/>
        </w:rPr>
        <w:t xml:space="preserve">n reply to </w:t>
      </w:r>
      <w:r w:rsidRPr="00E53C01">
        <w:rPr>
          <w:rFonts w:asciiTheme="majorBidi" w:hAnsiTheme="majorBidi" w:cstheme="majorBidi"/>
        </w:rPr>
        <w:t xml:space="preserve">TSAG-LS18, </w:t>
      </w:r>
      <w:r w:rsidR="00EB1EA7" w:rsidRPr="00F52845">
        <w:rPr>
          <w:rFonts w:asciiTheme="majorBidi" w:hAnsiTheme="majorBidi" w:cstheme="majorBidi"/>
        </w:rPr>
        <w:t>RG-CPTRG</w:t>
      </w:r>
      <w:r w:rsidR="00EB1EA7" w:rsidRPr="007E6558" w:rsidDel="00F17496">
        <w:rPr>
          <w:rFonts w:asciiTheme="majorBidi" w:hAnsiTheme="majorBidi" w:cstheme="majorBidi"/>
        </w:rPr>
        <w:t xml:space="preserve"> </w:t>
      </w:r>
      <w:r>
        <w:rPr>
          <w:rFonts w:asciiTheme="majorBidi" w:hAnsiTheme="majorBidi" w:cstheme="majorBidi"/>
        </w:rPr>
        <w:t>received</w:t>
      </w:r>
      <w:r w:rsidR="0055017E" w:rsidRPr="007E6558">
        <w:rPr>
          <w:rFonts w:asciiTheme="majorBidi" w:hAnsiTheme="majorBidi" w:cstheme="majorBidi"/>
        </w:rPr>
        <w:t xml:space="preserve"> </w:t>
      </w:r>
      <w:r w:rsidRPr="007E6558">
        <w:rPr>
          <w:rFonts w:asciiTheme="majorBidi" w:hAnsiTheme="majorBidi" w:cstheme="majorBidi"/>
        </w:rPr>
        <w:t>incoming liaison statements</w:t>
      </w:r>
      <w:r w:rsidRPr="00A55644">
        <w:rPr>
          <w:rFonts w:asciiTheme="majorBidi" w:hAnsiTheme="majorBidi" w:cstheme="majorBidi"/>
        </w:rPr>
        <w:t xml:space="preserve"> </w:t>
      </w:r>
      <w:r w:rsidRPr="007E6558">
        <w:rPr>
          <w:rFonts w:asciiTheme="majorBidi" w:hAnsiTheme="majorBidi" w:cstheme="majorBidi"/>
        </w:rPr>
        <w:t>from</w:t>
      </w:r>
      <w:r>
        <w:rPr>
          <w:rFonts w:asciiTheme="majorBidi" w:hAnsiTheme="majorBidi" w:cstheme="majorBidi"/>
        </w:rPr>
        <w:t xml:space="preserve"> seven (7)</w:t>
      </w:r>
      <w:r w:rsidRPr="007E6558">
        <w:rPr>
          <w:rFonts w:asciiTheme="majorBidi" w:hAnsiTheme="majorBidi" w:cstheme="majorBidi"/>
        </w:rPr>
        <w:t xml:space="preserve"> Study Groups t</w:t>
      </w:r>
      <w:r w:rsidR="00A92865">
        <w:rPr>
          <w:rFonts w:asciiTheme="majorBidi" w:hAnsiTheme="majorBidi" w:cstheme="majorBidi"/>
        </w:rPr>
        <w:t>hrough</w:t>
      </w:r>
      <w:r w:rsidRPr="007E6558">
        <w:rPr>
          <w:rFonts w:asciiTheme="majorBidi" w:hAnsiTheme="majorBidi" w:cstheme="majorBidi"/>
        </w:rPr>
        <w:t xml:space="preserve"> TSAG</w:t>
      </w:r>
      <w:r w:rsidR="00926419">
        <w:rPr>
          <w:rFonts w:asciiTheme="majorBidi" w:hAnsiTheme="majorBidi" w:cstheme="majorBidi"/>
        </w:rPr>
        <w:t xml:space="preserve"> as presented below:</w:t>
      </w:r>
      <w:r>
        <w:rPr>
          <w:rFonts w:asciiTheme="majorBidi" w:hAnsiTheme="majorBidi" w:cstheme="majorBidi"/>
        </w:rPr>
        <w:t xml:space="preserve"> </w:t>
      </w:r>
    </w:p>
    <w:tbl>
      <w:tblPr>
        <w:tblStyle w:val="TableGrid"/>
        <w:tblW w:w="0" w:type="auto"/>
        <w:tblInd w:w="-5" w:type="dxa"/>
        <w:tblLook w:val="04A0" w:firstRow="1" w:lastRow="0" w:firstColumn="1" w:lastColumn="0" w:noHBand="0" w:noVBand="1"/>
      </w:tblPr>
      <w:tblGrid>
        <w:gridCol w:w="993"/>
        <w:gridCol w:w="2835"/>
        <w:gridCol w:w="5103"/>
      </w:tblGrid>
      <w:tr w:rsidR="0055017E" w:rsidRPr="00315E2E" w14:paraId="4494DF72" w14:textId="77777777" w:rsidTr="00045473">
        <w:tc>
          <w:tcPr>
            <w:tcW w:w="993" w:type="dxa"/>
            <w:vAlign w:val="center"/>
          </w:tcPr>
          <w:p w14:paraId="04E3199A" w14:textId="77777777" w:rsidR="0055017E" w:rsidRPr="00315E2E" w:rsidRDefault="0055017E" w:rsidP="007401F1">
            <w:pPr>
              <w:spacing w:before="60" w:after="60"/>
              <w:jc w:val="center"/>
              <w:rPr>
                <w:i/>
              </w:rPr>
            </w:pPr>
            <w:r w:rsidRPr="00315E2E">
              <w:rPr>
                <w:i/>
              </w:rPr>
              <w:t>TD</w:t>
            </w:r>
          </w:p>
        </w:tc>
        <w:tc>
          <w:tcPr>
            <w:tcW w:w="2835" w:type="dxa"/>
            <w:vAlign w:val="center"/>
          </w:tcPr>
          <w:p w14:paraId="1759EA49" w14:textId="77777777" w:rsidR="0055017E" w:rsidRPr="00315E2E" w:rsidRDefault="0055017E" w:rsidP="007401F1">
            <w:pPr>
              <w:spacing w:before="60" w:after="60"/>
              <w:jc w:val="center"/>
              <w:rPr>
                <w:i/>
              </w:rPr>
            </w:pPr>
            <w:r w:rsidRPr="00315E2E">
              <w:rPr>
                <w:i/>
              </w:rPr>
              <w:t xml:space="preserve">Source </w:t>
            </w:r>
          </w:p>
        </w:tc>
        <w:tc>
          <w:tcPr>
            <w:tcW w:w="5103" w:type="dxa"/>
          </w:tcPr>
          <w:p w14:paraId="6F7DB4FA" w14:textId="77777777" w:rsidR="0055017E" w:rsidRPr="00315E2E" w:rsidRDefault="0055017E" w:rsidP="007401F1">
            <w:pPr>
              <w:spacing w:before="60" w:after="60"/>
              <w:jc w:val="center"/>
              <w:rPr>
                <w:i/>
              </w:rPr>
            </w:pPr>
            <w:r w:rsidRPr="00315E2E">
              <w:rPr>
                <w:i/>
              </w:rPr>
              <w:t>Title</w:t>
            </w:r>
          </w:p>
        </w:tc>
      </w:tr>
      <w:tr w:rsidR="0048382E" w:rsidRPr="00315E2E" w14:paraId="0364CBC7" w14:textId="77777777" w:rsidTr="00423AA8">
        <w:tc>
          <w:tcPr>
            <w:tcW w:w="993" w:type="dxa"/>
            <w:vAlign w:val="center"/>
          </w:tcPr>
          <w:p w14:paraId="1E4CDF60" w14:textId="77777777" w:rsidR="0048382E" w:rsidRPr="00315E2E" w:rsidRDefault="00615B3C" w:rsidP="0048382E">
            <w:pPr>
              <w:spacing w:before="60" w:after="60"/>
              <w:jc w:val="center"/>
            </w:pPr>
            <w:hyperlink r:id="rId23" w:history="1">
              <w:r w:rsidR="0048382E" w:rsidRPr="00315E2E">
                <w:rPr>
                  <w:rStyle w:val="Hyperlink"/>
                </w:rPr>
                <w:t>TD581</w:t>
              </w:r>
            </w:hyperlink>
          </w:p>
        </w:tc>
        <w:tc>
          <w:tcPr>
            <w:tcW w:w="2835" w:type="dxa"/>
            <w:vMerge w:val="restart"/>
            <w:vAlign w:val="center"/>
          </w:tcPr>
          <w:p w14:paraId="062219E1" w14:textId="48E949C1" w:rsidR="0048382E" w:rsidRPr="00315E2E" w:rsidRDefault="0048382E" w:rsidP="0048382E">
            <w:pPr>
              <w:spacing w:before="60" w:after="60"/>
              <w:jc w:val="center"/>
            </w:pPr>
            <w:r w:rsidRPr="00315E2E">
              <w:rPr>
                <w:bCs/>
              </w:rPr>
              <w:t>ITU-T Study Group 2</w:t>
            </w:r>
          </w:p>
        </w:tc>
        <w:tc>
          <w:tcPr>
            <w:tcW w:w="5103" w:type="dxa"/>
            <w:vAlign w:val="center"/>
          </w:tcPr>
          <w:p w14:paraId="65478276" w14:textId="150BDFDE" w:rsidR="0048382E" w:rsidRPr="00315E2E" w:rsidRDefault="0048382E" w:rsidP="0048382E">
            <w:pPr>
              <w:spacing w:before="60" w:after="60"/>
            </w:pPr>
            <w:r w:rsidRPr="00583DF5">
              <w:t>LS/r on TSAG requirement in relation to creation, participation and termination of</w:t>
            </w:r>
            <w:r>
              <w:t xml:space="preserve"> Regional Groups (reply to TSAG-LS</w:t>
            </w:r>
            <w:r w:rsidRPr="00583DF5">
              <w:t>18) [from ITU-T SG2]</w:t>
            </w:r>
          </w:p>
        </w:tc>
      </w:tr>
      <w:tr w:rsidR="0048382E" w:rsidRPr="00315E2E" w14:paraId="3B13E31E" w14:textId="77777777" w:rsidTr="00045473">
        <w:tc>
          <w:tcPr>
            <w:tcW w:w="993" w:type="dxa"/>
            <w:vAlign w:val="center"/>
          </w:tcPr>
          <w:p w14:paraId="4CEA3BC7" w14:textId="77777777" w:rsidR="0048382E" w:rsidRPr="00315E2E" w:rsidRDefault="00615B3C" w:rsidP="0048382E">
            <w:pPr>
              <w:spacing w:before="60" w:after="60"/>
              <w:jc w:val="center"/>
            </w:pPr>
            <w:hyperlink r:id="rId24" w:history="1">
              <w:r w:rsidR="0048382E" w:rsidRPr="00315E2E">
                <w:rPr>
                  <w:rStyle w:val="Hyperlink"/>
                </w:rPr>
                <w:t>TD513</w:t>
              </w:r>
            </w:hyperlink>
          </w:p>
        </w:tc>
        <w:tc>
          <w:tcPr>
            <w:tcW w:w="2835" w:type="dxa"/>
            <w:vMerge/>
            <w:vAlign w:val="center"/>
          </w:tcPr>
          <w:p w14:paraId="51041AC2" w14:textId="77777777" w:rsidR="0048382E" w:rsidRPr="00315E2E" w:rsidRDefault="0048382E" w:rsidP="0048382E">
            <w:pPr>
              <w:spacing w:before="60" w:after="60"/>
              <w:jc w:val="center"/>
            </w:pPr>
          </w:p>
        </w:tc>
        <w:tc>
          <w:tcPr>
            <w:tcW w:w="5103" w:type="dxa"/>
            <w:vAlign w:val="center"/>
          </w:tcPr>
          <w:p w14:paraId="258359AC" w14:textId="7C721F4A" w:rsidR="0048382E" w:rsidRPr="00315E2E" w:rsidRDefault="0048382E" w:rsidP="0048382E">
            <w:pPr>
              <w:tabs>
                <w:tab w:val="left" w:pos="720"/>
              </w:tabs>
              <w:spacing w:before="60" w:after="60"/>
              <w:rPr>
                <w:highlight w:val="yellow"/>
              </w:rPr>
            </w:pPr>
            <w:r w:rsidRPr="00F0305F">
              <w:t>LS/r on creation, participation and termination of Regional Groups (reply to TSAG - LS18) [from ITU-T SG2]</w:t>
            </w:r>
          </w:p>
        </w:tc>
      </w:tr>
      <w:tr w:rsidR="0048382E" w:rsidRPr="00315E2E" w14:paraId="34878DDF" w14:textId="77777777" w:rsidTr="00423AA8">
        <w:tc>
          <w:tcPr>
            <w:tcW w:w="993" w:type="dxa"/>
            <w:vAlign w:val="center"/>
          </w:tcPr>
          <w:p w14:paraId="04FCC241" w14:textId="77777777" w:rsidR="0048382E" w:rsidRPr="00315E2E" w:rsidRDefault="00615B3C" w:rsidP="0048382E">
            <w:pPr>
              <w:spacing w:before="60" w:after="60"/>
              <w:jc w:val="center"/>
            </w:pPr>
            <w:hyperlink r:id="rId25" w:history="1">
              <w:r w:rsidR="0048382E" w:rsidRPr="00315E2E">
                <w:rPr>
                  <w:rStyle w:val="Hyperlink"/>
                </w:rPr>
                <w:t>TD540</w:t>
              </w:r>
            </w:hyperlink>
          </w:p>
        </w:tc>
        <w:tc>
          <w:tcPr>
            <w:tcW w:w="2835" w:type="dxa"/>
            <w:vAlign w:val="center"/>
          </w:tcPr>
          <w:p w14:paraId="6FB4EE9C" w14:textId="6FE67E80" w:rsidR="0048382E" w:rsidRPr="00315E2E" w:rsidRDefault="0048382E" w:rsidP="0048382E">
            <w:pPr>
              <w:spacing w:before="60" w:after="60"/>
              <w:jc w:val="center"/>
            </w:pPr>
            <w:r w:rsidRPr="00315E2E">
              <w:rPr>
                <w:bCs/>
              </w:rPr>
              <w:t>ITU-T Study Group 3</w:t>
            </w:r>
          </w:p>
        </w:tc>
        <w:tc>
          <w:tcPr>
            <w:tcW w:w="5103" w:type="dxa"/>
            <w:vAlign w:val="center"/>
          </w:tcPr>
          <w:p w14:paraId="0B32BCF4" w14:textId="1B7329DE" w:rsidR="0048382E" w:rsidRPr="00315E2E" w:rsidRDefault="0048382E" w:rsidP="0048382E">
            <w:pPr>
              <w:spacing w:before="60" w:after="60"/>
            </w:pPr>
            <w:r w:rsidRPr="00DD7393">
              <w:t>LS/r on creation, participation and termination of Regional Groups (reply TSAG-LS18) [from ITU-T SG3]</w:t>
            </w:r>
          </w:p>
        </w:tc>
      </w:tr>
      <w:tr w:rsidR="0048382E" w:rsidRPr="00315E2E" w14:paraId="29E3CC1F" w14:textId="77777777" w:rsidTr="00045473">
        <w:tc>
          <w:tcPr>
            <w:tcW w:w="993" w:type="dxa"/>
            <w:vAlign w:val="center"/>
          </w:tcPr>
          <w:p w14:paraId="4F5A6473" w14:textId="77777777" w:rsidR="0048382E" w:rsidRPr="00315E2E" w:rsidRDefault="00615B3C" w:rsidP="0048382E">
            <w:pPr>
              <w:spacing w:before="60" w:after="60"/>
              <w:jc w:val="center"/>
            </w:pPr>
            <w:hyperlink r:id="rId26" w:history="1">
              <w:r w:rsidR="0048382E" w:rsidRPr="00315E2E">
                <w:rPr>
                  <w:rStyle w:val="Hyperlink"/>
                </w:rPr>
                <w:t>TD562</w:t>
              </w:r>
            </w:hyperlink>
          </w:p>
        </w:tc>
        <w:tc>
          <w:tcPr>
            <w:tcW w:w="2835" w:type="dxa"/>
            <w:vAlign w:val="center"/>
          </w:tcPr>
          <w:p w14:paraId="59CC71B5" w14:textId="10077BB9" w:rsidR="0048382E" w:rsidRPr="00315E2E" w:rsidRDefault="0048382E" w:rsidP="0048382E">
            <w:pPr>
              <w:spacing w:before="60" w:after="60"/>
              <w:jc w:val="center"/>
            </w:pPr>
            <w:r w:rsidRPr="00315E2E">
              <w:rPr>
                <w:bCs/>
              </w:rPr>
              <w:t>ITU-T Study Group 5</w:t>
            </w:r>
          </w:p>
        </w:tc>
        <w:tc>
          <w:tcPr>
            <w:tcW w:w="5103" w:type="dxa"/>
            <w:vAlign w:val="center"/>
          </w:tcPr>
          <w:p w14:paraId="1333161B" w14:textId="76844EF5" w:rsidR="0048382E" w:rsidRPr="00315E2E" w:rsidRDefault="0048382E" w:rsidP="0048382E">
            <w:pPr>
              <w:tabs>
                <w:tab w:val="left" w:pos="720"/>
              </w:tabs>
              <w:spacing w:before="60" w:after="60"/>
              <w:rPr>
                <w:highlight w:val="yellow"/>
              </w:rPr>
            </w:pPr>
            <w:r w:rsidRPr="00583DF5">
              <w:t>LS/r on creation, participation and termination of Regional Groups (reply to TSAG-LS18) [from ITU-T SG5]</w:t>
            </w:r>
          </w:p>
        </w:tc>
      </w:tr>
      <w:tr w:rsidR="0048382E" w:rsidRPr="00315E2E" w14:paraId="3A70C95B" w14:textId="77777777" w:rsidTr="00423AA8">
        <w:tc>
          <w:tcPr>
            <w:tcW w:w="993" w:type="dxa"/>
            <w:vAlign w:val="center"/>
          </w:tcPr>
          <w:p w14:paraId="231A9196" w14:textId="77777777" w:rsidR="0048382E" w:rsidRPr="00315E2E" w:rsidRDefault="00615B3C" w:rsidP="0048382E">
            <w:pPr>
              <w:spacing w:before="60" w:after="60"/>
              <w:jc w:val="center"/>
            </w:pPr>
            <w:hyperlink r:id="rId27" w:history="1">
              <w:r w:rsidR="0048382E" w:rsidRPr="00315E2E">
                <w:rPr>
                  <w:rStyle w:val="Hyperlink"/>
                </w:rPr>
                <w:t>TD519</w:t>
              </w:r>
            </w:hyperlink>
          </w:p>
        </w:tc>
        <w:tc>
          <w:tcPr>
            <w:tcW w:w="2835" w:type="dxa"/>
            <w:vAlign w:val="center"/>
          </w:tcPr>
          <w:p w14:paraId="4D4FF68B" w14:textId="42B6A3D4" w:rsidR="0048382E" w:rsidRPr="00315E2E" w:rsidRDefault="0048382E" w:rsidP="0048382E">
            <w:pPr>
              <w:spacing w:before="60" w:after="60"/>
              <w:jc w:val="center"/>
            </w:pPr>
            <w:r w:rsidRPr="00315E2E">
              <w:rPr>
                <w:bCs/>
              </w:rPr>
              <w:t>ITU-T Study Group 11</w:t>
            </w:r>
          </w:p>
        </w:tc>
        <w:tc>
          <w:tcPr>
            <w:tcW w:w="5103" w:type="dxa"/>
            <w:vAlign w:val="center"/>
          </w:tcPr>
          <w:p w14:paraId="0FB1FE2D" w14:textId="4BD68FCA" w:rsidR="0048382E" w:rsidRPr="00315E2E" w:rsidRDefault="0048382E" w:rsidP="0048382E">
            <w:pPr>
              <w:spacing w:before="60" w:after="60"/>
            </w:pPr>
            <w:r w:rsidRPr="000C24D9">
              <w:t>LS/r on creation, participation and termination of Regional Groups (reply to TSAG-LS18) [from ITU-T SG11]</w:t>
            </w:r>
          </w:p>
        </w:tc>
      </w:tr>
      <w:tr w:rsidR="0048382E" w:rsidRPr="00315E2E" w14:paraId="6B35234E" w14:textId="77777777" w:rsidTr="00045473">
        <w:tc>
          <w:tcPr>
            <w:tcW w:w="993" w:type="dxa"/>
            <w:vAlign w:val="center"/>
          </w:tcPr>
          <w:p w14:paraId="13E98D11" w14:textId="77777777" w:rsidR="0048382E" w:rsidRPr="00315E2E" w:rsidRDefault="00615B3C" w:rsidP="0048382E">
            <w:pPr>
              <w:spacing w:before="60" w:after="60"/>
              <w:jc w:val="center"/>
              <w:rPr>
                <w:highlight w:val="yellow"/>
              </w:rPr>
            </w:pPr>
            <w:hyperlink r:id="rId28" w:history="1">
              <w:r w:rsidR="0048382E" w:rsidRPr="00315E2E">
                <w:rPr>
                  <w:rStyle w:val="Hyperlink"/>
                </w:rPr>
                <w:t>TD541</w:t>
              </w:r>
            </w:hyperlink>
          </w:p>
        </w:tc>
        <w:tc>
          <w:tcPr>
            <w:tcW w:w="2835" w:type="dxa"/>
            <w:vAlign w:val="center"/>
          </w:tcPr>
          <w:p w14:paraId="01D572F6" w14:textId="4F18EB34" w:rsidR="0048382E" w:rsidRPr="00315E2E" w:rsidRDefault="0048382E" w:rsidP="0048382E">
            <w:pPr>
              <w:spacing w:before="60" w:after="60"/>
              <w:jc w:val="center"/>
            </w:pPr>
            <w:r w:rsidRPr="00315E2E">
              <w:rPr>
                <w:bCs/>
              </w:rPr>
              <w:t>ITU-T  Study Group 12</w:t>
            </w:r>
          </w:p>
        </w:tc>
        <w:tc>
          <w:tcPr>
            <w:tcW w:w="5103" w:type="dxa"/>
            <w:vAlign w:val="center"/>
          </w:tcPr>
          <w:p w14:paraId="74A7FA2A" w14:textId="053A7CAF" w:rsidR="0048382E" w:rsidRPr="00315E2E" w:rsidRDefault="0048382E" w:rsidP="0048382E">
            <w:pPr>
              <w:tabs>
                <w:tab w:val="left" w:pos="720"/>
              </w:tabs>
              <w:spacing w:before="60" w:after="60"/>
              <w:rPr>
                <w:highlight w:val="yellow"/>
              </w:rPr>
            </w:pPr>
            <w:r w:rsidRPr="00E72472">
              <w:t>LS/r on creation, participation and termination of Regional Groups (reply to TSAG-LS18) [from ITU-T SG12]</w:t>
            </w:r>
          </w:p>
        </w:tc>
      </w:tr>
      <w:tr w:rsidR="0048382E" w:rsidRPr="00315E2E" w14:paraId="671AECD3" w14:textId="77777777" w:rsidTr="00423AA8">
        <w:tc>
          <w:tcPr>
            <w:tcW w:w="993" w:type="dxa"/>
            <w:vAlign w:val="center"/>
          </w:tcPr>
          <w:p w14:paraId="70985674" w14:textId="77777777" w:rsidR="0048382E" w:rsidRPr="00315E2E" w:rsidRDefault="00615B3C" w:rsidP="0048382E">
            <w:pPr>
              <w:spacing w:before="60" w:after="60"/>
              <w:jc w:val="center"/>
            </w:pPr>
            <w:hyperlink r:id="rId29" w:history="1">
              <w:r w:rsidR="0048382E" w:rsidRPr="00315E2E">
                <w:rPr>
                  <w:rStyle w:val="Hyperlink"/>
                </w:rPr>
                <w:t>TD510</w:t>
              </w:r>
            </w:hyperlink>
          </w:p>
        </w:tc>
        <w:tc>
          <w:tcPr>
            <w:tcW w:w="2835" w:type="dxa"/>
            <w:vAlign w:val="center"/>
          </w:tcPr>
          <w:p w14:paraId="1F39885E" w14:textId="1BFF3D08" w:rsidR="0048382E" w:rsidRPr="00315E2E" w:rsidRDefault="0048382E" w:rsidP="0048382E">
            <w:pPr>
              <w:spacing w:before="60" w:after="60"/>
              <w:jc w:val="center"/>
            </w:pPr>
            <w:r w:rsidRPr="00315E2E">
              <w:rPr>
                <w:bCs/>
              </w:rPr>
              <w:t>ITU-T Study Group 17</w:t>
            </w:r>
          </w:p>
        </w:tc>
        <w:tc>
          <w:tcPr>
            <w:tcW w:w="5103" w:type="dxa"/>
            <w:vAlign w:val="center"/>
          </w:tcPr>
          <w:p w14:paraId="7D314B19" w14:textId="0B73A96C" w:rsidR="0048382E" w:rsidRPr="00315E2E" w:rsidRDefault="0048382E" w:rsidP="0048382E">
            <w:pPr>
              <w:spacing w:before="60" w:after="60"/>
            </w:pPr>
            <w:r w:rsidRPr="00026738">
              <w:t>LS/r on Reg</w:t>
            </w:r>
            <w:r>
              <w:t>ional Groups [from ITU-T SG17]</w:t>
            </w:r>
          </w:p>
        </w:tc>
      </w:tr>
      <w:tr w:rsidR="0048382E" w:rsidRPr="00315E2E" w14:paraId="6D81E2CC" w14:textId="77777777" w:rsidTr="00423AA8">
        <w:tc>
          <w:tcPr>
            <w:tcW w:w="993" w:type="dxa"/>
            <w:vAlign w:val="center"/>
          </w:tcPr>
          <w:p w14:paraId="0EFC467A" w14:textId="77777777" w:rsidR="0048382E" w:rsidRPr="00315E2E" w:rsidRDefault="00615B3C" w:rsidP="0048382E">
            <w:pPr>
              <w:spacing w:before="60" w:after="60"/>
              <w:jc w:val="center"/>
            </w:pPr>
            <w:hyperlink r:id="rId30" w:history="1">
              <w:r w:rsidR="0048382E" w:rsidRPr="00315E2E">
                <w:rPr>
                  <w:rStyle w:val="Hyperlink"/>
                </w:rPr>
                <w:t>TD551</w:t>
              </w:r>
            </w:hyperlink>
          </w:p>
        </w:tc>
        <w:tc>
          <w:tcPr>
            <w:tcW w:w="2835" w:type="dxa"/>
            <w:vAlign w:val="center"/>
          </w:tcPr>
          <w:p w14:paraId="7F287867" w14:textId="7C6615C9" w:rsidR="0048382E" w:rsidRPr="00315E2E" w:rsidRDefault="0048382E" w:rsidP="0048382E">
            <w:pPr>
              <w:spacing w:before="60" w:after="60"/>
              <w:jc w:val="center"/>
              <w:rPr>
                <w:bCs/>
              </w:rPr>
            </w:pPr>
            <w:r w:rsidRPr="00315E2E">
              <w:rPr>
                <w:bCs/>
              </w:rPr>
              <w:t>ITU-T Study Group 20</w:t>
            </w:r>
          </w:p>
        </w:tc>
        <w:tc>
          <w:tcPr>
            <w:tcW w:w="5103" w:type="dxa"/>
            <w:vAlign w:val="center"/>
          </w:tcPr>
          <w:p w14:paraId="4EA00F90" w14:textId="3660D762" w:rsidR="0048382E" w:rsidRPr="00315E2E" w:rsidRDefault="0048382E" w:rsidP="0048382E">
            <w:pPr>
              <w:spacing w:before="60" w:after="60"/>
            </w:pPr>
            <w:r w:rsidRPr="00EE0832">
              <w:t>LS/r on creation, participation and termination of Regional Groups (reply to TSAG-LS18) [from ITU-T SG20]</w:t>
            </w:r>
          </w:p>
        </w:tc>
      </w:tr>
    </w:tbl>
    <w:p w14:paraId="77E1D5D9" w14:textId="5A9DE868" w:rsidR="00844CCA" w:rsidRDefault="000D4575" w:rsidP="00045473">
      <w:pPr>
        <w:spacing w:before="120"/>
        <w:rPr>
          <w:shd w:val="clear" w:color="auto" w:fill="FFFFFF"/>
        </w:rPr>
      </w:pPr>
      <w:r>
        <w:rPr>
          <w:rFonts w:asciiTheme="majorBidi" w:hAnsiTheme="majorBidi" w:cstheme="majorBidi"/>
        </w:rPr>
        <w:t xml:space="preserve">At the third meeting, </w:t>
      </w:r>
      <w:r w:rsidR="0057123C">
        <w:rPr>
          <w:rFonts w:asciiTheme="majorBidi" w:hAnsiTheme="majorBidi" w:cstheme="majorBidi"/>
        </w:rPr>
        <w:t>t</w:t>
      </w:r>
      <w:r w:rsidR="0055017E" w:rsidRPr="007E6558">
        <w:rPr>
          <w:rFonts w:asciiTheme="majorBidi" w:hAnsiTheme="majorBidi" w:cstheme="majorBidi"/>
        </w:rPr>
        <w:t xml:space="preserve">he </w:t>
      </w:r>
      <w:r w:rsidR="00AE2387">
        <w:rPr>
          <w:rFonts w:asciiTheme="majorBidi" w:hAnsiTheme="majorBidi" w:cstheme="majorBidi"/>
        </w:rPr>
        <w:t>Rapporteur</w:t>
      </w:r>
      <w:r w:rsidR="0055017E" w:rsidRPr="007E6558">
        <w:rPr>
          <w:rFonts w:asciiTheme="majorBidi" w:hAnsiTheme="majorBidi" w:cstheme="majorBidi"/>
        </w:rPr>
        <w:t xml:space="preserve"> also presented </w:t>
      </w:r>
      <w:hyperlink r:id="rId31" w:history="1">
        <w:r w:rsidR="0055017E" w:rsidRPr="007E6558">
          <w:rPr>
            <w:rStyle w:val="Hyperlink"/>
            <w:rFonts w:asciiTheme="majorBidi" w:hAnsiTheme="majorBidi" w:cstheme="majorBidi"/>
          </w:rPr>
          <w:t>TD621</w:t>
        </w:r>
      </w:hyperlink>
      <w:r w:rsidR="0055017E" w:rsidRPr="007E6558">
        <w:rPr>
          <w:rFonts w:asciiTheme="majorBidi" w:hAnsiTheme="majorBidi" w:cstheme="majorBidi"/>
        </w:rPr>
        <w:t xml:space="preserve">, which contains a compilation of </w:t>
      </w:r>
      <w:r w:rsidR="0055017E">
        <w:rPr>
          <w:rFonts w:asciiTheme="majorBidi" w:hAnsiTheme="majorBidi" w:cstheme="majorBidi"/>
        </w:rPr>
        <w:t>information on the creation, participation and termination of regional groups as received from the Study Groups</w:t>
      </w:r>
      <w:r w:rsidR="0055017E" w:rsidRPr="007E6558">
        <w:rPr>
          <w:rFonts w:asciiTheme="majorBidi" w:hAnsiTheme="majorBidi" w:cstheme="majorBidi"/>
        </w:rPr>
        <w:t>.</w:t>
      </w:r>
      <w:r w:rsidR="0055017E">
        <w:rPr>
          <w:rFonts w:asciiTheme="majorBidi" w:hAnsiTheme="majorBidi" w:cstheme="majorBidi"/>
        </w:rPr>
        <w:t xml:space="preserve"> The </w:t>
      </w:r>
      <w:r w:rsidR="00AE2387">
        <w:rPr>
          <w:rFonts w:asciiTheme="majorBidi" w:hAnsiTheme="majorBidi" w:cstheme="majorBidi"/>
        </w:rPr>
        <w:t>Rapporteur</w:t>
      </w:r>
      <w:r w:rsidR="0055017E">
        <w:rPr>
          <w:rFonts w:asciiTheme="majorBidi" w:hAnsiTheme="majorBidi" w:cstheme="majorBidi"/>
        </w:rPr>
        <w:t xml:space="preserve"> suggested that TD621 could be considered as the received facts from Study </w:t>
      </w:r>
      <w:r w:rsidR="0055017E" w:rsidRPr="00450FEF">
        <w:rPr>
          <w:rFonts w:asciiTheme="majorBidi" w:hAnsiTheme="majorBidi" w:cstheme="majorBidi"/>
        </w:rPr>
        <w:t xml:space="preserve">Groups to </w:t>
      </w:r>
      <w:r w:rsidR="0055017E" w:rsidRPr="00450FEF">
        <w:rPr>
          <w:shd w:val="clear" w:color="auto" w:fill="FFFFFF"/>
        </w:rPr>
        <w:t>clarify the current criteria for the creation of, participation in, and termination of regional groups of ITU-T Study Groups to address part of the first objective of the terms of reference</w:t>
      </w:r>
      <w:r w:rsidR="0055017E">
        <w:rPr>
          <w:shd w:val="clear" w:color="auto" w:fill="FFFFFF"/>
        </w:rPr>
        <w:t>.</w:t>
      </w:r>
    </w:p>
    <w:p w14:paraId="44B3858B" w14:textId="0395E2B6" w:rsidR="009C07AD" w:rsidRDefault="00667B87" w:rsidP="00045473">
      <w:pPr>
        <w:spacing w:before="120" w:after="60"/>
      </w:pPr>
      <w:r>
        <w:t>The following contributions we</w:t>
      </w:r>
      <w:r w:rsidR="00AD4C79">
        <w:t xml:space="preserve">re </w:t>
      </w:r>
      <w:r w:rsidR="0057123C">
        <w:t xml:space="preserve">also </w:t>
      </w:r>
      <w:r w:rsidR="00AD4C79">
        <w:t>received</w:t>
      </w:r>
      <w:r w:rsidR="0057123C">
        <w:t xml:space="preserve"> for the meeting</w:t>
      </w:r>
      <w:r w:rsidR="009C07AD">
        <w:t>:</w:t>
      </w:r>
    </w:p>
    <w:tbl>
      <w:tblPr>
        <w:tblStyle w:val="TableGrid"/>
        <w:tblW w:w="0" w:type="auto"/>
        <w:tblLook w:val="04A0" w:firstRow="1" w:lastRow="0" w:firstColumn="1" w:lastColumn="0" w:noHBand="0" w:noVBand="1"/>
      </w:tblPr>
      <w:tblGrid>
        <w:gridCol w:w="988"/>
        <w:gridCol w:w="2835"/>
        <w:gridCol w:w="5103"/>
      </w:tblGrid>
      <w:tr w:rsidR="00045473" w:rsidRPr="00FB6868" w14:paraId="54AD4CDF" w14:textId="77777777" w:rsidTr="00045473">
        <w:tc>
          <w:tcPr>
            <w:tcW w:w="988" w:type="dxa"/>
            <w:vAlign w:val="center"/>
          </w:tcPr>
          <w:p w14:paraId="2CFEEE1A" w14:textId="77777777" w:rsidR="00045473" w:rsidRPr="00FB6868" w:rsidRDefault="00045473" w:rsidP="00A42E99">
            <w:pPr>
              <w:spacing w:before="60" w:after="60"/>
              <w:jc w:val="center"/>
            </w:pPr>
            <w:r w:rsidRPr="00FB6868">
              <w:rPr>
                <w:i/>
              </w:rPr>
              <w:t>C</w:t>
            </w:r>
          </w:p>
        </w:tc>
        <w:tc>
          <w:tcPr>
            <w:tcW w:w="2835" w:type="dxa"/>
            <w:vAlign w:val="center"/>
          </w:tcPr>
          <w:p w14:paraId="4B012C98" w14:textId="77777777" w:rsidR="00045473" w:rsidRPr="00FB6868" w:rsidRDefault="00045473" w:rsidP="00A42E99">
            <w:pPr>
              <w:spacing w:before="60" w:after="60"/>
              <w:jc w:val="center"/>
            </w:pPr>
            <w:r w:rsidRPr="00FB6868">
              <w:rPr>
                <w:i/>
              </w:rPr>
              <w:t>Source</w:t>
            </w:r>
          </w:p>
        </w:tc>
        <w:tc>
          <w:tcPr>
            <w:tcW w:w="5103" w:type="dxa"/>
          </w:tcPr>
          <w:p w14:paraId="07189232" w14:textId="77777777" w:rsidR="00045473" w:rsidRPr="00FB6868" w:rsidRDefault="00045473" w:rsidP="00A42E99">
            <w:pPr>
              <w:spacing w:before="60" w:after="60"/>
              <w:jc w:val="center"/>
            </w:pPr>
            <w:r w:rsidRPr="00FB6868">
              <w:rPr>
                <w:i/>
              </w:rPr>
              <w:t>Title</w:t>
            </w:r>
          </w:p>
        </w:tc>
      </w:tr>
      <w:tr w:rsidR="00045473" w:rsidRPr="00FB6868" w14:paraId="07426306" w14:textId="77777777" w:rsidTr="00045473">
        <w:tc>
          <w:tcPr>
            <w:tcW w:w="988" w:type="dxa"/>
            <w:vAlign w:val="center"/>
          </w:tcPr>
          <w:p w14:paraId="274E551F" w14:textId="77777777" w:rsidR="00045473" w:rsidRPr="00FB6868" w:rsidRDefault="00615B3C" w:rsidP="00A42E99">
            <w:pPr>
              <w:spacing w:before="60" w:after="60"/>
              <w:jc w:val="center"/>
              <w:rPr>
                <w:i/>
              </w:rPr>
            </w:pPr>
            <w:hyperlink r:id="rId32" w:history="1">
              <w:r w:rsidR="00045473" w:rsidRPr="00FB6868">
                <w:rPr>
                  <w:rStyle w:val="Hyperlink"/>
                </w:rPr>
                <w:t>C79</w:t>
              </w:r>
            </w:hyperlink>
          </w:p>
        </w:tc>
        <w:tc>
          <w:tcPr>
            <w:tcW w:w="2835" w:type="dxa"/>
            <w:vAlign w:val="center"/>
          </w:tcPr>
          <w:p w14:paraId="03245970" w14:textId="77777777" w:rsidR="00045473" w:rsidRPr="00FB6868" w:rsidRDefault="00045473" w:rsidP="00A42E99">
            <w:pPr>
              <w:spacing w:before="60" w:after="60"/>
              <w:jc w:val="center"/>
              <w:rPr>
                <w:i/>
              </w:rPr>
            </w:pPr>
            <w:r w:rsidRPr="00FB6868">
              <w:t>GSMA</w:t>
            </w:r>
          </w:p>
        </w:tc>
        <w:tc>
          <w:tcPr>
            <w:tcW w:w="5103" w:type="dxa"/>
          </w:tcPr>
          <w:p w14:paraId="2487C2A1" w14:textId="77777777" w:rsidR="00045473" w:rsidRPr="00FB6868" w:rsidRDefault="00045473" w:rsidP="00A42E99">
            <w:pPr>
              <w:spacing w:before="60" w:after="60"/>
              <w:rPr>
                <w:i/>
              </w:rPr>
            </w:pPr>
            <w:r w:rsidRPr="00FB6868">
              <w:t>Suggestions for the work of TSAG RG-CPTRG: participation of Sector Members in regional study group meetings Sept 2019</w:t>
            </w:r>
          </w:p>
        </w:tc>
      </w:tr>
      <w:tr w:rsidR="00045473" w:rsidRPr="00FB6868" w14:paraId="67033DBD" w14:textId="77777777" w:rsidTr="00045473">
        <w:tc>
          <w:tcPr>
            <w:tcW w:w="988" w:type="dxa"/>
            <w:vAlign w:val="center"/>
          </w:tcPr>
          <w:p w14:paraId="0978D262" w14:textId="77777777" w:rsidR="00045473" w:rsidRPr="00FB6868" w:rsidRDefault="00615B3C" w:rsidP="00A42E99">
            <w:pPr>
              <w:spacing w:before="60" w:after="60"/>
              <w:jc w:val="center"/>
              <w:rPr>
                <w:i/>
              </w:rPr>
            </w:pPr>
            <w:hyperlink r:id="rId33" w:history="1">
              <w:r w:rsidR="00045473" w:rsidRPr="00FB6868">
                <w:rPr>
                  <w:rStyle w:val="Hyperlink"/>
                </w:rPr>
                <w:t>C80</w:t>
              </w:r>
            </w:hyperlink>
          </w:p>
        </w:tc>
        <w:tc>
          <w:tcPr>
            <w:tcW w:w="2835" w:type="dxa"/>
            <w:vAlign w:val="center"/>
          </w:tcPr>
          <w:p w14:paraId="7B2BBED5" w14:textId="77777777" w:rsidR="00045473" w:rsidRPr="00FB6868" w:rsidRDefault="00045473" w:rsidP="00A42E99">
            <w:pPr>
              <w:spacing w:before="60" w:after="60"/>
              <w:jc w:val="center"/>
              <w:rPr>
                <w:i/>
              </w:rPr>
            </w:pPr>
            <w:r w:rsidRPr="00FB6868">
              <w:t>United States of America</w:t>
            </w:r>
          </w:p>
        </w:tc>
        <w:tc>
          <w:tcPr>
            <w:tcW w:w="5103" w:type="dxa"/>
          </w:tcPr>
          <w:p w14:paraId="5844EB49" w14:textId="77777777" w:rsidR="00045473" w:rsidRPr="00FB6868" w:rsidRDefault="00045473" w:rsidP="00A42E99">
            <w:pPr>
              <w:spacing w:before="60" w:after="60"/>
              <w:rPr>
                <w:i/>
              </w:rPr>
            </w:pPr>
            <w:r w:rsidRPr="00FB6868">
              <w:t xml:space="preserve">Observations and suggestions for the work of TSAG RG-CPTRG </w:t>
            </w:r>
          </w:p>
        </w:tc>
      </w:tr>
      <w:tr w:rsidR="00045473" w:rsidRPr="00FB6868" w14:paraId="764A5E06" w14:textId="77777777" w:rsidTr="00045473">
        <w:tc>
          <w:tcPr>
            <w:tcW w:w="988" w:type="dxa"/>
            <w:vAlign w:val="center"/>
          </w:tcPr>
          <w:p w14:paraId="5F4D745E" w14:textId="77777777" w:rsidR="00045473" w:rsidRPr="00FB6868" w:rsidRDefault="00615B3C" w:rsidP="00A42E99">
            <w:pPr>
              <w:spacing w:before="60" w:after="60"/>
              <w:jc w:val="center"/>
              <w:rPr>
                <w:i/>
              </w:rPr>
            </w:pPr>
            <w:hyperlink r:id="rId34" w:history="1">
              <w:r w:rsidR="00045473" w:rsidRPr="00FB6868">
                <w:rPr>
                  <w:rStyle w:val="Hyperlink"/>
                </w:rPr>
                <w:t>C90</w:t>
              </w:r>
            </w:hyperlink>
          </w:p>
        </w:tc>
        <w:tc>
          <w:tcPr>
            <w:tcW w:w="2835" w:type="dxa"/>
            <w:vAlign w:val="center"/>
          </w:tcPr>
          <w:p w14:paraId="3976218D" w14:textId="77777777" w:rsidR="00045473" w:rsidRPr="00FB6868" w:rsidRDefault="00045473" w:rsidP="00A42E99">
            <w:pPr>
              <w:spacing w:before="60" w:after="60"/>
              <w:jc w:val="center"/>
              <w:rPr>
                <w:i/>
              </w:rPr>
            </w:pPr>
            <w:r w:rsidRPr="00FB6868">
              <w:t>Brazil</w:t>
            </w:r>
          </w:p>
        </w:tc>
        <w:tc>
          <w:tcPr>
            <w:tcW w:w="5103" w:type="dxa"/>
          </w:tcPr>
          <w:p w14:paraId="03F2022E" w14:textId="77777777" w:rsidR="00045473" w:rsidRPr="00FB6868" w:rsidRDefault="00045473" w:rsidP="00A42E99">
            <w:pPr>
              <w:spacing w:before="60" w:after="60"/>
              <w:rPr>
                <w:i/>
              </w:rPr>
            </w:pPr>
            <w:r w:rsidRPr="00FB6868">
              <w:t>Legal clarifications concerning the role of TSAG in the creation of regional groups of ITU-T Study Groups, and the rights of participation of sector members, associates and academia</w:t>
            </w:r>
          </w:p>
        </w:tc>
      </w:tr>
    </w:tbl>
    <w:p w14:paraId="650947F1" w14:textId="2FA60409" w:rsidR="00354370" w:rsidRPr="007E6558" w:rsidRDefault="00354370" w:rsidP="00045473">
      <w:pPr>
        <w:spacing w:before="120"/>
      </w:pPr>
      <w:r w:rsidRPr="007E6558">
        <w:rPr>
          <w:rFonts w:asciiTheme="majorBidi" w:eastAsia="Batang" w:hAnsiTheme="majorBidi" w:cstheme="majorBidi"/>
          <w:bCs/>
        </w:rPr>
        <w:t xml:space="preserve">ITU Legal Affairs Unit (LAU) </w:t>
      </w:r>
      <w:r>
        <w:rPr>
          <w:rFonts w:asciiTheme="majorBidi" w:eastAsia="Batang" w:hAnsiTheme="majorBidi" w:cstheme="majorBidi"/>
          <w:bCs/>
        </w:rPr>
        <w:t>submitted</w:t>
      </w:r>
      <w:r w:rsidRPr="007E6558">
        <w:rPr>
          <w:rFonts w:asciiTheme="majorBidi" w:eastAsia="Batang" w:hAnsiTheme="majorBidi" w:cstheme="majorBidi"/>
          <w:bCs/>
        </w:rPr>
        <w:t xml:space="preserve"> </w:t>
      </w:r>
      <w:hyperlink r:id="rId35" w:history="1">
        <w:r w:rsidRPr="007E6558">
          <w:rPr>
            <w:rStyle w:val="Hyperlink"/>
            <w:bCs/>
          </w:rPr>
          <w:t>TD577</w:t>
        </w:r>
      </w:hyperlink>
      <w:r w:rsidRPr="007E6558">
        <w:rPr>
          <w:rStyle w:val="Hyperlink"/>
          <w:bCs/>
          <w:color w:val="auto"/>
          <w:u w:val="none"/>
        </w:rPr>
        <w:t xml:space="preserve"> </w:t>
      </w:r>
      <w:r>
        <w:rPr>
          <w:rStyle w:val="Hyperlink"/>
          <w:bCs/>
          <w:color w:val="auto"/>
          <w:u w:val="none"/>
        </w:rPr>
        <w:t xml:space="preserve">to address </w:t>
      </w:r>
      <w:r w:rsidRPr="007E6558">
        <w:t>clarifications concerning the role of TSAG in the creation of regional groups of ITU-T Study Groups, and the rights of participation of sector members, associates and academia</w:t>
      </w:r>
      <w:r>
        <w:t>.</w:t>
      </w:r>
    </w:p>
    <w:p w14:paraId="20D8CAA2" w14:textId="6DA51805" w:rsidR="00304C24" w:rsidRPr="00A428AF" w:rsidRDefault="00611AC6" w:rsidP="00535DCB">
      <w:pPr>
        <w:spacing w:before="120" w:after="60"/>
        <w:rPr>
          <w:rFonts w:asciiTheme="majorBidi" w:hAnsiTheme="majorBidi" w:cstheme="majorBidi"/>
        </w:rPr>
      </w:pPr>
      <w:r>
        <w:rPr>
          <w:rFonts w:asciiTheme="majorBidi" w:hAnsiTheme="majorBidi" w:cstheme="majorBidi"/>
        </w:rPr>
        <w:t xml:space="preserve">At </w:t>
      </w:r>
      <w:r w:rsidR="00926419">
        <w:rPr>
          <w:rFonts w:asciiTheme="majorBidi" w:hAnsiTheme="majorBidi" w:cstheme="majorBidi"/>
        </w:rPr>
        <w:t xml:space="preserve">the </w:t>
      </w:r>
      <w:r w:rsidR="005B5BE9">
        <w:rPr>
          <w:rFonts w:asciiTheme="majorBidi" w:hAnsiTheme="majorBidi" w:cstheme="majorBidi"/>
        </w:rPr>
        <w:t xml:space="preserve">final </w:t>
      </w:r>
      <w:r w:rsidR="00926419">
        <w:rPr>
          <w:rFonts w:asciiTheme="majorBidi" w:hAnsiTheme="majorBidi" w:cstheme="majorBidi"/>
        </w:rPr>
        <w:t>meeting of the Rapporteur Group, t</w:t>
      </w:r>
      <w:r w:rsidR="0032604B" w:rsidRPr="007E6558">
        <w:rPr>
          <w:rFonts w:asciiTheme="majorBidi" w:hAnsiTheme="majorBidi" w:cstheme="majorBidi"/>
        </w:rPr>
        <w:t xml:space="preserve">he </w:t>
      </w:r>
      <w:r w:rsidR="0032604B">
        <w:rPr>
          <w:rFonts w:asciiTheme="majorBidi" w:hAnsiTheme="majorBidi" w:cstheme="majorBidi"/>
        </w:rPr>
        <w:t>liaison statement</w:t>
      </w:r>
      <w:r w:rsidR="0020486B">
        <w:rPr>
          <w:rFonts w:asciiTheme="majorBidi" w:hAnsiTheme="majorBidi" w:cstheme="majorBidi"/>
        </w:rPr>
        <w:t xml:space="preserve"> with details below</w:t>
      </w:r>
      <w:r w:rsidR="0032604B">
        <w:rPr>
          <w:rFonts w:asciiTheme="majorBidi" w:hAnsiTheme="majorBidi" w:cstheme="majorBidi"/>
        </w:rPr>
        <w:t xml:space="preserve"> was</w:t>
      </w:r>
      <w:r w:rsidR="0032604B" w:rsidRPr="007E6558">
        <w:rPr>
          <w:rFonts w:asciiTheme="majorBidi" w:hAnsiTheme="majorBidi" w:cstheme="majorBidi"/>
        </w:rPr>
        <w:t xml:space="preserve"> </w:t>
      </w:r>
      <w:r w:rsidR="00926419">
        <w:rPr>
          <w:rFonts w:asciiTheme="majorBidi" w:hAnsiTheme="majorBidi" w:cstheme="majorBidi"/>
        </w:rPr>
        <w:t xml:space="preserve">also received: </w:t>
      </w:r>
    </w:p>
    <w:tbl>
      <w:tblPr>
        <w:tblStyle w:val="TableGrid"/>
        <w:tblW w:w="0" w:type="auto"/>
        <w:tblInd w:w="-5" w:type="dxa"/>
        <w:tblLook w:val="04A0" w:firstRow="1" w:lastRow="0" w:firstColumn="1" w:lastColumn="0" w:noHBand="0" w:noVBand="1"/>
      </w:tblPr>
      <w:tblGrid>
        <w:gridCol w:w="993"/>
        <w:gridCol w:w="2835"/>
        <w:gridCol w:w="5103"/>
      </w:tblGrid>
      <w:tr w:rsidR="0032604B" w:rsidRPr="00FB6868" w14:paraId="58C5F6CE" w14:textId="77777777" w:rsidTr="00C40C28">
        <w:tc>
          <w:tcPr>
            <w:tcW w:w="993" w:type="dxa"/>
            <w:vAlign w:val="center"/>
          </w:tcPr>
          <w:p w14:paraId="0A80337C" w14:textId="77777777" w:rsidR="0032604B" w:rsidRPr="00FB6868" w:rsidRDefault="0032604B" w:rsidP="00C40C28">
            <w:pPr>
              <w:spacing w:before="60" w:after="60"/>
              <w:jc w:val="center"/>
              <w:rPr>
                <w:i/>
              </w:rPr>
            </w:pPr>
            <w:r w:rsidRPr="00FB6868">
              <w:rPr>
                <w:i/>
              </w:rPr>
              <w:t>TD</w:t>
            </w:r>
          </w:p>
        </w:tc>
        <w:tc>
          <w:tcPr>
            <w:tcW w:w="2835" w:type="dxa"/>
            <w:vAlign w:val="center"/>
          </w:tcPr>
          <w:p w14:paraId="7343E300" w14:textId="77777777" w:rsidR="0032604B" w:rsidRPr="00FB6868" w:rsidRDefault="0032604B" w:rsidP="00C40C28">
            <w:pPr>
              <w:spacing w:before="60" w:after="60"/>
              <w:jc w:val="center"/>
              <w:rPr>
                <w:i/>
              </w:rPr>
            </w:pPr>
            <w:r w:rsidRPr="00FB6868">
              <w:rPr>
                <w:i/>
              </w:rPr>
              <w:t xml:space="preserve">Source </w:t>
            </w:r>
          </w:p>
        </w:tc>
        <w:tc>
          <w:tcPr>
            <w:tcW w:w="5103" w:type="dxa"/>
          </w:tcPr>
          <w:p w14:paraId="0E6877BB" w14:textId="77777777" w:rsidR="0032604B" w:rsidRPr="00FB6868" w:rsidRDefault="0032604B" w:rsidP="00C40C28">
            <w:pPr>
              <w:spacing w:before="60" w:after="60"/>
              <w:jc w:val="center"/>
              <w:rPr>
                <w:i/>
              </w:rPr>
            </w:pPr>
            <w:r w:rsidRPr="00FB6868">
              <w:rPr>
                <w:i/>
              </w:rPr>
              <w:t>Title</w:t>
            </w:r>
          </w:p>
        </w:tc>
      </w:tr>
      <w:tr w:rsidR="0032604B" w:rsidRPr="00FB6868" w14:paraId="2D02033B" w14:textId="77777777" w:rsidTr="00194AFC">
        <w:tc>
          <w:tcPr>
            <w:tcW w:w="993" w:type="dxa"/>
            <w:vAlign w:val="center"/>
          </w:tcPr>
          <w:p w14:paraId="3D9A2DAE" w14:textId="77777777" w:rsidR="0032604B" w:rsidRPr="00FB6868" w:rsidRDefault="00615B3C" w:rsidP="00C40C28">
            <w:pPr>
              <w:spacing w:before="60" w:after="60"/>
              <w:jc w:val="center"/>
            </w:pPr>
            <w:hyperlink r:id="rId36" w:history="1">
              <w:r w:rsidR="0032604B" w:rsidRPr="00FB6868">
                <w:rPr>
                  <w:rStyle w:val="Hyperlink"/>
                </w:rPr>
                <w:t>TD707</w:t>
              </w:r>
            </w:hyperlink>
          </w:p>
        </w:tc>
        <w:tc>
          <w:tcPr>
            <w:tcW w:w="2835" w:type="dxa"/>
            <w:vAlign w:val="center"/>
          </w:tcPr>
          <w:p w14:paraId="5ED734D1" w14:textId="77777777" w:rsidR="0032604B" w:rsidRPr="00FB6868" w:rsidRDefault="0032604B" w:rsidP="00C40C28">
            <w:pPr>
              <w:spacing w:before="60" w:after="60"/>
              <w:jc w:val="center"/>
            </w:pPr>
            <w:r w:rsidRPr="00FB6868">
              <w:rPr>
                <w:bCs/>
              </w:rPr>
              <w:t>ITU-T Study Group 12 Regional Group for Africa (SG12RG-AFR)</w:t>
            </w:r>
          </w:p>
        </w:tc>
        <w:tc>
          <w:tcPr>
            <w:tcW w:w="5103" w:type="dxa"/>
            <w:vAlign w:val="center"/>
          </w:tcPr>
          <w:p w14:paraId="01121025" w14:textId="17B7A450" w:rsidR="0032604B" w:rsidRPr="00FB6868" w:rsidRDefault="0032604B" w:rsidP="00194AFC">
            <w:pPr>
              <w:spacing w:before="60" w:after="60"/>
            </w:pPr>
            <w:r w:rsidRPr="00FB6868">
              <w:t>LS</w:t>
            </w:r>
            <w:r w:rsidR="006C1368" w:rsidRPr="00FB6868">
              <w:t>/</w:t>
            </w:r>
            <w:proofErr w:type="spellStart"/>
            <w:r w:rsidR="006C1368" w:rsidRPr="00FB6868">
              <w:t>i</w:t>
            </w:r>
            <w:proofErr w:type="spellEnd"/>
            <w:r w:rsidRPr="00FB6868">
              <w:t xml:space="preserve"> on draft Report RG-CPTRG on creation, participation and termination of Regional Groups </w:t>
            </w:r>
          </w:p>
        </w:tc>
      </w:tr>
    </w:tbl>
    <w:p w14:paraId="003DFF4A" w14:textId="041BA141" w:rsidR="00480E80" w:rsidRDefault="00EB75AB" w:rsidP="00535DCB">
      <w:pPr>
        <w:spacing w:before="120" w:after="60"/>
        <w:rPr>
          <w:rFonts w:asciiTheme="majorBidi" w:hAnsiTheme="majorBidi" w:cstheme="majorBidi"/>
        </w:rPr>
      </w:pPr>
      <w:r>
        <w:rPr>
          <w:rFonts w:asciiTheme="majorBidi" w:hAnsiTheme="majorBidi" w:cstheme="majorBidi"/>
        </w:rPr>
        <w:t xml:space="preserve">Two contributions were received from </w:t>
      </w:r>
      <w:r w:rsidR="00A4678B">
        <w:rPr>
          <w:rFonts w:asciiTheme="majorBidi" w:hAnsiTheme="majorBidi" w:cstheme="majorBidi"/>
        </w:rPr>
        <w:t>the United States of America for the final meeting</w:t>
      </w:r>
      <w:r w:rsidR="00480E80">
        <w:rPr>
          <w:rFonts w:asciiTheme="majorBidi" w:hAnsiTheme="majorBidi" w:cstheme="majorBidi"/>
        </w:rPr>
        <w:t>:</w:t>
      </w:r>
    </w:p>
    <w:tbl>
      <w:tblPr>
        <w:tblStyle w:val="TableGrid"/>
        <w:tblW w:w="0" w:type="auto"/>
        <w:tblLook w:val="04A0" w:firstRow="1" w:lastRow="0" w:firstColumn="1" w:lastColumn="0" w:noHBand="0" w:noVBand="1"/>
      </w:tblPr>
      <w:tblGrid>
        <w:gridCol w:w="988"/>
        <w:gridCol w:w="2835"/>
        <w:gridCol w:w="5103"/>
      </w:tblGrid>
      <w:tr w:rsidR="00045473" w:rsidRPr="00FB6868" w14:paraId="40FB4F08" w14:textId="77777777" w:rsidTr="00045473">
        <w:tc>
          <w:tcPr>
            <w:tcW w:w="988" w:type="dxa"/>
            <w:vAlign w:val="center"/>
          </w:tcPr>
          <w:p w14:paraId="0BA11A4B" w14:textId="77777777" w:rsidR="00045473" w:rsidRPr="00FB6868" w:rsidRDefault="00045473" w:rsidP="00A42E99">
            <w:pPr>
              <w:spacing w:before="60" w:after="60"/>
              <w:jc w:val="center"/>
            </w:pPr>
            <w:r w:rsidRPr="00FB6868">
              <w:rPr>
                <w:i/>
              </w:rPr>
              <w:t>C</w:t>
            </w:r>
          </w:p>
        </w:tc>
        <w:tc>
          <w:tcPr>
            <w:tcW w:w="2835" w:type="dxa"/>
            <w:vAlign w:val="center"/>
          </w:tcPr>
          <w:p w14:paraId="3E7A5EAD" w14:textId="77777777" w:rsidR="00045473" w:rsidRPr="00FB6868" w:rsidRDefault="00045473" w:rsidP="00A42E99">
            <w:pPr>
              <w:spacing w:before="60" w:after="60"/>
              <w:jc w:val="center"/>
            </w:pPr>
            <w:r w:rsidRPr="00FB6868">
              <w:rPr>
                <w:i/>
              </w:rPr>
              <w:t>Source</w:t>
            </w:r>
          </w:p>
        </w:tc>
        <w:tc>
          <w:tcPr>
            <w:tcW w:w="5103" w:type="dxa"/>
          </w:tcPr>
          <w:p w14:paraId="778EEBDC" w14:textId="77777777" w:rsidR="00045473" w:rsidRPr="00FB6868" w:rsidRDefault="00045473" w:rsidP="00A42E99">
            <w:pPr>
              <w:spacing w:before="60" w:after="60"/>
              <w:jc w:val="center"/>
            </w:pPr>
            <w:r w:rsidRPr="00FB6868">
              <w:rPr>
                <w:i/>
              </w:rPr>
              <w:t>Title</w:t>
            </w:r>
          </w:p>
        </w:tc>
      </w:tr>
      <w:tr w:rsidR="00045473" w:rsidRPr="00FB6868" w14:paraId="7F751C87" w14:textId="77777777" w:rsidTr="00045473">
        <w:tc>
          <w:tcPr>
            <w:tcW w:w="988" w:type="dxa"/>
            <w:vAlign w:val="center"/>
          </w:tcPr>
          <w:p w14:paraId="10101254" w14:textId="77777777" w:rsidR="00045473" w:rsidRPr="00FB6868" w:rsidRDefault="00615B3C" w:rsidP="00A42E99">
            <w:pPr>
              <w:spacing w:before="60" w:after="60"/>
              <w:jc w:val="center"/>
              <w:rPr>
                <w:i/>
              </w:rPr>
            </w:pPr>
            <w:hyperlink r:id="rId37" w:history="1">
              <w:r w:rsidR="00045473" w:rsidRPr="00FB6868">
                <w:rPr>
                  <w:rStyle w:val="Hyperlink"/>
                </w:rPr>
                <w:t>C113</w:t>
              </w:r>
            </w:hyperlink>
          </w:p>
        </w:tc>
        <w:tc>
          <w:tcPr>
            <w:tcW w:w="2835" w:type="dxa"/>
            <w:vAlign w:val="center"/>
          </w:tcPr>
          <w:p w14:paraId="539BE23A" w14:textId="77777777" w:rsidR="00045473" w:rsidRPr="00FB6868" w:rsidRDefault="00045473" w:rsidP="00A42E99">
            <w:pPr>
              <w:spacing w:before="60" w:after="60"/>
              <w:jc w:val="center"/>
              <w:rPr>
                <w:i/>
              </w:rPr>
            </w:pPr>
            <w:r w:rsidRPr="00FB6868">
              <w:t>United States of America</w:t>
            </w:r>
          </w:p>
        </w:tc>
        <w:tc>
          <w:tcPr>
            <w:tcW w:w="5103" w:type="dxa"/>
          </w:tcPr>
          <w:p w14:paraId="1E42B060" w14:textId="77777777" w:rsidR="00045473" w:rsidRPr="00FB6868" w:rsidRDefault="00045473" w:rsidP="00A42E99">
            <w:pPr>
              <w:spacing w:before="60" w:after="60"/>
              <w:rPr>
                <w:i/>
              </w:rPr>
            </w:pPr>
            <w:r w:rsidRPr="00FB6868">
              <w:t>Suggestions to continue to advance the work of TSAG RG-CPTRG</w:t>
            </w:r>
          </w:p>
        </w:tc>
      </w:tr>
      <w:tr w:rsidR="00045473" w:rsidRPr="00FB6868" w14:paraId="355EEB0A" w14:textId="77777777" w:rsidTr="00045473">
        <w:tc>
          <w:tcPr>
            <w:tcW w:w="988" w:type="dxa"/>
            <w:vAlign w:val="center"/>
          </w:tcPr>
          <w:p w14:paraId="4EF76B53" w14:textId="77777777" w:rsidR="00045473" w:rsidRPr="00FB6868" w:rsidRDefault="00615B3C" w:rsidP="00A42E99">
            <w:pPr>
              <w:spacing w:before="60" w:after="60"/>
              <w:jc w:val="center"/>
              <w:rPr>
                <w:i/>
              </w:rPr>
            </w:pPr>
            <w:hyperlink r:id="rId38" w:history="1">
              <w:r w:rsidR="00045473" w:rsidRPr="00FB6868">
                <w:rPr>
                  <w:rStyle w:val="Hyperlink"/>
                </w:rPr>
                <w:t>C115</w:t>
              </w:r>
            </w:hyperlink>
          </w:p>
        </w:tc>
        <w:tc>
          <w:tcPr>
            <w:tcW w:w="2835" w:type="dxa"/>
            <w:vAlign w:val="center"/>
          </w:tcPr>
          <w:p w14:paraId="04DD271F" w14:textId="77777777" w:rsidR="00045473" w:rsidRPr="00FB6868" w:rsidRDefault="00045473" w:rsidP="00A42E99">
            <w:pPr>
              <w:spacing w:before="60" w:after="60"/>
              <w:jc w:val="center"/>
              <w:rPr>
                <w:i/>
              </w:rPr>
            </w:pPr>
            <w:r w:rsidRPr="00FB6868">
              <w:t>United States of America</w:t>
            </w:r>
          </w:p>
        </w:tc>
        <w:tc>
          <w:tcPr>
            <w:tcW w:w="5103" w:type="dxa"/>
          </w:tcPr>
          <w:p w14:paraId="33328D2E" w14:textId="77777777" w:rsidR="00045473" w:rsidRPr="00FB6868" w:rsidRDefault="00045473" w:rsidP="00A42E99">
            <w:pPr>
              <w:spacing w:before="60" w:after="60"/>
            </w:pPr>
            <w:r w:rsidRPr="00FB6868">
              <w:t>CITEL DIAP on regional groups of ITU-T Study Groups (revisions to WTSA Resolution 54)</w:t>
            </w:r>
          </w:p>
        </w:tc>
      </w:tr>
    </w:tbl>
    <w:p w14:paraId="3CC29A5A" w14:textId="52408032" w:rsidR="00E666BE" w:rsidRPr="0032604B" w:rsidRDefault="00E666BE" w:rsidP="00535DCB">
      <w:pPr>
        <w:spacing w:before="120"/>
        <w:rPr>
          <w:rFonts w:asciiTheme="majorBidi" w:hAnsiTheme="majorBidi" w:cstheme="majorBidi"/>
        </w:rPr>
      </w:pPr>
    </w:p>
    <w:p w14:paraId="18976AB3" w14:textId="77326BBF" w:rsidR="00945407" w:rsidRPr="0032604B" w:rsidRDefault="00743DFD" w:rsidP="000D473C">
      <w:pPr>
        <w:rPr>
          <w:rFonts w:asciiTheme="majorBidi" w:hAnsiTheme="majorBidi" w:cstheme="majorBidi"/>
          <w:b/>
        </w:rPr>
      </w:pPr>
      <w:r>
        <w:rPr>
          <w:rFonts w:asciiTheme="majorBidi" w:hAnsiTheme="majorBidi" w:cstheme="majorBidi"/>
          <w:b/>
        </w:rPr>
        <w:t>4</w:t>
      </w:r>
      <w:r w:rsidR="00CF6637" w:rsidRPr="0032604B">
        <w:rPr>
          <w:rFonts w:asciiTheme="majorBidi" w:hAnsiTheme="majorBidi" w:cstheme="majorBidi"/>
          <w:b/>
        </w:rPr>
        <w:tab/>
      </w:r>
      <w:r w:rsidR="0010163A">
        <w:rPr>
          <w:rFonts w:asciiTheme="majorBidi" w:hAnsiTheme="majorBidi" w:cstheme="majorBidi"/>
          <w:b/>
        </w:rPr>
        <w:t xml:space="preserve">Summary of </w:t>
      </w:r>
      <w:r w:rsidR="00E666BE" w:rsidRPr="0032604B">
        <w:rPr>
          <w:rFonts w:asciiTheme="majorBidi" w:hAnsiTheme="majorBidi" w:cstheme="majorBidi"/>
          <w:b/>
        </w:rPr>
        <w:t>Discussion</w:t>
      </w:r>
      <w:r w:rsidR="001148C6">
        <w:rPr>
          <w:rFonts w:asciiTheme="majorBidi" w:hAnsiTheme="majorBidi" w:cstheme="majorBidi"/>
          <w:b/>
        </w:rPr>
        <w:t>s</w:t>
      </w:r>
      <w:r w:rsidR="00E666BE" w:rsidRPr="0032604B">
        <w:rPr>
          <w:rFonts w:asciiTheme="majorBidi" w:hAnsiTheme="majorBidi" w:cstheme="majorBidi"/>
          <w:b/>
        </w:rPr>
        <w:t xml:space="preserve"> and Outcomes</w:t>
      </w:r>
      <w:r w:rsidR="00945407" w:rsidRPr="0032604B">
        <w:rPr>
          <w:rFonts w:asciiTheme="majorBidi" w:hAnsiTheme="majorBidi" w:cstheme="majorBidi"/>
          <w:b/>
        </w:rPr>
        <w:t xml:space="preserve"> </w:t>
      </w:r>
    </w:p>
    <w:p w14:paraId="7763D0B4" w14:textId="554FE338" w:rsidR="000350D7" w:rsidRPr="00FB6868" w:rsidRDefault="000350D7" w:rsidP="00045473">
      <w:pPr>
        <w:tabs>
          <w:tab w:val="left" w:pos="720"/>
        </w:tabs>
        <w:spacing w:before="120"/>
        <w:ind w:left="1440" w:hanging="1440"/>
        <w:rPr>
          <w:rFonts w:eastAsia="Batang"/>
          <w:bCs/>
        </w:rPr>
      </w:pPr>
      <w:r w:rsidRPr="00045473">
        <w:rPr>
          <w:rFonts w:eastAsia="Batang"/>
          <w:bCs/>
          <w:i/>
        </w:rPr>
        <w:t>Objective 1</w:t>
      </w:r>
      <w:r>
        <w:rPr>
          <w:rFonts w:eastAsia="Batang"/>
          <w:bCs/>
        </w:rPr>
        <w:tab/>
      </w:r>
      <w:r w:rsidRPr="00FE447D">
        <w:rPr>
          <w:rFonts w:eastAsia="Batang"/>
          <w:bCs/>
        </w:rPr>
        <w:t>To clarify the current criteria for the creation of, participation in, and termination of regional groups of ITU-T Study Groups and the mechanisms which govern those criteria, with guidance from the ITU, as appropriate.</w:t>
      </w:r>
    </w:p>
    <w:p w14:paraId="0D74CDFD" w14:textId="06C61EBF" w:rsidR="00E94F5B" w:rsidRDefault="00E94F5B" w:rsidP="00045473">
      <w:pPr>
        <w:tabs>
          <w:tab w:val="left" w:pos="720"/>
        </w:tabs>
        <w:spacing w:before="120"/>
        <w:rPr>
          <w:rFonts w:asciiTheme="majorBidi" w:eastAsia="Batang" w:hAnsiTheme="majorBidi" w:cstheme="majorBidi"/>
          <w:bCs/>
        </w:rPr>
      </w:pPr>
      <w:r w:rsidRPr="00953698">
        <w:rPr>
          <w:rFonts w:asciiTheme="majorBidi" w:eastAsia="Batang" w:hAnsiTheme="majorBidi" w:cstheme="majorBidi"/>
          <w:bCs/>
        </w:rPr>
        <w:t>The meeting</w:t>
      </w:r>
      <w:r w:rsidR="00332B78">
        <w:rPr>
          <w:rFonts w:asciiTheme="majorBidi" w:eastAsia="Batang" w:hAnsiTheme="majorBidi" w:cstheme="majorBidi"/>
          <w:bCs/>
        </w:rPr>
        <w:t>s</w:t>
      </w:r>
      <w:r w:rsidRPr="00953698">
        <w:rPr>
          <w:rFonts w:asciiTheme="majorBidi" w:eastAsia="Batang" w:hAnsiTheme="majorBidi" w:cstheme="majorBidi"/>
          <w:bCs/>
        </w:rPr>
        <w:t xml:space="preserve"> discussed the current criteria for the creation of regional groups of ITU-T Study Groups and agreed that there are discrepancies and no homogeneous criteria to create a regional group across SGs. </w:t>
      </w:r>
    </w:p>
    <w:p w14:paraId="3C2C9332" w14:textId="77777777" w:rsidR="00977668" w:rsidRPr="00E94F5B" w:rsidRDefault="00977668" w:rsidP="00045473">
      <w:pPr>
        <w:tabs>
          <w:tab w:val="left" w:pos="720"/>
        </w:tabs>
        <w:spacing w:before="120"/>
        <w:rPr>
          <w:rStyle w:val="Hyperlink"/>
          <w:rFonts w:asciiTheme="majorBidi" w:eastAsia="Batang" w:hAnsiTheme="majorBidi" w:cstheme="majorBidi"/>
          <w:bCs/>
          <w:color w:val="auto"/>
          <w:u w:val="none"/>
        </w:rPr>
      </w:pPr>
      <w:r w:rsidRPr="00953698">
        <w:rPr>
          <w:rFonts w:asciiTheme="majorBidi" w:eastAsia="Batang" w:hAnsiTheme="majorBidi" w:cstheme="majorBidi"/>
          <w:bCs/>
        </w:rPr>
        <w:t xml:space="preserve">The term “region” is undefined as some Member States are restricted to attend Regional Group meetings in what could be considered as their ITU Administrative region. Some Member States belong to more than one Regional Group in a Study Group. </w:t>
      </w:r>
    </w:p>
    <w:p w14:paraId="567C6E46" w14:textId="782A2296" w:rsidR="0067357F" w:rsidRDefault="00977668" w:rsidP="00045473">
      <w:pPr>
        <w:tabs>
          <w:tab w:val="left" w:pos="720"/>
        </w:tabs>
        <w:spacing w:before="120"/>
        <w:rPr>
          <w:rFonts w:asciiTheme="majorBidi" w:eastAsia="Batang" w:hAnsiTheme="majorBidi" w:cstheme="majorBidi"/>
          <w:bCs/>
        </w:rPr>
      </w:pPr>
      <w:r>
        <w:rPr>
          <w:rStyle w:val="Hyperlink"/>
          <w:color w:val="auto"/>
          <w:u w:val="none"/>
        </w:rPr>
        <w:t>While some Members expressed the need of a definition of a “region”, other Members communicated the priority of maintaining flexibility on the term “region” for each study group</w:t>
      </w:r>
      <w:r w:rsidRPr="004815E3">
        <w:rPr>
          <w:rStyle w:val="Hyperlink"/>
          <w:color w:val="auto"/>
          <w:u w:val="none"/>
        </w:rPr>
        <w:t xml:space="preserve"> to create regional groups</w:t>
      </w:r>
      <w:r>
        <w:rPr>
          <w:rStyle w:val="Hyperlink"/>
          <w:color w:val="auto"/>
          <w:u w:val="none"/>
        </w:rPr>
        <w:t xml:space="preserve"> depending on the subject matter</w:t>
      </w:r>
      <w:r w:rsidRPr="004815E3">
        <w:rPr>
          <w:rStyle w:val="Hyperlink"/>
          <w:color w:val="auto"/>
          <w:u w:val="none"/>
        </w:rPr>
        <w:t>.</w:t>
      </w:r>
    </w:p>
    <w:p w14:paraId="097A02B6" w14:textId="4B287262" w:rsidR="00A43B84" w:rsidRDefault="00E94F5B" w:rsidP="00045473">
      <w:pPr>
        <w:spacing w:before="120"/>
        <w:rPr>
          <w:rFonts w:asciiTheme="majorBidi" w:eastAsia="Batang" w:hAnsiTheme="majorBidi" w:cstheme="majorBidi"/>
          <w:bCs/>
        </w:rPr>
      </w:pPr>
      <w:r>
        <w:rPr>
          <w:rFonts w:asciiTheme="majorBidi" w:eastAsia="Batang" w:hAnsiTheme="majorBidi" w:cstheme="majorBidi"/>
          <w:bCs/>
        </w:rPr>
        <w:t>Some Members expressed the importance of maintaining the status quo of</w:t>
      </w:r>
      <w:r w:rsidR="00E403B9">
        <w:rPr>
          <w:rFonts w:asciiTheme="majorBidi" w:eastAsia="Batang" w:hAnsiTheme="majorBidi" w:cstheme="majorBidi"/>
          <w:bCs/>
        </w:rPr>
        <w:t xml:space="preserve"> limiting full </w:t>
      </w:r>
      <w:r>
        <w:rPr>
          <w:rFonts w:asciiTheme="majorBidi" w:eastAsia="Batang" w:hAnsiTheme="majorBidi" w:cstheme="majorBidi"/>
          <w:bCs/>
        </w:rPr>
        <w:t>participation in regional group meetings</w:t>
      </w:r>
      <w:r w:rsidR="00E403B9">
        <w:rPr>
          <w:rFonts w:asciiTheme="majorBidi" w:eastAsia="Batang" w:hAnsiTheme="majorBidi" w:cstheme="majorBidi"/>
          <w:bCs/>
        </w:rPr>
        <w:t xml:space="preserve"> to </w:t>
      </w:r>
      <w:r w:rsidR="00076835">
        <w:rPr>
          <w:rFonts w:asciiTheme="majorBidi" w:eastAsia="Batang" w:hAnsiTheme="majorBidi" w:cstheme="majorBidi"/>
          <w:bCs/>
        </w:rPr>
        <w:t>Member States and Sector Members in a region</w:t>
      </w:r>
      <w:r w:rsidR="001E019D">
        <w:rPr>
          <w:rFonts w:asciiTheme="majorBidi" w:eastAsia="Batang" w:hAnsiTheme="majorBidi" w:cstheme="majorBidi"/>
          <w:bCs/>
        </w:rPr>
        <w:t xml:space="preserve">. </w:t>
      </w:r>
      <w:r w:rsidR="0036314B">
        <w:rPr>
          <w:rFonts w:asciiTheme="majorBidi" w:eastAsia="Batang" w:hAnsiTheme="majorBidi" w:cstheme="majorBidi"/>
          <w:bCs/>
        </w:rPr>
        <w:t>Similarly</w:t>
      </w:r>
      <w:r w:rsidR="00F6698A">
        <w:rPr>
          <w:rFonts w:asciiTheme="majorBidi" w:eastAsia="Batang" w:hAnsiTheme="majorBidi" w:cstheme="majorBidi"/>
          <w:bCs/>
        </w:rPr>
        <w:t xml:space="preserve">, they </w:t>
      </w:r>
      <w:r>
        <w:rPr>
          <w:rFonts w:asciiTheme="majorBidi" w:eastAsia="Batang" w:hAnsiTheme="majorBidi" w:cstheme="majorBidi"/>
          <w:bCs/>
        </w:rPr>
        <w:t xml:space="preserve">emphasized the need of a regional dialogue for specific topics depending on the mandate of the study group. </w:t>
      </w:r>
      <w:r w:rsidR="00A43B84">
        <w:rPr>
          <w:rFonts w:asciiTheme="majorBidi" w:eastAsia="Batang" w:hAnsiTheme="majorBidi" w:cstheme="majorBidi"/>
          <w:bCs/>
        </w:rPr>
        <w:t xml:space="preserve">In contrast, </w:t>
      </w:r>
      <w:r w:rsidR="002F5D23">
        <w:rPr>
          <w:rFonts w:asciiTheme="majorBidi" w:eastAsia="Batang" w:hAnsiTheme="majorBidi" w:cstheme="majorBidi"/>
          <w:bCs/>
        </w:rPr>
        <w:t>other M</w:t>
      </w:r>
      <w:r w:rsidR="003C570D">
        <w:rPr>
          <w:rFonts w:asciiTheme="majorBidi" w:eastAsia="Batang" w:hAnsiTheme="majorBidi" w:cstheme="majorBidi"/>
          <w:bCs/>
        </w:rPr>
        <w:t xml:space="preserve">embers </w:t>
      </w:r>
      <w:r w:rsidR="00A43B84">
        <w:rPr>
          <w:rFonts w:asciiTheme="majorBidi" w:eastAsia="Batang" w:hAnsiTheme="majorBidi" w:cstheme="majorBidi"/>
          <w:bCs/>
        </w:rPr>
        <w:t>stressed the importance of providing access to international organizations present in the region</w:t>
      </w:r>
      <w:r w:rsidR="00A43B84" w:rsidRPr="00D3324C">
        <w:rPr>
          <w:rFonts w:asciiTheme="majorBidi" w:eastAsia="Batang" w:hAnsiTheme="majorBidi" w:cstheme="majorBidi"/>
          <w:bCs/>
        </w:rPr>
        <w:t xml:space="preserve"> </w:t>
      </w:r>
      <w:r w:rsidR="00A43B84">
        <w:rPr>
          <w:rFonts w:asciiTheme="majorBidi" w:eastAsia="Batang" w:hAnsiTheme="majorBidi" w:cstheme="majorBidi"/>
          <w:bCs/>
        </w:rPr>
        <w:t xml:space="preserve">to the regional dialogue. </w:t>
      </w:r>
    </w:p>
    <w:p w14:paraId="64651822" w14:textId="01C39BE1" w:rsidR="00E94F5B" w:rsidRDefault="00FC6C8C" w:rsidP="00045473">
      <w:pPr>
        <w:spacing w:before="120"/>
        <w:rPr>
          <w:rFonts w:asciiTheme="majorBidi" w:eastAsia="Batang" w:hAnsiTheme="majorBidi" w:cstheme="majorBidi"/>
          <w:bCs/>
        </w:rPr>
      </w:pPr>
      <w:r>
        <w:rPr>
          <w:rFonts w:asciiTheme="majorBidi" w:eastAsia="Batang" w:hAnsiTheme="majorBidi" w:cstheme="majorBidi"/>
          <w:bCs/>
        </w:rPr>
        <w:t>F</w:t>
      </w:r>
      <w:r w:rsidR="00035380">
        <w:rPr>
          <w:rFonts w:asciiTheme="majorBidi" w:eastAsia="Batang" w:hAnsiTheme="majorBidi" w:cstheme="majorBidi"/>
          <w:bCs/>
        </w:rPr>
        <w:t>rom the discussions</w:t>
      </w:r>
      <w:r w:rsidR="001446BE">
        <w:rPr>
          <w:rFonts w:asciiTheme="majorBidi" w:eastAsia="Batang" w:hAnsiTheme="majorBidi" w:cstheme="majorBidi"/>
          <w:bCs/>
        </w:rPr>
        <w:t xml:space="preserve"> at the fourth meeting</w:t>
      </w:r>
      <w:r w:rsidR="00035380">
        <w:rPr>
          <w:rFonts w:asciiTheme="majorBidi" w:eastAsia="Batang" w:hAnsiTheme="majorBidi" w:cstheme="majorBidi"/>
          <w:bCs/>
        </w:rPr>
        <w:t xml:space="preserve">, </w:t>
      </w:r>
      <w:r w:rsidR="00F36DEA">
        <w:rPr>
          <w:rFonts w:asciiTheme="majorBidi" w:eastAsia="Batang" w:hAnsiTheme="majorBidi" w:cstheme="majorBidi"/>
          <w:bCs/>
        </w:rPr>
        <w:t xml:space="preserve">the </w:t>
      </w:r>
      <w:r w:rsidR="001446BE" w:rsidRPr="00FB6868">
        <w:t>RG-CPTRG</w:t>
      </w:r>
      <w:r w:rsidR="001446BE" w:rsidDel="001446BE">
        <w:rPr>
          <w:rFonts w:asciiTheme="majorBidi" w:eastAsia="Batang" w:hAnsiTheme="majorBidi" w:cstheme="majorBidi"/>
          <w:bCs/>
        </w:rPr>
        <w:t xml:space="preserve"> </w:t>
      </w:r>
      <w:r w:rsidR="00F36DEA">
        <w:rPr>
          <w:rFonts w:asciiTheme="majorBidi" w:eastAsia="Batang" w:hAnsiTheme="majorBidi" w:cstheme="majorBidi"/>
          <w:bCs/>
        </w:rPr>
        <w:t>was informed</w:t>
      </w:r>
      <w:r w:rsidR="00035380">
        <w:rPr>
          <w:rFonts w:asciiTheme="majorBidi" w:eastAsia="Batang" w:hAnsiTheme="majorBidi" w:cstheme="majorBidi"/>
          <w:bCs/>
        </w:rPr>
        <w:t xml:space="preserve"> that Stu</w:t>
      </w:r>
      <w:r>
        <w:rPr>
          <w:rFonts w:asciiTheme="majorBidi" w:eastAsia="Batang" w:hAnsiTheme="majorBidi" w:cstheme="majorBidi"/>
          <w:bCs/>
        </w:rPr>
        <w:t xml:space="preserve">dy Group 3 </w:t>
      </w:r>
      <w:r w:rsidR="003C7F35" w:rsidRPr="003C7F35">
        <w:rPr>
          <w:rFonts w:asciiTheme="majorBidi" w:eastAsia="Batang" w:hAnsiTheme="majorBidi" w:cstheme="majorBidi"/>
          <w:bCs/>
        </w:rPr>
        <w:t>Regional Group for Europe and the Mediterranean Basin (SG3RG-EURM)</w:t>
      </w:r>
      <w:r w:rsidR="003C7F35">
        <w:rPr>
          <w:rFonts w:asciiTheme="majorBidi" w:eastAsia="Batang" w:hAnsiTheme="majorBidi" w:cstheme="majorBidi"/>
          <w:bCs/>
        </w:rPr>
        <w:t xml:space="preserve"> </w:t>
      </w:r>
      <w:r w:rsidR="008B5388">
        <w:rPr>
          <w:rFonts w:asciiTheme="majorBidi" w:eastAsia="Batang" w:hAnsiTheme="majorBidi" w:cstheme="majorBidi"/>
          <w:bCs/>
        </w:rPr>
        <w:t>has been dormant for more than two study periods.</w:t>
      </w:r>
    </w:p>
    <w:p w14:paraId="0E05835E" w14:textId="4EFFF401" w:rsidR="00507382" w:rsidRDefault="006A4366" w:rsidP="00045473">
      <w:pPr>
        <w:spacing w:before="120"/>
        <w:rPr>
          <w:rFonts w:asciiTheme="majorBidi" w:eastAsia="Batang" w:hAnsiTheme="majorBidi" w:cstheme="majorBidi"/>
          <w:bCs/>
        </w:rPr>
      </w:pPr>
      <w:r w:rsidRPr="00953698">
        <w:rPr>
          <w:rFonts w:asciiTheme="majorBidi" w:eastAsia="Batang" w:hAnsiTheme="majorBidi" w:cstheme="majorBidi"/>
          <w:bCs/>
        </w:rPr>
        <w:lastRenderedPageBreak/>
        <w:t xml:space="preserve">The meeting discussed the pathways of whether the creation of Regional Groups should be treated like Questions approved by TSAG in between WTSAs or to keep the status quo where Regional Groups are approved like Working Parties at parent Study Groups. </w:t>
      </w:r>
    </w:p>
    <w:p w14:paraId="7C17F390" w14:textId="651264AD" w:rsidR="00507382" w:rsidRPr="00FB6868" w:rsidRDefault="000921C4" w:rsidP="00045473">
      <w:pPr>
        <w:spacing w:before="120"/>
      </w:pPr>
      <w:r>
        <w:t>T</w:t>
      </w:r>
      <w:r w:rsidRPr="00694A57">
        <w:t xml:space="preserve">he </w:t>
      </w:r>
      <w:r>
        <w:t xml:space="preserve">ITU </w:t>
      </w:r>
      <w:r w:rsidRPr="00694A57">
        <w:t>Legal Affairs Unit is of the view that by granting parent study groups the authority to develop and approve terms of reference and working methods of regional groups, WTSA provided parent study groups with the necessary authority to create regional groups in</w:t>
      </w:r>
      <w:r>
        <w:t xml:space="preserve"> the areas of concern to them. </w:t>
      </w:r>
      <w:r w:rsidRPr="00694A57">
        <w:t>This interpretation is confirmed by the long-standing practice of the parties.</w:t>
      </w:r>
    </w:p>
    <w:p w14:paraId="3C431691" w14:textId="11C9B16A" w:rsidR="00ED1703" w:rsidRDefault="006A4366" w:rsidP="00045473">
      <w:pPr>
        <w:spacing w:before="120"/>
        <w:rPr>
          <w:rFonts w:asciiTheme="majorBidi" w:eastAsia="Batang" w:hAnsiTheme="majorBidi" w:cstheme="majorBidi"/>
          <w:bCs/>
        </w:rPr>
      </w:pPr>
      <w:r w:rsidRPr="00953698">
        <w:rPr>
          <w:rFonts w:asciiTheme="majorBidi" w:eastAsia="Batang" w:hAnsiTheme="majorBidi" w:cstheme="majorBidi"/>
          <w:bCs/>
        </w:rPr>
        <w:t>The meeting agreed on a WTSA decision on the governance mechanism</w:t>
      </w:r>
      <w:r>
        <w:rPr>
          <w:rFonts w:asciiTheme="majorBidi" w:eastAsia="Batang" w:hAnsiTheme="majorBidi" w:cstheme="majorBidi"/>
          <w:bCs/>
        </w:rPr>
        <w:t>.</w:t>
      </w:r>
    </w:p>
    <w:p w14:paraId="797F34EC" w14:textId="0845DEF0" w:rsidR="00BF5EA7" w:rsidRPr="00045473" w:rsidRDefault="00E934BF" w:rsidP="00045473">
      <w:pPr>
        <w:tabs>
          <w:tab w:val="left" w:pos="720"/>
        </w:tabs>
        <w:spacing w:before="120"/>
        <w:ind w:left="1440" w:hanging="1440"/>
        <w:rPr>
          <w:rFonts w:eastAsia="Batang"/>
          <w:bCs/>
        </w:rPr>
      </w:pPr>
      <w:r w:rsidRPr="00045473">
        <w:rPr>
          <w:rFonts w:eastAsia="Batang"/>
          <w:bCs/>
          <w:i/>
        </w:rPr>
        <w:t>Objective 2</w:t>
      </w:r>
      <w:r>
        <w:rPr>
          <w:rFonts w:eastAsia="Batang"/>
          <w:bCs/>
        </w:rPr>
        <w:tab/>
      </w:r>
      <w:r w:rsidRPr="00FE447D">
        <w:rPr>
          <w:rFonts w:eastAsia="Batang"/>
          <w:bCs/>
        </w:rPr>
        <w:t>To review WTSA-16 Resolution 1, WTSA-16 Resolution 2, WTSA-16 Resolution 22 and WTSA-16 Resolution 54, in order to discuss and revise, as appropriate, to clarify the criteria for the creation and termination of regional groups and to present a report to TSAG.</w:t>
      </w:r>
    </w:p>
    <w:p w14:paraId="564175BB" w14:textId="58AD0F4B" w:rsidR="00EA30F6" w:rsidRPr="00FB6868" w:rsidRDefault="006E6339" w:rsidP="00045473">
      <w:pPr>
        <w:spacing w:before="120"/>
      </w:pPr>
      <w:r w:rsidRPr="00FB6868">
        <w:t xml:space="preserve">The meeting noted </w:t>
      </w:r>
      <w:hyperlink r:id="rId39" w:history="1">
        <w:r w:rsidR="00842C89" w:rsidRPr="00FB6868">
          <w:rPr>
            <w:rStyle w:val="Hyperlink"/>
          </w:rPr>
          <w:t>C115</w:t>
        </w:r>
      </w:hyperlink>
      <w:r w:rsidR="00842C89" w:rsidRPr="00842C89">
        <w:rPr>
          <w:rStyle w:val="Hyperlink"/>
          <w:u w:val="none"/>
        </w:rPr>
        <w:t xml:space="preserve"> </w:t>
      </w:r>
      <w:r w:rsidR="008B409F" w:rsidRPr="00FB6868">
        <w:t xml:space="preserve">on </w:t>
      </w:r>
      <w:r w:rsidR="00312E66" w:rsidRPr="00FB6868">
        <w:t>CITEL DIAP on regional groups of ITU-T Study Groups (revisions to WTSA Resolution 54)</w:t>
      </w:r>
      <w:r w:rsidR="008B409F" w:rsidRPr="00FB6868">
        <w:t xml:space="preserve"> was shared</w:t>
      </w:r>
      <w:r w:rsidR="00EA30F6" w:rsidRPr="00FB6868">
        <w:t xml:space="preserve"> by United States of America</w:t>
      </w:r>
      <w:r w:rsidR="008B409F" w:rsidRPr="00FB6868">
        <w:t xml:space="preserve"> for information to the </w:t>
      </w:r>
      <w:r w:rsidR="00B03CC4" w:rsidRPr="00FB6868">
        <w:t>meeting as the revisions were still under discussions at CITEL</w:t>
      </w:r>
      <w:r w:rsidR="006353DC" w:rsidRPr="00FB6868">
        <w:t>.</w:t>
      </w:r>
      <w:r w:rsidR="006B54DC" w:rsidRPr="00FB6868">
        <w:t xml:space="preserve"> </w:t>
      </w:r>
    </w:p>
    <w:p w14:paraId="0486453B" w14:textId="2CA9039A" w:rsidR="00B9008D" w:rsidRDefault="00803B60" w:rsidP="00045473">
      <w:pPr>
        <w:spacing w:before="120"/>
        <w:rPr>
          <w:sz w:val="22"/>
          <w:szCs w:val="22"/>
        </w:rPr>
      </w:pPr>
      <w:r>
        <w:rPr>
          <w:rStyle w:val="Hyperlink"/>
          <w:color w:val="auto"/>
          <w:u w:val="none"/>
        </w:rPr>
        <w:t>The meeting agreed that contributions and proposals to modifications to r</w:t>
      </w:r>
      <w:r w:rsidR="00AB11DB">
        <w:rPr>
          <w:rStyle w:val="Hyperlink"/>
          <w:color w:val="auto"/>
          <w:u w:val="none"/>
        </w:rPr>
        <w:t xml:space="preserve">elevant </w:t>
      </w:r>
      <w:r>
        <w:rPr>
          <w:rStyle w:val="Hyperlink"/>
          <w:color w:val="auto"/>
          <w:u w:val="none"/>
        </w:rPr>
        <w:t>Resolutions be discussed at WTSA-20.</w:t>
      </w:r>
    </w:p>
    <w:p w14:paraId="204DEB2D" w14:textId="77777777" w:rsidR="00570E92" w:rsidRPr="00FE447D" w:rsidRDefault="00570E92" w:rsidP="00045473">
      <w:pPr>
        <w:tabs>
          <w:tab w:val="left" w:pos="720"/>
        </w:tabs>
        <w:spacing w:before="120"/>
        <w:ind w:left="1440" w:hanging="1440"/>
        <w:rPr>
          <w:rFonts w:eastAsia="Batang"/>
          <w:bCs/>
        </w:rPr>
      </w:pPr>
      <w:r w:rsidRPr="00045473">
        <w:rPr>
          <w:rFonts w:eastAsia="Batang"/>
          <w:bCs/>
          <w:i/>
        </w:rPr>
        <w:t>Objective 3</w:t>
      </w:r>
      <w:r>
        <w:rPr>
          <w:rFonts w:eastAsia="Batang"/>
          <w:bCs/>
        </w:rPr>
        <w:tab/>
      </w:r>
      <w:r w:rsidRPr="00FE447D">
        <w:rPr>
          <w:rFonts w:eastAsia="Batang"/>
          <w:bCs/>
        </w:rPr>
        <w:t>In the context of Article 3 of the ITU Constitution, to review WTSA-16 Resolution 1, WTSA-16 Resolution 2, WTSA-16 Resolution 22 and WTSA-16 Resolution 54, in order to discuss and revise, as appropriate, to clarify the criteria for participation in regional group meetings and to present a report to TSAG.</w:t>
      </w:r>
    </w:p>
    <w:p w14:paraId="07D6A98C" w14:textId="1604A56A" w:rsidR="00BB1E03" w:rsidRDefault="00BB1E03" w:rsidP="00045473">
      <w:pPr>
        <w:tabs>
          <w:tab w:val="left" w:pos="720"/>
        </w:tabs>
        <w:spacing w:before="120"/>
      </w:pPr>
      <w:r w:rsidRPr="00C338B3">
        <w:t xml:space="preserve">The </w:t>
      </w:r>
      <w:r>
        <w:t xml:space="preserve">ITU </w:t>
      </w:r>
      <w:r w:rsidRPr="00C338B3">
        <w:t>Legal Affairs Unit is of the view that Member States and Sector Members that do not belong to the region concerned have the right to attend the relevant regional meetings in an observer capacity.</w:t>
      </w:r>
    </w:p>
    <w:p w14:paraId="59FE0522" w14:textId="3D0E99C7" w:rsidR="00B9008D" w:rsidRPr="00FB6868" w:rsidRDefault="00BB1E03" w:rsidP="00045473">
      <w:pPr>
        <w:tabs>
          <w:tab w:val="left" w:pos="720"/>
        </w:tabs>
        <w:spacing w:before="120"/>
        <w:rPr>
          <w:bCs/>
        </w:rPr>
      </w:pPr>
      <w:r>
        <w:rPr>
          <w:rStyle w:val="Hyperlink"/>
          <w:color w:val="auto"/>
          <w:u w:val="none"/>
        </w:rPr>
        <w:t xml:space="preserve">ITU LAU was additionally requested to clarify why </w:t>
      </w:r>
      <w:hyperlink r:id="rId40" w:history="1">
        <w:r w:rsidRPr="00AA2571">
          <w:rPr>
            <w:rStyle w:val="Hyperlink"/>
            <w:bCs/>
          </w:rPr>
          <w:t>TD577</w:t>
        </w:r>
      </w:hyperlink>
      <w:r w:rsidRPr="00E11F30">
        <w:rPr>
          <w:rStyle w:val="Hyperlink"/>
          <w:bCs/>
          <w:color w:val="auto"/>
          <w:u w:val="none"/>
        </w:rPr>
        <w:t xml:space="preserve"> </w:t>
      </w:r>
      <w:r>
        <w:rPr>
          <w:rStyle w:val="Hyperlink"/>
          <w:bCs/>
          <w:color w:val="auto"/>
          <w:u w:val="none"/>
        </w:rPr>
        <w:t>omitted to provide an opinion with respect to regional intergovernmental organizations, intergovernmental organizations operating satellite systems, as well as regional and other international telecommunication standardization, financial or development organizations, as these a</w:t>
      </w:r>
      <w:r w:rsidR="00535DCB">
        <w:rPr>
          <w:rStyle w:val="Hyperlink"/>
          <w:bCs/>
          <w:color w:val="auto"/>
          <w:u w:val="none"/>
        </w:rPr>
        <w:t>re identified in Nos. 269B, 269C</w:t>
      </w:r>
      <w:r>
        <w:rPr>
          <w:rStyle w:val="Hyperlink"/>
          <w:bCs/>
          <w:color w:val="auto"/>
          <w:u w:val="none"/>
        </w:rPr>
        <w:t xml:space="preserve"> and 231 of the ITU Convention. </w:t>
      </w:r>
      <w:r w:rsidRPr="00A16DA9">
        <w:rPr>
          <w:rStyle w:val="Hyperlink"/>
          <w:bCs/>
          <w:color w:val="auto"/>
          <w:u w:val="none"/>
        </w:rPr>
        <w:t>ITU LAU</w:t>
      </w:r>
      <w:r>
        <w:rPr>
          <w:rStyle w:val="Hyperlink"/>
          <w:bCs/>
          <w:color w:val="auto"/>
          <w:u w:val="none"/>
        </w:rPr>
        <w:t xml:space="preserve"> explained that the provisions in question do not establish separate ITU membership categories for these organizations and that TD577 examined participatory rights only with respect to the existing possibilities for participation in the activities of the Union, as these are laid down in the basic texts: Member States (Art</w:t>
      </w:r>
      <w:r w:rsidR="004E07F7">
        <w:rPr>
          <w:rStyle w:val="Hyperlink"/>
          <w:bCs/>
          <w:color w:val="auto"/>
          <w:u w:val="none"/>
        </w:rPr>
        <w:t>icle</w:t>
      </w:r>
      <w:r>
        <w:rPr>
          <w:rStyle w:val="Hyperlink"/>
          <w:bCs/>
          <w:color w:val="auto"/>
          <w:u w:val="none"/>
        </w:rPr>
        <w:t xml:space="preserve"> 2 of the Constitution), Sector Members (Art</w:t>
      </w:r>
      <w:r w:rsidR="004E07F7">
        <w:rPr>
          <w:rStyle w:val="Hyperlink"/>
          <w:bCs/>
          <w:color w:val="auto"/>
          <w:u w:val="none"/>
        </w:rPr>
        <w:t>icle</w:t>
      </w:r>
      <w:r>
        <w:rPr>
          <w:rStyle w:val="Hyperlink"/>
          <w:bCs/>
          <w:color w:val="auto"/>
          <w:u w:val="none"/>
        </w:rPr>
        <w:t xml:space="preserve"> 3 of the Constitution), Associates (No. 241A of the Convention) and Academia (Resolution 169 of the Plenipotentiary Conference). Therefore, under the present framework, the right of said organizations to participate in the work of regional groups of ITU-T Study Groups depends on their affiliation to ITU-T. </w:t>
      </w:r>
    </w:p>
    <w:p w14:paraId="2ECD3346" w14:textId="18A00D77" w:rsidR="00B565F2" w:rsidRPr="0032604B" w:rsidRDefault="00B565F2" w:rsidP="00080977">
      <w:pPr>
        <w:spacing w:before="120"/>
        <w:rPr>
          <w:rFonts w:asciiTheme="majorBidi" w:hAnsiTheme="majorBidi" w:cstheme="majorBidi"/>
        </w:rPr>
      </w:pPr>
    </w:p>
    <w:p w14:paraId="597AD88E" w14:textId="63856478" w:rsidR="00D82DCF" w:rsidRDefault="00743DFD" w:rsidP="000D473C">
      <w:pPr>
        <w:rPr>
          <w:rFonts w:asciiTheme="majorBidi" w:hAnsiTheme="majorBidi" w:cstheme="majorBidi"/>
          <w:b/>
          <w:bCs/>
        </w:rPr>
      </w:pPr>
      <w:r>
        <w:rPr>
          <w:rFonts w:asciiTheme="majorBidi" w:hAnsiTheme="majorBidi" w:cstheme="majorBidi"/>
          <w:b/>
          <w:bCs/>
        </w:rPr>
        <w:t>5</w:t>
      </w:r>
      <w:r w:rsidR="00321F1B" w:rsidRPr="0032604B">
        <w:rPr>
          <w:rFonts w:asciiTheme="majorBidi" w:hAnsiTheme="majorBidi" w:cstheme="majorBidi"/>
          <w:b/>
          <w:bCs/>
        </w:rPr>
        <w:tab/>
      </w:r>
      <w:r w:rsidR="00E666BE" w:rsidRPr="0032604B">
        <w:rPr>
          <w:rFonts w:asciiTheme="majorBidi" w:hAnsiTheme="majorBidi" w:cstheme="majorBidi"/>
          <w:b/>
          <w:bCs/>
        </w:rPr>
        <w:t>Conclusion</w:t>
      </w:r>
      <w:r w:rsidR="000D473C" w:rsidRPr="007E6558">
        <w:rPr>
          <w:rFonts w:asciiTheme="majorBidi" w:hAnsiTheme="majorBidi" w:cstheme="majorBidi"/>
          <w:b/>
          <w:bCs/>
        </w:rPr>
        <w:t xml:space="preserve"> </w:t>
      </w:r>
    </w:p>
    <w:p w14:paraId="2758BF4F" w14:textId="0BCEEA0D" w:rsidR="0067335B" w:rsidRPr="009D1785" w:rsidRDefault="00951B00" w:rsidP="009D1785">
      <w:pPr>
        <w:tabs>
          <w:tab w:val="left" w:pos="720"/>
        </w:tabs>
        <w:spacing w:before="120"/>
        <w:rPr>
          <w:rFonts w:eastAsia="Batang"/>
          <w:bCs/>
        </w:rPr>
      </w:pPr>
      <w:r>
        <w:rPr>
          <w:rFonts w:eastAsia="Batang"/>
          <w:bCs/>
        </w:rPr>
        <w:t xml:space="preserve">The RG-CPTRG meeting on </w:t>
      </w:r>
      <w:r w:rsidR="00802147">
        <w:rPr>
          <w:rFonts w:asciiTheme="majorBidi" w:hAnsiTheme="majorBidi" w:cstheme="majorBidi"/>
        </w:rPr>
        <w:t>Tuesday, 11 February 2020 agreed that the</w:t>
      </w:r>
      <w:r w:rsidR="00303211">
        <w:rPr>
          <w:rFonts w:asciiTheme="majorBidi" w:hAnsiTheme="majorBidi" w:cstheme="majorBidi"/>
        </w:rPr>
        <w:t xml:space="preserve"> objectives under the TOR have been satisfied and that there are no additional meetings required</w:t>
      </w:r>
      <w:r w:rsidR="00672D67">
        <w:rPr>
          <w:rFonts w:asciiTheme="majorBidi" w:hAnsiTheme="majorBidi" w:cstheme="majorBidi"/>
        </w:rPr>
        <w:t xml:space="preserve">. The </w:t>
      </w:r>
      <w:r w:rsidR="00F13E7A">
        <w:rPr>
          <w:rFonts w:asciiTheme="majorBidi" w:hAnsiTheme="majorBidi" w:cstheme="majorBidi"/>
        </w:rPr>
        <w:t xml:space="preserve">fourth </w:t>
      </w:r>
      <w:r w:rsidR="00672D67">
        <w:rPr>
          <w:rFonts w:asciiTheme="majorBidi" w:hAnsiTheme="majorBidi" w:cstheme="majorBidi"/>
        </w:rPr>
        <w:t xml:space="preserve">meeting agreed to </w:t>
      </w:r>
      <w:r w:rsidR="0061626C">
        <w:rPr>
          <w:rFonts w:asciiTheme="majorBidi" w:hAnsiTheme="majorBidi" w:cstheme="majorBidi"/>
        </w:rPr>
        <w:t xml:space="preserve">submit </w:t>
      </w:r>
      <w:r w:rsidR="003A4F80">
        <w:rPr>
          <w:rFonts w:asciiTheme="majorBidi" w:hAnsiTheme="majorBidi" w:cstheme="majorBidi"/>
        </w:rPr>
        <w:t>this</w:t>
      </w:r>
      <w:r w:rsidR="0061626C">
        <w:rPr>
          <w:rFonts w:asciiTheme="majorBidi" w:hAnsiTheme="majorBidi" w:cstheme="majorBidi"/>
        </w:rPr>
        <w:t xml:space="preserve"> report to TSAG as per the T</w:t>
      </w:r>
      <w:r w:rsidR="00F33B94">
        <w:rPr>
          <w:rFonts w:asciiTheme="majorBidi" w:hAnsiTheme="majorBidi" w:cstheme="majorBidi"/>
        </w:rPr>
        <w:t>o</w:t>
      </w:r>
      <w:r w:rsidR="0030635E">
        <w:rPr>
          <w:rFonts w:asciiTheme="majorBidi" w:hAnsiTheme="majorBidi" w:cstheme="majorBidi"/>
        </w:rPr>
        <w:t xml:space="preserve">R and for the closure of </w:t>
      </w:r>
      <w:r w:rsidR="002919C1">
        <w:rPr>
          <w:rFonts w:eastAsia="Batang"/>
          <w:bCs/>
        </w:rPr>
        <w:t>RG-CPTRG.</w:t>
      </w:r>
    </w:p>
    <w:p w14:paraId="58AF6DE6" w14:textId="39DE6D54" w:rsidR="00D82DCF" w:rsidRDefault="00D82DCF">
      <w:pPr>
        <w:spacing w:after="160" w:line="259" w:lineRule="auto"/>
        <w:rPr>
          <w:rFonts w:asciiTheme="majorBidi" w:hAnsiTheme="majorBidi" w:cstheme="majorBidi"/>
          <w:b/>
          <w:bCs/>
        </w:rPr>
      </w:pPr>
      <w:r>
        <w:rPr>
          <w:rFonts w:asciiTheme="majorBidi" w:hAnsiTheme="majorBidi" w:cstheme="majorBidi"/>
          <w:b/>
          <w:bCs/>
        </w:rPr>
        <w:br w:type="page"/>
      </w:r>
    </w:p>
    <w:p w14:paraId="337302E8" w14:textId="4CFE3829" w:rsidR="000D473C" w:rsidRDefault="00D82DCF" w:rsidP="00D82DCF">
      <w:pPr>
        <w:jc w:val="center"/>
        <w:rPr>
          <w:rFonts w:asciiTheme="majorBidi" w:hAnsiTheme="majorBidi" w:cstheme="majorBidi"/>
          <w:b/>
          <w:bCs/>
        </w:rPr>
      </w:pPr>
      <w:r>
        <w:rPr>
          <w:rFonts w:asciiTheme="majorBidi" w:hAnsiTheme="majorBidi" w:cstheme="majorBidi"/>
          <w:b/>
          <w:bCs/>
        </w:rPr>
        <w:lastRenderedPageBreak/>
        <w:t>ANNEX A</w:t>
      </w:r>
    </w:p>
    <w:p w14:paraId="5AF62CC5" w14:textId="77777777" w:rsidR="00D82DCF" w:rsidRPr="00D82DCF" w:rsidRDefault="00D82DCF" w:rsidP="00E1216C">
      <w:pPr>
        <w:spacing w:before="240" w:after="240"/>
        <w:jc w:val="center"/>
        <w:rPr>
          <w:b/>
        </w:rPr>
      </w:pPr>
      <w:r w:rsidRPr="00D82DCF">
        <w:rPr>
          <w:b/>
        </w:rPr>
        <w:t>Terms of Reference of TSAG Rapporteur Group on Regional Groups (RG-CPTRG)</w:t>
      </w:r>
    </w:p>
    <w:p w14:paraId="31205F74" w14:textId="77777777" w:rsidR="00D82DCF" w:rsidRPr="00A0738B" w:rsidRDefault="00D82DCF" w:rsidP="00E1216C">
      <w:pPr>
        <w:spacing w:before="160"/>
        <w:rPr>
          <w:rFonts w:asciiTheme="majorBidi" w:hAnsiTheme="majorBidi" w:cstheme="majorBidi"/>
          <w:b/>
          <w:bCs/>
        </w:rPr>
      </w:pPr>
      <w:r w:rsidRPr="00A0738B">
        <w:rPr>
          <w:rFonts w:asciiTheme="majorBidi" w:hAnsiTheme="majorBidi" w:cstheme="majorBidi"/>
          <w:b/>
          <w:bCs/>
        </w:rPr>
        <w:t>Background</w:t>
      </w:r>
    </w:p>
    <w:p w14:paraId="492A6FA0" w14:textId="21F7B312" w:rsidR="00D82DCF" w:rsidRPr="00A0738B" w:rsidRDefault="00D82DCF" w:rsidP="00E1216C">
      <w:pPr>
        <w:spacing w:before="160" w:after="160"/>
        <w:rPr>
          <w:rFonts w:asciiTheme="majorBidi" w:hAnsiTheme="majorBidi" w:cstheme="majorBidi"/>
        </w:rPr>
      </w:pPr>
      <w:r w:rsidRPr="00A0738B">
        <w:rPr>
          <w:rFonts w:asciiTheme="majorBidi" w:hAnsiTheme="majorBidi" w:cstheme="majorBidi"/>
        </w:rPr>
        <w:t>Committee 5 of the 2018 ITU Plenipotentiary Conference examined proposals IAP/63A1/47, B/67/1, CAN/USA/66/2 and EUR/48A2/7, and recommended that the Plenary adopt the following recommendation:</w:t>
      </w:r>
    </w:p>
    <w:tbl>
      <w:tblPr>
        <w:tblStyle w:val="TableGrid"/>
        <w:tblW w:w="0" w:type="auto"/>
        <w:tblLook w:val="04A0" w:firstRow="1" w:lastRow="0" w:firstColumn="1" w:lastColumn="0" w:noHBand="0" w:noVBand="1"/>
      </w:tblPr>
      <w:tblGrid>
        <w:gridCol w:w="9016"/>
      </w:tblGrid>
      <w:tr w:rsidR="00D82DCF" w:rsidRPr="00A0738B" w14:paraId="69B3114E" w14:textId="77777777" w:rsidTr="00C40C28">
        <w:tc>
          <w:tcPr>
            <w:tcW w:w="9855" w:type="dxa"/>
          </w:tcPr>
          <w:p w14:paraId="7C092F94" w14:textId="77777777" w:rsidR="00D82DCF" w:rsidRPr="00A0738B" w:rsidRDefault="00D82DCF" w:rsidP="00D82DCF">
            <w:pPr>
              <w:spacing w:before="60" w:after="60"/>
              <w:rPr>
                <w:rFonts w:asciiTheme="majorBidi" w:hAnsiTheme="majorBidi" w:cstheme="majorBidi"/>
              </w:rPr>
            </w:pPr>
            <w:r w:rsidRPr="00A0738B">
              <w:rPr>
                <w:rFonts w:asciiTheme="majorBidi" w:hAnsiTheme="majorBidi" w:cstheme="majorBidi"/>
              </w:rPr>
              <w:t xml:space="preserve">Recommendation 8: </w:t>
            </w:r>
          </w:p>
          <w:p w14:paraId="07733489" w14:textId="77777777" w:rsidR="00D82DCF" w:rsidRPr="00A0738B" w:rsidRDefault="00D82DCF" w:rsidP="00D82DCF">
            <w:pPr>
              <w:spacing w:before="60" w:after="60"/>
              <w:rPr>
                <w:rFonts w:asciiTheme="majorBidi" w:hAnsiTheme="majorBidi" w:cstheme="majorBidi"/>
              </w:rPr>
            </w:pPr>
            <w:r w:rsidRPr="00A0738B">
              <w:rPr>
                <w:rFonts w:asciiTheme="majorBidi" w:hAnsiTheme="majorBidi" w:cstheme="majorBidi"/>
              </w:rPr>
              <w:t>PP-18 invites the World Telecommunication Standardization Assembly to review, in the context of Article 3 of the ITU Constitution, and revise, as appropriate, WTSA Resolution 1, WTSA Resolution 2, WTSA Resolution 22 and WTSA Resolution 54 to clarify the criteria for creation, participation and termination of regional groups of Study Groups, and the role of TSAG in this regard.</w:t>
            </w:r>
          </w:p>
        </w:tc>
      </w:tr>
    </w:tbl>
    <w:p w14:paraId="15ABDD9E" w14:textId="77777777" w:rsidR="00D82DCF" w:rsidRPr="00A0738B" w:rsidRDefault="00D82DCF" w:rsidP="00D82DCF">
      <w:pPr>
        <w:spacing w:before="120"/>
        <w:rPr>
          <w:rFonts w:asciiTheme="majorBidi" w:hAnsiTheme="majorBidi" w:cstheme="majorBidi"/>
          <w:b/>
          <w:bCs/>
        </w:rPr>
      </w:pPr>
    </w:p>
    <w:p w14:paraId="2690CA1E" w14:textId="4DC5BC3A" w:rsidR="00D82DCF" w:rsidRPr="00D82DCF" w:rsidRDefault="00D82DCF" w:rsidP="00D82DCF">
      <w:pPr>
        <w:spacing w:before="120"/>
        <w:rPr>
          <w:rFonts w:asciiTheme="majorBidi" w:hAnsiTheme="majorBidi" w:cstheme="majorBidi"/>
          <w:b/>
          <w:bCs/>
        </w:rPr>
      </w:pPr>
      <w:r w:rsidRPr="00A0738B">
        <w:rPr>
          <w:rFonts w:asciiTheme="majorBidi" w:hAnsiTheme="majorBidi" w:cstheme="majorBidi"/>
          <w:b/>
          <w:bCs/>
        </w:rPr>
        <w:t>Objectives</w:t>
      </w:r>
    </w:p>
    <w:p w14:paraId="64AD4978" w14:textId="524EE18F" w:rsidR="00D82DCF" w:rsidRPr="00D82DCF" w:rsidRDefault="00D82DCF" w:rsidP="00E1216C">
      <w:pPr>
        <w:spacing w:before="160" w:after="160"/>
        <w:rPr>
          <w:rFonts w:asciiTheme="majorBidi" w:hAnsiTheme="majorBidi" w:cstheme="majorBidi"/>
        </w:rPr>
      </w:pPr>
      <w:r w:rsidRPr="00A0738B">
        <w:rPr>
          <w:rFonts w:asciiTheme="majorBidi" w:hAnsiTheme="majorBidi" w:cstheme="majorBidi"/>
        </w:rPr>
        <w:t xml:space="preserve">1. To clarify the current criteria for the creation of, participation in, and termination of regional groups of </w:t>
      </w:r>
      <w:r>
        <w:rPr>
          <w:rFonts w:asciiTheme="majorBidi" w:hAnsiTheme="majorBidi" w:cstheme="majorBidi"/>
        </w:rPr>
        <w:t xml:space="preserve">ITU-T </w:t>
      </w:r>
      <w:r w:rsidRPr="00A0738B">
        <w:rPr>
          <w:rFonts w:asciiTheme="majorBidi" w:hAnsiTheme="majorBidi" w:cstheme="majorBidi"/>
        </w:rPr>
        <w:t>Study Groups and the mechanisms which govern those criteria, with guidance from the ITU, as appropriate.</w:t>
      </w:r>
    </w:p>
    <w:p w14:paraId="7FFB2B47" w14:textId="056D5787" w:rsidR="00D82DCF" w:rsidRPr="00D82DCF" w:rsidRDefault="00D82DCF" w:rsidP="00E1216C">
      <w:pPr>
        <w:spacing w:before="160" w:after="160"/>
        <w:rPr>
          <w:rFonts w:asciiTheme="majorBidi" w:hAnsiTheme="majorBidi" w:cstheme="majorBidi"/>
        </w:rPr>
      </w:pPr>
      <w:r w:rsidRPr="00A0738B">
        <w:rPr>
          <w:rFonts w:asciiTheme="majorBidi" w:hAnsiTheme="majorBidi" w:cstheme="majorBidi"/>
        </w:rPr>
        <w:t xml:space="preserve">2. To </w:t>
      </w:r>
      <w:r>
        <w:rPr>
          <w:rFonts w:asciiTheme="majorBidi" w:hAnsiTheme="majorBidi" w:cstheme="majorBidi"/>
        </w:rPr>
        <w:t>review</w:t>
      </w:r>
      <w:r w:rsidRPr="00A0738B">
        <w:rPr>
          <w:rFonts w:asciiTheme="majorBidi" w:hAnsiTheme="majorBidi" w:cstheme="majorBidi"/>
        </w:rPr>
        <w:t xml:space="preserve"> WTSA-16 Resolution 1, WTSA-16 Resolution 2, WTSA-16 Resolution 22 and WTSA-16 Resolution 54, in order to discuss and</w:t>
      </w:r>
      <w:r>
        <w:rPr>
          <w:rFonts w:asciiTheme="majorBidi" w:hAnsiTheme="majorBidi" w:cstheme="majorBidi"/>
        </w:rPr>
        <w:t xml:space="preserve"> revise, as appropriate, to clarify </w:t>
      </w:r>
      <w:r w:rsidRPr="00A0738B">
        <w:rPr>
          <w:rFonts w:asciiTheme="majorBidi" w:hAnsiTheme="majorBidi" w:cstheme="majorBidi"/>
        </w:rPr>
        <w:t xml:space="preserve">the criteria for the creation and termination of regional groups </w:t>
      </w:r>
      <w:r>
        <w:rPr>
          <w:rFonts w:asciiTheme="majorBidi" w:hAnsiTheme="majorBidi" w:cstheme="majorBidi"/>
        </w:rPr>
        <w:t xml:space="preserve">and to present a report to TSAG. </w:t>
      </w:r>
    </w:p>
    <w:p w14:paraId="61B84B63" w14:textId="45FD1250" w:rsidR="00D82DCF" w:rsidRPr="00A0738B" w:rsidRDefault="00D82DCF" w:rsidP="00E1216C">
      <w:pPr>
        <w:spacing w:before="160" w:after="160"/>
        <w:rPr>
          <w:rFonts w:asciiTheme="majorBidi" w:hAnsiTheme="majorBidi" w:cstheme="majorBidi"/>
        </w:rPr>
      </w:pPr>
      <w:r w:rsidRPr="00A0738B">
        <w:rPr>
          <w:rFonts w:asciiTheme="majorBidi" w:hAnsiTheme="majorBidi" w:cstheme="majorBidi"/>
        </w:rPr>
        <w:t xml:space="preserve">3. </w:t>
      </w:r>
      <w:r>
        <w:rPr>
          <w:rFonts w:asciiTheme="majorBidi" w:hAnsiTheme="majorBidi" w:cstheme="majorBidi"/>
        </w:rPr>
        <w:t>I</w:t>
      </w:r>
      <w:r w:rsidRPr="00A0738B">
        <w:rPr>
          <w:rFonts w:asciiTheme="majorBidi" w:hAnsiTheme="majorBidi" w:cstheme="majorBidi"/>
        </w:rPr>
        <w:t xml:space="preserve">n the context of Article 3 of the ITU Constitution, </w:t>
      </w:r>
      <w:r>
        <w:rPr>
          <w:rFonts w:asciiTheme="majorBidi" w:hAnsiTheme="majorBidi" w:cstheme="majorBidi"/>
        </w:rPr>
        <w:t>to</w:t>
      </w:r>
      <w:r w:rsidRPr="00A0738B">
        <w:rPr>
          <w:rFonts w:asciiTheme="majorBidi" w:hAnsiTheme="majorBidi" w:cstheme="majorBidi"/>
        </w:rPr>
        <w:t xml:space="preserve"> </w:t>
      </w:r>
      <w:r>
        <w:rPr>
          <w:rFonts w:asciiTheme="majorBidi" w:hAnsiTheme="majorBidi" w:cstheme="majorBidi"/>
        </w:rPr>
        <w:t>review</w:t>
      </w:r>
      <w:r w:rsidRPr="00A0738B">
        <w:rPr>
          <w:rFonts w:asciiTheme="majorBidi" w:hAnsiTheme="majorBidi" w:cstheme="majorBidi"/>
        </w:rPr>
        <w:t xml:space="preserve"> WTSA-16 Resolution 1, WTSA-16 Resolution 2, WTSA-16 Resolution 22 and WTSA-16 Resolution 54, in order to discuss</w:t>
      </w:r>
      <w:r>
        <w:rPr>
          <w:rFonts w:asciiTheme="majorBidi" w:hAnsiTheme="majorBidi" w:cstheme="majorBidi"/>
        </w:rPr>
        <w:t xml:space="preserve"> and revise, as appropriate, to clarify</w:t>
      </w:r>
      <w:r w:rsidRPr="00A0738B">
        <w:rPr>
          <w:rFonts w:asciiTheme="majorBidi" w:hAnsiTheme="majorBidi" w:cstheme="majorBidi"/>
        </w:rPr>
        <w:t xml:space="preserve"> the criteria for participation in regional group meetings </w:t>
      </w:r>
      <w:r>
        <w:rPr>
          <w:rFonts w:asciiTheme="majorBidi" w:hAnsiTheme="majorBidi" w:cstheme="majorBidi"/>
        </w:rPr>
        <w:t xml:space="preserve">and to present a report to TSAG. </w:t>
      </w:r>
    </w:p>
    <w:p w14:paraId="4F099DB7" w14:textId="75FDF053" w:rsidR="00D82DCF" w:rsidRPr="00A0738B" w:rsidRDefault="00D82DCF" w:rsidP="00E1216C">
      <w:pPr>
        <w:spacing w:before="160" w:after="160"/>
        <w:rPr>
          <w:rFonts w:asciiTheme="majorBidi" w:hAnsiTheme="majorBidi" w:cstheme="majorBidi"/>
        </w:rPr>
      </w:pPr>
      <w:r w:rsidRPr="00A0738B">
        <w:rPr>
          <w:rFonts w:asciiTheme="majorBidi" w:hAnsiTheme="majorBidi" w:cstheme="majorBidi"/>
        </w:rPr>
        <w:t xml:space="preserve">4. The Rapporteur Group is open to all TSAG participants. The leadership of the regional groups of Study Groups, as well as the parent Study Groups themselves, are encouraged to participate in the work of the Rapporteur Group. </w:t>
      </w:r>
    </w:p>
    <w:p w14:paraId="7879B6FF" w14:textId="77777777" w:rsidR="00E1216C" w:rsidRDefault="00D82DCF" w:rsidP="00E1216C">
      <w:pPr>
        <w:spacing w:before="160" w:after="160"/>
        <w:rPr>
          <w:rFonts w:asciiTheme="majorBidi" w:hAnsiTheme="majorBidi" w:cstheme="majorBidi"/>
        </w:rPr>
      </w:pPr>
      <w:r w:rsidRPr="00A0738B">
        <w:rPr>
          <w:rFonts w:asciiTheme="majorBidi" w:hAnsiTheme="majorBidi" w:cstheme="majorBidi"/>
        </w:rPr>
        <w:t>5. The Rapporteur Group shall operate in English, when interpretation is unavailable.</w:t>
      </w:r>
    </w:p>
    <w:p w14:paraId="2E9F5A09" w14:textId="77777777" w:rsidR="00E1216C" w:rsidRDefault="00D82DCF" w:rsidP="00E1216C">
      <w:pPr>
        <w:spacing w:before="160" w:after="160"/>
        <w:rPr>
          <w:rFonts w:asciiTheme="majorBidi" w:hAnsiTheme="majorBidi" w:cstheme="majorBidi"/>
        </w:rPr>
      </w:pPr>
      <w:r w:rsidRPr="00A0738B">
        <w:rPr>
          <w:rFonts w:asciiTheme="majorBidi" w:hAnsiTheme="majorBidi" w:cstheme="majorBidi"/>
        </w:rPr>
        <w:t xml:space="preserve">6. The meetings of the Rapporteur Group shall be paperless and shall make use of electronic working methods, including the use </w:t>
      </w:r>
      <w:r w:rsidR="00E1216C">
        <w:rPr>
          <w:rFonts w:asciiTheme="majorBidi" w:hAnsiTheme="majorBidi" w:cstheme="majorBidi"/>
        </w:rPr>
        <w:t>of remote participation tools.</w:t>
      </w:r>
    </w:p>
    <w:p w14:paraId="3BC7E327" w14:textId="1FDAF96C" w:rsidR="00D82DCF" w:rsidRPr="00A0738B" w:rsidRDefault="00D82DCF" w:rsidP="00E1216C">
      <w:pPr>
        <w:spacing w:before="160" w:after="160"/>
        <w:rPr>
          <w:rFonts w:asciiTheme="majorBidi" w:hAnsiTheme="majorBidi" w:cstheme="majorBidi"/>
        </w:rPr>
      </w:pPr>
      <w:r w:rsidRPr="00A0738B">
        <w:rPr>
          <w:rFonts w:asciiTheme="majorBidi" w:hAnsiTheme="majorBidi" w:cstheme="majorBidi"/>
        </w:rPr>
        <w:t xml:space="preserve">7. The Rapporteur Group shall meet during TSAG and will normally not meet at the same time as other TSAG Rapporteur Groups. If necessary, the Rapporteur Group may schedule additional meetings between TSAG meetings, which would normally be held electronically. If necessary, the Rapporteur Group may schedule face-to-face meetings, which would be co-located back-to-back with other Rapporteur Group meetings as much as possible. </w:t>
      </w:r>
    </w:p>
    <w:p w14:paraId="4FBD5E73" w14:textId="1BC1A0A2" w:rsidR="00D82DCF" w:rsidRDefault="00D82DCF" w:rsidP="00D82DCF">
      <w:pPr>
        <w:rPr>
          <w:rFonts w:asciiTheme="majorBidi" w:hAnsiTheme="majorBidi" w:cstheme="majorBidi"/>
          <w:b/>
          <w:bCs/>
          <w:lang w:val="en-GB"/>
        </w:rPr>
      </w:pPr>
    </w:p>
    <w:p w14:paraId="06DE3A3B" w14:textId="0F455C55" w:rsidR="007F493D" w:rsidRPr="00E1216C" w:rsidRDefault="00D82DCF" w:rsidP="00E1216C">
      <w:pPr>
        <w:jc w:val="center"/>
        <w:rPr>
          <w:rFonts w:asciiTheme="majorBidi" w:hAnsiTheme="majorBidi" w:cstheme="majorBidi"/>
          <w:b/>
          <w:bCs/>
          <w:lang w:val="en-GB"/>
        </w:rPr>
      </w:pPr>
      <w:r>
        <w:rPr>
          <w:rFonts w:asciiTheme="majorBidi" w:hAnsiTheme="majorBidi" w:cstheme="majorBidi"/>
          <w:b/>
          <w:bCs/>
          <w:lang w:val="en-GB"/>
        </w:rPr>
        <w:t>_______________________</w:t>
      </w:r>
    </w:p>
    <w:sectPr w:rsidR="007F493D" w:rsidRPr="00E1216C" w:rsidSect="008C3F2D">
      <w:headerReference w:type="default" r:id="rId41"/>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DAA44" w14:textId="77777777" w:rsidR="004909C6" w:rsidRDefault="004909C6" w:rsidP="008C3F2D">
      <w:r>
        <w:separator/>
      </w:r>
    </w:p>
  </w:endnote>
  <w:endnote w:type="continuationSeparator" w:id="0">
    <w:p w14:paraId="61AF3EC0" w14:textId="77777777" w:rsidR="004909C6" w:rsidRDefault="004909C6" w:rsidP="008C3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F62B4" w14:textId="77777777" w:rsidR="004909C6" w:rsidRDefault="004909C6" w:rsidP="008C3F2D">
      <w:r>
        <w:separator/>
      </w:r>
    </w:p>
  </w:footnote>
  <w:footnote w:type="continuationSeparator" w:id="0">
    <w:p w14:paraId="76D6B0DD" w14:textId="77777777" w:rsidR="004909C6" w:rsidRDefault="004909C6" w:rsidP="008C3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highlight w:val="yellow"/>
      </w:rPr>
      <w:id w:val="-16383488"/>
      <w:docPartObj>
        <w:docPartGallery w:val="Page Numbers (Top of Page)"/>
        <w:docPartUnique/>
      </w:docPartObj>
    </w:sdtPr>
    <w:sdtEndPr>
      <w:rPr>
        <w:rFonts w:asciiTheme="majorBidi" w:hAnsiTheme="majorBidi" w:cstheme="majorBidi"/>
        <w:noProof/>
        <w:sz w:val="18"/>
        <w:szCs w:val="18"/>
      </w:rPr>
    </w:sdtEndPr>
    <w:sdtContent>
      <w:p w14:paraId="7B256930" w14:textId="10EA76A6" w:rsidR="008C3F2D" w:rsidRPr="008C3F2D" w:rsidRDefault="008C3F2D" w:rsidP="00736E2A">
        <w:pPr>
          <w:pStyle w:val="Header"/>
          <w:jc w:val="center"/>
          <w:rPr>
            <w:rFonts w:asciiTheme="majorBidi" w:hAnsiTheme="majorBidi" w:cstheme="majorBidi"/>
            <w:sz w:val="18"/>
            <w:szCs w:val="18"/>
          </w:rPr>
        </w:pPr>
        <w:r w:rsidRPr="00461B5D">
          <w:rPr>
            <w:rFonts w:asciiTheme="majorBidi" w:hAnsiTheme="majorBidi" w:cstheme="majorBidi"/>
            <w:sz w:val="18"/>
            <w:szCs w:val="18"/>
          </w:rPr>
          <w:fldChar w:fldCharType="begin"/>
        </w:r>
        <w:r w:rsidRPr="00461B5D">
          <w:rPr>
            <w:rFonts w:asciiTheme="majorBidi" w:hAnsiTheme="majorBidi" w:cstheme="majorBidi"/>
            <w:sz w:val="18"/>
            <w:szCs w:val="18"/>
          </w:rPr>
          <w:instrText xml:space="preserve"> PAGE   \* MERGEFORMAT </w:instrText>
        </w:r>
        <w:r w:rsidRPr="00461B5D">
          <w:rPr>
            <w:rFonts w:asciiTheme="majorBidi" w:hAnsiTheme="majorBidi" w:cstheme="majorBidi"/>
            <w:sz w:val="18"/>
            <w:szCs w:val="18"/>
          </w:rPr>
          <w:fldChar w:fldCharType="separate"/>
        </w:r>
        <w:r w:rsidR="00D86F12">
          <w:rPr>
            <w:rFonts w:asciiTheme="majorBidi" w:hAnsiTheme="majorBidi" w:cstheme="majorBidi"/>
            <w:noProof/>
            <w:sz w:val="18"/>
            <w:szCs w:val="18"/>
          </w:rPr>
          <w:t>- 6 -</w:t>
        </w:r>
        <w:r w:rsidRPr="00461B5D">
          <w:rPr>
            <w:rFonts w:asciiTheme="majorBidi" w:hAnsiTheme="majorBidi" w:cstheme="majorBidi"/>
            <w:noProof/>
            <w:sz w:val="18"/>
            <w:szCs w:val="18"/>
          </w:rPr>
          <w:fldChar w:fldCharType="end"/>
        </w:r>
        <w:r w:rsidR="003B0E16" w:rsidRPr="00461B5D">
          <w:rPr>
            <w:rFonts w:asciiTheme="majorBidi" w:hAnsiTheme="majorBidi" w:cstheme="majorBidi"/>
            <w:noProof/>
            <w:sz w:val="18"/>
            <w:szCs w:val="18"/>
          </w:rPr>
          <w:br/>
        </w:r>
        <w:r w:rsidR="003B0E16" w:rsidRPr="00615B3C">
          <w:rPr>
            <w:rFonts w:asciiTheme="majorBidi" w:hAnsiTheme="majorBidi" w:cstheme="majorBidi"/>
            <w:noProof/>
            <w:sz w:val="18"/>
            <w:szCs w:val="18"/>
          </w:rPr>
          <w:t>T</w:t>
        </w:r>
        <w:r w:rsidR="00BD77C3" w:rsidRPr="00615B3C">
          <w:rPr>
            <w:rFonts w:asciiTheme="majorBidi" w:hAnsiTheme="majorBidi" w:cstheme="majorBidi"/>
            <w:noProof/>
            <w:sz w:val="18"/>
            <w:szCs w:val="18"/>
          </w:rPr>
          <w:t>SAG-T</w:t>
        </w:r>
        <w:r w:rsidR="003B0E16" w:rsidRPr="00615B3C">
          <w:rPr>
            <w:rFonts w:asciiTheme="majorBidi" w:hAnsiTheme="majorBidi" w:cstheme="majorBidi"/>
            <w:noProof/>
            <w:sz w:val="18"/>
            <w:szCs w:val="18"/>
          </w:rPr>
          <w:t>D</w:t>
        </w:r>
        <w:r w:rsidR="00615B3C">
          <w:rPr>
            <w:rFonts w:asciiTheme="majorBidi" w:hAnsiTheme="majorBidi" w:cstheme="majorBidi"/>
            <w:noProof/>
            <w:sz w:val="18"/>
            <w:szCs w:val="18"/>
          </w:rPr>
          <w:t>766</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615"/>
    <w:multiLevelType w:val="hybridMultilevel"/>
    <w:tmpl w:val="A7BEC466"/>
    <w:lvl w:ilvl="0" w:tplc="0CA68660">
      <w:start w:val="1"/>
      <w:numFmt w:val="decimal"/>
      <w:lvlText w:val="%1)"/>
      <w:lvlJc w:val="left"/>
      <w:pPr>
        <w:ind w:left="420" w:hanging="420"/>
      </w:pPr>
      <w:rPr>
        <w:rFonts w:asciiTheme="majorBidi" w:hAnsiTheme="majorBidi" w:cstheme="majorBid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BF6FE3"/>
    <w:multiLevelType w:val="hybridMultilevel"/>
    <w:tmpl w:val="73A03C02"/>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D1042F5"/>
    <w:multiLevelType w:val="hybridMultilevel"/>
    <w:tmpl w:val="ECA64CB0"/>
    <w:lvl w:ilvl="0" w:tplc="0409000B">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5"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A15169"/>
    <w:multiLevelType w:val="hybridMultilevel"/>
    <w:tmpl w:val="72CA23B2"/>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1213273"/>
    <w:multiLevelType w:val="hybridMultilevel"/>
    <w:tmpl w:val="763449A2"/>
    <w:lvl w:ilvl="0" w:tplc="8A8828C6">
      <w:start w:val="1"/>
      <w:numFmt w:val="decimal"/>
      <w:lvlText w:val="%1)"/>
      <w:lvlJc w:val="left"/>
      <w:pPr>
        <w:ind w:left="420" w:hanging="420"/>
      </w:pPr>
      <w:rPr>
        <w:rFonts w:hint="eastAsia"/>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5F6DF6"/>
    <w:multiLevelType w:val="hybridMultilevel"/>
    <w:tmpl w:val="6F5CA12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8A0C01"/>
    <w:multiLevelType w:val="hybridMultilevel"/>
    <w:tmpl w:val="125CC972"/>
    <w:lvl w:ilvl="0" w:tplc="A84E482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54016109"/>
    <w:multiLevelType w:val="hybridMultilevel"/>
    <w:tmpl w:val="8B70D7A8"/>
    <w:lvl w:ilvl="0" w:tplc="B6044BE8">
      <w:start w:val="1"/>
      <w:numFmt w:val="decimal"/>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5"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614752"/>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4C45FD"/>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7DBD1041"/>
    <w:multiLevelType w:val="hybridMultilevel"/>
    <w:tmpl w:val="8DD6C55E"/>
    <w:lvl w:ilvl="0" w:tplc="32B23208">
      <w:start w:val="1"/>
      <w:numFmt w:val="lowerLetter"/>
      <w:lvlText w:val="%1)"/>
      <w:lvlJc w:val="left"/>
      <w:pPr>
        <w:ind w:left="720" w:hanging="360"/>
      </w:pPr>
      <w:rPr>
        <w:rFonts w:asciiTheme="majorBidi" w:hAnsiTheme="majorBidi"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8"/>
  </w:num>
  <w:num w:numId="2">
    <w:abstractNumId w:val="26"/>
  </w:num>
  <w:num w:numId="3">
    <w:abstractNumId w:val="5"/>
  </w:num>
  <w:num w:numId="4">
    <w:abstractNumId w:val="7"/>
  </w:num>
  <w:num w:numId="5">
    <w:abstractNumId w:val="13"/>
  </w:num>
  <w:num w:numId="6">
    <w:abstractNumId w:val="6"/>
  </w:num>
  <w:num w:numId="7">
    <w:abstractNumId w:val="16"/>
  </w:num>
  <w:num w:numId="8">
    <w:abstractNumId w:val="20"/>
  </w:num>
  <w:num w:numId="9">
    <w:abstractNumId w:val="22"/>
  </w:num>
  <w:num w:numId="10">
    <w:abstractNumId w:val="12"/>
  </w:num>
  <w:num w:numId="11">
    <w:abstractNumId w:val="17"/>
  </w:num>
  <w:num w:numId="12">
    <w:abstractNumId w:val="19"/>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0"/>
  </w:num>
  <w:num w:numId="16">
    <w:abstractNumId w:val="14"/>
  </w:num>
  <w:num w:numId="17">
    <w:abstractNumId w:val="33"/>
  </w:num>
  <w:num w:numId="18">
    <w:abstractNumId w:val="35"/>
  </w:num>
  <w:num w:numId="19">
    <w:abstractNumId w:val="2"/>
  </w:num>
  <w:num w:numId="20">
    <w:abstractNumId w:val="32"/>
  </w:num>
  <w:num w:numId="21">
    <w:abstractNumId w:val="34"/>
  </w:num>
  <w:num w:numId="22">
    <w:abstractNumId w:val="21"/>
  </w:num>
  <w:num w:numId="23">
    <w:abstractNumId w:val="30"/>
  </w:num>
  <w:num w:numId="24">
    <w:abstractNumId w:val="3"/>
  </w:num>
  <w:num w:numId="25">
    <w:abstractNumId w:val="23"/>
  </w:num>
  <w:num w:numId="26">
    <w:abstractNumId w:val="4"/>
  </w:num>
  <w:num w:numId="27">
    <w:abstractNumId w:val="0"/>
  </w:num>
  <w:num w:numId="28">
    <w:abstractNumId w:val="11"/>
  </w:num>
  <w:num w:numId="29">
    <w:abstractNumId w:val="29"/>
  </w:num>
  <w:num w:numId="30">
    <w:abstractNumId w:val="27"/>
  </w:num>
  <w:num w:numId="31">
    <w:abstractNumId w:val="31"/>
  </w:num>
  <w:num w:numId="32">
    <w:abstractNumId w:val="9"/>
  </w:num>
  <w:num w:numId="33">
    <w:abstractNumId w:val="18"/>
  </w:num>
  <w:num w:numId="34">
    <w:abstractNumId w:val="15"/>
  </w:num>
  <w:num w:numId="35">
    <w:abstractNumId w:val="8"/>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2B9"/>
    <w:rsid w:val="0000102E"/>
    <w:rsid w:val="00005383"/>
    <w:rsid w:val="000058B5"/>
    <w:rsid w:val="000058BB"/>
    <w:rsid w:val="00005F90"/>
    <w:rsid w:val="00010275"/>
    <w:rsid w:val="000150A8"/>
    <w:rsid w:val="000152D9"/>
    <w:rsid w:val="00023343"/>
    <w:rsid w:val="00023A0A"/>
    <w:rsid w:val="00024C4A"/>
    <w:rsid w:val="00026738"/>
    <w:rsid w:val="00030C93"/>
    <w:rsid w:val="000327FA"/>
    <w:rsid w:val="00033B49"/>
    <w:rsid w:val="00033F67"/>
    <w:rsid w:val="000350D7"/>
    <w:rsid w:val="00035380"/>
    <w:rsid w:val="00041C6B"/>
    <w:rsid w:val="00042149"/>
    <w:rsid w:val="000430E5"/>
    <w:rsid w:val="000439AA"/>
    <w:rsid w:val="00045473"/>
    <w:rsid w:val="000475D5"/>
    <w:rsid w:val="00051226"/>
    <w:rsid w:val="000551D8"/>
    <w:rsid w:val="000632E7"/>
    <w:rsid w:val="00065B6C"/>
    <w:rsid w:val="00067565"/>
    <w:rsid w:val="00072C57"/>
    <w:rsid w:val="00075692"/>
    <w:rsid w:val="00076835"/>
    <w:rsid w:val="00077FE6"/>
    <w:rsid w:val="00080977"/>
    <w:rsid w:val="0008497D"/>
    <w:rsid w:val="00084C1B"/>
    <w:rsid w:val="00087667"/>
    <w:rsid w:val="000912B8"/>
    <w:rsid w:val="000921C4"/>
    <w:rsid w:val="00093F68"/>
    <w:rsid w:val="00096717"/>
    <w:rsid w:val="000A0A8D"/>
    <w:rsid w:val="000A0D66"/>
    <w:rsid w:val="000A30BD"/>
    <w:rsid w:val="000A58F2"/>
    <w:rsid w:val="000A7F41"/>
    <w:rsid w:val="000B00C1"/>
    <w:rsid w:val="000B0876"/>
    <w:rsid w:val="000B1271"/>
    <w:rsid w:val="000B31EE"/>
    <w:rsid w:val="000B6B0E"/>
    <w:rsid w:val="000B7BF1"/>
    <w:rsid w:val="000C24D9"/>
    <w:rsid w:val="000C798A"/>
    <w:rsid w:val="000D2CDE"/>
    <w:rsid w:val="000D3C80"/>
    <w:rsid w:val="000D4575"/>
    <w:rsid w:val="000D473C"/>
    <w:rsid w:val="000D4834"/>
    <w:rsid w:val="000D4B0E"/>
    <w:rsid w:val="000D609F"/>
    <w:rsid w:val="000D78EF"/>
    <w:rsid w:val="000E0049"/>
    <w:rsid w:val="000E1714"/>
    <w:rsid w:val="000E198D"/>
    <w:rsid w:val="000E3531"/>
    <w:rsid w:val="000E37DB"/>
    <w:rsid w:val="000E51C1"/>
    <w:rsid w:val="000E6ACB"/>
    <w:rsid w:val="000F38CC"/>
    <w:rsid w:val="000F3C85"/>
    <w:rsid w:val="000F57BE"/>
    <w:rsid w:val="000F645D"/>
    <w:rsid w:val="0010163A"/>
    <w:rsid w:val="001027A0"/>
    <w:rsid w:val="001148C6"/>
    <w:rsid w:val="0011710C"/>
    <w:rsid w:val="00125AB0"/>
    <w:rsid w:val="00126387"/>
    <w:rsid w:val="0012773A"/>
    <w:rsid w:val="00127FE3"/>
    <w:rsid w:val="00130DBD"/>
    <w:rsid w:val="001311C2"/>
    <w:rsid w:val="001318B7"/>
    <w:rsid w:val="00131D42"/>
    <w:rsid w:val="0013783F"/>
    <w:rsid w:val="001446BE"/>
    <w:rsid w:val="001452F9"/>
    <w:rsid w:val="001465BE"/>
    <w:rsid w:val="00146C7B"/>
    <w:rsid w:val="00162AAB"/>
    <w:rsid w:val="00162B8B"/>
    <w:rsid w:val="001643FD"/>
    <w:rsid w:val="00165774"/>
    <w:rsid w:val="00165D51"/>
    <w:rsid w:val="00166620"/>
    <w:rsid w:val="0017117B"/>
    <w:rsid w:val="00172B5A"/>
    <w:rsid w:val="001777A1"/>
    <w:rsid w:val="00180340"/>
    <w:rsid w:val="001840BD"/>
    <w:rsid w:val="00191A7F"/>
    <w:rsid w:val="00194AFC"/>
    <w:rsid w:val="00196B41"/>
    <w:rsid w:val="001A0C31"/>
    <w:rsid w:val="001A2178"/>
    <w:rsid w:val="001A30F9"/>
    <w:rsid w:val="001A5547"/>
    <w:rsid w:val="001B2126"/>
    <w:rsid w:val="001B2F64"/>
    <w:rsid w:val="001B3DFB"/>
    <w:rsid w:val="001C0C52"/>
    <w:rsid w:val="001C1603"/>
    <w:rsid w:val="001C5EA7"/>
    <w:rsid w:val="001C70EC"/>
    <w:rsid w:val="001D5972"/>
    <w:rsid w:val="001D795C"/>
    <w:rsid w:val="001D7C75"/>
    <w:rsid w:val="001E008E"/>
    <w:rsid w:val="001E019D"/>
    <w:rsid w:val="001E09EF"/>
    <w:rsid w:val="001E1BEF"/>
    <w:rsid w:val="001E5127"/>
    <w:rsid w:val="001E7A64"/>
    <w:rsid w:val="001F1933"/>
    <w:rsid w:val="001F3278"/>
    <w:rsid w:val="001F34D6"/>
    <w:rsid w:val="001F42C5"/>
    <w:rsid w:val="001F4BDB"/>
    <w:rsid w:val="00200E34"/>
    <w:rsid w:val="00201C36"/>
    <w:rsid w:val="0020486B"/>
    <w:rsid w:val="00204A6C"/>
    <w:rsid w:val="002104F1"/>
    <w:rsid w:val="00213AC0"/>
    <w:rsid w:val="00217FE5"/>
    <w:rsid w:val="00220DDA"/>
    <w:rsid w:val="0022429C"/>
    <w:rsid w:val="00230DE2"/>
    <w:rsid w:val="00230F5D"/>
    <w:rsid w:val="00234C39"/>
    <w:rsid w:val="00234E64"/>
    <w:rsid w:val="00237D6C"/>
    <w:rsid w:val="00240A18"/>
    <w:rsid w:val="00240C70"/>
    <w:rsid w:val="00240C9B"/>
    <w:rsid w:val="002447AE"/>
    <w:rsid w:val="002453A0"/>
    <w:rsid w:val="00247C72"/>
    <w:rsid w:val="00255FCC"/>
    <w:rsid w:val="00256733"/>
    <w:rsid w:val="00256756"/>
    <w:rsid w:val="00261B08"/>
    <w:rsid w:val="00263834"/>
    <w:rsid w:val="00265ABF"/>
    <w:rsid w:val="00265DD7"/>
    <w:rsid w:val="002739CA"/>
    <w:rsid w:val="002750E6"/>
    <w:rsid w:val="0028281A"/>
    <w:rsid w:val="00285319"/>
    <w:rsid w:val="00291743"/>
    <w:rsid w:val="002919C1"/>
    <w:rsid w:val="00291D86"/>
    <w:rsid w:val="00291DAE"/>
    <w:rsid w:val="00296343"/>
    <w:rsid w:val="002B118F"/>
    <w:rsid w:val="002B20D9"/>
    <w:rsid w:val="002B2288"/>
    <w:rsid w:val="002C23E3"/>
    <w:rsid w:val="002C3AAC"/>
    <w:rsid w:val="002C4FC9"/>
    <w:rsid w:val="002C506F"/>
    <w:rsid w:val="002C5460"/>
    <w:rsid w:val="002C684A"/>
    <w:rsid w:val="002D02C0"/>
    <w:rsid w:val="002D073F"/>
    <w:rsid w:val="002D3F6F"/>
    <w:rsid w:val="002D500C"/>
    <w:rsid w:val="002E2665"/>
    <w:rsid w:val="002E27EF"/>
    <w:rsid w:val="002E2E48"/>
    <w:rsid w:val="002E452C"/>
    <w:rsid w:val="002F1334"/>
    <w:rsid w:val="002F30D6"/>
    <w:rsid w:val="002F5D23"/>
    <w:rsid w:val="00300105"/>
    <w:rsid w:val="00300DF2"/>
    <w:rsid w:val="00302075"/>
    <w:rsid w:val="00303211"/>
    <w:rsid w:val="00304C24"/>
    <w:rsid w:val="003059AD"/>
    <w:rsid w:val="0030635E"/>
    <w:rsid w:val="00306D89"/>
    <w:rsid w:val="00312911"/>
    <w:rsid w:val="00312E66"/>
    <w:rsid w:val="00315E2E"/>
    <w:rsid w:val="00316C13"/>
    <w:rsid w:val="00321F1B"/>
    <w:rsid w:val="0032272C"/>
    <w:rsid w:val="00322F2B"/>
    <w:rsid w:val="0032483E"/>
    <w:rsid w:val="0032604B"/>
    <w:rsid w:val="00326C6B"/>
    <w:rsid w:val="00330F68"/>
    <w:rsid w:val="003312A9"/>
    <w:rsid w:val="003316DE"/>
    <w:rsid w:val="00332B78"/>
    <w:rsid w:val="0033307B"/>
    <w:rsid w:val="00334BB4"/>
    <w:rsid w:val="003378A2"/>
    <w:rsid w:val="00337E7E"/>
    <w:rsid w:val="003440B3"/>
    <w:rsid w:val="00346DE5"/>
    <w:rsid w:val="00350BBD"/>
    <w:rsid w:val="00354370"/>
    <w:rsid w:val="003545C3"/>
    <w:rsid w:val="00354B58"/>
    <w:rsid w:val="00357932"/>
    <w:rsid w:val="003630D6"/>
    <w:rsid w:val="0036314B"/>
    <w:rsid w:val="003641D3"/>
    <w:rsid w:val="0036648B"/>
    <w:rsid w:val="003709F2"/>
    <w:rsid w:val="00373B06"/>
    <w:rsid w:val="003765E6"/>
    <w:rsid w:val="00383ABF"/>
    <w:rsid w:val="0038608C"/>
    <w:rsid w:val="00386367"/>
    <w:rsid w:val="003915F6"/>
    <w:rsid w:val="00391BE9"/>
    <w:rsid w:val="0039424E"/>
    <w:rsid w:val="003A238B"/>
    <w:rsid w:val="003A4F80"/>
    <w:rsid w:val="003A64C8"/>
    <w:rsid w:val="003A64F7"/>
    <w:rsid w:val="003A7828"/>
    <w:rsid w:val="003B0E16"/>
    <w:rsid w:val="003B19CF"/>
    <w:rsid w:val="003B481C"/>
    <w:rsid w:val="003B7759"/>
    <w:rsid w:val="003C0319"/>
    <w:rsid w:val="003C1B79"/>
    <w:rsid w:val="003C2FD3"/>
    <w:rsid w:val="003C3FB5"/>
    <w:rsid w:val="003C5154"/>
    <w:rsid w:val="003C5475"/>
    <w:rsid w:val="003C570D"/>
    <w:rsid w:val="003C6730"/>
    <w:rsid w:val="003C7F35"/>
    <w:rsid w:val="003D272C"/>
    <w:rsid w:val="003D493F"/>
    <w:rsid w:val="003D6872"/>
    <w:rsid w:val="003E0C41"/>
    <w:rsid w:val="003E35A9"/>
    <w:rsid w:val="003E439A"/>
    <w:rsid w:val="003E4F08"/>
    <w:rsid w:val="003F30E9"/>
    <w:rsid w:val="003F4378"/>
    <w:rsid w:val="004001D9"/>
    <w:rsid w:val="00407769"/>
    <w:rsid w:val="00420432"/>
    <w:rsid w:val="004256BB"/>
    <w:rsid w:val="004406B2"/>
    <w:rsid w:val="00442F89"/>
    <w:rsid w:val="00444437"/>
    <w:rsid w:val="00450E24"/>
    <w:rsid w:val="00450FEF"/>
    <w:rsid w:val="00451117"/>
    <w:rsid w:val="0045300B"/>
    <w:rsid w:val="0045309E"/>
    <w:rsid w:val="00453D4E"/>
    <w:rsid w:val="0045430A"/>
    <w:rsid w:val="0045571A"/>
    <w:rsid w:val="00456069"/>
    <w:rsid w:val="00456089"/>
    <w:rsid w:val="00456369"/>
    <w:rsid w:val="00461A32"/>
    <w:rsid w:val="00461B5D"/>
    <w:rsid w:val="004663EE"/>
    <w:rsid w:val="00467940"/>
    <w:rsid w:val="00471DAC"/>
    <w:rsid w:val="00480E80"/>
    <w:rsid w:val="004815E3"/>
    <w:rsid w:val="004836EC"/>
    <w:rsid w:val="0048382E"/>
    <w:rsid w:val="00483C64"/>
    <w:rsid w:val="00483DD0"/>
    <w:rsid w:val="00484D80"/>
    <w:rsid w:val="004856AC"/>
    <w:rsid w:val="004872AE"/>
    <w:rsid w:val="004909C6"/>
    <w:rsid w:val="00491641"/>
    <w:rsid w:val="004933E5"/>
    <w:rsid w:val="00493E0C"/>
    <w:rsid w:val="00493FC6"/>
    <w:rsid w:val="0049408C"/>
    <w:rsid w:val="004A181A"/>
    <w:rsid w:val="004A3B1F"/>
    <w:rsid w:val="004A522D"/>
    <w:rsid w:val="004A5C9C"/>
    <w:rsid w:val="004A6F4C"/>
    <w:rsid w:val="004B518C"/>
    <w:rsid w:val="004B570D"/>
    <w:rsid w:val="004C041C"/>
    <w:rsid w:val="004C1AE4"/>
    <w:rsid w:val="004C283A"/>
    <w:rsid w:val="004C40FB"/>
    <w:rsid w:val="004D076F"/>
    <w:rsid w:val="004D0E28"/>
    <w:rsid w:val="004D24AF"/>
    <w:rsid w:val="004D44CA"/>
    <w:rsid w:val="004D524F"/>
    <w:rsid w:val="004D6090"/>
    <w:rsid w:val="004D76B6"/>
    <w:rsid w:val="004E07F7"/>
    <w:rsid w:val="004E19D6"/>
    <w:rsid w:val="004E76C7"/>
    <w:rsid w:val="004F4B9F"/>
    <w:rsid w:val="004F57A5"/>
    <w:rsid w:val="0050017D"/>
    <w:rsid w:val="00506C0E"/>
    <w:rsid w:val="00507382"/>
    <w:rsid w:val="005164B2"/>
    <w:rsid w:val="00521CAE"/>
    <w:rsid w:val="005221E5"/>
    <w:rsid w:val="00523B0E"/>
    <w:rsid w:val="00525F34"/>
    <w:rsid w:val="005266B3"/>
    <w:rsid w:val="00527631"/>
    <w:rsid w:val="00527CBC"/>
    <w:rsid w:val="00534E2B"/>
    <w:rsid w:val="00535DCB"/>
    <w:rsid w:val="005364B7"/>
    <w:rsid w:val="00541E79"/>
    <w:rsid w:val="00545CF5"/>
    <w:rsid w:val="00545E1A"/>
    <w:rsid w:val="00547E6F"/>
    <w:rsid w:val="00547E95"/>
    <w:rsid w:val="0055017E"/>
    <w:rsid w:val="005509E9"/>
    <w:rsid w:val="0055443A"/>
    <w:rsid w:val="00555082"/>
    <w:rsid w:val="00556E16"/>
    <w:rsid w:val="00557A82"/>
    <w:rsid w:val="0056312A"/>
    <w:rsid w:val="00570E92"/>
    <w:rsid w:val="0057123C"/>
    <w:rsid w:val="00574D6C"/>
    <w:rsid w:val="00577F35"/>
    <w:rsid w:val="00581878"/>
    <w:rsid w:val="00583DF5"/>
    <w:rsid w:val="005855CE"/>
    <w:rsid w:val="00586C56"/>
    <w:rsid w:val="00587447"/>
    <w:rsid w:val="00594985"/>
    <w:rsid w:val="00596E6D"/>
    <w:rsid w:val="005A7C0F"/>
    <w:rsid w:val="005B52FF"/>
    <w:rsid w:val="005B5BE9"/>
    <w:rsid w:val="005C29EF"/>
    <w:rsid w:val="005C3AF9"/>
    <w:rsid w:val="005C488B"/>
    <w:rsid w:val="005C4927"/>
    <w:rsid w:val="005C7066"/>
    <w:rsid w:val="005C7F6F"/>
    <w:rsid w:val="005D39E4"/>
    <w:rsid w:val="005D5D69"/>
    <w:rsid w:val="005D5F5C"/>
    <w:rsid w:val="005D6506"/>
    <w:rsid w:val="005D79EB"/>
    <w:rsid w:val="005E2130"/>
    <w:rsid w:val="005E3942"/>
    <w:rsid w:val="005E3E8B"/>
    <w:rsid w:val="005F1F0C"/>
    <w:rsid w:val="006014B4"/>
    <w:rsid w:val="00602F8C"/>
    <w:rsid w:val="00604D12"/>
    <w:rsid w:val="00611AC6"/>
    <w:rsid w:val="00615B3C"/>
    <w:rsid w:val="0061626C"/>
    <w:rsid w:val="00620B22"/>
    <w:rsid w:val="00621079"/>
    <w:rsid w:val="0062423A"/>
    <w:rsid w:val="00630858"/>
    <w:rsid w:val="00631A92"/>
    <w:rsid w:val="006353DC"/>
    <w:rsid w:val="00640876"/>
    <w:rsid w:val="00650B94"/>
    <w:rsid w:val="00652503"/>
    <w:rsid w:val="00656F6A"/>
    <w:rsid w:val="00661541"/>
    <w:rsid w:val="00663BEE"/>
    <w:rsid w:val="00665D48"/>
    <w:rsid w:val="006673F0"/>
    <w:rsid w:val="006675D5"/>
    <w:rsid w:val="00667B87"/>
    <w:rsid w:val="006726D2"/>
    <w:rsid w:val="00672D67"/>
    <w:rsid w:val="0067335B"/>
    <w:rsid w:val="0067357F"/>
    <w:rsid w:val="00677344"/>
    <w:rsid w:val="00685B8C"/>
    <w:rsid w:val="00690438"/>
    <w:rsid w:val="00693229"/>
    <w:rsid w:val="006A1106"/>
    <w:rsid w:val="006A23E1"/>
    <w:rsid w:val="006A4366"/>
    <w:rsid w:val="006A7A43"/>
    <w:rsid w:val="006B3403"/>
    <w:rsid w:val="006B4A2A"/>
    <w:rsid w:val="006B54DC"/>
    <w:rsid w:val="006B5C2F"/>
    <w:rsid w:val="006B7DC3"/>
    <w:rsid w:val="006C0405"/>
    <w:rsid w:val="006C117E"/>
    <w:rsid w:val="006C1368"/>
    <w:rsid w:val="006C2BA4"/>
    <w:rsid w:val="006C3AA2"/>
    <w:rsid w:val="006C6D6F"/>
    <w:rsid w:val="006D5203"/>
    <w:rsid w:val="006D6C2F"/>
    <w:rsid w:val="006E0F44"/>
    <w:rsid w:val="006E2E0F"/>
    <w:rsid w:val="006E37EC"/>
    <w:rsid w:val="006E6339"/>
    <w:rsid w:val="006E7A89"/>
    <w:rsid w:val="006F178F"/>
    <w:rsid w:val="00700385"/>
    <w:rsid w:val="00701473"/>
    <w:rsid w:val="00711481"/>
    <w:rsid w:val="007125AF"/>
    <w:rsid w:val="00717A80"/>
    <w:rsid w:val="007214E8"/>
    <w:rsid w:val="007225E4"/>
    <w:rsid w:val="00723133"/>
    <w:rsid w:val="00725147"/>
    <w:rsid w:val="0072764D"/>
    <w:rsid w:val="007279D6"/>
    <w:rsid w:val="00732EDF"/>
    <w:rsid w:val="00736116"/>
    <w:rsid w:val="00736E2A"/>
    <w:rsid w:val="00737812"/>
    <w:rsid w:val="007401F1"/>
    <w:rsid w:val="0074252D"/>
    <w:rsid w:val="00743DFD"/>
    <w:rsid w:val="0074749E"/>
    <w:rsid w:val="00751B5E"/>
    <w:rsid w:val="00755AF6"/>
    <w:rsid w:val="007574F5"/>
    <w:rsid w:val="00760621"/>
    <w:rsid w:val="00760747"/>
    <w:rsid w:val="00762C91"/>
    <w:rsid w:val="007651A7"/>
    <w:rsid w:val="00770DBD"/>
    <w:rsid w:val="00770DE5"/>
    <w:rsid w:val="007724F3"/>
    <w:rsid w:val="00775B8C"/>
    <w:rsid w:val="007805A2"/>
    <w:rsid w:val="00784BD3"/>
    <w:rsid w:val="00791026"/>
    <w:rsid w:val="00792284"/>
    <w:rsid w:val="007939BA"/>
    <w:rsid w:val="007975A6"/>
    <w:rsid w:val="007B0525"/>
    <w:rsid w:val="007B27B7"/>
    <w:rsid w:val="007B49D5"/>
    <w:rsid w:val="007B5B0B"/>
    <w:rsid w:val="007C18D6"/>
    <w:rsid w:val="007C36AF"/>
    <w:rsid w:val="007C44EF"/>
    <w:rsid w:val="007C4BE2"/>
    <w:rsid w:val="007C5F60"/>
    <w:rsid w:val="007D1D44"/>
    <w:rsid w:val="007D1F5C"/>
    <w:rsid w:val="007D2133"/>
    <w:rsid w:val="007D4EB5"/>
    <w:rsid w:val="007E000B"/>
    <w:rsid w:val="007E0AEA"/>
    <w:rsid w:val="007E217E"/>
    <w:rsid w:val="007E2CB6"/>
    <w:rsid w:val="007E4773"/>
    <w:rsid w:val="007E5DD5"/>
    <w:rsid w:val="007E6558"/>
    <w:rsid w:val="007E66E1"/>
    <w:rsid w:val="007F2653"/>
    <w:rsid w:val="007F27CF"/>
    <w:rsid w:val="007F493D"/>
    <w:rsid w:val="007F5CB3"/>
    <w:rsid w:val="007F775D"/>
    <w:rsid w:val="00802147"/>
    <w:rsid w:val="008031C4"/>
    <w:rsid w:val="00803A91"/>
    <w:rsid w:val="00803B60"/>
    <w:rsid w:val="00804738"/>
    <w:rsid w:val="008104F0"/>
    <w:rsid w:val="00816229"/>
    <w:rsid w:val="0081694E"/>
    <w:rsid w:val="00823239"/>
    <w:rsid w:val="008257AC"/>
    <w:rsid w:val="00827CFA"/>
    <w:rsid w:val="00831AC2"/>
    <w:rsid w:val="008376A7"/>
    <w:rsid w:val="00841AFA"/>
    <w:rsid w:val="008427A9"/>
    <w:rsid w:val="00842BB4"/>
    <w:rsid w:val="00842C89"/>
    <w:rsid w:val="00844CCA"/>
    <w:rsid w:val="008509FD"/>
    <w:rsid w:val="00850B06"/>
    <w:rsid w:val="00853B1A"/>
    <w:rsid w:val="0085403C"/>
    <w:rsid w:val="00854733"/>
    <w:rsid w:val="00855295"/>
    <w:rsid w:val="00860609"/>
    <w:rsid w:val="00862621"/>
    <w:rsid w:val="0086401E"/>
    <w:rsid w:val="008654CD"/>
    <w:rsid w:val="00872161"/>
    <w:rsid w:val="00874D79"/>
    <w:rsid w:val="00874E2D"/>
    <w:rsid w:val="00875FAC"/>
    <w:rsid w:val="00877D31"/>
    <w:rsid w:val="008805D1"/>
    <w:rsid w:val="0088268C"/>
    <w:rsid w:val="0088517D"/>
    <w:rsid w:val="00885BC5"/>
    <w:rsid w:val="008902C4"/>
    <w:rsid w:val="008904CA"/>
    <w:rsid w:val="0089331B"/>
    <w:rsid w:val="008947EB"/>
    <w:rsid w:val="008962E6"/>
    <w:rsid w:val="00897B03"/>
    <w:rsid w:val="008A1566"/>
    <w:rsid w:val="008A39C4"/>
    <w:rsid w:val="008A5B2C"/>
    <w:rsid w:val="008A6BE0"/>
    <w:rsid w:val="008B1D52"/>
    <w:rsid w:val="008B2858"/>
    <w:rsid w:val="008B409F"/>
    <w:rsid w:val="008B5388"/>
    <w:rsid w:val="008C043B"/>
    <w:rsid w:val="008C0B4B"/>
    <w:rsid w:val="008C34BC"/>
    <w:rsid w:val="008C3F2D"/>
    <w:rsid w:val="008D0869"/>
    <w:rsid w:val="008D095D"/>
    <w:rsid w:val="008D2BC6"/>
    <w:rsid w:val="008E0D3F"/>
    <w:rsid w:val="008E1647"/>
    <w:rsid w:val="008E501B"/>
    <w:rsid w:val="008E5F5E"/>
    <w:rsid w:val="008F0672"/>
    <w:rsid w:val="008F2EAB"/>
    <w:rsid w:val="008F6AA9"/>
    <w:rsid w:val="009006D1"/>
    <w:rsid w:val="00901C03"/>
    <w:rsid w:val="00903913"/>
    <w:rsid w:val="00915C4F"/>
    <w:rsid w:val="00915D6D"/>
    <w:rsid w:val="00923A53"/>
    <w:rsid w:val="00926419"/>
    <w:rsid w:val="00930718"/>
    <w:rsid w:val="00936E37"/>
    <w:rsid w:val="0094417A"/>
    <w:rsid w:val="00945407"/>
    <w:rsid w:val="00945454"/>
    <w:rsid w:val="00946075"/>
    <w:rsid w:val="009462B9"/>
    <w:rsid w:val="00951B00"/>
    <w:rsid w:val="00951E56"/>
    <w:rsid w:val="00952EBC"/>
    <w:rsid w:val="00953698"/>
    <w:rsid w:val="00956797"/>
    <w:rsid w:val="00957AA6"/>
    <w:rsid w:val="00961C9B"/>
    <w:rsid w:val="00962211"/>
    <w:rsid w:val="00963260"/>
    <w:rsid w:val="009633B2"/>
    <w:rsid w:val="00963C9F"/>
    <w:rsid w:val="00966687"/>
    <w:rsid w:val="009716A7"/>
    <w:rsid w:val="00976071"/>
    <w:rsid w:val="00977668"/>
    <w:rsid w:val="0097791C"/>
    <w:rsid w:val="00982699"/>
    <w:rsid w:val="00984843"/>
    <w:rsid w:val="00987A16"/>
    <w:rsid w:val="00991FEF"/>
    <w:rsid w:val="00993B36"/>
    <w:rsid w:val="00994803"/>
    <w:rsid w:val="00994C5B"/>
    <w:rsid w:val="009A0DEA"/>
    <w:rsid w:val="009A46E3"/>
    <w:rsid w:val="009A789A"/>
    <w:rsid w:val="009A7BFC"/>
    <w:rsid w:val="009B0657"/>
    <w:rsid w:val="009B5BD5"/>
    <w:rsid w:val="009B7A25"/>
    <w:rsid w:val="009C07AD"/>
    <w:rsid w:val="009C28C9"/>
    <w:rsid w:val="009C462F"/>
    <w:rsid w:val="009C4B97"/>
    <w:rsid w:val="009C5432"/>
    <w:rsid w:val="009C5B86"/>
    <w:rsid w:val="009C6905"/>
    <w:rsid w:val="009D142F"/>
    <w:rsid w:val="009D1785"/>
    <w:rsid w:val="009D20CD"/>
    <w:rsid w:val="009D4B36"/>
    <w:rsid w:val="009D4B3A"/>
    <w:rsid w:val="009D5BA5"/>
    <w:rsid w:val="009D74F7"/>
    <w:rsid w:val="009E6A56"/>
    <w:rsid w:val="009E73ED"/>
    <w:rsid w:val="009E754D"/>
    <w:rsid w:val="009F30D7"/>
    <w:rsid w:val="009F4661"/>
    <w:rsid w:val="009F7B78"/>
    <w:rsid w:val="00A00C49"/>
    <w:rsid w:val="00A02CA4"/>
    <w:rsid w:val="00A058D1"/>
    <w:rsid w:val="00A06114"/>
    <w:rsid w:val="00A0617A"/>
    <w:rsid w:val="00A078C5"/>
    <w:rsid w:val="00A117A6"/>
    <w:rsid w:val="00A130AD"/>
    <w:rsid w:val="00A151D0"/>
    <w:rsid w:val="00A167F9"/>
    <w:rsid w:val="00A16DA9"/>
    <w:rsid w:val="00A17868"/>
    <w:rsid w:val="00A20326"/>
    <w:rsid w:val="00A22FF9"/>
    <w:rsid w:val="00A23A1B"/>
    <w:rsid w:val="00A24238"/>
    <w:rsid w:val="00A26513"/>
    <w:rsid w:val="00A26AE2"/>
    <w:rsid w:val="00A30D96"/>
    <w:rsid w:val="00A376BB"/>
    <w:rsid w:val="00A428AF"/>
    <w:rsid w:val="00A429C8"/>
    <w:rsid w:val="00A43B84"/>
    <w:rsid w:val="00A4678B"/>
    <w:rsid w:val="00A50756"/>
    <w:rsid w:val="00A55644"/>
    <w:rsid w:val="00A612F1"/>
    <w:rsid w:val="00A66BCF"/>
    <w:rsid w:val="00A80046"/>
    <w:rsid w:val="00A8045F"/>
    <w:rsid w:val="00A833F9"/>
    <w:rsid w:val="00A8760B"/>
    <w:rsid w:val="00A91372"/>
    <w:rsid w:val="00A92865"/>
    <w:rsid w:val="00A96677"/>
    <w:rsid w:val="00AA062E"/>
    <w:rsid w:val="00AA12F2"/>
    <w:rsid w:val="00AA216D"/>
    <w:rsid w:val="00AA2F8F"/>
    <w:rsid w:val="00AA5392"/>
    <w:rsid w:val="00AA674E"/>
    <w:rsid w:val="00AA7A2D"/>
    <w:rsid w:val="00AB11DB"/>
    <w:rsid w:val="00AB1E53"/>
    <w:rsid w:val="00AB25E0"/>
    <w:rsid w:val="00AB2662"/>
    <w:rsid w:val="00AB45E3"/>
    <w:rsid w:val="00AB5F3B"/>
    <w:rsid w:val="00AB7B01"/>
    <w:rsid w:val="00AC05D0"/>
    <w:rsid w:val="00AC1C46"/>
    <w:rsid w:val="00AC35B5"/>
    <w:rsid w:val="00AC3668"/>
    <w:rsid w:val="00AC78B8"/>
    <w:rsid w:val="00AD0FF7"/>
    <w:rsid w:val="00AD4C79"/>
    <w:rsid w:val="00AD5CE0"/>
    <w:rsid w:val="00AD633A"/>
    <w:rsid w:val="00AD76FD"/>
    <w:rsid w:val="00AE2387"/>
    <w:rsid w:val="00AE3A1B"/>
    <w:rsid w:val="00AE4621"/>
    <w:rsid w:val="00AE4E85"/>
    <w:rsid w:val="00AE7695"/>
    <w:rsid w:val="00AF183B"/>
    <w:rsid w:val="00AF3A24"/>
    <w:rsid w:val="00AF4308"/>
    <w:rsid w:val="00AF4FCC"/>
    <w:rsid w:val="00B00217"/>
    <w:rsid w:val="00B03CC4"/>
    <w:rsid w:val="00B058C8"/>
    <w:rsid w:val="00B1138A"/>
    <w:rsid w:val="00B1153F"/>
    <w:rsid w:val="00B11993"/>
    <w:rsid w:val="00B14782"/>
    <w:rsid w:val="00B21272"/>
    <w:rsid w:val="00B236B4"/>
    <w:rsid w:val="00B244DA"/>
    <w:rsid w:val="00B260BA"/>
    <w:rsid w:val="00B27929"/>
    <w:rsid w:val="00B27E0F"/>
    <w:rsid w:val="00B300EC"/>
    <w:rsid w:val="00B31033"/>
    <w:rsid w:val="00B31182"/>
    <w:rsid w:val="00B31961"/>
    <w:rsid w:val="00B31ABC"/>
    <w:rsid w:val="00B322C3"/>
    <w:rsid w:val="00B36FD1"/>
    <w:rsid w:val="00B37E7C"/>
    <w:rsid w:val="00B41011"/>
    <w:rsid w:val="00B44B8A"/>
    <w:rsid w:val="00B51D8D"/>
    <w:rsid w:val="00B5279C"/>
    <w:rsid w:val="00B5349E"/>
    <w:rsid w:val="00B538AE"/>
    <w:rsid w:val="00B54607"/>
    <w:rsid w:val="00B557F3"/>
    <w:rsid w:val="00B56169"/>
    <w:rsid w:val="00B565F2"/>
    <w:rsid w:val="00B575D0"/>
    <w:rsid w:val="00B65670"/>
    <w:rsid w:val="00B678C3"/>
    <w:rsid w:val="00B703BD"/>
    <w:rsid w:val="00B75880"/>
    <w:rsid w:val="00B76955"/>
    <w:rsid w:val="00B77203"/>
    <w:rsid w:val="00B809BB"/>
    <w:rsid w:val="00B834AA"/>
    <w:rsid w:val="00B841C7"/>
    <w:rsid w:val="00B85934"/>
    <w:rsid w:val="00B9008D"/>
    <w:rsid w:val="00B9272A"/>
    <w:rsid w:val="00BA05E6"/>
    <w:rsid w:val="00BA234C"/>
    <w:rsid w:val="00BA2DFB"/>
    <w:rsid w:val="00BA4D31"/>
    <w:rsid w:val="00BA5D54"/>
    <w:rsid w:val="00BA7CF5"/>
    <w:rsid w:val="00BB0851"/>
    <w:rsid w:val="00BB1E03"/>
    <w:rsid w:val="00BB2FA8"/>
    <w:rsid w:val="00BB486B"/>
    <w:rsid w:val="00BB6036"/>
    <w:rsid w:val="00BC2403"/>
    <w:rsid w:val="00BC7164"/>
    <w:rsid w:val="00BD0344"/>
    <w:rsid w:val="00BD0E7A"/>
    <w:rsid w:val="00BD2011"/>
    <w:rsid w:val="00BD2881"/>
    <w:rsid w:val="00BD6639"/>
    <w:rsid w:val="00BD77C3"/>
    <w:rsid w:val="00BE179B"/>
    <w:rsid w:val="00BE3D51"/>
    <w:rsid w:val="00BE5F0E"/>
    <w:rsid w:val="00BE69C1"/>
    <w:rsid w:val="00BF5DF1"/>
    <w:rsid w:val="00BF5EA7"/>
    <w:rsid w:val="00C005BA"/>
    <w:rsid w:val="00C02CF7"/>
    <w:rsid w:val="00C03659"/>
    <w:rsid w:val="00C04A3F"/>
    <w:rsid w:val="00C04C2B"/>
    <w:rsid w:val="00C07738"/>
    <w:rsid w:val="00C10EA3"/>
    <w:rsid w:val="00C202D9"/>
    <w:rsid w:val="00C227EC"/>
    <w:rsid w:val="00C23A47"/>
    <w:rsid w:val="00C31C1A"/>
    <w:rsid w:val="00C32708"/>
    <w:rsid w:val="00C334C0"/>
    <w:rsid w:val="00C338B3"/>
    <w:rsid w:val="00C3718D"/>
    <w:rsid w:val="00C37E3C"/>
    <w:rsid w:val="00C41691"/>
    <w:rsid w:val="00C42EC1"/>
    <w:rsid w:val="00C4358B"/>
    <w:rsid w:val="00C43689"/>
    <w:rsid w:val="00C440E8"/>
    <w:rsid w:val="00C47B3C"/>
    <w:rsid w:val="00C5055F"/>
    <w:rsid w:val="00C54D58"/>
    <w:rsid w:val="00C60383"/>
    <w:rsid w:val="00C60B25"/>
    <w:rsid w:val="00C70138"/>
    <w:rsid w:val="00C70EA5"/>
    <w:rsid w:val="00C81183"/>
    <w:rsid w:val="00C81B23"/>
    <w:rsid w:val="00C83F3E"/>
    <w:rsid w:val="00C8414E"/>
    <w:rsid w:val="00C857BC"/>
    <w:rsid w:val="00C85BFD"/>
    <w:rsid w:val="00C86CB1"/>
    <w:rsid w:val="00C8761B"/>
    <w:rsid w:val="00C87B3D"/>
    <w:rsid w:val="00C92CA6"/>
    <w:rsid w:val="00C95C88"/>
    <w:rsid w:val="00C9761C"/>
    <w:rsid w:val="00CA10C0"/>
    <w:rsid w:val="00CA37BE"/>
    <w:rsid w:val="00CA4413"/>
    <w:rsid w:val="00CA793E"/>
    <w:rsid w:val="00CB0DD0"/>
    <w:rsid w:val="00CB144D"/>
    <w:rsid w:val="00CB70FC"/>
    <w:rsid w:val="00CC1D99"/>
    <w:rsid w:val="00CC68C4"/>
    <w:rsid w:val="00CD0553"/>
    <w:rsid w:val="00CD223A"/>
    <w:rsid w:val="00CD2791"/>
    <w:rsid w:val="00CD4ABE"/>
    <w:rsid w:val="00CD7589"/>
    <w:rsid w:val="00CE06E1"/>
    <w:rsid w:val="00CE3686"/>
    <w:rsid w:val="00CE48EE"/>
    <w:rsid w:val="00CF33CC"/>
    <w:rsid w:val="00CF493B"/>
    <w:rsid w:val="00CF4B76"/>
    <w:rsid w:val="00CF5E9C"/>
    <w:rsid w:val="00CF6637"/>
    <w:rsid w:val="00CF70B6"/>
    <w:rsid w:val="00D00BED"/>
    <w:rsid w:val="00D010A9"/>
    <w:rsid w:val="00D03C94"/>
    <w:rsid w:val="00D03F2F"/>
    <w:rsid w:val="00D05EFF"/>
    <w:rsid w:val="00D06A44"/>
    <w:rsid w:val="00D06D40"/>
    <w:rsid w:val="00D07288"/>
    <w:rsid w:val="00D07A13"/>
    <w:rsid w:val="00D1015B"/>
    <w:rsid w:val="00D10DF8"/>
    <w:rsid w:val="00D11D51"/>
    <w:rsid w:val="00D140D7"/>
    <w:rsid w:val="00D17025"/>
    <w:rsid w:val="00D175D1"/>
    <w:rsid w:val="00D20C41"/>
    <w:rsid w:val="00D254EE"/>
    <w:rsid w:val="00D2592A"/>
    <w:rsid w:val="00D26DF3"/>
    <w:rsid w:val="00D271B1"/>
    <w:rsid w:val="00D276F5"/>
    <w:rsid w:val="00D27811"/>
    <w:rsid w:val="00D31FC6"/>
    <w:rsid w:val="00D321DE"/>
    <w:rsid w:val="00D3324C"/>
    <w:rsid w:val="00D351B9"/>
    <w:rsid w:val="00D40767"/>
    <w:rsid w:val="00D43996"/>
    <w:rsid w:val="00D45F79"/>
    <w:rsid w:val="00D460B7"/>
    <w:rsid w:val="00D465DA"/>
    <w:rsid w:val="00D46639"/>
    <w:rsid w:val="00D513AA"/>
    <w:rsid w:val="00D523D5"/>
    <w:rsid w:val="00D53E12"/>
    <w:rsid w:val="00D54F85"/>
    <w:rsid w:val="00D56BF1"/>
    <w:rsid w:val="00D636AA"/>
    <w:rsid w:val="00D6487B"/>
    <w:rsid w:val="00D6513F"/>
    <w:rsid w:val="00D667E3"/>
    <w:rsid w:val="00D70645"/>
    <w:rsid w:val="00D70717"/>
    <w:rsid w:val="00D70877"/>
    <w:rsid w:val="00D7092A"/>
    <w:rsid w:val="00D72284"/>
    <w:rsid w:val="00D738EB"/>
    <w:rsid w:val="00D76A9B"/>
    <w:rsid w:val="00D803DD"/>
    <w:rsid w:val="00D82DCF"/>
    <w:rsid w:val="00D8328E"/>
    <w:rsid w:val="00D84BA9"/>
    <w:rsid w:val="00D86F12"/>
    <w:rsid w:val="00D90026"/>
    <w:rsid w:val="00D91D2D"/>
    <w:rsid w:val="00D950CA"/>
    <w:rsid w:val="00D95E59"/>
    <w:rsid w:val="00D9656B"/>
    <w:rsid w:val="00D96FB2"/>
    <w:rsid w:val="00D973E8"/>
    <w:rsid w:val="00DA03B0"/>
    <w:rsid w:val="00DA09F1"/>
    <w:rsid w:val="00DA7766"/>
    <w:rsid w:val="00DB0152"/>
    <w:rsid w:val="00DB101E"/>
    <w:rsid w:val="00DB1439"/>
    <w:rsid w:val="00DB6DD1"/>
    <w:rsid w:val="00DB7440"/>
    <w:rsid w:val="00DB7920"/>
    <w:rsid w:val="00DC0600"/>
    <w:rsid w:val="00DC2B3E"/>
    <w:rsid w:val="00DC54DA"/>
    <w:rsid w:val="00DC67A7"/>
    <w:rsid w:val="00DD5A88"/>
    <w:rsid w:val="00DD60DF"/>
    <w:rsid w:val="00DD7393"/>
    <w:rsid w:val="00DE20A9"/>
    <w:rsid w:val="00DE2787"/>
    <w:rsid w:val="00DE7A34"/>
    <w:rsid w:val="00DE7BF4"/>
    <w:rsid w:val="00DF160F"/>
    <w:rsid w:val="00DF1A29"/>
    <w:rsid w:val="00DF2F8B"/>
    <w:rsid w:val="00DF4D1B"/>
    <w:rsid w:val="00DF52EB"/>
    <w:rsid w:val="00DF6C68"/>
    <w:rsid w:val="00E04133"/>
    <w:rsid w:val="00E07ED9"/>
    <w:rsid w:val="00E10EBC"/>
    <w:rsid w:val="00E1135C"/>
    <w:rsid w:val="00E11F30"/>
    <w:rsid w:val="00E1216C"/>
    <w:rsid w:val="00E12CE6"/>
    <w:rsid w:val="00E130F9"/>
    <w:rsid w:val="00E1521D"/>
    <w:rsid w:val="00E157BD"/>
    <w:rsid w:val="00E1743C"/>
    <w:rsid w:val="00E22B81"/>
    <w:rsid w:val="00E23262"/>
    <w:rsid w:val="00E2729B"/>
    <w:rsid w:val="00E3181D"/>
    <w:rsid w:val="00E321B8"/>
    <w:rsid w:val="00E35903"/>
    <w:rsid w:val="00E40167"/>
    <w:rsid w:val="00E403B9"/>
    <w:rsid w:val="00E47F5D"/>
    <w:rsid w:val="00E53C01"/>
    <w:rsid w:val="00E54801"/>
    <w:rsid w:val="00E54D5C"/>
    <w:rsid w:val="00E57364"/>
    <w:rsid w:val="00E5765F"/>
    <w:rsid w:val="00E57E4D"/>
    <w:rsid w:val="00E60D6E"/>
    <w:rsid w:val="00E61598"/>
    <w:rsid w:val="00E64DD0"/>
    <w:rsid w:val="00E66572"/>
    <w:rsid w:val="00E666BE"/>
    <w:rsid w:val="00E72472"/>
    <w:rsid w:val="00E739D3"/>
    <w:rsid w:val="00E75C6D"/>
    <w:rsid w:val="00E76BA0"/>
    <w:rsid w:val="00E76C4E"/>
    <w:rsid w:val="00E76FF5"/>
    <w:rsid w:val="00E80E5A"/>
    <w:rsid w:val="00E83831"/>
    <w:rsid w:val="00E858A4"/>
    <w:rsid w:val="00E90190"/>
    <w:rsid w:val="00E93286"/>
    <w:rsid w:val="00E934BF"/>
    <w:rsid w:val="00E94F5B"/>
    <w:rsid w:val="00E96A34"/>
    <w:rsid w:val="00E97F24"/>
    <w:rsid w:val="00EA1C94"/>
    <w:rsid w:val="00EA30F6"/>
    <w:rsid w:val="00EA3CBC"/>
    <w:rsid w:val="00EA5B09"/>
    <w:rsid w:val="00EB1EA7"/>
    <w:rsid w:val="00EB29C7"/>
    <w:rsid w:val="00EB4394"/>
    <w:rsid w:val="00EB4694"/>
    <w:rsid w:val="00EB501E"/>
    <w:rsid w:val="00EB75AB"/>
    <w:rsid w:val="00EC2500"/>
    <w:rsid w:val="00EC27E0"/>
    <w:rsid w:val="00EC62EE"/>
    <w:rsid w:val="00ED05D5"/>
    <w:rsid w:val="00ED0754"/>
    <w:rsid w:val="00ED1703"/>
    <w:rsid w:val="00ED185C"/>
    <w:rsid w:val="00ED215E"/>
    <w:rsid w:val="00ED2A26"/>
    <w:rsid w:val="00ED3685"/>
    <w:rsid w:val="00ED5F75"/>
    <w:rsid w:val="00ED6419"/>
    <w:rsid w:val="00ED7AD2"/>
    <w:rsid w:val="00EE050A"/>
    <w:rsid w:val="00EE0832"/>
    <w:rsid w:val="00EE1EA0"/>
    <w:rsid w:val="00EE2405"/>
    <w:rsid w:val="00EE3192"/>
    <w:rsid w:val="00EE3909"/>
    <w:rsid w:val="00EF26F4"/>
    <w:rsid w:val="00EF4DD4"/>
    <w:rsid w:val="00EF5053"/>
    <w:rsid w:val="00EF72C9"/>
    <w:rsid w:val="00EF74C7"/>
    <w:rsid w:val="00EF7CA2"/>
    <w:rsid w:val="00F00DDA"/>
    <w:rsid w:val="00F017DA"/>
    <w:rsid w:val="00F0305F"/>
    <w:rsid w:val="00F045F7"/>
    <w:rsid w:val="00F07248"/>
    <w:rsid w:val="00F12647"/>
    <w:rsid w:val="00F13E7A"/>
    <w:rsid w:val="00F1409E"/>
    <w:rsid w:val="00F14209"/>
    <w:rsid w:val="00F15295"/>
    <w:rsid w:val="00F15BF4"/>
    <w:rsid w:val="00F17496"/>
    <w:rsid w:val="00F24960"/>
    <w:rsid w:val="00F27122"/>
    <w:rsid w:val="00F31CBD"/>
    <w:rsid w:val="00F31DDE"/>
    <w:rsid w:val="00F32DB6"/>
    <w:rsid w:val="00F33B94"/>
    <w:rsid w:val="00F34C41"/>
    <w:rsid w:val="00F36DEA"/>
    <w:rsid w:val="00F3722D"/>
    <w:rsid w:val="00F4100B"/>
    <w:rsid w:val="00F42867"/>
    <w:rsid w:val="00F4364A"/>
    <w:rsid w:val="00F44157"/>
    <w:rsid w:val="00F45BAF"/>
    <w:rsid w:val="00F507D9"/>
    <w:rsid w:val="00F51240"/>
    <w:rsid w:val="00F52359"/>
    <w:rsid w:val="00F52845"/>
    <w:rsid w:val="00F53A2F"/>
    <w:rsid w:val="00F5614F"/>
    <w:rsid w:val="00F5695C"/>
    <w:rsid w:val="00F579A3"/>
    <w:rsid w:val="00F64BAA"/>
    <w:rsid w:val="00F666C5"/>
    <w:rsid w:val="00F6698A"/>
    <w:rsid w:val="00F70F47"/>
    <w:rsid w:val="00F74CFB"/>
    <w:rsid w:val="00F776BE"/>
    <w:rsid w:val="00F8016C"/>
    <w:rsid w:val="00F82106"/>
    <w:rsid w:val="00F82569"/>
    <w:rsid w:val="00F853F9"/>
    <w:rsid w:val="00F9093B"/>
    <w:rsid w:val="00F913F1"/>
    <w:rsid w:val="00F942CB"/>
    <w:rsid w:val="00F95767"/>
    <w:rsid w:val="00FA0285"/>
    <w:rsid w:val="00FA45DF"/>
    <w:rsid w:val="00FA6BCF"/>
    <w:rsid w:val="00FB53CF"/>
    <w:rsid w:val="00FB6868"/>
    <w:rsid w:val="00FB7AA7"/>
    <w:rsid w:val="00FC3D15"/>
    <w:rsid w:val="00FC44E2"/>
    <w:rsid w:val="00FC487A"/>
    <w:rsid w:val="00FC4D2E"/>
    <w:rsid w:val="00FC69E4"/>
    <w:rsid w:val="00FC6C8C"/>
    <w:rsid w:val="00FD0AD1"/>
    <w:rsid w:val="00FD0D8F"/>
    <w:rsid w:val="00FD23E2"/>
    <w:rsid w:val="00FD4839"/>
    <w:rsid w:val="00FD5BBC"/>
    <w:rsid w:val="00FD6D74"/>
    <w:rsid w:val="00FD6E35"/>
    <w:rsid w:val="00FE229C"/>
    <w:rsid w:val="00FE447D"/>
    <w:rsid w:val="00FE59C1"/>
    <w:rsid w:val="00FF1FB2"/>
    <w:rsid w:val="00FF3249"/>
    <w:rsid w:val="00FF49F5"/>
    <w:rsid w:val="00FF7500"/>
    <w:rsid w:val="00FF7A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1B01C9"/>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867"/>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link w:val="Heading1Char"/>
    <w:uiPriority w:val="9"/>
    <w:qFormat/>
    <w:rsid w:val="009462B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B678C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pPr>
  </w:style>
  <w:style w:type="character" w:customStyle="1" w:styleId="FooterChar">
    <w:name w:val="Footer Char"/>
    <w:basedOn w:val="DefaultParagraphFont"/>
    <w:link w:val="Footer"/>
    <w:uiPriority w:val="99"/>
    <w:rsid w:val="008C3F2D"/>
  </w:style>
  <w:style w:type="paragraph" w:styleId="NormalWeb">
    <w:name w:val="Normal (Web)"/>
    <w:basedOn w:val="Normal"/>
    <w:uiPriority w:val="99"/>
    <w:unhideWhenUsed/>
    <w:rsid w:val="00072C57"/>
    <w:pPr>
      <w:spacing w:before="100" w:beforeAutospacing="1" w:after="100" w:afterAutospacing="1"/>
    </w:pPr>
    <w:rPr>
      <w:rFonts w:eastAsiaTheme="minorHAnsi"/>
    </w:rPr>
  </w:style>
  <w:style w:type="character" w:styleId="FollowedHyperlink">
    <w:name w:val="FollowedHyperlink"/>
    <w:basedOn w:val="DefaultParagraphFont"/>
    <w:uiPriority w:val="99"/>
    <w:semiHidden/>
    <w:unhideWhenUsed/>
    <w:rsid w:val="00461B5D"/>
    <w:rPr>
      <w:color w:val="954F72" w:themeColor="followedHyperlink"/>
      <w:u w:val="single"/>
    </w:rPr>
  </w:style>
  <w:style w:type="paragraph" w:customStyle="1" w:styleId="Artheading">
    <w:name w:val="Art_heading"/>
    <w:basedOn w:val="Normal"/>
    <w:next w:val="Normal"/>
    <w:rsid w:val="00984843"/>
    <w:pPr>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rPr>
  </w:style>
  <w:style w:type="character" w:customStyle="1" w:styleId="Heading6Char">
    <w:name w:val="Heading 6 Char"/>
    <w:basedOn w:val="DefaultParagraphFont"/>
    <w:link w:val="Heading6"/>
    <w:uiPriority w:val="9"/>
    <w:rsid w:val="00B678C3"/>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99"/>
    <w:unhideWhenUsed/>
    <w:rsid w:val="00D82DCF"/>
    <w:pPr>
      <w:spacing w:after="120" w:line="259" w:lineRule="auto"/>
    </w:pPr>
    <w:rPr>
      <w:rFonts w:asciiTheme="minorHAnsi" w:eastAsiaTheme="minorEastAsia" w:hAnsiTheme="minorHAnsi" w:cstheme="minorBidi"/>
      <w:sz w:val="22"/>
      <w:szCs w:val="22"/>
      <w:lang w:val="en-GB" w:eastAsia="zh-CN"/>
    </w:rPr>
  </w:style>
  <w:style w:type="character" w:customStyle="1" w:styleId="BodyTextChar">
    <w:name w:val="Body Text Char"/>
    <w:basedOn w:val="DefaultParagraphFont"/>
    <w:link w:val="BodyText"/>
    <w:uiPriority w:val="99"/>
    <w:rsid w:val="00D82DCF"/>
  </w:style>
  <w:style w:type="character" w:styleId="CommentReference">
    <w:name w:val="annotation reference"/>
    <w:basedOn w:val="DefaultParagraphFont"/>
    <w:uiPriority w:val="99"/>
    <w:semiHidden/>
    <w:unhideWhenUsed/>
    <w:rsid w:val="00DB101E"/>
    <w:rPr>
      <w:sz w:val="16"/>
      <w:szCs w:val="16"/>
    </w:rPr>
  </w:style>
  <w:style w:type="paragraph" w:styleId="CommentText">
    <w:name w:val="annotation text"/>
    <w:basedOn w:val="Normal"/>
    <w:link w:val="CommentTextChar"/>
    <w:uiPriority w:val="99"/>
    <w:semiHidden/>
    <w:unhideWhenUsed/>
    <w:rsid w:val="00DB101E"/>
    <w:rPr>
      <w:sz w:val="20"/>
      <w:szCs w:val="20"/>
    </w:rPr>
  </w:style>
  <w:style w:type="character" w:customStyle="1" w:styleId="CommentTextChar">
    <w:name w:val="Comment Text Char"/>
    <w:basedOn w:val="DefaultParagraphFont"/>
    <w:link w:val="CommentText"/>
    <w:uiPriority w:val="99"/>
    <w:semiHidden/>
    <w:rsid w:val="00DB101E"/>
    <w:rPr>
      <w:rFonts w:ascii="Times New Roman" w:eastAsia="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DB101E"/>
    <w:rPr>
      <w:b/>
      <w:bCs/>
    </w:rPr>
  </w:style>
  <w:style w:type="character" w:customStyle="1" w:styleId="CommentSubjectChar">
    <w:name w:val="Comment Subject Char"/>
    <w:basedOn w:val="CommentTextChar"/>
    <w:link w:val="CommentSubject"/>
    <w:uiPriority w:val="99"/>
    <w:semiHidden/>
    <w:rsid w:val="00DB101E"/>
    <w:rPr>
      <w:rFonts w:ascii="Times New Roman" w:eastAsia="Times New Roman" w:hAnsi="Times New Roman" w:cs="Times New Roman"/>
      <w:b/>
      <w:bCs/>
      <w:sz w:val="20"/>
      <w:szCs w:val="20"/>
      <w:lang w:val="en-US" w:eastAsia="en-US"/>
    </w:rPr>
  </w:style>
  <w:style w:type="paragraph" w:styleId="Revision">
    <w:name w:val="Revision"/>
    <w:hidden/>
    <w:uiPriority w:val="99"/>
    <w:semiHidden/>
    <w:rsid w:val="00DB101E"/>
    <w:pPr>
      <w:spacing w:after="0"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3892">
      <w:bodyDiv w:val="1"/>
      <w:marLeft w:val="0"/>
      <w:marRight w:val="0"/>
      <w:marTop w:val="0"/>
      <w:marBottom w:val="0"/>
      <w:divBdr>
        <w:top w:val="none" w:sz="0" w:space="0" w:color="auto"/>
        <w:left w:val="none" w:sz="0" w:space="0" w:color="auto"/>
        <w:bottom w:val="none" w:sz="0" w:space="0" w:color="auto"/>
        <w:right w:val="none" w:sz="0" w:space="0" w:color="auto"/>
      </w:divBdr>
    </w:div>
    <w:div w:id="95946228">
      <w:bodyDiv w:val="1"/>
      <w:marLeft w:val="0"/>
      <w:marRight w:val="0"/>
      <w:marTop w:val="0"/>
      <w:marBottom w:val="0"/>
      <w:divBdr>
        <w:top w:val="none" w:sz="0" w:space="0" w:color="auto"/>
        <w:left w:val="none" w:sz="0" w:space="0" w:color="auto"/>
        <w:bottom w:val="none" w:sz="0" w:space="0" w:color="auto"/>
        <w:right w:val="none" w:sz="0" w:space="0" w:color="auto"/>
      </w:divBdr>
    </w:div>
    <w:div w:id="106511229">
      <w:bodyDiv w:val="1"/>
      <w:marLeft w:val="0"/>
      <w:marRight w:val="0"/>
      <w:marTop w:val="0"/>
      <w:marBottom w:val="0"/>
      <w:divBdr>
        <w:top w:val="none" w:sz="0" w:space="0" w:color="auto"/>
        <w:left w:val="none" w:sz="0" w:space="0" w:color="auto"/>
        <w:bottom w:val="none" w:sz="0" w:space="0" w:color="auto"/>
        <w:right w:val="none" w:sz="0" w:space="0" w:color="auto"/>
      </w:divBdr>
    </w:div>
    <w:div w:id="248320926">
      <w:bodyDiv w:val="1"/>
      <w:marLeft w:val="0"/>
      <w:marRight w:val="0"/>
      <w:marTop w:val="0"/>
      <w:marBottom w:val="0"/>
      <w:divBdr>
        <w:top w:val="none" w:sz="0" w:space="0" w:color="auto"/>
        <w:left w:val="none" w:sz="0" w:space="0" w:color="auto"/>
        <w:bottom w:val="none" w:sz="0" w:space="0" w:color="auto"/>
        <w:right w:val="none" w:sz="0" w:space="0" w:color="auto"/>
      </w:divBdr>
    </w:div>
    <w:div w:id="270406940">
      <w:bodyDiv w:val="1"/>
      <w:marLeft w:val="0"/>
      <w:marRight w:val="0"/>
      <w:marTop w:val="0"/>
      <w:marBottom w:val="0"/>
      <w:divBdr>
        <w:top w:val="none" w:sz="0" w:space="0" w:color="auto"/>
        <w:left w:val="none" w:sz="0" w:space="0" w:color="auto"/>
        <w:bottom w:val="none" w:sz="0" w:space="0" w:color="auto"/>
        <w:right w:val="none" w:sz="0" w:space="0" w:color="auto"/>
      </w:divBdr>
    </w:div>
    <w:div w:id="357777361">
      <w:bodyDiv w:val="1"/>
      <w:marLeft w:val="0"/>
      <w:marRight w:val="0"/>
      <w:marTop w:val="0"/>
      <w:marBottom w:val="0"/>
      <w:divBdr>
        <w:top w:val="none" w:sz="0" w:space="0" w:color="auto"/>
        <w:left w:val="none" w:sz="0" w:space="0" w:color="auto"/>
        <w:bottom w:val="none" w:sz="0" w:space="0" w:color="auto"/>
        <w:right w:val="none" w:sz="0" w:space="0" w:color="auto"/>
      </w:divBdr>
    </w:div>
    <w:div w:id="512844960">
      <w:bodyDiv w:val="1"/>
      <w:marLeft w:val="0"/>
      <w:marRight w:val="0"/>
      <w:marTop w:val="0"/>
      <w:marBottom w:val="0"/>
      <w:divBdr>
        <w:top w:val="none" w:sz="0" w:space="0" w:color="auto"/>
        <w:left w:val="none" w:sz="0" w:space="0" w:color="auto"/>
        <w:bottom w:val="none" w:sz="0" w:space="0" w:color="auto"/>
        <w:right w:val="none" w:sz="0" w:space="0" w:color="auto"/>
      </w:divBdr>
    </w:div>
    <w:div w:id="520437292">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931160572">
      <w:bodyDiv w:val="1"/>
      <w:marLeft w:val="0"/>
      <w:marRight w:val="0"/>
      <w:marTop w:val="0"/>
      <w:marBottom w:val="0"/>
      <w:divBdr>
        <w:top w:val="none" w:sz="0" w:space="0" w:color="auto"/>
        <w:left w:val="none" w:sz="0" w:space="0" w:color="auto"/>
        <w:bottom w:val="none" w:sz="0" w:space="0" w:color="auto"/>
        <w:right w:val="none" w:sz="0" w:space="0" w:color="auto"/>
      </w:divBdr>
    </w:div>
    <w:div w:id="1012877796">
      <w:bodyDiv w:val="1"/>
      <w:marLeft w:val="45"/>
      <w:marRight w:val="45"/>
      <w:marTop w:val="45"/>
      <w:marBottom w:val="45"/>
      <w:divBdr>
        <w:top w:val="none" w:sz="0" w:space="0" w:color="auto"/>
        <w:left w:val="none" w:sz="0" w:space="0" w:color="auto"/>
        <w:bottom w:val="none" w:sz="0" w:space="0" w:color="auto"/>
        <w:right w:val="none" w:sz="0" w:space="0" w:color="auto"/>
      </w:divBdr>
      <w:divsChild>
        <w:div w:id="1132795796">
          <w:marLeft w:val="0"/>
          <w:marRight w:val="0"/>
          <w:marTop w:val="0"/>
          <w:marBottom w:val="75"/>
          <w:divBdr>
            <w:top w:val="single" w:sz="6" w:space="0" w:color="EEEEEE"/>
            <w:left w:val="single" w:sz="6" w:space="0" w:color="EEEEEE"/>
            <w:bottom w:val="single" w:sz="6" w:space="0" w:color="CCCCCC"/>
            <w:right w:val="single" w:sz="6" w:space="0" w:color="CCCCCC"/>
          </w:divBdr>
          <w:divsChild>
            <w:div w:id="350492149">
              <w:marLeft w:val="0"/>
              <w:marRight w:val="0"/>
              <w:marTop w:val="0"/>
              <w:marBottom w:val="0"/>
              <w:divBdr>
                <w:top w:val="none" w:sz="0" w:space="0" w:color="auto"/>
                <w:left w:val="none" w:sz="0" w:space="0" w:color="auto"/>
                <w:bottom w:val="none" w:sz="0" w:space="0" w:color="auto"/>
                <w:right w:val="none" w:sz="0" w:space="0" w:color="auto"/>
              </w:divBdr>
            </w:div>
            <w:div w:id="1932002623">
              <w:marLeft w:val="0"/>
              <w:marRight w:val="0"/>
              <w:marTop w:val="0"/>
              <w:marBottom w:val="0"/>
              <w:divBdr>
                <w:top w:val="none" w:sz="0" w:space="0" w:color="auto"/>
                <w:left w:val="none" w:sz="0" w:space="0" w:color="auto"/>
                <w:bottom w:val="none" w:sz="0" w:space="0" w:color="auto"/>
                <w:right w:val="none" w:sz="0" w:space="0" w:color="auto"/>
              </w:divBdr>
            </w:div>
          </w:divsChild>
        </w:div>
        <w:div w:id="1397506608">
          <w:marLeft w:val="0"/>
          <w:marRight w:val="0"/>
          <w:marTop w:val="0"/>
          <w:marBottom w:val="75"/>
          <w:divBdr>
            <w:top w:val="single" w:sz="6" w:space="0" w:color="EEEEEE"/>
            <w:left w:val="single" w:sz="6" w:space="0" w:color="EEEEEE"/>
            <w:bottom w:val="single" w:sz="6" w:space="0" w:color="CCCCCC"/>
            <w:right w:val="single" w:sz="6" w:space="0" w:color="CCCCCC"/>
          </w:divBdr>
          <w:divsChild>
            <w:div w:id="716973194">
              <w:marLeft w:val="0"/>
              <w:marRight w:val="0"/>
              <w:marTop w:val="0"/>
              <w:marBottom w:val="0"/>
              <w:divBdr>
                <w:top w:val="none" w:sz="0" w:space="0" w:color="auto"/>
                <w:left w:val="none" w:sz="0" w:space="0" w:color="auto"/>
                <w:bottom w:val="none" w:sz="0" w:space="0" w:color="auto"/>
                <w:right w:val="none" w:sz="0" w:space="0" w:color="auto"/>
              </w:divBdr>
            </w:div>
            <w:div w:id="11783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176383565">
      <w:bodyDiv w:val="1"/>
      <w:marLeft w:val="0"/>
      <w:marRight w:val="0"/>
      <w:marTop w:val="0"/>
      <w:marBottom w:val="0"/>
      <w:divBdr>
        <w:top w:val="none" w:sz="0" w:space="0" w:color="auto"/>
        <w:left w:val="none" w:sz="0" w:space="0" w:color="auto"/>
        <w:bottom w:val="none" w:sz="0" w:space="0" w:color="auto"/>
        <w:right w:val="none" w:sz="0" w:space="0" w:color="auto"/>
      </w:divBdr>
    </w:div>
    <w:div w:id="1258710822">
      <w:bodyDiv w:val="1"/>
      <w:marLeft w:val="45"/>
      <w:marRight w:val="45"/>
      <w:marTop w:val="45"/>
      <w:marBottom w:val="45"/>
      <w:divBdr>
        <w:top w:val="none" w:sz="0" w:space="0" w:color="auto"/>
        <w:left w:val="none" w:sz="0" w:space="0" w:color="auto"/>
        <w:bottom w:val="none" w:sz="0" w:space="0" w:color="auto"/>
        <w:right w:val="none" w:sz="0" w:space="0" w:color="auto"/>
      </w:divBdr>
      <w:divsChild>
        <w:div w:id="509879769">
          <w:marLeft w:val="0"/>
          <w:marRight w:val="0"/>
          <w:marTop w:val="0"/>
          <w:marBottom w:val="75"/>
          <w:divBdr>
            <w:top w:val="single" w:sz="6" w:space="0" w:color="EEEEEE"/>
            <w:left w:val="single" w:sz="6" w:space="0" w:color="EEEEEE"/>
            <w:bottom w:val="single" w:sz="6" w:space="0" w:color="CCCCCC"/>
            <w:right w:val="single" w:sz="6" w:space="0" w:color="CCCCCC"/>
          </w:divBdr>
          <w:divsChild>
            <w:div w:id="1661809330">
              <w:marLeft w:val="0"/>
              <w:marRight w:val="0"/>
              <w:marTop w:val="0"/>
              <w:marBottom w:val="0"/>
              <w:divBdr>
                <w:top w:val="none" w:sz="0" w:space="0" w:color="auto"/>
                <w:left w:val="none" w:sz="0" w:space="0" w:color="auto"/>
                <w:bottom w:val="none" w:sz="0" w:space="0" w:color="auto"/>
                <w:right w:val="none" w:sz="0" w:space="0" w:color="auto"/>
              </w:divBdr>
            </w:div>
            <w:div w:id="1997413642">
              <w:marLeft w:val="0"/>
              <w:marRight w:val="0"/>
              <w:marTop w:val="0"/>
              <w:marBottom w:val="0"/>
              <w:divBdr>
                <w:top w:val="none" w:sz="0" w:space="0" w:color="auto"/>
                <w:left w:val="none" w:sz="0" w:space="0" w:color="auto"/>
                <w:bottom w:val="none" w:sz="0" w:space="0" w:color="auto"/>
                <w:right w:val="none" w:sz="0" w:space="0" w:color="auto"/>
              </w:divBdr>
            </w:div>
          </w:divsChild>
        </w:div>
        <w:div w:id="636843041">
          <w:marLeft w:val="0"/>
          <w:marRight w:val="0"/>
          <w:marTop w:val="0"/>
          <w:marBottom w:val="75"/>
          <w:divBdr>
            <w:top w:val="single" w:sz="6" w:space="0" w:color="EEEEEE"/>
            <w:left w:val="single" w:sz="6" w:space="0" w:color="EEEEEE"/>
            <w:bottom w:val="single" w:sz="6" w:space="0" w:color="CCCCCC"/>
            <w:right w:val="single" w:sz="6" w:space="0" w:color="CCCCCC"/>
          </w:divBdr>
          <w:divsChild>
            <w:div w:id="293409478">
              <w:marLeft w:val="0"/>
              <w:marRight w:val="0"/>
              <w:marTop w:val="0"/>
              <w:marBottom w:val="0"/>
              <w:divBdr>
                <w:top w:val="none" w:sz="0" w:space="0" w:color="auto"/>
                <w:left w:val="none" w:sz="0" w:space="0" w:color="auto"/>
                <w:bottom w:val="none" w:sz="0" w:space="0" w:color="auto"/>
                <w:right w:val="none" w:sz="0" w:space="0" w:color="auto"/>
              </w:divBdr>
            </w:div>
            <w:div w:id="11299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8739">
      <w:bodyDiv w:val="1"/>
      <w:marLeft w:val="0"/>
      <w:marRight w:val="0"/>
      <w:marTop w:val="0"/>
      <w:marBottom w:val="0"/>
      <w:divBdr>
        <w:top w:val="none" w:sz="0" w:space="0" w:color="auto"/>
        <w:left w:val="none" w:sz="0" w:space="0" w:color="auto"/>
        <w:bottom w:val="none" w:sz="0" w:space="0" w:color="auto"/>
        <w:right w:val="none" w:sz="0" w:space="0" w:color="auto"/>
      </w:divBdr>
    </w:div>
    <w:div w:id="1354573211">
      <w:bodyDiv w:val="1"/>
      <w:marLeft w:val="0"/>
      <w:marRight w:val="0"/>
      <w:marTop w:val="0"/>
      <w:marBottom w:val="0"/>
      <w:divBdr>
        <w:top w:val="none" w:sz="0" w:space="0" w:color="auto"/>
        <w:left w:val="none" w:sz="0" w:space="0" w:color="auto"/>
        <w:bottom w:val="none" w:sz="0" w:space="0" w:color="auto"/>
        <w:right w:val="none" w:sz="0" w:space="0" w:color="auto"/>
      </w:divBdr>
    </w:div>
    <w:div w:id="1528103001">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15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17-TSAG-C-0056" TargetMode="External"/><Relationship Id="rId18" Type="http://schemas.openxmlformats.org/officeDocument/2006/relationships/hyperlink" Target="https://www.itu.int/md/T17-TSAG-190923-TD-GEN-0452" TargetMode="External"/><Relationship Id="rId26" Type="http://schemas.openxmlformats.org/officeDocument/2006/relationships/hyperlink" Target="https://www.itu.int/md/T17-TSAG-190923-TD-GEN-0562" TargetMode="External"/><Relationship Id="rId39" Type="http://schemas.openxmlformats.org/officeDocument/2006/relationships/hyperlink" Target="https://www.itu.int/md/T17-TSAG-C-0115" TargetMode="External"/><Relationship Id="rId21" Type="http://schemas.openxmlformats.org/officeDocument/2006/relationships/hyperlink" Target="https://www.itu.int/md/T17-TSAG-200210-TD-GEN-0645" TargetMode="External"/><Relationship Id="rId34" Type="http://schemas.openxmlformats.org/officeDocument/2006/relationships/hyperlink" Target="https://www.itu.int/md/T17-TSAG-C-0090"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itu.int/md/T17-TSAG-181210-TD-GEN-0428" TargetMode="External"/><Relationship Id="rId20" Type="http://schemas.openxmlformats.org/officeDocument/2006/relationships/hyperlink" Target="https://www.itu.int/md/T17-TSAG-200210-TD-GEN-0644" TargetMode="External"/><Relationship Id="rId29" Type="http://schemas.openxmlformats.org/officeDocument/2006/relationships/hyperlink" Target="https://www.itu.int/md/T17-TSAG-190923-TD-GEN-0510"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T17-TSAG-181210-TD-GEN-0429" TargetMode="External"/><Relationship Id="rId24" Type="http://schemas.openxmlformats.org/officeDocument/2006/relationships/hyperlink" Target="https://www.itu.int/md/T17-TSAG-190923-TD-GEN-0513" TargetMode="External"/><Relationship Id="rId32" Type="http://schemas.openxmlformats.org/officeDocument/2006/relationships/hyperlink" Target="https://www.itu.int/md/T17-TSAG-C-0079" TargetMode="External"/><Relationship Id="rId37" Type="http://schemas.openxmlformats.org/officeDocument/2006/relationships/hyperlink" Target="https://www.itu.int/md/T17-TSAG-C-0113" TargetMode="External"/><Relationship Id="rId40" Type="http://schemas.openxmlformats.org/officeDocument/2006/relationships/hyperlink" Target="https://www.itu.int/md/T17-TSAG-190923-TD-GEN-0577" TargetMode="External"/><Relationship Id="rId5" Type="http://schemas.openxmlformats.org/officeDocument/2006/relationships/styles" Target="styles.xml"/><Relationship Id="rId15" Type="http://schemas.openxmlformats.org/officeDocument/2006/relationships/hyperlink" Target="https://www.itu.int/md/T17-TSAG-181210-TD-GEN-0427" TargetMode="External"/><Relationship Id="rId23" Type="http://schemas.openxmlformats.org/officeDocument/2006/relationships/hyperlink" Target="https://www.itu.int/md/T17-TSAG-190923-TD-GEN-0581" TargetMode="External"/><Relationship Id="rId28" Type="http://schemas.openxmlformats.org/officeDocument/2006/relationships/hyperlink" Target="https://www.itu.int/md/T17-TSAG-190923-TD-GEN-0541" TargetMode="External"/><Relationship Id="rId36" Type="http://schemas.openxmlformats.org/officeDocument/2006/relationships/hyperlink" Target="https://www.itu.int/md/T17-TSAG-200210-TD-GEN-0707" TargetMode="External"/><Relationship Id="rId10" Type="http://schemas.openxmlformats.org/officeDocument/2006/relationships/image" Target="media/image1.gif"/><Relationship Id="rId19" Type="http://schemas.openxmlformats.org/officeDocument/2006/relationships/hyperlink" Target="https://www.itu.int/md/T17-TSAG-190923-TD-GEN-0453" TargetMode="External"/><Relationship Id="rId31" Type="http://schemas.openxmlformats.org/officeDocument/2006/relationships/hyperlink" Target="https://www.itu.int/md/T17-TSAG-190923-TD-GEN-062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T17-TSAG-C-0061" TargetMode="External"/><Relationship Id="rId22" Type="http://schemas.openxmlformats.org/officeDocument/2006/relationships/hyperlink" Target="https://www.itu.int/ifa/t/2017/ls/tsag/sp16-tsag-oLS-00018.doc" TargetMode="External"/><Relationship Id="rId27" Type="http://schemas.openxmlformats.org/officeDocument/2006/relationships/hyperlink" Target="https://www.itu.int/md/T17-TSAG-190923-TD-GEN-0519" TargetMode="External"/><Relationship Id="rId30" Type="http://schemas.openxmlformats.org/officeDocument/2006/relationships/hyperlink" Target="https://www.itu.int/md/T17-TSAG-190923-TD-GEN-0551" TargetMode="External"/><Relationship Id="rId35" Type="http://schemas.openxmlformats.org/officeDocument/2006/relationships/hyperlink" Target="https://www.itu.int/md/T17-TSAG-190923-TD-GEN-0577"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itu.int/md/T17-TSAG-C-0055" TargetMode="External"/><Relationship Id="rId17" Type="http://schemas.openxmlformats.org/officeDocument/2006/relationships/hyperlink" Target="https://www.itu.int/md/T17-TSAG-181210-TD-GEN-0284" TargetMode="External"/><Relationship Id="rId25" Type="http://schemas.openxmlformats.org/officeDocument/2006/relationships/hyperlink" Target="https://www.itu.int/md/T17-TSAG-190923-TD-GEN-0540" TargetMode="External"/><Relationship Id="rId33" Type="http://schemas.openxmlformats.org/officeDocument/2006/relationships/hyperlink" Target="https://www.itu.int/md/T17-TSAG-C-0080" TargetMode="External"/><Relationship Id="rId38" Type="http://schemas.openxmlformats.org/officeDocument/2006/relationships/hyperlink" Target="https://www.itu.int/md/T17-TSAG-C-0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1AAE13A58BF040AB26AEE022E7DEF9" ma:contentTypeVersion="7" ma:contentTypeDescription="Create a new document." ma:contentTypeScope="" ma:versionID="48ffe1a1e469f6804446c4ec6743ac2c">
  <xsd:schema xmlns:xsd="http://www.w3.org/2001/XMLSchema" xmlns:xs="http://www.w3.org/2001/XMLSchema" xmlns:p="http://schemas.microsoft.com/office/2006/metadata/properties" xmlns:ns3="a3c515f6-415e-4ee0-9122-8d9a68aed505" xmlns:ns4="c8bdcaaf-7f2c-453b-99e1-a6b1e358e90a" targetNamespace="http://schemas.microsoft.com/office/2006/metadata/properties" ma:root="true" ma:fieldsID="504cf9f14d28f6efaddf1e3fe7a0bcb0" ns3:_="" ns4:_="">
    <xsd:import namespace="a3c515f6-415e-4ee0-9122-8d9a68aed505"/>
    <xsd:import namespace="c8bdcaaf-7f2c-453b-99e1-a6b1e358e9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515f6-415e-4ee0-9122-8d9a68aed50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bdcaaf-7f2c-453b-99e1-a6b1e358e9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D9A631-F894-4AC8-9BAB-2611CD714C64}">
  <ds:schemaRefs>
    <ds:schemaRef ds:uri="http://schemas.microsoft.com/sharepoint/v3/contenttype/forms"/>
  </ds:schemaRefs>
</ds:datastoreItem>
</file>

<file path=customXml/itemProps2.xml><?xml version="1.0" encoding="utf-8"?>
<ds:datastoreItem xmlns:ds="http://schemas.openxmlformats.org/officeDocument/2006/customXml" ds:itemID="{849A2748-4014-48E0-9D2F-09D92EFC2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515f6-415e-4ee0-9122-8d9a68aed505"/>
    <ds:schemaRef ds:uri="c8bdcaaf-7f2c-453b-99e1-a6b1e358e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CC4ADE-AF89-493F-B687-03826CCF94B7}">
  <ds:schemaRefs>
    <ds:schemaRef ds:uri="http://purl.org/dc/terms/"/>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a3c515f6-415e-4ee0-9122-8d9a68aed505"/>
    <ds:schemaRef ds:uri="http://schemas.microsoft.com/office/infopath/2007/PartnerControls"/>
    <ds:schemaRef ds:uri="http://schemas.openxmlformats.org/package/2006/metadata/core-properties"/>
    <ds:schemaRef ds:uri="c8bdcaaf-7f2c-453b-99e1-a6b1e358e90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2383</Words>
  <Characters>13584</Characters>
  <Application>Microsoft Office Word</Application>
  <DocSecurity>0</DocSecurity>
  <Lines>113</Lines>
  <Paragraphs>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Draft agenda TSAG RG-StdsStrat e-meeting, 28 September 2018, 13:00-15:00 CEST</vt:lpstr>
      <vt:lpstr/>
    </vt:vector>
  </TitlesOfParts>
  <Company>ITU</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TSAG RG-StdsStrat e-meeting, 28 September 2018, 13:00-15:00 CEST</dc:title>
  <dc:subject/>
  <dc:creator>TSB-MEU</dc:creator>
  <cp:keywords/>
  <dc:description/>
  <cp:lastModifiedBy>Al-Mnini, Lara</cp:lastModifiedBy>
  <cp:revision>3</cp:revision>
  <cp:lastPrinted>2018-12-12T09:54:00Z</cp:lastPrinted>
  <dcterms:created xsi:type="dcterms:W3CDTF">2020-02-13T11:03:00Z</dcterms:created>
  <dcterms:modified xsi:type="dcterms:W3CDTF">2020-02-13T11:04:00Z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0x0101009F1AAE13A58BF040AB26AEE022E7DEF9</vt:lpwstr>
  </property>
</Properties>
</file>