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C44FDC" w:rsidRPr="00C44FDC" w14:paraId="70A563D1" w14:textId="77777777" w:rsidTr="003F6975">
        <w:trPr>
          <w:cantSplit/>
        </w:trPr>
        <w:tc>
          <w:tcPr>
            <w:tcW w:w="1191" w:type="dxa"/>
            <w:vMerge w:val="restart"/>
          </w:tcPr>
          <w:p w14:paraId="7A918AF6" w14:textId="77777777" w:rsidR="00C44FDC" w:rsidRPr="00C44FDC" w:rsidRDefault="00C44FDC" w:rsidP="00C44FDC">
            <w:pPr>
              <w:rPr>
                <w:sz w:val="20"/>
              </w:rPr>
            </w:pPr>
            <w:bookmarkStart w:id="0" w:name="dnum" w:colFirst="2" w:colLast="2"/>
            <w:bookmarkStart w:id="1" w:name="dtableau"/>
            <w:r w:rsidRPr="00C44FDC">
              <w:rPr>
                <w:noProof/>
                <w:sz w:val="20"/>
              </w:rPr>
              <w:drawing>
                <wp:inline distT="0" distB="0" distL="0" distR="0" wp14:anchorId="3A00C389" wp14:editId="4A5A222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C8CF049" w14:textId="77777777" w:rsidR="00C44FDC" w:rsidRPr="00C44FDC" w:rsidRDefault="00C44FDC" w:rsidP="00C44FDC">
            <w:pPr>
              <w:rPr>
                <w:sz w:val="16"/>
                <w:szCs w:val="16"/>
              </w:rPr>
            </w:pPr>
            <w:r w:rsidRPr="00C44FDC">
              <w:rPr>
                <w:sz w:val="16"/>
                <w:szCs w:val="16"/>
              </w:rPr>
              <w:t>INTERNATIONAL TELECOMMUNICATION UNION</w:t>
            </w:r>
          </w:p>
          <w:p w14:paraId="05EAF02C" w14:textId="77777777" w:rsidR="00C44FDC" w:rsidRPr="00C44FDC" w:rsidRDefault="00C44FDC" w:rsidP="00C44FDC">
            <w:pPr>
              <w:rPr>
                <w:b/>
                <w:bCs/>
                <w:sz w:val="26"/>
                <w:szCs w:val="26"/>
              </w:rPr>
            </w:pPr>
            <w:r w:rsidRPr="00C44FDC">
              <w:rPr>
                <w:b/>
                <w:bCs/>
                <w:sz w:val="26"/>
                <w:szCs w:val="26"/>
              </w:rPr>
              <w:t>TELECOMMUNICATION</w:t>
            </w:r>
            <w:r w:rsidRPr="00C44FDC">
              <w:rPr>
                <w:b/>
                <w:bCs/>
                <w:sz w:val="26"/>
                <w:szCs w:val="26"/>
              </w:rPr>
              <w:br/>
              <w:t>STANDARDIZATION SECTOR</w:t>
            </w:r>
          </w:p>
          <w:p w14:paraId="210C7EAF" w14:textId="77777777" w:rsidR="00C44FDC" w:rsidRPr="00C44FDC" w:rsidRDefault="00C44FDC" w:rsidP="00C44FDC">
            <w:pPr>
              <w:rPr>
                <w:sz w:val="20"/>
              </w:rPr>
            </w:pPr>
            <w:r w:rsidRPr="00C44FDC">
              <w:rPr>
                <w:sz w:val="20"/>
              </w:rPr>
              <w:t xml:space="preserve">STUDY PERIOD </w:t>
            </w:r>
            <w:bookmarkStart w:id="2" w:name="dstudyperiod"/>
            <w:r w:rsidRPr="00C44FDC">
              <w:rPr>
                <w:sz w:val="20"/>
              </w:rPr>
              <w:t>2017-2020</w:t>
            </w:r>
            <w:bookmarkEnd w:id="2"/>
          </w:p>
        </w:tc>
        <w:tc>
          <w:tcPr>
            <w:tcW w:w="4681" w:type="dxa"/>
            <w:vAlign w:val="center"/>
          </w:tcPr>
          <w:p w14:paraId="7764C9FA" w14:textId="701C955B" w:rsidR="00C44FDC" w:rsidRPr="00C44FDC" w:rsidRDefault="00C44FDC" w:rsidP="00C44FDC">
            <w:pPr>
              <w:pStyle w:val="Docnumber"/>
            </w:pPr>
            <w:r>
              <w:t>TSAG-TD788</w:t>
            </w:r>
            <w:r w:rsidR="00B768C5">
              <w:t>-C</w:t>
            </w:r>
          </w:p>
        </w:tc>
      </w:tr>
      <w:tr w:rsidR="00C44FDC" w:rsidRPr="00C44FDC" w14:paraId="516BA773" w14:textId="77777777" w:rsidTr="003F6975">
        <w:trPr>
          <w:cantSplit/>
        </w:trPr>
        <w:tc>
          <w:tcPr>
            <w:tcW w:w="1191" w:type="dxa"/>
            <w:vMerge/>
          </w:tcPr>
          <w:p w14:paraId="13F34DA0" w14:textId="77777777" w:rsidR="00C44FDC" w:rsidRPr="00C44FDC" w:rsidRDefault="00C44FDC" w:rsidP="00C44FDC">
            <w:pPr>
              <w:rPr>
                <w:smallCaps/>
                <w:sz w:val="20"/>
              </w:rPr>
            </w:pPr>
            <w:bookmarkStart w:id="3" w:name="dsg" w:colFirst="2" w:colLast="2"/>
            <w:bookmarkEnd w:id="0"/>
          </w:p>
        </w:tc>
        <w:tc>
          <w:tcPr>
            <w:tcW w:w="4051" w:type="dxa"/>
            <w:gridSpan w:val="3"/>
            <w:vMerge/>
          </w:tcPr>
          <w:p w14:paraId="77F5C0F9" w14:textId="77777777" w:rsidR="00C44FDC" w:rsidRPr="00C44FDC" w:rsidRDefault="00C44FDC" w:rsidP="00C44FDC">
            <w:pPr>
              <w:rPr>
                <w:smallCaps/>
                <w:sz w:val="20"/>
              </w:rPr>
            </w:pPr>
          </w:p>
        </w:tc>
        <w:tc>
          <w:tcPr>
            <w:tcW w:w="4681" w:type="dxa"/>
          </w:tcPr>
          <w:p w14:paraId="29F90619" w14:textId="08B00595" w:rsidR="00C44FDC" w:rsidRPr="00C44FDC" w:rsidRDefault="00C44FDC" w:rsidP="00C44FDC">
            <w:pPr>
              <w:jc w:val="right"/>
              <w:rPr>
                <w:b/>
                <w:bCs/>
                <w:smallCaps/>
                <w:sz w:val="28"/>
                <w:szCs w:val="28"/>
              </w:rPr>
            </w:pPr>
            <w:r>
              <w:rPr>
                <w:b/>
                <w:bCs/>
                <w:smallCaps/>
                <w:sz w:val="28"/>
                <w:szCs w:val="28"/>
              </w:rPr>
              <w:t>TSAG</w:t>
            </w:r>
          </w:p>
        </w:tc>
      </w:tr>
      <w:bookmarkEnd w:id="3"/>
      <w:tr w:rsidR="00C44FDC" w:rsidRPr="00C44FDC" w14:paraId="09F95265" w14:textId="77777777" w:rsidTr="003F6975">
        <w:trPr>
          <w:cantSplit/>
        </w:trPr>
        <w:tc>
          <w:tcPr>
            <w:tcW w:w="1191" w:type="dxa"/>
            <w:vMerge/>
            <w:tcBorders>
              <w:bottom w:val="single" w:sz="12" w:space="0" w:color="auto"/>
            </w:tcBorders>
          </w:tcPr>
          <w:p w14:paraId="2A03D3BA" w14:textId="77777777" w:rsidR="00C44FDC" w:rsidRPr="00C44FDC" w:rsidRDefault="00C44FDC" w:rsidP="00C44FDC">
            <w:pPr>
              <w:rPr>
                <w:b/>
                <w:bCs/>
                <w:sz w:val="26"/>
              </w:rPr>
            </w:pPr>
          </w:p>
        </w:tc>
        <w:tc>
          <w:tcPr>
            <w:tcW w:w="4051" w:type="dxa"/>
            <w:gridSpan w:val="3"/>
            <w:vMerge/>
            <w:tcBorders>
              <w:bottom w:val="single" w:sz="12" w:space="0" w:color="auto"/>
            </w:tcBorders>
          </w:tcPr>
          <w:p w14:paraId="6FDE3E17" w14:textId="77777777" w:rsidR="00C44FDC" w:rsidRPr="00C44FDC" w:rsidRDefault="00C44FDC" w:rsidP="00C44FDC">
            <w:pPr>
              <w:rPr>
                <w:b/>
                <w:bCs/>
                <w:sz w:val="26"/>
              </w:rPr>
            </w:pPr>
          </w:p>
        </w:tc>
        <w:tc>
          <w:tcPr>
            <w:tcW w:w="4681" w:type="dxa"/>
            <w:tcBorders>
              <w:bottom w:val="single" w:sz="12" w:space="0" w:color="auto"/>
            </w:tcBorders>
            <w:vAlign w:val="center"/>
          </w:tcPr>
          <w:p w14:paraId="3C00E90C" w14:textId="77777777" w:rsidR="00C44FDC" w:rsidRPr="00C44FDC" w:rsidRDefault="00C44FDC" w:rsidP="00C44FDC">
            <w:pPr>
              <w:jc w:val="right"/>
              <w:rPr>
                <w:b/>
                <w:bCs/>
                <w:sz w:val="28"/>
                <w:szCs w:val="28"/>
              </w:rPr>
            </w:pPr>
            <w:r w:rsidRPr="00C44FDC">
              <w:rPr>
                <w:b/>
                <w:bCs/>
                <w:sz w:val="28"/>
                <w:szCs w:val="28"/>
              </w:rPr>
              <w:t>Original: English</w:t>
            </w:r>
          </w:p>
        </w:tc>
      </w:tr>
      <w:tr w:rsidR="00C44FDC" w:rsidRPr="00C44FDC" w14:paraId="564CFBC2" w14:textId="77777777" w:rsidTr="003F6975">
        <w:trPr>
          <w:cantSplit/>
        </w:trPr>
        <w:tc>
          <w:tcPr>
            <w:tcW w:w="1617" w:type="dxa"/>
            <w:gridSpan w:val="3"/>
          </w:tcPr>
          <w:p w14:paraId="3CDAA8C9" w14:textId="77777777" w:rsidR="00C44FDC" w:rsidRPr="00C44FDC" w:rsidRDefault="00C44FDC" w:rsidP="00C44FDC">
            <w:pPr>
              <w:rPr>
                <w:b/>
                <w:bCs/>
                <w:szCs w:val="24"/>
              </w:rPr>
            </w:pPr>
            <w:bookmarkStart w:id="4" w:name="dbluepink" w:colFirst="1" w:colLast="1"/>
            <w:bookmarkStart w:id="5" w:name="dmeeting" w:colFirst="2" w:colLast="2"/>
            <w:r w:rsidRPr="00C44FDC">
              <w:rPr>
                <w:b/>
                <w:bCs/>
                <w:szCs w:val="24"/>
              </w:rPr>
              <w:t>Question(s):</w:t>
            </w:r>
          </w:p>
        </w:tc>
        <w:tc>
          <w:tcPr>
            <w:tcW w:w="3625" w:type="dxa"/>
          </w:tcPr>
          <w:p w14:paraId="2B89F46C" w14:textId="2B08E144" w:rsidR="00C44FDC" w:rsidRPr="00C44FDC" w:rsidRDefault="00C44FDC" w:rsidP="00C44FDC">
            <w:pPr>
              <w:rPr>
                <w:szCs w:val="24"/>
              </w:rPr>
            </w:pPr>
            <w:r w:rsidRPr="00C44FDC">
              <w:rPr>
                <w:szCs w:val="24"/>
              </w:rPr>
              <w:t>N/A</w:t>
            </w:r>
          </w:p>
        </w:tc>
        <w:tc>
          <w:tcPr>
            <w:tcW w:w="4681" w:type="dxa"/>
          </w:tcPr>
          <w:p w14:paraId="66729F0F" w14:textId="0EB6BD48" w:rsidR="00C44FDC" w:rsidRPr="00C44FDC" w:rsidRDefault="00C44FDC" w:rsidP="00C44FDC">
            <w:pPr>
              <w:jc w:val="right"/>
              <w:rPr>
                <w:szCs w:val="24"/>
              </w:rPr>
            </w:pPr>
            <w:r w:rsidRPr="00C44FDC">
              <w:rPr>
                <w:szCs w:val="24"/>
              </w:rPr>
              <w:t>E-Meeting, 21-25 September 2020</w:t>
            </w:r>
          </w:p>
        </w:tc>
      </w:tr>
      <w:tr w:rsidR="00C44FDC" w:rsidRPr="00C44FDC" w14:paraId="0F8BDF0F" w14:textId="77777777" w:rsidTr="003F6975">
        <w:trPr>
          <w:cantSplit/>
        </w:trPr>
        <w:tc>
          <w:tcPr>
            <w:tcW w:w="9923" w:type="dxa"/>
            <w:gridSpan w:val="5"/>
          </w:tcPr>
          <w:p w14:paraId="62631E3C" w14:textId="5AD2FB5C" w:rsidR="00C44FDC" w:rsidRPr="00C44FDC" w:rsidRDefault="00C44FDC" w:rsidP="00C44FDC">
            <w:pPr>
              <w:jc w:val="center"/>
              <w:rPr>
                <w:b/>
                <w:bCs/>
                <w:szCs w:val="24"/>
              </w:rPr>
            </w:pPr>
            <w:bookmarkStart w:id="6" w:name="ddoctype" w:colFirst="0" w:colLast="0"/>
            <w:bookmarkEnd w:id="4"/>
            <w:bookmarkEnd w:id="5"/>
            <w:r w:rsidRPr="00C44FDC">
              <w:rPr>
                <w:b/>
                <w:bCs/>
                <w:szCs w:val="24"/>
              </w:rPr>
              <w:t>TD</w:t>
            </w:r>
          </w:p>
        </w:tc>
      </w:tr>
      <w:tr w:rsidR="00C44FDC" w:rsidRPr="00C44FDC" w14:paraId="005C0239" w14:textId="77777777" w:rsidTr="003F6975">
        <w:trPr>
          <w:cantSplit/>
        </w:trPr>
        <w:tc>
          <w:tcPr>
            <w:tcW w:w="1617" w:type="dxa"/>
            <w:gridSpan w:val="3"/>
          </w:tcPr>
          <w:p w14:paraId="03F8EE36" w14:textId="77777777" w:rsidR="00C44FDC" w:rsidRPr="00C44FDC" w:rsidRDefault="00C44FDC" w:rsidP="00C44FDC">
            <w:pPr>
              <w:rPr>
                <w:b/>
                <w:bCs/>
                <w:szCs w:val="24"/>
              </w:rPr>
            </w:pPr>
            <w:bookmarkStart w:id="7" w:name="dsource" w:colFirst="1" w:colLast="1"/>
            <w:bookmarkEnd w:id="6"/>
            <w:r w:rsidRPr="00C44FDC">
              <w:rPr>
                <w:b/>
                <w:bCs/>
                <w:szCs w:val="24"/>
              </w:rPr>
              <w:t>Source:</w:t>
            </w:r>
          </w:p>
        </w:tc>
        <w:tc>
          <w:tcPr>
            <w:tcW w:w="8306" w:type="dxa"/>
            <w:gridSpan w:val="2"/>
          </w:tcPr>
          <w:p w14:paraId="7FD74416" w14:textId="138822E3" w:rsidR="00C44FDC" w:rsidRPr="00C44FDC" w:rsidRDefault="00C44FDC" w:rsidP="00C44FDC">
            <w:pPr>
              <w:rPr>
                <w:szCs w:val="24"/>
              </w:rPr>
            </w:pPr>
            <w:r w:rsidRPr="00C44FDC">
              <w:rPr>
                <w:szCs w:val="24"/>
              </w:rPr>
              <w:t>Director, TSB</w:t>
            </w:r>
          </w:p>
        </w:tc>
      </w:tr>
      <w:tr w:rsidR="00C44FDC" w:rsidRPr="00C44FDC" w14:paraId="6EEFA437" w14:textId="77777777" w:rsidTr="003F6975">
        <w:trPr>
          <w:cantSplit/>
        </w:trPr>
        <w:tc>
          <w:tcPr>
            <w:tcW w:w="1617" w:type="dxa"/>
            <w:gridSpan w:val="3"/>
          </w:tcPr>
          <w:p w14:paraId="64CDEC7E" w14:textId="77777777" w:rsidR="00C44FDC" w:rsidRPr="00C44FDC" w:rsidRDefault="00C44FDC" w:rsidP="00C44FDC">
            <w:pPr>
              <w:rPr>
                <w:szCs w:val="24"/>
              </w:rPr>
            </w:pPr>
            <w:bookmarkStart w:id="8" w:name="dtitle1" w:colFirst="1" w:colLast="1"/>
            <w:bookmarkEnd w:id="7"/>
            <w:r w:rsidRPr="00C44FDC">
              <w:rPr>
                <w:b/>
                <w:bCs/>
                <w:szCs w:val="24"/>
              </w:rPr>
              <w:t>Title:</w:t>
            </w:r>
          </w:p>
        </w:tc>
        <w:tc>
          <w:tcPr>
            <w:tcW w:w="8306" w:type="dxa"/>
            <w:gridSpan w:val="2"/>
          </w:tcPr>
          <w:p w14:paraId="4AF688EC" w14:textId="68AF2CFD" w:rsidR="00C44FDC" w:rsidRPr="00C44FDC" w:rsidRDefault="00C44FDC" w:rsidP="00C44FDC">
            <w:pPr>
              <w:rPr>
                <w:szCs w:val="24"/>
              </w:rPr>
            </w:pPr>
            <w:r w:rsidRPr="00C44FDC">
              <w:rPr>
                <w:szCs w:val="24"/>
              </w:rPr>
              <w:t>Report of activities in ITU-T (from January to August 2020)</w:t>
            </w:r>
          </w:p>
        </w:tc>
      </w:tr>
      <w:tr w:rsidR="00C44FDC" w:rsidRPr="00C44FDC" w14:paraId="6C2A9E1E" w14:textId="77777777" w:rsidTr="003F6975">
        <w:trPr>
          <w:cantSplit/>
        </w:trPr>
        <w:tc>
          <w:tcPr>
            <w:tcW w:w="1617" w:type="dxa"/>
            <w:gridSpan w:val="3"/>
            <w:tcBorders>
              <w:bottom w:val="single" w:sz="8" w:space="0" w:color="auto"/>
            </w:tcBorders>
          </w:tcPr>
          <w:p w14:paraId="7A7BD40E" w14:textId="77777777" w:rsidR="00C44FDC" w:rsidRPr="00C44FDC" w:rsidRDefault="00C44FDC" w:rsidP="00C44FDC">
            <w:pPr>
              <w:rPr>
                <w:b/>
                <w:bCs/>
                <w:szCs w:val="24"/>
              </w:rPr>
            </w:pPr>
            <w:bookmarkStart w:id="9" w:name="dpurpose" w:colFirst="1" w:colLast="1"/>
            <w:bookmarkEnd w:id="8"/>
            <w:r w:rsidRPr="00C44FDC">
              <w:rPr>
                <w:b/>
                <w:bCs/>
                <w:szCs w:val="24"/>
              </w:rPr>
              <w:t>Purpose:</w:t>
            </w:r>
          </w:p>
        </w:tc>
        <w:tc>
          <w:tcPr>
            <w:tcW w:w="8306" w:type="dxa"/>
            <w:gridSpan w:val="2"/>
            <w:tcBorders>
              <w:bottom w:val="single" w:sz="8" w:space="0" w:color="auto"/>
            </w:tcBorders>
          </w:tcPr>
          <w:p w14:paraId="7B830382" w14:textId="235DCD8A" w:rsidR="00C44FDC" w:rsidRPr="00C44FDC" w:rsidRDefault="00C44FDC" w:rsidP="00C44FDC">
            <w:pPr>
              <w:rPr>
                <w:szCs w:val="24"/>
              </w:rPr>
            </w:pPr>
            <w:r w:rsidRPr="00C44FDC">
              <w:rPr>
                <w:szCs w:val="24"/>
              </w:rPr>
              <w:t>Information</w:t>
            </w:r>
          </w:p>
        </w:tc>
      </w:tr>
      <w:bookmarkEnd w:id="1"/>
      <w:bookmarkEnd w:id="9"/>
      <w:tr w:rsidR="006944F8" w:rsidRPr="00B768C5" w14:paraId="7D7943CD" w14:textId="77777777" w:rsidTr="5F2B6CF0">
        <w:trPr>
          <w:cantSplit/>
        </w:trPr>
        <w:tc>
          <w:tcPr>
            <w:tcW w:w="1607" w:type="dxa"/>
            <w:gridSpan w:val="2"/>
            <w:tcBorders>
              <w:top w:val="single" w:sz="8" w:space="0" w:color="auto"/>
              <w:bottom w:val="single" w:sz="8" w:space="0" w:color="auto"/>
            </w:tcBorders>
          </w:tcPr>
          <w:p w14:paraId="00649E44" w14:textId="77777777" w:rsidR="006944F8" w:rsidRPr="00754A77" w:rsidRDefault="006944F8" w:rsidP="001C37A8">
            <w:pPr>
              <w:rPr>
                <w:rFonts w:eastAsiaTheme="minorEastAsia"/>
                <w:b/>
                <w:bCs/>
                <w:lang w:val="en-GB"/>
              </w:rPr>
            </w:pPr>
            <w:r w:rsidRPr="00754A77">
              <w:rPr>
                <w:rFonts w:eastAsiaTheme="minorEastAsia"/>
                <w:b/>
                <w:bCs/>
                <w:lang w:val="en-GB"/>
              </w:rPr>
              <w:t>Contact:</w:t>
            </w:r>
          </w:p>
        </w:tc>
        <w:tc>
          <w:tcPr>
            <w:tcW w:w="3636" w:type="dxa"/>
            <w:gridSpan w:val="2"/>
            <w:tcBorders>
              <w:top w:val="single" w:sz="8" w:space="0" w:color="auto"/>
              <w:bottom w:val="single" w:sz="8" w:space="0" w:color="auto"/>
            </w:tcBorders>
          </w:tcPr>
          <w:p w14:paraId="2F1836B3" w14:textId="7A9728E7" w:rsidR="006944F8" w:rsidRPr="00754A77" w:rsidRDefault="006944F8" w:rsidP="001C37A8">
            <w:pPr>
              <w:rPr>
                <w:rFonts w:eastAsiaTheme="minorEastAsia"/>
                <w:lang w:val="en-GB"/>
              </w:rPr>
            </w:pPr>
            <w:r w:rsidRPr="00754A77">
              <w:rPr>
                <w:rFonts w:eastAsiaTheme="minorEastAsia"/>
                <w:lang w:val="en-GB"/>
              </w:rPr>
              <w:t>TSB</w:t>
            </w:r>
          </w:p>
        </w:tc>
        <w:tc>
          <w:tcPr>
            <w:tcW w:w="4680" w:type="dxa"/>
            <w:tcBorders>
              <w:top w:val="single" w:sz="8" w:space="0" w:color="auto"/>
              <w:bottom w:val="single" w:sz="8" w:space="0" w:color="auto"/>
            </w:tcBorders>
          </w:tcPr>
          <w:p w14:paraId="4EF73A02" w14:textId="2C625872" w:rsidR="006944F8" w:rsidRPr="007F20DF" w:rsidRDefault="006944F8" w:rsidP="00C44FDC">
            <w:pPr>
              <w:spacing w:after="40"/>
              <w:rPr>
                <w:rFonts w:eastAsiaTheme="minorEastAsia"/>
                <w:lang w:val="it-IT"/>
              </w:rPr>
            </w:pPr>
            <w:r w:rsidRPr="007F20DF">
              <w:rPr>
                <w:rFonts w:eastAsiaTheme="minorEastAsia"/>
                <w:lang w:val="it-IT"/>
              </w:rPr>
              <w:t xml:space="preserve">E-mail: </w:t>
            </w:r>
            <w:hyperlink r:id="rId12" w:history="1">
              <w:r w:rsidR="00C44FDC" w:rsidRPr="003E35EF">
                <w:rPr>
                  <w:rStyle w:val="Hyperlink"/>
                  <w:rFonts w:eastAsiaTheme="minorEastAsia"/>
                  <w:lang w:val="it-IT"/>
                </w:rPr>
                <w:t>tsbtsag@itu.int</w:t>
              </w:r>
            </w:hyperlink>
            <w:r w:rsidR="00C44FDC">
              <w:rPr>
                <w:rFonts w:eastAsiaTheme="minorEastAsia"/>
                <w:lang w:val="it-IT"/>
              </w:rPr>
              <w:t xml:space="preserve"> </w:t>
            </w:r>
          </w:p>
        </w:tc>
      </w:tr>
    </w:tbl>
    <w:p w14:paraId="302B10F3" w14:textId="77777777" w:rsidR="006944F8" w:rsidRPr="007F20DF" w:rsidRDefault="006944F8" w:rsidP="006944F8">
      <w:pPr>
        <w:rPr>
          <w:lang w:val="it-IT"/>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754A77" w14:paraId="2AEC0594" w14:textId="77777777" w:rsidTr="0075799C">
        <w:trPr>
          <w:cantSplit/>
        </w:trPr>
        <w:tc>
          <w:tcPr>
            <w:tcW w:w="1607" w:type="dxa"/>
          </w:tcPr>
          <w:p w14:paraId="7F360F51" w14:textId="77777777" w:rsidR="006944F8" w:rsidRPr="00754A77" w:rsidRDefault="006944F8" w:rsidP="00071381">
            <w:pPr>
              <w:rPr>
                <w:rFonts w:eastAsiaTheme="minorEastAsia"/>
                <w:b/>
                <w:bCs/>
                <w:lang w:val="en-GB"/>
              </w:rPr>
            </w:pPr>
            <w:r w:rsidRPr="00754A77">
              <w:rPr>
                <w:rFonts w:eastAsiaTheme="minorEastAsia"/>
                <w:b/>
                <w:bCs/>
                <w:lang w:val="en-GB"/>
              </w:rPr>
              <w:t>Keywords:</w:t>
            </w:r>
          </w:p>
        </w:tc>
        <w:tc>
          <w:tcPr>
            <w:tcW w:w="8316" w:type="dxa"/>
          </w:tcPr>
          <w:p w14:paraId="57F69CD9" w14:textId="7486E1AB" w:rsidR="006944F8" w:rsidRPr="00754A77" w:rsidRDefault="006944F8" w:rsidP="00071381">
            <w:pPr>
              <w:rPr>
                <w:rFonts w:eastAsiaTheme="minorEastAsia"/>
                <w:lang w:val="en-GB"/>
              </w:rPr>
            </w:pPr>
            <w:r w:rsidRPr="00754A77">
              <w:rPr>
                <w:lang w:val="en-GB"/>
              </w:rPr>
              <w:t>Standardization; Study Groups; activity report; key results</w:t>
            </w:r>
            <w:r w:rsidR="0075799C" w:rsidRPr="00754A77">
              <w:rPr>
                <w:lang w:val="en-GB"/>
              </w:rPr>
              <w:t>;</w:t>
            </w:r>
          </w:p>
        </w:tc>
      </w:tr>
      <w:tr w:rsidR="006944F8" w:rsidRPr="00656355" w14:paraId="109E832D" w14:textId="77777777" w:rsidTr="0075799C">
        <w:trPr>
          <w:cantSplit/>
        </w:trPr>
        <w:tc>
          <w:tcPr>
            <w:tcW w:w="1607" w:type="dxa"/>
          </w:tcPr>
          <w:p w14:paraId="3B9EC2F3" w14:textId="77777777" w:rsidR="006944F8" w:rsidRPr="00754A77" w:rsidRDefault="006944F8" w:rsidP="00071381">
            <w:pPr>
              <w:rPr>
                <w:rFonts w:eastAsiaTheme="minorEastAsia"/>
                <w:b/>
                <w:bCs/>
                <w:lang w:val="en-GB"/>
              </w:rPr>
            </w:pPr>
            <w:r w:rsidRPr="00754A77">
              <w:rPr>
                <w:rFonts w:eastAsiaTheme="minorEastAsia"/>
                <w:b/>
                <w:bCs/>
                <w:lang w:val="en-GB"/>
              </w:rPr>
              <w:t>Abstract:</w:t>
            </w:r>
          </w:p>
        </w:tc>
        <w:sdt>
          <w:sdtPr>
            <w:rPr>
              <w:color w:val="2B579A"/>
              <w:shd w:val="clear" w:color="auto" w:fill="E6E6E6"/>
              <w:lang w:val="en-GB"/>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54A9C95B" w14:textId="13D1A91E" w:rsidR="006944F8" w:rsidRPr="00754A77" w:rsidRDefault="0037553F" w:rsidP="00AE16FE">
                <w:pPr>
                  <w:rPr>
                    <w:rFonts w:eastAsiaTheme="minorEastAsia"/>
                    <w:lang w:val="en-GB"/>
                  </w:rPr>
                </w:pPr>
                <w:r w:rsidRPr="00754A77" w:rsidDel="0033393D">
                  <w:rPr>
                    <w:lang w:val="en-GB"/>
                  </w:rPr>
                  <w:t xml:space="preserve">This report </w:t>
                </w:r>
                <w:r w:rsidRPr="00754A77">
                  <w:rPr>
                    <w:lang w:val="en-GB"/>
                  </w:rPr>
                  <w:t xml:space="preserve">summarizes progress achieved </w:t>
                </w:r>
                <w:r w:rsidRPr="00754A77" w:rsidDel="0033393D">
                  <w:rPr>
                    <w:lang w:val="en-GB"/>
                  </w:rPr>
                  <w:t xml:space="preserve">ITU-T standardization from </w:t>
                </w:r>
                <w:r w:rsidR="00A21866">
                  <w:rPr>
                    <w:lang w:val="en-GB"/>
                  </w:rPr>
                  <w:t>January</w:t>
                </w:r>
                <w:r w:rsidR="00754A77" w:rsidRPr="00754A77">
                  <w:rPr>
                    <w:lang w:val="en-GB"/>
                  </w:rPr>
                  <w:t xml:space="preserve"> </w:t>
                </w:r>
                <w:r w:rsidRPr="00754A77" w:rsidDel="0033393D">
                  <w:rPr>
                    <w:lang w:val="en-GB"/>
                  </w:rPr>
                  <w:t xml:space="preserve">to </w:t>
                </w:r>
                <w:r w:rsidR="00A21866">
                  <w:rPr>
                    <w:lang w:val="en-GB"/>
                  </w:rPr>
                  <w:t xml:space="preserve">August </w:t>
                </w:r>
                <w:r w:rsidR="00754A77" w:rsidRPr="00754A77">
                  <w:rPr>
                    <w:lang w:val="en-GB"/>
                  </w:rPr>
                  <w:t>20</w:t>
                </w:r>
                <w:r w:rsidR="00A21866">
                  <w:rPr>
                    <w:lang w:val="en-GB"/>
                  </w:rPr>
                  <w:t>20</w:t>
                </w:r>
                <w:r w:rsidRPr="00754A77" w:rsidDel="0033393D">
                  <w:rPr>
                    <w:lang w:val="en-GB"/>
                  </w:rPr>
                  <w:t>, as well as measures taken by TSB to enhance the ITU-T standardization platform.</w:t>
                </w:r>
              </w:p>
            </w:tc>
          </w:sdtContent>
        </w:sdt>
      </w:tr>
    </w:tbl>
    <w:p w14:paraId="5B7D36C9" w14:textId="0E9894B8" w:rsidR="001C37A8" w:rsidRDefault="00AE16FE" w:rsidP="0007275C">
      <w:pPr>
        <w:rPr>
          <w:highlight w:val="yellow"/>
          <w:lang w:val="en-GB"/>
        </w:rPr>
      </w:pPr>
      <w:r>
        <w:rPr>
          <w:highlight w:val="yellow"/>
          <w:lang w:val="en-GB"/>
        </w:rPr>
        <w:t xml:space="preserve">Status: </w:t>
      </w:r>
      <w:r w:rsidR="004F44CF">
        <w:rPr>
          <w:highlight w:val="yellow"/>
          <w:lang w:val="en-GB"/>
        </w:rPr>
        <w:t>1</w:t>
      </w:r>
      <w:r w:rsidR="006D4E6C">
        <w:rPr>
          <w:highlight w:val="yellow"/>
          <w:lang w:val="en-GB"/>
        </w:rPr>
        <w:t>5</w:t>
      </w:r>
      <w:r w:rsidR="008B6776">
        <w:rPr>
          <w:highlight w:val="yellow"/>
          <w:lang w:val="en-GB"/>
        </w:rPr>
        <w:t xml:space="preserve"> September</w:t>
      </w:r>
      <w:r w:rsidR="00CE77C5">
        <w:rPr>
          <w:highlight w:val="yellow"/>
          <w:lang w:val="en-GB"/>
        </w:rPr>
        <w:t xml:space="preserve"> </w:t>
      </w:r>
      <w:r w:rsidR="00955DF9">
        <w:rPr>
          <w:highlight w:val="yellow"/>
          <w:lang w:val="en-GB"/>
        </w:rPr>
        <w:t>20</w:t>
      </w:r>
      <w:r w:rsidR="008043FA">
        <w:rPr>
          <w:highlight w:val="yellow"/>
          <w:lang w:val="en-GB"/>
        </w:rPr>
        <w:t>20</w:t>
      </w:r>
      <w:r w:rsidR="00955DF9">
        <w:rPr>
          <w:highlight w:val="yellow"/>
          <w:lang w:val="en-GB"/>
        </w:rPr>
        <w:t>.</w:t>
      </w:r>
    </w:p>
    <w:p w14:paraId="28DD5614" w14:textId="77777777" w:rsidR="00136E7B" w:rsidRPr="00AF01F0" w:rsidRDefault="00136E7B" w:rsidP="00136E7B">
      <w:pPr>
        <w:pageBreakBefore/>
        <w:jc w:val="center"/>
        <w:rPr>
          <w:lang w:val="en-GB"/>
        </w:rPr>
      </w:pPr>
      <w:bookmarkStart w:id="10" w:name="_Toc480527885"/>
      <w:bookmarkStart w:id="11" w:name="_Toc27414121"/>
      <w:bookmarkStart w:id="12" w:name="_Toc261186391"/>
      <w:r w:rsidRPr="00AF01F0">
        <w:rPr>
          <w:lang w:val="en-GB"/>
        </w:rPr>
        <w:lastRenderedPageBreak/>
        <w:t>CONTENTS</w:t>
      </w:r>
    </w:p>
    <w:p w14:paraId="4E3C0413" w14:textId="61F9DBBC" w:rsidR="00136E7B" w:rsidRPr="00AF01F0" w:rsidRDefault="00136E7B" w:rsidP="00136E7B">
      <w:pPr>
        <w:ind w:right="567"/>
        <w:jc w:val="right"/>
        <w:rPr>
          <w:lang w:val="en-GB"/>
        </w:rPr>
      </w:pPr>
      <w:r w:rsidRPr="00AF01F0">
        <w:rPr>
          <w:lang w:val="en-GB"/>
        </w:rPr>
        <w:t>Page</w:t>
      </w:r>
    </w:p>
    <w:p w14:paraId="6E366050" w14:textId="5BD6C76A" w:rsidR="00917FAF" w:rsidRDefault="00136E7B">
      <w:pPr>
        <w:pStyle w:val="TOC1"/>
        <w:rPr>
          <w:rFonts w:asciiTheme="minorHAnsi" w:eastAsiaTheme="minorEastAsia" w:hAnsiTheme="minorHAnsi" w:cstheme="minorBidi"/>
          <w:noProof/>
          <w:sz w:val="22"/>
          <w:szCs w:val="22"/>
        </w:rPr>
      </w:pPr>
      <w:r w:rsidRPr="00656355">
        <w:rPr>
          <w:rFonts w:asciiTheme="majorBidi" w:eastAsia="Malgun Gothic" w:hAnsiTheme="majorBidi" w:cstheme="majorBidi"/>
          <w:color w:val="2B579A"/>
          <w:highlight w:val="yellow"/>
          <w:shd w:val="clear" w:color="auto" w:fill="E6E6E6"/>
          <w:lang w:val="en-GB" w:eastAsia="ko-KR"/>
        </w:rPr>
        <w:fldChar w:fldCharType="begin"/>
      </w:r>
      <w:r w:rsidRPr="00656355">
        <w:rPr>
          <w:rFonts w:asciiTheme="majorBidi" w:eastAsia="Malgun Gothic" w:hAnsiTheme="majorBidi" w:cstheme="majorBidi"/>
          <w:highlight w:val="yellow"/>
          <w:lang w:val="en-GB" w:eastAsia="ko-KR"/>
        </w:rPr>
        <w:instrText xml:space="preserve"> TOC \o "1-2" \h \z \t "Heading 1,1,Annex_No &amp; title,1,Appendix_No &amp; title,1,Heading 1 Centered,1" </w:instrText>
      </w:r>
      <w:r w:rsidRPr="00656355">
        <w:rPr>
          <w:rFonts w:asciiTheme="majorBidi" w:eastAsia="Malgun Gothic" w:hAnsiTheme="majorBidi" w:cstheme="majorBidi"/>
          <w:color w:val="2B579A"/>
          <w:highlight w:val="yellow"/>
          <w:shd w:val="clear" w:color="auto" w:fill="E6E6E6"/>
          <w:lang w:val="en-GB" w:eastAsia="ko-KR"/>
        </w:rPr>
        <w:fldChar w:fldCharType="separate"/>
      </w:r>
      <w:hyperlink w:anchor="_Toc51331482" w:history="1">
        <w:r w:rsidR="00917FAF" w:rsidRPr="006E14FE">
          <w:rPr>
            <w:rStyle w:val="Hyperlink"/>
            <w:rFonts w:ascii="SimSun" w:eastAsia="SimSun" w:hAnsi="SimSun" w:cs="SimSun" w:hint="eastAsia"/>
            <w:noProof/>
          </w:rPr>
          <w:t>内容提要</w:t>
        </w:r>
        <w:r w:rsidR="00917FAF">
          <w:rPr>
            <w:noProof/>
            <w:webHidden/>
          </w:rPr>
          <w:tab/>
        </w:r>
        <w:r w:rsidR="00917FAF">
          <w:rPr>
            <w:noProof/>
            <w:webHidden/>
          </w:rPr>
          <w:tab/>
        </w:r>
        <w:r w:rsidR="00917FAF">
          <w:rPr>
            <w:noProof/>
            <w:webHidden/>
          </w:rPr>
          <w:fldChar w:fldCharType="begin"/>
        </w:r>
        <w:r w:rsidR="00917FAF">
          <w:rPr>
            <w:noProof/>
            <w:webHidden/>
          </w:rPr>
          <w:instrText xml:space="preserve"> PAGEREF _Toc51331482 \h </w:instrText>
        </w:r>
        <w:r w:rsidR="00917FAF">
          <w:rPr>
            <w:noProof/>
            <w:webHidden/>
          </w:rPr>
        </w:r>
        <w:r w:rsidR="00917FAF">
          <w:rPr>
            <w:noProof/>
            <w:webHidden/>
          </w:rPr>
          <w:fldChar w:fldCharType="separate"/>
        </w:r>
        <w:r w:rsidR="00917FAF">
          <w:rPr>
            <w:noProof/>
            <w:webHidden/>
          </w:rPr>
          <w:t>4</w:t>
        </w:r>
        <w:r w:rsidR="00917FAF">
          <w:rPr>
            <w:noProof/>
            <w:webHidden/>
          </w:rPr>
          <w:fldChar w:fldCharType="end"/>
        </w:r>
      </w:hyperlink>
    </w:p>
    <w:p w14:paraId="3719DE64" w14:textId="4B333D43" w:rsidR="00917FAF" w:rsidRDefault="00E12FA7">
      <w:pPr>
        <w:pStyle w:val="TOC1"/>
        <w:rPr>
          <w:rFonts w:asciiTheme="minorHAnsi" w:eastAsiaTheme="minorEastAsia" w:hAnsiTheme="minorHAnsi" w:cstheme="minorBidi"/>
          <w:noProof/>
          <w:sz w:val="22"/>
          <w:szCs w:val="22"/>
        </w:rPr>
      </w:pPr>
      <w:hyperlink w:anchor="_Toc51331483" w:history="1">
        <w:r w:rsidR="00917FAF" w:rsidRPr="006E14FE">
          <w:rPr>
            <w:rStyle w:val="Hyperlink"/>
            <w:noProof/>
          </w:rPr>
          <w:t>Annex – Full Report of activities in ITU-T (from January to August 2020)</w:t>
        </w:r>
        <w:r w:rsidR="00917FAF">
          <w:rPr>
            <w:noProof/>
            <w:webHidden/>
          </w:rPr>
          <w:tab/>
        </w:r>
        <w:r w:rsidR="00917FAF">
          <w:rPr>
            <w:noProof/>
            <w:webHidden/>
          </w:rPr>
          <w:fldChar w:fldCharType="begin"/>
        </w:r>
        <w:r w:rsidR="00917FAF">
          <w:rPr>
            <w:noProof/>
            <w:webHidden/>
          </w:rPr>
          <w:instrText xml:space="preserve"> PAGEREF _Toc51331483 \h </w:instrText>
        </w:r>
        <w:r w:rsidR="00917FAF">
          <w:rPr>
            <w:noProof/>
            <w:webHidden/>
          </w:rPr>
        </w:r>
        <w:r w:rsidR="00917FAF">
          <w:rPr>
            <w:noProof/>
            <w:webHidden/>
          </w:rPr>
          <w:fldChar w:fldCharType="separate"/>
        </w:r>
        <w:r w:rsidR="00917FAF">
          <w:rPr>
            <w:noProof/>
            <w:webHidden/>
          </w:rPr>
          <w:t>9</w:t>
        </w:r>
        <w:r w:rsidR="00917FAF">
          <w:rPr>
            <w:noProof/>
            <w:webHidden/>
          </w:rPr>
          <w:fldChar w:fldCharType="end"/>
        </w:r>
      </w:hyperlink>
    </w:p>
    <w:p w14:paraId="76756995" w14:textId="7147F836" w:rsidR="00917FAF" w:rsidRDefault="00E12FA7">
      <w:pPr>
        <w:pStyle w:val="TOC1"/>
        <w:rPr>
          <w:rFonts w:asciiTheme="minorHAnsi" w:eastAsiaTheme="minorEastAsia" w:hAnsiTheme="minorHAnsi" w:cstheme="minorBidi"/>
          <w:noProof/>
          <w:sz w:val="22"/>
          <w:szCs w:val="22"/>
        </w:rPr>
      </w:pPr>
      <w:hyperlink w:anchor="_Toc51331484" w:history="1">
        <w:r w:rsidR="00917FAF" w:rsidRPr="006E14FE">
          <w:rPr>
            <w:rStyle w:val="Hyperlink"/>
            <w:noProof/>
          </w:rPr>
          <w:t>1</w:t>
        </w:r>
        <w:r w:rsidR="00917FAF">
          <w:rPr>
            <w:rFonts w:asciiTheme="minorHAnsi" w:eastAsiaTheme="minorEastAsia" w:hAnsiTheme="minorHAnsi" w:cstheme="minorBidi"/>
            <w:noProof/>
            <w:sz w:val="22"/>
            <w:szCs w:val="22"/>
          </w:rPr>
          <w:tab/>
        </w:r>
        <w:r w:rsidR="00917FAF" w:rsidRPr="006E14FE">
          <w:rPr>
            <w:rStyle w:val="Hyperlink"/>
            <w:noProof/>
          </w:rPr>
          <w:t>Selection of achievements in ITU-T standardization</w:t>
        </w:r>
        <w:r w:rsidR="00917FAF">
          <w:rPr>
            <w:noProof/>
            <w:webHidden/>
          </w:rPr>
          <w:tab/>
        </w:r>
        <w:r w:rsidR="00917FAF">
          <w:rPr>
            <w:noProof/>
            <w:webHidden/>
          </w:rPr>
          <w:fldChar w:fldCharType="begin"/>
        </w:r>
        <w:r w:rsidR="00917FAF">
          <w:rPr>
            <w:noProof/>
            <w:webHidden/>
          </w:rPr>
          <w:instrText xml:space="preserve"> PAGEREF _Toc51331484 \h </w:instrText>
        </w:r>
        <w:r w:rsidR="00917FAF">
          <w:rPr>
            <w:noProof/>
            <w:webHidden/>
          </w:rPr>
        </w:r>
        <w:r w:rsidR="00917FAF">
          <w:rPr>
            <w:noProof/>
            <w:webHidden/>
          </w:rPr>
          <w:fldChar w:fldCharType="separate"/>
        </w:r>
        <w:r w:rsidR="00917FAF">
          <w:rPr>
            <w:noProof/>
            <w:webHidden/>
          </w:rPr>
          <w:t>9</w:t>
        </w:r>
        <w:r w:rsidR="00917FAF">
          <w:rPr>
            <w:noProof/>
            <w:webHidden/>
          </w:rPr>
          <w:fldChar w:fldCharType="end"/>
        </w:r>
      </w:hyperlink>
    </w:p>
    <w:p w14:paraId="11606F5E" w14:textId="133C2038" w:rsidR="00917FAF" w:rsidRDefault="00E12FA7">
      <w:pPr>
        <w:pStyle w:val="TOC1"/>
        <w:rPr>
          <w:rFonts w:asciiTheme="minorHAnsi" w:eastAsiaTheme="minorEastAsia" w:hAnsiTheme="minorHAnsi" w:cstheme="minorBidi"/>
          <w:noProof/>
          <w:sz w:val="22"/>
          <w:szCs w:val="22"/>
        </w:rPr>
      </w:pPr>
      <w:hyperlink w:anchor="_Toc51331485" w:history="1">
        <w:r w:rsidR="00917FAF" w:rsidRPr="006E14FE">
          <w:rPr>
            <w:rStyle w:val="Hyperlink"/>
            <w:noProof/>
          </w:rPr>
          <w:t>2</w:t>
        </w:r>
        <w:r w:rsidR="00917FAF">
          <w:rPr>
            <w:rFonts w:asciiTheme="minorHAnsi" w:eastAsiaTheme="minorEastAsia" w:hAnsiTheme="minorHAnsi" w:cstheme="minorBidi"/>
            <w:noProof/>
            <w:sz w:val="22"/>
            <w:szCs w:val="22"/>
          </w:rPr>
          <w:tab/>
        </w:r>
        <w:r w:rsidR="00917FAF" w:rsidRPr="006E14FE">
          <w:rPr>
            <w:rStyle w:val="Hyperlink"/>
            <w:noProof/>
          </w:rPr>
          <w:t>ITU-T under COVID-19</w:t>
        </w:r>
        <w:r w:rsidR="00917FAF">
          <w:rPr>
            <w:noProof/>
            <w:webHidden/>
          </w:rPr>
          <w:tab/>
        </w:r>
        <w:r w:rsidR="00917FAF">
          <w:rPr>
            <w:noProof/>
            <w:webHidden/>
          </w:rPr>
          <w:fldChar w:fldCharType="begin"/>
        </w:r>
        <w:r w:rsidR="00917FAF">
          <w:rPr>
            <w:noProof/>
            <w:webHidden/>
          </w:rPr>
          <w:instrText xml:space="preserve"> PAGEREF _Toc51331485 \h </w:instrText>
        </w:r>
        <w:r w:rsidR="00917FAF">
          <w:rPr>
            <w:noProof/>
            <w:webHidden/>
          </w:rPr>
        </w:r>
        <w:r w:rsidR="00917FAF">
          <w:rPr>
            <w:noProof/>
            <w:webHidden/>
          </w:rPr>
          <w:fldChar w:fldCharType="separate"/>
        </w:r>
        <w:r w:rsidR="00917FAF">
          <w:rPr>
            <w:noProof/>
            <w:webHidden/>
          </w:rPr>
          <w:t>12</w:t>
        </w:r>
        <w:r w:rsidR="00917FAF">
          <w:rPr>
            <w:noProof/>
            <w:webHidden/>
          </w:rPr>
          <w:fldChar w:fldCharType="end"/>
        </w:r>
      </w:hyperlink>
    </w:p>
    <w:p w14:paraId="3B9D34E7" w14:textId="37BC4EDB" w:rsidR="00917FAF" w:rsidRDefault="00E12FA7">
      <w:pPr>
        <w:pStyle w:val="TOC1"/>
        <w:rPr>
          <w:rFonts w:asciiTheme="minorHAnsi" w:eastAsiaTheme="minorEastAsia" w:hAnsiTheme="minorHAnsi" w:cstheme="minorBidi"/>
          <w:noProof/>
          <w:sz w:val="22"/>
          <w:szCs w:val="22"/>
        </w:rPr>
      </w:pPr>
      <w:hyperlink w:anchor="_Toc51331486" w:history="1">
        <w:r w:rsidR="00917FAF" w:rsidRPr="006E14FE">
          <w:rPr>
            <w:rStyle w:val="Hyperlink"/>
            <w:noProof/>
          </w:rPr>
          <w:t>3</w:t>
        </w:r>
        <w:r w:rsidR="00917FAF">
          <w:rPr>
            <w:rFonts w:asciiTheme="minorHAnsi" w:eastAsiaTheme="minorEastAsia" w:hAnsiTheme="minorHAnsi" w:cstheme="minorBidi"/>
            <w:noProof/>
            <w:sz w:val="22"/>
            <w:szCs w:val="22"/>
          </w:rPr>
          <w:tab/>
        </w:r>
        <w:r w:rsidR="00917FAF" w:rsidRPr="006E14FE">
          <w:rPr>
            <w:rStyle w:val="Hyperlink"/>
            <w:noProof/>
          </w:rPr>
          <w:t>Conformity, interoperability and testing</w:t>
        </w:r>
        <w:r w:rsidR="00917FAF">
          <w:rPr>
            <w:noProof/>
            <w:webHidden/>
          </w:rPr>
          <w:tab/>
        </w:r>
        <w:r w:rsidR="00917FAF">
          <w:rPr>
            <w:noProof/>
            <w:webHidden/>
          </w:rPr>
          <w:fldChar w:fldCharType="begin"/>
        </w:r>
        <w:r w:rsidR="00917FAF">
          <w:rPr>
            <w:noProof/>
            <w:webHidden/>
          </w:rPr>
          <w:instrText xml:space="preserve"> PAGEREF _Toc51331486 \h </w:instrText>
        </w:r>
        <w:r w:rsidR="00917FAF">
          <w:rPr>
            <w:noProof/>
            <w:webHidden/>
          </w:rPr>
        </w:r>
        <w:r w:rsidR="00917FAF">
          <w:rPr>
            <w:noProof/>
            <w:webHidden/>
          </w:rPr>
          <w:fldChar w:fldCharType="separate"/>
        </w:r>
        <w:r w:rsidR="00917FAF">
          <w:rPr>
            <w:noProof/>
            <w:webHidden/>
          </w:rPr>
          <w:t>15</w:t>
        </w:r>
        <w:r w:rsidR="00917FAF">
          <w:rPr>
            <w:noProof/>
            <w:webHidden/>
          </w:rPr>
          <w:fldChar w:fldCharType="end"/>
        </w:r>
      </w:hyperlink>
    </w:p>
    <w:p w14:paraId="19034DE6" w14:textId="6674793A" w:rsidR="00917FAF" w:rsidRDefault="00E12FA7">
      <w:pPr>
        <w:pStyle w:val="TOC2"/>
        <w:rPr>
          <w:rFonts w:asciiTheme="minorHAnsi" w:eastAsiaTheme="minorEastAsia" w:hAnsiTheme="minorHAnsi" w:cstheme="minorBidi"/>
          <w:noProof/>
          <w:sz w:val="22"/>
          <w:szCs w:val="22"/>
        </w:rPr>
      </w:pPr>
      <w:hyperlink w:anchor="_Toc51331487" w:history="1">
        <w:r w:rsidR="00917FAF" w:rsidRPr="006E14FE">
          <w:rPr>
            <w:rStyle w:val="Hyperlink"/>
            <w:noProof/>
          </w:rPr>
          <w:t>3.1</w:t>
        </w:r>
        <w:r w:rsidR="00917FAF">
          <w:rPr>
            <w:rFonts w:asciiTheme="minorHAnsi" w:eastAsiaTheme="minorEastAsia" w:hAnsiTheme="minorHAnsi" w:cstheme="minorBidi"/>
            <w:noProof/>
            <w:sz w:val="22"/>
            <w:szCs w:val="22"/>
          </w:rPr>
          <w:tab/>
        </w:r>
        <w:r w:rsidR="00917FAF" w:rsidRPr="006E14FE">
          <w:rPr>
            <w:rStyle w:val="Hyperlink"/>
            <w:noProof/>
          </w:rPr>
          <w:t>Conformity Assessment Steering Committee (CASC)</w:t>
        </w:r>
        <w:r w:rsidR="00917FAF">
          <w:rPr>
            <w:noProof/>
            <w:webHidden/>
          </w:rPr>
          <w:tab/>
        </w:r>
        <w:r w:rsidR="00917FAF">
          <w:rPr>
            <w:noProof/>
            <w:webHidden/>
          </w:rPr>
          <w:fldChar w:fldCharType="begin"/>
        </w:r>
        <w:r w:rsidR="00917FAF">
          <w:rPr>
            <w:noProof/>
            <w:webHidden/>
          </w:rPr>
          <w:instrText xml:space="preserve"> PAGEREF _Toc51331487 \h </w:instrText>
        </w:r>
        <w:r w:rsidR="00917FAF">
          <w:rPr>
            <w:noProof/>
            <w:webHidden/>
          </w:rPr>
        </w:r>
        <w:r w:rsidR="00917FAF">
          <w:rPr>
            <w:noProof/>
            <w:webHidden/>
          </w:rPr>
          <w:fldChar w:fldCharType="separate"/>
        </w:r>
        <w:r w:rsidR="00917FAF">
          <w:rPr>
            <w:noProof/>
            <w:webHidden/>
          </w:rPr>
          <w:t>15</w:t>
        </w:r>
        <w:r w:rsidR="00917FAF">
          <w:rPr>
            <w:noProof/>
            <w:webHidden/>
          </w:rPr>
          <w:fldChar w:fldCharType="end"/>
        </w:r>
      </w:hyperlink>
    </w:p>
    <w:p w14:paraId="2ED02B13" w14:textId="17BF1278" w:rsidR="00917FAF" w:rsidRDefault="00E12FA7">
      <w:pPr>
        <w:pStyle w:val="TOC2"/>
        <w:rPr>
          <w:rFonts w:asciiTheme="minorHAnsi" w:eastAsiaTheme="minorEastAsia" w:hAnsiTheme="minorHAnsi" w:cstheme="minorBidi"/>
          <w:noProof/>
          <w:sz w:val="22"/>
          <w:szCs w:val="22"/>
        </w:rPr>
      </w:pPr>
      <w:hyperlink w:anchor="_Toc51331488" w:history="1">
        <w:r w:rsidR="00917FAF" w:rsidRPr="006E14FE">
          <w:rPr>
            <w:rStyle w:val="Hyperlink"/>
            <w:noProof/>
          </w:rPr>
          <w:t>3.2</w:t>
        </w:r>
        <w:r w:rsidR="00917FAF">
          <w:rPr>
            <w:rFonts w:asciiTheme="minorHAnsi" w:eastAsiaTheme="minorEastAsia" w:hAnsiTheme="minorHAnsi" w:cstheme="minorBidi"/>
            <w:noProof/>
            <w:sz w:val="22"/>
            <w:szCs w:val="22"/>
          </w:rPr>
          <w:tab/>
        </w:r>
        <w:r w:rsidR="00917FAF" w:rsidRPr="006E14FE">
          <w:rPr>
            <w:rStyle w:val="Hyperlink"/>
            <w:noProof/>
          </w:rPr>
          <w:t>ICT product conformity database</w:t>
        </w:r>
        <w:r w:rsidR="00917FAF">
          <w:rPr>
            <w:noProof/>
            <w:webHidden/>
          </w:rPr>
          <w:tab/>
        </w:r>
        <w:r w:rsidR="00917FAF">
          <w:rPr>
            <w:noProof/>
            <w:webHidden/>
          </w:rPr>
          <w:fldChar w:fldCharType="begin"/>
        </w:r>
        <w:r w:rsidR="00917FAF">
          <w:rPr>
            <w:noProof/>
            <w:webHidden/>
          </w:rPr>
          <w:instrText xml:space="preserve"> PAGEREF _Toc51331488 \h </w:instrText>
        </w:r>
        <w:r w:rsidR="00917FAF">
          <w:rPr>
            <w:noProof/>
            <w:webHidden/>
          </w:rPr>
        </w:r>
        <w:r w:rsidR="00917FAF">
          <w:rPr>
            <w:noProof/>
            <w:webHidden/>
          </w:rPr>
          <w:fldChar w:fldCharType="separate"/>
        </w:r>
        <w:r w:rsidR="00917FAF">
          <w:rPr>
            <w:noProof/>
            <w:webHidden/>
          </w:rPr>
          <w:t>15</w:t>
        </w:r>
        <w:r w:rsidR="00917FAF">
          <w:rPr>
            <w:noProof/>
            <w:webHidden/>
          </w:rPr>
          <w:fldChar w:fldCharType="end"/>
        </w:r>
      </w:hyperlink>
    </w:p>
    <w:p w14:paraId="03114C6D" w14:textId="5F5FBE72" w:rsidR="00917FAF" w:rsidRDefault="00E12FA7">
      <w:pPr>
        <w:pStyle w:val="TOC1"/>
        <w:rPr>
          <w:rFonts w:asciiTheme="minorHAnsi" w:eastAsiaTheme="minorEastAsia" w:hAnsiTheme="minorHAnsi" w:cstheme="minorBidi"/>
          <w:noProof/>
          <w:sz w:val="22"/>
          <w:szCs w:val="22"/>
        </w:rPr>
      </w:pPr>
      <w:hyperlink w:anchor="_Toc51331489" w:history="1">
        <w:r w:rsidR="00917FAF" w:rsidRPr="006E14FE">
          <w:rPr>
            <w:rStyle w:val="Hyperlink"/>
            <w:noProof/>
          </w:rPr>
          <w:t>4</w:t>
        </w:r>
        <w:r w:rsidR="00917FAF">
          <w:rPr>
            <w:rFonts w:asciiTheme="minorHAnsi" w:eastAsiaTheme="minorEastAsia" w:hAnsiTheme="minorHAnsi" w:cstheme="minorBidi"/>
            <w:noProof/>
            <w:sz w:val="22"/>
            <w:szCs w:val="22"/>
          </w:rPr>
          <w:tab/>
        </w:r>
        <w:r w:rsidR="00917FAF" w:rsidRPr="006E14FE">
          <w:rPr>
            <w:rStyle w:val="Hyperlink"/>
            <w:noProof/>
          </w:rPr>
          <w:t>Accessible ITU-T meetings</w:t>
        </w:r>
        <w:r w:rsidR="00917FAF">
          <w:rPr>
            <w:noProof/>
            <w:webHidden/>
          </w:rPr>
          <w:tab/>
        </w:r>
        <w:r w:rsidR="00917FAF">
          <w:rPr>
            <w:noProof/>
            <w:webHidden/>
          </w:rPr>
          <w:fldChar w:fldCharType="begin"/>
        </w:r>
        <w:r w:rsidR="00917FAF">
          <w:rPr>
            <w:noProof/>
            <w:webHidden/>
          </w:rPr>
          <w:instrText xml:space="preserve"> PAGEREF _Toc51331489 \h </w:instrText>
        </w:r>
        <w:r w:rsidR="00917FAF">
          <w:rPr>
            <w:noProof/>
            <w:webHidden/>
          </w:rPr>
        </w:r>
        <w:r w:rsidR="00917FAF">
          <w:rPr>
            <w:noProof/>
            <w:webHidden/>
          </w:rPr>
          <w:fldChar w:fldCharType="separate"/>
        </w:r>
        <w:r w:rsidR="00917FAF">
          <w:rPr>
            <w:noProof/>
            <w:webHidden/>
          </w:rPr>
          <w:t>16</w:t>
        </w:r>
        <w:r w:rsidR="00917FAF">
          <w:rPr>
            <w:noProof/>
            <w:webHidden/>
          </w:rPr>
          <w:fldChar w:fldCharType="end"/>
        </w:r>
      </w:hyperlink>
    </w:p>
    <w:p w14:paraId="49ADA0E1" w14:textId="500FD09E" w:rsidR="00917FAF" w:rsidRDefault="00E12FA7">
      <w:pPr>
        <w:pStyle w:val="TOC1"/>
        <w:rPr>
          <w:rFonts w:asciiTheme="minorHAnsi" w:eastAsiaTheme="minorEastAsia" w:hAnsiTheme="minorHAnsi" w:cstheme="minorBidi"/>
          <w:noProof/>
          <w:sz w:val="22"/>
          <w:szCs w:val="22"/>
        </w:rPr>
      </w:pPr>
      <w:hyperlink w:anchor="_Toc51331490" w:history="1">
        <w:r w:rsidR="00917FAF" w:rsidRPr="006E14FE">
          <w:rPr>
            <w:rStyle w:val="Hyperlink"/>
            <w:noProof/>
          </w:rPr>
          <w:t>5</w:t>
        </w:r>
        <w:r w:rsidR="00917FAF">
          <w:rPr>
            <w:rFonts w:asciiTheme="minorHAnsi" w:eastAsiaTheme="minorEastAsia" w:hAnsiTheme="minorHAnsi" w:cstheme="minorBidi"/>
            <w:noProof/>
            <w:sz w:val="22"/>
            <w:szCs w:val="22"/>
          </w:rPr>
          <w:tab/>
        </w:r>
        <w:r w:rsidR="00917FAF" w:rsidRPr="006E14FE">
          <w:rPr>
            <w:rStyle w:val="Hyperlink"/>
            <w:noProof/>
          </w:rPr>
          <w:t>Intellectual property rights</w:t>
        </w:r>
        <w:r w:rsidR="00917FAF">
          <w:rPr>
            <w:noProof/>
            <w:webHidden/>
          </w:rPr>
          <w:tab/>
        </w:r>
        <w:r w:rsidR="00917FAF">
          <w:rPr>
            <w:noProof/>
            <w:webHidden/>
          </w:rPr>
          <w:fldChar w:fldCharType="begin"/>
        </w:r>
        <w:r w:rsidR="00917FAF">
          <w:rPr>
            <w:noProof/>
            <w:webHidden/>
          </w:rPr>
          <w:instrText xml:space="preserve"> PAGEREF _Toc51331490 \h </w:instrText>
        </w:r>
        <w:r w:rsidR="00917FAF">
          <w:rPr>
            <w:noProof/>
            <w:webHidden/>
          </w:rPr>
        </w:r>
        <w:r w:rsidR="00917FAF">
          <w:rPr>
            <w:noProof/>
            <w:webHidden/>
          </w:rPr>
          <w:fldChar w:fldCharType="separate"/>
        </w:r>
        <w:r w:rsidR="00917FAF">
          <w:rPr>
            <w:noProof/>
            <w:webHidden/>
          </w:rPr>
          <w:t>16</w:t>
        </w:r>
        <w:r w:rsidR="00917FAF">
          <w:rPr>
            <w:noProof/>
            <w:webHidden/>
          </w:rPr>
          <w:fldChar w:fldCharType="end"/>
        </w:r>
      </w:hyperlink>
    </w:p>
    <w:p w14:paraId="2501A2D2" w14:textId="4CD3C28B" w:rsidR="00917FAF" w:rsidRDefault="00E12FA7">
      <w:pPr>
        <w:pStyle w:val="TOC1"/>
        <w:rPr>
          <w:rFonts w:asciiTheme="minorHAnsi" w:eastAsiaTheme="minorEastAsia" w:hAnsiTheme="minorHAnsi" w:cstheme="minorBidi"/>
          <w:noProof/>
          <w:sz w:val="22"/>
          <w:szCs w:val="22"/>
        </w:rPr>
      </w:pPr>
      <w:hyperlink w:anchor="_Toc51331491" w:history="1">
        <w:r w:rsidR="00917FAF" w:rsidRPr="006E14FE">
          <w:rPr>
            <w:rStyle w:val="Hyperlink"/>
            <w:noProof/>
          </w:rPr>
          <w:t>6</w:t>
        </w:r>
        <w:r w:rsidR="00917FAF">
          <w:rPr>
            <w:rFonts w:asciiTheme="minorHAnsi" w:eastAsiaTheme="minorEastAsia" w:hAnsiTheme="minorHAnsi" w:cstheme="minorBidi"/>
            <w:noProof/>
            <w:sz w:val="22"/>
            <w:szCs w:val="22"/>
          </w:rPr>
          <w:tab/>
        </w:r>
        <w:r w:rsidR="00917FAF" w:rsidRPr="006E14FE">
          <w:rPr>
            <w:rStyle w:val="Hyperlink"/>
            <w:noProof/>
          </w:rPr>
          <w:t>ITU-T Focus Groups: Exploring new directions in ITU standardization</w:t>
        </w:r>
        <w:r w:rsidR="00917FAF">
          <w:rPr>
            <w:noProof/>
            <w:webHidden/>
          </w:rPr>
          <w:tab/>
        </w:r>
        <w:r w:rsidR="00917FAF">
          <w:rPr>
            <w:noProof/>
            <w:webHidden/>
          </w:rPr>
          <w:fldChar w:fldCharType="begin"/>
        </w:r>
        <w:r w:rsidR="00917FAF">
          <w:rPr>
            <w:noProof/>
            <w:webHidden/>
          </w:rPr>
          <w:instrText xml:space="preserve"> PAGEREF _Toc51331491 \h </w:instrText>
        </w:r>
        <w:r w:rsidR="00917FAF">
          <w:rPr>
            <w:noProof/>
            <w:webHidden/>
          </w:rPr>
        </w:r>
        <w:r w:rsidR="00917FAF">
          <w:rPr>
            <w:noProof/>
            <w:webHidden/>
          </w:rPr>
          <w:fldChar w:fldCharType="separate"/>
        </w:r>
        <w:r w:rsidR="00917FAF">
          <w:rPr>
            <w:noProof/>
            <w:webHidden/>
          </w:rPr>
          <w:t>17</w:t>
        </w:r>
        <w:r w:rsidR="00917FAF">
          <w:rPr>
            <w:noProof/>
            <w:webHidden/>
          </w:rPr>
          <w:fldChar w:fldCharType="end"/>
        </w:r>
      </w:hyperlink>
    </w:p>
    <w:p w14:paraId="4AD01CEB" w14:textId="52FA44E4" w:rsidR="00917FAF" w:rsidRDefault="00E12FA7">
      <w:pPr>
        <w:pStyle w:val="TOC2"/>
        <w:rPr>
          <w:rFonts w:asciiTheme="minorHAnsi" w:eastAsiaTheme="minorEastAsia" w:hAnsiTheme="minorHAnsi" w:cstheme="minorBidi"/>
          <w:noProof/>
          <w:sz w:val="22"/>
          <w:szCs w:val="22"/>
        </w:rPr>
      </w:pPr>
      <w:hyperlink w:anchor="_Toc51331492" w:history="1">
        <w:r w:rsidR="00917FAF" w:rsidRPr="006E14FE">
          <w:rPr>
            <w:rStyle w:val="Hyperlink"/>
            <w:noProof/>
          </w:rPr>
          <w:t>6.1</w:t>
        </w:r>
        <w:r w:rsidR="00917FAF">
          <w:rPr>
            <w:rFonts w:asciiTheme="minorHAnsi" w:eastAsiaTheme="minorEastAsia" w:hAnsiTheme="minorHAnsi" w:cstheme="minorBidi"/>
            <w:noProof/>
            <w:sz w:val="22"/>
            <w:szCs w:val="22"/>
          </w:rPr>
          <w:tab/>
        </w:r>
        <w:r w:rsidR="00917FAF" w:rsidRPr="006E14FE">
          <w:rPr>
            <w:rStyle w:val="Hyperlink"/>
            <w:noProof/>
          </w:rPr>
          <w:t>Quantum Information Technologies for Networks</w:t>
        </w:r>
        <w:r w:rsidR="00917FAF">
          <w:rPr>
            <w:noProof/>
            <w:webHidden/>
          </w:rPr>
          <w:tab/>
        </w:r>
        <w:r w:rsidR="00917FAF">
          <w:rPr>
            <w:noProof/>
            <w:webHidden/>
          </w:rPr>
          <w:fldChar w:fldCharType="begin"/>
        </w:r>
        <w:r w:rsidR="00917FAF">
          <w:rPr>
            <w:noProof/>
            <w:webHidden/>
          </w:rPr>
          <w:instrText xml:space="preserve"> PAGEREF _Toc51331492 \h </w:instrText>
        </w:r>
        <w:r w:rsidR="00917FAF">
          <w:rPr>
            <w:noProof/>
            <w:webHidden/>
          </w:rPr>
        </w:r>
        <w:r w:rsidR="00917FAF">
          <w:rPr>
            <w:noProof/>
            <w:webHidden/>
          </w:rPr>
          <w:fldChar w:fldCharType="separate"/>
        </w:r>
        <w:r w:rsidR="00917FAF">
          <w:rPr>
            <w:noProof/>
            <w:webHidden/>
          </w:rPr>
          <w:t>17</w:t>
        </w:r>
        <w:r w:rsidR="00917FAF">
          <w:rPr>
            <w:noProof/>
            <w:webHidden/>
          </w:rPr>
          <w:fldChar w:fldCharType="end"/>
        </w:r>
      </w:hyperlink>
    </w:p>
    <w:p w14:paraId="2CF239EA" w14:textId="49347AAA" w:rsidR="00917FAF" w:rsidRDefault="00E12FA7">
      <w:pPr>
        <w:pStyle w:val="TOC2"/>
        <w:rPr>
          <w:rFonts w:asciiTheme="minorHAnsi" w:eastAsiaTheme="minorEastAsia" w:hAnsiTheme="minorHAnsi" w:cstheme="minorBidi"/>
          <w:noProof/>
          <w:sz w:val="22"/>
          <w:szCs w:val="22"/>
        </w:rPr>
      </w:pPr>
      <w:hyperlink w:anchor="_Toc51331493" w:history="1">
        <w:r w:rsidR="00917FAF" w:rsidRPr="006E14FE">
          <w:rPr>
            <w:rStyle w:val="Hyperlink"/>
            <w:noProof/>
          </w:rPr>
          <w:t>6.2</w:t>
        </w:r>
        <w:r w:rsidR="00917FAF">
          <w:rPr>
            <w:rFonts w:asciiTheme="minorHAnsi" w:eastAsiaTheme="minorEastAsia" w:hAnsiTheme="minorHAnsi" w:cstheme="minorBidi"/>
            <w:noProof/>
            <w:sz w:val="22"/>
            <w:szCs w:val="22"/>
          </w:rPr>
          <w:tab/>
        </w:r>
        <w:r w:rsidR="00917FAF" w:rsidRPr="006E14FE">
          <w:rPr>
            <w:rStyle w:val="Hyperlink"/>
            <w:noProof/>
          </w:rPr>
          <w:t>Machine Learning for Future Networks including 5G</w:t>
        </w:r>
        <w:r w:rsidR="00917FAF">
          <w:rPr>
            <w:noProof/>
            <w:webHidden/>
          </w:rPr>
          <w:tab/>
        </w:r>
        <w:r w:rsidR="00917FAF">
          <w:rPr>
            <w:noProof/>
            <w:webHidden/>
          </w:rPr>
          <w:fldChar w:fldCharType="begin"/>
        </w:r>
        <w:r w:rsidR="00917FAF">
          <w:rPr>
            <w:noProof/>
            <w:webHidden/>
          </w:rPr>
          <w:instrText xml:space="preserve"> PAGEREF _Toc51331493 \h </w:instrText>
        </w:r>
        <w:r w:rsidR="00917FAF">
          <w:rPr>
            <w:noProof/>
            <w:webHidden/>
          </w:rPr>
        </w:r>
        <w:r w:rsidR="00917FAF">
          <w:rPr>
            <w:noProof/>
            <w:webHidden/>
          </w:rPr>
          <w:fldChar w:fldCharType="separate"/>
        </w:r>
        <w:r w:rsidR="00917FAF">
          <w:rPr>
            <w:noProof/>
            <w:webHidden/>
          </w:rPr>
          <w:t>17</w:t>
        </w:r>
        <w:r w:rsidR="00917FAF">
          <w:rPr>
            <w:noProof/>
            <w:webHidden/>
          </w:rPr>
          <w:fldChar w:fldCharType="end"/>
        </w:r>
      </w:hyperlink>
    </w:p>
    <w:p w14:paraId="63A497FA" w14:textId="0FC7D2FD" w:rsidR="00917FAF" w:rsidRDefault="00E12FA7">
      <w:pPr>
        <w:pStyle w:val="TOC2"/>
        <w:rPr>
          <w:rFonts w:asciiTheme="minorHAnsi" w:eastAsiaTheme="minorEastAsia" w:hAnsiTheme="minorHAnsi" w:cstheme="minorBidi"/>
          <w:noProof/>
          <w:sz w:val="22"/>
          <w:szCs w:val="22"/>
        </w:rPr>
      </w:pPr>
      <w:hyperlink w:anchor="_Toc51331494" w:history="1">
        <w:r w:rsidR="00917FAF" w:rsidRPr="006E14FE">
          <w:rPr>
            <w:rStyle w:val="Hyperlink"/>
            <w:noProof/>
          </w:rPr>
          <w:t>6.3</w:t>
        </w:r>
        <w:r w:rsidR="00917FAF">
          <w:rPr>
            <w:rFonts w:asciiTheme="minorHAnsi" w:eastAsiaTheme="minorEastAsia" w:hAnsiTheme="minorHAnsi" w:cstheme="minorBidi"/>
            <w:noProof/>
            <w:sz w:val="22"/>
            <w:szCs w:val="22"/>
          </w:rPr>
          <w:tab/>
        </w:r>
        <w:r w:rsidR="00917FAF" w:rsidRPr="006E14FE">
          <w:rPr>
            <w:rStyle w:val="Hyperlink"/>
            <w:noProof/>
          </w:rPr>
          <w:t>Technologies for Network 2030</w:t>
        </w:r>
        <w:r w:rsidR="00917FAF">
          <w:rPr>
            <w:noProof/>
            <w:webHidden/>
          </w:rPr>
          <w:tab/>
        </w:r>
        <w:r w:rsidR="00917FAF">
          <w:rPr>
            <w:noProof/>
            <w:webHidden/>
          </w:rPr>
          <w:fldChar w:fldCharType="begin"/>
        </w:r>
        <w:r w:rsidR="00917FAF">
          <w:rPr>
            <w:noProof/>
            <w:webHidden/>
          </w:rPr>
          <w:instrText xml:space="preserve"> PAGEREF _Toc51331494 \h </w:instrText>
        </w:r>
        <w:r w:rsidR="00917FAF">
          <w:rPr>
            <w:noProof/>
            <w:webHidden/>
          </w:rPr>
        </w:r>
        <w:r w:rsidR="00917FAF">
          <w:rPr>
            <w:noProof/>
            <w:webHidden/>
          </w:rPr>
          <w:fldChar w:fldCharType="separate"/>
        </w:r>
        <w:r w:rsidR="00917FAF">
          <w:rPr>
            <w:noProof/>
            <w:webHidden/>
          </w:rPr>
          <w:t>17</w:t>
        </w:r>
        <w:r w:rsidR="00917FAF">
          <w:rPr>
            <w:noProof/>
            <w:webHidden/>
          </w:rPr>
          <w:fldChar w:fldCharType="end"/>
        </w:r>
      </w:hyperlink>
    </w:p>
    <w:p w14:paraId="3C674715" w14:textId="45347E22" w:rsidR="00917FAF" w:rsidRDefault="00E12FA7">
      <w:pPr>
        <w:pStyle w:val="TOC2"/>
        <w:rPr>
          <w:rFonts w:asciiTheme="minorHAnsi" w:eastAsiaTheme="minorEastAsia" w:hAnsiTheme="minorHAnsi" w:cstheme="minorBidi"/>
          <w:noProof/>
          <w:sz w:val="22"/>
          <w:szCs w:val="22"/>
        </w:rPr>
      </w:pPr>
      <w:hyperlink w:anchor="_Toc51331495" w:history="1">
        <w:r w:rsidR="00917FAF" w:rsidRPr="006E14FE">
          <w:rPr>
            <w:rStyle w:val="Hyperlink"/>
            <w:noProof/>
          </w:rPr>
          <w:t>6.4</w:t>
        </w:r>
        <w:r w:rsidR="00917FAF">
          <w:rPr>
            <w:rFonts w:asciiTheme="minorHAnsi" w:eastAsiaTheme="minorEastAsia" w:hAnsiTheme="minorHAnsi" w:cstheme="minorBidi"/>
            <w:noProof/>
            <w:sz w:val="22"/>
            <w:szCs w:val="22"/>
          </w:rPr>
          <w:tab/>
        </w:r>
        <w:r w:rsidR="00917FAF" w:rsidRPr="006E14FE">
          <w:rPr>
            <w:rStyle w:val="Hyperlink"/>
            <w:noProof/>
          </w:rPr>
          <w:t>AI for Health</w:t>
        </w:r>
        <w:r w:rsidR="00917FAF">
          <w:rPr>
            <w:noProof/>
            <w:webHidden/>
          </w:rPr>
          <w:tab/>
        </w:r>
        <w:r w:rsidR="00917FAF">
          <w:rPr>
            <w:noProof/>
            <w:webHidden/>
          </w:rPr>
          <w:fldChar w:fldCharType="begin"/>
        </w:r>
        <w:r w:rsidR="00917FAF">
          <w:rPr>
            <w:noProof/>
            <w:webHidden/>
          </w:rPr>
          <w:instrText xml:space="preserve"> PAGEREF _Toc51331495 \h </w:instrText>
        </w:r>
        <w:r w:rsidR="00917FAF">
          <w:rPr>
            <w:noProof/>
            <w:webHidden/>
          </w:rPr>
        </w:r>
        <w:r w:rsidR="00917FAF">
          <w:rPr>
            <w:noProof/>
            <w:webHidden/>
          </w:rPr>
          <w:fldChar w:fldCharType="separate"/>
        </w:r>
        <w:r w:rsidR="00917FAF">
          <w:rPr>
            <w:noProof/>
            <w:webHidden/>
          </w:rPr>
          <w:t>18</w:t>
        </w:r>
        <w:r w:rsidR="00917FAF">
          <w:rPr>
            <w:noProof/>
            <w:webHidden/>
          </w:rPr>
          <w:fldChar w:fldCharType="end"/>
        </w:r>
      </w:hyperlink>
    </w:p>
    <w:p w14:paraId="611ED4BB" w14:textId="22C960BA" w:rsidR="00917FAF" w:rsidRDefault="00E12FA7">
      <w:pPr>
        <w:pStyle w:val="TOC2"/>
        <w:rPr>
          <w:rFonts w:asciiTheme="minorHAnsi" w:eastAsiaTheme="minorEastAsia" w:hAnsiTheme="minorHAnsi" w:cstheme="minorBidi"/>
          <w:noProof/>
          <w:sz w:val="22"/>
          <w:szCs w:val="22"/>
        </w:rPr>
      </w:pPr>
      <w:hyperlink w:anchor="_Toc51331496" w:history="1">
        <w:r w:rsidR="00917FAF" w:rsidRPr="006E14FE">
          <w:rPr>
            <w:rStyle w:val="Hyperlink"/>
            <w:noProof/>
          </w:rPr>
          <w:t>6.5</w:t>
        </w:r>
        <w:r w:rsidR="00917FAF">
          <w:rPr>
            <w:rFonts w:asciiTheme="minorHAnsi" w:eastAsiaTheme="minorEastAsia" w:hAnsiTheme="minorHAnsi" w:cstheme="minorBidi"/>
            <w:noProof/>
            <w:sz w:val="22"/>
            <w:szCs w:val="22"/>
          </w:rPr>
          <w:tab/>
        </w:r>
        <w:r w:rsidR="00917FAF" w:rsidRPr="006E14FE">
          <w:rPr>
            <w:rStyle w:val="Hyperlink"/>
            <w:noProof/>
          </w:rPr>
          <w:t>Vehicular Multimedia</w:t>
        </w:r>
        <w:r w:rsidR="00917FAF">
          <w:rPr>
            <w:noProof/>
            <w:webHidden/>
          </w:rPr>
          <w:tab/>
        </w:r>
        <w:r w:rsidR="00917FAF">
          <w:rPr>
            <w:noProof/>
            <w:webHidden/>
          </w:rPr>
          <w:fldChar w:fldCharType="begin"/>
        </w:r>
        <w:r w:rsidR="00917FAF">
          <w:rPr>
            <w:noProof/>
            <w:webHidden/>
          </w:rPr>
          <w:instrText xml:space="preserve"> PAGEREF _Toc51331496 \h </w:instrText>
        </w:r>
        <w:r w:rsidR="00917FAF">
          <w:rPr>
            <w:noProof/>
            <w:webHidden/>
          </w:rPr>
        </w:r>
        <w:r w:rsidR="00917FAF">
          <w:rPr>
            <w:noProof/>
            <w:webHidden/>
          </w:rPr>
          <w:fldChar w:fldCharType="separate"/>
        </w:r>
        <w:r w:rsidR="00917FAF">
          <w:rPr>
            <w:noProof/>
            <w:webHidden/>
          </w:rPr>
          <w:t>18</w:t>
        </w:r>
        <w:r w:rsidR="00917FAF">
          <w:rPr>
            <w:noProof/>
            <w:webHidden/>
          </w:rPr>
          <w:fldChar w:fldCharType="end"/>
        </w:r>
      </w:hyperlink>
    </w:p>
    <w:p w14:paraId="76D3FD8C" w14:textId="669E41D4" w:rsidR="00917FAF" w:rsidRDefault="00E12FA7">
      <w:pPr>
        <w:pStyle w:val="TOC2"/>
        <w:rPr>
          <w:rFonts w:asciiTheme="minorHAnsi" w:eastAsiaTheme="minorEastAsia" w:hAnsiTheme="minorHAnsi" w:cstheme="minorBidi"/>
          <w:noProof/>
          <w:sz w:val="22"/>
          <w:szCs w:val="22"/>
        </w:rPr>
      </w:pPr>
      <w:hyperlink w:anchor="_Toc51331497" w:history="1">
        <w:r w:rsidR="00917FAF" w:rsidRPr="006E14FE">
          <w:rPr>
            <w:rStyle w:val="Hyperlink"/>
            <w:noProof/>
          </w:rPr>
          <w:t>6.6</w:t>
        </w:r>
        <w:r w:rsidR="00917FAF">
          <w:rPr>
            <w:rFonts w:asciiTheme="minorHAnsi" w:eastAsiaTheme="minorEastAsia" w:hAnsiTheme="minorHAnsi" w:cstheme="minorBidi"/>
            <w:noProof/>
            <w:sz w:val="22"/>
            <w:szCs w:val="22"/>
          </w:rPr>
          <w:tab/>
        </w:r>
        <w:r w:rsidR="00917FAF" w:rsidRPr="006E14FE">
          <w:rPr>
            <w:rStyle w:val="Hyperlink"/>
            <w:noProof/>
          </w:rPr>
          <w:t>AI for Autonomous and Assisted driving</w:t>
        </w:r>
        <w:r w:rsidR="00917FAF">
          <w:rPr>
            <w:noProof/>
            <w:webHidden/>
          </w:rPr>
          <w:tab/>
        </w:r>
        <w:r w:rsidR="00917FAF">
          <w:rPr>
            <w:noProof/>
            <w:webHidden/>
          </w:rPr>
          <w:fldChar w:fldCharType="begin"/>
        </w:r>
        <w:r w:rsidR="00917FAF">
          <w:rPr>
            <w:noProof/>
            <w:webHidden/>
          </w:rPr>
          <w:instrText xml:space="preserve"> PAGEREF _Toc51331497 \h </w:instrText>
        </w:r>
        <w:r w:rsidR="00917FAF">
          <w:rPr>
            <w:noProof/>
            <w:webHidden/>
          </w:rPr>
        </w:r>
        <w:r w:rsidR="00917FAF">
          <w:rPr>
            <w:noProof/>
            <w:webHidden/>
          </w:rPr>
          <w:fldChar w:fldCharType="separate"/>
        </w:r>
        <w:r w:rsidR="00917FAF">
          <w:rPr>
            <w:noProof/>
            <w:webHidden/>
          </w:rPr>
          <w:t>18</w:t>
        </w:r>
        <w:r w:rsidR="00917FAF">
          <w:rPr>
            <w:noProof/>
            <w:webHidden/>
          </w:rPr>
          <w:fldChar w:fldCharType="end"/>
        </w:r>
      </w:hyperlink>
    </w:p>
    <w:p w14:paraId="3DB2C81D" w14:textId="0F419006" w:rsidR="00917FAF" w:rsidRDefault="00E12FA7">
      <w:pPr>
        <w:pStyle w:val="TOC2"/>
        <w:rPr>
          <w:rFonts w:asciiTheme="minorHAnsi" w:eastAsiaTheme="minorEastAsia" w:hAnsiTheme="minorHAnsi" w:cstheme="minorBidi"/>
          <w:noProof/>
          <w:sz w:val="22"/>
          <w:szCs w:val="22"/>
        </w:rPr>
      </w:pPr>
      <w:hyperlink w:anchor="_Toc51331498" w:history="1">
        <w:r w:rsidR="00917FAF" w:rsidRPr="006E14FE">
          <w:rPr>
            <w:rStyle w:val="Hyperlink"/>
            <w:noProof/>
          </w:rPr>
          <w:t>6.7</w:t>
        </w:r>
        <w:r w:rsidR="00917FAF">
          <w:rPr>
            <w:rFonts w:asciiTheme="minorHAnsi" w:eastAsiaTheme="minorEastAsia" w:hAnsiTheme="minorHAnsi" w:cstheme="minorBidi"/>
            <w:noProof/>
            <w:sz w:val="22"/>
            <w:szCs w:val="22"/>
          </w:rPr>
          <w:tab/>
        </w:r>
        <w:r w:rsidR="00917FAF" w:rsidRPr="006E14FE">
          <w:rPr>
            <w:rStyle w:val="Hyperlink"/>
            <w:noProof/>
          </w:rPr>
          <w:t>Environmental Efficiency for AI and other Emerging Technologies</w:t>
        </w:r>
        <w:r w:rsidR="00917FAF">
          <w:rPr>
            <w:noProof/>
            <w:webHidden/>
          </w:rPr>
          <w:tab/>
        </w:r>
        <w:r w:rsidR="00917FAF">
          <w:rPr>
            <w:noProof/>
            <w:webHidden/>
          </w:rPr>
          <w:fldChar w:fldCharType="begin"/>
        </w:r>
        <w:r w:rsidR="00917FAF">
          <w:rPr>
            <w:noProof/>
            <w:webHidden/>
          </w:rPr>
          <w:instrText xml:space="preserve"> PAGEREF _Toc51331498 \h </w:instrText>
        </w:r>
        <w:r w:rsidR="00917FAF">
          <w:rPr>
            <w:noProof/>
            <w:webHidden/>
          </w:rPr>
        </w:r>
        <w:r w:rsidR="00917FAF">
          <w:rPr>
            <w:noProof/>
            <w:webHidden/>
          </w:rPr>
          <w:fldChar w:fldCharType="separate"/>
        </w:r>
        <w:r w:rsidR="00917FAF">
          <w:rPr>
            <w:noProof/>
            <w:webHidden/>
          </w:rPr>
          <w:t>18</w:t>
        </w:r>
        <w:r w:rsidR="00917FAF">
          <w:rPr>
            <w:noProof/>
            <w:webHidden/>
          </w:rPr>
          <w:fldChar w:fldCharType="end"/>
        </w:r>
      </w:hyperlink>
    </w:p>
    <w:p w14:paraId="0EB3DBE0" w14:textId="590E64CB" w:rsidR="00917FAF" w:rsidRDefault="00E12FA7">
      <w:pPr>
        <w:pStyle w:val="TOC1"/>
        <w:rPr>
          <w:rFonts w:asciiTheme="minorHAnsi" w:eastAsiaTheme="minorEastAsia" w:hAnsiTheme="minorHAnsi" w:cstheme="minorBidi"/>
          <w:noProof/>
          <w:sz w:val="22"/>
          <w:szCs w:val="22"/>
        </w:rPr>
      </w:pPr>
      <w:hyperlink w:anchor="_Toc51331499" w:history="1">
        <w:r w:rsidR="00917FAF" w:rsidRPr="006E14FE">
          <w:rPr>
            <w:rStyle w:val="Hyperlink"/>
            <w:noProof/>
          </w:rPr>
          <w:t>7</w:t>
        </w:r>
        <w:r w:rsidR="00917FAF">
          <w:rPr>
            <w:rFonts w:asciiTheme="minorHAnsi" w:eastAsiaTheme="minorEastAsia" w:hAnsiTheme="minorHAnsi" w:cstheme="minorBidi"/>
            <w:noProof/>
            <w:sz w:val="22"/>
            <w:szCs w:val="22"/>
          </w:rPr>
          <w:tab/>
        </w:r>
        <w:r w:rsidR="00917FAF" w:rsidRPr="006E14FE">
          <w:rPr>
            <w:rStyle w:val="Hyperlink"/>
            <w:noProof/>
          </w:rPr>
          <w:t>Collaboration in standardization</w:t>
        </w:r>
        <w:r w:rsidR="00917FAF">
          <w:rPr>
            <w:noProof/>
            <w:webHidden/>
          </w:rPr>
          <w:tab/>
        </w:r>
        <w:r w:rsidR="00917FAF">
          <w:rPr>
            <w:noProof/>
            <w:webHidden/>
          </w:rPr>
          <w:fldChar w:fldCharType="begin"/>
        </w:r>
        <w:r w:rsidR="00917FAF">
          <w:rPr>
            <w:noProof/>
            <w:webHidden/>
          </w:rPr>
          <w:instrText xml:space="preserve"> PAGEREF _Toc51331499 \h </w:instrText>
        </w:r>
        <w:r w:rsidR="00917FAF">
          <w:rPr>
            <w:noProof/>
            <w:webHidden/>
          </w:rPr>
        </w:r>
        <w:r w:rsidR="00917FAF">
          <w:rPr>
            <w:noProof/>
            <w:webHidden/>
          </w:rPr>
          <w:fldChar w:fldCharType="separate"/>
        </w:r>
        <w:r w:rsidR="00917FAF">
          <w:rPr>
            <w:noProof/>
            <w:webHidden/>
          </w:rPr>
          <w:t>19</w:t>
        </w:r>
        <w:r w:rsidR="00917FAF">
          <w:rPr>
            <w:noProof/>
            <w:webHidden/>
          </w:rPr>
          <w:fldChar w:fldCharType="end"/>
        </w:r>
      </w:hyperlink>
    </w:p>
    <w:p w14:paraId="2506E3F6" w14:textId="2005D751" w:rsidR="00917FAF" w:rsidRDefault="00E12FA7">
      <w:pPr>
        <w:pStyle w:val="TOC2"/>
        <w:rPr>
          <w:rFonts w:asciiTheme="minorHAnsi" w:eastAsiaTheme="minorEastAsia" w:hAnsiTheme="minorHAnsi" w:cstheme="minorBidi"/>
          <w:noProof/>
          <w:sz w:val="22"/>
          <w:szCs w:val="22"/>
        </w:rPr>
      </w:pPr>
      <w:hyperlink w:anchor="_Toc51331500" w:history="1">
        <w:r w:rsidR="00917FAF" w:rsidRPr="006E14FE">
          <w:rPr>
            <w:rStyle w:val="Hyperlink"/>
            <w:noProof/>
          </w:rPr>
          <w:t>7.1</w:t>
        </w:r>
        <w:r w:rsidR="00917FAF">
          <w:rPr>
            <w:rFonts w:asciiTheme="minorHAnsi" w:eastAsiaTheme="minorEastAsia" w:hAnsiTheme="minorHAnsi" w:cstheme="minorBidi"/>
            <w:noProof/>
            <w:sz w:val="22"/>
            <w:szCs w:val="22"/>
          </w:rPr>
          <w:tab/>
        </w:r>
        <w:r w:rsidR="00917FAF" w:rsidRPr="006E14FE">
          <w:rPr>
            <w:rStyle w:val="Hyperlink"/>
            <w:noProof/>
          </w:rPr>
          <w:t>Coordination and cooperation among ITU Sectors</w:t>
        </w:r>
        <w:r w:rsidR="00917FAF">
          <w:rPr>
            <w:noProof/>
            <w:webHidden/>
          </w:rPr>
          <w:tab/>
        </w:r>
        <w:r w:rsidR="00917FAF">
          <w:rPr>
            <w:noProof/>
            <w:webHidden/>
          </w:rPr>
          <w:fldChar w:fldCharType="begin"/>
        </w:r>
        <w:r w:rsidR="00917FAF">
          <w:rPr>
            <w:noProof/>
            <w:webHidden/>
          </w:rPr>
          <w:instrText xml:space="preserve"> PAGEREF _Toc51331500 \h </w:instrText>
        </w:r>
        <w:r w:rsidR="00917FAF">
          <w:rPr>
            <w:noProof/>
            <w:webHidden/>
          </w:rPr>
        </w:r>
        <w:r w:rsidR="00917FAF">
          <w:rPr>
            <w:noProof/>
            <w:webHidden/>
          </w:rPr>
          <w:fldChar w:fldCharType="separate"/>
        </w:r>
        <w:r w:rsidR="00917FAF">
          <w:rPr>
            <w:noProof/>
            <w:webHidden/>
          </w:rPr>
          <w:t>19</w:t>
        </w:r>
        <w:r w:rsidR="00917FAF">
          <w:rPr>
            <w:noProof/>
            <w:webHidden/>
          </w:rPr>
          <w:fldChar w:fldCharType="end"/>
        </w:r>
      </w:hyperlink>
    </w:p>
    <w:p w14:paraId="14642811" w14:textId="214C2A49" w:rsidR="00917FAF" w:rsidRDefault="00E12FA7">
      <w:pPr>
        <w:pStyle w:val="TOC2"/>
        <w:rPr>
          <w:rFonts w:asciiTheme="minorHAnsi" w:eastAsiaTheme="minorEastAsia" w:hAnsiTheme="minorHAnsi" w:cstheme="minorBidi"/>
          <w:noProof/>
          <w:sz w:val="22"/>
          <w:szCs w:val="22"/>
        </w:rPr>
      </w:pPr>
      <w:hyperlink w:anchor="_Toc51331501" w:history="1">
        <w:r w:rsidR="00917FAF" w:rsidRPr="006E14FE">
          <w:rPr>
            <w:rStyle w:val="Hyperlink"/>
            <w:noProof/>
          </w:rPr>
          <w:t>7.2</w:t>
        </w:r>
        <w:r w:rsidR="00917FAF">
          <w:rPr>
            <w:rFonts w:asciiTheme="minorHAnsi" w:eastAsiaTheme="minorEastAsia" w:hAnsiTheme="minorHAnsi" w:cstheme="minorBidi"/>
            <w:noProof/>
            <w:sz w:val="22"/>
            <w:szCs w:val="22"/>
          </w:rPr>
          <w:tab/>
        </w:r>
        <w:r w:rsidR="00917FAF" w:rsidRPr="006E14FE">
          <w:rPr>
            <w:rStyle w:val="Hyperlink"/>
            <w:noProof/>
          </w:rPr>
          <w:t>Coordination and cooperation with the Regions and the Regional Offices</w:t>
        </w:r>
        <w:r w:rsidR="00917FAF">
          <w:rPr>
            <w:noProof/>
            <w:webHidden/>
          </w:rPr>
          <w:tab/>
        </w:r>
        <w:r w:rsidR="00917FAF">
          <w:rPr>
            <w:noProof/>
            <w:webHidden/>
          </w:rPr>
          <w:fldChar w:fldCharType="begin"/>
        </w:r>
        <w:r w:rsidR="00917FAF">
          <w:rPr>
            <w:noProof/>
            <w:webHidden/>
          </w:rPr>
          <w:instrText xml:space="preserve"> PAGEREF _Toc51331501 \h </w:instrText>
        </w:r>
        <w:r w:rsidR="00917FAF">
          <w:rPr>
            <w:noProof/>
            <w:webHidden/>
          </w:rPr>
        </w:r>
        <w:r w:rsidR="00917FAF">
          <w:rPr>
            <w:noProof/>
            <w:webHidden/>
          </w:rPr>
          <w:fldChar w:fldCharType="separate"/>
        </w:r>
        <w:r w:rsidR="00917FAF">
          <w:rPr>
            <w:noProof/>
            <w:webHidden/>
          </w:rPr>
          <w:t>19</w:t>
        </w:r>
        <w:r w:rsidR="00917FAF">
          <w:rPr>
            <w:noProof/>
            <w:webHidden/>
          </w:rPr>
          <w:fldChar w:fldCharType="end"/>
        </w:r>
      </w:hyperlink>
    </w:p>
    <w:p w14:paraId="6161C387" w14:textId="34D27EEA" w:rsidR="00917FAF" w:rsidRDefault="00E12FA7">
      <w:pPr>
        <w:pStyle w:val="TOC2"/>
        <w:rPr>
          <w:rFonts w:asciiTheme="minorHAnsi" w:eastAsiaTheme="minorEastAsia" w:hAnsiTheme="minorHAnsi" w:cstheme="minorBidi"/>
          <w:noProof/>
          <w:sz w:val="22"/>
          <w:szCs w:val="22"/>
        </w:rPr>
      </w:pPr>
      <w:hyperlink w:anchor="_Toc51331502" w:history="1">
        <w:r w:rsidR="00917FAF" w:rsidRPr="006E14FE">
          <w:rPr>
            <w:rStyle w:val="Hyperlink"/>
            <w:noProof/>
          </w:rPr>
          <w:t>7.3</w:t>
        </w:r>
        <w:r w:rsidR="00917FAF">
          <w:rPr>
            <w:rFonts w:asciiTheme="minorHAnsi" w:eastAsiaTheme="minorEastAsia" w:hAnsiTheme="minorHAnsi" w:cstheme="minorBidi"/>
            <w:noProof/>
            <w:sz w:val="22"/>
            <w:szCs w:val="22"/>
          </w:rPr>
          <w:tab/>
        </w:r>
        <w:r w:rsidR="00917FAF" w:rsidRPr="006E14FE">
          <w:rPr>
            <w:rStyle w:val="Hyperlink"/>
            <w:noProof/>
          </w:rPr>
          <w:t>General assistance and cooperation</w:t>
        </w:r>
        <w:r w:rsidR="00917FAF">
          <w:rPr>
            <w:noProof/>
            <w:webHidden/>
          </w:rPr>
          <w:tab/>
        </w:r>
        <w:r w:rsidR="00917FAF">
          <w:rPr>
            <w:noProof/>
            <w:webHidden/>
          </w:rPr>
          <w:fldChar w:fldCharType="begin"/>
        </w:r>
        <w:r w:rsidR="00917FAF">
          <w:rPr>
            <w:noProof/>
            <w:webHidden/>
          </w:rPr>
          <w:instrText xml:space="preserve"> PAGEREF _Toc51331502 \h </w:instrText>
        </w:r>
        <w:r w:rsidR="00917FAF">
          <w:rPr>
            <w:noProof/>
            <w:webHidden/>
          </w:rPr>
        </w:r>
        <w:r w:rsidR="00917FAF">
          <w:rPr>
            <w:noProof/>
            <w:webHidden/>
          </w:rPr>
          <w:fldChar w:fldCharType="separate"/>
        </w:r>
        <w:r w:rsidR="00917FAF">
          <w:rPr>
            <w:noProof/>
            <w:webHidden/>
          </w:rPr>
          <w:t>19</w:t>
        </w:r>
        <w:r w:rsidR="00917FAF">
          <w:rPr>
            <w:noProof/>
            <w:webHidden/>
          </w:rPr>
          <w:fldChar w:fldCharType="end"/>
        </w:r>
      </w:hyperlink>
    </w:p>
    <w:p w14:paraId="7E970A73" w14:textId="4E150A5C" w:rsidR="00917FAF" w:rsidRDefault="00E12FA7">
      <w:pPr>
        <w:pStyle w:val="TOC2"/>
        <w:rPr>
          <w:rFonts w:asciiTheme="minorHAnsi" w:eastAsiaTheme="minorEastAsia" w:hAnsiTheme="minorHAnsi" w:cstheme="minorBidi"/>
          <w:noProof/>
          <w:sz w:val="22"/>
          <w:szCs w:val="22"/>
        </w:rPr>
      </w:pPr>
      <w:hyperlink w:anchor="_Toc51331503" w:history="1">
        <w:r w:rsidR="00917FAF" w:rsidRPr="006E14FE">
          <w:rPr>
            <w:rStyle w:val="Hyperlink"/>
            <w:noProof/>
          </w:rPr>
          <w:t>7.4</w:t>
        </w:r>
        <w:r w:rsidR="00917FAF">
          <w:rPr>
            <w:rFonts w:asciiTheme="minorHAnsi" w:eastAsiaTheme="minorEastAsia" w:hAnsiTheme="minorHAnsi" w:cstheme="minorBidi"/>
            <w:noProof/>
            <w:sz w:val="22"/>
            <w:szCs w:val="22"/>
          </w:rPr>
          <w:tab/>
        </w:r>
        <w:r w:rsidR="00917FAF" w:rsidRPr="006E14FE">
          <w:rPr>
            <w:rStyle w:val="Hyperlink"/>
            <w:noProof/>
          </w:rPr>
          <w:t>Cooperation with national and regional standardization organizations</w:t>
        </w:r>
        <w:r w:rsidR="00917FAF">
          <w:rPr>
            <w:noProof/>
            <w:webHidden/>
          </w:rPr>
          <w:tab/>
        </w:r>
        <w:r w:rsidR="00917FAF">
          <w:rPr>
            <w:noProof/>
            <w:webHidden/>
          </w:rPr>
          <w:fldChar w:fldCharType="begin"/>
        </w:r>
        <w:r w:rsidR="00917FAF">
          <w:rPr>
            <w:noProof/>
            <w:webHidden/>
          </w:rPr>
          <w:instrText xml:space="preserve"> PAGEREF _Toc51331503 \h </w:instrText>
        </w:r>
        <w:r w:rsidR="00917FAF">
          <w:rPr>
            <w:noProof/>
            <w:webHidden/>
          </w:rPr>
        </w:r>
        <w:r w:rsidR="00917FAF">
          <w:rPr>
            <w:noProof/>
            <w:webHidden/>
          </w:rPr>
          <w:fldChar w:fldCharType="separate"/>
        </w:r>
        <w:r w:rsidR="00917FAF">
          <w:rPr>
            <w:noProof/>
            <w:webHidden/>
          </w:rPr>
          <w:t>22</w:t>
        </w:r>
        <w:r w:rsidR="00917FAF">
          <w:rPr>
            <w:noProof/>
            <w:webHidden/>
          </w:rPr>
          <w:fldChar w:fldCharType="end"/>
        </w:r>
      </w:hyperlink>
    </w:p>
    <w:p w14:paraId="0378DA03" w14:textId="1C83057A" w:rsidR="00917FAF" w:rsidRDefault="00E12FA7">
      <w:pPr>
        <w:pStyle w:val="TOC1"/>
        <w:rPr>
          <w:rFonts w:asciiTheme="minorHAnsi" w:eastAsiaTheme="minorEastAsia" w:hAnsiTheme="minorHAnsi" w:cstheme="minorBidi"/>
          <w:noProof/>
          <w:sz w:val="22"/>
          <w:szCs w:val="22"/>
        </w:rPr>
      </w:pPr>
      <w:hyperlink w:anchor="_Toc51331504" w:history="1">
        <w:r w:rsidR="00917FAF" w:rsidRPr="006E14FE">
          <w:rPr>
            <w:rStyle w:val="Hyperlink"/>
            <w:noProof/>
          </w:rPr>
          <w:t>8</w:t>
        </w:r>
        <w:r w:rsidR="00917FAF">
          <w:rPr>
            <w:rFonts w:asciiTheme="minorHAnsi" w:eastAsiaTheme="minorEastAsia" w:hAnsiTheme="minorHAnsi" w:cstheme="minorBidi"/>
            <w:noProof/>
            <w:sz w:val="22"/>
            <w:szCs w:val="22"/>
          </w:rPr>
          <w:tab/>
        </w:r>
        <w:r w:rsidR="00917FAF" w:rsidRPr="006E14FE">
          <w:rPr>
            <w:rStyle w:val="Hyperlink"/>
            <w:noProof/>
          </w:rPr>
          <w:t>Bridging the standardization gap</w:t>
        </w:r>
        <w:r w:rsidR="00917FAF">
          <w:rPr>
            <w:noProof/>
            <w:webHidden/>
          </w:rPr>
          <w:tab/>
        </w:r>
        <w:r w:rsidR="00917FAF">
          <w:rPr>
            <w:noProof/>
            <w:webHidden/>
          </w:rPr>
          <w:fldChar w:fldCharType="begin"/>
        </w:r>
        <w:r w:rsidR="00917FAF">
          <w:rPr>
            <w:noProof/>
            <w:webHidden/>
          </w:rPr>
          <w:instrText xml:space="preserve"> PAGEREF _Toc51331504 \h </w:instrText>
        </w:r>
        <w:r w:rsidR="00917FAF">
          <w:rPr>
            <w:noProof/>
            <w:webHidden/>
          </w:rPr>
        </w:r>
        <w:r w:rsidR="00917FAF">
          <w:rPr>
            <w:noProof/>
            <w:webHidden/>
          </w:rPr>
          <w:fldChar w:fldCharType="separate"/>
        </w:r>
        <w:r w:rsidR="00917FAF">
          <w:rPr>
            <w:noProof/>
            <w:webHidden/>
          </w:rPr>
          <w:t>23</w:t>
        </w:r>
        <w:r w:rsidR="00917FAF">
          <w:rPr>
            <w:noProof/>
            <w:webHidden/>
          </w:rPr>
          <w:fldChar w:fldCharType="end"/>
        </w:r>
      </w:hyperlink>
    </w:p>
    <w:p w14:paraId="4E505EDC" w14:textId="64B33DC2" w:rsidR="00917FAF" w:rsidRDefault="00E12FA7">
      <w:pPr>
        <w:pStyle w:val="TOC2"/>
        <w:rPr>
          <w:rFonts w:asciiTheme="minorHAnsi" w:eastAsiaTheme="minorEastAsia" w:hAnsiTheme="minorHAnsi" w:cstheme="minorBidi"/>
          <w:noProof/>
          <w:sz w:val="22"/>
          <w:szCs w:val="22"/>
        </w:rPr>
      </w:pPr>
      <w:hyperlink w:anchor="_Toc51331505" w:history="1">
        <w:r w:rsidR="00917FAF" w:rsidRPr="006E14FE">
          <w:rPr>
            <w:rStyle w:val="Hyperlink"/>
            <w:noProof/>
          </w:rPr>
          <w:t>8.1</w:t>
        </w:r>
        <w:r w:rsidR="00917FAF">
          <w:rPr>
            <w:rFonts w:asciiTheme="minorHAnsi" w:eastAsiaTheme="minorEastAsia" w:hAnsiTheme="minorHAnsi" w:cstheme="minorBidi"/>
            <w:noProof/>
            <w:sz w:val="22"/>
            <w:szCs w:val="22"/>
          </w:rPr>
          <w:tab/>
        </w:r>
        <w:r w:rsidR="00917FAF" w:rsidRPr="006E14FE">
          <w:rPr>
            <w:rStyle w:val="Hyperlink"/>
            <w:noProof/>
          </w:rPr>
          <w:t>BSG hands-on training sessions</w:t>
        </w:r>
        <w:r w:rsidR="00917FAF">
          <w:rPr>
            <w:noProof/>
            <w:webHidden/>
          </w:rPr>
          <w:tab/>
        </w:r>
        <w:r w:rsidR="00917FAF">
          <w:rPr>
            <w:noProof/>
            <w:webHidden/>
          </w:rPr>
          <w:fldChar w:fldCharType="begin"/>
        </w:r>
        <w:r w:rsidR="00917FAF">
          <w:rPr>
            <w:noProof/>
            <w:webHidden/>
          </w:rPr>
          <w:instrText xml:space="preserve"> PAGEREF _Toc51331505 \h </w:instrText>
        </w:r>
        <w:r w:rsidR="00917FAF">
          <w:rPr>
            <w:noProof/>
            <w:webHidden/>
          </w:rPr>
        </w:r>
        <w:r w:rsidR="00917FAF">
          <w:rPr>
            <w:noProof/>
            <w:webHidden/>
          </w:rPr>
          <w:fldChar w:fldCharType="separate"/>
        </w:r>
        <w:r w:rsidR="00917FAF">
          <w:rPr>
            <w:noProof/>
            <w:webHidden/>
          </w:rPr>
          <w:t>23</w:t>
        </w:r>
        <w:r w:rsidR="00917FAF">
          <w:rPr>
            <w:noProof/>
            <w:webHidden/>
          </w:rPr>
          <w:fldChar w:fldCharType="end"/>
        </w:r>
      </w:hyperlink>
    </w:p>
    <w:p w14:paraId="7C53F97B" w14:textId="53A64ECD" w:rsidR="00917FAF" w:rsidRDefault="00E12FA7">
      <w:pPr>
        <w:pStyle w:val="TOC2"/>
        <w:rPr>
          <w:rFonts w:asciiTheme="minorHAnsi" w:eastAsiaTheme="minorEastAsia" w:hAnsiTheme="minorHAnsi" w:cstheme="minorBidi"/>
          <w:noProof/>
          <w:sz w:val="22"/>
          <w:szCs w:val="22"/>
        </w:rPr>
      </w:pPr>
      <w:hyperlink w:anchor="_Toc51331506" w:history="1">
        <w:r w:rsidR="00917FAF" w:rsidRPr="006E14FE">
          <w:rPr>
            <w:rStyle w:val="Hyperlink"/>
            <w:noProof/>
          </w:rPr>
          <w:t>8.2</w:t>
        </w:r>
        <w:r w:rsidR="00917FAF">
          <w:rPr>
            <w:rFonts w:asciiTheme="minorHAnsi" w:eastAsiaTheme="minorEastAsia" w:hAnsiTheme="minorHAnsi" w:cstheme="minorBidi"/>
            <w:noProof/>
            <w:sz w:val="22"/>
            <w:szCs w:val="22"/>
          </w:rPr>
          <w:tab/>
        </w:r>
        <w:r w:rsidR="00917FAF" w:rsidRPr="006E14FE">
          <w:rPr>
            <w:rStyle w:val="Hyperlink"/>
            <w:noProof/>
          </w:rPr>
          <w:t>Regional Groups</w:t>
        </w:r>
        <w:r w:rsidR="00917FAF">
          <w:rPr>
            <w:noProof/>
            <w:webHidden/>
          </w:rPr>
          <w:tab/>
        </w:r>
        <w:r w:rsidR="00917FAF">
          <w:rPr>
            <w:noProof/>
            <w:webHidden/>
          </w:rPr>
          <w:fldChar w:fldCharType="begin"/>
        </w:r>
        <w:r w:rsidR="00917FAF">
          <w:rPr>
            <w:noProof/>
            <w:webHidden/>
          </w:rPr>
          <w:instrText xml:space="preserve"> PAGEREF _Toc51331506 \h </w:instrText>
        </w:r>
        <w:r w:rsidR="00917FAF">
          <w:rPr>
            <w:noProof/>
            <w:webHidden/>
          </w:rPr>
        </w:r>
        <w:r w:rsidR="00917FAF">
          <w:rPr>
            <w:noProof/>
            <w:webHidden/>
          </w:rPr>
          <w:fldChar w:fldCharType="separate"/>
        </w:r>
        <w:r w:rsidR="00917FAF">
          <w:rPr>
            <w:noProof/>
            <w:webHidden/>
          </w:rPr>
          <w:t>24</w:t>
        </w:r>
        <w:r w:rsidR="00917FAF">
          <w:rPr>
            <w:noProof/>
            <w:webHidden/>
          </w:rPr>
          <w:fldChar w:fldCharType="end"/>
        </w:r>
      </w:hyperlink>
    </w:p>
    <w:p w14:paraId="3C96E28A" w14:textId="044764D6" w:rsidR="00917FAF" w:rsidRDefault="00E12FA7">
      <w:pPr>
        <w:pStyle w:val="TOC2"/>
        <w:rPr>
          <w:rFonts w:asciiTheme="minorHAnsi" w:eastAsiaTheme="minorEastAsia" w:hAnsiTheme="minorHAnsi" w:cstheme="minorBidi"/>
          <w:noProof/>
          <w:sz w:val="22"/>
          <w:szCs w:val="22"/>
        </w:rPr>
      </w:pPr>
      <w:hyperlink w:anchor="_Toc51331507" w:history="1">
        <w:r w:rsidR="00917FAF" w:rsidRPr="006E14FE">
          <w:rPr>
            <w:rStyle w:val="Hyperlink"/>
            <w:noProof/>
          </w:rPr>
          <w:t>8.3</w:t>
        </w:r>
        <w:r w:rsidR="00917FAF">
          <w:rPr>
            <w:rFonts w:asciiTheme="minorHAnsi" w:eastAsiaTheme="minorEastAsia" w:hAnsiTheme="minorHAnsi" w:cstheme="minorBidi"/>
            <w:noProof/>
            <w:sz w:val="22"/>
            <w:szCs w:val="22"/>
          </w:rPr>
          <w:tab/>
        </w:r>
        <w:r w:rsidR="00917FAF" w:rsidRPr="006E14FE">
          <w:rPr>
            <w:rStyle w:val="Hyperlink"/>
            <w:noProof/>
          </w:rPr>
          <w:t>Regional Standardization Forums</w:t>
        </w:r>
        <w:r w:rsidR="00917FAF">
          <w:rPr>
            <w:noProof/>
            <w:webHidden/>
          </w:rPr>
          <w:tab/>
        </w:r>
        <w:r w:rsidR="00917FAF">
          <w:rPr>
            <w:noProof/>
            <w:webHidden/>
          </w:rPr>
          <w:fldChar w:fldCharType="begin"/>
        </w:r>
        <w:r w:rsidR="00917FAF">
          <w:rPr>
            <w:noProof/>
            <w:webHidden/>
          </w:rPr>
          <w:instrText xml:space="preserve"> PAGEREF _Toc51331507 \h </w:instrText>
        </w:r>
        <w:r w:rsidR="00917FAF">
          <w:rPr>
            <w:noProof/>
            <w:webHidden/>
          </w:rPr>
        </w:r>
        <w:r w:rsidR="00917FAF">
          <w:rPr>
            <w:noProof/>
            <w:webHidden/>
          </w:rPr>
          <w:fldChar w:fldCharType="separate"/>
        </w:r>
        <w:r w:rsidR="00917FAF">
          <w:rPr>
            <w:noProof/>
            <w:webHidden/>
          </w:rPr>
          <w:t>24</w:t>
        </w:r>
        <w:r w:rsidR="00917FAF">
          <w:rPr>
            <w:noProof/>
            <w:webHidden/>
          </w:rPr>
          <w:fldChar w:fldCharType="end"/>
        </w:r>
      </w:hyperlink>
    </w:p>
    <w:p w14:paraId="037D8F8B" w14:textId="029EE80E" w:rsidR="00917FAF" w:rsidRDefault="00E12FA7">
      <w:pPr>
        <w:pStyle w:val="TOC2"/>
        <w:rPr>
          <w:rFonts w:asciiTheme="minorHAnsi" w:eastAsiaTheme="minorEastAsia" w:hAnsiTheme="minorHAnsi" w:cstheme="minorBidi"/>
          <w:noProof/>
          <w:sz w:val="22"/>
          <w:szCs w:val="22"/>
        </w:rPr>
      </w:pPr>
      <w:hyperlink w:anchor="_Toc51331508" w:history="1">
        <w:r w:rsidR="00917FAF" w:rsidRPr="006E14FE">
          <w:rPr>
            <w:rStyle w:val="Hyperlink"/>
            <w:noProof/>
          </w:rPr>
          <w:t>8.4</w:t>
        </w:r>
        <w:r w:rsidR="00917FAF">
          <w:rPr>
            <w:rFonts w:asciiTheme="minorHAnsi" w:eastAsiaTheme="minorEastAsia" w:hAnsiTheme="minorHAnsi" w:cstheme="minorBidi"/>
            <w:noProof/>
            <w:sz w:val="22"/>
            <w:szCs w:val="22"/>
          </w:rPr>
          <w:tab/>
        </w:r>
        <w:r w:rsidR="00917FAF" w:rsidRPr="006E14FE">
          <w:rPr>
            <w:rStyle w:val="Hyperlink"/>
            <w:noProof/>
          </w:rPr>
          <w:t>National Standardization Secretariats</w:t>
        </w:r>
        <w:r w:rsidR="00917FAF">
          <w:rPr>
            <w:noProof/>
            <w:webHidden/>
          </w:rPr>
          <w:tab/>
        </w:r>
        <w:r w:rsidR="00917FAF">
          <w:rPr>
            <w:noProof/>
            <w:webHidden/>
          </w:rPr>
          <w:fldChar w:fldCharType="begin"/>
        </w:r>
        <w:r w:rsidR="00917FAF">
          <w:rPr>
            <w:noProof/>
            <w:webHidden/>
          </w:rPr>
          <w:instrText xml:space="preserve"> PAGEREF _Toc51331508 \h </w:instrText>
        </w:r>
        <w:r w:rsidR="00917FAF">
          <w:rPr>
            <w:noProof/>
            <w:webHidden/>
          </w:rPr>
        </w:r>
        <w:r w:rsidR="00917FAF">
          <w:rPr>
            <w:noProof/>
            <w:webHidden/>
          </w:rPr>
          <w:fldChar w:fldCharType="separate"/>
        </w:r>
        <w:r w:rsidR="00917FAF">
          <w:rPr>
            <w:noProof/>
            <w:webHidden/>
          </w:rPr>
          <w:t>25</w:t>
        </w:r>
        <w:r w:rsidR="00917FAF">
          <w:rPr>
            <w:noProof/>
            <w:webHidden/>
          </w:rPr>
          <w:fldChar w:fldCharType="end"/>
        </w:r>
      </w:hyperlink>
    </w:p>
    <w:p w14:paraId="02F87EF2" w14:textId="14D371E2" w:rsidR="00917FAF" w:rsidRDefault="00E12FA7">
      <w:pPr>
        <w:pStyle w:val="TOC2"/>
        <w:rPr>
          <w:rFonts w:asciiTheme="minorHAnsi" w:eastAsiaTheme="minorEastAsia" w:hAnsiTheme="minorHAnsi" w:cstheme="minorBidi"/>
          <w:noProof/>
          <w:sz w:val="22"/>
          <w:szCs w:val="22"/>
        </w:rPr>
      </w:pPr>
      <w:hyperlink w:anchor="_Toc51331509" w:history="1">
        <w:r w:rsidR="00917FAF" w:rsidRPr="006E14FE">
          <w:rPr>
            <w:rStyle w:val="Hyperlink"/>
            <w:noProof/>
          </w:rPr>
          <w:t>8.5</w:t>
        </w:r>
        <w:r w:rsidR="00917FAF">
          <w:rPr>
            <w:rFonts w:asciiTheme="minorHAnsi" w:eastAsiaTheme="minorEastAsia" w:hAnsiTheme="minorHAnsi" w:cstheme="minorBidi"/>
            <w:noProof/>
            <w:sz w:val="22"/>
            <w:szCs w:val="22"/>
          </w:rPr>
          <w:tab/>
        </w:r>
        <w:r w:rsidR="00917FAF" w:rsidRPr="006E14FE">
          <w:rPr>
            <w:rStyle w:val="Hyperlink"/>
            <w:noProof/>
          </w:rPr>
          <w:t>e-Learning courses</w:t>
        </w:r>
        <w:r w:rsidR="00917FAF">
          <w:rPr>
            <w:noProof/>
            <w:webHidden/>
          </w:rPr>
          <w:tab/>
        </w:r>
        <w:r w:rsidR="00917FAF">
          <w:rPr>
            <w:noProof/>
            <w:webHidden/>
          </w:rPr>
          <w:fldChar w:fldCharType="begin"/>
        </w:r>
        <w:r w:rsidR="00917FAF">
          <w:rPr>
            <w:noProof/>
            <w:webHidden/>
          </w:rPr>
          <w:instrText xml:space="preserve"> PAGEREF _Toc51331509 \h </w:instrText>
        </w:r>
        <w:r w:rsidR="00917FAF">
          <w:rPr>
            <w:noProof/>
            <w:webHidden/>
          </w:rPr>
        </w:r>
        <w:r w:rsidR="00917FAF">
          <w:rPr>
            <w:noProof/>
            <w:webHidden/>
          </w:rPr>
          <w:fldChar w:fldCharType="separate"/>
        </w:r>
        <w:r w:rsidR="00917FAF">
          <w:rPr>
            <w:noProof/>
            <w:webHidden/>
          </w:rPr>
          <w:t>25</w:t>
        </w:r>
        <w:r w:rsidR="00917FAF">
          <w:rPr>
            <w:noProof/>
            <w:webHidden/>
          </w:rPr>
          <w:fldChar w:fldCharType="end"/>
        </w:r>
      </w:hyperlink>
    </w:p>
    <w:p w14:paraId="122ACD47" w14:textId="38466A34" w:rsidR="00917FAF" w:rsidRDefault="00E12FA7">
      <w:pPr>
        <w:pStyle w:val="TOC2"/>
        <w:rPr>
          <w:rFonts w:asciiTheme="minorHAnsi" w:eastAsiaTheme="minorEastAsia" w:hAnsiTheme="minorHAnsi" w:cstheme="minorBidi"/>
          <w:noProof/>
          <w:sz w:val="22"/>
          <w:szCs w:val="22"/>
        </w:rPr>
      </w:pPr>
      <w:hyperlink w:anchor="_Toc51331510" w:history="1">
        <w:r w:rsidR="00917FAF" w:rsidRPr="006E14FE">
          <w:rPr>
            <w:rStyle w:val="Hyperlink"/>
            <w:noProof/>
          </w:rPr>
          <w:t>8.6</w:t>
        </w:r>
        <w:r w:rsidR="00917FAF">
          <w:rPr>
            <w:rFonts w:asciiTheme="minorHAnsi" w:eastAsiaTheme="minorEastAsia" w:hAnsiTheme="minorHAnsi" w:cstheme="minorBidi"/>
            <w:noProof/>
            <w:sz w:val="22"/>
            <w:szCs w:val="22"/>
          </w:rPr>
          <w:tab/>
        </w:r>
        <w:r w:rsidR="00917FAF" w:rsidRPr="006E14FE">
          <w:rPr>
            <w:rStyle w:val="Hyperlink"/>
            <w:noProof/>
          </w:rPr>
          <w:t>SG Mentoring Programme</w:t>
        </w:r>
        <w:r w:rsidR="00917FAF">
          <w:rPr>
            <w:noProof/>
            <w:webHidden/>
          </w:rPr>
          <w:tab/>
        </w:r>
        <w:r w:rsidR="00917FAF">
          <w:rPr>
            <w:noProof/>
            <w:webHidden/>
          </w:rPr>
          <w:fldChar w:fldCharType="begin"/>
        </w:r>
        <w:r w:rsidR="00917FAF">
          <w:rPr>
            <w:noProof/>
            <w:webHidden/>
          </w:rPr>
          <w:instrText xml:space="preserve"> PAGEREF _Toc51331510 \h </w:instrText>
        </w:r>
        <w:r w:rsidR="00917FAF">
          <w:rPr>
            <w:noProof/>
            <w:webHidden/>
          </w:rPr>
        </w:r>
        <w:r w:rsidR="00917FAF">
          <w:rPr>
            <w:noProof/>
            <w:webHidden/>
          </w:rPr>
          <w:fldChar w:fldCharType="separate"/>
        </w:r>
        <w:r w:rsidR="00917FAF">
          <w:rPr>
            <w:noProof/>
            <w:webHidden/>
          </w:rPr>
          <w:t>25</w:t>
        </w:r>
        <w:r w:rsidR="00917FAF">
          <w:rPr>
            <w:noProof/>
            <w:webHidden/>
          </w:rPr>
          <w:fldChar w:fldCharType="end"/>
        </w:r>
      </w:hyperlink>
    </w:p>
    <w:p w14:paraId="0F11DB97" w14:textId="593071C4" w:rsidR="00917FAF" w:rsidRDefault="00E12FA7">
      <w:pPr>
        <w:pStyle w:val="TOC2"/>
        <w:rPr>
          <w:rFonts w:asciiTheme="minorHAnsi" w:eastAsiaTheme="minorEastAsia" w:hAnsiTheme="minorHAnsi" w:cstheme="minorBidi"/>
          <w:noProof/>
          <w:sz w:val="22"/>
          <w:szCs w:val="22"/>
        </w:rPr>
      </w:pPr>
      <w:hyperlink w:anchor="_Toc51331511" w:history="1">
        <w:r w:rsidR="00917FAF" w:rsidRPr="006E14FE">
          <w:rPr>
            <w:rStyle w:val="Hyperlink"/>
            <w:noProof/>
          </w:rPr>
          <w:t>8.7</w:t>
        </w:r>
        <w:r w:rsidR="00917FAF">
          <w:rPr>
            <w:rFonts w:asciiTheme="minorHAnsi" w:eastAsiaTheme="minorEastAsia" w:hAnsiTheme="minorHAnsi" w:cstheme="minorBidi"/>
            <w:noProof/>
            <w:sz w:val="22"/>
            <w:szCs w:val="22"/>
          </w:rPr>
          <w:tab/>
        </w:r>
        <w:r w:rsidR="00917FAF" w:rsidRPr="006E14FE">
          <w:rPr>
            <w:rStyle w:val="Hyperlink"/>
            <w:noProof/>
          </w:rPr>
          <w:t>Technical Papers</w:t>
        </w:r>
        <w:r w:rsidR="00917FAF">
          <w:rPr>
            <w:noProof/>
            <w:webHidden/>
          </w:rPr>
          <w:tab/>
        </w:r>
        <w:r w:rsidR="00917FAF">
          <w:rPr>
            <w:noProof/>
            <w:webHidden/>
          </w:rPr>
          <w:fldChar w:fldCharType="begin"/>
        </w:r>
        <w:r w:rsidR="00917FAF">
          <w:rPr>
            <w:noProof/>
            <w:webHidden/>
          </w:rPr>
          <w:instrText xml:space="preserve"> PAGEREF _Toc51331511 \h </w:instrText>
        </w:r>
        <w:r w:rsidR="00917FAF">
          <w:rPr>
            <w:noProof/>
            <w:webHidden/>
          </w:rPr>
        </w:r>
        <w:r w:rsidR="00917FAF">
          <w:rPr>
            <w:noProof/>
            <w:webHidden/>
          </w:rPr>
          <w:fldChar w:fldCharType="separate"/>
        </w:r>
        <w:r w:rsidR="00917FAF">
          <w:rPr>
            <w:noProof/>
            <w:webHidden/>
          </w:rPr>
          <w:t>25</w:t>
        </w:r>
        <w:r w:rsidR="00917FAF">
          <w:rPr>
            <w:noProof/>
            <w:webHidden/>
          </w:rPr>
          <w:fldChar w:fldCharType="end"/>
        </w:r>
      </w:hyperlink>
    </w:p>
    <w:p w14:paraId="3B21DC37" w14:textId="5E04CEC1" w:rsidR="00917FAF" w:rsidRDefault="00E12FA7">
      <w:pPr>
        <w:pStyle w:val="TOC2"/>
        <w:rPr>
          <w:rFonts w:asciiTheme="minorHAnsi" w:eastAsiaTheme="minorEastAsia" w:hAnsiTheme="minorHAnsi" w:cstheme="minorBidi"/>
          <w:noProof/>
          <w:sz w:val="22"/>
          <w:szCs w:val="22"/>
        </w:rPr>
      </w:pPr>
      <w:hyperlink w:anchor="_Toc51331512" w:history="1">
        <w:r w:rsidR="00917FAF" w:rsidRPr="006E14FE">
          <w:rPr>
            <w:rStyle w:val="Hyperlink"/>
            <w:noProof/>
          </w:rPr>
          <w:t>8.8</w:t>
        </w:r>
        <w:r w:rsidR="00917FAF">
          <w:rPr>
            <w:rFonts w:asciiTheme="minorHAnsi" w:eastAsiaTheme="minorEastAsia" w:hAnsiTheme="minorHAnsi" w:cstheme="minorBidi"/>
            <w:noProof/>
            <w:sz w:val="22"/>
            <w:szCs w:val="22"/>
          </w:rPr>
          <w:tab/>
        </w:r>
        <w:r w:rsidR="00917FAF" w:rsidRPr="006E14FE">
          <w:rPr>
            <w:rStyle w:val="Hyperlink"/>
            <w:noProof/>
          </w:rPr>
          <w:t>Fellowships</w:t>
        </w:r>
        <w:r w:rsidR="00917FAF">
          <w:rPr>
            <w:noProof/>
            <w:webHidden/>
          </w:rPr>
          <w:tab/>
        </w:r>
        <w:r w:rsidR="00917FAF">
          <w:rPr>
            <w:noProof/>
            <w:webHidden/>
          </w:rPr>
          <w:fldChar w:fldCharType="begin"/>
        </w:r>
        <w:r w:rsidR="00917FAF">
          <w:rPr>
            <w:noProof/>
            <w:webHidden/>
          </w:rPr>
          <w:instrText xml:space="preserve"> PAGEREF _Toc51331512 \h </w:instrText>
        </w:r>
        <w:r w:rsidR="00917FAF">
          <w:rPr>
            <w:noProof/>
            <w:webHidden/>
          </w:rPr>
        </w:r>
        <w:r w:rsidR="00917FAF">
          <w:rPr>
            <w:noProof/>
            <w:webHidden/>
          </w:rPr>
          <w:fldChar w:fldCharType="separate"/>
        </w:r>
        <w:r w:rsidR="00917FAF">
          <w:rPr>
            <w:noProof/>
            <w:webHidden/>
          </w:rPr>
          <w:t>26</w:t>
        </w:r>
        <w:r w:rsidR="00917FAF">
          <w:rPr>
            <w:noProof/>
            <w:webHidden/>
          </w:rPr>
          <w:fldChar w:fldCharType="end"/>
        </w:r>
      </w:hyperlink>
    </w:p>
    <w:p w14:paraId="1D09F1D7" w14:textId="58331F0F" w:rsidR="00917FAF" w:rsidRDefault="00E12FA7">
      <w:pPr>
        <w:pStyle w:val="TOC1"/>
        <w:rPr>
          <w:rFonts w:asciiTheme="minorHAnsi" w:eastAsiaTheme="minorEastAsia" w:hAnsiTheme="minorHAnsi" w:cstheme="minorBidi"/>
          <w:noProof/>
          <w:sz w:val="22"/>
          <w:szCs w:val="22"/>
        </w:rPr>
      </w:pPr>
      <w:hyperlink w:anchor="_Toc51331513" w:history="1">
        <w:r w:rsidR="00917FAF" w:rsidRPr="006E14FE">
          <w:rPr>
            <w:rStyle w:val="Hyperlink"/>
            <w:noProof/>
          </w:rPr>
          <w:t>9</w:t>
        </w:r>
        <w:r w:rsidR="00917FAF">
          <w:rPr>
            <w:rFonts w:asciiTheme="minorHAnsi" w:eastAsiaTheme="minorEastAsia" w:hAnsiTheme="minorHAnsi" w:cstheme="minorBidi"/>
            <w:noProof/>
            <w:sz w:val="22"/>
            <w:szCs w:val="22"/>
          </w:rPr>
          <w:tab/>
        </w:r>
        <w:r w:rsidR="00917FAF" w:rsidRPr="006E14FE">
          <w:rPr>
            <w:rStyle w:val="Hyperlink"/>
            <w:noProof/>
          </w:rPr>
          <w:t>Using ICTs to bridge the financial inclusion gap</w:t>
        </w:r>
        <w:r w:rsidR="00917FAF">
          <w:rPr>
            <w:noProof/>
            <w:webHidden/>
          </w:rPr>
          <w:tab/>
        </w:r>
        <w:r w:rsidR="00917FAF">
          <w:rPr>
            <w:noProof/>
            <w:webHidden/>
          </w:rPr>
          <w:fldChar w:fldCharType="begin"/>
        </w:r>
        <w:r w:rsidR="00917FAF">
          <w:rPr>
            <w:noProof/>
            <w:webHidden/>
          </w:rPr>
          <w:instrText xml:space="preserve"> PAGEREF _Toc51331513 \h </w:instrText>
        </w:r>
        <w:r w:rsidR="00917FAF">
          <w:rPr>
            <w:noProof/>
            <w:webHidden/>
          </w:rPr>
        </w:r>
        <w:r w:rsidR="00917FAF">
          <w:rPr>
            <w:noProof/>
            <w:webHidden/>
          </w:rPr>
          <w:fldChar w:fldCharType="separate"/>
        </w:r>
        <w:r w:rsidR="00917FAF">
          <w:rPr>
            <w:noProof/>
            <w:webHidden/>
          </w:rPr>
          <w:t>26</w:t>
        </w:r>
        <w:r w:rsidR="00917FAF">
          <w:rPr>
            <w:noProof/>
            <w:webHidden/>
          </w:rPr>
          <w:fldChar w:fldCharType="end"/>
        </w:r>
      </w:hyperlink>
    </w:p>
    <w:p w14:paraId="218F8000" w14:textId="2275C61C" w:rsidR="00917FAF" w:rsidRDefault="00E12FA7">
      <w:pPr>
        <w:pStyle w:val="TOC2"/>
        <w:rPr>
          <w:rFonts w:asciiTheme="minorHAnsi" w:eastAsiaTheme="minorEastAsia" w:hAnsiTheme="minorHAnsi" w:cstheme="minorBidi"/>
          <w:noProof/>
          <w:sz w:val="22"/>
          <w:szCs w:val="22"/>
        </w:rPr>
      </w:pPr>
      <w:hyperlink w:anchor="_Toc51331514" w:history="1">
        <w:r w:rsidR="00917FAF" w:rsidRPr="006E14FE">
          <w:rPr>
            <w:rStyle w:val="Hyperlink"/>
            <w:noProof/>
          </w:rPr>
          <w:t>9.1</w:t>
        </w:r>
        <w:r w:rsidR="00917FAF">
          <w:rPr>
            <w:rFonts w:asciiTheme="minorHAnsi" w:eastAsiaTheme="minorEastAsia" w:hAnsiTheme="minorHAnsi" w:cstheme="minorBidi"/>
            <w:noProof/>
            <w:sz w:val="22"/>
            <w:szCs w:val="22"/>
          </w:rPr>
          <w:tab/>
        </w:r>
        <w:r w:rsidR="00917FAF" w:rsidRPr="006E14FE">
          <w:rPr>
            <w:rStyle w:val="Hyperlink"/>
            <w:noProof/>
          </w:rPr>
          <w:t>Financial Inclusion Global Initiative (FIGI)</w:t>
        </w:r>
        <w:r w:rsidR="00917FAF">
          <w:rPr>
            <w:noProof/>
            <w:webHidden/>
          </w:rPr>
          <w:tab/>
        </w:r>
        <w:r w:rsidR="00917FAF">
          <w:rPr>
            <w:noProof/>
            <w:webHidden/>
          </w:rPr>
          <w:fldChar w:fldCharType="begin"/>
        </w:r>
        <w:r w:rsidR="00917FAF">
          <w:rPr>
            <w:noProof/>
            <w:webHidden/>
          </w:rPr>
          <w:instrText xml:space="preserve"> PAGEREF _Toc51331514 \h </w:instrText>
        </w:r>
        <w:r w:rsidR="00917FAF">
          <w:rPr>
            <w:noProof/>
            <w:webHidden/>
          </w:rPr>
        </w:r>
        <w:r w:rsidR="00917FAF">
          <w:rPr>
            <w:noProof/>
            <w:webHidden/>
          </w:rPr>
          <w:fldChar w:fldCharType="separate"/>
        </w:r>
        <w:r w:rsidR="00917FAF">
          <w:rPr>
            <w:noProof/>
            <w:webHidden/>
          </w:rPr>
          <w:t>26</w:t>
        </w:r>
        <w:r w:rsidR="00917FAF">
          <w:rPr>
            <w:noProof/>
            <w:webHidden/>
          </w:rPr>
          <w:fldChar w:fldCharType="end"/>
        </w:r>
      </w:hyperlink>
    </w:p>
    <w:p w14:paraId="192E5100" w14:textId="11250FD8" w:rsidR="00917FAF" w:rsidRDefault="00E12FA7">
      <w:pPr>
        <w:pStyle w:val="TOC2"/>
        <w:rPr>
          <w:rFonts w:asciiTheme="minorHAnsi" w:eastAsiaTheme="minorEastAsia" w:hAnsiTheme="minorHAnsi" w:cstheme="minorBidi"/>
          <w:noProof/>
          <w:sz w:val="22"/>
          <w:szCs w:val="22"/>
        </w:rPr>
      </w:pPr>
      <w:hyperlink w:anchor="_Toc51331515" w:history="1">
        <w:r w:rsidR="00917FAF" w:rsidRPr="006E14FE">
          <w:rPr>
            <w:rStyle w:val="Hyperlink"/>
            <w:noProof/>
          </w:rPr>
          <w:t>9.2</w:t>
        </w:r>
        <w:r w:rsidR="00917FAF">
          <w:rPr>
            <w:rFonts w:asciiTheme="minorHAnsi" w:eastAsiaTheme="minorEastAsia" w:hAnsiTheme="minorHAnsi" w:cstheme="minorBidi"/>
            <w:noProof/>
            <w:sz w:val="22"/>
            <w:szCs w:val="22"/>
          </w:rPr>
          <w:tab/>
        </w:r>
        <w:r w:rsidR="00917FAF" w:rsidRPr="006E14FE">
          <w:rPr>
            <w:rStyle w:val="Hyperlink"/>
            <w:noProof/>
          </w:rPr>
          <w:t>Standardization Activities in ITU-T Study Groups</w:t>
        </w:r>
        <w:r w:rsidR="00917FAF">
          <w:rPr>
            <w:noProof/>
            <w:webHidden/>
          </w:rPr>
          <w:tab/>
        </w:r>
        <w:r w:rsidR="00917FAF">
          <w:rPr>
            <w:noProof/>
            <w:webHidden/>
          </w:rPr>
          <w:fldChar w:fldCharType="begin"/>
        </w:r>
        <w:r w:rsidR="00917FAF">
          <w:rPr>
            <w:noProof/>
            <w:webHidden/>
          </w:rPr>
          <w:instrText xml:space="preserve"> PAGEREF _Toc51331515 \h </w:instrText>
        </w:r>
        <w:r w:rsidR="00917FAF">
          <w:rPr>
            <w:noProof/>
            <w:webHidden/>
          </w:rPr>
        </w:r>
        <w:r w:rsidR="00917FAF">
          <w:rPr>
            <w:noProof/>
            <w:webHidden/>
          </w:rPr>
          <w:fldChar w:fldCharType="separate"/>
        </w:r>
        <w:r w:rsidR="00917FAF">
          <w:rPr>
            <w:noProof/>
            <w:webHidden/>
          </w:rPr>
          <w:t>27</w:t>
        </w:r>
        <w:r w:rsidR="00917FAF">
          <w:rPr>
            <w:noProof/>
            <w:webHidden/>
          </w:rPr>
          <w:fldChar w:fldCharType="end"/>
        </w:r>
      </w:hyperlink>
    </w:p>
    <w:p w14:paraId="20E62E0A" w14:textId="2E6F4339" w:rsidR="00917FAF" w:rsidRDefault="00E12FA7">
      <w:pPr>
        <w:pStyle w:val="TOC2"/>
        <w:rPr>
          <w:rFonts w:asciiTheme="minorHAnsi" w:eastAsiaTheme="minorEastAsia" w:hAnsiTheme="minorHAnsi" w:cstheme="minorBidi"/>
          <w:noProof/>
          <w:sz w:val="22"/>
          <w:szCs w:val="22"/>
        </w:rPr>
      </w:pPr>
      <w:hyperlink w:anchor="_Toc51331516" w:history="1">
        <w:r w:rsidR="00917FAF" w:rsidRPr="006E14FE">
          <w:rPr>
            <w:rStyle w:val="Hyperlink"/>
            <w:noProof/>
          </w:rPr>
          <w:t>9.3</w:t>
        </w:r>
        <w:r w:rsidR="00917FAF">
          <w:rPr>
            <w:rFonts w:asciiTheme="minorHAnsi" w:eastAsiaTheme="minorEastAsia" w:hAnsiTheme="minorHAnsi" w:cstheme="minorBidi"/>
            <w:noProof/>
            <w:sz w:val="22"/>
            <w:szCs w:val="22"/>
          </w:rPr>
          <w:tab/>
        </w:r>
        <w:r w:rsidR="00917FAF" w:rsidRPr="006E14FE">
          <w:rPr>
            <w:rStyle w:val="Hyperlink"/>
            <w:noProof/>
          </w:rPr>
          <w:t>DFS webinar series during COVID-19</w:t>
        </w:r>
        <w:r w:rsidR="00917FAF">
          <w:rPr>
            <w:noProof/>
            <w:webHidden/>
          </w:rPr>
          <w:tab/>
        </w:r>
        <w:r w:rsidR="00917FAF">
          <w:rPr>
            <w:noProof/>
            <w:webHidden/>
          </w:rPr>
          <w:fldChar w:fldCharType="begin"/>
        </w:r>
        <w:r w:rsidR="00917FAF">
          <w:rPr>
            <w:noProof/>
            <w:webHidden/>
          </w:rPr>
          <w:instrText xml:space="preserve"> PAGEREF _Toc51331516 \h </w:instrText>
        </w:r>
        <w:r w:rsidR="00917FAF">
          <w:rPr>
            <w:noProof/>
            <w:webHidden/>
          </w:rPr>
        </w:r>
        <w:r w:rsidR="00917FAF">
          <w:rPr>
            <w:noProof/>
            <w:webHidden/>
          </w:rPr>
          <w:fldChar w:fldCharType="separate"/>
        </w:r>
        <w:r w:rsidR="00917FAF">
          <w:rPr>
            <w:noProof/>
            <w:webHidden/>
          </w:rPr>
          <w:t>28</w:t>
        </w:r>
        <w:r w:rsidR="00917FAF">
          <w:rPr>
            <w:noProof/>
            <w:webHidden/>
          </w:rPr>
          <w:fldChar w:fldCharType="end"/>
        </w:r>
      </w:hyperlink>
    </w:p>
    <w:p w14:paraId="39810296" w14:textId="235547B0" w:rsidR="00917FAF" w:rsidRDefault="00E12FA7">
      <w:pPr>
        <w:pStyle w:val="TOC2"/>
        <w:rPr>
          <w:rFonts w:asciiTheme="minorHAnsi" w:eastAsiaTheme="minorEastAsia" w:hAnsiTheme="minorHAnsi" w:cstheme="minorBidi"/>
          <w:noProof/>
          <w:sz w:val="22"/>
          <w:szCs w:val="22"/>
        </w:rPr>
      </w:pPr>
      <w:hyperlink w:anchor="_Toc51331517" w:history="1">
        <w:r w:rsidR="00917FAF" w:rsidRPr="006E14FE">
          <w:rPr>
            <w:rStyle w:val="Hyperlink"/>
            <w:noProof/>
          </w:rPr>
          <w:t>9.4</w:t>
        </w:r>
        <w:r w:rsidR="00917FAF">
          <w:rPr>
            <w:rFonts w:asciiTheme="minorHAnsi" w:eastAsiaTheme="minorEastAsia" w:hAnsiTheme="minorHAnsi" w:cstheme="minorBidi"/>
            <w:noProof/>
            <w:sz w:val="22"/>
            <w:szCs w:val="22"/>
          </w:rPr>
          <w:tab/>
        </w:r>
        <w:r w:rsidR="00917FAF" w:rsidRPr="006E14FE">
          <w:rPr>
            <w:rStyle w:val="Hyperlink"/>
            <w:noProof/>
          </w:rPr>
          <w:t>Digital Currency Global Initiative</w:t>
        </w:r>
        <w:r w:rsidR="00917FAF">
          <w:rPr>
            <w:noProof/>
            <w:webHidden/>
          </w:rPr>
          <w:tab/>
        </w:r>
        <w:r w:rsidR="00917FAF">
          <w:rPr>
            <w:noProof/>
            <w:webHidden/>
          </w:rPr>
          <w:fldChar w:fldCharType="begin"/>
        </w:r>
        <w:r w:rsidR="00917FAF">
          <w:rPr>
            <w:noProof/>
            <w:webHidden/>
          </w:rPr>
          <w:instrText xml:space="preserve"> PAGEREF _Toc51331517 \h </w:instrText>
        </w:r>
        <w:r w:rsidR="00917FAF">
          <w:rPr>
            <w:noProof/>
            <w:webHidden/>
          </w:rPr>
        </w:r>
        <w:r w:rsidR="00917FAF">
          <w:rPr>
            <w:noProof/>
            <w:webHidden/>
          </w:rPr>
          <w:fldChar w:fldCharType="separate"/>
        </w:r>
        <w:r w:rsidR="00917FAF">
          <w:rPr>
            <w:noProof/>
            <w:webHidden/>
          </w:rPr>
          <w:t>28</w:t>
        </w:r>
        <w:r w:rsidR="00917FAF">
          <w:rPr>
            <w:noProof/>
            <w:webHidden/>
          </w:rPr>
          <w:fldChar w:fldCharType="end"/>
        </w:r>
      </w:hyperlink>
    </w:p>
    <w:p w14:paraId="254CFCE0" w14:textId="741218EF" w:rsidR="00917FAF" w:rsidRDefault="00E12FA7">
      <w:pPr>
        <w:pStyle w:val="TOC1"/>
        <w:rPr>
          <w:rFonts w:asciiTheme="minorHAnsi" w:eastAsiaTheme="minorEastAsia" w:hAnsiTheme="minorHAnsi" w:cstheme="minorBidi"/>
          <w:noProof/>
          <w:sz w:val="22"/>
          <w:szCs w:val="22"/>
        </w:rPr>
      </w:pPr>
      <w:hyperlink w:anchor="_Toc51331518" w:history="1">
        <w:r w:rsidR="00917FAF" w:rsidRPr="006E14FE">
          <w:rPr>
            <w:rStyle w:val="Hyperlink"/>
            <w:noProof/>
          </w:rPr>
          <w:t>10</w:t>
        </w:r>
        <w:r w:rsidR="00917FAF">
          <w:rPr>
            <w:rFonts w:asciiTheme="minorHAnsi" w:eastAsiaTheme="minorEastAsia" w:hAnsiTheme="minorHAnsi" w:cstheme="minorBidi"/>
            <w:noProof/>
            <w:sz w:val="22"/>
            <w:szCs w:val="22"/>
          </w:rPr>
          <w:tab/>
        </w:r>
        <w:r w:rsidR="00917FAF" w:rsidRPr="006E14FE">
          <w:rPr>
            <w:rStyle w:val="Hyperlink"/>
            <w:noProof/>
          </w:rPr>
          <w:t>Membership</w:t>
        </w:r>
        <w:r w:rsidR="00917FAF">
          <w:rPr>
            <w:noProof/>
            <w:webHidden/>
          </w:rPr>
          <w:tab/>
        </w:r>
        <w:r w:rsidR="00917FAF">
          <w:rPr>
            <w:noProof/>
            <w:webHidden/>
          </w:rPr>
          <w:fldChar w:fldCharType="begin"/>
        </w:r>
        <w:r w:rsidR="00917FAF">
          <w:rPr>
            <w:noProof/>
            <w:webHidden/>
          </w:rPr>
          <w:instrText xml:space="preserve"> PAGEREF _Toc51331518 \h </w:instrText>
        </w:r>
        <w:r w:rsidR="00917FAF">
          <w:rPr>
            <w:noProof/>
            <w:webHidden/>
          </w:rPr>
        </w:r>
        <w:r w:rsidR="00917FAF">
          <w:rPr>
            <w:noProof/>
            <w:webHidden/>
          </w:rPr>
          <w:fldChar w:fldCharType="separate"/>
        </w:r>
        <w:r w:rsidR="00917FAF">
          <w:rPr>
            <w:noProof/>
            <w:webHidden/>
          </w:rPr>
          <w:t>29</w:t>
        </w:r>
        <w:r w:rsidR="00917FAF">
          <w:rPr>
            <w:noProof/>
            <w:webHidden/>
          </w:rPr>
          <w:fldChar w:fldCharType="end"/>
        </w:r>
      </w:hyperlink>
    </w:p>
    <w:p w14:paraId="158DE2B0" w14:textId="0B407664" w:rsidR="00917FAF" w:rsidRDefault="00E12FA7">
      <w:pPr>
        <w:pStyle w:val="TOC2"/>
        <w:rPr>
          <w:rFonts w:asciiTheme="minorHAnsi" w:eastAsiaTheme="minorEastAsia" w:hAnsiTheme="minorHAnsi" w:cstheme="minorBidi"/>
          <w:noProof/>
          <w:sz w:val="22"/>
          <w:szCs w:val="22"/>
        </w:rPr>
      </w:pPr>
      <w:hyperlink w:anchor="_Toc51331519" w:history="1">
        <w:r w:rsidR="00917FAF" w:rsidRPr="006E14FE">
          <w:rPr>
            <w:rStyle w:val="Hyperlink"/>
            <w:noProof/>
          </w:rPr>
          <w:t>10.1</w:t>
        </w:r>
        <w:r w:rsidR="00917FAF">
          <w:rPr>
            <w:rFonts w:asciiTheme="minorHAnsi" w:eastAsiaTheme="minorEastAsia" w:hAnsiTheme="minorHAnsi" w:cstheme="minorBidi"/>
            <w:noProof/>
            <w:sz w:val="22"/>
            <w:szCs w:val="22"/>
          </w:rPr>
          <w:tab/>
        </w:r>
        <w:r w:rsidR="00917FAF" w:rsidRPr="006E14FE">
          <w:rPr>
            <w:rStyle w:val="Hyperlink"/>
            <w:noProof/>
          </w:rPr>
          <w:t>Snapshot of ITU-T membership in 2020</w:t>
        </w:r>
        <w:r w:rsidR="00917FAF">
          <w:rPr>
            <w:noProof/>
            <w:webHidden/>
          </w:rPr>
          <w:tab/>
        </w:r>
        <w:r w:rsidR="00917FAF">
          <w:rPr>
            <w:noProof/>
            <w:webHidden/>
          </w:rPr>
          <w:fldChar w:fldCharType="begin"/>
        </w:r>
        <w:r w:rsidR="00917FAF">
          <w:rPr>
            <w:noProof/>
            <w:webHidden/>
          </w:rPr>
          <w:instrText xml:space="preserve"> PAGEREF _Toc51331519 \h </w:instrText>
        </w:r>
        <w:r w:rsidR="00917FAF">
          <w:rPr>
            <w:noProof/>
            <w:webHidden/>
          </w:rPr>
        </w:r>
        <w:r w:rsidR="00917FAF">
          <w:rPr>
            <w:noProof/>
            <w:webHidden/>
          </w:rPr>
          <w:fldChar w:fldCharType="separate"/>
        </w:r>
        <w:r w:rsidR="00917FAF">
          <w:rPr>
            <w:noProof/>
            <w:webHidden/>
          </w:rPr>
          <w:t>29</w:t>
        </w:r>
        <w:r w:rsidR="00917FAF">
          <w:rPr>
            <w:noProof/>
            <w:webHidden/>
          </w:rPr>
          <w:fldChar w:fldCharType="end"/>
        </w:r>
      </w:hyperlink>
    </w:p>
    <w:p w14:paraId="7F3E2E16" w14:textId="01E0AD6A" w:rsidR="00917FAF" w:rsidRDefault="00E12FA7">
      <w:pPr>
        <w:pStyle w:val="TOC2"/>
        <w:rPr>
          <w:rFonts w:asciiTheme="minorHAnsi" w:eastAsiaTheme="minorEastAsia" w:hAnsiTheme="minorHAnsi" w:cstheme="minorBidi"/>
          <w:noProof/>
          <w:sz w:val="22"/>
          <w:szCs w:val="22"/>
        </w:rPr>
      </w:pPr>
      <w:hyperlink w:anchor="_Toc51331520" w:history="1">
        <w:r w:rsidR="00917FAF" w:rsidRPr="006E14FE">
          <w:rPr>
            <w:rStyle w:val="Hyperlink"/>
            <w:noProof/>
          </w:rPr>
          <w:t>10.2</w:t>
        </w:r>
        <w:r w:rsidR="00917FAF">
          <w:rPr>
            <w:rFonts w:asciiTheme="minorHAnsi" w:eastAsiaTheme="minorEastAsia" w:hAnsiTheme="minorHAnsi" w:cstheme="minorBidi"/>
            <w:noProof/>
            <w:sz w:val="22"/>
            <w:szCs w:val="22"/>
          </w:rPr>
          <w:tab/>
        </w:r>
        <w:r w:rsidR="00917FAF" w:rsidRPr="006E14FE">
          <w:rPr>
            <w:rStyle w:val="Hyperlink"/>
            <w:noProof/>
          </w:rPr>
          <w:t>ITU-T news moves to MyITU</w:t>
        </w:r>
        <w:r w:rsidR="00917FAF">
          <w:rPr>
            <w:noProof/>
            <w:webHidden/>
          </w:rPr>
          <w:tab/>
        </w:r>
        <w:r w:rsidR="00917FAF">
          <w:rPr>
            <w:noProof/>
            <w:webHidden/>
          </w:rPr>
          <w:fldChar w:fldCharType="begin"/>
        </w:r>
        <w:r w:rsidR="00917FAF">
          <w:rPr>
            <w:noProof/>
            <w:webHidden/>
          </w:rPr>
          <w:instrText xml:space="preserve"> PAGEREF _Toc51331520 \h </w:instrText>
        </w:r>
        <w:r w:rsidR="00917FAF">
          <w:rPr>
            <w:noProof/>
            <w:webHidden/>
          </w:rPr>
        </w:r>
        <w:r w:rsidR="00917FAF">
          <w:rPr>
            <w:noProof/>
            <w:webHidden/>
          </w:rPr>
          <w:fldChar w:fldCharType="separate"/>
        </w:r>
        <w:r w:rsidR="00917FAF">
          <w:rPr>
            <w:noProof/>
            <w:webHidden/>
          </w:rPr>
          <w:t>30</w:t>
        </w:r>
        <w:r w:rsidR="00917FAF">
          <w:rPr>
            <w:noProof/>
            <w:webHidden/>
          </w:rPr>
          <w:fldChar w:fldCharType="end"/>
        </w:r>
      </w:hyperlink>
    </w:p>
    <w:p w14:paraId="0F7AEC05" w14:textId="74065656" w:rsidR="00917FAF" w:rsidRDefault="00E12FA7">
      <w:pPr>
        <w:pStyle w:val="TOC2"/>
        <w:rPr>
          <w:rFonts w:asciiTheme="minorHAnsi" w:eastAsiaTheme="minorEastAsia" w:hAnsiTheme="minorHAnsi" w:cstheme="minorBidi"/>
          <w:noProof/>
          <w:sz w:val="22"/>
          <w:szCs w:val="22"/>
        </w:rPr>
      </w:pPr>
      <w:hyperlink w:anchor="_Toc51331521" w:history="1">
        <w:r w:rsidR="00917FAF" w:rsidRPr="006E14FE">
          <w:rPr>
            <w:rStyle w:val="Hyperlink"/>
            <w:noProof/>
          </w:rPr>
          <w:t>10.3</w:t>
        </w:r>
        <w:r w:rsidR="00917FAF">
          <w:rPr>
            <w:rFonts w:asciiTheme="minorHAnsi" w:eastAsiaTheme="minorEastAsia" w:hAnsiTheme="minorHAnsi" w:cstheme="minorBidi"/>
            <w:noProof/>
            <w:sz w:val="22"/>
            <w:szCs w:val="22"/>
          </w:rPr>
          <w:tab/>
        </w:r>
        <w:r w:rsidR="00917FAF" w:rsidRPr="006E14FE">
          <w:rPr>
            <w:rStyle w:val="Hyperlink"/>
            <w:noProof/>
          </w:rPr>
          <w:t>Evolution of ITU-T membership</w:t>
        </w:r>
        <w:r w:rsidR="00917FAF">
          <w:rPr>
            <w:noProof/>
            <w:webHidden/>
          </w:rPr>
          <w:tab/>
        </w:r>
        <w:r w:rsidR="00917FAF">
          <w:rPr>
            <w:noProof/>
            <w:webHidden/>
          </w:rPr>
          <w:fldChar w:fldCharType="begin"/>
        </w:r>
        <w:r w:rsidR="00917FAF">
          <w:rPr>
            <w:noProof/>
            <w:webHidden/>
          </w:rPr>
          <w:instrText xml:space="preserve"> PAGEREF _Toc51331521 \h </w:instrText>
        </w:r>
        <w:r w:rsidR="00917FAF">
          <w:rPr>
            <w:noProof/>
            <w:webHidden/>
          </w:rPr>
        </w:r>
        <w:r w:rsidR="00917FAF">
          <w:rPr>
            <w:noProof/>
            <w:webHidden/>
          </w:rPr>
          <w:fldChar w:fldCharType="separate"/>
        </w:r>
        <w:r w:rsidR="00917FAF">
          <w:rPr>
            <w:noProof/>
            <w:webHidden/>
          </w:rPr>
          <w:t>30</w:t>
        </w:r>
        <w:r w:rsidR="00917FAF">
          <w:rPr>
            <w:noProof/>
            <w:webHidden/>
          </w:rPr>
          <w:fldChar w:fldCharType="end"/>
        </w:r>
      </w:hyperlink>
    </w:p>
    <w:p w14:paraId="79BD3030" w14:textId="1898FA86" w:rsidR="00917FAF" w:rsidRDefault="00E12FA7">
      <w:pPr>
        <w:pStyle w:val="TOC2"/>
        <w:rPr>
          <w:rFonts w:asciiTheme="minorHAnsi" w:eastAsiaTheme="minorEastAsia" w:hAnsiTheme="minorHAnsi" w:cstheme="minorBidi"/>
          <w:noProof/>
          <w:sz w:val="22"/>
          <w:szCs w:val="22"/>
        </w:rPr>
      </w:pPr>
      <w:hyperlink w:anchor="_Toc51331522" w:history="1">
        <w:r w:rsidR="00917FAF" w:rsidRPr="006E14FE">
          <w:rPr>
            <w:rStyle w:val="Hyperlink"/>
            <w:noProof/>
          </w:rPr>
          <w:t>10.2</w:t>
        </w:r>
        <w:r w:rsidR="00917FAF">
          <w:rPr>
            <w:rFonts w:asciiTheme="minorHAnsi" w:eastAsiaTheme="minorEastAsia" w:hAnsiTheme="minorHAnsi" w:cstheme="minorBidi"/>
            <w:noProof/>
            <w:sz w:val="22"/>
            <w:szCs w:val="22"/>
          </w:rPr>
          <w:tab/>
        </w:r>
        <w:r w:rsidR="00917FAF" w:rsidRPr="006E14FE">
          <w:rPr>
            <w:rStyle w:val="Hyperlink"/>
            <w:noProof/>
          </w:rPr>
          <w:t>Conclusion of SME Pilot Project and implementation of a reduced Associate fee structure for SMEs</w:t>
        </w:r>
        <w:r w:rsidR="00917FAF">
          <w:rPr>
            <w:noProof/>
            <w:webHidden/>
          </w:rPr>
          <w:tab/>
        </w:r>
        <w:r w:rsidR="00917FAF">
          <w:rPr>
            <w:noProof/>
            <w:webHidden/>
          </w:rPr>
          <w:fldChar w:fldCharType="begin"/>
        </w:r>
        <w:r w:rsidR="00917FAF">
          <w:rPr>
            <w:noProof/>
            <w:webHidden/>
          </w:rPr>
          <w:instrText xml:space="preserve"> PAGEREF _Toc51331522 \h </w:instrText>
        </w:r>
        <w:r w:rsidR="00917FAF">
          <w:rPr>
            <w:noProof/>
            <w:webHidden/>
          </w:rPr>
        </w:r>
        <w:r w:rsidR="00917FAF">
          <w:rPr>
            <w:noProof/>
            <w:webHidden/>
          </w:rPr>
          <w:fldChar w:fldCharType="separate"/>
        </w:r>
        <w:r w:rsidR="00917FAF">
          <w:rPr>
            <w:noProof/>
            <w:webHidden/>
          </w:rPr>
          <w:t>31</w:t>
        </w:r>
        <w:r w:rsidR="00917FAF">
          <w:rPr>
            <w:noProof/>
            <w:webHidden/>
          </w:rPr>
          <w:fldChar w:fldCharType="end"/>
        </w:r>
      </w:hyperlink>
    </w:p>
    <w:p w14:paraId="69EEA05D" w14:textId="32649759" w:rsidR="00917FAF" w:rsidRDefault="00E12FA7">
      <w:pPr>
        <w:pStyle w:val="TOC1"/>
        <w:rPr>
          <w:rFonts w:asciiTheme="minorHAnsi" w:eastAsiaTheme="minorEastAsia" w:hAnsiTheme="minorHAnsi" w:cstheme="minorBidi"/>
          <w:noProof/>
          <w:sz w:val="22"/>
          <w:szCs w:val="22"/>
        </w:rPr>
      </w:pPr>
      <w:hyperlink w:anchor="_Toc51331523" w:history="1">
        <w:r w:rsidR="00917FAF" w:rsidRPr="006E14FE">
          <w:rPr>
            <w:rStyle w:val="Hyperlink"/>
            <w:noProof/>
          </w:rPr>
          <w:t>11</w:t>
        </w:r>
        <w:r w:rsidR="00917FAF">
          <w:rPr>
            <w:rFonts w:asciiTheme="minorHAnsi" w:eastAsiaTheme="minorEastAsia" w:hAnsiTheme="minorHAnsi" w:cstheme="minorBidi"/>
            <w:noProof/>
            <w:sz w:val="22"/>
            <w:szCs w:val="22"/>
          </w:rPr>
          <w:tab/>
        </w:r>
        <w:r w:rsidR="00917FAF" w:rsidRPr="006E14FE">
          <w:rPr>
            <w:rStyle w:val="Hyperlink"/>
            <w:noProof/>
          </w:rPr>
          <w:t>Gender</w:t>
        </w:r>
        <w:r w:rsidR="00917FAF">
          <w:rPr>
            <w:noProof/>
            <w:webHidden/>
          </w:rPr>
          <w:tab/>
        </w:r>
        <w:r w:rsidR="00917FAF">
          <w:rPr>
            <w:noProof/>
            <w:webHidden/>
          </w:rPr>
          <w:fldChar w:fldCharType="begin"/>
        </w:r>
        <w:r w:rsidR="00917FAF">
          <w:rPr>
            <w:noProof/>
            <w:webHidden/>
          </w:rPr>
          <w:instrText xml:space="preserve"> PAGEREF _Toc51331523 \h </w:instrText>
        </w:r>
        <w:r w:rsidR="00917FAF">
          <w:rPr>
            <w:noProof/>
            <w:webHidden/>
          </w:rPr>
        </w:r>
        <w:r w:rsidR="00917FAF">
          <w:rPr>
            <w:noProof/>
            <w:webHidden/>
          </w:rPr>
          <w:fldChar w:fldCharType="separate"/>
        </w:r>
        <w:r w:rsidR="00917FAF">
          <w:rPr>
            <w:noProof/>
            <w:webHidden/>
          </w:rPr>
          <w:t>32</w:t>
        </w:r>
        <w:r w:rsidR="00917FAF">
          <w:rPr>
            <w:noProof/>
            <w:webHidden/>
          </w:rPr>
          <w:fldChar w:fldCharType="end"/>
        </w:r>
      </w:hyperlink>
    </w:p>
    <w:p w14:paraId="028B049A" w14:textId="47FA8A13" w:rsidR="00917FAF" w:rsidRDefault="00E12FA7">
      <w:pPr>
        <w:pStyle w:val="TOC1"/>
        <w:rPr>
          <w:rFonts w:asciiTheme="minorHAnsi" w:eastAsiaTheme="minorEastAsia" w:hAnsiTheme="minorHAnsi" w:cstheme="minorBidi"/>
          <w:noProof/>
          <w:sz w:val="22"/>
          <w:szCs w:val="22"/>
        </w:rPr>
      </w:pPr>
      <w:hyperlink w:anchor="_Toc51331524" w:history="1">
        <w:r w:rsidR="00917FAF" w:rsidRPr="006E14FE">
          <w:rPr>
            <w:rStyle w:val="Hyperlink"/>
            <w:noProof/>
          </w:rPr>
          <w:t>12</w:t>
        </w:r>
        <w:r w:rsidR="00917FAF">
          <w:rPr>
            <w:rFonts w:asciiTheme="minorHAnsi" w:eastAsiaTheme="minorEastAsia" w:hAnsiTheme="minorHAnsi" w:cstheme="minorBidi"/>
            <w:noProof/>
            <w:sz w:val="22"/>
            <w:szCs w:val="22"/>
          </w:rPr>
          <w:tab/>
        </w:r>
        <w:r w:rsidR="00917FAF" w:rsidRPr="006E14FE">
          <w:rPr>
            <w:rStyle w:val="Hyperlink"/>
            <w:noProof/>
          </w:rPr>
          <w:t>Academia</w:t>
        </w:r>
        <w:r w:rsidR="00917FAF">
          <w:rPr>
            <w:noProof/>
            <w:webHidden/>
          </w:rPr>
          <w:tab/>
        </w:r>
        <w:r w:rsidR="00917FAF">
          <w:rPr>
            <w:noProof/>
            <w:webHidden/>
          </w:rPr>
          <w:fldChar w:fldCharType="begin"/>
        </w:r>
        <w:r w:rsidR="00917FAF">
          <w:rPr>
            <w:noProof/>
            <w:webHidden/>
          </w:rPr>
          <w:instrText xml:space="preserve"> PAGEREF _Toc51331524 \h </w:instrText>
        </w:r>
        <w:r w:rsidR="00917FAF">
          <w:rPr>
            <w:noProof/>
            <w:webHidden/>
          </w:rPr>
        </w:r>
        <w:r w:rsidR="00917FAF">
          <w:rPr>
            <w:noProof/>
            <w:webHidden/>
          </w:rPr>
          <w:fldChar w:fldCharType="separate"/>
        </w:r>
        <w:r w:rsidR="00917FAF">
          <w:rPr>
            <w:noProof/>
            <w:webHidden/>
          </w:rPr>
          <w:t>32</w:t>
        </w:r>
        <w:r w:rsidR="00917FAF">
          <w:rPr>
            <w:noProof/>
            <w:webHidden/>
          </w:rPr>
          <w:fldChar w:fldCharType="end"/>
        </w:r>
      </w:hyperlink>
    </w:p>
    <w:p w14:paraId="2A3C423E" w14:textId="0B1E4C50" w:rsidR="00917FAF" w:rsidRDefault="00E12FA7">
      <w:pPr>
        <w:pStyle w:val="TOC2"/>
        <w:rPr>
          <w:rFonts w:asciiTheme="minorHAnsi" w:eastAsiaTheme="minorEastAsia" w:hAnsiTheme="minorHAnsi" w:cstheme="minorBidi"/>
          <w:noProof/>
          <w:sz w:val="22"/>
          <w:szCs w:val="22"/>
        </w:rPr>
      </w:pPr>
      <w:hyperlink w:anchor="_Toc51331525" w:history="1">
        <w:r w:rsidR="00917FAF" w:rsidRPr="006E14FE">
          <w:rPr>
            <w:rStyle w:val="Hyperlink"/>
            <w:noProof/>
          </w:rPr>
          <w:t>12.1</w:t>
        </w:r>
        <w:r w:rsidR="00917FAF">
          <w:rPr>
            <w:rFonts w:asciiTheme="minorHAnsi" w:eastAsiaTheme="minorEastAsia" w:hAnsiTheme="minorHAnsi" w:cstheme="minorBidi"/>
            <w:noProof/>
            <w:sz w:val="22"/>
            <w:szCs w:val="22"/>
          </w:rPr>
          <w:tab/>
        </w:r>
        <w:r w:rsidR="00917FAF" w:rsidRPr="006E14FE">
          <w:rPr>
            <w:rStyle w:val="Hyperlink"/>
            <w:noProof/>
          </w:rPr>
          <w:t>ITU Kaleidoscope academic conferences</w:t>
        </w:r>
        <w:r w:rsidR="00917FAF">
          <w:rPr>
            <w:noProof/>
            <w:webHidden/>
          </w:rPr>
          <w:tab/>
        </w:r>
        <w:r w:rsidR="00917FAF">
          <w:rPr>
            <w:noProof/>
            <w:webHidden/>
          </w:rPr>
          <w:fldChar w:fldCharType="begin"/>
        </w:r>
        <w:r w:rsidR="00917FAF">
          <w:rPr>
            <w:noProof/>
            <w:webHidden/>
          </w:rPr>
          <w:instrText xml:space="preserve"> PAGEREF _Toc51331525 \h </w:instrText>
        </w:r>
        <w:r w:rsidR="00917FAF">
          <w:rPr>
            <w:noProof/>
            <w:webHidden/>
          </w:rPr>
        </w:r>
        <w:r w:rsidR="00917FAF">
          <w:rPr>
            <w:noProof/>
            <w:webHidden/>
          </w:rPr>
          <w:fldChar w:fldCharType="separate"/>
        </w:r>
        <w:r w:rsidR="00917FAF">
          <w:rPr>
            <w:noProof/>
            <w:webHidden/>
          </w:rPr>
          <w:t>32</w:t>
        </w:r>
        <w:r w:rsidR="00917FAF">
          <w:rPr>
            <w:noProof/>
            <w:webHidden/>
          </w:rPr>
          <w:fldChar w:fldCharType="end"/>
        </w:r>
      </w:hyperlink>
    </w:p>
    <w:p w14:paraId="64C60423" w14:textId="60097295" w:rsidR="00917FAF" w:rsidRDefault="00E12FA7">
      <w:pPr>
        <w:pStyle w:val="TOC2"/>
        <w:rPr>
          <w:rFonts w:asciiTheme="minorHAnsi" w:eastAsiaTheme="minorEastAsia" w:hAnsiTheme="minorHAnsi" w:cstheme="minorBidi"/>
          <w:noProof/>
          <w:sz w:val="22"/>
          <w:szCs w:val="22"/>
        </w:rPr>
      </w:pPr>
      <w:hyperlink w:anchor="_Toc51331526" w:history="1">
        <w:r w:rsidR="00917FAF" w:rsidRPr="006E14FE">
          <w:rPr>
            <w:rStyle w:val="Hyperlink"/>
            <w:noProof/>
          </w:rPr>
          <w:t>12.2</w:t>
        </w:r>
        <w:r w:rsidR="00917FAF">
          <w:rPr>
            <w:rFonts w:asciiTheme="minorHAnsi" w:eastAsiaTheme="minorEastAsia" w:hAnsiTheme="minorHAnsi" w:cstheme="minorBidi"/>
            <w:noProof/>
            <w:sz w:val="22"/>
            <w:szCs w:val="22"/>
          </w:rPr>
          <w:tab/>
        </w:r>
        <w:r w:rsidR="00917FAF" w:rsidRPr="006E14FE">
          <w:rPr>
            <w:rStyle w:val="Hyperlink"/>
            <w:noProof/>
          </w:rPr>
          <w:t>ITU Journal</w:t>
        </w:r>
        <w:r w:rsidR="00917FAF">
          <w:rPr>
            <w:noProof/>
            <w:webHidden/>
          </w:rPr>
          <w:tab/>
        </w:r>
        <w:r w:rsidR="00917FAF">
          <w:rPr>
            <w:noProof/>
            <w:webHidden/>
          </w:rPr>
          <w:fldChar w:fldCharType="begin"/>
        </w:r>
        <w:r w:rsidR="00917FAF">
          <w:rPr>
            <w:noProof/>
            <w:webHidden/>
          </w:rPr>
          <w:instrText xml:space="preserve"> PAGEREF _Toc51331526 \h </w:instrText>
        </w:r>
        <w:r w:rsidR="00917FAF">
          <w:rPr>
            <w:noProof/>
            <w:webHidden/>
          </w:rPr>
        </w:r>
        <w:r w:rsidR="00917FAF">
          <w:rPr>
            <w:noProof/>
            <w:webHidden/>
          </w:rPr>
          <w:fldChar w:fldCharType="separate"/>
        </w:r>
        <w:r w:rsidR="00917FAF">
          <w:rPr>
            <w:noProof/>
            <w:webHidden/>
          </w:rPr>
          <w:t>32</w:t>
        </w:r>
        <w:r w:rsidR="00917FAF">
          <w:rPr>
            <w:noProof/>
            <w:webHidden/>
          </w:rPr>
          <w:fldChar w:fldCharType="end"/>
        </w:r>
      </w:hyperlink>
    </w:p>
    <w:p w14:paraId="1B99ABBA" w14:textId="5EF7EFD3" w:rsidR="00917FAF" w:rsidRDefault="00E12FA7">
      <w:pPr>
        <w:pStyle w:val="TOC2"/>
        <w:rPr>
          <w:rFonts w:asciiTheme="minorHAnsi" w:eastAsiaTheme="minorEastAsia" w:hAnsiTheme="minorHAnsi" w:cstheme="minorBidi"/>
          <w:noProof/>
          <w:sz w:val="22"/>
          <w:szCs w:val="22"/>
        </w:rPr>
      </w:pPr>
      <w:hyperlink w:anchor="_Toc51331527" w:history="1">
        <w:r w:rsidR="00917FAF" w:rsidRPr="006E14FE">
          <w:rPr>
            <w:rStyle w:val="Hyperlink"/>
            <w:noProof/>
          </w:rPr>
          <w:t>12.3</w:t>
        </w:r>
        <w:r w:rsidR="00917FAF">
          <w:rPr>
            <w:rFonts w:asciiTheme="minorHAnsi" w:eastAsiaTheme="minorEastAsia" w:hAnsiTheme="minorHAnsi" w:cstheme="minorBidi"/>
            <w:noProof/>
            <w:sz w:val="22"/>
            <w:szCs w:val="22"/>
          </w:rPr>
          <w:tab/>
        </w:r>
        <w:r w:rsidR="00917FAF" w:rsidRPr="006E14FE">
          <w:rPr>
            <w:rStyle w:val="Hyperlink"/>
            <w:noProof/>
          </w:rPr>
          <w:t>World Standards Cooperation and Academia</w:t>
        </w:r>
        <w:r w:rsidR="00917FAF">
          <w:rPr>
            <w:noProof/>
            <w:webHidden/>
          </w:rPr>
          <w:tab/>
        </w:r>
        <w:r w:rsidR="00917FAF">
          <w:rPr>
            <w:noProof/>
            <w:webHidden/>
          </w:rPr>
          <w:fldChar w:fldCharType="begin"/>
        </w:r>
        <w:r w:rsidR="00917FAF">
          <w:rPr>
            <w:noProof/>
            <w:webHidden/>
          </w:rPr>
          <w:instrText xml:space="preserve"> PAGEREF _Toc51331527 \h </w:instrText>
        </w:r>
        <w:r w:rsidR="00917FAF">
          <w:rPr>
            <w:noProof/>
            <w:webHidden/>
          </w:rPr>
        </w:r>
        <w:r w:rsidR="00917FAF">
          <w:rPr>
            <w:noProof/>
            <w:webHidden/>
          </w:rPr>
          <w:fldChar w:fldCharType="separate"/>
        </w:r>
        <w:r w:rsidR="00917FAF">
          <w:rPr>
            <w:noProof/>
            <w:webHidden/>
          </w:rPr>
          <w:t>33</w:t>
        </w:r>
        <w:r w:rsidR="00917FAF">
          <w:rPr>
            <w:noProof/>
            <w:webHidden/>
          </w:rPr>
          <w:fldChar w:fldCharType="end"/>
        </w:r>
      </w:hyperlink>
    </w:p>
    <w:p w14:paraId="715DBF75" w14:textId="24889B54" w:rsidR="00917FAF" w:rsidRDefault="00E12FA7">
      <w:pPr>
        <w:pStyle w:val="TOC1"/>
        <w:rPr>
          <w:rFonts w:asciiTheme="minorHAnsi" w:eastAsiaTheme="minorEastAsia" w:hAnsiTheme="minorHAnsi" w:cstheme="minorBidi"/>
          <w:noProof/>
          <w:sz w:val="22"/>
          <w:szCs w:val="22"/>
        </w:rPr>
      </w:pPr>
      <w:hyperlink w:anchor="_Toc51331528" w:history="1">
        <w:r w:rsidR="00917FAF" w:rsidRPr="006E14FE">
          <w:rPr>
            <w:rStyle w:val="Hyperlink"/>
            <w:noProof/>
          </w:rPr>
          <w:t>13</w:t>
        </w:r>
        <w:r w:rsidR="00917FAF">
          <w:rPr>
            <w:rFonts w:asciiTheme="minorHAnsi" w:eastAsiaTheme="minorEastAsia" w:hAnsiTheme="minorHAnsi" w:cstheme="minorBidi"/>
            <w:noProof/>
            <w:sz w:val="22"/>
            <w:szCs w:val="22"/>
          </w:rPr>
          <w:tab/>
        </w:r>
        <w:r w:rsidR="00917FAF" w:rsidRPr="006E14FE">
          <w:rPr>
            <w:rStyle w:val="Hyperlink"/>
            <w:noProof/>
          </w:rPr>
          <w:t>Publications</w:t>
        </w:r>
        <w:r w:rsidR="00917FAF">
          <w:rPr>
            <w:noProof/>
            <w:webHidden/>
          </w:rPr>
          <w:tab/>
        </w:r>
        <w:r w:rsidR="00917FAF">
          <w:rPr>
            <w:noProof/>
            <w:webHidden/>
          </w:rPr>
          <w:fldChar w:fldCharType="begin"/>
        </w:r>
        <w:r w:rsidR="00917FAF">
          <w:rPr>
            <w:noProof/>
            <w:webHidden/>
          </w:rPr>
          <w:instrText xml:space="preserve"> PAGEREF _Toc51331528 \h </w:instrText>
        </w:r>
        <w:r w:rsidR="00917FAF">
          <w:rPr>
            <w:noProof/>
            <w:webHidden/>
          </w:rPr>
        </w:r>
        <w:r w:rsidR="00917FAF">
          <w:rPr>
            <w:noProof/>
            <w:webHidden/>
          </w:rPr>
          <w:fldChar w:fldCharType="separate"/>
        </w:r>
        <w:r w:rsidR="00917FAF">
          <w:rPr>
            <w:noProof/>
            <w:webHidden/>
          </w:rPr>
          <w:t>33</w:t>
        </w:r>
        <w:r w:rsidR="00917FAF">
          <w:rPr>
            <w:noProof/>
            <w:webHidden/>
          </w:rPr>
          <w:fldChar w:fldCharType="end"/>
        </w:r>
      </w:hyperlink>
    </w:p>
    <w:p w14:paraId="3486D0E2" w14:textId="73BE511D" w:rsidR="00917FAF" w:rsidRDefault="00E12FA7">
      <w:pPr>
        <w:pStyle w:val="TOC1"/>
        <w:rPr>
          <w:rFonts w:asciiTheme="minorHAnsi" w:eastAsiaTheme="minorEastAsia" w:hAnsiTheme="minorHAnsi" w:cstheme="minorBidi"/>
          <w:noProof/>
          <w:sz w:val="22"/>
          <w:szCs w:val="22"/>
        </w:rPr>
      </w:pPr>
      <w:hyperlink w:anchor="_Toc51331529" w:history="1">
        <w:r w:rsidR="00917FAF" w:rsidRPr="006E14FE">
          <w:rPr>
            <w:rStyle w:val="Hyperlink"/>
            <w:noProof/>
          </w:rPr>
          <w:t>15</w:t>
        </w:r>
        <w:r w:rsidR="00917FAF">
          <w:rPr>
            <w:rFonts w:asciiTheme="minorHAnsi" w:eastAsiaTheme="minorEastAsia" w:hAnsiTheme="minorHAnsi" w:cstheme="minorBidi"/>
            <w:noProof/>
            <w:sz w:val="22"/>
            <w:szCs w:val="22"/>
          </w:rPr>
          <w:tab/>
        </w:r>
        <w:r w:rsidR="00917FAF" w:rsidRPr="006E14FE">
          <w:rPr>
            <w:rStyle w:val="Hyperlink"/>
            <w:noProof/>
          </w:rPr>
          <w:t>Services and tools</w:t>
        </w:r>
        <w:r w:rsidR="00917FAF">
          <w:rPr>
            <w:noProof/>
            <w:webHidden/>
          </w:rPr>
          <w:tab/>
        </w:r>
        <w:r w:rsidR="00917FAF">
          <w:rPr>
            <w:noProof/>
            <w:webHidden/>
          </w:rPr>
          <w:fldChar w:fldCharType="begin"/>
        </w:r>
        <w:r w:rsidR="00917FAF">
          <w:rPr>
            <w:noProof/>
            <w:webHidden/>
          </w:rPr>
          <w:instrText xml:space="preserve"> PAGEREF _Toc51331529 \h </w:instrText>
        </w:r>
        <w:r w:rsidR="00917FAF">
          <w:rPr>
            <w:noProof/>
            <w:webHidden/>
          </w:rPr>
        </w:r>
        <w:r w:rsidR="00917FAF">
          <w:rPr>
            <w:noProof/>
            <w:webHidden/>
          </w:rPr>
          <w:fldChar w:fldCharType="separate"/>
        </w:r>
        <w:r w:rsidR="00917FAF">
          <w:rPr>
            <w:noProof/>
            <w:webHidden/>
          </w:rPr>
          <w:t>34</w:t>
        </w:r>
        <w:r w:rsidR="00917FAF">
          <w:rPr>
            <w:noProof/>
            <w:webHidden/>
          </w:rPr>
          <w:fldChar w:fldCharType="end"/>
        </w:r>
      </w:hyperlink>
    </w:p>
    <w:p w14:paraId="33083ECD" w14:textId="1B372EC7" w:rsidR="00917FAF" w:rsidRDefault="00E12FA7">
      <w:pPr>
        <w:pStyle w:val="TOC2"/>
        <w:rPr>
          <w:rFonts w:asciiTheme="minorHAnsi" w:eastAsiaTheme="minorEastAsia" w:hAnsiTheme="minorHAnsi" w:cstheme="minorBidi"/>
          <w:noProof/>
          <w:sz w:val="22"/>
          <w:szCs w:val="22"/>
        </w:rPr>
      </w:pPr>
      <w:hyperlink w:anchor="_Toc51331530" w:history="1">
        <w:r w:rsidR="00917FAF" w:rsidRPr="006E14FE">
          <w:rPr>
            <w:rStyle w:val="Hyperlink"/>
            <w:noProof/>
          </w:rPr>
          <w:t>15.1</w:t>
        </w:r>
        <w:r w:rsidR="00917FAF">
          <w:rPr>
            <w:rFonts w:asciiTheme="minorHAnsi" w:eastAsiaTheme="minorEastAsia" w:hAnsiTheme="minorHAnsi" w:cstheme="minorBidi"/>
            <w:noProof/>
            <w:sz w:val="22"/>
            <w:szCs w:val="22"/>
          </w:rPr>
          <w:tab/>
        </w:r>
        <w:r w:rsidR="00917FAF" w:rsidRPr="006E14FE">
          <w:rPr>
            <w:rStyle w:val="Hyperlink"/>
            <w:noProof/>
          </w:rPr>
          <w:t>ITU-T databases</w:t>
        </w:r>
        <w:r w:rsidR="00917FAF">
          <w:rPr>
            <w:noProof/>
            <w:webHidden/>
          </w:rPr>
          <w:tab/>
        </w:r>
        <w:r w:rsidR="00917FAF">
          <w:rPr>
            <w:noProof/>
            <w:webHidden/>
          </w:rPr>
          <w:fldChar w:fldCharType="begin"/>
        </w:r>
        <w:r w:rsidR="00917FAF">
          <w:rPr>
            <w:noProof/>
            <w:webHidden/>
          </w:rPr>
          <w:instrText xml:space="preserve"> PAGEREF _Toc51331530 \h </w:instrText>
        </w:r>
        <w:r w:rsidR="00917FAF">
          <w:rPr>
            <w:noProof/>
            <w:webHidden/>
          </w:rPr>
        </w:r>
        <w:r w:rsidR="00917FAF">
          <w:rPr>
            <w:noProof/>
            <w:webHidden/>
          </w:rPr>
          <w:fldChar w:fldCharType="separate"/>
        </w:r>
        <w:r w:rsidR="00917FAF">
          <w:rPr>
            <w:noProof/>
            <w:webHidden/>
          </w:rPr>
          <w:t>34</w:t>
        </w:r>
        <w:r w:rsidR="00917FAF">
          <w:rPr>
            <w:noProof/>
            <w:webHidden/>
          </w:rPr>
          <w:fldChar w:fldCharType="end"/>
        </w:r>
      </w:hyperlink>
    </w:p>
    <w:p w14:paraId="5E5E0A00" w14:textId="3C055E06" w:rsidR="00917FAF" w:rsidRDefault="00E12FA7">
      <w:pPr>
        <w:pStyle w:val="TOC2"/>
        <w:rPr>
          <w:rFonts w:asciiTheme="minorHAnsi" w:eastAsiaTheme="minorEastAsia" w:hAnsiTheme="minorHAnsi" w:cstheme="minorBidi"/>
          <w:noProof/>
          <w:sz w:val="22"/>
          <w:szCs w:val="22"/>
        </w:rPr>
      </w:pPr>
      <w:hyperlink w:anchor="_Toc51331531" w:history="1">
        <w:r w:rsidR="00917FAF" w:rsidRPr="006E14FE">
          <w:rPr>
            <w:rStyle w:val="Hyperlink"/>
            <w:noProof/>
          </w:rPr>
          <w:t>15.2</w:t>
        </w:r>
        <w:r w:rsidR="00917FAF">
          <w:rPr>
            <w:rFonts w:asciiTheme="minorHAnsi" w:eastAsiaTheme="minorEastAsia" w:hAnsiTheme="minorHAnsi" w:cstheme="minorBidi"/>
            <w:noProof/>
            <w:sz w:val="22"/>
            <w:szCs w:val="22"/>
          </w:rPr>
          <w:tab/>
        </w:r>
        <w:r w:rsidR="00917FAF" w:rsidRPr="006E14FE">
          <w:rPr>
            <w:rStyle w:val="Hyperlink"/>
            <w:noProof/>
          </w:rPr>
          <w:t>MyWorkspace</w:t>
        </w:r>
        <w:r w:rsidR="00917FAF">
          <w:rPr>
            <w:noProof/>
            <w:webHidden/>
          </w:rPr>
          <w:tab/>
        </w:r>
        <w:r w:rsidR="00917FAF">
          <w:rPr>
            <w:noProof/>
            <w:webHidden/>
          </w:rPr>
          <w:fldChar w:fldCharType="begin"/>
        </w:r>
        <w:r w:rsidR="00917FAF">
          <w:rPr>
            <w:noProof/>
            <w:webHidden/>
          </w:rPr>
          <w:instrText xml:space="preserve"> PAGEREF _Toc51331531 \h </w:instrText>
        </w:r>
        <w:r w:rsidR="00917FAF">
          <w:rPr>
            <w:noProof/>
            <w:webHidden/>
          </w:rPr>
        </w:r>
        <w:r w:rsidR="00917FAF">
          <w:rPr>
            <w:noProof/>
            <w:webHidden/>
          </w:rPr>
          <w:fldChar w:fldCharType="separate"/>
        </w:r>
        <w:r w:rsidR="00917FAF">
          <w:rPr>
            <w:noProof/>
            <w:webHidden/>
          </w:rPr>
          <w:t>34</w:t>
        </w:r>
        <w:r w:rsidR="00917FAF">
          <w:rPr>
            <w:noProof/>
            <w:webHidden/>
          </w:rPr>
          <w:fldChar w:fldCharType="end"/>
        </w:r>
      </w:hyperlink>
    </w:p>
    <w:p w14:paraId="58B27F6F" w14:textId="22001FC5" w:rsidR="00917FAF" w:rsidRDefault="00E12FA7">
      <w:pPr>
        <w:pStyle w:val="TOC2"/>
        <w:rPr>
          <w:rFonts w:asciiTheme="minorHAnsi" w:eastAsiaTheme="minorEastAsia" w:hAnsiTheme="minorHAnsi" w:cstheme="minorBidi"/>
          <w:noProof/>
          <w:sz w:val="22"/>
          <w:szCs w:val="22"/>
        </w:rPr>
      </w:pPr>
      <w:hyperlink w:anchor="_Toc51331532" w:history="1">
        <w:r w:rsidR="00917FAF" w:rsidRPr="006E14FE">
          <w:rPr>
            <w:rStyle w:val="Hyperlink"/>
            <w:noProof/>
          </w:rPr>
          <w:t>15.3</w:t>
        </w:r>
        <w:r w:rsidR="00917FAF">
          <w:rPr>
            <w:rFonts w:asciiTheme="minorHAnsi" w:eastAsiaTheme="minorEastAsia" w:hAnsiTheme="minorHAnsi" w:cstheme="minorBidi"/>
            <w:noProof/>
            <w:sz w:val="22"/>
            <w:szCs w:val="22"/>
          </w:rPr>
          <w:tab/>
        </w:r>
        <w:r w:rsidR="00917FAF" w:rsidRPr="006E14FE">
          <w:rPr>
            <w:rStyle w:val="Hyperlink"/>
            <w:noProof/>
          </w:rPr>
          <w:t>ITUSearch</w:t>
        </w:r>
        <w:r w:rsidR="00917FAF">
          <w:rPr>
            <w:noProof/>
            <w:webHidden/>
          </w:rPr>
          <w:tab/>
        </w:r>
        <w:r w:rsidR="00917FAF">
          <w:rPr>
            <w:noProof/>
            <w:webHidden/>
          </w:rPr>
          <w:fldChar w:fldCharType="begin"/>
        </w:r>
        <w:r w:rsidR="00917FAF">
          <w:rPr>
            <w:noProof/>
            <w:webHidden/>
          </w:rPr>
          <w:instrText xml:space="preserve"> PAGEREF _Toc51331532 \h </w:instrText>
        </w:r>
        <w:r w:rsidR="00917FAF">
          <w:rPr>
            <w:noProof/>
            <w:webHidden/>
          </w:rPr>
        </w:r>
        <w:r w:rsidR="00917FAF">
          <w:rPr>
            <w:noProof/>
            <w:webHidden/>
          </w:rPr>
          <w:fldChar w:fldCharType="separate"/>
        </w:r>
        <w:r w:rsidR="00917FAF">
          <w:rPr>
            <w:noProof/>
            <w:webHidden/>
          </w:rPr>
          <w:t>35</w:t>
        </w:r>
        <w:r w:rsidR="00917FAF">
          <w:rPr>
            <w:noProof/>
            <w:webHidden/>
          </w:rPr>
          <w:fldChar w:fldCharType="end"/>
        </w:r>
      </w:hyperlink>
    </w:p>
    <w:p w14:paraId="52CFB292" w14:textId="287943DF" w:rsidR="00917FAF" w:rsidRDefault="00E12FA7">
      <w:pPr>
        <w:pStyle w:val="TOC2"/>
        <w:rPr>
          <w:rFonts w:asciiTheme="minorHAnsi" w:eastAsiaTheme="minorEastAsia" w:hAnsiTheme="minorHAnsi" w:cstheme="minorBidi"/>
          <w:noProof/>
          <w:sz w:val="22"/>
          <w:szCs w:val="22"/>
        </w:rPr>
      </w:pPr>
      <w:hyperlink w:anchor="_Toc51331533" w:history="1">
        <w:r w:rsidR="00917FAF" w:rsidRPr="006E14FE">
          <w:rPr>
            <w:rStyle w:val="Hyperlink"/>
            <w:noProof/>
          </w:rPr>
          <w:t>15.4</w:t>
        </w:r>
        <w:r w:rsidR="00917FAF">
          <w:rPr>
            <w:rFonts w:asciiTheme="minorHAnsi" w:eastAsiaTheme="minorEastAsia" w:hAnsiTheme="minorHAnsi" w:cstheme="minorBidi"/>
            <w:noProof/>
            <w:sz w:val="22"/>
            <w:szCs w:val="22"/>
          </w:rPr>
          <w:tab/>
        </w:r>
        <w:r w:rsidR="00917FAF" w:rsidRPr="006E14FE">
          <w:rPr>
            <w:rStyle w:val="Hyperlink"/>
            <w:noProof/>
          </w:rPr>
          <w:t>ITU-T services &amp; tools announcements</w:t>
        </w:r>
        <w:r w:rsidR="00917FAF">
          <w:rPr>
            <w:noProof/>
            <w:webHidden/>
          </w:rPr>
          <w:tab/>
        </w:r>
        <w:r w:rsidR="00917FAF">
          <w:rPr>
            <w:noProof/>
            <w:webHidden/>
          </w:rPr>
          <w:fldChar w:fldCharType="begin"/>
        </w:r>
        <w:r w:rsidR="00917FAF">
          <w:rPr>
            <w:noProof/>
            <w:webHidden/>
          </w:rPr>
          <w:instrText xml:space="preserve"> PAGEREF _Toc51331533 \h </w:instrText>
        </w:r>
        <w:r w:rsidR="00917FAF">
          <w:rPr>
            <w:noProof/>
            <w:webHidden/>
          </w:rPr>
        </w:r>
        <w:r w:rsidR="00917FAF">
          <w:rPr>
            <w:noProof/>
            <w:webHidden/>
          </w:rPr>
          <w:fldChar w:fldCharType="separate"/>
        </w:r>
        <w:r w:rsidR="00917FAF">
          <w:rPr>
            <w:noProof/>
            <w:webHidden/>
          </w:rPr>
          <w:t>35</w:t>
        </w:r>
        <w:r w:rsidR="00917FAF">
          <w:rPr>
            <w:noProof/>
            <w:webHidden/>
          </w:rPr>
          <w:fldChar w:fldCharType="end"/>
        </w:r>
      </w:hyperlink>
    </w:p>
    <w:p w14:paraId="05025E70" w14:textId="35B81B8E" w:rsidR="00917FAF" w:rsidRDefault="00E12FA7">
      <w:pPr>
        <w:pStyle w:val="TOC2"/>
        <w:rPr>
          <w:rFonts w:asciiTheme="minorHAnsi" w:eastAsiaTheme="minorEastAsia" w:hAnsiTheme="minorHAnsi" w:cstheme="minorBidi"/>
          <w:noProof/>
          <w:sz w:val="22"/>
          <w:szCs w:val="22"/>
        </w:rPr>
      </w:pPr>
      <w:hyperlink w:anchor="_Toc51331534" w:history="1">
        <w:r w:rsidR="00917FAF" w:rsidRPr="006E14FE">
          <w:rPr>
            <w:rStyle w:val="Hyperlink"/>
            <w:noProof/>
          </w:rPr>
          <w:t>15.5</w:t>
        </w:r>
        <w:r w:rsidR="00917FAF">
          <w:rPr>
            <w:rFonts w:asciiTheme="minorHAnsi" w:eastAsiaTheme="minorEastAsia" w:hAnsiTheme="minorHAnsi" w:cstheme="minorBidi"/>
            <w:noProof/>
            <w:sz w:val="22"/>
            <w:szCs w:val="22"/>
          </w:rPr>
          <w:tab/>
        </w:r>
        <w:r w:rsidR="00917FAF" w:rsidRPr="006E14FE">
          <w:rPr>
            <w:rStyle w:val="Hyperlink"/>
            <w:noProof/>
          </w:rPr>
          <w:t>Document Management System for Rapporteur Groups</w:t>
        </w:r>
        <w:r w:rsidR="00917FAF">
          <w:rPr>
            <w:noProof/>
            <w:webHidden/>
          </w:rPr>
          <w:tab/>
        </w:r>
        <w:r w:rsidR="00917FAF">
          <w:rPr>
            <w:noProof/>
            <w:webHidden/>
          </w:rPr>
          <w:fldChar w:fldCharType="begin"/>
        </w:r>
        <w:r w:rsidR="00917FAF">
          <w:rPr>
            <w:noProof/>
            <w:webHidden/>
          </w:rPr>
          <w:instrText xml:space="preserve"> PAGEREF _Toc51331534 \h </w:instrText>
        </w:r>
        <w:r w:rsidR="00917FAF">
          <w:rPr>
            <w:noProof/>
            <w:webHidden/>
          </w:rPr>
        </w:r>
        <w:r w:rsidR="00917FAF">
          <w:rPr>
            <w:noProof/>
            <w:webHidden/>
          </w:rPr>
          <w:fldChar w:fldCharType="separate"/>
        </w:r>
        <w:r w:rsidR="00917FAF">
          <w:rPr>
            <w:noProof/>
            <w:webHidden/>
          </w:rPr>
          <w:t>35</w:t>
        </w:r>
        <w:r w:rsidR="00917FAF">
          <w:rPr>
            <w:noProof/>
            <w:webHidden/>
          </w:rPr>
          <w:fldChar w:fldCharType="end"/>
        </w:r>
      </w:hyperlink>
    </w:p>
    <w:p w14:paraId="46EDA888" w14:textId="0210FBC1" w:rsidR="00917FAF" w:rsidRDefault="00E12FA7">
      <w:pPr>
        <w:pStyle w:val="TOC2"/>
        <w:rPr>
          <w:rFonts w:asciiTheme="minorHAnsi" w:eastAsiaTheme="minorEastAsia" w:hAnsiTheme="minorHAnsi" w:cstheme="minorBidi"/>
          <w:noProof/>
          <w:sz w:val="22"/>
          <w:szCs w:val="22"/>
        </w:rPr>
      </w:pPr>
      <w:hyperlink w:anchor="_Toc51331535" w:history="1">
        <w:r w:rsidR="00917FAF" w:rsidRPr="006E14FE">
          <w:rPr>
            <w:rStyle w:val="Hyperlink"/>
            <w:noProof/>
          </w:rPr>
          <w:t>15.6</w:t>
        </w:r>
        <w:r w:rsidR="00917FAF">
          <w:rPr>
            <w:rFonts w:asciiTheme="minorHAnsi" w:eastAsiaTheme="minorEastAsia" w:hAnsiTheme="minorHAnsi" w:cstheme="minorBidi"/>
            <w:noProof/>
            <w:sz w:val="22"/>
            <w:szCs w:val="22"/>
          </w:rPr>
          <w:tab/>
        </w:r>
        <w:r w:rsidR="00917FAF" w:rsidRPr="006E14FE">
          <w:rPr>
            <w:rStyle w:val="Hyperlink"/>
            <w:noProof/>
          </w:rPr>
          <w:t>International Numbering Resources (INRs)</w:t>
        </w:r>
        <w:r w:rsidR="00917FAF">
          <w:rPr>
            <w:noProof/>
            <w:webHidden/>
          </w:rPr>
          <w:tab/>
        </w:r>
        <w:r w:rsidR="00917FAF">
          <w:rPr>
            <w:noProof/>
            <w:webHidden/>
          </w:rPr>
          <w:fldChar w:fldCharType="begin"/>
        </w:r>
        <w:r w:rsidR="00917FAF">
          <w:rPr>
            <w:noProof/>
            <w:webHidden/>
          </w:rPr>
          <w:instrText xml:space="preserve"> PAGEREF _Toc51331535 \h </w:instrText>
        </w:r>
        <w:r w:rsidR="00917FAF">
          <w:rPr>
            <w:noProof/>
            <w:webHidden/>
          </w:rPr>
        </w:r>
        <w:r w:rsidR="00917FAF">
          <w:rPr>
            <w:noProof/>
            <w:webHidden/>
          </w:rPr>
          <w:fldChar w:fldCharType="separate"/>
        </w:r>
        <w:r w:rsidR="00917FAF">
          <w:rPr>
            <w:noProof/>
            <w:webHidden/>
          </w:rPr>
          <w:t>36</w:t>
        </w:r>
        <w:r w:rsidR="00917FAF">
          <w:rPr>
            <w:noProof/>
            <w:webHidden/>
          </w:rPr>
          <w:fldChar w:fldCharType="end"/>
        </w:r>
      </w:hyperlink>
    </w:p>
    <w:p w14:paraId="26674BF0" w14:textId="0FEDBD25" w:rsidR="00917FAF" w:rsidRDefault="00E12FA7">
      <w:pPr>
        <w:pStyle w:val="TOC2"/>
        <w:rPr>
          <w:rFonts w:asciiTheme="minorHAnsi" w:eastAsiaTheme="minorEastAsia" w:hAnsiTheme="minorHAnsi" w:cstheme="minorBidi"/>
          <w:noProof/>
          <w:sz w:val="22"/>
          <w:szCs w:val="22"/>
        </w:rPr>
      </w:pPr>
      <w:hyperlink w:anchor="_Toc51331536" w:history="1">
        <w:r w:rsidR="00917FAF" w:rsidRPr="006E14FE">
          <w:rPr>
            <w:rStyle w:val="Hyperlink"/>
            <w:noProof/>
          </w:rPr>
          <w:t>15.7</w:t>
        </w:r>
        <w:r w:rsidR="00917FAF">
          <w:rPr>
            <w:rFonts w:asciiTheme="minorHAnsi" w:eastAsiaTheme="minorEastAsia" w:hAnsiTheme="minorHAnsi" w:cstheme="minorBidi"/>
            <w:noProof/>
            <w:sz w:val="22"/>
            <w:szCs w:val="22"/>
          </w:rPr>
          <w:tab/>
        </w:r>
        <w:r w:rsidR="00917FAF" w:rsidRPr="006E14FE">
          <w:rPr>
            <w:rStyle w:val="Hyperlink"/>
            <w:noProof/>
          </w:rPr>
          <w:t>ITU-T SharePoint collaboration sites</w:t>
        </w:r>
        <w:r w:rsidR="00917FAF">
          <w:rPr>
            <w:noProof/>
            <w:webHidden/>
          </w:rPr>
          <w:tab/>
        </w:r>
        <w:r w:rsidR="00917FAF">
          <w:rPr>
            <w:noProof/>
            <w:webHidden/>
          </w:rPr>
          <w:fldChar w:fldCharType="begin"/>
        </w:r>
        <w:r w:rsidR="00917FAF">
          <w:rPr>
            <w:noProof/>
            <w:webHidden/>
          </w:rPr>
          <w:instrText xml:space="preserve"> PAGEREF _Toc51331536 \h </w:instrText>
        </w:r>
        <w:r w:rsidR="00917FAF">
          <w:rPr>
            <w:noProof/>
            <w:webHidden/>
          </w:rPr>
        </w:r>
        <w:r w:rsidR="00917FAF">
          <w:rPr>
            <w:noProof/>
            <w:webHidden/>
          </w:rPr>
          <w:fldChar w:fldCharType="separate"/>
        </w:r>
        <w:r w:rsidR="00917FAF">
          <w:rPr>
            <w:noProof/>
            <w:webHidden/>
          </w:rPr>
          <w:t>37</w:t>
        </w:r>
        <w:r w:rsidR="00917FAF">
          <w:rPr>
            <w:noProof/>
            <w:webHidden/>
          </w:rPr>
          <w:fldChar w:fldCharType="end"/>
        </w:r>
      </w:hyperlink>
    </w:p>
    <w:p w14:paraId="63D90A8E" w14:textId="313C8FC9" w:rsidR="00917FAF" w:rsidRDefault="00E12FA7">
      <w:pPr>
        <w:pStyle w:val="TOC2"/>
        <w:rPr>
          <w:rFonts w:asciiTheme="minorHAnsi" w:eastAsiaTheme="minorEastAsia" w:hAnsiTheme="minorHAnsi" w:cstheme="minorBidi"/>
          <w:noProof/>
          <w:sz w:val="22"/>
          <w:szCs w:val="22"/>
        </w:rPr>
      </w:pPr>
      <w:hyperlink w:anchor="_Toc51331537" w:history="1">
        <w:r w:rsidR="00917FAF" w:rsidRPr="006E14FE">
          <w:rPr>
            <w:rStyle w:val="Hyperlink"/>
            <w:noProof/>
          </w:rPr>
          <w:t>15.8</w:t>
        </w:r>
        <w:r w:rsidR="00917FAF">
          <w:rPr>
            <w:rFonts w:asciiTheme="minorHAnsi" w:eastAsiaTheme="minorEastAsia" w:hAnsiTheme="minorHAnsi" w:cstheme="minorBidi"/>
            <w:noProof/>
            <w:sz w:val="22"/>
            <w:szCs w:val="22"/>
          </w:rPr>
          <w:tab/>
        </w:r>
        <w:r w:rsidR="00917FAF" w:rsidRPr="006E14FE">
          <w:rPr>
            <w:rStyle w:val="Hyperlink"/>
            <w:noProof/>
          </w:rPr>
          <w:t>Meeting Documents Sync Application</w:t>
        </w:r>
        <w:r w:rsidR="00917FAF">
          <w:rPr>
            <w:noProof/>
            <w:webHidden/>
          </w:rPr>
          <w:tab/>
        </w:r>
        <w:r w:rsidR="00917FAF">
          <w:rPr>
            <w:noProof/>
            <w:webHidden/>
          </w:rPr>
          <w:fldChar w:fldCharType="begin"/>
        </w:r>
        <w:r w:rsidR="00917FAF">
          <w:rPr>
            <w:noProof/>
            <w:webHidden/>
          </w:rPr>
          <w:instrText xml:space="preserve"> PAGEREF _Toc51331537 \h </w:instrText>
        </w:r>
        <w:r w:rsidR="00917FAF">
          <w:rPr>
            <w:noProof/>
            <w:webHidden/>
          </w:rPr>
        </w:r>
        <w:r w:rsidR="00917FAF">
          <w:rPr>
            <w:noProof/>
            <w:webHidden/>
          </w:rPr>
          <w:fldChar w:fldCharType="separate"/>
        </w:r>
        <w:r w:rsidR="00917FAF">
          <w:rPr>
            <w:noProof/>
            <w:webHidden/>
          </w:rPr>
          <w:t>38</w:t>
        </w:r>
        <w:r w:rsidR="00917FAF">
          <w:rPr>
            <w:noProof/>
            <w:webHidden/>
          </w:rPr>
          <w:fldChar w:fldCharType="end"/>
        </w:r>
      </w:hyperlink>
    </w:p>
    <w:p w14:paraId="1876D7A9" w14:textId="7152C2D8" w:rsidR="00917FAF" w:rsidRDefault="00E12FA7">
      <w:pPr>
        <w:pStyle w:val="TOC2"/>
        <w:rPr>
          <w:rFonts w:asciiTheme="minorHAnsi" w:eastAsiaTheme="minorEastAsia" w:hAnsiTheme="minorHAnsi" w:cstheme="minorBidi"/>
          <w:noProof/>
          <w:sz w:val="22"/>
          <w:szCs w:val="22"/>
        </w:rPr>
      </w:pPr>
      <w:hyperlink w:anchor="_Toc51331538" w:history="1">
        <w:r w:rsidR="00917FAF" w:rsidRPr="006E14FE">
          <w:rPr>
            <w:rStyle w:val="Hyperlink"/>
            <w:noProof/>
          </w:rPr>
          <w:t>15.9</w:t>
        </w:r>
        <w:r w:rsidR="00917FAF">
          <w:rPr>
            <w:rFonts w:asciiTheme="minorHAnsi" w:eastAsiaTheme="minorEastAsia" w:hAnsiTheme="minorHAnsi" w:cstheme="minorBidi"/>
            <w:noProof/>
            <w:sz w:val="22"/>
            <w:szCs w:val="22"/>
          </w:rPr>
          <w:tab/>
        </w:r>
        <w:r w:rsidR="00917FAF" w:rsidRPr="006E14FE">
          <w:rPr>
            <w:rStyle w:val="Hyperlink"/>
            <w:noProof/>
          </w:rPr>
          <w:t>Electronic meetings</w:t>
        </w:r>
        <w:r w:rsidR="00917FAF">
          <w:rPr>
            <w:noProof/>
            <w:webHidden/>
          </w:rPr>
          <w:tab/>
        </w:r>
        <w:r w:rsidR="00917FAF">
          <w:rPr>
            <w:noProof/>
            <w:webHidden/>
          </w:rPr>
          <w:fldChar w:fldCharType="begin"/>
        </w:r>
        <w:r w:rsidR="00917FAF">
          <w:rPr>
            <w:noProof/>
            <w:webHidden/>
          </w:rPr>
          <w:instrText xml:space="preserve"> PAGEREF _Toc51331538 \h </w:instrText>
        </w:r>
        <w:r w:rsidR="00917FAF">
          <w:rPr>
            <w:noProof/>
            <w:webHidden/>
          </w:rPr>
        </w:r>
        <w:r w:rsidR="00917FAF">
          <w:rPr>
            <w:noProof/>
            <w:webHidden/>
          </w:rPr>
          <w:fldChar w:fldCharType="separate"/>
        </w:r>
        <w:r w:rsidR="00917FAF">
          <w:rPr>
            <w:noProof/>
            <w:webHidden/>
          </w:rPr>
          <w:t>38</w:t>
        </w:r>
        <w:r w:rsidR="00917FAF">
          <w:rPr>
            <w:noProof/>
            <w:webHidden/>
          </w:rPr>
          <w:fldChar w:fldCharType="end"/>
        </w:r>
      </w:hyperlink>
    </w:p>
    <w:p w14:paraId="223C1B5B" w14:textId="17E2162F" w:rsidR="00917FAF" w:rsidRDefault="00E12FA7">
      <w:pPr>
        <w:pStyle w:val="TOC2"/>
        <w:rPr>
          <w:rFonts w:asciiTheme="minorHAnsi" w:eastAsiaTheme="minorEastAsia" w:hAnsiTheme="minorHAnsi" w:cstheme="minorBidi"/>
          <w:noProof/>
          <w:sz w:val="22"/>
          <w:szCs w:val="22"/>
        </w:rPr>
      </w:pPr>
      <w:hyperlink w:anchor="_Toc51331539" w:history="1">
        <w:r w:rsidR="00917FAF" w:rsidRPr="006E14FE">
          <w:rPr>
            <w:rStyle w:val="Hyperlink"/>
            <w:noProof/>
          </w:rPr>
          <w:t>15.10</w:t>
        </w:r>
        <w:r w:rsidR="00917FAF">
          <w:rPr>
            <w:rFonts w:asciiTheme="minorHAnsi" w:eastAsiaTheme="minorEastAsia" w:hAnsiTheme="minorHAnsi" w:cstheme="minorBidi"/>
            <w:noProof/>
            <w:sz w:val="22"/>
            <w:szCs w:val="22"/>
          </w:rPr>
          <w:tab/>
        </w:r>
        <w:r w:rsidR="00917FAF" w:rsidRPr="006E14FE">
          <w:rPr>
            <w:rStyle w:val="Hyperlink"/>
            <w:noProof/>
          </w:rPr>
          <w:t>Use in the ITU-T of the official languages of the Union on an equal footing</w:t>
        </w:r>
        <w:r w:rsidR="00917FAF">
          <w:rPr>
            <w:noProof/>
            <w:webHidden/>
          </w:rPr>
          <w:tab/>
        </w:r>
        <w:r w:rsidR="00917FAF">
          <w:rPr>
            <w:noProof/>
            <w:webHidden/>
          </w:rPr>
          <w:fldChar w:fldCharType="begin"/>
        </w:r>
        <w:r w:rsidR="00917FAF">
          <w:rPr>
            <w:noProof/>
            <w:webHidden/>
          </w:rPr>
          <w:instrText xml:space="preserve"> PAGEREF _Toc51331539 \h </w:instrText>
        </w:r>
        <w:r w:rsidR="00917FAF">
          <w:rPr>
            <w:noProof/>
            <w:webHidden/>
          </w:rPr>
        </w:r>
        <w:r w:rsidR="00917FAF">
          <w:rPr>
            <w:noProof/>
            <w:webHidden/>
          </w:rPr>
          <w:fldChar w:fldCharType="separate"/>
        </w:r>
        <w:r w:rsidR="00917FAF">
          <w:rPr>
            <w:noProof/>
            <w:webHidden/>
          </w:rPr>
          <w:t>39</w:t>
        </w:r>
        <w:r w:rsidR="00917FAF">
          <w:rPr>
            <w:noProof/>
            <w:webHidden/>
          </w:rPr>
          <w:fldChar w:fldCharType="end"/>
        </w:r>
      </w:hyperlink>
    </w:p>
    <w:p w14:paraId="76F224EF" w14:textId="5E322E35" w:rsidR="00917FAF" w:rsidRDefault="00E12FA7">
      <w:pPr>
        <w:pStyle w:val="TOC2"/>
        <w:rPr>
          <w:rFonts w:asciiTheme="minorHAnsi" w:eastAsiaTheme="minorEastAsia" w:hAnsiTheme="minorHAnsi" w:cstheme="minorBidi"/>
          <w:noProof/>
          <w:sz w:val="22"/>
          <w:szCs w:val="22"/>
        </w:rPr>
      </w:pPr>
      <w:hyperlink w:anchor="_Toc51331540" w:history="1">
        <w:r w:rsidR="00917FAF" w:rsidRPr="006E14FE">
          <w:rPr>
            <w:rStyle w:val="Hyperlink"/>
            <w:noProof/>
          </w:rPr>
          <w:t>15.11</w:t>
        </w:r>
        <w:r w:rsidR="00917FAF">
          <w:rPr>
            <w:rFonts w:asciiTheme="minorHAnsi" w:eastAsiaTheme="minorEastAsia" w:hAnsiTheme="minorHAnsi" w:cstheme="minorBidi"/>
            <w:noProof/>
            <w:sz w:val="22"/>
            <w:szCs w:val="22"/>
          </w:rPr>
          <w:tab/>
        </w:r>
        <w:r w:rsidR="00917FAF" w:rsidRPr="006E14FE">
          <w:rPr>
            <w:rStyle w:val="Hyperlink"/>
            <w:noProof/>
          </w:rPr>
          <w:t>Workshops and symposia</w:t>
        </w:r>
        <w:r w:rsidR="00917FAF">
          <w:rPr>
            <w:noProof/>
            <w:webHidden/>
          </w:rPr>
          <w:tab/>
        </w:r>
        <w:r w:rsidR="00917FAF">
          <w:rPr>
            <w:noProof/>
            <w:webHidden/>
          </w:rPr>
          <w:fldChar w:fldCharType="begin"/>
        </w:r>
        <w:r w:rsidR="00917FAF">
          <w:rPr>
            <w:noProof/>
            <w:webHidden/>
          </w:rPr>
          <w:instrText xml:space="preserve"> PAGEREF _Toc51331540 \h </w:instrText>
        </w:r>
        <w:r w:rsidR="00917FAF">
          <w:rPr>
            <w:noProof/>
            <w:webHidden/>
          </w:rPr>
        </w:r>
        <w:r w:rsidR="00917FAF">
          <w:rPr>
            <w:noProof/>
            <w:webHidden/>
          </w:rPr>
          <w:fldChar w:fldCharType="separate"/>
        </w:r>
        <w:r w:rsidR="00917FAF">
          <w:rPr>
            <w:noProof/>
            <w:webHidden/>
          </w:rPr>
          <w:t>39</w:t>
        </w:r>
        <w:r w:rsidR="00917FAF">
          <w:rPr>
            <w:noProof/>
            <w:webHidden/>
          </w:rPr>
          <w:fldChar w:fldCharType="end"/>
        </w:r>
      </w:hyperlink>
    </w:p>
    <w:p w14:paraId="427FCB7A" w14:textId="7621137C" w:rsidR="00917FAF" w:rsidRDefault="00E12FA7">
      <w:pPr>
        <w:pStyle w:val="TOC1"/>
        <w:rPr>
          <w:rFonts w:asciiTheme="minorHAnsi" w:eastAsiaTheme="minorEastAsia" w:hAnsiTheme="minorHAnsi" w:cstheme="minorBidi"/>
          <w:noProof/>
          <w:sz w:val="22"/>
          <w:szCs w:val="22"/>
        </w:rPr>
      </w:pPr>
      <w:hyperlink w:anchor="_Toc51331541" w:history="1">
        <w:r w:rsidR="00917FAF" w:rsidRPr="006E14FE">
          <w:rPr>
            <w:rStyle w:val="Hyperlink"/>
            <w:noProof/>
          </w:rPr>
          <w:t>16</w:t>
        </w:r>
        <w:r w:rsidR="00917FAF">
          <w:rPr>
            <w:rFonts w:asciiTheme="minorHAnsi" w:eastAsiaTheme="minorEastAsia" w:hAnsiTheme="minorHAnsi" w:cstheme="minorBidi"/>
            <w:noProof/>
            <w:sz w:val="22"/>
            <w:szCs w:val="22"/>
          </w:rPr>
          <w:tab/>
        </w:r>
        <w:r w:rsidR="00917FAF" w:rsidRPr="006E14FE">
          <w:rPr>
            <w:rStyle w:val="Hyperlink"/>
            <w:noProof/>
          </w:rPr>
          <w:t>Implementation of WTSA Resolutions and A-series ITU-T Recommendations</w:t>
        </w:r>
        <w:r w:rsidR="00917FAF">
          <w:rPr>
            <w:noProof/>
            <w:webHidden/>
          </w:rPr>
          <w:tab/>
        </w:r>
        <w:r w:rsidR="00917FAF">
          <w:rPr>
            <w:noProof/>
            <w:webHidden/>
          </w:rPr>
          <w:fldChar w:fldCharType="begin"/>
        </w:r>
        <w:r w:rsidR="00917FAF">
          <w:rPr>
            <w:noProof/>
            <w:webHidden/>
          </w:rPr>
          <w:instrText xml:space="preserve"> PAGEREF _Toc51331541 \h </w:instrText>
        </w:r>
        <w:r w:rsidR="00917FAF">
          <w:rPr>
            <w:noProof/>
            <w:webHidden/>
          </w:rPr>
        </w:r>
        <w:r w:rsidR="00917FAF">
          <w:rPr>
            <w:noProof/>
            <w:webHidden/>
          </w:rPr>
          <w:fldChar w:fldCharType="separate"/>
        </w:r>
        <w:r w:rsidR="00917FAF">
          <w:rPr>
            <w:noProof/>
            <w:webHidden/>
          </w:rPr>
          <w:t>41</w:t>
        </w:r>
        <w:r w:rsidR="00917FAF">
          <w:rPr>
            <w:noProof/>
            <w:webHidden/>
          </w:rPr>
          <w:fldChar w:fldCharType="end"/>
        </w:r>
      </w:hyperlink>
    </w:p>
    <w:p w14:paraId="3BADDB77" w14:textId="0E0F11C0" w:rsidR="00917FAF" w:rsidRDefault="00E12FA7">
      <w:pPr>
        <w:pStyle w:val="TOC1"/>
        <w:rPr>
          <w:rFonts w:asciiTheme="minorHAnsi" w:eastAsiaTheme="minorEastAsia" w:hAnsiTheme="minorHAnsi" w:cstheme="minorBidi"/>
          <w:noProof/>
          <w:sz w:val="22"/>
          <w:szCs w:val="22"/>
        </w:rPr>
      </w:pPr>
      <w:hyperlink w:anchor="_Toc51331542" w:history="1">
        <w:r w:rsidR="00917FAF" w:rsidRPr="006E14FE">
          <w:rPr>
            <w:rStyle w:val="Hyperlink"/>
            <w:noProof/>
          </w:rPr>
          <w:t>17</w:t>
        </w:r>
        <w:r w:rsidR="00917FAF">
          <w:rPr>
            <w:rFonts w:asciiTheme="minorHAnsi" w:eastAsiaTheme="minorEastAsia" w:hAnsiTheme="minorHAnsi" w:cstheme="minorBidi"/>
            <w:noProof/>
            <w:sz w:val="22"/>
            <w:szCs w:val="22"/>
          </w:rPr>
          <w:tab/>
        </w:r>
        <w:r w:rsidR="00917FAF" w:rsidRPr="006E14FE">
          <w:rPr>
            <w:rStyle w:val="Hyperlink"/>
            <w:noProof/>
          </w:rPr>
          <w:t>ITU-T's activities in the implementation of WSIS and the Sustainable Development Goals</w:t>
        </w:r>
        <w:r w:rsidR="00917FAF">
          <w:rPr>
            <w:noProof/>
            <w:webHidden/>
          </w:rPr>
          <w:tab/>
        </w:r>
        <w:r w:rsidR="00917FAF">
          <w:rPr>
            <w:noProof/>
            <w:webHidden/>
          </w:rPr>
          <w:fldChar w:fldCharType="begin"/>
        </w:r>
        <w:r w:rsidR="00917FAF">
          <w:rPr>
            <w:noProof/>
            <w:webHidden/>
          </w:rPr>
          <w:instrText xml:space="preserve"> PAGEREF _Toc51331542 \h </w:instrText>
        </w:r>
        <w:r w:rsidR="00917FAF">
          <w:rPr>
            <w:noProof/>
            <w:webHidden/>
          </w:rPr>
        </w:r>
        <w:r w:rsidR="00917FAF">
          <w:rPr>
            <w:noProof/>
            <w:webHidden/>
          </w:rPr>
          <w:fldChar w:fldCharType="separate"/>
        </w:r>
        <w:r w:rsidR="00917FAF">
          <w:rPr>
            <w:noProof/>
            <w:webHidden/>
          </w:rPr>
          <w:t>41</w:t>
        </w:r>
        <w:r w:rsidR="00917FAF">
          <w:rPr>
            <w:noProof/>
            <w:webHidden/>
          </w:rPr>
          <w:fldChar w:fldCharType="end"/>
        </w:r>
      </w:hyperlink>
    </w:p>
    <w:p w14:paraId="17C93D66" w14:textId="657ABC09" w:rsidR="00917FAF" w:rsidRDefault="00E12FA7">
      <w:pPr>
        <w:pStyle w:val="TOC1"/>
        <w:rPr>
          <w:rFonts w:asciiTheme="minorHAnsi" w:eastAsiaTheme="minorEastAsia" w:hAnsiTheme="minorHAnsi" w:cstheme="minorBidi"/>
          <w:noProof/>
          <w:sz w:val="22"/>
          <w:szCs w:val="22"/>
        </w:rPr>
      </w:pPr>
      <w:hyperlink w:anchor="_Toc51331543" w:history="1">
        <w:r w:rsidR="00917FAF" w:rsidRPr="006E14FE">
          <w:rPr>
            <w:rStyle w:val="Hyperlink"/>
            <w:noProof/>
          </w:rPr>
          <w:t>Appendix I – List of approved Recommendations and other approved texts</w:t>
        </w:r>
        <w:r w:rsidR="00917FAF">
          <w:rPr>
            <w:noProof/>
            <w:webHidden/>
          </w:rPr>
          <w:tab/>
        </w:r>
        <w:r w:rsidR="00917FAF">
          <w:rPr>
            <w:noProof/>
            <w:webHidden/>
          </w:rPr>
          <w:fldChar w:fldCharType="begin"/>
        </w:r>
        <w:r w:rsidR="00917FAF">
          <w:rPr>
            <w:noProof/>
            <w:webHidden/>
          </w:rPr>
          <w:instrText xml:space="preserve"> PAGEREF _Toc51331543 \h </w:instrText>
        </w:r>
        <w:r w:rsidR="00917FAF">
          <w:rPr>
            <w:noProof/>
            <w:webHidden/>
          </w:rPr>
        </w:r>
        <w:r w:rsidR="00917FAF">
          <w:rPr>
            <w:noProof/>
            <w:webHidden/>
          </w:rPr>
          <w:fldChar w:fldCharType="separate"/>
        </w:r>
        <w:r w:rsidR="00917FAF">
          <w:rPr>
            <w:noProof/>
            <w:webHidden/>
          </w:rPr>
          <w:t>42</w:t>
        </w:r>
        <w:r w:rsidR="00917FAF">
          <w:rPr>
            <w:noProof/>
            <w:webHidden/>
          </w:rPr>
          <w:fldChar w:fldCharType="end"/>
        </w:r>
      </w:hyperlink>
    </w:p>
    <w:p w14:paraId="79602B41" w14:textId="375FB884" w:rsidR="00136E7B" w:rsidRPr="00656355" w:rsidRDefault="00136E7B" w:rsidP="00136E7B">
      <w:pPr>
        <w:rPr>
          <w:highlight w:val="yellow"/>
          <w:lang w:val="en-GB"/>
        </w:rPr>
      </w:pPr>
      <w:r w:rsidRPr="00656355">
        <w:rPr>
          <w:rFonts w:eastAsia="Malgun Gothic"/>
          <w:color w:val="2B579A"/>
          <w:highlight w:val="yellow"/>
          <w:shd w:val="clear" w:color="auto" w:fill="E6E6E6"/>
          <w:lang w:val="en-GB" w:eastAsia="ko-KR"/>
        </w:rPr>
        <w:fldChar w:fldCharType="end"/>
      </w:r>
    </w:p>
    <w:p w14:paraId="3C42D320" w14:textId="77777777" w:rsidR="00917FAF" w:rsidRPr="00A70B9C" w:rsidRDefault="00917FAF" w:rsidP="00917FAF">
      <w:pPr>
        <w:pStyle w:val="Heading1"/>
        <w:pageBreakBefore/>
        <w:jc w:val="center"/>
        <w:rPr>
          <w:lang w:eastAsia="zh-CN"/>
        </w:rPr>
      </w:pPr>
      <w:bookmarkStart w:id="13" w:name="_Toc51331482"/>
      <w:bookmarkStart w:id="14" w:name="lt_pId135"/>
      <w:r w:rsidRPr="00A70B9C">
        <w:rPr>
          <w:rFonts w:ascii="SimSun" w:eastAsia="SimSun" w:hAnsi="SimSun" w:cs="SimSun" w:hint="eastAsia"/>
          <w:lang w:eastAsia="zh-CN"/>
        </w:rPr>
        <w:lastRenderedPageBreak/>
        <w:t>内容提要</w:t>
      </w:r>
      <w:bookmarkEnd w:id="13"/>
    </w:p>
    <w:p w14:paraId="6AAA36BC" w14:textId="77777777" w:rsidR="00917FAF" w:rsidRPr="00A70B9C" w:rsidRDefault="00917FAF" w:rsidP="00917FAF">
      <w:pPr>
        <w:pStyle w:val="Headingb"/>
        <w:rPr>
          <w:rFonts w:ascii="STKaiti" w:eastAsia="STKaiti" w:hAnsi="STKaiti"/>
          <w:i/>
          <w:iCs/>
          <w:sz w:val="28"/>
          <w:szCs w:val="28"/>
          <w:lang w:eastAsia="zh-CN"/>
        </w:rPr>
      </w:pPr>
      <w:bookmarkStart w:id="15" w:name="lt_pId001"/>
      <w:r w:rsidRPr="00A70B9C">
        <w:rPr>
          <w:rFonts w:ascii="STKaiti" w:eastAsia="STKaiti" w:hAnsi="STKaiti"/>
          <w:iCs/>
          <w:sz w:val="28"/>
          <w:szCs w:val="28"/>
          <w:lang w:eastAsia="zh-CN"/>
        </w:rPr>
        <w:t>ITU-T</w:t>
      </w:r>
      <w:r w:rsidRPr="00A70B9C">
        <w:rPr>
          <w:rFonts w:ascii="STKaiti" w:eastAsia="STKaiti" w:hAnsi="STKaiti" w:hint="eastAsia"/>
          <w:iCs/>
          <w:sz w:val="28"/>
          <w:szCs w:val="28"/>
          <w:lang w:eastAsia="zh-CN"/>
        </w:rPr>
        <w:t>标准化工作成就摘要</w:t>
      </w:r>
      <w:bookmarkEnd w:id="15"/>
    </w:p>
    <w:p w14:paraId="1F02A869" w14:textId="77777777" w:rsidR="00917FAF" w:rsidRPr="00A70B9C" w:rsidRDefault="00917FAF" w:rsidP="00917FAF">
      <w:pPr>
        <w:ind w:firstLineChars="200" w:firstLine="480"/>
        <w:rPr>
          <w:b/>
          <w:color w:val="800000"/>
          <w:sz w:val="22"/>
          <w:lang w:val="en-GB"/>
        </w:rPr>
      </w:pPr>
      <w:r w:rsidRPr="00A70B9C">
        <w:rPr>
          <w:szCs w:val="24"/>
          <w:lang w:val="en-GB"/>
        </w:rPr>
        <w:t>2020</w:t>
      </w:r>
      <w:r w:rsidRPr="00A70B9C">
        <w:rPr>
          <w:rFonts w:ascii="SimSun" w:eastAsia="SimSun" w:hAnsi="SimSun" w:cs="SimSun" w:hint="eastAsia"/>
          <w:szCs w:val="24"/>
        </w:rPr>
        <w:t>年</w:t>
      </w:r>
      <w:r w:rsidRPr="00A70B9C">
        <w:rPr>
          <w:szCs w:val="24"/>
        </w:rPr>
        <w:t>1</w:t>
      </w:r>
      <w:r w:rsidRPr="00A70B9C">
        <w:rPr>
          <w:rFonts w:ascii="SimSun" w:eastAsia="SimSun" w:hAnsi="SimSun" w:cs="SimSun" w:hint="eastAsia"/>
          <w:szCs w:val="24"/>
        </w:rPr>
        <w:t>月至</w:t>
      </w:r>
      <w:r w:rsidRPr="00A70B9C">
        <w:rPr>
          <w:szCs w:val="24"/>
        </w:rPr>
        <w:t>8</w:t>
      </w:r>
      <w:r w:rsidRPr="00A70B9C">
        <w:rPr>
          <w:rFonts w:ascii="SimSun" w:eastAsia="SimSun" w:hAnsi="SimSun" w:cs="SimSun" w:hint="eastAsia"/>
          <w:szCs w:val="24"/>
        </w:rPr>
        <w:t>月，国际电联批准了</w:t>
      </w:r>
      <w:r w:rsidRPr="00A70B9C">
        <w:rPr>
          <w:szCs w:val="24"/>
        </w:rPr>
        <w:t>240</w:t>
      </w:r>
      <w:r w:rsidRPr="00A70B9C">
        <w:rPr>
          <w:rFonts w:ascii="SimSun" w:eastAsia="SimSun" w:hAnsi="SimSun" w:cs="SimSun" w:hint="eastAsia"/>
          <w:szCs w:val="24"/>
        </w:rPr>
        <w:t>多种新的和经修订的</w:t>
      </w:r>
      <w:r w:rsidRPr="00A70B9C">
        <w:rPr>
          <w:szCs w:val="24"/>
          <w:lang w:val="en-GB"/>
        </w:rPr>
        <w:t>ITU-T</w:t>
      </w:r>
      <w:r w:rsidRPr="00A70B9C">
        <w:rPr>
          <w:rFonts w:ascii="SimSun" w:eastAsia="SimSun" w:hAnsi="SimSun" w:cs="SimSun" w:hint="eastAsia"/>
          <w:szCs w:val="24"/>
        </w:rPr>
        <w:t>建议书。</w:t>
      </w:r>
      <w:bookmarkStart w:id="16" w:name="lt_pId004"/>
      <w:r w:rsidRPr="00A70B9C">
        <w:rPr>
          <w:rFonts w:ascii="SimSun" w:eastAsia="SimSun" w:hAnsi="SimSun" w:cs="SimSun" w:hint="eastAsia"/>
          <w:szCs w:val="24"/>
        </w:rPr>
        <w:t>附录一列出了这些</w:t>
      </w:r>
      <w:r w:rsidRPr="00A70B9C">
        <w:rPr>
          <w:szCs w:val="24"/>
        </w:rPr>
        <w:t>ITU-T</w:t>
      </w:r>
      <w:r w:rsidRPr="00A70B9C">
        <w:rPr>
          <w:rFonts w:ascii="SimSun" w:eastAsia="SimSun" w:hAnsi="SimSun" w:cs="SimSun" w:hint="eastAsia"/>
          <w:szCs w:val="24"/>
        </w:rPr>
        <w:t>建议书及相关案文并概要介绍了其内容。</w:t>
      </w:r>
      <w:bookmarkEnd w:id="16"/>
    </w:p>
    <w:p w14:paraId="44037D04" w14:textId="77777777" w:rsidR="00917FAF" w:rsidRPr="00A70B9C" w:rsidRDefault="00917FAF" w:rsidP="00917FAF">
      <w:r w:rsidRPr="00A70B9C">
        <w:rPr>
          <w:b/>
          <w:bCs/>
        </w:rPr>
        <w:t>IMT-2020/5G</w:t>
      </w:r>
      <w:r w:rsidRPr="00A70B9C">
        <w:rPr>
          <w:rFonts w:ascii="SimSun" w:eastAsia="SimSun" w:hAnsi="SimSun" w:cs="SimSun" w:hint="eastAsia"/>
          <w:b/>
          <w:bCs/>
        </w:rPr>
        <w:t>：</w:t>
      </w:r>
      <w:r w:rsidRPr="00A70B9C">
        <w:rPr>
          <w:rFonts w:ascii="SimSun" w:eastAsia="SimSun" w:hAnsi="SimSun" w:cs="SimSun" w:hint="eastAsia"/>
        </w:rPr>
        <w:t>新的国际电联标准描述了支持</w:t>
      </w:r>
      <w:r w:rsidRPr="00A70B9C">
        <w:rPr>
          <w:rFonts w:hint="eastAsia"/>
        </w:rPr>
        <w:t>5G</w:t>
      </w:r>
      <w:r w:rsidRPr="00A70B9C">
        <w:rPr>
          <w:rFonts w:ascii="SimSun" w:eastAsia="SimSun" w:hAnsi="SimSun" w:cs="SimSun" w:hint="eastAsia"/>
        </w:rPr>
        <w:t>的传输网特性（</w:t>
      </w:r>
      <w:r w:rsidRPr="00A70B9C">
        <w:rPr>
          <w:rFonts w:hint="eastAsia"/>
        </w:rPr>
        <w:t>G.8300</w:t>
      </w:r>
      <w:r w:rsidRPr="00A70B9C">
        <w:rPr>
          <w:rFonts w:ascii="SimSun" w:eastAsia="SimSun" w:hAnsi="SimSun" w:cs="SimSun" w:hint="eastAsia"/>
        </w:rPr>
        <w:t>），用于可扩展</w:t>
      </w:r>
      <w:r w:rsidRPr="00A70B9C">
        <w:rPr>
          <w:rFonts w:hint="eastAsia"/>
        </w:rPr>
        <w:t>5G</w:t>
      </w:r>
      <w:r w:rsidRPr="00A70B9C">
        <w:rPr>
          <w:rFonts w:ascii="SimSun" w:eastAsia="SimSun" w:hAnsi="SimSun" w:cs="SimSun" w:hint="eastAsia"/>
        </w:rPr>
        <w:t>网络切片业务管理和编排的资源池（</w:t>
      </w:r>
      <w:r w:rsidRPr="00A70B9C">
        <w:rPr>
          <w:rFonts w:hint="eastAsia"/>
        </w:rPr>
        <w:t>Y.3154</w:t>
      </w:r>
      <w:r w:rsidRPr="00A70B9C">
        <w:rPr>
          <w:rFonts w:ascii="SimSun" w:eastAsia="SimSun" w:hAnsi="SimSun" w:cs="SimSun" w:hint="eastAsia"/>
        </w:rPr>
        <w:t>）以及</w:t>
      </w:r>
      <w:r w:rsidRPr="00A70B9C">
        <w:rPr>
          <w:rFonts w:hint="eastAsia"/>
        </w:rPr>
        <w:t>5G</w:t>
      </w:r>
      <w:bookmarkStart w:id="17" w:name="_Hlk51315195"/>
      <w:r w:rsidRPr="00A70B9C">
        <w:rPr>
          <w:rFonts w:ascii="SimSun" w:eastAsia="SimSun" w:hAnsi="SimSun" w:cs="SimSun" w:hint="eastAsia"/>
        </w:rPr>
        <w:t>网络中节能设备到设备通信</w:t>
      </w:r>
      <w:bookmarkEnd w:id="17"/>
      <w:r w:rsidRPr="00A70B9C">
        <w:rPr>
          <w:rFonts w:ascii="SimSun" w:eastAsia="SimSun" w:hAnsi="SimSun" w:cs="SimSun" w:hint="eastAsia"/>
        </w:rPr>
        <w:t>（</w:t>
      </w:r>
      <w:r w:rsidRPr="00A70B9C">
        <w:rPr>
          <w:rFonts w:hint="eastAsia"/>
        </w:rPr>
        <w:t>Q.5022</w:t>
      </w:r>
      <w:r w:rsidRPr="00A70B9C">
        <w:rPr>
          <w:rFonts w:ascii="SimSun" w:eastAsia="SimSun" w:hAnsi="SimSun" w:cs="SimSun" w:hint="eastAsia"/>
        </w:rPr>
        <w:t>）。一份新的增补旨在建立对</w:t>
      </w:r>
      <w:r w:rsidRPr="00A70B9C">
        <w:rPr>
          <w:rFonts w:hint="eastAsia"/>
        </w:rPr>
        <w:t>5G</w:t>
      </w:r>
      <w:r w:rsidRPr="00A70B9C">
        <w:rPr>
          <w:rFonts w:ascii="SimSun" w:eastAsia="SimSun" w:hAnsi="SimSun" w:cs="SimSun" w:hint="eastAsia"/>
        </w:rPr>
        <w:t>用例和迁移方面的认识（</w:t>
      </w:r>
      <w:r w:rsidRPr="00A70B9C">
        <w:rPr>
          <w:rFonts w:hint="eastAsia"/>
        </w:rPr>
        <w:t>Y.Suppl.</w:t>
      </w:r>
      <w:r w:rsidRPr="00A70B9C">
        <w:t>64</w:t>
      </w:r>
      <w:r w:rsidRPr="00A70B9C">
        <w:rPr>
          <w:rFonts w:ascii="SimSun" w:eastAsia="SimSun" w:hAnsi="SimSun" w:cs="SimSun" w:hint="eastAsia"/>
        </w:rPr>
        <w:t>）。</w:t>
      </w:r>
    </w:p>
    <w:p w14:paraId="54DFD71F" w14:textId="77777777" w:rsidR="00917FAF" w:rsidRPr="00A70B9C" w:rsidRDefault="00917FAF" w:rsidP="00917FAF">
      <w:r w:rsidRPr="00A70B9C">
        <w:rPr>
          <w:b/>
          <w:bCs/>
        </w:rPr>
        <w:t>IMT-2020/5G</w:t>
      </w:r>
      <w:r w:rsidRPr="00A70B9C">
        <w:rPr>
          <w:rFonts w:ascii="SimSun" w:eastAsia="SimSun" w:hAnsi="SimSun" w:cs="SimSun" w:hint="eastAsia"/>
          <w:b/>
          <w:bCs/>
        </w:rPr>
        <w:t>中的机器学习：</w:t>
      </w:r>
      <w:r w:rsidRPr="00A70B9C">
        <w:rPr>
          <w:rFonts w:ascii="SimSun" w:eastAsia="SimSun" w:hAnsi="SimSun" w:cs="SimSun" w:hint="eastAsia"/>
        </w:rPr>
        <w:t>新的国际电联标准为</w:t>
      </w:r>
      <w:r w:rsidRPr="00A70B9C">
        <w:rPr>
          <w:rFonts w:hint="eastAsia"/>
        </w:rPr>
        <w:t>5G</w:t>
      </w:r>
      <w:r w:rsidRPr="00A70B9C">
        <w:rPr>
          <w:rFonts w:ascii="SimSun" w:eastAsia="SimSun" w:hAnsi="SimSun" w:cs="SimSun" w:hint="eastAsia"/>
        </w:rPr>
        <w:t>提供了基于机器学习的服务质量保证的功能架构（</w:t>
      </w:r>
      <w:r w:rsidRPr="00A70B9C">
        <w:rPr>
          <w:rFonts w:hint="eastAsia"/>
        </w:rPr>
        <w:t>Y.3175</w:t>
      </w:r>
      <w:r w:rsidRPr="00A70B9C">
        <w:rPr>
          <w:rFonts w:ascii="SimSun" w:eastAsia="SimSun" w:hAnsi="SimSun" w:cs="SimSun" w:hint="eastAsia"/>
        </w:rPr>
        <w:t>），</w:t>
      </w:r>
      <w:r w:rsidRPr="00A70B9C">
        <w:rPr>
          <w:rFonts w:hint="eastAsia"/>
        </w:rPr>
        <w:t>5G</w:t>
      </w:r>
      <w:r w:rsidRPr="00A70B9C">
        <w:rPr>
          <w:rFonts w:ascii="SimSun" w:eastAsia="SimSun" w:hAnsi="SimSun" w:cs="SimSun" w:hint="eastAsia"/>
        </w:rPr>
        <w:t>和未来网络智能水平评估框架（</w:t>
      </w:r>
      <w:r w:rsidRPr="00A70B9C">
        <w:rPr>
          <w:rFonts w:hint="eastAsia"/>
        </w:rPr>
        <w:t>Y.3173</w:t>
      </w:r>
      <w:r w:rsidRPr="00A70B9C">
        <w:rPr>
          <w:rFonts w:ascii="SimSun" w:eastAsia="SimSun" w:hAnsi="SimSun" w:cs="SimSun" w:hint="eastAsia"/>
        </w:rPr>
        <w:t>）和在</w:t>
      </w:r>
      <w:r w:rsidRPr="00A70B9C">
        <w:rPr>
          <w:rFonts w:hint="eastAsia"/>
        </w:rPr>
        <w:t>5G</w:t>
      </w:r>
      <w:r w:rsidRPr="00A70B9C">
        <w:rPr>
          <w:rFonts w:ascii="SimSun" w:eastAsia="SimSun" w:hAnsi="SimSun" w:cs="SimSun" w:hint="eastAsia"/>
        </w:rPr>
        <w:t>和未来网络中实现机器学习的数据处理框架（</w:t>
      </w:r>
      <w:r w:rsidRPr="00A70B9C">
        <w:rPr>
          <w:rFonts w:hint="eastAsia"/>
        </w:rPr>
        <w:t>Y.3174</w:t>
      </w:r>
      <w:r w:rsidRPr="00A70B9C">
        <w:rPr>
          <w:rFonts w:ascii="SimSun" w:eastAsia="SimSun" w:hAnsi="SimSun" w:cs="SimSun" w:hint="eastAsia"/>
        </w:rPr>
        <w:t>）。</w:t>
      </w:r>
    </w:p>
    <w:p w14:paraId="2A4CA3D8" w14:textId="77777777" w:rsidR="00917FAF" w:rsidRPr="00A70B9C" w:rsidRDefault="00917FAF" w:rsidP="00917FAF">
      <w:pPr>
        <w:rPr>
          <w:szCs w:val="24"/>
        </w:rPr>
      </w:pPr>
      <w:r w:rsidRPr="00A70B9C">
        <w:rPr>
          <w:rFonts w:ascii="SimSun" w:eastAsia="SimSun" w:hAnsi="SimSun" w:cs="SimSun" w:hint="eastAsia"/>
          <w:b/>
          <w:bCs/>
        </w:rPr>
        <w:t>视频编码：</w:t>
      </w:r>
      <w:r w:rsidRPr="00A70B9C">
        <w:rPr>
          <w:rFonts w:hint="eastAsia"/>
        </w:rPr>
        <w:t>2020</w:t>
      </w:r>
      <w:r w:rsidRPr="00A70B9C">
        <w:rPr>
          <w:rFonts w:ascii="SimSun" w:eastAsia="SimSun" w:hAnsi="SimSun" w:cs="SimSun" w:hint="eastAsia"/>
        </w:rPr>
        <w:t>年</w:t>
      </w:r>
      <w:r w:rsidRPr="00A70B9C">
        <w:rPr>
          <w:rFonts w:hint="eastAsia"/>
        </w:rPr>
        <w:t>8</w:t>
      </w:r>
      <w:r w:rsidRPr="00A70B9C">
        <w:rPr>
          <w:rFonts w:ascii="SimSun" w:eastAsia="SimSun" w:hAnsi="SimSun" w:cs="SimSun" w:hint="eastAsia"/>
        </w:rPr>
        <w:t>月获得批准的新的</w:t>
      </w:r>
      <w:r w:rsidRPr="00A70B9C">
        <w:t>“</w:t>
      </w:r>
      <w:r w:rsidRPr="00A70B9C">
        <w:rPr>
          <w:rFonts w:ascii="SimSun" w:eastAsia="SimSun" w:hAnsi="SimSun" w:cs="SimSun" w:hint="eastAsia"/>
        </w:rPr>
        <w:t>多功能视频编码</w:t>
      </w:r>
      <w:r w:rsidRPr="00A70B9C">
        <w:t>”</w:t>
      </w:r>
      <w:r w:rsidRPr="00A70B9C">
        <w:rPr>
          <w:rFonts w:ascii="SimSun" w:eastAsia="SimSun" w:hAnsi="SimSun" w:cs="SimSun" w:hint="eastAsia"/>
        </w:rPr>
        <w:t>（</w:t>
      </w:r>
      <w:r w:rsidRPr="00A70B9C">
        <w:rPr>
          <w:rFonts w:hint="eastAsia"/>
        </w:rPr>
        <w:t>VVC</w:t>
      </w:r>
      <w:r w:rsidRPr="00A70B9C">
        <w:rPr>
          <w:rFonts w:ascii="SimSun" w:eastAsia="SimSun" w:hAnsi="SimSun" w:cs="SimSun" w:hint="eastAsia"/>
        </w:rPr>
        <w:t>，</w:t>
      </w:r>
      <w:r w:rsidRPr="00A70B9C">
        <w:rPr>
          <w:rFonts w:hint="eastAsia"/>
        </w:rPr>
        <w:t>H.266</w:t>
      </w:r>
      <w:r w:rsidRPr="00A70B9C">
        <w:rPr>
          <w:rFonts w:ascii="SimSun" w:eastAsia="SimSun" w:hAnsi="SimSun" w:cs="SimSun" w:hint="eastAsia"/>
        </w:rPr>
        <w:t>）标准</w:t>
      </w:r>
      <w:r w:rsidRPr="00A70B9C">
        <w:rPr>
          <w:rFonts w:ascii="SimSun" w:eastAsia="SimSun" w:hAnsi="SimSun" w:cs="SimSun" w:hint="eastAsia"/>
          <w:szCs w:val="24"/>
        </w:rPr>
        <w:t>令视频压缩的最高水平更上一层楼，同时实现了前所未有的应用多功能性。</w:t>
      </w:r>
      <w:r w:rsidRPr="00A70B9C">
        <w:rPr>
          <w:rFonts w:hint="eastAsia"/>
          <w:szCs w:val="24"/>
        </w:rPr>
        <w:t>VVC</w:t>
      </w:r>
      <w:r w:rsidRPr="00A70B9C">
        <w:rPr>
          <w:rFonts w:ascii="SimSun" w:eastAsia="SimSun" w:hAnsi="SimSun" w:cs="SimSun" w:hint="eastAsia"/>
          <w:szCs w:val="24"/>
        </w:rPr>
        <w:t>由视频专家联合团队与</w:t>
      </w:r>
      <w:r w:rsidRPr="00A70B9C">
        <w:rPr>
          <w:rFonts w:hint="eastAsia"/>
          <w:szCs w:val="24"/>
        </w:rPr>
        <w:t>M</w:t>
      </w:r>
      <w:r w:rsidRPr="00A70B9C">
        <w:rPr>
          <w:szCs w:val="24"/>
        </w:rPr>
        <w:t>PEG</w:t>
      </w:r>
      <w:r w:rsidRPr="00A70B9C">
        <w:rPr>
          <w:rFonts w:ascii="SimSun" w:eastAsia="SimSun" w:hAnsi="SimSun" w:cs="SimSun" w:hint="eastAsia"/>
          <w:szCs w:val="24"/>
        </w:rPr>
        <w:t>开发，相对于</w:t>
      </w:r>
      <w:r w:rsidRPr="00A70B9C">
        <w:rPr>
          <w:szCs w:val="24"/>
        </w:rPr>
        <w:t>“</w:t>
      </w:r>
      <w:r w:rsidRPr="00A70B9C">
        <w:rPr>
          <w:rFonts w:ascii="SimSun" w:eastAsia="SimSun" w:hAnsi="SimSun" w:cs="SimSun" w:hint="eastAsia"/>
          <w:szCs w:val="24"/>
        </w:rPr>
        <w:t>高效视频编码</w:t>
      </w:r>
      <w:r w:rsidRPr="00A70B9C">
        <w:rPr>
          <w:szCs w:val="24"/>
        </w:rPr>
        <w:t>”</w:t>
      </w:r>
      <w:r w:rsidRPr="00A70B9C">
        <w:rPr>
          <w:rFonts w:ascii="SimSun" w:eastAsia="SimSun" w:hAnsi="SimSun" w:cs="SimSun" w:hint="eastAsia"/>
          <w:szCs w:val="24"/>
        </w:rPr>
        <w:t>（</w:t>
      </w:r>
      <w:r w:rsidRPr="00A70B9C">
        <w:rPr>
          <w:rFonts w:hint="eastAsia"/>
          <w:szCs w:val="24"/>
        </w:rPr>
        <w:t>H.265</w:t>
      </w:r>
      <w:r w:rsidRPr="00A70B9C">
        <w:rPr>
          <w:rFonts w:ascii="SimSun" w:eastAsia="SimSun" w:hAnsi="SimSun" w:cs="SimSun" w:hint="eastAsia"/>
          <w:szCs w:val="24"/>
        </w:rPr>
        <w:t>），</w:t>
      </w:r>
      <w:r w:rsidRPr="00A70B9C">
        <w:rPr>
          <w:rFonts w:hint="eastAsia"/>
          <w:szCs w:val="24"/>
        </w:rPr>
        <w:t>VCC</w:t>
      </w:r>
      <w:r w:rsidRPr="00A70B9C">
        <w:rPr>
          <w:rFonts w:ascii="SimSun" w:eastAsia="SimSun" w:hAnsi="SimSun" w:cs="SimSun" w:hint="eastAsia"/>
          <w:szCs w:val="24"/>
        </w:rPr>
        <w:t>只需要用一半的比特率，就能实现同样水平的视频质量；而相对于</w:t>
      </w:r>
      <w:r w:rsidRPr="00A70B9C">
        <w:rPr>
          <w:szCs w:val="24"/>
        </w:rPr>
        <w:t>“</w:t>
      </w:r>
      <w:r w:rsidRPr="00A70B9C">
        <w:rPr>
          <w:rFonts w:ascii="SimSun" w:eastAsia="SimSun" w:hAnsi="SimSun" w:cs="SimSun" w:hint="eastAsia"/>
          <w:szCs w:val="24"/>
        </w:rPr>
        <w:t>高级视频编码</w:t>
      </w:r>
      <w:r w:rsidRPr="00A70B9C">
        <w:rPr>
          <w:szCs w:val="24"/>
        </w:rPr>
        <w:t>”</w:t>
      </w:r>
      <w:r w:rsidRPr="00A70B9C">
        <w:rPr>
          <w:rFonts w:ascii="SimSun" w:eastAsia="SimSun" w:hAnsi="SimSun" w:cs="SimSun" w:hint="eastAsia"/>
          <w:szCs w:val="24"/>
        </w:rPr>
        <w:t>（</w:t>
      </w:r>
      <w:r w:rsidRPr="00A70B9C">
        <w:rPr>
          <w:rFonts w:hint="eastAsia"/>
          <w:szCs w:val="24"/>
        </w:rPr>
        <w:t>H.264</w:t>
      </w:r>
      <w:r w:rsidRPr="00A70B9C">
        <w:rPr>
          <w:rFonts w:ascii="SimSun" w:eastAsia="SimSun" w:hAnsi="SimSun" w:cs="SimSun" w:hint="eastAsia"/>
          <w:szCs w:val="24"/>
        </w:rPr>
        <w:t>），只需要四分之一的比特率。</w:t>
      </w:r>
    </w:p>
    <w:p w14:paraId="5936584E" w14:textId="77777777" w:rsidR="00917FAF" w:rsidRPr="00A70B9C" w:rsidRDefault="00917FAF" w:rsidP="00917FAF">
      <w:r w:rsidRPr="00A70B9C">
        <w:rPr>
          <w:rFonts w:ascii="SimSun" w:eastAsia="SimSun" w:hAnsi="SimSun" w:cs="SimSun" w:hint="eastAsia"/>
          <w:b/>
          <w:bCs/>
        </w:rPr>
        <w:t>传输、接入和入户：</w:t>
      </w:r>
      <w:r w:rsidRPr="00A70B9C">
        <w:rPr>
          <w:rFonts w:ascii="SimSun" w:eastAsia="SimSun" w:hAnsi="SimSun" w:cs="SimSun" w:hint="eastAsia"/>
        </w:rPr>
        <w:t>本报告期间批准的</w:t>
      </w:r>
      <w:r w:rsidRPr="00A70B9C">
        <w:rPr>
          <w:rFonts w:hint="eastAsia"/>
        </w:rPr>
        <w:t>50</w:t>
      </w:r>
      <w:r w:rsidRPr="00A70B9C">
        <w:rPr>
          <w:rFonts w:ascii="SimSun" w:eastAsia="SimSun" w:hAnsi="SimSun" w:cs="SimSun" w:hint="eastAsia"/>
        </w:rPr>
        <w:t>份文本中包括新的国际电联标准，其中介绍了支持</w:t>
      </w:r>
      <w:r w:rsidRPr="00A70B9C">
        <w:rPr>
          <w:rFonts w:hint="eastAsia"/>
        </w:rPr>
        <w:t>IMT-2020/5G</w:t>
      </w:r>
      <w:r w:rsidRPr="00A70B9C">
        <w:rPr>
          <w:rFonts w:ascii="SimSun" w:eastAsia="SimSun" w:hAnsi="SimSun" w:cs="SimSun" w:hint="eastAsia"/>
        </w:rPr>
        <w:t>的传输网特性（</w:t>
      </w:r>
      <w:r w:rsidRPr="00A70B9C">
        <w:rPr>
          <w:rFonts w:hint="eastAsia"/>
        </w:rPr>
        <w:t>G.8300</w:t>
      </w:r>
      <w:r w:rsidRPr="00A70B9C">
        <w:rPr>
          <w:rFonts w:ascii="SimSun" w:eastAsia="SimSun" w:hAnsi="SimSun" w:cs="SimSun" w:hint="eastAsia"/>
        </w:rPr>
        <w:t>）和光介质网络的通用功能架构（</w:t>
      </w:r>
      <w:r w:rsidRPr="00A70B9C">
        <w:rPr>
          <w:rFonts w:hint="eastAsia"/>
        </w:rPr>
        <w:t>G.807</w:t>
      </w:r>
      <w:r w:rsidRPr="00A70B9C">
        <w:rPr>
          <w:rFonts w:ascii="SimSun" w:eastAsia="SimSun" w:hAnsi="SimSun" w:cs="SimSun" w:hint="eastAsia"/>
        </w:rPr>
        <w:t>）。新的技术报告提供了关于使用全球导航卫星系统作为电信的主要时间基准（</w:t>
      </w:r>
      <w:r w:rsidRPr="00A70B9C">
        <w:rPr>
          <w:rFonts w:hint="eastAsia"/>
        </w:rPr>
        <w:t>GSTR-GNSS</w:t>
      </w:r>
      <w:r w:rsidRPr="00A70B9C">
        <w:rPr>
          <w:rFonts w:ascii="SimSun" w:eastAsia="SimSun" w:hAnsi="SimSun" w:cs="SimSun" w:hint="eastAsia"/>
        </w:rPr>
        <w:t>）和在工业应用中使用</w:t>
      </w:r>
      <w:r w:rsidRPr="00A70B9C">
        <w:rPr>
          <w:rFonts w:hint="eastAsia"/>
        </w:rPr>
        <w:t>G.hn</w:t>
      </w:r>
      <w:r w:rsidRPr="00A70B9C">
        <w:rPr>
          <w:rFonts w:ascii="SimSun" w:eastAsia="SimSun" w:hAnsi="SimSun" w:cs="SimSun" w:hint="eastAsia"/>
        </w:rPr>
        <w:t>（</w:t>
      </w:r>
      <w:r w:rsidRPr="00A70B9C">
        <w:rPr>
          <w:rFonts w:hint="eastAsia"/>
        </w:rPr>
        <w:t>GSTP-HNIA</w:t>
      </w:r>
      <w:r w:rsidRPr="00A70B9C">
        <w:rPr>
          <w:rFonts w:ascii="SimSun" w:eastAsia="SimSun" w:hAnsi="SimSun" w:cs="SimSun" w:hint="eastAsia"/>
        </w:rPr>
        <w:t>）的考虑。</w:t>
      </w:r>
    </w:p>
    <w:p w14:paraId="14E68314" w14:textId="77777777" w:rsidR="00917FAF" w:rsidRPr="00A70B9C" w:rsidRDefault="00917FAF" w:rsidP="00917FAF">
      <w:r w:rsidRPr="00A70B9C">
        <w:rPr>
          <w:rFonts w:ascii="SimSun" w:eastAsia="SimSun" w:hAnsi="SimSun" w:cs="SimSun" w:hint="eastAsia"/>
          <w:b/>
          <w:bCs/>
          <w:szCs w:val="24"/>
        </w:rPr>
        <w:t>号码滥用</w:t>
      </w:r>
      <w:r w:rsidRPr="00A70B9C">
        <w:rPr>
          <w:rFonts w:ascii="SimSun" w:eastAsia="SimSun" w:hAnsi="SimSun" w:cs="SimSun" w:hint="eastAsia"/>
          <w:b/>
          <w:bCs/>
        </w:rPr>
        <w:t>：</w:t>
      </w:r>
      <w:r w:rsidRPr="00A70B9C">
        <w:rPr>
          <w:rFonts w:ascii="SimSun" w:eastAsia="SimSun" w:hAnsi="SimSun" w:cs="SimSun" w:hint="eastAsia"/>
        </w:rPr>
        <w:t>用于</w:t>
      </w:r>
      <w:r w:rsidRPr="00A70B9C">
        <w:rPr>
          <w:szCs w:val="24"/>
        </w:rPr>
        <w:t>ITU-T</w:t>
      </w:r>
      <w:r w:rsidRPr="00A70B9C">
        <w:rPr>
          <w:rFonts w:ascii="SimSun" w:eastAsia="SimSun" w:hAnsi="SimSun" w:cs="SimSun" w:hint="eastAsia"/>
          <w:szCs w:val="24"/>
        </w:rPr>
        <w:t>对报告的</w:t>
      </w:r>
      <w:r w:rsidRPr="00A70B9C">
        <w:rPr>
          <w:szCs w:val="24"/>
        </w:rPr>
        <w:t>E.164</w:t>
      </w:r>
      <w:r w:rsidRPr="00A70B9C">
        <w:rPr>
          <w:rFonts w:ascii="SimSun" w:eastAsia="SimSun" w:hAnsi="SimSun" w:cs="SimSun" w:hint="eastAsia"/>
          <w:szCs w:val="24"/>
        </w:rPr>
        <w:t>号码资源滥用采取行动的</w:t>
      </w:r>
      <w:r w:rsidRPr="00A70B9C">
        <w:rPr>
          <w:rFonts w:ascii="SimSun" w:eastAsia="SimSun" w:hAnsi="SimSun" w:cs="SimSun" w:hint="eastAsia"/>
        </w:rPr>
        <w:t>修订版</w:t>
      </w:r>
      <w:r w:rsidRPr="00A70B9C">
        <w:rPr>
          <w:rFonts w:ascii="SimSun" w:eastAsia="SimSun" w:hAnsi="SimSun" w:cs="SimSun" w:hint="eastAsia"/>
          <w:szCs w:val="24"/>
        </w:rPr>
        <w:t>指南</w:t>
      </w:r>
      <w:r w:rsidRPr="00A70B9C">
        <w:rPr>
          <w:rFonts w:ascii="SimSun" w:eastAsia="SimSun" w:hAnsi="SimSun" w:cs="SimSun" w:hint="eastAsia"/>
        </w:rPr>
        <w:t>（</w:t>
      </w:r>
      <w:r w:rsidRPr="00A70B9C">
        <w:rPr>
          <w:rFonts w:hint="eastAsia"/>
        </w:rPr>
        <w:t>E.156</w:t>
      </w:r>
      <w:r w:rsidRPr="00A70B9C">
        <w:rPr>
          <w:rFonts w:ascii="SimSun" w:eastAsia="SimSun" w:hAnsi="SimSun" w:cs="SimSun" w:hint="eastAsia"/>
        </w:rPr>
        <w:t>）介绍了新的</w:t>
      </w:r>
      <w:r w:rsidRPr="00A70B9C">
        <w:rPr>
          <w:rFonts w:ascii="SimSun" w:eastAsia="SimSun" w:hAnsi="SimSun" w:cs="SimSun" w:hint="eastAsia"/>
          <w:szCs w:val="24"/>
        </w:rPr>
        <w:t>滥用案例</w:t>
      </w:r>
      <w:r w:rsidRPr="00A70B9C">
        <w:rPr>
          <w:rFonts w:ascii="SimSun" w:eastAsia="SimSun" w:hAnsi="SimSun" w:cs="SimSun" w:hint="eastAsia"/>
        </w:rPr>
        <w:t>以及更有效的防止</w:t>
      </w:r>
      <w:r w:rsidRPr="00A70B9C">
        <w:rPr>
          <w:rFonts w:ascii="SimSun" w:eastAsia="SimSun" w:hAnsi="SimSun" w:cs="SimSun" w:hint="eastAsia"/>
          <w:szCs w:val="24"/>
        </w:rPr>
        <w:t>滥用</w:t>
      </w:r>
      <w:r w:rsidRPr="00A70B9C">
        <w:rPr>
          <w:rFonts w:ascii="SimSun" w:eastAsia="SimSun" w:hAnsi="SimSun" w:cs="SimSun" w:hint="eastAsia"/>
        </w:rPr>
        <w:t>的手段。修订后的</w:t>
      </w:r>
      <w:r w:rsidRPr="00A70B9C">
        <w:rPr>
          <w:rFonts w:hint="eastAsia"/>
        </w:rPr>
        <w:t>E.156</w:t>
      </w:r>
      <w:r w:rsidRPr="00A70B9C">
        <w:rPr>
          <w:rFonts w:ascii="SimSun" w:eastAsia="SimSun" w:hAnsi="SimSun" w:cs="SimSun" w:hint="eastAsia"/>
        </w:rPr>
        <w:t>更好地反映了由电信标准化局主任负责的直接分配资源（即所称的</w:t>
      </w:r>
      <w:r w:rsidRPr="00A70B9C">
        <w:t>“</w:t>
      </w:r>
      <w:r w:rsidRPr="00A70B9C">
        <w:rPr>
          <w:rFonts w:ascii="SimSun" w:eastAsia="SimSun" w:hAnsi="SimSun" w:cs="SimSun" w:hint="eastAsia"/>
        </w:rPr>
        <w:t>全球号码</w:t>
      </w:r>
      <w:r w:rsidRPr="00A70B9C">
        <w:t>”</w:t>
      </w:r>
      <w:r w:rsidRPr="00A70B9C">
        <w:rPr>
          <w:rFonts w:ascii="SimSun" w:eastAsia="SimSun" w:hAnsi="SimSun" w:cs="SimSun" w:hint="eastAsia"/>
        </w:rPr>
        <w:t>）与由成员国负责的间接分配资源之间的差异。此指南旨在改进间接分配资源滥用的报告方式，建议使用电子邮件向预先确定的电子邮件通讯录发送通知的方式，而不是对滥用报告进行登记，以便电信标准化局采取行动。</w:t>
      </w:r>
    </w:p>
    <w:p w14:paraId="6A3F4877" w14:textId="4835C304" w:rsidR="00917FAF" w:rsidRPr="00A70B9C" w:rsidRDefault="00917FAF" w:rsidP="00917FAF">
      <w:pPr>
        <w:rPr>
          <w:szCs w:val="24"/>
          <w:lang w:val="en-GB"/>
        </w:rPr>
      </w:pPr>
      <w:bookmarkStart w:id="18" w:name="lt_pId010"/>
      <w:r w:rsidRPr="00A70B9C">
        <w:rPr>
          <w:rFonts w:ascii="SimSun" w:eastAsia="SimSun" w:hAnsi="SimSun" w:cs="SimSun" w:hint="eastAsia"/>
          <w:b/>
          <w:bCs/>
          <w:szCs w:val="24"/>
          <w:lang w:val="en-GB"/>
        </w:rPr>
        <w:t>数字金融服务：</w:t>
      </w:r>
      <w:r w:rsidRPr="00A70B9C">
        <w:rPr>
          <w:rFonts w:ascii="SimSun" w:eastAsia="SimSun" w:hAnsi="SimSun" w:cs="SimSun" w:hint="eastAsia"/>
          <w:szCs w:val="24"/>
          <w:lang w:val="en-GB"/>
        </w:rPr>
        <w:t>新的国际电联标准介绍了数字金融服务的服务质量（</w:t>
      </w:r>
      <w:r w:rsidRPr="00A70B9C">
        <w:rPr>
          <w:szCs w:val="24"/>
          <w:lang w:val="en-GB"/>
        </w:rPr>
        <w:t>QoS</w:t>
      </w:r>
      <w:r w:rsidRPr="00A70B9C">
        <w:rPr>
          <w:rFonts w:ascii="SimSun" w:eastAsia="SimSun" w:hAnsi="SimSun" w:cs="SimSun" w:hint="eastAsia"/>
          <w:szCs w:val="24"/>
          <w:lang w:val="en-GB"/>
        </w:rPr>
        <w:t>）和体验质量（</w:t>
      </w:r>
      <w:r w:rsidRPr="00A70B9C">
        <w:rPr>
          <w:szCs w:val="24"/>
          <w:lang w:val="en-GB"/>
        </w:rPr>
        <w:t>QoE</w:t>
      </w:r>
      <w:r w:rsidRPr="00A70B9C">
        <w:rPr>
          <w:rFonts w:ascii="SimSun" w:eastAsia="SimSun" w:hAnsi="SimSun" w:cs="SimSun" w:hint="eastAsia"/>
          <w:szCs w:val="24"/>
          <w:lang w:val="en-GB"/>
        </w:rPr>
        <w:t>）方面（</w:t>
      </w:r>
      <w:hyperlink r:id="rId13" w:history="1">
        <w:r w:rsidRPr="00A70B9C">
          <w:rPr>
            <w:rStyle w:val="Hyperlink"/>
            <w:color w:val="auto"/>
            <w:szCs w:val="24"/>
          </w:rPr>
          <w:t>G.1033</w:t>
        </w:r>
      </w:hyperlink>
      <w:r w:rsidRPr="00A70B9C">
        <w:rPr>
          <w:rFonts w:ascii="SimSun" w:eastAsia="SimSun" w:hAnsi="SimSun" w:cs="SimSun" w:hint="eastAsia"/>
          <w:szCs w:val="24"/>
          <w:lang w:val="en-GB"/>
        </w:rPr>
        <w:t>）</w:t>
      </w:r>
      <w:bookmarkEnd w:id="18"/>
      <w:r w:rsidRPr="00A70B9C">
        <w:rPr>
          <w:rFonts w:ascii="SimSun" w:eastAsia="SimSun" w:hAnsi="SimSun" w:cs="SimSun" w:hint="eastAsia"/>
          <w:szCs w:val="24"/>
          <w:lang w:val="en-GB"/>
        </w:rPr>
        <w:t>，一种测试数字金融服务</w:t>
      </w:r>
      <w:r w:rsidRPr="00A70B9C">
        <w:rPr>
          <w:rFonts w:hint="eastAsia"/>
          <w:szCs w:val="24"/>
          <w:lang w:val="en-GB"/>
        </w:rPr>
        <w:t>QoE</w:t>
      </w:r>
      <w:r w:rsidRPr="00A70B9C">
        <w:rPr>
          <w:rFonts w:ascii="SimSun" w:eastAsia="SimSun" w:hAnsi="SimSun" w:cs="SimSun" w:hint="eastAsia"/>
          <w:szCs w:val="24"/>
          <w:lang w:val="en-GB"/>
        </w:rPr>
        <w:t>的方法（</w:t>
      </w:r>
      <w:r w:rsidRPr="00A70B9C">
        <w:rPr>
          <w:rFonts w:hint="eastAsia"/>
          <w:szCs w:val="24"/>
          <w:lang w:val="en-GB"/>
        </w:rPr>
        <w:t>P.1502</w:t>
      </w:r>
      <w:r w:rsidRPr="00A70B9C">
        <w:rPr>
          <w:rFonts w:ascii="SimSun" w:eastAsia="SimSun" w:hAnsi="SimSun" w:cs="SimSun" w:hint="eastAsia"/>
          <w:szCs w:val="24"/>
          <w:lang w:val="en-GB"/>
        </w:rPr>
        <w:t>）和基于开放平台架构构建的金融技术服务的安全性要求（</w:t>
      </w:r>
      <w:r>
        <w:rPr>
          <w:rFonts w:hint="eastAsia"/>
          <w:szCs w:val="24"/>
          <w:lang w:val="en-GB"/>
        </w:rPr>
        <w:t>X</w:t>
      </w:r>
      <w:r w:rsidRPr="00A70B9C">
        <w:rPr>
          <w:rFonts w:hint="eastAsia"/>
          <w:szCs w:val="24"/>
          <w:lang w:val="en-GB"/>
        </w:rPr>
        <w:t>.1149</w:t>
      </w:r>
      <w:r w:rsidRPr="00A70B9C">
        <w:rPr>
          <w:rFonts w:ascii="SimSun" w:eastAsia="SimSun" w:hAnsi="SimSun" w:cs="SimSun" w:hint="eastAsia"/>
          <w:szCs w:val="24"/>
          <w:lang w:val="en-GB"/>
        </w:rPr>
        <w:t>）。</w:t>
      </w:r>
    </w:p>
    <w:p w14:paraId="18CBF1E6" w14:textId="77777777" w:rsidR="00917FAF" w:rsidRPr="00A70B9C" w:rsidRDefault="00917FAF" w:rsidP="00917FAF">
      <w:r w:rsidRPr="00A70B9C">
        <w:rPr>
          <w:rFonts w:hint="eastAsia"/>
          <w:b/>
          <w:bCs/>
        </w:rPr>
        <w:t>2</w:t>
      </w:r>
      <w:r w:rsidRPr="00A70B9C">
        <w:rPr>
          <w:b/>
          <w:bCs/>
        </w:rPr>
        <w:t>030</w:t>
      </w:r>
      <w:r w:rsidRPr="00A70B9C">
        <w:rPr>
          <w:rFonts w:ascii="SimSun" w:eastAsia="SimSun" w:hAnsi="SimSun" w:cs="SimSun" w:hint="eastAsia"/>
          <w:b/>
          <w:bCs/>
        </w:rPr>
        <w:t>网络：</w:t>
      </w:r>
      <w:r w:rsidRPr="00A70B9C">
        <w:rPr>
          <w:rFonts w:ascii="SimSun" w:eastAsia="SimSun" w:hAnsi="SimSun" w:cs="SimSun" w:hint="eastAsia"/>
        </w:rPr>
        <w:t>新的增补描述了</w:t>
      </w:r>
      <w:r w:rsidRPr="00A70B9C">
        <w:rPr>
          <w:rFonts w:hint="eastAsia"/>
        </w:rPr>
        <w:t>2030</w:t>
      </w:r>
      <w:r w:rsidRPr="00A70B9C">
        <w:rPr>
          <w:rFonts w:ascii="SimSun" w:eastAsia="SimSun" w:hAnsi="SimSun" w:cs="SimSun" w:hint="eastAsia"/>
        </w:rPr>
        <w:t>网络应用的能力、性能和为其设计新的通信业务，以及</w:t>
      </w:r>
      <w:r w:rsidRPr="00A70B9C">
        <w:rPr>
          <w:rFonts w:hint="eastAsia"/>
        </w:rPr>
        <w:t>2030</w:t>
      </w:r>
      <w:r w:rsidRPr="00A70B9C">
        <w:rPr>
          <w:rFonts w:ascii="SimSun" w:eastAsia="SimSun" w:hAnsi="SimSun" w:cs="SimSun" w:hint="eastAsia"/>
        </w:rPr>
        <w:t>网络的代表性用例和关键网络要求（</w:t>
      </w:r>
      <w:r w:rsidRPr="00A70B9C">
        <w:rPr>
          <w:rFonts w:hint="eastAsia"/>
        </w:rPr>
        <w:t>Y.Suppl.67</w:t>
      </w:r>
      <w:r w:rsidRPr="00A70B9C">
        <w:rPr>
          <w:rFonts w:ascii="SimSun" w:eastAsia="SimSun" w:hAnsi="SimSun" w:cs="SimSun" w:hint="eastAsia"/>
        </w:rPr>
        <w:t>）。一份相关的技术报告描述了</w:t>
      </w:r>
      <w:r w:rsidRPr="00A70B9C">
        <w:rPr>
          <w:rFonts w:hint="eastAsia"/>
        </w:rPr>
        <w:t>2030</w:t>
      </w:r>
      <w:r w:rsidRPr="00A70B9C">
        <w:rPr>
          <w:rFonts w:ascii="SimSun" w:eastAsia="SimSun" w:hAnsi="SimSun" w:cs="SimSun" w:hint="eastAsia"/>
        </w:rPr>
        <w:t>网络的驱动力和愿景。</w:t>
      </w:r>
    </w:p>
    <w:p w14:paraId="630BB0E9" w14:textId="77777777" w:rsidR="00917FAF" w:rsidRPr="00A70B9C" w:rsidRDefault="00917FAF" w:rsidP="00917FAF">
      <w:r w:rsidRPr="00A70B9C">
        <w:rPr>
          <w:rFonts w:hint="eastAsia"/>
          <w:b/>
          <w:bCs/>
        </w:rPr>
        <w:t>IP</w:t>
      </w:r>
      <w:r w:rsidRPr="00A70B9C">
        <w:rPr>
          <w:rFonts w:ascii="SimSun" w:eastAsia="SimSun" w:hAnsi="SimSun" w:cs="SimSun" w:hint="eastAsia"/>
          <w:b/>
          <w:bCs/>
        </w:rPr>
        <w:t>性能测量：</w:t>
      </w:r>
      <w:r w:rsidRPr="00A70B9C">
        <w:rPr>
          <w:rFonts w:ascii="SimSun" w:eastAsia="SimSun" w:hAnsi="SimSun" w:cs="SimSun" w:hint="eastAsia"/>
        </w:rPr>
        <w:t>一项新的增补（</w:t>
      </w:r>
      <w:r w:rsidRPr="00A70B9C">
        <w:rPr>
          <w:rFonts w:hint="eastAsia"/>
        </w:rPr>
        <w:t>Y.Suppl.60</w:t>
      </w:r>
      <w:r w:rsidRPr="00A70B9C">
        <w:rPr>
          <w:rFonts w:ascii="SimSun" w:eastAsia="SimSun" w:hAnsi="SimSun" w:cs="SimSun" w:hint="eastAsia"/>
        </w:rPr>
        <w:t>）为使用国际电联</w:t>
      </w:r>
      <w:r w:rsidRPr="00A70B9C">
        <w:t>IP</w:t>
      </w:r>
      <w:r w:rsidRPr="00A70B9C">
        <w:rPr>
          <w:rFonts w:ascii="SimSun" w:eastAsia="SimSun" w:hAnsi="SimSun" w:cs="SimSun" w:hint="eastAsia"/>
        </w:rPr>
        <w:t>服务性能评估标准（</w:t>
      </w:r>
      <w:r w:rsidRPr="00A70B9C">
        <w:t>ITU-T Y.1540</w:t>
      </w:r>
      <w:r w:rsidRPr="00A70B9C">
        <w:rPr>
          <w:rFonts w:ascii="SimSun" w:eastAsia="SimSun" w:hAnsi="SimSun" w:cs="SimSun" w:hint="eastAsia"/>
        </w:rPr>
        <w:t>）进行的测量提出指导。</w:t>
      </w:r>
      <w:r w:rsidRPr="00A70B9C">
        <w:rPr>
          <w:rFonts w:hint="eastAsia"/>
        </w:rPr>
        <w:t>Y.1540</w:t>
      </w:r>
      <w:r w:rsidRPr="00A70B9C">
        <w:rPr>
          <w:rFonts w:ascii="SimSun" w:eastAsia="SimSun" w:hAnsi="SimSun" w:cs="SimSun" w:hint="eastAsia"/>
        </w:rPr>
        <w:t>号建议书</w:t>
      </w:r>
      <w:r w:rsidRPr="00A70B9C">
        <w:rPr>
          <w:rFonts w:hint="eastAsia"/>
        </w:rPr>
        <w:t>2019</w:t>
      </w:r>
      <w:r w:rsidRPr="00A70B9C">
        <w:rPr>
          <w:rFonts w:ascii="SimSun" w:eastAsia="SimSun" w:hAnsi="SimSun" w:cs="SimSun" w:hint="eastAsia"/>
        </w:rPr>
        <w:t>年修订版</w:t>
      </w:r>
      <w:r w:rsidRPr="00A70B9C">
        <w:rPr>
          <w:rFonts w:ascii="SimSun" w:eastAsia="SimSun" w:hAnsi="SimSun" w:cs="SimSun" w:hint="eastAsia"/>
          <w:szCs w:val="24"/>
          <w:lang w:val="en-GB"/>
        </w:rPr>
        <w:t>定义了符合性能评估的</w:t>
      </w:r>
      <w:r w:rsidRPr="00A70B9C">
        <w:rPr>
          <w:rFonts w:hint="eastAsia"/>
          <w:szCs w:val="24"/>
          <w:lang w:val="en-GB"/>
        </w:rPr>
        <w:t>IP</w:t>
      </w:r>
      <w:r w:rsidRPr="00A70B9C">
        <w:rPr>
          <w:rFonts w:ascii="SimSun" w:eastAsia="SimSun" w:hAnsi="SimSun" w:cs="SimSun" w:hint="eastAsia"/>
          <w:szCs w:val="24"/>
          <w:lang w:val="en-GB"/>
        </w:rPr>
        <w:t>层容量参数</w:t>
      </w:r>
      <w:r w:rsidRPr="00A70B9C">
        <w:rPr>
          <w:rFonts w:ascii="SimSun" w:eastAsia="SimSun" w:hAnsi="SimSun" w:cs="SimSun" w:hint="eastAsia"/>
        </w:rPr>
        <w:t>，</w:t>
      </w:r>
      <w:r w:rsidRPr="00A70B9C">
        <w:rPr>
          <w:rFonts w:ascii="SimSun" w:eastAsia="SimSun" w:hAnsi="SimSun" w:cs="SimSun" w:hint="eastAsia"/>
          <w:szCs w:val="24"/>
          <w:lang w:val="en-GB"/>
        </w:rPr>
        <w:t>并提供了</w:t>
      </w:r>
      <w:r w:rsidRPr="00A70B9C">
        <w:rPr>
          <w:rFonts w:hint="eastAsia"/>
          <w:szCs w:val="24"/>
          <w:lang w:val="en-GB"/>
        </w:rPr>
        <w:t>IP</w:t>
      </w:r>
      <w:r w:rsidRPr="00A70B9C">
        <w:rPr>
          <w:rFonts w:ascii="SimSun" w:eastAsia="SimSun" w:hAnsi="SimSun" w:cs="SimSun" w:hint="eastAsia"/>
          <w:szCs w:val="24"/>
          <w:lang w:val="en-GB"/>
        </w:rPr>
        <w:t>层容量测量方法的要求。</w:t>
      </w:r>
    </w:p>
    <w:p w14:paraId="528EC8DD" w14:textId="77777777" w:rsidR="00917FAF" w:rsidRPr="00A70B9C" w:rsidRDefault="00917FAF" w:rsidP="00917FAF">
      <w:r w:rsidRPr="00A70B9C">
        <w:rPr>
          <w:rFonts w:ascii="SimSun" w:eastAsia="SimSun" w:hAnsi="SimSun" w:cs="SimSun" w:hint="eastAsia"/>
          <w:b/>
          <w:bCs/>
        </w:rPr>
        <w:t>智能</w:t>
      </w:r>
      <w:r w:rsidRPr="00A70B9C">
        <w:rPr>
          <w:rFonts w:hint="eastAsia"/>
          <w:b/>
          <w:bCs/>
        </w:rPr>
        <w:t>QoS</w:t>
      </w:r>
      <w:r w:rsidRPr="00A70B9C">
        <w:rPr>
          <w:rFonts w:ascii="SimSun" w:eastAsia="SimSun" w:hAnsi="SimSun" w:cs="SimSun" w:hint="eastAsia"/>
          <w:b/>
          <w:bCs/>
        </w:rPr>
        <w:t>：</w:t>
      </w:r>
      <w:r w:rsidRPr="00A70B9C">
        <w:rPr>
          <w:rFonts w:ascii="SimSun" w:eastAsia="SimSun" w:hAnsi="SimSun" w:cs="SimSun" w:hint="eastAsia"/>
        </w:rPr>
        <w:t>新的国际电联标准涉及智能网络分析和诊断（</w:t>
      </w:r>
      <w:r w:rsidRPr="00A70B9C">
        <w:rPr>
          <w:rFonts w:hint="eastAsia"/>
        </w:rPr>
        <w:t>E.475</w:t>
      </w:r>
      <w:r w:rsidRPr="00A70B9C">
        <w:rPr>
          <w:rFonts w:ascii="SimSun" w:eastAsia="SimSun" w:hAnsi="SimSun" w:cs="SimSun" w:hint="eastAsia"/>
        </w:rPr>
        <w:t>）和机器学习模型的创建和性能测试，以评估传输网对</w:t>
      </w:r>
      <w:r w:rsidRPr="00A70B9C">
        <w:rPr>
          <w:rFonts w:hint="eastAsia"/>
        </w:rPr>
        <w:t>4G</w:t>
      </w:r>
      <w:r w:rsidRPr="00A70B9C">
        <w:rPr>
          <w:rFonts w:ascii="SimSun" w:eastAsia="SimSun" w:hAnsi="SimSun" w:cs="SimSun" w:hint="eastAsia"/>
        </w:rPr>
        <w:t>话音业务语音质量的影响（</w:t>
      </w:r>
      <w:r w:rsidRPr="00A70B9C">
        <w:rPr>
          <w:rFonts w:hint="eastAsia"/>
        </w:rPr>
        <w:t>P.565</w:t>
      </w:r>
      <w:r w:rsidRPr="00A70B9C">
        <w:rPr>
          <w:rFonts w:ascii="SimSun" w:eastAsia="SimSun" w:hAnsi="SimSun" w:cs="SimSun" w:hint="eastAsia"/>
        </w:rPr>
        <w:t>）。</w:t>
      </w:r>
    </w:p>
    <w:p w14:paraId="4ABCA78B" w14:textId="77777777" w:rsidR="00917FAF" w:rsidRPr="00A70B9C" w:rsidRDefault="00917FAF" w:rsidP="00917FAF">
      <w:r w:rsidRPr="00A70B9C">
        <w:rPr>
          <w:rFonts w:ascii="SimSun" w:eastAsia="SimSun" w:hAnsi="SimSun" w:cs="SimSun" w:hint="eastAsia"/>
          <w:b/>
          <w:bCs/>
        </w:rPr>
        <w:t>众包</w:t>
      </w:r>
      <w:r w:rsidRPr="00A70B9C">
        <w:rPr>
          <w:rFonts w:hint="eastAsia"/>
          <w:b/>
          <w:bCs/>
        </w:rPr>
        <w:t>QoS</w:t>
      </w:r>
      <w:r w:rsidRPr="00A70B9C">
        <w:rPr>
          <w:rFonts w:ascii="SimSun" w:eastAsia="SimSun" w:hAnsi="SimSun" w:cs="SimSun" w:hint="eastAsia"/>
          <w:b/>
          <w:bCs/>
        </w:rPr>
        <w:t>：</w:t>
      </w:r>
      <w:r w:rsidRPr="00A70B9C">
        <w:rPr>
          <w:rFonts w:ascii="SimSun" w:eastAsia="SimSun" w:hAnsi="SimSun" w:cs="SimSun" w:hint="eastAsia"/>
        </w:rPr>
        <w:t>新的国际电联标准详细介绍了用于评估固定和移动宽带网络中端到端</w:t>
      </w:r>
      <w:r w:rsidRPr="00A70B9C">
        <w:rPr>
          <w:rFonts w:hint="eastAsia"/>
        </w:rPr>
        <w:t>QoS</w:t>
      </w:r>
      <w:r w:rsidRPr="00A70B9C">
        <w:rPr>
          <w:rFonts w:ascii="SimSun" w:eastAsia="SimSun" w:hAnsi="SimSun" w:cs="SimSun" w:hint="eastAsia"/>
        </w:rPr>
        <w:t>的众包方法（</w:t>
      </w:r>
      <w:r w:rsidRPr="00A70B9C">
        <w:rPr>
          <w:rFonts w:hint="eastAsia"/>
        </w:rPr>
        <w:t>E.812</w:t>
      </w:r>
      <w:r w:rsidRPr="00A70B9C">
        <w:rPr>
          <w:rFonts w:ascii="SimSun" w:eastAsia="SimSun" w:hAnsi="SimSun" w:cs="SimSun" w:hint="eastAsia"/>
        </w:rPr>
        <w:t>）。关于</w:t>
      </w:r>
      <w:r w:rsidRPr="00A70B9C">
        <w:rPr>
          <w:rFonts w:hint="eastAsia"/>
        </w:rPr>
        <w:t>E.812</w:t>
      </w:r>
      <w:r w:rsidRPr="00A70B9C">
        <w:rPr>
          <w:rFonts w:ascii="SimSun" w:eastAsia="SimSun" w:hAnsi="SimSun" w:cs="SimSun" w:hint="eastAsia"/>
        </w:rPr>
        <w:t>的工作由国家监管机构发起，并与网络运营商、供应商、分析公司和学术界的代表协作制定。</w:t>
      </w:r>
    </w:p>
    <w:p w14:paraId="4274507E" w14:textId="77777777" w:rsidR="00917FAF" w:rsidRPr="00A70B9C" w:rsidRDefault="00917FAF" w:rsidP="00917FAF">
      <w:r w:rsidRPr="00A70B9C">
        <w:rPr>
          <w:rFonts w:ascii="SimSun" w:eastAsia="SimSun" w:hAnsi="SimSun" w:cs="SimSun" w:hint="eastAsia"/>
          <w:b/>
          <w:bCs/>
        </w:rPr>
        <w:lastRenderedPageBreak/>
        <w:t>虚拟现实和云游戏：</w:t>
      </w:r>
      <w:r w:rsidRPr="00A70B9C">
        <w:rPr>
          <w:rFonts w:ascii="SimSun" w:eastAsia="SimSun" w:hAnsi="SimSun" w:cs="SimSun" w:hint="eastAsia"/>
        </w:rPr>
        <w:t>新的国际电联标准介绍了影响虚拟现实服务体验质量（</w:t>
      </w:r>
      <w:r w:rsidRPr="00A70B9C">
        <w:rPr>
          <w:rFonts w:hint="eastAsia"/>
        </w:rPr>
        <w:t>QoE</w:t>
      </w:r>
      <w:r w:rsidRPr="00A70B9C">
        <w:rPr>
          <w:rFonts w:ascii="SimSun" w:eastAsia="SimSun" w:hAnsi="SimSun" w:cs="SimSun" w:hint="eastAsia"/>
        </w:rPr>
        <w:t>）的因素（</w:t>
      </w:r>
      <w:r w:rsidRPr="00A70B9C">
        <w:rPr>
          <w:rFonts w:hint="eastAsia"/>
        </w:rPr>
        <w:t>G.1035</w:t>
      </w:r>
      <w:r w:rsidRPr="00A70B9C">
        <w:rPr>
          <w:rFonts w:ascii="SimSun" w:eastAsia="SimSun" w:hAnsi="SimSun" w:cs="SimSun" w:hint="eastAsia"/>
        </w:rPr>
        <w:t>）、一个预测云游戏服务</w:t>
      </w:r>
      <w:r w:rsidRPr="00A70B9C">
        <w:rPr>
          <w:rFonts w:hint="eastAsia"/>
        </w:rPr>
        <w:t>QoE</w:t>
      </w:r>
      <w:r w:rsidRPr="00A70B9C">
        <w:rPr>
          <w:rFonts w:ascii="SimSun" w:eastAsia="SimSun" w:hAnsi="SimSun" w:cs="SimSun" w:hint="eastAsia"/>
        </w:rPr>
        <w:t>的意见模型（</w:t>
      </w:r>
      <w:r w:rsidRPr="00A70B9C">
        <w:rPr>
          <w:rFonts w:hint="eastAsia"/>
        </w:rPr>
        <w:t>G.1072</w:t>
      </w:r>
      <w:r w:rsidRPr="00A70B9C">
        <w:rPr>
          <w:rFonts w:ascii="SimSun" w:eastAsia="SimSun" w:hAnsi="SimSun" w:cs="SimSun" w:hint="eastAsia"/>
        </w:rPr>
        <w:t>）和考虑了五个感知维度的视频内容分维主观质量评估（</w:t>
      </w:r>
      <w:r w:rsidRPr="00A70B9C">
        <w:t>P.918</w:t>
      </w:r>
      <w:r w:rsidRPr="00A70B9C">
        <w:rPr>
          <w:rFonts w:ascii="SimSun" w:eastAsia="SimSun" w:hAnsi="SimSun" w:cs="SimSun" w:hint="eastAsia"/>
        </w:rPr>
        <w:t>）。</w:t>
      </w:r>
    </w:p>
    <w:p w14:paraId="0340D92E" w14:textId="77777777" w:rsidR="00917FAF" w:rsidRPr="00A70B9C" w:rsidRDefault="00917FAF" w:rsidP="00917FAF">
      <w:r w:rsidRPr="00A70B9C">
        <w:rPr>
          <w:rFonts w:ascii="SimSun" w:eastAsia="SimSun" w:hAnsi="SimSun" w:cs="SimSun" w:hint="eastAsia"/>
          <w:b/>
          <w:bCs/>
        </w:rPr>
        <w:t>智能交通系统：</w:t>
      </w:r>
      <w:r w:rsidRPr="00A70B9C">
        <w:rPr>
          <w:rFonts w:ascii="SimSun" w:eastAsia="SimSun" w:hAnsi="SimSun" w:cs="SimSun" w:hint="eastAsia"/>
        </w:rPr>
        <w:t>新的国际电联标准描述了网联汽车的安全威胁（</w:t>
      </w:r>
      <w:r w:rsidRPr="00A70B9C">
        <w:rPr>
          <w:rFonts w:hint="eastAsia"/>
        </w:rPr>
        <w:t>X.1371</w:t>
      </w:r>
      <w:r w:rsidRPr="00A70B9C">
        <w:rPr>
          <w:rFonts w:ascii="SimSun" w:eastAsia="SimSun" w:hAnsi="SimSun" w:cs="SimSun" w:hint="eastAsia"/>
        </w:rPr>
        <w:t>），并提供了</w:t>
      </w:r>
      <w:r w:rsidRPr="00A70B9C">
        <w:rPr>
          <w:rFonts w:hint="eastAsia"/>
        </w:rPr>
        <w:t>V2X</w:t>
      </w:r>
      <w:r w:rsidRPr="00A70B9C">
        <w:rPr>
          <w:rFonts w:ascii="SimSun" w:eastAsia="SimSun" w:hAnsi="SimSun" w:cs="SimSun" w:hint="eastAsia"/>
        </w:rPr>
        <w:t>（车辆到万物）通信的安全指南（</w:t>
      </w:r>
      <w:r w:rsidRPr="00A70B9C">
        <w:rPr>
          <w:rFonts w:hint="eastAsia"/>
        </w:rPr>
        <w:t>X.1372</w:t>
      </w:r>
      <w:r w:rsidRPr="00A70B9C">
        <w:rPr>
          <w:rFonts w:ascii="SimSun" w:eastAsia="SimSun" w:hAnsi="SimSun" w:cs="SimSun" w:hint="eastAsia"/>
        </w:rPr>
        <w:t>）、铁路旅行期间的移动电话通信体验质量（</w:t>
      </w:r>
      <w:r w:rsidRPr="00A70B9C">
        <w:rPr>
          <w:rFonts w:hint="eastAsia"/>
        </w:rPr>
        <w:t>QoE</w:t>
      </w:r>
      <w:r w:rsidRPr="00A70B9C">
        <w:rPr>
          <w:rFonts w:ascii="SimSun" w:eastAsia="SimSun" w:hAnsi="SimSun" w:cs="SimSun" w:hint="eastAsia"/>
        </w:rPr>
        <w:t>）的度量（</w:t>
      </w:r>
      <w:r w:rsidRPr="00A70B9C">
        <w:rPr>
          <w:rFonts w:hint="eastAsia"/>
        </w:rPr>
        <w:t>G.1034</w:t>
      </w:r>
      <w:r w:rsidRPr="00A70B9C">
        <w:rPr>
          <w:rFonts w:ascii="SimSun" w:eastAsia="SimSun" w:hAnsi="SimSun" w:cs="SimSun" w:hint="eastAsia"/>
        </w:rPr>
        <w:t>），有关旅行者安全的车内通信音频规范（</w:t>
      </w:r>
      <w:r w:rsidRPr="00A70B9C">
        <w:t>P.1150</w:t>
      </w:r>
      <w:r w:rsidRPr="00A70B9C">
        <w:rPr>
          <w:rFonts w:ascii="SimSun" w:eastAsia="SimSun" w:hAnsi="SimSun" w:cs="SimSun" w:hint="eastAsia"/>
        </w:rPr>
        <w:t>），以及车载多媒体网络的用例和要求（</w:t>
      </w:r>
      <w:r w:rsidRPr="00A70B9C">
        <w:rPr>
          <w:rFonts w:hint="eastAsia"/>
        </w:rPr>
        <w:t>F.749.3</w:t>
      </w:r>
      <w:r w:rsidRPr="00A70B9C">
        <w:rPr>
          <w:rFonts w:ascii="SimSun" w:eastAsia="SimSun" w:hAnsi="SimSun" w:cs="SimSun" w:hint="eastAsia"/>
        </w:rPr>
        <w:t>）。</w:t>
      </w:r>
    </w:p>
    <w:p w14:paraId="69D8604C" w14:textId="77777777" w:rsidR="00917FAF" w:rsidRPr="00A70B9C" w:rsidRDefault="00917FAF" w:rsidP="00917FAF">
      <w:r w:rsidRPr="00A70B9C">
        <w:rPr>
          <w:rFonts w:ascii="SimSun" w:eastAsia="SimSun" w:hAnsi="SimSun" w:cs="SimSun" w:hint="eastAsia"/>
          <w:b/>
          <w:bCs/>
        </w:rPr>
        <w:t>量子信息技术：</w:t>
      </w:r>
      <w:r w:rsidRPr="00A70B9C">
        <w:rPr>
          <w:rFonts w:ascii="SimSun" w:eastAsia="SimSun" w:hAnsi="SimSun" w:cs="SimSun" w:hint="eastAsia"/>
        </w:rPr>
        <w:t>新的国际电联标准继续完善量子密钥分配（</w:t>
      </w:r>
      <w:r w:rsidRPr="00A70B9C">
        <w:rPr>
          <w:rFonts w:hint="eastAsia"/>
        </w:rPr>
        <w:t>QKD</w:t>
      </w:r>
      <w:r w:rsidRPr="00A70B9C">
        <w:rPr>
          <w:rFonts w:ascii="SimSun" w:eastAsia="SimSun" w:hAnsi="SimSun" w:cs="SimSun" w:hint="eastAsia"/>
        </w:rPr>
        <w:t>）网络的各个方面，例如对</w:t>
      </w:r>
      <w:r w:rsidRPr="00A70B9C">
        <w:rPr>
          <w:rFonts w:hint="eastAsia"/>
        </w:rPr>
        <w:t>QKD</w:t>
      </w:r>
      <w:r w:rsidRPr="00A70B9C">
        <w:rPr>
          <w:rFonts w:ascii="SimSun" w:eastAsia="SimSun" w:hAnsi="SimSun" w:cs="SimSun" w:hint="eastAsia"/>
        </w:rPr>
        <w:t>网络的功能要求（</w:t>
      </w:r>
      <w:r w:rsidRPr="00A70B9C">
        <w:rPr>
          <w:rFonts w:hint="eastAsia"/>
        </w:rPr>
        <w:t>Y.3801</w:t>
      </w:r>
      <w:r w:rsidRPr="00A70B9C">
        <w:rPr>
          <w:rFonts w:ascii="SimSun" w:eastAsia="SimSun" w:hAnsi="SimSun" w:cs="SimSun" w:hint="eastAsia"/>
        </w:rPr>
        <w:t>）、功能架构（</w:t>
      </w:r>
      <w:r w:rsidRPr="00A70B9C">
        <w:rPr>
          <w:rFonts w:hint="eastAsia"/>
        </w:rPr>
        <w:t>Y.3802</w:t>
      </w:r>
      <w:r w:rsidRPr="00A70B9C">
        <w:rPr>
          <w:rFonts w:ascii="SimSun" w:eastAsia="SimSun" w:hAnsi="SimSun" w:cs="SimSun" w:hint="eastAsia"/>
        </w:rPr>
        <w:t>）、密钥管理（</w:t>
      </w:r>
      <w:r w:rsidRPr="00A70B9C">
        <w:rPr>
          <w:rFonts w:hint="eastAsia"/>
        </w:rPr>
        <w:t>Y.3803</w:t>
      </w:r>
      <w:r w:rsidRPr="00A70B9C">
        <w:rPr>
          <w:rFonts w:ascii="SimSun" w:eastAsia="SimSun" w:hAnsi="SimSun" w:cs="SimSun" w:hint="eastAsia"/>
        </w:rPr>
        <w:t>）</w:t>
      </w:r>
      <w:r w:rsidRPr="00A70B9C">
        <w:rPr>
          <w:rFonts w:hint="eastAsia"/>
        </w:rPr>
        <w:t xml:space="preserve"> </w:t>
      </w:r>
      <w:r w:rsidRPr="00A70B9C">
        <w:rPr>
          <w:rFonts w:ascii="SimSun" w:eastAsia="SimSun" w:hAnsi="SimSun" w:cs="SimSun" w:hint="eastAsia"/>
        </w:rPr>
        <w:t>以及控制和管理（</w:t>
      </w:r>
      <w:r w:rsidRPr="00A70B9C">
        <w:rPr>
          <w:rFonts w:hint="eastAsia"/>
        </w:rPr>
        <w:t>Y.3804</w:t>
      </w:r>
      <w:r w:rsidRPr="00A70B9C">
        <w:rPr>
          <w:rFonts w:ascii="SimSun" w:eastAsia="SimSun" w:hAnsi="SimSun" w:cs="SimSun" w:hint="eastAsia"/>
        </w:rPr>
        <w:t>）。一份新的技术报告重点介绍了</w:t>
      </w:r>
      <w:r w:rsidRPr="00A70B9C">
        <w:rPr>
          <w:rFonts w:hint="eastAsia"/>
        </w:rPr>
        <w:t>QKD</w:t>
      </w:r>
      <w:r w:rsidRPr="00A70B9C">
        <w:rPr>
          <w:rFonts w:ascii="SimSun" w:eastAsia="SimSun" w:hAnsi="SimSun" w:cs="SimSun" w:hint="eastAsia"/>
        </w:rPr>
        <w:t>网络的安全注意事项（</w:t>
      </w:r>
      <w:r w:rsidRPr="00A70B9C">
        <w:rPr>
          <w:rFonts w:hint="eastAsia"/>
        </w:rPr>
        <w:t>TR.sec-qkd</w:t>
      </w:r>
      <w:r w:rsidRPr="00A70B9C">
        <w:rPr>
          <w:rFonts w:ascii="SimSun" w:eastAsia="SimSun" w:hAnsi="SimSun" w:cs="SimSun" w:hint="eastAsia"/>
        </w:rPr>
        <w:t>）。</w:t>
      </w:r>
    </w:p>
    <w:p w14:paraId="2CF3325B" w14:textId="77777777" w:rsidR="00917FAF" w:rsidRPr="00A70B9C" w:rsidRDefault="00917FAF" w:rsidP="00917FAF">
      <w:r w:rsidRPr="00A70B9C">
        <w:rPr>
          <w:rFonts w:ascii="SimSun" w:eastAsia="SimSun" w:hAnsi="SimSun" w:cs="SimSun" w:hint="eastAsia"/>
          <w:b/>
          <w:bCs/>
        </w:rPr>
        <w:t>个人数据保护：</w:t>
      </w:r>
      <w:r w:rsidRPr="00A70B9C">
        <w:rPr>
          <w:rFonts w:ascii="SimSun" w:eastAsia="SimSun" w:hAnsi="SimSun" w:cs="SimSun" w:hint="eastAsia"/>
        </w:rPr>
        <w:t>一项新的国际电联标准为物联网环境中的个人身份信息处理系统提供了技术框架（</w:t>
      </w:r>
      <w:r w:rsidRPr="00A70B9C">
        <w:rPr>
          <w:rFonts w:hint="eastAsia"/>
        </w:rPr>
        <w:t>X.1363</w:t>
      </w:r>
      <w:r w:rsidRPr="00A70B9C">
        <w:rPr>
          <w:rFonts w:ascii="SimSun" w:eastAsia="SimSun" w:hAnsi="SimSun" w:cs="SimSun" w:hint="eastAsia"/>
        </w:rPr>
        <w:t>）。</w:t>
      </w:r>
    </w:p>
    <w:p w14:paraId="08DFA960" w14:textId="77777777" w:rsidR="00917FAF" w:rsidRPr="00A70B9C" w:rsidRDefault="00917FAF" w:rsidP="00917FAF">
      <w:r w:rsidRPr="00A70B9C">
        <w:rPr>
          <w:rFonts w:ascii="SimSun" w:eastAsia="SimSun" w:hAnsi="SimSun" w:cs="SimSun" w:hint="eastAsia"/>
          <w:b/>
          <w:bCs/>
        </w:rPr>
        <w:t>云计算安全性：</w:t>
      </w:r>
      <w:r w:rsidRPr="00A70B9C">
        <w:rPr>
          <w:rFonts w:ascii="SimSun" w:eastAsia="SimSun" w:hAnsi="SimSun" w:cs="SimSun" w:hint="eastAsia"/>
        </w:rPr>
        <w:t>新的国际电联标准涉及网络即服务（</w:t>
      </w:r>
      <w:r w:rsidRPr="00A70B9C">
        <w:rPr>
          <w:rFonts w:hint="eastAsia"/>
        </w:rPr>
        <w:t>X.1604</w:t>
      </w:r>
      <w:r w:rsidRPr="00A70B9C">
        <w:rPr>
          <w:rFonts w:ascii="SimSun" w:eastAsia="SimSun" w:hAnsi="SimSun" w:cs="SimSun" w:hint="eastAsia"/>
        </w:rPr>
        <w:t>）和公共基础设施即服务（</w:t>
      </w:r>
      <w:r w:rsidRPr="00A70B9C">
        <w:rPr>
          <w:rFonts w:hint="eastAsia"/>
        </w:rPr>
        <w:t>X.1605</w:t>
      </w:r>
      <w:r w:rsidRPr="00A70B9C">
        <w:rPr>
          <w:rFonts w:ascii="SimSun" w:eastAsia="SimSun" w:hAnsi="SimSun" w:cs="SimSun" w:hint="eastAsia"/>
        </w:rPr>
        <w:t>）的安全问题。</w:t>
      </w:r>
    </w:p>
    <w:p w14:paraId="077172F6" w14:textId="77777777" w:rsidR="00917FAF" w:rsidRPr="00A70B9C" w:rsidRDefault="00917FAF" w:rsidP="00917FAF">
      <w:r w:rsidRPr="00A70B9C">
        <w:rPr>
          <w:rFonts w:ascii="SimSun" w:eastAsia="SimSun" w:hAnsi="SimSun" w:cs="SimSun" w:hint="eastAsia"/>
          <w:b/>
          <w:bCs/>
        </w:rPr>
        <w:t>无人机标识符：</w:t>
      </w:r>
      <w:r w:rsidRPr="00A70B9C">
        <w:rPr>
          <w:rFonts w:ascii="SimSun" w:eastAsia="SimSun" w:hAnsi="SimSun" w:cs="SimSun" w:hint="eastAsia"/>
        </w:rPr>
        <w:t>一项新的国际电联标准使用对象标识符为无人机提供了一种识别机制（</w:t>
      </w:r>
      <w:r w:rsidRPr="00A70B9C">
        <w:rPr>
          <w:rFonts w:hint="eastAsia"/>
        </w:rPr>
        <w:t>X.677</w:t>
      </w:r>
      <w:r w:rsidRPr="00A70B9C">
        <w:rPr>
          <w:rFonts w:ascii="SimSun" w:eastAsia="SimSun" w:hAnsi="SimSun" w:cs="SimSun" w:hint="eastAsia"/>
        </w:rPr>
        <w:t>）。</w:t>
      </w:r>
    </w:p>
    <w:p w14:paraId="26540BDB" w14:textId="77777777" w:rsidR="00917FAF" w:rsidRPr="00A70B9C" w:rsidRDefault="00917FAF" w:rsidP="00917FAF">
      <w:r w:rsidRPr="00A70B9C">
        <w:rPr>
          <w:rFonts w:ascii="SimSun" w:eastAsia="SimSun" w:hAnsi="SimSun" w:cs="SimSun" w:hint="eastAsia"/>
          <w:b/>
          <w:bCs/>
        </w:rPr>
        <w:t>分布式账本技术（</w:t>
      </w:r>
      <w:r w:rsidRPr="00A70B9C">
        <w:rPr>
          <w:rFonts w:hint="eastAsia"/>
          <w:b/>
          <w:bCs/>
        </w:rPr>
        <w:t>DLT</w:t>
      </w:r>
      <w:r w:rsidRPr="00A70B9C">
        <w:rPr>
          <w:rFonts w:ascii="SimSun" w:eastAsia="SimSun" w:hAnsi="SimSun" w:cs="SimSun" w:hint="eastAsia"/>
          <w:b/>
          <w:bCs/>
        </w:rPr>
        <w:t>）：</w:t>
      </w:r>
      <w:r w:rsidRPr="00A70B9C">
        <w:rPr>
          <w:rFonts w:ascii="SimSun" w:eastAsia="SimSun" w:hAnsi="SimSun" w:cs="SimSun" w:hint="eastAsia"/>
        </w:rPr>
        <w:t>新的国际电联标准规定了分布式账本系统的要求（</w:t>
      </w:r>
      <w:r w:rsidRPr="00A70B9C">
        <w:rPr>
          <w:rFonts w:hint="eastAsia"/>
        </w:rPr>
        <w:t>F.751.0</w:t>
      </w:r>
      <w:r w:rsidRPr="00A70B9C">
        <w:rPr>
          <w:rFonts w:ascii="SimSun" w:eastAsia="SimSun" w:hAnsi="SimSun" w:cs="SimSun" w:hint="eastAsia"/>
        </w:rPr>
        <w:t>），</w:t>
      </w:r>
      <w:r w:rsidRPr="00A70B9C">
        <w:rPr>
          <w:rFonts w:hint="eastAsia"/>
        </w:rPr>
        <w:t>DLT</w:t>
      </w:r>
      <w:r w:rsidRPr="00A70B9C">
        <w:rPr>
          <w:rFonts w:ascii="SimSun" w:eastAsia="SimSun" w:hAnsi="SimSun" w:cs="SimSun" w:hint="eastAsia"/>
        </w:rPr>
        <w:t>平台评估标准（</w:t>
      </w:r>
      <w:r w:rsidRPr="00A70B9C">
        <w:rPr>
          <w:rFonts w:hint="eastAsia"/>
        </w:rPr>
        <w:t>F.751.1</w:t>
      </w:r>
      <w:r w:rsidRPr="00A70B9C">
        <w:rPr>
          <w:rFonts w:ascii="SimSun" w:eastAsia="SimSun" w:hAnsi="SimSun" w:cs="SimSun" w:hint="eastAsia"/>
        </w:rPr>
        <w:t>），一个</w:t>
      </w:r>
      <w:r w:rsidRPr="00A70B9C">
        <w:rPr>
          <w:rFonts w:hint="eastAsia"/>
        </w:rPr>
        <w:t>DLT</w:t>
      </w:r>
      <w:r w:rsidRPr="00A70B9C">
        <w:rPr>
          <w:rFonts w:ascii="SimSun" w:eastAsia="SimSun" w:hAnsi="SimSun" w:cs="SimSun" w:hint="eastAsia"/>
        </w:rPr>
        <w:t>参考框架（</w:t>
      </w:r>
      <w:r w:rsidRPr="00A70B9C">
        <w:rPr>
          <w:rFonts w:hint="eastAsia"/>
        </w:rPr>
        <w:t>F.751.2</w:t>
      </w:r>
      <w:r w:rsidRPr="00A70B9C">
        <w:rPr>
          <w:rFonts w:ascii="SimSun" w:eastAsia="SimSun" w:hAnsi="SimSun" w:cs="SimSun" w:hint="eastAsia"/>
        </w:rPr>
        <w:t>），一个</w:t>
      </w:r>
      <w:r w:rsidRPr="00A70B9C">
        <w:rPr>
          <w:rFonts w:hint="eastAsia"/>
        </w:rPr>
        <w:t>DLT</w:t>
      </w:r>
      <w:r w:rsidRPr="00A70B9C">
        <w:rPr>
          <w:rFonts w:ascii="SimSun" w:eastAsia="SimSun" w:hAnsi="SimSun" w:cs="SimSun" w:hint="eastAsia"/>
        </w:rPr>
        <w:t>安全框架（</w:t>
      </w:r>
      <w:r w:rsidRPr="00A70B9C">
        <w:rPr>
          <w:rFonts w:hint="eastAsia"/>
        </w:rPr>
        <w:t xml:space="preserve"> X.1402</w:t>
      </w:r>
      <w:r w:rsidRPr="00A70B9C">
        <w:rPr>
          <w:rFonts w:ascii="SimSun" w:eastAsia="SimSun" w:hAnsi="SimSun" w:cs="SimSun" w:hint="eastAsia"/>
        </w:rPr>
        <w:t>），以及将</w:t>
      </w:r>
      <w:r w:rsidRPr="00A70B9C">
        <w:t>DLT</w:t>
      </w:r>
      <w:r w:rsidRPr="00A70B9C">
        <w:rPr>
          <w:rFonts w:ascii="SimSun" w:eastAsia="SimSun" w:hAnsi="SimSun" w:cs="SimSun" w:hint="eastAsia"/>
        </w:rPr>
        <w:t>用于去中心化身份管理的安全指南（</w:t>
      </w:r>
      <w:r w:rsidRPr="00A70B9C">
        <w:rPr>
          <w:rFonts w:hint="eastAsia"/>
        </w:rPr>
        <w:t>X.1403</w:t>
      </w:r>
      <w:r w:rsidRPr="00A70B9C">
        <w:rPr>
          <w:rFonts w:ascii="SimSun" w:eastAsia="SimSun" w:hAnsi="SimSun" w:cs="SimSun" w:hint="eastAsia"/>
        </w:rPr>
        <w:t>），以及云计算环境中的区块链即服务（</w:t>
      </w:r>
      <w:r w:rsidRPr="00A70B9C">
        <w:rPr>
          <w:rFonts w:hint="eastAsia"/>
        </w:rPr>
        <w:t>Y.3530</w:t>
      </w:r>
      <w:r w:rsidRPr="00A70B9C">
        <w:rPr>
          <w:rFonts w:ascii="SimSun" w:eastAsia="SimSun" w:hAnsi="SimSun" w:cs="SimSun" w:hint="eastAsia"/>
        </w:rPr>
        <w:t>）。</w:t>
      </w:r>
    </w:p>
    <w:p w14:paraId="015784CA" w14:textId="77777777" w:rsidR="00917FAF" w:rsidRPr="00A70B9C" w:rsidRDefault="00917FAF" w:rsidP="00917FAF">
      <w:r w:rsidRPr="00A70B9C">
        <w:rPr>
          <w:rFonts w:ascii="SimSun" w:eastAsia="SimSun" w:hAnsi="SimSun" w:cs="SimSun" w:hint="eastAsia"/>
          <w:b/>
          <w:bCs/>
        </w:rPr>
        <w:t>城市分布式账本技术（</w:t>
      </w:r>
      <w:r w:rsidRPr="00A70B9C">
        <w:rPr>
          <w:rFonts w:hint="eastAsia"/>
          <w:b/>
          <w:bCs/>
        </w:rPr>
        <w:t>DLT</w:t>
      </w:r>
      <w:r w:rsidRPr="00A70B9C">
        <w:rPr>
          <w:rFonts w:ascii="SimSun" w:eastAsia="SimSun" w:hAnsi="SimSun" w:cs="SimSun" w:hint="eastAsia"/>
          <w:b/>
          <w:bCs/>
        </w:rPr>
        <w:t>）：</w:t>
      </w:r>
      <w:r w:rsidRPr="00A70B9C">
        <w:rPr>
          <w:rFonts w:ascii="SimSun" w:eastAsia="SimSun" w:hAnsi="SimSun" w:cs="SimSun" w:hint="eastAsia"/>
        </w:rPr>
        <w:t>新的国际电联标准涉及将区块链物联网作为去中心化服务平台（</w:t>
      </w:r>
      <w:r w:rsidRPr="00A70B9C">
        <w:rPr>
          <w:rFonts w:hint="eastAsia"/>
        </w:rPr>
        <w:t>Y.4464</w:t>
      </w:r>
      <w:r w:rsidRPr="00A70B9C">
        <w:rPr>
          <w:rFonts w:ascii="SimSun" w:eastAsia="SimSun" w:hAnsi="SimSun" w:cs="SimSun" w:hint="eastAsia"/>
        </w:rPr>
        <w:t>），基于区块链的数据交换和共享（</w:t>
      </w:r>
      <w:r w:rsidRPr="00A70B9C">
        <w:rPr>
          <w:rFonts w:hint="eastAsia"/>
        </w:rPr>
        <w:t>Y.4560</w:t>
      </w:r>
      <w:r w:rsidRPr="00A70B9C">
        <w:rPr>
          <w:rFonts w:ascii="SimSun" w:eastAsia="SimSun" w:hAnsi="SimSun" w:cs="SimSun" w:hint="eastAsia"/>
        </w:rPr>
        <w:t>），基于区块链的数据管理（</w:t>
      </w:r>
      <w:r w:rsidRPr="00A70B9C">
        <w:rPr>
          <w:rFonts w:hint="eastAsia"/>
        </w:rPr>
        <w:t>Y.4561</w:t>
      </w:r>
      <w:r w:rsidRPr="00A70B9C">
        <w:rPr>
          <w:rFonts w:ascii="SimSun" w:eastAsia="SimSun" w:hAnsi="SimSun" w:cs="SimSun" w:hint="eastAsia"/>
        </w:rPr>
        <w:t>）以及基于区块链的统一</w:t>
      </w:r>
      <w:r w:rsidRPr="00A70B9C">
        <w:t>KPI</w:t>
      </w:r>
      <w:r w:rsidRPr="00A70B9C">
        <w:rPr>
          <w:rFonts w:ascii="SimSun" w:eastAsia="SimSun" w:hAnsi="SimSun" w:cs="SimSun" w:hint="eastAsia"/>
        </w:rPr>
        <w:t>数据管理（</w:t>
      </w:r>
      <w:r w:rsidRPr="00A70B9C">
        <w:rPr>
          <w:rFonts w:hint="eastAsia"/>
        </w:rPr>
        <w:t>Y.4907</w:t>
      </w:r>
      <w:r w:rsidRPr="00A70B9C">
        <w:rPr>
          <w:rFonts w:ascii="SimSun" w:eastAsia="SimSun" w:hAnsi="SimSun" w:cs="SimSun" w:hint="eastAsia"/>
        </w:rPr>
        <w:t>）。一份新增补涉及物联网和智慧城市区块链的数据处理和管理方面（</w:t>
      </w:r>
      <w:r w:rsidRPr="00A70B9C">
        <w:rPr>
          <w:rFonts w:hint="eastAsia"/>
        </w:rPr>
        <w:t>Y.Suppl.62</w:t>
      </w:r>
      <w:r w:rsidRPr="00A70B9C">
        <w:rPr>
          <w:rFonts w:ascii="SimSun" w:eastAsia="SimSun" w:hAnsi="SimSun" w:cs="SimSun" w:hint="eastAsia"/>
        </w:rPr>
        <w:t>）。</w:t>
      </w:r>
    </w:p>
    <w:p w14:paraId="158DDDA7" w14:textId="77777777" w:rsidR="00917FAF" w:rsidRPr="00A70B9C" w:rsidRDefault="00917FAF" w:rsidP="00917FAF">
      <w:r w:rsidRPr="00A70B9C">
        <w:rPr>
          <w:rFonts w:ascii="SimSun" w:eastAsia="SimSun" w:hAnsi="SimSun" w:cs="SimSun" w:hint="eastAsia"/>
          <w:b/>
          <w:bCs/>
        </w:rPr>
        <w:t>环境和循环经济：</w:t>
      </w:r>
      <w:r w:rsidRPr="00A70B9C">
        <w:rPr>
          <w:rFonts w:ascii="SimSun" w:eastAsia="SimSun" w:hAnsi="SimSun" w:cs="SimSun" w:hint="eastAsia"/>
        </w:rPr>
        <w:t>新的国际电联标准为循环评分提供了一种评估方法（</w:t>
      </w:r>
      <w:r w:rsidRPr="00A70B9C">
        <w:rPr>
          <w:rFonts w:hint="eastAsia"/>
        </w:rPr>
        <w:t>L.1023</w:t>
      </w:r>
      <w:r w:rsidRPr="00A70B9C">
        <w:rPr>
          <w:rFonts w:ascii="SimSun" w:eastAsia="SimSun" w:hAnsi="SimSun" w:cs="SimSun" w:hint="eastAsia"/>
        </w:rPr>
        <w:t>），并规定了办公建筑可持续性性能的评估和评分（</w:t>
      </w:r>
      <w:r w:rsidRPr="00A70B9C">
        <w:rPr>
          <w:rFonts w:hint="eastAsia"/>
        </w:rPr>
        <w:t>L.1371</w:t>
      </w:r>
      <w:r w:rsidRPr="00A70B9C">
        <w:rPr>
          <w:rFonts w:ascii="SimSun" w:eastAsia="SimSun" w:hAnsi="SimSun" w:cs="SimSun" w:hint="eastAsia"/>
        </w:rPr>
        <w:t>）。</w:t>
      </w:r>
    </w:p>
    <w:p w14:paraId="7E7CFFD8" w14:textId="77777777" w:rsidR="00917FAF" w:rsidRPr="00A70B9C" w:rsidRDefault="00917FAF" w:rsidP="00917FAF">
      <w:r w:rsidRPr="00A70B9C">
        <w:rPr>
          <w:rFonts w:ascii="SimSun" w:eastAsia="SimSun" w:hAnsi="SimSun" w:cs="SimSun" w:hint="eastAsia"/>
          <w:b/>
          <w:bCs/>
        </w:rPr>
        <w:t>节能：</w:t>
      </w:r>
      <w:r w:rsidRPr="00A70B9C">
        <w:rPr>
          <w:rFonts w:ascii="SimSun" w:eastAsia="SimSun" w:hAnsi="SimSun" w:cs="SimSun" w:hint="eastAsia"/>
        </w:rPr>
        <w:t>新的国际电联标准涉及数据中心（</w:t>
      </w:r>
      <w:r w:rsidRPr="00A70B9C">
        <w:rPr>
          <w:rFonts w:hint="eastAsia"/>
        </w:rPr>
        <w:t>ITU-T L.1381</w:t>
      </w:r>
      <w:r w:rsidRPr="00A70B9C">
        <w:rPr>
          <w:rFonts w:ascii="SimSun" w:eastAsia="SimSun" w:hAnsi="SimSun" w:cs="SimSun" w:hint="eastAsia"/>
        </w:rPr>
        <w:t>）和电信机房（</w:t>
      </w:r>
      <w:r w:rsidRPr="00A70B9C">
        <w:rPr>
          <w:rFonts w:hint="eastAsia"/>
        </w:rPr>
        <w:t>ITU-T L.1382</w:t>
      </w:r>
      <w:r w:rsidRPr="00A70B9C">
        <w:rPr>
          <w:rFonts w:ascii="SimSun" w:eastAsia="SimSun" w:hAnsi="SimSun" w:cs="SimSun" w:hint="eastAsia"/>
        </w:rPr>
        <w:t>）的智能能源管理。</w:t>
      </w:r>
    </w:p>
    <w:p w14:paraId="1C70054F" w14:textId="77777777" w:rsidR="00917FAF" w:rsidRPr="00A70B9C" w:rsidRDefault="00917FAF" w:rsidP="00917FAF">
      <w:r w:rsidRPr="00A70B9C">
        <w:rPr>
          <w:rFonts w:ascii="SimSun" w:eastAsia="SimSun" w:hAnsi="SimSun" w:cs="SimSun" w:hint="eastAsia"/>
          <w:b/>
          <w:bCs/>
        </w:rPr>
        <w:t>气候变化：</w:t>
      </w:r>
      <w:r w:rsidRPr="00A70B9C">
        <w:rPr>
          <w:rFonts w:ascii="SimSun" w:eastAsia="SimSun" w:hAnsi="SimSun" w:cs="SimSun" w:hint="eastAsia"/>
        </w:rPr>
        <w:t>一份新的增补（</w:t>
      </w:r>
      <w:r w:rsidRPr="00A70B9C">
        <w:rPr>
          <w:rFonts w:hint="eastAsia"/>
        </w:rPr>
        <w:t>ITU-T L.Suppl.37</w:t>
      </w:r>
      <w:r w:rsidRPr="00A70B9C">
        <w:rPr>
          <w:rFonts w:ascii="SimSun" w:eastAsia="SimSun" w:hAnsi="SimSun" w:cs="SimSun" w:hint="eastAsia"/>
        </w:rPr>
        <w:t>）为移动网络、固定网络和数据中心的运营商提供指导，以设定符合</w:t>
      </w:r>
      <w:r w:rsidRPr="00A70B9C">
        <w:rPr>
          <w:rFonts w:hint="eastAsia"/>
        </w:rPr>
        <w:t>L.1470</w:t>
      </w:r>
      <w:r w:rsidRPr="00A70B9C">
        <w:rPr>
          <w:rFonts w:ascii="SimSun" w:eastAsia="SimSun" w:hAnsi="SimSun" w:cs="SimSun" w:hint="eastAsia"/>
        </w:rPr>
        <w:t>中确定的</w:t>
      </w:r>
      <w:r w:rsidRPr="00A70B9C">
        <w:t>1.5</w:t>
      </w:r>
      <w:r w:rsidRPr="00A70B9C">
        <w:rPr>
          <w:rFonts w:ascii="SimSun" w:eastAsia="SimSun" w:hAnsi="SimSun" w:cs="SimSun" w:hint="eastAsia"/>
        </w:rPr>
        <w:t>摄氏度目标。</w:t>
      </w:r>
      <w:r w:rsidRPr="00A70B9C">
        <w:rPr>
          <w:rFonts w:hint="eastAsia"/>
        </w:rPr>
        <w:t>L.1470</w:t>
      </w:r>
      <w:r w:rsidRPr="00A70B9C">
        <w:rPr>
          <w:rFonts w:ascii="SimSun" w:eastAsia="SimSun" w:hAnsi="SimSun" w:cs="SimSun" w:hint="eastAsia"/>
        </w:rPr>
        <w:t>强调，遵守《联合国气候变化框架公约巴黎协定》意味着</w:t>
      </w:r>
      <w:r w:rsidRPr="00A70B9C">
        <w:rPr>
          <w:rFonts w:hint="eastAsia"/>
        </w:rPr>
        <w:t>ICT</w:t>
      </w:r>
      <w:r w:rsidRPr="00A70B9C">
        <w:rPr>
          <w:rFonts w:ascii="SimSun" w:eastAsia="SimSun" w:hAnsi="SimSun" w:cs="SimSun" w:hint="eastAsia"/>
        </w:rPr>
        <w:t>行业需在</w:t>
      </w:r>
      <w:r w:rsidRPr="00A70B9C">
        <w:t>2020</w:t>
      </w:r>
      <w:r w:rsidRPr="00A70B9C">
        <w:rPr>
          <w:rFonts w:ascii="SimSun" w:eastAsia="SimSun" w:hAnsi="SimSun" w:cs="SimSun" w:hint="eastAsia"/>
        </w:rPr>
        <w:t>年至</w:t>
      </w:r>
      <w:r w:rsidRPr="00A70B9C">
        <w:t>2030</w:t>
      </w:r>
      <w:r w:rsidRPr="00A70B9C">
        <w:rPr>
          <w:rFonts w:ascii="SimSun" w:eastAsia="SimSun" w:hAnsi="SimSun" w:cs="SimSun" w:hint="eastAsia"/>
        </w:rPr>
        <w:t>年期间将温室气体（</w:t>
      </w:r>
      <w:r w:rsidRPr="00A70B9C">
        <w:t>GHG</w:t>
      </w:r>
      <w:r w:rsidRPr="00A70B9C">
        <w:rPr>
          <w:rFonts w:ascii="SimSun" w:eastAsia="SimSun" w:hAnsi="SimSun" w:cs="SimSun" w:hint="eastAsia"/>
        </w:rPr>
        <w:t>）排放量减少</w:t>
      </w:r>
      <w:r w:rsidRPr="00A70B9C">
        <w:t>45%</w:t>
      </w:r>
      <w:r w:rsidRPr="00A70B9C">
        <w:rPr>
          <w:rFonts w:ascii="SimSun" w:eastAsia="SimSun" w:hAnsi="SimSun" w:cs="SimSun" w:hint="eastAsia"/>
        </w:rPr>
        <w:t>。建议的减排目标是由科技咨询机构（</w:t>
      </w:r>
      <w:r w:rsidRPr="00A70B9C">
        <w:rPr>
          <w:rFonts w:hint="eastAsia"/>
        </w:rPr>
        <w:t>SBTi</w:t>
      </w:r>
      <w:r w:rsidRPr="00A70B9C">
        <w:rPr>
          <w:rFonts w:ascii="SimSun" w:eastAsia="SimSun" w:hAnsi="SimSun" w:cs="SimSun" w:hint="eastAsia"/>
        </w:rPr>
        <w:t>）批准的、专门针对</w:t>
      </w:r>
      <w:r w:rsidRPr="00A70B9C">
        <w:rPr>
          <w:rFonts w:hint="eastAsia"/>
        </w:rPr>
        <w:t>ICT</w:t>
      </w:r>
      <w:r w:rsidRPr="00A70B9C">
        <w:rPr>
          <w:rFonts w:ascii="SimSun" w:eastAsia="SimSun" w:hAnsi="SimSun" w:cs="SimSun" w:hint="eastAsia"/>
        </w:rPr>
        <w:t>行业的第一批具体目标。</w:t>
      </w:r>
    </w:p>
    <w:p w14:paraId="10885EED" w14:textId="77777777" w:rsidR="00917FAF" w:rsidRPr="00A70B9C" w:rsidRDefault="00917FAF" w:rsidP="00917FAF">
      <w:r w:rsidRPr="00A70B9C">
        <w:rPr>
          <w:rFonts w:ascii="SimSun" w:eastAsia="SimSun" w:hAnsi="SimSun" w:cs="SimSun" w:hint="eastAsia"/>
          <w:b/>
          <w:bCs/>
        </w:rPr>
        <w:t>物联网：</w:t>
      </w:r>
      <w:r w:rsidRPr="00A70B9C">
        <w:rPr>
          <w:rFonts w:ascii="SimSun" w:eastAsia="SimSun" w:hAnsi="SimSun" w:cs="SimSun" w:hint="eastAsia"/>
        </w:rPr>
        <w:t>新的国际电联标准涉及支持边缘计算的物联网要求（</w:t>
      </w:r>
      <w:r w:rsidRPr="00A70B9C">
        <w:rPr>
          <w:rFonts w:hint="eastAsia"/>
        </w:rPr>
        <w:t>Y.4208</w:t>
      </w:r>
      <w:r w:rsidRPr="00A70B9C">
        <w:rPr>
          <w:rFonts w:ascii="SimSun" w:eastAsia="SimSun" w:hAnsi="SimSun" w:cs="SimSun" w:hint="eastAsia"/>
        </w:rPr>
        <w:t>），移动物联网设备的通用通信模块（</w:t>
      </w:r>
      <w:r w:rsidRPr="00A70B9C">
        <w:rPr>
          <w:rFonts w:hint="eastAsia"/>
        </w:rPr>
        <w:t>Y.4210</w:t>
      </w:r>
      <w:r w:rsidRPr="00A70B9C">
        <w:rPr>
          <w:rFonts w:ascii="SimSun" w:eastAsia="SimSun" w:hAnsi="SimSun" w:cs="SimSun" w:hint="eastAsia"/>
        </w:rPr>
        <w:t>），物联网互操作性的数字实体架构（</w:t>
      </w:r>
      <w:r w:rsidRPr="00A70B9C">
        <w:rPr>
          <w:rFonts w:hint="eastAsia"/>
        </w:rPr>
        <w:t>Y.4459</w:t>
      </w:r>
      <w:r w:rsidRPr="00A70B9C">
        <w:rPr>
          <w:rFonts w:ascii="SimSun" w:eastAsia="SimSun" w:hAnsi="SimSun" w:cs="SimSun" w:hint="eastAsia"/>
        </w:rPr>
        <w:t>）以及在物联网中打击假冒产品（</w:t>
      </w:r>
      <w:r w:rsidRPr="00A70B9C">
        <w:rPr>
          <w:rFonts w:hint="eastAsia"/>
        </w:rPr>
        <w:t>Y.4808</w:t>
      </w:r>
      <w:r w:rsidRPr="00A70B9C">
        <w:rPr>
          <w:rFonts w:ascii="SimSun" w:eastAsia="SimSun" w:hAnsi="SimSun" w:cs="SimSun" w:hint="eastAsia"/>
        </w:rPr>
        <w:t>），开放式物联网身份关联服务（</w:t>
      </w:r>
      <w:r w:rsidRPr="00A70B9C">
        <w:rPr>
          <w:rFonts w:hint="eastAsia"/>
        </w:rPr>
        <w:t>Y.4462</w:t>
      </w:r>
      <w:r w:rsidRPr="00A70B9C">
        <w:rPr>
          <w:rFonts w:ascii="SimSun" w:eastAsia="SimSun" w:hAnsi="SimSun" w:cs="SimSun" w:hint="eastAsia"/>
        </w:rPr>
        <w:t>），物联网设备的下放业务（</w:t>
      </w:r>
      <w:r w:rsidRPr="00A70B9C">
        <w:rPr>
          <w:rFonts w:hint="eastAsia"/>
        </w:rPr>
        <w:t>Y.4463</w:t>
      </w:r>
      <w:r w:rsidRPr="00A70B9C">
        <w:rPr>
          <w:rFonts w:ascii="SimSun" w:eastAsia="SimSun" w:hAnsi="SimSun" w:cs="SimSun" w:hint="eastAsia"/>
        </w:rPr>
        <w:t>），基于可见光通信的物联网服务（</w:t>
      </w:r>
      <w:r w:rsidRPr="00A70B9C">
        <w:rPr>
          <w:rFonts w:hint="eastAsia"/>
        </w:rPr>
        <w:t>Y.4465</w:t>
      </w:r>
      <w:r w:rsidRPr="00A70B9C">
        <w:rPr>
          <w:rFonts w:ascii="SimSun" w:eastAsia="SimSun" w:hAnsi="SimSun" w:cs="SimSun" w:hint="eastAsia"/>
        </w:rPr>
        <w:t>和</w:t>
      </w:r>
      <w:r w:rsidRPr="00A70B9C">
        <w:rPr>
          <w:rFonts w:hint="eastAsia"/>
        </w:rPr>
        <w:t>Y.4474</w:t>
      </w:r>
      <w:r w:rsidRPr="00A70B9C">
        <w:rPr>
          <w:rFonts w:ascii="SimSun" w:eastAsia="SimSun" w:hAnsi="SimSun" w:cs="SimSun" w:hint="eastAsia"/>
        </w:rPr>
        <w:t>），面向智能家居的物联网设备的备用计算能力开放（</w:t>
      </w:r>
      <w:r w:rsidRPr="00A70B9C">
        <w:rPr>
          <w:rFonts w:hint="eastAsia"/>
        </w:rPr>
        <w:t>Y.4469</w:t>
      </w:r>
      <w:r w:rsidRPr="00A70B9C">
        <w:rPr>
          <w:rFonts w:ascii="SimSun" w:eastAsia="SimSun" w:hAnsi="SimSun" w:cs="SimSun" w:hint="eastAsia"/>
        </w:rPr>
        <w:t>），</w:t>
      </w:r>
      <w:r w:rsidRPr="00A70B9C">
        <w:rPr>
          <w:rFonts w:hint="eastAsia"/>
        </w:rPr>
        <w:t xml:space="preserve">SensorThings API </w:t>
      </w:r>
      <w:r w:rsidRPr="00A70B9C">
        <w:t>–</w:t>
      </w:r>
      <w:r w:rsidRPr="00A70B9C">
        <w:rPr>
          <w:rFonts w:ascii="SimSun" w:eastAsia="SimSun" w:hAnsi="SimSun" w:cs="SimSun" w:hint="eastAsia"/>
        </w:rPr>
        <w:t>传感（</w:t>
      </w:r>
      <w:r w:rsidRPr="00A70B9C">
        <w:rPr>
          <w:rFonts w:hint="eastAsia"/>
        </w:rPr>
        <w:t>Y.4473</w:t>
      </w:r>
      <w:r w:rsidRPr="00A70B9C">
        <w:rPr>
          <w:rFonts w:ascii="SimSun" w:eastAsia="SimSun" w:hAnsi="SimSun" w:cs="SimSun" w:hint="eastAsia"/>
        </w:rPr>
        <w:t>），面向物联网设备的轻量级智能软件（</w:t>
      </w:r>
      <w:r w:rsidRPr="00A70B9C">
        <w:rPr>
          <w:rFonts w:hint="eastAsia"/>
        </w:rPr>
        <w:t>Y.4475</w:t>
      </w:r>
      <w:r w:rsidRPr="00A70B9C">
        <w:rPr>
          <w:rFonts w:ascii="SimSun" w:eastAsia="SimSun" w:hAnsi="SimSun" w:cs="SimSun" w:hint="eastAsia"/>
        </w:rPr>
        <w:t>），物联网中所用</w:t>
      </w:r>
      <w:r w:rsidRPr="00A70B9C">
        <w:rPr>
          <w:rFonts w:hint="eastAsia"/>
        </w:rPr>
        <w:t>ICT</w:t>
      </w:r>
      <w:r w:rsidRPr="00A70B9C">
        <w:rPr>
          <w:rFonts w:ascii="SimSun" w:eastAsia="SimSun" w:hAnsi="SimSun" w:cs="SimSun" w:hint="eastAsia"/>
        </w:rPr>
        <w:t>系统安全设计的灵活性（</w:t>
      </w:r>
      <w:r w:rsidRPr="00A70B9C">
        <w:rPr>
          <w:rFonts w:hint="eastAsia"/>
        </w:rPr>
        <w:t>Y.4807</w:t>
      </w:r>
      <w:r w:rsidRPr="00A70B9C">
        <w:rPr>
          <w:rFonts w:ascii="SimSun" w:eastAsia="SimSun" w:hAnsi="SimSun" w:cs="SimSun" w:hint="eastAsia"/>
        </w:rPr>
        <w:t>），窄带物</w:t>
      </w:r>
      <w:r w:rsidRPr="00A70B9C">
        <w:rPr>
          <w:rFonts w:ascii="SimSun" w:eastAsia="SimSun" w:hAnsi="SimSun" w:cs="SimSun" w:hint="eastAsia"/>
        </w:rPr>
        <w:lastRenderedPageBreak/>
        <w:t>联网的安全性（</w:t>
      </w:r>
      <w:r w:rsidRPr="00A70B9C">
        <w:rPr>
          <w:rFonts w:hint="eastAsia"/>
        </w:rPr>
        <w:t>X.1364</w:t>
      </w:r>
      <w:r w:rsidRPr="00A70B9C">
        <w:rPr>
          <w:rFonts w:ascii="SimSun" w:eastAsia="SimSun" w:hAnsi="SimSun" w:cs="SimSun" w:hint="eastAsia"/>
        </w:rPr>
        <w:t>），智能电网中智能计量服务的安全性（</w:t>
      </w:r>
      <w:r w:rsidRPr="00A70B9C">
        <w:rPr>
          <w:rFonts w:hint="eastAsia"/>
        </w:rPr>
        <w:t>X.1332</w:t>
      </w:r>
      <w:r w:rsidRPr="00A70B9C">
        <w:rPr>
          <w:rFonts w:ascii="SimSun" w:eastAsia="SimSun" w:hAnsi="SimSun" w:cs="SimSun" w:hint="eastAsia"/>
        </w:rPr>
        <w:t>）和支持物联网服务的基于身份的密码（</w:t>
      </w:r>
      <w:r w:rsidRPr="00A70B9C">
        <w:rPr>
          <w:rFonts w:hint="eastAsia"/>
        </w:rPr>
        <w:t>X.1365</w:t>
      </w:r>
      <w:r w:rsidRPr="00A70B9C">
        <w:rPr>
          <w:rFonts w:ascii="SimSun" w:eastAsia="SimSun" w:hAnsi="SimSun" w:cs="SimSun" w:hint="eastAsia"/>
        </w:rPr>
        <w:t>）。</w:t>
      </w:r>
    </w:p>
    <w:p w14:paraId="5AAE588D" w14:textId="77777777" w:rsidR="00917FAF" w:rsidRPr="00A70B9C" w:rsidRDefault="00917FAF" w:rsidP="00917FAF">
      <w:r w:rsidRPr="00A70B9C">
        <w:rPr>
          <w:rFonts w:ascii="SimSun" w:eastAsia="SimSun" w:hAnsi="SimSun" w:cs="SimSun" w:hint="eastAsia"/>
          <w:b/>
          <w:bCs/>
        </w:rPr>
        <w:t>可持续智慧城市：</w:t>
      </w:r>
      <w:r w:rsidRPr="00A70B9C">
        <w:rPr>
          <w:rFonts w:ascii="SimSun" w:eastAsia="SimSun" w:hAnsi="SimSun" w:cs="SimSun" w:hint="eastAsia"/>
        </w:rPr>
        <w:t>新的国际电联标准涉及智能端口与智慧城市互操作（</w:t>
      </w:r>
      <w:r w:rsidRPr="00A70B9C">
        <w:rPr>
          <w:rFonts w:hint="eastAsia"/>
        </w:rPr>
        <w:t>Y.4209</w:t>
      </w:r>
      <w:r w:rsidRPr="00A70B9C">
        <w:rPr>
          <w:rFonts w:ascii="SimSun" w:eastAsia="SimSun" w:hAnsi="SimSun" w:cs="SimSun" w:hint="eastAsia"/>
        </w:rPr>
        <w:t>），智慧城市的开放数据（</w:t>
      </w:r>
      <w:r w:rsidRPr="00A70B9C">
        <w:rPr>
          <w:rFonts w:hint="eastAsia"/>
        </w:rPr>
        <w:t>ITU-T Y.4461</w:t>
      </w:r>
      <w:r w:rsidRPr="00A70B9C">
        <w:rPr>
          <w:rFonts w:ascii="SimSun" w:eastAsia="SimSun" w:hAnsi="SimSun" w:cs="SimSun" w:hint="eastAsia"/>
        </w:rPr>
        <w:t>），智能温室服务（</w:t>
      </w:r>
      <w:r w:rsidRPr="00A70B9C">
        <w:rPr>
          <w:rFonts w:hint="eastAsia"/>
        </w:rPr>
        <w:t>Y.4466</w:t>
      </w:r>
      <w:r w:rsidRPr="00A70B9C">
        <w:rPr>
          <w:rFonts w:ascii="SimSun" w:eastAsia="SimSun" w:hAnsi="SimSun" w:cs="SimSun" w:hint="eastAsia"/>
        </w:rPr>
        <w:t>），汽车应急响应系统的数据结构和数据传送协议（</w:t>
      </w:r>
      <w:r w:rsidRPr="00A70B9C">
        <w:rPr>
          <w:rFonts w:hint="eastAsia"/>
        </w:rPr>
        <w:t>Y.4467</w:t>
      </w:r>
      <w:r w:rsidRPr="00A70B9C">
        <w:rPr>
          <w:rFonts w:ascii="SimSun" w:eastAsia="SimSun" w:hAnsi="SimSun" w:cs="SimSun" w:hint="eastAsia"/>
        </w:rPr>
        <w:t>和</w:t>
      </w:r>
      <w:r w:rsidRPr="00A70B9C">
        <w:rPr>
          <w:rFonts w:hint="eastAsia"/>
        </w:rPr>
        <w:t>Y.4468</w:t>
      </w:r>
      <w:r w:rsidRPr="00A70B9C">
        <w:rPr>
          <w:rFonts w:ascii="SimSun" w:eastAsia="SimSun" w:hAnsi="SimSun" w:cs="SimSun" w:hint="eastAsia"/>
        </w:rPr>
        <w:t>），面向智慧城市开放人工智能服务（</w:t>
      </w:r>
      <w:r w:rsidRPr="00A70B9C">
        <w:rPr>
          <w:rFonts w:hint="eastAsia"/>
        </w:rPr>
        <w:t>Y.4470</w:t>
      </w:r>
      <w:r w:rsidRPr="00A70B9C">
        <w:rPr>
          <w:rFonts w:ascii="SimSun" w:eastAsia="SimSun" w:hAnsi="SimSun" w:cs="SimSun" w:hint="eastAsia"/>
        </w:rPr>
        <w:t>）和智能火灾烟雾探测服务（</w:t>
      </w:r>
      <w:r w:rsidRPr="00A70B9C">
        <w:rPr>
          <w:rFonts w:hint="eastAsia"/>
        </w:rPr>
        <w:t>Y.4558</w:t>
      </w:r>
      <w:r w:rsidRPr="00A70B9C">
        <w:rPr>
          <w:rFonts w:ascii="SimSun" w:eastAsia="SimSun" w:hAnsi="SimSun" w:cs="SimSun" w:hint="eastAsia"/>
        </w:rPr>
        <w:t>）。</w:t>
      </w:r>
    </w:p>
    <w:p w14:paraId="6D880ABD" w14:textId="77777777" w:rsidR="00917FAF" w:rsidRPr="00A70B9C" w:rsidRDefault="00917FAF" w:rsidP="00917FAF">
      <w:r w:rsidRPr="00A70B9C">
        <w:rPr>
          <w:rFonts w:ascii="SimSun" w:eastAsia="SimSun" w:hAnsi="SimSun" w:cs="SimSun" w:hint="eastAsia"/>
          <w:b/>
          <w:bCs/>
        </w:rPr>
        <w:t>失窃的</w:t>
      </w:r>
      <w:r w:rsidRPr="00A70B9C">
        <w:rPr>
          <w:rFonts w:hint="eastAsia"/>
          <w:b/>
          <w:bCs/>
        </w:rPr>
        <w:t>ICT</w:t>
      </w:r>
      <w:r w:rsidRPr="00A70B9C">
        <w:rPr>
          <w:rFonts w:ascii="SimSun" w:eastAsia="SimSun" w:hAnsi="SimSun" w:cs="SimSun" w:hint="eastAsia"/>
          <w:b/>
          <w:bCs/>
        </w:rPr>
        <w:t>设备：</w:t>
      </w:r>
      <w:r w:rsidRPr="00A70B9C">
        <w:rPr>
          <w:rFonts w:ascii="SimSun" w:eastAsia="SimSun" w:hAnsi="SimSun" w:cs="SimSun" w:hint="eastAsia"/>
        </w:rPr>
        <w:t>一项新的国际电联标准为打击使用被盗移动设备提供了框架（</w:t>
      </w:r>
      <w:r w:rsidRPr="00A70B9C">
        <w:rPr>
          <w:rFonts w:hint="eastAsia"/>
        </w:rPr>
        <w:t>Q.5051</w:t>
      </w:r>
      <w:r w:rsidRPr="00A70B9C">
        <w:rPr>
          <w:rFonts w:ascii="SimSun" w:eastAsia="SimSun" w:hAnsi="SimSun" w:cs="SimSun" w:hint="eastAsia"/>
        </w:rPr>
        <w:t>），一份新的技术报告考虑了</w:t>
      </w:r>
      <w:r w:rsidRPr="00A70B9C">
        <w:rPr>
          <w:rFonts w:hint="eastAsia"/>
        </w:rPr>
        <w:t>IMEI</w:t>
      </w:r>
      <w:r w:rsidRPr="00A70B9C">
        <w:rPr>
          <w:rFonts w:ascii="SimSun" w:eastAsia="SimSun" w:hAnsi="SimSun" w:cs="SimSun" w:hint="eastAsia"/>
        </w:rPr>
        <w:t>的可靠性（</w:t>
      </w:r>
      <w:r w:rsidRPr="00A70B9C">
        <w:rPr>
          <w:rFonts w:hint="eastAsia"/>
        </w:rPr>
        <w:t>QTR-RLB-IMEI</w:t>
      </w:r>
      <w:r w:rsidRPr="00A70B9C">
        <w:rPr>
          <w:rFonts w:ascii="SimSun" w:eastAsia="SimSun" w:hAnsi="SimSun" w:cs="SimSun" w:hint="eastAsia"/>
        </w:rPr>
        <w:t>）。</w:t>
      </w:r>
    </w:p>
    <w:p w14:paraId="1710D59F" w14:textId="77777777" w:rsidR="00917FAF" w:rsidRPr="00A70B9C" w:rsidRDefault="00917FAF" w:rsidP="00917FAF">
      <w:r w:rsidRPr="00A70B9C">
        <w:rPr>
          <w:rFonts w:ascii="SimSun" w:eastAsia="SimSun" w:hAnsi="SimSun" w:cs="SimSun" w:hint="eastAsia"/>
          <w:b/>
          <w:bCs/>
        </w:rPr>
        <w:t>大数据：</w:t>
      </w:r>
      <w:r w:rsidRPr="00A70B9C">
        <w:rPr>
          <w:rFonts w:ascii="SimSun" w:eastAsia="SimSun" w:hAnsi="SimSun" w:cs="SimSun" w:hint="eastAsia"/>
        </w:rPr>
        <w:t>新的国际电联标准提出了大数据驱动网络（</w:t>
      </w:r>
      <w:r w:rsidRPr="00A70B9C">
        <w:rPr>
          <w:rFonts w:hint="eastAsia"/>
        </w:rPr>
        <w:t>Y.3652</w:t>
      </w:r>
      <w:r w:rsidRPr="00A70B9C">
        <w:rPr>
          <w:rFonts w:ascii="SimSun" w:eastAsia="SimSun" w:hAnsi="SimSun" w:cs="SimSun" w:hint="eastAsia"/>
        </w:rPr>
        <w:t>）和数据保存（</w:t>
      </w:r>
      <w:r w:rsidRPr="00A70B9C">
        <w:rPr>
          <w:rFonts w:hint="eastAsia"/>
        </w:rPr>
        <w:t>Y.3604</w:t>
      </w:r>
      <w:r w:rsidRPr="00A70B9C">
        <w:rPr>
          <w:rFonts w:ascii="SimSun" w:eastAsia="SimSun" w:hAnsi="SimSun" w:cs="SimSun" w:hint="eastAsia"/>
        </w:rPr>
        <w:t>）的要求。在对</w:t>
      </w:r>
      <w:r w:rsidRPr="00A70B9C">
        <w:rPr>
          <w:rFonts w:hint="eastAsia"/>
        </w:rPr>
        <w:t>ITU-T</w:t>
      </w:r>
      <w:r w:rsidRPr="00A70B9C">
        <w:rPr>
          <w:rFonts w:ascii="SimSun" w:eastAsia="SimSun" w:hAnsi="SimSun" w:cs="SimSun" w:hint="eastAsia"/>
        </w:rPr>
        <w:t>成员进行调查之后，一份新的增补评估了发展中国家使用大数据的现状（</w:t>
      </w:r>
      <w:r w:rsidRPr="00A70B9C">
        <w:rPr>
          <w:rFonts w:hint="eastAsia"/>
        </w:rPr>
        <w:t>Y.Suppl.65</w:t>
      </w:r>
      <w:r w:rsidRPr="00A70B9C">
        <w:rPr>
          <w:rFonts w:ascii="SimSun" w:eastAsia="SimSun" w:hAnsi="SimSun" w:cs="SimSun" w:hint="eastAsia"/>
        </w:rPr>
        <w:t>）。</w:t>
      </w:r>
    </w:p>
    <w:p w14:paraId="7BDFEA08" w14:textId="77777777" w:rsidR="00917FAF" w:rsidRPr="00A70B9C" w:rsidRDefault="00917FAF" w:rsidP="00917FAF">
      <w:r w:rsidRPr="00A70B9C">
        <w:rPr>
          <w:rFonts w:ascii="SimSun" w:eastAsia="SimSun" w:hAnsi="SimSun" w:cs="SimSun" w:hint="eastAsia"/>
          <w:b/>
          <w:bCs/>
        </w:rPr>
        <w:t>无障碍获取：</w:t>
      </w:r>
      <w:r w:rsidRPr="00A70B9C">
        <w:rPr>
          <w:rFonts w:ascii="SimSun" w:eastAsia="SimSun" w:hAnsi="SimSun" w:cs="SimSun" w:hint="eastAsia"/>
        </w:rPr>
        <w:t>一项经修订的国际电联标准提供了</w:t>
      </w:r>
      <w:r w:rsidRPr="00A70B9C">
        <w:rPr>
          <w:rFonts w:hint="eastAsia"/>
        </w:rPr>
        <w:t>IPTV</w:t>
      </w:r>
      <w:r w:rsidRPr="00A70B9C">
        <w:rPr>
          <w:rFonts w:ascii="SimSun" w:eastAsia="SimSun" w:hAnsi="SimSun" w:cs="SimSun" w:hint="eastAsia"/>
        </w:rPr>
        <w:t>系统的无障碍获取配置文件（</w:t>
      </w:r>
      <w:r w:rsidRPr="00A70B9C">
        <w:t>H.702 (V2)</w:t>
      </w:r>
      <w:r w:rsidRPr="00A70B9C">
        <w:rPr>
          <w:rFonts w:ascii="SimSun" w:eastAsia="SimSun" w:hAnsi="SimSun" w:cs="SimSun" w:hint="eastAsia"/>
        </w:rPr>
        <w:t>），新的国际电联标准涉及生物信号数据的地址注释方法（</w:t>
      </w:r>
      <w:r w:rsidRPr="00A70B9C">
        <w:rPr>
          <w:rFonts w:hint="eastAsia"/>
        </w:rPr>
        <w:t>H.862.2</w:t>
      </w:r>
      <w:r w:rsidRPr="00A70B9C">
        <w:rPr>
          <w:rFonts w:ascii="SimSun" w:eastAsia="SimSun" w:hAnsi="SimSun" w:cs="SimSun" w:hint="eastAsia"/>
        </w:rPr>
        <w:t>），护理服务的语音管理接口（</w:t>
      </w:r>
      <w:r w:rsidRPr="00A70B9C">
        <w:rPr>
          <w:rFonts w:hint="eastAsia"/>
        </w:rPr>
        <w:t>H.862.3</w:t>
      </w:r>
      <w:r w:rsidRPr="00A70B9C">
        <w:rPr>
          <w:rFonts w:ascii="SimSun" w:eastAsia="SimSun" w:hAnsi="SimSun" w:cs="SimSun" w:hint="eastAsia"/>
        </w:rPr>
        <w:t>），视障者信息服务系统（</w:t>
      </w:r>
      <w:r w:rsidRPr="00A70B9C">
        <w:rPr>
          <w:rFonts w:hint="eastAsia"/>
        </w:rPr>
        <w:t>F.922</w:t>
      </w:r>
      <w:r w:rsidRPr="00A70B9C">
        <w:rPr>
          <w:rFonts w:ascii="SimSun" w:eastAsia="SimSun" w:hAnsi="SimSun" w:cs="SimSun" w:hint="eastAsia"/>
        </w:rPr>
        <w:t>）。新的技术文件提供了有关基于网络的远程手语翻译指南（</w:t>
      </w:r>
      <w:r w:rsidRPr="00A70B9C">
        <w:rPr>
          <w:rFonts w:hint="eastAsia"/>
        </w:rPr>
        <w:t>FSTP.ACC-WebVRI</w:t>
      </w:r>
      <w:r w:rsidRPr="00A70B9C">
        <w:rPr>
          <w:rFonts w:ascii="SimSun" w:eastAsia="SimSun" w:hAnsi="SimSun" w:cs="SimSun" w:hint="eastAsia"/>
        </w:rPr>
        <w:t>）和辅助听力系统的概述（</w:t>
      </w:r>
      <w:r w:rsidRPr="00A70B9C">
        <w:rPr>
          <w:rFonts w:hint="eastAsia"/>
        </w:rPr>
        <w:t>FSTP-ACC-ALD</w:t>
      </w:r>
      <w:r w:rsidRPr="00A70B9C">
        <w:rPr>
          <w:rFonts w:ascii="SimSun" w:eastAsia="SimSun" w:hAnsi="SimSun" w:cs="SimSun" w:hint="eastAsia"/>
        </w:rPr>
        <w:t>）。</w:t>
      </w:r>
    </w:p>
    <w:p w14:paraId="58223ABA" w14:textId="77777777" w:rsidR="00917FAF" w:rsidRPr="00A70B9C" w:rsidRDefault="00917FAF" w:rsidP="00917FAF">
      <w:r w:rsidRPr="00A70B9C">
        <w:rPr>
          <w:rFonts w:ascii="SimSun" w:eastAsia="SimSun" w:hAnsi="SimSun" w:cs="SimSun" w:hint="eastAsia"/>
          <w:b/>
          <w:bCs/>
        </w:rPr>
        <w:t>电信管理：</w:t>
      </w:r>
      <w:r w:rsidRPr="00A70B9C">
        <w:rPr>
          <w:rFonts w:ascii="SimSun" w:eastAsia="SimSun" w:hAnsi="SimSun" w:cs="SimSun" w:hint="eastAsia"/>
        </w:rPr>
        <w:t>新的国际电联标准对电信管理网络（</w:t>
      </w:r>
      <w:r w:rsidRPr="00A70B9C">
        <w:t>TMN</w:t>
      </w:r>
      <w:r w:rsidRPr="00A70B9C">
        <w:rPr>
          <w:rFonts w:ascii="SimSun" w:eastAsia="SimSun" w:hAnsi="SimSun" w:cs="SimSun" w:hint="eastAsia"/>
        </w:rPr>
        <w:t>）中电信反欺诈管理（</w:t>
      </w:r>
      <w:r w:rsidRPr="00A70B9C">
        <w:rPr>
          <w:rFonts w:hint="eastAsia"/>
        </w:rPr>
        <w:t>M.3362</w:t>
      </w:r>
      <w:r w:rsidRPr="00A70B9C">
        <w:rPr>
          <w:rFonts w:ascii="SimSun" w:eastAsia="SimSun" w:hAnsi="SimSun" w:cs="SimSun" w:hint="eastAsia"/>
        </w:rPr>
        <w:t>）、</w:t>
      </w:r>
      <w:r w:rsidRPr="00A70B9C">
        <w:rPr>
          <w:rFonts w:hint="eastAsia"/>
        </w:rPr>
        <w:t>TMN</w:t>
      </w:r>
      <w:r w:rsidRPr="00A70B9C">
        <w:rPr>
          <w:rFonts w:ascii="SimSun" w:eastAsia="SimSun" w:hAnsi="SimSun" w:cs="SimSun" w:hint="eastAsia"/>
        </w:rPr>
        <w:t>中的数据管理（</w:t>
      </w:r>
      <w:r w:rsidRPr="00A70B9C">
        <w:rPr>
          <w:rFonts w:hint="eastAsia"/>
        </w:rPr>
        <w:t>M.3363</w:t>
      </w:r>
      <w:r w:rsidRPr="00A70B9C">
        <w:rPr>
          <w:rFonts w:ascii="SimSun" w:eastAsia="SimSun" w:hAnsi="SimSun" w:cs="SimSun" w:hint="eastAsia"/>
        </w:rPr>
        <w:t>）以及现场电信智能维护管理功能（</w:t>
      </w:r>
      <w:r w:rsidRPr="00A70B9C">
        <w:rPr>
          <w:rFonts w:hint="eastAsia"/>
        </w:rPr>
        <w:t>M.3364</w:t>
      </w:r>
      <w:r w:rsidRPr="00A70B9C">
        <w:rPr>
          <w:rFonts w:ascii="SimSun" w:eastAsia="SimSun" w:hAnsi="SimSun" w:cs="SimSun" w:hint="eastAsia"/>
        </w:rPr>
        <w:t>）提出了要求。新的国际电联标准还提供了现场电信智能维护的通用信息模型（</w:t>
      </w:r>
      <w:r w:rsidRPr="00A70B9C">
        <w:rPr>
          <w:rFonts w:hint="eastAsia"/>
        </w:rPr>
        <w:t>M.3164</w:t>
      </w:r>
      <w:r w:rsidRPr="00A70B9C">
        <w:rPr>
          <w:rFonts w:ascii="SimSun" w:eastAsia="SimSun" w:hAnsi="SimSun" w:cs="SimSun" w:hint="eastAsia"/>
        </w:rPr>
        <w:t>）和智能运维管理框架（</w:t>
      </w:r>
      <w:r w:rsidRPr="00A70B9C">
        <w:rPr>
          <w:rFonts w:hint="eastAsia"/>
        </w:rPr>
        <w:t>M.3041</w:t>
      </w:r>
      <w:r w:rsidRPr="00A70B9C">
        <w:rPr>
          <w:rFonts w:ascii="SimSun" w:eastAsia="SimSun" w:hAnsi="SimSun" w:cs="SimSun" w:hint="eastAsia"/>
        </w:rPr>
        <w:t>）。</w:t>
      </w:r>
    </w:p>
    <w:p w14:paraId="3433DB4C" w14:textId="77777777" w:rsidR="00917FAF" w:rsidRPr="00A70B9C" w:rsidRDefault="00917FAF" w:rsidP="00917FAF">
      <w:r w:rsidRPr="00A70B9C">
        <w:rPr>
          <w:rFonts w:ascii="SimSun" w:eastAsia="SimSun" w:hAnsi="SimSun" w:cs="SimSun" w:hint="eastAsia"/>
          <w:b/>
          <w:bCs/>
        </w:rPr>
        <w:t>用于试点的编号资源：</w:t>
      </w:r>
      <w:r w:rsidRPr="00A70B9C">
        <w:rPr>
          <w:rFonts w:ascii="SimSun" w:eastAsia="SimSun" w:hAnsi="SimSun" w:cs="SimSun" w:hint="eastAsia"/>
        </w:rPr>
        <w:t>经修订的国际电联标准规定了为进行国际非商业性试点，在公用的移动国家代码</w:t>
      </w:r>
      <w:r w:rsidRPr="00A70B9C">
        <w:t>991</w:t>
      </w:r>
      <w:r w:rsidRPr="00A70B9C">
        <w:rPr>
          <w:rFonts w:ascii="SimSun" w:eastAsia="SimSun" w:hAnsi="SimSun" w:cs="SimSun" w:hint="eastAsia"/>
        </w:rPr>
        <w:t>中临时分配</w:t>
      </w:r>
      <w:r w:rsidRPr="00A70B9C">
        <w:rPr>
          <w:rFonts w:hint="eastAsia"/>
        </w:rPr>
        <w:t>E.164</w:t>
      </w:r>
      <w:r w:rsidRPr="00A70B9C">
        <w:rPr>
          <w:rFonts w:ascii="SimSun" w:eastAsia="SimSun" w:hAnsi="SimSun" w:cs="SimSun" w:hint="eastAsia"/>
        </w:rPr>
        <w:t>编号资源（</w:t>
      </w:r>
      <w:r w:rsidRPr="00A70B9C">
        <w:rPr>
          <w:rFonts w:hint="eastAsia"/>
        </w:rPr>
        <w:t>E.164.2</w:t>
      </w:r>
      <w:r w:rsidRPr="00A70B9C">
        <w:rPr>
          <w:rFonts w:ascii="SimSun" w:eastAsia="SimSun" w:hAnsi="SimSun" w:cs="SimSun" w:hint="eastAsia"/>
        </w:rPr>
        <w:t>）和临时分配移动网络代码（</w:t>
      </w:r>
      <w:r w:rsidRPr="00A70B9C">
        <w:rPr>
          <w:rFonts w:hint="eastAsia"/>
        </w:rPr>
        <w:t>E.212 Amd.2</w:t>
      </w:r>
      <w:r w:rsidRPr="00A70B9C">
        <w:rPr>
          <w:rFonts w:ascii="SimSun" w:eastAsia="SimSun" w:hAnsi="SimSun" w:cs="SimSun" w:hint="eastAsia"/>
        </w:rPr>
        <w:t>）的标准和程序。</w:t>
      </w:r>
    </w:p>
    <w:p w14:paraId="4470B166" w14:textId="77777777" w:rsidR="00917FAF" w:rsidRPr="00A70B9C" w:rsidRDefault="00917FAF" w:rsidP="00917FAF">
      <w:r w:rsidRPr="00A70B9C">
        <w:rPr>
          <w:rFonts w:hint="eastAsia"/>
          <w:b/>
          <w:bCs/>
        </w:rPr>
        <w:t>M2M/</w:t>
      </w:r>
      <w:r w:rsidRPr="00A70B9C">
        <w:rPr>
          <w:rFonts w:ascii="SimSun" w:eastAsia="SimSun" w:hAnsi="SimSun" w:cs="SimSun" w:hint="eastAsia"/>
          <w:b/>
          <w:bCs/>
        </w:rPr>
        <w:t>物联网和应急服务的代码：</w:t>
      </w:r>
      <w:r w:rsidRPr="00A70B9C">
        <w:rPr>
          <w:rFonts w:ascii="SimSun" w:eastAsia="SimSun" w:hAnsi="SimSun" w:cs="SimSun" w:hint="eastAsia"/>
        </w:rPr>
        <w:t>一份新的增补定义了在共用的移动国家代码中（</w:t>
      </w:r>
      <w:r w:rsidRPr="00A70B9C">
        <w:rPr>
          <w:rFonts w:hint="eastAsia"/>
        </w:rPr>
        <w:t>MCC</w:t>
      </w:r>
      <w:r w:rsidRPr="00A70B9C">
        <w:rPr>
          <w:rFonts w:ascii="SimSun" w:eastAsia="SimSun" w:hAnsi="SimSun" w:cs="SimSun" w:hint="eastAsia"/>
        </w:rPr>
        <w:t>）为</w:t>
      </w:r>
      <w:r w:rsidRPr="00A70B9C">
        <w:rPr>
          <w:rFonts w:hint="eastAsia"/>
        </w:rPr>
        <w:t>M2M/IoT</w:t>
      </w:r>
      <w:r w:rsidRPr="00A70B9C">
        <w:rPr>
          <w:rFonts w:ascii="SimSun" w:eastAsia="SimSun" w:hAnsi="SimSun" w:cs="SimSun" w:hint="eastAsia"/>
        </w:rPr>
        <w:t>服务分配</w:t>
      </w:r>
      <w:r w:rsidRPr="00A70B9C">
        <w:rPr>
          <w:rFonts w:hint="eastAsia"/>
        </w:rPr>
        <w:t>E.164</w:t>
      </w:r>
      <w:r w:rsidRPr="00A70B9C">
        <w:rPr>
          <w:rFonts w:ascii="SimSun" w:eastAsia="SimSun" w:hAnsi="SimSun" w:cs="SimSun" w:hint="eastAsia"/>
        </w:rPr>
        <w:t>识别码和</w:t>
      </w:r>
      <w:r w:rsidRPr="00A70B9C">
        <w:rPr>
          <w:rFonts w:hint="eastAsia"/>
        </w:rPr>
        <w:t>E.212</w:t>
      </w:r>
      <w:r w:rsidRPr="00A70B9C">
        <w:rPr>
          <w:rFonts w:ascii="SimSun" w:eastAsia="SimSun" w:hAnsi="SimSun" w:cs="SimSun" w:hint="eastAsia"/>
        </w:rPr>
        <w:t>移动网络代码的标准（</w:t>
      </w:r>
      <w:r w:rsidRPr="00A70B9C">
        <w:rPr>
          <w:rFonts w:hint="eastAsia"/>
        </w:rPr>
        <w:t>E.Suppl.11</w:t>
      </w:r>
      <w:r w:rsidRPr="00A70B9C">
        <w:rPr>
          <w:rFonts w:ascii="SimSun" w:eastAsia="SimSun" w:hAnsi="SimSun" w:cs="SimSun" w:hint="eastAsia"/>
        </w:rPr>
        <w:t>）。一份新的技术报告概述了识别呼叫位置以支持紧急服务的技术解决方案（</w:t>
      </w:r>
      <w:r w:rsidRPr="00A70B9C">
        <w:rPr>
          <w:rFonts w:hint="eastAsia"/>
        </w:rPr>
        <w:t>TR.CLE</w:t>
      </w:r>
      <w:r w:rsidRPr="00A70B9C">
        <w:rPr>
          <w:rFonts w:ascii="SimSun" w:eastAsia="SimSun" w:hAnsi="SimSun" w:cs="SimSun" w:hint="eastAsia"/>
        </w:rPr>
        <w:t>）。</w:t>
      </w:r>
    </w:p>
    <w:p w14:paraId="32527823" w14:textId="77777777" w:rsidR="00917FAF" w:rsidRPr="00A70B9C" w:rsidRDefault="00917FAF" w:rsidP="00917FAF">
      <w:r w:rsidRPr="00A70B9C">
        <w:rPr>
          <w:rFonts w:ascii="SimSun" w:eastAsia="SimSun" w:hAnsi="SimSun" w:cs="SimSun" w:hint="eastAsia"/>
          <w:b/>
          <w:bCs/>
        </w:rPr>
        <w:t>经济和政策问题：</w:t>
      </w:r>
      <w:r w:rsidRPr="00A70B9C">
        <w:rPr>
          <w:rFonts w:ascii="SimSun" w:eastAsia="SimSun" w:hAnsi="SimSun" w:cs="SimSun" w:hint="eastAsia"/>
        </w:rPr>
        <w:t>新的国际电联标准介绍了将频谱和电信基础设施共用作为提高电信效率的可能办法（</w:t>
      </w:r>
      <w:r w:rsidRPr="00A70B9C">
        <w:rPr>
          <w:rFonts w:hint="eastAsia"/>
        </w:rPr>
        <w:t>D.264</w:t>
      </w:r>
      <w:r w:rsidRPr="00A70B9C">
        <w:rPr>
          <w:rFonts w:ascii="SimSun" w:eastAsia="SimSun" w:hAnsi="SimSun" w:cs="SimSun" w:hint="eastAsia"/>
        </w:rPr>
        <w:t>），优化跨多个国家的地面电缆利用率以促进区域和国际连通性（</w:t>
      </w:r>
      <w:r w:rsidRPr="00A70B9C">
        <w:rPr>
          <w:rFonts w:hint="eastAsia"/>
        </w:rPr>
        <w:t>D.265</w:t>
      </w:r>
      <w:r w:rsidRPr="00A70B9C">
        <w:rPr>
          <w:rFonts w:ascii="SimSun" w:eastAsia="SimSun" w:hAnsi="SimSun" w:cs="SimSun" w:hint="eastAsia"/>
        </w:rPr>
        <w:t>），为电信网络运营商和</w:t>
      </w:r>
      <w:r w:rsidRPr="00A70B9C">
        <w:t>OTT</w:t>
      </w:r>
      <w:r w:rsidRPr="00A70B9C">
        <w:rPr>
          <w:rFonts w:ascii="SimSun" w:eastAsia="SimSun" w:hAnsi="SimSun" w:cs="SimSun" w:hint="eastAsia"/>
        </w:rPr>
        <w:t>应用提供商之间的自愿商业安排创造有利环境（</w:t>
      </w:r>
      <w:r w:rsidRPr="00A70B9C">
        <w:rPr>
          <w:rFonts w:hint="eastAsia"/>
        </w:rPr>
        <w:t>D.266</w:t>
      </w:r>
      <w:r w:rsidRPr="00A70B9C">
        <w:rPr>
          <w:rFonts w:ascii="SimSun" w:eastAsia="SimSun" w:hAnsi="SimSun" w:cs="SimSun" w:hint="eastAsia"/>
        </w:rPr>
        <w:t>），以及一个针对数字身份基础设施、包括原则在内的政策框架（</w:t>
      </w:r>
      <w:r w:rsidRPr="00A70B9C">
        <w:rPr>
          <w:rFonts w:hint="eastAsia"/>
        </w:rPr>
        <w:t>D.267 / X.1261</w:t>
      </w:r>
      <w:r w:rsidRPr="00A70B9C">
        <w:rPr>
          <w:rFonts w:ascii="SimSun" w:eastAsia="SimSun" w:hAnsi="SimSun" w:cs="SimSun" w:hint="eastAsia"/>
        </w:rPr>
        <w:t>）。一份新的增补描述了关于通过有效的消费者保护机制增加移动金融服务（</w:t>
      </w:r>
      <w:r w:rsidRPr="00A70B9C">
        <w:t>MFS</w:t>
      </w:r>
      <w:r w:rsidRPr="00A70B9C">
        <w:rPr>
          <w:rFonts w:ascii="SimSun" w:eastAsia="SimSun" w:hAnsi="SimSun" w:cs="SimSun" w:hint="eastAsia"/>
        </w:rPr>
        <w:t>）的采用和使用的有关原则（</w:t>
      </w:r>
      <w:r w:rsidRPr="00A70B9C">
        <w:rPr>
          <w:rFonts w:hint="eastAsia"/>
        </w:rPr>
        <w:t>D.Suppl.4</w:t>
      </w:r>
      <w:r w:rsidRPr="00A70B9C">
        <w:rPr>
          <w:rFonts w:ascii="SimSun" w:eastAsia="SimSun" w:hAnsi="SimSun" w:cs="SimSun" w:hint="eastAsia"/>
        </w:rPr>
        <w:t>）。</w:t>
      </w:r>
    </w:p>
    <w:p w14:paraId="20D7A7A4" w14:textId="77777777" w:rsidR="00917FAF" w:rsidRPr="00A70B9C" w:rsidRDefault="00917FAF" w:rsidP="00917FAF">
      <w:r w:rsidRPr="00A70B9C">
        <w:rPr>
          <w:rFonts w:ascii="SimSun" w:eastAsia="SimSun" w:hAnsi="SimSun" w:cs="SimSun" w:hint="eastAsia"/>
          <w:b/>
          <w:bCs/>
        </w:rPr>
        <w:t>宽带有线和电视：</w:t>
      </w:r>
      <w:r w:rsidRPr="00A70B9C">
        <w:rPr>
          <w:rFonts w:ascii="SimSun" w:eastAsia="SimSun" w:hAnsi="SimSun" w:cs="SimSun" w:hint="eastAsia"/>
        </w:rPr>
        <w:t>新的国际电联标准涉及交互式有线电视业务的第四代和第五代传输系统</w:t>
      </w:r>
      <w:r w:rsidRPr="00A70B9C">
        <w:t xml:space="preserve"> – IP</w:t>
      </w:r>
      <w:r w:rsidRPr="00A70B9C">
        <w:rPr>
          <w:rFonts w:ascii="SimSun" w:eastAsia="SimSun" w:hAnsi="SimSun" w:cs="SimSun" w:hint="eastAsia"/>
        </w:rPr>
        <w:t>电缆调制解调器（</w:t>
      </w:r>
      <w:r w:rsidRPr="00A70B9C">
        <w:rPr>
          <w:rFonts w:hint="eastAsia"/>
        </w:rPr>
        <w:t>J.225</w:t>
      </w:r>
      <w:r w:rsidRPr="00A70B9C">
        <w:rPr>
          <w:rFonts w:ascii="SimSun" w:eastAsia="SimSun" w:hAnsi="SimSun" w:cs="SimSun" w:hint="eastAsia"/>
        </w:rPr>
        <w:t>和</w:t>
      </w:r>
      <w:r w:rsidRPr="00A70B9C">
        <w:rPr>
          <w:rFonts w:hint="eastAsia"/>
        </w:rPr>
        <w:t>J.224</w:t>
      </w:r>
      <w:r w:rsidRPr="00A70B9C">
        <w:rPr>
          <w:rFonts w:ascii="SimSun" w:eastAsia="SimSun" w:hAnsi="SimSun" w:cs="SimSun" w:hint="eastAsia"/>
        </w:rPr>
        <w:t>），用于可转换式有条件接入</w:t>
      </w:r>
      <w:r w:rsidRPr="00A70B9C">
        <w:t>/</w:t>
      </w:r>
      <w:r w:rsidRPr="00A70B9C">
        <w:rPr>
          <w:rFonts w:ascii="SimSun" w:eastAsia="SimSun" w:hAnsi="SimSun" w:cs="SimSun" w:hint="eastAsia"/>
        </w:rPr>
        <w:t>数字版权管理解决方案的嵌入式通用接口（</w:t>
      </w:r>
      <w:r w:rsidRPr="00A70B9C">
        <w:t>ECI</w:t>
      </w:r>
      <w:r w:rsidRPr="00A70B9C">
        <w:rPr>
          <w:rFonts w:ascii="SimSun" w:eastAsia="SimSun" w:hAnsi="SimSun" w:cs="SimSun" w:hint="eastAsia"/>
        </w:rPr>
        <w:t>）（</w:t>
      </w:r>
      <w:r w:rsidRPr="00A70B9C">
        <w:rPr>
          <w:rFonts w:hint="eastAsia"/>
        </w:rPr>
        <w:t>J.112</w:t>
      </w:r>
      <w:r w:rsidRPr="00A70B9C">
        <w:rPr>
          <w:rFonts w:ascii="SimSun" w:eastAsia="SimSun" w:hAnsi="SimSun" w:cs="SimSun" w:hint="eastAsia"/>
        </w:rPr>
        <w:t>，</w:t>
      </w:r>
      <w:r w:rsidRPr="00A70B9C">
        <w:rPr>
          <w:rFonts w:hint="eastAsia"/>
        </w:rPr>
        <w:t>J.113</w:t>
      </w:r>
      <w:r w:rsidRPr="00A70B9C">
        <w:rPr>
          <w:rFonts w:ascii="SimSun" w:eastAsia="SimSun" w:hAnsi="SimSun" w:cs="SimSun" w:hint="eastAsia"/>
        </w:rPr>
        <w:t>，</w:t>
      </w:r>
      <w:r w:rsidRPr="00A70B9C">
        <w:rPr>
          <w:rFonts w:hint="eastAsia"/>
        </w:rPr>
        <w:t>J.114</w:t>
      </w:r>
      <w:r w:rsidRPr="00A70B9C">
        <w:rPr>
          <w:rFonts w:ascii="SimSun" w:eastAsia="SimSun" w:hAnsi="SimSun" w:cs="SimSun" w:hint="eastAsia"/>
        </w:rPr>
        <w:t>，</w:t>
      </w:r>
      <w:r w:rsidRPr="00A70B9C">
        <w:rPr>
          <w:rFonts w:hint="eastAsia"/>
        </w:rPr>
        <w:t>J.115</w:t>
      </w:r>
      <w:r w:rsidRPr="00A70B9C">
        <w:rPr>
          <w:rFonts w:ascii="SimSun" w:eastAsia="SimSun" w:hAnsi="SimSun" w:cs="SimSun" w:hint="eastAsia"/>
        </w:rPr>
        <w:t>和</w:t>
      </w:r>
      <w:r w:rsidRPr="00A70B9C">
        <w:rPr>
          <w:rFonts w:hint="eastAsia"/>
        </w:rPr>
        <w:t>J.115.1</w:t>
      </w:r>
      <w:r w:rsidRPr="00A70B9C">
        <w:rPr>
          <w:rFonts w:ascii="SimSun" w:eastAsia="SimSun" w:hAnsi="SimSun" w:cs="SimSun" w:hint="eastAsia"/>
        </w:rPr>
        <w:t>），双向网络的可下载有条件接入系统（</w:t>
      </w:r>
      <w:r w:rsidRPr="00A70B9C">
        <w:rPr>
          <w:rFonts w:hint="eastAsia"/>
        </w:rPr>
        <w:t>J.1031</w:t>
      </w:r>
      <w:r w:rsidRPr="00A70B9C">
        <w:rPr>
          <w:rFonts w:ascii="SimSun" w:eastAsia="SimSun" w:hAnsi="SimSun" w:cs="SimSun" w:hint="eastAsia"/>
        </w:rPr>
        <w:t>，</w:t>
      </w:r>
      <w:r w:rsidRPr="00A70B9C">
        <w:rPr>
          <w:rFonts w:hint="eastAsia"/>
        </w:rPr>
        <w:t>J.1032</w:t>
      </w:r>
      <w:r w:rsidRPr="00A70B9C">
        <w:rPr>
          <w:rFonts w:ascii="SimSun" w:eastAsia="SimSun" w:hAnsi="SimSun" w:cs="SimSun" w:hint="eastAsia"/>
        </w:rPr>
        <w:t>和</w:t>
      </w:r>
      <w:r w:rsidRPr="00A70B9C">
        <w:rPr>
          <w:rFonts w:hint="eastAsia"/>
        </w:rPr>
        <w:t>J.1033</w:t>
      </w:r>
      <w:r w:rsidRPr="00A70B9C">
        <w:rPr>
          <w:rFonts w:ascii="SimSun" w:eastAsia="SimSun" w:hAnsi="SimSun" w:cs="SimSun" w:hint="eastAsia"/>
        </w:rPr>
        <w:t>），智能电视操作系统（</w:t>
      </w:r>
      <w:r w:rsidRPr="00A70B9C">
        <w:rPr>
          <w:rFonts w:hint="eastAsia"/>
        </w:rPr>
        <w:t>J.1203</w:t>
      </w:r>
      <w:r w:rsidRPr="00A70B9C">
        <w:rPr>
          <w:rFonts w:ascii="SimSun" w:eastAsia="SimSun" w:hAnsi="SimSun" w:cs="SimSun" w:hint="eastAsia"/>
        </w:rPr>
        <w:t>和</w:t>
      </w:r>
      <w:r w:rsidRPr="00A70B9C">
        <w:rPr>
          <w:rFonts w:hint="eastAsia"/>
        </w:rPr>
        <w:t>J.1204</w:t>
      </w:r>
      <w:r w:rsidRPr="00A70B9C">
        <w:rPr>
          <w:rFonts w:ascii="SimSun" w:eastAsia="SimSun" w:hAnsi="SimSun" w:cs="SimSun" w:hint="eastAsia"/>
        </w:rPr>
        <w:t>），自动配置服务器（</w:t>
      </w:r>
      <w:r w:rsidRPr="00A70B9C">
        <w:t>ACS</w:t>
      </w:r>
      <w:r w:rsidRPr="00A70B9C">
        <w:rPr>
          <w:rFonts w:ascii="SimSun" w:eastAsia="SimSun" w:hAnsi="SimSun" w:cs="SimSun" w:hint="eastAsia"/>
        </w:rPr>
        <w:t>）远程管理有线机顶盒（</w:t>
      </w:r>
      <w:r w:rsidRPr="00A70B9C">
        <w:t>J.299</w:t>
      </w:r>
      <w:r w:rsidRPr="00A70B9C">
        <w:rPr>
          <w:rFonts w:ascii="SimSun" w:eastAsia="SimSun" w:hAnsi="SimSun" w:cs="SimSun" w:hint="eastAsia"/>
        </w:rPr>
        <w:t>）和有线电视网络的</w:t>
      </w:r>
      <w:r w:rsidRPr="00A70B9C">
        <w:t>IP</w:t>
      </w:r>
      <w:r w:rsidRPr="00A70B9C">
        <w:rPr>
          <w:rFonts w:ascii="SimSun" w:eastAsia="SimSun" w:hAnsi="SimSun" w:cs="SimSun" w:hint="eastAsia"/>
        </w:rPr>
        <w:t>视频广播（</w:t>
      </w:r>
      <w:r w:rsidRPr="00A70B9C">
        <w:t>J.1211</w:t>
      </w:r>
      <w:r w:rsidRPr="00A70B9C">
        <w:rPr>
          <w:rFonts w:ascii="SimSun" w:eastAsia="SimSun" w:hAnsi="SimSun" w:cs="SimSun" w:hint="eastAsia"/>
        </w:rPr>
        <w:t>）。</w:t>
      </w:r>
      <w:bookmarkStart w:id="19" w:name="lt_pId052"/>
    </w:p>
    <w:bookmarkEnd w:id="19"/>
    <w:p w14:paraId="0C46F8A7" w14:textId="77777777" w:rsidR="00917FAF" w:rsidRPr="00A70B9C" w:rsidRDefault="00917FAF" w:rsidP="00917FAF">
      <w:r w:rsidRPr="00A70B9C">
        <w:rPr>
          <w:rFonts w:ascii="SimSun" w:eastAsia="SimSun" w:hAnsi="SimSun" w:cs="SimSun" w:hint="eastAsia"/>
          <w:b/>
          <w:bCs/>
        </w:rPr>
        <w:t>协议和测试规范：</w:t>
      </w:r>
      <w:r w:rsidRPr="00A70B9C">
        <w:rPr>
          <w:rFonts w:ascii="SimSun" w:eastAsia="SimSun" w:hAnsi="SimSun" w:cs="SimSun" w:hint="eastAsia"/>
        </w:rPr>
        <w:t>一项新的国际电联标准涉及用于</w:t>
      </w:r>
      <w:r w:rsidRPr="00A70B9C">
        <w:t>IP</w:t>
      </w:r>
      <w:r w:rsidRPr="00A70B9C">
        <w:rPr>
          <w:rFonts w:ascii="SimSun" w:eastAsia="SimSun" w:hAnsi="SimSun" w:cs="SimSun" w:hint="eastAsia"/>
        </w:rPr>
        <w:t>多媒体子系统（</w:t>
      </w:r>
      <w:r w:rsidRPr="00A70B9C">
        <w:t>IMS</w:t>
      </w:r>
      <w:r w:rsidRPr="00A70B9C">
        <w:rPr>
          <w:rFonts w:ascii="SimSun" w:eastAsia="SimSun" w:hAnsi="SimSun" w:cs="SimSun" w:hint="eastAsia"/>
        </w:rPr>
        <w:t>）分布式基础设施电话号码变址（</w:t>
      </w:r>
      <w:r w:rsidRPr="00A70B9C">
        <w:t>ENUM</w:t>
      </w:r>
      <w:r w:rsidRPr="00A70B9C">
        <w:rPr>
          <w:rFonts w:ascii="SimSun" w:eastAsia="SimSun" w:hAnsi="SimSun" w:cs="SimSun" w:hint="eastAsia"/>
        </w:rPr>
        <w:t>）网络的信令（</w:t>
      </w:r>
      <w:r w:rsidRPr="00A70B9C">
        <w:rPr>
          <w:rFonts w:hint="eastAsia"/>
        </w:rPr>
        <w:t>Q.3643</w:t>
      </w:r>
      <w:r w:rsidRPr="00A70B9C">
        <w:rPr>
          <w:rFonts w:ascii="SimSun" w:eastAsia="SimSun" w:hAnsi="SimSun" w:cs="SimSun" w:hint="eastAsia"/>
        </w:rPr>
        <w:t>），一份新的增补涉及用于</w:t>
      </w:r>
      <w:r w:rsidRPr="00A70B9C">
        <w:rPr>
          <w:rFonts w:hint="eastAsia"/>
        </w:rPr>
        <w:t>IMS</w:t>
      </w:r>
      <w:r w:rsidRPr="00A70B9C">
        <w:rPr>
          <w:rFonts w:ascii="SimSun" w:eastAsia="SimSun" w:hAnsi="SimSun" w:cs="SimSun" w:hint="eastAsia"/>
        </w:rPr>
        <w:t>应急通信的信令（</w:t>
      </w:r>
      <w:r w:rsidRPr="00A70B9C">
        <w:rPr>
          <w:rFonts w:hint="eastAsia"/>
        </w:rPr>
        <w:t>Q.Suppl.72</w:t>
      </w:r>
      <w:r w:rsidRPr="00A70B9C">
        <w:rPr>
          <w:rFonts w:ascii="SimSun" w:eastAsia="SimSun" w:hAnsi="SimSun" w:cs="SimSun" w:hint="eastAsia"/>
        </w:rPr>
        <w:t>）。新的国际电联标准还涉及可信网络实体间的互连（</w:t>
      </w:r>
      <w:r w:rsidRPr="00A70B9C">
        <w:rPr>
          <w:rFonts w:hint="eastAsia"/>
        </w:rPr>
        <w:t>Q.3057</w:t>
      </w:r>
      <w:r w:rsidRPr="00A70B9C">
        <w:rPr>
          <w:rFonts w:ascii="SimSun" w:eastAsia="SimSun" w:hAnsi="SimSun" w:cs="SimSun" w:hint="eastAsia"/>
        </w:rPr>
        <w:t>），</w:t>
      </w:r>
      <w:r w:rsidRPr="00A70B9C">
        <w:rPr>
          <w:rFonts w:hint="eastAsia"/>
        </w:rPr>
        <w:t>5G</w:t>
      </w:r>
      <w:r w:rsidRPr="00A70B9C">
        <w:rPr>
          <w:rFonts w:ascii="SimSun" w:eastAsia="SimSun" w:hAnsi="SimSun" w:cs="SimSun" w:hint="eastAsia"/>
        </w:rPr>
        <w:t>高能效设备间的通信（</w:t>
      </w:r>
      <w:r w:rsidRPr="00A70B9C">
        <w:rPr>
          <w:rFonts w:hint="eastAsia"/>
        </w:rPr>
        <w:t>Q.5022</w:t>
      </w:r>
      <w:r w:rsidRPr="00A70B9C">
        <w:rPr>
          <w:rFonts w:ascii="SimSun" w:eastAsia="SimSun" w:hAnsi="SimSun" w:cs="SimSun" w:hint="eastAsia"/>
        </w:rPr>
        <w:t>），</w:t>
      </w:r>
      <w:r w:rsidRPr="00A70B9C">
        <w:t>SDN</w:t>
      </w:r>
      <w:r w:rsidRPr="00A70B9C">
        <w:rPr>
          <w:rFonts w:ascii="SimSun" w:eastAsia="SimSun" w:hAnsi="SimSun" w:cs="SimSun" w:hint="eastAsia"/>
        </w:rPr>
        <w:t>上时间限制型物联网应用的协议（</w:t>
      </w:r>
      <w:r w:rsidRPr="00A70B9C">
        <w:rPr>
          <w:rFonts w:hint="eastAsia"/>
        </w:rPr>
        <w:t>Q.3745</w:t>
      </w:r>
      <w:r w:rsidRPr="00A70B9C">
        <w:rPr>
          <w:rFonts w:ascii="SimSun" w:eastAsia="SimSun" w:hAnsi="SimSun" w:cs="SimSun" w:hint="eastAsia"/>
        </w:rPr>
        <w:t>），受管</w:t>
      </w:r>
      <w:r w:rsidRPr="00A70B9C">
        <w:rPr>
          <w:rFonts w:hint="eastAsia"/>
        </w:rPr>
        <w:t>P2P</w:t>
      </w:r>
      <w:r w:rsidRPr="00A70B9C">
        <w:rPr>
          <w:rFonts w:ascii="SimSun" w:eastAsia="SimSun" w:hAnsi="SimSun" w:cs="SimSun" w:hint="eastAsia"/>
        </w:rPr>
        <w:t>通信</w:t>
      </w:r>
      <w:r w:rsidRPr="00A70B9C">
        <w:rPr>
          <w:rFonts w:hint="eastAsia"/>
        </w:rPr>
        <w:t xml:space="preserve"> </w:t>
      </w:r>
      <w:r w:rsidRPr="00A70B9C">
        <w:rPr>
          <w:rFonts w:ascii="SimSun" w:eastAsia="SimSun" w:hAnsi="SimSun" w:cs="SimSun" w:hint="eastAsia"/>
        </w:rPr>
        <w:t>（</w:t>
      </w:r>
      <w:r w:rsidRPr="00A70B9C">
        <w:rPr>
          <w:rFonts w:hint="eastAsia"/>
        </w:rPr>
        <w:t>Q.609.5</w:t>
      </w:r>
      <w:r w:rsidRPr="00A70B9C">
        <w:rPr>
          <w:rFonts w:ascii="SimSun" w:eastAsia="SimSun" w:hAnsi="SimSun" w:cs="SimSun" w:hint="eastAsia"/>
        </w:rPr>
        <w:t>），以及基于</w:t>
      </w:r>
      <w:r w:rsidRPr="00A70B9C">
        <w:t>SDN</w:t>
      </w:r>
      <w:r w:rsidRPr="00A70B9C">
        <w:rPr>
          <w:rFonts w:ascii="SimSun" w:eastAsia="SimSun" w:hAnsi="SimSun" w:cs="SimSun" w:hint="eastAsia"/>
        </w:rPr>
        <w:t>、采用</w:t>
      </w:r>
      <w:r w:rsidRPr="00A70B9C">
        <w:t xml:space="preserve">OpenFlow </w:t>
      </w:r>
      <w:r w:rsidRPr="00A70B9C">
        <w:rPr>
          <w:rFonts w:ascii="SimSun" w:eastAsia="SimSun" w:hAnsi="SimSun" w:cs="SimSun" w:hint="eastAsia"/>
        </w:rPr>
        <w:t>协议的设备的兼容性测试（</w:t>
      </w:r>
      <w:r w:rsidRPr="00A70B9C">
        <w:rPr>
          <w:rFonts w:hint="eastAsia"/>
        </w:rPr>
        <w:t>Q.3963</w:t>
      </w:r>
      <w:r w:rsidRPr="00A70B9C">
        <w:rPr>
          <w:rFonts w:ascii="SimSun" w:eastAsia="SimSun" w:hAnsi="SimSun" w:cs="SimSun" w:hint="eastAsia"/>
        </w:rPr>
        <w:t>）。</w:t>
      </w:r>
    </w:p>
    <w:p w14:paraId="19BDC961" w14:textId="77777777" w:rsidR="00917FAF" w:rsidRPr="00A70B9C" w:rsidRDefault="00917FAF" w:rsidP="00917FAF">
      <w:pPr>
        <w:rPr>
          <w:rFonts w:ascii="STKaiti" w:eastAsia="STKaiti" w:hAnsi="STKaiti"/>
          <w:b/>
          <w:sz w:val="28"/>
          <w:szCs w:val="28"/>
          <w:lang w:val="en-GB"/>
        </w:rPr>
      </w:pPr>
      <w:r w:rsidRPr="00A70B9C">
        <w:rPr>
          <w:rFonts w:ascii="STKaiti" w:eastAsia="STKaiti" w:hAnsi="STKaiti" w:hint="eastAsia"/>
          <w:b/>
          <w:sz w:val="28"/>
          <w:szCs w:val="28"/>
          <w:lang w:val="en-GB"/>
        </w:rPr>
        <w:lastRenderedPageBreak/>
        <w:t>支持性协作</w:t>
      </w:r>
    </w:p>
    <w:p w14:paraId="20E3563F" w14:textId="77777777" w:rsidR="00917FAF" w:rsidRPr="00A70B9C" w:rsidRDefault="00917FAF" w:rsidP="00917FAF">
      <w:pPr>
        <w:ind w:firstLineChars="200" w:firstLine="480"/>
        <w:rPr>
          <w:color w:val="201F1E"/>
          <w:szCs w:val="24"/>
          <w:bdr w:val="none" w:sz="0" w:space="0" w:color="auto" w:frame="1"/>
        </w:rPr>
      </w:pPr>
      <w:r w:rsidRPr="00A70B9C">
        <w:rPr>
          <w:rFonts w:ascii="SimSun" w:eastAsia="SimSun" w:hAnsi="SimSun" w:cs="SimSun" w:hint="eastAsia"/>
          <w:color w:val="201F1E"/>
          <w:szCs w:val="24"/>
          <w:bdr w:val="none" w:sz="0" w:space="0" w:color="auto" w:frame="1"/>
        </w:rPr>
        <w:t>诸如</w:t>
      </w:r>
      <w:hyperlink r:id="rId14" w:history="1">
        <w:r w:rsidRPr="00A70B9C">
          <w:rPr>
            <w:rStyle w:val="Hyperlink"/>
            <w:rFonts w:ascii="SimSun" w:eastAsia="SimSun" w:hAnsi="SimSun" w:cs="SimSun" w:hint="eastAsia"/>
          </w:rPr>
          <w:t>国际电联焦点组</w:t>
        </w:r>
      </w:hyperlink>
      <w:r w:rsidRPr="00A70B9C">
        <w:rPr>
          <w:rFonts w:ascii="SimSun" w:eastAsia="SimSun" w:hAnsi="SimSun" w:cs="SimSun" w:hint="eastAsia"/>
          <w:color w:val="201F1E"/>
          <w:szCs w:val="24"/>
          <w:bdr w:val="none" w:sz="0" w:space="0" w:color="auto" w:frame="1"/>
        </w:rPr>
        <w:t>等开放平台和诸如</w:t>
      </w:r>
      <w:hyperlink r:id="rId15" w:history="1">
        <w:r w:rsidRPr="00A70B9C">
          <w:rPr>
            <w:rStyle w:val="Hyperlink"/>
            <w:rFonts w:ascii="SimSun" w:eastAsia="SimSun" w:hAnsi="SimSun" w:cs="SimSun" w:hint="eastAsia"/>
          </w:rPr>
          <w:t>人工智能惠及人类全球峰会</w:t>
        </w:r>
      </w:hyperlink>
      <w:r w:rsidRPr="00A70B9C">
        <w:rPr>
          <w:rStyle w:val="Hyperlink"/>
          <w:rFonts w:ascii="SimSun" w:eastAsia="SimSun" w:hAnsi="SimSun" w:cs="SimSun" w:hint="eastAsia"/>
        </w:rPr>
        <w:t>、</w:t>
      </w:r>
      <w:hyperlink r:id="rId16" w:history="1">
        <w:r w:rsidRPr="00A70B9C">
          <w:rPr>
            <w:rStyle w:val="Hyperlink"/>
            <w:rFonts w:ascii="SimSun" w:eastAsia="SimSun" w:hAnsi="SimSun" w:cs="SimSun" w:hint="eastAsia"/>
          </w:rPr>
          <w:t>国际电联</w:t>
        </w:r>
        <w:r w:rsidRPr="00A70B9C">
          <w:rPr>
            <w:rStyle w:val="Hyperlink"/>
          </w:rPr>
          <w:t>5G</w:t>
        </w:r>
        <w:r w:rsidRPr="00A70B9C">
          <w:rPr>
            <w:rStyle w:val="Hyperlink"/>
            <w:rFonts w:ascii="SimSun" w:eastAsia="SimSun" w:hAnsi="SimSun" w:cs="SimSun" w:hint="eastAsia"/>
          </w:rPr>
          <w:t>人工智能和机器学习全球挑战</w:t>
        </w:r>
      </w:hyperlink>
      <w:r w:rsidRPr="00A70B9C">
        <w:rPr>
          <w:rStyle w:val="Hyperlink"/>
          <w:rFonts w:ascii="SimSun" w:eastAsia="SimSun" w:hAnsi="SimSun" w:cs="SimSun" w:hint="eastAsia"/>
        </w:rPr>
        <w:t>赛</w:t>
      </w:r>
      <w:r w:rsidRPr="00A70B9C">
        <w:rPr>
          <w:rFonts w:ascii="SimSun" w:eastAsia="SimSun" w:hAnsi="SimSun" w:cs="SimSun" w:hint="eastAsia"/>
          <w:color w:val="201F1E"/>
          <w:szCs w:val="24"/>
          <w:bdr w:val="none" w:sz="0" w:space="0" w:color="auto" w:frame="1"/>
        </w:rPr>
        <w:t>、</w:t>
      </w:r>
      <w:hyperlink r:id="rId17" w:history="1">
        <w:r w:rsidRPr="00A70B9C">
          <w:rPr>
            <w:rStyle w:val="Hyperlink"/>
            <w:rFonts w:ascii="SimSun" w:eastAsia="SimSun" w:hAnsi="SimSun" w:cs="SimSun" w:hint="eastAsia"/>
          </w:rPr>
          <w:t>共建可持续发展城市（</w:t>
        </w:r>
        <w:r w:rsidRPr="00A70B9C">
          <w:rPr>
            <w:rStyle w:val="Hyperlink"/>
            <w:rFonts w:hint="eastAsia"/>
          </w:rPr>
          <w:t>U</w:t>
        </w:r>
        <w:r w:rsidRPr="00A70B9C">
          <w:rPr>
            <w:rStyle w:val="Hyperlink"/>
          </w:rPr>
          <w:t>4</w:t>
        </w:r>
        <w:r w:rsidRPr="00A70B9C">
          <w:rPr>
            <w:rStyle w:val="Hyperlink"/>
            <w:rFonts w:hint="eastAsia"/>
          </w:rPr>
          <w:t>SSC</w:t>
        </w:r>
        <w:r w:rsidRPr="00A70B9C">
          <w:rPr>
            <w:rStyle w:val="Hyperlink"/>
            <w:rFonts w:ascii="SimSun" w:eastAsia="SimSun" w:hAnsi="SimSun" w:cs="SimSun" w:hint="eastAsia"/>
          </w:rPr>
          <w:t>）举措</w:t>
        </w:r>
      </w:hyperlink>
      <w:r w:rsidRPr="00A70B9C">
        <w:rPr>
          <w:rFonts w:ascii="SimSun" w:eastAsia="SimSun" w:hAnsi="SimSun" w:cs="SimSun" w:hint="eastAsia"/>
          <w:color w:val="201F1E"/>
          <w:szCs w:val="24"/>
          <w:bdr w:val="none" w:sz="0" w:space="0" w:color="auto" w:frame="1"/>
        </w:rPr>
        <w:t>，</w:t>
      </w:r>
      <w:hyperlink r:id="rId18" w:history="1">
        <w:r w:rsidRPr="00A70B9C">
          <w:rPr>
            <w:rStyle w:val="Hyperlink"/>
            <w:rFonts w:ascii="SimSun" w:eastAsia="SimSun" w:hAnsi="SimSun" w:cs="SimSun" w:hint="eastAsia"/>
          </w:rPr>
          <w:t>普惠金融全球举措（</w:t>
        </w:r>
        <w:r w:rsidRPr="00A70B9C">
          <w:rPr>
            <w:rStyle w:val="Hyperlink"/>
          </w:rPr>
          <w:t>FIGI</w:t>
        </w:r>
        <w:r w:rsidRPr="00A70B9C">
          <w:rPr>
            <w:rStyle w:val="Hyperlink"/>
            <w:rFonts w:ascii="SimSun" w:eastAsia="SimSun" w:hAnsi="SimSun" w:cs="SimSun" w:hint="eastAsia"/>
          </w:rPr>
          <w:t>）</w:t>
        </w:r>
        <w:r w:rsidRPr="00A70B9C">
          <w:rPr>
            <w:rStyle w:val="Hyperlink"/>
          </w:rPr>
          <w:t xml:space="preserve"> </w:t>
        </w:r>
      </w:hyperlink>
      <w:r w:rsidRPr="00A70B9C">
        <w:rPr>
          <w:rFonts w:ascii="SimSun" w:eastAsia="SimSun" w:hAnsi="SimSun" w:cs="SimSun" w:hint="eastAsia"/>
          <w:color w:val="201F1E"/>
          <w:szCs w:val="24"/>
          <w:bdr w:val="none" w:sz="0" w:space="0" w:color="auto" w:frame="1"/>
        </w:rPr>
        <w:t>和新的</w:t>
      </w:r>
      <w:hyperlink r:id="rId19" w:history="1">
        <w:r w:rsidRPr="00A70B9C">
          <w:rPr>
            <w:rStyle w:val="Hyperlink"/>
            <w:rFonts w:ascii="SimSun" w:eastAsia="SimSun" w:hAnsi="SimSun" w:cs="SimSun" w:hint="eastAsia"/>
          </w:rPr>
          <w:t>数字货币全球举措</w:t>
        </w:r>
      </w:hyperlink>
      <w:r w:rsidRPr="00A70B9C">
        <w:rPr>
          <w:rFonts w:ascii="SimSun" w:eastAsia="SimSun" w:hAnsi="SimSun" w:cs="SimSun" w:hint="eastAsia"/>
          <w:color w:val="201F1E"/>
          <w:szCs w:val="24"/>
          <w:bdr w:val="none" w:sz="0" w:space="0" w:color="auto" w:frame="1"/>
        </w:rPr>
        <w:t>等协作举措支持在</w:t>
      </w:r>
      <w:r w:rsidRPr="00A70B9C">
        <w:rPr>
          <w:rFonts w:hint="eastAsia"/>
          <w:color w:val="201F1E"/>
          <w:szCs w:val="24"/>
          <w:bdr w:val="none" w:sz="0" w:space="0" w:color="auto" w:frame="1"/>
        </w:rPr>
        <w:t>ICT</w:t>
      </w:r>
      <w:r w:rsidRPr="00A70B9C">
        <w:rPr>
          <w:rFonts w:ascii="SimSun" w:eastAsia="SimSun" w:hAnsi="SimSun" w:cs="SimSun" w:hint="eastAsia"/>
          <w:color w:val="201F1E"/>
          <w:szCs w:val="24"/>
          <w:bdr w:val="none" w:sz="0" w:space="0" w:color="auto" w:frame="1"/>
        </w:rPr>
        <w:t>创新的新兴领域中发展新的伙伴关系。这些平台有助于澄清各利益攸关方的预期贡献，包括国际电联标准化的预期贡献。</w:t>
      </w:r>
    </w:p>
    <w:p w14:paraId="4C7077B7" w14:textId="77777777" w:rsidR="00917FAF" w:rsidRPr="00A70B9C" w:rsidRDefault="00917FAF" w:rsidP="00917FAF">
      <w:pPr>
        <w:ind w:firstLineChars="200" w:firstLine="480"/>
        <w:rPr>
          <w:color w:val="201F1E"/>
          <w:szCs w:val="24"/>
          <w:bdr w:val="none" w:sz="0" w:space="0" w:color="auto" w:frame="1"/>
        </w:rPr>
      </w:pPr>
      <w:r w:rsidRPr="00A70B9C">
        <w:rPr>
          <w:rFonts w:ascii="SimSun" w:eastAsia="SimSun" w:hAnsi="SimSun" w:cs="SimSun" w:hint="eastAsia"/>
          <w:color w:val="201F1E"/>
          <w:szCs w:val="24"/>
          <w:bdr w:val="none" w:sz="0" w:space="0" w:color="auto" w:frame="1"/>
        </w:rPr>
        <w:t>新的</w:t>
      </w:r>
      <w:hyperlink r:id="rId20" w:history="1">
        <w:r w:rsidRPr="00A70B9C">
          <w:rPr>
            <w:rStyle w:val="Hyperlink"/>
            <w:rFonts w:ascii="SimSun" w:eastAsia="SimSun" w:hAnsi="SimSun" w:cs="SimSun" w:hint="eastAsia"/>
          </w:rPr>
          <w:t>数字货币全球举措</w:t>
        </w:r>
      </w:hyperlink>
      <w:r w:rsidRPr="00A70B9C">
        <w:rPr>
          <w:rFonts w:ascii="SimSun" w:eastAsia="SimSun" w:hAnsi="SimSun" w:cs="SimSun" w:hint="eastAsia"/>
          <w:color w:val="201F1E"/>
          <w:szCs w:val="24"/>
          <w:bdr w:val="none" w:sz="0" w:space="0" w:color="auto" w:frame="1"/>
        </w:rPr>
        <w:t>是国际电联与斯坦福大学于</w:t>
      </w:r>
      <w:r w:rsidRPr="00A70B9C">
        <w:rPr>
          <w:rFonts w:hint="eastAsia"/>
          <w:color w:val="201F1E"/>
          <w:szCs w:val="24"/>
          <w:bdr w:val="none" w:sz="0" w:space="0" w:color="auto" w:frame="1"/>
        </w:rPr>
        <w:t>2020</w:t>
      </w:r>
      <w:r w:rsidRPr="00A70B9C">
        <w:rPr>
          <w:rFonts w:ascii="SimSun" w:eastAsia="SimSun" w:hAnsi="SimSun" w:cs="SimSun" w:hint="eastAsia"/>
          <w:color w:val="201F1E"/>
          <w:szCs w:val="24"/>
          <w:bdr w:val="none" w:sz="0" w:space="0" w:color="auto" w:frame="1"/>
        </w:rPr>
        <w:t>年</w:t>
      </w:r>
      <w:r w:rsidRPr="00A70B9C">
        <w:rPr>
          <w:rFonts w:hint="eastAsia"/>
          <w:color w:val="201F1E"/>
          <w:szCs w:val="24"/>
          <w:bdr w:val="none" w:sz="0" w:space="0" w:color="auto" w:frame="1"/>
        </w:rPr>
        <w:t>7</w:t>
      </w:r>
      <w:r w:rsidRPr="00A70B9C">
        <w:rPr>
          <w:rFonts w:ascii="SimSun" w:eastAsia="SimSun" w:hAnsi="SimSun" w:cs="SimSun" w:hint="eastAsia"/>
          <w:color w:val="201F1E"/>
          <w:szCs w:val="24"/>
          <w:bdr w:val="none" w:sz="0" w:space="0" w:color="auto" w:frame="1"/>
        </w:rPr>
        <w:t>月发起的合作举措。该举措将继续</w:t>
      </w:r>
      <w:r w:rsidRPr="00A70B9C">
        <w:rPr>
          <w:rFonts w:hint="eastAsia"/>
          <w:color w:val="201F1E"/>
          <w:szCs w:val="24"/>
          <w:bdr w:val="none" w:sz="0" w:space="0" w:color="auto" w:frame="1"/>
        </w:rPr>
        <w:t xml:space="preserve">ITU-T </w:t>
      </w:r>
      <w:r w:rsidRPr="00A70B9C">
        <w:rPr>
          <w:rFonts w:ascii="SimSun" w:eastAsia="SimSun" w:hAnsi="SimSun" w:cs="SimSun" w:hint="eastAsia"/>
          <w:color w:val="201F1E"/>
          <w:szCs w:val="24"/>
          <w:bdr w:val="none" w:sz="0" w:space="0" w:color="auto" w:frame="1"/>
        </w:rPr>
        <w:t>数字货币（包括数字法定货币）焦点组（</w:t>
      </w:r>
      <w:r w:rsidRPr="00A70B9C">
        <w:rPr>
          <w:rFonts w:hint="eastAsia"/>
          <w:color w:val="201F1E"/>
          <w:szCs w:val="24"/>
          <w:bdr w:val="none" w:sz="0" w:space="0" w:color="auto" w:frame="1"/>
        </w:rPr>
        <w:t>FG DFC</w:t>
      </w:r>
      <w:r w:rsidRPr="00A70B9C">
        <w:rPr>
          <w:rFonts w:ascii="SimSun" w:eastAsia="SimSun" w:hAnsi="SimSun" w:cs="SimSun" w:hint="eastAsia"/>
          <w:color w:val="201F1E"/>
          <w:szCs w:val="24"/>
          <w:bdr w:val="none" w:sz="0" w:space="0" w:color="auto" w:frame="1"/>
        </w:rPr>
        <w:t>）发起的对话和研究、涉及法定货币试点实施、用例、应用和制定技术标准规范等工作，以促进采用、普及和最终的金融普惠。</w:t>
      </w:r>
    </w:p>
    <w:p w14:paraId="11AD969A" w14:textId="77777777" w:rsidR="00917FAF" w:rsidRPr="00A70B9C" w:rsidRDefault="00917FAF" w:rsidP="00917FAF">
      <w:pPr>
        <w:ind w:firstLineChars="200" w:firstLine="480"/>
        <w:rPr>
          <w:color w:val="000000" w:themeColor="text1"/>
          <w:szCs w:val="24"/>
          <w:lang w:val="en-GB"/>
        </w:rPr>
      </w:pPr>
      <w:r w:rsidRPr="00A70B9C">
        <w:rPr>
          <w:rFonts w:ascii="SimSun" w:eastAsia="SimSun" w:hAnsi="SimSun" w:cs="SimSun" w:hint="eastAsia"/>
          <w:color w:val="000000" w:themeColor="text1"/>
          <w:szCs w:val="24"/>
          <w:lang w:val="en-GB"/>
        </w:rPr>
        <w:t>来自</w:t>
      </w:r>
      <w:r w:rsidRPr="00A70B9C">
        <w:rPr>
          <w:rFonts w:hint="eastAsia"/>
          <w:color w:val="000000" w:themeColor="text1"/>
          <w:szCs w:val="24"/>
          <w:lang w:val="en-GB"/>
        </w:rPr>
        <w:t>50</w:t>
      </w:r>
      <w:r w:rsidRPr="00A70B9C">
        <w:rPr>
          <w:rFonts w:ascii="SimSun" w:eastAsia="SimSun" w:hAnsi="SimSun" w:cs="SimSun" w:hint="eastAsia"/>
          <w:color w:val="000000" w:themeColor="text1"/>
          <w:szCs w:val="24"/>
          <w:lang w:val="en-GB"/>
        </w:rPr>
        <w:t>多个国家的</w:t>
      </w:r>
      <w:r w:rsidRPr="00A70B9C">
        <w:rPr>
          <w:rFonts w:hint="eastAsia"/>
          <w:color w:val="000000" w:themeColor="text1"/>
          <w:szCs w:val="24"/>
          <w:lang w:val="en-GB"/>
        </w:rPr>
        <w:t>500</w:t>
      </w:r>
      <w:r w:rsidRPr="00A70B9C">
        <w:rPr>
          <w:rFonts w:ascii="SimSun" w:eastAsia="SimSun" w:hAnsi="SimSun" w:cs="SimSun" w:hint="eastAsia"/>
          <w:color w:val="000000" w:themeColor="text1"/>
          <w:szCs w:val="24"/>
          <w:lang w:val="en-GB"/>
        </w:rPr>
        <w:t>多名选手参加了</w:t>
      </w:r>
      <w:hyperlink r:id="rId21" w:history="1">
        <w:r w:rsidRPr="00A70B9C">
          <w:rPr>
            <w:rStyle w:val="Hyperlink"/>
            <w:rFonts w:ascii="SimSun" w:eastAsia="SimSun" w:hAnsi="SimSun" w:cs="SimSun" w:hint="eastAsia"/>
          </w:rPr>
          <w:t>国际电联</w:t>
        </w:r>
        <w:r w:rsidRPr="00A70B9C">
          <w:rPr>
            <w:rStyle w:val="Hyperlink"/>
          </w:rPr>
          <w:t>5G</w:t>
        </w:r>
        <w:r w:rsidRPr="00A70B9C">
          <w:rPr>
            <w:rStyle w:val="Hyperlink"/>
            <w:rFonts w:ascii="SimSun" w:eastAsia="SimSun" w:hAnsi="SimSun" w:cs="SimSun" w:hint="eastAsia"/>
          </w:rPr>
          <w:t>人工智能和机器学习全球挑战</w:t>
        </w:r>
      </w:hyperlink>
      <w:r w:rsidRPr="00A70B9C">
        <w:rPr>
          <w:rStyle w:val="Hyperlink"/>
          <w:rFonts w:ascii="SimSun" w:eastAsia="SimSun" w:hAnsi="SimSun" w:cs="SimSun" w:hint="eastAsia"/>
        </w:rPr>
        <w:t>赛</w:t>
      </w:r>
      <w:r w:rsidRPr="00A70B9C">
        <w:rPr>
          <w:rFonts w:ascii="SimSun" w:eastAsia="SimSun" w:hAnsi="SimSun" w:cs="SimSun" w:hint="eastAsia"/>
          <w:color w:val="000000" w:themeColor="text1"/>
          <w:szCs w:val="24"/>
          <w:lang w:val="en-GB"/>
        </w:rPr>
        <w:t>，展示他们的才华，并利用真实数据和现实世界问题对他们的概念进行测试。参赛者采用国际电联标准，可以启用、创建、训练和部署机器学习模型，并在与通信网络相关的领域中获得有关人工智能和机器学习的实践经验。该挑战赛最终将在</w:t>
      </w:r>
      <w:r w:rsidRPr="00A70B9C">
        <w:rPr>
          <w:rFonts w:hint="eastAsia"/>
          <w:color w:val="000000" w:themeColor="text1"/>
          <w:szCs w:val="24"/>
          <w:lang w:val="en-GB"/>
        </w:rPr>
        <w:t>2020</w:t>
      </w:r>
      <w:r w:rsidRPr="00A70B9C">
        <w:rPr>
          <w:rFonts w:ascii="SimSun" w:eastAsia="SimSun" w:hAnsi="SimSun" w:cs="SimSun" w:hint="eastAsia"/>
          <w:color w:val="000000" w:themeColor="text1"/>
          <w:szCs w:val="24"/>
          <w:lang w:val="en-GB"/>
        </w:rPr>
        <w:t>年</w:t>
      </w:r>
      <w:r w:rsidRPr="00A70B9C">
        <w:rPr>
          <w:rFonts w:hint="eastAsia"/>
          <w:color w:val="000000" w:themeColor="text1"/>
          <w:szCs w:val="24"/>
          <w:lang w:val="en-GB"/>
        </w:rPr>
        <w:t>12</w:t>
      </w:r>
      <w:r w:rsidRPr="00A70B9C">
        <w:rPr>
          <w:rFonts w:ascii="SimSun" w:eastAsia="SimSun" w:hAnsi="SimSun" w:cs="SimSun" w:hint="eastAsia"/>
          <w:color w:val="000000" w:themeColor="text1"/>
          <w:szCs w:val="24"/>
          <w:lang w:val="en-GB"/>
        </w:rPr>
        <w:t>月</w:t>
      </w:r>
      <w:r w:rsidRPr="00A70B9C">
        <w:rPr>
          <w:rFonts w:hint="eastAsia"/>
          <w:color w:val="000000" w:themeColor="text1"/>
          <w:szCs w:val="24"/>
          <w:lang w:val="en-GB"/>
        </w:rPr>
        <w:t>15</w:t>
      </w:r>
      <w:r w:rsidRPr="00A70B9C">
        <w:rPr>
          <w:rFonts w:ascii="SimSun" w:eastAsia="SimSun" w:hAnsi="SimSun" w:cs="SimSun" w:hint="eastAsia"/>
          <w:color w:val="000000" w:themeColor="text1"/>
          <w:szCs w:val="24"/>
          <w:lang w:val="en-GB"/>
        </w:rPr>
        <w:t>日至</w:t>
      </w:r>
      <w:r w:rsidRPr="00A70B9C">
        <w:rPr>
          <w:rFonts w:hint="eastAsia"/>
          <w:color w:val="000000" w:themeColor="text1"/>
          <w:szCs w:val="24"/>
          <w:lang w:val="en-GB"/>
        </w:rPr>
        <w:t>17</w:t>
      </w:r>
      <w:r w:rsidRPr="00A70B9C">
        <w:rPr>
          <w:rFonts w:ascii="SimSun" w:eastAsia="SimSun" w:hAnsi="SimSun" w:cs="SimSun" w:hint="eastAsia"/>
          <w:color w:val="000000" w:themeColor="text1"/>
          <w:szCs w:val="24"/>
          <w:lang w:val="en-GB"/>
        </w:rPr>
        <w:t>日举行的大挑战决赛中达到高潮。该挑战赛由阿拉伯联合酋长国电信管理局（金牌赞助商）以及思科和中兴（铜牌赞助商）友情赞助。</w:t>
      </w:r>
    </w:p>
    <w:p w14:paraId="4B7753BB" w14:textId="77777777" w:rsidR="00917FAF" w:rsidRPr="00A70B9C" w:rsidRDefault="00917FAF" w:rsidP="00917FAF">
      <w:pPr>
        <w:ind w:firstLineChars="200" w:firstLine="480"/>
        <w:rPr>
          <w:color w:val="000000" w:themeColor="text1"/>
          <w:szCs w:val="24"/>
          <w:lang w:val="en-GB"/>
        </w:rPr>
      </w:pPr>
      <w:r w:rsidRPr="00A70B9C">
        <w:rPr>
          <w:rFonts w:ascii="SimSun" w:eastAsia="SimSun" w:hAnsi="SimSun" w:cs="SimSun" w:hint="eastAsia"/>
          <w:color w:val="000000" w:themeColor="text1"/>
          <w:szCs w:val="24"/>
          <w:lang w:val="en-GB"/>
        </w:rPr>
        <w:t>全球</w:t>
      </w:r>
      <w:r w:rsidRPr="00A70B9C">
        <w:rPr>
          <w:rFonts w:hint="eastAsia"/>
          <w:color w:val="000000" w:themeColor="text1"/>
          <w:szCs w:val="24"/>
          <w:lang w:val="en-GB"/>
        </w:rPr>
        <w:t>100</w:t>
      </w:r>
      <w:r w:rsidRPr="00A70B9C">
        <w:rPr>
          <w:rFonts w:ascii="SimSun" w:eastAsia="SimSun" w:hAnsi="SimSun" w:cs="SimSun" w:hint="eastAsia"/>
          <w:color w:val="000000" w:themeColor="text1"/>
          <w:szCs w:val="24"/>
          <w:lang w:val="en-GB"/>
        </w:rPr>
        <w:t>多个城市正在根据国际电联的标准、</w:t>
      </w:r>
      <w:r w:rsidRPr="00A70B9C">
        <w:rPr>
          <w:rFonts w:hint="eastAsia"/>
          <w:color w:val="000000" w:themeColor="text1"/>
          <w:szCs w:val="24"/>
          <w:lang w:val="en-GB"/>
        </w:rPr>
        <w:t>U4SSC</w:t>
      </w:r>
      <w:r w:rsidRPr="00A70B9C">
        <w:rPr>
          <w:rFonts w:ascii="SimSun" w:eastAsia="SimSun" w:hAnsi="SimSun" w:cs="SimSun" w:hint="eastAsia"/>
          <w:color w:val="000000" w:themeColor="text1"/>
          <w:szCs w:val="24"/>
          <w:lang w:val="en-GB"/>
        </w:rPr>
        <w:t>举措推广的指标，用</w:t>
      </w:r>
      <w:r w:rsidRPr="00A70B9C">
        <w:rPr>
          <w:color w:val="000000" w:themeColor="text1"/>
          <w:szCs w:val="24"/>
          <w:lang w:val="en-GB"/>
        </w:rPr>
        <w:t>“</w:t>
      </w:r>
      <w:hyperlink r:id="rId22" w:history="1">
        <w:r w:rsidRPr="00A70B9C">
          <w:rPr>
            <w:rStyle w:val="Hyperlink"/>
            <w:rFonts w:ascii="SimSun" w:eastAsia="SimSun" w:hAnsi="SimSun" w:cs="SimSun" w:hint="eastAsia"/>
          </w:rPr>
          <w:t>可持续智慧城市关键绩效指标</w:t>
        </w:r>
      </w:hyperlink>
      <w:r w:rsidRPr="00A70B9C">
        <w:rPr>
          <w:rFonts w:hint="eastAsia"/>
          <w:color w:val="000000" w:themeColor="text1"/>
          <w:szCs w:val="24"/>
          <w:lang w:val="en-GB"/>
        </w:rPr>
        <w:t>”</w:t>
      </w:r>
      <w:r w:rsidRPr="00A70B9C">
        <w:rPr>
          <w:rFonts w:ascii="SimSun" w:eastAsia="SimSun" w:hAnsi="SimSun" w:cs="SimSun" w:hint="eastAsia"/>
          <w:color w:val="000000" w:themeColor="text1"/>
          <w:szCs w:val="24"/>
          <w:lang w:val="en-GB"/>
        </w:rPr>
        <w:t>评估其在实现可持续发展目标方面的进展。</w:t>
      </w:r>
      <w:hyperlink r:id="rId23" w:history="1">
        <w:r w:rsidRPr="00A70B9C">
          <w:rPr>
            <w:rStyle w:val="Hyperlink"/>
            <w:rFonts w:hint="eastAsia"/>
          </w:rPr>
          <w:t>U4SSC</w:t>
        </w:r>
        <w:r w:rsidRPr="00A70B9C">
          <w:rPr>
            <w:rStyle w:val="Hyperlink"/>
            <w:rFonts w:ascii="SimSun" w:eastAsia="SimSun" w:hAnsi="SimSun" w:cs="SimSun" w:hint="eastAsia"/>
          </w:rPr>
          <w:t>实施计划</w:t>
        </w:r>
      </w:hyperlink>
      <w:r w:rsidRPr="00A70B9C">
        <w:rPr>
          <w:rFonts w:ascii="SimSun" w:eastAsia="SimSun" w:hAnsi="SimSun" w:cs="SimSun" w:hint="eastAsia"/>
          <w:color w:val="000000" w:themeColor="text1"/>
          <w:szCs w:val="24"/>
          <w:lang w:val="en-GB"/>
        </w:rPr>
        <w:t>通过与国家管理部门和城市领导者合作、构建推进智慧城市发展的全面方法、研究</w:t>
      </w:r>
      <w:r w:rsidRPr="00A70B9C">
        <w:rPr>
          <w:rFonts w:hint="eastAsia"/>
          <w:color w:val="000000" w:themeColor="text1"/>
          <w:szCs w:val="24"/>
          <w:lang w:val="en-GB"/>
        </w:rPr>
        <w:t>KPI</w:t>
      </w:r>
      <w:r w:rsidRPr="00A70B9C">
        <w:rPr>
          <w:rFonts w:ascii="SimSun" w:eastAsia="SimSun" w:hAnsi="SimSun" w:cs="SimSun" w:hint="eastAsia"/>
          <w:color w:val="000000" w:themeColor="text1"/>
          <w:szCs w:val="24"/>
          <w:lang w:val="en-GB"/>
        </w:rPr>
        <w:t>评估和更广泛的国家规划和行动背景，支持城市实现可持续发展目标。新的</w:t>
      </w:r>
      <w:r w:rsidRPr="00A70B9C">
        <w:rPr>
          <w:rFonts w:hint="eastAsia"/>
          <w:color w:val="000000" w:themeColor="text1"/>
          <w:szCs w:val="24"/>
          <w:lang w:val="en-GB"/>
        </w:rPr>
        <w:t>U4SSC</w:t>
      </w:r>
      <w:r w:rsidRPr="00A70B9C">
        <w:rPr>
          <w:rFonts w:ascii="SimSun" w:eastAsia="SimSun" w:hAnsi="SimSun" w:cs="SimSun" w:hint="eastAsia"/>
          <w:color w:val="000000" w:themeColor="text1"/>
          <w:szCs w:val="24"/>
          <w:lang w:val="en-GB"/>
        </w:rPr>
        <w:t>报告包括</w:t>
      </w:r>
      <w:r w:rsidRPr="00A70B9C">
        <w:rPr>
          <w:rFonts w:hint="eastAsia"/>
          <w:color w:val="000000" w:themeColor="text1"/>
          <w:szCs w:val="24"/>
          <w:lang w:val="en-GB"/>
        </w:rPr>
        <w:t xml:space="preserve"> </w:t>
      </w:r>
      <w:hyperlink r:id="rId24" w:history="1">
        <w:r w:rsidRPr="00A70B9C">
          <w:rPr>
            <w:rStyle w:val="Hyperlink"/>
            <w:rFonts w:hint="eastAsia"/>
          </w:rPr>
          <w:t>“</w:t>
        </w:r>
        <w:r w:rsidRPr="00A70B9C">
          <w:rPr>
            <w:rStyle w:val="Hyperlink"/>
            <w:rFonts w:ascii="SimSun" w:eastAsia="SimSun" w:hAnsi="SimSun" w:cs="SimSun" w:hint="eastAsia"/>
          </w:rPr>
          <w:t>循环城市指南</w:t>
        </w:r>
        <w:r w:rsidRPr="00A70B9C">
          <w:rPr>
            <w:rStyle w:val="Hyperlink"/>
          </w:rPr>
          <w:t>”</w:t>
        </w:r>
      </w:hyperlink>
      <w:r w:rsidRPr="00A70B9C">
        <w:rPr>
          <w:rFonts w:ascii="SimSun" w:eastAsia="SimSun" w:hAnsi="SimSun" w:cs="SimSun" w:hint="eastAsia"/>
          <w:color w:val="000000" w:themeColor="text1"/>
          <w:szCs w:val="24"/>
          <w:lang w:val="en-GB"/>
        </w:rPr>
        <w:t>和</w:t>
      </w:r>
      <w:r w:rsidRPr="00A70B9C">
        <w:rPr>
          <w:rFonts w:hint="eastAsia"/>
          <w:color w:val="000000" w:themeColor="text1"/>
          <w:szCs w:val="24"/>
          <w:lang w:val="en-GB"/>
        </w:rPr>
        <w:t>8</w:t>
      </w:r>
      <w:r w:rsidRPr="00A70B9C">
        <w:rPr>
          <w:rFonts w:ascii="SimSun" w:eastAsia="SimSun" w:hAnsi="SimSun" w:cs="SimSun" w:hint="eastAsia"/>
          <w:color w:val="000000" w:themeColor="text1"/>
          <w:szCs w:val="24"/>
          <w:lang w:val="en-GB"/>
        </w:rPr>
        <w:t>个相关的</w:t>
      </w:r>
      <w:hyperlink r:id="rId25" w:history="1">
        <w:r w:rsidRPr="00A70B9C">
          <w:rPr>
            <w:rStyle w:val="Hyperlink"/>
            <w:rFonts w:ascii="SimSun" w:eastAsia="SimSun" w:hAnsi="SimSun" w:cs="SimSun" w:hint="eastAsia"/>
          </w:rPr>
          <w:t>案例研究</w:t>
        </w:r>
      </w:hyperlink>
      <w:r w:rsidRPr="00A70B9C">
        <w:rPr>
          <w:rFonts w:ascii="SimSun" w:eastAsia="SimSun" w:hAnsi="SimSun" w:cs="SimSun" w:hint="eastAsia"/>
          <w:color w:val="000000" w:themeColor="text1"/>
          <w:szCs w:val="24"/>
          <w:lang w:val="en-GB"/>
        </w:rPr>
        <w:t>和一系列</w:t>
      </w:r>
      <w:hyperlink r:id="rId26" w:history="1">
        <w:r w:rsidRPr="00A70B9C">
          <w:rPr>
            <w:rStyle w:val="Hyperlink"/>
            <w:rFonts w:ascii="SimSun" w:eastAsia="SimSun" w:hAnsi="SimSun" w:cs="SimSun" w:hint="eastAsia"/>
          </w:rPr>
          <w:t>城市概貌、概况和验证报告</w:t>
        </w:r>
      </w:hyperlink>
      <w:r w:rsidRPr="00A70B9C">
        <w:rPr>
          <w:rFonts w:ascii="SimSun" w:eastAsia="SimSun" w:hAnsi="SimSun" w:cs="SimSun" w:hint="eastAsia"/>
          <w:color w:val="000000" w:themeColor="text1"/>
          <w:szCs w:val="24"/>
          <w:lang w:val="en-GB"/>
        </w:rPr>
        <w:t>，分享了最新的</w:t>
      </w:r>
      <w:r w:rsidRPr="00A70B9C">
        <w:rPr>
          <w:rFonts w:hint="eastAsia"/>
          <w:color w:val="000000" w:themeColor="text1"/>
          <w:szCs w:val="24"/>
          <w:lang w:val="en-GB"/>
        </w:rPr>
        <w:t>KPI</w:t>
      </w:r>
      <w:r w:rsidRPr="00A70B9C">
        <w:rPr>
          <w:rFonts w:ascii="SimSun" w:eastAsia="SimSun" w:hAnsi="SimSun" w:cs="SimSun" w:hint="eastAsia"/>
          <w:color w:val="000000" w:themeColor="text1"/>
          <w:szCs w:val="24"/>
          <w:lang w:val="en-GB"/>
        </w:rPr>
        <w:t>评估结果。</w:t>
      </w:r>
    </w:p>
    <w:p w14:paraId="3BD41935" w14:textId="77777777" w:rsidR="00917FAF" w:rsidRPr="00A70B9C" w:rsidRDefault="00917FAF" w:rsidP="00917FAF">
      <w:pPr>
        <w:ind w:firstLineChars="200" w:firstLine="480"/>
        <w:rPr>
          <w:lang w:val="en-GB"/>
        </w:rPr>
      </w:pPr>
      <w:r w:rsidRPr="00A70B9C">
        <w:rPr>
          <w:rFonts w:ascii="SimSun" w:eastAsia="SimSun" w:hAnsi="SimSun" w:cs="SimSun" w:hint="eastAsia"/>
          <w:color w:val="000000" w:themeColor="text1"/>
          <w:szCs w:val="24"/>
          <w:lang w:val="en-GB"/>
        </w:rPr>
        <w:t>国际电联观察到对国际电联能够促进疫情防范的所有工作领域的再次重视，其中人工智能、智慧城市、数字金融服务和服务质量（</w:t>
      </w:r>
      <w:r w:rsidRPr="00A70B9C">
        <w:rPr>
          <w:rFonts w:hint="eastAsia"/>
          <w:color w:val="000000" w:themeColor="text1"/>
          <w:szCs w:val="24"/>
          <w:lang w:val="en-GB"/>
        </w:rPr>
        <w:t>QoS</w:t>
      </w:r>
      <w:r w:rsidRPr="00A70B9C">
        <w:rPr>
          <w:rFonts w:ascii="SimSun" w:eastAsia="SimSun" w:hAnsi="SimSun" w:cs="SimSun" w:hint="eastAsia"/>
          <w:color w:val="000000" w:themeColor="text1"/>
          <w:szCs w:val="24"/>
          <w:lang w:val="en-GB"/>
        </w:rPr>
        <w:t>）构成了</w:t>
      </w:r>
      <w:r w:rsidRPr="00A70B9C">
        <w:rPr>
          <w:rFonts w:hint="eastAsia"/>
          <w:color w:val="000000" w:themeColor="text1"/>
          <w:szCs w:val="24"/>
          <w:lang w:val="en-GB"/>
        </w:rPr>
        <w:t>ITU-T</w:t>
      </w:r>
      <w:r w:rsidRPr="00A70B9C">
        <w:rPr>
          <w:rFonts w:ascii="SimSun" w:eastAsia="SimSun" w:hAnsi="SimSun" w:cs="SimSun" w:hint="eastAsia"/>
          <w:color w:val="000000" w:themeColor="text1"/>
          <w:szCs w:val="24"/>
          <w:lang w:val="en-GB"/>
        </w:rPr>
        <w:t>的主要例证。疫情大流行是</w:t>
      </w:r>
      <w:hyperlink r:id="rId27" w:history="1">
        <w:r w:rsidRPr="00A70B9C">
          <w:rPr>
            <w:rStyle w:val="Hyperlink"/>
            <w:rFonts w:ascii="SimSun" w:eastAsia="SimSun" w:hAnsi="SimSun" w:cs="SimSun" w:hint="eastAsia"/>
          </w:rPr>
          <w:t>人工智能惠及人类全球峰会</w:t>
        </w:r>
      </w:hyperlink>
      <w:r w:rsidRPr="00A70B9C">
        <w:rPr>
          <w:rFonts w:ascii="SimSun" w:eastAsia="SimSun" w:hAnsi="SimSun" w:cs="SimSun" w:hint="eastAsia"/>
          <w:color w:val="000000" w:themeColor="text1"/>
          <w:szCs w:val="24"/>
          <w:lang w:val="en-GB"/>
        </w:rPr>
        <w:t>中</w:t>
      </w:r>
      <w:r w:rsidRPr="00A70B9C">
        <w:rPr>
          <w:color w:val="000000" w:themeColor="text1"/>
          <w:szCs w:val="24"/>
          <w:lang w:val="en-GB"/>
        </w:rPr>
        <w:t>“</w:t>
      </w:r>
      <w:r w:rsidRPr="00A70B9C">
        <w:rPr>
          <w:rFonts w:ascii="SimSun" w:eastAsia="SimSun" w:hAnsi="SimSun" w:cs="SimSun" w:hint="eastAsia"/>
          <w:color w:val="000000" w:themeColor="text1"/>
          <w:szCs w:val="24"/>
          <w:lang w:val="en-GB"/>
        </w:rPr>
        <w:t>突破专题</w:t>
      </w:r>
      <w:r w:rsidRPr="00A70B9C">
        <w:rPr>
          <w:rFonts w:hint="eastAsia"/>
          <w:color w:val="000000" w:themeColor="text1"/>
          <w:szCs w:val="24"/>
          <w:lang w:val="en-GB"/>
        </w:rPr>
        <w:t>”</w:t>
      </w:r>
      <w:r w:rsidRPr="00A70B9C">
        <w:rPr>
          <w:rFonts w:ascii="SimSun" w:eastAsia="SimSun" w:hAnsi="SimSun" w:cs="SimSun" w:hint="eastAsia"/>
          <w:color w:val="000000" w:themeColor="text1"/>
          <w:szCs w:val="24"/>
          <w:lang w:val="en-GB"/>
        </w:rPr>
        <w:t>的重点。</w:t>
      </w:r>
      <w:hyperlink r:id="rId28" w:history="1">
        <w:r w:rsidRPr="00A70B9C">
          <w:rPr>
            <w:rStyle w:val="Hyperlink"/>
            <w:rFonts w:hint="eastAsia"/>
          </w:rPr>
          <w:t>U4SSC</w:t>
        </w:r>
        <w:r w:rsidRPr="00A70B9C">
          <w:rPr>
            <w:rStyle w:val="Hyperlink"/>
            <w:rFonts w:ascii="SimSun" w:eastAsia="SimSun" w:hAnsi="SimSun" w:cs="SimSun" w:hint="eastAsia"/>
          </w:rPr>
          <w:t>实施计划</w:t>
        </w:r>
      </w:hyperlink>
      <w:r w:rsidRPr="00A70B9C">
        <w:rPr>
          <w:rFonts w:ascii="SimSun" w:eastAsia="SimSun" w:hAnsi="SimSun" w:cs="SimSun" w:hint="eastAsia"/>
          <w:color w:val="000000" w:themeColor="text1"/>
          <w:szCs w:val="24"/>
          <w:lang w:val="en-GB"/>
        </w:rPr>
        <w:t>包括一个工作流，致力于获取城市应对新冠肺炎疫情所建立的最佳做法。在</w:t>
      </w:r>
      <w:hyperlink r:id="rId29" w:tgtFrame="_blank" w:history="1">
        <w:r w:rsidRPr="00A70B9C">
          <w:rPr>
            <w:rStyle w:val="Hyperlink"/>
            <w:rFonts w:ascii="SimSun" w:eastAsia="SimSun" w:hAnsi="SimSun" w:cs="SimSun" w:hint="eastAsia"/>
          </w:rPr>
          <w:t>国际电联</w:t>
        </w:r>
        <w:r w:rsidRPr="00A70B9C">
          <w:rPr>
            <w:rStyle w:val="Hyperlink"/>
          </w:rPr>
          <w:t>/</w:t>
        </w:r>
        <w:r w:rsidRPr="00A70B9C">
          <w:rPr>
            <w:rStyle w:val="Hyperlink"/>
            <w:rFonts w:ascii="SimSun" w:eastAsia="SimSun" w:hAnsi="SimSun" w:cs="SimSun" w:hint="eastAsia"/>
          </w:rPr>
          <w:t>世卫组织</w:t>
        </w:r>
        <w:r w:rsidRPr="00A70B9C">
          <w:rPr>
            <w:rStyle w:val="Hyperlink"/>
          </w:rPr>
          <w:t>“</w:t>
        </w:r>
        <w:r w:rsidRPr="00A70B9C">
          <w:rPr>
            <w:rStyle w:val="Hyperlink"/>
            <w:rFonts w:ascii="SimSun" w:eastAsia="SimSun" w:hAnsi="SimSun" w:cs="SimSun" w:hint="eastAsia"/>
          </w:rPr>
          <w:t>人工智能促进医疗卫生发展</w:t>
        </w:r>
        <w:r w:rsidRPr="00A70B9C">
          <w:rPr>
            <w:rStyle w:val="Hyperlink"/>
          </w:rPr>
          <w:t>”</w:t>
        </w:r>
        <w:r w:rsidRPr="00A70B9C">
          <w:rPr>
            <w:rStyle w:val="Hyperlink"/>
            <w:rFonts w:ascii="SimSun" w:eastAsia="SimSun" w:hAnsi="SimSun" w:cs="SimSun" w:hint="eastAsia"/>
          </w:rPr>
          <w:t>焦点组</w:t>
        </w:r>
      </w:hyperlink>
      <w:r w:rsidRPr="00A70B9C">
        <w:rPr>
          <w:rFonts w:ascii="SimSun" w:eastAsia="SimSun" w:hAnsi="SimSun" w:cs="SimSun" w:hint="eastAsia"/>
          <w:color w:val="000000" w:themeColor="text1"/>
          <w:szCs w:val="24"/>
          <w:lang w:val="en-GB"/>
        </w:rPr>
        <w:t>内成立的新特设组旨在在公共卫生突发事件的每个生命周期阶段建立使用人工智能的最佳做法。在</w:t>
      </w:r>
      <w:hyperlink r:id="rId30" w:history="1">
        <w:r w:rsidRPr="00A70B9C">
          <w:rPr>
            <w:rStyle w:val="Hyperlink"/>
            <w:rFonts w:ascii="SimSun" w:eastAsia="SimSun" w:hAnsi="SimSun" w:cs="SimSun" w:hint="eastAsia"/>
          </w:rPr>
          <w:t>一系列网络研讨会</w:t>
        </w:r>
      </w:hyperlink>
      <w:r w:rsidRPr="00A70B9C">
        <w:rPr>
          <w:rFonts w:ascii="SimSun" w:eastAsia="SimSun" w:hAnsi="SimSun" w:cs="SimSun" w:hint="eastAsia"/>
          <w:color w:val="000000" w:themeColor="text1"/>
          <w:szCs w:val="24"/>
          <w:lang w:val="en-GB"/>
        </w:rPr>
        <w:t>中，</w:t>
      </w:r>
      <w:r w:rsidRPr="00A70B9C">
        <w:rPr>
          <w:rFonts w:hint="eastAsia"/>
          <w:color w:val="000000" w:themeColor="text1"/>
          <w:szCs w:val="24"/>
          <w:lang w:val="en-GB"/>
        </w:rPr>
        <w:t>FIGI</w:t>
      </w:r>
      <w:r w:rsidRPr="00A70B9C">
        <w:rPr>
          <w:rFonts w:ascii="SimSun" w:eastAsia="SimSun" w:hAnsi="SimSun" w:cs="SimSun" w:hint="eastAsia"/>
          <w:color w:val="000000" w:themeColor="text1"/>
          <w:szCs w:val="24"/>
          <w:lang w:val="en-GB"/>
        </w:rPr>
        <w:t>团体分享了对电信服务、数字支付和金融技术在准备和应对大流行病方面所发挥的作用的见解。考虑到高质量的</w:t>
      </w:r>
      <w:r w:rsidRPr="00A70B9C">
        <w:rPr>
          <w:rFonts w:hint="eastAsia"/>
          <w:color w:val="000000" w:themeColor="text1"/>
          <w:szCs w:val="24"/>
          <w:lang w:val="en-GB"/>
        </w:rPr>
        <w:t>ICT</w:t>
      </w:r>
      <w:r w:rsidRPr="00A70B9C">
        <w:rPr>
          <w:rFonts w:ascii="SimSun" w:eastAsia="SimSun" w:hAnsi="SimSun" w:cs="SimSun" w:hint="eastAsia"/>
          <w:color w:val="000000" w:themeColor="text1"/>
          <w:szCs w:val="24"/>
          <w:lang w:val="en-GB"/>
        </w:rPr>
        <w:t>服务对大流行病准备和应对的重要性，服务质量发展组已将其年度面对面会议改成一系列</w:t>
      </w:r>
      <w:hyperlink r:id="rId31" w:history="1">
        <w:r w:rsidRPr="00A70B9C">
          <w:rPr>
            <w:rStyle w:val="Hyperlink"/>
            <w:rFonts w:ascii="SimSun" w:eastAsia="SimSun" w:hAnsi="SimSun" w:cs="SimSun" w:hint="eastAsia"/>
          </w:rPr>
          <w:t>以服务质量为主题的网络研讨会</w:t>
        </w:r>
      </w:hyperlink>
      <w:r w:rsidRPr="00A70B9C">
        <w:rPr>
          <w:rFonts w:ascii="SimSun" w:eastAsia="SimSun" w:hAnsi="SimSun" w:cs="SimSun" w:hint="eastAsia"/>
          <w:color w:val="000000" w:themeColor="text1"/>
          <w:szCs w:val="24"/>
          <w:lang w:val="en-GB"/>
        </w:rPr>
        <w:t>。</w:t>
      </w:r>
    </w:p>
    <w:p w14:paraId="52D7CBC9" w14:textId="77777777" w:rsidR="00917FAF" w:rsidRPr="00A70B9C" w:rsidRDefault="00917FAF" w:rsidP="00917FAF">
      <w:pPr>
        <w:ind w:firstLineChars="200" w:firstLine="480"/>
        <w:rPr>
          <w:lang w:val="en-GB"/>
        </w:rPr>
      </w:pPr>
      <w:r w:rsidRPr="00A70B9C">
        <w:rPr>
          <w:rFonts w:ascii="SimSun" w:eastAsia="SimSun" w:hAnsi="SimSun" w:cs="SimSun" w:hint="eastAsia"/>
          <w:color w:val="000000" w:themeColor="text1"/>
          <w:szCs w:val="24"/>
          <w:lang w:val="en-GB"/>
        </w:rPr>
        <w:t>第十二届国际电联大视野大会将于</w:t>
      </w:r>
      <w:r w:rsidRPr="00A70B9C">
        <w:rPr>
          <w:rFonts w:hint="eastAsia"/>
          <w:color w:val="000000" w:themeColor="text1"/>
          <w:szCs w:val="24"/>
          <w:lang w:val="en-GB"/>
        </w:rPr>
        <w:t>2020</w:t>
      </w:r>
      <w:r w:rsidRPr="00A70B9C">
        <w:rPr>
          <w:rFonts w:ascii="SimSun" w:eastAsia="SimSun" w:hAnsi="SimSun" w:cs="SimSun" w:hint="eastAsia"/>
          <w:color w:val="000000" w:themeColor="text1"/>
          <w:szCs w:val="24"/>
          <w:lang w:val="en-GB"/>
        </w:rPr>
        <w:t>年</w:t>
      </w:r>
      <w:r w:rsidRPr="00A70B9C">
        <w:rPr>
          <w:rFonts w:hint="eastAsia"/>
          <w:color w:val="000000" w:themeColor="text1"/>
          <w:szCs w:val="24"/>
          <w:lang w:val="en-GB"/>
        </w:rPr>
        <w:t>12</w:t>
      </w:r>
      <w:r w:rsidRPr="00A70B9C">
        <w:rPr>
          <w:rFonts w:ascii="SimSun" w:eastAsia="SimSun" w:hAnsi="SimSun" w:cs="SimSun" w:hint="eastAsia"/>
          <w:color w:val="000000" w:themeColor="text1"/>
          <w:szCs w:val="24"/>
          <w:lang w:val="en-GB"/>
        </w:rPr>
        <w:t>月</w:t>
      </w:r>
      <w:r w:rsidRPr="00A70B9C">
        <w:rPr>
          <w:rFonts w:hint="eastAsia"/>
          <w:color w:val="000000" w:themeColor="text1"/>
          <w:szCs w:val="24"/>
          <w:lang w:val="en-GB"/>
        </w:rPr>
        <w:t>7</w:t>
      </w:r>
      <w:r w:rsidRPr="00A70B9C">
        <w:rPr>
          <w:rFonts w:ascii="SimSun" w:eastAsia="SimSun" w:hAnsi="SimSun" w:cs="SimSun" w:hint="eastAsia"/>
          <w:color w:val="000000" w:themeColor="text1"/>
          <w:szCs w:val="24"/>
          <w:lang w:val="en-GB"/>
        </w:rPr>
        <w:t>日至</w:t>
      </w:r>
      <w:r w:rsidRPr="00A70B9C">
        <w:rPr>
          <w:rFonts w:hint="eastAsia"/>
          <w:color w:val="000000" w:themeColor="text1"/>
          <w:szCs w:val="24"/>
          <w:lang w:val="en-GB"/>
        </w:rPr>
        <w:t>11</w:t>
      </w:r>
      <w:r w:rsidRPr="00A70B9C">
        <w:rPr>
          <w:rFonts w:ascii="SimSun" w:eastAsia="SimSun" w:hAnsi="SimSun" w:cs="SimSun" w:hint="eastAsia"/>
          <w:color w:val="000000" w:themeColor="text1"/>
          <w:szCs w:val="24"/>
          <w:lang w:val="en-GB"/>
        </w:rPr>
        <w:t>日举行，主题是</w:t>
      </w:r>
      <w:hyperlink r:id="rId32" w:history="1">
        <w:r w:rsidRPr="00A70B9C">
          <w:rPr>
            <w:rStyle w:val="Hyperlink"/>
            <w:rFonts w:ascii="SimSun" w:eastAsia="SimSun" w:hAnsi="SimSun" w:cs="SimSun" w:hint="eastAsia"/>
          </w:rPr>
          <w:t>行业驱动的数字化转型</w:t>
        </w:r>
      </w:hyperlink>
      <w:r w:rsidRPr="00A70B9C">
        <w:rPr>
          <w:rFonts w:ascii="SimSun" w:eastAsia="SimSun" w:hAnsi="SimSun" w:cs="SimSun" w:hint="eastAsia"/>
          <w:color w:val="000000" w:themeColor="text1"/>
          <w:szCs w:val="24"/>
          <w:lang w:val="en-GB"/>
        </w:rPr>
        <w:t>。</w:t>
      </w:r>
      <w:r w:rsidRPr="00A70B9C">
        <w:rPr>
          <w:rStyle w:val="Hyperlink"/>
          <w:rFonts w:hint="eastAsia"/>
        </w:rPr>
        <w:t>2</w:t>
      </w:r>
      <w:r w:rsidRPr="00A70B9C">
        <w:rPr>
          <w:rStyle w:val="Hyperlink"/>
        </w:rPr>
        <w:t>020</w:t>
      </w:r>
      <w:r w:rsidRPr="00A70B9C">
        <w:rPr>
          <w:rStyle w:val="Hyperlink"/>
          <w:rFonts w:ascii="SimSun" w:eastAsia="SimSun" w:hAnsi="SimSun" w:cs="SimSun" w:hint="eastAsia"/>
        </w:rPr>
        <w:t>年国际电联大视野大会，按照虚拟大会设计，将在全球范围内突出介绍专家观点和展示。</w:t>
      </w:r>
      <w:r w:rsidRPr="00A70B9C">
        <w:rPr>
          <w:rFonts w:ascii="SimSun" w:eastAsia="SimSun" w:hAnsi="SimSun" w:cs="SimSun" w:hint="eastAsia"/>
          <w:color w:val="000000" w:themeColor="text1"/>
          <w:szCs w:val="24"/>
          <w:lang w:val="en-GB"/>
        </w:rPr>
        <w:t>从早期的研究原型到生产就绪的系统，</w:t>
      </w:r>
      <w:hyperlink r:id="rId33" w:history="1">
        <w:r w:rsidRPr="00A70B9C">
          <w:rPr>
            <w:rStyle w:val="Hyperlink"/>
            <w:rFonts w:ascii="SimSun" w:eastAsia="SimSun" w:hAnsi="SimSun" w:cs="SimSun" w:hint="eastAsia"/>
            <w:shd w:val="clear" w:color="auto" w:fill="FFFFFF"/>
          </w:rPr>
          <w:t>演示征集</w:t>
        </w:r>
      </w:hyperlink>
      <w:r w:rsidRPr="00A70B9C">
        <w:rPr>
          <w:rFonts w:ascii="SimSun" w:eastAsia="SimSun" w:hAnsi="SimSun" w:cs="SimSun" w:hint="eastAsia"/>
          <w:color w:val="000000" w:themeColor="text1"/>
          <w:szCs w:val="24"/>
          <w:lang w:val="en-GB"/>
        </w:rPr>
        <w:t>欢迎应用研究中的新理念以及已经在行业实际应用的概念。</w:t>
      </w:r>
    </w:p>
    <w:p w14:paraId="3BB1CD70" w14:textId="77777777" w:rsidR="00917FAF" w:rsidRPr="00A70B9C" w:rsidRDefault="00917FAF" w:rsidP="00917FAF">
      <w:pPr>
        <w:ind w:firstLineChars="200" w:firstLine="480"/>
        <w:rPr>
          <w:color w:val="000000" w:themeColor="text1"/>
          <w:szCs w:val="24"/>
          <w:lang w:val="en-GB"/>
        </w:rPr>
      </w:pPr>
      <w:r w:rsidRPr="00A70B9C">
        <w:rPr>
          <w:rFonts w:ascii="SimSun" w:eastAsia="SimSun" w:hAnsi="SimSun" w:cs="SimSun" w:hint="eastAsia"/>
          <w:color w:val="000000" w:themeColor="text1"/>
          <w:szCs w:val="24"/>
          <w:lang w:val="en-GB"/>
        </w:rPr>
        <w:t>国际电联期刊《</w:t>
      </w:r>
      <w:r w:rsidRPr="00A70B9C">
        <w:rPr>
          <w:rFonts w:ascii="STKaiti" w:eastAsia="STKaiti" w:hAnsi="STKaiti"/>
          <w:color w:val="000000" w:themeColor="text1"/>
          <w:szCs w:val="24"/>
          <w:lang w:val="en-GB"/>
        </w:rPr>
        <w:t>信息通信技术探索</w:t>
      </w:r>
      <w:r w:rsidRPr="00A70B9C">
        <w:rPr>
          <w:rFonts w:ascii="SimSun" w:eastAsia="SimSun" w:hAnsi="SimSun" w:cs="SimSun" w:hint="eastAsia"/>
          <w:color w:val="000000" w:themeColor="text1"/>
          <w:szCs w:val="24"/>
          <w:lang w:val="en-GB"/>
        </w:rPr>
        <w:t>》出版了有关</w:t>
      </w:r>
      <w:hyperlink r:id="rId34" w:history="1">
        <w:r w:rsidRPr="00A70B9C">
          <w:rPr>
            <w:rStyle w:val="Hyperlink"/>
            <w:rFonts w:hint="eastAsia"/>
            <w:color w:val="0563C1"/>
            <w:szCs w:val="24"/>
          </w:rPr>
          <w:t>“</w:t>
        </w:r>
        <w:r w:rsidRPr="00A70B9C">
          <w:rPr>
            <w:rStyle w:val="Hyperlink"/>
            <w:rFonts w:ascii="SimSun" w:eastAsia="SimSun" w:hAnsi="SimSun" w:cs="SimSun" w:hint="eastAsia"/>
            <w:color w:val="0563C1"/>
            <w:szCs w:val="24"/>
          </w:rPr>
          <w:t>视频和沉浸式媒体的未来</w:t>
        </w:r>
        <w:r w:rsidRPr="00A70B9C">
          <w:rPr>
            <w:rStyle w:val="Hyperlink"/>
            <w:color w:val="0563C1"/>
            <w:szCs w:val="24"/>
          </w:rPr>
          <w:t>”</w:t>
        </w:r>
      </w:hyperlink>
      <w:r w:rsidRPr="00A70B9C">
        <w:rPr>
          <w:rFonts w:ascii="SimSun" w:eastAsia="SimSun" w:hAnsi="SimSun" w:cs="SimSun" w:hint="eastAsia"/>
          <w:color w:val="000000" w:themeColor="text1"/>
          <w:szCs w:val="24"/>
          <w:lang w:val="en-GB"/>
        </w:rPr>
        <w:t>的最后一期特刊。这期完整的特刊于</w:t>
      </w:r>
      <w:r w:rsidRPr="00A70B9C">
        <w:rPr>
          <w:rFonts w:hint="eastAsia"/>
          <w:color w:val="000000" w:themeColor="text1"/>
          <w:szCs w:val="24"/>
          <w:lang w:val="en-GB"/>
        </w:rPr>
        <w:t>2020</w:t>
      </w:r>
      <w:r w:rsidRPr="00A70B9C">
        <w:rPr>
          <w:rFonts w:ascii="SimSun" w:eastAsia="SimSun" w:hAnsi="SimSun" w:cs="SimSun" w:hint="eastAsia"/>
          <w:color w:val="000000" w:themeColor="text1"/>
          <w:szCs w:val="24"/>
          <w:lang w:val="en-GB"/>
        </w:rPr>
        <w:t>年</w:t>
      </w:r>
      <w:r w:rsidRPr="00A70B9C">
        <w:rPr>
          <w:rFonts w:hint="eastAsia"/>
          <w:color w:val="000000" w:themeColor="text1"/>
          <w:szCs w:val="24"/>
          <w:lang w:val="en-GB"/>
        </w:rPr>
        <w:t>7</w:t>
      </w:r>
      <w:r w:rsidRPr="00A70B9C">
        <w:rPr>
          <w:rFonts w:ascii="SimSun" w:eastAsia="SimSun" w:hAnsi="SimSun" w:cs="SimSun" w:hint="eastAsia"/>
          <w:color w:val="000000" w:themeColor="text1"/>
          <w:szCs w:val="24"/>
          <w:lang w:val="en-GB"/>
        </w:rPr>
        <w:t>月出版，其中包括</w:t>
      </w:r>
      <w:r w:rsidRPr="00A70B9C">
        <w:rPr>
          <w:rFonts w:hint="eastAsia"/>
          <w:color w:val="000000" w:themeColor="text1"/>
          <w:szCs w:val="24"/>
          <w:lang w:val="en-GB"/>
        </w:rPr>
        <w:t>12</w:t>
      </w:r>
      <w:r w:rsidRPr="00A70B9C">
        <w:rPr>
          <w:rFonts w:ascii="SimSun" w:eastAsia="SimSun" w:hAnsi="SimSun" w:cs="SimSun" w:hint="eastAsia"/>
          <w:color w:val="000000" w:themeColor="text1"/>
          <w:szCs w:val="24"/>
          <w:lang w:val="en-GB"/>
        </w:rPr>
        <w:t>篇探索多媒体技术发展的原创研究论文，以及有关获得艾美奖的第一版</w:t>
      </w:r>
      <w:r w:rsidRPr="00A70B9C">
        <w:rPr>
          <w:rFonts w:hint="eastAsia"/>
          <w:color w:val="000000" w:themeColor="text1"/>
          <w:szCs w:val="24"/>
          <w:lang w:val="en-GB"/>
        </w:rPr>
        <w:t>JPEG</w:t>
      </w:r>
      <w:r w:rsidRPr="00A70B9C">
        <w:rPr>
          <w:rFonts w:ascii="SimSun" w:eastAsia="SimSun" w:hAnsi="SimSun" w:cs="SimSun" w:hint="eastAsia"/>
          <w:color w:val="000000" w:themeColor="text1"/>
          <w:szCs w:val="24"/>
          <w:lang w:val="en-GB"/>
        </w:rPr>
        <w:t>图像压缩标准制定的历史回顾文章。</w:t>
      </w:r>
    </w:p>
    <w:p w14:paraId="2F231F59" w14:textId="77777777" w:rsidR="00917FAF" w:rsidRPr="00A70B9C" w:rsidRDefault="00917FAF" w:rsidP="00917FAF">
      <w:pPr>
        <w:ind w:firstLineChars="200" w:firstLine="480"/>
        <w:rPr>
          <w:color w:val="000000" w:themeColor="text1"/>
          <w:szCs w:val="24"/>
          <w:lang w:val="en-GB"/>
        </w:rPr>
      </w:pPr>
      <w:r w:rsidRPr="00A70B9C">
        <w:rPr>
          <w:rFonts w:ascii="SimSun" w:eastAsia="SimSun" w:hAnsi="SimSun" w:cs="SimSun" w:hint="eastAsia"/>
          <w:color w:val="000000" w:themeColor="text1"/>
          <w:szCs w:val="24"/>
          <w:lang w:val="en-GB"/>
        </w:rPr>
        <w:t>之后，《国际电联期刊》更新了刊名，重新关注未来。</w:t>
      </w:r>
      <w:r w:rsidRPr="00A70B9C">
        <w:rPr>
          <w:rFonts w:hint="eastAsia"/>
          <w:color w:val="000000" w:themeColor="text1"/>
          <w:szCs w:val="24"/>
          <w:lang w:val="en-GB"/>
        </w:rPr>
        <w:t>2020</w:t>
      </w:r>
      <w:r w:rsidRPr="00A70B9C">
        <w:rPr>
          <w:rFonts w:ascii="SimSun" w:eastAsia="SimSun" w:hAnsi="SimSun" w:cs="SimSun" w:hint="eastAsia"/>
          <w:color w:val="000000" w:themeColor="text1"/>
          <w:szCs w:val="24"/>
          <w:lang w:val="en-GB"/>
        </w:rPr>
        <w:t>年</w:t>
      </w:r>
      <w:r w:rsidRPr="00A70B9C">
        <w:rPr>
          <w:rFonts w:hint="eastAsia"/>
          <w:color w:val="000000" w:themeColor="text1"/>
          <w:szCs w:val="24"/>
          <w:lang w:val="en-GB"/>
        </w:rPr>
        <w:t>8</w:t>
      </w:r>
      <w:r w:rsidRPr="00A70B9C">
        <w:rPr>
          <w:rFonts w:ascii="SimSun" w:eastAsia="SimSun" w:hAnsi="SimSun" w:cs="SimSun" w:hint="eastAsia"/>
          <w:color w:val="000000" w:themeColor="text1"/>
          <w:szCs w:val="24"/>
          <w:lang w:val="en-GB"/>
        </w:rPr>
        <w:t>月推出了</w:t>
      </w:r>
      <w:r>
        <w:rPr>
          <w:rFonts w:hint="eastAsia"/>
          <w:color w:val="000000" w:themeColor="text1"/>
          <w:szCs w:val="24"/>
          <w:lang w:val="en-GB"/>
        </w:rPr>
        <w:t xml:space="preserve"> </w:t>
      </w:r>
      <w:r w:rsidRPr="00A70B9C">
        <w:rPr>
          <w:color w:val="000000" w:themeColor="text1"/>
          <w:szCs w:val="24"/>
          <w:lang w:val="en-GB"/>
        </w:rPr>
        <w:t>–</w:t>
      </w:r>
      <w:r>
        <w:rPr>
          <w:color w:val="000000" w:themeColor="text1"/>
          <w:szCs w:val="24"/>
          <w:lang w:val="en-GB"/>
        </w:rPr>
        <w:t xml:space="preserve"> </w:t>
      </w:r>
      <w:r w:rsidRPr="00A70B9C">
        <w:rPr>
          <w:rFonts w:ascii="SimSun" w:eastAsia="SimSun" w:hAnsi="SimSun" w:cs="SimSun" w:hint="eastAsia"/>
          <w:color w:val="000000" w:themeColor="text1"/>
          <w:szCs w:val="24"/>
          <w:lang w:val="en-GB"/>
        </w:rPr>
        <w:t>向读者和作者免费提供的</w:t>
      </w:r>
      <w:r>
        <w:rPr>
          <w:rFonts w:hint="eastAsia"/>
          <w:color w:val="000000" w:themeColor="text1"/>
          <w:szCs w:val="24"/>
          <w:lang w:val="en-GB"/>
        </w:rPr>
        <w:t xml:space="preserve"> </w:t>
      </w:r>
      <w:r w:rsidRPr="00A70B9C">
        <w:rPr>
          <w:color w:val="000000" w:themeColor="text1"/>
          <w:szCs w:val="24"/>
          <w:lang w:val="en-GB"/>
        </w:rPr>
        <w:t>–</w:t>
      </w:r>
      <w:r>
        <w:rPr>
          <w:color w:val="000000" w:themeColor="text1"/>
          <w:szCs w:val="24"/>
          <w:lang w:val="en-GB"/>
        </w:rPr>
        <w:t xml:space="preserve"> </w:t>
      </w:r>
      <w:hyperlink r:id="rId35" w:history="1">
        <w:bookmarkStart w:id="20" w:name="_Hlk51318762"/>
        <w:r w:rsidRPr="00A70B9C">
          <w:rPr>
            <w:rStyle w:val="Hyperlink"/>
            <w:rFonts w:ascii="SimSun" w:eastAsia="SimSun" w:hAnsi="SimSun" w:cs="SimSun" w:hint="eastAsia"/>
            <w:color w:val="0563C1"/>
          </w:rPr>
          <w:t>《国际电联未来与演进技术期刊》</w:t>
        </w:r>
        <w:bookmarkEnd w:id="20"/>
        <w:r w:rsidRPr="00A70B9C">
          <w:rPr>
            <w:rStyle w:val="Hyperlink"/>
            <w:color w:val="0563C1"/>
            <w:szCs w:val="24"/>
          </w:rPr>
          <w:t xml:space="preserve"> </w:t>
        </w:r>
      </w:hyperlink>
      <w:r w:rsidRPr="00A70B9C">
        <w:rPr>
          <w:rFonts w:ascii="SimSun" w:eastAsia="SimSun" w:hAnsi="SimSun" w:cs="SimSun" w:hint="eastAsia"/>
          <w:color w:val="000000" w:themeColor="text1"/>
          <w:szCs w:val="24"/>
          <w:lang w:val="en-GB"/>
        </w:rPr>
        <w:t>，而且换了一位新</w:t>
      </w:r>
      <w:hyperlink r:id="rId36" w:history="1">
        <w:r w:rsidRPr="00A70B9C">
          <w:rPr>
            <w:rStyle w:val="Hyperlink"/>
            <w:rFonts w:ascii="SimSun" w:eastAsia="SimSun" w:hAnsi="SimSun" w:cs="SimSun" w:hint="eastAsia"/>
            <w:color w:val="0563C1"/>
          </w:rPr>
          <w:t>主编</w:t>
        </w:r>
      </w:hyperlink>
      <w:r w:rsidRPr="00A70B9C">
        <w:rPr>
          <w:rFonts w:ascii="SimSun" w:eastAsia="SimSun" w:hAnsi="SimSun" w:cs="SimSun" w:hint="eastAsia"/>
          <w:color w:val="000000" w:themeColor="text1"/>
          <w:szCs w:val="24"/>
          <w:lang w:val="en-GB"/>
        </w:rPr>
        <w:t>，内容将全面涵盖所有通信和网络的内容。</w:t>
      </w:r>
    </w:p>
    <w:p w14:paraId="7176751E" w14:textId="77777777" w:rsidR="00917FAF" w:rsidRPr="00A70B9C" w:rsidRDefault="00917FAF" w:rsidP="00917FAF">
      <w:pPr>
        <w:ind w:firstLineChars="200" w:firstLine="480"/>
        <w:rPr>
          <w:color w:val="000000" w:themeColor="text1"/>
          <w:szCs w:val="24"/>
          <w:lang w:val="en-GB"/>
        </w:rPr>
      </w:pPr>
      <w:r w:rsidRPr="00A70B9C">
        <w:rPr>
          <w:rFonts w:ascii="SimSun" w:eastAsia="SimSun" w:hAnsi="SimSun" w:cs="SimSun" w:hint="eastAsia"/>
          <w:color w:val="000000" w:themeColor="text1"/>
          <w:szCs w:val="24"/>
          <w:lang w:val="en-GB"/>
        </w:rPr>
        <w:t>根据</w:t>
      </w:r>
      <w:r w:rsidRPr="00A70B9C">
        <w:rPr>
          <w:rFonts w:hint="eastAsia"/>
          <w:color w:val="000000" w:themeColor="text1"/>
          <w:szCs w:val="24"/>
          <w:lang w:val="en-GB"/>
        </w:rPr>
        <w:t>2019</w:t>
      </w:r>
      <w:r w:rsidRPr="00A70B9C">
        <w:rPr>
          <w:rFonts w:ascii="SimSun" w:eastAsia="SimSun" w:hAnsi="SimSun" w:cs="SimSun" w:hint="eastAsia"/>
          <w:color w:val="000000" w:themeColor="text1"/>
          <w:szCs w:val="24"/>
          <w:lang w:val="en-GB"/>
        </w:rPr>
        <w:t>年国际电联与清华大学出版社有限公司签署的联合出版协议，</w:t>
      </w:r>
      <w:bookmarkStart w:id="21" w:name="_Hlk51319253"/>
      <w:r w:rsidRPr="00A70B9C">
        <w:rPr>
          <w:rFonts w:ascii="SimSun" w:eastAsia="SimSun" w:hAnsi="SimSun" w:cs="SimSun" w:hint="eastAsia"/>
          <w:color w:val="000000" w:themeColor="text1"/>
          <w:szCs w:val="24"/>
          <w:lang w:val="en-GB"/>
        </w:rPr>
        <w:t>国际电联与清华大学联合出版的</w:t>
      </w:r>
      <w:hyperlink r:id="rId37" w:history="1">
        <w:r w:rsidRPr="00A70B9C">
          <w:rPr>
            <w:rStyle w:val="Hyperlink"/>
            <w:rFonts w:ascii="SimSun" w:eastAsia="SimSun" w:hAnsi="SimSun" w:cs="SimSun" w:hint="eastAsia"/>
            <w:color w:val="0070C0"/>
          </w:rPr>
          <w:t>《智能与融合网络》</w:t>
        </w:r>
        <w:r w:rsidRPr="00A70B9C">
          <w:rPr>
            <w:rStyle w:val="Hyperlink"/>
            <w:color w:val="0070C0"/>
            <w:szCs w:val="24"/>
          </w:rPr>
          <w:t xml:space="preserve"> </w:t>
        </w:r>
      </w:hyperlink>
      <w:r w:rsidRPr="00A70B9C">
        <w:rPr>
          <w:rFonts w:ascii="SimSun" w:eastAsia="SimSun" w:hAnsi="SimSun" w:cs="SimSun" w:hint="eastAsia"/>
          <w:color w:val="000000" w:themeColor="text1"/>
          <w:szCs w:val="24"/>
          <w:lang w:val="en-GB"/>
        </w:rPr>
        <w:t>新期刊</w:t>
      </w:r>
      <w:bookmarkEnd w:id="21"/>
      <w:r w:rsidRPr="00A70B9C">
        <w:rPr>
          <w:rFonts w:ascii="SimSun" w:eastAsia="SimSun" w:hAnsi="SimSun" w:cs="SimSun" w:hint="eastAsia"/>
          <w:color w:val="000000" w:themeColor="text1"/>
          <w:szCs w:val="24"/>
          <w:lang w:val="en-GB"/>
        </w:rPr>
        <w:t>于</w:t>
      </w:r>
      <w:r w:rsidRPr="00A70B9C">
        <w:rPr>
          <w:rFonts w:hint="eastAsia"/>
          <w:color w:val="000000" w:themeColor="text1"/>
          <w:szCs w:val="24"/>
          <w:lang w:val="en-GB"/>
        </w:rPr>
        <w:t>2020</w:t>
      </w:r>
      <w:r w:rsidRPr="00A70B9C">
        <w:rPr>
          <w:rFonts w:ascii="SimSun" w:eastAsia="SimSun" w:hAnsi="SimSun" w:cs="SimSun" w:hint="eastAsia"/>
          <w:color w:val="000000" w:themeColor="text1"/>
          <w:szCs w:val="24"/>
          <w:lang w:val="en-GB"/>
        </w:rPr>
        <w:t>年</w:t>
      </w:r>
      <w:r w:rsidRPr="00A70B9C">
        <w:rPr>
          <w:rFonts w:hint="eastAsia"/>
          <w:color w:val="000000" w:themeColor="text1"/>
          <w:szCs w:val="24"/>
          <w:lang w:val="en-GB"/>
        </w:rPr>
        <w:t>6</w:t>
      </w:r>
      <w:r w:rsidRPr="00A70B9C">
        <w:rPr>
          <w:rFonts w:ascii="SimSun" w:eastAsia="SimSun" w:hAnsi="SimSun" w:cs="SimSun" w:hint="eastAsia"/>
          <w:color w:val="000000" w:themeColor="text1"/>
          <w:szCs w:val="24"/>
          <w:lang w:val="en-GB"/>
        </w:rPr>
        <w:t>月出版第一期。</w:t>
      </w:r>
    </w:p>
    <w:p w14:paraId="6877ED4B" w14:textId="77777777" w:rsidR="00917FAF" w:rsidRPr="00A70B9C" w:rsidRDefault="00917FAF" w:rsidP="00917FAF">
      <w:pPr>
        <w:pStyle w:val="Headingib"/>
        <w:rPr>
          <w:rFonts w:ascii="STKaiti" w:eastAsia="STKaiti" w:hAnsi="STKaiti"/>
          <w:i w:val="0"/>
          <w:sz w:val="28"/>
          <w:szCs w:val="28"/>
        </w:rPr>
      </w:pPr>
      <w:r w:rsidRPr="00A70B9C">
        <w:rPr>
          <w:rFonts w:ascii="STKaiti" w:eastAsia="STKaiti" w:hAnsi="STKaiti" w:hint="eastAsia"/>
          <w:i w:val="0"/>
          <w:sz w:val="28"/>
          <w:szCs w:val="28"/>
          <w:lang w:eastAsia="zh-CN"/>
        </w:rPr>
        <w:lastRenderedPageBreak/>
        <w:t>国际电联标准化平台</w:t>
      </w:r>
    </w:p>
    <w:p w14:paraId="5BD73794" w14:textId="77777777" w:rsidR="00917FAF" w:rsidRPr="00A70B9C" w:rsidRDefault="00917FAF" w:rsidP="00917FAF">
      <w:pPr>
        <w:ind w:firstLineChars="200" w:firstLine="480"/>
        <w:rPr>
          <w:lang w:val="en-GB"/>
        </w:rPr>
      </w:pPr>
      <w:r w:rsidRPr="00A70B9C">
        <w:rPr>
          <w:rFonts w:ascii="SimSun" w:eastAsia="SimSun" w:hAnsi="SimSun" w:cs="SimSun" w:hint="eastAsia"/>
          <w:lang w:val="en-GB"/>
        </w:rPr>
        <w:t>尽管受到新冠肺炎疫情的影响，</w:t>
      </w:r>
      <w:r w:rsidRPr="00A70B9C">
        <w:rPr>
          <w:rFonts w:hint="eastAsia"/>
          <w:lang w:val="en-GB"/>
        </w:rPr>
        <w:t>ITU-T</w:t>
      </w:r>
      <w:r w:rsidRPr="00A70B9C">
        <w:rPr>
          <w:rFonts w:ascii="SimSun" w:eastAsia="SimSun" w:hAnsi="SimSun" w:cs="SimSun" w:hint="eastAsia"/>
          <w:lang w:val="en-GB"/>
        </w:rPr>
        <w:t>的成员数量在</w:t>
      </w:r>
      <w:r w:rsidRPr="00A70B9C">
        <w:rPr>
          <w:rFonts w:hint="eastAsia"/>
          <w:lang w:val="en-GB"/>
        </w:rPr>
        <w:t>2020</w:t>
      </w:r>
      <w:r w:rsidRPr="00A70B9C">
        <w:rPr>
          <w:rFonts w:ascii="SimSun" w:eastAsia="SimSun" w:hAnsi="SimSun" w:cs="SimSun" w:hint="eastAsia"/>
          <w:lang w:val="en-GB"/>
        </w:rPr>
        <w:t>年仍保持增长。在本报告期内，</w:t>
      </w:r>
      <w:r w:rsidRPr="00A70B9C">
        <w:rPr>
          <w:rFonts w:hint="eastAsia"/>
          <w:lang w:val="en-GB"/>
        </w:rPr>
        <w:t>8</w:t>
      </w:r>
      <w:r w:rsidRPr="00A70B9C">
        <w:rPr>
          <w:rFonts w:ascii="SimSun" w:eastAsia="SimSun" w:hAnsi="SimSun" w:cs="SimSun" w:hint="eastAsia"/>
          <w:lang w:val="en-GB"/>
        </w:rPr>
        <w:t>个部门成员和</w:t>
      </w:r>
      <w:r w:rsidRPr="00A70B9C">
        <w:rPr>
          <w:rFonts w:hint="eastAsia"/>
          <w:lang w:val="en-GB"/>
        </w:rPr>
        <w:t>22</w:t>
      </w:r>
      <w:r w:rsidRPr="00A70B9C">
        <w:rPr>
          <w:rFonts w:ascii="SimSun" w:eastAsia="SimSun" w:hAnsi="SimSun" w:cs="SimSun" w:hint="eastAsia"/>
          <w:lang w:val="en-GB"/>
        </w:rPr>
        <w:t>个部门准成员加入了</w:t>
      </w:r>
      <w:r w:rsidRPr="00A70B9C">
        <w:rPr>
          <w:rFonts w:hint="eastAsia"/>
          <w:lang w:val="en-GB"/>
        </w:rPr>
        <w:t>ITU-T</w:t>
      </w:r>
      <w:r w:rsidRPr="00A70B9C">
        <w:rPr>
          <w:rFonts w:ascii="SimSun" w:eastAsia="SimSun" w:hAnsi="SimSun" w:cs="SimSun" w:hint="eastAsia"/>
          <w:lang w:val="en-GB"/>
        </w:rPr>
        <w:t>，共计</w:t>
      </w:r>
      <w:r w:rsidRPr="00A70B9C">
        <w:rPr>
          <w:rFonts w:hint="eastAsia"/>
          <w:lang w:val="en-GB"/>
        </w:rPr>
        <w:t>30</w:t>
      </w:r>
      <w:r w:rsidRPr="00A70B9C">
        <w:rPr>
          <w:rFonts w:ascii="SimSun" w:eastAsia="SimSun" w:hAnsi="SimSun" w:cs="SimSun" w:hint="eastAsia"/>
          <w:lang w:val="en-GB"/>
        </w:rPr>
        <w:t>名新成员。这意味着</w:t>
      </w:r>
      <w:r w:rsidRPr="00A70B9C">
        <w:rPr>
          <w:rFonts w:hint="eastAsia"/>
          <w:lang w:val="en-GB"/>
        </w:rPr>
        <w:t>ITU-T</w:t>
      </w:r>
      <w:r w:rsidRPr="00A70B9C">
        <w:rPr>
          <w:rFonts w:ascii="SimSun" w:eastAsia="SimSun" w:hAnsi="SimSun" w:cs="SimSun" w:hint="eastAsia"/>
          <w:lang w:val="en-GB"/>
        </w:rPr>
        <w:t>在</w:t>
      </w:r>
      <w:r w:rsidRPr="00A70B9C">
        <w:rPr>
          <w:rFonts w:hint="eastAsia"/>
          <w:lang w:val="en-GB"/>
        </w:rPr>
        <w:t>2020</w:t>
      </w:r>
      <w:r w:rsidRPr="00A70B9C">
        <w:rPr>
          <w:rFonts w:ascii="SimSun" w:eastAsia="SimSun" w:hAnsi="SimSun" w:cs="SimSun" w:hint="eastAsia"/>
          <w:lang w:val="en-GB"/>
        </w:rPr>
        <w:t>年共计净增</w:t>
      </w:r>
      <w:r w:rsidRPr="00A70B9C">
        <w:rPr>
          <w:rFonts w:hint="eastAsia"/>
          <w:lang w:val="en-GB"/>
        </w:rPr>
        <w:t>18</w:t>
      </w:r>
      <w:r w:rsidRPr="00A70B9C">
        <w:rPr>
          <w:rFonts w:ascii="SimSun" w:eastAsia="SimSun" w:hAnsi="SimSun" w:cs="SimSun" w:hint="eastAsia"/>
          <w:lang w:val="en-GB"/>
        </w:rPr>
        <w:t>个（不包括学术成员）成员。此外，在本报告期内，有</w:t>
      </w:r>
      <w:r w:rsidRPr="00A70B9C">
        <w:rPr>
          <w:rFonts w:hint="eastAsia"/>
          <w:lang w:val="en-GB"/>
        </w:rPr>
        <w:t xml:space="preserve"> 17</w:t>
      </w:r>
      <w:r w:rsidRPr="00A70B9C">
        <w:rPr>
          <w:rFonts w:ascii="SimSun" w:eastAsia="SimSun" w:hAnsi="SimSun" w:cs="SimSun" w:hint="eastAsia"/>
          <w:lang w:val="en-GB"/>
        </w:rPr>
        <w:t>个新学术成员加入了国际电联。</w:t>
      </w:r>
    </w:p>
    <w:p w14:paraId="6A7C00BB" w14:textId="77777777" w:rsidR="00917FAF" w:rsidRPr="00A70B9C" w:rsidRDefault="00917FAF" w:rsidP="00917FAF">
      <w:pPr>
        <w:ind w:firstLineChars="200" w:firstLine="480"/>
        <w:rPr>
          <w:lang w:val="en-GB"/>
        </w:rPr>
      </w:pPr>
      <w:r w:rsidRPr="00A70B9C">
        <w:rPr>
          <w:rFonts w:hint="eastAsia"/>
          <w:lang w:val="en-GB"/>
        </w:rPr>
        <w:t>ITU-T</w:t>
      </w:r>
      <w:r w:rsidRPr="00A70B9C">
        <w:rPr>
          <w:rFonts w:ascii="SimSun" w:eastAsia="SimSun" w:hAnsi="SimSun" w:cs="SimSun" w:hint="eastAsia"/>
          <w:lang w:val="en-GB"/>
        </w:rPr>
        <w:t>的新成员包括云应用、网络安全、物联网</w:t>
      </w:r>
      <w:r w:rsidRPr="00A70B9C">
        <w:rPr>
          <w:rFonts w:hint="eastAsia"/>
          <w:lang w:val="en-GB"/>
        </w:rPr>
        <w:t>/M2M</w:t>
      </w:r>
      <w:r w:rsidRPr="00A70B9C">
        <w:rPr>
          <w:rFonts w:ascii="SimSun" w:eastAsia="SimSun" w:hAnsi="SimSun" w:cs="SimSun" w:hint="eastAsia"/>
          <w:lang w:val="en-GB"/>
        </w:rPr>
        <w:t>连接、分布式账本技术、人工智能和机器学习、自主网络、微光交换半导体、有线电视、视频技术、电磁场评估测试设备、智慧城市解决方案，</w:t>
      </w:r>
      <w:r w:rsidRPr="00A70B9C">
        <w:rPr>
          <w:rFonts w:hint="eastAsia"/>
          <w:lang w:val="en-GB"/>
        </w:rPr>
        <w:t>IP</w:t>
      </w:r>
      <w:r w:rsidRPr="00A70B9C">
        <w:rPr>
          <w:rFonts w:ascii="SimSun" w:eastAsia="SimSun" w:hAnsi="SimSun" w:cs="SimSun" w:hint="eastAsia"/>
          <w:lang w:val="en-GB"/>
        </w:rPr>
        <w:t>性能评估和电子竞技等领域的公司。</w:t>
      </w:r>
    </w:p>
    <w:p w14:paraId="3234E937" w14:textId="77777777" w:rsidR="00917FAF" w:rsidRPr="00A70B9C" w:rsidRDefault="00917FAF" w:rsidP="00917FAF">
      <w:pPr>
        <w:ind w:firstLineChars="200" w:firstLine="480"/>
        <w:rPr>
          <w:lang w:val="en-GB"/>
        </w:rPr>
      </w:pPr>
      <w:r w:rsidRPr="00A70B9C">
        <w:rPr>
          <w:rFonts w:ascii="SimSun" w:eastAsia="SimSun" w:hAnsi="SimSun" w:cs="SimSun" w:hint="eastAsia"/>
          <w:lang w:val="en-GB"/>
        </w:rPr>
        <w:t>国际电联理事会中小型企业试点项目已转变为新中小型企业收费结构，满足特定资格标准的部门准成员可以采用。目前，有</w:t>
      </w:r>
      <w:r w:rsidRPr="00A70B9C">
        <w:rPr>
          <w:rFonts w:hint="eastAsia"/>
          <w:lang w:val="en-GB"/>
        </w:rPr>
        <w:t>13</w:t>
      </w:r>
      <w:r w:rsidRPr="00A70B9C">
        <w:rPr>
          <w:rFonts w:ascii="SimSun" w:eastAsia="SimSun" w:hAnsi="SimSun" w:cs="SimSun" w:hint="eastAsia"/>
          <w:lang w:val="en-GB"/>
        </w:rPr>
        <w:t>个组织以这种参与方式参与</w:t>
      </w:r>
      <w:r w:rsidRPr="00A70B9C">
        <w:rPr>
          <w:rFonts w:hint="eastAsia"/>
          <w:lang w:val="en-GB"/>
        </w:rPr>
        <w:t>ITU-T</w:t>
      </w:r>
      <w:r w:rsidRPr="00A70B9C">
        <w:rPr>
          <w:rFonts w:ascii="SimSun" w:eastAsia="SimSun" w:hAnsi="SimSun" w:cs="SimSun" w:hint="eastAsia"/>
          <w:lang w:val="en-GB"/>
        </w:rPr>
        <w:t>研究组的工作。</w:t>
      </w:r>
    </w:p>
    <w:p w14:paraId="32E3B04F" w14:textId="77777777" w:rsidR="00917FAF" w:rsidRPr="00A70B9C" w:rsidRDefault="00917FAF" w:rsidP="00917FAF">
      <w:pPr>
        <w:ind w:firstLineChars="200" w:firstLine="480"/>
        <w:rPr>
          <w:lang w:val="en-GB"/>
        </w:rPr>
      </w:pPr>
      <w:r w:rsidRPr="00A70B9C">
        <w:rPr>
          <w:rFonts w:ascii="SimSun" w:eastAsia="SimSun" w:hAnsi="SimSun" w:cs="SimSun" w:hint="eastAsia"/>
          <w:lang w:val="en-GB"/>
        </w:rPr>
        <w:t>国际电联负责宣传和成员的部门继续加强与</w:t>
      </w:r>
      <w:r w:rsidRPr="00A70B9C">
        <w:rPr>
          <w:rFonts w:hint="eastAsia"/>
          <w:lang w:val="en-GB"/>
        </w:rPr>
        <w:t>ITU-T</w:t>
      </w:r>
      <w:r w:rsidRPr="00A70B9C">
        <w:rPr>
          <w:rFonts w:ascii="SimSun" w:eastAsia="SimSun" w:hAnsi="SimSun" w:cs="SimSun" w:hint="eastAsia"/>
          <w:lang w:val="en-GB"/>
        </w:rPr>
        <w:t>标准化利益攸关方开展联络合作的联合进程。</w:t>
      </w:r>
      <w:r w:rsidRPr="00A70B9C">
        <w:rPr>
          <w:rFonts w:hint="eastAsia"/>
          <w:lang w:val="en-GB"/>
        </w:rPr>
        <w:t>ITU-T</w:t>
      </w:r>
      <w:r w:rsidRPr="00A70B9C">
        <w:rPr>
          <w:rFonts w:ascii="SimSun" w:eastAsia="SimSun" w:hAnsi="SimSun" w:cs="SimSun" w:hint="eastAsia"/>
          <w:lang w:val="en-GB"/>
        </w:rPr>
        <w:t>新闻现已发布在</w:t>
      </w:r>
      <w:hyperlink r:id="rId38" w:history="1">
        <w:r w:rsidRPr="00A70B9C">
          <w:rPr>
            <w:rStyle w:val="Hyperlink"/>
          </w:rPr>
          <w:t>MyITU News</w:t>
        </w:r>
      </w:hyperlink>
      <w:r w:rsidRPr="00A70B9C">
        <w:rPr>
          <w:rFonts w:ascii="SimSun" w:eastAsia="SimSun" w:hAnsi="SimSun" w:cs="SimSun" w:hint="eastAsia"/>
          <w:lang w:val="en-GB"/>
        </w:rPr>
        <w:t>（</w:t>
      </w:r>
      <w:r w:rsidRPr="00A70B9C">
        <w:rPr>
          <w:rFonts w:hint="eastAsia"/>
          <w:lang w:val="en-GB"/>
        </w:rPr>
        <w:t>MyITU</w:t>
      </w:r>
      <w:r w:rsidRPr="00A70B9C">
        <w:rPr>
          <w:rFonts w:ascii="SimSun" w:eastAsia="SimSun" w:hAnsi="SimSun" w:cs="SimSun" w:hint="eastAsia"/>
          <w:lang w:val="en-GB"/>
        </w:rPr>
        <w:t>新闻）上，这是一个旨在引导读者了解针对其兴趣定制的新闻、出版物和活动的新平台。</w:t>
      </w:r>
    </w:p>
    <w:p w14:paraId="63EF8B8E" w14:textId="77777777" w:rsidR="00917FAF" w:rsidRPr="00A70B9C" w:rsidRDefault="00E12FA7" w:rsidP="00917FAF">
      <w:pPr>
        <w:ind w:firstLineChars="200" w:firstLine="480"/>
        <w:rPr>
          <w:lang w:val="en-GB"/>
        </w:rPr>
      </w:pPr>
      <w:hyperlink r:id="rId39" w:history="1">
        <w:r w:rsidR="00917FAF" w:rsidRPr="00A70B9C">
          <w:rPr>
            <w:rStyle w:val="Hyperlink"/>
          </w:rPr>
          <w:t>ICT</w:t>
        </w:r>
        <w:r w:rsidR="00917FAF" w:rsidRPr="00A70B9C">
          <w:rPr>
            <w:rStyle w:val="Hyperlink"/>
            <w:rFonts w:ascii="SimSun" w:eastAsia="SimSun" w:hAnsi="SimSun" w:cs="SimSun" w:hint="eastAsia"/>
          </w:rPr>
          <w:t>产品一致性数据库</w:t>
        </w:r>
      </w:hyperlink>
      <w:r w:rsidR="00917FAF" w:rsidRPr="00A70B9C">
        <w:rPr>
          <w:rFonts w:ascii="SimSun" w:eastAsia="SimSun" w:hAnsi="SimSun" w:cs="SimSun" w:hint="eastAsia"/>
          <w:lang w:val="en-GB"/>
        </w:rPr>
        <w:t>使业界能够宣传</w:t>
      </w:r>
      <w:r w:rsidR="00917FAF" w:rsidRPr="00A70B9C">
        <w:rPr>
          <w:lang w:val="en-GB"/>
        </w:rPr>
        <w:t>ICT</w:t>
      </w:r>
      <w:r w:rsidR="00917FAF" w:rsidRPr="00A70B9C">
        <w:rPr>
          <w:rFonts w:ascii="SimSun" w:eastAsia="SimSun" w:hAnsi="SimSun" w:cs="SimSun" w:hint="eastAsia"/>
          <w:lang w:val="en-GB"/>
        </w:rPr>
        <w:t>产品和服务与</w:t>
      </w:r>
      <w:r w:rsidR="00917FAF" w:rsidRPr="00A70B9C">
        <w:rPr>
          <w:lang w:val="en-GB"/>
        </w:rPr>
        <w:t>ITU-T</w:t>
      </w:r>
      <w:r w:rsidR="00917FAF" w:rsidRPr="00A70B9C">
        <w:rPr>
          <w:rFonts w:ascii="SimSun" w:eastAsia="SimSun" w:hAnsi="SimSun" w:cs="SimSun" w:hint="eastAsia"/>
          <w:lang w:val="en-GB"/>
        </w:rPr>
        <w:t>建议书的一致性，帮助用户选择符合标准的产品。该数据库包括电子卫生产品、与车载免提终端兼容的移动电话、以太网、</w:t>
      </w:r>
      <w:r w:rsidR="00917FAF" w:rsidRPr="00A70B9C">
        <w:rPr>
          <w:lang w:val="en-GB"/>
        </w:rPr>
        <w:t>IPTV</w:t>
      </w:r>
      <w:r w:rsidR="00917FAF" w:rsidRPr="00A70B9C">
        <w:rPr>
          <w:rFonts w:ascii="SimSun" w:eastAsia="SimSun" w:hAnsi="SimSun" w:cs="SimSun" w:hint="eastAsia"/>
          <w:lang w:val="en-GB"/>
        </w:rPr>
        <w:t>和移动号码便携。</w:t>
      </w:r>
    </w:p>
    <w:p w14:paraId="77C9C403" w14:textId="77777777" w:rsidR="00917FAF" w:rsidRPr="00A70B9C" w:rsidRDefault="00917FAF" w:rsidP="00917FAF">
      <w:pPr>
        <w:ind w:firstLineChars="200" w:firstLine="480"/>
        <w:rPr>
          <w:highlight w:val="yellow"/>
          <w:lang w:val="en-GB"/>
        </w:rPr>
      </w:pPr>
      <w:r w:rsidRPr="00A70B9C">
        <w:rPr>
          <w:rFonts w:ascii="SimSun" w:eastAsia="SimSun" w:hAnsi="SimSun" w:cs="SimSun" w:hint="eastAsia"/>
        </w:rPr>
        <w:t>职员多元化、</w:t>
      </w:r>
      <w:r w:rsidRPr="00A70B9C">
        <w:rPr>
          <w:rFonts w:ascii="SimSun" w:eastAsia="SimSun" w:hAnsi="SimSun" w:cs="SimSun" w:hint="eastAsia"/>
          <w:lang w:val="en-GB"/>
        </w:rPr>
        <w:t>性别平等和女性赋权依然是电信标准化局的一项重点工作。</w:t>
      </w:r>
      <w:r w:rsidRPr="00A70B9C">
        <w:rPr>
          <w:rFonts w:ascii="SimSun" w:eastAsia="SimSun" w:hAnsi="SimSun" w:cs="SimSun" w:hint="eastAsia"/>
        </w:rPr>
        <w:t>电信标准化局批准了联合国欧洲经济委员会（</w:t>
      </w:r>
      <w:r w:rsidRPr="00A70B9C">
        <w:rPr>
          <w:rFonts w:hint="eastAsia"/>
        </w:rPr>
        <w:t>UNECE</w:t>
      </w:r>
      <w:r w:rsidRPr="00A70B9C">
        <w:rPr>
          <w:rFonts w:ascii="SimSun" w:eastAsia="SimSun" w:hAnsi="SimSun" w:cs="SimSun" w:hint="eastAsia"/>
        </w:rPr>
        <w:t>）的</w:t>
      </w:r>
      <w:r w:rsidRPr="00A70B9C">
        <w:rPr>
          <w:rFonts w:hint="eastAsia"/>
          <w:lang w:val="en-GB"/>
        </w:rPr>
        <w:t>“</w:t>
      </w:r>
      <w:r w:rsidRPr="00A70B9C">
        <w:rPr>
          <w:rFonts w:ascii="SimSun" w:eastAsia="SimSun" w:hAnsi="SimSun" w:cs="SimSun" w:hint="eastAsia"/>
        </w:rPr>
        <w:t>促进性别平等的标准</w:t>
      </w:r>
      <w:r w:rsidRPr="00A70B9C">
        <w:rPr>
          <w:rFonts w:hint="eastAsia"/>
        </w:rPr>
        <w:t>”</w:t>
      </w:r>
      <w:r w:rsidRPr="00A70B9C">
        <w:rPr>
          <w:rFonts w:ascii="SimSun" w:eastAsia="SimSun" w:hAnsi="SimSun" w:cs="SimSun" w:hint="eastAsia"/>
        </w:rPr>
        <w:t>举措，以加强标准制定中的性别平衡，确保标准的内容和实施有助于实现性别平等。</w:t>
      </w:r>
    </w:p>
    <w:p w14:paraId="1271A9D8" w14:textId="77777777" w:rsidR="00917FAF" w:rsidRPr="00A70B9C" w:rsidRDefault="00917FAF" w:rsidP="00917FAF">
      <w:pPr>
        <w:spacing w:after="120"/>
        <w:ind w:firstLineChars="200" w:firstLine="480"/>
        <w:rPr>
          <w:lang w:val="en-GB"/>
        </w:rPr>
      </w:pPr>
      <w:r w:rsidRPr="00A70B9C">
        <w:rPr>
          <w:rFonts w:ascii="SimSun" w:eastAsia="SimSun" w:hAnsi="SimSun" w:cs="SimSun" w:hint="eastAsia"/>
          <w:lang w:val="en-GB"/>
        </w:rPr>
        <w:t>电信标准化局支持实现和落实国际电联战略规划的部门目标</w:t>
      </w:r>
      <w:r w:rsidRPr="00A70B9C">
        <w:rPr>
          <w:lang w:val="en-GB"/>
        </w:rPr>
        <w:t xml:space="preserve">T.5 – </w:t>
      </w:r>
      <w:r w:rsidRPr="00A70B9C">
        <w:rPr>
          <w:rFonts w:hint="eastAsia"/>
          <w:lang w:val="en-GB"/>
        </w:rPr>
        <w:t>“</w:t>
      </w:r>
      <w:r w:rsidRPr="00A70B9C">
        <w:rPr>
          <w:rFonts w:ascii="SimSun" w:eastAsia="SimSun" w:hAnsi="SimSun" w:cs="SimSun" w:hint="eastAsia"/>
          <w:lang w:val="en-GB"/>
        </w:rPr>
        <w:t>扩大并促进与国际、区域和国家标准化机构的合作</w:t>
      </w:r>
      <w:r w:rsidRPr="00A70B9C">
        <w:rPr>
          <w:rFonts w:hint="eastAsia"/>
        </w:rPr>
        <w:t>”</w:t>
      </w:r>
      <w:r w:rsidRPr="00A70B9C">
        <w:rPr>
          <w:rFonts w:ascii="SimSun" w:eastAsia="SimSun" w:hAnsi="SimSun" w:cs="SimSun" w:hint="eastAsia"/>
          <w:lang w:val="en-GB"/>
        </w:rPr>
        <w:t>，其采用的方式为继续推动</w:t>
      </w:r>
      <w:r w:rsidRPr="00A70B9C">
        <w:rPr>
          <w:lang w:val="en-GB"/>
        </w:rPr>
        <w:t>ITU-T</w:t>
      </w:r>
      <w:r w:rsidRPr="00A70B9C">
        <w:rPr>
          <w:rFonts w:ascii="SimSun" w:eastAsia="SimSun" w:hAnsi="SimSun" w:cs="SimSun" w:hint="eastAsia"/>
          <w:lang w:val="en-GB"/>
        </w:rPr>
        <w:t>参与其他机构安排的活动，以促进其他机构参与</w:t>
      </w:r>
      <w:r w:rsidRPr="00A70B9C">
        <w:rPr>
          <w:lang w:val="en-GB"/>
        </w:rPr>
        <w:t>ITU-T</w:t>
      </w:r>
      <w:r w:rsidRPr="00A70B9C">
        <w:rPr>
          <w:rFonts w:ascii="SimSun" w:eastAsia="SimSun" w:hAnsi="SimSun" w:cs="SimSun" w:hint="eastAsia"/>
          <w:lang w:val="en-GB"/>
        </w:rPr>
        <w:t>工作组、讲习班和相关</w:t>
      </w:r>
      <w:r w:rsidRPr="00A70B9C">
        <w:rPr>
          <w:lang w:val="en-GB"/>
        </w:rPr>
        <w:t>ITU-T</w:t>
      </w:r>
      <w:r w:rsidRPr="00A70B9C">
        <w:rPr>
          <w:rFonts w:ascii="SimSun" w:eastAsia="SimSun" w:hAnsi="SimSun" w:cs="SimSun" w:hint="eastAsia"/>
          <w:lang w:val="en-GB"/>
        </w:rPr>
        <w:t>协作举措。</w:t>
      </w:r>
    </w:p>
    <w:p w14:paraId="2D8D7599" w14:textId="77777777" w:rsidR="00917FAF" w:rsidRPr="00A70B9C" w:rsidRDefault="00917FAF" w:rsidP="00917FAF">
      <w:pPr>
        <w:ind w:firstLineChars="200" w:firstLine="480"/>
        <w:rPr>
          <w:lang w:val="en-GB"/>
        </w:rPr>
      </w:pPr>
      <w:r w:rsidRPr="00A70B9C">
        <w:rPr>
          <w:rFonts w:hint="eastAsia"/>
          <w:lang w:val="en-GB"/>
        </w:rPr>
        <w:t>2020</w:t>
      </w:r>
      <w:r w:rsidRPr="00A70B9C">
        <w:rPr>
          <w:rFonts w:ascii="SimSun" w:eastAsia="SimSun" w:hAnsi="SimSun" w:cs="SimSun" w:hint="eastAsia"/>
          <w:lang w:val="en-GB"/>
        </w:rPr>
        <w:t>年凸显了</w:t>
      </w:r>
      <w:r w:rsidRPr="00A70B9C">
        <w:rPr>
          <w:rFonts w:hint="eastAsia"/>
          <w:lang w:val="en-GB"/>
        </w:rPr>
        <w:t>ITU-T</w:t>
      </w:r>
      <w:r w:rsidRPr="00A70B9C">
        <w:rPr>
          <w:rFonts w:ascii="SimSun" w:eastAsia="SimSun" w:hAnsi="SimSun" w:cs="SimSun" w:hint="eastAsia"/>
          <w:lang w:val="en-GB"/>
        </w:rPr>
        <w:t>电子工作环境的价值。作为全球应对新冠肺炎疫情努力的一部分，虚拟会议和电子工作方法已经成为国际电联标准化工作的主要平台。参与国际电联世界电信标准化全会（</w:t>
      </w:r>
      <w:r w:rsidRPr="00A70B9C">
        <w:rPr>
          <w:lang w:val="en-GB"/>
        </w:rPr>
        <w:t>WTSA-20</w:t>
      </w:r>
      <w:r w:rsidRPr="00A70B9C">
        <w:rPr>
          <w:rFonts w:ascii="SimSun" w:eastAsia="SimSun" w:hAnsi="SimSun" w:cs="SimSun" w:hint="eastAsia"/>
          <w:lang w:val="en-GB"/>
        </w:rPr>
        <w:t>）标准制定和筹备工作的国际电联成员正在优化利用电信标准化局开发的个性化</w:t>
      </w:r>
      <w:hyperlink r:id="rId40" w:history="1">
        <w:r w:rsidRPr="00A70B9C">
          <w:rPr>
            <w:rStyle w:val="Hyperlink"/>
            <w:lang w:val="en-GB"/>
          </w:rPr>
          <w:t>MyWorkspace</w:t>
        </w:r>
      </w:hyperlink>
      <w:r w:rsidRPr="00A70B9C">
        <w:rPr>
          <w:rFonts w:ascii="SimSun" w:eastAsia="SimSun" w:hAnsi="SimSun" w:cs="SimSun" w:hint="eastAsia"/>
          <w:lang w:val="en-GB"/>
        </w:rPr>
        <w:t>平台及其相关服务和工具（例如</w:t>
      </w:r>
      <w:r w:rsidRPr="00A70B9C">
        <w:rPr>
          <w:rFonts w:hint="eastAsia"/>
          <w:lang w:val="en-GB"/>
        </w:rPr>
        <w:t>MyMeetings</w:t>
      </w:r>
      <w:r w:rsidRPr="00A70B9C">
        <w:rPr>
          <w:rFonts w:ascii="SimSun" w:eastAsia="SimSun" w:hAnsi="SimSun" w:cs="SimSun" w:hint="eastAsia"/>
          <w:lang w:val="en-GB"/>
        </w:rPr>
        <w:t>）。</w:t>
      </w:r>
    </w:p>
    <w:p w14:paraId="26E535EA" w14:textId="77777777" w:rsidR="00917FAF" w:rsidRPr="00A70B9C" w:rsidRDefault="00917FAF" w:rsidP="00917FAF">
      <w:pPr>
        <w:ind w:firstLineChars="200" w:firstLine="480"/>
        <w:rPr>
          <w:lang w:val="en-GB"/>
        </w:rPr>
      </w:pPr>
      <w:r w:rsidRPr="00A70B9C">
        <w:rPr>
          <w:rFonts w:hint="eastAsia"/>
          <w:lang w:val="en-GB"/>
        </w:rPr>
        <w:t>2020</w:t>
      </w:r>
      <w:r w:rsidRPr="00A70B9C">
        <w:rPr>
          <w:rFonts w:ascii="SimSun" w:eastAsia="SimSun" w:hAnsi="SimSun" w:cs="SimSun" w:hint="eastAsia"/>
          <w:lang w:val="en-GB"/>
        </w:rPr>
        <w:t>年</w:t>
      </w:r>
      <w:r w:rsidRPr="00A70B9C">
        <w:rPr>
          <w:rFonts w:hint="eastAsia"/>
          <w:lang w:val="en-GB"/>
        </w:rPr>
        <w:t>1</w:t>
      </w:r>
      <w:r w:rsidRPr="00A70B9C">
        <w:rPr>
          <w:rFonts w:ascii="SimSun" w:eastAsia="SimSun" w:hAnsi="SimSun" w:cs="SimSun" w:hint="eastAsia"/>
          <w:lang w:val="en-GB"/>
        </w:rPr>
        <w:t>月至</w:t>
      </w:r>
      <w:r w:rsidRPr="00A70B9C">
        <w:rPr>
          <w:rFonts w:hint="eastAsia"/>
          <w:lang w:val="en-GB"/>
        </w:rPr>
        <w:t>2020</w:t>
      </w:r>
      <w:r w:rsidRPr="00A70B9C">
        <w:rPr>
          <w:rFonts w:ascii="SimSun" w:eastAsia="SimSun" w:hAnsi="SimSun" w:cs="SimSun" w:hint="eastAsia"/>
          <w:lang w:val="en-GB"/>
        </w:rPr>
        <w:t>年</w:t>
      </w:r>
      <w:r w:rsidRPr="00A70B9C">
        <w:rPr>
          <w:rFonts w:hint="eastAsia"/>
          <w:lang w:val="en-GB"/>
        </w:rPr>
        <w:t>8</w:t>
      </w:r>
      <w:r w:rsidRPr="00A70B9C">
        <w:rPr>
          <w:rFonts w:ascii="SimSun" w:eastAsia="SimSun" w:hAnsi="SimSun" w:cs="SimSun" w:hint="eastAsia"/>
          <w:lang w:val="en-GB"/>
        </w:rPr>
        <w:t>月，出版了超过</w:t>
      </w:r>
      <w:r w:rsidRPr="00A70B9C">
        <w:rPr>
          <w:rFonts w:hint="eastAsia"/>
          <w:lang w:val="en-GB"/>
        </w:rPr>
        <w:t>12500</w:t>
      </w:r>
      <w:r w:rsidRPr="00A70B9C">
        <w:rPr>
          <w:rFonts w:ascii="SimSun" w:eastAsia="SimSun" w:hAnsi="SimSun" w:cs="SimSun" w:hint="eastAsia"/>
          <w:lang w:val="en-GB"/>
        </w:rPr>
        <w:t>页的</w:t>
      </w:r>
      <w:r w:rsidRPr="00A70B9C">
        <w:rPr>
          <w:rFonts w:hint="eastAsia"/>
          <w:lang w:val="en-GB"/>
        </w:rPr>
        <w:t>ITU-T</w:t>
      </w:r>
      <w:r w:rsidRPr="00A70B9C">
        <w:rPr>
          <w:rFonts w:ascii="SimSun" w:eastAsia="SimSun" w:hAnsi="SimSun" w:cs="SimSun" w:hint="eastAsia"/>
          <w:lang w:val="en-GB"/>
        </w:rPr>
        <w:t>建议书及增补。除通常的</w:t>
      </w:r>
      <w:r w:rsidRPr="00A70B9C">
        <w:rPr>
          <w:lang w:val="en-GB"/>
        </w:rPr>
        <w:t>PDF</w:t>
      </w:r>
      <w:r w:rsidRPr="00A70B9C">
        <w:rPr>
          <w:rFonts w:ascii="SimSun" w:eastAsia="SimSun" w:hAnsi="SimSun" w:cs="SimSun" w:hint="eastAsia"/>
          <w:lang w:val="en-GB"/>
        </w:rPr>
        <w:t>格式外，建议书及增补的主体版本正在使用可重排版的</w:t>
      </w:r>
      <w:r w:rsidRPr="00A70B9C">
        <w:rPr>
          <w:lang w:val="en-GB"/>
        </w:rPr>
        <w:t>ePub</w:t>
      </w:r>
      <w:r w:rsidRPr="00A70B9C">
        <w:rPr>
          <w:rFonts w:ascii="SimSun" w:eastAsia="SimSun" w:hAnsi="SimSun" w:cs="SimSun" w:hint="eastAsia"/>
          <w:lang w:val="en-GB"/>
        </w:rPr>
        <w:t>格式出版（即文件可根据输出设备调整其表现形式）。国际电联产品</w:t>
      </w:r>
      <w:r w:rsidRPr="00A70B9C">
        <w:rPr>
          <w:lang w:val="en-GB"/>
        </w:rPr>
        <w:t>“</w:t>
      </w:r>
      <w:r w:rsidRPr="00A70B9C">
        <w:rPr>
          <w:rFonts w:hint="eastAsia"/>
          <w:lang w:val="en-GB"/>
        </w:rPr>
        <w:t>ITU-T</w:t>
      </w:r>
      <w:r w:rsidRPr="00A70B9C">
        <w:rPr>
          <w:rFonts w:ascii="SimSun" w:eastAsia="SimSun" w:hAnsi="SimSun" w:cs="SimSun" w:hint="eastAsia"/>
          <w:lang w:val="en-GB"/>
        </w:rPr>
        <w:t>建议书和选定手册</w:t>
      </w:r>
      <w:r w:rsidRPr="00A70B9C">
        <w:rPr>
          <w:lang w:val="en-GB"/>
        </w:rPr>
        <w:t>”</w:t>
      </w:r>
      <w:r w:rsidRPr="00A70B9C">
        <w:rPr>
          <w:rFonts w:ascii="SimSun" w:eastAsia="SimSun" w:hAnsi="SimSun" w:cs="SimSun" w:hint="eastAsia"/>
          <w:lang w:val="en-GB"/>
        </w:rPr>
        <w:t>继续使用</w:t>
      </w:r>
      <w:r w:rsidRPr="00A70B9C">
        <w:rPr>
          <w:rFonts w:hint="eastAsia"/>
          <w:lang w:val="en-GB"/>
        </w:rPr>
        <w:t>USB</w:t>
      </w:r>
      <w:r w:rsidRPr="00A70B9C">
        <w:rPr>
          <w:rFonts w:ascii="SimSun" w:eastAsia="SimSun" w:hAnsi="SimSun" w:cs="SimSun" w:hint="eastAsia"/>
          <w:lang w:val="en-GB"/>
        </w:rPr>
        <w:t>密钥按季度分发。</w:t>
      </w:r>
    </w:p>
    <w:p w14:paraId="425228DA" w14:textId="77777777" w:rsidR="00917FAF" w:rsidRPr="00A70B9C" w:rsidRDefault="00917FAF" w:rsidP="00917FAF">
      <w:pPr>
        <w:ind w:firstLineChars="200" w:firstLine="480"/>
        <w:rPr>
          <w:lang w:val="en-GB"/>
        </w:rPr>
      </w:pPr>
      <w:r w:rsidRPr="00A70B9C">
        <w:rPr>
          <w:rFonts w:ascii="SimSun" w:eastAsia="SimSun" w:hAnsi="SimSun" w:cs="SimSun" w:hint="eastAsia"/>
        </w:rPr>
        <w:t>电信标准化局继续将以传统批准程序（</w:t>
      </w:r>
      <w:r w:rsidRPr="00A70B9C">
        <w:rPr>
          <w:rFonts w:hint="eastAsia"/>
        </w:rPr>
        <w:t>TAP</w:t>
      </w:r>
      <w:r w:rsidRPr="00A70B9C">
        <w:rPr>
          <w:rFonts w:ascii="SimSun" w:eastAsia="SimSun" w:hAnsi="SimSun" w:cs="SimSun" w:hint="eastAsia"/>
        </w:rPr>
        <w:t>）批准的建议书以及所有</w:t>
      </w:r>
      <w:r w:rsidRPr="00A70B9C">
        <w:rPr>
          <w:lang w:val="en-GB"/>
        </w:rPr>
        <w:t>TSAG</w:t>
      </w:r>
      <w:r w:rsidRPr="00A70B9C">
        <w:rPr>
          <w:rFonts w:ascii="SimSun" w:eastAsia="SimSun" w:hAnsi="SimSun" w:cs="SimSun" w:hint="eastAsia"/>
        </w:rPr>
        <w:t>报告翻译成国际电联的所有正式语文。电信标准化局根据先前从</w:t>
      </w:r>
      <w:r w:rsidRPr="00A70B9C">
        <w:t>ITU-T</w:t>
      </w:r>
      <w:r w:rsidRPr="00A70B9C">
        <w:rPr>
          <w:rFonts w:ascii="SimSun" w:eastAsia="SimSun" w:hAnsi="SimSun" w:cs="SimSun" w:hint="eastAsia"/>
        </w:rPr>
        <w:t>研究组和语言组接到的要求，在划拨的翻译预算范围内，在</w:t>
      </w:r>
      <w:r w:rsidRPr="00A70B9C">
        <w:rPr>
          <w:rFonts w:hint="eastAsia"/>
          <w:lang w:val="en-GB"/>
        </w:rPr>
        <w:t>2020</w:t>
      </w:r>
      <w:r w:rsidRPr="00A70B9C">
        <w:rPr>
          <w:rFonts w:ascii="SimSun" w:eastAsia="SimSun" w:hAnsi="SimSun" w:cs="SimSun" w:hint="eastAsia"/>
          <w:lang w:val="en-GB"/>
        </w:rPr>
        <w:t>年</w:t>
      </w:r>
      <w:r w:rsidRPr="00A70B9C">
        <w:rPr>
          <w:rFonts w:hint="eastAsia"/>
          <w:lang w:val="en-GB"/>
        </w:rPr>
        <w:t>1</w:t>
      </w:r>
      <w:r w:rsidRPr="00A70B9C">
        <w:rPr>
          <w:rFonts w:ascii="SimSun" w:eastAsia="SimSun" w:hAnsi="SimSun" w:cs="SimSun" w:hint="eastAsia"/>
          <w:lang w:val="en-GB"/>
        </w:rPr>
        <w:t>月至</w:t>
      </w:r>
      <w:r w:rsidRPr="00A70B9C">
        <w:rPr>
          <w:rFonts w:hint="eastAsia"/>
          <w:lang w:val="en-GB"/>
        </w:rPr>
        <w:t>8</w:t>
      </w:r>
      <w:r w:rsidRPr="00A70B9C">
        <w:rPr>
          <w:rFonts w:ascii="SimSun" w:eastAsia="SimSun" w:hAnsi="SimSun" w:cs="SimSun" w:hint="eastAsia"/>
          <w:lang w:val="en-GB"/>
        </w:rPr>
        <w:t>月</w:t>
      </w:r>
      <w:r w:rsidRPr="00A70B9C">
        <w:rPr>
          <w:rFonts w:ascii="SimSun" w:eastAsia="SimSun" w:hAnsi="SimSun" w:cs="SimSun" w:hint="eastAsia"/>
        </w:rPr>
        <w:t>期间翻译了</w:t>
      </w:r>
      <w:r w:rsidRPr="00A70B9C">
        <w:rPr>
          <w:rFonts w:hint="eastAsia"/>
          <w:lang w:val="en-GB"/>
        </w:rPr>
        <w:t>11</w:t>
      </w:r>
      <w:r w:rsidRPr="00A70B9C">
        <w:rPr>
          <w:rFonts w:ascii="SimSun" w:eastAsia="SimSun" w:hAnsi="SimSun" w:cs="SimSun" w:hint="eastAsia"/>
          <w:lang w:val="en-GB"/>
        </w:rPr>
        <w:t>种以备选批准程序（</w:t>
      </w:r>
      <w:r w:rsidRPr="00A70B9C">
        <w:rPr>
          <w:lang w:val="en-GB"/>
        </w:rPr>
        <w:t>AAP</w:t>
      </w:r>
      <w:r w:rsidRPr="00A70B9C">
        <w:rPr>
          <w:rFonts w:ascii="SimSun" w:eastAsia="SimSun" w:hAnsi="SimSun" w:cs="SimSun" w:hint="eastAsia"/>
          <w:lang w:val="en-GB"/>
        </w:rPr>
        <w:t>）批准的</w:t>
      </w:r>
      <w:r w:rsidRPr="00A70B9C">
        <w:rPr>
          <w:rFonts w:ascii="SimSun" w:eastAsia="SimSun" w:hAnsi="SimSun" w:cs="SimSun" w:hint="eastAsia"/>
        </w:rPr>
        <w:t>建议书。</w:t>
      </w:r>
      <w:r w:rsidRPr="00A70B9C">
        <w:rPr>
          <w:rFonts w:hint="eastAsia"/>
        </w:rPr>
        <w:t xml:space="preserve"> </w:t>
      </w:r>
    </w:p>
    <w:p w14:paraId="64F5FAAD" w14:textId="77777777" w:rsidR="00917FAF" w:rsidRPr="00A70B9C" w:rsidRDefault="00917FAF" w:rsidP="00917FAF">
      <w:pPr>
        <w:ind w:firstLineChars="200" w:firstLine="480"/>
        <w:rPr>
          <w:lang w:val="en-GB"/>
        </w:rPr>
      </w:pPr>
      <w:bookmarkStart w:id="22" w:name="lt_pId103"/>
      <w:r w:rsidRPr="00A70B9C">
        <w:rPr>
          <w:rFonts w:ascii="SimSun" w:eastAsia="SimSun" w:hAnsi="SimSun" w:cs="SimSun" w:hint="eastAsia"/>
          <w:lang w:val="en-GB"/>
        </w:rPr>
        <w:t>国际电联讲习班和专题研讨会讨论标准化方面不断涌现的新趋势，提高</w:t>
      </w:r>
      <w:r w:rsidRPr="00A70B9C">
        <w:rPr>
          <w:lang w:val="en-GB"/>
        </w:rPr>
        <w:t>ITU-T</w:t>
      </w:r>
      <w:r w:rsidRPr="00A70B9C">
        <w:rPr>
          <w:rFonts w:ascii="SimSun" w:eastAsia="SimSun" w:hAnsi="SimSun" w:cs="SimSun" w:hint="eastAsia"/>
          <w:lang w:val="en-GB"/>
        </w:rPr>
        <w:t>工作的知名度，加强</w:t>
      </w:r>
      <w:r w:rsidRPr="00A70B9C">
        <w:rPr>
          <w:lang w:val="en-GB"/>
        </w:rPr>
        <w:t>ITU-T</w:t>
      </w:r>
      <w:r w:rsidRPr="00A70B9C">
        <w:rPr>
          <w:rFonts w:ascii="SimSun" w:eastAsia="SimSun" w:hAnsi="SimSun" w:cs="SimSun" w:hint="eastAsia"/>
          <w:lang w:val="en-GB"/>
        </w:rPr>
        <w:t>与其他机构的协作，吸引和招募新的</w:t>
      </w:r>
      <w:r w:rsidRPr="00A70B9C">
        <w:rPr>
          <w:lang w:val="en-GB"/>
        </w:rPr>
        <w:t>ITU-T</w:t>
      </w:r>
      <w:r w:rsidRPr="00A70B9C">
        <w:rPr>
          <w:rFonts w:ascii="SimSun" w:eastAsia="SimSun" w:hAnsi="SimSun" w:cs="SimSun" w:hint="eastAsia"/>
          <w:lang w:val="en-GB"/>
        </w:rPr>
        <w:t>成员，并鼓励在国际标准的制定和实施方面开展同行互学。</w:t>
      </w:r>
      <w:bookmarkEnd w:id="14"/>
      <w:bookmarkEnd w:id="22"/>
      <w:r w:rsidRPr="00A70B9C">
        <w:rPr>
          <w:rFonts w:ascii="SimSun" w:eastAsia="SimSun" w:hAnsi="SimSun" w:cs="SimSun" w:hint="eastAsia"/>
          <w:lang w:val="en-GB"/>
        </w:rPr>
        <w:t>由于新冠肺炎疫情，参加国际电联研讨会和专题讨论会的人数有所增加。</w:t>
      </w:r>
      <w:r w:rsidRPr="00A70B9C">
        <w:rPr>
          <w:rFonts w:hint="eastAsia"/>
          <w:lang w:val="en-GB"/>
        </w:rPr>
        <w:t>ITU-T</w:t>
      </w:r>
      <w:r w:rsidRPr="00A70B9C">
        <w:rPr>
          <w:rFonts w:ascii="SimSun" w:eastAsia="SimSun" w:hAnsi="SimSun" w:cs="SimSun" w:hint="eastAsia"/>
          <w:lang w:val="en-GB"/>
        </w:rPr>
        <w:t>所有讲习班和专题研讨会都通过</w:t>
      </w:r>
      <w:r w:rsidRPr="00A70B9C">
        <w:rPr>
          <w:rFonts w:hint="eastAsia"/>
          <w:lang w:val="en-GB"/>
        </w:rPr>
        <w:t>MyMeetings</w:t>
      </w:r>
      <w:r w:rsidRPr="00A70B9C">
        <w:rPr>
          <w:rFonts w:ascii="SimSun" w:eastAsia="SimSun" w:hAnsi="SimSun" w:cs="SimSun" w:hint="eastAsia"/>
          <w:lang w:val="en-GB"/>
        </w:rPr>
        <w:t>以虚拟方式召开，它们迎来了越来越多来自不同领域的参与者。</w:t>
      </w:r>
    </w:p>
    <w:p w14:paraId="6B0279D0" w14:textId="485D3EE6" w:rsidR="00D363D7" w:rsidRPr="00A21866" w:rsidRDefault="00D363D7" w:rsidP="00136E7B">
      <w:pPr>
        <w:rPr>
          <w:highlight w:val="yellow"/>
          <w:lang w:val="en-GB"/>
        </w:rPr>
      </w:pPr>
    </w:p>
    <w:p w14:paraId="2939E2DC" w14:textId="0A8B09D8" w:rsidR="00136E7B" w:rsidRPr="000D60C1" w:rsidRDefault="5EE8545A" w:rsidP="222B8D80">
      <w:pPr>
        <w:pStyle w:val="Heading1"/>
        <w:jc w:val="center"/>
      </w:pPr>
      <w:bookmarkStart w:id="23" w:name="_Toc480527765"/>
      <w:bookmarkStart w:id="24" w:name="_Toc51331483"/>
      <w:bookmarkStart w:id="25" w:name="_Toc462664184"/>
      <w:bookmarkStart w:id="26" w:name="_Toc475550127"/>
      <w:bookmarkStart w:id="27" w:name="_Toc416161323"/>
      <w:bookmarkStart w:id="28" w:name="_Toc438553934"/>
      <w:bookmarkStart w:id="29" w:name="_Toc453929055"/>
      <w:bookmarkStart w:id="30" w:name="_Toc453932927"/>
      <w:bookmarkStart w:id="31" w:name="_Toc454295831"/>
      <w:bookmarkStart w:id="32" w:name="_Toc418526228"/>
      <w:bookmarkStart w:id="33" w:name="_Toc462664185"/>
      <w:r>
        <w:lastRenderedPageBreak/>
        <w:t xml:space="preserve">Annex – Full Report of activities in ITU-T (from </w:t>
      </w:r>
      <w:r w:rsidR="54057FD7">
        <w:t>January</w:t>
      </w:r>
      <w:r w:rsidR="146BB71C">
        <w:t xml:space="preserve"> </w:t>
      </w:r>
      <w:r>
        <w:t xml:space="preserve">to </w:t>
      </w:r>
      <w:r w:rsidR="0093446E">
        <w:t xml:space="preserve">August </w:t>
      </w:r>
      <w:r w:rsidR="22A87754">
        <w:t>2020</w:t>
      </w:r>
      <w:r>
        <w:t>)</w:t>
      </w:r>
      <w:bookmarkEnd w:id="23"/>
      <w:bookmarkEnd w:id="24"/>
    </w:p>
    <w:p w14:paraId="2CC0E6BE" w14:textId="77777777" w:rsidR="00136E7B" w:rsidRPr="000D60C1" w:rsidRDefault="00136E7B" w:rsidP="00136E7B">
      <w:pPr>
        <w:pStyle w:val="Heading1"/>
      </w:pPr>
      <w:bookmarkStart w:id="34" w:name="_Toc51331484"/>
      <w:bookmarkStart w:id="35" w:name="_Toc480527766"/>
      <w:r w:rsidRPr="000D60C1">
        <w:t>1</w:t>
      </w:r>
      <w:r w:rsidRPr="000D60C1">
        <w:tab/>
        <w:t>Selection of achievements in ITU-T standardization</w:t>
      </w:r>
      <w:bookmarkEnd w:id="34"/>
    </w:p>
    <w:p w14:paraId="7F60D22C" w14:textId="77777777" w:rsidR="00136E7B" w:rsidRPr="00691C90" w:rsidRDefault="00136E7B" w:rsidP="00136E7B">
      <w:pPr>
        <w:rPr>
          <w:lang w:val="en-GB"/>
        </w:rPr>
      </w:pPr>
      <w:r w:rsidRPr="00691C90">
        <w:rPr>
          <w:lang w:val="en-GB"/>
        </w:rPr>
        <w:t xml:space="preserve">Executive summaries for the various ITU-T SG meetings can be found on the homepages of </w:t>
      </w:r>
      <w:hyperlink r:id="rId41" w:history="1">
        <w:r w:rsidRPr="00691C90">
          <w:rPr>
            <w:rStyle w:val="Hyperlink"/>
            <w:lang w:val="en-GB"/>
          </w:rPr>
          <w:t>ITU-T SGs</w:t>
        </w:r>
      </w:hyperlink>
      <w:r w:rsidRPr="00691C90">
        <w:rPr>
          <w:lang w:val="en-GB"/>
        </w:rPr>
        <w:t>.</w:t>
      </w:r>
    </w:p>
    <w:p w14:paraId="406BE94E" w14:textId="1498A85A" w:rsidR="00136E7B" w:rsidRDefault="00136E7B" w:rsidP="00136E7B">
      <w:pPr>
        <w:rPr>
          <w:lang w:val="en-GB"/>
        </w:rPr>
      </w:pPr>
      <w:r w:rsidRPr="0064501E">
        <w:rPr>
          <w:lang w:val="en-GB"/>
        </w:rPr>
        <w:t xml:space="preserve">ITU approved more than </w:t>
      </w:r>
      <w:r w:rsidR="00B63EDA" w:rsidRPr="00DE70FF">
        <w:rPr>
          <w:lang w:val="en-GB"/>
        </w:rPr>
        <w:t>2</w:t>
      </w:r>
      <w:r w:rsidR="003521CC">
        <w:rPr>
          <w:lang w:val="en-GB"/>
        </w:rPr>
        <w:t>4</w:t>
      </w:r>
      <w:r w:rsidR="00B63EDA" w:rsidRPr="00DE70FF">
        <w:rPr>
          <w:lang w:val="en-GB"/>
        </w:rPr>
        <w:t>0</w:t>
      </w:r>
      <w:r w:rsidRPr="00DE70FF">
        <w:rPr>
          <w:lang w:val="en-GB"/>
        </w:rPr>
        <w:t xml:space="preserve"> new</w:t>
      </w:r>
      <w:r w:rsidRPr="0064501E">
        <w:rPr>
          <w:lang w:val="en-GB"/>
        </w:rPr>
        <w:t xml:space="preserve"> and revised ITU-T Recommendations from </w:t>
      </w:r>
      <w:r w:rsidR="00B63EDA" w:rsidRPr="00DE70FF">
        <w:rPr>
          <w:lang w:val="en-GB"/>
        </w:rPr>
        <w:t xml:space="preserve">January to </w:t>
      </w:r>
      <w:r w:rsidR="0093446E">
        <w:rPr>
          <w:lang w:val="en-GB"/>
        </w:rPr>
        <w:t xml:space="preserve">August </w:t>
      </w:r>
      <w:r w:rsidR="00B63EDA" w:rsidRPr="00DE70FF">
        <w:rPr>
          <w:lang w:val="en-GB"/>
        </w:rPr>
        <w:t>2020.</w:t>
      </w:r>
      <w:r w:rsidRPr="00B63EDA">
        <w:rPr>
          <w:lang w:val="en-GB"/>
        </w:rPr>
        <w:t xml:space="preserve"> A</w:t>
      </w:r>
      <w:r w:rsidRPr="000A2A15">
        <w:rPr>
          <w:lang w:val="en-GB"/>
        </w:rPr>
        <w:t xml:space="preserve">ppendix I lists these ITU-T Recommendations and related texts and summarizes their contents. A selection of ITU standards </w:t>
      </w:r>
      <w:r w:rsidR="00A85401">
        <w:rPr>
          <w:lang w:val="en-GB"/>
        </w:rPr>
        <w:t xml:space="preserve">and related texts </w:t>
      </w:r>
      <w:r w:rsidR="001D6919">
        <w:rPr>
          <w:lang w:val="en-GB"/>
        </w:rPr>
        <w:t xml:space="preserve">approved </w:t>
      </w:r>
      <w:r w:rsidRPr="000A2A15">
        <w:rPr>
          <w:lang w:val="en-GB"/>
        </w:rPr>
        <w:t xml:space="preserve">from </w:t>
      </w:r>
      <w:r w:rsidR="000A2A15" w:rsidRPr="000A2A15">
        <w:rPr>
          <w:lang w:val="en-GB"/>
        </w:rPr>
        <w:t>January</w:t>
      </w:r>
      <w:r w:rsidRPr="000A2A15">
        <w:rPr>
          <w:lang w:val="en-GB"/>
        </w:rPr>
        <w:t xml:space="preserve"> to </w:t>
      </w:r>
      <w:r w:rsidR="000A2A15" w:rsidRPr="000A2A15">
        <w:rPr>
          <w:lang w:val="en-GB"/>
        </w:rPr>
        <w:t>August</w:t>
      </w:r>
      <w:r w:rsidRPr="000A2A15">
        <w:rPr>
          <w:lang w:val="en-GB"/>
        </w:rPr>
        <w:t xml:space="preserve"> 20</w:t>
      </w:r>
      <w:r w:rsidR="000A2A15" w:rsidRPr="000A2A15">
        <w:rPr>
          <w:lang w:val="en-GB"/>
        </w:rPr>
        <w:t>20</w:t>
      </w:r>
      <w:r w:rsidRPr="000A2A15">
        <w:rPr>
          <w:lang w:val="en-GB"/>
        </w:rPr>
        <w:t xml:space="preserve"> is provided below.</w:t>
      </w:r>
    </w:p>
    <w:p w14:paraId="16787437" w14:textId="77777777" w:rsidR="00A669AD" w:rsidRDefault="00A669AD" w:rsidP="00A669AD">
      <w:r w:rsidRPr="00A85401">
        <w:rPr>
          <w:b/>
          <w:bCs/>
        </w:rPr>
        <w:t>IMT-2020/5G:</w:t>
      </w:r>
      <w:r>
        <w:t xml:space="preserve"> New ITU standards describe characteristics of transport networks to support 5G (G.8300), resource pooling for scalable 5G network slice service management and orchestration (Y.3154), and energy-efficient device-to-device communication for 5G (Q.5022). A new Supplement aims to build awareness on use cases and migration aspects of 5G (Y.Suppl.34). </w:t>
      </w:r>
    </w:p>
    <w:p w14:paraId="260F2FFC" w14:textId="77777777" w:rsidR="00A669AD" w:rsidRDefault="00A669AD" w:rsidP="00A669AD">
      <w:r w:rsidRPr="00A85401">
        <w:rPr>
          <w:b/>
          <w:bCs/>
        </w:rPr>
        <w:t>Machine learning for IMT-2020/5G:</w:t>
      </w:r>
      <w:r>
        <w:t xml:space="preserve"> New ITU standards provide a functional architecture of machine learning-based QoS assurance for 5G (Y.3175), a framework for evaluating intelligence levels across 5G and future networks (Y.3173), and a framework for data handling to enable machine learning in 5G and future networks (Y.3174). </w:t>
      </w:r>
    </w:p>
    <w:p w14:paraId="2FB08D65" w14:textId="77777777" w:rsidR="00A669AD" w:rsidRDefault="00A669AD" w:rsidP="00A669AD">
      <w:r w:rsidRPr="00A85401">
        <w:rPr>
          <w:b/>
          <w:bCs/>
        </w:rPr>
        <w:t>Video coding:</w:t>
      </w:r>
      <w:r>
        <w:t xml:space="preserve"> Approved in August 2020, the new “Versatile Video Coding” (VVC, H.266) standard advances the state of the art of video compression and has unprecedented application versatility. Developed by the Joint Video Experts Team with MPEG, VVC will halve the bitrate needed to stream videos, for the same quality level, relative to “High Efficiency Video Coding” (H.265), and a quarter relative to “Advanced Video Coding” (H.264).</w:t>
      </w:r>
    </w:p>
    <w:p w14:paraId="232D3409" w14:textId="77777777" w:rsidR="00A669AD" w:rsidRDefault="00A669AD" w:rsidP="00A669AD">
      <w:r w:rsidRPr="00A85401">
        <w:rPr>
          <w:b/>
          <w:bCs/>
        </w:rPr>
        <w:t>Transport, access and home:</w:t>
      </w:r>
      <w:r>
        <w:t xml:space="preserve"> The 50 texts approved in the reporting period include new ITU standards providing characteristics of transport networks to support IMT-2020/5G (G.8300) and the generic functional architecture of the optical media network (G.807). New Technical Reports provide considerations on the use of GNSS as a primary time reference in telecommunications (GSTR-GNSS) and the use of G.hn in industrial applications (GSTP-HNIA).</w:t>
      </w:r>
    </w:p>
    <w:p w14:paraId="1831F6AB" w14:textId="77777777" w:rsidR="00A669AD" w:rsidRDefault="00A669AD" w:rsidP="00A669AD">
      <w:r w:rsidRPr="00A85401">
        <w:rPr>
          <w:b/>
          <w:bCs/>
        </w:rPr>
        <w:t>Numbering misuse:</w:t>
      </w:r>
      <w:r>
        <w:t xml:space="preserve"> Revised guidelines for ITU-T action on reported misuse of E.164 number resources (E.156) describe new cases of misuse and more efficient means of combating misuse.  The revised E.156 better reflects the differences between directly assigned resources, so-called “global numbers” under the responsibility of the TSB Director, and indirectly assigned resources under the responsibility of Member States. It aims to improve reporting on the misuse of indirectly assigned resources, recommending the use of email notifications to a pre-determined mailing list rather than the registration of the report of misuse for action by TSB.</w:t>
      </w:r>
    </w:p>
    <w:p w14:paraId="4FD0B6D7" w14:textId="77777777" w:rsidR="00A669AD" w:rsidRDefault="00A669AD" w:rsidP="00A669AD">
      <w:r w:rsidRPr="00A85401">
        <w:rPr>
          <w:b/>
          <w:bCs/>
        </w:rPr>
        <w:t>Digital financial services:</w:t>
      </w:r>
      <w:r>
        <w:t xml:space="preserve"> New ITU standards introduce QoS and QoE aspects of digital financial services (G.1033), a methodology to test the QoE of digital financial services (P.1502), and security requirements FinTech services built on open platform architectures (X.1149). </w:t>
      </w:r>
    </w:p>
    <w:p w14:paraId="15034334" w14:textId="77777777" w:rsidR="00A669AD" w:rsidRPr="00833403" w:rsidRDefault="00A669AD" w:rsidP="00A669AD">
      <w:r w:rsidRPr="00A85401">
        <w:rPr>
          <w:b/>
          <w:bCs/>
        </w:rPr>
        <w:t>Network 2030:</w:t>
      </w:r>
      <w:r>
        <w:t xml:space="preserve"> New Supplements provide describe capabilities, performance and design of new communications services for Network 2030 applications (Y.Suppl.66) and representative use cases and key network requirements for Network 2030 (Y.Suppl.67). A related Technical Report describes the driving forces and vision towards Network 2030.</w:t>
      </w:r>
    </w:p>
    <w:p w14:paraId="3935E75A" w14:textId="77777777" w:rsidR="00A669AD" w:rsidRDefault="00A669AD" w:rsidP="00A669AD">
      <w:r w:rsidRPr="00A85401">
        <w:rPr>
          <w:b/>
          <w:bCs/>
        </w:rPr>
        <w:t>IP performance measurement:</w:t>
      </w:r>
      <w:r>
        <w:t xml:space="preserve"> A new Supplement (Y.Suppl.60) provides guidance the interpretation of measurements taken with the ITU standard for IP service performance assessment (Y.1540). The 2019 revision of Y.1540 defines IP-layer capacity parameters in ways that cater to performance assessment, and provides requirements for methods of measurement of IP-layer capacity.</w:t>
      </w:r>
    </w:p>
    <w:p w14:paraId="63F929C8" w14:textId="77777777" w:rsidR="00A669AD" w:rsidRDefault="00A669AD" w:rsidP="00A669AD">
      <w:r w:rsidRPr="00A85401">
        <w:rPr>
          <w:b/>
          <w:bCs/>
        </w:rPr>
        <w:lastRenderedPageBreak/>
        <w:t>Intelligent QoS:</w:t>
      </w:r>
      <w:r>
        <w:t xml:space="preserve"> New ITU standards address intelligent network analytics and diagnostics (E.475) and the creation and performance testing of machine learning-based models to assess the impact of the transmission network on speech quality for 4G voice services (P.565).  </w:t>
      </w:r>
    </w:p>
    <w:p w14:paraId="68C4BF6F" w14:textId="77777777" w:rsidR="00A669AD" w:rsidRDefault="00A669AD" w:rsidP="00A669AD">
      <w:r w:rsidRPr="00A85401">
        <w:rPr>
          <w:b/>
          <w:bCs/>
        </w:rPr>
        <w:t>Crowdsourcing QoS:</w:t>
      </w:r>
      <w:r>
        <w:t xml:space="preserve"> A new ITU standard details the crowdsourcing approach to the assessment of end-to-end QoS in fixed and mobile broadband networks (E.812). Work on E.812 was initiated by national regulatory authorities and developed collaboratively with representatives of network operators, vendors, analytics companies, and academia.</w:t>
      </w:r>
    </w:p>
    <w:p w14:paraId="5EF10719" w14:textId="4B158877" w:rsidR="00A669AD" w:rsidRDefault="00A669AD" w:rsidP="00A669AD">
      <w:r w:rsidRPr="00A85401">
        <w:rPr>
          <w:b/>
          <w:bCs/>
        </w:rPr>
        <w:t xml:space="preserve">Virtual </w:t>
      </w:r>
      <w:r>
        <w:rPr>
          <w:b/>
          <w:bCs/>
        </w:rPr>
        <w:t>r</w:t>
      </w:r>
      <w:r w:rsidRPr="00A85401">
        <w:rPr>
          <w:b/>
          <w:bCs/>
        </w:rPr>
        <w:t>eality and cloud gaming</w:t>
      </w:r>
      <w:r>
        <w:t>: New ITU standards introduce the factors influencing QoE for virtual reality services (G.1035), an opinion model predicting QoE for cloud gaming services (G.1072), and dimension-based subjective quality evaluation for video content considering five perceptual dimensions (P.918).</w:t>
      </w:r>
    </w:p>
    <w:p w14:paraId="5FAA3AFF" w14:textId="77777777" w:rsidR="00A669AD" w:rsidRDefault="00A669AD" w:rsidP="00A669AD">
      <w:r w:rsidRPr="00A85401">
        <w:rPr>
          <w:b/>
          <w:bCs/>
        </w:rPr>
        <w:t>Intelligent transport systems:</w:t>
      </w:r>
      <w:r>
        <w:t xml:space="preserve"> New ITU standards describe security threats to connected vehicles (X.1371) and provide security guidelines for V2X (vehicle-to-everything) communication (X.1372), QoE metrics for mobile telephony communication during rail travel (G.1034), an in-car communication audio specification for travellers’ safety (P.1150), and use cases and requirements for vehicular multimedia networks (F.749.3).</w:t>
      </w:r>
    </w:p>
    <w:p w14:paraId="20A63E93" w14:textId="77777777" w:rsidR="00A669AD" w:rsidRDefault="00A669AD" w:rsidP="00A669AD">
      <w:r w:rsidRPr="00A85401">
        <w:rPr>
          <w:b/>
          <w:bCs/>
        </w:rPr>
        <w:t>Quantum information technology:</w:t>
      </w:r>
      <w:r>
        <w:t xml:space="preserve"> A new ITU standard provides functional requirements for quantum key distribution (QKD) networks (Y.3801) and a new Technical Report highlights security considerations for QKD networks (TR.sec-qkd).</w:t>
      </w:r>
    </w:p>
    <w:p w14:paraId="24BB637F" w14:textId="77777777" w:rsidR="00A669AD" w:rsidRDefault="00A669AD" w:rsidP="00A669AD">
      <w:r w:rsidRPr="00A85401">
        <w:rPr>
          <w:b/>
          <w:bCs/>
        </w:rPr>
        <w:t>Personal data protection:</w:t>
      </w:r>
      <w:r>
        <w:t xml:space="preserve"> A new ITU standard provides the technical framework of handling systems for personally identifiable information in IoT environments (X.1363). </w:t>
      </w:r>
    </w:p>
    <w:p w14:paraId="43E4CDA9" w14:textId="77777777" w:rsidR="00A669AD" w:rsidRDefault="00A669AD" w:rsidP="00A669AD">
      <w:r w:rsidRPr="00A85401">
        <w:rPr>
          <w:b/>
          <w:bCs/>
        </w:rPr>
        <w:t>Cloud computing security:</w:t>
      </w:r>
      <w:r>
        <w:t xml:space="preserve"> New ITU standards address the security of network as a service (X.1604) and public infrastructure as a service (X.1605).</w:t>
      </w:r>
    </w:p>
    <w:p w14:paraId="3BB2B405" w14:textId="77777777" w:rsidR="00A669AD" w:rsidRDefault="00A669AD" w:rsidP="00A669AD">
      <w:r w:rsidRPr="00A85401">
        <w:rPr>
          <w:b/>
          <w:bCs/>
        </w:rPr>
        <w:t xml:space="preserve">Identifiers for unmanned aerial vehicles: </w:t>
      </w:r>
      <w:r>
        <w:t xml:space="preserve">A new ITU standard provides an identification mechanism for unmanned aerial vehicles using object identifiers (X.677).  </w:t>
      </w:r>
    </w:p>
    <w:p w14:paraId="51B105AC" w14:textId="734394C2" w:rsidR="00A669AD" w:rsidRDefault="00A669AD" w:rsidP="00A669AD">
      <w:r>
        <w:rPr>
          <w:b/>
          <w:bCs/>
        </w:rPr>
        <w:t>D</w:t>
      </w:r>
      <w:r w:rsidRPr="00A85401">
        <w:rPr>
          <w:b/>
          <w:bCs/>
        </w:rPr>
        <w:t>istributed ledger technology (DLT):</w:t>
      </w:r>
      <w:r>
        <w:t xml:space="preserve"> New ITU standards provide requirements for distributed ledger systems (F.751.0), assessment criteria for DLT platforms (F.751.1), a reference framework for DLTs (F.751.2), a security framework for DLT (X.1402), and security guidelines for using DLT for decentralized identity management (X.1403)</w:t>
      </w:r>
      <w:r w:rsidR="004632C0">
        <w:t xml:space="preserve">, and </w:t>
      </w:r>
      <w:r w:rsidR="004632C0" w:rsidRPr="0083EB5B">
        <w:rPr>
          <w:lang w:val="en-GB"/>
        </w:rPr>
        <w:t>in cloud computing context blockchain as a service (Y.3530)</w:t>
      </w:r>
      <w:r>
        <w:t xml:space="preserve">. </w:t>
      </w:r>
    </w:p>
    <w:p w14:paraId="0F3379DE" w14:textId="77777777" w:rsidR="00A669AD" w:rsidRDefault="00A669AD" w:rsidP="00A669AD">
      <w:r>
        <w:rPr>
          <w:b/>
          <w:bCs/>
        </w:rPr>
        <w:t xml:space="preserve">DLT </w:t>
      </w:r>
      <w:r w:rsidRPr="00A85401">
        <w:rPr>
          <w:b/>
          <w:bCs/>
        </w:rPr>
        <w:t>for cities:</w:t>
      </w:r>
      <w:r>
        <w:t xml:space="preserve"> New ITU standards address blockchain of things as a decentralized service platform (Y.4464), blockchain-based data exchange and sharing (Y.4560) and blockchain-based data management (Y.4561), and blockchain-based unified Key Performance Indicator data management (Y.4907). A new Supplement data processing and management aspects of </w:t>
      </w:r>
      <w:r w:rsidRPr="00D46955">
        <w:t xml:space="preserve">blockchain for </w:t>
      </w:r>
      <w:r>
        <w:t xml:space="preserve">IoT </w:t>
      </w:r>
      <w:r w:rsidRPr="00D46955">
        <w:t xml:space="preserve">and smart cities </w:t>
      </w:r>
      <w:r>
        <w:t xml:space="preserve">(Y.Suppl.62). </w:t>
      </w:r>
    </w:p>
    <w:p w14:paraId="44D70015" w14:textId="77777777" w:rsidR="00A669AD" w:rsidRDefault="00A669AD" w:rsidP="00A669AD">
      <w:r w:rsidRPr="00A85401">
        <w:rPr>
          <w:b/>
          <w:bCs/>
        </w:rPr>
        <w:t>Environment and circular economy:</w:t>
      </w:r>
      <w:r>
        <w:t xml:space="preserve"> New ITU standards provide an assessment method for circular scoring (L.1023) and provide for the assessment and scoring of the sustainability performance of office buildings (L.1371). </w:t>
      </w:r>
    </w:p>
    <w:p w14:paraId="072AF595" w14:textId="77777777" w:rsidR="00A669AD" w:rsidRDefault="00A669AD" w:rsidP="00A669AD">
      <w:r w:rsidRPr="00A85401">
        <w:rPr>
          <w:b/>
          <w:bCs/>
        </w:rPr>
        <w:t>Energy efficiency:</w:t>
      </w:r>
      <w:r>
        <w:t xml:space="preserve"> New ITU standards address smart energy management for datacentres (ITU-T L.1381) and telecommunication rooms (ITU-T L.1382).</w:t>
      </w:r>
    </w:p>
    <w:p w14:paraId="161C0157" w14:textId="3F7F498E" w:rsidR="00A669AD" w:rsidRDefault="00A669AD" w:rsidP="00A669AD">
      <w:r w:rsidRPr="00A85401">
        <w:rPr>
          <w:b/>
          <w:bCs/>
        </w:rPr>
        <w:t>Climate change:</w:t>
      </w:r>
      <w:r>
        <w:t xml:space="preserve"> A new Supplement (ITU-T L.Suppl.37) provides guidance to operators of mobile networks, fixed networks and datacentres on setting 1.5°C-aligned targets compliant with L.1470. L.1470)</w:t>
      </w:r>
      <w:r w:rsidR="00D07B25">
        <w:t xml:space="preserve"> </w:t>
      </w:r>
      <w:r>
        <w:t>highlights that compliance with the UNFCCC Paris Agreement will require the ICT industry to reduce GHG emissions by 45 per cent from 2020 to 2030. The recommended emission-</w:t>
      </w:r>
      <w:r>
        <w:lastRenderedPageBreak/>
        <w:t>reduction targets are the first targets specific to the ICT industry to be approved by the Science Based Target Initiative (SBTi).</w:t>
      </w:r>
    </w:p>
    <w:p w14:paraId="4B6C2086" w14:textId="77777777" w:rsidR="00A669AD" w:rsidRDefault="00A669AD" w:rsidP="00A669AD">
      <w:r w:rsidRPr="00A85401">
        <w:rPr>
          <w:b/>
          <w:bCs/>
        </w:rPr>
        <w:t>Internet of Things:</w:t>
      </w:r>
      <w:r>
        <w:t xml:space="preserve"> New ITU standards address IoT requirements for the support of edge computing (Y.4208), universal communication modules of mobile IoT devices (Y.4210), digital entity architecture for IoT interoperability (Y.4459) and combatting counterfeiting in IoT (Y.4808), open IoT identity correlation service (Y.4462), delegation services for IoT devices (Y.4463), IoT services based on Visible Light Communications (Y.4465 and Y.4474), spare computational capability exposure of IoT devices for smart homes (Y.4469), SensorThings API – Sensing (Y.4473), lightweight intelligent software for IoT devices (Y.4475), agility by design for ICT systems security used in IoT (Y.4807), security for narrowband IoT (X.1364), security for smart metering services in smart grids (X.1332), and identity-based cryptography in support of IoT services (X.1365).</w:t>
      </w:r>
    </w:p>
    <w:p w14:paraId="0E289E2F" w14:textId="77777777" w:rsidR="00A669AD" w:rsidRDefault="00A669AD" w:rsidP="00A669AD">
      <w:r w:rsidRPr="00A85401">
        <w:rPr>
          <w:b/>
          <w:bCs/>
        </w:rPr>
        <w:t>Smart sustainable cities:</w:t>
      </w:r>
      <w:r>
        <w:t xml:space="preserve"> New ITU standards address the interoperation of smart ports with smart cities (Y.4209), open data in smart cities (ITU-T Y.4461), smart greenhouse services (Y.4466), data structure and data transfer protocol for automotive emergency response systems (Y.4467 and Y.4468), AI service exposure for smart cities (Y.4470), and smart fire smoke detection services (Y.4558),</w:t>
      </w:r>
    </w:p>
    <w:p w14:paraId="47491AF6" w14:textId="77777777" w:rsidR="00A669AD" w:rsidRDefault="00A669AD" w:rsidP="00A669AD">
      <w:r w:rsidRPr="00A85401">
        <w:rPr>
          <w:b/>
          <w:bCs/>
        </w:rPr>
        <w:t>ICT device theft:</w:t>
      </w:r>
      <w:r>
        <w:t xml:space="preserve"> A new ITU standard provides a framework for combating the use of stolen mobile devices (Q.5051) and a new Technical Report considers the reliability of IMEI (</w:t>
      </w:r>
      <w:r w:rsidRPr="00833403">
        <w:t>QTR-RLB-IMEI</w:t>
      </w:r>
      <w:r>
        <w:t xml:space="preserve">). </w:t>
      </w:r>
    </w:p>
    <w:p w14:paraId="5A9C1772" w14:textId="1135AF28" w:rsidR="00A669AD" w:rsidRDefault="00A669AD" w:rsidP="00A669AD">
      <w:r w:rsidRPr="00A85401">
        <w:rPr>
          <w:b/>
          <w:bCs/>
        </w:rPr>
        <w:t>Big data:</w:t>
      </w:r>
      <w:r>
        <w:t xml:space="preserve"> New ITU standards provide the requirements of big data driven networking (Y.3652) and data preservation (Y.3604). A new Supplement assesses the status of big data adoption in developing countries following a survey of ITU-T members (Y.Suppl.65)</w:t>
      </w:r>
      <w:r w:rsidR="00CD62D3">
        <w:t>.</w:t>
      </w:r>
    </w:p>
    <w:p w14:paraId="313C6694" w14:textId="56BE2B69" w:rsidR="00A669AD" w:rsidRDefault="00A669AD" w:rsidP="00A669AD">
      <w:r w:rsidRPr="00A85401">
        <w:rPr>
          <w:b/>
          <w:bCs/>
        </w:rPr>
        <w:t>Accessibility:</w:t>
      </w:r>
      <w:r>
        <w:t xml:space="preserve"> A revised ITU standard provides accessibil</w:t>
      </w:r>
      <w:r w:rsidR="0085423D">
        <w:t>i</w:t>
      </w:r>
      <w:r>
        <w:t xml:space="preserve">ty profiles for IPTV systems (H.702 (V2)) and new ITU standards address annotation methods for biosignal data (H.862.2), voice management interfaces for human-care services (H.862.3), and information service systems for visually impaired persons (F.922). New Technical Papers provide a guideline on web-based remote sign language interpretation (FSTP.ACC-WebVRI) and an overview of assistive listening systems (FSTP-ACC-ALD).  </w:t>
      </w:r>
    </w:p>
    <w:p w14:paraId="75380066" w14:textId="77777777" w:rsidR="00A669AD" w:rsidRDefault="00A669AD" w:rsidP="00A669AD">
      <w:r w:rsidRPr="00A85401">
        <w:rPr>
          <w:b/>
          <w:bCs/>
        </w:rPr>
        <w:t>Telecoms management:</w:t>
      </w:r>
      <w:r>
        <w:t xml:space="preserve"> New ITU standards provide requirements for telecommunication anti-fraud management in the TMN (M.3362), data management in the TMN (M.3363) and on-site telecommunication smart maintenance management function (M.3364). New ITU standards also provide a generic information model for on-site telecommunication smart maintenance (M.3164) and framework of smart operation, management and maintenance (M.3041).</w:t>
      </w:r>
    </w:p>
    <w:p w14:paraId="00743195" w14:textId="77777777" w:rsidR="00A669AD" w:rsidRDefault="00A669AD" w:rsidP="00A669AD">
      <w:r w:rsidRPr="00A85401">
        <w:rPr>
          <w:b/>
          <w:bCs/>
        </w:rPr>
        <w:t>Numbering resources for trials:</w:t>
      </w:r>
      <w:r>
        <w:t xml:space="preserve"> Revised ITU standards provide criteria and procedures for temporary allocations of E.164 numbering resources (E.164.2) and temporary allocations of MNCs within the shared MCC 991 (E.212 Amd.2) for international non-commercial trials.</w:t>
      </w:r>
    </w:p>
    <w:p w14:paraId="049EE398" w14:textId="77777777" w:rsidR="00A669AD" w:rsidRDefault="00A669AD" w:rsidP="00A669AD">
      <w:r w:rsidRPr="00A85401">
        <w:rPr>
          <w:b/>
          <w:bCs/>
        </w:rPr>
        <w:t>Codes for M2M/IoT and emergency services:</w:t>
      </w:r>
      <w:r>
        <w:t xml:space="preserve"> A new Supplement defines criteria for assigning E.164 identification codes and E.212 Mobile Network Codes under shared MCCs for M2M/IoT services (E.Suppl.11). A new Technical report provides an overview of a technical solution for identifying the call location in support of emergency services (TR.CLE).</w:t>
      </w:r>
    </w:p>
    <w:p w14:paraId="5E8DF61D" w14:textId="77777777" w:rsidR="00A669AD" w:rsidRDefault="00A669AD" w:rsidP="00A669AD">
      <w:r w:rsidRPr="00A85401">
        <w:rPr>
          <w:b/>
          <w:bCs/>
        </w:rPr>
        <w:t>Economic and policy issues:</w:t>
      </w:r>
      <w:r>
        <w:t xml:space="preserve"> New ITU standards describe shared uses of telecommunication infrastructure as possible methods for enhancing the efficiency of telecommunications (D.264), optimizing terrestrial cable utilization across multiple countries to boost regional and international connectivity (D.265), an enabling environment for voluntary commercial arrangements between telecommunications network operators and over-the-top application providers (D.266), and a policy </w:t>
      </w:r>
      <w:r>
        <w:lastRenderedPageBreak/>
        <w:t>framework including principles for digital identity infrastructure (D.267/X.1261). A new Supplement describes principles for increased adoption and use of mobile financial services through effective consumer protection mechanisms (D.Suppl.4).</w:t>
      </w:r>
    </w:p>
    <w:p w14:paraId="0727AF35" w14:textId="77777777" w:rsidR="00A669AD" w:rsidRDefault="00A669AD" w:rsidP="00A669AD">
      <w:r w:rsidRPr="00A85401">
        <w:rPr>
          <w:b/>
          <w:bCs/>
        </w:rPr>
        <w:t>Broadband cable and TV:</w:t>
      </w:r>
      <w:r>
        <w:t xml:space="preserve"> New ITU standards address IP cable modems with the fourth and fifth generations of transmission systems for interactive cable television services (J.225 and J.224), embedded common interface for exchangeable conditional access / digital rights management solutions (J.112, J.113, J.114, J.115 and J.115.1), downloadable conditional access system for bidirectional networks (J.1031, J.1032 and J.1033), smart TV operating systems (J.1203 and J.1204), the remote management of cable set-top boxes by auto configuration server (J.299), and IP video broadcast for CATV networks (J.1211).</w:t>
      </w:r>
    </w:p>
    <w:p w14:paraId="1879315D" w14:textId="77777777" w:rsidR="00A669AD" w:rsidRDefault="00A669AD" w:rsidP="00A669AD">
      <w:r w:rsidRPr="00A85401">
        <w:rPr>
          <w:b/>
          <w:bCs/>
        </w:rPr>
        <w:t>Protocols and test specs:</w:t>
      </w:r>
      <w:r>
        <w:t xml:space="preserve"> A new ITU standard addresses signalling for distributed infrastructure ENUM networking for IMS (Q.3643) and a new Supplement addresses signalling for IMS emergency telecommunications (Q.Suppl.72). New ITU standards also address interconnection between trustable network entities (Q.3057), energy-efficient device-to-device communication for 5G (Q.5022), time constraint IoT-based applications over SDN (Q.3745), managed P2P communications (Q.609.5), and the compatibility testing of SDN-based equipment using OpenFlow protocol (Q.3963).</w:t>
      </w:r>
    </w:p>
    <w:p w14:paraId="528C7A13" w14:textId="445E3A82" w:rsidR="00136E7B" w:rsidRPr="00B80F73" w:rsidRDefault="00136E7B" w:rsidP="00136E7B">
      <w:pPr>
        <w:rPr>
          <w:lang w:val="fr-FR"/>
        </w:rPr>
      </w:pPr>
      <w:r w:rsidRPr="00B80F73">
        <w:rPr>
          <w:lang w:val="fr-FR"/>
        </w:rPr>
        <w:t xml:space="preserve">Active ITU-T Focus Groups (see section </w:t>
      </w:r>
      <w:r w:rsidR="00937DD0" w:rsidRPr="00B80F73">
        <w:rPr>
          <w:lang w:val="fr-FR"/>
        </w:rPr>
        <w:t>6</w:t>
      </w:r>
      <w:r w:rsidRPr="00B80F73">
        <w:rPr>
          <w:lang w:val="fr-FR"/>
        </w:rPr>
        <w:t>):</w:t>
      </w:r>
    </w:p>
    <w:p w14:paraId="723400EB" w14:textId="77777777" w:rsidR="00136E7B" w:rsidRPr="00B80F73" w:rsidRDefault="00E12FA7" w:rsidP="0063096B">
      <w:pPr>
        <w:numPr>
          <w:ilvl w:val="0"/>
          <w:numId w:val="30"/>
        </w:numPr>
        <w:rPr>
          <w:lang w:val="en-GB"/>
        </w:rPr>
      </w:pPr>
      <w:hyperlink r:id="rId42" w:history="1">
        <w:r w:rsidR="00136E7B" w:rsidRPr="00B80F73">
          <w:rPr>
            <w:rStyle w:val="Hyperlink"/>
            <w:lang w:val="en-GB"/>
          </w:rPr>
          <w:t>AI for Health</w:t>
        </w:r>
      </w:hyperlink>
    </w:p>
    <w:p w14:paraId="2FE773B5" w14:textId="77777777" w:rsidR="00136E7B" w:rsidRPr="00B80F73" w:rsidRDefault="00E12FA7" w:rsidP="0063096B">
      <w:pPr>
        <w:numPr>
          <w:ilvl w:val="0"/>
          <w:numId w:val="30"/>
        </w:numPr>
        <w:rPr>
          <w:lang w:val="en-GB"/>
        </w:rPr>
      </w:pPr>
      <w:hyperlink r:id="rId43" w:history="1">
        <w:r w:rsidR="00136E7B" w:rsidRPr="00B80F73">
          <w:rPr>
            <w:rStyle w:val="Hyperlink"/>
            <w:lang w:val="en-GB"/>
          </w:rPr>
          <w:t>Vehicular Multimedia</w:t>
        </w:r>
      </w:hyperlink>
    </w:p>
    <w:p w14:paraId="2DB021E3" w14:textId="77777777" w:rsidR="00136E7B" w:rsidRPr="00B80F73" w:rsidRDefault="00E12FA7" w:rsidP="0063096B">
      <w:pPr>
        <w:numPr>
          <w:ilvl w:val="0"/>
          <w:numId w:val="30"/>
        </w:numPr>
        <w:rPr>
          <w:rStyle w:val="Hyperlink"/>
          <w:color w:val="auto"/>
          <w:u w:val="none"/>
          <w:lang w:val="en-GB"/>
        </w:rPr>
      </w:pPr>
      <w:hyperlink r:id="rId44" w:history="1">
        <w:r w:rsidR="00136E7B" w:rsidRPr="00B80F73">
          <w:rPr>
            <w:rStyle w:val="Hyperlink"/>
            <w:lang w:val="en-GB"/>
          </w:rPr>
          <w:t>Environmental Efficiency for AI and other Emerging Technologies</w:t>
        </w:r>
      </w:hyperlink>
    </w:p>
    <w:p w14:paraId="5910DCE0" w14:textId="77777777" w:rsidR="00136E7B" w:rsidRPr="00B80F73" w:rsidRDefault="00E12FA7" w:rsidP="0063096B">
      <w:pPr>
        <w:numPr>
          <w:ilvl w:val="0"/>
          <w:numId w:val="30"/>
        </w:numPr>
        <w:rPr>
          <w:rStyle w:val="Strong"/>
          <w:b w:val="0"/>
          <w:lang w:val="en-GB"/>
        </w:rPr>
      </w:pPr>
      <w:hyperlink r:id="rId45" w:history="1">
        <w:r w:rsidR="00136E7B" w:rsidRPr="00B80F73">
          <w:rPr>
            <w:rStyle w:val="Hyperlink"/>
          </w:rPr>
          <w:t>AI for Autonomous and Assisted Driving</w:t>
        </w:r>
      </w:hyperlink>
    </w:p>
    <w:p w14:paraId="76F66E4A" w14:textId="77777777" w:rsidR="00136E7B" w:rsidRPr="00B80F73" w:rsidRDefault="00E12FA7" w:rsidP="0063096B">
      <w:pPr>
        <w:numPr>
          <w:ilvl w:val="0"/>
          <w:numId w:val="30"/>
        </w:numPr>
        <w:rPr>
          <w:lang w:val="en-GB"/>
        </w:rPr>
      </w:pPr>
      <w:hyperlink r:id="rId46" w:history="1">
        <w:r w:rsidR="00136E7B" w:rsidRPr="00B80F73">
          <w:rPr>
            <w:rStyle w:val="Hyperlink"/>
          </w:rPr>
          <w:t>Quantum Information Technology for Networks</w:t>
        </w:r>
      </w:hyperlink>
    </w:p>
    <w:p w14:paraId="7EDD09E5" w14:textId="3E29572A" w:rsidR="00BA3326" w:rsidRDefault="00BA3326" w:rsidP="00136E7B">
      <w:pPr>
        <w:pStyle w:val="Heading1"/>
        <w:rPr>
          <w:rFonts w:eastAsiaTheme="minorEastAsia"/>
        </w:rPr>
      </w:pPr>
      <w:bookmarkStart w:id="36" w:name="_2.8_IPTV_and"/>
      <w:bookmarkStart w:id="37" w:name="a353677d2-7347-4cd3-8301-15d8ee365aeb"/>
      <w:bookmarkStart w:id="38" w:name="_3.4_e-Health"/>
      <w:bookmarkStart w:id="39" w:name="_3.6_Aviation_applications"/>
      <w:bookmarkStart w:id="40" w:name="_Toc51331485"/>
      <w:bookmarkStart w:id="41" w:name="_Toc416161352"/>
      <w:bookmarkStart w:id="42" w:name="_Toc438553972"/>
      <w:bookmarkStart w:id="43" w:name="_Toc453929091"/>
      <w:bookmarkStart w:id="44" w:name="_Toc453932962"/>
      <w:bookmarkStart w:id="45" w:name="_Toc454295868"/>
      <w:bookmarkStart w:id="46" w:name="_Toc462664223"/>
      <w:bookmarkStart w:id="47" w:name="_Toc480527817"/>
      <w:bookmarkEnd w:id="25"/>
      <w:bookmarkEnd w:id="26"/>
      <w:bookmarkEnd w:id="27"/>
      <w:bookmarkEnd w:id="28"/>
      <w:bookmarkEnd w:id="29"/>
      <w:bookmarkEnd w:id="30"/>
      <w:bookmarkEnd w:id="31"/>
      <w:bookmarkEnd w:id="32"/>
      <w:bookmarkEnd w:id="33"/>
      <w:bookmarkEnd w:id="35"/>
      <w:bookmarkEnd w:id="36"/>
      <w:bookmarkEnd w:id="37"/>
      <w:bookmarkEnd w:id="38"/>
      <w:bookmarkEnd w:id="39"/>
      <w:r>
        <w:rPr>
          <w:rFonts w:eastAsiaTheme="minorEastAsia"/>
        </w:rPr>
        <w:t>2</w:t>
      </w:r>
      <w:r>
        <w:rPr>
          <w:rFonts w:eastAsiaTheme="minorEastAsia"/>
        </w:rPr>
        <w:tab/>
        <w:t>ITU-T under COVID-19</w:t>
      </w:r>
      <w:bookmarkEnd w:id="40"/>
    </w:p>
    <w:p w14:paraId="1047CD4F" w14:textId="77777777" w:rsidR="00A669AD" w:rsidRDefault="0093446E" w:rsidP="00A669AD">
      <w:pPr>
        <w:spacing w:after="240"/>
        <w:ind w:left="-425" w:right="-471"/>
        <w:rPr>
          <w:rFonts w:eastAsia="SimSun"/>
          <w:lang w:eastAsia="ja-JP"/>
        </w:rPr>
      </w:pPr>
      <w:r w:rsidRPr="0093446E">
        <w:rPr>
          <w:rFonts w:eastAsia="SimSun"/>
          <w:lang w:eastAsia="ja-JP"/>
        </w:rPr>
        <w:t xml:space="preserve">2020 has highlighted the value of ITU-T’s electronic working environment. </w:t>
      </w:r>
    </w:p>
    <w:p w14:paraId="59E4C911" w14:textId="517BAA79" w:rsidR="0093446E" w:rsidRDefault="0093446E" w:rsidP="00A669AD">
      <w:pPr>
        <w:spacing w:after="240"/>
        <w:ind w:left="-425" w:right="-471"/>
        <w:rPr>
          <w:rFonts w:eastAsia="SimSun"/>
          <w:lang w:eastAsia="ja-JP"/>
        </w:rPr>
      </w:pPr>
      <w:r w:rsidRPr="0093446E">
        <w:rPr>
          <w:rFonts w:eastAsia="SimSun"/>
          <w:lang w:eastAsia="ja-JP"/>
        </w:rPr>
        <w:t xml:space="preserve">Virtual meetings and electronic working methods have come to form the principal platform for ITU standardization work as part of the global response to COVID-19. ITU members engaged in standards development and preparations for the ITU World Telecommuncation Standardization Assembly (WTSA-20) are making optimal use of the personalized </w:t>
      </w:r>
      <w:hyperlink r:id="rId47" w:history="1">
        <w:r w:rsidRPr="0093446E">
          <w:rPr>
            <w:rStyle w:val="Hyperlink"/>
            <w:rFonts w:eastAsia="SimSun"/>
            <w:lang w:val="en-GB" w:eastAsia="ja-JP"/>
          </w:rPr>
          <w:t>MyWorkspace</w:t>
        </w:r>
      </w:hyperlink>
      <w:r w:rsidRPr="0093446E">
        <w:rPr>
          <w:rFonts w:eastAsia="SimSun"/>
          <w:lang w:val="en-GB" w:eastAsia="ja-JP"/>
        </w:rPr>
        <w:t xml:space="preserve"> </w:t>
      </w:r>
      <w:r w:rsidRPr="0093446E">
        <w:rPr>
          <w:rFonts w:eastAsia="SimSun"/>
          <w:lang w:eastAsia="ja-JP"/>
        </w:rPr>
        <w:t>platform and associated TSB services and tools</w:t>
      </w:r>
      <w:r w:rsidR="00BD2669">
        <w:rPr>
          <w:rFonts w:eastAsia="SimSun"/>
          <w:lang w:eastAsia="ja-JP"/>
        </w:rPr>
        <w:t xml:space="preserve"> such as MyMeetings</w:t>
      </w:r>
      <w:r w:rsidRPr="0093446E">
        <w:rPr>
          <w:rFonts w:eastAsia="SimSun"/>
          <w:lang w:eastAsia="ja-JP"/>
        </w:rPr>
        <w:t>.</w:t>
      </w:r>
    </w:p>
    <w:p w14:paraId="10ECE9D8" w14:textId="4B679EDD" w:rsidR="0077193A" w:rsidRPr="00740215" w:rsidRDefault="00A355CE" w:rsidP="78644C3F">
      <w:pPr>
        <w:spacing w:after="240"/>
        <w:ind w:left="-425" w:right="-471"/>
        <w:rPr>
          <w:rFonts w:eastAsia="SimSun"/>
          <w:lang w:eastAsia="ja-JP"/>
        </w:rPr>
      </w:pPr>
      <w:r w:rsidRPr="78644C3F">
        <w:rPr>
          <w:rFonts w:eastAsia="SimSun"/>
          <w:lang w:eastAsia="ja-JP"/>
        </w:rPr>
        <w:t>With the continu</w:t>
      </w:r>
      <w:r w:rsidR="00BD2669">
        <w:rPr>
          <w:rFonts w:eastAsia="SimSun"/>
          <w:lang w:eastAsia="ja-JP"/>
        </w:rPr>
        <w:t>ed</w:t>
      </w:r>
      <w:r w:rsidRPr="78644C3F">
        <w:rPr>
          <w:rFonts w:eastAsia="SimSun"/>
          <w:lang w:eastAsia="ja-JP"/>
        </w:rPr>
        <w:t xml:space="preserve"> </w:t>
      </w:r>
      <w:r w:rsidR="00043952" w:rsidRPr="78644C3F">
        <w:rPr>
          <w:rFonts w:eastAsia="SimSun"/>
          <w:lang w:eastAsia="ja-JP"/>
        </w:rPr>
        <w:t xml:space="preserve">and evolving </w:t>
      </w:r>
      <w:r w:rsidRPr="78644C3F">
        <w:rPr>
          <w:rFonts w:eastAsia="SimSun"/>
          <w:lang w:eastAsia="ja-JP"/>
        </w:rPr>
        <w:t>threat of COVID-19 since mid</w:t>
      </w:r>
      <w:r w:rsidR="00BD2669">
        <w:rPr>
          <w:rFonts w:eastAsia="SimSun"/>
          <w:lang w:eastAsia="ja-JP"/>
        </w:rPr>
        <w:t>-</w:t>
      </w:r>
      <w:r w:rsidRPr="78644C3F">
        <w:rPr>
          <w:rFonts w:eastAsia="SimSun"/>
          <w:lang w:eastAsia="ja-JP"/>
        </w:rPr>
        <w:t>January 2020, ITU-T meetings</w:t>
      </w:r>
      <w:r w:rsidR="00043952" w:rsidRPr="78644C3F">
        <w:rPr>
          <w:rFonts w:eastAsia="SimSun"/>
          <w:lang w:eastAsia="ja-JP"/>
        </w:rPr>
        <w:t xml:space="preserve"> first provided </w:t>
      </w:r>
      <w:r w:rsidR="611CD39F" w:rsidRPr="78644C3F">
        <w:rPr>
          <w:rFonts w:eastAsia="SimSun"/>
          <w:lang w:eastAsia="ja-JP"/>
        </w:rPr>
        <w:t>facilities</w:t>
      </w:r>
      <w:r w:rsidR="00043952" w:rsidRPr="78644C3F">
        <w:rPr>
          <w:rFonts w:eastAsia="SimSun"/>
          <w:lang w:eastAsia="ja-JP"/>
        </w:rPr>
        <w:t xml:space="preserve"> for remote participation in addition to physical attendance</w:t>
      </w:r>
      <w:r w:rsidR="00BD2669">
        <w:rPr>
          <w:rFonts w:eastAsia="SimSun"/>
          <w:lang w:eastAsia="ja-JP"/>
        </w:rPr>
        <w:t>. W</w:t>
      </w:r>
      <w:r w:rsidR="00043952" w:rsidRPr="78644C3F">
        <w:rPr>
          <w:rFonts w:eastAsia="SimSun"/>
          <w:lang w:eastAsia="ja-JP"/>
        </w:rPr>
        <w:t xml:space="preserve">ith </w:t>
      </w:r>
      <w:r w:rsidR="0077193A" w:rsidRPr="78644C3F">
        <w:rPr>
          <w:rFonts w:eastAsia="SimSun"/>
          <w:lang w:eastAsia="ja-JP"/>
        </w:rPr>
        <w:t>the “force majeure” of COVID-19 in Switzerland and around the world</w:t>
      </w:r>
      <w:r w:rsidR="00B866DD">
        <w:rPr>
          <w:rFonts w:eastAsia="SimSun"/>
          <w:lang w:eastAsia="ja-JP"/>
        </w:rPr>
        <w:t>,</w:t>
      </w:r>
      <w:r w:rsidR="00BD2669">
        <w:rPr>
          <w:rFonts w:eastAsia="SimSun"/>
          <w:lang w:eastAsia="ja-JP"/>
        </w:rPr>
        <w:t xml:space="preserve"> </w:t>
      </w:r>
      <w:r w:rsidR="0077193A" w:rsidRPr="78644C3F">
        <w:rPr>
          <w:rFonts w:eastAsia="SimSun"/>
          <w:lang w:eastAsia="ja-JP"/>
        </w:rPr>
        <w:t xml:space="preserve">and </w:t>
      </w:r>
      <w:r w:rsidR="00BD2669">
        <w:rPr>
          <w:rFonts w:eastAsia="SimSun"/>
          <w:lang w:eastAsia="ja-JP"/>
        </w:rPr>
        <w:t xml:space="preserve">the introduction of associated </w:t>
      </w:r>
      <w:r w:rsidR="0077193A" w:rsidRPr="78644C3F">
        <w:rPr>
          <w:rFonts w:eastAsia="SimSun"/>
          <w:lang w:eastAsia="ja-JP"/>
        </w:rPr>
        <w:t xml:space="preserve">measures to control the </w:t>
      </w:r>
      <w:r w:rsidR="148B1A31" w:rsidRPr="7C7BE26A">
        <w:rPr>
          <w:rFonts w:eastAsia="SimSun"/>
          <w:lang w:eastAsia="ja-JP"/>
        </w:rPr>
        <w:t>pandemi</w:t>
      </w:r>
      <w:r w:rsidR="00B866DD">
        <w:rPr>
          <w:rFonts w:eastAsia="SimSun"/>
          <w:lang w:eastAsia="ja-JP"/>
        </w:rPr>
        <w:t xml:space="preserve">c </w:t>
      </w:r>
      <w:r w:rsidR="00BD2669">
        <w:rPr>
          <w:rFonts w:eastAsia="SimSun"/>
          <w:lang w:eastAsia="ja-JP"/>
        </w:rPr>
        <w:t xml:space="preserve">beginning </w:t>
      </w:r>
      <w:r w:rsidR="00BD2669" w:rsidRPr="78644C3F">
        <w:rPr>
          <w:rFonts w:eastAsia="SimSun"/>
          <w:lang w:eastAsia="ja-JP"/>
        </w:rPr>
        <w:t>12 March 2020</w:t>
      </w:r>
      <w:r w:rsidR="00B866DD">
        <w:rPr>
          <w:rFonts w:eastAsia="SimSun"/>
          <w:lang w:eastAsia="ja-JP"/>
        </w:rPr>
        <w:t>,</w:t>
      </w:r>
      <w:r w:rsidR="00BD2669" w:rsidRPr="78644C3F">
        <w:rPr>
          <w:rFonts w:eastAsia="SimSun"/>
          <w:lang w:eastAsia="ja-JP"/>
        </w:rPr>
        <w:t xml:space="preserve"> </w:t>
      </w:r>
      <w:r w:rsidR="00043952" w:rsidRPr="78644C3F">
        <w:rPr>
          <w:rFonts w:eastAsia="SimSun"/>
          <w:lang w:eastAsia="ja-JP"/>
        </w:rPr>
        <w:t>ITU-T meetings</w:t>
      </w:r>
      <w:r w:rsidR="0077193A" w:rsidRPr="78644C3F">
        <w:rPr>
          <w:rFonts w:eastAsia="SimSun"/>
          <w:lang w:eastAsia="ja-JP"/>
        </w:rPr>
        <w:t xml:space="preserve"> became </w:t>
      </w:r>
      <w:r w:rsidR="0077193A" w:rsidRPr="00B866DD">
        <w:rPr>
          <w:rFonts w:eastAsia="SimSun"/>
          <w:lang w:eastAsia="ja-JP"/>
        </w:rPr>
        <w:t>fully virtual</w:t>
      </w:r>
      <w:r w:rsidR="0077193A" w:rsidRPr="78644C3F">
        <w:rPr>
          <w:rFonts w:eastAsia="SimSun"/>
          <w:b/>
          <w:bCs/>
          <w:lang w:eastAsia="ja-JP"/>
        </w:rPr>
        <w:t xml:space="preserve"> </w:t>
      </w:r>
      <w:r w:rsidR="0077193A" w:rsidRPr="78644C3F">
        <w:rPr>
          <w:rFonts w:eastAsia="SimSun"/>
          <w:lang w:eastAsia="ja-JP"/>
        </w:rPr>
        <w:t xml:space="preserve">(no physical presence allowed in ITU HQ in Geneva), fellowships </w:t>
      </w:r>
      <w:r w:rsidR="00043952" w:rsidRPr="78644C3F">
        <w:rPr>
          <w:rFonts w:eastAsia="SimSun"/>
          <w:lang w:eastAsia="ja-JP"/>
        </w:rPr>
        <w:t>were</w:t>
      </w:r>
      <w:r w:rsidR="00BD2669">
        <w:rPr>
          <w:rFonts w:eastAsia="SimSun"/>
          <w:lang w:eastAsia="ja-JP"/>
        </w:rPr>
        <w:t xml:space="preserve"> suspended</w:t>
      </w:r>
      <w:r w:rsidR="0077193A" w:rsidRPr="78644C3F">
        <w:rPr>
          <w:rFonts w:eastAsia="SimSun"/>
          <w:lang w:eastAsia="ja-JP"/>
        </w:rPr>
        <w:t xml:space="preserve">, and </w:t>
      </w:r>
      <w:r w:rsidR="0064445B">
        <w:rPr>
          <w:rFonts w:eastAsia="SimSun"/>
          <w:lang w:eastAsia="ja-JP"/>
        </w:rPr>
        <w:t xml:space="preserve">several </w:t>
      </w:r>
      <w:r w:rsidR="00BD2669">
        <w:rPr>
          <w:rFonts w:eastAsia="SimSun"/>
          <w:lang w:eastAsia="ja-JP"/>
        </w:rPr>
        <w:t xml:space="preserve">virtual </w:t>
      </w:r>
      <w:r w:rsidR="0064445B">
        <w:rPr>
          <w:rFonts w:eastAsia="SimSun"/>
          <w:lang w:eastAsia="ja-JP"/>
        </w:rPr>
        <w:t>ITU-T study group meetings</w:t>
      </w:r>
      <w:r w:rsidR="00BD2669">
        <w:rPr>
          <w:rFonts w:eastAsia="SimSun"/>
          <w:lang w:eastAsia="ja-JP"/>
        </w:rPr>
        <w:t xml:space="preserve"> have since operated in English without interpretation.</w:t>
      </w:r>
    </w:p>
    <w:tbl>
      <w:tblPr>
        <w:tblStyle w:val="TableGrid"/>
        <w:tblW w:w="0" w:type="auto"/>
        <w:tblLook w:val="04A0" w:firstRow="1" w:lastRow="0" w:firstColumn="1" w:lastColumn="0" w:noHBand="0" w:noVBand="1"/>
      </w:tblPr>
      <w:tblGrid>
        <w:gridCol w:w="2977"/>
        <w:gridCol w:w="1456"/>
        <w:gridCol w:w="1134"/>
        <w:gridCol w:w="3822"/>
      </w:tblGrid>
      <w:tr w:rsidR="00CD4B5F" w14:paraId="3CF7814E" w14:textId="77777777" w:rsidTr="52AFA42C">
        <w:tc>
          <w:tcPr>
            <w:tcW w:w="2977" w:type="dxa"/>
          </w:tcPr>
          <w:p w14:paraId="6C23F9B1" w14:textId="3D26A39F" w:rsidR="00CD4B5F" w:rsidRPr="009541AB" w:rsidRDefault="00CD4B5F" w:rsidP="009B1798">
            <w:pPr>
              <w:keepNext/>
              <w:keepLines/>
              <w:jc w:val="center"/>
              <w:rPr>
                <w:rFonts w:eastAsiaTheme="minorEastAsia"/>
                <w:b/>
                <w:bCs/>
                <w:lang w:val="en-GB" w:eastAsia="en-US"/>
              </w:rPr>
            </w:pPr>
            <w:r w:rsidRPr="009541AB">
              <w:rPr>
                <w:rFonts w:eastAsiaTheme="minorEastAsia"/>
                <w:b/>
                <w:bCs/>
                <w:lang w:val="en-GB" w:eastAsia="en-US"/>
              </w:rPr>
              <w:lastRenderedPageBreak/>
              <w:t>Place, Dates</w:t>
            </w:r>
          </w:p>
        </w:tc>
        <w:tc>
          <w:tcPr>
            <w:tcW w:w="1455" w:type="dxa"/>
          </w:tcPr>
          <w:p w14:paraId="7AAC979A" w14:textId="3F7DAB4F" w:rsidR="007C6998" w:rsidRPr="009541AB" w:rsidRDefault="007C6998" w:rsidP="007C6998">
            <w:pPr>
              <w:keepNext/>
              <w:keepLines/>
              <w:jc w:val="center"/>
              <w:rPr>
                <w:rFonts w:eastAsiaTheme="minorEastAsia"/>
                <w:b/>
                <w:bCs/>
                <w:lang w:val="en-GB" w:eastAsia="en-US"/>
              </w:rPr>
            </w:pPr>
            <w:r w:rsidRPr="009541AB">
              <w:rPr>
                <w:rFonts w:eastAsiaTheme="minorEastAsia"/>
                <w:b/>
                <w:bCs/>
                <w:lang w:val="en-GB" w:eastAsia="en-US"/>
              </w:rPr>
              <w:t>Meeting</w:t>
            </w:r>
          </w:p>
        </w:tc>
        <w:tc>
          <w:tcPr>
            <w:tcW w:w="1134" w:type="dxa"/>
          </w:tcPr>
          <w:p w14:paraId="3B2EE566" w14:textId="416EB43F" w:rsidR="00CD4B5F" w:rsidRPr="009541AB" w:rsidRDefault="00CD4B5F" w:rsidP="009B1798">
            <w:pPr>
              <w:keepNext/>
              <w:keepLines/>
              <w:jc w:val="center"/>
              <w:rPr>
                <w:rFonts w:eastAsiaTheme="minorEastAsia"/>
                <w:b/>
                <w:bCs/>
                <w:lang w:val="en-GB" w:eastAsia="en-US"/>
              </w:rPr>
            </w:pPr>
            <w:r w:rsidRPr="009541AB">
              <w:rPr>
                <w:rFonts w:eastAsiaTheme="minorEastAsia"/>
                <w:b/>
                <w:bCs/>
                <w:lang w:val="en-GB" w:eastAsia="en-US"/>
              </w:rPr>
              <w:t>Physical, virtual</w:t>
            </w:r>
          </w:p>
        </w:tc>
        <w:tc>
          <w:tcPr>
            <w:tcW w:w="3822" w:type="dxa"/>
          </w:tcPr>
          <w:p w14:paraId="14813C6B" w14:textId="43E40B6D" w:rsidR="00CD4B5F" w:rsidRPr="00CD4B5F" w:rsidRDefault="00CD4B5F" w:rsidP="009B1798">
            <w:pPr>
              <w:keepNext/>
              <w:keepLines/>
              <w:jc w:val="center"/>
              <w:rPr>
                <w:rFonts w:eastAsiaTheme="minorEastAsia"/>
                <w:b/>
                <w:bCs/>
                <w:lang w:val="en-GB" w:eastAsia="en-US"/>
              </w:rPr>
            </w:pPr>
            <w:r w:rsidRPr="00CD4B5F">
              <w:rPr>
                <w:rFonts w:eastAsiaTheme="minorEastAsia"/>
                <w:b/>
                <w:bCs/>
                <w:lang w:val="en-GB" w:eastAsia="en-US"/>
              </w:rPr>
              <w:t>Remarks</w:t>
            </w:r>
          </w:p>
        </w:tc>
      </w:tr>
      <w:tr w:rsidR="00CD4B5F" w14:paraId="40F8D483" w14:textId="77777777" w:rsidTr="52AFA42C">
        <w:tc>
          <w:tcPr>
            <w:tcW w:w="2977" w:type="dxa"/>
          </w:tcPr>
          <w:p w14:paraId="6D646E07" w14:textId="0A6B0C32" w:rsidR="00CD4B5F" w:rsidRDefault="00CD4B5F" w:rsidP="009B1798">
            <w:pPr>
              <w:keepNext/>
              <w:keepLines/>
              <w:rPr>
                <w:rFonts w:eastAsiaTheme="minorEastAsia"/>
                <w:lang w:val="en-GB" w:eastAsia="en-US"/>
              </w:rPr>
            </w:pPr>
            <w:r w:rsidRPr="009541AB">
              <w:rPr>
                <w:rFonts w:eastAsiaTheme="minorEastAsia"/>
                <w:lang w:val="en-GB" w:eastAsia="en-US"/>
              </w:rPr>
              <w:t>Geneva,</w:t>
            </w:r>
            <w:r w:rsidR="00434F49">
              <w:rPr>
                <w:rFonts w:eastAsiaTheme="minorEastAsia"/>
                <w:lang w:val="en-GB" w:eastAsia="en-US"/>
              </w:rPr>
              <w:t xml:space="preserve"> </w:t>
            </w:r>
            <w:r w:rsidRPr="009541AB">
              <w:rPr>
                <w:rFonts w:eastAsiaTheme="minorEastAsia"/>
                <w:lang w:val="en-GB" w:eastAsia="en-US"/>
              </w:rPr>
              <w:t>27 January - 7 February 2020</w:t>
            </w:r>
          </w:p>
        </w:tc>
        <w:tc>
          <w:tcPr>
            <w:tcW w:w="1455" w:type="dxa"/>
          </w:tcPr>
          <w:p w14:paraId="584BA9B6" w14:textId="5321D4B5" w:rsidR="007C6998" w:rsidRDefault="007C6998" w:rsidP="007C6998">
            <w:pPr>
              <w:keepNext/>
              <w:keepLines/>
              <w:rPr>
                <w:rFonts w:eastAsiaTheme="minorEastAsia"/>
                <w:lang w:val="en-GB" w:eastAsia="en-US"/>
              </w:rPr>
            </w:pPr>
            <w:r>
              <w:rPr>
                <w:rFonts w:eastAsiaTheme="minorEastAsia"/>
                <w:lang w:val="en-GB" w:eastAsia="en-US"/>
              </w:rPr>
              <w:t>ITU-T SG15</w:t>
            </w:r>
          </w:p>
        </w:tc>
        <w:tc>
          <w:tcPr>
            <w:tcW w:w="1134" w:type="dxa"/>
          </w:tcPr>
          <w:p w14:paraId="40DDFA5B" w14:textId="7181ABFD" w:rsidR="00CD4B5F" w:rsidRDefault="00CD4B5F" w:rsidP="009B1798">
            <w:pPr>
              <w:keepNext/>
              <w:keepLines/>
              <w:rPr>
                <w:rFonts w:eastAsiaTheme="minorEastAsia"/>
                <w:lang w:val="en-GB" w:eastAsia="en-US"/>
              </w:rPr>
            </w:pPr>
            <w:r>
              <w:rPr>
                <w:rFonts w:eastAsiaTheme="minorEastAsia"/>
                <w:lang w:val="en-GB" w:eastAsia="en-US"/>
              </w:rPr>
              <w:t>Physical</w:t>
            </w:r>
          </w:p>
        </w:tc>
        <w:tc>
          <w:tcPr>
            <w:tcW w:w="3822" w:type="dxa"/>
          </w:tcPr>
          <w:p w14:paraId="34E143F5" w14:textId="690FB16C" w:rsidR="00CD4B5F" w:rsidRDefault="00767586" w:rsidP="009B1798">
            <w:pPr>
              <w:keepNext/>
              <w:keepLines/>
              <w:rPr>
                <w:rFonts w:eastAsiaTheme="minorEastAsia"/>
                <w:lang w:val="en-GB" w:eastAsia="en-US"/>
              </w:rPr>
            </w:pPr>
            <w:r>
              <w:t>E</w:t>
            </w:r>
            <w:r w:rsidR="00CD4B5F">
              <w:t>xceptional arrangements to provide remote observation or participation for delegates unable to travel</w:t>
            </w:r>
            <w:r w:rsidR="007C6998">
              <w:t>.</w:t>
            </w:r>
          </w:p>
        </w:tc>
      </w:tr>
      <w:tr w:rsidR="007E13B1" w14:paraId="7FC6FFE6" w14:textId="77777777" w:rsidTr="52AFA42C">
        <w:tc>
          <w:tcPr>
            <w:tcW w:w="2977" w:type="dxa"/>
          </w:tcPr>
          <w:p w14:paraId="420CF8B8" w14:textId="30EA16CB" w:rsidR="007E13B1" w:rsidRPr="009541AB" w:rsidRDefault="007E13B1" w:rsidP="00BA3326">
            <w:pPr>
              <w:rPr>
                <w:rFonts w:eastAsiaTheme="minorEastAsia"/>
                <w:lang w:val="en-GB" w:eastAsia="en-US"/>
              </w:rPr>
            </w:pPr>
            <w:r w:rsidRPr="007E13B1">
              <w:rPr>
                <w:rFonts w:eastAsiaTheme="minorEastAsia"/>
                <w:lang w:val="en-GB" w:eastAsia="en-US"/>
              </w:rPr>
              <w:t>Geneva, 10-14 February 2020</w:t>
            </w:r>
          </w:p>
        </w:tc>
        <w:tc>
          <w:tcPr>
            <w:tcW w:w="1455" w:type="dxa"/>
          </w:tcPr>
          <w:p w14:paraId="1C0AEA9A" w14:textId="53EA09E1" w:rsidR="007C6998" w:rsidRDefault="007C6998" w:rsidP="007C6998">
            <w:pPr>
              <w:rPr>
                <w:rFonts w:eastAsiaTheme="minorEastAsia"/>
                <w:lang w:val="en-GB" w:eastAsia="en-US"/>
              </w:rPr>
            </w:pPr>
            <w:r>
              <w:rPr>
                <w:rFonts w:eastAsiaTheme="minorEastAsia"/>
                <w:lang w:val="en-GB" w:eastAsia="en-US"/>
              </w:rPr>
              <w:t>TSAG</w:t>
            </w:r>
          </w:p>
        </w:tc>
        <w:tc>
          <w:tcPr>
            <w:tcW w:w="1134" w:type="dxa"/>
          </w:tcPr>
          <w:p w14:paraId="06AE82E3" w14:textId="083D0901" w:rsidR="007E13B1" w:rsidRDefault="007E13B1" w:rsidP="00BA3326">
            <w:pPr>
              <w:rPr>
                <w:rFonts w:eastAsiaTheme="minorEastAsia"/>
                <w:lang w:val="en-GB" w:eastAsia="en-US"/>
              </w:rPr>
            </w:pPr>
            <w:r>
              <w:rPr>
                <w:rFonts w:eastAsiaTheme="minorEastAsia"/>
                <w:lang w:val="en-GB" w:eastAsia="en-US"/>
              </w:rPr>
              <w:t>Physical</w:t>
            </w:r>
          </w:p>
        </w:tc>
        <w:tc>
          <w:tcPr>
            <w:tcW w:w="3822" w:type="dxa"/>
          </w:tcPr>
          <w:p w14:paraId="6FE00259" w14:textId="40C543B0" w:rsidR="007E13B1" w:rsidRDefault="007E13B1" w:rsidP="00BA3326">
            <w:r w:rsidRPr="007E13B1">
              <w:t>Real-time captioning</w:t>
            </w:r>
            <w:r w:rsidR="00BD2669">
              <w:t>;</w:t>
            </w:r>
            <w:r w:rsidRPr="007E13B1">
              <w:t xml:space="preserve"> interpretation in six languages</w:t>
            </w:r>
            <w:r w:rsidR="00BD2669">
              <w:t>; and</w:t>
            </w:r>
            <w:r w:rsidRPr="007E13B1">
              <w:t xml:space="preserve"> remote participation using</w:t>
            </w:r>
            <w:r w:rsidR="00BD2669">
              <w:t xml:space="preserve"> </w:t>
            </w:r>
            <w:r w:rsidRPr="007E13B1">
              <w:t xml:space="preserve">new tool Interprefy </w:t>
            </w:r>
            <w:r w:rsidR="00BD2669">
              <w:t xml:space="preserve">as well as a </w:t>
            </w:r>
            <w:r w:rsidRPr="007E13B1">
              <w:t>webcast</w:t>
            </w:r>
            <w:r w:rsidR="00BD2669">
              <w:t>.</w:t>
            </w:r>
          </w:p>
        </w:tc>
      </w:tr>
      <w:tr w:rsidR="00434F49" w14:paraId="385590EA" w14:textId="77777777" w:rsidTr="52AFA42C">
        <w:tc>
          <w:tcPr>
            <w:tcW w:w="2977" w:type="dxa"/>
          </w:tcPr>
          <w:p w14:paraId="62DBB1F2" w14:textId="73F55652" w:rsidR="00434F49" w:rsidRPr="009541AB" w:rsidRDefault="00434F49" w:rsidP="00BA3326">
            <w:pPr>
              <w:rPr>
                <w:rFonts w:eastAsiaTheme="minorEastAsia"/>
                <w:lang w:val="en-GB" w:eastAsia="en-US"/>
              </w:rPr>
            </w:pPr>
            <w:r w:rsidRPr="00434F49">
              <w:rPr>
                <w:rFonts w:eastAsiaTheme="minorEastAsia"/>
                <w:lang w:val="en-GB" w:eastAsia="en-US"/>
              </w:rPr>
              <w:t>Geneva, 4-13 March 2020</w:t>
            </w:r>
          </w:p>
        </w:tc>
        <w:tc>
          <w:tcPr>
            <w:tcW w:w="1455" w:type="dxa"/>
          </w:tcPr>
          <w:p w14:paraId="7CE45631" w14:textId="5489ECAE" w:rsidR="007C6998" w:rsidRDefault="007C6998" w:rsidP="007C6998">
            <w:pPr>
              <w:rPr>
                <w:rFonts w:eastAsiaTheme="minorEastAsia"/>
                <w:lang w:val="en-GB" w:eastAsia="en-US"/>
              </w:rPr>
            </w:pPr>
            <w:r>
              <w:rPr>
                <w:rFonts w:eastAsiaTheme="minorEastAsia"/>
                <w:lang w:val="en-GB" w:eastAsia="en-US"/>
              </w:rPr>
              <w:t>ITU-T SG11</w:t>
            </w:r>
          </w:p>
        </w:tc>
        <w:tc>
          <w:tcPr>
            <w:tcW w:w="1134" w:type="dxa"/>
          </w:tcPr>
          <w:p w14:paraId="214671F3" w14:textId="07333D9A" w:rsidR="00434F49" w:rsidRDefault="00434F49" w:rsidP="00BA3326">
            <w:pPr>
              <w:rPr>
                <w:rFonts w:eastAsiaTheme="minorEastAsia"/>
                <w:lang w:val="en-GB" w:eastAsia="en-US"/>
              </w:rPr>
            </w:pPr>
            <w:r>
              <w:rPr>
                <w:rFonts w:eastAsiaTheme="minorEastAsia"/>
                <w:lang w:val="en-GB" w:eastAsia="en-US"/>
              </w:rPr>
              <w:t>Physical</w:t>
            </w:r>
          </w:p>
        </w:tc>
        <w:tc>
          <w:tcPr>
            <w:tcW w:w="3822" w:type="dxa"/>
          </w:tcPr>
          <w:p w14:paraId="268E335F" w14:textId="3C99A312" w:rsidR="00434F49" w:rsidRDefault="007C6998" w:rsidP="00BA3326">
            <w:r>
              <w:t>I</w:t>
            </w:r>
            <w:r w:rsidRPr="00160475">
              <w:t>nteractive</w:t>
            </w:r>
            <w:r w:rsidR="00160475" w:rsidRPr="00160475">
              <w:t xml:space="preserve"> remote participation for all sessions during the entire SG11 meeting, including decision</w:t>
            </w:r>
            <w:r w:rsidR="00BD2669">
              <w:t>-</w:t>
            </w:r>
            <w:r w:rsidR="00160475" w:rsidRPr="00160475">
              <w:t>making sessions</w:t>
            </w:r>
            <w:r w:rsidR="00BD2669">
              <w:t>, using</w:t>
            </w:r>
            <w:r w:rsidR="00A94F6B">
              <w:t xml:space="preserve"> </w:t>
            </w:r>
            <w:r w:rsidR="00A94F6B" w:rsidRPr="00A94F6B">
              <w:t>Interprefy</w:t>
            </w:r>
            <w:r w:rsidR="00BD2669">
              <w:t xml:space="preserve"> for the </w:t>
            </w:r>
            <w:r w:rsidR="00A94F6B" w:rsidRPr="00A94F6B">
              <w:t>opening and closing plenaries</w:t>
            </w:r>
            <w:r>
              <w:t>.</w:t>
            </w:r>
          </w:p>
        </w:tc>
      </w:tr>
      <w:tr w:rsidR="0007033F" w14:paraId="7E5E9600" w14:textId="77777777" w:rsidTr="52AFA42C">
        <w:tc>
          <w:tcPr>
            <w:tcW w:w="2977" w:type="dxa"/>
          </w:tcPr>
          <w:p w14:paraId="6673993F" w14:textId="3EFDE498" w:rsidR="0007033F" w:rsidRPr="00434F49" w:rsidRDefault="0007033F" w:rsidP="00BA3326">
            <w:pPr>
              <w:rPr>
                <w:rFonts w:eastAsiaTheme="minorEastAsia"/>
                <w:lang w:val="en-GB" w:eastAsia="en-US"/>
              </w:rPr>
            </w:pPr>
            <w:r w:rsidRPr="0007033F">
              <w:rPr>
                <w:rFonts w:eastAsiaTheme="minorEastAsia"/>
                <w:lang w:val="en-GB" w:eastAsia="en-US"/>
              </w:rPr>
              <w:t>Geneva, 13 March 2020</w:t>
            </w:r>
          </w:p>
        </w:tc>
        <w:tc>
          <w:tcPr>
            <w:tcW w:w="1455" w:type="dxa"/>
          </w:tcPr>
          <w:p w14:paraId="1322E6DE" w14:textId="4A49B749" w:rsidR="007C6998" w:rsidRDefault="007C6998" w:rsidP="007C6998">
            <w:pPr>
              <w:rPr>
                <w:rFonts w:eastAsiaTheme="minorEastAsia"/>
                <w:lang w:val="en-GB" w:eastAsia="en-US"/>
              </w:rPr>
            </w:pPr>
            <w:r>
              <w:rPr>
                <w:rFonts w:eastAsiaTheme="minorEastAsia"/>
                <w:lang w:val="en-GB" w:eastAsia="en-US"/>
              </w:rPr>
              <w:t>ITU-T SG13</w:t>
            </w:r>
          </w:p>
        </w:tc>
        <w:tc>
          <w:tcPr>
            <w:tcW w:w="1134" w:type="dxa"/>
          </w:tcPr>
          <w:p w14:paraId="7BCAE69E" w14:textId="45B4B98D" w:rsidR="0007033F" w:rsidRDefault="0007033F" w:rsidP="00BA3326">
            <w:pPr>
              <w:rPr>
                <w:rFonts w:eastAsiaTheme="minorEastAsia"/>
                <w:lang w:val="en-GB" w:eastAsia="en-US"/>
              </w:rPr>
            </w:pPr>
            <w:r>
              <w:rPr>
                <w:rFonts w:eastAsiaTheme="minorEastAsia"/>
                <w:lang w:val="en-GB" w:eastAsia="en-US"/>
              </w:rPr>
              <w:t>Physical</w:t>
            </w:r>
          </w:p>
        </w:tc>
        <w:tc>
          <w:tcPr>
            <w:tcW w:w="3822" w:type="dxa"/>
          </w:tcPr>
          <w:p w14:paraId="31FE2858" w14:textId="13BA63B2" w:rsidR="0007033F" w:rsidRPr="00160475" w:rsidRDefault="00BD2669" w:rsidP="00BA3326">
            <w:r>
              <w:t>R</w:t>
            </w:r>
            <w:r w:rsidR="0087619A" w:rsidRPr="0087619A">
              <w:t xml:space="preserve">emote participants </w:t>
            </w:r>
            <w:r>
              <w:t>able to</w:t>
            </w:r>
            <w:r w:rsidR="0087619A" w:rsidRPr="0087619A">
              <w:t xml:space="preserve"> in decision-making </w:t>
            </w:r>
            <w:r>
              <w:t>sessions</w:t>
            </w:r>
            <w:r w:rsidR="007C6998">
              <w:t>.</w:t>
            </w:r>
          </w:p>
        </w:tc>
      </w:tr>
      <w:tr w:rsidR="00767586" w14:paraId="55AC57C0" w14:textId="77777777" w:rsidTr="52AFA42C">
        <w:tc>
          <w:tcPr>
            <w:tcW w:w="2977" w:type="dxa"/>
          </w:tcPr>
          <w:p w14:paraId="3095BF2A" w14:textId="5DDF9606" w:rsidR="00767586" w:rsidRPr="009541AB" w:rsidRDefault="00767586" w:rsidP="00BA3326">
            <w:pPr>
              <w:rPr>
                <w:rFonts w:eastAsiaTheme="minorEastAsia"/>
                <w:lang w:val="en-GB" w:eastAsia="en-US"/>
              </w:rPr>
            </w:pPr>
            <w:r w:rsidRPr="00767586">
              <w:rPr>
                <w:rFonts w:eastAsiaTheme="minorEastAsia"/>
                <w:lang w:val="en-GB" w:eastAsia="en-US"/>
              </w:rPr>
              <w:t>Virtual, 17-26 March 2020</w:t>
            </w:r>
          </w:p>
        </w:tc>
        <w:tc>
          <w:tcPr>
            <w:tcW w:w="1455" w:type="dxa"/>
          </w:tcPr>
          <w:p w14:paraId="03F05E57" w14:textId="090950D4" w:rsidR="007C6998" w:rsidRDefault="007C6998" w:rsidP="007C6998">
            <w:pPr>
              <w:rPr>
                <w:rFonts w:eastAsiaTheme="minorEastAsia"/>
                <w:lang w:val="en-GB" w:eastAsia="en-US"/>
              </w:rPr>
            </w:pPr>
            <w:r>
              <w:rPr>
                <w:rFonts w:eastAsiaTheme="minorEastAsia"/>
                <w:lang w:val="en-GB" w:eastAsia="en-US"/>
              </w:rPr>
              <w:t>ITU-T SG17</w:t>
            </w:r>
          </w:p>
        </w:tc>
        <w:tc>
          <w:tcPr>
            <w:tcW w:w="1134" w:type="dxa"/>
          </w:tcPr>
          <w:p w14:paraId="7BD38AB7" w14:textId="6FD7ECAC" w:rsidR="00767586" w:rsidRDefault="00454EC8" w:rsidP="00BA3326">
            <w:pPr>
              <w:rPr>
                <w:rFonts w:eastAsiaTheme="minorEastAsia"/>
                <w:lang w:val="en-GB" w:eastAsia="en-US"/>
              </w:rPr>
            </w:pPr>
            <w:r>
              <w:rPr>
                <w:rFonts w:eastAsiaTheme="minorEastAsia"/>
                <w:lang w:val="en-GB" w:eastAsia="en-US"/>
              </w:rPr>
              <w:t>Fully v</w:t>
            </w:r>
            <w:r w:rsidR="00767586">
              <w:rPr>
                <w:rFonts w:eastAsiaTheme="minorEastAsia"/>
                <w:lang w:val="en-GB" w:eastAsia="en-US"/>
              </w:rPr>
              <w:t>irtual</w:t>
            </w:r>
          </w:p>
        </w:tc>
        <w:tc>
          <w:tcPr>
            <w:tcW w:w="3822" w:type="dxa"/>
          </w:tcPr>
          <w:p w14:paraId="7D7D9439" w14:textId="54D4AEFE" w:rsidR="00767586" w:rsidRDefault="000A37A2" w:rsidP="00BA3326">
            <w:r>
              <w:t xml:space="preserve">First fully virtual ITU-T </w:t>
            </w:r>
            <w:r w:rsidR="00BD2669">
              <w:t>s</w:t>
            </w:r>
            <w:r>
              <w:t xml:space="preserve">tudy </w:t>
            </w:r>
            <w:r w:rsidR="00BD2669">
              <w:t>g</w:t>
            </w:r>
            <w:r>
              <w:t>roup meeting</w:t>
            </w:r>
            <w:r w:rsidR="00BD2669">
              <w:t>, with a</w:t>
            </w:r>
            <w:r w:rsidR="00905CBC">
              <w:t xml:space="preserve"> closing e-plenary in English only.</w:t>
            </w:r>
          </w:p>
        </w:tc>
      </w:tr>
      <w:tr w:rsidR="00FA6249" w14:paraId="24406172" w14:textId="77777777" w:rsidTr="52AFA42C">
        <w:tc>
          <w:tcPr>
            <w:tcW w:w="2977" w:type="dxa"/>
          </w:tcPr>
          <w:p w14:paraId="42D31EC5" w14:textId="23DACDA9" w:rsidR="00FA6249" w:rsidRPr="00767586" w:rsidRDefault="00CD3226" w:rsidP="00BA3326">
            <w:pPr>
              <w:rPr>
                <w:rFonts w:eastAsiaTheme="minorEastAsia"/>
                <w:lang w:val="en-GB" w:eastAsia="en-US"/>
              </w:rPr>
            </w:pPr>
            <w:r>
              <w:rPr>
                <w:rFonts w:eastAsiaTheme="minorEastAsia"/>
                <w:lang w:val="en-GB" w:eastAsia="en-US"/>
              </w:rPr>
              <w:t>V</w:t>
            </w:r>
            <w:r w:rsidR="00FA6249" w:rsidRPr="00FA6249">
              <w:rPr>
                <w:rFonts w:eastAsiaTheme="minorEastAsia"/>
                <w:lang w:val="en-GB" w:eastAsia="en-US"/>
              </w:rPr>
              <w:t>irtual, 31 March - 9 April 2020</w:t>
            </w:r>
          </w:p>
        </w:tc>
        <w:tc>
          <w:tcPr>
            <w:tcW w:w="1455" w:type="dxa"/>
          </w:tcPr>
          <w:p w14:paraId="4006A76B" w14:textId="456E784F" w:rsidR="007C6998" w:rsidRDefault="007C6998" w:rsidP="007C6998">
            <w:pPr>
              <w:rPr>
                <w:rFonts w:eastAsiaTheme="minorEastAsia"/>
                <w:lang w:val="en-GB" w:eastAsia="en-US"/>
              </w:rPr>
            </w:pPr>
            <w:r>
              <w:rPr>
                <w:rFonts w:eastAsiaTheme="minorEastAsia"/>
                <w:lang w:val="en-GB" w:eastAsia="en-US"/>
              </w:rPr>
              <w:t>ITU-T SG3</w:t>
            </w:r>
          </w:p>
        </w:tc>
        <w:tc>
          <w:tcPr>
            <w:tcW w:w="1134" w:type="dxa"/>
          </w:tcPr>
          <w:p w14:paraId="3850548B" w14:textId="53EAD5FB" w:rsidR="00FA6249" w:rsidRDefault="00FA6249" w:rsidP="00BA3326">
            <w:pPr>
              <w:rPr>
                <w:rFonts w:eastAsiaTheme="minorEastAsia"/>
                <w:lang w:val="en-GB" w:eastAsia="en-US"/>
              </w:rPr>
            </w:pPr>
            <w:r>
              <w:rPr>
                <w:rFonts w:eastAsiaTheme="minorEastAsia"/>
                <w:lang w:val="en-GB" w:eastAsia="en-US"/>
              </w:rPr>
              <w:t>Fully virtual</w:t>
            </w:r>
          </w:p>
        </w:tc>
        <w:tc>
          <w:tcPr>
            <w:tcW w:w="3822" w:type="dxa"/>
          </w:tcPr>
          <w:p w14:paraId="7CC81E53" w14:textId="264421A9" w:rsidR="00FA6249" w:rsidRDefault="00FA6249" w:rsidP="00BA3326">
            <w:r>
              <w:t>English only</w:t>
            </w:r>
            <w:r w:rsidR="002B35E9">
              <w:t xml:space="preserve">; </w:t>
            </w:r>
            <w:r w:rsidR="00631FC6">
              <w:t>automat</w:t>
            </w:r>
            <w:r w:rsidR="00370E4F">
              <w:t>ed AI</w:t>
            </w:r>
            <w:r w:rsidR="00631FC6">
              <w:t xml:space="preserve"> translation of </w:t>
            </w:r>
            <w:r w:rsidR="00370E4F">
              <w:t xml:space="preserve">meeting documents with </w:t>
            </w:r>
            <w:r w:rsidR="00631FC6">
              <w:t xml:space="preserve">TSB AI tool; </w:t>
            </w:r>
            <w:r w:rsidR="00BD2669">
              <w:t xml:space="preserve">and </w:t>
            </w:r>
            <w:r w:rsidR="002B35E9" w:rsidRPr="002B35E9">
              <w:t>remote participants able to express their views in decision-making sessions</w:t>
            </w:r>
            <w:r w:rsidR="007C6998">
              <w:t>.</w:t>
            </w:r>
          </w:p>
        </w:tc>
      </w:tr>
      <w:tr w:rsidR="00E96C02" w14:paraId="7D6C353B" w14:textId="77777777" w:rsidTr="52AFA42C">
        <w:tc>
          <w:tcPr>
            <w:tcW w:w="2977" w:type="dxa"/>
          </w:tcPr>
          <w:p w14:paraId="144E64E9" w14:textId="3FEF60B8" w:rsidR="00E96C02" w:rsidRPr="00FA6249" w:rsidRDefault="00CD3226" w:rsidP="00BA3326">
            <w:pPr>
              <w:rPr>
                <w:rFonts w:eastAsiaTheme="minorEastAsia"/>
                <w:lang w:val="en-GB" w:eastAsia="en-US"/>
              </w:rPr>
            </w:pPr>
            <w:r>
              <w:rPr>
                <w:rFonts w:eastAsiaTheme="minorEastAsia"/>
                <w:lang w:val="en-GB" w:eastAsia="en-US"/>
              </w:rPr>
              <w:t>V</w:t>
            </w:r>
            <w:r w:rsidR="00E96C02" w:rsidRPr="00FA6249">
              <w:rPr>
                <w:rFonts w:eastAsiaTheme="minorEastAsia"/>
                <w:lang w:val="en-GB" w:eastAsia="en-US"/>
              </w:rPr>
              <w:t xml:space="preserve">irtual, </w:t>
            </w:r>
            <w:r w:rsidR="00E96C02" w:rsidRPr="00E96C02">
              <w:rPr>
                <w:rFonts w:eastAsiaTheme="minorEastAsia"/>
                <w:lang w:val="en-GB" w:eastAsia="en-US"/>
              </w:rPr>
              <w:t>15-24 April 2020</w:t>
            </w:r>
          </w:p>
        </w:tc>
        <w:tc>
          <w:tcPr>
            <w:tcW w:w="1455" w:type="dxa"/>
          </w:tcPr>
          <w:p w14:paraId="1C387775" w14:textId="3A0A3761" w:rsidR="007C6998" w:rsidRDefault="007C6998" w:rsidP="007C6998">
            <w:pPr>
              <w:rPr>
                <w:rFonts w:eastAsiaTheme="minorEastAsia"/>
                <w:lang w:val="en-GB" w:eastAsia="en-US"/>
              </w:rPr>
            </w:pPr>
            <w:r>
              <w:rPr>
                <w:rFonts w:eastAsiaTheme="minorEastAsia"/>
                <w:lang w:val="en-GB" w:eastAsia="en-US"/>
              </w:rPr>
              <w:t>ITU-T SG12</w:t>
            </w:r>
          </w:p>
        </w:tc>
        <w:tc>
          <w:tcPr>
            <w:tcW w:w="1134" w:type="dxa"/>
          </w:tcPr>
          <w:p w14:paraId="1E81FC63" w14:textId="32FD5C42" w:rsidR="00E96C02" w:rsidRDefault="00E96C02" w:rsidP="00BA3326">
            <w:pPr>
              <w:rPr>
                <w:rFonts w:eastAsiaTheme="minorEastAsia"/>
                <w:lang w:val="en-GB" w:eastAsia="en-US"/>
              </w:rPr>
            </w:pPr>
            <w:r>
              <w:rPr>
                <w:rFonts w:eastAsiaTheme="minorEastAsia"/>
                <w:lang w:val="en-GB" w:eastAsia="en-US"/>
              </w:rPr>
              <w:t>Fully virtual</w:t>
            </w:r>
          </w:p>
        </w:tc>
        <w:tc>
          <w:tcPr>
            <w:tcW w:w="3822" w:type="dxa"/>
          </w:tcPr>
          <w:p w14:paraId="7BBC2F36" w14:textId="784558B8" w:rsidR="00E96C02" w:rsidRDefault="009708AB" w:rsidP="00BA3326">
            <w:r>
              <w:t>C</w:t>
            </w:r>
            <w:r w:rsidRPr="009708AB">
              <w:t>losing e-plenary in English only</w:t>
            </w:r>
            <w:r>
              <w:t>.</w:t>
            </w:r>
          </w:p>
        </w:tc>
      </w:tr>
      <w:tr w:rsidR="00992FEE" w14:paraId="7D77C44C" w14:textId="77777777" w:rsidTr="52AFA42C">
        <w:tc>
          <w:tcPr>
            <w:tcW w:w="2977" w:type="dxa"/>
          </w:tcPr>
          <w:p w14:paraId="7A805E67" w14:textId="4E39E079" w:rsidR="00992FEE" w:rsidRPr="00FA6249" w:rsidRDefault="00CD2B14" w:rsidP="00BA3326">
            <w:pPr>
              <w:rPr>
                <w:rFonts w:eastAsiaTheme="minorEastAsia"/>
                <w:lang w:val="en-GB" w:eastAsia="en-US"/>
              </w:rPr>
            </w:pPr>
            <w:r>
              <w:rPr>
                <w:rFonts w:eastAsiaTheme="minorEastAsia"/>
                <w:lang w:val="en-GB" w:eastAsia="en-US"/>
              </w:rPr>
              <w:t xml:space="preserve">Virtual, </w:t>
            </w:r>
            <w:r w:rsidR="00992FEE" w:rsidRPr="00992FEE">
              <w:rPr>
                <w:rFonts w:eastAsiaTheme="minorEastAsia"/>
                <w:lang w:val="en-GB" w:eastAsia="en-US"/>
              </w:rPr>
              <w:t>16-23 April 2020</w:t>
            </w:r>
          </w:p>
        </w:tc>
        <w:tc>
          <w:tcPr>
            <w:tcW w:w="1455" w:type="dxa"/>
          </w:tcPr>
          <w:p w14:paraId="7C904890" w14:textId="34FB656C" w:rsidR="007C6998" w:rsidRDefault="007C6998" w:rsidP="007C6998">
            <w:pPr>
              <w:rPr>
                <w:rFonts w:eastAsiaTheme="minorEastAsia"/>
                <w:lang w:val="en-GB" w:eastAsia="en-US"/>
              </w:rPr>
            </w:pPr>
            <w:r>
              <w:rPr>
                <w:rFonts w:eastAsiaTheme="minorEastAsia"/>
                <w:lang w:val="en-GB" w:eastAsia="en-US"/>
              </w:rPr>
              <w:t>ITU-T SG9</w:t>
            </w:r>
          </w:p>
        </w:tc>
        <w:tc>
          <w:tcPr>
            <w:tcW w:w="1134" w:type="dxa"/>
          </w:tcPr>
          <w:p w14:paraId="29B27C5F" w14:textId="1E8CADB0" w:rsidR="00992FEE" w:rsidRDefault="00992FEE" w:rsidP="00BA3326">
            <w:pPr>
              <w:rPr>
                <w:rFonts w:eastAsiaTheme="minorEastAsia"/>
                <w:lang w:val="en-GB" w:eastAsia="en-US"/>
              </w:rPr>
            </w:pPr>
            <w:r>
              <w:rPr>
                <w:rFonts w:eastAsiaTheme="minorEastAsia"/>
                <w:lang w:val="en-GB" w:eastAsia="en-US"/>
              </w:rPr>
              <w:t>Fully virtual</w:t>
            </w:r>
          </w:p>
        </w:tc>
        <w:tc>
          <w:tcPr>
            <w:tcW w:w="3822" w:type="dxa"/>
          </w:tcPr>
          <w:p w14:paraId="3F5A122B" w14:textId="1ECC1E2C" w:rsidR="00992FEE" w:rsidRDefault="007C6998" w:rsidP="00BA3326">
            <w:r>
              <w:t>R</w:t>
            </w:r>
            <w:r w:rsidRPr="002B35E9">
              <w:t>emote</w:t>
            </w:r>
            <w:r w:rsidR="00A20823" w:rsidRPr="002B35E9">
              <w:t xml:space="preserve"> participants able to express their views in decision-making sessions</w:t>
            </w:r>
            <w:r>
              <w:t>.</w:t>
            </w:r>
          </w:p>
        </w:tc>
      </w:tr>
      <w:tr w:rsidR="001F2C8D" w14:paraId="348ABDB5" w14:textId="77777777" w:rsidTr="52AFA42C">
        <w:tc>
          <w:tcPr>
            <w:tcW w:w="2977" w:type="dxa"/>
          </w:tcPr>
          <w:p w14:paraId="2FDC3BC9" w14:textId="424AE4D7" w:rsidR="001F2C8D" w:rsidRPr="00FA6249" w:rsidRDefault="00CD2B14" w:rsidP="00BA3326">
            <w:pPr>
              <w:rPr>
                <w:rFonts w:eastAsiaTheme="minorEastAsia"/>
                <w:lang w:val="en-GB" w:eastAsia="en-US"/>
              </w:rPr>
            </w:pPr>
            <w:r>
              <w:rPr>
                <w:rFonts w:eastAsiaTheme="minorEastAsia"/>
                <w:lang w:val="en-GB" w:eastAsia="en-US"/>
              </w:rPr>
              <w:t xml:space="preserve">Virtual, </w:t>
            </w:r>
            <w:r w:rsidR="001F2C8D" w:rsidRPr="001F2C8D">
              <w:rPr>
                <w:rFonts w:eastAsiaTheme="minorEastAsia"/>
                <w:lang w:val="en-GB" w:eastAsia="en-US"/>
              </w:rPr>
              <w:t>11-20 May 2020</w:t>
            </w:r>
          </w:p>
        </w:tc>
        <w:tc>
          <w:tcPr>
            <w:tcW w:w="1455" w:type="dxa"/>
          </w:tcPr>
          <w:p w14:paraId="0BE849F9" w14:textId="2B6EAA44" w:rsidR="007C6998" w:rsidRDefault="007C6998" w:rsidP="007C6998">
            <w:pPr>
              <w:rPr>
                <w:rFonts w:eastAsiaTheme="minorEastAsia"/>
                <w:lang w:val="en-GB" w:eastAsia="en-US"/>
              </w:rPr>
            </w:pPr>
            <w:r>
              <w:rPr>
                <w:rFonts w:eastAsiaTheme="minorEastAsia"/>
                <w:lang w:val="en-GB" w:eastAsia="en-US"/>
              </w:rPr>
              <w:t>ITU-T SG5</w:t>
            </w:r>
          </w:p>
        </w:tc>
        <w:tc>
          <w:tcPr>
            <w:tcW w:w="1134" w:type="dxa"/>
          </w:tcPr>
          <w:p w14:paraId="2EEE4FCF" w14:textId="02F43D78" w:rsidR="001F2C8D" w:rsidRDefault="001F2C8D" w:rsidP="00BA3326">
            <w:pPr>
              <w:rPr>
                <w:rFonts w:eastAsiaTheme="minorEastAsia"/>
                <w:lang w:val="en-GB" w:eastAsia="en-US"/>
              </w:rPr>
            </w:pPr>
            <w:r>
              <w:rPr>
                <w:rFonts w:eastAsiaTheme="minorEastAsia"/>
                <w:lang w:val="en-GB" w:eastAsia="en-US"/>
              </w:rPr>
              <w:t>Fully virtual</w:t>
            </w:r>
          </w:p>
        </w:tc>
        <w:tc>
          <w:tcPr>
            <w:tcW w:w="3822" w:type="dxa"/>
          </w:tcPr>
          <w:p w14:paraId="07787E1C" w14:textId="5FE9FA06" w:rsidR="001F2C8D" w:rsidRDefault="00E80E8D" w:rsidP="00BA3326">
            <w:r>
              <w:t>C</w:t>
            </w:r>
            <w:r w:rsidRPr="009708AB">
              <w:t>losing e-plenary in English only</w:t>
            </w:r>
            <w:r>
              <w:t>.</w:t>
            </w:r>
          </w:p>
        </w:tc>
      </w:tr>
      <w:tr w:rsidR="00D1465B" w14:paraId="49E30BB3" w14:textId="77777777" w:rsidTr="52AFA42C">
        <w:tc>
          <w:tcPr>
            <w:tcW w:w="2977" w:type="dxa"/>
          </w:tcPr>
          <w:p w14:paraId="3C6CD8A9" w14:textId="265FFB61" w:rsidR="00D1465B" w:rsidRPr="00767586" w:rsidRDefault="00D1465B" w:rsidP="00BA3326">
            <w:pPr>
              <w:rPr>
                <w:rFonts w:eastAsiaTheme="minorEastAsia"/>
                <w:lang w:val="en-GB" w:eastAsia="en-US"/>
              </w:rPr>
            </w:pPr>
            <w:r w:rsidRPr="00D1465B">
              <w:rPr>
                <w:rFonts w:eastAsiaTheme="minorEastAsia"/>
                <w:lang w:val="en-GB" w:eastAsia="en-US"/>
              </w:rPr>
              <w:t>Virtual, 27 May - 5 June 2020</w:t>
            </w:r>
          </w:p>
        </w:tc>
        <w:tc>
          <w:tcPr>
            <w:tcW w:w="1455" w:type="dxa"/>
          </w:tcPr>
          <w:p w14:paraId="66CA1415" w14:textId="4F86B7DC" w:rsidR="007C6998" w:rsidRDefault="007C6998" w:rsidP="007C6998">
            <w:pPr>
              <w:rPr>
                <w:rFonts w:eastAsiaTheme="minorEastAsia"/>
                <w:lang w:val="en-GB" w:eastAsia="en-US"/>
              </w:rPr>
            </w:pPr>
            <w:r>
              <w:rPr>
                <w:rFonts w:eastAsiaTheme="minorEastAsia"/>
                <w:lang w:val="en-GB" w:eastAsia="en-US"/>
              </w:rPr>
              <w:t>ITU-T SG2</w:t>
            </w:r>
          </w:p>
        </w:tc>
        <w:tc>
          <w:tcPr>
            <w:tcW w:w="1134" w:type="dxa"/>
          </w:tcPr>
          <w:p w14:paraId="36C09DE4" w14:textId="6F286DB1" w:rsidR="00D1465B" w:rsidRDefault="00D1465B" w:rsidP="00BA3326">
            <w:pPr>
              <w:rPr>
                <w:rFonts w:eastAsiaTheme="minorEastAsia"/>
                <w:lang w:val="en-GB" w:eastAsia="en-US"/>
              </w:rPr>
            </w:pPr>
            <w:r>
              <w:rPr>
                <w:rFonts w:eastAsiaTheme="minorEastAsia"/>
                <w:lang w:val="en-GB" w:eastAsia="en-US"/>
              </w:rPr>
              <w:t>Fully virtual</w:t>
            </w:r>
          </w:p>
        </w:tc>
        <w:tc>
          <w:tcPr>
            <w:tcW w:w="3822" w:type="dxa"/>
          </w:tcPr>
          <w:p w14:paraId="16760D25" w14:textId="43693B7D" w:rsidR="00D1465B" w:rsidRDefault="6AF36642" w:rsidP="00BA3326">
            <w:r>
              <w:t>English only</w:t>
            </w:r>
            <w:r w:rsidR="00BD2669">
              <w:t xml:space="preserve">; </w:t>
            </w:r>
            <w:r w:rsidR="00370E4F">
              <w:t xml:space="preserve">automated AI translation of meeting documents with TSB AI tool; </w:t>
            </w:r>
            <w:r w:rsidR="00BD2669">
              <w:t xml:space="preserve">and </w:t>
            </w:r>
            <w:r>
              <w:t>captioning for selected sessions.</w:t>
            </w:r>
          </w:p>
        </w:tc>
      </w:tr>
      <w:tr w:rsidR="000B39C4" w14:paraId="6118261B" w14:textId="77777777" w:rsidTr="52AFA42C">
        <w:tc>
          <w:tcPr>
            <w:tcW w:w="2977" w:type="dxa"/>
          </w:tcPr>
          <w:p w14:paraId="44D0F838" w14:textId="7F55AC62" w:rsidR="000B39C4" w:rsidRPr="00767586" w:rsidRDefault="000B39C4" w:rsidP="000B39C4">
            <w:pPr>
              <w:rPr>
                <w:rFonts w:eastAsiaTheme="minorEastAsia"/>
                <w:lang w:val="en-GB" w:eastAsia="en-US"/>
              </w:rPr>
            </w:pPr>
            <w:r w:rsidRPr="000B39C4">
              <w:rPr>
                <w:rFonts w:eastAsiaTheme="minorEastAsia"/>
                <w:lang w:val="en-GB" w:eastAsia="en-US"/>
              </w:rPr>
              <w:t>Virtual, 29 May 2020</w:t>
            </w:r>
          </w:p>
        </w:tc>
        <w:tc>
          <w:tcPr>
            <w:tcW w:w="1455" w:type="dxa"/>
          </w:tcPr>
          <w:p w14:paraId="5CEF2592" w14:textId="7E4865DC" w:rsidR="007C6998" w:rsidRDefault="007C6998" w:rsidP="007C6998">
            <w:pPr>
              <w:rPr>
                <w:rFonts w:eastAsiaTheme="minorEastAsia"/>
                <w:lang w:val="en-GB" w:eastAsia="en-US"/>
              </w:rPr>
            </w:pPr>
            <w:r>
              <w:rPr>
                <w:rFonts w:eastAsiaTheme="minorEastAsia"/>
                <w:lang w:val="en-GB" w:eastAsia="en-US"/>
              </w:rPr>
              <w:t>ITU-T SG17</w:t>
            </w:r>
          </w:p>
        </w:tc>
        <w:tc>
          <w:tcPr>
            <w:tcW w:w="1134" w:type="dxa"/>
          </w:tcPr>
          <w:p w14:paraId="1FCF5AC1" w14:textId="435C728D" w:rsidR="000B39C4" w:rsidRDefault="000B39C4" w:rsidP="000B39C4">
            <w:pPr>
              <w:rPr>
                <w:rFonts w:eastAsiaTheme="minorEastAsia"/>
                <w:lang w:val="en-GB" w:eastAsia="en-US"/>
              </w:rPr>
            </w:pPr>
            <w:r>
              <w:rPr>
                <w:rFonts w:eastAsiaTheme="minorEastAsia"/>
                <w:lang w:val="en-GB" w:eastAsia="en-US"/>
              </w:rPr>
              <w:t>Fully virtual</w:t>
            </w:r>
          </w:p>
        </w:tc>
        <w:tc>
          <w:tcPr>
            <w:tcW w:w="3822" w:type="dxa"/>
          </w:tcPr>
          <w:p w14:paraId="70D972DB" w14:textId="2B991D46" w:rsidR="000B39C4" w:rsidRDefault="007C6998" w:rsidP="000B39C4">
            <w:r>
              <w:rPr>
                <w:rFonts w:eastAsiaTheme="minorEastAsia"/>
                <w:lang w:val="en-GB" w:eastAsia="en-US"/>
              </w:rPr>
              <w:t>S</w:t>
            </w:r>
            <w:r w:rsidRPr="000B39C4">
              <w:rPr>
                <w:rFonts w:eastAsiaTheme="minorEastAsia"/>
                <w:lang w:val="en-GB" w:eastAsia="en-US"/>
              </w:rPr>
              <w:t>pecial</w:t>
            </w:r>
            <w:r w:rsidR="000B39C4" w:rsidRPr="000B39C4">
              <w:rPr>
                <w:rFonts w:eastAsiaTheme="minorEastAsia"/>
                <w:lang w:val="en-GB" w:eastAsia="en-US"/>
              </w:rPr>
              <w:t xml:space="preserve"> e-plenary session of </w:t>
            </w:r>
            <w:r w:rsidR="00370E4F">
              <w:rPr>
                <w:rFonts w:eastAsiaTheme="minorEastAsia"/>
                <w:lang w:val="en-GB" w:eastAsia="en-US"/>
              </w:rPr>
              <w:t xml:space="preserve">SG17 </w:t>
            </w:r>
            <w:r w:rsidR="00BD2669">
              <w:rPr>
                <w:rFonts w:eastAsiaTheme="minorEastAsia"/>
                <w:lang w:val="en-GB" w:eastAsia="en-US"/>
              </w:rPr>
              <w:t>in</w:t>
            </w:r>
            <w:r w:rsidR="00147721">
              <w:rPr>
                <w:rFonts w:eastAsiaTheme="minorEastAsia"/>
                <w:lang w:val="en-GB" w:eastAsia="en-US"/>
              </w:rPr>
              <w:t xml:space="preserve"> English only</w:t>
            </w:r>
            <w:r>
              <w:rPr>
                <w:rFonts w:eastAsiaTheme="minorEastAsia"/>
                <w:lang w:val="en-GB" w:eastAsia="en-US"/>
              </w:rPr>
              <w:t>.</w:t>
            </w:r>
          </w:p>
        </w:tc>
      </w:tr>
      <w:tr w:rsidR="00455386" w14:paraId="44837B67" w14:textId="77777777" w:rsidTr="52AFA42C">
        <w:tc>
          <w:tcPr>
            <w:tcW w:w="2977" w:type="dxa"/>
          </w:tcPr>
          <w:p w14:paraId="7687340C" w14:textId="43BDA047" w:rsidR="00455386" w:rsidRPr="000B39C4" w:rsidRDefault="00455386" w:rsidP="000B39C4">
            <w:pPr>
              <w:rPr>
                <w:rFonts w:eastAsiaTheme="minorEastAsia"/>
                <w:lang w:val="en-GB" w:eastAsia="en-US"/>
              </w:rPr>
            </w:pPr>
            <w:r>
              <w:rPr>
                <w:rFonts w:eastAsiaTheme="minorEastAsia"/>
                <w:lang w:val="en-GB" w:eastAsia="en-US"/>
              </w:rPr>
              <w:t xml:space="preserve">Virtual, </w:t>
            </w:r>
            <w:r w:rsidRPr="00455386">
              <w:rPr>
                <w:rFonts w:eastAsiaTheme="minorEastAsia"/>
                <w:lang w:val="en-GB" w:eastAsia="en-US"/>
              </w:rPr>
              <w:t>7 July 2020</w:t>
            </w:r>
          </w:p>
        </w:tc>
        <w:tc>
          <w:tcPr>
            <w:tcW w:w="1455" w:type="dxa"/>
          </w:tcPr>
          <w:p w14:paraId="47C1C6B3" w14:textId="3A789B30" w:rsidR="007C6998" w:rsidRDefault="007C6998" w:rsidP="007C6998">
            <w:pPr>
              <w:rPr>
                <w:rFonts w:eastAsiaTheme="minorEastAsia"/>
                <w:lang w:val="en-GB" w:eastAsia="en-US"/>
              </w:rPr>
            </w:pPr>
            <w:r>
              <w:rPr>
                <w:rFonts w:eastAsiaTheme="minorEastAsia"/>
                <w:lang w:val="en-GB" w:eastAsia="en-US"/>
              </w:rPr>
              <w:t>ITU-T WP</w:t>
            </w:r>
            <w:r w:rsidRPr="00455386">
              <w:rPr>
                <w:rFonts w:eastAsiaTheme="minorEastAsia"/>
                <w:lang w:val="en-GB" w:eastAsia="en-US"/>
              </w:rPr>
              <w:t>1/9</w:t>
            </w:r>
          </w:p>
        </w:tc>
        <w:tc>
          <w:tcPr>
            <w:tcW w:w="1134" w:type="dxa"/>
          </w:tcPr>
          <w:p w14:paraId="3BE4A04E" w14:textId="78E3F763" w:rsidR="00455386" w:rsidRDefault="00455386" w:rsidP="000B39C4">
            <w:pPr>
              <w:rPr>
                <w:rFonts w:eastAsiaTheme="minorEastAsia"/>
                <w:lang w:val="en-GB" w:eastAsia="en-US"/>
              </w:rPr>
            </w:pPr>
            <w:r>
              <w:rPr>
                <w:rFonts w:eastAsiaTheme="minorEastAsia"/>
                <w:lang w:val="en-GB" w:eastAsia="en-US"/>
              </w:rPr>
              <w:t>Fully virtual</w:t>
            </w:r>
          </w:p>
        </w:tc>
        <w:tc>
          <w:tcPr>
            <w:tcW w:w="3822" w:type="dxa"/>
          </w:tcPr>
          <w:p w14:paraId="4CE69233" w14:textId="6BA2B125" w:rsidR="00455386" w:rsidRPr="000B39C4" w:rsidRDefault="007C6998" w:rsidP="000B39C4">
            <w:pPr>
              <w:rPr>
                <w:rFonts w:eastAsiaTheme="minorEastAsia"/>
                <w:lang w:val="en-GB" w:eastAsia="en-US"/>
              </w:rPr>
            </w:pPr>
            <w:r>
              <w:t>Closing e-plenary in English only.</w:t>
            </w:r>
          </w:p>
        </w:tc>
      </w:tr>
      <w:tr w:rsidR="009B1FF3" w14:paraId="18ED2BEA" w14:textId="77777777" w:rsidTr="52AFA42C">
        <w:tc>
          <w:tcPr>
            <w:tcW w:w="2977" w:type="dxa"/>
          </w:tcPr>
          <w:p w14:paraId="71696D23" w14:textId="6B71AE8D" w:rsidR="009B1FF3" w:rsidRDefault="009B1FF3" w:rsidP="009B1FF3">
            <w:pPr>
              <w:rPr>
                <w:rFonts w:eastAsiaTheme="minorEastAsia"/>
                <w:lang w:val="en-GB" w:eastAsia="en-US"/>
              </w:rPr>
            </w:pPr>
            <w:r>
              <w:rPr>
                <w:rFonts w:eastAsiaTheme="minorEastAsia"/>
                <w:lang w:val="en-GB" w:eastAsia="en-US"/>
              </w:rPr>
              <w:t xml:space="preserve">Virtual, </w:t>
            </w:r>
            <w:r w:rsidRPr="00455386">
              <w:rPr>
                <w:rFonts w:eastAsiaTheme="minorEastAsia"/>
                <w:lang w:val="en-GB" w:eastAsia="en-US"/>
              </w:rPr>
              <w:t>7 July 2020</w:t>
            </w:r>
          </w:p>
        </w:tc>
        <w:tc>
          <w:tcPr>
            <w:tcW w:w="1455" w:type="dxa"/>
          </w:tcPr>
          <w:p w14:paraId="7FE6E103" w14:textId="3FE65A6D" w:rsidR="007C6998" w:rsidRDefault="007C6998" w:rsidP="007C6998">
            <w:pPr>
              <w:rPr>
                <w:rFonts w:eastAsiaTheme="minorEastAsia"/>
                <w:lang w:val="en-GB" w:eastAsia="en-US"/>
              </w:rPr>
            </w:pPr>
            <w:r>
              <w:rPr>
                <w:rFonts w:eastAsiaTheme="minorEastAsia"/>
                <w:lang w:val="en-GB" w:eastAsia="en-US"/>
              </w:rPr>
              <w:t>ITU-T WP2</w:t>
            </w:r>
            <w:r w:rsidRPr="00455386">
              <w:rPr>
                <w:rFonts w:eastAsiaTheme="minorEastAsia"/>
                <w:lang w:val="en-GB" w:eastAsia="en-US"/>
              </w:rPr>
              <w:t>/9</w:t>
            </w:r>
          </w:p>
        </w:tc>
        <w:tc>
          <w:tcPr>
            <w:tcW w:w="1134" w:type="dxa"/>
          </w:tcPr>
          <w:p w14:paraId="748CD37E" w14:textId="034251F6" w:rsidR="009B1FF3" w:rsidRDefault="009B1FF3" w:rsidP="009B1FF3">
            <w:pPr>
              <w:rPr>
                <w:rFonts w:eastAsiaTheme="minorEastAsia"/>
                <w:lang w:val="en-GB" w:eastAsia="en-US"/>
              </w:rPr>
            </w:pPr>
            <w:r>
              <w:rPr>
                <w:rFonts w:eastAsiaTheme="minorEastAsia"/>
                <w:lang w:val="en-GB" w:eastAsia="en-US"/>
              </w:rPr>
              <w:t>Fully virtual</w:t>
            </w:r>
          </w:p>
        </w:tc>
        <w:tc>
          <w:tcPr>
            <w:tcW w:w="3822" w:type="dxa"/>
          </w:tcPr>
          <w:p w14:paraId="599A8BAC" w14:textId="7EB6AE2D" w:rsidR="009B1FF3" w:rsidRPr="000B39C4" w:rsidRDefault="007C6998" w:rsidP="009B1FF3">
            <w:pPr>
              <w:rPr>
                <w:rFonts w:eastAsiaTheme="minorEastAsia"/>
                <w:lang w:val="en-GB" w:eastAsia="en-US"/>
              </w:rPr>
            </w:pPr>
            <w:r>
              <w:t>Closing e-plenary in English only.</w:t>
            </w:r>
          </w:p>
        </w:tc>
      </w:tr>
      <w:tr w:rsidR="005B6ADA" w14:paraId="7F81A84B" w14:textId="77777777" w:rsidTr="52AFA42C">
        <w:tc>
          <w:tcPr>
            <w:tcW w:w="2977" w:type="dxa"/>
          </w:tcPr>
          <w:p w14:paraId="1BC6190A" w14:textId="22A4A5EF" w:rsidR="005B6ADA" w:rsidRDefault="005B6ADA" w:rsidP="009B1FF3">
            <w:pPr>
              <w:rPr>
                <w:rFonts w:eastAsiaTheme="minorEastAsia"/>
                <w:lang w:val="en-GB" w:eastAsia="en-US"/>
              </w:rPr>
            </w:pPr>
            <w:r>
              <w:rPr>
                <w:rFonts w:eastAsiaTheme="minorEastAsia"/>
                <w:lang w:val="en-GB" w:eastAsia="en-US"/>
              </w:rPr>
              <w:t xml:space="preserve">Virtual, </w:t>
            </w:r>
            <w:r w:rsidRPr="005B6ADA">
              <w:rPr>
                <w:rFonts w:eastAsiaTheme="minorEastAsia"/>
                <w:lang w:val="en-GB" w:eastAsia="en-US"/>
              </w:rPr>
              <w:t>20-31 July 2020</w:t>
            </w:r>
          </w:p>
        </w:tc>
        <w:tc>
          <w:tcPr>
            <w:tcW w:w="1455" w:type="dxa"/>
          </w:tcPr>
          <w:p w14:paraId="5B2D0B13" w14:textId="0327E736" w:rsidR="007C6998" w:rsidRDefault="007C6998" w:rsidP="007C6998">
            <w:pPr>
              <w:rPr>
                <w:rFonts w:eastAsiaTheme="minorEastAsia"/>
                <w:lang w:val="en-GB" w:eastAsia="en-US"/>
              </w:rPr>
            </w:pPr>
            <w:r>
              <w:rPr>
                <w:rFonts w:eastAsiaTheme="minorEastAsia"/>
                <w:lang w:val="en-GB" w:eastAsia="en-US"/>
              </w:rPr>
              <w:t>ITU-T SG13</w:t>
            </w:r>
          </w:p>
        </w:tc>
        <w:tc>
          <w:tcPr>
            <w:tcW w:w="1134" w:type="dxa"/>
          </w:tcPr>
          <w:p w14:paraId="19BB4C9B" w14:textId="10C656C4" w:rsidR="005B6ADA" w:rsidRDefault="005B6ADA" w:rsidP="009B1FF3">
            <w:pPr>
              <w:rPr>
                <w:rFonts w:eastAsiaTheme="minorEastAsia"/>
                <w:lang w:val="en-GB" w:eastAsia="en-US"/>
              </w:rPr>
            </w:pPr>
            <w:r>
              <w:rPr>
                <w:rFonts w:eastAsiaTheme="minorEastAsia"/>
                <w:lang w:val="en-GB" w:eastAsia="en-US"/>
              </w:rPr>
              <w:t>Fully virtual</w:t>
            </w:r>
          </w:p>
        </w:tc>
        <w:tc>
          <w:tcPr>
            <w:tcW w:w="3822" w:type="dxa"/>
          </w:tcPr>
          <w:p w14:paraId="4176A416" w14:textId="4144F97F" w:rsidR="005B6ADA" w:rsidRPr="000B39C4" w:rsidRDefault="007C6998" w:rsidP="009B1FF3">
            <w:pPr>
              <w:rPr>
                <w:rFonts w:eastAsiaTheme="minorEastAsia"/>
                <w:lang w:val="en-GB" w:eastAsia="en-US"/>
              </w:rPr>
            </w:pPr>
            <w:r>
              <w:t>Closing e-plenary in English only.</w:t>
            </w:r>
          </w:p>
        </w:tc>
      </w:tr>
      <w:tr w:rsidR="00B601AE" w14:paraId="134E9AC6" w14:textId="77777777" w:rsidTr="52AFA42C">
        <w:tc>
          <w:tcPr>
            <w:tcW w:w="2977" w:type="dxa"/>
          </w:tcPr>
          <w:p w14:paraId="203EF762" w14:textId="1D00979F" w:rsidR="00B601AE" w:rsidRDefault="00CD2B14" w:rsidP="009B1FF3">
            <w:pPr>
              <w:rPr>
                <w:rFonts w:eastAsiaTheme="minorEastAsia"/>
                <w:lang w:val="en-GB" w:eastAsia="en-US"/>
              </w:rPr>
            </w:pPr>
            <w:r>
              <w:rPr>
                <w:rFonts w:eastAsiaTheme="minorEastAsia"/>
                <w:lang w:val="en-GB" w:eastAsia="en-US"/>
              </w:rPr>
              <w:lastRenderedPageBreak/>
              <w:t xml:space="preserve">Virtual, </w:t>
            </w:r>
            <w:r w:rsidR="00B601AE" w:rsidRPr="00B601AE">
              <w:rPr>
                <w:rFonts w:eastAsiaTheme="minorEastAsia"/>
                <w:lang w:val="en-GB" w:eastAsia="en-US"/>
              </w:rPr>
              <w:t>22-31 July 2020</w:t>
            </w:r>
          </w:p>
        </w:tc>
        <w:tc>
          <w:tcPr>
            <w:tcW w:w="1455" w:type="dxa"/>
          </w:tcPr>
          <w:p w14:paraId="08003706" w14:textId="2CDDAD67" w:rsidR="007C6998" w:rsidRDefault="007C6998" w:rsidP="007C6998">
            <w:pPr>
              <w:rPr>
                <w:rFonts w:eastAsiaTheme="minorEastAsia"/>
                <w:lang w:val="en-GB" w:eastAsia="en-US"/>
              </w:rPr>
            </w:pPr>
            <w:r>
              <w:rPr>
                <w:rFonts w:eastAsiaTheme="minorEastAsia"/>
                <w:lang w:val="en-GB" w:eastAsia="en-US"/>
              </w:rPr>
              <w:t>ITU-T SG11</w:t>
            </w:r>
          </w:p>
        </w:tc>
        <w:tc>
          <w:tcPr>
            <w:tcW w:w="1134" w:type="dxa"/>
          </w:tcPr>
          <w:p w14:paraId="2AA5262C" w14:textId="6CAF3895" w:rsidR="00B601AE" w:rsidRDefault="00B601AE" w:rsidP="009B1FF3">
            <w:pPr>
              <w:rPr>
                <w:rFonts w:eastAsiaTheme="minorEastAsia"/>
                <w:lang w:val="en-GB" w:eastAsia="en-US"/>
              </w:rPr>
            </w:pPr>
            <w:r>
              <w:rPr>
                <w:rFonts w:eastAsiaTheme="minorEastAsia"/>
                <w:lang w:val="en-GB" w:eastAsia="en-US"/>
              </w:rPr>
              <w:t>Fully virtual</w:t>
            </w:r>
          </w:p>
        </w:tc>
        <w:tc>
          <w:tcPr>
            <w:tcW w:w="3822" w:type="dxa"/>
          </w:tcPr>
          <w:p w14:paraId="1CB628F9" w14:textId="4D038374" w:rsidR="00B601AE" w:rsidRPr="000B39C4" w:rsidRDefault="007C6998" w:rsidP="009B1FF3">
            <w:pPr>
              <w:rPr>
                <w:rFonts w:eastAsiaTheme="minorEastAsia"/>
                <w:lang w:val="en-GB" w:eastAsia="en-US"/>
              </w:rPr>
            </w:pPr>
            <w:r>
              <w:rPr>
                <w:rFonts w:eastAsiaTheme="minorEastAsia"/>
                <w:lang w:val="en-GB" w:eastAsia="en-US"/>
              </w:rPr>
              <w:t>English-</w:t>
            </w:r>
            <w:r w:rsidRPr="001E5002">
              <w:rPr>
                <w:rFonts w:eastAsiaTheme="minorEastAsia"/>
                <w:lang w:val="en-GB" w:eastAsia="en-US"/>
              </w:rPr>
              <w:t>Russian interpretation</w:t>
            </w:r>
            <w:r>
              <w:rPr>
                <w:rFonts w:eastAsiaTheme="minorEastAsia"/>
                <w:lang w:val="en-GB" w:eastAsia="en-US"/>
              </w:rPr>
              <w:t xml:space="preserve"> on MyMeetings</w:t>
            </w:r>
            <w:r w:rsidRPr="001E5002">
              <w:rPr>
                <w:rFonts w:eastAsiaTheme="minorEastAsia"/>
                <w:lang w:val="en-GB" w:eastAsia="en-US"/>
              </w:rPr>
              <w:t xml:space="preserve"> at the closing plenary</w:t>
            </w:r>
            <w:r>
              <w:rPr>
                <w:rFonts w:eastAsiaTheme="minorEastAsia"/>
                <w:lang w:val="en-GB" w:eastAsia="en-US"/>
              </w:rPr>
              <w:t>.</w:t>
            </w:r>
          </w:p>
        </w:tc>
      </w:tr>
      <w:tr w:rsidR="000B39C4" w14:paraId="503B1B54" w14:textId="77777777" w:rsidTr="52AFA42C">
        <w:tc>
          <w:tcPr>
            <w:tcW w:w="2977" w:type="dxa"/>
          </w:tcPr>
          <w:p w14:paraId="4BD3CB6F" w14:textId="23016DAC" w:rsidR="000B39C4" w:rsidRPr="009541AB" w:rsidRDefault="000B39C4" w:rsidP="000B39C4">
            <w:pPr>
              <w:rPr>
                <w:rFonts w:eastAsiaTheme="minorEastAsia"/>
                <w:lang w:val="en-GB" w:eastAsia="en-US"/>
              </w:rPr>
            </w:pPr>
            <w:r w:rsidRPr="00767586">
              <w:rPr>
                <w:rFonts w:eastAsiaTheme="minorEastAsia"/>
                <w:lang w:val="en-GB" w:eastAsia="en-US"/>
              </w:rPr>
              <w:t>Virtual, 22 June - 3 July 2020</w:t>
            </w:r>
          </w:p>
        </w:tc>
        <w:tc>
          <w:tcPr>
            <w:tcW w:w="1455" w:type="dxa"/>
          </w:tcPr>
          <w:p w14:paraId="5D6FEFF8" w14:textId="4F521765" w:rsidR="007C6998" w:rsidRDefault="007C6998" w:rsidP="007C6998">
            <w:pPr>
              <w:rPr>
                <w:rFonts w:eastAsiaTheme="minorEastAsia"/>
                <w:lang w:val="en-GB" w:eastAsia="en-US"/>
              </w:rPr>
            </w:pPr>
            <w:r>
              <w:rPr>
                <w:rFonts w:eastAsiaTheme="minorEastAsia"/>
                <w:lang w:val="en-GB" w:eastAsia="en-US"/>
              </w:rPr>
              <w:t>ITU-T SG16</w:t>
            </w:r>
          </w:p>
        </w:tc>
        <w:tc>
          <w:tcPr>
            <w:tcW w:w="1134" w:type="dxa"/>
          </w:tcPr>
          <w:p w14:paraId="17302E81" w14:textId="6EAB3272" w:rsidR="000B39C4" w:rsidRDefault="000B39C4" w:rsidP="000B39C4">
            <w:pPr>
              <w:rPr>
                <w:rFonts w:eastAsiaTheme="minorEastAsia"/>
                <w:lang w:val="en-GB" w:eastAsia="en-US"/>
              </w:rPr>
            </w:pPr>
            <w:r w:rsidRPr="00517FB2">
              <w:rPr>
                <w:rFonts w:eastAsiaTheme="minorEastAsia"/>
                <w:lang w:val="en-GB" w:eastAsia="en-US"/>
              </w:rPr>
              <w:t>Fully virtual</w:t>
            </w:r>
          </w:p>
        </w:tc>
        <w:tc>
          <w:tcPr>
            <w:tcW w:w="3822" w:type="dxa"/>
          </w:tcPr>
          <w:p w14:paraId="2E74C1CA" w14:textId="7A60C4F7" w:rsidR="000B39C4" w:rsidRDefault="634F06E7" w:rsidP="000B39C4">
            <w:r>
              <w:t>Interpretation trial in MyMeetings in Chinese for part of the closing plenary.</w:t>
            </w:r>
          </w:p>
        </w:tc>
      </w:tr>
      <w:tr w:rsidR="004C18CA" w14:paraId="7D791D24" w14:textId="77777777" w:rsidTr="52AFA42C">
        <w:tc>
          <w:tcPr>
            <w:tcW w:w="2977" w:type="dxa"/>
          </w:tcPr>
          <w:p w14:paraId="062D1B71" w14:textId="05AA32B3" w:rsidR="004C18CA" w:rsidRPr="00767586" w:rsidRDefault="004C18CA" w:rsidP="000B39C4">
            <w:pPr>
              <w:rPr>
                <w:rFonts w:eastAsiaTheme="minorEastAsia"/>
                <w:lang w:val="en-GB" w:eastAsia="en-US"/>
              </w:rPr>
            </w:pPr>
            <w:r w:rsidRPr="004C18CA">
              <w:rPr>
                <w:rFonts w:eastAsiaTheme="minorEastAsia"/>
                <w:lang w:val="en-GB" w:eastAsia="en-US"/>
              </w:rPr>
              <w:t>Virtual, 6-16 July 2020</w:t>
            </w:r>
          </w:p>
        </w:tc>
        <w:tc>
          <w:tcPr>
            <w:tcW w:w="1455" w:type="dxa"/>
          </w:tcPr>
          <w:p w14:paraId="743C037B" w14:textId="1B585968" w:rsidR="007C6998" w:rsidRDefault="007C6998" w:rsidP="007C6998">
            <w:pPr>
              <w:rPr>
                <w:rFonts w:eastAsiaTheme="minorEastAsia"/>
                <w:lang w:val="en-GB" w:eastAsia="en-US"/>
              </w:rPr>
            </w:pPr>
            <w:r>
              <w:rPr>
                <w:rFonts w:eastAsiaTheme="minorEastAsia"/>
                <w:lang w:val="en-GB" w:eastAsia="en-US"/>
              </w:rPr>
              <w:t>ITU-T SG20</w:t>
            </w:r>
          </w:p>
        </w:tc>
        <w:tc>
          <w:tcPr>
            <w:tcW w:w="1134" w:type="dxa"/>
          </w:tcPr>
          <w:p w14:paraId="0B8281CA" w14:textId="0C60950D" w:rsidR="004C18CA" w:rsidRPr="00517FB2" w:rsidRDefault="004C18CA" w:rsidP="000B39C4">
            <w:pPr>
              <w:rPr>
                <w:rFonts w:eastAsiaTheme="minorEastAsia"/>
                <w:lang w:val="en-GB" w:eastAsia="en-US"/>
              </w:rPr>
            </w:pPr>
            <w:r w:rsidRPr="00517FB2">
              <w:rPr>
                <w:rFonts w:eastAsiaTheme="minorEastAsia"/>
                <w:lang w:val="en-GB" w:eastAsia="en-US"/>
              </w:rPr>
              <w:t>Fully virtual</w:t>
            </w:r>
          </w:p>
        </w:tc>
        <w:tc>
          <w:tcPr>
            <w:tcW w:w="3822" w:type="dxa"/>
          </w:tcPr>
          <w:p w14:paraId="28B9DDA7" w14:textId="7143AD0F" w:rsidR="004C18CA" w:rsidRDefault="007C6998" w:rsidP="000B39C4">
            <w:r>
              <w:t>Closing e-plenary in English only.</w:t>
            </w:r>
          </w:p>
        </w:tc>
      </w:tr>
      <w:tr w:rsidR="00644CC4" w14:paraId="7C1A7D25" w14:textId="77777777" w:rsidTr="52AFA42C">
        <w:tc>
          <w:tcPr>
            <w:tcW w:w="2977" w:type="dxa"/>
          </w:tcPr>
          <w:p w14:paraId="464DEC63" w14:textId="3AC5689B" w:rsidR="00644CC4" w:rsidRPr="004C18CA" w:rsidRDefault="00CD2B14" w:rsidP="000B39C4">
            <w:pPr>
              <w:rPr>
                <w:rFonts w:eastAsiaTheme="minorEastAsia"/>
                <w:lang w:val="en-GB" w:eastAsia="en-US"/>
              </w:rPr>
            </w:pPr>
            <w:r>
              <w:rPr>
                <w:rFonts w:eastAsiaTheme="minorEastAsia"/>
                <w:lang w:val="en-GB" w:eastAsia="en-US"/>
              </w:rPr>
              <w:t xml:space="preserve">Virtual, </w:t>
            </w:r>
            <w:r w:rsidR="00644CC4" w:rsidRPr="00644CC4">
              <w:rPr>
                <w:rFonts w:eastAsiaTheme="minorEastAsia"/>
                <w:lang w:val="en-GB" w:eastAsia="en-US"/>
              </w:rPr>
              <w:t>24-28 August 2020</w:t>
            </w:r>
          </w:p>
        </w:tc>
        <w:tc>
          <w:tcPr>
            <w:tcW w:w="1455" w:type="dxa"/>
          </w:tcPr>
          <w:p w14:paraId="4E0305CB" w14:textId="276AAAD9" w:rsidR="007C6998" w:rsidRDefault="007C6998" w:rsidP="007C6998">
            <w:pPr>
              <w:rPr>
                <w:rFonts w:eastAsiaTheme="minorEastAsia"/>
                <w:lang w:val="en-GB" w:eastAsia="en-US"/>
              </w:rPr>
            </w:pPr>
            <w:r>
              <w:rPr>
                <w:rFonts w:eastAsiaTheme="minorEastAsia"/>
                <w:lang w:val="en-GB" w:eastAsia="en-US"/>
              </w:rPr>
              <w:t>ITU-T SG3</w:t>
            </w:r>
          </w:p>
        </w:tc>
        <w:tc>
          <w:tcPr>
            <w:tcW w:w="1134" w:type="dxa"/>
          </w:tcPr>
          <w:p w14:paraId="36726AC1" w14:textId="58B6143C" w:rsidR="00644CC4" w:rsidRPr="00517FB2" w:rsidRDefault="00644CC4" w:rsidP="000B39C4">
            <w:pPr>
              <w:rPr>
                <w:rFonts w:eastAsiaTheme="minorEastAsia"/>
                <w:lang w:val="en-GB" w:eastAsia="en-US"/>
              </w:rPr>
            </w:pPr>
            <w:r w:rsidRPr="00517FB2">
              <w:rPr>
                <w:rFonts w:eastAsiaTheme="minorEastAsia"/>
                <w:lang w:val="en-GB" w:eastAsia="en-US"/>
              </w:rPr>
              <w:t>Fully virtual</w:t>
            </w:r>
          </w:p>
        </w:tc>
        <w:tc>
          <w:tcPr>
            <w:tcW w:w="3822" w:type="dxa"/>
          </w:tcPr>
          <w:p w14:paraId="5E765151" w14:textId="3D29A3C6" w:rsidR="00644CC4" w:rsidRDefault="001958F6" w:rsidP="000B39C4">
            <w:r>
              <w:t>French-English interpretation on MyMeetings</w:t>
            </w:r>
            <w:r w:rsidR="007C6998">
              <w:t>.</w:t>
            </w:r>
          </w:p>
        </w:tc>
      </w:tr>
      <w:tr w:rsidR="000B39C4" w14:paraId="57141445" w14:textId="77777777" w:rsidTr="52AFA42C">
        <w:tc>
          <w:tcPr>
            <w:tcW w:w="2977" w:type="dxa"/>
          </w:tcPr>
          <w:p w14:paraId="26259D29" w14:textId="3180EAB1" w:rsidR="000B39C4" w:rsidRPr="00767586" w:rsidRDefault="000B39C4" w:rsidP="000B39C4">
            <w:pPr>
              <w:rPr>
                <w:rFonts w:eastAsiaTheme="minorEastAsia"/>
                <w:lang w:val="en-GB" w:eastAsia="en-US"/>
              </w:rPr>
            </w:pPr>
            <w:r w:rsidRPr="00767586">
              <w:rPr>
                <w:rFonts w:eastAsiaTheme="minorEastAsia"/>
                <w:lang w:val="en-GB" w:eastAsia="en-US"/>
              </w:rPr>
              <w:t>Virtual, 24 August - 3 September 2020</w:t>
            </w:r>
          </w:p>
        </w:tc>
        <w:tc>
          <w:tcPr>
            <w:tcW w:w="1455" w:type="dxa"/>
          </w:tcPr>
          <w:p w14:paraId="340275B1" w14:textId="422905EC" w:rsidR="007C6998" w:rsidRDefault="007C6998" w:rsidP="007C6998">
            <w:pPr>
              <w:rPr>
                <w:rFonts w:eastAsiaTheme="minorEastAsia"/>
                <w:lang w:val="en-GB" w:eastAsia="en-US"/>
              </w:rPr>
            </w:pPr>
            <w:r>
              <w:rPr>
                <w:rFonts w:eastAsiaTheme="minorEastAsia"/>
                <w:lang w:val="en-GB" w:eastAsia="en-US"/>
              </w:rPr>
              <w:t>ITU-T SG17</w:t>
            </w:r>
          </w:p>
        </w:tc>
        <w:tc>
          <w:tcPr>
            <w:tcW w:w="1134" w:type="dxa"/>
          </w:tcPr>
          <w:p w14:paraId="0C0AF561" w14:textId="0195CCCF" w:rsidR="000B39C4" w:rsidRDefault="000B39C4" w:rsidP="000B39C4">
            <w:pPr>
              <w:rPr>
                <w:rFonts w:eastAsiaTheme="minorEastAsia"/>
                <w:lang w:val="en-GB" w:eastAsia="en-US"/>
              </w:rPr>
            </w:pPr>
            <w:r w:rsidRPr="00517FB2">
              <w:rPr>
                <w:rFonts w:eastAsiaTheme="minorEastAsia"/>
                <w:lang w:val="en-GB" w:eastAsia="en-US"/>
              </w:rPr>
              <w:t>Fully virtual</w:t>
            </w:r>
          </w:p>
        </w:tc>
        <w:tc>
          <w:tcPr>
            <w:tcW w:w="3822" w:type="dxa"/>
          </w:tcPr>
          <w:p w14:paraId="1B7448A8" w14:textId="62B2E3E1" w:rsidR="000B39C4" w:rsidRDefault="007C6998" w:rsidP="000B39C4">
            <w:r>
              <w:t>Closing e-plenary in English only.</w:t>
            </w:r>
          </w:p>
        </w:tc>
      </w:tr>
      <w:tr w:rsidR="00C0406D" w14:paraId="6D1F2C0A" w14:textId="77777777" w:rsidTr="52AFA42C">
        <w:tc>
          <w:tcPr>
            <w:tcW w:w="2977" w:type="dxa"/>
          </w:tcPr>
          <w:p w14:paraId="3D7EB47A" w14:textId="1775EDEF" w:rsidR="00C0406D" w:rsidRPr="00767586" w:rsidRDefault="00C0406D" w:rsidP="000B39C4">
            <w:pPr>
              <w:rPr>
                <w:rFonts w:eastAsiaTheme="minorEastAsia"/>
                <w:lang w:val="en-GB" w:eastAsia="en-US"/>
              </w:rPr>
            </w:pPr>
            <w:r w:rsidRPr="00C0406D">
              <w:rPr>
                <w:rFonts w:eastAsiaTheme="minorEastAsia"/>
                <w:lang w:val="en-GB" w:eastAsia="en-US"/>
              </w:rPr>
              <w:t>Virtual, 7-8 September 2020</w:t>
            </w:r>
          </w:p>
        </w:tc>
        <w:tc>
          <w:tcPr>
            <w:tcW w:w="1455" w:type="dxa"/>
          </w:tcPr>
          <w:p w14:paraId="1E82711A" w14:textId="3AD50654" w:rsidR="007C6998" w:rsidRDefault="007C6998" w:rsidP="007C6998">
            <w:pPr>
              <w:rPr>
                <w:rFonts w:eastAsiaTheme="minorEastAsia"/>
                <w:lang w:val="en-GB" w:eastAsia="en-US"/>
              </w:rPr>
            </w:pPr>
            <w:r>
              <w:rPr>
                <w:rFonts w:eastAsiaTheme="minorEastAsia"/>
                <w:lang w:val="en-GB" w:eastAsia="en-US"/>
              </w:rPr>
              <w:t>ITU-T SG2</w:t>
            </w:r>
          </w:p>
        </w:tc>
        <w:tc>
          <w:tcPr>
            <w:tcW w:w="1134" w:type="dxa"/>
          </w:tcPr>
          <w:p w14:paraId="40DE78AD" w14:textId="3D47D279" w:rsidR="00C0406D" w:rsidRPr="00517FB2" w:rsidRDefault="00C0406D" w:rsidP="000B39C4">
            <w:pPr>
              <w:rPr>
                <w:rFonts w:eastAsiaTheme="minorEastAsia"/>
                <w:lang w:val="en-GB" w:eastAsia="en-US"/>
              </w:rPr>
            </w:pPr>
            <w:r w:rsidRPr="00517FB2">
              <w:rPr>
                <w:rFonts w:eastAsiaTheme="minorEastAsia"/>
                <w:lang w:val="en-GB" w:eastAsia="en-US"/>
              </w:rPr>
              <w:t>Fully virtual</w:t>
            </w:r>
          </w:p>
        </w:tc>
        <w:tc>
          <w:tcPr>
            <w:tcW w:w="3822" w:type="dxa"/>
          </w:tcPr>
          <w:p w14:paraId="31C852D9" w14:textId="115781BF" w:rsidR="00C0406D" w:rsidRDefault="081EC3E3" w:rsidP="000B39C4">
            <w:r>
              <w:t xml:space="preserve">English only, </w:t>
            </w:r>
            <w:r w:rsidR="00370E4F">
              <w:t xml:space="preserve">with </w:t>
            </w:r>
            <w:r>
              <w:t>captioning for all sessions.</w:t>
            </w:r>
          </w:p>
        </w:tc>
      </w:tr>
      <w:tr w:rsidR="00F45485" w14:paraId="260DBD12" w14:textId="77777777" w:rsidTr="52AFA42C">
        <w:tc>
          <w:tcPr>
            <w:tcW w:w="2977" w:type="dxa"/>
          </w:tcPr>
          <w:p w14:paraId="73F9B875" w14:textId="0DBFC821" w:rsidR="00F45485" w:rsidRPr="00C0406D" w:rsidRDefault="00F45485" w:rsidP="00F45485">
            <w:pPr>
              <w:rPr>
                <w:rFonts w:eastAsiaTheme="minorEastAsia"/>
                <w:lang w:val="en-GB" w:eastAsia="en-US"/>
              </w:rPr>
            </w:pPr>
            <w:r w:rsidRPr="00C0406D">
              <w:rPr>
                <w:rFonts w:eastAsiaTheme="minorEastAsia"/>
                <w:lang w:val="en-GB" w:eastAsia="en-US"/>
              </w:rPr>
              <w:t xml:space="preserve">Virtual, </w:t>
            </w:r>
            <w:r w:rsidRPr="00F45485">
              <w:rPr>
                <w:rFonts w:eastAsiaTheme="minorEastAsia"/>
                <w:lang w:val="en-GB" w:eastAsia="en-US"/>
              </w:rPr>
              <w:t>7-11 September 2020</w:t>
            </w:r>
          </w:p>
        </w:tc>
        <w:tc>
          <w:tcPr>
            <w:tcW w:w="1455" w:type="dxa"/>
          </w:tcPr>
          <w:p w14:paraId="3B0A1470" w14:textId="196084F5" w:rsidR="007C6998" w:rsidRDefault="007C6998" w:rsidP="007C6998">
            <w:pPr>
              <w:rPr>
                <w:rFonts w:eastAsiaTheme="minorEastAsia"/>
                <w:lang w:val="en-GB" w:eastAsia="en-US"/>
              </w:rPr>
            </w:pPr>
            <w:r>
              <w:rPr>
                <w:rFonts w:eastAsiaTheme="minorEastAsia"/>
                <w:lang w:val="en-GB" w:eastAsia="en-US"/>
              </w:rPr>
              <w:t>ITU-T SG12</w:t>
            </w:r>
          </w:p>
        </w:tc>
        <w:tc>
          <w:tcPr>
            <w:tcW w:w="1134" w:type="dxa"/>
          </w:tcPr>
          <w:p w14:paraId="4E26522B" w14:textId="45A00551" w:rsidR="00F45485" w:rsidRPr="00517FB2" w:rsidRDefault="00F45485" w:rsidP="00F45485">
            <w:pPr>
              <w:rPr>
                <w:rFonts w:eastAsiaTheme="minorEastAsia"/>
                <w:lang w:val="en-GB" w:eastAsia="en-US"/>
              </w:rPr>
            </w:pPr>
            <w:r w:rsidRPr="00517FB2">
              <w:rPr>
                <w:rFonts w:eastAsiaTheme="minorEastAsia"/>
                <w:lang w:val="en-GB" w:eastAsia="en-US"/>
              </w:rPr>
              <w:t>Fully virtual</w:t>
            </w:r>
          </w:p>
        </w:tc>
        <w:tc>
          <w:tcPr>
            <w:tcW w:w="3822" w:type="dxa"/>
          </w:tcPr>
          <w:p w14:paraId="2F2B2A97" w14:textId="76522CF8" w:rsidR="00F45485" w:rsidRDefault="006A2C34" w:rsidP="00F45485">
            <w:r>
              <w:t>Closing e-plenary in English only</w:t>
            </w:r>
            <w:r w:rsidR="007C6998">
              <w:t>.</w:t>
            </w:r>
          </w:p>
        </w:tc>
      </w:tr>
      <w:tr w:rsidR="000B39C4" w14:paraId="2955F8B0" w14:textId="77777777" w:rsidTr="52AFA42C">
        <w:tc>
          <w:tcPr>
            <w:tcW w:w="2977" w:type="dxa"/>
          </w:tcPr>
          <w:p w14:paraId="11343E6F" w14:textId="6AA3E8C9" w:rsidR="000B39C4" w:rsidRPr="009541AB" w:rsidRDefault="000B39C4" w:rsidP="000B39C4">
            <w:pPr>
              <w:rPr>
                <w:rFonts w:eastAsiaTheme="minorEastAsia"/>
                <w:lang w:val="en-GB" w:eastAsia="en-US"/>
              </w:rPr>
            </w:pPr>
            <w:r>
              <w:rPr>
                <w:rFonts w:eastAsiaTheme="minorEastAsia"/>
                <w:lang w:val="en-GB" w:eastAsia="en-US"/>
              </w:rPr>
              <w:t xml:space="preserve">Virtual, </w:t>
            </w:r>
            <w:r w:rsidRPr="00767586">
              <w:rPr>
                <w:rFonts w:eastAsiaTheme="minorEastAsia"/>
                <w:lang w:val="en-GB" w:eastAsia="en-US"/>
              </w:rPr>
              <w:t>7-18 September 2020</w:t>
            </w:r>
          </w:p>
        </w:tc>
        <w:tc>
          <w:tcPr>
            <w:tcW w:w="1455" w:type="dxa"/>
          </w:tcPr>
          <w:p w14:paraId="46E28870" w14:textId="26D96693" w:rsidR="007C6998" w:rsidRDefault="007C6998" w:rsidP="007C6998">
            <w:pPr>
              <w:rPr>
                <w:rFonts w:eastAsiaTheme="minorEastAsia"/>
                <w:lang w:val="en-GB" w:eastAsia="en-US"/>
              </w:rPr>
            </w:pPr>
            <w:r>
              <w:rPr>
                <w:rFonts w:eastAsiaTheme="minorEastAsia"/>
                <w:lang w:val="en-GB" w:eastAsia="en-US"/>
              </w:rPr>
              <w:t>ITU-T SG15</w:t>
            </w:r>
          </w:p>
        </w:tc>
        <w:tc>
          <w:tcPr>
            <w:tcW w:w="1134" w:type="dxa"/>
          </w:tcPr>
          <w:p w14:paraId="1C4BD5BC" w14:textId="0104E8DD" w:rsidR="000B39C4" w:rsidRDefault="000B39C4" w:rsidP="000B39C4">
            <w:pPr>
              <w:rPr>
                <w:rFonts w:eastAsiaTheme="minorEastAsia"/>
                <w:lang w:val="en-GB" w:eastAsia="en-US"/>
              </w:rPr>
            </w:pPr>
            <w:r w:rsidRPr="00517FB2">
              <w:rPr>
                <w:rFonts w:eastAsiaTheme="minorEastAsia"/>
                <w:lang w:val="en-GB" w:eastAsia="en-US"/>
              </w:rPr>
              <w:t>Fully virtual</w:t>
            </w:r>
          </w:p>
        </w:tc>
        <w:tc>
          <w:tcPr>
            <w:tcW w:w="3822" w:type="dxa"/>
          </w:tcPr>
          <w:p w14:paraId="2453439F" w14:textId="3D0448E4" w:rsidR="000B39C4" w:rsidRDefault="007C6998" w:rsidP="000B39C4">
            <w:r>
              <w:t>Planned</w:t>
            </w:r>
            <w:r w:rsidR="00370E4F">
              <w:t>.</w:t>
            </w:r>
            <w:r>
              <w:t xml:space="preserve"> </w:t>
            </w:r>
            <w:r w:rsidR="00370E4F">
              <w:t>C</w:t>
            </w:r>
            <w:r w:rsidRPr="009D7F47">
              <w:t>losing e-plenary in English only</w:t>
            </w:r>
            <w:r>
              <w:t>.</w:t>
            </w:r>
          </w:p>
        </w:tc>
      </w:tr>
      <w:tr w:rsidR="00254C2C" w14:paraId="1C19A126" w14:textId="77777777" w:rsidTr="52AFA42C">
        <w:tc>
          <w:tcPr>
            <w:tcW w:w="2977" w:type="dxa"/>
          </w:tcPr>
          <w:p w14:paraId="2C0529B8" w14:textId="02070FEA" w:rsidR="00254C2C" w:rsidRDefault="00254C2C" w:rsidP="00254C2C">
            <w:pPr>
              <w:rPr>
                <w:rFonts w:eastAsiaTheme="minorEastAsia"/>
                <w:lang w:val="en-GB" w:eastAsia="en-US"/>
              </w:rPr>
            </w:pPr>
            <w:r>
              <w:rPr>
                <w:rFonts w:eastAsiaTheme="minorEastAsia"/>
                <w:lang w:val="en-GB" w:eastAsia="en-US"/>
              </w:rPr>
              <w:t>V</w:t>
            </w:r>
            <w:r w:rsidRPr="00254C2C">
              <w:rPr>
                <w:rFonts w:eastAsiaTheme="minorEastAsia"/>
                <w:lang w:val="en-GB" w:eastAsia="en-US"/>
              </w:rPr>
              <w:t>irtual, 18 September 2020</w:t>
            </w:r>
          </w:p>
        </w:tc>
        <w:tc>
          <w:tcPr>
            <w:tcW w:w="1455" w:type="dxa"/>
          </w:tcPr>
          <w:p w14:paraId="5C0897D4" w14:textId="7D40D863" w:rsidR="007C6998" w:rsidRPr="00254C2C" w:rsidRDefault="007C6998" w:rsidP="007C6998">
            <w:pPr>
              <w:rPr>
                <w:rFonts w:eastAsiaTheme="minorEastAsia"/>
                <w:lang w:val="en-GB" w:eastAsia="en-US"/>
              </w:rPr>
            </w:pPr>
            <w:r w:rsidRPr="00254C2C">
              <w:rPr>
                <w:rFonts w:eastAsiaTheme="minorEastAsia"/>
                <w:lang w:val="en-GB" w:eastAsia="en-US"/>
              </w:rPr>
              <w:t xml:space="preserve">Interregional </w:t>
            </w:r>
            <w:r>
              <w:rPr>
                <w:rFonts w:eastAsiaTheme="minorEastAsia"/>
                <w:lang w:val="en-GB" w:eastAsia="en-US"/>
              </w:rPr>
              <w:t>m</w:t>
            </w:r>
            <w:r w:rsidRPr="00254C2C">
              <w:rPr>
                <w:rFonts w:eastAsiaTheme="minorEastAsia"/>
                <w:lang w:val="en-GB" w:eastAsia="en-US"/>
              </w:rPr>
              <w:t xml:space="preserve">eeting for </w:t>
            </w:r>
            <w:r>
              <w:rPr>
                <w:rFonts w:eastAsiaTheme="minorEastAsia"/>
                <w:lang w:val="en-GB" w:eastAsia="en-US"/>
              </w:rPr>
              <w:t>p</w:t>
            </w:r>
            <w:r w:rsidRPr="00254C2C">
              <w:rPr>
                <w:rFonts w:eastAsiaTheme="minorEastAsia"/>
                <w:lang w:val="en-GB" w:eastAsia="en-US"/>
              </w:rPr>
              <w:t>reparation of WTSA-20</w:t>
            </w:r>
          </w:p>
        </w:tc>
        <w:tc>
          <w:tcPr>
            <w:tcW w:w="1134" w:type="dxa"/>
          </w:tcPr>
          <w:p w14:paraId="5D1E477E" w14:textId="3ECC9D84" w:rsidR="00254C2C" w:rsidRPr="00517FB2" w:rsidRDefault="00254C2C" w:rsidP="00254C2C">
            <w:pPr>
              <w:rPr>
                <w:rFonts w:eastAsiaTheme="minorEastAsia"/>
                <w:lang w:val="en-GB" w:eastAsia="en-US"/>
              </w:rPr>
            </w:pPr>
            <w:r w:rsidRPr="00517FB2">
              <w:rPr>
                <w:rFonts w:eastAsiaTheme="minorEastAsia"/>
                <w:lang w:val="en-GB" w:eastAsia="en-US"/>
              </w:rPr>
              <w:t>Fully virtual</w:t>
            </w:r>
          </w:p>
        </w:tc>
        <w:tc>
          <w:tcPr>
            <w:tcW w:w="3822" w:type="dxa"/>
          </w:tcPr>
          <w:p w14:paraId="6DA989D5" w14:textId="411D995C" w:rsidR="00254C2C" w:rsidRDefault="5DA91D45" w:rsidP="00254C2C">
            <w:r>
              <w:t>P</w:t>
            </w:r>
            <w:r w:rsidR="0E0B9657">
              <w:t>lanned</w:t>
            </w:r>
            <w:r w:rsidR="00370E4F">
              <w:t>.</w:t>
            </w:r>
            <w:r>
              <w:t xml:space="preserve"> </w:t>
            </w:r>
            <w:r w:rsidR="00370E4F">
              <w:t>I</w:t>
            </w:r>
            <w:r>
              <w:t xml:space="preserve">nterpretation </w:t>
            </w:r>
            <w:r w:rsidR="50A6ABE4">
              <w:t>in all offic</w:t>
            </w:r>
            <w:r w:rsidR="6F547FD6">
              <w:t>i</w:t>
            </w:r>
            <w:r w:rsidR="50A6ABE4">
              <w:t xml:space="preserve">al ITU languages </w:t>
            </w:r>
            <w:r>
              <w:t>on MyMeetings</w:t>
            </w:r>
            <w:r w:rsidR="007C6998">
              <w:t>.</w:t>
            </w:r>
          </w:p>
        </w:tc>
      </w:tr>
      <w:tr w:rsidR="00254C2C" w14:paraId="1A508049" w14:textId="77777777" w:rsidTr="52AFA42C">
        <w:tc>
          <w:tcPr>
            <w:tcW w:w="2977" w:type="dxa"/>
          </w:tcPr>
          <w:p w14:paraId="12CC28AF" w14:textId="63624DAA" w:rsidR="00254C2C" w:rsidRDefault="00254C2C" w:rsidP="00254C2C">
            <w:pPr>
              <w:rPr>
                <w:rFonts w:eastAsiaTheme="minorEastAsia"/>
                <w:lang w:val="en-GB" w:eastAsia="en-US"/>
              </w:rPr>
            </w:pPr>
            <w:r>
              <w:rPr>
                <w:rFonts w:eastAsiaTheme="minorEastAsia"/>
                <w:lang w:val="en-GB" w:eastAsia="en-US"/>
              </w:rPr>
              <w:t xml:space="preserve">Virtual, </w:t>
            </w:r>
            <w:r w:rsidR="002F17E4" w:rsidRPr="002F17E4">
              <w:rPr>
                <w:rFonts w:eastAsiaTheme="minorEastAsia"/>
                <w:lang w:val="en-GB" w:eastAsia="en-US"/>
              </w:rPr>
              <w:t>21-25 September 2020</w:t>
            </w:r>
          </w:p>
        </w:tc>
        <w:tc>
          <w:tcPr>
            <w:tcW w:w="1455" w:type="dxa"/>
          </w:tcPr>
          <w:p w14:paraId="5D7DA325" w14:textId="3BBA36A4" w:rsidR="007C6998" w:rsidRDefault="007C6998" w:rsidP="007C6998">
            <w:pPr>
              <w:rPr>
                <w:rFonts w:eastAsiaTheme="minorEastAsia"/>
                <w:lang w:val="en-GB" w:eastAsia="en-US"/>
              </w:rPr>
            </w:pPr>
            <w:r>
              <w:rPr>
                <w:rFonts w:eastAsiaTheme="minorEastAsia"/>
                <w:lang w:val="en-GB" w:eastAsia="en-US"/>
              </w:rPr>
              <w:t>TSAG</w:t>
            </w:r>
          </w:p>
        </w:tc>
        <w:tc>
          <w:tcPr>
            <w:tcW w:w="1134" w:type="dxa"/>
          </w:tcPr>
          <w:p w14:paraId="3D41743A" w14:textId="460D87C3" w:rsidR="00254C2C" w:rsidRPr="00517FB2" w:rsidRDefault="00254C2C" w:rsidP="00254C2C">
            <w:pPr>
              <w:rPr>
                <w:rFonts w:eastAsiaTheme="minorEastAsia"/>
                <w:lang w:val="en-GB" w:eastAsia="en-US"/>
              </w:rPr>
            </w:pPr>
            <w:r w:rsidRPr="00517FB2">
              <w:rPr>
                <w:rFonts w:eastAsiaTheme="minorEastAsia"/>
                <w:lang w:val="en-GB" w:eastAsia="en-US"/>
              </w:rPr>
              <w:t>Fully virtual</w:t>
            </w:r>
          </w:p>
        </w:tc>
        <w:tc>
          <w:tcPr>
            <w:tcW w:w="3822" w:type="dxa"/>
          </w:tcPr>
          <w:p w14:paraId="1314A6D2" w14:textId="093F32FB" w:rsidR="00254C2C" w:rsidRDefault="5DA91D45" w:rsidP="00254C2C">
            <w:r>
              <w:t>P</w:t>
            </w:r>
            <w:r w:rsidR="0E0B9657">
              <w:t>lanned</w:t>
            </w:r>
            <w:r w:rsidR="00370E4F">
              <w:t>.</w:t>
            </w:r>
            <w:r>
              <w:t xml:space="preserve"> </w:t>
            </w:r>
            <w:r w:rsidR="00370E4F">
              <w:t>I</w:t>
            </w:r>
            <w:r>
              <w:t xml:space="preserve">nterpretation </w:t>
            </w:r>
            <w:r w:rsidR="5F1ABE8B">
              <w:t>in all offic</w:t>
            </w:r>
            <w:r w:rsidR="27759516">
              <w:t>i</w:t>
            </w:r>
            <w:r w:rsidR="5F1ABE8B">
              <w:t xml:space="preserve">al ITU languages </w:t>
            </w:r>
            <w:r>
              <w:t>on MyMeetings</w:t>
            </w:r>
            <w:r w:rsidR="007C6998">
              <w:t>.</w:t>
            </w:r>
          </w:p>
        </w:tc>
      </w:tr>
      <w:tr w:rsidR="0A47BC55" w14:paraId="2CA4EF0A" w14:textId="77777777" w:rsidTr="52AFA42C">
        <w:tc>
          <w:tcPr>
            <w:tcW w:w="2977" w:type="dxa"/>
          </w:tcPr>
          <w:p w14:paraId="029DD37E" w14:textId="24254C04" w:rsidR="36F365F0" w:rsidRDefault="36F365F0" w:rsidP="0A47BC55">
            <w:pPr>
              <w:rPr>
                <w:rFonts w:eastAsiaTheme="minorEastAsia"/>
                <w:lang w:val="en-GB" w:eastAsia="en-US"/>
              </w:rPr>
            </w:pPr>
            <w:r w:rsidRPr="0A47BC55">
              <w:rPr>
                <w:rFonts w:eastAsiaTheme="minorEastAsia"/>
                <w:lang w:val="en-GB" w:eastAsia="en-US"/>
              </w:rPr>
              <w:t>Virtual 29-30 September 2020</w:t>
            </w:r>
          </w:p>
        </w:tc>
        <w:tc>
          <w:tcPr>
            <w:tcW w:w="1455" w:type="dxa"/>
          </w:tcPr>
          <w:p w14:paraId="488F3FBF" w14:textId="22493588" w:rsidR="36F365F0" w:rsidRDefault="36F365F0" w:rsidP="0A47BC55">
            <w:pPr>
              <w:rPr>
                <w:rFonts w:eastAsiaTheme="minorEastAsia"/>
                <w:lang w:val="en-GB" w:eastAsia="en-US"/>
              </w:rPr>
            </w:pPr>
            <w:r w:rsidRPr="0A47BC55">
              <w:rPr>
                <w:rFonts w:eastAsiaTheme="minorEastAsia"/>
                <w:lang w:val="en-GB" w:eastAsia="en-US"/>
              </w:rPr>
              <w:t>ITU-T SG5RG-AP</w:t>
            </w:r>
          </w:p>
        </w:tc>
        <w:tc>
          <w:tcPr>
            <w:tcW w:w="1134" w:type="dxa"/>
          </w:tcPr>
          <w:p w14:paraId="3A68E8D9" w14:textId="068EBB24" w:rsidR="36F365F0" w:rsidRDefault="36F365F0" w:rsidP="0A47BC55">
            <w:pPr>
              <w:rPr>
                <w:rFonts w:eastAsiaTheme="minorEastAsia"/>
                <w:lang w:val="en-GB" w:eastAsia="en-US"/>
              </w:rPr>
            </w:pPr>
            <w:r w:rsidRPr="0A47BC55">
              <w:rPr>
                <w:rFonts w:eastAsiaTheme="minorEastAsia"/>
                <w:lang w:val="en-GB" w:eastAsia="en-US"/>
              </w:rPr>
              <w:t>Fully virtual</w:t>
            </w:r>
          </w:p>
        </w:tc>
        <w:tc>
          <w:tcPr>
            <w:tcW w:w="3822" w:type="dxa"/>
          </w:tcPr>
          <w:p w14:paraId="4C149990" w14:textId="2D932E88" w:rsidR="36F365F0" w:rsidRDefault="36F365F0" w:rsidP="0A47BC55">
            <w:r>
              <w:t>Planned</w:t>
            </w:r>
            <w:r w:rsidR="00370E4F">
              <w:t>.</w:t>
            </w:r>
            <w:r>
              <w:t xml:space="preserve"> English only.</w:t>
            </w:r>
          </w:p>
        </w:tc>
      </w:tr>
      <w:tr w:rsidR="0A47BC55" w14:paraId="59F02B93" w14:textId="77777777" w:rsidTr="52AFA42C">
        <w:tc>
          <w:tcPr>
            <w:tcW w:w="2977" w:type="dxa"/>
          </w:tcPr>
          <w:p w14:paraId="55FBDC5B" w14:textId="65A6A618" w:rsidR="2BA70078" w:rsidRDefault="2BA70078" w:rsidP="0A47BC55">
            <w:pPr>
              <w:rPr>
                <w:rFonts w:eastAsiaTheme="minorEastAsia"/>
                <w:lang w:val="en-GB" w:eastAsia="en-US"/>
              </w:rPr>
            </w:pPr>
            <w:r w:rsidRPr="0A47BC55">
              <w:rPr>
                <w:rFonts w:eastAsiaTheme="minorEastAsia"/>
                <w:lang w:val="en-GB" w:eastAsia="en-US"/>
              </w:rPr>
              <w:t>Virtual, 19-23 October 2020</w:t>
            </w:r>
          </w:p>
        </w:tc>
        <w:tc>
          <w:tcPr>
            <w:tcW w:w="1455" w:type="dxa"/>
          </w:tcPr>
          <w:p w14:paraId="6DD49DB6" w14:textId="02F0D961" w:rsidR="2BA70078" w:rsidRDefault="2BA70078" w:rsidP="0A47BC55">
            <w:pPr>
              <w:rPr>
                <w:rFonts w:eastAsiaTheme="minorEastAsia"/>
                <w:lang w:val="en-GB" w:eastAsia="en-US"/>
              </w:rPr>
            </w:pPr>
            <w:r w:rsidRPr="0A47BC55">
              <w:rPr>
                <w:rFonts w:eastAsiaTheme="minorEastAsia"/>
                <w:lang w:val="en-GB" w:eastAsia="en-US"/>
              </w:rPr>
              <w:t>SG5</w:t>
            </w:r>
          </w:p>
        </w:tc>
        <w:tc>
          <w:tcPr>
            <w:tcW w:w="1134" w:type="dxa"/>
          </w:tcPr>
          <w:p w14:paraId="011C1DA3" w14:textId="66928135" w:rsidR="2BA70078" w:rsidRDefault="2BA70078" w:rsidP="0A47BC55">
            <w:pPr>
              <w:rPr>
                <w:rFonts w:eastAsiaTheme="minorEastAsia"/>
                <w:lang w:val="en-GB" w:eastAsia="en-US"/>
              </w:rPr>
            </w:pPr>
            <w:r w:rsidRPr="0A47BC55">
              <w:rPr>
                <w:rFonts w:eastAsiaTheme="minorEastAsia"/>
                <w:lang w:val="en-GB" w:eastAsia="en-US"/>
              </w:rPr>
              <w:t>Fully virtual</w:t>
            </w:r>
          </w:p>
        </w:tc>
        <w:tc>
          <w:tcPr>
            <w:tcW w:w="3822" w:type="dxa"/>
          </w:tcPr>
          <w:p w14:paraId="2F8F4C22" w14:textId="7E2CF806" w:rsidR="2BA70078" w:rsidRDefault="2BA70078" w:rsidP="0A47BC55">
            <w:r>
              <w:t>Planned</w:t>
            </w:r>
            <w:r w:rsidR="00370E4F">
              <w:t>. C</w:t>
            </w:r>
            <w:r>
              <w:t>losing e-plenary in English only.</w:t>
            </w:r>
          </w:p>
        </w:tc>
      </w:tr>
    </w:tbl>
    <w:p w14:paraId="340E990D" w14:textId="34AC412C" w:rsidR="00B866DD" w:rsidRDefault="00360441" w:rsidP="00B866DD">
      <w:pPr>
        <w:rPr>
          <w:lang w:val="en-GB"/>
        </w:rPr>
      </w:pPr>
      <w:r w:rsidRPr="00710D5D">
        <w:rPr>
          <w:szCs w:val="24"/>
        </w:rPr>
        <w:t>In c</w:t>
      </w:r>
      <w:r w:rsidR="00B866DD" w:rsidRPr="00B866DD">
        <w:rPr>
          <w:szCs w:val="24"/>
        </w:rPr>
        <w:t>onjunction</w:t>
      </w:r>
      <w:r w:rsidRPr="00710D5D">
        <w:rPr>
          <w:szCs w:val="24"/>
        </w:rPr>
        <w:t xml:space="preserve"> with virtual </w:t>
      </w:r>
      <w:r w:rsidR="00B866DD" w:rsidRPr="00B866DD">
        <w:rPr>
          <w:szCs w:val="24"/>
        </w:rPr>
        <w:t>ITU-T s</w:t>
      </w:r>
      <w:r w:rsidRPr="00710D5D">
        <w:rPr>
          <w:szCs w:val="24"/>
        </w:rPr>
        <w:t xml:space="preserve">tudy </w:t>
      </w:r>
      <w:r w:rsidR="00B866DD" w:rsidRPr="00B866DD">
        <w:rPr>
          <w:szCs w:val="24"/>
        </w:rPr>
        <w:t>g</w:t>
      </w:r>
      <w:r w:rsidRPr="00710D5D">
        <w:rPr>
          <w:szCs w:val="24"/>
        </w:rPr>
        <w:t xml:space="preserve">roup meetings, </w:t>
      </w:r>
      <w:r w:rsidR="00B84810" w:rsidRPr="00710D5D">
        <w:rPr>
          <w:szCs w:val="24"/>
        </w:rPr>
        <w:t xml:space="preserve">four </w:t>
      </w:r>
      <w:r w:rsidR="00B866DD" w:rsidRPr="00E50A91">
        <w:rPr>
          <w:lang w:val="en-GB"/>
        </w:rPr>
        <w:t xml:space="preserve">'BSG Hands-On </w:t>
      </w:r>
      <w:r w:rsidR="00B866DD">
        <w:rPr>
          <w:lang w:val="en-GB"/>
        </w:rPr>
        <w:t>SG</w:t>
      </w:r>
      <w:r w:rsidR="00B866DD" w:rsidRPr="00E50A91">
        <w:rPr>
          <w:lang w:val="en-GB"/>
        </w:rPr>
        <w:t xml:space="preserve"> effectiveness training' </w:t>
      </w:r>
      <w:r w:rsidR="00B866DD">
        <w:rPr>
          <w:lang w:val="en-GB"/>
        </w:rPr>
        <w:t xml:space="preserve">sessions were carried out virtually. </w:t>
      </w:r>
      <w:r w:rsidR="00B866DD" w:rsidRPr="00E50A91">
        <w:rPr>
          <w:lang w:val="en-GB"/>
        </w:rPr>
        <w:t xml:space="preserve">The training focuses on the development of practical skills to maximize the effectiveness of developing countries' participation in the ITU-T standardization process, covering topics including strategies for participation in </w:t>
      </w:r>
      <w:r w:rsidR="00B866DD">
        <w:rPr>
          <w:lang w:val="en-GB"/>
        </w:rPr>
        <w:t>ITU-T study groups</w:t>
      </w:r>
      <w:r w:rsidR="00B866DD" w:rsidRPr="00E50A91">
        <w:rPr>
          <w:lang w:val="en-GB"/>
        </w:rPr>
        <w:t>, drafting contributions to meetings, presenting proposals, collaborative working methods and building consensus.</w:t>
      </w:r>
    </w:p>
    <w:p w14:paraId="54E1BED1" w14:textId="6D8647AF" w:rsidR="0041063B" w:rsidRPr="004E7FC7" w:rsidRDefault="00214CD0" w:rsidP="000C4D41">
      <w:pPr>
        <w:pStyle w:val="xmsonormal"/>
        <w:spacing w:before="240"/>
        <w:rPr>
          <w:rFonts w:ascii="Times New Roman" w:hAnsi="Times New Roman" w:cs="Times New Roman"/>
          <w:sz w:val="24"/>
          <w:szCs w:val="24"/>
        </w:rPr>
      </w:pPr>
      <w:r>
        <w:rPr>
          <w:rFonts w:ascii="Times New Roman" w:hAnsi="Times New Roman" w:cs="Times New Roman"/>
          <w:sz w:val="24"/>
          <w:szCs w:val="24"/>
        </w:rPr>
        <w:t xml:space="preserve">May </w:t>
      </w:r>
      <w:r w:rsidR="00B866DD">
        <w:rPr>
          <w:rFonts w:ascii="Times New Roman" w:hAnsi="Times New Roman" w:cs="Times New Roman"/>
          <w:sz w:val="24"/>
          <w:szCs w:val="24"/>
        </w:rPr>
        <w:t>to</w:t>
      </w:r>
      <w:r>
        <w:rPr>
          <w:rFonts w:ascii="Times New Roman" w:hAnsi="Times New Roman" w:cs="Times New Roman"/>
          <w:sz w:val="24"/>
          <w:szCs w:val="24"/>
        </w:rPr>
        <w:t xml:space="preserve"> July 2020</w:t>
      </w:r>
      <w:r w:rsidR="00B866DD">
        <w:rPr>
          <w:rFonts w:ascii="Times New Roman" w:hAnsi="Times New Roman" w:cs="Times New Roman"/>
          <w:sz w:val="24"/>
          <w:szCs w:val="24"/>
        </w:rPr>
        <w:t xml:space="preserve"> hosted a series of </w:t>
      </w:r>
      <w:r w:rsidR="004E7FC7" w:rsidRPr="004E7FC7">
        <w:rPr>
          <w:rFonts w:ascii="Times New Roman" w:hAnsi="Times New Roman" w:cs="Times New Roman"/>
          <w:sz w:val="24"/>
          <w:szCs w:val="24"/>
        </w:rPr>
        <w:t xml:space="preserve">webinars on </w:t>
      </w:r>
      <w:hyperlink r:id="rId48">
        <w:r w:rsidR="004E7FC7" w:rsidRPr="5FCACBF6">
          <w:rPr>
            <w:rStyle w:val="Hyperlink"/>
            <w:rFonts w:ascii="Times New Roman" w:hAnsi="Times New Roman"/>
            <w:sz w:val="24"/>
            <w:szCs w:val="24"/>
          </w:rPr>
          <w:t>Insights on Digital Financial Services during COVID-19</w:t>
        </w:r>
      </w:hyperlink>
      <w:r w:rsidR="00DA2FA8" w:rsidRPr="5FCACBF6">
        <w:rPr>
          <w:rFonts w:ascii="Times New Roman" w:hAnsi="Times New Roman" w:cs="Times New Roman"/>
          <w:sz w:val="24"/>
          <w:szCs w:val="24"/>
        </w:rPr>
        <w:t>.</w:t>
      </w:r>
      <w:r w:rsidR="00DA2FA8">
        <w:rPr>
          <w:rFonts w:ascii="Times New Roman" w:hAnsi="Times New Roman" w:cs="Times New Roman"/>
          <w:sz w:val="24"/>
          <w:szCs w:val="24"/>
        </w:rPr>
        <w:t xml:space="preserve"> </w:t>
      </w:r>
      <w:r w:rsidR="00B866DD">
        <w:rPr>
          <w:rFonts w:ascii="Times New Roman" w:hAnsi="Times New Roman" w:cs="Times New Roman"/>
          <w:sz w:val="24"/>
          <w:szCs w:val="24"/>
        </w:rPr>
        <w:t>T</w:t>
      </w:r>
      <w:r w:rsidR="00323FBE">
        <w:rPr>
          <w:rFonts w:ascii="Times New Roman" w:hAnsi="Times New Roman" w:cs="Times New Roman"/>
          <w:sz w:val="24"/>
          <w:szCs w:val="24"/>
        </w:rPr>
        <w:t>he Quality of Service De</w:t>
      </w:r>
      <w:r w:rsidR="00DC7721">
        <w:rPr>
          <w:rFonts w:ascii="Times New Roman" w:hAnsi="Times New Roman" w:cs="Times New Roman"/>
          <w:sz w:val="24"/>
          <w:szCs w:val="24"/>
        </w:rPr>
        <w:t>v</w:t>
      </w:r>
      <w:r w:rsidR="00323FBE">
        <w:rPr>
          <w:rFonts w:ascii="Times New Roman" w:hAnsi="Times New Roman" w:cs="Times New Roman"/>
          <w:sz w:val="24"/>
          <w:szCs w:val="24"/>
        </w:rPr>
        <w:t>elopment Group</w:t>
      </w:r>
      <w:r w:rsidR="00B866DD">
        <w:rPr>
          <w:rFonts w:ascii="Times New Roman" w:hAnsi="Times New Roman" w:cs="Times New Roman"/>
          <w:sz w:val="24"/>
          <w:szCs w:val="24"/>
        </w:rPr>
        <w:t xml:space="preserve"> has </w:t>
      </w:r>
      <w:r w:rsidR="00DC7721">
        <w:rPr>
          <w:rFonts w:ascii="Times New Roman" w:hAnsi="Times New Roman" w:cs="Times New Roman"/>
          <w:sz w:val="24"/>
          <w:szCs w:val="24"/>
        </w:rPr>
        <w:t xml:space="preserve">transformed its annual face-to-face meeting into </w:t>
      </w:r>
      <w:r w:rsidR="00247704">
        <w:rPr>
          <w:rFonts w:ascii="Times New Roman" w:hAnsi="Times New Roman" w:cs="Times New Roman"/>
          <w:sz w:val="24"/>
          <w:szCs w:val="24"/>
        </w:rPr>
        <w:t xml:space="preserve">a series of </w:t>
      </w:r>
      <w:hyperlink r:id="rId49">
        <w:r w:rsidR="00247704" w:rsidRPr="5FCACBF6">
          <w:rPr>
            <w:rStyle w:val="Hyperlink"/>
            <w:rFonts w:ascii="Times New Roman" w:hAnsi="Times New Roman"/>
            <w:sz w:val="24"/>
            <w:szCs w:val="24"/>
          </w:rPr>
          <w:t>QoS-themed webinars</w:t>
        </w:r>
      </w:hyperlink>
      <w:r w:rsidR="00247704" w:rsidRPr="5FCACBF6">
        <w:rPr>
          <w:rFonts w:ascii="Times New Roman" w:hAnsi="Times New Roman" w:cs="Times New Roman"/>
          <w:sz w:val="24"/>
          <w:szCs w:val="24"/>
        </w:rPr>
        <w:t>.</w:t>
      </w:r>
      <w:r w:rsidR="00247704">
        <w:rPr>
          <w:rFonts w:ascii="Times New Roman" w:hAnsi="Times New Roman" w:cs="Times New Roman"/>
          <w:sz w:val="24"/>
          <w:szCs w:val="24"/>
        </w:rPr>
        <w:t xml:space="preserve"> </w:t>
      </w:r>
      <w:r w:rsidR="00FA6272">
        <w:rPr>
          <w:rFonts w:ascii="Times New Roman" w:hAnsi="Times New Roman" w:cs="Times New Roman"/>
          <w:sz w:val="24"/>
          <w:szCs w:val="24"/>
        </w:rPr>
        <w:t>In addition, s</w:t>
      </w:r>
      <w:r w:rsidR="00DA2FA8">
        <w:rPr>
          <w:rFonts w:ascii="Times New Roman" w:hAnsi="Times New Roman" w:cs="Times New Roman"/>
          <w:sz w:val="24"/>
          <w:szCs w:val="24"/>
        </w:rPr>
        <w:t>everal ITU workshops were turned into electronic webinars; through some planned (joint) workshops had to be cancelled or be postponed.</w:t>
      </w:r>
    </w:p>
    <w:p w14:paraId="18CE5A1E" w14:textId="7A25B20A" w:rsidR="00DA2FA8" w:rsidRDefault="0068621C" w:rsidP="004E7FC7">
      <w:pPr>
        <w:rPr>
          <w:rFonts w:eastAsiaTheme="minorEastAsia"/>
          <w:szCs w:val="24"/>
          <w:lang w:val="en-GB" w:eastAsia="en-US"/>
        </w:rPr>
      </w:pPr>
      <w:r w:rsidRPr="0068621C">
        <w:rPr>
          <w:rFonts w:eastAsiaTheme="minorEastAsia"/>
          <w:szCs w:val="24"/>
          <w:lang w:val="en-GB" w:eastAsia="en-US"/>
        </w:rPr>
        <w:t xml:space="preserve">The </w:t>
      </w:r>
      <w:hyperlink r:id="rId50" w:history="1">
        <w:r w:rsidRPr="0068621C">
          <w:rPr>
            <w:rStyle w:val="Hyperlink"/>
            <w:rFonts w:eastAsiaTheme="minorEastAsia"/>
            <w:szCs w:val="24"/>
            <w:lang w:val="en-GB" w:eastAsia="en-US"/>
          </w:rPr>
          <w:t>AI for Good Global Summit</w:t>
        </w:r>
      </w:hyperlink>
      <w:r w:rsidRPr="0068621C">
        <w:rPr>
          <w:rFonts w:eastAsiaTheme="minorEastAsia"/>
          <w:szCs w:val="24"/>
          <w:lang w:val="en-GB" w:eastAsia="en-US"/>
        </w:rPr>
        <w:t xml:space="preserve"> </w:t>
      </w:r>
      <w:r w:rsidR="00370E4F">
        <w:rPr>
          <w:rFonts w:eastAsiaTheme="minorEastAsia"/>
          <w:szCs w:val="24"/>
          <w:lang w:val="en-GB" w:eastAsia="en-US"/>
        </w:rPr>
        <w:t>will remain online, all year, over 2020 and 202</w:t>
      </w:r>
      <w:r w:rsidR="00B866DD">
        <w:rPr>
          <w:rFonts w:eastAsiaTheme="minorEastAsia"/>
          <w:szCs w:val="24"/>
          <w:lang w:val="en-GB" w:eastAsia="en-US"/>
        </w:rPr>
        <w:t>1</w:t>
      </w:r>
      <w:r w:rsidR="00370E4F">
        <w:rPr>
          <w:rFonts w:eastAsiaTheme="minorEastAsia"/>
          <w:szCs w:val="24"/>
          <w:lang w:val="en-GB" w:eastAsia="en-US"/>
        </w:rPr>
        <w:t xml:space="preserve">, featuring </w:t>
      </w:r>
      <w:r w:rsidRPr="0068621C">
        <w:rPr>
          <w:rFonts w:eastAsiaTheme="minorEastAsia"/>
          <w:szCs w:val="24"/>
          <w:lang w:val="en-GB" w:eastAsia="en-US"/>
        </w:rPr>
        <w:t>weekly programming across multiple formats, platforms and time-zones, including keynotes, expert webinars, project pitches, Q&amp;As, performances, demos, interviews, networking and more.</w:t>
      </w:r>
      <w:r w:rsidR="00370E4F">
        <w:rPr>
          <w:rFonts w:eastAsiaTheme="minorEastAsia"/>
          <w:szCs w:val="24"/>
          <w:lang w:val="en-GB" w:eastAsia="en-US"/>
        </w:rPr>
        <w:t xml:space="preserve"> AI for Good ‘Breakthrough tracks’ on food, gender and pandemics will present the latest developments in their work from 21-30 September 2020. </w:t>
      </w:r>
    </w:p>
    <w:p w14:paraId="66F202D1" w14:textId="3BED556B" w:rsidR="00136E7B" w:rsidRPr="001615CC" w:rsidRDefault="00BA3326" w:rsidP="00136E7B">
      <w:pPr>
        <w:pStyle w:val="Heading1"/>
        <w:rPr>
          <w:rFonts w:eastAsiaTheme="minorEastAsia"/>
        </w:rPr>
      </w:pPr>
      <w:bookmarkStart w:id="48" w:name="_Toc51331486"/>
      <w:r>
        <w:rPr>
          <w:rFonts w:eastAsiaTheme="minorEastAsia"/>
        </w:rPr>
        <w:lastRenderedPageBreak/>
        <w:t>3</w:t>
      </w:r>
      <w:r w:rsidR="00136E7B" w:rsidRPr="001615CC">
        <w:rPr>
          <w:rFonts w:eastAsiaTheme="minorEastAsia"/>
        </w:rPr>
        <w:tab/>
        <w:t>Conformity, interoperability</w:t>
      </w:r>
      <w:bookmarkEnd w:id="41"/>
      <w:r w:rsidR="00136E7B" w:rsidRPr="001615CC">
        <w:rPr>
          <w:rFonts w:eastAsiaTheme="minorEastAsia"/>
        </w:rPr>
        <w:t xml:space="preserve"> and testing</w:t>
      </w:r>
      <w:bookmarkEnd w:id="42"/>
      <w:bookmarkEnd w:id="43"/>
      <w:bookmarkEnd w:id="44"/>
      <w:bookmarkEnd w:id="45"/>
      <w:bookmarkEnd w:id="46"/>
      <w:bookmarkEnd w:id="47"/>
      <w:bookmarkEnd w:id="48"/>
    </w:p>
    <w:p w14:paraId="6D630887" w14:textId="6F82D0B8" w:rsidR="00136E7B" w:rsidRPr="001615CC" w:rsidRDefault="00BA3326" w:rsidP="00136E7B">
      <w:pPr>
        <w:pStyle w:val="Heading2"/>
      </w:pPr>
      <w:bookmarkStart w:id="49" w:name="_Toc462664224"/>
      <w:bookmarkStart w:id="50" w:name="_Toc480527818"/>
      <w:bookmarkStart w:id="51" w:name="_Toc51331487"/>
      <w:bookmarkStart w:id="52" w:name="_Toc453929092"/>
      <w:bookmarkStart w:id="53" w:name="_Toc453932963"/>
      <w:bookmarkStart w:id="54" w:name="_Toc454295869"/>
      <w:r>
        <w:t>3</w:t>
      </w:r>
      <w:r w:rsidR="00136E7B" w:rsidRPr="001615CC">
        <w:t>.1</w:t>
      </w:r>
      <w:r w:rsidR="00136E7B" w:rsidRPr="001615CC">
        <w:tab/>
        <w:t>Conformity Assessment Steering Committee (CASC)</w:t>
      </w:r>
      <w:bookmarkEnd w:id="49"/>
      <w:bookmarkEnd w:id="50"/>
      <w:bookmarkEnd w:id="51"/>
    </w:p>
    <w:p w14:paraId="0B4B25DF" w14:textId="77777777" w:rsidR="00136E7B" w:rsidRPr="002C5EC2" w:rsidRDefault="00136E7B" w:rsidP="00136E7B">
      <w:pPr>
        <w:snapToGrid w:val="0"/>
        <w:rPr>
          <w:lang w:val="en-GB"/>
        </w:rPr>
      </w:pPr>
      <w:r w:rsidRPr="002C5EC2">
        <w:rPr>
          <w:lang w:val="en-GB"/>
        </w:rPr>
        <w:t>The main objective of ITU-T CASC is to set up criteria, rules and procedures to recognize Test Laboratories (TLs) with competence in ITU-T Recommendation(s) and register these TLs in a list of ITU-recognized TLs. This effort is supported by a guideline "Testing laboratories recognition procedure" agreed by ITU-T SG11 in 2015.</w:t>
      </w:r>
    </w:p>
    <w:p w14:paraId="57400C82" w14:textId="1B861446" w:rsidR="00E43855" w:rsidRPr="003F4488" w:rsidRDefault="00E43855" w:rsidP="00E43855">
      <w:r>
        <w:rPr>
          <w:lang w:val="en-GB"/>
        </w:rPr>
        <w:t xml:space="preserve">CASC conducted two meetings (March and July 2020). During its meeting in July, </w:t>
      </w:r>
      <w:r w:rsidRPr="003F4488">
        <w:t xml:space="preserve">IEC </w:t>
      </w:r>
      <w:r>
        <w:t xml:space="preserve">presented </w:t>
      </w:r>
      <w:r w:rsidRPr="003F4488">
        <w:t xml:space="preserve">the roles and requirements for Testing Laboratories and Certification Bodies </w:t>
      </w:r>
      <w:r w:rsidR="002901BE">
        <w:t xml:space="preserve">in relation to the potential </w:t>
      </w:r>
      <w:r w:rsidR="002901BE">
        <w:rPr>
          <w:lang w:val="en-GB"/>
        </w:rPr>
        <w:t xml:space="preserve">joint </w:t>
      </w:r>
      <w:r w:rsidR="002901BE" w:rsidRPr="004B3096">
        <w:rPr>
          <w:lang w:val="en-GB"/>
        </w:rPr>
        <w:t>peer-assessment laboratory service (joint ITU/IEC TL recognition procedure) and joint conformity assessment programme (joint ITU/IEC certification schemes)</w:t>
      </w:r>
      <w:r w:rsidRPr="003F4488">
        <w:t>. It was indicated that</w:t>
      </w:r>
      <w:r w:rsidR="00A07A4E">
        <w:t>,</w:t>
      </w:r>
      <w:r w:rsidRPr="003F4488">
        <w:t xml:space="preserve"> as a non-profit organization, there </w:t>
      </w:r>
      <w:r>
        <w:t>is</w:t>
      </w:r>
      <w:r w:rsidRPr="003F4488">
        <w:t xml:space="preserve"> a need to cover IECEE cost of operations </w:t>
      </w:r>
      <w:r w:rsidR="00A07A4E">
        <w:t xml:space="preserve">to implement the </w:t>
      </w:r>
      <w:r w:rsidRPr="003F4488">
        <w:t>IECEE Operational Document (OD-2026)</w:t>
      </w:r>
      <w:r w:rsidR="00A07A4E">
        <w:t xml:space="preserve"> </w:t>
      </w:r>
      <w:r w:rsidRPr="003F4488">
        <w:t>specif</w:t>
      </w:r>
      <w:r w:rsidR="00A07A4E">
        <w:t>ying</w:t>
      </w:r>
      <w:r w:rsidRPr="003F4488">
        <w:t xml:space="preserve"> the requirements </w:t>
      </w:r>
      <w:r w:rsidR="00A07A4E">
        <w:t>of the</w:t>
      </w:r>
      <w:r w:rsidRPr="003F4488">
        <w:t xml:space="preserve"> TL recognition process </w:t>
      </w:r>
      <w:r w:rsidR="00A07A4E">
        <w:t xml:space="preserve">for </w:t>
      </w:r>
      <w:r w:rsidRPr="003F4488">
        <w:t>ITU. Th</w:t>
      </w:r>
      <w:r w:rsidR="00A07A4E">
        <w:t>e financial implications of the</w:t>
      </w:r>
      <w:r w:rsidRPr="003F4488">
        <w:t xml:space="preserve"> IECEE programme with ITU</w:t>
      </w:r>
      <w:r w:rsidR="00A07A4E">
        <w:t xml:space="preserve"> are therefore</w:t>
      </w:r>
      <w:r w:rsidRPr="003F4488">
        <w:t xml:space="preserve"> as follows:</w:t>
      </w:r>
    </w:p>
    <w:p w14:paraId="4F2CCC0A" w14:textId="630E73FC" w:rsidR="00E43855" w:rsidRPr="003F4488" w:rsidRDefault="00E43855" w:rsidP="0063096B">
      <w:pPr>
        <w:numPr>
          <w:ilvl w:val="0"/>
          <w:numId w:val="36"/>
        </w:numPr>
      </w:pPr>
      <w:r w:rsidRPr="003F4488">
        <w:t>TL</w:t>
      </w:r>
      <w:r w:rsidR="00A07A4E">
        <w:t>s</w:t>
      </w:r>
      <w:r w:rsidRPr="003F4488">
        <w:t xml:space="preserve"> shall pay around 14</w:t>
      </w:r>
      <w:r w:rsidR="00A07A4E">
        <w:t>,</w:t>
      </w:r>
      <w:r w:rsidRPr="003F4488">
        <w:t xml:space="preserve">000 Swiss </w:t>
      </w:r>
      <w:r w:rsidR="00A07A4E">
        <w:t>f</w:t>
      </w:r>
      <w:r w:rsidRPr="003F4488">
        <w:t>rancs for the TL recognition assessment;</w:t>
      </w:r>
    </w:p>
    <w:p w14:paraId="049C7C4B" w14:textId="435C65CC" w:rsidR="00E43855" w:rsidRPr="003F4488" w:rsidRDefault="00E43855" w:rsidP="0063096B">
      <w:pPr>
        <w:numPr>
          <w:ilvl w:val="0"/>
          <w:numId w:val="36"/>
        </w:numPr>
      </w:pPr>
      <w:r w:rsidRPr="003F4488">
        <w:t>ITU shall also pay 45</w:t>
      </w:r>
      <w:r w:rsidR="00A07A4E">
        <w:t>,</w:t>
      </w:r>
      <w:r w:rsidRPr="003F4488">
        <w:t xml:space="preserve">000 Swiss </w:t>
      </w:r>
      <w:r w:rsidR="00A07A4E">
        <w:t>f</w:t>
      </w:r>
      <w:r w:rsidRPr="003F4488">
        <w:t xml:space="preserve">rancs annually to IEC to maintain </w:t>
      </w:r>
      <w:r w:rsidR="00A07A4E">
        <w:t xml:space="preserve">the </w:t>
      </w:r>
      <w:r w:rsidRPr="003F4488">
        <w:t>new scheme.</w:t>
      </w:r>
    </w:p>
    <w:p w14:paraId="53DD916B" w14:textId="0B6312C7" w:rsidR="00E43855" w:rsidRDefault="00A07A4E" w:rsidP="00BB3ED7">
      <w:r>
        <w:t xml:space="preserve">The </w:t>
      </w:r>
      <w:r w:rsidR="00E43855" w:rsidRPr="003F4488">
        <w:t>discussion</w:t>
      </w:r>
      <w:r>
        <w:t xml:space="preserve">s of the July </w:t>
      </w:r>
      <w:r w:rsidR="002901BE">
        <w:t xml:space="preserve">IEC </w:t>
      </w:r>
      <w:r>
        <w:t xml:space="preserve">meeting </w:t>
      </w:r>
      <w:r w:rsidR="00E43855" w:rsidRPr="003F4488">
        <w:t>highlighted that</w:t>
      </w:r>
      <w:r w:rsidR="00BB3ED7">
        <w:t xml:space="preserve"> </w:t>
      </w:r>
      <w:r w:rsidR="00E43855" w:rsidRPr="003F4488">
        <w:t>CASC</w:t>
      </w:r>
      <w:r>
        <w:t>’s</w:t>
      </w:r>
      <w:r w:rsidR="00E43855" w:rsidRPr="003F4488">
        <w:t xml:space="preserve"> plan is to implement a simple and transparent procedure that allows TL</w:t>
      </w:r>
      <w:r>
        <w:t>s</w:t>
      </w:r>
      <w:r w:rsidR="00E43855" w:rsidRPr="003F4488">
        <w:t xml:space="preserve"> to be recognized by ITU in order to populate</w:t>
      </w:r>
      <w:r>
        <w:t xml:space="preserve"> the</w:t>
      </w:r>
      <w:r w:rsidR="00E43855" w:rsidRPr="003F4488">
        <w:t xml:space="preserve"> ITU Product Conformity Database</w:t>
      </w:r>
      <w:r>
        <w:t>, following the</w:t>
      </w:r>
      <w:r w:rsidR="00E43855" w:rsidRPr="003F4488">
        <w:t xml:space="preserve"> </w:t>
      </w:r>
      <w:r>
        <w:t xml:space="preserve">request of </w:t>
      </w:r>
      <w:r w:rsidR="00E43855" w:rsidRPr="003F4488">
        <w:t xml:space="preserve">WTSA-16 </w:t>
      </w:r>
      <w:r>
        <w:t xml:space="preserve">that </w:t>
      </w:r>
      <w:r w:rsidR="00E43855" w:rsidRPr="003F4488">
        <w:t xml:space="preserve">ITU collaborate with IECEE and ILAC </w:t>
      </w:r>
      <w:r>
        <w:t>in this regard.</w:t>
      </w:r>
      <w:r w:rsidR="00BB3ED7">
        <w:t xml:space="preserve"> It also highlighted that </w:t>
      </w:r>
      <w:r w:rsidR="00E43855" w:rsidRPr="003F4488">
        <w:t xml:space="preserve">ITU </w:t>
      </w:r>
      <w:r w:rsidR="00BB3ED7">
        <w:t xml:space="preserve">has </w:t>
      </w:r>
      <w:r w:rsidR="00E43855" w:rsidRPr="003F4488">
        <w:t xml:space="preserve">received several requests from TLs wishing to be recognized </w:t>
      </w:r>
      <w:r>
        <w:t xml:space="preserve">by ITU, </w:t>
      </w:r>
      <w:r w:rsidR="00E43855" w:rsidRPr="003F4488">
        <w:t>asking CASC to provide guidance on the way forward</w:t>
      </w:r>
      <w:r>
        <w:t>.</w:t>
      </w:r>
    </w:p>
    <w:p w14:paraId="48284D0A" w14:textId="4BB3CDF8" w:rsidR="002901BE" w:rsidRPr="00B866DD" w:rsidRDefault="002901BE" w:rsidP="00710D5D">
      <w:pPr>
        <w:rPr>
          <w:lang w:val="en-GB"/>
        </w:rPr>
      </w:pPr>
      <w:r>
        <w:rPr>
          <w:lang w:val="en-GB"/>
        </w:rPr>
        <w:t>The July IEC meeting also discussed the</w:t>
      </w:r>
      <w:r w:rsidR="00B866DD">
        <w:rPr>
          <w:lang w:val="en-GB"/>
        </w:rPr>
        <w:t xml:space="preserve"> largely positive responses received from a </w:t>
      </w:r>
      <w:r>
        <w:rPr>
          <w:lang w:val="en-GB"/>
        </w:rPr>
        <w:t xml:space="preserve">questionnaire </w:t>
      </w:r>
      <w:r w:rsidRPr="009975C6">
        <w:rPr>
          <w:lang w:val="en-GB"/>
        </w:rPr>
        <w:t>evaluat</w:t>
      </w:r>
      <w:r>
        <w:rPr>
          <w:lang w:val="en-GB"/>
        </w:rPr>
        <w:t>ing</w:t>
      </w:r>
      <w:r w:rsidRPr="009975C6">
        <w:rPr>
          <w:lang w:val="en-GB"/>
        </w:rPr>
        <w:t xml:space="preserve"> market need for </w:t>
      </w:r>
      <w:r>
        <w:rPr>
          <w:lang w:val="en-GB"/>
        </w:rPr>
        <w:t xml:space="preserve">a </w:t>
      </w:r>
      <w:r w:rsidRPr="009975C6">
        <w:rPr>
          <w:lang w:val="en-GB"/>
        </w:rPr>
        <w:t xml:space="preserve">joint ITU/IEC TL recognition procedure and certification scheme </w:t>
      </w:r>
      <w:r>
        <w:rPr>
          <w:lang w:val="en-GB"/>
        </w:rPr>
        <w:t xml:space="preserve">for </w:t>
      </w:r>
      <w:r w:rsidRPr="009975C6">
        <w:rPr>
          <w:lang w:val="en-GB"/>
        </w:rPr>
        <w:t>ITU-T Recommendations</w:t>
      </w:r>
      <w:r>
        <w:rPr>
          <w:lang w:val="en-GB"/>
        </w:rPr>
        <w:t xml:space="preserve">, a questionnaire distributed by ITU-T CASC at the </w:t>
      </w:r>
      <w:r w:rsidRPr="009975C6">
        <w:rPr>
          <w:lang w:val="en-GB"/>
        </w:rPr>
        <w:t xml:space="preserve">request </w:t>
      </w:r>
      <w:r>
        <w:rPr>
          <w:lang w:val="en-GB"/>
        </w:rPr>
        <w:t>of IECEE Certification Management Committee Working Group 33 ‘ITU requirements’ (</w:t>
      </w:r>
      <w:r w:rsidRPr="009975C6">
        <w:rPr>
          <w:lang w:val="en-GB"/>
        </w:rPr>
        <w:t>IECEE CMC WG33</w:t>
      </w:r>
      <w:r>
        <w:rPr>
          <w:lang w:val="en-GB"/>
        </w:rPr>
        <w:t>).</w:t>
      </w:r>
      <w:r w:rsidRPr="009975C6">
        <w:rPr>
          <w:lang w:val="en-GB"/>
        </w:rPr>
        <w:t xml:space="preserve"> </w:t>
      </w:r>
    </w:p>
    <w:p w14:paraId="313B1B8D" w14:textId="323B1244" w:rsidR="00E43855" w:rsidRPr="003F4488" w:rsidRDefault="00B866DD" w:rsidP="00E43855">
      <w:r>
        <w:t xml:space="preserve">Considering the unanticipated costs to be incurred by TLs, a </w:t>
      </w:r>
      <w:r w:rsidR="00E43855" w:rsidRPr="003F4488">
        <w:t>CASC meeting</w:t>
      </w:r>
      <w:r>
        <w:t xml:space="preserve"> following</w:t>
      </w:r>
      <w:r w:rsidR="002901BE">
        <w:t xml:space="preserve"> in July </w:t>
      </w:r>
      <w:r w:rsidR="00E43855" w:rsidRPr="003F4488">
        <w:t xml:space="preserve">decided </w:t>
      </w:r>
      <w:r w:rsidR="002901BE">
        <w:t xml:space="preserve">against </w:t>
      </w:r>
      <w:r>
        <w:t xml:space="preserve">the continued development of the </w:t>
      </w:r>
      <w:r w:rsidR="00B02E4C">
        <w:t>proposed</w:t>
      </w:r>
      <w:r>
        <w:t xml:space="preserve"> </w:t>
      </w:r>
      <w:r w:rsidR="00B02E4C">
        <w:t xml:space="preserve">joint </w:t>
      </w:r>
      <w:r w:rsidR="00E43855" w:rsidRPr="003F4488">
        <w:t>TL recognition procedure</w:t>
      </w:r>
      <w:r>
        <w:t xml:space="preserve">. </w:t>
      </w:r>
      <w:r w:rsidR="00E43855" w:rsidRPr="003F4488">
        <w:t>CASC</w:t>
      </w:r>
      <w:r w:rsidR="00B02E4C">
        <w:t xml:space="preserve"> also</w:t>
      </w:r>
      <w:r w:rsidR="00E43855" w:rsidRPr="003F4488">
        <w:t xml:space="preserve"> decided to </w:t>
      </w:r>
      <w:r w:rsidR="00B02E4C">
        <w:t>suspend the continued developed of the proposed joint certification scheme to provide ITU</w:t>
      </w:r>
      <w:r w:rsidR="00E43855" w:rsidRPr="003F4488">
        <w:t>-T</w:t>
      </w:r>
      <w:r w:rsidR="00B02E4C">
        <w:t xml:space="preserve"> study groups the opportunity </w:t>
      </w:r>
      <w:r w:rsidR="00E43855" w:rsidRPr="003F4488">
        <w:t>to</w:t>
      </w:r>
      <w:r w:rsidR="00B02E4C">
        <w:t xml:space="preserve"> </w:t>
      </w:r>
      <w:r w:rsidR="00E43855" w:rsidRPr="003F4488">
        <w:t xml:space="preserve">provide CASC feedback </w:t>
      </w:r>
      <w:r w:rsidR="00B02E4C">
        <w:t xml:space="preserve">on </w:t>
      </w:r>
      <w:r w:rsidR="00E43855" w:rsidRPr="003F4488">
        <w:t xml:space="preserve">whether </w:t>
      </w:r>
      <w:r w:rsidR="00B02E4C">
        <w:t xml:space="preserve">or not </w:t>
      </w:r>
      <w:r w:rsidR="00E43855" w:rsidRPr="003F4488">
        <w:t xml:space="preserve">such joint certification scheme </w:t>
      </w:r>
      <w:r w:rsidR="00B02E4C">
        <w:t>would be of</w:t>
      </w:r>
      <w:r w:rsidR="00E43855" w:rsidRPr="003F4488">
        <w:t xml:space="preserve"> interest</w:t>
      </w:r>
      <w:r w:rsidR="00B02E4C">
        <w:t xml:space="preserve"> to ITU-T study groups</w:t>
      </w:r>
      <w:r w:rsidR="00E43855" w:rsidRPr="003F4488">
        <w:t xml:space="preserve">, taking into consideration </w:t>
      </w:r>
      <w:r w:rsidR="00B02E4C">
        <w:t xml:space="preserve">all </w:t>
      </w:r>
      <w:r w:rsidR="00E43855" w:rsidRPr="003F4488">
        <w:t xml:space="preserve">financial implications. The relevant LSs </w:t>
      </w:r>
      <w:r w:rsidR="00B02E4C">
        <w:t>have been</w:t>
      </w:r>
      <w:r w:rsidR="00E43855" w:rsidRPr="003F4488">
        <w:t xml:space="preserve"> sent to ITU-T</w:t>
      </w:r>
      <w:r w:rsidR="00B02E4C">
        <w:t xml:space="preserve"> study groups and</w:t>
      </w:r>
      <w:r w:rsidR="00E43855" w:rsidRPr="003F4488">
        <w:t xml:space="preserve"> IECE</w:t>
      </w:r>
      <w:r w:rsidR="00B02E4C">
        <w:t>E</w:t>
      </w:r>
      <w:r w:rsidR="00E43855" w:rsidRPr="003F4488">
        <w:t>.</w:t>
      </w:r>
    </w:p>
    <w:p w14:paraId="71D08073" w14:textId="4C5D5D20" w:rsidR="00136E7B" w:rsidRPr="003660E9" w:rsidRDefault="00B02E4C" w:rsidP="00136E7B">
      <w:r>
        <w:t>Also d</w:t>
      </w:r>
      <w:r w:rsidR="00E43855" w:rsidRPr="003F4488">
        <w:t>uring</w:t>
      </w:r>
      <w:r>
        <w:t xml:space="preserve"> July </w:t>
      </w:r>
      <w:r w:rsidR="00E43855" w:rsidRPr="003F4488">
        <w:t xml:space="preserve">CASC meeting, ILAC presented outcomes of </w:t>
      </w:r>
      <w:r>
        <w:t xml:space="preserve">and </w:t>
      </w:r>
      <w:r w:rsidR="00E43855" w:rsidRPr="003F4488">
        <w:t>ILAC survey to identify T</w:t>
      </w:r>
      <w:r>
        <w:t xml:space="preserve">Ls </w:t>
      </w:r>
      <w:r w:rsidR="00E43855" w:rsidRPr="003F4488">
        <w:t>accredited to perform testing in accordance with ITU-T Recommendations. The response rate was reasonable at 68</w:t>
      </w:r>
      <w:r>
        <w:t xml:space="preserve"> per cent. </w:t>
      </w:r>
      <w:r w:rsidR="00E43855" w:rsidRPr="003F4488">
        <w:t xml:space="preserve">CASC encouraged ILAC to propose procedures on further collaboration at the next CASC meeting. It is assumed that these procedures </w:t>
      </w:r>
      <w:r>
        <w:t xml:space="preserve">could </w:t>
      </w:r>
      <w:r w:rsidR="00E43855" w:rsidRPr="003F4488">
        <w:t xml:space="preserve">allow CASC to recognize TLs provided by ILAC, without additional assessment. The relevant LS </w:t>
      </w:r>
      <w:r>
        <w:t>has been</w:t>
      </w:r>
      <w:r w:rsidR="00E43855" w:rsidRPr="003F4488">
        <w:t xml:space="preserve"> sent to ILAC.</w:t>
      </w:r>
    </w:p>
    <w:p w14:paraId="66DCAECA" w14:textId="0558AF14" w:rsidR="00136E7B" w:rsidRPr="001615CC" w:rsidRDefault="7B3A17EB" w:rsidP="00136E7B">
      <w:pPr>
        <w:pStyle w:val="Heading2"/>
      </w:pPr>
      <w:bookmarkStart w:id="55" w:name="_Toc462664225"/>
      <w:bookmarkStart w:id="56" w:name="_Toc480527819"/>
      <w:bookmarkStart w:id="57" w:name="_Toc51331488"/>
      <w:bookmarkStart w:id="58" w:name="_Toc453932965"/>
      <w:bookmarkStart w:id="59" w:name="_Toc438553975"/>
      <w:bookmarkStart w:id="60" w:name="_Toc453929094"/>
      <w:bookmarkStart w:id="61" w:name="_Toc454295871"/>
      <w:r>
        <w:t>3</w:t>
      </w:r>
      <w:r w:rsidR="5EE8545A" w:rsidRPr="001615CC">
        <w:t>.2</w:t>
      </w:r>
      <w:r w:rsidR="00136E7B" w:rsidRPr="001615CC">
        <w:tab/>
      </w:r>
      <w:r w:rsidR="5EE8545A" w:rsidRPr="001615CC">
        <w:t>ICT product conformity database</w:t>
      </w:r>
      <w:bookmarkEnd w:id="55"/>
      <w:bookmarkEnd w:id="56"/>
      <w:bookmarkEnd w:id="57"/>
    </w:p>
    <w:p w14:paraId="3B2A74B1" w14:textId="77777777" w:rsidR="00136E7B" w:rsidRPr="00FB647D" w:rsidRDefault="00136E7B" w:rsidP="00136E7B">
      <w:pPr>
        <w:rPr>
          <w:lang w:val="en-GB"/>
        </w:rPr>
      </w:pPr>
      <w:r w:rsidRPr="00FB647D">
        <w:rPr>
          <w:lang w:val="en-GB"/>
        </w:rPr>
        <w:t xml:space="preserve">The </w:t>
      </w:r>
      <w:hyperlink r:id="rId51" w:history="1">
        <w:r w:rsidRPr="00FB647D">
          <w:rPr>
            <w:rStyle w:val="Hyperlink"/>
            <w:rFonts w:eastAsiaTheme="majorEastAsia"/>
            <w:lang w:val="en-GB"/>
          </w:rPr>
          <w:t>ICT product conformity database</w:t>
        </w:r>
      </w:hyperlink>
      <w:r w:rsidRPr="00FB647D">
        <w:rPr>
          <w:lang w:val="en-GB"/>
        </w:rPr>
        <w:t xml:space="preserve"> enables industry to publicize the conformance of ICT products and services to ITU-T Recommendations, assisting users in their efforts to select standards-compliant products. </w:t>
      </w:r>
      <w:r w:rsidRPr="00FB647D">
        <w:rPr>
          <w:szCs w:val="22"/>
          <w:lang w:val="en-GB"/>
        </w:rPr>
        <w:t xml:space="preserve">The database currently contains more than 500 entries. </w:t>
      </w:r>
      <w:r w:rsidRPr="00FB647D">
        <w:rPr>
          <w:lang w:val="en-GB"/>
        </w:rPr>
        <w:t>Five categories of products and services have been submitted to the database:</w:t>
      </w:r>
    </w:p>
    <w:p w14:paraId="66CB870F" w14:textId="77777777" w:rsidR="00136E7B" w:rsidRPr="00FB647D" w:rsidRDefault="00136E7B" w:rsidP="0063096B">
      <w:pPr>
        <w:numPr>
          <w:ilvl w:val="0"/>
          <w:numId w:val="10"/>
        </w:numPr>
        <w:rPr>
          <w:i/>
          <w:lang w:val="en-GB"/>
        </w:rPr>
      </w:pPr>
      <w:r w:rsidRPr="00FB647D">
        <w:rPr>
          <w:b/>
          <w:lang w:val="en-GB"/>
        </w:rPr>
        <w:t>e-Health</w:t>
      </w:r>
      <w:r w:rsidRPr="00FB647D">
        <w:rPr>
          <w:lang w:val="en-GB"/>
        </w:rPr>
        <w:t xml:space="preserve"> solutions complying with the specifications of ITU-T H.810 "Interoperability design guidelines for personal health systems", a transposition of the Continua Design </w:t>
      </w:r>
      <w:r w:rsidRPr="00FB647D">
        <w:rPr>
          <w:lang w:val="en-GB"/>
        </w:rPr>
        <w:lastRenderedPageBreak/>
        <w:t>Guidelines. The testing procedures are specified in the ITU-T H.820-H.850 sub-series of Recommendations.</w:t>
      </w:r>
    </w:p>
    <w:p w14:paraId="290945B5" w14:textId="77777777" w:rsidR="00136E7B" w:rsidRPr="00E43855" w:rsidRDefault="00136E7B" w:rsidP="0063096B">
      <w:pPr>
        <w:numPr>
          <w:ilvl w:val="0"/>
          <w:numId w:val="10"/>
        </w:numPr>
        <w:rPr>
          <w:lang w:val="en-GB"/>
        </w:rPr>
      </w:pPr>
      <w:r w:rsidRPr="00E43855">
        <w:rPr>
          <w:b/>
          <w:lang w:val="en-GB"/>
        </w:rPr>
        <w:t>Mobile phones</w:t>
      </w:r>
      <w:r w:rsidRPr="00E43855">
        <w:rPr>
          <w:lang w:val="en-GB"/>
        </w:rPr>
        <w:t xml:space="preserve"> compatible with Bluetooth-enabled vehicle hands-free terminals. This compatibility is determined in accordance with the 'Chapter 12 tests' ("Verification of the transmission performance of short-range wireless (SRW) transmission enabled phones") of ITU-T P.1100 and ITU-T P.1110.</w:t>
      </w:r>
    </w:p>
    <w:p w14:paraId="63C402E0" w14:textId="77777777" w:rsidR="00136E7B" w:rsidRPr="00E43855" w:rsidRDefault="00136E7B" w:rsidP="0063096B">
      <w:pPr>
        <w:numPr>
          <w:ilvl w:val="0"/>
          <w:numId w:val="10"/>
        </w:numPr>
        <w:rPr>
          <w:lang w:val="en-GB"/>
        </w:rPr>
      </w:pPr>
      <w:r w:rsidRPr="00E43855">
        <w:rPr>
          <w:b/>
          <w:lang w:val="en-GB"/>
        </w:rPr>
        <w:t xml:space="preserve">Ethernet </w:t>
      </w:r>
      <w:r w:rsidRPr="00E43855">
        <w:rPr>
          <w:lang w:val="en-GB"/>
        </w:rPr>
        <w:t>products complying with ITU-T G.8011/Y.1307 "Ethernet Services Characteristics". This standard as well as the corresponding tests are based on the work of MEF (formerly called Metro Ethernet Forum).</w:t>
      </w:r>
    </w:p>
    <w:p w14:paraId="71AF2835" w14:textId="77777777" w:rsidR="00136E7B" w:rsidRPr="00E43855" w:rsidRDefault="00136E7B" w:rsidP="0063096B">
      <w:pPr>
        <w:numPr>
          <w:ilvl w:val="0"/>
          <w:numId w:val="10"/>
        </w:numPr>
        <w:rPr>
          <w:lang w:val="en-GB"/>
        </w:rPr>
      </w:pPr>
      <w:r w:rsidRPr="00E43855">
        <w:rPr>
          <w:b/>
          <w:szCs w:val="22"/>
          <w:lang w:val="en-GB"/>
        </w:rPr>
        <w:t>IPTV systems</w:t>
      </w:r>
      <w:r w:rsidRPr="00E43855">
        <w:rPr>
          <w:szCs w:val="22"/>
          <w:lang w:val="en-GB"/>
        </w:rPr>
        <w:t xml:space="preserve"> compatible with ITU-T H.721 "IPTV terminal devices: Basic model" and ITU-T H.702 "Accessibility profiles for IPTV systems", </w:t>
      </w:r>
      <w:r w:rsidRPr="00E43855">
        <w:rPr>
          <w:lang w:val="en-GB"/>
        </w:rPr>
        <w:t xml:space="preserve">tested to </w:t>
      </w:r>
      <w:hyperlink r:id="rId52" w:history="1">
        <w:r w:rsidRPr="00E43855">
          <w:rPr>
            <w:rStyle w:val="Hyperlink"/>
            <w:rFonts w:asciiTheme="majorBidi" w:eastAsia="Batang" w:hAnsiTheme="majorBidi" w:cstheme="majorBidi"/>
            <w:lang w:val="en-GB"/>
          </w:rPr>
          <w:t>HSTP-CONF-H721</w:t>
        </w:r>
      </w:hyperlink>
      <w:r w:rsidRPr="00E43855">
        <w:rPr>
          <w:rFonts w:asciiTheme="majorBidi" w:hAnsiTheme="majorBidi" w:cstheme="majorBidi"/>
          <w:lang w:val="en-GB"/>
        </w:rPr>
        <w:t xml:space="preserve"> </w:t>
      </w:r>
      <w:r w:rsidRPr="00E43855">
        <w:rPr>
          <w:rFonts w:asciiTheme="majorBidi" w:hAnsiTheme="majorBidi" w:cstheme="majorBidi"/>
          <w:szCs w:val="24"/>
          <w:lang w:val="en-GB"/>
        </w:rPr>
        <w:t xml:space="preserve">and </w:t>
      </w:r>
      <w:hyperlink r:id="rId53" w:history="1">
        <w:r w:rsidRPr="00E43855">
          <w:rPr>
            <w:rStyle w:val="Hyperlink"/>
            <w:rFonts w:asciiTheme="majorBidi" w:eastAsia="Batang" w:hAnsiTheme="majorBidi" w:cstheme="majorBidi"/>
            <w:szCs w:val="24"/>
            <w:lang w:val="en-GB"/>
          </w:rPr>
          <w:t>HSTP-CONF-H702</w:t>
        </w:r>
      </w:hyperlink>
      <w:r w:rsidRPr="00E43855">
        <w:rPr>
          <w:rStyle w:val="Hyperlink"/>
          <w:rFonts w:asciiTheme="majorBidi" w:eastAsia="Batang" w:hAnsiTheme="majorBidi" w:cstheme="majorBidi"/>
          <w:szCs w:val="24"/>
          <w:lang w:val="en-GB"/>
        </w:rPr>
        <w:t>.</w:t>
      </w:r>
    </w:p>
    <w:p w14:paraId="67A67B7A" w14:textId="174736F1" w:rsidR="00136E7B" w:rsidRPr="00E43855" w:rsidRDefault="00136E7B" w:rsidP="0063096B">
      <w:pPr>
        <w:numPr>
          <w:ilvl w:val="0"/>
          <w:numId w:val="10"/>
        </w:numPr>
        <w:rPr>
          <w:lang w:val="en-GB"/>
        </w:rPr>
      </w:pPr>
      <w:r w:rsidRPr="376C6823">
        <w:rPr>
          <w:b/>
          <w:lang w:val="en-GB"/>
        </w:rPr>
        <w:t>Mobile Number Portability (MNP)</w:t>
      </w:r>
      <w:r w:rsidRPr="376C6823">
        <w:rPr>
          <w:lang w:val="en-GB"/>
        </w:rPr>
        <w:t xml:space="preserve"> systems compatible with ITU-T Q</w:t>
      </w:r>
      <w:r w:rsidR="377C7DEE" w:rsidRPr="376C6823">
        <w:rPr>
          <w:lang w:val="en-GB"/>
        </w:rPr>
        <w:t>-</w:t>
      </w:r>
      <w:r w:rsidR="07B322A9" w:rsidRPr="376C6823">
        <w:rPr>
          <w:lang w:val="en-GB"/>
        </w:rPr>
        <w:t>s</w:t>
      </w:r>
      <w:r w:rsidR="3BDB91E6" w:rsidRPr="376C6823">
        <w:rPr>
          <w:lang w:val="en-GB"/>
        </w:rPr>
        <w:t xml:space="preserve">eries </w:t>
      </w:r>
      <w:r w:rsidRPr="376C6823">
        <w:rPr>
          <w:lang w:val="en-GB"/>
        </w:rPr>
        <w:t>Supplement 4 "Number portability – Capability set 1 requirements for service provider portability (All call query and Onward routing)", tested to ITU-T Q.3905.</w:t>
      </w:r>
    </w:p>
    <w:p w14:paraId="78DBEBD5" w14:textId="7EC496B9" w:rsidR="00136E7B" w:rsidRPr="001615CC" w:rsidRDefault="00BA3326" w:rsidP="00136E7B">
      <w:pPr>
        <w:pStyle w:val="Heading1"/>
      </w:pPr>
      <w:bookmarkStart w:id="62" w:name="_Toc438553988"/>
      <w:bookmarkStart w:id="63" w:name="_Toc453929112"/>
      <w:bookmarkStart w:id="64" w:name="_Toc453932983"/>
      <w:bookmarkStart w:id="65" w:name="_Toc454295889"/>
      <w:bookmarkStart w:id="66" w:name="_Toc462664270"/>
      <w:bookmarkStart w:id="67" w:name="_Toc480527824"/>
      <w:bookmarkStart w:id="68" w:name="_Toc51331489"/>
      <w:bookmarkStart w:id="69" w:name="_Toc416161354"/>
      <w:bookmarkStart w:id="70" w:name="_Toc438553977"/>
      <w:bookmarkStart w:id="71" w:name="_Toc453929096"/>
      <w:bookmarkStart w:id="72" w:name="_Toc453932967"/>
      <w:bookmarkStart w:id="73" w:name="_Toc454295873"/>
      <w:bookmarkStart w:id="74" w:name="_Toc462664237"/>
      <w:bookmarkEnd w:id="52"/>
      <w:bookmarkEnd w:id="53"/>
      <w:bookmarkEnd w:id="54"/>
      <w:bookmarkEnd w:id="58"/>
      <w:bookmarkEnd w:id="59"/>
      <w:bookmarkEnd w:id="60"/>
      <w:bookmarkEnd w:id="61"/>
      <w:r>
        <w:rPr>
          <w:rFonts w:eastAsiaTheme="minorEastAsia"/>
        </w:rPr>
        <w:t>4</w:t>
      </w:r>
      <w:r w:rsidR="00136E7B" w:rsidRPr="001615CC">
        <w:rPr>
          <w:rFonts w:eastAsiaTheme="minorEastAsia"/>
        </w:rPr>
        <w:tab/>
        <w:t>Accessible ITU-T meetings</w:t>
      </w:r>
      <w:bookmarkEnd w:id="62"/>
      <w:bookmarkEnd w:id="63"/>
      <w:bookmarkEnd w:id="64"/>
      <w:bookmarkEnd w:id="65"/>
      <w:bookmarkEnd w:id="66"/>
      <w:bookmarkEnd w:id="67"/>
      <w:bookmarkEnd w:id="68"/>
    </w:p>
    <w:p w14:paraId="27F33587" w14:textId="27ED7ED6" w:rsidR="00136E7B" w:rsidRPr="009E62D1" w:rsidRDefault="00136E7B" w:rsidP="00136E7B">
      <w:pPr>
        <w:rPr>
          <w:lang w:val="en-GB"/>
        </w:rPr>
      </w:pPr>
      <w:r w:rsidRPr="009E62D1">
        <w:rPr>
          <w:lang w:val="en-GB"/>
        </w:rPr>
        <w:t xml:space="preserve">ITU-T provides </w:t>
      </w:r>
      <w:r w:rsidR="064CE41D" w:rsidRPr="00858200">
        <w:rPr>
          <w:lang w:val="en-GB"/>
        </w:rPr>
        <w:t>accessibility</w:t>
      </w:r>
      <w:r w:rsidRPr="00858200">
        <w:rPr>
          <w:lang w:val="en-GB"/>
        </w:rPr>
        <w:t xml:space="preserve"> </w:t>
      </w:r>
      <w:r w:rsidRPr="009E62D1">
        <w:rPr>
          <w:lang w:val="en-GB"/>
        </w:rPr>
        <w:t>services such as sign-language interpretation and captioning, and financial support in some cases, to engage persons with disabilities in the ITU-T standardization process.</w:t>
      </w:r>
    </w:p>
    <w:p w14:paraId="5333EEF2" w14:textId="4C31F060" w:rsidR="00136E7B" w:rsidRPr="00B02E4C" w:rsidRDefault="1289EEDE" w:rsidP="00858200">
      <w:pPr>
        <w:rPr>
          <w:szCs w:val="24"/>
          <w:lang w:val="en-GB"/>
        </w:rPr>
      </w:pPr>
      <w:r w:rsidRPr="00858200">
        <w:rPr>
          <w:lang w:val="en-GB"/>
        </w:rPr>
        <w:t xml:space="preserve">American Sign Language (ASL), </w:t>
      </w:r>
      <w:r w:rsidR="00136E7B" w:rsidRPr="009E62D1">
        <w:rPr>
          <w:lang w:val="en-GB"/>
        </w:rPr>
        <w:t xml:space="preserve">British Sign Language (BSL) and real-time captioning were </w:t>
      </w:r>
      <w:r w:rsidR="00136E7B" w:rsidRPr="00B02E4C">
        <w:rPr>
          <w:szCs w:val="24"/>
          <w:lang w:val="en-GB"/>
        </w:rPr>
        <w:t>provided for</w:t>
      </w:r>
      <w:r w:rsidR="3D115EDF" w:rsidRPr="00B02E4C">
        <w:rPr>
          <w:szCs w:val="24"/>
          <w:lang w:val="en-GB"/>
        </w:rPr>
        <w:t>:</w:t>
      </w:r>
    </w:p>
    <w:p w14:paraId="6D841ECB" w14:textId="129F0EB2" w:rsidR="00136E7B" w:rsidRPr="00B02E4C" w:rsidRDefault="00136E7B"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t xml:space="preserve">Q26/16 </w:t>
      </w:r>
      <w:r w:rsidR="2821A3EB" w:rsidRPr="00B02E4C">
        <w:rPr>
          <w:rFonts w:ascii="Times New Roman" w:hAnsi="Times New Roman"/>
          <w:sz w:val="24"/>
          <w:szCs w:val="24"/>
          <w:lang w:val="en-GB"/>
        </w:rPr>
        <w:t>Rapporteur meeting (</w:t>
      </w:r>
      <w:r w:rsidR="26FDF5E2" w:rsidRPr="00B02E4C">
        <w:rPr>
          <w:rFonts w:ascii="Times New Roman" w:hAnsi="Times New Roman"/>
          <w:sz w:val="24"/>
          <w:szCs w:val="24"/>
          <w:lang w:val="en-GB"/>
        </w:rPr>
        <w:t>18, 20-21 May 2020), Q26/16 meeting</w:t>
      </w:r>
      <w:r w:rsidRPr="00B02E4C">
        <w:rPr>
          <w:rFonts w:ascii="Times New Roman" w:hAnsi="Times New Roman"/>
          <w:sz w:val="24"/>
          <w:szCs w:val="24"/>
          <w:lang w:val="en-GB"/>
        </w:rPr>
        <w:t xml:space="preserve"> during the ITU-T SG16 meeting in </w:t>
      </w:r>
      <w:r w:rsidR="26965E81" w:rsidRPr="00B02E4C">
        <w:rPr>
          <w:rFonts w:ascii="Times New Roman" w:hAnsi="Times New Roman"/>
          <w:sz w:val="24"/>
          <w:szCs w:val="24"/>
          <w:lang w:val="en-GB"/>
        </w:rPr>
        <w:t>June-July 2020</w:t>
      </w:r>
      <w:r w:rsidR="009E62D1" w:rsidRPr="00B02E4C">
        <w:rPr>
          <w:rFonts w:ascii="Times New Roman" w:hAnsi="Times New Roman"/>
          <w:sz w:val="24"/>
          <w:szCs w:val="24"/>
          <w:lang w:val="en-GB"/>
        </w:rPr>
        <w:t>.</w:t>
      </w:r>
    </w:p>
    <w:p w14:paraId="0F617E46" w14:textId="3D2ACA08" w:rsidR="00136E7B" w:rsidRPr="00B02E4C" w:rsidRDefault="26965E81"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t xml:space="preserve">the JCA-AHF meetings on </w:t>
      </w:r>
      <w:r w:rsidR="0E6EF009" w:rsidRPr="00B02E4C">
        <w:rPr>
          <w:rFonts w:ascii="Times New Roman" w:hAnsi="Times New Roman"/>
          <w:sz w:val="24"/>
          <w:szCs w:val="24"/>
          <w:lang w:val="en-GB"/>
        </w:rPr>
        <w:t>21 May 2020 and on 1 July 2020</w:t>
      </w:r>
      <w:r w:rsidR="009E62D1" w:rsidRPr="00B02E4C">
        <w:rPr>
          <w:rFonts w:ascii="Times New Roman" w:hAnsi="Times New Roman"/>
          <w:sz w:val="24"/>
          <w:szCs w:val="24"/>
          <w:lang w:val="en-GB"/>
        </w:rPr>
        <w:t>.</w:t>
      </w:r>
    </w:p>
    <w:p w14:paraId="2BB69FC8" w14:textId="4D3C6FA2" w:rsidR="00136E7B" w:rsidRPr="00B02E4C" w:rsidRDefault="0E6EF009"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t>Captioning was provided for</w:t>
      </w:r>
      <w:r w:rsidR="009E62D1" w:rsidRPr="00B02E4C">
        <w:rPr>
          <w:rFonts w:ascii="Times New Roman" w:hAnsi="Times New Roman"/>
          <w:sz w:val="24"/>
          <w:szCs w:val="24"/>
          <w:lang w:val="en-GB"/>
        </w:rPr>
        <w:t>:</w:t>
      </w:r>
    </w:p>
    <w:p w14:paraId="38594C4B" w14:textId="394C8AAC" w:rsidR="00136E7B" w:rsidRPr="00B02E4C" w:rsidRDefault="00136E7B" w:rsidP="00CC5384">
      <w:pPr>
        <w:pStyle w:val="ListParagraph"/>
        <w:numPr>
          <w:ilvl w:val="0"/>
          <w:numId w:val="38"/>
        </w:numPr>
        <w:rPr>
          <w:rFonts w:ascii="Times New Roman" w:hAnsi="Times New Roman"/>
          <w:sz w:val="24"/>
          <w:szCs w:val="24"/>
          <w:lang w:val="en-GB"/>
        </w:rPr>
      </w:pPr>
      <w:r w:rsidRPr="00B02E4C">
        <w:rPr>
          <w:rFonts w:ascii="Times New Roman" w:hAnsi="Times New Roman"/>
          <w:sz w:val="24"/>
          <w:szCs w:val="24"/>
          <w:lang w:val="en-GB"/>
        </w:rPr>
        <w:t xml:space="preserve">the </w:t>
      </w:r>
      <w:hyperlink r:id="rId54">
        <w:r w:rsidRPr="00B02E4C">
          <w:rPr>
            <w:rStyle w:val="Hyperlink"/>
            <w:rFonts w:ascii="Times New Roman" w:hAnsi="Times New Roman"/>
            <w:sz w:val="24"/>
            <w:szCs w:val="24"/>
            <w:lang w:val="en-GB"/>
          </w:rPr>
          <w:t>IRG-AVA</w:t>
        </w:r>
      </w:hyperlink>
      <w:r w:rsidRPr="00B02E4C">
        <w:rPr>
          <w:rFonts w:ascii="Times New Roman" w:hAnsi="Times New Roman"/>
          <w:sz w:val="24"/>
          <w:szCs w:val="24"/>
          <w:lang w:val="en-GB"/>
        </w:rPr>
        <w:t xml:space="preserve"> meeting on </w:t>
      </w:r>
      <w:r w:rsidR="0F4BF079" w:rsidRPr="00B02E4C">
        <w:rPr>
          <w:rFonts w:ascii="Times New Roman" w:hAnsi="Times New Roman"/>
          <w:sz w:val="24"/>
          <w:szCs w:val="24"/>
          <w:lang w:val="en-GB"/>
        </w:rPr>
        <w:t>14 February 2020 and on 25 June 2020</w:t>
      </w:r>
      <w:r w:rsidRPr="00B02E4C">
        <w:rPr>
          <w:rFonts w:ascii="Times New Roman" w:hAnsi="Times New Roman"/>
          <w:sz w:val="24"/>
          <w:szCs w:val="24"/>
          <w:lang w:val="en-GB"/>
        </w:rPr>
        <w:t>.</w:t>
      </w:r>
    </w:p>
    <w:p w14:paraId="7602DBED" w14:textId="50A3C19D" w:rsidR="2C86715E" w:rsidRDefault="2C86715E">
      <w:r w:rsidRPr="3F228FE5">
        <w:rPr>
          <w:lang w:val="en-GB"/>
        </w:rPr>
        <w:t>Webinar sessions on accessibility were organized during WSIS Forum 2020:</w:t>
      </w:r>
    </w:p>
    <w:p w14:paraId="43F1D036" w14:textId="6C6A8137" w:rsidR="2C86715E" w:rsidRPr="00F02681" w:rsidRDefault="00E12FA7" w:rsidP="00CC5384">
      <w:pPr>
        <w:pStyle w:val="ListParagraph"/>
        <w:numPr>
          <w:ilvl w:val="0"/>
          <w:numId w:val="39"/>
        </w:numPr>
        <w:spacing w:before="120"/>
        <w:contextualSpacing w:val="0"/>
        <w:rPr>
          <w:rFonts w:ascii="Times New Roman" w:hAnsi="Times New Roman"/>
          <w:color w:val="0000FF"/>
          <w:sz w:val="24"/>
          <w:szCs w:val="24"/>
          <w:lang w:val="en-GB"/>
        </w:rPr>
      </w:pPr>
      <w:hyperlink r:id="rId55">
        <w:r w:rsidR="388E4F37" w:rsidRPr="52AFA42C">
          <w:rPr>
            <w:rStyle w:val="Hyperlink"/>
            <w:rFonts w:ascii="Times New Roman" w:hAnsi="Times New Roman"/>
            <w:sz w:val="24"/>
            <w:szCs w:val="24"/>
            <w:lang w:val="en-GB"/>
          </w:rPr>
          <w:t>Make Listening Safe and create the world where nobody's hearing is put in danger due to unsafe listening</w:t>
        </w:r>
      </w:hyperlink>
      <w:r w:rsidR="388E4F37" w:rsidRPr="52AFA42C">
        <w:rPr>
          <w:rFonts w:ascii="Times New Roman" w:hAnsi="Times New Roman"/>
          <w:sz w:val="24"/>
          <w:szCs w:val="24"/>
          <w:lang w:val="en-GB"/>
        </w:rPr>
        <w:t xml:space="preserve"> by ITU-T and WHO on 13 July 2020</w:t>
      </w:r>
    </w:p>
    <w:p w14:paraId="0F1988C9" w14:textId="534C5961" w:rsidR="2C86715E" w:rsidRPr="00F02681" w:rsidRDefault="00E12FA7" w:rsidP="00CC5384">
      <w:pPr>
        <w:pStyle w:val="ListParagraph"/>
        <w:numPr>
          <w:ilvl w:val="0"/>
          <w:numId w:val="39"/>
        </w:numPr>
        <w:spacing w:before="120"/>
        <w:contextualSpacing w:val="0"/>
        <w:rPr>
          <w:rFonts w:ascii="Times New Roman" w:hAnsi="Times New Roman"/>
          <w:color w:val="3789BD"/>
          <w:sz w:val="24"/>
          <w:szCs w:val="24"/>
          <w:lang w:val="en-GB"/>
        </w:rPr>
      </w:pPr>
      <w:hyperlink r:id="rId56">
        <w:r w:rsidR="388E4F37" w:rsidRPr="52AFA42C">
          <w:rPr>
            <w:rStyle w:val="Hyperlink"/>
            <w:rFonts w:ascii="Times New Roman" w:hAnsi="Times New Roman"/>
            <w:color w:val="3789BD"/>
            <w:sz w:val="24"/>
            <w:szCs w:val="24"/>
            <w:lang w:val="en-GB"/>
          </w:rPr>
          <w:t>How to engage the whole audience:</w:t>
        </w:r>
        <w:r w:rsidR="0085423D">
          <w:rPr>
            <w:rStyle w:val="Hyperlink"/>
            <w:rFonts w:ascii="Times New Roman" w:hAnsi="Times New Roman"/>
            <w:color w:val="3789BD"/>
            <w:sz w:val="24"/>
            <w:szCs w:val="24"/>
            <w:lang w:val="en-GB"/>
          </w:rPr>
          <w:t xml:space="preserve"> </w:t>
        </w:r>
        <w:r w:rsidR="388E4F37" w:rsidRPr="52AFA42C">
          <w:rPr>
            <w:rStyle w:val="Hyperlink"/>
            <w:rFonts w:ascii="Times New Roman" w:hAnsi="Times New Roman"/>
            <w:color w:val="3789BD"/>
            <w:sz w:val="24"/>
            <w:szCs w:val="24"/>
            <w:lang w:val="en-GB"/>
          </w:rPr>
          <w:t>Innovation in media accessibility</w:t>
        </w:r>
      </w:hyperlink>
      <w:r w:rsidR="388E4F37" w:rsidRPr="52AFA42C">
        <w:rPr>
          <w:rFonts w:ascii="Times New Roman" w:hAnsi="Times New Roman"/>
          <w:sz w:val="24"/>
          <w:szCs w:val="24"/>
          <w:lang w:val="en-GB"/>
        </w:rPr>
        <w:t xml:space="preserve"> by the IRG-AVA on 15 July 2020</w:t>
      </w:r>
      <w:r w:rsidR="449C4A7B" w:rsidRPr="52AFA42C">
        <w:rPr>
          <w:rFonts w:ascii="Times New Roman" w:hAnsi="Times New Roman"/>
          <w:sz w:val="24"/>
          <w:szCs w:val="24"/>
          <w:lang w:val="en-GB"/>
        </w:rPr>
        <w:t>.</w:t>
      </w:r>
    </w:p>
    <w:p w14:paraId="772B6B61" w14:textId="041517E3" w:rsidR="2C86715E" w:rsidRPr="00F02681" w:rsidRDefault="00E12FA7" w:rsidP="00CC5384">
      <w:pPr>
        <w:pStyle w:val="ListParagraph"/>
        <w:numPr>
          <w:ilvl w:val="0"/>
          <w:numId w:val="39"/>
        </w:numPr>
        <w:spacing w:before="120"/>
        <w:contextualSpacing w:val="0"/>
        <w:rPr>
          <w:rFonts w:ascii="Times New Roman" w:hAnsi="Times New Roman"/>
          <w:color w:val="3789BD"/>
          <w:sz w:val="24"/>
          <w:szCs w:val="24"/>
          <w:lang w:val="en-GB"/>
        </w:rPr>
      </w:pPr>
      <w:hyperlink r:id="rId57">
        <w:r w:rsidR="388E4F37" w:rsidRPr="00F02681">
          <w:rPr>
            <w:rStyle w:val="Hyperlink"/>
            <w:rFonts w:ascii="Times New Roman" w:hAnsi="Times New Roman"/>
            <w:color w:val="3789BD"/>
            <w:sz w:val="24"/>
            <w:szCs w:val="24"/>
            <w:lang w:val="en-GB"/>
          </w:rPr>
          <w:t xml:space="preserve">ICTs and Accessibility: Leaving Nobody Behind in the age of Smart Cities and Advances in Technology </w:t>
        </w:r>
      </w:hyperlink>
      <w:r w:rsidR="388E4F37" w:rsidRPr="00F02681">
        <w:rPr>
          <w:rFonts w:ascii="Times New Roman" w:hAnsi="Times New Roman"/>
          <w:sz w:val="24"/>
          <w:szCs w:val="24"/>
          <w:lang w:val="en-GB"/>
        </w:rPr>
        <w:t>by the JCA-AHF on 17 July 2020</w:t>
      </w:r>
      <w:r w:rsidR="00F02681">
        <w:rPr>
          <w:rFonts w:ascii="Times New Roman" w:hAnsi="Times New Roman"/>
          <w:sz w:val="24"/>
          <w:szCs w:val="24"/>
          <w:lang w:val="en-GB"/>
        </w:rPr>
        <w:t>.</w:t>
      </w:r>
    </w:p>
    <w:p w14:paraId="2B1B6F4F" w14:textId="6887AB84" w:rsidR="46B97C9B" w:rsidRDefault="2C86715E" w:rsidP="46B97C9B">
      <w:pPr>
        <w:rPr>
          <w:lang w:val="en-GB"/>
        </w:rPr>
      </w:pPr>
      <w:r w:rsidRPr="12E40F99">
        <w:rPr>
          <w:lang w:val="en-GB"/>
        </w:rPr>
        <w:t xml:space="preserve">TSB </w:t>
      </w:r>
      <w:r w:rsidRPr="0E7E610C">
        <w:rPr>
          <w:lang w:val="en-GB"/>
        </w:rPr>
        <w:t>contr</w:t>
      </w:r>
      <w:r w:rsidR="04D1CC34" w:rsidRPr="0E7E610C">
        <w:rPr>
          <w:lang w:val="en-GB"/>
        </w:rPr>
        <w:t>ibuted to</w:t>
      </w:r>
      <w:r w:rsidRPr="52AFA42C">
        <w:rPr>
          <w:lang w:val="en-GB"/>
        </w:rPr>
        <w:t xml:space="preserve"> the following ITU events:</w:t>
      </w:r>
    </w:p>
    <w:p w14:paraId="56F83963" w14:textId="712D8922" w:rsidR="2C86715E" w:rsidRPr="000D6C39" w:rsidRDefault="00E12FA7" w:rsidP="00CC5384">
      <w:pPr>
        <w:pStyle w:val="ListParagraph"/>
        <w:numPr>
          <w:ilvl w:val="0"/>
          <w:numId w:val="40"/>
        </w:numPr>
        <w:spacing w:before="120"/>
        <w:contextualSpacing w:val="0"/>
        <w:rPr>
          <w:rFonts w:ascii="Times New Roman" w:hAnsi="Times New Roman"/>
          <w:color w:val="0000FF"/>
          <w:sz w:val="24"/>
          <w:szCs w:val="24"/>
          <w:lang w:val="en-GB"/>
        </w:rPr>
      </w:pPr>
      <w:hyperlink r:id="rId58">
        <w:r w:rsidR="388E4F37" w:rsidRPr="000D6C39">
          <w:rPr>
            <w:rStyle w:val="Hyperlink"/>
            <w:rFonts w:ascii="Times New Roman" w:hAnsi="Times New Roman"/>
            <w:sz w:val="24"/>
            <w:szCs w:val="24"/>
            <w:lang w:val="en-GB"/>
          </w:rPr>
          <w:t>Accessible Americas 2019</w:t>
        </w:r>
      </w:hyperlink>
      <w:r w:rsidR="388E4F37" w:rsidRPr="000D6C39">
        <w:rPr>
          <w:rFonts w:ascii="Times New Roman" w:hAnsi="Times New Roman"/>
          <w:sz w:val="24"/>
          <w:szCs w:val="24"/>
          <w:lang w:val="en-GB"/>
        </w:rPr>
        <w:t xml:space="preserve"> (Quito, 20-22 November 2019)</w:t>
      </w:r>
    </w:p>
    <w:p w14:paraId="18B51B21" w14:textId="12E4F1D6" w:rsidR="2C86715E" w:rsidRPr="000D6C39" w:rsidRDefault="00E12FA7" w:rsidP="00CC5384">
      <w:pPr>
        <w:pStyle w:val="ListParagraph"/>
        <w:numPr>
          <w:ilvl w:val="0"/>
          <w:numId w:val="40"/>
        </w:numPr>
        <w:spacing w:before="120"/>
        <w:contextualSpacing w:val="0"/>
        <w:rPr>
          <w:rFonts w:ascii="Times New Roman" w:hAnsi="Times New Roman"/>
          <w:color w:val="0000FF"/>
          <w:sz w:val="24"/>
          <w:szCs w:val="24"/>
          <w:lang w:val="en-GB"/>
        </w:rPr>
      </w:pPr>
      <w:hyperlink r:id="rId59">
        <w:r w:rsidR="388E4F37" w:rsidRPr="000D6C39">
          <w:rPr>
            <w:rStyle w:val="Hyperlink"/>
            <w:rFonts w:ascii="Times New Roman" w:hAnsi="Times New Roman"/>
            <w:sz w:val="24"/>
            <w:szCs w:val="24"/>
            <w:lang w:val="en-GB"/>
          </w:rPr>
          <w:t>Accessible Europe 2019</w:t>
        </w:r>
      </w:hyperlink>
      <w:r w:rsidR="388E4F37" w:rsidRPr="000D6C39">
        <w:rPr>
          <w:rFonts w:ascii="Times New Roman" w:hAnsi="Times New Roman"/>
          <w:sz w:val="24"/>
          <w:szCs w:val="24"/>
          <w:lang w:val="en-GB"/>
        </w:rPr>
        <w:t xml:space="preserve"> (Malta, 4-6 December 2019)</w:t>
      </w:r>
      <w:r w:rsidR="00F02681" w:rsidRPr="000D6C39">
        <w:rPr>
          <w:rFonts w:ascii="Times New Roman" w:hAnsi="Times New Roman"/>
          <w:sz w:val="24"/>
          <w:szCs w:val="24"/>
          <w:lang w:val="en-GB"/>
        </w:rPr>
        <w:t>.</w:t>
      </w:r>
    </w:p>
    <w:p w14:paraId="62C9E350" w14:textId="163C8DF0" w:rsidR="00136E7B" w:rsidRPr="001615CC" w:rsidRDefault="00BA3326" w:rsidP="00136E7B">
      <w:pPr>
        <w:pStyle w:val="Heading1"/>
        <w:rPr>
          <w:rFonts w:eastAsiaTheme="minorEastAsia"/>
        </w:rPr>
      </w:pPr>
      <w:bookmarkStart w:id="75" w:name="_Toc480527828"/>
      <w:bookmarkStart w:id="76" w:name="_Toc51331490"/>
      <w:r>
        <w:rPr>
          <w:rFonts w:eastAsiaTheme="minorEastAsia"/>
        </w:rPr>
        <w:t>5</w:t>
      </w:r>
      <w:r w:rsidR="00136E7B" w:rsidRPr="001615CC">
        <w:rPr>
          <w:rFonts w:eastAsiaTheme="minorEastAsia"/>
        </w:rPr>
        <w:tab/>
        <w:t>Intellectual property rights</w:t>
      </w:r>
      <w:bookmarkEnd w:id="69"/>
      <w:bookmarkEnd w:id="70"/>
      <w:bookmarkEnd w:id="71"/>
      <w:bookmarkEnd w:id="72"/>
      <w:bookmarkEnd w:id="73"/>
      <w:bookmarkEnd w:id="74"/>
      <w:bookmarkEnd w:id="75"/>
      <w:bookmarkEnd w:id="76"/>
    </w:p>
    <w:p w14:paraId="76225F0F" w14:textId="41C876DB" w:rsidR="00136E7B" w:rsidRPr="00E10D83" w:rsidRDefault="00136E7B" w:rsidP="00136E7B">
      <w:pPr>
        <w:rPr>
          <w:lang w:val="en-GB"/>
        </w:rPr>
      </w:pPr>
      <w:r w:rsidRPr="000954CE">
        <w:rPr>
          <w:lang w:val="en-GB"/>
        </w:rPr>
        <w:t xml:space="preserve">The </w:t>
      </w:r>
      <w:hyperlink r:id="rId60" w:history="1">
        <w:r w:rsidRPr="000954CE">
          <w:rPr>
            <w:rStyle w:val="Hyperlink"/>
            <w:rFonts w:asciiTheme="majorBidi" w:hAnsiTheme="majorBidi" w:cstheme="majorBidi"/>
            <w:lang w:val="en-GB"/>
          </w:rPr>
          <w:t>TSB Director's Ad Hoc Group on Intellectual Property Rights (IPR AHG)</w:t>
        </w:r>
      </w:hyperlink>
      <w:r w:rsidRPr="000954CE">
        <w:rPr>
          <w:lang w:val="en-GB"/>
        </w:rPr>
        <w:t xml:space="preserve"> continues its work to protect the integrity of the standards-development process by clarifying aspects of the </w:t>
      </w:r>
      <w:hyperlink r:id="rId61" w:history="1">
        <w:r w:rsidRPr="000954CE">
          <w:rPr>
            <w:rStyle w:val="Hyperlink"/>
            <w:rFonts w:asciiTheme="majorBidi" w:hAnsiTheme="majorBidi" w:cstheme="majorBidi"/>
            <w:lang w:val="en-GB"/>
          </w:rPr>
          <w:t>ITU-R/ITU-T/ISO/IEC Patent Policy and related Guidelines</w:t>
        </w:r>
      </w:hyperlink>
      <w:r w:rsidRPr="000954CE">
        <w:rPr>
          <w:lang w:val="en-GB"/>
        </w:rPr>
        <w:t xml:space="preserve"> – the Union's main tool to manage the challenges </w:t>
      </w:r>
      <w:r w:rsidRPr="000954CE">
        <w:rPr>
          <w:lang w:val="en-GB"/>
        </w:rPr>
        <w:lastRenderedPageBreak/>
        <w:t xml:space="preserve">associated with the incorporation of patents in </w:t>
      </w:r>
      <w:hyperlink r:id="rId62" w:history="1">
        <w:r w:rsidRPr="000954CE">
          <w:rPr>
            <w:rStyle w:val="Hyperlink"/>
            <w:rFonts w:asciiTheme="majorBidi" w:hAnsiTheme="majorBidi" w:cstheme="majorBidi"/>
            <w:lang w:val="en-GB"/>
          </w:rPr>
          <w:t>ITU-T and ITU-R Recommendations</w:t>
        </w:r>
      </w:hyperlink>
      <w:bookmarkStart w:id="77" w:name="_10.1_TSB_Director's"/>
      <w:bookmarkEnd w:id="77"/>
      <w:r w:rsidRPr="000954CE">
        <w:rPr>
          <w:lang w:val="en-GB"/>
        </w:rPr>
        <w:t xml:space="preserve">. </w:t>
      </w:r>
      <w:r w:rsidRPr="00E10D83">
        <w:rPr>
          <w:lang w:val="en-GB"/>
        </w:rPr>
        <w:t xml:space="preserve">All meeting reports can be found on the IPR AHG website at </w:t>
      </w:r>
      <w:hyperlink r:id="rId63" w:history="1">
        <w:r w:rsidRPr="00E10D83">
          <w:rPr>
            <w:rStyle w:val="Hyperlink"/>
            <w:lang w:val="en-GB"/>
          </w:rPr>
          <w:t>https://itu.int/en/ITU-T/ipr/Pages/adhoc.aspx</w:t>
        </w:r>
      </w:hyperlink>
      <w:r w:rsidRPr="00E10D83">
        <w:rPr>
          <w:lang w:val="en-GB"/>
        </w:rPr>
        <w:t>.</w:t>
      </w:r>
    </w:p>
    <w:p w14:paraId="1FA5AAFA" w14:textId="10A86E76" w:rsidR="00136E7B" w:rsidRPr="001615CC" w:rsidRDefault="00BA3326" w:rsidP="00136E7B">
      <w:pPr>
        <w:pStyle w:val="Heading1"/>
      </w:pPr>
      <w:bookmarkStart w:id="78" w:name="_Toc480527831"/>
      <w:bookmarkStart w:id="79" w:name="_Toc51331491"/>
      <w:bookmarkStart w:id="80" w:name="_Toc438553939"/>
      <w:bookmarkStart w:id="81" w:name="_Toc453929065"/>
      <w:bookmarkStart w:id="82" w:name="_Toc453932937"/>
      <w:bookmarkStart w:id="83" w:name="_Toc454295841"/>
      <w:r>
        <w:rPr>
          <w:rFonts w:eastAsiaTheme="minorEastAsia"/>
        </w:rPr>
        <w:t>6</w:t>
      </w:r>
      <w:r w:rsidR="00136E7B" w:rsidRPr="001615CC">
        <w:rPr>
          <w:rFonts w:eastAsiaTheme="minorEastAsia"/>
        </w:rPr>
        <w:tab/>
      </w:r>
      <w:r w:rsidR="00136E7B" w:rsidRPr="001615CC">
        <w:t>ITU-T Focus Groups: Exploring new directions in ITU standardization</w:t>
      </w:r>
      <w:bookmarkEnd w:id="78"/>
      <w:bookmarkEnd w:id="79"/>
    </w:p>
    <w:p w14:paraId="319CFB48" w14:textId="77777777" w:rsidR="00136E7B" w:rsidRPr="00777CB4" w:rsidRDefault="00136E7B" w:rsidP="00136E7B">
      <w:pPr>
        <w:rPr>
          <w:lang w:val="en-GB"/>
        </w:rPr>
      </w:pPr>
      <w:r w:rsidRPr="002B1581">
        <w:rPr>
          <w:lang w:val="en-GB"/>
        </w:rPr>
        <w:t>Focus Groups are formed in response to immediate ICT standardization demands, tasked with establishing the basis for subsequent standardization work in ITU-T SGs. These groups are the place to explore new directions in ITU standardization. Focus Groups are open to ITU members as well as organizations outside ITU's membership. These groups are afforded great flexibility in their chosen deliverables and working methods.</w:t>
      </w:r>
    </w:p>
    <w:p w14:paraId="6E60D76A" w14:textId="77045B0F" w:rsidR="00136E7B" w:rsidRPr="001615CC" w:rsidRDefault="00BA3326" w:rsidP="00136E7B">
      <w:pPr>
        <w:pStyle w:val="Heading2"/>
      </w:pPr>
      <w:bookmarkStart w:id="84" w:name="_Toc51331492"/>
      <w:bookmarkStart w:id="85" w:name="_Toc480527833"/>
      <w:bookmarkEnd w:id="80"/>
      <w:bookmarkEnd w:id="81"/>
      <w:bookmarkEnd w:id="82"/>
      <w:bookmarkEnd w:id="83"/>
      <w:r>
        <w:t>6</w:t>
      </w:r>
      <w:r w:rsidR="00136E7B" w:rsidRPr="001615CC">
        <w:t>.1</w:t>
      </w:r>
      <w:r w:rsidR="00136E7B" w:rsidRPr="001615CC">
        <w:tab/>
        <w:t>Quantum Information Technologies for Networks</w:t>
      </w:r>
      <w:bookmarkEnd w:id="84"/>
    </w:p>
    <w:p w14:paraId="1150ADB3" w14:textId="588F6A95" w:rsidR="00B02E4C" w:rsidRDefault="00136E7B" w:rsidP="6171A8C9">
      <w:pPr>
        <w:tabs>
          <w:tab w:val="clear" w:pos="794"/>
          <w:tab w:val="clear" w:pos="1191"/>
          <w:tab w:val="clear" w:pos="1588"/>
          <w:tab w:val="clear" w:pos="1985"/>
        </w:tabs>
        <w:overflowPunct/>
        <w:autoSpaceDE/>
        <w:autoSpaceDN/>
        <w:adjustRightInd/>
        <w:spacing w:after="120"/>
        <w:textAlignment w:val="auto"/>
        <w:rPr>
          <w:rStyle w:val="Strong"/>
          <w:b w:val="0"/>
          <w:bCs w:val="0"/>
        </w:rPr>
      </w:pPr>
      <w:r w:rsidRPr="5525749A">
        <w:rPr>
          <w:lang w:val="en-GB" w:eastAsia="en-GB"/>
        </w:rPr>
        <w:t xml:space="preserve">The </w:t>
      </w:r>
      <w:hyperlink r:id="rId64">
        <w:r w:rsidRPr="5525749A">
          <w:rPr>
            <w:rStyle w:val="Hyperlink"/>
          </w:rPr>
          <w:t>ITU-T Focus Group on Quantum Information Technology for Networks (FG-QIT4N)</w:t>
        </w:r>
      </w:hyperlink>
      <w:r w:rsidRPr="5525749A">
        <w:rPr>
          <w:rStyle w:val="Strong"/>
          <w:b w:val="0"/>
        </w:rPr>
        <w:t xml:space="preserve"> is studying the evolution of quantum information technologies in view of their foreseen applications in ICT networks. It is leading exploratory ‘pre-standardization’ studies to identify emerging standardization demands and anticipate demands to arise in future</w:t>
      </w:r>
      <w:r w:rsidR="648A5311" w:rsidRPr="5525749A">
        <w:rPr>
          <w:rStyle w:val="Strong"/>
          <w:b w:val="0"/>
          <w:bCs w:val="0"/>
        </w:rPr>
        <w:t xml:space="preserve"> on topics related to quantum key distribution networks (QKDN) and the network aspects of quantum information technologies </w:t>
      </w:r>
      <w:r w:rsidR="00B02E4C">
        <w:rPr>
          <w:rStyle w:val="Strong"/>
          <w:b w:val="0"/>
          <w:bCs w:val="0"/>
        </w:rPr>
        <w:t xml:space="preserve">(QITs) </w:t>
      </w:r>
      <w:r w:rsidR="648A5311" w:rsidRPr="5525749A">
        <w:rPr>
          <w:rStyle w:val="Strong"/>
          <w:b w:val="0"/>
          <w:bCs w:val="0"/>
        </w:rPr>
        <w:t>beyond QKDN</w:t>
      </w:r>
      <w:r w:rsidRPr="5525749A">
        <w:rPr>
          <w:rStyle w:val="Strong"/>
          <w:b w:val="0"/>
          <w:bCs w:val="0"/>
        </w:rPr>
        <w:t xml:space="preserve">. </w:t>
      </w:r>
    </w:p>
    <w:p w14:paraId="1434EAAE" w14:textId="3E94D234" w:rsidR="00136E7B" w:rsidRPr="00B02E4C" w:rsidRDefault="00136E7B" w:rsidP="006C3199">
      <w:pPr>
        <w:tabs>
          <w:tab w:val="clear" w:pos="794"/>
          <w:tab w:val="clear" w:pos="1191"/>
          <w:tab w:val="clear" w:pos="1588"/>
          <w:tab w:val="clear" w:pos="1985"/>
        </w:tabs>
        <w:overflowPunct/>
        <w:autoSpaceDE/>
        <w:autoSpaceDN/>
        <w:adjustRightInd/>
        <w:spacing w:after="120"/>
        <w:textAlignment w:val="auto"/>
        <w:rPr>
          <w:rStyle w:val="Strong"/>
          <w:b w:val="0"/>
          <w:bCs w:val="0"/>
        </w:rPr>
      </w:pPr>
      <w:r w:rsidRPr="5525749A">
        <w:rPr>
          <w:rStyle w:val="Strong"/>
          <w:b w:val="0"/>
        </w:rPr>
        <w:t xml:space="preserve">Chief among its list of priorities is the analysis of high-potential use cases of </w:t>
      </w:r>
      <w:r w:rsidR="00B02E4C">
        <w:rPr>
          <w:rStyle w:val="Strong"/>
          <w:b w:val="0"/>
        </w:rPr>
        <w:t xml:space="preserve">QITs </w:t>
      </w:r>
      <w:r w:rsidRPr="5525749A">
        <w:rPr>
          <w:rStyle w:val="Strong"/>
          <w:b w:val="0"/>
        </w:rPr>
        <w:t>in ICT networks and the harmonization of associated terminology.</w:t>
      </w:r>
      <w:r w:rsidR="5C594279" w:rsidRPr="6171A8C9">
        <w:rPr>
          <w:rStyle w:val="Strong"/>
          <w:b w:val="0"/>
          <w:bCs w:val="0"/>
        </w:rPr>
        <w:t xml:space="preserve"> This analysis will conclude with the delivery of Technical Reports</w:t>
      </w:r>
      <w:r w:rsidR="00B02E4C">
        <w:rPr>
          <w:rStyle w:val="Strong"/>
          <w:b w:val="0"/>
          <w:bCs w:val="0"/>
        </w:rPr>
        <w:t xml:space="preserve"> </w:t>
      </w:r>
      <w:r w:rsidR="5C594279" w:rsidRPr="6171A8C9">
        <w:rPr>
          <w:rStyle w:val="Strong"/>
          <w:b w:val="0"/>
          <w:bCs w:val="0"/>
        </w:rPr>
        <w:t>on terminology and use cases related to QKDN and QIT beyond QKDN.</w:t>
      </w:r>
      <w:r w:rsidR="16691D06" w:rsidRPr="6171A8C9">
        <w:rPr>
          <w:rStyle w:val="Strong"/>
          <w:b w:val="0"/>
          <w:bCs w:val="0"/>
        </w:rPr>
        <w:t xml:space="preserve"> Additionally, </w:t>
      </w:r>
      <w:r w:rsidR="00B02E4C">
        <w:rPr>
          <w:rStyle w:val="Strong"/>
          <w:b w:val="0"/>
          <w:bCs w:val="0"/>
        </w:rPr>
        <w:t xml:space="preserve">the group </w:t>
      </w:r>
      <w:r w:rsidR="16691D06" w:rsidRPr="6171A8C9">
        <w:rPr>
          <w:rStyle w:val="Strong"/>
          <w:b w:val="0"/>
          <w:bCs w:val="0"/>
        </w:rPr>
        <w:t>will also inform the ‘pre-standardization’ aspects</w:t>
      </w:r>
      <w:r w:rsidR="1E3D80A7" w:rsidRPr="6171A8C9">
        <w:rPr>
          <w:rStyle w:val="Strong"/>
          <w:b w:val="0"/>
          <w:bCs w:val="0"/>
        </w:rPr>
        <w:t xml:space="preserve"> with the production</w:t>
      </w:r>
      <w:r w:rsidR="16691D06" w:rsidRPr="6171A8C9">
        <w:rPr>
          <w:rStyle w:val="Strong"/>
          <w:b w:val="0"/>
          <w:bCs w:val="0"/>
        </w:rPr>
        <w:t xml:space="preserve"> of </w:t>
      </w:r>
      <w:r w:rsidR="74910649" w:rsidRPr="6171A8C9">
        <w:rPr>
          <w:rStyle w:val="Strong"/>
          <w:b w:val="0"/>
          <w:bCs w:val="0"/>
        </w:rPr>
        <w:t xml:space="preserve">Technical Reports on </w:t>
      </w:r>
      <w:r w:rsidR="16691D06" w:rsidRPr="6171A8C9">
        <w:rPr>
          <w:rStyle w:val="Strong"/>
          <w:b w:val="0"/>
          <w:bCs w:val="0"/>
        </w:rPr>
        <w:t>QKDN transport technologies</w:t>
      </w:r>
      <w:r w:rsidR="1CB68510" w:rsidRPr="6171A8C9">
        <w:rPr>
          <w:rStyle w:val="Strong"/>
          <w:b w:val="0"/>
          <w:bCs w:val="0"/>
        </w:rPr>
        <w:t xml:space="preserve"> and </w:t>
      </w:r>
      <w:r w:rsidR="16691D06" w:rsidRPr="6171A8C9">
        <w:rPr>
          <w:rStyle w:val="Strong"/>
          <w:b w:val="0"/>
          <w:bCs w:val="0"/>
        </w:rPr>
        <w:t xml:space="preserve">protocols and </w:t>
      </w:r>
      <w:r w:rsidR="63B67E4F" w:rsidRPr="6171A8C9">
        <w:rPr>
          <w:rStyle w:val="Strong"/>
          <w:b w:val="0"/>
          <w:bCs w:val="0"/>
        </w:rPr>
        <w:t xml:space="preserve">a survey of the </w:t>
      </w:r>
      <w:r w:rsidR="16691D06" w:rsidRPr="6171A8C9">
        <w:rPr>
          <w:rStyle w:val="Strong"/>
          <w:b w:val="0"/>
          <w:bCs w:val="0"/>
        </w:rPr>
        <w:t>implications of QITs on networks.</w:t>
      </w:r>
      <w:r w:rsidR="4D47364B" w:rsidRPr="6171A8C9">
        <w:rPr>
          <w:rStyle w:val="Strong"/>
          <w:b w:val="0"/>
          <w:bCs w:val="0"/>
        </w:rPr>
        <w:t xml:space="preserve"> </w:t>
      </w:r>
      <w:r w:rsidR="00B02E4C">
        <w:rPr>
          <w:rStyle w:val="Strong"/>
          <w:b w:val="0"/>
          <w:bCs w:val="0"/>
        </w:rPr>
        <w:t xml:space="preserve">The group’s </w:t>
      </w:r>
      <w:r w:rsidR="4EBDABBB" w:rsidRPr="6171A8C9">
        <w:rPr>
          <w:rStyle w:val="Strong"/>
          <w:b w:val="0"/>
          <w:bCs w:val="0"/>
        </w:rPr>
        <w:t>‘pre</w:t>
      </w:r>
      <w:r w:rsidR="4D47364B" w:rsidRPr="6171A8C9">
        <w:rPr>
          <w:rStyle w:val="Strong"/>
          <w:b w:val="0"/>
          <w:bCs w:val="0"/>
        </w:rPr>
        <w:t xml:space="preserve">-standardization' study </w:t>
      </w:r>
      <w:r w:rsidR="414B263D" w:rsidRPr="6171A8C9">
        <w:rPr>
          <w:rStyle w:val="Strong"/>
          <w:b w:val="0"/>
          <w:bCs w:val="0"/>
        </w:rPr>
        <w:t xml:space="preserve">on </w:t>
      </w:r>
      <w:r w:rsidR="4D47364B" w:rsidRPr="6171A8C9">
        <w:rPr>
          <w:rStyle w:val="Strong"/>
          <w:b w:val="0"/>
          <w:bCs w:val="0"/>
        </w:rPr>
        <w:t>will culminate</w:t>
      </w:r>
      <w:r w:rsidR="00B02E4C">
        <w:rPr>
          <w:rStyle w:val="Strong"/>
          <w:b w:val="0"/>
          <w:bCs w:val="0"/>
        </w:rPr>
        <w:t xml:space="preserve"> </w:t>
      </w:r>
      <w:r w:rsidR="4D47364B" w:rsidRPr="6171A8C9">
        <w:rPr>
          <w:rStyle w:val="Strong"/>
          <w:b w:val="0"/>
          <w:bCs w:val="0"/>
        </w:rPr>
        <w:t>with the delivery of the standardization landscape and outlook o</w:t>
      </w:r>
      <w:r w:rsidR="4B70C39F" w:rsidRPr="6171A8C9">
        <w:rPr>
          <w:rStyle w:val="Strong"/>
          <w:b w:val="0"/>
          <w:bCs w:val="0"/>
        </w:rPr>
        <w:t>n</w:t>
      </w:r>
      <w:r w:rsidR="00ED66C1">
        <w:rPr>
          <w:rStyle w:val="Strong"/>
          <w:b w:val="0"/>
          <w:bCs w:val="0"/>
        </w:rPr>
        <w:t xml:space="preserve"> QITs</w:t>
      </w:r>
      <w:r w:rsidR="00B02E4C">
        <w:rPr>
          <w:rStyle w:val="Strong"/>
          <w:b w:val="0"/>
          <w:bCs w:val="0"/>
        </w:rPr>
        <w:t xml:space="preserve">, </w:t>
      </w:r>
      <w:r w:rsidR="4D47364B" w:rsidRPr="6171A8C9">
        <w:rPr>
          <w:rStyle w:val="Strong"/>
          <w:b w:val="0"/>
          <w:bCs w:val="0"/>
        </w:rPr>
        <w:t>analyzing the challenges to standardization and identif</w:t>
      </w:r>
      <w:r w:rsidR="00ED66C1">
        <w:rPr>
          <w:rStyle w:val="Strong"/>
          <w:b w:val="0"/>
          <w:bCs w:val="0"/>
        </w:rPr>
        <w:t>ying</w:t>
      </w:r>
      <w:r w:rsidR="4D47364B" w:rsidRPr="6171A8C9">
        <w:rPr>
          <w:rStyle w:val="Strong"/>
          <w:b w:val="0"/>
          <w:bCs w:val="0"/>
        </w:rPr>
        <w:t xml:space="preserve"> validated standardization needs.</w:t>
      </w:r>
    </w:p>
    <w:p w14:paraId="4D1BE1B6" w14:textId="429E433D" w:rsidR="00136E7B" w:rsidRPr="001615CC" w:rsidRDefault="00BA3326" w:rsidP="00136E7B">
      <w:pPr>
        <w:pStyle w:val="Heading2"/>
      </w:pPr>
      <w:bookmarkStart w:id="86" w:name="_Toc51331493"/>
      <w:r>
        <w:t>6</w:t>
      </w:r>
      <w:r w:rsidR="00136E7B" w:rsidRPr="001615CC">
        <w:t>.</w:t>
      </w:r>
      <w:r w:rsidR="00136E7B">
        <w:t>2</w:t>
      </w:r>
      <w:r w:rsidR="00136E7B" w:rsidRPr="001615CC">
        <w:tab/>
        <w:t>Machine Learning for Future Networks including 5G</w:t>
      </w:r>
      <w:bookmarkEnd w:id="86"/>
    </w:p>
    <w:p w14:paraId="4AF148AD" w14:textId="6F33DCCF" w:rsidR="00ED66C1" w:rsidRDefault="4A45FA0C" w:rsidP="00ED66C1">
      <w:pPr>
        <w:rPr>
          <w:szCs w:val="24"/>
          <w:lang w:val="en-GB"/>
        </w:rPr>
      </w:pPr>
      <w:r w:rsidRPr="00500815">
        <w:rPr>
          <w:szCs w:val="24"/>
          <w:lang w:val="en-GB"/>
        </w:rPr>
        <w:t>T</w:t>
      </w:r>
      <w:r w:rsidR="301A42DA" w:rsidRPr="00500815">
        <w:rPr>
          <w:szCs w:val="24"/>
          <w:lang w:val="en-GB"/>
        </w:rPr>
        <w:t xml:space="preserve">he </w:t>
      </w:r>
      <w:hyperlink r:id="rId65" w:history="1">
        <w:r w:rsidR="301A42DA" w:rsidRPr="00500815">
          <w:rPr>
            <w:rStyle w:val="Hyperlink"/>
            <w:rFonts w:eastAsia="Calibri"/>
            <w:color w:val="0563C1"/>
            <w:szCs w:val="24"/>
            <w:lang w:val="en-GB"/>
          </w:rPr>
          <w:t>ITU</w:t>
        </w:r>
        <w:r w:rsidR="00500815" w:rsidRPr="00500815">
          <w:rPr>
            <w:rStyle w:val="Hyperlink"/>
            <w:rFonts w:eastAsia="Calibri"/>
            <w:color w:val="0563C1"/>
            <w:szCs w:val="24"/>
            <w:lang w:val="en-GB"/>
          </w:rPr>
          <w:t>-T</w:t>
        </w:r>
        <w:r w:rsidR="301A42DA" w:rsidRPr="00500815">
          <w:rPr>
            <w:rStyle w:val="Hyperlink"/>
            <w:rFonts w:eastAsia="Calibri"/>
            <w:color w:val="0563C1"/>
            <w:szCs w:val="24"/>
            <w:lang w:val="en-GB"/>
          </w:rPr>
          <w:t xml:space="preserve"> Focus Group on Machine Learning for Future Networks including 5G (FG-ML5G</w:t>
        </w:r>
      </w:hyperlink>
      <w:r w:rsidR="301A42DA" w:rsidRPr="00500815">
        <w:rPr>
          <w:szCs w:val="24"/>
          <w:lang w:val="en-GB"/>
        </w:rPr>
        <w:t>) has concluded a Machine Learning toolset for communication networks comprising ten technical specifications,</w:t>
      </w:r>
      <w:r w:rsidR="00ED66C1">
        <w:rPr>
          <w:szCs w:val="24"/>
          <w:lang w:val="en-GB"/>
        </w:rPr>
        <w:t xml:space="preserve"> with about half of this toolset </w:t>
      </w:r>
      <w:r w:rsidR="301A42DA" w:rsidRPr="00500815">
        <w:rPr>
          <w:szCs w:val="24"/>
          <w:lang w:val="en-GB"/>
        </w:rPr>
        <w:t xml:space="preserve">already </w:t>
      </w:r>
      <w:r w:rsidR="00ED66C1">
        <w:rPr>
          <w:szCs w:val="24"/>
          <w:lang w:val="en-GB"/>
        </w:rPr>
        <w:t xml:space="preserve">published as </w:t>
      </w:r>
      <w:r w:rsidR="301A42DA" w:rsidRPr="00500815">
        <w:rPr>
          <w:szCs w:val="24"/>
          <w:lang w:val="en-GB"/>
        </w:rPr>
        <w:t>ITU</w:t>
      </w:r>
      <w:r w:rsidR="00956305">
        <w:rPr>
          <w:szCs w:val="24"/>
          <w:lang w:val="en-GB"/>
        </w:rPr>
        <w:t xml:space="preserve"> standards</w:t>
      </w:r>
      <w:r w:rsidR="301A42DA" w:rsidRPr="00500815">
        <w:rPr>
          <w:szCs w:val="24"/>
          <w:lang w:val="en-GB"/>
        </w:rPr>
        <w:t xml:space="preserve">. The key standard of this toolset </w:t>
      </w:r>
      <w:r w:rsidR="00ED66C1" w:rsidRPr="00ED66C1">
        <w:rPr>
          <w:rFonts w:eastAsia="Calibri"/>
          <w:szCs w:val="24"/>
          <w:lang w:val="en-GB"/>
        </w:rPr>
        <w:t>(</w:t>
      </w:r>
      <w:r w:rsidR="301A42DA" w:rsidRPr="00ED66C1">
        <w:rPr>
          <w:rFonts w:eastAsia="Calibri"/>
          <w:szCs w:val="24"/>
          <w:lang w:val="en-GB"/>
        </w:rPr>
        <w:t>Y.3172</w:t>
      </w:r>
      <w:r w:rsidR="00ED66C1">
        <w:rPr>
          <w:szCs w:val="24"/>
          <w:lang w:val="en-GB"/>
        </w:rPr>
        <w:t xml:space="preserve">) </w:t>
      </w:r>
      <w:r w:rsidR="301A42DA" w:rsidRPr="00500815">
        <w:rPr>
          <w:szCs w:val="24"/>
          <w:lang w:val="en-GB"/>
        </w:rPr>
        <w:t>describes an architectural framework for networks to accommodate current as well as future use cases of Machine Learning.</w:t>
      </w:r>
    </w:p>
    <w:p w14:paraId="2E915C2F" w14:textId="7141B1A5" w:rsidR="00956305" w:rsidRPr="00ED66C1" w:rsidRDefault="00956305" w:rsidP="00ED66C1">
      <w:pPr>
        <w:rPr>
          <w:szCs w:val="24"/>
          <w:lang w:val="en-GB"/>
        </w:rPr>
      </w:pPr>
      <w:r>
        <w:rPr>
          <w:szCs w:val="24"/>
        </w:rPr>
        <w:t>Over 500 co</w:t>
      </w:r>
      <w:r w:rsidRPr="00ED66C1">
        <w:rPr>
          <w:szCs w:val="24"/>
        </w:rPr>
        <w:t>mpetitors from over 50 countries have entered the </w:t>
      </w:r>
      <w:hyperlink r:id="rId66" w:history="1">
        <w:r w:rsidRPr="00ED66C1">
          <w:rPr>
            <w:rStyle w:val="Hyperlink"/>
            <w:szCs w:val="24"/>
          </w:rPr>
          <w:t>ITU Challenge on AI and Machine Learning in 5G</w:t>
        </w:r>
      </w:hyperlink>
      <w:r w:rsidRPr="00ED66C1">
        <w:rPr>
          <w:szCs w:val="24"/>
        </w:rPr>
        <w:t> to showcase their talent</w:t>
      </w:r>
      <w:r>
        <w:rPr>
          <w:szCs w:val="24"/>
        </w:rPr>
        <w:t xml:space="preserve"> and </w:t>
      </w:r>
      <w:r w:rsidRPr="00ED66C1">
        <w:rPr>
          <w:szCs w:val="24"/>
        </w:rPr>
        <w:t>test their concepts on real data and real-world problems.</w:t>
      </w:r>
      <w:r>
        <w:rPr>
          <w:szCs w:val="24"/>
        </w:rPr>
        <w:t xml:space="preserve"> Applying ITU standards such as Y.3172, competitors </w:t>
      </w:r>
      <w:r w:rsidRPr="006C3199">
        <w:rPr>
          <w:szCs w:val="24"/>
        </w:rPr>
        <w:t>are enabl</w:t>
      </w:r>
      <w:r>
        <w:rPr>
          <w:szCs w:val="24"/>
        </w:rPr>
        <w:t>ing</w:t>
      </w:r>
      <w:r w:rsidRPr="006C3199">
        <w:rPr>
          <w:szCs w:val="24"/>
        </w:rPr>
        <w:t>, creat</w:t>
      </w:r>
      <w:r>
        <w:rPr>
          <w:szCs w:val="24"/>
        </w:rPr>
        <w:t>ing</w:t>
      </w:r>
      <w:r w:rsidRPr="006C3199">
        <w:rPr>
          <w:szCs w:val="24"/>
        </w:rPr>
        <w:t>, train</w:t>
      </w:r>
      <w:r>
        <w:rPr>
          <w:szCs w:val="24"/>
        </w:rPr>
        <w:t>ing</w:t>
      </w:r>
      <w:r w:rsidRPr="006C3199">
        <w:rPr>
          <w:szCs w:val="24"/>
        </w:rPr>
        <w:t xml:space="preserve"> and deploy</w:t>
      </w:r>
      <w:r>
        <w:rPr>
          <w:szCs w:val="24"/>
        </w:rPr>
        <w:t>ing</w:t>
      </w:r>
      <w:r w:rsidRPr="006C3199">
        <w:rPr>
          <w:szCs w:val="24"/>
        </w:rPr>
        <w:t xml:space="preserve"> </w:t>
      </w:r>
      <w:r>
        <w:rPr>
          <w:szCs w:val="24"/>
        </w:rPr>
        <w:t>machine learning</w:t>
      </w:r>
      <w:r w:rsidRPr="006C3199">
        <w:rPr>
          <w:szCs w:val="24"/>
        </w:rPr>
        <w:t xml:space="preserve"> models </w:t>
      </w:r>
      <w:r>
        <w:rPr>
          <w:szCs w:val="24"/>
        </w:rPr>
        <w:t xml:space="preserve">and gaining </w:t>
      </w:r>
      <w:r w:rsidRPr="006C3199">
        <w:rPr>
          <w:szCs w:val="24"/>
        </w:rPr>
        <w:t xml:space="preserve">hands-on experience </w:t>
      </w:r>
      <w:r>
        <w:rPr>
          <w:szCs w:val="24"/>
        </w:rPr>
        <w:t xml:space="preserve">with </w:t>
      </w:r>
      <w:r w:rsidRPr="006C3199">
        <w:rPr>
          <w:szCs w:val="24"/>
        </w:rPr>
        <w:t>AI</w:t>
      </w:r>
      <w:r>
        <w:rPr>
          <w:szCs w:val="24"/>
        </w:rPr>
        <w:t xml:space="preserve"> and machine learning </w:t>
      </w:r>
      <w:r w:rsidRPr="006C3199">
        <w:rPr>
          <w:szCs w:val="24"/>
        </w:rPr>
        <w:t xml:space="preserve">in areas relevant to communication networks. The Challenge will culminate </w:t>
      </w:r>
      <w:r>
        <w:rPr>
          <w:szCs w:val="24"/>
        </w:rPr>
        <w:t xml:space="preserve">with </w:t>
      </w:r>
      <w:r w:rsidRPr="006C3199">
        <w:rPr>
          <w:szCs w:val="24"/>
        </w:rPr>
        <w:t>the Grand Challenge Finale</w:t>
      </w:r>
      <w:r>
        <w:rPr>
          <w:szCs w:val="24"/>
        </w:rPr>
        <w:t xml:space="preserve"> to be held virtually from </w:t>
      </w:r>
      <w:r w:rsidRPr="006C3199">
        <w:rPr>
          <w:szCs w:val="24"/>
        </w:rPr>
        <w:t>15 to 17 December 2020</w:t>
      </w:r>
      <w:r>
        <w:rPr>
          <w:rStyle w:val="Hyperlink"/>
          <w:color w:val="auto"/>
          <w:szCs w:val="24"/>
          <w:u w:val="none"/>
        </w:rPr>
        <w:t>. T</w:t>
      </w:r>
      <w:r w:rsidRPr="001204FF">
        <w:rPr>
          <w:rStyle w:val="Hyperlink"/>
          <w:color w:val="auto"/>
          <w:szCs w:val="24"/>
          <w:u w:val="none"/>
        </w:rPr>
        <w:t>he Challenge is kindly</w:t>
      </w:r>
      <w:r w:rsidRPr="00956305">
        <w:rPr>
          <w:rStyle w:val="Hyperlink"/>
          <w:color w:val="auto"/>
          <w:szCs w:val="24"/>
          <w:u w:val="none"/>
        </w:rPr>
        <w:t xml:space="preserve"> </w:t>
      </w:r>
      <w:r>
        <w:t>s</w:t>
      </w:r>
      <w:r w:rsidRPr="006C3199">
        <w:t>ponsor</w:t>
      </w:r>
      <w:r>
        <w:t>ed the</w:t>
      </w:r>
      <w:r w:rsidRPr="006C3199">
        <w:t xml:space="preserve"> Telecommunications Regulatory Authority</w:t>
      </w:r>
      <w:r>
        <w:t xml:space="preserve"> of the United Arab Emirates</w:t>
      </w:r>
      <w:r w:rsidRPr="006C3199">
        <w:t xml:space="preserve"> (Gold Sponsor)</w:t>
      </w:r>
      <w:r>
        <w:t xml:space="preserve"> and </w:t>
      </w:r>
      <w:r w:rsidRPr="006C3199">
        <w:t>Cisco and ZTE (Bronze Sponsors)</w:t>
      </w:r>
      <w:r>
        <w:t xml:space="preserve">. </w:t>
      </w:r>
    </w:p>
    <w:p w14:paraId="03224AC4" w14:textId="00E561B4" w:rsidR="00136E7B" w:rsidRPr="001615CC" w:rsidRDefault="00BA3326" w:rsidP="006C3199">
      <w:pPr>
        <w:pStyle w:val="Heading2"/>
        <w:ind w:left="0" w:firstLine="0"/>
      </w:pPr>
      <w:bookmarkStart w:id="87" w:name="_Toc51331494"/>
      <w:r>
        <w:t>6</w:t>
      </w:r>
      <w:r w:rsidR="00136E7B" w:rsidRPr="001615CC">
        <w:t>.</w:t>
      </w:r>
      <w:r w:rsidR="00136E7B">
        <w:t>3</w:t>
      </w:r>
      <w:r w:rsidR="00136E7B" w:rsidRPr="001615CC">
        <w:tab/>
        <w:t>Technologies for Network 2030</w:t>
      </w:r>
      <w:bookmarkEnd w:id="87"/>
    </w:p>
    <w:p w14:paraId="559AF3C7" w14:textId="70AC66B9" w:rsidR="00136E7B" w:rsidRPr="003D60E6" w:rsidRDefault="00136E7B" w:rsidP="00136E7B">
      <w:pPr>
        <w:rPr>
          <w:lang w:val="en-GB"/>
        </w:rPr>
      </w:pPr>
      <w:r w:rsidRPr="003D60E6">
        <w:rPr>
          <w:lang w:val="en-GB"/>
        </w:rPr>
        <w:t xml:space="preserve">The </w:t>
      </w:r>
      <w:hyperlink r:id="rId67" w:history="1">
        <w:r w:rsidRPr="003D60E6">
          <w:rPr>
            <w:rStyle w:val="Hyperlink"/>
            <w:lang w:val="en-GB"/>
          </w:rPr>
          <w:t>ITU-T Focus Group on Technologies for Network 2030 (FG NET-2030)</w:t>
        </w:r>
      </w:hyperlink>
      <w:r w:rsidRPr="003D60E6">
        <w:rPr>
          <w:lang w:val="en-GB"/>
        </w:rPr>
        <w:t xml:space="preserve"> </w:t>
      </w:r>
      <w:r w:rsidR="001204FF" w:rsidRPr="003D60E6">
        <w:rPr>
          <w:lang w:val="en-GB"/>
        </w:rPr>
        <w:t xml:space="preserve">FG NET-2030 has concluded its activities and submitted eight deliverables to its parent </w:t>
      </w:r>
      <w:r w:rsidR="001204FF">
        <w:rPr>
          <w:lang w:val="en-GB"/>
        </w:rPr>
        <w:t xml:space="preserve">ITU-T </w:t>
      </w:r>
      <w:r w:rsidR="001204FF" w:rsidRPr="00C44FDC">
        <w:rPr>
          <w:lang w:val="en-GB"/>
        </w:rPr>
        <w:t>Study Group</w:t>
      </w:r>
      <w:r w:rsidR="001204FF" w:rsidRPr="003D60E6">
        <w:rPr>
          <w:lang w:val="en-GB"/>
        </w:rPr>
        <w:t xml:space="preserve"> 13</w:t>
      </w:r>
      <w:r w:rsidR="007814C5">
        <w:rPr>
          <w:lang w:val="en-GB"/>
        </w:rPr>
        <w:t>;</w:t>
      </w:r>
      <w:r w:rsidR="007814C5" w:rsidRPr="007814C5">
        <w:rPr>
          <w:lang w:val="en-GB"/>
        </w:rPr>
        <w:t xml:space="preserve"> </w:t>
      </w:r>
      <w:r w:rsidR="007814C5" w:rsidRPr="5124B126">
        <w:rPr>
          <w:lang w:val="en-GB"/>
        </w:rPr>
        <w:t xml:space="preserve">among those are four technical reports, three technical specifications, and one white paper dealing with vision for Network 2030. Two of the above listed deliverables were approved for publication as Supplements 66 and 67 to </w:t>
      </w:r>
      <w:r w:rsidR="007814C5">
        <w:rPr>
          <w:lang w:val="en-GB"/>
        </w:rPr>
        <w:t xml:space="preserve">the ITU-T </w:t>
      </w:r>
      <w:r w:rsidR="007814C5" w:rsidRPr="5124B126">
        <w:rPr>
          <w:lang w:val="en-GB"/>
        </w:rPr>
        <w:t xml:space="preserve">Y.3000-series of ITU-T Recommendations. They deal with Network 2030 services and selected use cases and key </w:t>
      </w:r>
      <w:r w:rsidR="0085423D">
        <w:rPr>
          <w:lang w:val="en-GB"/>
        </w:rPr>
        <w:t>n</w:t>
      </w:r>
      <w:r w:rsidR="007814C5" w:rsidRPr="5124B126">
        <w:rPr>
          <w:lang w:val="en-GB"/>
        </w:rPr>
        <w:t>e</w:t>
      </w:r>
      <w:r w:rsidR="0085423D">
        <w:rPr>
          <w:lang w:val="en-GB"/>
        </w:rPr>
        <w:t>t</w:t>
      </w:r>
      <w:r w:rsidR="007814C5" w:rsidRPr="5124B126">
        <w:rPr>
          <w:lang w:val="en-GB"/>
        </w:rPr>
        <w:t>work require</w:t>
      </w:r>
      <w:r w:rsidR="0085423D">
        <w:rPr>
          <w:lang w:val="en-GB"/>
        </w:rPr>
        <w:t>me</w:t>
      </w:r>
      <w:r w:rsidR="007814C5" w:rsidRPr="5124B126">
        <w:rPr>
          <w:lang w:val="en-GB"/>
        </w:rPr>
        <w:t>nts for Network 2030</w:t>
      </w:r>
      <w:r w:rsidR="001204FF">
        <w:rPr>
          <w:lang w:val="en-GB"/>
        </w:rPr>
        <w:t xml:space="preserve">. </w:t>
      </w:r>
      <w:r w:rsidR="001204FF">
        <w:rPr>
          <w:lang w:val="en-GB"/>
        </w:rPr>
        <w:lastRenderedPageBreak/>
        <w:t xml:space="preserve">The group </w:t>
      </w:r>
      <w:r w:rsidRPr="003D60E6">
        <w:rPr>
          <w:lang w:val="en-GB"/>
        </w:rPr>
        <w:t>examin</w:t>
      </w:r>
      <w:r w:rsidR="001204FF">
        <w:rPr>
          <w:lang w:val="en-GB"/>
        </w:rPr>
        <w:t>ed</w:t>
      </w:r>
      <w:r w:rsidRPr="003D60E6">
        <w:rPr>
          <w:lang w:val="en-GB"/>
        </w:rPr>
        <w:t xml:space="preserve"> how emerging technologies can enhance network capabilities to meet the demands of 5G systems and future innovations. The group stud</w:t>
      </w:r>
      <w:r w:rsidR="001204FF">
        <w:rPr>
          <w:lang w:val="en-GB"/>
        </w:rPr>
        <w:t>ied</w:t>
      </w:r>
      <w:r w:rsidRPr="003D60E6">
        <w:rPr>
          <w:lang w:val="en-GB"/>
        </w:rPr>
        <w:t xml:space="preserve"> new media, services and architectures to identify communication needs and use cases for the year 2030 and beyond. In focus </w:t>
      </w:r>
      <w:r w:rsidR="001204FF">
        <w:rPr>
          <w:lang w:val="en-GB"/>
        </w:rPr>
        <w:t xml:space="preserve">were </w:t>
      </w:r>
      <w:r w:rsidRPr="003D60E6">
        <w:rPr>
          <w:lang w:val="en-GB"/>
        </w:rPr>
        <w:t>applications including augmented and virtual reality and holograms, and time-sensitive applications in fields such as telemedicine and industrial automation.</w:t>
      </w:r>
      <w:r w:rsidR="003D60E6" w:rsidRPr="003D60E6">
        <w:rPr>
          <w:lang w:val="en-GB"/>
        </w:rPr>
        <w:t xml:space="preserve"> </w:t>
      </w:r>
    </w:p>
    <w:p w14:paraId="3BA83FCE" w14:textId="395FDD6A" w:rsidR="00136E7B" w:rsidRPr="001615CC" w:rsidRDefault="00BA3326" w:rsidP="00136E7B">
      <w:pPr>
        <w:pStyle w:val="Heading2"/>
      </w:pPr>
      <w:bookmarkStart w:id="88" w:name="_Toc51331495"/>
      <w:r>
        <w:t>6</w:t>
      </w:r>
      <w:r w:rsidR="00136E7B" w:rsidRPr="001615CC">
        <w:t>.</w:t>
      </w:r>
      <w:r w:rsidR="00136E7B">
        <w:t>4</w:t>
      </w:r>
      <w:r w:rsidR="00136E7B" w:rsidRPr="001615CC">
        <w:tab/>
        <w:t>A</w:t>
      </w:r>
      <w:r w:rsidR="00136E7B">
        <w:t>I</w:t>
      </w:r>
      <w:r w:rsidR="00136E7B" w:rsidRPr="001615CC">
        <w:t xml:space="preserve"> for Health</w:t>
      </w:r>
      <w:bookmarkEnd w:id="88"/>
    </w:p>
    <w:p w14:paraId="40A4A8DD" w14:textId="511ADBA9" w:rsidR="00136E7B" w:rsidRPr="00DC4015" w:rsidRDefault="5EE8545A" w:rsidP="00136E7B">
      <w:pPr>
        <w:rPr>
          <w:lang w:val="en-GB"/>
        </w:rPr>
      </w:pPr>
      <w:r w:rsidRPr="00DC4015">
        <w:rPr>
          <w:lang w:val="en-GB"/>
        </w:rPr>
        <w:t xml:space="preserve">The </w:t>
      </w:r>
      <w:hyperlink r:id="rId68">
        <w:r w:rsidRPr="00DC4015">
          <w:rPr>
            <w:rStyle w:val="Hyperlink"/>
            <w:lang w:val="en-GB"/>
          </w:rPr>
          <w:t>ITU-T Focus Group on AI for Health (FG AI4H)</w:t>
        </w:r>
      </w:hyperlink>
      <w:r w:rsidRPr="00DC4015">
        <w:rPr>
          <w:lang w:val="en-GB"/>
        </w:rPr>
        <w:t xml:space="preserve">, driven in close collaboration by ITU and WHO, is working towards the establishment of a framework and associated processes for the performance benchmarking of ‘AI for Health’ algorithms. The group is currently working on </w:t>
      </w:r>
      <w:r w:rsidR="72FB7EE5" w:rsidRPr="00DC4015">
        <w:rPr>
          <w:lang w:val="en-GB"/>
        </w:rPr>
        <w:t>20</w:t>
      </w:r>
      <w:r w:rsidRPr="00DC4015">
        <w:rPr>
          <w:lang w:val="en-GB"/>
        </w:rPr>
        <w:t xml:space="preserve"> topic areas ("use cases"),</w:t>
      </w:r>
      <w:r w:rsidRPr="00DC4015">
        <w:rPr>
          <w:rFonts w:ascii="Calibri" w:hAnsi="Calibri" w:cs="Calibri"/>
          <w:color w:val="000000" w:themeColor="text1"/>
        </w:rPr>
        <w:t xml:space="preserve"> </w:t>
      </w:r>
      <w:r w:rsidRPr="00DC4015">
        <w:rPr>
          <w:lang w:val="en-GB"/>
        </w:rPr>
        <w:t>addressing health issues including breast cancer, neurodegenerative diseases, vision loss, skin lesions, cardiovascular diseases, and venomous snakebites.</w:t>
      </w:r>
      <w:r w:rsidR="09FCC17C" w:rsidRPr="00DC4015">
        <w:rPr>
          <w:lang w:val="en-GB"/>
        </w:rPr>
        <w:t xml:space="preserve"> </w:t>
      </w:r>
      <w:r w:rsidR="23CA5FC0" w:rsidRPr="00DC4015">
        <w:rPr>
          <w:lang w:val="en-GB"/>
        </w:rPr>
        <w:t xml:space="preserve">The topic areas is supported by various working groups covering a range of “horizontal” topics, such as regulatory considerations, ethics, data </w:t>
      </w:r>
      <w:r w:rsidR="4BE7BD75" w:rsidRPr="00DC4015">
        <w:rPr>
          <w:lang w:val="en-GB"/>
        </w:rPr>
        <w:t xml:space="preserve">quality, data assessment, and clinical evaluation. </w:t>
      </w:r>
      <w:r w:rsidR="09FCC17C" w:rsidRPr="00DC4015">
        <w:rPr>
          <w:lang w:val="en-GB"/>
        </w:rPr>
        <w:t xml:space="preserve">It has also established an ad hoc group </w:t>
      </w:r>
      <w:r w:rsidR="2A8A1CF3" w:rsidRPr="00DC4015">
        <w:rPr>
          <w:lang w:val="en-GB"/>
        </w:rPr>
        <w:t xml:space="preserve">that is </w:t>
      </w:r>
      <w:r w:rsidR="09FCC17C" w:rsidRPr="00DC4015">
        <w:rPr>
          <w:lang w:val="en-GB"/>
        </w:rPr>
        <w:t xml:space="preserve">collecting best practice information on the use of AI and other digital technologies for health emergency responses, using COVID-19 as an </w:t>
      </w:r>
      <w:r w:rsidR="6831096F" w:rsidRPr="00DC4015">
        <w:rPr>
          <w:lang w:val="en-GB"/>
        </w:rPr>
        <w:t>initial template.</w:t>
      </w:r>
    </w:p>
    <w:p w14:paraId="757D4D76" w14:textId="6CD4A507" w:rsidR="00136E7B" w:rsidRPr="001615CC" w:rsidRDefault="00BA3326" w:rsidP="00136E7B">
      <w:pPr>
        <w:pStyle w:val="Heading2"/>
      </w:pPr>
      <w:bookmarkStart w:id="89" w:name="_Toc51331496"/>
      <w:r>
        <w:t>6</w:t>
      </w:r>
      <w:r w:rsidR="00136E7B" w:rsidRPr="001615CC">
        <w:t>.</w:t>
      </w:r>
      <w:r w:rsidR="00136E7B">
        <w:t>5</w:t>
      </w:r>
      <w:r w:rsidR="00136E7B" w:rsidRPr="001615CC">
        <w:tab/>
        <w:t>Vehicular Multimedia</w:t>
      </w:r>
      <w:bookmarkEnd w:id="89"/>
    </w:p>
    <w:p w14:paraId="631191AA" w14:textId="4054F67D" w:rsidR="00136E7B" w:rsidRPr="007F20DF" w:rsidRDefault="5EE8545A" w:rsidP="0083EB5B">
      <w:pPr>
        <w:rPr>
          <w:lang w:val="en-GB"/>
        </w:rPr>
      </w:pPr>
      <w:r w:rsidRPr="00FA4D48">
        <w:rPr>
          <w:lang w:val="en-GB"/>
        </w:rPr>
        <w:t xml:space="preserve">The </w:t>
      </w:r>
      <w:hyperlink r:id="rId69">
        <w:r w:rsidRPr="00FA4D48">
          <w:rPr>
            <w:rStyle w:val="Hyperlink"/>
            <w:lang w:val="en-GB"/>
          </w:rPr>
          <w:t>ITU-T Focus Group on Vehicular Multimedia (FG VM</w:t>
        </w:r>
      </w:hyperlink>
      <w:r w:rsidRPr="00FA4D48">
        <w:rPr>
          <w:lang w:val="en-GB"/>
        </w:rPr>
        <w:t xml:space="preserve">) is investigating where international standards could support the global adoption of new ‘infotainment’ systems incorporating services such as Augmented Reality navigation, video streaming, and automated in-vehicle climate control. FG VM has documented innovative use cases of vehicular multimedia and their underlying technical requirements: </w:t>
      </w:r>
      <w:hyperlink r:id="rId70">
        <w:r w:rsidRPr="00FA4D48">
          <w:rPr>
            <w:rStyle w:val="Hyperlink"/>
          </w:rPr>
          <w:t>“Use cases and requirements for the vehicular multimedia”</w:t>
        </w:r>
      </w:hyperlink>
      <w:r w:rsidRPr="00FA4D48">
        <w:rPr>
          <w:lang w:val="en-GB"/>
        </w:rPr>
        <w:t>. In the second phase of its work, the group will study the architecture, interfaces and protocols of the vehicular multimedia network.</w:t>
      </w:r>
      <w:r w:rsidR="3F1046EF" w:rsidRPr="00FA4D48">
        <w:rPr>
          <w:lang w:val="en-GB"/>
        </w:rPr>
        <w:t xml:space="preserve"> </w:t>
      </w:r>
      <w:r w:rsidR="001204FF">
        <w:rPr>
          <w:lang w:val="en-GB"/>
        </w:rPr>
        <w:t xml:space="preserve">This first deliverable has been approved as an ITU standard (F.749.3) during the reporting period as part of the work of its parent ITU-T </w:t>
      </w:r>
      <w:r w:rsidR="3F1046EF" w:rsidRPr="00FA4D48">
        <w:rPr>
          <w:lang w:val="en-GB"/>
        </w:rPr>
        <w:t>S</w:t>
      </w:r>
      <w:r w:rsidR="001204FF">
        <w:rPr>
          <w:lang w:val="en-GB"/>
        </w:rPr>
        <w:t>tudy Group 1</w:t>
      </w:r>
      <w:r w:rsidR="3F1046EF" w:rsidRPr="00FA4D48">
        <w:rPr>
          <w:lang w:val="en-GB"/>
        </w:rPr>
        <w:t>6</w:t>
      </w:r>
      <w:r w:rsidR="001204FF">
        <w:rPr>
          <w:lang w:val="en-GB"/>
        </w:rPr>
        <w:t xml:space="preserve">. </w:t>
      </w:r>
    </w:p>
    <w:p w14:paraId="340E12E1" w14:textId="10B2BB7C" w:rsidR="00136E7B" w:rsidRDefault="00BA3326" w:rsidP="00136E7B">
      <w:pPr>
        <w:pStyle w:val="Heading2"/>
      </w:pPr>
      <w:bookmarkStart w:id="90" w:name="_Toc51331497"/>
      <w:r>
        <w:t>6</w:t>
      </w:r>
      <w:r w:rsidR="00136E7B" w:rsidRPr="001615CC">
        <w:t>.</w:t>
      </w:r>
      <w:r w:rsidR="00136E7B">
        <w:t>6</w:t>
      </w:r>
      <w:r w:rsidR="00136E7B" w:rsidRPr="001615CC">
        <w:tab/>
      </w:r>
      <w:r w:rsidR="00136E7B" w:rsidRPr="00CC20C0">
        <w:t xml:space="preserve">AI for </w:t>
      </w:r>
      <w:r w:rsidR="00136E7B">
        <w:t>A</w:t>
      </w:r>
      <w:r w:rsidR="00136E7B" w:rsidRPr="00CC20C0">
        <w:t xml:space="preserve">utonomous and </w:t>
      </w:r>
      <w:r w:rsidR="00136E7B">
        <w:t>A</w:t>
      </w:r>
      <w:r w:rsidR="00136E7B" w:rsidRPr="00CC20C0">
        <w:t>ssisted driving</w:t>
      </w:r>
      <w:bookmarkEnd w:id="90"/>
    </w:p>
    <w:p w14:paraId="1AF71FB3" w14:textId="5DC18FEE" w:rsidR="00136E7B" w:rsidRDefault="5EE8545A" w:rsidP="00136E7B">
      <w:r w:rsidRPr="00283DF3">
        <w:rPr>
          <w:lang w:val="en-GB" w:eastAsia="en-US"/>
        </w:rPr>
        <w:t xml:space="preserve">The </w:t>
      </w:r>
      <w:hyperlink r:id="rId71">
        <w:r w:rsidRPr="00283DF3">
          <w:rPr>
            <w:rStyle w:val="Hyperlink"/>
            <w:lang w:val="en-GB" w:eastAsia="en-US"/>
          </w:rPr>
          <w:t>ITU-T Focus Group on AI for Autonomous and Assisted Driving (FG-AI4AD)</w:t>
        </w:r>
      </w:hyperlink>
      <w:r w:rsidRPr="00283DF3">
        <w:rPr>
          <w:lang w:val="en-GB" w:eastAsia="en-US"/>
        </w:rPr>
        <w:t xml:space="preserve"> is working towards the establishment of international standards to monitor and assess the performance of the AI ‘drivers’ in control of automated vehicles. The group aims to devise a ‘Driving Test’ for AI drivers. The proposed test could become the basis for an International Driving Permit for AI. The right to hold this permit would be assessed continuously, based on the AI driver’s behavioural performance on the road. </w:t>
      </w:r>
      <w:r w:rsidR="001204FF">
        <w:t xml:space="preserve">The group’s </w:t>
      </w:r>
      <w:r w:rsidRPr="00283DF3">
        <w:t xml:space="preserve">deliverables will focus on the </w:t>
      </w:r>
      <w:r w:rsidRPr="00283DF3">
        <w:rPr>
          <w:lang w:val="en-GB" w:eastAsia="en-US"/>
        </w:rPr>
        <w:t xml:space="preserve">behavioural </w:t>
      </w:r>
      <w:r w:rsidRPr="00283DF3">
        <w:t>evaluation of AI responsible for the dynamic driving task in accordance with the 1949 and 1968 United Nations Conventions on Road Traffic.</w:t>
      </w:r>
    </w:p>
    <w:p w14:paraId="1587E754" w14:textId="308BF61A" w:rsidR="00136E7B" w:rsidRPr="001615CC" w:rsidRDefault="00BA3326" w:rsidP="00136E7B">
      <w:pPr>
        <w:pStyle w:val="Heading2"/>
        <w:ind w:left="0" w:firstLine="0"/>
      </w:pPr>
      <w:bookmarkStart w:id="91" w:name="_Toc51331498"/>
      <w:r>
        <w:t>6</w:t>
      </w:r>
      <w:r w:rsidR="00136E7B">
        <w:t>.7</w:t>
      </w:r>
      <w:r w:rsidR="00136E7B">
        <w:tab/>
      </w:r>
      <w:r w:rsidR="00136E7B" w:rsidRPr="001615CC">
        <w:t xml:space="preserve">Environmental Efficiency for </w:t>
      </w:r>
      <w:r w:rsidR="00136E7B">
        <w:t xml:space="preserve">AI </w:t>
      </w:r>
      <w:r w:rsidR="00136E7B" w:rsidRPr="001615CC">
        <w:t>and other Emerging Technologies</w:t>
      </w:r>
      <w:bookmarkEnd w:id="91"/>
    </w:p>
    <w:p w14:paraId="19C23811" w14:textId="2A3DB5DE" w:rsidR="00136E7B" w:rsidRPr="008137C7" w:rsidRDefault="00136E7B" w:rsidP="00136E7B">
      <w:pPr>
        <w:rPr>
          <w:highlight w:val="yellow"/>
          <w:lang w:val="en-GB"/>
        </w:rPr>
      </w:pPr>
      <w:r w:rsidRPr="00AE65F6">
        <w:rPr>
          <w:lang w:val="en-GB"/>
        </w:rPr>
        <w:t xml:space="preserve">The </w:t>
      </w:r>
      <w:hyperlink r:id="rId72" w:history="1">
        <w:r w:rsidRPr="00437210">
          <w:rPr>
            <w:rStyle w:val="Hyperlink"/>
            <w:lang w:val="en-GB"/>
          </w:rPr>
          <w:t>ITU-T Focus Group on Environmental Efficiency for AI and other Emerging Technologies (FG AI4EE)</w:t>
        </w:r>
      </w:hyperlink>
      <w:r w:rsidRPr="00AE65F6">
        <w:rPr>
          <w:lang w:val="en-GB"/>
        </w:rPr>
        <w:t xml:space="preserve"> is studying environmental efficiency in the age of AI, increasing automation, and smart manufacturing. </w:t>
      </w:r>
      <w:r w:rsidR="00F06CD1" w:rsidRPr="00AE65F6">
        <w:rPr>
          <w:lang w:val="en-GB"/>
        </w:rPr>
        <w:t>The F</w:t>
      </w:r>
      <w:r w:rsidR="00F06CD1" w:rsidRPr="00437210">
        <w:rPr>
          <w:lang w:val="en-GB"/>
        </w:rPr>
        <w:t xml:space="preserve">ocus Group is </w:t>
      </w:r>
      <w:r w:rsidR="001204FF">
        <w:rPr>
          <w:lang w:val="en-GB"/>
        </w:rPr>
        <w:t>studying r</w:t>
      </w:r>
      <w:r w:rsidR="00B34216" w:rsidRPr="00B34216">
        <w:rPr>
          <w:lang w:val="en-GB"/>
        </w:rPr>
        <w:t xml:space="preserve">equirements of AI and other </w:t>
      </w:r>
      <w:r w:rsidR="001204FF">
        <w:rPr>
          <w:lang w:val="en-GB"/>
        </w:rPr>
        <w:t>e</w:t>
      </w:r>
      <w:r w:rsidR="00B34216" w:rsidRPr="00B34216">
        <w:rPr>
          <w:lang w:val="en-GB"/>
        </w:rPr>
        <w:t xml:space="preserve">merging </w:t>
      </w:r>
      <w:r w:rsidR="001204FF">
        <w:rPr>
          <w:lang w:val="en-GB"/>
        </w:rPr>
        <w:t>t</w:t>
      </w:r>
      <w:r w:rsidR="00B34216" w:rsidRPr="00B34216">
        <w:rPr>
          <w:lang w:val="en-GB"/>
        </w:rPr>
        <w:t>echnologies to</w:t>
      </w:r>
      <w:r w:rsidR="001204FF">
        <w:rPr>
          <w:lang w:val="en-GB"/>
        </w:rPr>
        <w:t xml:space="preserve"> e</w:t>
      </w:r>
      <w:r w:rsidR="00B34216" w:rsidRPr="00B34216">
        <w:rPr>
          <w:lang w:val="en-GB"/>
        </w:rPr>
        <w:t xml:space="preserve">nsure </w:t>
      </w:r>
      <w:r w:rsidR="001204FF">
        <w:rPr>
          <w:lang w:val="en-GB"/>
        </w:rPr>
        <w:t>en</w:t>
      </w:r>
      <w:r w:rsidR="00B34216" w:rsidRPr="00B34216">
        <w:rPr>
          <w:lang w:val="en-GB"/>
        </w:rPr>
        <w:t xml:space="preserve">vironmental </w:t>
      </w:r>
      <w:r w:rsidR="001204FF">
        <w:rPr>
          <w:lang w:val="en-GB"/>
        </w:rPr>
        <w:t>e</w:t>
      </w:r>
      <w:r w:rsidR="00B34216" w:rsidRPr="00B34216">
        <w:rPr>
          <w:lang w:val="en-GB"/>
        </w:rPr>
        <w:t>fficiency</w:t>
      </w:r>
      <w:r w:rsidR="001204FF">
        <w:rPr>
          <w:lang w:val="en-GB"/>
        </w:rPr>
        <w:t xml:space="preserve"> and related strategies for implementation, a</w:t>
      </w:r>
      <w:r w:rsidR="00B34216" w:rsidRPr="00B34216">
        <w:rPr>
          <w:lang w:val="en-GB"/>
        </w:rPr>
        <w:t xml:space="preserve">ssessment and </w:t>
      </w:r>
      <w:r w:rsidR="001204FF">
        <w:rPr>
          <w:lang w:val="en-GB"/>
        </w:rPr>
        <w:t>m</w:t>
      </w:r>
      <w:r w:rsidR="00B34216" w:rsidRPr="00B34216">
        <w:rPr>
          <w:lang w:val="en-GB"/>
        </w:rPr>
        <w:t>easurement</w:t>
      </w:r>
      <w:r w:rsidR="00737645">
        <w:rPr>
          <w:lang w:val="en-GB"/>
        </w:rPr>
        <w:t xml:space="preserve">. </w:t>
      </w:r>
      <w:r w:rsidRPr="00AE65F6">
        <w:rPr>
          <w:lang w:val="en-GB"/>
        </w:rPr>
        <w:t>The group’s work also support</w:t>
      </w:r>
      <w:r w:rsidR="005201CE" w:rsidRPr="00AE65F6">
        <w:rPr>
          <w:lang w:val="en-GB"/>
        </w:rPr>
        <w:t>s</w:t>
      </w:r>
      <w:r w:rsidRPr="00AE65F6">
        <w:rPr>
          <w:lang w:val="en-GB"/>
        </w:rPr>
        <w:t xml:space="preserve"> ITU’s ongoing studies of the environmental requirements of 5G systems. It</w:t>
      </w:r>
      <w:r w:rsidR="001204FF">
        <w:rPr>
          <w:lang w:val="en-GB"/>
        </w:rPr>
        <w:t xml:space="preserve">s work </w:t>
      </w:r>
      <w:r w:rsidRPr="00AE65F6">
        <w:rPr>
          <w:lang w:val="en-GB"/>
        </w:rPr>
        <w:t>will conclude with the delivery of Technical Reports and specifications to benchmark best practices and describe pathways towards a standardized framework to assess environmental aspects of the adoption of emerging technologies.</w:t>
      </w:r>
    </w:p>
    <w:p w14:paraId="4AEDA0A4" w14:textId="66FB42DB" w:rsidR="00136E7B" w:rsidRPr="001615CC" w:rsidRDefault="00BA3326" w:rsidP="00136E7B">
      <w:pPr>
        <w:pStyle w:val="Heading1"/>
      </w:pPr>
      <w:bookmarkStart w:id="92" w:name="_Toc416161369"/>
      <w:bookmarkStart w:id="93" w:name="_Toc438553990"/>
      <w:bookmarkStart w:id="94" w:name="_Toc453929114"/>
      <w:bookmarkStart w:id="95" w:name="_Toc453932985"/>
      <w:bookmarkStart w:id="96" w:name="_Toc454295891"/>
      <w:bookmarkStart w:id="97" w:name="_Toc462664250"/>
      <w:bookmarkStart w:id="98" w:name="_Toc480527836"/>
      <w:bookmarkStart w:id="99" w:name="_Toc51331499"/>
      <w:bookmarkEnd w:id="85"/>
      <w:r>
        <w:lastRenderedPageBreak/>
        <w:t>7</w:t>
      </w:r>
      <w:r w:rsidR="00136E7B" w:rsidRPr="001615CC">
        <w:tab/>
        <w:t xml:space="preserve">Collaboration </w:t>
      </w:r>
      <w:bookmarkEnd w:id="92"/>
      <w:bookmarkEnd w:id="93"/>
      <w:bookmarkEnd w:id="94"/>
      <w:bookmarkEnd w:id="95"/>
      <w:bookmarkEnd w:id="96"/>
      <w:r w:rsidR="00136E7B" w:rsidRPr="001615CC">
        <w:t>in standardization</w:t>
      </w:r>
      <w:bookmarkEnd w:id="97"/>
      <w:bookmarkEnd w:id="98"/>
      <w:bookmarkEnd w:id="99"/>
    </w:p>
    <w:p w14:paraId="17F89675" w14:textId="28DE92CB" w:rsidR="00136E7B" w:rsidRPr="001615CC" w:rsidRDefault="00BA3326" w:rsidP="00136E7B">
      <w:pPr>
        <w:pStyle w:val="Heading2"/>
      </w:pPr>
      <w:bookmarkStart w:id="100" w:name="_Toc480527837"/>
      <w:bookmarkStart w:id="101" w:name="_Toc51331500"/>
      <w:bookmarkStart w:id="102" w:name="_Toc462664251"/>
      <w:r>
        <w:t>7</w:t>
      </w:r>
      <w:r w:rsidR="00136E7B">
        <w:t>.</w:t>
      </w:r>
      <w:r w:rsidR="008137C7">
        <w:t>1</w:t>
      </w:r>
      <w:r w:rsidR="00136E7B">
        <w:tab/>
      </w:r>
      <w:r w:rsidR="00136E7B" w:rsidRPr="001615CC">
        <w:t>Coordination and cooperation among ITU Sectors</w:t>
      </w:r>
      <w:bookmarkEnd w:id="100"/>
      <w:bookmarkEnd w:id="101"/>
    </w:p>
    <w:p w14:paraId="36B0C9A4" w14:textId="77777777" w:rsidR="00136E7B" w:rsidRPr="00D95934" w:rsidRDefault="00136E7B" w:rsidP="00136E7B">
      <w:pPr>
        <w:rPr>
          <w:lang w:val="en-GB"/>
        </w:rPr>
      </w:pPr>
      <w:r w:rsidRPr="00D95934">
        <w:rPr>
          <w:lang w:val="en-GB"/>
        </w:rPr>
        <w:t>Collaboration with ITU-R and with ITU-D is a standing agenda point of TSAG, where TSAG examines existing methods and approaches to collaboration or cooperation with other sectors, with the view to encouraging ITU-T to work more collaboratively or cooperatively in a reciprocal manner, and review is performed on a regular basis based on information received.</w:t>
      </w:r>
    </w:p>
    <w:p w14:paraId="373468D4" w14:textId="77777777" w:rsidR="00136E7B" w:rsidRPr="00D95934" w:rsidRDefault="00136E7B" w:rsidP="00136E7B">
      <w:pPr>
        <w:rPr>
          <w:lang w:val="en-GB"/>
        </w:rPr>
      </w:pPr>
      <w:r w:rsidRPr="00D95934">
        <w:rPr>
          <w:lang w:val="en-GB"/>
        </w:rPr>
        <w:t>TSAG maintains a close relationship with RAG and TDAG in order to develop synergies with the objective of strengthening coordination and cooperation among the three ITU Sectors on matters of mutual interest.</w:t>
      </w:r>
      <w:bookmarkStart w:id="103" w:name="Item18_01"/>
      <w:bookmarkEnd w:id="103"/>
    </w:p>
    <w:p w14:paraId="70A65518" w14:textId="77777777" w:rsidR="00136E7B" w:rsidRPr="00D95934" w:rsidRDefault="00136E7B" w:rsidP="00136E7B">
      <w:pPr>
        <w:rPr>
          <w:lang w:val="en-GB"/>
        </w:rPr>
      </w:pPr>
      <w:r w:rsidRPr="00D95934">
        <w:rPr>
          <w:lang w:val="en-GB"/>
        </w:rPr>
        <w:t>Three Inter-Sector Rapporteur groups (IRGs) work on items of interest to various ITU-T and ITU-R SGs.</w:t>
      </w:r>
    </w:p>
    <w:p w14:paraId="381B6FE2" w14:textId="77777777" w:rsidR="00136E7B" w:rsidRPr="00D95934" w:rsidRDefault="00E12FA7" w:rsidP="0063096B">
      <w:pPr>
        <w:numPr>
          <w:ilvl w:val="0"/>
          <w:numId w:val="29"/>
        </w:numPr>
        <w:rPr>
          <w:lang w:val="en-GB"/>
        </w:rPr>
      </w:pPr>
      <w:hyperlink r:id="rId73" w:history="1">
        <w:r w:rsidR="5EE8545A" w:rsidRPr="0083EB5B">
          <w:rPr>
            <w:rStyle w:val="Hyperlink"/>
            <w:lang w:val="en-GB"/>
          </w:rPr>
          <w:t>IRG-AVA</w:t>
        </w:r>
      </w:hyperlink>
      <w:r w:rsidR="5EE8545A" w:rsidRPr="0083EB5B">
        <w:rPr>
          <w:lang w:val="en-GB"/>
        </w:rPr>
        <w:t>: Intersector Rapporteur Group on Audiovisual Media Accessibility, among ITU-T SG9, ITU-T SG16 and ITU-R SG6.</w:t>
      </w:r>
    </w:p>
    <w:p w14:paraId="0F9FF5D0" w14:textId="398E4B4F" w:rsidR="00136E7B" w:rsidRPr="00D95934" w:rsidRDefault="00E12FA7" w:rsidP="0063096B">
      <w:pPr>
        <w:numPr>
          <w:ilvl w:val="0"/>
          <w:numId w:val="29"/>
        </w:numPr>
        <w:rPr>
          <w:lang w:val="en-GB"/>
        </w:rPr>
      </w:pPr>
      <w:hyperlink r:id="rId74" w:history="1">
        <w:r w:rsidR="5EE8545A" w:rsidRPr="00287F3C">
          <w:rPr>
            <w:rStyle w:val="Hyperlink"/>
            <w:lang w:val="en-GB"/>
          </w:rPr>
          <w:t>I</w:t>
        </w:r>
        <w:r w:rsidR="7E0C3728" w:rsidRPr="00287F3C">
          <w:rPr>
            <w:rStyle w:val="Hyperlink"/>
            <w:lang w:val="en-GB"/>
          </w:rPr>
          <w:t>RG-AVQ</w:t>
        </w:r>
        <w:r w:rsidR="7E0C3728" w:rsidRPr="0083EB5B">
          <w:rPr>
            <w:rStyle w:val="Hyperlink"/>
            <w:lang w:val="en-GB"/>
          </w:rPr>
          <w:t>A</w:t>
        </w:r>
      </w:hyperlink>
      <w:r w:rsidR="5EE8545A" w:rsidRPr="0083EB5B">
        <w:rPr>
          <w:lang w:val="en-GB"/>
        </w:rPr>
        <w:t xml:space="preserve">: Intersector Rapporteur Group on Audiovisual Quality Assessment, among ITU-T SG12 and ITU-R SG6. </w:t>
      </w:r>
      <w:r w:rsidR="18F0BBEA" w:rsidRPr="0083EB5B">
        <w:rPr>
          <w:lang w:val="en-GB"/>
        </w:rPr>
        <w:t xml:space="preserve">A virtual </w:t>
      </w:r>
      <w:r w:rsidR="5EE8545A" w:rsidRPr="0083EB5B">
        <w:rPr>
          <w:lang w:val="en-GB"/>
        </w:rPr>
        <w:t xml:space="preserve">meeting </w:t>
      </w:r>
      <w:r w:rsidR="5BADCDAC" w:rsidRPr="0083EB5B">
        <w:rPr>
          <w:lang w:val="en-GB"/>
        </w:rPr>
        <w:t xml:space="preserve">was held in </w:t>
      </w:r>
      <w:r w:rsidR="5EE8545A" w:rsidRPr="0083EB5B">
        <w:rPr>
          <w:lang w:val="en-GB"/>
        </w:rPr>
        <w:t>March 2020, in conjunction with the Video Quality Expert Group (VQEG).</w:t>
      </w:r>
      <w:r w:rsidR="770E71FE" w:rsidRPr="0083EB5B">
        <w:rPr>
          <w:lang w:val="en-GB"/>
        </w:rPr>
        <w:t xml:space="preserve"> The same setup is planned for later this year.</w:t>
      </w:r>
    </w:p>
    <w:p w14:paraId="06A5F5B2" w14:textId="77777777" w:rsidR="00136E7B" w:rsidRPr="00D95934" w:rsidRDefault="00E12FA7" w:rsidP="0063096B">
      <w:pPr>
        <w:numPr>
          <w:ilvl w:val="0"/>
          <w:numId w:val="29"/>
        </w:numPr>
        <w:rPr>
          <w:lang w:val="en-GB"/>
        </w:rPr>
      </w:pPr>
      <w:hyperlink r:id="rId75" w:history="1">
        <w:r w:rsidR="5EE8545A" w:rsidRPr="0083EB5B">
          <w:rPr>
            <w:rStyle w:val="Hyperlink"/>
            <w:lang w:val="en-GB"/>
          </w:rPr>
          <w:t>IRG-IBB</w:t>
        </w:r>
      </w:hyperlink>
      <w:r w:rsidR="5EE8545A" w:rsidRPr="0083EB5B">
        <w:rPr>
          <w:lang w:val="en-GB"/>
        </w:rPr>
        <w:t>: Intersector Rapporteur Group on Integrated Broadcast-Broadband, among ITU-T SG9, ITU-T SG16 and ITU-R WP 6B.</w:t>
      </w:r>
    </w:p>
    <w:p w14:paraId="27CF6BEE" w14:textId="77777777" w:rsidR="00136E7B" w:rsidRPr="00D95934" w:rsidRDefault="00136E7B" w:rsidP="00136E7B">
      <w:pPr>
        <w:rPr>
          <w:lang w:val="en-GB"/>
        </w:rPr>
      </w:pPr>
      <w:r w:rsidRPr="00D95934">
        <w:rPr>
          <w:lang w:val="en-GB"/>
        </w:rPr>
        <w:t>The Inter-Sector Coordination Team (ISCT) is composed of representatives of all three advisory groups, working to identify subjects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w:t>
      </w:r>
      <w:bookmarkStart w:id="104" w:name="Item57_02"/>
      <w:bookmarkEnd w:id="104"/>
    </w:p>
    <w:p w14:paraId="61B13E39" w14:textId="3AC6D4A2" w:rsidR="00136E7B" w:rsidRPr="00F57FAD" w:rsidRDefault="00BA3326" w:rsidP="00136E7B">
      <w:pPr>
        <w:pStyle w:val="Heading2"/>
      </w:pPr>
      <w:bookmarkStart w:id="105" w:name="_Toc51331501"/>
      <w:r>
        <w:t>7</w:t>
      </w:r>
      <w:r w:rsidR="00136E7B" w:rsidRPr="00F57FAD">
        <w:t>.</w:t>
      </w:r>
      <w:r w:rsidR="008137C7">
        <w:t>2</w:t>
      </w:r>
      <w:r w:rsidR="00136E7B" w:rsidRPr="00F57FAD">
        <w:tab/>
        <w:t>Coordination and cooperation with the Regions and the Regional Offices</w:t>
      </w:r>
      <w:bookmarkEnd w:id="105"/>
    </w:p>
    <w:p w14:paraId="2BBE864A" w14:textId="6AA94202" w:rsidR="00136E7B" w:rsidRDefault="00577B3C" w:rsidP="00136E7B">
      <w:pPr>
        <w:rPr>
          <w:lang w:val="en-GB"/>
        </w:rPr>
      </w:pPr>
      <w:r w:rsidRPr="7C7BE26A">
        <w:rPr>
          <w:lang w:val="en-GB"/>
        </w:rPr>
        <w:t>TSB organizes conference calls and face-to-face meetings</w:t>
      </w:r>
      <w:r>
        <w:rPr>
          <w:lang w:val="en-GB"/>
        </w:rPr>
        <w:t xml:space="preserve"> with </w:t>
      </w:r>
      <w:r w:rsidRPr="7C7BE26A">
        <w:rPr>
          <w:lang w:val="en-GB"/>
        </w:rPr>
        <w:t xml:space="preserve">ITU’s Regional Offices on a regular basis </w:t>
      </w:r>
      <w:r>
        <w:rPr>
          <w:lang w:val="en-GB"/>
        </w:rPr>
        <w:t>a</w:t>
      </w:r>
      <w:r w:rsidR="2393BB70" w:rsidRPr="7C7BE26A">
        <w:rPr>
          <w:lang w:val="en-GB"/>
        </w:rPr>
        <w:t>t the initiative of the TSB Director</w:t>
      </w:r>
      <w:r>
        <w:rPr>
          <w:lang w:val="en-GB"/>
        </w:rPr>
        <w:t>,</w:t>
      </w:r>
      <w:r w:rsidR="2393BB70" w:rsidRPr="7C7BE26A">
        <w:rPr>
          <w:lang w:val="en-GB"/>
        </w:rPr>
        <w:t xml:space="preserve"> </w:t>
      </w:r>
      <w:r w:rsidR="55E4F632" w:rsidRPr="7C7BE26A">
        <w:rPr>
          <w:lang w:val="en-GB"/>
        </w:rPr>
        <w:t>w</w:t>
      </w:r>
      <w:r w:rsidR="00136E7B" w:rsidRPr="7C7BE26A">
        <w:rPr>
          <w:lang w:val="en-GB"/>
        </w:rPr>
        <w:t xml:space="preserve">ith the </w:t>
      </w:r>
      <w:r w:rsidR="51A05A22" w:rsidRPr="7C7BE26A">
        <w:rPr>
          <w:lang w:val="en-GB"/>
        </w:rPr>
        <w:t xml:space="preserve">objective </w:t>
      </w:r>
      <w:r w:rsidR="00136E7B" w:rsidRPr="7C7BE26A">
        <w:rPr>
          <w:lang w:val="en-GB"/>
        </w:rPr>
        <w:t xml:space="preserve">of improving coordination and increasing the efficiency of the overall operations, events and activities of </w:t>
      </w:r>
      <w:r>
        <w:rPr>
          <w:lang w:val="en-GB"/>
        </w:rPr>
        <w:t xml:space="preserve">ITU-T </w:t>
      </w:r>
      <w:r w:rsidR="00136E7B" w:rsidRPr="7C7BE26A">
        <w:rPr>
          <w:lang w:val="en-GB"/>
        </w:rPr>
        <w:t>and</w:t>
      </w:r>
      <w:r>
        <w:rPr>
          <w:lang w:val="en-GB"/>
        </w:rPr>
        <w:t xml:space="preserve"> TSB</w:t>
      </w:r>
      <w:r w:rsidR="00136E7B" w:rsidRPr="7C7BE26A">
        <w:rPr>
          <w:lang w:val="en-GB"/>
        </w:rPr>
        <w:t>.</w:t>
      </w:r>
      <w:r w:rsidR="1B4A13E8" w:rsidRPr="7C7BE26A">
        <w:rPr>
          <w:lang w:val="en-GB"/>
        </w:rPr>
        <w:t xml:space="preserve"> </w:t>
      </w:r>
      <w:r>
        <w:rPr>
          <w:lang w:val="en-GB"/>
        </w:rPr>
        <w:t>This activity has grown in importance as part of the</w:t>
      </w:r>
      <w:r w:rsidR="1B4A13E8" w:rsidRPr="7C7BE26A">
        <w:rPr>
          <w:lang w:val="en-GB"/>
        </w:rPr>
        <w:t xml:space="preserve"> approach WTSA-20</w:t>
      </w:r>
      <w:r>
        <w:rPr>
          <w:lang w:val="en-GB"/>
        </w:rPr>
        <w:t xml:space="preserve">, with regional preparations for WTSA led </w:t>
      </w:r>
      <w:r w:rsidR="748E1DB1" w:rsidRPr="7C7BE26A">
        <w:rPr>
          <w:lang w:val="en-GB"/>
        </w:rPr>
        <w:t>the Regional Organizations</w:t>
      </w:r>
      <w:r w:rsidR="1B4A13E8" w:rsidRPr="7C7BE26A">
        <w:rPr>
          <w:lang w:val="en-GB"/>
        </w:rPr>
        <w:t xml:space="preserve"> </w:t>
      </w:r>
      <w:r w:rsidR="6515DC66" w:rsidRPr="7C7BE26A">
        <w:rPr>
          <w:lang w:val="en-GB"/>
        </w:rPr>
        <w:t xml:space="preserve">(APT, ATU, CEPT, </w:t>
      </w:r>
      <w:r w:rsidR="4F6A5413" w:rsidRPr="7C7BE26A">
        <w:rPr>
          <w:lang w:val="en-GB"/>
        </w:rPr>
        <w:t xml:space="preserve">CITEL, </w:t>
      </w:r>
      <w:r w:rsidR="6515DC66" w:rsidRPr="7C7BE26A">
        <w:rPr>
          <w:lang w:val="en-GB"/>
        </w:rPr>
        <w:t xml:space="preserve">League of Arab States, </w:t>
      </w:r>
      <w:r>
        <w:rPr>
          <w:lang w:val="en-GB"/>
        </w:rPr>
        <w:t xml:space="preserve">and </w:t>
      </w:r>
      <w:r w:rsidR="6515DC66" w:rsidRPr="7C7BE26A">
        <w:rPr>
          <w:lang w:val="en-GB"/>
        </w:rPr>
        <w:t>RCC</w:t>
      </w:r>
      <w:r w:rsidR="46C5797F" w:rsidRPr="7C7BE26A">
        <w:rPr>
          <w:lang w:val="en-GB"/>
        </w:rPr>
        <w:t>).</w:t>
      </w:r>
      <w:r>
        <w:rPr>
          <w:lang w:val="en-GB"/>
        </w:rPr>
        <w:t xml:space="preserve"> </w:t>
      </w:r>
      <w:r w:rsidR="00136E7B" w:rsidRPr="008D5D0E">
        <w:rPr>
          <w:lang w:val="en-GB"/>
        </w:rPr>
        <w:t xml:space="preserve">This activity has led to significant improvements in the overall coordination of </w:t>
      </w:r>
      <w:r>
        <w:rPr>
          <w:lang w:val="en-GB"/>
        </w:rPr>
        <w:t xml:space="preserve">ITU-T/TSB </w:t>
      </w:r>
      <w:r w:rsidR="00136E7B" w:rsidRPr="008D5D0E">
        <w:rPr>
          <w:lang w:val="en-GB"/>
        </w:rPr>
        <w:t>operations, events and activities taking place in the Regions</w:t>
      </w:r>
      <w:r>
        <w:rPr>
          <w:lang w:val="en-GB"/>
        </w:rPr>
        <w:t xml:space="preserve"> and </w:t>
      </w:r>
      <w:r w:rsidR="00136E7B" w:rsidRPr="008D5D0E">
        <w:rPr>
          <w:lang w:val="en-GB"/>
        </w:rPr>
        <w:t>has contributed to greater awareness of ITU-T standardization activities in each Region.</w:t>
      </w:r>
      <w:r>
        <w:rPr>
          <w:lang w:val="en-GB"/>
        </w:rPr>
        <w:t xml:space="preserve"> </w:t>
      </w:r>
      <w:r w:rsidR="00136E7B" w:rsidRPr="008D5D0E">
        <w:rPr>
          <w:lang w:val="en-GB"/>
        </w:rPr>
        <w:t xml:space="preserve">TSB will continue to </w:t>
      </w:r>
      <w:r>
        <w:rPr>
          <w:lang w:val="en-GB"/>
        </w:rPr>
        <w:t xml:space="preserve">enhance </w:t>
      </w:r>
      <w:r w:rsidR="3F09BF41" w:rsidRPr="7C7BE26A">
        <w:rPr>
          <w:lang w:val="en-GB"/>
        </w:rPr>
        <w:t>the collaboration and the</w:t>
      </w:r>
      <w:r w:rsidR="00136E7B" w:rsidRPr="7C7BE26A">
        <w:rPr>
          <w:lang w:val="en-GB"/>
        </w:rPr>
        <w:t xml:space="preserve"> </w:t>
      </w:r>
      <w:r w:rsidR="00136E7B" w:rsidRPr="008D5D0E">
        <w:rPr>
          <w:lang w:val="en-GB"/>
        </w:rPr>
        <w:t>cooperation with the ITU Regional Offices, as well as with relevant regional and other international organizations dealing with standards</w:t>
      </w:r>
      <w:r w:rsidR="3309C53C" w:rsidRPr="7C7BE26A">
        <w:rPr>
          <w:lang w:val="en-GB"/>
        </w:rPr>
        <w:t xml:space="preserve"> and ICTs</w:t>
      </w:r>
      <w:r w:rsidR="00136E7B" w:rsidRPr="008D5D0E">
        <w:rPr>
          <w:lang w:val="en-GB"/>
        </w:rPr>
        <w:t>.</w:t>
      </w:r>
    </w:p>
    <w:p w14:paraId="47327EF4" w14:textId="15FBF7E0" w:rsidR="00136E7B" w:rsidRPr="00F57FAD" w:rsidRDefault="00BA3326" w:rsidP="00136E7B">
      <w:pPr>
        <w:pStyle w:val="Heading2"/>
      </w:pPr>
      <w:bookmarkStart w:id="106" w:name="_Toc51331502"/>
      <w:r>
        <w:t>7</w:t>
      </w:r>
      <w:r w:rsidR="00136E7B" w:rsidRPr="00F57FAD">
        <w:t>.</w:t>
      </w:r>
      <w:r w:rsidR="008137C7">
        <w:t>3</w:t>
      </w:r>
      <w:r w:rsidR="00136E7B" w:rsidRPr="00F57FAD">
        <w:tab/>
        <w:t>General assistance and cooperation</w:t>
      </w:r>
      <w:bookmarkEnd w:id="106"/>
    </w:p>
    <w:p w14:paraId="773D27B6" w14:textId="77777777" w:rsidR="00136E7B" w:rsidRPr="005170F0" w:rsidRDefault="00136E7B" w:rsidP="00136E7B">
      <w:pPr>
        <w:rPr>
          <w:lang w:val="en-GB"/>
        </w:rPr>
      </w:pPr>
      <w:bookmarkStart w:id="107" w:name="_6.5_Focus_Group"/>
      <w:bookmarkStart w:id="108" w:name="_7.5_Focus_Group"/>
      <w:bookmarkStart w:id="109" w:name="_7.2_TSB_Director’s"/>
      <w:bookmarkStart w:id="110" w:name="_13_Chief_Technology"/>
      <w:bookmarkStart w:id="111" w:name="_8.1_ITU-UNECE_event"/>
      <w:bookmarkStart w:id="112" w:name="_8.3_3rd_ITU"/>
      <w:bookmarkStart w:id="113" w:name="_8.5_Standards_collaboration,"/>
      <w:bookmarkStart w:id="114" w:name="_8.6_Montevideo_forum"/>
      <w:bookmarkStart w:id="115" w:name="_8.8_Accessible_Inclusion"/>
      <w:bookmarkStart w:id="116" w:name="_10_Chief_Technology"/>
      <w:bookmarkEnd w:id="102"/>
      <w:bookmarkEnd w:id="107"/>
      <w:bookmarkEnd w:id="108"/>
      <w:bookmarkEnd w:id="109"/>
      <w:bookmarkEnd w:id="110"/>
      <w:bookmarkEnd w:id="111"/>
      <w:bookmarkEnd w:id="112"/>
      <w:bookmarkEnd w:id="113"/>
      <w:bookmarkEnd w:id="114"/>
      <w:bookmarkEnd w:id="115"/>
      <w:bookmarkEnd w:id="116"/>
      <w:r w:rsidRPr="005170F0">
        <w:rPr>
          <w:lang w:val="en-GB"/>
        </w:rPr>
        <w:t xml:space="preserve">ITU continues to provide leadership in </w:t>
      </w:r>
      <w:r w:rsidRPr="005170F0">
        <w:rPr>
          <w:bCs/>
          <w:lang w:val="en-GB"/>
        </w:rPr>
        <w:t>building cooperation</w:t>
      </w:r>
      <w:r w:rsidRPr="005170F0">
        <w:rPr>
          <w:lang w:val="en-GB"/>
        </w:rPr>
        <w:t xml:space="preserve"> among the many interests served by ICT standardization.</w:t>
      </w:r>
    </w:p>
    <w:p w14:paraId="00295F7E" w14:textId="0C4E4591" w:rsidR="00136E7B" w:rsidRPr="009A2D34" w:rsidRDefault="00136E7B" w:rsidP="00136E7B">
      <w:pPr>
        <w:rPr>
          <w:lang w:val="en-GB"/>
        </w:rPr>
      </w:pPr>
      <w:r w:rsidRPr="005170F0">
        <w:rPr>
          <w:lang w:val="en-GB"/>
        </w:rPr>
        <w:t xml:space="preserve">The </w:t>
      </w:r>
      <w:r w:rsidRPr="005170F0">
        <w:rPr>
          <w:b/>
          <w:lang w:val="en-GB"/>
        </w:rPr>
        <w:t xml:space="preserve">World </w:t>
      </w:r>
      <w:r w:rsidRPr="005170F0">
        <w:rPr>
          <w:b/>
          <w:bCs/>
          <w:lang w:val="en-GB"/>
        </w:rPr>
        <w:t>Standards Cooperation</w:t>
      </w:r>
      <w:r w:rsidRPr="005170F0">
        <w:rPr>
          <w:lang w:val="en-GB"/>
        </w:rPr>
        <w:t xml:space="preserve"> is a partnership of ITU, ISO and IEC to promote international standards. The World Standards Cooperation leads the celebration of World Standards Day, 14 October. The theme of World Standards Day 20</w:t>
      </w:r>
      <w:r w:rsidR="009A2D34">
        <w:rPr>
          <w:lang w:val="en-GB"/>
        </w:rPr>
        <w:t>20</w:t>
      </w:r>
      <w:r w:rsidRPr="005170F0">
        <w:rPr>
          <w:lang w:val="en-GB"/>
        </w:rPr>
        <w:t xml:space="preserve"> w</w:t>
      </w:r>
      <w:r w:rsidR="005170F0" w:rsidRPr="005170F0">
        <w:rPr>
          <w:lang w:val="en-GB"/>
        </w:rPr>
        <w:t xml:space="preserve">ill </w:t>
      </w:r>
      <w:r w:rsidR="005170F0" w:rsidRPr="009A2D34">
        <w:rPr>
          <w:lang w:val="en-GB"/>
        </w:rPr>
        <w:t>be</w:t>
      </w:r>
      <w:r w:rsidRPr="009A2D34">
        <w:rPr>
          <w:lang w:val="en-GB"/>
        </w:rPr>
        <w:t xml:space="preserve"> “</w:t>
      </w:r>
      <w:r w:rsidR="009A2D34" w:rsidRPr="009A2D34">
        <w:rPr>
          <w:lang w:val="en-GB"/>
        </w:rPr>
        <w:t>Protecting the planet with standards</w:t>
      </w:r>
      <w:r w:rsidRPr="009A2D34">
        <w:rPr>
          <w:lang w:val="en-GB"/>
        </w:rPr>
        <w:t>”.</w:t>
      </w:r>
    </w:p>
    <w:p w14:paraId="4E410751" w14:textId="77777777" w:rsidR="00136E7B" w:rsidRPr="00DB5569" w:rsidRDefault="00136E7B" w:rsidP="00136E7B">
      <w:pPr>
        <w:rPr>
          <w:lang w:val="en-GB"/>
        </w:rPr>
      </w:pPr>
      <w:r w:rsidRPr="00DB5569">
        <w:rPr>
          <w:b/>
          <w:lang w:val="en-GB"/>
        </w:rPr>
        <w:t>IEC, ISO and ITU</w:t>
      </w:r>
      <w:r w:rsidRPr="00DB5569">
        <w:rPr>
          <w:lang w:val="en-GB"/>
        </w:rPr>
        <w:t xml:space="preserve"> cooperate in standardization to the degree that 10 per cent of all ITU standards are common or aligned texts with the ISO/IEC Joint Technical Committee 1 on Information Technology (ISO/IEC JTC1).</w:t>
      </w:r>
    </w:p>
    <w:p w14:paraId="2FC27E27" w14:textId="77777777" w:rsidR="00136E7B" w:rsidRPr="00DB5569" w:rsidRDefault="00136E7B" w:rsidP="00136E7B">
      <w:pPr>
        <w:rPr>
          <w:lang w:val="en-GB"/>
        </w:rPr>
      </w:pPr>
      <w:r w:rsidRPr="00DB5569">
        <w:rPr>
          <w:lang w:val="en-GB"/>
        </w:rPr>
        <w:lastRenderedPageBreak/>
        <w:t xml:space="preserve">The </w:t>
      </w:r>
      <w:r w:rsidRPr="00DB5569">
        <w:rPr>
          <w:b/>
          <w:lang w:val="en-GB"/>
        </w:rPr>
        <w:t>Global Standards Collaboration</w:t>
      </w:r>
      <w:r w:rsidRPr="00DB5569">
        <w:rPr>
          <w:lang w:val="en-GB"/>
        </w:rPr>
        <w:t xml:space="preserve"> </w:t>
      </w:r>
      <w:r w:rsidRPr="00DB5569">
        <w:rPr>
          <w:b/>
          <w:bCs/>
          <w:lang w:val="en-GB"/>
        </w:rPr>
        <w:t>(GSC)</w:t>
      </w:r>
      <w:r w:rsidRPr="00DB5569">
        <w:rPr>
          <w:lang w:val="en-GB"/>
        </w:rPr>
        <w:t xml:space="preserve"> assists regional and international SDOs in coordinating their contributions to fields of mutual interest. ITU hosts the </w:t>
      </w:r>
      <w:hyperlink r:id="rId76" w:history="1">
        <w:r w:rsidRPr="00DB5569">
          <w:rPr>
            <w:rStyle w:val="Hyperlink"/>
            <w:rFonts w:eastAsiaTheme="majorEastAsia"/>
            <w:lang w:val="en-GB"/>
          </w:rPr>
          <w:t>repository</w:t>
        </w:r>
      </w:hyperlink>
      <w:r w:rsidRPr="00DB5569">
        <w:rPr>
          <w:lang w:val="en-GB"/>
        </w:rPr>
        <w:t xml:space="preserve"> of GSC documents from past meetings. See </w:t>
      </w:r>
      <w:hyperlink r:id="rId77" w:history="1">
        <w:r w:rsidRPr="00DB5569">
          <w:rPr>
            <w:rStyle w:val="Hyperlink"/>
            <w:rFonts w:eastAsiaTheme="majorEastAsia"/>
            <w:lang w:val="en-GB"/>
          </w:rPr>
          <w:t>GSC website</w:t>
        </w:r>
      </w:hyperlink>
      <w:r w:rsidRPr="00DB5569">
        <w:rPr>
          <w:lang w:val="en-GB"/>
        </w:rPr>
        <w:t>.</w:t>
      </w:r>
    </w:p>
    <w:p w14:paraId="536E6A38" w14:textId="77777777" w:rsidR="00136E7B" w:rsidRPr="00DB5569" w:rsidRDefault="00136E7B" w:rsidP="00136E7B">
      <w:pPr>
        <w:rPr>
          <w:lang w:val="en-GB"/>
        </w:rPr>
      </w:pPr>
      <w:r w:rsidRPr="00DB5569">
        <w:rPr>
          <w:lang w:val="en-GB"/>
        </w:rPr>
        <w:t xml:space="preserve">The </w:t>
      </w:r>
      <w:r w:rsidRPr="00DB5569">
        <w:rPr>
          <w:b/>
          <w:bCs/>
          <w:lang w:val="en-GB"/>
        </w:rPr>
        <w:t xml:space="preserve">European Commission Multi-Stakeholder Platform on ICT Standardization </w:t>
      </w:r>
      <w:r w:rsidRPr="00DB5569">
        <w:rPr>
          <w:bCs/>
          <w:lang w:val="en-GB"/>
        </w:rPr>
        <w:t xml:space="preserve">supports the coordination of the </w:t>
      </w:r>
      <w:r w:rsidRPr="00DB5569">
        <w:rPr>
          <w:lang w:val="en-GB"/>
        </w:rPr>
        <w:t xml:space="preserve">activities of the European Commission, European Standardization Organizations and ITU. ITU also contributes to the </w:t>
      </w:r>
      <w:hyperlink r:id="rId78" w:history="1">
        <w:r w:rsidRPr="00DB5569">
          <w:rPr>
            <w:rStyle w:val="Hyperlink"/>
            <w:lang w:val="en-GB"/>
          </w:rPr>
          <w:t>EC Rolling Plan on ICT Standardization</w:t>
        </w:r>
      </w:hyperlink>
      <w:r w:rsidRPr="00DB5569">
        <w:rPr>
          <w:lang w:val="en-GB"/>
        </w:rPr>
        <w:t>.</w:t>
      </w:r>
    </w:p>
    <w:p w14:paraId="4DEDCE32" w14:textId="77777777" w:rsidR="00136E7B" w:rsidRPr="00DB5569" w:rsidRDefault="00136E7B" w:rsidP="00136E7B">
      <w:pPr>
        <w:rPr>
          <w:lang w:val="en-GB"/>
        </w:rPr>
      </w:pPr>
      <w:r w:rsidRPr="00DB5569">
        <w:rPr>
          <w:b/>
          <w:bCs/>
          <w:lang w:val="en-GB"/>
        </w:rPr>
        <w:t>ITU is a strong advocate of "Universal Design"</w:t>
      </w:r>
      <w:r w:rsidRPr="00DB5569">
        <w:rPr>
          <w:lang w:val="en-GB"/>
        </w:rPr>
        <w:t xml:space="preserve"> and has standardization guidelines to produce solutions that are inherently accessible to persons with and without disabilities.</w:t>
      </w:r>
    </w:p>
    <w:p w14:paraId="370C2490" w14:textId="77777777" w:rsidR="00136E7B" w:rsidRPr="00DB5569" w:rsidRDefault="00136E7B" w:rsidP="00136E7B">
      <w:pPr>
        <w:rPr>
          <w:bCs/>
          <w:lang w:val="en-GB"/>
        </w:rPr>
      </w:pPr>
      <w:r w:rsidRPr="00DB5569">
        <w:rPr>
          <w:b/>
          <w:bCs/>
          <w:lang w:val="en-GB"/>
        </w:rPr>
        <w:t>ITU's Bridging the Standardization Gap (BSG) programme</w:t>
      </w:r>
      <w:r w:rsidRPr="00DB5569">
        <w:rPr>
          <w:lang w:val="en-GB"/>
        </w:rPr>
        <w:t xml:space="preserve"> improves the capacity</w:t>
      </w:r>
      <w:r w:rsidRPr="00DB5569">
        <w:rPr>
          <w:bCs/>
          <w:lang w:val="en-GB"/>
        </w:rPr>
        <w:t xml:space="preserve"> of developing countries to participate in the development and implementation of international ICT standards.</w:t>
      </w:r>
    </w:p>
    <w:p w14:paraId="67E37E54" w14:textId="77777777" w:rsidR="00136E7B" w:rsidRPr="00DB5569" w:rsidRDefault="00136E7B" w:rsidP="00136E7B">
      <w:pPr>
        <w:rPr>
          <w:bCs/>
          <w:lang w:val="en-GB"/>
        </w:rPr>
      </w:pPr>
      <w:r w:rsidRPr="00DB5569">
        <w:rPr>
          <w:b/>
          <w:lang w:val="en-GB"/>
        </w:rPr>
        <w:t>ITU's conformity and interoperability (C&amp;I) programme</w:t>
      </w:r>
      <w:r w:rsidRPr="00DB5569">
        <w:rPr>
          <w:bCs/>
          <w:lang w:val="en-GB"/>
        </w:rPr>
        <w:t xml:space="preserve"> is of particular value to developing countries in their efforts to enhance conformity and interoperability of ICT products implementing ITU Recommendations or part thereof.</w:t>
      </w:r>
    </w:p>
    <w:p w14:paraId="1D724A70" w14:textId="4381097F" w:rsidR="00136E7B" w:rsidRPr="008137C7" w:rsidRDefault="00136E7B" w:rsidP="00136E7B">
      <w:pPr>
        <w:rPr>
          <w:bCs/>
          <w:highlight w:val="yellow"/>
          <w:lang w:val="en-GB"/>
        </w:rPr>
      </w:pPr>
      <w:r w:rsidRPr="00DB5569">
        <w:rPr>
          <w:b/>
          <w:lang w:val="en-GB"/>
        </w:rPr>
        <w:t>Chief Technology Officer meetings</w:t>
      </w:r>
      <w:r w:rsidRPr="00DB5569">
        <w:rPr>
          <w:bCs/>
          <w:lang w:val="en-GB"/>
        </w:rPr>
        <w:t xml:space="preserve">: </w:t>
      </w:r>
      <w:hyperlink r:id="rId79" w:history="1">
        <w:r w:rsidRPr="00DB5569">
          <w:rPr>
            <w:rStyle w:val="Hyperlink"/>
            <w:rFonts w:eastAsiaTheme="majorEastAsia"/>
            <w:bCs/>
            <w:lang w:val="en-GB"/>
          </w:rPr>
          <w:t>CTO and CxO meetings</w:t>
        </w:r>
      </w:hyperlink>
      <w:r w:rsidRPr="00DB5569">
        <w:rPr>
          <w:bCs/>
          <w:lang w:val="en-GB"/>
        </w:rPr>
        <w:t xml:space="preserve"> bring together industry executives to highlight their business priorities and supporting standardization strategies.</w:t>
      </w:r>
      <w:r w:rsidR="00467270">
        <w:rPr>
          <w:bCs/>
          <w:lang w:val="en-GB"/>
        </w:rPr>
        <w:t xml:space="preserve"> No CTO/Cx</w:t>
      </w:r>
      <w:r w:rsidR="008F7C0C">
        <w:rPr>
          <w:bCs/>
          <w:lang w:val="en-GB"/>
        </w:rPr>
        <w:t>O</w:t>
      </w:r>
      <w:r w:rsidR="00467270">
        <w:rPr>
          <w:bCs/>
          <w:lang w:val="en-GB"/>
        </w:rPr>
        <w:t xml:space="preserve"> meetings have been taking place since January 2020.</w:t>
      </w:r>
    </w:p>
    <w:p w14:paraId="449E7012" w14:textId="77777777" w:rsidR="00136E7B" w:rsidRPr="00057F8C" w:rsidRDefault="00136E7B" w:rsidP="00136E7B">
      <w:pPr>
        <w:rPr>
          <w:lang w:val="en-GB"/>
        </w:rPr>
      </w:pPr>
      <w:r w:rsidRPr="00057F8C">
        <w:rPr>
          <w:b/>
          <w:lang w:val="en-GB"/>
        </w:rPr>
        <w:t>e-Health</w:t>
      </w:r>
      <w:r w:rsidRPr="00057F8C">
        <w:rPr>
          <w:bCs/>
          <w:lang w:val="en-GB"/>
        </w:rPr>
        <w:t xml:space="preserve">: ITU-T continues its longstanding collaboration with bodies active in the healthcare field, supporting the development of medical-grade e-health devices. Participating organizations include UN bodies, standards bodies, academic and research institutes, and industry associations. </w:t>
      </w:r>
      <w:r w:rsidRPr="00057F8C">
        <w:rPr>
          <w:lang w:val="en-GB"/>
        </w:rPr>
        <w:t>ITU-T continues to collaborate with WHO, with notable recent initiatives on safe listening devices/systems and AI for health.</w:t>
      </w:r>
    </w:p>
    <w:p w14:paraId="0D3E4406" w14:textId="77777777" w:rsidR="00136E7B" w:rsidRPr="00057F8C" w:rsidRDefault="00136E7B" w:rsidP="00136E7B">
      <w:pPr>
        <w:rPr>
          <w:bCs/>
          <w:lang w:val="en-GB"/>
        </w:rPr>
      </w:pPr>
      <w:r w:rsidRPr="00057F8C">
        <w:rPr>
          <w:b/>
          <w:lang w:val="en-GB"/>
        </w:rPr>
        <w:t>Intelligent transport systems (ITS)</w:t>
      </w:r>
      <w:r w:rsidRPr="00057F8C">
        <w:rPr>
          <w:bCs/>
          <w:lang w:val="en-GB"/>
        </w:rPr>
        <w:t xml:space="preserve">: The </w:t>
      </w:r>
      <w:hyperlink r:id="rId80" w:history="1">
        <w:r w:rsidRPr="00057F8C">
          <w:rPr>
            <w:rStyle w:val="Hyperlink"/>
            <w:rFonts w:eastAsiaTheme="majorEastAsia"/>
            <w:bCs/>
            <w:lang w:val="en-GB"/>
          </w:rPr>
          <w:t>Collaboration on ITS Communication Standards</w:t>
        </w:r>
      </w:hyperlink>
      <w:r w:rsidRPr="00057F8C">
        <w:rPr>
          <w:bCs/>
          <w:lang w:val="en-GB"/>
        </w:rPr>
        <w:t xml:space="preserve"> is a body responsible for the coordination of technical standardization work to encourage the offer of interoperable ITS products. CITS meetings are held back-to-back with ITU workshops on intelligent transport systems. CITS has established a </w:t>
      </w:r>
      <w:hyperlink r:id="rId81" w:anchor="?topic=0.131&amp;workgroup=1&amp;searchValue=&amp;page=1&amp;sort=Revelance" w:history="1">
        <w:r w:rsidRPr="00057F8C">
          <w:rPr>
            <w:rStyle w:val="Hyperlink"/>
            <w:bCs/>
            <w:lang w:val="en-GB"/>
          </w:rPr>
          <w:t>standards database</w:t>
        </w:r>
      </w:hyperlink>
      <w:r w:rsidRPr="00057F8C">
        <w:rPr>
          <w:bCs/>
          <w:lang w:val="en-GB"/>
        </w:rPr>
        <w:t xml:space="preserve"> to assist the harmonization of ITS standards. The database includes ITS standards developed by all relevant standards bodies.</w:t>
      </w:r>
    </w:p>
    <w:p w14:paraId="28C459B8" w14:textId="77777777" w:rsidR="00136E7B" w:rsidRPr="00057F8C" w:rsidRDefault="00136E7B" w:rsidP="00136E7B">
      <w:pPr>
        <w:rPr>
          <w:lang w:val="en-GB"/>
        </w:rPr>
      </w:pPr>
      <w:r w:rsidRPr="00057F8C">
        <w:rPr>
          <w:b/>
          <w:lang w:val="en-GB"/>
        </w:rPr>
        <w:t xml:space="preserve">ITU/WMO/UNESCO-IOC Joint Task Force (JTF) on SMART Cable Systems: </w:t>
      </w:r>
      <w:r w:rsidRPr="00057F8C">
        <w:rPr>
          <w:bCs/>
          <w:lang w:val="en-GB"/>
        </w:rPr>
        <w:t xml:space="preserve">The JTF </w:t>
      </w:r>
      <w:r w:rsidRPr="00057F8C">
        <w:rPr>
          <w:lang w:val="en-GB"/>
        </w:rPr>
        <w:t xml:space="preserve">is leading an ambitious project to equip submarine communications cables with scientific sensors (e.g., sea water temperature, pressure, water movement) that could be used for climate change monitoring and tsunami early warning (“SMART cables”). SMART cables are technically and financially feasible and expected to be field-proven via ongoing demonstrations and proposed pilot systems in The Americas, Antarctica, Asia and Europe. A detailed peer-reviewed article on the project can be found in the journal “Frontiers in Marine Science”: </w:t>
      </w:r>
      <w:hyperlink r:id="rId82" w:history="1">
        <w:r w:rsidRPr="00057F8C">
          <w:rPr>
            <w:rStyle w:val="Hyperlink"/>
            <w:lang w:val="en-GB"/>
          </w:rPr>
          <w:t>“SMART Cables for Observing the Global Ocean: Science and Implementation”</w:t>
        </w:r>
      </w:hyperlink>
      <w:r w:rsidRPr="00057F8C">
        <w:rPr>
          <w:lang w:val="en-GB"/>
        </w:rPr>
        <w:t>.</w:t>
      </w:r>
    </w:p>
    <w:p w14:paraId="0FB2C2E3" w14:textId="50D7E6F4" w:rsidR="00136E7B" w:rsidRPr="00057F8C" w:rsidRDefault="00136E7B" w:rsidP="00136E7B">
      <w:pPr>
        <w:rPr>
          <w:bCs/>
          <w:lang w:val="en-GB"/>
        </w:rPr>
      </w:pPr>
      <w:r w:rsidRPr="00057F8C">
        <w:rPr>
          <w:b/>
          <w:lang w:val="en-GB"/>
        </w:rPr>
        <w:t>ICT, environment and climate change</w:t>
      </w:r>
      <w:r w:rsidRPr="00057F8C">
        <w:rPr>
          <w:bCs/>
          <w:lang w:val="en-GB"/>
        </w:rPr>
        <w:t xml:space="preserve">: ITU-T maintains cooperation with a wide range of bodies active in environmental sustainability, including UN bodies, standards bodies, regional organizations, academia, and industry associations. </w:t>
      </w:r>
      <w:r w:rsidRPr="0A47BC55">
        <w:rPr>
          <w:lang w:val="en-GB"/>
        </w:rPr>
        <w:t>ITU</w:t>
      </w:r>
      <w:r w:rsidRPr="0A47BC55" w:rsidDel="00136E7B">
        <w:rPr>
          <w:lang w:val="en-GB"/>
        </w:rPr>
        <w:t xml:space="preserve"> </w:t>
      </w:r>
      <w:r w:rsidRPr="0A47BC55">
        <w:rPr>
          <w:lang w:val="en-GB"/>
        </w:rPr>
        <w:t>together with nine other UN bodies develop</w:t>
      </w:r>
      <w:r w:rsidR="700715BA" w:rsidRPr="0A47BC55">
        <w:rPr>
          <w:lang w:val="en-GB"/>
        </w:rPr>
        <w:t>ed</w:t>
      </w:r>
      <w:r w:rsidRPr="0A47BC55">
        <w:rPr>
          <w:lang w:val="en-GB"/>
        </w:rPr>
        <w:t xml:space="preserve"> a report on “</w:t>
      </w:r>
      <w:hyperlink r:id="rId83" w:history="1">
        <w:r w:rsidRPr="0A47BC55">
          <w:rPr>
            <w:rStyle w:val="Hyperlink"/>
            <w:lang w:val="en-GB"/>
          </w:rPr>
          <w:t>frontier technologies to protect the environment and tackle climate change</w:t>
        </w:r>
      </w:hyperlink>
      <w:r w:rsidRPr="0A47BC55">
        <w:rPr>
          <w:lang w:val="en-GB"/>
        </w:rPr>
        <w:t>”.</w:t>
      </w:r>
      <w:r w:rsidR="00577B3C">
        <w:rPr>
          <w:lang w:val="en-GB"/>
        </w:rPr>
        <w:t xml:space="preserve"> </w:t>
      </w:r>
      <w:r w:rsidR="14D61DA4" w:rsidRPr="0A47BC55">
        <w:rPr>
          <w:lang w:val="en-GB"/>
        </w:rPr>
        <w:t>Additionally, ITU is one of the partners of the Circular Economy Partnership and is co-leading</w:t>
      </w:r>
      <w:r w:rsidR="00577B3C">
        <w:rPr>
          <w:lang w:val="en-GB"/>
        </w:rPr>
        <w:t xml:space="preserve"> </w:t>
      </w:r>
      <w:r w:rsidR="14D61DA4" w:rsidRPr="0A47BC55">
        <w:rPr>
          <w:lang w:val="en-GB"/>
        </w:rPr>
        <w:t xml:space="preserve">the </w:t>
      </w:r>
      <w:r w:rsidR="00577B3C">
        <w:rPr>
          <w:lang w:val="en-GB"/>
        </w:rPr>
        <w:t xml:space="preserve">partnership’s </w:t>
      </w:r>
      <w:r w:rsidR="14D61DA4" w:rsidRPr="0A47BC55">
        <w:rPr>
          <w:lang w:val="en-GB"/>
        </w:rPr>
        <w:t>working group on Circular Design and Takeaw</w:t>
      </w:r>
      <w:r w:rsidR="0616129B" w:rsidRPr="0A47BC55">
        <w:rPr>
          <w:lang w:val="en-GB"/>
        </w:rPr>
        <w:t>ay &amp; Collection.</w:t>
      </w:r>
    </w:p>
    <w:p w14:paraId="7BBE86C5" w14:textId="77777777" w:rsidR="005D6E14" w:rsidRDefault="00136E7B" w:rsidP="00D54EFE">
      <w:pPr>
        <w:rPr>
          <w:lang w:val="en-GB"/>
        </w:rPr>
      </w:pPr>
      <w:r w:rsidRPr="6171A8C9">
        <w:rPr>
          <w:b/>
          <w:bCs/>
          <w:lang w:val="en-GB"/>
        </w:rPr>
        <w:t>Smart Sustainable Cities</w:t>
      </w:r>
      <w:r w:rsidRPr="6171A8C9">
        <w:rPr>
          <w:lang w:val="en-GB"/>
        </w:rPr>
        <w:t xml:space="preserve">: The </w:t>
      </w:r>
      <w:hyperlink r:id="rId84">
        <w:r w:rsidRPr="6171A8C9">
          <w:rPr>
            <w:rStyle w:val="Hyperlink"/>
            <w:rFonts w:eastAsiaTheme="majorEastAsia"/>
            <w:lang w:val="en-GB"/>
          </w:rPr>
          <w:t>United for Smart Sustainable Cities (U4SSC)</w:t>
        </w:r>
      </w:hyperlink>
      <w:r w:rsidRPr="6171A8C9">
        <w:rPr>
          <w:rFonts w:eastAsiaTheme="majorEastAsia"/>
          <w:lang w:val="en-GB"/>
        </w:rPr>
        <w:t xml:space="preserve"> initiative</w:t>
      </w:r>
      <w:r w:rsidRPr="6171A8C9">
        <w:rPr>
          <w:lang w:val="en-GB"/>
        </w:rPr>
        <w:t>, supported by 1</w:t>
      </w:r>
      <w:r w:rsidR="51BF51A8" w:rsidRPr="6171A8C9">
        <w:rPr>
          <w:lang w:val="en-GB"/>
        </w:rPr>
        <w:t xml:space="preserve">7 </w:t>
      </w:r>
      <w:r w:rsidRPr="6171A8C9">
        <w:rPr>
          <w:lang w:val="en-GB"/>
        </w:rPr>
        <w:t>UN bodies, advocates for public policy to ensure that ICTs – and ICT standards in particular – play a definitive role in the transition to smart cities.</w:t>
      </w:r>
      <w:r w:rsidR="00CC0325">
        <w:rPr>
          <w:lang w:val="en-GB"/>
        </w:rPr>
        <w:t xml:space="preserve"> </w:t>
      </w:r>
    </w:p>
    <w:p w14:paraId="56C56A5A" w14:textId="3183FB36" w:rsidR="005D6E14" w:rsidRDefault="00136E7B" w:rsidP="00D54EFE">
      <w:pPr>
        <w:rPr>
          <w:szCs w:val="24"/>
          <w:lang w:val="en-GB"/>
        </w:rPr>
      </w:pPr>
      <w:r w:rsidRPr="00D54EFE">
        <w:rPr>
          <w:szCs w:val="24"/>
          <w:lang w:val="en-GB"/>
        </w:rPr>
        <w:lastRenderedPageBreak/>
        <w:t xml:space="preserve">More than 100 cities worldwide are </w:t>
      </w:r>
      <w:r w:rsidR="00D54EFE" w:rsidRPr="00D54EFE">
        <w:rPr>
          <w:szCs w:val="24"/>
          <w:lang w:val="en-GB"/>
        </w:rPr>
        <w:t xml:space="preserve">evaluating </w:t>
      </w:r>
      <w:r w:rsidRPr="00D54EFE">
        <w:rPr>
          <w:szCs w:val="24"/>
          <w:lang w:val="en-GB"/>
        </w:rPr>
        <w:t xml:space="preserve">their progress </w:t>
      </w:r>
      <w:r w:rsidR="00774D8A">
        <w:rPr>
          <w:szCs w:val="24"/>
          <w:lang w:val="en-GB"/>
        </w:rPr>
        <w:t>towards the SDGs with</w:t>
      </w:r>
      <w:r w:rsidRPr="00D54EFE">
        <w:rPr>
          <w:szCs w:val="24"/>
          <w:lang w:val="en-GB"/>
        </w:rPr>
        <w:t xml:space="preserve"> </w:t>
      </w:r>
      <w:r w:rsidR="00417BF9">
        <w:rPr>
          <w:lang w:val="en-GB"/>
        </w:rPr>
        <w:t>“</w:t>
      </w:r>
      <w:hyperlink r:id="rId85" w:history="1">
        <w:r w:rsidR="00417BF9" w:rsidRPr="2B30A600">
          <w:rPr>
            <w:rStyle w:val="Hyperlink"/>
            <w:lang w:val="en-GB"/>
          </w:rPr>
          <w:t>Key Performance Indicators for Smart Sustainable Cities</w:t>
        </w:r>
      </w:hyperlink>
      <w:r w:rsidR="00417BF9">
        <w:rPr>
          <w:lang w:val="en-GB"/>
        </w:rPr>
        <w:t>”</w:t>
      </w:r>
      <w:r w:rsidR="00417BF9" w:rsidRPr="2B30A600">
        <w:rPr>
          <w:lang w:val="en-GB"/>
        </w:rPr>
        <w:t xml:space="preserve"> </w:t>
      </w:r>
      <w:r w:rsidRPr="00D54EFE">
        <w:rPr>
          <w:szCs w:val="24"/>
          <w:lang w:val="en-GB"/>
        </w:rPr>
        <w:t>based on ITU standards, indicators promoted by U4SSC.</w:t>
      </w:r>
      <w:r w:rsidR="005D6E14">
        <w:rPr>
          <w:szCs w:val="24"/>
          <w:lang w:val="en-GB"/>
        </w:rPr>
        <w:t xml:space="preserve"> U4SSC is also developing a</w:t>
      </w:r>
      <w:r w:rsidR="005D6E14" w:rsidRPr="005D6E14">
        <w:rPr>
          <w:szCs w:val="24"/>
          <w:lang w:val="en-GB"/>
        </w:rPr>
        <w:t xml:space="preserve"> ‘</w:t>
      </w:r>
      <w:hyperlink r:id="rId86" w:history="1">
        <w:r w:rsidR="005D6E14" w:rsidRPr="005D6E14">
          <w:rPr>
            <w:rStyle w:val="Hyperlink"/>
            <w:szCs w:val="24"/>
            <w:lang w:val="en-GB"/>
          </w:rPr>
          <w:t>Global Smart Sustainable City Index</w:t>
        </w:r>
      </w:hyperlink>
      <w:r w:rsidR="005D6E14" w:rsidRPr="005D6E14">
        <w:rPr>
          <w:szCs w:val="24"/>
          <w:lang w:val="en-GB"/>
        </w:rPr>
        <w:t>’ derived from the</w:t>
      </w:r>
      <w:r w:rsidR="005D6E14">
        <w:rPr>
          <w:szCs w:val="24"/>
          <w:lang w:val="en-GB"/>
        </w:rPr>
        <w:t>se</w:t>
      </w:r>
      <w:r w:rsidR="005D6E14" w:rsidRPr="005D6E14">
        <w:rPr>
          <w:szCs w:val="24"/>
          <w:lang w:val="en-GB"/>
        </w:rPr>
        <w:t xml:space="preserve"> KPIs</w:t>
      </w:r>
      <w:r w:rsidR="005D6E14">
        <w:rPr>
          <w:szCs w:val="24"/>
          <w:lang w:val="en-GB"/>
        </w:rPr>
        <w:t xml:space="preserve">. </w:t>
      </w:r>
      <w:r w:rsidR="005D6E14" w:rsidRPr="00F23E47">
        <w:rPr>
          <w:lang w:val="en-GB"/>
        </w:rPr>
        <w:t xml:space="preserve">New U4SSC reports </w:t>
      </w:r>
      <w:r w:rsidR="005D6E14" w:rsidRPr="00E91A7E">
        <w:rPr>
          <w:lang w:val="en-GB"/>
        </w:rPr>
        <w:t>include “</w:t>
      </w:r>
      <w:hyperlink r:id="rId87" w:history="1">
        <w:r w:rsidR="005D6E14" w:rsidRPr="00E91A7E">
          <w:rPr>
            <w:rStyle w:val="Hyperlink"/>
            <w:lang w:val="en-GB"/>
          </w:rPr>
          <w:t>A Guide to Circular Cities</w:t>
        </w:r>
      </w:hyperlink>
      <w:r w:rsidR="005D6E14" w:rsidRPr="00E91A7E">
        <w:rPr>
          <w:lang w:val="en-GB"/>
        </w:rPr>
        <w:t xml:space="preserve">” and </w:t>
      </w:r>
      <w:hyperlink r:id="rId88" w:history="1">
        <w:r w:rsidR="005D6E14" w:rsidRPr="2B30A600">
          <w:rPr>
            <w:lang w:val="en-GB"/>
          </w:rPr>
          <w:t xml:space="preserve">eight associated </w:t>
        </w:r>
        <w:r w:rsidR="005D6E14" w:rsidRPr="2B30A600">
          <w:rPr>
            <w:rStyle w:val="Hyperlink"/>
            <w:lang w:val="en-GB"/>
          </w:rPr>
          <w:t>case studies</w:t>
        </w:r>
      </w:hyperlink>
      <w:r w:rsidR="005D6E14" w:rsidRPr="2B30A600">
        <w:rPr>
          <w:lang w:val="en-GB"/>
        </w:rPr>
        <w:t xml:space="preserve">, as well as </w:t>
      </w:r>
      <w:r w:rsidR="005D6E14">
        <w:rPr>
          <w:lang w:val="en-GB"/>
        </w:rPr>
        <w:t xml:space="preserve">a range of </w:t>
      </w:r>
      <w:hyperlink r:id="rId89" w:history="1">
        <w:r w:rsidR="005D6E14" w:rsidRPr="2B30A600">
          <w:rPr>
            <w:rStyle w:val="Hyperlink"/>
            <w:lang w:val="en-GB"/>
          </w:rPr>
          <w:t>city snapshot</w:t>
        </w:r>
        <w:r w:rsidR="005D6E14">
          <w:rPr>
            <w:rStyle w:val="Hyperlink"/>
            <w:lang w:val="en-GB"/>
          </w:rPr>
          <w:t>s, factsheets and verification reports</w:t>
        </w:r>
      </w:hyperlink>
      <w:r w:rsidR="005D6E14">
        <w:rPr>
          <w:lang w:val="en-GB"/>
        </w:rPr>
        <w:t xml:space="preserve"> </w:t>
      </w:r>
      <w:r w:rsidR="00417BF9">
        <w:rPr>
          <w:lang w:val="en-GB"/>
        </w:rPr>
        <w:t>sharing</w:t>
      </w:r>
      <w:r w:rsidR="005D6E14">
        <w:rPr>
          <w:lang w:val="en-GB"/>
        </w:rPr>
        <w:t xml:space="preserve"> the results of the latest KPI evaluations. </w:t>
      </w:r>
      <w:r w:rsidR="005D6E14">
        <w:rPr>
          <w:szCs w:val="24"/>
          <w:lang w:val="en-GB"/>
        </w:rPr>
        <w:t xml:space="preserve"> </w:t>
      </w:r>
    </w:p>
    <w:p w14:paraId="5C12522F" w14:textId="77777777" w:rsidR="005D6E14" w:rsidRDefault="00AA6649" w:rsidP="00D54EFE">
      <w:pPr>
        <w:rPr>
          <w:szCs w:val="24"/>
        </w:rPr>
      </w:pPr>
      <w:r w:rsidRPr="00D54EFE">
        <w:rPr>
          <w:szCs w:val="24"/>
        </w:rPr>
        <w:t xml:space="preserve">The </w:t>
      </w:r>
      <w:hyperlink r:id="rId90" w:history="1">
        <w:r w:rsidRPr="00D54EFE">
          <w:rPr>
            <w:rStyle w:val="Hyperlink"/>
            <w:szCs w:val="24"/>
          </w:rPr>
          <w:t>U4SSC implementation programme</w:t>
        </w:r>
      </w:hyperlink>
      <w:r w:rsidRPr="00D54EFE">
        <w:rPr>
          <w:szCs w:val="24"/>
        </w:rPr>
        <w:t xml:space="preserve"> is supporting cities’ pursuit of the SDGs by working together with national administrations and city leaders to building a comprehensive approach to smart city development, looking at both KPI evaluations and wider national contexts for planning and action.</w:t>
      </w:r>
      <w:r w:rsidR="00D54EFE">
        <w:rPr>
          <w:szCs w:val="24"/>
        </w:rPr>
        <w:t xml:space="preserve"> </w:t>
      </w:r>
    </w:p>
    <w:p w14:paraId="6C9E7D6B" w14:textId="0BF1F360" w:rsidR="00D54EFE" w:rsidRPr="00D54EFE" w:rsidRDefault="00D54EFE" w:rsidP="00D54EFE">
      <w:pPr>
        <w:rPr>
          <w:lang w:val="en-GB"/>
        </w:rPr>
      </w:pPr>
      <w:r>
        <w:rPr>
          <w:szCs w:val="24"/>
        </w:rPr>
        <w:t>U4SSC</w:t>
      </w:r>
      <w:r w:rsidR="005D6E14">
        <w:rPr>
          <w:szCs w:val="24"/>
        </w:rPr>
        <w:t xml:space="preserve"> is developing expert guidance on topics including</w:t>
      </w:r>
      <w:r>
        <w:rPr>
          <w:szCs w:val="24"/>
        </w:rPr>
        <w:t xml:space="preserve">: </w:t>
      </w:r>
      <w:r w:rsidRPr="00D54EFE">
        <w:rPr>
          <w:szCs w:val="24"/>
        </w:rPr>
        <w:t xml:space="preserve"> </w:t>
      </w:r>
    </w:p>
    <w:p w14:paraId="65DFCCEC" w14:textId="61FDCE08" w:rsidR="00D54EFE" w:rsidRPr="005D6E14"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P</w:t>
      </w:r>
      <w:r w:rsidR="00D54EFE" w:rsidRPr="005D6E14">
        <w:rPr>
          <w:rFonts w:ascii="Times New Roman" w:hAnsi="Times New Roman"/>
          <w:sz w:val="24"/>
          <w:szCs w:val="24"/>
          <w:lang w:val="en-GB"/>
        </w:rPr>
        <w:t xml:space="preserve">ractitioner guides for the measuring and monitoring of smart city progress. </w:t>
      </w:r>
    </w:p>
    <w:p w14:paraId="55C557C5" w14:textId="5DCE51BF" w:rsidR="00D54EFE" w:rsidRPr="00D54EFE" w:rsidRDefault="00D54EFE" w:rsidP="00CC5384">
      <w:pPr>
        <w:pStyle w:val="ListParagraph"/>
        <w:numPr>
          <w:ilvl w:val="0"/>
          <w:numId w:val="41"/>
        </w:numPr>
        <w:rPr>
          <w:rFonts w:ascii="Times New Roman" w:hAnsi="Times New Roman"/>
          <w:sz w:val="24"/>
          <w:szCs w:val="24"/>
          <w:lang w:val="en-GB"/>
        </w:rPr>
      </w:pPr>
      <w:r w:rsidRPr="00D54EFE">
        <w:rPr>
          <w:rFonts w:ascii="Times New Roman" w:hAnsi="Times New Roman"/>
          <w:sz w:val="24"/>
          <w:szCs w:val="24"/>
          <w:lang w:val="en-GB"/>
        </w:rPr>
        <w:t>ICT-based smart city platforms support the digital transformation of public services and their integrated management.</w:t>
      </w:r>
    </w:p>
    <w:p w14:paraId="0EC4F8D6" w14:textId="2A3F0980"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C</w:t>
      </w:r>
      <w:r w:rsidR="00D54EFE" w:rsidRPr="00D54EFE">
        <w:rPr>
          <w:rFonts w:ascii="Times New Roman" w:hAnsi="Times New Roman"/>
          <w:sz w:val="24"/>
          <w:szCs w:val="24"/>
          <w:lang w:val="en-GB"/>
        </w:rPr>
        <w:t>ities’ resilience in the face of emergencies such as COVID-19 and routes to economic and financial recovery.</w:t>
      </w:r>
    </w:p>
    <w:p w14:paraId="358ADC2B" w14:textId="616F6D91"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P</w:t>
      </w:r>
      <w:r w:rsidR="00D54EFE" w:rsidRPr="00D54EFE">
        <w:rPr>
          <w:rFonts w:ascii="Times New Roman" w:hAnsi="Times New Roman"/>
          <w:sz w:val="24"/>
          <w:szCs w:val="24"/>
          <w:lang w:val="en-GB"/>
        </w:rPr>
        <w:t>ublic procurement in the digital age</w:t>
      </w:r>
      <w:r>
        <w:rPr>
          <w:rFonts w:ascii="Times New Roman" w:hAnsi="Times New Roman"/>
          <w:sz w:val="24"/>
          <w:szCs w:val="24"/>
          <w:lang w:val="en-GB"/>
        </w:rPr>
        <w:t xml:space="preserve"> to </w:t>
      </w:r>
      <w:r w:rsidR="00D54EFE" w:rsidRPr="00D54EFE">
        <w:rPr>
          <w:rFonts w:ascii="Times New Roman" w:hAnsi="Times New Roman"/>
          <w:sz w:val="24"/>
          <w:szCs w:val="24"/>
          <w:lang w:val="en-GB"/>
        </w:rPr>
        <w:t>support city leaders in establishing effective processes for the procurement of ICT solutions for smart cities.</w:t>
      </w:r>
    </w:p>
    <w:p w14:paraId="2B2D40D4" w14:textId="678E6C49"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T</w:t>
      </w:r>
      <w:r w:rsidR="00D54EFE" w:rsidRPr="00D54EFE">
        <w:rPr>
          <w:rFonts w:ascii="Times New Roman" w:hAnsi="Times New Roman"/>
          <w:sz w:val="24"/>
          <w:szCs w:val="24"/>
          <w:lang w:val="en-GB"/>
        </w:rPr>
        <w:t>ools and mechanisms to finance smart city projects, benefiting from the contributions of a wide variety of smart city stakeholders in the public and private sectors.</w:t>
      </w:r>
    </w:p>
    <w:p w14:paraId="021CCB61" w14:textId="782DBFC5"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 xml:space="preserve">The </w:t>
      </w:r>
      <w:r w:rsidR="00D54EFE" w:rsidRPr="00D54EFE">
        <w:rPr>
          <w:rFonts w:ascii="Times New Roman" w:hAnsi="Times New Roman"/>
          <w:sz w:val="24"/>
          <w:szCs w:val="24"/>
          <w:lang w:val="en-GB"/>
        </w:rPr>
        <w:t>potential for frontier technologies to contribute to smart city innovation,</w:t>
      </w:r>
      <w:r>
        <w:rPr>
          <w:rFonts w:ascii="Times New Roman" w:hAnsi="Times New Roman"/>
          <w:sz w:val="24"/>
          <w:szCs w:val="24"/>
          <w:lang w:val="en-GB"/>
        </w:rPr>
        <w:t xml:space="preserve"> looking at</w:t>
      </w:r>
      <w:r w:rsidR="00D54EFE" w:rsidRPr="00D54EFE">
        <w:rPr>
          <w:rFonts w:ascii="Times New Roman" w:hAnsi="Times New Roman"/>
          <w:sz w:val="24"/>
          <w:szCs w:val="24"/>
          <w:lang w:val="en-GB"/>
        </w:rPr>
        <w:t xml:space="preserve"> smart-city use cases of technologies in fields such as Artificial Intelligence and blockchain.</w:t>
      </w:r>
    </w:p>
    <w:p w14:paraId="25B2EADB" w14:textId="140D8A5E" w:rsidR="00D54EFE" w:rsidRPr="00D54EFE" w:rsidRDefault="005D6E14" w:rsidP="00CC5384">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L</w:t>
      </w:r>
      <w:r w:rsidR="00D54EFE" w:rsidRPr="00D54EFE">
        <w:rPr>
          <w:rFonts w:ascii="Times New Roman" w:hAnsi="Times New Roman"/>
          <w:sz w:val="24"/>
          <w:szCs w:val="24"/>
          <w:lang w:val="en-GB"/>
        </w:rPr>
        <w:t>ow-cost solutions not reliant on extensive infrastructure or highly skilled labour, an area of U4SSC work particularly relevant to small and medium-sized cities and cities in developing countries.</w:t>
      </w:r>
    </w:p>
    <w:p w14:paraId="063A9792" w14:textId="6F362E13" w:rsidR="00774D8A" w:rsidRDefault="005D6E14" w:rsidP="00FB1893">
      <w:pPr>
        <w:rPr>
          <w:lang w:val="en-GB"/>
        </w:rPr>
      </w:pPr>
      <w:r w:rsidRPr="005D6E14">
        <w:rPr>
          <w:b/>
          <w:bCs/>
          <w:szCs w:val="24"/>
        </w:rPr>
        <w:t>Digital financ</w:t>
      </w:r>
      <w:r w:rsidR="008B453D">
        <w:rPr>
          <w:b/>
          <w:bCs/>
          <w:szCs w:val="24"/>
        </w:rPr>
        <w:t>ial inclusion</w:t>
      </w:r>
      <w:r w:rsidR="00774D8A">
        <w:rPr>
          <w:b/>
          <w:bCs/>
          <w:szCs w:val="24"/>
        </w:rPr>
        <w:t xml:space="preserve"> (see more in Section 9)</w:t>
      </w:r>
      <w:r w:rsidRPr="005D6E14">
        <w:rPr>
          <w:b/>
          <w:bCs/>
          <w:szCs w:val="24"/>
        </w:rPr>
        <w:t>:</w:t>
      </w:r>
      <w:r>
        <w:rPr>
          <w:b/>
          <w:bCs/>
          <w:szCs w:val="24"/>
        </w:rPr>
        <w:t xml:space="preserve"> </w:t>
      </w:r>
      <w:r w:rsidR="00136E7B" w:rsidRPr="00FB1893">
        <w:rPr>
          <w:lang w:val="en-GB"/>
        </w:rPr>
        <w:t>The</w:t>
      </w:r>
      <w:r w:rsidR="00136E7B" w:rsidRPr="00FB1893">
        <w:rPr>
          <w:b/>
          <w:lang w:val="en-GB"/>
        </w:rPr>
        <w:t xml:space="preserve"> </w:t>
      </w:r>
      <w:hyperlink r:id="rId91" w:history="1">
        <w:r w:rsidRPr="00555207">
          <w:rPr>
            <w:rStyle w:val="Hyperlink"/>
            <w:rFonts w:cstheme="minorHAnsi"/>
          </w:rPr>
          <w:t>Financial Inclusion Global Initiativ</w:t>
        </w:r>
        <w:r>
          <w:rPr>
            <w:rStyle w:val="Hyperlink"/>
            <w:rFonts w:cstheme="minorHAnsi"/>
          </w:rPr>
          <w:t>e (FIGI)</w:t>
        </w:r>
      </w:hyperlink>
      <w:r>
        <w:rPr>
          <w:rFonts w:cstheme="minorHAnsi"/>
        </w:rPr>
        <w:t xml:space="preserve"> </w:t>
      </w:r>
      <w:r w:rsidR="00136E7B" w:rsidRPr="00FB1893">
        <w:rPr>
          <w:lang w:val="en-GB"/>
        </w:rPr>
        <w:t xml:space="preserve">is a three-year programme of collective action led by ITU, the World Bank Group and the Committee on Payments and Market Infrastructures, with support from the Bill &amp; Melinda Gates Foundation. </w:t>
      </w:r>
    </w:p>
    <w:p w14:paraId="2BC6441E" w14:textId="26E31EB0" w:rsidR="00774D8A" w:rsidRDefault="00774D8A" w:rsidP="00FB1893">
      <w:pPr>
        <w:rPr>
          <w:b/>
          <w:bCs/>
          <w:szCs w:val="24"/>
        </w:rPr>
      </w:pPr>
      <w:r>
        <w:rPr>
          <w:lang w:val="en-GB"/>
        </w:rPr>
        <w:t xml:space="preserve">FIGI </w:t>
      </w:r>
      <w:r w:rsidR="00136E7B" w:rsidRPr="00FB1893">
        <w:rPr>
          <w:lang w:val="en-GB"/>
        </w:rPr>
        <w:t xml:space="preserve">is designed to advance research in digital finance and accelerate digital financial inclusion in developing countries. </w:t>
      </w:r>
      <w:r w:rsidR="1BAC1ABC" w:rsidRPr="00FB1893">
        <w:rPr>
          <w:lang w:val="en-GB"/>
        </w:rPr>
        <w:t xml:space="preserve">The FIGI Security, Infrastructure and Trust Working Group led by ITU </w:t>
      </w:r>
      <w:r w:rsidR="308E86AD" w:rsidRPr="00FB1893">
        <w:rPr>
          <w:lang w:val="en-GB"/>
        </w:rPr>
        <w:t>developed an additional four reports in 202</w:t>
      </w:r>
      <w:r>
        <w:rPr>
          <w:lang w:val="en-GB"/>
        </w:rPr>
        <w:t xml:space="preserve">0. </w:t>
      </w:r>
      <w:r w:rsidR="157D6F2A" w:rsidRPr="00FB1893">
        <w:rPr>
          <w:lang w:val="en-GB"/>
        </w:rPr>
        <w:t xml:space="preserve">The FIGI Symposium which was planned in June 2020 was moved to June 2021 due to the </w:t>
      </w:r>
      <w:r w:rsidR="00364DC6">
        <w:rPr>
          <w:lang w:val="en-GB"/>
        </w:rPr>
        <w:t xml:space="preserve">COVID-19 </w:t>
      </w:r>
      <w:r w:rsidR="157D6F2A" w:rsidRPr="00FB1893">
        <w:rPr>
          <w:lang w:val="en-GB"/>
        </w:rPr>
        <w:t>pandemic</w:t>
      </w:r>
      <w:r w:rsidR="37B4DE45" w:rsidRPr="00FB1893">
        <w:rPr>
          <w:lang w:val="en-GB"/>
        </w:rPr>
        <w:t>.</w:t>
      </w:r>
      <w:r>
        <w:rPr>
          <w:b/>
          <w:bCs/>
          <w:szCs w:val="24"/>
        </w:rPr>
        <w:t xml:space="preserve"> </w:t>
      </w:r>
    </w:p>
    <w:p w14:paraId="0E78B163" w14:textId="02951153" w:rsidR="00774D8A" w:rsidRDefault="32377A4B" w:rsidP="00FB1893">
      <w:pPr>
        <w:rPr>
          <w:rFonts w:eastAsia="Calibri"/>
          <w:color w:val="201F1E"/>
          <w:szCs w:val="24"/>
          <w:lang w:val="en-GB"/>
        </w:rPr>
      </w:pPr>
      <w:r w:rsidRPr="00FB1893">
        <w:rPr>
          <w:lang w:val="en-GB"/>
        </w:rPr>
        <w:t>The</w:t>
      </w:r>
      <w:r w:rsidR="118C62CB" w:rsidRPr="00FB1893">
        <w:rPr>
          <w:lang w:val="en-GB"/>
        </w:rPr>
        <w:t xml:space="preserve"> </w:t>
      </w:r>
      <w:r w:rsidR="005D6E14">
        <w:rPr>
          <w:lang w:val="en-GB"/>
        </w:rPr>
        <w:t xml:space="preserve">new </w:t>
      </w:r>
      <w:hyperlink r:id="rId92" w:history="1">
        <w:r w:rsidR="005D6E14" w:rsidRPr="00555207">
          <w:rPr>
            <w:rStyle w:val="Hyperlink"/>
            <w:rFonts w:cstheme="minorHAnsi"/>
          </w:rPr>
          <w:t>Digital Currency Global Initiative</w:t>
        </w:r>
      </w:hyperlink>
      <w:r w:rsidR="005D6E14">
        <w:rPr>
          <w:rFonts w:cstheme="minorHAnsi"/>
        </w:rPr>
        <w:t xml:space="preserve"> </w:t>
      </w:r>
      <w:r w:rsidR="60221281" w:rsidRPr="00FB1893">
        <w:rPr>
          <w:lang w:val="en-GB"/>
        </w:rPr>
        <w:t xml:space="preserve">is a collaboration between ITU and Stanford University </w:t>
      </w:r>
      <w:r w:rsidR="00577B3C">
        <w:rPr>
          <w:lang w:val="en-GB"/>
        </w:rPr>
        <w:t xml:space="preserve">established </w:t>
      </w:r>
      <w:r w:rsidR="60221281" w:rsidRPr="00FB1893">
        <w:rPr>
          <w:lang w:val="en-GB"/>
        </w:rPr>
        <w:t>in</w:t>
      </w:r>
      <w:r w:rsidR="118C62CB" w:rsidRPr="00FB1893">
        <w:rPr>
          <w:lang w:val="en-GB"/>
        </w:rPr>
        <w:t xml:space="preserve"> July 2020</w:t>
      </w:r>
      <w:r w:rsidR="7A216B80" w:rsidRPr="00FB1893">
        <w:rPr>
          <w:lang w:val="en-GB"/>
        </w:rPr>
        <w:t xml:space="preserve">. The Initiative will </w:t>
      </w:r>
      <w:r w:rsidR="262F5C6B" w:rsidRPr="00FB1893">
        <w:rPr>
          <w:lang w:val="en-GB"/>
        </w:rPr>
        <w:t>continue the</w:t>
      </w:r>
      <w:r w:rsidR="262F5C6B" w:rsidRPr="00FB1893">
        <w:rPr>
          <w:rFonts w:eastAsia="Calibri"/>
          <w:color w:val="201F1E"/>
          <w:szCs w:val="24"/>
          <w:lang w:val="en-GB"/>
        </w:rPr>
        <w:t xml:space="preserve"> dialogue and research initiated by the ITU-T Focus Group on Digital Currency including Digital Fiat Currency on pilot implementations</w:t>
      </w:r>
      <w:r w:rsidR="2DF422E1" w:rsidRPr="00FB1893">
        <w:rPr>
          <w:rFonts w:eastAsia="Calibri"/>
          <w:color w:val="201F1E"/>
          <w:szCs w:val="24"/>
          <w:lang w:val="en-GB"/>
        </w:rPr>
        <w:t xml:space="preserve"> of digital currency, their</w:t>
      </w:r>
      <w:r w:rsidR="262F5C6B" w:rsidRPr="00FB1893">
        <w:rPr>
          <w:rFonts w:eastAsia="Calibri"/>
          <w:color w:val="201F1E"/>
          <w:szCs w:val="24"/>
          <w:lang w:val="en-GB"/>
        </w:rPr>
        <w:t xml:space="preserve"> use cases, applications and developing specifications for technical standards that will foster adoption, universal access, and ultimately financial inclusion.</w:t>
      </w:r>
      <w:r w:rsidR="00774D8A">
        <w:rPr>
          <w:rFonts w:eastAsia="Calibri"/>
          <w:color w:val="201F1E"/>
          <w:szCs w:val="24"/>
          <w:lang w:val="en-GB"/>
        </w:rPr>
        <w:t xml:space="preserve"> See more in section 9. </w:t>
      </w:r>
    </w:p>
    <w:p w14:paraId="55733942" w14:textId="0DF5D8B0" w:rsidR="00774D8A" w:rsidRPr="003D2F11" w:rsidRDefault="00774D8A" w:rsidP="00774D8A">
      <w:pPr>
        <w:rPr>
          <w:szCs w:val="24"/>
        </w:rPr>
      </w:pPr>
      <w:r w:rsidRPr="00774D8A">
        <w:rPr>
          <w:b/>
          <w:bCs/>
          <w:szCs w:val="24"/>
        </w:rPr>
        <w:t>AI for Good:</w:t>
      </w:r>
      <w:r>
        <w:rPr>
          <w:szCs w:val="24"/>
        </w:rPr>
        <w:t xml:space="preserve"> The </w:t>
      </w:r>
      <w:hyperlink r:id="rId93" w:history="1">
        <w:r w:rsidRPr="00774D8A">
          <w:rPr>
            <w:rStyle w:val="Hyperlink"/>
            <w:szCs w:val="24"/>
          </w:rPr>
          <w:t>AI for Good Global Summit</w:t>
        </w:r>
      </w:hyperlink>
      <w:r w:rsidRPr="003D2F11">
        <w:rPr>
          <w:szCs w:val="24"/>
        </w:rPr>
        <w:t xml:space="preserve"> series identifies practical applications of AI with the potential to accelerate progress towards the</w:t>
      </w:r>
      <w:r>
        <w:rPr>
          <w:szCs w:val="24"/>
        </w:rPr>
        <w:t xml:space="preserve"> SDGs</w:t>
      </w:r>
      <w:r w:rsidRPr="003D2F11">
        <w:rPr>
          <w:szCs w:val="24"/>
        </w:rPr>
        <w:t xml:space="preserve">. Close to 40 UN organizations are partners of the AI for Good Global Summit. Now in its fourth edition, this year’s AI for Good Global Summit is being held online all year, and will continue to connect AI innovators with public and private-sector decision-makers in the interests of stimulating the discovery and delivery of “AI for Good” solutions for all. </w:t>
      </w:r>
      <w:r>
        <w:rPr>
          <w:szCs w:val="24"/>
        </w:rPr>
        <w:t xml:space="preserve">The AI for Good series has been </w:t>
      </w:r>
      <w:r w:rsidRPr="003D2F11">
        <w:rPr>
          <w:szCs w:val="24"/>
        </w:rPr>
        <w:t>arranged into three streams (Build, Learn, Experience) with the following service offerings:</w:t>
      </w:r>
    </w:p>
    <w:p w14:paraId="406882B3" w14:textId="77777777" w:rsidR="00774D8A" w:rsidRPr="00417BF9" w:rsidRDefault="00774D8A" w:rsidP="00417BF9">
      <w:pPr>
        <w:rPr>
          <w:szCs w:val="24"/>
        </w:rPr>
      </w:pPr>
      <w:r w:rsidRPr="00417BF9">
        <w:rPr>
          <w:szCs w:val="24"/>
        </w:rPr>
        <w:t>Build:</w:t>
      </w:r>
    </w:p>
    <w:p w14:paraId="046AF22F" w14:textId="0269CEC4" w:rsidR="00774D8A" w:rsidRPr="008B453D" w:rsidRDefault="00774D8A" w:rsidP="00CC5384">
      <w:pPr>
        <w:pStyle w:val="ListParagraph"/>
        <w:numPr>
          <w:ilvl w:val="0"/>
          <w:numId w:val="42"/>
        </w:numPr>
        <w:rPr>
          <w:rFonts w:ascii="Times New Roman" w:hAnsi="Times New Roman"/>
          <w:sz w:val="24"/>
          <w:szCs w:val="24"/>
        </w:rPr>
      </w:pPr>
      <w:r w:rsidRPr="008B453D">
        <w:rPr>
          <w:rFonts w:ascii="Times New Roman" w:hAnsi="Times New Roman"/>
          <w:sz w:val="24"/>
          <w:szCs w:val="24"/>
        </w:rPr>
        <w:t>AI for Good Breakthroughs</w:t>
      </w:r>
    </w:p>
    <w:p w14:paraId="15D9B0CC" w14:textId="1DDD6B5C" w:rsidR="00774D8A" w:rsidRPr="008B453D" w:rsidRDefault="00774D8A" w:rsidP="00CC5384">
      <w:pPr>
        <w:pStyle w:val="ListParagraph"/>
        <w:numPr>
          <w:ilvl w:val="0"/>
          <w:numId w:val="42"/>
        </w:numPr>
        <w:jc w:val="both"/>
        <w:rPr>
          <w:rFonts w:ascii="Times New Roman" w:hAnsi="Times New Roman"/>
          <w:sz w:val="24"/>
          <w:szCs w:val="24"/>
        </w:rPr>
      </w:pPr>
      <w:r w:rsidRPr="008B453D">
        <w:rPr>
          <w:rFonts w:ascii="Times New Roman" w:hAnsi="Times New Roman"/>
          <w:sz w:val="24"/>
          <w:szCs w:val="24"/>
        </w:rPr>
        <w:lastRenderedPageBreak/>
        <w:t>AI for Good Innovation Factory</w:t>
      </w:r>
    </w:p>
    <w:p w14:paraId="5B602CAB" w14:textId="708032E8" w:rsidR="00774D8A" w:rsidRPr="008B453D" w:rsidRDefault="00774D8A" w:rsidP="00CC5384">
      <w:pPr>
        <w:pStyle w:val="ListParagraph"/>
        <w:numPr>
          <w:ilvl w:val="0"/>
          <w:numId w:val="42"/>
        </w:numPr>
        <w:jc w:val="both"/>
        <w:rPr>
          <w:rFonts w:ascii="Times New Roman" w:hAnsi="Times New Roman"/>
          <w:sz w:val="24"/>
          <w:szCs w:val="24"/>
        </w:rPr>
      </w:pPr>
      <w:r w:rsidRPr="008B453D">
        <w:rPr>
          <w:rFonts w:ascii="Times New Roman" w:hAnsi="Times New Roman"/>
          <w:sz w:val="24"/>
          <w:szCs w:val="24"/>
        </w:rPr>
        <w:t>AI for Good Machine Learning 5G Challenge</w:t>
      </w:r>
    </w:p>
    <w:p w14:paraId="139E7C8F" w14:textId="3B002699" w:rsidR="00774D8A" w:rsidRPr="008B453D" w:rsidRDefault="00774D8A" w:rsidP="00CC5384">
      <w:pPr>
        <w:pStyle w:val="ListParagraph"/>
        <w:numPr>
          <w:ilvl w:val="0"/>
          <w:numId w:val="42"/>
        </w:numPr>
        <w:jc w:val="both"/>
        <w:rPr>
          <w:rFonts w:ascii="Times New Roman" w:hAnsi="Times New Roman"/>
          <w:sz w:val="24"/>
          <w:szCs w:val="24"/>
        </w:rPr>
      </w:pPr>
      <w:r w:rsidRPr="008B453D">
        <w:rPr>
          <w:rFonts w:ascii="Times New Roman" w:hAnsi="Times New Roman"/>
          <w:sz w:val="24"/>
          <w:szCs w:val="24"/>
        </w:rPr>
        <w:t>AI for Good Repository</w:t>
      </w:r>
    </w:p>
    <w:p w14:paraId="421D24A9" w14:textId="77777777" w:rsidR="00774D8A" w:rsidRPr="00417BF9" w:rsidRDefault="00774D8A" w:rsidP="00417BF9">
      <w:pPr>
        <w:rPr>
          <w:szCs w:val="24"/>
        </w:rPr>
      </w:pPr>
      <w:r w:rsidRPr="00417BF9">
        <w:rPr>
          <w:szCs w:val="24"/>
        </w:rPr>
        <w:t>Learn:</w:t>
      </w:r>
    </w:p>
    <w:p w14:paraId="73142F66" w14:textId="295A9E5E" w:rsidR="00774D8A" w:rsidRPr="008B453D" w:rsidRDefault="00774D8A" w:rsidP="00CC5384">
      <w:pPr>
        <w:pStyle w:val="ListParagraph"/>
        <w:numPr>
          <w:ilvl w:val="0"/>
          <w:numId w:val="43"/>
        </w:numPr>
        <w:rPr>
          <w:rFonts w:ascii="Times New Roman" w:hAnsi="Times New Roman"/>
          <w:sz w:val="24"/>
          <w:szCs w:val="24"/>
        </w:rPr>
      </w:pPr>
      <w:r w:rsidRPr="008B453D">
        <w:rPr>
          <w:rFonts w:ascii="Times New Roman" w:hAnsi="Times New Roman"/>
          <w:sz w:val="24"/>
          <w:szCs w:val="24"/>
        </w:rPr>
        <w:t>AI for Good Keynotes</w:t>
      </w:r>
    </w:p>
    <w:p w14:paraId="686B4B3F" w14:textId="78DAA2C1" w:rsidR="00774D8A" w:rsidRPr="008B453D" w:rsidRDefault="00774D8A" w:rsidP="00CC5384">
      <w:pPr>
        <w:pStyle w:val="ListParagraph"/>
        <w:numPr>
          <w:ilvl w:val="0"/>
          <w:numId w:val="43"/>
        </w:numPr>
        <w:jc w:val="both"/>
        <w:rPr>
          <w:rFonts w:ascii="Times New Roman" w:hAnsi="Times New Roman"/>
          <w:sz w:val="24"/>
          <w:szCs w:val="24"/>
        </w:rPr>
      </w:pPr>
      <w:r w:rsidRPr="008B453D">
        <w:rPr>
          <w:rFonts w:ascii="Times New Roman" w:hAnsi="Times New Roman"/>
          <w:sz w:val="24"/>
          <w:szCs w:val="24"/>
        </w:rPr>
        <w:t>AI for Good Webinars</w:t>
      </w:r>
    </w:p>
    <w:p w14:paraId="77329F01" w14:textId="77FFBADD" w:rsidR="00774D8A" w:rsidRPr="008B453D" w:rsidRDefault="00774D8A" w:rsidP="00CC5384">
      <w:pPr>
        <w:pStyle w:val="ListParagraph"/>
        <w:numPr>
          <w:ilvl w:val="0"/>
          <w:numId w:val="43"/>
        </w:numPr>
        <w:jc w:val="both"/>
        <w:rPr>
          <w:rFonts w:ascii="Times New Roman" w:hAnsi="Times New Roman"/>
          <w:sz w:val="24"/>
          <w:szCs w:val="24"/>
        </w:rPr>
      </w:pPr>
      <w:r w:rsidRPr="008B453D">
        <w:rPr>
          <w:rFonts w:ascii="Times New Roman" w:hAnsi="Times New Roman"/>
          <w:sz w:val="24"/>
          <w:szCs w:val="24"/>
        </w:rPr>
        <w:t>AI for Good Perspectives</w:t>
      </w:r>
    </w:p>
    <w:p w14:paraId="6C0AD183" w14:textId="07E4E75D" w:rsidR="00774D8A" w:rsidRPr="008B453D" w:rsidRDefault="00774D8A" w:rsidP="00CC5384">
      <w:pPr>
        <w:pStyle w:val="ListParagraph"/>
        <w:numPr>
          <w:ilvl w:val="0"/>
          <w:numId w:val="43"/>
        </w:numPr>
        <w:jc w:val="both"/>
        <w:rPr>
          <w:rFonts w:ascii="Times New Roman" w:hAnsi="Times New Roman"/>
          <w:sz w:val="24"/>
          <w:szCs w:val="24"/>
        </w:rPr>
      </w:pPr>
      <w:r w:rsidRPr="008B453D">
        <w:rPr>
          <w:rFonts w:ascii="Times New Roman" w:hAnsi="Times New Roman"/>
          <w:sz w:val="24"/>
          <w:szCs w:val="24"/>
        </w:rPr>
        <w:t>AI for Good On the Go!</w:t>
      </w:r>
    </w:p>
    <w:p w14:paraId="76147B02" w14:textId="77777777" w:rsidR="00774D8A" w:rsidRPr="00417BF9" w:rsidRDefault="00774D8A" w:rsidP="00417BF9">
      <w:pPr>
        <w:rPr>
          <w:szCs w:val="24"/>
        </w:rPr>
      </w:pPr>
      <w:r w:rsidRPr="00417BF9">
        <w:rPr>
          <w:szCs w:val="24"/>
        </w:rPr>
        <w:t>Experience:</w:t>
      </w:r>
    </w:p>
    <w:p w14:paraId="0ABFF5A3" w14:textId="5F5DE665" w:rsidR="00774D8A" w:rsidRPr="008B453D" w:rsidRDefault="00774D8A" w:rsidP="00CC5384">
      <w:pPr>
        <w:pStyle w:val="ListParagraph"/>
        <w:numPr>
          <w:ilvl w:val="0"/>
          <w:numId w:val="44"/>
        </w:numPr>
        <w:rPr>
          <w:rFonts w:ascii="Times New Roman" w:hAnsi="Times New Roman"/>
          <w:sz w:val="24"/>
          <w:szCs w:val="24"/>
        </w:rPr>
      </w:pPr>
      <w:r w:rsidRPr="008B453D">
        <w:rPr>
          <w:rFonts w:ascii="Times New Roman" w:hAnsi="Times New Roman"/>
          <w:sz w:val="24"/>
          <w:szCs w:val="24"/>
        </w:rPr>
        <w:t>AI for Good Artistic Intelligence</w:t>
      </w:r>
    </w:p>
    <w:p w14:paraId="013F3613" w14:textId="106A54F9" w:rsidR="00774D8A" w:rsidRPr="008B453D" w:rsidRDefault="00774D8A" w:rsidP="00CC5384">
      <w:pPr>
        <w:pStyle w:val="ListParagraph"/>
        <w:numPr>
          <w:ilvl w:val="0"/>
          <w:numId w:val="44"/>
        </w:numPr>
        <w:jc w:val="both"/>
        <w:rPr>
          <w:rFonts w:ascii="Times New Roman" w:hAnsi="Times New Roman"/>
          <w:sz w:val="24"/>
          <w:szCs w:val="24"/>
        </w:rPr>
      </w:pPr>
      <w:r w:rsidRPr="008B453D">
        <w:rPr>
          <w:rFonts w:ascii="Times New Roman" w:hAnsi="Times New Roman"/>
          <w:sz w:val="24"/>
          <w:szCs w:val="24"/>
        </w:rPr>
        <w:t>AI for Good Demos</w:t>
      </w:r>
    </w:p>
    <w:p w14:paraId="710A31CB" w14:textId="56637754" w:rsidR="00774D8A" w:rsidRPr="009E4F25" w:rsidRDefault="00774D8A" w:rsidP="00774D8A">
      <w:pPr>
        <w:jc w:val="both"/>
        <w:rPr>
          <w:szCs w:val="24"/>
        </w:rPr>
      </w:pPr>
      <w:r>
        <w:t xml:space="preserve">Following TSAG discussions on the matter in September 2019 (see </w:t>
      </w:r>
      <w:hyperlink r:id="rId94">
        <w:r w:rsidRPr="65A54C5D">
          <w:rPr>
            <w:rStyle w:val="Hyperlink"/>
          </w:rPr>
          <w:t>TSAG-R8</w:t>
        </w:r>
      </w:hyperlink>
      <w:r>
        <w:t xml:space="preserve">), a </w:t>
      </w:r>
      <w:hyperlink r:id="rId95">
        <w:r w:rsidRPr="65A54C5D">
          <w:rPr>
            <w:rStyle w:val="Hyperlink"/>
          </w:rPr>
          <w:t>roundtable</w:t>
        </w:r>
      </w:hyperlink>
      <w:r>
        <w:t xml:space="preserve"> was convened at ITU headquarters on 30-31 January 2020 to discuss the mission and composition of a Global Initiative to support the implementation of beneficial AI-based solutions to accelerate progress towards the SDGs.</w:t>
      </w:r>
    </w:p>
    <w:p w14:paraId="2F25301C" w14:textId="77777777" w:rsidR="00774D8A" w:rsidRPr="009E4F25" w:rsidRDefault="00774D8A" w:rsidP="00774D8A">
      <w:pPr>
        <w:rPr>
          <w:szCs w:val="24"/>
        </w:rPr>
      </w:pPr>
      <w:r w:rsidRPr="009E4F25">
        <w:rPr>
          <w:szCs w:val="24"/>
        </w:rPr>
        <w:t>Attended by around 100 participants (including AI specialists, data owners, and infrastructure providers from the private sector, academia, governments, UN agencies and standards bodies), the roundtable highlighted the need for the Global Initiative to maximize collaboration in order to:</w:t>
      </w:r>
    </w:p>
    <w:p w14:paraId="40B36ED3" w14:textId="750F24B1" w:rsidR="00774D8A" w:rsidRPr="009E4F25" w:rsidRDefault="00774D8A" w:rsidP="00CC5384">
      <w:pPr>
        <w:pStyle w:val="ListParagraph"/>
        <w:numPr>
          <w:ilvl w:val="0"/>
          <w:numId w:val="51"/>
        </w:numPr>
        <w:spacing w:before="120"/>
        <w:contextualSpacing w:val="0"/>
        <w:rPr>
          <w:rFonts w:ascii="Times New Roman" w:hAnsi="Times New Roman"/>
          <w:sz w:val="24"/>
          <w:szCs w:val="24"/>
        </w:rPr>
      </w:pPr>
      <w:r w:rsidRPr="009E4F25">
        <w:rPr>
          <w:rFonts w:ascii="Times New Roman" w:hAnsi="Times New Roman"/>
          <w:sz w:val="24"/>
          <w:szCs w:val="24"/>
        </w:rPr>
        <w:t>Match problem owners with providers of solutions using AI and data</w:t>
      </w:r>
    </w:p>
    <w:p w14:paraId="3EAF6786" w14:textId="45CFB96C" w:rsidR="00774D8A" w:rsidRPr="009E4F25" w:rsidRDefault="00774D8A" w:rsidP="00CC5384">
      <w:pPr>
        <w:pStyle w:val="ListParagraph"/>
        <w:numPr>
          <w:ilvl w:val="0"/>
          <w:numId w:val="51"/>
        </w:numPr>
        <w:spacing w:before="120"/>
        <w:contextualSpacing w:val="0"/>
        <w:rPr>
          <w:rFonts w:ascii="Times New Roman" w:hAnsi="Times New Roman"/>
          <w:sz w:val="24"/>
          <w:szCs w:val="24"/>
        </w:rPr>
      </w:pPr>
      <w:r w:rsidRPr="009E4F25">
        <w:rPr>
          <w:rFonts w:ascii="Times New Roman" w:hAnsi="Times New Roman"/>
          <w:sz w:val="24"/>
          <w:szCs w:val="24"/>
        </w:rPr>
        <w:t>Scale and sustain AI-based projects</w:t>
      </w:r>
    </w:p>
    <w:p w14:paraId="6A235578" w14:textId="468E4B63" w:rsidR="00774D8A" w:rsidRPr="009E4F25" w:rsidRDefault="00774D8A" w:rsidP="00CC5384">
      <w:pPr>
        <w:pStyle w:val="ListParagraph"/>
        <w:numPr>
          <w:ilvl w:val="0"/>
          <w:numId w:val="51"/>
        </w:numPr>
        <w:spacing w:before="120"/>
        <w:contextualSpacing w:val="0"/>
        <w:rPr>
          <w:rFonts w:ascii="Times New Roman" w:hAnsi="Times New Roman"/>
          <w:sz w:val="24"/>
          <w:szCs w:val="24"/>
        </w:rPr>
      </w:pPr>
      <w:r w:rsidRPr="009E4F25">
        <w:rPr>
          <w:rFonts w:ascii="Times New Roman" w:hAnsi="Times New Roman"/>
          <w:sz w:val="24"/>
          <w:szCs w:val="24"/>
        </w:rPr>
        <w:t>Make available and accessible capabilities, resources, datasets, know-how, guidelines, frameworks</w:t>
      </w:r>
      <w:r w:rsidR="00417BF9">
        <w:rPr>
          <w:rFonts w:ascii="Times New Roman" w:hAnsi="Times New Roman"/>
          <w:sz w:val="24"/>
          <w:szCs w:val="24"/>
        </w:rPr>
        <w:t xml:space="preserve"> and </w:t>
      </w:r>
      <w:r w:rsidRPr="009E4F25">
        <w:rPr>
          <w:rFonts w:ascii="Times New Roman" w:hAnsi="Times New Roman"/>
          <w:sz w:val="24"/>
          <w:szCs w:val="24"/>
        </w:rPr>
        <w:t>standards as a common good</w:t>
      </w:r>
    </w:p>
    <w:p w14:paraId="6892DBF8" w14:textId="77777777" w:rsidR="00774D8A" w:rsidRPr="009E4F25" w:rsidRDefault="00774D8A" w:rsidP="00774D8A">
      <w:pPr>
        <w:rPr>
          <w:szCs w:val="24"/>
        </w:rPr>
      </w:pPr>
      <w:r w:rsidRPr="009E4F25">
        <w:rPr>
          <w:szCs w:val="24"/>
        </w:rPr>
        <w:t xml:space="preserve">At the roundtable, two working groups (on repositories and on marketplaces) were established and one project was identified (Global AI services platform, initially introduced at an AI for Good Global Summit) to progress toward achieving the mission of the Global Initiative, summarized </w:t>
      </w:r>
      <w:hyperlink r:id="rId96" w:history="1">
        <w:r w:rsidRPr="009E4F25">
          <w:rPr>
            <w:rStyle w:val="Hyperlink"/>
            <w:szCs w:val="24"/>
          </w:rPr>
          <w:t>here</w:t>
        </w:r>
      </w:hyperlink>
      <w:r w:rsidRPr="009E4F25">
        <w:rPr>
          <w:szCs w:val="24"/>
        </w:rPr>
        <w:t>.</w:t>
      </w:r>
    </w:p>
    <w:p w14:paraId="02597447" w14:textId="2D2554D8" w:rsidR="32377A4B" w:rsidRPr="00774D8A" w:rsidRDefault="00774D8A" w:rsidP="00FB1893">
      <w:r>
        <w:t xml:space="preserve">On 16 July 2020, as part of the AI for Good webinar series, the Global Initiative launched the </w:t>
      </w:r>
      <w:hyperlink r:id="rId97">
        <w:r w:rsidRPr="65A54C5D">
          <w:rPr>
            <w:rStyle w:val="Hyperlink"/>
          </w:rPr>
          <w:t>Global Data Pledge project</w:t>
        </w:r>
      </w:hyperlink>
      <w:r>
        <w:t xml:space="preserve"> to help identify, support and make available data as a common global resource.</w:t>
      </w:r>
    </w:p>
    <w:p w14:paraId="36DD24CF" w14:textId="698C2824" w:rsidR="00136E7B" w:rsidRPr="00510575" w:rsidRDefault="00BA3326" w:rsidP="00136E7B">
      <w:pPr>
        <w:pStyle w:val="Heading2"/>
      </w:pPr>
      <w:bookmarkStart w:id="117" w:name="_Toc51331503"/>
      <w:r>
        <w:t>7</w:t>
      </w:r>
      <w:r w:rsidR="00136E7B" w:rsidRPr="00510575">
        <w:t>.</w:t>
      </w:r>
      <w:r w:rsidR="008137C7">
        <w:t>4</w:t>
      </w:r>
      <w:r w:rsidR="00136E7B" w:rsidRPr="00510575">
        <w:tab/>
        <w:t>Cooperation with national and regional standardization organizations</w:t>
      </w:r>
      <w:bookmarkEnd w:id="117"/>
    </w:p>
    <w:p w14:paraId="5CD9E088" w14:textId="046F1C68" w:rsidR="00136E7B" w:rsidRPr="00E12930" w:rsidRDefault="00136E7B" w:rsidP="00136E7B">
      <w:pPr>
        <w:rPr>
          <w:szCs w:val="24"/>
          <w:lang w:val="en-GB"/>
        </w:rPr>
      </w:pPr>
      <w:r w:rsidRPr="7C7BE26A">
        <w:rPr>
          <w:lang w:val="en-GB"/>
        </w:rPr>
        <w:t xml:space="preserve">TSB </w:t>
      </w:r>
      <w:r w:rsidRPr="00E12930">
        <w:rPr>
          <w:szCs w:val="24"/>
          <w:lang w:val="en-GB"/>
        </w:rPr>
        <w:t>supports the achievement of Objective T.5 of the Strategic Plan of the Union, "Extend and facilitate cooperation with international, regional and national standardization bodies", by facilitating an ITU-T presence in activities arranged by other standards bodies, with a view to promoting other standards bodies' engagement with ITU-T workings groups, workshops and related ITU-T collaboration initiatives. TSB’s efforts in this regard</w:t>
      </w:r>
      <w:r w:rsidR="22C7357C" w:rsidRPr="003F5E46">
        <w:rPr>
          <w:szCs w:val="24"/>
          <w:lang w:val="en-GB"/>
        </w:rPr>
        <w:t>,</w:t>
      </w:r>
      <w:r w:rsidRPr="00E12930">
        <w:rPr>
          <w:szCs w:val="24"/>
          <w:lang w:val="en-GB"/>
        </w:rPr>
        <w:t xml:space="preserve"> have strengthened the exchange of information between ITU-T and national and regional standards, supporting closer cooperation and collaboration.</w:t>
      </w:r>
    </w:p>
    <w:p w14:paraId="6CB15B38" w14:textId="78D8CD5A" w:rsidR="00136E7B" w:rsidRPr="00E12930" w:rsidRDefault="00136E7B" w:rsidP="00136E7B">
      <w:pPr>
        <w:rPr>
          <w:color w:val="000000"/>
          <w:szCs w:val="24"/>
          <w:lang w:val="en-GB"/>
        </w:rPr>
      </w:pPr>
      <w:r w:rsidRPr="00E12930">
        <w:rPr>
          <w:color w:val="000000"/>
          <w:szCs w:val="24"/>
          <w:lang w:val="en-GB"/>
        </w:rPr>
        <w:t>For all Memoranda of Understanding and Cooperation Agreement</w:t>
      </w:r>
      <w:r w:rsidR="00577B3C">
        <w:rPr>
          <w:color w:val="000000"/>
          <w:szCs w:val="24"/>
          <w:lang w:val="en-GB"/>
        </w:rPr>
        <w:t>s,</w:t>
      </w:r>
      <w:r w:rsidRPr="00E12930">
        <w:rPr>
          <w:color w:val="000000"/>
          <w:szCs w:val="24"/>
          <w:lang w:val="en-GB"/>
        </w:rPr>
        <w:t xml:space="preserve"> see relevant </w:t>
      </w:r>
      <w:hyperlink r:id="rId98" w:history="1">
        <w:r w:rsidRPr="00E12930">
          <w:rPr>
            <w:rStyle w:val="Hyperlink"/>
            <w:szCs w:val="24"/>
            <w:lang w:val="en-GB"/>
          </w:rPr>
          <w:t>web page</w:t>
        </w:r>
      </w:hyperlink>
      <w:r w:rsidRPr="00E12930">
        <w:rPr>
          <w:color w:val="000000"/>
          <w:szCs w:val="24"/>
          <w:lang w:val="en-GB"/>
        </w:rPr>
        <w:t>.</w:t>
      </w:r>
    </w:p>
    <w:p w14:paraId="2ECF38E6" w14:textId="1FAFB779" w:rsidR="2AE2B8B3" w:rsidRPr="00577B3C" w:rsidRDefault="00136E7B" w:rsidP="0A47BC55">
      <w:pPr>
        <w:rPr>
          <w:iCs/>
          <w:color w:val="000000"/>
          <w:szCs w:val="24"/>
        </w:rPr>
      </w:pPr>
      <w:r w:rsidRPr="00E12930">
        <w:rPr>
          <w:szCs w:val="24"/>
          <w:lang w:val="en-GB"/>
        </w:rPr>
        <w:t xml:space="preserve">Other standardization bodies with which </w:t>
      </w:r>
      <w:r w:rsidRPr="003F5E46">
        <w:rPr>
          <w:color w:val="000000" w:themeColor="text1"/>
          <w:szCs w:val="24"/>
          <w:lang w:val="en-GB"/>
        </w:rPr>
        <w:t xml:space="preserve">TSB </w:t>
      </w:r>
      <w:r w:rsidR="00577B3C">
        <w:rPr>
          <w:color w:val="000000" w:themeColor="text1"/>
          <w:szCs w:val="24"/>
          <w:lang w:val="en-GB"/>
        </w:rPr>
        <w:t>is expanding cooperation</w:t>
      </w:r>
      <w:r w:rsidRPr="003F5E46">
        <w:rPr>
          <w:color w:val="000000" w:themeColor="text1"/>
          <w:szCs w:val="24"/>
          <w:lang w:val="en-GB"/>
        </w:rPr>
        <w:t xml:space="preserve"> include the </w:t>
      </w:r>
      <w:r w:rsidRPr="00E12930">
        <w:rPr>
          <w:bCs/>
          <w:szCs w:val="24"/>
          <w:lang w:val="en-GB"/>
        </w:rPr>
        <w:t>Pan American Standards Commission, the Pacific Area Standards Congress</w:t>
      </w:r>
      <w:r w:rsidRPr="003F5E46">
        <w:rPr>
          <w:color w:val="000000" w:themeColor="text1"/>
          <w:szCs w:val="24"/>
          <w:lang w:val="en-GB"/>
        </w:rPr>
        <w:t xml:space="preserve">, and the </w:t>
      </w:r>
      <w:r w:rsidRPr="003F5E46">
        <w:rPr>
          <w:color w:val="000000" w:themeColor="text1"/>
          <w:szCs w:val="24"/>
        </w:rPr>
        <w:t>South Asian Regional Standards Organization.</w:t>
      </w:r>
      <w:r w:rsidR="00577B3C">
        <w:rPr>
          <w:iCs/>
          <w:color w:val="000000"/>
          <w:szCs w:val="24"/>
        </w:rPr>
        <w:t xml:space="preserve"> </w:t>
      </w:r>
      <w:r w:rsidR="00577B3C">
        <w:rPr>
          <w:color w:val="000000" w:themeColor="text1"/>
        </w:rPr>
        <w:t xml:space="preserve">A brief </w:t>
      </w:r>
      <w:r w:rsidR="66431B47" w:rsidRPr="0A47BC55">
        <w:rPr>
          <w:color w:val="000000" w:themeColor="text1"/>
        </w:rPr>
        <w:t xml:space="preserve">overview </w:t>
      </w:r>
      <w:r w:rsidR="00577B3C">
        <w:rPr>
          <w:color w:val="000000" w:themeColor="text1"/>
        </w:rPr>
        <w:t xml:space="preserve">of related engagements in 2020 </w:t>
      </w:r>
      <w:r w:rsidR="66431B47" w:rsidRPr="0A47BC55">
        <w:rPr>
          <w:color w:val="000000" w:themeColor="text1"/>
        </w:rPr>
        <w:t>can be found below.</w:t>
      </w:r>
    </w:p>
    <w:p w14:paraId="26116E5C" w14:textId="73129CBB" w:rsidR="66431B47" w:rsidRPr="008B453D" w:rsidRDefault="66431B47" w:rsidP="7C7BE26A">
      <w:pPr>
        <w:rPr>
          <w:b/>
          <w:bCs/>
          <w:color w:val="000000" w:themeColor="text1"/>
          <w:szCs w:val="24"/>
        </w:rPr>
      </w:pPr>
      <w:r w:rsidRPr="00C95AD0">
        <w:rPr>
          <w:b/>
          <w:bCs/>
          <w:color w:val="000000" w:themeColor="text1"/>
          <w:szCs w:val="24"/>
        </w:rPr>
        <w:t xml:space="preserve">African </w:t>
      </w:r>
      <w:r w:rsidR="00417BF9">
        <w:rPr>
          <w:b/>
          <w:bCs/>
          <w:color w:val="000000" w:themeColor="text1"/>
          <w:szCs w:val="24"/>
        </w:rPr>
        <w:t xml:space="preserve">Regional </w:t>
      </w:r>
      <w:r w:rsidRPr="00C95AD0">
        <w:rPr>
          <w:b/>
          <w:bCs/>
          <w:color w:val="000000" w:themeColor="text1"/>
          <w:szCs w:val="24"/>
        </w:rPr>
        <w:t>Organization</w:t>
      </w:r>
      <w:r w:rsidR="00417BF9">
        <w:rPr>
          <w:b/>
          <w:bCs/>
          <w:color w:val="000000" w:themeColor="text1"/>
          <w:szCs w:val="24"/>
        </w:rPr>
        <w:t xml:space="preserve"> for Standardisation</w:t>
      </w:r>
      <w:r w:rsidRPr="00C95AD0">
        <w:rPr>
          <w:b/>
          <w:bCs/>
          <w:color w:val="000000" w:themeColor="text1"/>
          <w:szCs w:val="24"/>
        </w:rPr>
        <w:t xml:space="preserve"> </w:t>
      </w:r>
      <w:r w:rsidR="00417BF9">
        <w:rPr>
          <w:b/>
          <w:bCs/>
          <w:color w:val="000000" w:themeColor="text1"/>
          <w:szCs w:val="24"/>
        </w:rPr>
        <w:t>(</w:t>
      </w:r>
      <w:r w:rsidRPr="00C95AD0">
        <w:rPr>
          <w:b/>
          <w:bCs/>
          <w:color w:val="000000" w:themeColor="text1"/>
          <w:szCs w:val="24"/>
        </w:rPr>
        <w:t>ARS</w:t>
      </w:r>
      <w:r w:rsidR="00417BF9">
        <w:rPr>
          <w:b/>
          <w:bCs/>
          <w:color w:val="000000" w:themeColor="text1"/>
          <w:szCs w:val="24"/>
        </w:rPr>
        <w:t>O)</w:t>
      </w:r>
      <w:r w:rsidR="008B453D">
        <w:rPr>
          <w:b/>
          <w:bCs/>
          <w:color w:val="000000" w:themeColor="text1"/>
          <w:szCs w:val="24"/>
        </w:rPr>
        <w:t xml:space="preserve">: </w:t>
      </w:r>
      <w:r w:rsidRPr="003F5E46">
        <w:rPr>
          <w:color w:val="000000" w:themeColor="text1"/>
          <w:szCs w:val="24"/>
        </w:rPr>
        <w:t xml:space="preserve">TSB participated </w:t>
      </w:r>
      <w:r w:rsidR="00CE32C3">
        <w:rPr>
          <w:color w:val="000000" w:themeColor="text1"/>
          <w:szCs w:val="24"/>
        </w:rPr>
        <w:t>in</w:t>
      </w:r>
      <w:r w:rsidRPr="003F5E46">
        <w:rPr>
          <w:color w:val="000000" w:themeColor="text1"/>
          <w:szCs w:val="24"/>
        </w:rPr>
        <w:t xml:space="preserve"> the </w:t>
      </w:r>
      <w:r w:rsidR="1CD3B161" w:rsidRPr="003F5E46">
        <w:rPr>
          <w:szCs w:val="24"/>
        </w:rPr>
        <w:t>"Webinar: COVID-19 Interventions - The Standardisation Solution", 30 June 2020.</w:t>
      </w:r>
    </w:p>
    <w:p w14:paraId="1AAF9C42" w14:textId="5A035B98" w:rsidR="43197E4B" w:rsidRPr="008B453D" w:rsidRDefault="5DD89889" w:rsidP="7C7BE26A">
      <w:pPr>
        <w:rPr>
          <w:b/>
          <w:bCs/>
          <w:color w:val="000000" w:themeColor="text1"/>
          <w:szCs w:val="24"/>
        </w:rPr>
      </w:pPr>
      <w:r w:rsidRPr="00C95AD0">
        <w:rPr>
          <w:b/>
          <w:bCs/>
          <w:color w:val="000000" w:themeColor="text1"/>
          <w:szCs w:val="24"/>
        </w:rPr>
        <w:lastRenderedPageBreak/>
        <w:t>P</w:t>
      </w:r>
      <w:r w:rsidR="43197E4B" w:rsidRPr="00C95AD0">
        <w:rPr>
          <w:b/>
          <w:bCs/>
          <w:color w:val="000000" w:themeColor="text1"/>
          <w:szCs w:val="24"/>
        </w:rPr>
        <w:t>acific Area Standards Congress (PASC</w:t>
      </w:r>
      <w:r w:rsidR="008B453D">
        <w:rPr>
          <w:b/>
          <w:bCs/>
          <w:color w:val="000000" w:themeColor="text1"/>
          <w:szCs w:val="24"/>
        </w:rPr>
        <w:t xml:space="preserve">): </w:t>
      </w:r>
      <w:r w:rsidR="00577B3C">
        <w:rPr>
          <w:color w:val="000000" w:themeColor="text1"/>
          <w:szCs w:val="24"/>
        </w:rPr>
        <w:t xml:space="preserve">The </w:t>
      </w:r>
      <w:r w:rsidR="43197E4B" w:rsidRPr="003F5E46">
        <w:rPr>
          <w:color w:val="000000" w:themeColor="text1"/>
          <w:szCs w:val="24"/>
        </w:rPr>
        <w:t xml:space="preserve">TSB Director participated </w:t>
      </w:r>
      <w:r w:rsidR="00417BF9">
        <w:rPr>
          <w:color w:val="000000" w:themeColor="text1"/>
          <w:szCs w:val="24"/>
        </w:rPr>
        <w:t>in</w:t>
      </w:r>
      <w:r w:rsidR="43197E4B" w:rsidRPr="003F5E46">
        <w:rPr>
          <w:color w:val="000000" w:themeColor="text1"/>
          <w:szCs w:val="24"/>
        </w:rPr>
        <w:t xml:space="preserve"> the </w:t>
      </w:r>
      <w:r w:rsidR="4C72794A" w:rsidRPr="003F5E46">
        <w:rPr>
          <w:color w:val="000000" w:themeColor="text1"/>
          <w:szCs w:val="24"/>
        </w:rPr>
        <w:t xml:space="preserve">PASC </w:t>
      </w:r>
      <w:r w:rsidR="00CE32C3">
        <w:rPr>
          <w:color w:val="000000" w:themeColor="text1"/>
          <w:szCs w:val="24"/>
        </w:rPr>
        <w:t xml:space="preserve">virtual </w:t>
      </w:r>
      <w:r w:rsidR="4C72794A" w:rsidRPr="003F5E46">
        <w:rPr>
          <w:color w:val="000000" w:themeColor="text1"/>
          <w:szCs w:val="24"/>
        </w:rPr>
        <w:t xml:space="preserve">meeting session with ISO, IEC and ITU, </w:t>
      </w:r>
      <w:r w:rsidR="1B11E9BA" w:rsidRPr="003F5E46">
        <w:rPr>
          <w:color w:val="000000" w:themeColor="text1"/>
          <w:szCs w:val="24"/>
        </w:rPr>
        <w:t xml:space="preserve">20 May 2020, </w:t>
      </w:r>
      <w:r w:rsidR="7779D8BF" w:rsidRPr="003F5E46">
        <w:rPr>
          <w:color w:val="000000" w:themeColor="text1"/>
          <w:szCs w:val="24"/>
        </w:rPr>
        <w:t xml:space="preserve">organized by the PASC Secretariat which is this year held by the </w:t>
      </w:r>
      <w:r w:rsidR="51EFAC20" w:rsidRPr="003F5E46">
        <w:rPr>
          <w:color w:val="000000" w:themeColor="text1"/>
          <w:szCs w:val="24"/>
        </w:rPr>
        <w:t xml:space="preserve">National Standardization Agency of Indonesia (BSN). </w:t>
      </w:r>
    </w:p>
    <w:p w14:paraId="6481F8B4" w14:textId="4A4255A1" w:rsidR="2C69FB25" w:rsidRPr="008B453D" w:rsidRDefault="5DD89889" w:rsidP="7C7BE26A">
      <w:pPr>
        <w:rPr>
          <w:b/>
          <w:bCs/>
          <w:color w:val="000000" w:themeColor="text1"/>
          <w:szCs w:val="24"/>
        </w:rPr>
      </w:pPr>
      <w:r w:rsidRPr="00C95AD0">
        <w:rPr>
          <w:b/>
          <w:bCs/>
          <w:color w:val="000000" w:themeColor="text1"/>
          <w:szCs w:val="24"/>
        </w:rPr>
        <w:t>Standards Australia</w:t>
      </w:r>
      <w:r w:rsidR="008B453D">
        <w:rPr>
          <w:b/>
          <w:bCs/>
          <w:color w:val="000000" w:themeColor="text1"/>
          <w:szCs w:val="24"/>
        </w:rPr>
        <w:t xml:space="preserve">: </w:t>
      </w:r>
      <w:r w:rsidR="00577B3C">
        <w:rPr>
          <w:szCs w:val="24"/>
        </w:rPr>
        <w:t>TSB partic</w:t>
      </w:r>
      <w:r w:rsidR="00CE32C3">
        <w:rPr>
          <w:szCs w:val="24"/>
        </w:rPr>
        <w:t>ipated in a virtual training session</w:t>
      </w:r>
      <w:r w:rsidR="2C69FB25" w:rsidRPr="003F5E46">
        <w:rPr>
          <w:szCs w:val="24"/>
        </w:rPr>
        <w:t xml:space="preserve"> organized by </w:t>
      </w:r>
      <w:r w:rsidRPr="003F5E46">
        <w:rPr>
          <w:szCs w:val="24"/>
        </w:rPr>
        <w:t>Standards Australia</w:t>
      </w:r>
      <w:r w:rsidR="00CE32C3">
        <w:rPr>
          <w:szCs w:val="24"/>
        </w:rPr>
        <w:t xml:space="preserve"> on </w:t>
      </w:r>
      <w:r w:rsidR="61BCD067" w:rsidRPr="003F5E46">
        <w:rPr>
          <w:szCs w:val="24"/>
        </w:rPr>
        <w:t>“</w:t>
      </w:r>
      <w:r w:rsidRPr="003F5E46">
        <w:rPr>
          <w:szCs w:val="24"/>
        </w:rPr>
        <w:t>Indo Pacific Digital Trade Standardisation Initiative - training on international participati</w:t>
      </w:r>
      <w:r w:rsidR="31C9F3BB" w:rsidRPr="003F5E46">
        <w:rPr>
          <w:szCs w:val="24"/>
        </w:rPr>
        <w:t xml:space="preserve">on”, </w:t>
      </w:r>
      <w:r w:rsidR="29EB8A50" w:rsidRPr="003F5E46">
        <w:rPr>
          <w:szCs w:val="24"/>
        </w:rPr>
        <w:t>25 May 2020</w:t>
      </w:r>
      <w:r w:rsidR="003F5E46">
        <w:rPr>
          <w:szCs w:val="24"/>
        </w:rPr>
        <w:t>.</w:t>
      </w:r>
    </w:p>
    <w:p w14:paraId="46B3A722" w14:textId="0CF37D31" w:rsidR="00136E7B" w:rsidRPr="00F57FAD" w:rsidRDefault="00BA3326" w:rsidP="00136E7B">
      <w:pPr>
        <w:pStyle w:val="Heading1"/>
      </w:pPr>
      <w:bookmarkStart w:id="118" w:name="_Toc416161356"/>
      <w:bookmarkStart w:id="119" w:name="_Toc438553979"/>
      <w:bookmarkStart w:id="120" w:name="_Toc453929098"/>
      <w:bookmarkStart w:id="121" w:name="_Toc453932969"/>
      <w:bookmarkStart w:id="122" w:name="_Toc454295875"/>
      <w:bookmarkStart w:id="123" w:name="_Toc480527846"/>
      <w:bookmarkStart w:id="124" w:name="_Toc51331504"/>
      <w:r>
        <w:rPr>
          <w:rFonts w:eastAsiaTheme="minorEastAsia"/>
        </w:rPr>
        <w:t>8</w:t>
      </w:r>
      <w:r w:rsidR="00136E7B">
        <w:rPr>
          <w:rFonts w:eastAsiaTheme="minorEastAsia"/>
        </w:rPr>
        <w:tab/>
      </w:r>
      <w:r w:rsidR="00136E7B" w:rsidRPr="00F57FAD">
        <w:t>Bridging the standardization gap</w:t>
      </w:r>
      <w:bookmarkStart w:id="125" w:name="_Toc328209623"/>
      <w:bookmarkStart w:id="126" w:name="_Toc337476742"/>
      <w:bookmarkStart w:id="127" w:name="_Toc416161362"/>
      <w:bookmarkStart w:id="128" w:name="_Toc438553985"/>
      <w:bookmarkStart w:id="129" w:name="_Toc453929107"/>
      <w:bookmarkStart w:id="130" w:name="_Toc453932978"/>
      <w:bookmarkStart w:id="131" w:name="_Toc454295884"/>
      <w:bookmarkEnd w:id="118"/>
      <w:bookmarkEnd w:id="119"/>
      <w:bookmarkEnd w:id="120"/>
      <w:bookmarkEnd w:id="121"/>
      <w:bookmarkEnd w:id="122"/>
      <w:bookmarkEnd w:id="123"/>
      <w:bookmarkEnd w:id="124"/>
    </w:p>
    <w:p w14:paraId="751F977E" w14:textId="77777777" w:rsidR="00136E7B" w:rsidRPr="00E12930" w:rsidRDefault="00136E7B" w:rsidP="00136E7B">
      <w:pPr>
        <w:rPr>
          <w:lang w:val="en-GB"/>
        </w:rPr>
      </w:pPr>
      <w:r w:rsidRPr="00E12930">
        <w:rPr>
          <w:lang w:val="en-GB"/>
        </w:rPr>
        <w:t>ITU's Bridging the Standardization Gap (BSG) programme improves the capacity of developing countries to participate in the development and implementation of international ICT standards.</w:t>
      </w:r>
    </w:p>
    <w:p w14:paraId="5803BC4D" w14:textId="77777777" w:rsidR="00136E7B" w:rsidRPr="00E12930" w:rsidRDefault="00136E7B" w:rsidP="00136E7B">
      <w:pPr>
        <w:rPr>
          <w:lang w:val="en-GB"/>
        </w:rPr>
      </w:pPr>
      <w:r w:rsidRPr="00E12930">
        <w:rPr>
          <w:lang w:val="en-GB"/>
        </w:rPr>
        <w:t>WTSA-16 agreed an Action Plan to address further the disparity in standardization between developed and developing countries, including least-developed countries, Small Island Developing States (SIDS) and countries with economies in transition.</w:t>
      </w:r>
    </w:p>
    <w:p w14:paraId="225BB5CF" w14:textId="3A1B2F92" w:rsidR="00136E7B" w:rsidRPr="00E12930" w:rsidRDefault="00136E7B" w:rsidP="00136E7B">
      <w:pPr>
        <w:rPr>
          <w:lang w:val="en-GB"/>
        </w:rPr>
      </w:pPr>
      <w:r w:rsidRPr="00E12930">
        <w:rPr>
          <w:lang w:val="en-GB"/>
        </w:rPr>
        <w:t>The revamped BSG Programme is structured around five pillars, responding to WTSA Resolution 44. The five pillars of the BSG programme</w:t>
      </w:r>
      <w:r w:rsidR="00AA6FF3">
        <w:rPr>
          <w:lang w:val="en-GB"/>
        </w:rPr>
        <w:t xml:space="preserve"> </w:t>
      </w:r>
      <w:r w:rsidR="00787710">
        <w:rPr>
          <w:lang w:val="en-GB"/>
        </w:rPr>
        <w:t>include</w:t>
      </w:r>
      <w:r w:rsidRPr="00E12930">
        <w:rPr>
          <w:lang w:val="en-GB"/>
        </w:rPr>
        <w:t>: Engagement, know-how, community, awareness, and partnering:</w:t>
      </w:r>
    </w:p>
    <w:p w14:paraId="335A85E4" w14:textId="77777777" w:rsidR="00136E7B" w:rsidRPr="00E12930" w:rsidRDefault="00136E7B" w:rsidP="0063096B">
      <w:pPr>
        <w:numPr>
          <w:ilvl w:val="0"/>
          <w:numId w:val="28"/>
        </w:numPr>
        <w:rPr>
          <w:lang w:val="en-GB"/>
        </w:rPr>
      </w:pPr>
      <w:r w:rsidRPr="00E12930">
        <w:rPr>
          <w:b/>
          <w:bCs/>
          <w:lang w:val="en-GB"/>
        </w:rPr>
        <w:t>Engagement</w:t>
      </w:r>
      <w:r w:rsidRPr="00E12930">
        <w:rPr>
          <w:lang w:val="en-GB"/>
        </w:rPr>
        <w:t xml:space="preserve"> is about facilitating participation in standards development. This includes fellowship and mentorship programmes and tools for remote participation.</w:t>
      </w:r>
    </w:p>
    <w:p w14:paraId="32CF3E71" w14:textId="77777777" w:rsidR="00136E7B" w:rsidRPr="00E12930" w:rsidRDefault="00136E7B" w:rsidP="0063096B">
      <w:pPr>
        <w:numPr>
          <w:ilvl w:val="0"/>
          <w:numId w:val="28"/>
        </w:numPr>
        <w:rPr>
          <w:lang w:val="en-GB"/>
        </w:rPr>
      </w:pPr>
      <w:r w:rsidRPr="00E12930">
        <w:rPr>
          <w:b/>
          <w:bCs/>
          <w:lang w:val="en-GB"/>
        </w:rPr>
        <w:t>Know-how</w:t>
      </w:r>
      <w:r w:rsidRPr="00E12930">
        <w:rPr>
          <w:lang w:val="en-GB"/>
        </w:rPr>
        <w:t xml:space="preserve"> covers the development of skills and capabilities for standards-making. This includes standards-making effectiveness sessions, video tutorials and e-learning courses.</w:t>
      </w:r>
    </w:p>
    <w:p w14:paraId="539B3AE2" w14:textId="77777777" w:rsidR="00136E7B" w:rsidRPr="00E12930" w:rsidRDefault="00136E7B" w:rsidP="0063096B">
      <w:pPr>
        <w:numPr>
          <w:ilvl w:val="0"/>
          <w:numId w:val="28"/>
        </w:numPr>
        <w:rPr>
          <w:lang w:val="en-GB"/>
        </w:rPr>
      </w:pPr>
      <w:r w:rsidRPr="00E12930">
        <w:rPr>
          <w:b/>
          <w:bCs/>
          <w:lang w:val="en-GB"/>
        </w:rPr>
        <w:t>Community</w:t>
      </w:r>
      <w:r w:rsidRPr="00E12930">
        <w:rPr>
          <w:lang w:val="en-GB"/>
        </w:rPr>
        <w:t xml:space="preserve"> focused on empowerment at regional and national levels. Regional Groups within ITU-T SGs are a prime example, ensuring that standards-making is inclusive of the needs of all regions.</w:t>
      </w:r>
    </w:p>
    <w:p w14:paraId="052ED509" w14:textId="77777777" w:rsidR="00136E7B" w:rsidRPr="00E12930" w:rsidRDefault="00136E7B" w:rsidP="0063096B">
      <w:pPr>
        <w:numPr>
          <w:ilvl w:val="0"/>
          <w:numId w:val="28"/>
        </w:numPr>
        <w:rPr>
          <w:lang w:val="en-GB"/>
        </w:rPr>
      </w:pPr>
      <w:r w:rsidRPr="00E12930">
        <w:rPr>
          <w:b/>
          <w:bCs/>
          <w:lang w:val="en-GB"/>
        </w:rPr>
        <w:t>Awareness</w:t>
      </w:r>
      <w:r w:rsidRPr="00E12930">
        <w:rPr>
          <w:lang w:val="en-GB"/>
        </w:rPr>
        <w:t xml:space="preserve"> covers information sharing, using ITU-T publications on a wide range of topics as well as Regional and Inter-Regional standardization forums.</w:t>
      </w:r>
    </w:p>
    <w:p w14:paraId="70AF6114" w14:textId="77777777" w:rsidR="00136E7B" w:rsidRPr="00E12930" w:rsidRDefault="00136E7B" w:rsidP="0063096B">
      <w:pPr>
        <w:numPr>
          <w:ilvl w:val="0"/>
          <w:numId w:val="28"/>
        </w:numPr>
        <w:rPr>
          <w:lang w:val="en-GB"/>
        </w:rPr>
      </w:pPr>
      <w:r w:rsidRPr="00E12930">
        <w:rPr>
          <w:b/>
          <w:bCs/>
          <w:lang w:val="en-GB"/>
        </w:rPr>
        <w:t>Partnering</w:t>
      </w:r>
      <w:r w:rsidRPr="00E12930">
        <w:rPr>
          <w:lang w:val="en-GB"/>
        </w:rPr>
        <w:t xml:space="preserve"> is about mobilizing resources and fostering collaboration.</w:t>
      </w:r>
    </w:p>
    <w:p w14:paraId="132C3FEB" w14:textId="77777777" w:rsidR="00136E7B" w:rsidRPr="00656355" w:rsidRDefault="00136E7B" w:rsidP="00136E7B">
      <w:pPr>
        <w:keepNext/>
        <w:jc w:val="center"/>
        <w:rPr>
          <w:highlight w:val="yellow"/>
          <w:lang w:val="en-GB"/>
        </w:rPr>
      </w:pPr>
      <w:r>
        <w:rPr>
          <w:noProof/>
        </w:rPr>
        <w:drawing>
          <wp:inline distT="0" distB="0" distL="0" distR="0" wp14:anchorId="0702D172" wp14:editId="6A54F73A">
            <wp:extent cx="3642970" cy="2162954"/>
            <wp:effectExtent l="0" t="0" r="0" b="889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pic:nvPicPr>
                  <pic:blipFill>
                    <a:blip r:embed="rId99">
                      <a:extLst>
                        <a:ext uri="{28A0092B-C50C-407E-A947-70E740481C1C}">
                          <a14:useLocalDpi xmlns:a14="http://schemas.microsoft.com/office/drawing/2010/main" val="0"/>
                        </a:ext>
                      </a:extLst>
                    </a:blip>
                    <a:stretch>
                      <a:fillRect/>
                    </a:stretch>
                  </pic:blipFill>
                  <pic:spPr>
                    <a:xfrm>
                      <a:off x="0" y="0"/>
                      <a:ext cx="3642970" cy="2162954"/>
                    </a:xfrm>
                    <a:prstGeom prst="rect">
                      <a:avLst/>
                    </a:prstGeom>
                  </pic:spPr>
                </pic:pic>
              </a:graphicData>
            </a:graphic>
          </wp:inline>
        </w:drawing>
      </w:r>
    </w:p>
    <w:p w14:paraId="239CD365" w14:textId="77777777" w:rsidR="00136E7B" w:rsidRPr="00C00477" w:rsidRDefault="00136E7B" w:rsidP="00136E7B">
      <w:pPr>
        <w:pStyle w:val="Caption"/>
        <w:rPr>
          <w:lang w:val="en-GB"/>
        </w:rPr>
      </w:pPr>
      <w:r w:rsidRPr="00C00477">
        <w:rPr>
          <w:lang w:val="en-GB"/>
        </w:rPr>
        <w:t xml:space="preserve">Figure </w:t>
      </w:r>
      <w:r w:rsidRPr="00C00477">
        <w:rPr>
          <w:color w:val="2B579A"/>
          <w:shd w:val="clear" w:color="auto" w:fill="E6E6E6"/>
          <w:lang w:val="en-GB"/>
        </w:rPr>
        <w:fldChar w:fldCharType="begin"/>
      </w:r>
      <w:r w:rsidRPr="00C00477">
        <w:rPr>
          <w:lang w:val="en-GB"/>
        </w:rPr>
        <w:instrText xml:space="preserve"> SEQ Figure \* ARABIC </w:instrText>
      </w:r>
      <w:r w:rsidRPr="00C00477">
        <w:rPr>
          <w:color w:val="2B579A"/>
          <w:shd w:val="clear" w:color="auto" w:fill="E6E6E6"/>
          <w:lang w:val="en-GB"/>
        </w:rPr>
        <w:fldChar w:fldCharType="separate"/>
      </w:r>
      <w:r w:rsidRPr="00C00477">
        <w:rPr>
          <w:lang w:val="en-GB"/>
        </w:rPr>
        <w:t>1</w:t>
      </w:r>
      <w:r w:rsidRPr="00C00477">
        <w:rPr>
          <w:color w:val="2B579A"/>
          <w:shd w:val="clear" w:color="auto" w:fill="E6E6E6"/>
          <w:lang w:val="en-GB"/>
        </w:rPr>
        <w:fldChar w:fldCharType="end"/>
      </w:r>
      <w:r w:rsidRPr="00C00477">
        <w:rPr>
          <w:lang w:val="en-GB"/>
        </w:rPr>
        <w:t xml:space="preserve"> - Five pillars of the BSG Programme</w:t>
      </w:r>
    </w:p>
    <w:p w14:paraId="526685EF" w14:textId="71FA47BC" w:rsidR="00136E7B" w:rsidRPr="00E57B9C" w:rsidRDefault="00BA3326" w:rsidP="00136E7B">
      <w:pPr>
        <w:pStyle w:val="Heading2"/>
      </w:pPr>
      <w:bookmarkStart w:id="132" w:name="_Toc462664261"/>
      <w:bookmarkStart w:id="133" w:name="_Toc480527847"/>
      <w:bookmarkStart w:id="134" w:name="_Toc51331505"/>
      <w:r w:rsidRPr="00E57B9C">
        <w:t>8</w:t>
      </w:r>
      <w:r w:rsidR="00136E7B" w:rsidRPr="00E57B9C">
        <w:t>.1</w:t>
      </w:r>
      <w:r w:rsidR="00136E7B" w:rsidRPr="00E57B9C">
        <w:tab/>
      </w:r>
      <w:bookmarkEnd w:id="132"/>
      <w:r w:rsidR="00136E7B" w:rsidRPr="00E57B9C">
        <w:t>BSG hands-on training sessions</w:t>
      </w:r>
      <w:bookmarkEnd w:id="133"/>
      <w:bookmarkEnd w:id="134"/>
    </w:p>
    <w:p w14:paraId="422CFD29" w14:textId="094876F8" w:rsidR="00136E7B" w:rsidRDefault="00136E7B" w:rsidP="00094AFA">
      <w:pPr>
        <w:spacing w:after="120"/>
        <w:rPr>
          <w:lang w:val="en-GB"/>
        </w:rPr>
      </w:pPr>
      <w:r w:rsidRPr="004E5B45">
        <w:rPr>
          <w:lang w:val="en-GB"/>
        </w:rPr>
        <w:t xml:space="preserve">ITU-T </w:t>
      </w:r>
      <w:r w:rsidR="00A81060">
        <w:rPr>
          <w:lang w:val="en-GB"/>
        </w:rPr>
        <w:t xml:space="preserve">regularly carries out </w:t>
      </w:r>
      <w:r w:rsidRPr="004E5B45">
        <w:rPr>
          <w:lang w:val="en-GB"/>
        </w:rPr>
        <w:t>'BSG Hands-On SG effectiveness training' in response to WTSA Resolution 44. The</w:t>
      </w:r>
      <w:r w:rsidR="00EF133F">
        <w:rPr>
          <w:lang w:val="en-GB"/>
        </w:rPr>
        <w:t>se</w:t>
      </w:r>
      <w:r w:rsidRPr="004E5B45">
        <w:rPr>
          <w:lang w:val="en-GB"/>
        </w:rPr>
        <w:t xml:space="preserve"> training</w:t>
      </w:r>
      <w:r w:rsidR="00EF133F">
        <w:rPr>
          <w:lang w:val="en-GB"/>
        </w:rPr>
        <w:t>s</w:t>
      </w:r>
      <w:r w:rsidRPr="004E5B45">
        <w:rPr>
          <w:lang w:val="en-GB"/>
        </w:rPr>
        <w:t xml:space="preserve"> focus on the development of practical skills to maximize the effectiveness of developing countries' participation in the ITU-T standardization process, covering </w:t>
      </w:r>
      <w:r w:rsidRPr="004E5B45">
        <w:rPr>
          <w:lang w:val="en-GB"/>
        </w:rPr>
        <w:lastRenderedPageBreak/>
        <w:t>topics including strategies for participation in SGs, drafting contributions to meetings, presenting proposals, collaborative working methods</w:t>
      </w:r>
      <w:r w:rsidR="00500266">
        <w:rPr>
          <w:lang w:val="en-GB"/>
        </w:rPr>
        <w:t xml:space="preserve">, </w:t>
      </w:r>
      <w:r w:rsidRPr="004E5B45">
        <w:rPr>
          <w:lang w:val="en-GB"/>
        </w:rPr>
        <w:t>building consensus</w:t>
      </w:r>
      <w:r w:rsidR="00500266">
        <w:rPr>
          <w:lang w:val="en-GB"/>
        </w:rPr>
        <w:t xml:space="preserve"> and utilization of TSB tools and services</w:t>
      </w:r>
      <w:r w:rsidRPr="004E5B45">
        <w:rPr>
          <w:lang w:val="en-GB"/>
        </w:rPr>
        <w:t>.</w:t>
      </w:r>
    </w:p>
    <w:p w14:paraId="7B30364F" w14:textId="47F73B59" w:rsidR="00462D1E" w:rsidRDefault="00CE32C3" w:rsidP="00094AFA">
      <w:pPr>
        <w:spacing w:after="120"/>
        <w:rPr>
          <w:lang w:val="en-GB"/>
        </w:rPr>
      </w:pPr>
      <w:r>
        <w:rPr>
          <w:lang w:val="en-GB"/>
        </w:rPr>
        <w:t xml:space="preserve">These BSG training sessions have welcomed </w:t>
      </w:r>
      <w:r w:rsidR="00F37C75">
        <w:rPr>
          <w:lang w:val="en-GB"/>
        </w:rPr>
        <w:t>150 delegates</w:t>
      </w:r>
      <w:r>
        <w:rPr>
          <w:lang w:val="en-GB"/>
        </w:rPr>
        <w:t xml:space="preserve"> in 2020</w:t>
      </w:r>
      <w:r w:rsidR="008354B1">
        <w:rPr>
          <w:lang w:val="en-GB"/>
        </w:rPr>
        <w:t>.</w:t>
      </w:r>
    </w:p>
    <w:p w14:paraId="05069E13" w14:textId="5BCB2E5F" w:rsidR="007A0B0C" w:rsidRDefault="00CE32C3" w:rsidP="009560ED">
      <w:pPr>
        <w:spacing w:after="120"/>
        <w:rPr>
          <w:bCs/>
          <w:noProof/>
        </w:rPr>
      </w:pPr>
      <w:r>
        <w:rPr>
          <w:lang w:val="en-GB"/>
        </w:rPr>
        <w:t xml:space="preserve">A </w:t>
      </w:r>
      <w:r w:rsidR="00B45BB8">
        <w:rPr>
          <w:lang w:val="en-GB"/>
        </w:rPr>
        <w:t xml:space="preserve">BSG training session was organized </w:t>
      </w:r>
      <w:r w:rsidR="005C46CA">
        <w:rPr>
          <w:lang w:val="en-GB"/>
        </w:rPr>
        <w:t xml:space="preserve">in collocation with SG11 and SG13 </w:t>
      </w:r>
      <w:r w:rsidR="002F7EBA">
        <w:rPr>
          <w:lang w:val="en-GB"/>
        </w:rPr>
        <w:t>i</w:t>
      </w:r>
      <w:r w:rsidR="005C46CA">
        <w:rPr>
          <w:lang w:val="en-GB"/>
        </w:rPr>
        <w:t>n March 2020</w:t>
      </w:r>
      <w:r w:rsidR="002F7EBA">
        <w:rPr>
          <w:lang w:val="en-GB"/>
        </w:rPr>
        <w:t>.</w:t>
      </w:r>
      <w:r w:rsidR="00462D1E">
        <w:rPr>
          <w:lang w:val="en-GB"/>
        </w:rPr>
        <w:br/>
      </w:r>
      <w:r w:rsidR="00846355">
        <w:rPr>
          <w:bCs/>
          <w:noProof/>
        </w:rPr>
        <w:t xml:space="preserve">A BSG session was </w:t>
      </w:r>
      <w:r w:rsidR="00B628B5">
        <w:rPr>
          <w:bCs/>
          <w:noProof/>
        </w:rPr>
        <w:t xml:space="preserve">delivered </w:t>
      </w:r>
      <w:r w:rsidR="00846355">
        <w:rPr>
          <w:bCs/>
          <w:noProof/>
        </w:rPr>
        <w:t xml:space="preserve">during the </w:t>
      </w:r>
      <w:r w:rsidR="00846355" w:rsidRPr="008D0B9E">
        <w:rPr>
          <w:bCs/>
          <w:noProof/>
        </w:rPr>
        <w:t>SG13-RGAFR</w:t>
      </w:r>
      <w:r w:rsidR="00846355">
        <w:rPr>
          <w:bCs/>
          <w:noProof/>
        </w:rPr>
        <w:t xml:space="preserve"> meeting</w:t>
      </w:r>
      <w:r>
        <w:rPr>
          <w:bCs/>
          <w:noProof/>
        </w:rPr>
        <w:t xml:space="preserve"> in </w:t>
      </w:r>
      <w:r w:rsidR="00846355" w:rsidRPr="008D0B9E">
        <w:rPr>
          <w:bCs/>
          <w:noProof/>
        </w:rPr>
        <w:t>Abuja, Nigeria, 5-6 February 2020</w:t>
      </w:r>
      <w:r w:rsidR="00846355">
        <w:rPr>
          <w:bCs/>
          <w:noProof/>
        </w:rPr>
        <w:t>.</w:t>
      </w:r>
      <w:r>
        <w:rPr>
          <w:bCs/>
          <w:noProof/>
        </w:rPr>
        <w:t xml:space="preserve"> </w:t>
      </w:r>
      <w:r w:rsidR="007A0B0C">
        <w:rPr>
          <w:bCs/>
          <w:noProof/>
        </w:rPr>
        <w:t xml:space="preserve">A </w:t>
      </w:r>
      <w:r w:rsidR="007A0B0C" w:rsidRPr="000925F9">
        <w:rPr>
          <w:bCs/>
          <w:noProof/>
        </w:rPr>
        <w:t>BSG-related session on ITU-T Approval Processes on regional Recommendations</w:t>
      </w:r>
      <w:r w:rsidR="007A0B0C">
        <w:rPr>
          <w:bCs/>
          <w:noProof/>
        </w:rPr>
        <w:t xml:space="preserve"> </w:t>
      </w:r>
      <w:r w:rsidR="007A0B0C" w:rsidRPr="000925F9">
        <w:rPr>
          <w:bCs/>
          <w:noProof/>
        </w:rPr>
        <w:t xml:space="preserve">and </w:t>
      </w:r>
      <w:r w:rsidR="007A0B0C">
        <w:rPr>
          <w:bCs/>
          <w:noProof/>
        </w:rPr>
        <w:t xml:space="preserve">on the </w:t>
      </w:r>
      <w:r w:rsidR="007A0B0C" w:rsidRPr="000925F9">
        <w:rPr>
          <w:bCs/>
          <w:noProof/>
        </w:rPr>
        <w:t xml:space="preserve">ITU-T A.5 </w:t>
      </w:r>
      <w:r w:rsidR="007A0B0C">
        <w:rPr>
          <w:bCs/>
          <w:noProof/>
        </w:rPr>
        <w:t>q</w:t>
      </w:r>
      <w:r w:rsidR="007A0B0C" w:rsidRPr="000925F9">
        <w:rPr>
          <w:bCs/>
          <w:noProof/>
        </w:rPr>
        <w:t xml:space="preserve">ualification and </w:t>
      </w:r>
      <w:r w:rsidR="007A0B0C">
        <w:rPr>
          <w:bCs/>
          <w:noProof/>
        </w:rPr>
        <w:t>j</w:t>
      </w:r>
      <w:r w:rsidR="007A0B0C" w:rsidRPr="000925F9">
        <w:rPr>
          <w:bCs/>
          <w:noProof/>
        </w:rPr>
        <w:t xml:space="preserve">ustification </w:t>
      </w:r>
      <w:r w:rsidR="007A0B0C">
        <w:rPr>
          <w:bCs/>
          <w:noProof/>
        </w:rPr>
        <w:t>p</w:t>
      </w:r>
      <w:r w:rsidR="007A0B0C" w:rsidRPr="000925F9">
        <w:rPr>
          <w:bCs/>
          <w:noProof/>
        </w:rPr>
        <w:t xml:space="preserve">rocess </w:t>
      </w:r>
      <w:r w:rsidR="007A0B0C">
        <w:rPr>
          <w:bCs/>
          <w:noProof/>
        </w:rPr>
        <w:t xml:space="preserve">was given during the </w:t>
      </w:r>
      <w:r w:rsidR="007A0B0C" w:rsidRPr="007A0B0C">
        <w:rPr>
          <w:bCs/>
          <w:noProof/>
        </w:rPr>
        <w:t>SG3RG-AFR virtual</w:t>
      </w:r>
      <w:r w:rsidR="007A0B0C">
        <w:rPr>
          <w:bCs/>
          <w:noProof/>
        </w:rPr>
        <w:t xml:space="preserve"> meeting</w:t>
      </w:r>
      <w:r>
        <w:rPr>
          <w:bCs/>
          <w:noProof/>
        </w:rPr>
        <w:t>,</w:t>
      </w:r>
      <w:r w:rsidR="007A0B0C" w:rsidRPr="007A0B0C">
        <w:rPr>
          <w:bCs/>
          <w:noProof/>
        </w:rPr>
        <w:t xml:space="preserve"> 6-10 July 2020</w:t>
      </w:r>
      <w:r w:rsidR="007A0B0C" w:rsidRPr="000925F9">
        <w:rPr>
          <w:bCs/>
          <w:noProof/>
        </w:rPr>
        <w:t>.</w:t>
      </w:r>
    </w:p>
    <w:p w14:paraId="68B738B1" w14:textId="192AF8DD" w:rsidR="008D0B9E" w:rsidRPr="004E5B45" w:rsidRDefault="00CE32C3" w:rsidP="0061624D">
      <w:pPr>
        <w:spacing w:after="120"/>
        <w:rPr>
          <w:lang w:val="en-GB"/>
        </w:rPr>
      </w:pPr>
      <w:r>
        <w:rPr>
          <w:lang w:val="en-GB"/>
        </w:rPr>
        <w:t>Considering the shift to fully virtual ITU-T meetings in response to</w:t>
      </w:r>
      <w:r w:rsidR="00846355" w:rsidRPr="003D42B8">
        <w:rPr>
          <w:lang w:val="en-GB"/>
        </w:rPr>
        <w:t xml:space="preserve"> COVID-19, four virtual BSG training sessions have been organized since May 2020</w:t>
      </w:r>
      <w:r>
        <w:rPr>
          <w:lang w:val="en-GB"/>
        </w:rPr>
        <w:t xml:space="preserve"> and a</w:t>
      </w:r>
      <w:r w:rsidR="007C7909">
        <w:rPr>
          <w:lang w:val="en-GB"/>
        </w:rPr>
        <w:t xml:space="preserve">dditional </w:t>
      </w:r>
      <w:r w:rsidR="005C55CF">
        <w:rPr>
          <w:lang w:val="en-GB"/>
        </w:rPr>
        <w:t>trainings are</w:t>
      </w:r>
      <w:r w:rsidR="00733541">
        <w:rPr>
          <w:lang w:val="en-GB"/>
        </w:rPr>
        <w:t xml:space="preserve"> </w:t>
      </w:r>
      <w:r w:rsidR="008D2C1C">
        <w:rPr>
          <w:lang w:val="en-GB"/>
        </w:rPr>
        <w:t xml:space="preserve">being </w:t>
      </w:r>
      <w:r w:rsidR="00733541">
        <w:rPr>
          <w:lang w:val="en-GB"/>
        </w:rPr>
        <w:t>planned for the remaining quarter</w:t>
      </w:r>
      <w:r>
        <w:rPr>
          <w:lang w:val="en-GB"/>
        </w:rPr>
        <w:t xml:space="preserve"> of 2020 </w:t>
      </w:r>
    </w:p>
    <w:p w14:paraId="3448ED2A" w14:textId="501157B3" w:rsidR="00136E7B" w:rsidRPr="006E014F" w:rsidRDefault="00BA3326" w:rsidP="00136E7B">
      <w:pPr>
        <w:rPr>
          <w:b/>
          <w:lang w:val="en-GB"/>
        </w:rPr>
      </w:pPr>
      <w:r w:rsidRPr="006E014F">
        <w:rPr>
          <w:b/>
          <w:lang w:val="en-GB"/>
        </w:rPr>
        <w:t>8</w:t>
      </w:r>
      <w:r w:rsidR="00136E7B" w:rsidRPr="006E014F">
        <w:rPr>
          <w:b/>
          <w:lang w:val="en-GB"/>
        </w:rPr>
        <w:t>.1.1</w:t>
      </w:r>
      <w:r w:rsidR="00136E7B" w:rsidRPr="006E014F">
        <w:rPr>
          <w:b/>
          <w:lang w:val="en-GB"/>
        </w:rPr>
        <w:tab/>
        <w:t>BSG training on services and tools</w:t>
      </w:r>
    </w:p>
    <w:p w14:paraId="7F1FFDDD" w14:textId="38601B40" w:rsidR="00136E7B" w:rsidRPr="004E5B45" w:rsidRDefault="00602E78" w:rsidP="00136E7B">
      <w:pPr>
        <w:rPr>
          <w:lang w:val="en-GB"/>
        </w:rPr>
      </w:pPr>
      <w:r>
        <w:rPr>
          <w:lang w:val="en-GB"/>
        </w:rPr>
        <w:t xml:space="preserve">On occasion, </w:t>
      </w:r>
      <w:r w:rsidR="00136E7B" w:rsidRPr="004E5B45">
        <w:rPr>
          <w:lang w:val="en-GB"/>
        </w:rPr>
        <w:t xml:space="preserve">TSB </w:t>
      </w:r>
      <w:r w:rsidR="00ED0B09">
        <w:rPr>
          <w:lang w:val="en-GB"/>
        </w:rPr>
        <w:t xml:space="preserve">also </w:t>
      </w:r>
      <w:r w:rsidR="00136E7B" w:rsidRPr="004E5B45">
        <w:rPr>
          <w:lang w:val="en-GB"/>
        </w:rPr>
        <w:t>offer</w:t>
      </w:r>
      <w:r w:rsidR="00ED0B09">
        <w:rPr>
          <w:lang w:val="en-GB"/>
        </w:rPr>
        <w:t>s</w:t>
      </w:r>
      <w:r w:rsidR="00136E7B" w:rsidRPr="004E5B45">
        <w:rPr>
          <w:lang w:val="en-GB"/>
        </w:rPr>
        <w:t xml:space="preserve"> training</w:t>
      </w:r>
      <w:r w:rsidR="00ED0B09">
        <w:rPr>
          <w:lang w:val="en-GB"/>
        </w:rPr>
        <w:t>s</w:t>
      </w:r>
      <w:r w:rsidR="00136E7B" w:rsidRPr="004E5B45">
        <w:rPr>
          <w:lang w:val="en-GB"/>
        </w:rPr>
        <w:t xml:space="preserve"> on the use of TSB services and tools.</w:t>
      </w:r>
      <w:r w:rsidR="00CE32C3">
        <w:rPr>
          <w:lang w:val="en-GB"/>
        </w:rPr>
        <w:t xml:space="preserve"> </w:t>
      </w:r>
      <w:r>
        <w:rPr>
          <w:lang w:val="en-GB"/>
        </w:rPr>
        <w:t xml:space="preserve">These trainings </w:t>
      </w:r>
      <w:r w:rsidR="00136E7B" w:rsidRPr="004E5B45">
        <w:rPr>
          <w:lang w:val="en-GB"/>
        </w:rPr>
        <w:t>introduc</w:t>
      </w:r>
      <w:r>
        <w:rPr>
          <w:lang w:val="en-GB"/>
        </w:rPr>
        <w:t>e</w:t>
      </w:r>
      <w:r w:rsidR="00136E7B" w:rsidRPr="004E5B45">
        <w:rPr>
          <w:lang w:val="en-GB"/>
        </w:rPr>
        <w:t xml:space="preserve"> services and tools including remote participation, MyWorkspace and publications. </w:t>
      </w:r>
      <w:r w:rsidR="0041563B">
        <w:rPr>
          <w:lang w:val="en-GB"/>
        </w:rPr>
        <w:t xml:space="preserve">Such BSG trainings </w:t>
      </w:r>
      <w:r w:rsidR="00761C5A">
        <w:rPr>
          <w:lang w:val="en-GB"/>
        </w:rPr>
        <w:t>facilitate</w:t>
      </w:r>
      <w:r w:rsidR="00136E7B" w:rsidRPr="004E5B45">
        <w:rPr>
          <w:lang w:val="en-GB"/>
        </w:rPr>
        <w:t xml:space="preserve"> more active and efficient participation in ITU-T work, particularly in view of the upcoming WTSA-20. For more on TSB services and tools, see section 1</w:t>
      </w:r>
      <w:r w:rsidR="009C158E">
        <w:rPr>
          <w:lang w:val="en-GB"/>
        </w:rPr>
        <w:t>5</w:t>
      </w:r>
      <w:r w:rsidR="00136E7B" w:rsidRPr="004E5B45">
        <w:rPr>
          <w:lang w:val="en-GB"/>
        </w:rPr>
        <w:t>.</w:t>
      </w:r>
    </w:p>
    <w:p w14:paraId="095B0398" w14:textId="6ED58E61" w:rsidR="00136E7B" w:rsidRPr="00E12930" w:rsidRDefault="00BA3326" w:rsidP="00136E7B">
      <w:pPr>
        <w:pStyle w:val="Heading2"/>
      </w:pPr>
      <w:bookmarkStart w:id="135" w:name="_Toc480527848"/>
      <w:bookmarkStart w:id="136" w:name="_Toc51331506"/>
      <w:r w:rsidRPr="00E12930">
        <w:t>8</w:t>
      </w:r>
      <w:r w:rsidR="00136E7B" w:rsidRPr="00E12930">
        <w:t>.2</w:t>
      </w:r>
      <w:r w:rsidR="00136E7B" w:rsidRPr="00E12930">
        <w:tab/>
        <w:t>Regional Groups</w:t>
      </w:r>
      <w:bookmarkEnd w:id="135"/>
      <w:bookmarkEnd w:id="136"/>
    </w:p>
    <w:p w14:paraId="03A59EE3" w14:textId="310DB9E7" w:rsidR="00136E7B" w:rsidRPr="00A71EEB" w:rsidRDefault="00136E7B" w:rsidP="00136E7B">
      <w:pPr>
        <w:rPr>
          <w:szCs w:val="24"/>
          <w:lang w:val="en-GB"/>
        </w:rPr>
      </w:pPr>
      <w:bookmarkStart w:id="137" w:name="_Toc480527849"/>
      <w:r w:rsidRPr="00E12930">
        <w:rPr>
          <w:lang w:val="en-GB"/>
        </w:rPr>
        <w:t xml:space="preserve">Regional Groups within ITU-T SGs have proven effective mechanisms to coordinate regional contributions to ITU and increase the number and quality of technical contributions from developing </w:t>
      </w:r>
      <w:r w:rsidRPr="00A71EEB">
        <w:rPr>
          <w:lang w:val="en-GB"/>
        </w:rPr>
        <w:t xml:space="preserve">countries. </w:t>
      </w:r>
      <w:r w:rsidR="00A71EEB" w:rsidRPr="00A71EEB">
        <w:rPr>
          <w:lang w:val="en-GB"/>
        </w:rPr>
        <w:t>About</w:t>
      </w:r>
      <w:r w:rsidRPr="00A71EEB">
        <w:rPr>
          <w:lang w:val="en-GB"/>
        </w:rPr>
        <w:t xml:space="preserve"> 3</w:t>
      </w:r>
      <w:r w:rsidR="00A71EEB" w:rsidRPr="00A71EEB">
        <w:rPr>
          <w:lang w:val="en-GB"/>
        </w:rPr>
        <w:t>0</w:t>
      </w:r>
      <w:r w:rsidRPr="00A71EEB">
        <w:rPr>
          <w:lang w:val="en-GB"/>
        </w:rPr>
        <w:t xml:space="preserve">0 participants attended the </w:t>
      </w:r>
      <w:r w:rsidR="00E55740" w:rsidRPr="00A71EEB">
        <w:rPr>
          <w:lang w:val="en-GB"/>
        </w:rPr>
        <w:t>eight</w:t>
      </w:r>
      <w:r w:rsidRPr="00A71EEB">
        <w:rPr>
          <w:szCs w:val="24"/>
          <w:lang w:val="en-GB"/>
        </w:rPr>
        <w:t xml:space="preserve"> Regional Group meetings held since </w:t>
      </w:r>
      <w:r w:rsidR="00523CEE" w:rsidRPr="00A71EEB">
        <w:rPr>
          <w:szCs w:val="24"/>
          <w:lang w:val="en-GB"/>
        </w:rPr>
        <w:t>January 2020</w:t>
      </w:r>
      <w:r w:rsidRPr="00A71EEB">
        <w:rPr>
          <w:szCs w:val="24"/>
          <w:lang w:val="en-GB"/>
        </w:rPr>
        <w:t>:</w:t>
      </w:r>
    </w:p>
    <w:p w14:paraId="03CD1494" w14:textId="73CD932A" w:rsidR="00136E7B" w:rsidRPr="00D75A2A" w:rsidRDefault="00D75A2A" w:rsidP="0063096B">
      <w:pPr>
        <w:numPr>
          <w:ilvl w:val="0"/>
          <w:numId w:val="23"/>
        </w:numPr>
        <w:rPr>
          <w:lang w:val="en-GB"/>
        </w:rPr>
      </w:pPr>
      <w:r w:rsidRPr="00D75A2A">
        <w:rPr>
          <w:lang w:val="en-GB"/>
        </w:rPr>
        <w:t>Three</w:t>
      </w:r>
      <w:r w:rsidR="00136E7B" w:rsidRPr="00D75A2A">
        <w:rPr>
          <w:lang w:val="en-GB"/>
        </w:rPr>
        <w:t xml:space="preserve"> in Africa (SGs </w:t>
      </w:r>
      <w:r w:rsidR="00CF3CA7" w:rsidRPr="00D75A2A">
        <w:rPr>
          <w:lang w:val="en-GB"/>
        </w:rPr>
        <w:t xml:space="preserve">3, </w:t>
      </w:r>
      <w:r w:rsidR="00136E7B" w:rsidRPr="00D75A2A">
        <w:rPr>
          <w:lang w:val="en-GB"/>
        </w:rPr>
        <w:t>1</w:t>
      </w:r>
      <w:r w:rsidR="00D31928" w:rsidRPr="00D75A2A">
        <w:rPr>
          <w:lang w:val="en-GB"/>
        </w:rPr>
        <w:t>2</w:t>
      </w:r>
      <w:r w:rsidR="00136E7B" w:rsidRPr="00D75A2A">
        <w:rPr>
          <w:lang w:val="en-GB"/>
        </w:rPr>
        <w:t xml:space="preserve"> and </w:t>
      </w:r>
      <w:r w:rsidRPr="00D75A2A">
        <w:rPr>
          <w:lang w:val="en-GB"/>
        </w:rPr>
        <w:t>13</w:t>
      </w:r>
      <w:r w:rsidR="00136E7B" w:rsidRPr="00D75A2A">
        <w:rPr>
          <w:lang w:val="en-GB"/>
        </w:rPr>
        <w:t>)</w:t>
      </w:r>
    </w:p>
    <w:p w14:paraId="1D65C8DE" w14:textId="4960DEB2" w:rsidR="006D5AF7" w:rsidRDefault="00136E7B" w:rsidP="0063096B">
      <w:pPr>
        <w:numPr>
          <w:ilvl w:val="0"/>
          <w:numId w:val="27"/>
        </w:numPr>
      </w:pPr>
      <w:r w:rsidRPr="00CF3CA7">
        <w:t>SG</w:t>
      </w:r>
      <w:r w:rsidR="007A0B0C">
        <w:t>3</w:t>
      </w:r>
      <w:r w:rsidR="00FD44F8">
        <w:t>-</w:t>
      </w:r>
      <w:r w:rsidRPr="00CF3CA7">
        <w:t>RG-AFR:</w:t>
      </w:r>
      <w:r w:rsidRPr="00CF3CA7">
        <w:rPr>
          <w:bCs/>
          <w:lang w:val="en-GB"/>
        </w:rPr>
        <w:t xml:space="preserve"> </w:t>
      </w:r>
      <w:r w:rsidR="00984B81" w:rsidRPr="00CF3CA7">
        <w:t>virtual</w:t>
      </w:r>
      <w:r w:rsidRPr="00CF3CA7">
        <w:t xml:space="preserve">, </w:t>
      </w:r>
      <w:r w:rsidR="00984B81" w:rsidRPr="00CF3CA7">
        <w:t>6-10 July 2020</w:t>
      </w:r>
      <w:r w:rsidRPr="00CF3CA7">
        <w:t xml:space="preserve">: </w:t>
      </w:r>
      <w:r w:rsidR="00CF3CA7" w:rsidRPr="00CF3CA7">
        <w:t>34</w:t>
      </w:r>
      <w:r w:rsidRPr="00CF3CA7">
        <w:t xml:space="preserve"> participants</w:t>
      </w:r>
      <w:r w:rsidR="006D5AF7">
        <w:t>.</w:t>
      </w:r>
    </w:p>
    <w:p w14:paraId="05F2EFF7" w14:textId="17D4C399" w:rsidR="00136E7B" w:rsidRPr="002B4C51" w:rsidRDefault="00136E7B" w:rsidP="0063096B">
      <w:pPr>
        <w:numPr>
          <w:ilvl w:val="0"/>
          <w:numId w:val="27"/>
        </w:numPr>
        <w:rPr>
          <w:lang w:val="en-GB"/>
        </w:rPr>
      </w:pPr>
      <w:r w:rsidRPr="00D31B99">
        <w:rPr>
          <w:bCs/>
          <w:lang w:val="en-GB"/>
        </w:rPr>
        <w:t>SG1</w:t>
      </w:r>
      <w:r w:rsidR="00D31B99" w:rsidRPr="00D31B99">
        <w:rPr>
          <w:bCs/>
          <w:lang w:val="en-GB"/>
        </w:rPr>
        <w:t>2</w:t>
      </w:r>
      <w:r w:rsidRPr="00D31B99">
        <w:rPr>
          <w:bCs/>
          <w:lang w:val="en-GB"/>
        </w:rPr>
        <w:t>-RG</w:t>
      </w:r>
      <w:r w:rsidR="00FD44F8">
        <w:rPr>
          <w:bCs/>
          <w:lang w:val="en-GB"/>
        </w:rPr>
        <w:t>-</w:t>
      </w:r>
      <w:r w:rsidRPr="00D31B99">
        <w:rPr>
          <w:bCs/>
          <w:lang w:val="en-GB"/>
        </w:rPr>
        <w:t xml:space="preserve">AFR: </w:t>
      </w:r>
      <w:r w:rsidR="00D31B99" w:rsidRPr="00D31B99">
        <w:rPr>
          <w:bCs/>
          <w:lang w:val="en-GB"/>
        </w:rPr>
        <w:t xml:space="preserve">N'Djamena, Chad, 4-5 March </w:t>
      </w:r>
      <w:r w:rsidR="00D31B99" w:rsidRPr="002B4C51">
        <w:rPr>
          <w:bCs/>
          <w:lang w:val="en-GB"/>
        </w:rPr>
        <w:t>2020</w:t>
      </w:r>
      <w:r w:rsidRPr="002B4C51">
        <w:rPr>
          <w:bCs/>
          <w:lang w:val="en-GB"/>
        </w:rPr>
        <w:t xml:space="preserve">: </w:t>
      </w:r>
      <w:r w:rsidR="002B4C51" w:rsidRPr="002B4C51">
        <w:rPr>
          <w:bCs/>
          <w:lang w:val="en-GB"/>
        </w:rPr>
        <w:t>50</w:t>
      </w:r>
      <w:r w:rsidRPr="002B4C51">
        <w:rPr>
          <w:bCs/>
          <w:lang w:val="en-GB"/>
        </w:rPr>
        <w:t xml:space="preserve"> participants.</w:t>
      </w:r>
    </w:p>
    <w:p w14:paraId="53EC8E67" w14:textId="28639773" w:rsidR="00136E7B" w:rsidRPr="00BF38B0" w:rsidRDefault="00136E7B" w:rsidP="0063096B">
      <w:pPr>
        <w:numPr>
          <w:ilvl w:val="0"/>
          <w:numId w:val="27"/>
        </w:numPr>
        <w:rPr>
          <w:lang w:val="en-GB"/>
        </w:rPr>
      </w:pPr>
      <w:r w:rsidRPr="00BF38B0">
        <w:rPr>
          <w:bCs/>
          <w:lang w:val="en-GB"/>
        </w:rPr>
        <w:t>SG</w:t>
      </w:r>
      <w:r w:rsidR="00BF38B0" w:rsidRPr="00BF38B0">
        <w:rPr>
          <w:bCs/>
          <w:lang w:val="en-GB"/>
        </w:rPr>
        <w:t>13</w:t>
      </w:r>
      <w:r w:rsidRPr="00BF38B0">
        <w:rPr>
          <w:bCs/>
          <w:lang w:val="en-GB"/>
        </w:rPr>
        <w:t>-RG</w:t>
      </w:r>
      <w:r w:rsidR="00FD44F8">
        <w:rPr>
          <w:bCs/>
          <w:lang w:val="en-GB"/>
        </w:rPr>
        <w:t>-</w:t>
      </w:r>
      <w:r w:rsidRPr="00BF38B0">
        <w:rPr>
          <w:bCs/>
          <w:lang w:val="en-GB"/>
        </w:rPr>
        <w:t xml:space="preserve">AFR: Abuja, Nigeria, </w:t>
      </w:r>
      <w:r w:rsidR="00BF38B0" w:rsidRPr="00BF38B0">
        <w:rPr>
          <w:bCs/>
          <w:lang w:val="en-GB"/>
        </w:rPr>
        <w:t xml:space="preserve">5-6 February </w:t>
      </w:r>
      <w:r w:rsidR="00BF38B0" w:rsidRPr="00322BA8">
        <w:rPr>
          <w:bCs/>
          <w:lang w:val="en-GB"/>
        </w:rPr>
        <w:t>2020</w:t>
      </w:r>
      <w:r w:rsidRPr="00322BA8">
        <w:rPr>
          <w:bCs/>
          <w:lang w:val="en-GB"/>
        </w:rPr>
        <w:t xml:space="preserve">: </w:t>
      </w:r>
      <w:r w:rsidR="00322BA8" w:rsidRPr="00322BA8">
        <w:rPr>
          <w:bCs/>
          <w:lang w:val="en-GB"/>
        </w:rPr>
        <w:t>115</w:t>
      </w:r>
      <w:r w:rsidRPr="00322BA8">
        <w:rPr>
          <w:bCs/>
          <w:lang w:val="en-GB"/>
        </w:rPr>
        <w:t xml:space="preserve"> participants</w:t>
      </w:r>
      <w:r w:rsidRPr="00BF38B0">
        <w:rPr>
          <w:bCs/>
          <w:lang w:val="en-GB"/>
        </w:rPr>
        <w:t>.</w:t>
      </w:r>
    </w:p>
    <w:p w14:paraId="351FDDAF" w14:textId="7FF5488C" w:rsidR="00136E7B" w:rsidRPr="00FE1D2C" w:rsidRDefault="00136E7B" w:rsidP="0063096B">
      <w:pPr>
        <w:numPr>
          <w:ilvl w:val="0"/>
          <w:numId w:val="24"/>
        </w:numPr>
        <w:rPr>
          <w:lang w:val="en-GB"/>
        </w:rPr>
      </w:pPr>
      <w:r w:rsidRPr="00FE1D2C">
        <w:rPr>
          <w:lang w:val="en-GB"/>
        </w:rPr>
        <w:t>One for the Americas (SG</w:t>
      </w:r>
      <w:r w:rsidR="00FE1D2C" w:rsidRPr="00FE1D2C">
        <w:rPr>
          <w:lang w:val="en-GB"/>
        </w:rPr>
        <w:t>3</w:t>
      </w:r>
      <w:r w:rsidRPr="00FE1D2C">
        <w:rPr>
          <w:lang w:val="en-GB"/>
        </w:rPr>
        <w:t>)</w:t>
      </w:r>
    </w:p>
    <w:p w14:paraId="0599DE21" w14:textId="187C215D" w:rsidR="00DD24CB" w:rsidRPr="00580655" w:rsidRDefault="00DD24CB" w:rsidP="0063096B">
      <w:pPr>
        <w:numPr>
          <w:ilvl w:val="1"/>
          <w:numId w:val="25"/>
        </w:numPr>
        <w:rPr>
          <w:rStyle w:val="Strong"/>
          <w:b w:val="0"/>
          <w:bCs w:val="0"/>
          <w:lang w:val="en-GB"/>
        </w:rPr>
      </w:pPr>
      <w:r w:rsidRPr="00580655">
        <w:rPr>
          <w:rStyle w:val="Strong"/>
          <w:b w:val="0"/>
          <w:bCs w:val="0"/>
          <w:lang w:val="en-GB"/>
        </w:rPr>
        <w:t>SG3</w:t>
      </w:r>
      <w:r w:rsidR="00FD44F8" w:rsidRPr="00580655">
        <w:rPr>
          <w:rStyle w:val="Strong"/>
          <w:b w:val="0"/>
          <w:bCs w:val="0"/>
          <w:lang w:val="en-GB"/>
        </w:rPr>
        <w:t>-</w:t>
      </w:r>
      <w:r w:rsidRPr="00580655">
        <w:rPr>
          <w:rStyle w:val="Strong"/>
          <w:b w:val="0"/>
          <w:bCs w:val="0"/>
          <w:lang w:val="en-GB"/>
        </w:rPr>
        <w:t xml:space="preserve">RG-LAC: virtual, 15-17 July 2020: </w:t>
      </w:r>
      <w:r w:rsidR="00B234C5" w:rsidRPr="00580655">
        <w:rPr>
          <w:rStyle w:val="Strong"/>
          <w:b w:val="0"/>
          <w:bCs w:val="0"/>
          <w:lang w:val="en-GB"/>
        </w:rPr>
        <w:t xml:space="preserve">23 </w:t>
      </w:r>
      <w:r w:rsidRPr="00580655">
        <w:rPr>
          <w:rStyle w:val="Strong"/>
          <w:b w:val="0"/>
          <w:bCs w:val="0"/>
          <w:lang w:val="en-GB"/>
        </w:rPr>
        <w:t>participants.</w:t>
      </w:r>
    </w:p>
    <w:p w14:paraId="6425E1FD" w14:textId="6F87750E" w:rsidR="00136E7B" w:rsidRPr="009D233E" w:rsidRDefault="009D233E" w:rsidP="0063096B">
      <w:pPr>
        <w:numPr>
          <w:ilvl w:val="0"/>
          <w:numId w:val="24"/>
        </w:numPr>
        <w:rPr>
          <w:lang w:val="en-GB"/>
        </w:rPr>
      </w:pPr>
      <w:r w:rsidRPr="009D233E">
        <w:rPr>
          <w:lang w:val="en-GB"/>
        </w:rPr>
        <w:t>One</w:t>
      </w:r>
      <w:r w:rsidR="00136E7B" w:rsidRPr="009D233E">
        <w:rPr>
          <w:lang w:val="en-GB"/>
        </w:rPr>
        <w:t xml:space="preserve"> for the Arab States (SG3)</w:t>
      </w:r>
    </w:p>
    <w:p w14:paraId="003B76D6" w14:textId="1BF394B3" w:rsidR="00136E7B" w:rsidRPr="008F40E1" w:rsidRDefault="00136E7B" w:rsidP="0063096B">
      <w:pPr>
        <w:numPr>
          <w:ilvl w:val="0"/>
          <w:numId w:val="26"/>
        </w:numPr>
        <w:rPr>
          <w:lang w:val="en-GB"/>
        </w:rPr>
      </w:pPr>
      <w:r w:rsidRPr="008F40E1">
        <w:rPr>
          <w:lang w:val="en-GB"/>
        </w:rPr>
        <w:t>SG3-RG</w:t>
      </w:r>
      <w:r w:rsidR="00FD44F8">
        <w:rPr>
          <w:lang w:val="en-GB"/>
        </w:rPr>
        <w:t>-</w:t>
      </w:r>
      <w:r w:rsidRPr="008F40E1">
        <w:rPr>
          <w:lang w:val="en-GB"/>
        </w:rPr>
        <w:t>ARB</w:t>
      </w:r>
      <w:r w:rsidR="008F40E1" w:rsidRPr="008F40E1">
        <w:t xml:space="preserve">: </w:t>
      </w:r>
      <w:r w:rsidR="008F40E1" w:rsidRPr="008F40E1">
        <w:rPr>
          <w:lang w:val="en-GB"/>
        </w:rPr>
        <w:t>virtual, 28 July 2020</w:t>
      </w:r>
      <w:r w:rsidRPr="008F40E1">
        <w:rPr>
          <w:lang w:val="en-GB"/>
        </w:rPr>
        <w:t xml:space="preserve">: </w:t>
      </w:r>
      <w:r w:rsidR="008F40E1" w:rsidRPr="008F40E1">
        <w:rPr>
          <w:lang w:val="en-GB"/>
        </w:rPr>
        <w:t>12</w:t>
      </w:r>
      <w:r w:rsidRPr="008F40E1">
        <w:rPr>
          <w:lang w:val="en-GB"/>
        </w:rPr>
        <w:t xml:space="preserve"> participants.</w:t>
      </w:r>
    </w:p>
    <w:p w14:paraId="3DEBB273" w14:textId="77777777" w:rsidR="00136E7B" w:rsidRPr="00081F76" w:rsidRDefault="00136E7B" w:rsidP="0063096B">
      <w:pPr>
        <w:numPr>
          <w:ilvl w:val="0"/>
          <w:numId w:val="24"/>
        </w:numPr>
        <w:rPr>
          <w:lang w:val="en-GB"/>
        </w:rPr>
      </w:pPr>
      <w:r w:rsidRPr="00081F76">
        <w:rPr>
          <w:lang w:val="en-GB"/>
        </w:rPr>
        <w:t>One for Asia and Oceania (SG3).</w:t>
      </w:r>
    </w:p>
    <w:p w14:paraId="1629BACF" w14:textId="7742BE22" w:rsidR="00136E7B" w:rsidRDefault="00136E7B" w:rsidP="0063096B">
      <w:pPr>
        <w:numPr>
          <w:ilvl w:val="0"/>
          <w:numId w:val="31"/>
        </w:numPr>
        <w:rPr>
          <w:lang w:val="it-IT"/>
        </w:rPr>
      </w:pPr>
      <w:r w:rsidRPr="00AC51D1">
        <w:rPr>
          <w:lang w:val="it-IT"/>
        </w:rPr>
        <w:t>SG3-RG</w:t>
      </w:r>
      <w:r w:rsidR="00FD44F8">
        <w:rPr>
          <w:lang w:val="it-IT"/>
        </w:rPr>
        <w:t>-</w:t>
      </w:r>
      <w:r w:rsidRPr="00AC51D1">
        <w:rPr>
          <w:lang w:val="it-IT"/>
        </w:rPr>
        <w:t xml:space="preserve">AO: </w:t>
      </w:r>
      <w:r w:rsidR="00AC51D1" w:rsidRPr="00AC51D1">
        <w:rPr>
          <w:lang w:val="it-IT"/>
        </w:rPr>
        <w:t>virtual, 15-17 July 2020</w:t>
      </w:r>
      <w:r w:rsidRPr="00AC51D1">
        <w:rPr>
          <w:lang w:val="it-IT"/>
        </w:rPr>
        <w:t xml:space="preserve">: </w:t>
      </w:r>
      <w:r w:rsidR="00AC51D1" w:rsidRPr="00AC51D1">
        <w:rPr>
          <w:lang w:val="it-IT"/>
        </w:rPr>
        <w:t>23</w:t>
      </w:r>
      <w:r w:rsidRPr="00AC51D1">
        <w:rPr>
          <w:lang w:val="it-IT"/>
        </w:rPr>
        <w:t xml:space="preserve"> participants</w:t>
      </w:r>
      <w:r w:rsidR="00966671">
        <w:rPr>
          <w:lang w:val="it-IT"/>
        </w:rPr>
        <w:t xml:space="preserve">, </w:t>
      </w:r>
      <w:r w:rsidR="00966671">
        <w:t xml:space="preserve">followed by ad-hoc </w:t>
      </w:r>
      <w:r w:rsidR="00966671" w:rsidRPr="00CF3CA7">
        <w:t>SG</w:t>
      </w:r>
      <w:r w:rsidR="00966671">
        <w:t>3</w:t>
      </w:r>
      <w:r w:rsidR="00966671" w:rsidRPr="00CF3CA7">
        <w:t>RG-AFR</w:t>
      </w:r>
      <w:r w:rsidR="00966671">
        <w:t xml:space="preserve"> e-meeting on </w:t>
      </w:r>
      <w:r w:rsidR="00966671" w:rsidRPr="006D5AF7">
        <w:t>15 July 2020</w:t>
      </w:r>
      <w:r w:rsidRPr="00AC51D1">
        <w:rPr>
          <w:lang w:val="it-IT"/>
        </w:rPr>
        <w:t>.</w:t>
      </w:r>
    </w:p>
    <w:p w14:paraId="25BCEE97" w14:textId="36B13034" w:rsidR="00AA7E94" w:rsidRPr="00081F76" w:rsidRDefault="00257963" w:rsidP="0063096B">
      <w:pPr>
        <w:numPr>
          <w:ilvl w:val="0"/>
          <w:numId w:val="24"/>
        </w:numPr>
        <w:rPr>
          <w:lang w:val="en-GB"/>
        </w:rPr>
      </w:pPr>
      <w:r>
        <w:rPr>
          <w:lang w:val="en-GB"/>
        </w:rPr>
        <w:t>Two</w:t>
      </w:r>
      <w:r w:rsidR="00AA7E94" w:rsidRPr="00081F76">
        <w:rPr>
          <w:lang w:val="en-GB"/>
        </w:rPr>
        <w:t xml:space="preserve"> for </w:t>
      </w:r>
      <w:r w:rsidR="00AA7E94" w:rsidRPr="00AA7E94">
        <w:rPr>
          <w:lang w:val="en-GB"/>
        </w:rPr>
        <w:t xml:space="preserve">Eastern Europe, Central Asia and Transcaucasia </w:t>
      </w:r>
      <w:r w:rsidR="00AA7E94" w:rsidRPr="00081F76">
        <w:rPr>
          <w:lang w:val="en-GB"/>
        </w:rPr>
        <w:t>(SG3</w:t>
      </w:r>
      <w:r>
        <w:rPr>
          <w:lang w:val="en-GB"/>
        </w:rPr>
        <w:t>, SG20</w:t>
      </w:r>
      <w:r w:rsidR="00AA7E94" w:rsidRPr="00081F76">
        <w:rPr>
          <w:lang w:val="en-GB"/>
        </w:rPr>
        <w:t>).</w:t>
      </w:r>
    </w:p>
    <w:p w14:paraId="3EAA1872" w14:textId="4C9E925E" w:rsidR="00AA7E94" w:rsidRDefault="00AA7E94" w:rsidP="0063096B">
      <w:pPr>
        <w:numPr>
          <w:ilvl w:val="0"/>
          <w:numId w:val="34"/>
        </w:numPr>
        <w:rPr>
          <w:lang w:val="it-IT"/>
        </w:rPr>
      </w:pPr>
      <w:r w:rsidRPr="00AA7E94">
        <w:rPr>
          <w:lang w:val="it-IT"/>
        </w:rPr>
        <w:t>SG3</w:t>
      </w:r>
      <w:r w:rsidR="00FD44F8">
        <w:rPr>
          <w:lang w:val="it-IT"/>
        </w:rPr>
        <w:t>-</w:t>
      </w:r>
      <w:r w:rsidRPr="00AA7E94">
        <w:rPr>
          <w:lang w:val="it-IT"/>
        </w:rPr>
        <w:t>RG-EECAT</w:t>
      </w:r>
      <w:r>
        <w:rPr>
          <w:lang w:val="it-IT"/>
        </w:rPr>
        <w:t xml:space="preserve">: </w:t>
      </w:r>
      <w:r w:rsidRPr="00AA7E94">
        <w:rPr>
          <w:lang w:val="it-IT"/>
        </w:rPr>
        <w:t>Minsk, Belarus, 4 March 2020</w:t>
      </w:r>
      <w:r>
        <w:rPr>
          <w:lang w:val="it-IT"/>
        </w:rPr>
        <w:t xml:space="preserve">: </w:t>
      </w:r>
      <w:r w:rsidR="009507FC">
        <w:rPr>
          <w:lang w:val="it-IT"/>
        </w:rPr>
        <w:t xml:space="preserve">18 </w:t>
      </w:r>
      <w:r>
        <w:rPr>
          <w:lang w:val="it-IT"/>
        </w:rPr>
        <w:t>participants.</w:t>
      </w:r>
    </w:p>
    <w:p w14:paraId="1B381B66" w14:textId="11CC46A2" w:rsidR="00BF58A4" w:rsidRPr="00AC51D1" w:rsidRDefault="00BF58A4" w:rsidP="0063096B">
      <w:pPr>
        <w:numPr>
          <w:ilvl w:val="0"/>
          <w:numId w:val="34"/>
        </w:numPr>
        <w:rPr>
          <w:lang w:val="it-IT"/>
        </w:rPr>
      </w:pPr>
      <w:r w:rsidRPr="00BF58A4">
        <w:rPr>
          <w:lang w:val="it-IT"/>
        </w:rPr>
        <w:t>SG20</w:t>
      </w:r>
      <w:r w:rsidR="00FD44F8">
        <w:rPr>
          <w:lang w:val="it-IT"/>
        </w:rPr>
        <w:t>-</w:t>
      </w:r>
      <w:r w:rsidRPr="00BF58A4">
        <w:rPr>
          <w:lang w:val="it-IT"/>
        </w:rPr>
        <w:t>RG-EECAT</w:t>
      </w:r>
      <w:r>
        <w:rPr>
          <w:lang w:val="it-IT"/>
        </w:rPr>
        <w:t xml:space="preserve">: </w:t>
      </w:r>
      <w:r w:rsidRPr="00BF58A4">
        <w:rPr>
          <w:lang w:val="it-IT"/>
        </w:rPr>
        <w:t>Minsk, Belarus</w:t>
      </w:r>
      <w:r>
        <w:rPr>
          <w:lang w:val="it-IT"/>
        </w:rPr>
        <w:t xml:space="preserve">, </w:t>
      </w:r>
      <w:r w:rsidRPr="00BF58A4">
        <w:rPr>
          <w:lang w:val="it-IT"/>
        </w:rPr>
        <w:t>5 March 2020</w:t>
      </w:r>
      <w:r>
        <w:rPr>
          <w:lang w:val="it-IT"/>
        </w:rPr>
        <w:t xml:space="preserve">: </w:t>
      </w:r>
      <w:r w:rsidR="000047E6">
        <w:rPr>
          <w:lang w:val="it-IT"/>
        </w:rPr>
        <w:t xml:space="preserve">20 </w:t>
      </w:r>
      <w:r>
        <w:rPr>
          <w:lang w:val="it-IT"/>
        </w:rPr>
        <w:t>particpants.</w:t>
      </w:r>
    </w:p>
    <w:p w14:paraId="59F06067" w14:textId="2B086E75" w:rsidR="00136E7B" w:rsidRPr="00F57FAD" w:rsidRDefault="00BA3326" w:rsidP="00136E7B">
      <w:pPr>
        <w:pStyle w:val="Heading2"/>
      </w:pPr>
      <w:bookmarkStart w:id="138" w:name="_Toc51331507"/>
      <w:r>
        <w:t>8</w:t>
      </w:r>
      <w:r w:rsidR="00136E7B" w:rsidRPr="00F57FAD">
        <w:t>.3</w:t>
      </w:r>
      <w:r w:rsidR="00136E7B" w:rsidRPr="00F57FAD">
        <w:tab/>
        <w:t>Regional Standardization Forums</w:t>
      </w:r>
      <w:bookmarkEnd w:id="137"/>
      <w:bookmarkEnd w:id="138"/>
    </w:p>
    <w:p w14:paraId="75AF3B03" w14:textId="77777777" w:rsidR="00136E7B" w:rsidRPr="004E5B45" w:rsidRDefault="00136E7B" w:rsidP="00136E7B">
      <w:pPr>
        <w:rPr>
          <w:lang w:val="en-GB"/>
        </w:rPr>
      </w:pPr>
      <w:r w:rsidRPr="004E5B45">
        <w:rPr>
          <w:lang w:val="en-GB"/>
        </w:rPr>
        <w:t xml:space="preserve">Regional Standardization Forums (RSFs) provide tutorials on ITU-T working methods as well as more technically-oriented themes such as human exposure to electromagnetic fields, quality of </w:t>
      </w:r>
      <w:r w:rsidRPr="004E5B45">
        <w:rPr>
          <w:lang w:val="en-GB"/>
        </w:rPr>
        <w:lastRenderedPageBreak/>
        <w:t>service, smart water management, international mobile roaming, mobile financial services, digital identity, big data, and security and trust.</w:t>
      </w:r>
    </w:p>
    <w:p w14:paraId="5E77DBFF" w14:textId="772C341E" w:rsidR="00136E7B" w:rsidRDefault="00136E7B" w:rsidP="00136E7B">
      <w:pPr>
        <w:spacing w:after="120"/>
        <w:rPr>
          <w:lang w:val="en-GB"/>
        </w:rPr>
      </w:pPr>
      <w:r w:rsidRPr="004E5B45">
        <w:rPr>
          <w:lang w:val="en-GB"/>
        </w:rPr>
        <w:t>RSFs are being held in conjunction with meetings of Regional Groups to improve the alignment of RSF discussions and the priorities of ITU-T SGs. RSFs are also raising awareness of ITU standardization activities through the participation of key decision-makers (Prime Ministers, Ministers, Heads of Regulators, CEOs, etc.).</w:t>
      </w:r>
    </w:p>
    <w:p w14:paraId="75D84940" w14:textId="7D5E549A" w:rsidR="00CB05DE" w:rsidRDefault="00CB05DE" w:rsidP="00136E7B">
      <w:pPr>
        <w:spacing w:after="120"/>
        <w:rPr>
          <w:lang w:val="en-GB"/>
        </w:rPr>
      </w:pPr>
      <w:r>
        <w:rPr>
          <w:lang w:val="en-GB"/>
        </w:rPr>
        <w:t xml:space="preserve">One </w:t>
      </w:r>
      <w:hyperlink r:id="rId100" w:history="1">
        <w:r w:rsidRPr="00B90DE7">
          <w:rPr>
            <w:rStyle w:val="Hyperlink"/>
          </w:rPr>
          <w:t>ITU Regional Standardization Forum (RSF)</w:t>
        </w:r>
      </w:hyperlink>
      <w:r w:rsidRPr="00B90DE7">
        <w:t xml:space="preserve"> </w:t>
      </w:r>
      <w:r>
        <w:rPr>
          <w:lang w:val="en-GB"/>
        </w:rPr>
        <w:t xml:space="preserve">and one regional ITU workshop took place during </w:t>
      </w:r>
      <w:r w:rsidR="00CE32C3">
        <w:rPr>
          <w:lang w:val="en-GB"/>
        </w:rPr>
        <w:t>the reporting period</w:t>
      </w:r>
      <w:r>
        <w:rPr>
          <w:lang w:val="en-GB"/>
        </w:rPr>
        <w:t>:</w:t>
      </w:r>
    </w:p>
    <w:p w14:paraId="48A1A61F" w14:textId="3D3A39F4" w:rsidR="00B90DE7" w:rsidRPr="00CB05DE" w:rsidRDefault="00E12FA7" w:rsidP="0063096B">
      <w:pPr>
        <w:pStyle w:val="ListParagraph"/>
        <w:numPr>
          <w:ilvl w:val="0"/>
          <w:numId w:val="32"/>
        </w:numPr>
        <w:spacing w:after="120"/>
        <w:ind w:left="714" w:hanging="357"/>
        <w:contextualSpacing w:val="0"/>
        <w:rPr>
          <w:rFonts w:ascii="Times New Roman" w:hAnsi="Times New Roman"/>
          <w:sz w:val="24"/>
          <w:szCs w:val="24"/>
        </w:rPr>
      </w:pPr>
      <w:hyperlink r:id="rId101" w:history="1">
        <w:r w:rsidR="00B90DE7" w:rsidRPr="00CB05DE">
          <w:rPr>
            <w:rStyle w:val="Hyperlink"/>
            <w:rFonts w:ascii="Times New Roman" w:hAnsi="Times New Roman"/>
            <w:sz w:val="24"/>
            <w:szCs w:val="24"/>
          </w:rPr>
          <w:t>ITU Regional Standardization Forum (RSF)</w:t>
        </w:r>
      </w:hyperlink>
      <w:r w:rsidR="00B90DE7" w:rsidRPr="00CB05DE">
        <w:rPr>
          <w:rFonts w:ascii="Times New Roman" w:hAnsi="Times New Roman"/>
          <w:sz w:val="24"/>
          <w:szCs w:val="24"/>
        </w:rPr>
        <w:t xml:space="preserve"> on </w:t>
      </w:r>
      <w:hyperlink r:id="rId102" w:history="1">
        <w:r w:rsidR="00B90DE7" w:rsidRPr="00CB05DE">
          <w:rPr>
            <w:rStyle w:val="Hyperlink"/>
            <w:rFonts w:ascii="Times New Roman" w:hAnsi="Times New Roman"/>
            <w:bCs/>
            <w:sz w:val="24"/>
            <w:szCs w:val="24"/>
          </w:rPr>
          <w:t>“Smart sustainable cities: from concept to implementation”</w:t>
        </w:r>
      </w:hyperlink>
      <w:r w:rsidR="00B90DE7" w:rsidRPr="00CB05DE">
        <w:rPr>
          <w:rFonts w:ascii="Times New Roman" w:hAnsi="Times New Roman"/>
          <w:sz w:val="24"/>
          <w:szCs w:val="24"/>
        </w:rPr>
        <w:t>, Minsk, Belarus, 3 to 5 March 2020.</w:t>
      </w:r>
    </w:p>
    <w:p w14:paraId="7DCE0999" w14:textId="4013E6C4" w:rsidR="00855BA2" w:rsidRPr="00CB05DE" w:rsidRDefault="00E12FA7" w:rsidP="0063096B">
      <w:pPr>
        <w:pStyle w:val="ListParagraph"/>
        <w:numPr>
          <w:ilvl w:val="0"/>
          <w:numId w:val="32"/>
        </w:numPr>
        <w:spacing w:after="120"/>
        <w:ind w:left="714" w:hanging="357"/>
        <w:contextualSpacing w:val="0"/>
        <w:rPr>
          <w:rFonts w:ascii="Times New Roman" w:hAnsi="Times New Roman"/>
          <w:sz w:val="24"/>
          <w:szCs w:val="24"/>
        </w:rPr>
      </w:pPr>
      <w:hyperlink r:id="rId103" w:history="1">
        <w:r w:rsidR="00855BA2" w:rsidRPr="00DC0B84">
          <w:rPr>
            <w:rStyle w:val="Hyperlink"/>
            <w:rFonts w:ascii="Times New Roman" w:hAnsi="Times New Roman"/>
            <w:sz w:val="24"/>
            <w:szCs w:val="24"/>
          </w:rPr>
          <w:t>7th SG13 Regional Workshop on "Standardization of future networks towards Building a better connected Africa"</w:t>
        </w:r>
      </w:hyperlink>
      <w:r w:rsidR="00855BA2" w:rsidRPr="00DC0B84">
        <w:rPr>
          <w:rStyle w:val="Hyperlink"/>
        </w:rPr>
        <w:t>,</w:t>
      </w:r>
      <w:r w:rsidR="00855BA2" w:rsidRPr="00CB05DE">
        <w:rPr>
          <w:rFonts w:ascii="Times New Roman" w:hAnsi="Times New Roman"/>
          <w:sz w:val="24"/>
          <w:szCs w:val="24"/>
        </w:rPr>
        <w:t xml:space="preserve"> </w:t>
      </w:r>
      <w:r w:rsidR="00855BA2" w:rsidRPr="00514BA4">
        <w:rPr>
          <w:rFonts w:ascii="Times New Roman" w:hAnsi="Times New Roman"/>
          <w:sz w:val="24"/>
          <w:szCs w:val="24"/>
          <w:shd w:val="clear" w:color="auto" w:fill="FFFFFF"/>
        </w:rPr>
        <w:t>3-4 February 2020, Abuja, Nigeria.</w:t>
      </w:r>
    </w:p>
    <w:p w14:paraId="385C57ED" w14:textId="0BF71FFB" w:rsidR="00136E7B" w:rsidRPr="00F57FAD" w:rsidRDefault="00BA3326" w:rsidP="00136E7B">
      <w:pPr>
        <w:pStyle w:val="Heading2"/>
      </w:pPr>
      <w:bookmarkStart w:id="139" w:name="_Toc475354525"/>
      <w:bookmarkStart w:id="140" w:name="_Toc480527850"/>
      <w:bookmarkStart w:id="141" w:name="_Toc51331508"/>
      <w:r>
        <w:t>8</w:t>
      </w:r>
      <w:r w:rsidR="00136E7B" w:rsidRPr="00F57FAD">
        <w:t>.4</w:t>
      </w:r>
      <w:r w:rsidR="00136E7B" w:rsidRPr="00F57FAD">
        <w:tab/>
      </w:r>
      <w:bookmarkStart w:id="142" w:name="_Toc475354527"/>
      <w:bookmarkStart w:id="143" w:name="_Toc480527852"/>
      <w:bookmarkEnd w:id="139"/>
      <w:bookmarkEnd w:id="140"/>
      <w:r w:rsidR="00136E7B" w:rsidRPr="00F57FAD">
        <w:t>National Standardization Secretariats</w:t>
      </w:r>
      <w:bookmarkEnd w:id="141"/>
    </w:p>
    <w:p w14:paraId="49A5E023" w14:textId="77777777" w:rsidR="00136E7B" w:rsidRPr="004E5B45" w:rsidRDefault="00136E7B" w:rsidP="00136E7B">
      <w:pPr>
        <w:keepNext/>
        <w:keepLines/>
        <w:rPr>
          <w:lang w:val="en-GB"/>
        </w:rPr>
      </w:pPr>
      <w:r w:rsidRPr="004E5B45">
        <w:rPr>
          <w:lang w:val="en-GB"/>
        </w:rPr>
        <w:t xml:space="preserve">ITU-T’s </w:t>
      </w:r>
      <w:hyperlink r:id="rId104" w:history="1">
        <w:r w:rsidRPr="004E5B45">
          <w:rPr>
            <w:rStyle w:val="Hyperlink"/>
            <w:lang w:val="en-GB"/>
          </w:rPr>
          <w:t>new Guidelines for National Standardization Secretariats (NSS)</w:t>
        </w:r>
      </w:hyperlink>
      <w:r w:rsidRPr="004E5B45">
        <w:rPr>
          <w:lang w:val="en-GB"/>
        </w:rPr>
        <w:t xml:space="preserve"> take into account the membership feedback on the Guidelines first published in 2014. The Guidelines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p w14:paraId="7B946BAA" w14:textId="77777777" w:rsidR="00136E7B" w:rsidRPr="00662764" w:rsidRDefault="00136E7B" w:rsidP="00136E7B">
      <w:pPr>
        <w:rPr>
          <w:lang w:val="en-GB"/>
        </w:rPr>
      </w:pPr>
      <w:r w:rsidRPr="004E5B45">
        <w:rPr>
          <w:lang w:val="en-GB"/>
        </w:rPr>
        <w:t>An extensive set of functions that an NSS could perform are presented, enabling a country to select functions and organizational arrangements in a modular fashion, considering factors such as its ICT standardization policies; the number and type of organizations with an interest in ICT standardization in the country (e.g., number of service providers, equipment manufacturers, and academic and research institutes); and the level of participation in ITU-T SGs (e.g., whether as an initiator of work items, active contributor or observer in one or more ITU-T SGs).</w:t>
      </w:r>
    </w:p>
    <w:p w14:paraId="07F34781" w14:textId="6DAD3B40" w:rsidR="00136E7B" w:rsidRPr="00F57FAD" w:rsidRDefault="00BA3326" w:rsidP="00136E7B">
      <w:pPr>
        <w:pStyle w:val="Heading2"/>
        <w:keepNext w:val="0"/>
        <w:keepLines w:val="0"/>
      </w:pPr>
      <w:bookmarkStart w:id="144" w:name="_Toc51331509"/>
      <w:r>
        <w:t>8</w:t>
      </w:r>
      <w:r w:rsidR="00136E7B" w:rsidRPr="00F57FAD">
        <w:t>.5</w:t>
      </w:r>
      <w:r w:rsidR="00136E7B" w:rsidRPr="00F57FAD">
        <w:tab/>
        <w:t>e-Learning courses</w:t>
      </w:r>
      <w:bookmarkEnd w:id="142"/>
      <w:bookmarkEnd w:id="143"/>
      <w:bookmarkEnd w:id="144"/>
    </w:p>
    <w:p w14:paraId="1B0AE553" w14:textId="77777777" w:rsidR="00136E7B" w:rsidRPr="004E5B45" w:rsidRDefault="00136E7B" w:rsidP="00136E7B">
      <w:pPr>
        <w:rPr>
          <w:lang w:val="en-GB"/>
        </w:rPr>
      </w:pPr>
      <w:r w:rsidRPr="004E5B45">
        <w:rPr>
          <w:rFonts w:eastAsia="SimSun"/>
          <w:lang w:val="en-GB"/>
        </w:rPr>
        <w:t>One of the BSG measures adopted under WTSA Resolution 44 calls for the exploration of e-learning channels for training on ITU-T Recommendations. These training courses are available on the ITU Academy website at</w:t>
      </w:r>
      <w:r w:rsidRPr="004E5B45">
        <w:rPr>
          <w:lang w:val="en-GB"/>
        </w:rPr>
        <w:t xml:space="preserve"> </w:t>
      </w:r>
      <w:hyperlink r:id="rId105" w:history="1">
        <w:r w:rsidRPr="004E5B45">
          <w:rPr>
            <w:rStyle w:val="Hyperlink"/>
            <w:rFonts w:cstheme="majorBidi"/>
            <w:szCs w:val="24"/>
            <w:lang w:val="en-GB"/>
          </w:rPr>
          <w:t>http://academy.itu.int</w:t>
        </w:r>
      </w:hyperlink>
      <w:r w:rsidRPr="004E5B45">
        <w:rPr>
          <w:lang w:val="en-GB"/>
        </w:rPr>
        <w:t>.</w:t>
      </w:r>
    </w:p>
    <w:p w14:paraId="0C0C633E" w14:textId="48F8509E" w:rsidR="00136E7B" w:rsidRPr="00966747" w:rsidRDefault="5EE8545A" w:rsidP="00136E7B">
      <w:pPr>
        <w:rPr>
          <w:rFonts w:eastAsia="SimSun"/>
          <w:lang w:val="en-GB"/>
        </w:rPr>
      </w:pPr>
      <w:r w:rsidRPr="001E7181">
        <w:rPr>
          <w:rFonts w:eastAsia="SimSun"/>
          <w:lang w:val="en-GB"/>
        </w:rPr>
        <w:t xml:space="preserve">The most recent addition to the </w:t>
      </w:r>
      <w:hyperlink r:id="rId106" w:history="1">
        <w:r w:rsidRPr="00C24099">
          <w:rPr>
            <w:rStyle w:val="Hyperlink"/>
            <w:rFonts w:eastAsia="SimSun"/>
            <w:lang w:val="en-GB"/>
          </w:rPr>
          <w:t>IT</w:t>
        </w:r>
        <w:r w:rsidRPr="005C46CA">
          <w:rPr>
            <w:rStyle w:val="Hyperlink"/>
            <w:rFonts w:eastAsia="SimSun"/>
            <w:lang w:val="en-GB"/>
          </w:rPr>
          <w:t>U Academia platform</w:t>
        </w:r>
      </w:hyperlink>
      <w:r w:rsidRPr="001E7181">
        <w:rPr>
          <w:rFonts w:eastAsia="SimSun"/>
          <w:lang w:val="en-GB"/>
        </w:rPr>
        <w:t xml:space="preserve"> trains developers of systems compliant with ITU-T F.921 “Audio-based indoor and outdoor network navigation system for persons with vision impairment”. The course was developed by Wayfindr, in collaboration with TSB and BDT.</w:t>
      </w:r>
    </w:p>
    <w:p w14:paraId="5247FCF1" w14:textId="5371E056" w:rsidR="00136E7B" w:rsidRPr="00F57FAD" w:rsidRDefault="00BA3326" w:rsidP="00136E7B">
      <w:pPr>
        <w:pStyle w:val="Heading2"/>
      </w:pPr>
      <w:bookmarkStart w:id="145" w:name="_Toc475354528"/>
      <w:bookmarkStart w:id="146" w:name="_Toc480527853"/>
      <w:bookmarkStart w:id="147" w:name="_Toc51331510"/>
      <w:r>
        <w:t>8</w:t>
      </w:r>
      <w:r w:rsidR="00136E7B" w:rsidRPr="00F57FAD">
        <w:t>.6</w:t>
      </w:r>
      <w:r w:rsidR="00136E7B" w:rsidRPr="00F57FAD">
        <w:tab/>
      </w:r>
      <w:r w:rsidR="00136E7B">
        <w:t>SG</w:t>
      </w:r>
      <w:r w:rsidR="00136E7B" w:rsidRPr="00F57FAD">
        <w:t xml:space="preserve"> Mentoring Programme</w:t>
      </w:r>
      <w:bookmarkEnd w:id="145"/>
      <w:bookmarkEnd w:id="146"/>
      <w:bookmarkEnd w:id="147"/>
    </w:p>
    <w:p w14:paraId="2EBF84F7" w14:textId="77777777" w:rsidR="00136E7B" w:rsidRPr="00F4004F" w:rsidRDefault="00136E7B" w:rsidP="00136E7B">
      <w:pPr>
        <w:rPr>
          <w:lang w:val="en-GB"/>
        </w:rPr>
      </w:pPr>
      <w:r w:rsidRPr="004E5B45">
        <w:rPr>
          <w:lang w:val="en-GB"/>
        </w:rPr>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045CC24A" w14:textId="7B912830" w:rsidR="00136E7B" w:rsidRPr="00F57FAD" w:rsidRDefault="00BA3326" w:rsidP="00136E7B">
      <w:pPr>
        <w:pStyle w:val="Heading2"/>
      </w:pPr>
      <w:bookmarkStart w:id="148" w:name="_Toc480527855"/>
      <w:bookmarkStart w:id="149" w:name="_Toc51331511"/>
      <w:r>
        <w:t>8</w:t>
      </w:r>
      <w:r w:rsidR="00136E7B" w:rsidRPr="00F57FAD">
        <w:t>.7</w:t>
      </w:r>
      <w:r w:rsidR="00136E7B" w:rsidRPr="00F57FAD">
        <w:tab/>
        <w:t>Technical Papers</w:t>
      </w:r>
      <w:bookmarkEnd w:id="148"/>
      <w:bookmarkEnd w:id="149"/>
    </w:p>
    <w:p w14:paraId="75963A17" w14:textId="38997A36" w:rsidR="00136E7B" w:rsidRPr="00F4004F" w:rsidRDefault="00136E7B" w:rsidP="00136E7B">
      <w:pPr>
        <w:rPr>
          <w:lang w:val="en-GB"/>
        </w:rPr>
      </w:pPr>
      <w:r w:rsidRPr="004E5B45">
        <w:rPr>
          <w:lang w:val="en-GB"/>
        </w:rPr>
        <w:t xml:space="preserve">A series of Technical Reports provide additional information for developing countries on best practices in implementing ITU-T Recommendations. See the Technical Reports </w:t>
      </w:r>
      <w:hyperlink r:id="rId107" w:history="1">
        <w:r w:rsidRPr="004E5B45">
          <w:rPr>
            <w:rStyle w:val="Hyperlink"/>
            <w:rFonts w:asciiTheme="majorBidi" w:hAnsiTheme="majorBidi" w:cstheme="majorBidi"/>
            <w:lang w:val="en-GB"/>
          </w:rPr>
          <w:t>web page</w:t>
        </w:r>
      </w:hyperlink>
      <w:r w:rsidRPr="004E5B45">
        <w:rPr>
          <w:lang w:val="en-GB"/>
        </w:rPr>
        <w:t>.</w:t>
      </w:r>
    </w:p>
    <w:p w14:paraId="72F230DF" w14:textId="6CF1F2F8" w:rsidR="0066307D" w:rsidRPr="00F4004F" w:rsidRDefault="0066307D" w:rsidP="00136E7B">
      <w:pPr>
        <w:rPr>
          <w:lang w:val="en-GB"/>
        </w:rPr>
      </w:pPr>
      <w:r w:rsidRPr="65A54C5D">
        <w:lastRenderedPageBreak/>
        <w:t xml:space="preserve">SG13 recently </w:t>
      </w:r>
      <w:r w:rsidRPr="65A54C5D">
        <w:rPr>
          <w:rFonts w:asciiTheme="majorBidi" w:hAnsiTheme="majorBidi" w:cstheme="majorBidi"/>
        </w:rPr>
        <w:t>agreed</w:t>
      </w:r>
      <w:r w:rsidRPr="65A54C5D">
        <w:t xml:space="preserve"> an </w:t>
      </w:r>
      <w:hyperlink r:id="rId108" w:history="1">
        <w:r w:rsidRPr="00CE32C3">
          <w:rPr>
            <w:rStyle w:val="Hyperlink"/>
            <w:lang w:eastAsia="en-US"/>
          </w:rPr>
          <w:t xml:space="preserve">ITU-T Technical </w:t>
        </w:r>
        <w:r w:rsidR="00CE32C3" w:rsidRPr="00CE32C3">
          <w:rPr>
            <w:rStyle w:val="Hyperlink"/>
            <w:lang w:eastAsia="en-US"/>
          </w:rPr>
          <w:t>Report on the “</w:t>
        </w:r>
        <w:r w:rsidRPr="00CE32C3">
          <w:rPr>
            <w:rStyle w:val="Hyperlink"/>
            <w:lang w:eastAsia="en-US"/>
          </w:rPr>
          <w:t>Use of ITU-T Recommendations by Developing Countries”</w:t>
        </w:r>
      </w:hyperlink>
      <w:r w:rsidRPr="65A54C5D">
        <w:rPr>
          <w:lang w:eastAsia="en-US"/>
        </w:rPr>
        <w:t xml:space="preserve"> </w:t>
      </w:r>
      <w:r w:rsidR="00017936" w:rsidRPr="65A54C5D">
        <w:rPr>
          <w:lang w:eastAsia="en-US"/>
        </w:rPr>
        <w:t xml:space="preserve">which presents the analysis and interpretation of the results of </w:t>
      </w:r>
      <w:r w:rsidR="00D23716" w:rsidRPr="65A54C5D">
        <w:rPr>
          <w:lang w:eastAsia="en-US"/>
        </w:rPr>
        <w:t>a</w:t>
      </w:r>
      <w:r w:rsidR="00017936" w:rsidRPr="65A54C5D">
        <w:rPr>
          <w:lang w:eastAsia="en-US"/>
        </w:rPr>
        <w:t xml:space="preserve"> questionnaire on use of ITU-T Recommendations in </w:t>
      </w:r>
      <w:r w:rsidR="00075613" w:rsidRPr="65A54C5D">
        <w:rPr>
          <w:lang w:eastAsia="en-US"/>
        </w:rPr>
        <w:t>d</w:t>
      </w:r>
      <w:r w:rsidR="00017936" w:rsidRPr="65A54C5D">
        <w:rPr>
          <w:lang w:eastAsia="en-US"/>
        </w:rPr>
        <w:t xml:space="preserve">eveloping </w:t>
      </w:r>
      <w:r w:rsidR="00075613" w:rsidRPr="65A54C5D">
        <w:rPr>
          <w:lang w:eastAsia="en-US"/>
        </w:rPr>
        <w:t>c</w:t>
      </w:r>
      <w:r w:rsidR="00017936" w:rsidRPr="65A54C5D">
        <w:rPr>
          <w:lang w:eastAsia="en-US"/>
        </w:rPr>
        <w:t>ountries.</w:t>
      </w:r>
    </w:p>
    <w:p w14:paraId="1F3F80D0" w14:textId="759E18A3" w:rsidR="00136E7B" w:rsidRPr="00F57FAD" w:rsidRDefault="00BA3326" w:rsidP="00136E7B">
      <w:pPr>
        <w:pStyle w:val="Heading2"/>
      </w:pPr>
      <w:bookmarkStart w:id="150" w:name="_Toc480527856"/>
      <w:bookmarkStart w:id="151" w:name="_Toc51331512"/>
      <w:r>
        <w:t>8</w:t>
      </w:r>
      <w:r w:rsidR="00136E7B" w:rsidRPr="00F57FAD">
        <w:t>.8</w:t>
      </w:r>
      <w:r w:rsidR="00136E7B" w:rsidRPr="00F57FAD">
        <w:tab/>
        <w:t>Fellowships</w:t>
      </w:r>
      <w:bookmarkEnd w:id="150"/>
      <w:bookmarkEnd w:id="151"/>
    </w:p>
    <w:p w14:paraId="623D7A29" w14:textId="00890982" w:rsidR="00136E7B" w:rsidRPr="001260C0" w:rsidRDefault="00136E7B" w:rsidP="00136E7B">
      <w:pPr>
        <w:spacing w:after="120"/>
        <w:rPr>
          <w:lang w:val="en-GB"/>
        </w:rPr>
      </w:pPr>
      <w:bookmarkStart w:id="152" w:name="_Toc462664265"/>
      <w:bookmarkStart w:id="153" w:name="_Toc462665590"/>
      <w:bookmarkStart w:id="154" w:name="_Toc462669176"/>
      <w:r w:rsidRPr="004E5B45">
        <w:rPr>
          <w:lang w:val="en-GB"/>
        </w:rPr>
        <w:t xml:space="preserve">The table below shows the fellowships awarded during the period from </w:t>
      </w:r>
      <w:r w:rsidR="004E5B45" w:rsidRPr="004E5B45">
        <w:rPr>
          <w:lang w:val="en-GB"/>
        </w:rPr>
        <w:t xml:space="preserve">January to </w:t>
      </w:r>
      <w:r w:rsidRPr="004E5B45">
        <w:rPr>
          <w:lang w:val="en-GB"/>
        </w:rPr>
        <w:t>August 20</w:t>
      </w:r>
      <w:r w:rsidR="004E5B45" w:rsidRPr="004E5B45">
        <w:rPr>
          <w:lang w:val="en-GB"/>
        </w:rPr>
        <w:t>20</w:t>
      </w:r>
      <w:r w:rsidRPr="004E5B45">
        <w:rPr>
          <w:lang w:val="en-GB"/>
        </w:rPr>
        <w:t xml:space="preserve">. </w:t>
      </w:r>
      <w:r w:rsidR="087AD5D6" w:rsidRPr="7EC87BF3">
        <w:rPr>
          <w:color w:val="000000" w:themeColor="text1"/>
          <w:lang w:val="en-GB"/>
        </w:rPr>
        <w:t>40</w:t>
      </w:r>
      <w:r w:rsidRPr="7EC87BF3">
        <w:rPr>
          <w:color w:val="000000" w:themeColor="text1"/>
          <w:lang w:val="en-GB"/>
        </w:rPr>
        <w:t xml:space="preserve"> fellowships were requested</w:t>
      </w:r>
      <w:r w:rsidR="087AD5D6" w:rsidRPr="7EC87BF3">
        <w:rPr>
          <w:color w:val="000000" w:themeColor="text1"/>
          <w:lang w:val="en-GB"/>
        </w:rPr>
        <w:t>,</w:t>
      </w:r>
      <w:r w:rsidRPr="7EC87BF3">
        <w:rPr>
          <w:color w:val="000000" w:themeColor="text1"/>
          <w:lang w:val="en-GB"/>
        </w:rPr>
        <w:t xml:space="preserve"> and </w:t>
      </w:r>
      <w:r w:rsidR="087AD5D6" w:rsidRPr="7EC87BF3">
        <w:rPr>
          <w:color w:val="000000" w:themeColor="text1"/>
          <w:lang w:val="en-GB"/>
        </w:rPr>
        <w:t>33</w:t>
      </w:r>
      <w:r w:rsidRPr="7EC87BF3">
        <w:rPr>
          <w:color w:val="000000" w:themeColor="text1"/>
          <w:lang w:val="en-GB"/>
        </w:rPr>
        <w:t xml:space="preserve"> fellowships were awarded. Of the </w:t>
      </w:r>
      <w:r w:rsidR="087AD5D6" w:rsidRPr="7EC87BF3">
        <w:rPr>
          <w:color w:val="000000" w:themeColor="text1"/>
          <w:lang w:val="en-GB"/>
        </w:rPr>
        <w:t>33</w:t>
      </w:r>
      <w:r w:rsidRPr="7EC87BF3">
        <w:rPr>
          <w:color w:val="000000" w:themeColor="text1"/>
          <w:lang w:val="en-GB"/>
        </w:rPr>
        <w:t xml:space="preserve"> fellowships awarded, </w:t>
      </w:r>
      <w:r w:rsidR="087AD5D6" w:rsidRPr="7EC87BF3">
        <w:rPr>
          <w:color w:val="000000" w:themeColor="text1"/>
          <w:lang w:val="en-GB"/>
        </w:rPr>
        <w:t>30</w:t>
      </w:r>
      <w:r w:rsidRPr="7EC87BF3">
        <w:rPr>
          <w:color w:val="000000" w:themeColor="text1"/>
          <w:lang w:val="en-GB"/>
        </w:rPr>
        <w:t xml:space="preserve"> fellowships were used and </w:t>
      </w:r>
      <w:r w:rsidR="087AD5D6" w:rsidRPr="7EC87BF3">
        <w:rPr>
          <w:color w:val="000000" w:themeColor="text1"/>
          <w:lang w:val="en-GB"/>
        </w:rPr>
        <w:t>3</w:t>
      </w:r>
      <w:r w:rsidRPr="7EC87BF3">
        <w:rPr>
          <w:color w:val="000000" w:themeColor="text1"/>
          <w:lang w:val="en-GB"/>
        </w:rPr>
        <w:t xml:space="preserve"> were cancelled.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01"/>
        <w:gridCol w:w="1559"/>
        <w:gridCol w:w="2551"/>
      </w:tblGrid>
      <w:tr w:rsidR="00B366DC" w:rsidRPr="008137C7" w14:paraId="3B5F574F" w14:textId="77777777" w:rsidTr="00176002">
        <w:trPr>
          <w:cantSplit/>
          <w:tblHeader/>
        </w:trPr>
        <w:tc>
          <w:tcPr>
            <w:tcW w:w="3828" w:type="dxa"/>
            <w:vMerge w:val="restart"/>
            <w:shd w:val="clear" w:color="auto" w:fill="B8CCE4" w:themeFill="accent1" w:themeFillTint="66"/>
            <w:vAlign w:val="center"/>
          </w:tcPr>
          <w:p w14:paraId="6B84657D" w14:textId="77777777" w:rsidR="00136E7B" w:rsidRPr="004E5B45" w:rsidRDefault="00136E7B" w:rsidP="00176002">
            <w:pPr>
              <w:pStyle w:val="Tablehead"/>
              <w:rPr>
                <w:lang w:val="en-GB"/>
              </w:rPr>
            </w:pPr>
            <w:r w:rsidRPr="004E5B45">
              <w:rPr>
                <w:lang w:val="en-GB"/>
              </w:rPr>
              <w:t>Meeting</w:t>
            </w:r>
          </w:p>
        </w:tc>
        <w:tc>
          <w:tcPr>
            <w:tcW w:w="3260" w:type="dxa"/>
            <w:gridSpan w:val="2"/>
            <w:shd w:val="clear" w:color="auto" w:fill="B8CCE4" w:themeFill="accent1" w:themeFillTint="66"/>
            <w:vAlign w:val="center"/>
          </w:tcPr>
          <w:p w14:paraId="51364A25" w14:textId="77777777" w:rsidR="00136E7B" w:rsidRPr="004E5B45" w:rsidRDefault="00136E7B" w:rsidP="00176002">
            <w:pPr>
              <w:pStyle w:val="Tablehead"/>
              <w:rPr>
                <w:lang w:val="en-GB"/>
              </w:rPr>
            </w:pPr>
            <w:r w:rsidRPr="004E5B45">
              <w:rPr>
                <w:lang w:val="en-GB"/>
              </w:rPr>
              <w:t>Fellows</w:t>
            </w:r>
          </w:p>
        </w:tc>
        <w:tc>
          <w:tcPr>
            <w:tcW w:w="2551" w:type="dxa"/>
            <w:vMerge w:val="restart"/>
            <w:shd w:val="clear" w:color="auto" w:fill="B8CCE4" w:themeFill="accent1" w:themeFillTint="66"/>
            <w:vAlign w:val="center"/>
          </w:tcPr>
          <w:p w14:paraId="2AC75046" w14:textId="77777777" w:rsidR="00136E7B" w:rsidRPr="004E5B45" w:rsidRDefault="00136E7B" w:rsidP="00176002">
            <w:pPr>
              <w:pStyle w:val="Tablehead"/>
              <w:rPr>
                <w:lang w:val="en-GB"/>
              </w:rPr>
            </w:pPr>
            <w:r w:rsidRPr="004E5B45">
              <w:rPr>
                <w:lang w:val="en-GB"/>
              </w:rPr>
              <w:t>Total</w:t>
            </w:r>
          </w:p>
        </w:tc>
      </w:tr>
      <w:tr w:rsidR="008D743A" w:rsidRPr="008137C7" w14:paraId="5D5590CF" w14:textId="77777777" w:rsidTr="00176002">
        <w:trPr>
          <w:cantSplit/>
          <w:tblHeader/>
        </w:trPr>
        <w:tc>
          <w:tcPr>
            <w:tcW w:w="3828" w:type="dxa"/>
            <w:vMerge/>
            <w:shd w:val="clear" w:color="auto" w:fill="B8CCE4" w:themeFill="accent1" w:themeFillTint="66"/>
            <w:vAlign w:val="center"/>
          </w:tcPr>
          <w:p w14:paraId="53A54F49" w14:textId="77777777" w:rsidR="00136E7B" w:rsidRPr="004E5B45" w:rsidRDefault="00136E7B" w:rsidP="00176002">
            <w:pPr>
              <w:pStyle w:val="Tablehead"/>
              <w:rPr>
                <w:lang w:val="en-GB"/>
              </w:rPr>
            </w:pPr>
          </w:p>
        </w:tc>
        <w:tc>
          <w:tcPr>
            <w:tcW w:w="1701" w:type="dxa"/>
            <w:shd w:val="clear" w:color="auto" w:fill="B8CCE4" w:themeFill="accent1" w:themeFillTint="66"/>
            <w:vAlign w:val="center"/>
          </w:tcPr>
          <w:p w14:paraId="07DF7858" w14:textId="77777777" w:rsidR="00136E7B" w:rsidRPr="004E5B45" w:rsidRDefault="00136E7B" w:rsidP="00176002">
            <w:pPr>
              <w:pStyle w:val="Tablehead"/>
              <w:rPr>
                <w:lang w:val="en-GB"/>
              </w:rPr>
            </w:pPr>
            <w:r w:rsidRPr="004E5B45">
              <w:rPr>
                <w:lang w:val="en-GB"/>
              </w:rPr>
              <w:t>Female</w:t>
            </w:r>
          </w:p>
        </w:tc>
        <w:tc>
          <w:tcPr>
            <w:tcW w:w="1559" w:type="dxa"/>
            <w:shd w:val="clear" w:color="auto" w:fill="B8CCE4" w:themeFill="accent1" w:themeFillTint="66"/>
            <w:vAlign w:val="center"/>
          </w:tcPr>
          <w:p w14:paraId="23186CC3" w14:textId="77777777" w:rsidR="00136E7B" w:rsidRPr="004E5B45" w:rsidRDefault="00136E7B" w:rsidP="00176002">
            <w:pPr>
              <w:pStyle w:val="Tablehead"/>
              <w:rPr>
                <w:lang w:val="en-GB"/>
              </w:rPr>
            </w:pPr>
            <w:r w:rsidRPr="004E5B45">
              <w:rPr>
                <w:lang w:val="en-GB"/>
              </w:rPr>
              <w:t>Male</w:t>
            </w:r>
          </w:p>
        </w:tc>
        <w:tc>
          <w:tcPr>
            <w:tcW w:w="2551" w:type="dxa"/>
            <w:vMerge/>
            <w:shd w:val="clear" w:color="auto" w:fill="B8CCE4" w:themeFill="accent1" w:themeFillTint="66"/>
            <w:vAlign w:val="center"/>
          </w:tcPr>
          <w:p w14:paraId="7B112F6E" w14:textId="77777777" w:rsidR="00136E7B" w:rsidRPr="001260C0" w:rsidRDefault="00136E7B" w:rsidP="00176002">
            <w:pPr>
              <w:pStyle w:val="Tablehead"/>
              <w:rPr>
                <w:lang w:val="en-GB"/>
              </w:rPr>
            </w:pPr>
          </w:p>
        </w:tc>
      </w:tr>
      <w:tr w:rsidR="00A8410A" w:rsidRPr="008137C7" w14:paraId="52AAEE33" w14:textId="77777777" w:rsidTr="00176002">
        <w:tc>
          <w:tcPr>
            <w:tcW w:w="3828" w:type="dxa"/>
          </w:tcPr>
          <w:p w14:paraId="36A14D29" w14:textId="6D8EB23A" w:rsidR="00136E7B" w:rsidRPr="001260C0" w:rsidRDefault="00136E7B" w:rsidP="00176002">
            <w:pPr>
              <w:pStyle w:val="TableText0"/>
              <w:rPr>
                <w:lang w:val="en-GB"/>
              </w:rPr>
            </w:pPr>
            <w:r w:rsidRPr="001260C0">
              <w:rPr>
                <w:color w:val="000000" w:themeColor="text1"/>
                <w:szCs w:val="22"/>
              </w:rPr>
              <w:t xml:space="preserve">ITU-T </w:t>
            </w:r>
            <w:r w:rsidR="26C7AD86" w:rsidRPr="001260C0">
              <w:rPr>
                <w:color w:val="000000" w:themeColor="text1"/>
                <w:szCs w:val="22"/>
              </w:rPr>
              <w:t>SG15</w:t>
            </w:r>
            <w:r w:rsidRPr="001260C0">
              <w:rPr>
                <w:color w:val="000000" w:themeColor="text1"/>
                <w:szCs w:val="22"/>
              </w:rPr>
              <w:t xml:space="preserve">, Geneva, 27 </w:t>
            </w:r>
            <w:r w:rsidR="26C7AD86" w:rsidRPr="001260C0">
              <w:rPr>
                <w:color w:val="000000" w:themeColor="text1"/>
                <w:szCs w:val="22"/>
              </w:rPr>
              <w:t>January – 7 February 2020</w:t>
            </w:r>
          </w:p>
        </w:tc>
        <w:tc>
          <w:tcPr>
            <w:tcW w:w="1701" w:type="dxa"/>
          </w:tcPr>
          <w:p w14:paraId="6519F050" w14:textId="08E40303" w:rsidR="00136E7B" w:rsidRPr="001260C0" w:rsidRDefault="56EB5FA3" w:rsidP="00176002">
            <w:pPr>
              <w:pStyle w:val="TableText0"/>
              <w:jc w:val="center"/>
              <w:rPr>
                <w:color w:val="000000" w:themeColor="text1"/>
                <w:szCs w:val="22"/>
              </w:rPr>
            </w:pPr>
            <w:r w:rsidRPr="001260C0">
              <w:rPr>
                <w:color w:val="000000" w:themeColor="text1"/>
                <w:szCs w:val="22"/>
              </w:rPr>
              <w:t>0</w:t>
            </w:r>
          </w:p>
        </w:tc>
        <w:tc>
          <w:tcPr>
            <w:tcW w:w="1559" w:type="dxa"/>
          </w:tcPr>
          <w:p w14:paraId="2F2525C6" w14:textId="3F5876AB" w:rsidR="00136E7B" w:rsidRPr="001260C0" w:rsidRDefault="53FE4A44" w:rsidP="00176002">
            <w:pPr>
              <w:pStyle w:val="TableText0"/>
              <w:jc w:val="center"/>
              <w:rPr>
                <w:szCs w:val="22"/>
              </w:rPr>
            </w:pPr>
            <w:r w:rsidRPr="001260C0">
              <w:rPr>
                <w:color w:val="000000" w:themeColor="text1"/>
                <w:szCs w:val="22"/>
              </w:rPr>
              <w:t>6</w:t>
            </w:r>
            <w:r w:rsidR="00136E7B" w:rsidRPr="001260C0">
              <w:rPr>
                <w:color w:val="000000" w:themeColor="text1"/>
                <w:szCs w:val="22"/>
              </w:rPr>
              <w:t xml:space="preserve"> (1 cancelled)</w:t>
            </w:r>
          </w:p>
        </w:tc>
        <w:tc>
          <w:tcPr>
            <w:tcW w:w="2551" w:type="dxa"/>
          </w:tcPr>
          <w:p w14:paraId="3F26E84F" w14:textId="165843AC" w:rsidR="00136E7B" w:rsidRPr="001260C0" w:rsidRDefault="00136E7B" w:rsidP="00176002">
            <w:pPr>
              <w:pStyle w:val="TableText0"/>
              <w:rPr>
                <w:szCs w:val="22"/>
              </w:rPr>
            </w:pPr>
            <w:r w:rsidRPr="001260C0">
              <w:rPr>
                <w:color w:val="000000" w:themeColor="text1"/>
                <w:szCs w:val="22"/>
              </w:rPr>
              <w:t xml:space="preserve">6 fellowships awarded, </w:t>
            </w:r>
            <w:r w:rsidR="16F1F692" w:rsidRPr="001260C0">
              <w:rPr>
                <w:color w:val="000000" w:themeColor="text1"/>
                <w:szCs w:val="22"/>
              </w:rPr>
              <w:t>5</w:t>
            </w:r>
            <w:r w:rsidRPr="001260C0">
              <w:rPr>
                <w:color w:val="000000" w:themeColor="text1"/>
                <w:szCs w:val="22"/>
              </w:rPr>
              <w:t xml:space="preserve"> participants</w:t>
            </w:r>
          </w:p>
        </w:tc>
      </w:tr>
      <w:tr w:rsidR="00A8410A" w:rsidRPr="008137C7" w14:paraId="6847CBF8" w14:textId="77777777" w:rsidTr="00176002">
        <w:tc>
          <w:tcPr>
            <w:tcW w:w="3828" w:type="dxa"/>
          </w:tcPr>
          <w:p w14:paraId="0280E9A8" w14:textId="6173F40F" w:rsidR="00136E7B" w:rsidRPr="001260C0" w:rsidRDefault="00136E7B" w:rsidP="00176002">
            <w:pPr>
              <w:pStyle w:val="TableText0"/>
              <w:rPr>
                <w:color w:val="000000" w:themeColor="text1"/>
                <w:szCs w:val="22"/>
              </w:rPr>
            </w:pPr>
            <w:r w:rsidRPr="001260C0">
              <w:rPr>
                <w:color w:val="000000" w:themeColor="text1"/>
                <w:szCs w:val="22"/>
              </w:rPr>
              <w:t xml:space="preserve">ITU-T </w:t>
            </w:r>
            <w:r w:rsidR="5023493B" w:rsidRPr="001260C0">
              <w:rPr>
                <w:color w:val="000000" w:themeColor="text1"/>
                <w:szCs w:val="22"/>
              </w:rPr>
              <w:t>SG13RG</w:t>
            </w:r>
            <w:r w:rsidRPr="001260C0">
              <w:rPr>
                <w:color w:val="000000" w:themeColor="text1"/>
                <w:szCs w:val="22"/>
              </w:rPr>
              <w:t xml:space="preserve">-AFR and </w:t>
            </w:r>
            <w:r w:rsidR="5023493B" w:rsidRPr="001260C0">
              <w:rPr>
                <w:color w:val="000000" w:themeColor="text1"/>
                <w:szCs w:val="22"/>
              </w:rPr>
              <w:t>Regional Workshop</w:t>
            </w:r>
            <w:r w:rsidRPr="001260C0">
              <w:rPr>
                <w:color w:val="000000" w:themeColor="text1"/>
                <w:szCs w:val="22"/>
              </w:rPr>
              <w:t xml:space="preserve">, Abuja, Nigeria, </w:t>
            </w:r>
            <w:r w:rsidR="5023493B" w:rsidRPr="001260C0">
              <w:rPr>
                <w:color w:val="000000" w:themeColor="text1"/>
                <w:szCs w:val="22"/>
              </w:rPr>
              <w:t>3-6 February 2020</w:t>
            </w:r>
          </w:p>
        </w:tc>
        <w:tc>
          <w:tcPr>
            <w:tcW w:w="1701" w:type="dxa"/>
          </w:tcPr>
          <w:p w14:paraId="26907E51" w14:textId="58BA949C" w:rsidR="00136E7B" w:rsidRPr="001260C0" w:rsidRDefault="05ED9562" w:rsidP="00176002">
            <w:pPr>
              <w:pStyle w:val="TableText0"/>
              <w:jc w:val="center"/>
              <w:rPr>
                <w:color w:val="000000" w:themeColor="text1"/>
                <w:szCs w:val="22"/>
              </w:rPr>
            </w:pPr>
            <w:r w:rsidRPr="001260C0">
              <w:rPr>
                <w:color w:val="000000" w:themeColor="text1"/>
                <w:szCs w:val="22"/>
              </w:rPr>
              <w:t>0</w:t>
            </w:r>
          </w:p>
        </w:tc>
        <w:tc>
          <w:tcPr>
            <w:tcW w:w="1559" w:type="dxa"/>
          </w:tcPr>
          <w:p w14:paraId="104AAA52" w14:textId="3FCD5C4E" w:rsidR="00136E7B" w:rsidRPr="001260C0" w:rsidRDefault="794A3A65" w:rsidP="00176002">
            <w:pPr>
              <w:pStyle w:val="TableText0"/>
              <w:jc w:val="center"/>
              <w:rPr>
                <w:szCs w:val="22"/>
              </w:rPr>
            </w:pPr>
            <w:r w:rsidRPr="001260C0">
              <w:rPr>
                <w:color w:val="000000" w:themeColor="text1"/>
                <w:szCs w:val="22"/>
              </w:rPr>
              <w:t>4 (1</w:t>
            </w:r>
            <w:r w:rsidR="00136E7B" w:rsidRPr="001260C0">
              <w:rPr>
                <w:color w:val="000000" w:themeColor="text1"/>
                <w:szCs w:val="22"/>
              </w:rPr>
              <w:t xml:space="preserve"> cancelled)</w:t>
            </w:r>
          </w:p>
        </w:tc>
        <w:tc>
          <w:tcPr>
            <w:tcW w:w="2551" w:type="dxa"/>
          </w:tcPr>
          <w:p w14:paraId="1B74BB72" w14:textId="5328E6D7" w:rsidR="00136E7B" w:rsidRPr="001260C0" w:rsidRDefault="7815A2BF" w:rsidP="00176002">
            <w:pPr>
              <w:pStyle w:val="TableText0"/>
              <w:rPr>
                <w:szCs w:val="22"/>
              </w:rPr>
            </w:pPr>
            <w:r w:rsidRPr="001260C0">
              <w:rPr>
                <w:color w:val="000000" w:themeColor="text1"/>
                <w:szCs w:val="22"/>
              </w:rPr>
              <w:t>4</w:t>
            </w:r>
            <w:r w:rsidR="00136E7B" w:rsidRPr="001260C0">
              <w:rPr>
                <w:color w:val="000000" w:themeColor="text1"/>
                <w:szCs w:val="22"/>
              </w:rPr>
              <w:t xml:space="preserve"> fellowships awarded, </w:t>
            </w:r>
            <w:r w:rsidRPr="001260C0">
              <w:rPr>
                <w:color w:val="000000" w:themeColor="text1"/>
                <w:szCs w:val="22"/>
              </w:rPr>
              <w:t>3</w:t>
            </w:r>
            <w:r w:rsidR="00136E7B" w:rsidRPr="001260C0">
              <w:rPr>
                <w:color w:val="000000" w:themeColor="text1"/>
                <w:szCs w:val="22"/>
              </w:rPr>
              <w:t xml:space="preserve"> participants</w:t>
            </w:r>
          </w:p>
        </w:tc>
      </w:tr>
      <w:tr w:rsidR="00A8410A" w:rsidRPr="008137C7" w14:paraId="3ED2AE02" w14:textId="77777777" w:rsidTr="00176002">
        <w:tc>
          <w:tcPr>
            <w:tcW w:w="3828" w:type="dxa"/>
          </w:tcPr>
          <w:p w14:paraId="2568D4D8" w14:textId="3866DC02" w:rsidR="00136E7B" w:rsidRPr="001260C0" w:rsidRDefault="1D8578DA" w:rsidP="00176002">
            <w:pPr>
              <w:pStyle w:val="TableText0"/>
              <w:rPr>
                <w:szCs w:val="22"/>
              </w:rPr>
            </w:pPr>
            <w:r w:rsidRPr="001260C0">
              <w:rPr>
                <w:color w:val="000000" w:themeColor="text1"/>
                <w:szCs w:val="22"/>
              </w:rPr>
              <w:t>TSAG, Geneva, 10-14 February 2020</w:t>
            </w:r>
          </w:p>
        </w:tc>
        <w:tc>
          <w:tcPr>
            <w:tcW w:w="1701" w:type="dxa"/>
          </w:tcPr>
          <w:p w14:paraId="41BA1D96" w14:textId="42CD75B4" w:rsidR="00136E7B" w:rsidRPr="001260C0" w:rsidRDefault="7DDABA2E" w:rsidP="00176002">
            <w:pPr>
              <w:pStyle w:val="TableText0"/>
              <w:jc w:val="center"/>
              <w:rPr>
                <w:color w:val="000000" w:themeColor="text1"/>
                <w:szCs w:val="22"/>
              </w:rPr>
            </w:pPr>
            <w:r w:rsidRPr="001260C0">
              <w:rPr>
                <w:color w:val="000000" w:themeColor="text1"/>
                <w:szCs w:val="22"/>
              </w:rPr>
              <w:t>2</w:t>
            </w:r>
          </w:p>
        </w:tc>
        <w:tc>
          <w:tcPr>
            <w:tcW w:w="1559" w:type="dxa"/>
          </w:tcPr>
          <w:p w14:paraId="1C0DE966" w14:textId="445B028A" w:rsidR="00136E7B" w:rsidRPr="001260C0" w:rsidRDefault="3024E958" w:rsidP="00176002">
            <w:pPr>
              <w:pStyle w:val="TableText0"/>
              <w:jc w:val="center"/>
              <w:rPr>
                <w:szCs w:val="22"/>
              </w:rPr>
            </w:pPr>
            <w:r w:rsidRPr="001260C0">
              <w:rPr>
                <w:color w:val="000000" w:themeColor="text1"/>
                <w:szCs w:val="22"/>
              </w:rPr>
              <w:t>7</w:t>
            </w:r>
            <w:r w:rsidR="00136E7B" w:rsidRPr="001260C0">
              <w:rPr>
                <w:color w:val="000000" w:themeColor="text1"/>
                <w:szCs w:val="22"/>
              </w:rPr>
              <w:t xml:space="preserve"> (1 cancelled)</w:t>
            </w:r>
          </w:p>
        </w:tc>
        <w:tc>
          <w:tcPr>
            <w:tcW w:w="2551" w:type="dxa"/>
          </w:tcPr>
          <w:p w14:paraId="5CBFA2BA" w14:textId="632C9946" w:rsidR="00136E7B" w:rsidRPr="001260C0" w:rsidRDefault="00BFB9B7" w:rsidP="00176002">
            <w:pPr>
              <w:pStyle w:val="TableText0"/>
              <w:rPr>
                <w:szCs w:val="22"/>
              </w:rPr>
            </w:pPr>
            <w:r w:rsidRPr="001260C0">
              <w:rPr>
                <w:color w:val="000000" w:themeColor="text1"/>
                <w:szCs w:val="22"/>
              </w:rPr>
              <w:t>9</w:t>
            </w:r>
            <w:r w:rsidR="00136E7B" w:rsidRPr="001260C0">
              <w:rPr>
                <w:color w:val="000000" w:themeColor="text1"/>
                <w:szCs w:val="22"/>
              </w:rPr>
              <w:t xml:space="preserve"> fellowships awarded, </w:t>
            </w:r>
            <w:r w:rsidRPr="001260C0">
              <w:rPr>
                <w:color w:val="000000" w:themeColor="text1"/>
                <w:szCs w:val="22"/>
              </w:rPr>
              <w:t>8</w:t>
            </w:r>
            <w:r w:rsidR="00136E7B" w:rsidRPr="001260C0">
              <w:rPr>
                <w:color w:val="000000" w:themeColor="text1"/>
                <w:szCs w:val="22"/>
              </w:rPr>
              <w:t xml:space="preserve"> participants</w:t>
            </w:r>
          </w:p>
        </w:tc>
      </w:tr>
      <w:tr w:rsidR="00A8410A" w:rsidRPr="008137C7" w14:paraId="6ABC50FF" w14:textId="77777777" w:rsidTr="00176002">
        <w:tc>
          <w:tcPr>
            <w:tcW w:w="3828" w:type="dxa"/>
          </w:tcPr>
          <w:p w14:paraId="336A66E8" w14:textId="5D131C88" w:rsidR="00136E7B" w:rsidRPr="001260C0" w:rsidRDefault="21A5FF91" w:rsidP="00176002">
            <w:pPr>
              <w:pStyle w:val="TableText0"/>
              <w:rPr>
                <w:color w:val="000000" w:themeColor="text1"/>
                <w:szCs w:val="22"/>
              </w:rPr>
            </w:pPr>
            <w:r w:rsidRPr="001260C0">
              <w:rPr>
                <w:color w:val="000000" w:themeColor="text1"/>
                <w:szCs w:val="22"/>
              </w:rPr>
              <w:t>SG12RG-AFR N’Djamena, Chad, 4-5 March 2020</w:t>
            </w:r>
          </w:p>
        </w:tc>
        <w:tc>
          <w:tcPr>
            <w:tcW w:w="1701" w:type="dxa"/>
          </w:tcPr>
          <w:p w14:paraId="13FAA681" w14:textId="48F44F2A" w:rsidR="00136E7B" w:rsidRPr="001260C0" w:rsidRDefault="737CE61F" w:rsidP="00176002">
            <w:pPr>
              <w:pStyle w:val="TableText0"/>
              <w:jc w:val="center"/>
              <w:rPr>
                <w:color w:val="000000" w:themeColor="text1"/>
                <w:szCs w:val="22"/>
              </w:rPr>
            </w:pPr>
            <w:r w:rsidRPr="001260C0">
              <w:rPr>
                <w:color w:val="000000" w:themeColor="text1"/>
                <w:szCs w:val="22"/>
              </w:rPr>
              <w:t>0</w:t>
            </w:r>
          </w:p>
        </w:tc>
        <w:tc>
          <w:tcPr>
            <w:tcW w:w="1559" w:type="dxa"/>
          </w:tcPr>
          <w:p w14:paraId="11D25CA3" w14:textId="727D38AE" w:rsidR="00136E7B" w:rsidRPr="001260C0" w:rsidRDefault="639D0AF6" w:rsidP="00176002">
            <w:pPr>
              <w:pStyle w:val="TableText0"/>
              <w:jc w:val="center"/>
              <w:rPr>
                <w:color w:val="000000" w:themeColor="text1"/>
                <w:szCs w:val="22"/>
              </w:rPr>
            </w:pPr>
            <w:r w:rsidRPr="001260C0">
              <w:rPr>
                <w:color w:val="000000" w:themeColor="text1"/>
                <w:szCs w:val="22"/>
              </w:rPr>
              <w:t>6</w:t>
            </w:r>
          </w:p>
        </w:tc>
        <w:tc>
          <w:tcPr>
            <w:tcW w:w="2551" w:type="dxa"/>
          </w:tcPr>
          <w:p w14:paraId="4E388E6A" w14:textId="41010419" w:rsidR="00136E7B" w:rsidRPr="001260C0" w:rsidRDefault="52625171" w:rsidP="00176002">
            <w:pPr>
              <w:pStyle w:val="TableText0"/>
              <w:rPr>
                <w:szCs w:val="22"/>
              </w:rPr>
            </w:pPr>
            <w:r w:rsidRPr="001260C0">
              <w:rPr>
                <w:color w:val="000000" w:themeColor="text1"/>
                <w:szCs w:val="22"/>
              </w:rPr>
              <w:t>6</w:t>
            </w:r>
            <w:r w:rsidR="00136E7B" w:rsidRPr="001260C0">
              <w:rPr>
                <w:color w:val="000000" w:themeColor="text1"/>
                <w:szCs w:val="22"/>
              </w:rPr>
              <w:t xml:space="preserve"> fellowships awarded, </w:t>
            </w:r>
            <w:r w:rsidRPr="001260C0">
              <w:rPr>
                <w:color w:val="000000" w:themeColor="text1"/>
                <w:szCs w:val="22"/>
              </w:rPr>
              <w:t>6</w:t>
            </w:r>
            <w:r w:rsidR="00136E7B" w:rsidRPr="001260C0">
              <w:rPr>
                <w:color w:val="000000" w:themeColor="text1"/>
                <w:szCs w:val="22"/>
              </w:rPr>
              <w:t xml:space="preserve"> participants</w:t>
            </w:r>
          </w:p>
        </w:tc>
      </w:tr>
      <w:tr w:rsidR="00A8410A" w:rsidRPr="008137C7" w14:paraId="747AD915" w14:textId="77777777" w:rsidTr="00176002">
        <w:tc>
          <w:tcPr>
            <w:tcW w:w="3828" w:type="dxa"/>
          </w:tcPr>
          <w:p w14:paraId="557C3455" w14:textId="2DDA902A" w:rsidR="00136E7B" w:rsidRPr="001260C0" w:rsidRDefault="4E4AE9AC" w:rsidP="00176002">
            <w:pPr>
              <w:pStyle w:val="TableText0"/>
              <w:rPr>
                <w:color w:val="000000" w:themeColor="text1"/>
                <w:szCs w:val="22"/>
              </w:rPr>
            </w:pPr>
            <w:r w:rsidRPr="001260C0">
              <w:rPr>
                <w:color w:val="000000" w:themeColor="text1"/>
                <w:szCs w:val="22"/>
              </w:rPr>
              <w:t>ITU-T SG11, Geneva, 4–13 March 2020</w:t>
            </w:r>
            <w:r w:rsidR="00BA3B68">
              <w:rPr>
                <w:color w:val="000000" w:themeColor="text1"/>
                <w:szCs w:val="22"/>
              </w:rPr>
              <w:t xml:space="preserve"> </w:t>
            </w:r>
          </w:p>
        </w:tc>
        <w:tc>
          <w:tcPr>
            <w:tcW w:w="1701" w:type="dxa"/>
          </w:tcPr>
          <w:p w14:paraId="18F077B9" w14:textId="0286CA81" w:rsidR="00136E7B" w:rsidRPr="001260C0" w:rsidRDefault="112AD6DC" w:rsidP="00176002">
            <w:pPr>
              <w:pStyle w:val="TableText0"/>
              <w:jc w:val="center"/>
              <w:rPr>
                <w:color w:val="000000" w:themeColor="text1"/>
                <w:szCs w:val="22"/>
              </w:rPr>
            </w:pPr>
            <w:r w:rsidRPr="001260C0">
              <w:rPr>
                <w:color w:val="000000" w:themeColor="text1"/>
                <w:szCs w:val="22"/>
              </w:rPr>
              <w:t>1</w:t>
            </w:r>
          </w:p>
        </w:tc>
        <w:tc>
          <w:tcPr>
            <w:tcW w:w="1559" w:type="dxa"/>
          </w:tcPr>
          <w:p w14:paraId="5C2DBBB0" w14:textId="0813726F" w:rsidR="00136E7B" w:rsidRPr="001260C0" w:rsidRDefault="29871DD9" w:rsidP="00176002">
            <w:pPr>
              <w:pStyle w:val="TableText0"/>
              <w:jc w:val="center"/>
              <w:rPr>
                <w:color w:val="000000" w:themeColor="text1"/>
                <w:szCs w:val="22"/>
              </w:rPr>
            </w:pPr>
            <w:r w:rsidRPr="001260C0">
              <w:rPr>
                <w:color w:val="000000" w:themeColor="text1"/>
                <w:szCs w:val="22"/>
              </w:rPr>
              <w:t>7</w:t>
            </w:r>
          </w:p>
        </w:tc>
        <w:tc>
          <w:tcPr>
            <w:tcW w:w="2551" w:type="dxa"/>
          </w:tcPr>
          <w:p w14:paraId="618633B7" w14:textId="5F06FB9C" w:rsidR="00136E7B" w:rsidRPr="008137C7" w:rsidRDefault="36AE7B4A" w:rsidP="00176002">
            <w:pPr>
              <w:pStyle w:val="TableText0"/>
              <w:rPr>
                <w:szCs w:val="22"/>
              </w:rPr>
            </w:pPr>
            <w:r w:rsidRPr="001260C0">
              <w:rPr>
                <w:color w:val="000000" w:themeColor="text1"/>
                <w:szCs w:val="22"/>
              </w:rPr>
              <w:t>8</w:t>
            </w:r>
            <w:r w:rsidR="00136E7B" w:rsidRPr="001260C0">
              <w:rPr>
                <w:color w:val="000000" w:themeColor="text1"/>
                <w:szCs w:val="22"/>
              </w:rPr>
              <w:t xml:space="preserve"> fellowships awarded, </w:t>
            </w:r>
            <w:r w:rsidRPr="001260C0">
              <w:rPr>
                <w:color w:val="000000" w:themeColor="text1"/>
                <w:szCs w:val="22"/>
              </w:rPr>
              <w:t>8</w:t>
            </w:r>
            <w:r w:rsidR="00136E7B" w:rsidRPr="001260C0">
              <w:rPr>
                <w:color w:val="000000" w:themeColor="text1"/>
                <w:szCs w:val="22"/>
              </w:rPr>
              <w:t xml:space="preserve"> participants</w:t>
            </w:r>
          </w:p>
        </w:tc>
      </w:tr>
    </w:tbl>
    <w:p w14:paraId="2927E440" w14:textId="57E7F796" w:rsidR="00AA4DB9" w:rsidRDefault="00BA3326" w:rsidP="00136E7B">
      <w:pPr>
        <w:pStyle w:val="Heading1"/>
      </w:pPr>
      <w:bookmarkStart w:id="155" w:name="_Toc51331513"/>
      <w:bookmarkStart w:id="156" w:name="_Toc480527858"/>
      <w:r>
        <w:t>9</w:t>
      </w:r>
      <w:r w:rsidR="00136E7B" w:rsidRPr="00F57FAD">
        <w:tab/>
      </w:r>
      <w:r w:rsidR="00AA4DB9" w:rsidRPr="00AA4DB9">
        <w:t>Using ICTs to bridge the financial inclusion gap</w:t>
      </w:r>
      <w:bookmarkEnd w:id="155"/>
    </w:p>
    <w:p w14:paraId="19529AFA" w14:textId="2CCADB7A"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Pursuant to WTSA-16</w:t>
      </w:r>
      <w:r w:rsidR="00427FC5">
        <w:rPr>
          <w:szCs w:val="24"/>
          <w:lang w:val="en-GB" w:eastAsia="en-GB"/>
        </w:rPr>
        <w:t xml:space="preserve"> </w:t>
      </w:r>
      <w:hyperlink r:id="rId109" w:tgtFrame="_blank" w:history="1">
        <w:r w:rsidRPr="00330F15">
          <w:rPr>
            <w:color w:val="0000FF"/>
            <w:szCs w:val="24"/>
            <w:u w:val="single"/>
            <w:lang w:val="en-GB" w:eastAsia="en-GB"/>
          </w:rPr>
          <w:t>Resolution 89</w:t>
        </w:r>
      </w:hyperlink>
      <w:r w:rsidRPr="00330F15">
        <w:rPr>
          <w:szCs w:val="24"/>
          <w:lang w:val="en-GB" w:eastAsia="en-GB"/>
        </w:rPr>
        <w:t>, TSB has implemented a number of activities aimed at enhancing the use of ICTs in bridging the financial inclusion gap through the following:</w:t>
      </w:r>
    </w:p>
    <w:p w14:paraId="09289D80" w14:textId="77777777" w:rsidR="00ED2099" w:rsidRPr="00ED2099" w:rsidRDefault="00330F15" w:rsidP="00CC5384">
      <w:pPr>
        <w:pStyle w:val="ListParagraph"/>
        <w:numPr>
          <w:ilvl w:val="1"/>
          <w:numId w:val="45"/>
        </w:numPr>
        <w:rPr>
          <w:rFonts w:ascii="Times New Roman" w:hAnsi="Times New Roman"/>
          <w:sz w:val="24"/>
          <w:szCs w:val="24"/>
          <w:lang w:val="en-GB" w:eastAsia="en-GB"/>
        </w:rPr>
      </w:pPr>
      <w:r w:rsidRPr="00ED2099">
        <w:rPr>
          <w:rFonts w:ascii="Times New Roman" w:hAnsi="Times New Roman"/>
          <w:sz w:val="24"/>
          <w:szCs w:val="24"/>
          <w:lang w:val="en-GB" w:eastAsia="en-GB"/>
        </w:rPr>
        <w:t>The Financial Inclusion Global Initiative (FIGI)</w:t>
      </w:r>
    </w:p>
    <w:p w14:paraId="531F23BA" w14:textId="77777777" w:rsidR="00ED2099" w:rsidRPr="00ED2099" w:rsidRDefault="00330F15" w:rsidP="00CC5384">
      <w:pPr>
        <w:pStyle w:val="ListParagraph"/>
        <w:numPr>
          <w:ilvl w:val="1"/>
          <w:numId w:val="45"/>
        </w:numPr>
        <w:rPr>
          <w:rFonts w:ascii="Times New Roman" w:hAnsi="Times New Roman"/>
          <w:sz w:val="24"/>
          <w:szCs w:val="24"/>
          <w:lang w:val="en-GB" w:eastAsia="en-GB"/>
        </w:rPr>
      </w:pPr>
      <w:r w:rsidRPr="00ED2099">
        <w:rPr>
          <w:rFonts w:ascii="Times New Roman" w:hAnsi="Times New Roman"/>
          <w:sz w:val="24"/>
          <w:szCs w:val="24"/>
          <w:lang w:val="en-GB" w:eastAsia="en-GB"/>
        </w:rPr>
        <w:t>Standardization activities in ITU-T Study Groups</w:t>
      </w:r>
    </w:p>
    <w:p w14:paraId="6EE630B2" w14:textId="77777777" w:rsidR="00ED2099" w:rsidRPr="00ED2099" w:rsidRDefault="00330F15" w:rsidP="00CC5384">
      <w:pPr>
        <w:pStyle w:val="ListParagraph"/>
        <w:numPr>
          <w:ilvl w:val="1"/>
          <w:numId w:val="45"/>
        </w:numPr>
        <w:rPr>
          <w:rFonts w:ascii="Times New Roman" w:hAnsi="Times New Roman"/>
          <w:sz w:val="24"/>
          <w:szCs w:val="24"/>
          <w:lang w:val="en-GB" w:eastAsia="en-GB"/>
        </w:rPr>
      </w:pPr>
      <w:r w:rsidRPr="00ED2099">
        <w:rPr>
          <w:rFonts w:ascii="Times New Roman" w:hAnsi="Times New Roman"/>
          <w:sz w:val="24"/>
          <w:szCs w:val="24"/>
          <w:lang w:val="en-GB" w:eastAsia="en-GB"/>
        </w:rPr>
        <w:t>DFS Webinar Series during COVID-19</w:t>
      </w:r>
    </w:p>
    <w:p w14:paraId="3FE01A86" w14:textId="72923AC9" w:rsidR="00330F15" w:rsidRPr="00ED2099" w:rsidRDefault="00330F15" w:rsidP="00CC5384">
      <w:pPr>
        <w:pStyle w:val="ListParagraph"/>
        <w:numPr>
          <w:ilvl w:val="1"/>
          <w:numId w:val="45"/>
        </w:numPr>
        <w:rPr>
          <w:rFonts w:ascii="Times New Roman" w:hAnsi="Times New Roman"/>
          <w:sz w:val="24"/>
          <w:szCs w:val="24"/>
          <w:lang w:val="en-GB" w:eastAsia="en-GB"/>
        </w:rPr>
      </w:pPr>
      <w:r w:rsidRPr="00ED2099">
        <w:rPr>
          <w:rFonts w:ascii="Times New Roman" w:hAnsi="Times New Roman"/>
          <w:sz w:val="24"/>
          <w:szCs w:val="24"/>
          <w:lang w:val="en-GB" w:eastAsia="en-GB"/>
        </w:rPr>
        <w:t>Digital Currency Global Initiative</w:t>
      </w:r>
    </w:p>
    <w:p w14:paraId="1366567B" w14:textId="5B16A0DB" w:rsidR="00330F15" w:rsidRPr="00C7499A" w:rsidRDefault="00C7499A" w:rsidP="00C7499A">
      <w:pPr>
        <w:pStyle w:val="Heading2"/>
      </w:pPr>
      <w:bookmarkStart w:id="157" w:name="_Toc51331514"/>
      <w:r>
        <w:t>9.1</w:t>
      </w:r>
      <w:r>
        <w:tab/>
      </w:r>
      <w:r w:rsidR="00330F15" w:rsidRPr="00C7499A">
        <w:t>Financial Inclusion Global Initiative (FIGI)</w:t>
      </w:r>
      <w:bookmarkEnd w:id="157"/>
    </w:p>
    <w:p w14:paraId="58107151" w14:textId="533BAE49"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FIGI was established in 2017 as a three-year programme of collective action to advance research in digital finance and accelerate digital financial inclusion in developing countries. FIGI is led jointly by ITU, the World Bank Group and the Committee on Payments and Market Infrastructures, with support from the Bill &amp; Melinda Gates Foundation. FIGI funds national implementations in three countries, namely China, Egypt and Mexico, and has three Working Groups: (1) Electronic Payment Acceptance, (2) Digital ID Working Group led by the World Bank, and (3) Security, Infrastructure and Trust Working Group (SIT WG) led by ITU.</w:t>
      </w:r>
    </w:p>
    <w:p w14:paraId="09D818F4" w14:textId="10A7C9F1"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 Security, Infrastructure, and Trust (SIT) Working Group held</w:t>
      </w:r>
      <w:r w:rsidR="00C7499A">
        <w:rPr>
          <w:szCs w:val="24"/>
          <w:lang w:val="en-GB" w:eastAsia="en-GB"/>
        </w:rPr>
        <w:t xml:space="preserve"> </w:t>
      </w:r>
      <w:r w:rsidRPr="00330F15">
        <w:rPr>
          <w:szCs w:val="24"/>
          <w:lang w:val="en-GB" w:eastAsia="en-GB"/>
        </w:rPr>
        <w:t>eight</w:t>
      </w:r>
      <w:r w:rsidR="00C7499A">
        <w:rPr>
          <w:szCs w:val="24"/>
          <w:lang w:val="en-GB" w:eastAsia="en-GB"/>
        </w:rPr>
        <w:t xml:space="preserve"> </w:t>
      </w:r>
      <w:r w:rsidRPr="00330F15">
        <w:rPr>
          <w:szCs w:val="24"/>
          <w:lang w:val="en-GB" w:eastAsia="en-GB"/>
        </w:rPr>
        <w:t>e-meetings</w:t>
      </w:r>
      <w:r w:rsidR="00C7499A">
        <w:rPr>
          <w:szCs w:val="24"/>
          <w:lang w:val="en-GB" w:eastAsia="en-GB"/>
        </w:rPr>
        <w:t xml:space="preserve"> </w:t>
      </w:r>
      <w:r w:rsidRPr="00330F15">
        <w:rPr>
          <w:szCs w:val="24"/>
          <w:lang w:val="en-GB" w:eastAsia="en-GB"/>
        </w:rPr>
        <w:t xml:space="preserve">in 2020. Following the eight technical reports developed in 2019, three technical reports </w:t>
      </w:r>
      <w:r w:rsidR="00ED2099">
        <w:rPr>
          <w:szCs w:val="24"/>
          <w:lang w:val="en-GB" w:eastAsia="en-GB"/>
        </w:rPr>
        <w:t>were</w:t>
      </w:r>
      <w:r w:rsidRPr="00330F15">
        <w:rPr>
          <w:szCs w:val="24"/>
          <w:lang w:val="en-GB" w:eastAsia="en-GB"/>
        </w:rPr>
        <w:t xml:space="preserve"> developed by the SIT Working Group </w:t>
      </w:r>
      <w:r w:rsidR="00ED2099">
        <w:rPr>
          <w:szCs w:val="24"/>
          <w:lang w:val="en-GB" w:eastAsia="en-GB"/>
        </w:rPr>
        <w:t>in the reporting period</w:t>
      </w:r>
      <w:r w:rsidRPr="00330F15">
        <w:rPr>
          <w:szCs w:val="24"/>
          <w:lang w:val="en-GB" w:eastAsia="en-GB"/>
        </w:rPr>
        <w:t>:</w:t>
      </w:r>
    </w:p>
    <w:p w14:paraId="42420B07" w14:textId="2F0DBF7D" w:rsidR="00330F15" w:rsidRPr="00330F15" w:rsidRDefault="00330F15" w:rsidP="00CC5384">
      <w:pPr>
        <w:numPr>
          <w:ilvl w:val="0"/>
          <w:numId w:val="46"/>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Best practices for mitigating vulnerabilities of DFS applications operating in USSD and STK environments</w:t>
      </w:r>
    </w:p>
    <w:p w14:paraId="7AADE2D5" w14:textId="08426BF6" w:rsidR="00330F15" w:rsidRPr="00330F15" w:rsidRDefault="00330F15" w:rsidP="00CC5384">
      <w:pPr>
        <w:numPr>
          <w:ilvl w:val="0"/>
          <w:numId w:val="46"/>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Methodology for measurement of </w:t>
      </w:r>
      <w:r w:rsidR="00ED2099">
        <w:rPr>
          <w:szCs w:val="24"/>
          <w:lang w:val="en-GB" w:eastAsia="en-GB"/>
        </w:rPr>
        <w:t xml:space="preserve">QoS </w:t>
      </w:r>
      <w:r w:rsidRPr="00330F15">
        <w:rPr>
          <w:szCs w:val="24"/>
          <w:lang w:val="en-GB" w:eastAsia="en-GB"/>
        </w:rPr>
        <w:t>parameters for interoperability and cross</w:t>
      </w:r>
      <w:r w:rsidR="00ED2099">
        <w:rPr>
          <w:szCs w:val="24"/>
          <w:lang w:val="en-GB" w:eastAsia="en-GB"/>
        </w:rPr>
        <w:t>-</w:t>
      </w:r>
      <w:r w:rsidRPr="00330F15">
        <w:rPr>
          <w:szCs w:val="24"/>
          <w:lang w:val="en-GB" w:eastAsia="en-GB"/>
        </w:rPr>
        <w:t>border mobile money payment use cases</w:t>
      </w:r>
    </w:p>
    <w:p w14:paraId="7BE3F6AB" w14:textId="2D367D49" w:rsidR="00330F15" w:rsidRPr="00330F15" w:rsidRDefault="00330F15" w:rsidP="00CC5384">
      <w:pPr>
        <w:numPr>
          <w:ilvl w:val="0"/>
          <w:numId w:val="46"/>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lastRenderedPageBreak/>
        <w:t xml:space="preserve">DFS </w:t>
      </w:r>
      <w:r w:rsidR="00ED2099">
        <w:rPr>
          <w:szCs w:val="24"/>
          <w:lang w:val="en-GB" w:eastAsia="en-GB"/>
        </w:rPr>
        <w:t>c</w:t>
      </w:r>
      <w:r w:rsidRPr="00330F15">
        <w:rPr>
          <w:szCs w:val="24"/>
          <w:lang w:val="en-GB" w:eastAsia="en-GB"/>
        </w:rPr>
        <w:t xml:space="preserve">onsumer </w:t>
      </w:r>
      <w:r w:rsidR="00ED2099">
        <w:rPr>
          <w:szCs w:val="24"/>
          <w:lang w:val="en-GB" w:eastAsia="en-GB"/>
        </w:rPr>
        <w:t>c</w:t>
      </w:r>
      <w:r w:rsidRPr="00330F15">
        <w:rPr>
          <w:szCs w:val="24"/>
          <w:lang w:val="en-GB" w:eastAsia="en-GB"/>
        </w:rPr>
        <w:t xml:space="preserve">ompetency </w:t>
      </w:r>
      <w:r w:rsidR="00ED2099">
        <w:rPr>
          <w:szCs w:val="24"/>
          <w:lang w:val="en-GB" w:eastAsia="en-GB"/>
        </w:rPr>
        <w:t>f</w:t>
      </w:r>
      <w:r w:rsidRPr="00330F15">
        <w:rPr>
          <w:szCs w:val="24"/>
          <w:lang w:val="en-GB" w:eastAsia="en-GB"/>
        </w:rPr>
        <w:t>ramework</w:t>
      </w:r>
    </w:p>
    <w:p w14:paraId="737AF089" w14:textId="20553921"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Four</w:t>
      </w:r>
      <w:r w:rsidR="00C7499A">
        <w:rPr>
          <w:szCs w:val="24"/>
          <w:lang w:val="en-GB" w:eastAsia="en-GB"/>
        </w:rPr>
        <w:t xml:space="preserve"> </w:t>
      </w:r>
      <w:r w:rsidRPr="00330F15">
        <w:rPr>
          <w:szCs w:val="24"/>
          <w:lang w:val="en-GB" w:eastAsia="en-GB"/>
        </w:rPr>
        <w:t>additional</w:t>
      </w:r>
      <w:r w:rsidR="00C7499A">
        <w:rPr>
          <w:szCs w:val="24"/>
          <w:lang w:val="en-GB" w:eastAsia="en-GB"/>
        </w:rPr>
        <w:t xml:space="preserve"> </w:t>
      </w:r>
      <w:r w:rsidRPr="00330F15">
        <w:rPr>
          <w:szCs w:val="24"/>
          <w:lang w:val="en-GB" w:eastAsia="en-GB"/>
        </w:rPr>
        <w:t>reports</w:t>
      </w:r>
      <w:r w:rsidR="00C7499A">
        <w:rPr>
          <w:szCs w:val="24"/>
          <w:lang w:val="en-GB" w:eastAsia="en-GB"/>
        </w:rPr>
        <w:t xml:space="preserve"> </w:t>
      </w:r>
      <w:r w:rsidRPr="00330F15">
        <w:rPr>
          <w:szCs w:val="24"/>
          <w:lang w:val="en-GB" w:eastAsia="en-GB"/>
        </w:rPr>
        <w:t>are</w:t>
      </w:r>
      <w:r w:rsidR="00C7499A">
        <w:rPr>
          <w:szCs w:val="24"/>
          <w:lang w:val="en-GB" w:eastAsia="en-GB"/>
        </w:rPr>
        <w:t xml:space="preserve"> </w:t>
      </w:r>
      <w:r w:rsidRPr="00330F15">
        <w:rPr>
          <w:szCs w:val="24"/>
          <w:lang w:val="en-GB" w:eastAsia="en-GB"/>
        </w:rPr>
        <w:t>expected</w:t>
      </w:r>
      <w:r w:rsidR="00C7499A">
        <w:rPr>
          <w:szCs w:val="24"/>
          <w:lang w:val="en-GB" w:eastAsia="en-GB"/>
        </w:rPr>
        <w:t xml:space="preserve"> </w:t>
      </w:r>
      <w:r w:rsidRPr="00330F15">
        <w:rPr>
          <w:szCs w:val="24"/>
          <w:lang w:val="en-GB" w:eastAsia="en-GB"/>
        </w:rPr>
        <w:t>to</w:t>
      </w:r>
      <w:r w:rsidR="00C7499A">
        <w:rPr>
          <w:szCs w:val="24"/>
          <w:lang w:val="en-GB" w:eastAsia="en-GB"/>
        </w:rPr>
        <w:t xml:space="preserve"> </w:t>
      </w:r>
      <w:r w:rsidRPr="00330F15">
        <w:rPr>
          <w:szCs w:val="24"/>
          <w:lang w:val="en-GB" w:eastAsia="en-GB"/>
        </w:rPr>
        <w:t>be completed</w:t>
      </w:r>
      <w:r w:rsidR="00C7499A">
        <w:rPr>
          <w:szCs w:val="24"/>
          <w:lang w:val="en-GB" w:eastAsia="en-GB"/>
        </w:rPr>
        <w:t xml:space="preserve"> </w:t>
      </w:r>
      <w:r w:rsidRPr="00330F15">
        <w:rPr>
          <w:szCs w:val="24"/>
          <w:lang w:val="en-GB" w:eastAsia="en-GB"/>
        </w:rPr>
        <w:t>in</w:t>
      </w:r>
      <w:r w:rsidR="00C7499A">
        <w:rPr>
          <w:szCs w:val="24"/>
          <w:lang w:val="en-GB" w:eastAsia="en-GB"/>
        </w:rPr>
        <w:t xml:space="preserve"> </w:t>
      </w:r>
      <w:r w:rsidRPr="00330F15">
        <w:rPr>
          <w:szCs w:val="24"/>
          <w:lang w:val="en-GB" w:eastAsia="en-GB"/>
        </w:rPr>
        <w:t>2020:</w:t>
      </w:r>
    </w:p>
    <w:p w14:paraId="4E6A9FB2" w14:textId="3642A21B" w:rsidR="00330F15" w:rsidRPr="00330F15" w:rsidRDefault="00330F15"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Security </w:t>
      </w:r>
      <w:r w:rsidR="00ED2099">
        <w:rPr>
          <w:szCs w:val="24"/>
          <w:lang w:val="en-GB" w:eastAsia="en-GB"/>
        </w:rPr>
        <w:t>a</w:t>
      </w:r>
      <w:r w:rsidRPr="00330F15">
        <w:rPr>
          <w:szCs w:val="24"/>
          <w:lang w:val="en-GB" w:eastAsia="en-GB"/>
        </w:rPr>
        <w:t>udit of DFS applications under Android</w:t>
      </w:r>
    </w:p>
    <w:p w14:paraId="6B7D471A" w14:textId="5AAD7AB7" w:rsidR="00330F15" w:rsidRPr="00330F15" w:rsidRDefault="00ED2099"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 xml:space="preserve">Legal aspects of </w:t>
      </w:r>
      <w:r w:rsidR="00330F15" w:rsidRPr="00330F15">
        <w:rPr>
          <w:szCs w:val="24"/>
          <w:lang w:val="en-GB" w:eastAsia="en-GB"/>
        </w:rPr>
        <w:t xml:space="preserve">Distributed Ledger Technologies (DLT) </w:t>
      </w:r>
    </w:p>
    <w:p w14:paraId="401DAFAD" w14:textId="0228F87A" w:rsidR="00330F15" w:rsidRPr="00330F15" w:rsidRDefault="00330F15"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Use of telecom data</w:t>
      </w:r>
    </w:p>
    <w:p w14:paraId="4DE943CF" w14:textId="0787623C" w:rsidR="00330F15" w:rsidRPr="00330F15" w:rsidRDefault="00ED2099" w:rsidP="00CC5384">
      <w:pPr>
        <w:numPr>
          <w:ilvl w:val="0"/>
          <w:numId w:val="47"/>
        </w:num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Application Programming Interfaces in d</w:t>
      </w:r>
      <w:r w:rsidR="00330F15" w:rsidRPr="00330F15">
        <w:rPr>
          <w:szCs w:val="24"/>
          <w:lang w:val="en-GB" w:eastAsia="en-GB"/>
        </w:rPr>
        <w:t xml:space="preserve">igital </w:t>
      </w:r>
      <w:r>
        <w:rPr>
          <w:szCs w:val="24"/>
          <w:lang w:val="en-GB" w:eastAsia="en-GB"/>
        </w:rPr>
        <w:t>f</w:t>
      </w:r>
      <w:r w:rsidR="00330F15" w:rsidRPr="00330F15">
        <w:rPr>
          <w:szCs w:val="24"/>
          <w:lang w:val="en-GB" w:eastAsia="en-GB"/>
        </w:rPr>
        <w:t>inanc</w:t>
      </w:r>
      <w:r>
        <w:rPr>
          <w:szCs w:val="24"/>
          <w:lang w:val="en-GB" w:eastAsia="en-GB"/>
        </w:rPr>
        <w:t>e</w:t>
      </w:r>
    </w:p>
    <w:p w14:paraId="08DB2C60" w14:textId="20D60BBD" w:rsidR="00330F15" w:rsidRPr="00330F15" w:rsidRDefault="00330F15" w:rsidP="00330F15">
      <w:pPr>
        <w:tabs>
          <w:tab w:val="clear" w:pos="794"/>
          <w:tab w:val="clear" w:pos="1191"/>
          <w:tab w:val="clear" w:pos="1588"/>
          <w:tab w:val="clear" w:pos="1985"/>
        </w:tabs>
        <w:overflowPunct/>
        <w:autoSpaceDE/>
        <w:autoSpaceDN/>
        <w:adjustRightInd/>
        <w:jc w:val="both"/>
        <w:rPr>
          <w:szCs w:val="24"/>
          <w:lang w:val="en-GB" w:eastAsia="en-GB"/>
        </w:rPr>
      </w:pPr>
      <w:r w:rsidRPr="00330F15">
        <w:rPr>
          <w:szCs w:val="24"/>
          <w:lang w:val="en-GB" w:eastAsia="en-GB"/>
        </w:rPr>
        <w:t xml:space="preserve">The </w:t>
      </w:r>
      <w:r w:rsidR="00ED2099">
        <w:rPr>
          <w:szCs w:val="24"/>
          <w:lang w:val="en-GB" w:eastAsia="en-GB"/>
        </w:rPr>
        <w:t xml:space="preserve">next </w:t>
      </w:r>
      <w:r w:rsidRPr="00330F15">
        <w:rPr>
          <w:szCs w:val="24"/>
          <w:lang w:val="en-GB" w:eastAsia="en-GB"/>
        </w:rPr>
        <w:t xml:space="preserve">FIGI Symposium, initially planned </w:t>
      </w:r>
      <w:r w:rsidR="00ED2099">
        <w:rPr>
          <w:szCs w:val="24"/>
          <w:lang w:val="en-GB" w:eastAsia="en-GB"/>
        </w:rPr>
        <w:t>for</w:t>
      </w:r>
      <w:r w:rsidRPr="00330F15">
        <w:rPr>
          <w:szCs w:val="24"/>
          <w:lang w:val="en-GB" w:eastAsia="en-GB"/>
        </w:rPr>
        <w:t xml:space="preserve"> June 2020, has been</w:t>
      </w:r>
      <w:r w:rsidR="00C7499A">
        <w:rPr>
          <w:szCs w:val="24"/>
          <w:lang w:val="en-GB" w:eastAsia="en-GB"/>
        </w:rPr>
        <w:t xml:space="preserve"> </w:t>
      </w:r>
      <w:r w:rsidR="00ED2099">
        <w:rPr>
          <w:szCs w:val="24"/>
          <w:lang w:val="en-GB" w:eastAsia="en-GB"/>
        </w:rPr>
        <w:t xml:space="preserve">rescheduled to </w:t>
      </w:r>
      <w:r w:rsidRPr="00330F15">
        <w:rPr>
          <w:szCs w:val="24"/>
          <w:lang w:val="en-GB" w:eastAsia="en-GB"/>
        </w:rPr>
        <w:t>June 2021.</w:t>
      </w:r>
    </w:p>
    <w:p w14:paraId="5B421FFD" w14:textId="138C1519" w:rsidR="00330F15" w:rsidRPr="00C7499A" w:rsidRDefault="00C7499A" w:rsidP="00C7499A">
      <w:pPr>
        <w:pStyle w:val="Heading2"/>
      </w:pPr>
      <w:bookmarkStart w:id="158" w:name="_Toc51331515"/>
      <w:r>
        <w:t>9.2</w:t>
      </w:r>
      <w:r>
        <w:tab/>
      </w:r>
      <w:r w:rsidR="00330F15" w:rsidRPr="00C7499A">
        <w:t>Standardization Activities in ITU-T Study Groups</w:t>
      </w:r>
      <w:bookmarkEnd w:id="158"/>
    </w:p>
    <w:p w14:paraId="12D200D5" w14:textId="5D4196D5" w:rsidR="00330F15" w:rsidRPr="00330F15" w:rsidRDefault="00330F15" w:rsidP="008F104D">
      <w:pPr>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t>ITU-T Study Group 11</w:t>
      </w:r>
    </w:p>
    <w:p w14:paraId="1D76AFA4" w14:textId="7D9D987E" w:rsidR="00330F15" w:rsidRPr="00330F15" w:rsidRDefault="00330F15" w:rsidP="00C7499A">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Question 2/11 “Signalling requirements and protocols for services and applications in emerging telecommunication environments” studies the vulnerabilities of different protocols and their impact on different industries including digital financial services.</w:t>
      </w:r>
    </w:p>
    <w:p w14:paraId="6D3CEC42" w14:textId="7C1C5A74" w:rsidR="00330F15" w:rsidRPr="00330F15" w:rsidRDefault="00330F15" w:rsidP="00C7499A">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In October 2019,</w:t>
      </w:r>
      <w:r w:rsidR="00C7499A">
        <w:rPr>
          <w:szCs w:val="24"/>
          <w:lang w:val="en-GB" w:eastAsia="en-GB"/>
        </w:rPr>
        <w:t xml:space="preserve"> </w:t>
      </w:r>
      <w:r w:rsidRPr="00330F15">
        <w:rPr>
          <w:szCs w:val="24"/>
          <w:lang w:val="en-GB" w:eastAsia="en-GB"/>
        </w:rPr>
        <w:t>SG11 organized a “Brainstorming session on SS7 vulnerabilities and the impact on different industries including digital financial services”</w:t>
      </w:r>
      <w:r w:rsidR="00C7499A">
        <w:rPr>
          <w:szCs w:val="24"/>
          <w:lang w:val="en-GB" w:eastAsia="en-GB"/>
        </w:rPr>
        <w:t xml:space="preserve"> </w:t>
      </w:r>
      <w:r w:rsidRPr="00330F15">
        <w:rPr>
          <w:szCs w:val="24"/>
          <w:lang w:val="en-GB" w:eastAsia="en-GB"/>
        </w:rPr>
        <w:t xml:space="preserve">which </w:t>
      </w:r>
      <w:r w:rsidR="00ED2099">
        <w:rPr>
          <w:szCs w:val="24"/>
          <w:lang w:val="en-GB" w:eastAsia="en-GB"/>
        </w:rPr>
        <w:t xml:space="preserve">discussed means </w:t>
      </w:r>
      <w:r w:rsidRPr="00330F15">
        <w:rPr>
          <w:szCs w:val="24"/>
          <w:lang w:val="en-GB" w:eastAsia="en-GB"/>
        </w:rPr>
        <w:t>to enhance the security mechanisms of existing protocols</w:t>
      </w:r>
      <w:r w:rsidR="00A94529">
        <w:rPr>
          <w:szCs w:val="24"/>
          <w:lang w:val="en-GB" w:eastAsia="en-GB"/>
        </w:rPr>
        <w:t xml:space="preserve">. </w:t>
      </w:r>
      <w:r w:rsidRPr="00330F15">
        <w:rPr>
          <w:szCs w:val="24"/>
          <w:lang w:val="en-GB" w:eastAsia="en-GB"/>
        </w:rPr>
        <w:t>In October 2019,</w:t>
      </w:r>
      <w:r w:rsidR="00C7499A">
        <w:rPr>
          <w:szCs w:val="24"/>
          <w:lang w:val="en-GB" w:eastAsia="en-GB"/>
        </w:rPr>
        <w:t xml:space="preserve"> </w:t>
      </w:r>
      <w:r w:rsidRPr="00330F15">
        <w:rPr>
          <w:szCs w:val="24"/>
          <w:lang w:val="en-GB" w:eastAsia="en-GB"/>
        </w:rPr>
        <w:t xml:space="preserve">SG11 agreed the Technical </w:t>
      </w:r>
      <w:r w:rsidR="00C7499A">
        <w:rPr>
          <w:szCs w:val="24"/>
          <w:lang w:val="en-GB" w:eastAsia="en-GB"/>
        </w:rPr>
        <w:t>R</w:t>
      </w:r>
      <w:r w:rsidRPr="00330F15">
        <w:rPr>
          <w:szCs w:val="24"/>
          <w:lang w:val="en-GB" w:eastAsia="en-GB"/>
        </w:rPr>
        <w:t>eport ITU-T TR-SS7-DFS “SS7 vulnerabilities and mitigation measures for digital financial services transactions”.</w:t>
      </w:r>
    </w:p>
    <w:p w14:paraId="55409D55" w14:textId="76EBBFAA" w:rsidR="00330F15" w:rsidRPr="00330F15" w:rsidRDefault="00330F15" w:rsidP="00C7499A">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In</w:t>
      </w:r>
      <w:r w:rsidR="00C7499A">
        <w:rPr>
          <w:szCs w:val="24"/>
          <w:lang w:val="en-GB" w:eastAsia="en-GB"/>
        </w:rPr>
        <w:t xml:space="preserve"> </w:t>
      </w:r>
      <w:r w:rsidRPr="00330F15">
        <w:rPr>
          <w:szCs w:val="24"/>
          <w:lang w:val="en-GB" w:eastAsia="en-GB"/>
        </w:rPr>
        <w:t>April</w:t>
      </w:r>
      <w:r w:rsidR="00C7499A">
        <w:rPr>
          <w:szCs w:val="24"/>
          <w:lang w:val="en-GB" w:eastAsia="en-GB"/>
        </w:rPr>
        <w:t xml:space="preserve"> </w:t>
      </w:r>
      <w:r w:rsidRPr="00330F15">
        <w:rPr>
          <w:szCs w:val="24"/>
          <w:lang w:val="en-GB" w:eastAsia="en-GB"/>
        </w:rPr>
        <w:t>2020, SG11</w:t>
      </w:r>
      <w:r w:rsidR="00C7499A">
        <w:rPr>
          <w:szCs w:val="24"/>
          <w:lang w:val="en-GB" w:eastAsia="en-GB"/>
        </w:rPr>
        <w:t xml:space="preserve"> </w:t>
      </w:r>
      <w:r w:rsidRPr="00330F15">
        <w:rPr>
          <w:szCs w:val="24"/>
          <w:lang w:val="en-GB" w:eastAsia="en-GB"/>
        </w:rPr>
        <w:t>approved</w:t>
      </w:r>
      <w:r w:rsidR="00C7499A">
        <w:rPr>
          <w:szCs w:val="24"/>
          <w:lang w:val="en-GB" w:eastAsia="en-GB"/>
        </w:rPr>
        <w:t xml:space="preserve"> </w:t>
      </w:r>
      <w:r w:rsidRPr="00330F15">
        <w:rPr>
          <w:szCs w:val="24"/>
          <w:lang w:val="en-GB" w:eastAsia="en-GB"/>
        </w:rPr>
        <w:t>the</w:t>
      </w:r>
      <w:r w:rsidR="00C7499A">
        <w:rPr>
          <w:szCs w:val="24"/>
          <w:lang w:val="en-GB" w:eastAsia="en-GB"/>
        </w:rPr>
        <w:t xml:space="preserve"> </w:t>
      </w:r>
      <w:r w:rsidRPr="00330F15">
        <w:rPr>
          <w:szCs w:val="24"/>
          <w:lang w:val="en-GB" w:eastAsia="en-GB"/>
        </w:rPr>
        <w:t xml:space="preserve">new </w:t>
      </w:r>
      <w:r w:rsidR="00A94529">
        <w:rPr>
          <w:szCs w:val="24"/>
          <w:lang w:val="en-GB" w:eastAsia="en-GB"/>
        </w:rPr>
        <w:t xml:space="preserve">ITU standard </w:t>
      </w:r>
      <w:r w:rsidRPr="00330F15">
        <w:rPr>
          <w:szCs w:val="24"/>
          <w:lang w:val="en-GB" w:eastAsia="en-GB"/>
        </w:rPr>
        <w:t>Q.3057 “Signalling requirements and architecture for interconnection between trustable network entities”</w:t>
      </w:r>
      <w:r w:rsidR="00C7499A">
        <w:rPr>
          <w:szCs w:val="24"/>
          <w:lang w:val="en-GB" w:eastAsia="en-GB"/>
        </w:rPr>
        <w:t xml:space="preserve"> </w:t>
      </w:r>
      <w:r w:rsidRPr="00330F15">
        <w:rPr>
          <w:szCs w:val="24"/>
          <w:lang w:val="en-GB" w:eastAsia="en-GB"/>
        </w:rPr>
        <w:t>in support of existing and emerging networks</w:t>
      </w:r>
      <w:r w:rsidR="00A94529">
        <w:rPr>
          <w:szCs w:val="24"/>
          <w:lang w:val="en-GB" w:eastAsia="en-GB"/>
        </w:rPr>
        <w:t>, considering that t</w:t>
      </w:r>
      <w:r w:rsidRPr="00C7499A">
        <w:rPr>
          <w:szCs w:val="24"/>
          <w:lang w:val="en-GB" w:eastAsia="en-GB"/>
        </w:rPr>
        <w:t>he</w:t>
      </w:r>
      <w:r w:rsidR="00A55C37">
        <w:rPr>
          <w:szCs w:val="24"/>
          <w:lang w:val="en-GB" w:eastAsia="en-GB"/>
        </w:rPr>
        <w:t xml:space="preserve"> </w:t>
      </w:r>
      <w:r w:rsidRPr="00C7499A">
        <w:rPr>
          <w:szCs w:val="24"/>
          <w:lang w:val="en-GB" w:eastAsia="en-GB"/>
        </w:rPr>
        <w:t>security of existing signalling protocols</w:t>
      </w:r>
      <w:r w:rsidR="00C7499A" w:rsidRPr="00C7499A">
        <w:rPr>
          <w:szCs w:val="24"/>
          <w:lang w:val="en-GB" w:eastAsia="en-GB"/>
        </w:rPr>
        <w:t xml:space="preserve"> </w:t>
      </w:r>
      <w:r w:rsidRPr="00C7499A">
        <w:rPr>
          <w:szCs w:val="24"/>
          <w:lang w:val="en-GB" w:eastAsia="en-GB"/>
        </w:rPr>
        <w:t>is the</w:t>
      </w:r>
      <w:r w:rsidR="00C7499A" w:rsidRPr="00C7499A">
        <w:rPr>
          <w:szCs w:val="24"/>
          <w:lang w:val="en-GB" w:eastAsia="en-GB"/>
        </w:rPr>
        <w:t xml:space="preserve"> </w:t>
      </w:r>
      <w:r w:rsidRPr="00C7499A">
        <w:rPr>
          <w:szCs w:val="24"/>
          <w:lang w:val="en-GB" w:eastAsia="en-GB"/>
        </w:rPr>
        <w:t>cornerstone of</w:t>
      </w:r>
      <w:r w:rsidR="00C7499A" w:rsidRPr="00C7499A">
        <w:rPr>
          <w:szCs w:val="24"/>
          <w:lang w:val="en-GB" w:eastAsia="en-GB"/>
        </w:rPr>
        <w:t xml:space="preserve"> </w:t>
      </w:r>
      <w:r w:rsidRPr="00C7499A">
        <w:rPr>
          <w:szCs w:val="24"/>
          <w:lang w:val="en-GB" w:eastAsia="en-GB"/>
        </w:rPr>
        <w:t>the</w:t>
      </w:r>
      <w:r w:rsidR="00C7499A" w:rsidRPr="00C7499A">
        <w:rPr>
          <w:szCs w:val="24"/>
          <w:lang w:val="en-GB" w:eastAsia="en-GB"/>
        </w:rPr>
        <w:t xml:space="preserve"> </w:t>
      </w:r>
      <w:r w:rsidRPr="00C7499A">
        <w:rPr>
          <w:szCs w:val="24"/>
          <w:lang w:val="en-GB" w:eastAsia="en-GB"/>
        </w:rPr>
        <w:t xml:space="preserve">trust </w:t>
      </w:r>
      <w:r w:rsidR="00A94529">
        <w:rPr>
          <w:szCs w:val="24"/>
          <w:lang w:val="en-GB" w:eastAsia="en-GB"/>
        </w:rPr>
        <w:t xml:space="preserve">relationship </w:t>
      </w:r>
      <w:r w:rsidRPr="00C7499A">
        <w:rPr>
          <w:szCs w:val="24"/>
          <w:lang w:val="en-GB" w:eastAsia="en-GB"/>
        </w:rPr>
        <w:t xml:space="preserve">between </w:t>
      </w:r>
      <w:r w:rsidR="00A94529">
        <w:rPr>
          <w:szCs w:val="24"/>
          <w:lang w:val="en-GB" w:eastAsia="en-GB"/>
        </w:rPr>
        <w:t>DFS provides and their</w:t>
      </w:r>
      <w:r w:rsidRPr="00C7499A">
        <w:rPr>
          <w:szCs w:val="24"/>
          <w:lang w:val="en-GB" w:eastAsia="en-GB"/>
        </w:rPr>
        <w:t xml:space="preserve"> customer</w:t>
      </w:r>
      <w:r w:rsidR="00A94529">
        <w:rPr>
          <w:szCs w:val="24"/>
          <w:lang w:val="en-GB" w:eastAsia="en-GB"/>
        </w:rPr>
        <w:t>s</w:t>
      </w:r>
      <w:r w:rsidRPr="00C7499A">
        <w:rPr>
          <w:szCs w:val="24"/>
          <w:lang w:val="en-GB" w:eastAsia="en-GB"/>
        </w:rPr>
        <w:t>.</w:t>
      </w:r>
    </w:p>
    <w:p w14:paraId="05B56F05" w14:textId="218A4AA3" w:rsidR="00330F15" w:rsidRPr="00330F15" w:rsidRDefault="00330F15" w:rsidP="008F104D">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ITU-T SG11</w:t>
      </w:r>
      <w:r w:rsidR="008F104D">
        <w:rPr>
          <w:szCs w:val="24"/>
          <w:lang w:val="en-GB" w:eastAsia="en-GB"/>
        </w:rPr>
        <w:t xml:space="preserve"> </w:t>
      </w:r>
      <w:r w:rsidRPr="00330F15">
        <w:rPr>
          <w:szCs w:val="24"/>
          <w:lang w:val="en-GB" w:eastAsia="en-GB"/>
        </w:rPr>
        <w:t xml:space="preserve">is </w:t>
      </w:r>
      <w:r w:rsidR="00A94529">
        <w:rPr>
          <w:szCs w:val="24"/>
          <w:lang w:val="en-GB" w:eastAsia="en-GB"/>
        </w:rPr>
        <w:t xml:space="preserve">also in the process of </w:t>
      </w:r>
      <w:r w:rsidRPr="00330F15">
        <w:rPr>
          <w:szCs w:val="24"/>
          <w:lang w:val="en-GB" w:eastAsia="en-GB"/>
        </w:rPr>
        <w:t>developing</w:t>
      </w:r>
      <w:r w:rsidR="008F104D">
        <w:rPr>
          <w:szCs w:val="24"/>
          <w:lang w:val="en-GB" w:eastAsia="en-GB"/>
        </w:rPr>
        <w:t xml:space="preserve"> </w:t>
      </w:r>
      <w:r w:rsidR="00A94529">
        <w:rPr>
          <w:szCs w:val="24"/>
          <w:lang w:val="en-GB" w:eastAsia="en-GB"/>
        </w:rPr>
        <w:t>a T</w:t>
      </w:r>
      <w:r w:rsidRPr="00330F15">
        <w:rPr>
          <w:szCs w:val="24"/>
          <w:lang w:val="en-GB" w:eastAsia="en-GB"/>
        </w:rPr>
        <w:t>echnical</w:t>
      </w:r>
      <w:r w:rsidR="00A94529">
        <w:rPr>
          <w:szCs w:val="24"/>
          <w:lang w:val="en-GB" w:eastAsia="en-GB"/>
        </w:rPr>
        <w:t xml:space="preserve"> R</w:t>
      </w:r>
      <w:r w:rsidRPr="00330F15">
        <w:rPr>
          <w:szCs w:val="24"/>
          <w:lang w:val="en-GB" w:eastAsia="en-GB"/>
        </w:rPr>
        <w:t xml:space="preserve">eport on </w:t>
      </w:r>
      <w:r w:rsidR="00A94529">
        <w:rPr>
          <w:szCs w:val="24"/>
          <w:lang w:val="en-GB" w:eastAsia="en-GB"/>
        </w:rPr>
        <w:t>l</w:t>
      </w:r>
      <w:r w:rsidRPr="00330F15">
        <w:rPr>
          <w:szCs w:val="24"/>
          <w:lang w:val="en-GB" w:eastAsia="en-GB"/>
        </w:rPr>
        <w:t>ow resource requirement, quantum</w:t>
      </w:r>
      <w:r w:rsidR="00A94529">
        <w:rPr>
          <w:szCs w:val="24"/>
          <w:lang w:val="en-GB" w:eastAsia="en-GB"/>
        </w:rPr>
        <w:t>-</w:t>
      </w:r>
      <w:r w:rsidRPr="00330F15">
        <w:rPr>
          <w:szCs w:val="24"/>
          <w:lang w:val="en-GB" w:eastAsia="en-GB"/>
        </w:rPr>
        <w:t>resistant,</w:t>
      </w:r>
      <w:r w:rsidR="00A94529">
        <w:rPr>
          <w:szCs w:val="24"/>
          <w:lang w:val="en-GB" w:eastAsia="en-GB"/>
        </w:rPr>
        <w:t xml:space="preserve"> resource-efficient</w:t>
      </w:r>
      <w:r w:rsidRPr="00330F15">
        <w:rPr>
          <w:szCs w:val="24"/>
          <w:lang w:val="en-GB" w:eastAsia="en-GB"/>
        </w:rPr>
        <w:t xml:space="preserve"> encryption of USSD messages for use in</w:t>
      </w:r>
      <w:r w:rsidR="00A94529">
        <w:rPr>
          <w:szCs w:val="24"/>
          <w:lang w:val="en-GB" w:eastAsia="en-GB"/>
        </w:rPr>
        <w:t xml:space="preserve"> digital</w:t>
      </w:r>
      <w:r w:rsidRPr="00330F15">
        <w:rPr>
          <w:szCs w:val="24"/>
          <w:lang w:val="en-GB" w:eastAsia="en-GB"/>
        </w:rPr>
        <w:t xml:space="preserve"> financial services</w:t>
      </w:r>
      <w:r w:rsidR="00A94529">
        <w:rPr>
          <w:szCs w:val="24"/>
          <w:lang w:val="en-GB" w:eastAsia="en-GB"/>
        </w:rPr>
        <w:t xml:space="preserve">. This work is examining new </w:t>
      </w:r>
      <w:r w:rsidRPr="00330F15">
        <w:rPr>
          <w:szCs w:val="24"/>
          <w:lang w:val="en-GB" w:eastAsia="en-GB"/>
        </w:rPr>
        <w:t xml:space="preserve">technologies for </w:t>
      </w:r>
      <w:r w:rsidR="00A94529">
        <w:rPr>
          <w:szCs w:val="24"/>
          <w:lang w:val="en-GB" w:eastAsia="en-GB"/>
        </w:rPr>
        <w:t xml:space="preserve">end-to-end USSD </w:t>
      </w:r>
      <w:r w:rsidRPr="00330F15">
        <w:rPr>
          <w:szCs w:val="24"/>
          <w:lang w:val="en-GB" w:eastAsia="en-GB"/>
        </w:rPr>
        <w:t xml:space="preserve">encryption </w:t>
      </w:r>
      <w:r w:rsidR="00A94529">
        <w:rPr>
          <w:szCs w:val="24"/>
          <w:lang w:val="en-GB" w:eastAsia="en-GB"/>
        </w:rPr>
        <w:t xml:space="preserve">and assessing the potential to integrate such technologies </w:t>
      </w:r>
      <w:r w:rsidRPr="00330F15">
        <w:rPr>
          <w:szCs w:val="24"/>
          <w:lang w:val="en-GB" w:eastAsia="en-GB"/>
        </w:rPr>
        <w:t>into existing USSD technology</w:t>
      </w:r>
      <w:r w:rsidR="00A94529">
        <w:rPr>
          <w:szCs w:val="24"/>
          <w:lang w:val="en-GB" w:eastAsia="en-GB"/>
        </w:rPr>
        <w:t xml:space="preserve"> and </w:t>
      </w:r>
      <w:r w:rsidRPr="00330F15">
        <w:rPr>
          <w:szCs w:val="24"/>
          <w:lang w:val="en-GB" w:eastAsia="en-GB"/>
        </w:rPr>
        <w:t>reference architecture.</w:t>
      </w:r>
    </w:p>
    <w:p w14:paraId="1C70CEB0" w14:textId="654A27B5" w:rsidR="00330F15" w:rsidRPr="00330F15" w:rsidRDefault="00330F15" w:rsidP="008F104D">
      <w:pPr>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t>ITU-T Study Group 12</w:t>
      </w:r>
    </w:p>
    <w:p w14:paraId="156C9842" w14:textId="5D8BF19A" w:rsidR="00330F15" w:rsidRPr="00330F15" w:rsidRDefault="00A94529" w:rsidP="00330F15">
      <w:pPr>
        <w:tabs>
          <w:tab w:val="clear" w:pos="794"/>
          <w:tab w:val="clear" w:pos="1191"/>
          <w:tab w:val="clear" w:pos="1588"/>
          <w:tab w:val="clear" w:pos="1985"/>
        </w:tabs>
        <w:overflowPunct/>
        <w:autoSpaceDE/>
        <w:autoSpaceDN/>
        <w:adjustRightInd/>
        <w:rPr>
          <w:szCs w:val="24"/>
          <w:lang w:val="en-GB" w:eastAsia="en-GB"/>
        </w:rPr>
      </w:pPr>
      <w:r>
        <w:t xml:space="preserve">New ITU standards introduce QoS and QoE aspects of digital financial services (G.1033), a methodology to test the QoE of digital financial services (P.1502). </w:t>
      </w:r>
      <w:r w:rsidR="00330F15" w:rsidRPr="00330F15">
        <w:rPr>
          <w:szCs w:val="24"/>
          <w:lang w:val="en-GB" w:eastAsia="en-GB"/>
        </w:rPr>
        <w:t xml:space="preserve">The </w:t>
      </w:r>
      <w:r>
        <w:rPr>
          <w:szCs w:val="24"/>
          <w:lang w:val="en-GB" w:eastAsia="en-GB"/>
        </w:rPr>
        <w:t>sta</w:t>
      </w:r>
      <w:r w:rsidR="00BF27D7">
        <w:rPr>
          <w:szCs w:val="24"/>
          <w:lang w:val="en-GB" w:eastAsia="en-GB"/>
        </w:rPr>
        <w:t>n</w:t>
      </w:r>
      <w:r>
        <w:rPr>
          <w:szCs w:val="24"/>
          <w:lang w:val="en-GB" w:eastAsia="en-GB"/>
        </w:rPr>
        <w:t xml:space="preserve">dards </w:t>
      </w:r>
      <w:r w:rsidR="00330F15" w:rsidRPr="00330F15">
        <w:rPr>
          <w:szCs w:val="24"/>
          <w:lang w:val="en-GB" w:eastAsia="en-GB"/>
        </w:rPr>
        <w:t>are based on the results of the ITU-T Focus Group on Digital Financial Services and the FIGI Security, Infrastructure and Trust Working Group, and were developed under Question 13/12, responsible for multimedia</w:t>
      </w:r>
      <w:r w:rsidR="008F104D">
        <w:rPr>
          <w:szCs w:val="24"/>
          <w:lang w:val="en-GB" w:eastAsia="en-GB"/>
        </w:rPr>
        <w:t xml:space="preserve"> </w:t>
      </w:r>
      <w:r w:rsidR="00330F15" w:rsidRPr="00330F15">
        <w:rPr>
          <w:szCs w:val="24"/>
          <w:lang w:val="en-GB" w:eastAsia="en-GB"/>
        </w:rPr>
        <w:t>QoS and</w:t>
      </w:r>
      <w:r w:rsidR="008F104D">
        <w:rPr>
          <w:szCs w:val="24"/>
          <w:lang w:val="en-GB" w:eastAsia="en-GB"/>
        </w:rPr>
        <w:t xml:space="preserve"> </w:t>
      </w:r>
      <w:r w:rsidR="00330F15" w:rsidRPr="00330F15">
        <w:rPr>
          <w:szCs w:val="24"/>
          <w:lang w:val="en-GB" w:eastAsia="en-GB"/>
        </w:rPr>
        <w:t>QoE</w:t>
      </w:r>
      <w:r w:rsidR="008F104D">
        <w:rPr>
          <w:szCs w:val="24"/>
          <w:lang w:val="en-GB" w:eastAsia="en-GB"/>
        </w:rPr>
        <w:t xml:space="preserve"> </w:t>
      </w:r>
      <w:r w:rsidR="00330F15" w:rsidRPr="00330F15">
        <w:rPr>
          <w:szCs w:val="24"/>
          <w:lang w:val="en-GB" w:eastAsia="en-GB"/>
        </w:rPr>
        <w:t>issues.</w:t>
      </w:r>
    </w:p>
    <w:p w14:paraId="0219E1F7" w14:textId="5F7C62FF"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eastAsia="en-GB"/>
        </w:rPr>
        <w:t>In its submissions to WTSA-20, SG12 included one new</w:t>
      </w:r>
      <w:r w:rsidR="008F104D">
        <w:rPr>
          <w:szCs w:val="24"/>
          <w:lang w:eastAsia="en-GB"/>
        </w:rPr>
        <w:t xml:space="preserve"> </w:t>
      </w:r>
      <w:r w:rsidR="00BF27D7">
        <w:rPr>
          <w:szCs w:val="24"/>
          <w:lang w:eastAsia="en-GB"/>
        </w:rPr>
        <w:t xml:space="preserve">Question </w:t>
      </w:r>
      <w:r w:rsidRPr="00330F15">
        <w:rPr>
          <w:szCs w:val="24"/>
          <w:lang w:eastAsia="en-GB"/>
        </w:rPr>
        <w:t>dedicated</w:t>
      </w:r>
      <w:r w:rsidR="008F104D">
        <w:rPr>
          <w:szCs w:val="24"/>
          <w:lang w:eastAsia="en-GB"/>
        </w:rPr>
        <w:t xml:space="preserve"> </w:t>
      </w:r>
      <w:r w:rsidRPr="00330F15">
        <w:rPr>
          <w:szCs w:val="24"/>
          <w:lang w:eastAsia="en-GB"/>
        </w:rPr>
        <w:t xml:space="preserve">to </w:t>
      </w:r>
      <w:r w:rsidR="00BF27D7">
        <w:rPr>
          <w:szCs w:val="24"/>
          <w:lang w:eastAsia="en-GB"/>
        </w:rPr>
        <w:t xml:space="preserve">the </w:t>
      </w:r>
      <w:r w:rsidRPr="00330F15">
        <w:rPr>
          <w:szCs w:val="24"/>
          <w:lang w:eastAsia="en-GB"/>
        </w:rPr>
        <w:t>study</w:t>
      </w:r>
      <w:r w:rsidR="00BF27D7">
        <w:rPr>
          <w:szCs w:val="24"/>
          <w:lang w:eastAsia="en-GB"/>
        </w:rPr>
        <w:t xml:space="preserve"> of</w:t>
      </w:r>
      <w:r w:rsidR="008F104D">
        <w:rPr>
          <w:szCs w:val="24"/>
          <w:lang w:eastAsia="en-GB"/>
        </w:rPr>
        <w:t xml:space="preserve"> </w:t>
      </w:r>
      <w:r w:rsidRPr="00330F15">
        <w:rPr>
          <w:szCs w:val="24"/>
          <w:lang w:eastAsia="en-GB"/>
        </w:rPr>
        <w:t>perceptual and field assessment principles for QoS and</w:t>
      </w:r>
      <w:r w:rsidR="008F104D">
        <w:rPr>
          <w:szCs w:val="24"/>
          <w:lang w:eastAsia="en-GB"/>
        </w:rPr>
        <w:t xml:space="preserve"> </w:t>
      </w:r>
      <w:r w:rsidRPr="00330F15">
        <w:rPr>
          <w:szCs w:val="24"/>
          <w:lang w:eastAsia="en-GB"/>
        </w:rPr>
        <w:t>QoE</w:t>
      </w:r>
      <w:r w:rsidR="008F104D">
        <w:rPr>
          <w:szCs w:val="24"/>
          <w:lang w:eastAsia="en-GB"/>
        </w:rPr>
        <w:t xml:space="preserve"> </w:t>
      </w:r>
      <w:r w:rsidRPr="00330F15">
        <w:rPr>
          <w:szCs w:val="24"/>
          <w:lang w:eastAsia="en-GB"/>
        </w:rPr>
        <w:t xml:space="preserve">of </w:t>
      </w:r>
      <w:r w:rsidR="00BF27D7">
        <w:rPr>
          <w:szCs w:val="24"/>
          <w:lang w:eastAsia="en-GB"/>
        </w:rPr>
        <w:t>digital financial services</w:t>
      </w:r>
      <w:r w:rsidRPr="00330F15">
        <w:rPr>
          <w:szCs w:val="24"/>
          <w:lang w:eastAsia="en-GB"/>
        </w:rPr>
        <w:t>.</w:t>
      </w:r>
    </w:p>
    <w:p w14:paraId="35FE66DF" w14:textId="5D21BCB4" w:rsidR="00330F15" w:rsidRPr="00330F15" w:rsidRDefault="00330F15" w:rsidP="00886911">
      <w:pPr>
        <w:keepNext/>
        <w:keepLines/>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t>ITU-T Study Group 16</w:t>
      </w:r>
    </w:p>
    <w:p w14:paraId="7BBD3DF2" w14:textId="24E8FBA2" w:rsidR="00330F15" w:rsidRPr="00330F15" w:rsidRDefault="00330F15" w:rsidP="00886911">
      <w:pPr>
        <w:keepNext/>
        <w:keepLines/>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 new</w:t>
      </w:r>
      <w:r w:rsidR="008F104D">
        <w:rPr>
          <w:szCs w:val="24"/>
          <w:lang w:val="en-GB" w:eastAsia="en-GB"/>
        </w:rPr>
        <w:t xml:space="preserve"> </w:t>
      </w:r>
      <w:r w:rsidRPr="00BF27D7">
        <w:rPr>
          <w:szCs w:val="24"/>
          <w:lang w:val="en-GB" w:eastAsia="en-GB"/>
        </w:rPr>
        <w:t>Question 22/16</w:t>
      </w:r>
      <w:r w:rsidR="008F104D" w:rsidRPr="00BF27D7">
        <w:rPr>
          <w:szCs w:val="24"/>
          <w:lang w:val="en-GB" w:eastAsia="en-GB"/>
        </w:rPr>
        <w:t xml:space="preserve"> </w:t>
      </w:r>
      <w:r w:rsidRPr="00330F15">
        <w:rPr>
          <w:szCs w:val="24"/>
          <w:lang w:val="en-GB" w:eastAsia="en-GB"/>
        </w:rPr>
        <w:t>on Distributed ledger technologies (DLT) and e-services continues part of the work of the now closed</w:t>
      </w:r>
      <w:r w:rsidR="008F104D">
        <w:rPr>
          <w:szCs w:val="24"/>
          <w:lang w:val="en-GB" w:eastAsia="en-GB"/>
        </w:rPr>
        <w:t xml:space="preserve"> </w:t>
      </w:r>
      <w:hyperlink r:id="rId110" w:tgtFrame="_blank" w:history="1">
        <w:r w:rsidRPr="00330F15">
          <w:rPr>
            <w:color w:val="0000FF"/>
            <w:szCs w:val="24"/>
            <w:u w:val="single"/>
            <w:lang w:val="en-GB" w:eastAsia="en-GB"/>
          </w:rPr>
          <w:t xml:space="preserve">ITU-T Focus Group on </w:t>
        </w:r>
        <w:r w:rsidR="00BF27D7">
          <w:rPr>
            <w:color w:val="0000FF"/>
            <w:szCs w:val="24"/>
            <w:u w:val="single"/>
            <w:lang w:val="en-GB" w:eastAsia="en-GB"/>
          </w:rPr>
          <w:t>the Application of D</w:t>
        </w:r>
        <w:r w:rsidRPr="00330F15">
          <w:rPr>
            <w:color w:val="0000FF"/>
            <w:szCs w:val="24"/>
            <w:u w:val="single"/>
            <w:lang w:val="en-GB" w:eastAsia="en-GB"/>
          </w:rPr>
          <w:t xml:space="preserve">istributed </w:t>
        </w:r>
        <w:r w:rsidR="00BF27D7">
          <w:rPr>
            <w:color w:val="0000FF"/>
            <w:szCs w:val="24"/>
            <w:u w:val="single"/>
            <w:lang w:val="en-GB" w:eastAsia="en-GB"/>
          </w:rPr>
          <w:t>Le</w:t>
        </w:r>
        <w:r w:rsidRPr="00330F15">
          <w:rPr>
            <w:color w:val="0000FF"/>
            <w:szCs w:val="24"/>
            <w:u w:val="single"/>
            <w:lang w:val="en-GB" w:eastAsia="en-GB"/>
          </w:rPr>
          <w:t>dger technolog</w:t>
        </w:r>
        <w:r w:rsidR="00BF27D7">
          <w:rPr>
            <w:color w:val="0000FF"/>
            <w:szCs w:val="24"/>
            <w:u w:val="single"/>
            <w:lang w:val="en-GB" w:eastAsia="en-GB"/>
          </w:rPr>
          <w:t>y</w:t>
        </w:r>
      </w:hyperlink>
      <w:r w:rsidRPr="00330F15">
        <w:rPr>
          <w:szCs w:val="24"/>
          <w:lang w:val="en-GB" w:eastAsia="en-GB"/>
        </w:rPr>
        <w:t>.</w:t>
      </w:r>
    </w:p>
    <w:p w14:paraId="25FE61F4" w14:textId="1C4F1F5B"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DLT</w:t>
      </w:r>
      <w:r w:rsidR="00BF27D7">
        <w:rPr>
          <w:szCs w:val="24"/>
          <w:lang w:val="en-GB" w:eastAsia="en-GB"/>
        </w:rPr>
        <w:t>s</w:t>
      </w:r>
      <w:r w:rsidRPr="00330F15">
        <w:rPr>
          <w:szCs w:val="24"/>
          <w:lang w:val="en-GB" w:eastAsia="en-GB"/>
        </w:rPr>
        <w:t xml:space="preserve"> are building blocks to many verticals, includ</w:t>
      </w:r>
      <w:r w:rsidR="00BF27D7">
        <w:rPr>
          <w:szCs w:val="24"/>
          <w:lang w:val="en-GB" w:eastAsia="en-GB"/>
        </w:rPr>
        <w:t>ing</w:t>
      </w:r>
      <w:r w:rsidRPr="00330F15">
        <w:rPr>
          <w:szCs w:val="24"/>
          <w:lang w:val="en-GB" w:eastAsia="en-GB"/>
        </w:rPr>
        <w:t xml:space="preserve"> digital financial services,</w:t>
      </w:r>
      <w:r w:rsidR="008F104D">
        <w:rPr>
          <w:szCs w:val="24"/>
          <w:lang w:val="en-GB" w:eastAsia="en-GB"/>
        </w:rPr>
        <w:t xml:space="preserve"> </w:t>
      </w:r>
      <w:r w:rsidRPr="00330F15">
        <w:rPr>
          <w:szCs w:val="24"/>
          <w:lang w:val="en-GB" w:eastAsia="en-GB"/>
        </w:rPr>
        <w:t>in particular when a trusted third party is not involved. Topics of interest for DFS being studied by Q22/16 include digital evidence services, digital</w:t>
      </w:r>
      <w:r w:rsidR="008F104D">
        <w:rPr>
          <w:szCs w:val="24"/>
          <w:lang w:val="en-GB" w:eastAsia="en-GB"/>
        </w:rPr>
        <w:t xml:space="preserve"> </w:t>
      </w:r>
      <w:r w:rsidRPr="00330F15">
        <w:rPr>
          <w:szCs w:val="24"/>
          <w:lang w:val="en-GB" w:eastAsia="en-GB"/>
        </w:rPr>
        <w:t>invoices</w:t>
      </w:r>
      <w:r w:rsidR="008F104D">
        <w:rPr>
          <w:szCs w:val="24"/>
          <w:lang w:val="en-GB" w:eastAsia="en-GB"/>
        </w:rPr>
        <w:t xml:space="preserve"> </w:t>
      </w:r>
      <w:r w:rsidRPr="00330F15">
        <w:rPr>
          <w:szCs w:val="24"/>
          <w:lang w:val="en-GB" w:eastAsia="en-GB"/>
        </w:rPr>
        <w:t>and smart contracts.</w:t>
      </w:r>
    </w:p>
    <w:p w14:paraId="2B009CFE" w14:textId="4A16CD8A"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lastRenderedPageBreak/>
        <w:t xml:space="preserve">Two </w:t>
      </w:r>
      <w:r w:rsidR="008F104D">
        <w:rPr>
          <w:szCs w:val="24"/>
          <w:lang w:val="en-GB" w:eastAsia="en-GB"/>
        </w:rPr>
        <w:t>T</w:t>
      </w:r>
      <w:r w:rsidRPr="00330F15">
        <w:rPr>
          <w:szCs w:val="24"/>
          <w:lang w:val="en-GB" w:eastAsia="en-GB"/>
        </w:rPr>
        <w:t xml:space="preserve">echnical </w:t>
      </w:r>
      <w:r w:rsidR="008F104D">
        <w:rPr>
          <w:szCs w:val="24"/>
          <w:lang w:val="en-GB" w:eastAsia="en-GB"/>
        </w:rPr>
        <w:t>P</w:t>
      </w:r>
      <w:r w:rsidRPr="00330F15">
        <w:rPr>
          <w:szCs w:val="24"/>
          <w:lang w:val="en-GB" w:eastAsia="en-GB"/>
        </w:rPr>
        <w:t>apers</w:t>
      </w:r>
      <w:r w:rsidR="008F104D">
        <w:rPr>
          <w:szCs w:val="24"/>
          <w:lang w:val="en-GB" w:eastAsia="en-GB"/>
        </w:rPr>
        <w:t xml:space="preserve"> </w:t>
      </w:r>
      <w:r w:rsidRPr="00330F15">
        <w:rPr>
          <w:szCs w:val="24"/>
          <w:lang w:val="en-GB" w:eastAsia="en-GB"/>
        </w:rPr>
        <w:t>and three</w:t>
      </w:r>
      <w:r w:rsidR="008F104D">
        <w:rPr>
          <w:szCs w:val="24"/>
          <w:lang w:val="en-GB" w:eastAsia="en-GB"/>
        </w:rPr>
        <w:t xml:space="preserve"> </w:t>
      </w:r>
      <w:r w:rsidRPr="00330F15">
        <w:rPr>
          <w:szCs w:val="24"/>
          <w:lang w:val="en-GB" w:eastAsia="en-GB"/>
        </w:rPr>
        <w:t>ITU</w:t>
      </w:r>
      <w:r w:rsidR="00BF27D7">
        <w:rPr>
          <w:szCs w:val="24"/>
          <w:lang w:val="en-GB" w:eastAsia="en-GB"/>
        </w:rPr>
        <w:t xml:space="preserve"> standards</w:t>
      </w:r>
      <w:r w:rsidR="008F104D">
        <w:rPr>
          <w:szCs w:val="24"/>
          <w:lang w:val="en-GB" w:eastAsia="en-GB"/>
        </w:rPr>
        <w:t xml:space="preserve"> </w:t>
      </w:r>
      <w:r w:rsidRPr="00330F15">
        <w:rPr>
          <w:szCs w:val="24"/>
          <w:lang w:val="en-GB" w:eastAsia="en-GB"/>
        </w:rPr>
        <w:t>have been approved:</w:t>
      </w:r>
    </w:p>
    <w:p w14:paraId="51937D76" w14:textId="01056BFC" w:rsidR="00330F15" w:rsidRPr="00330F15" w:rsidRDefault="00E12FA7"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1" w:tgtFrame="_blank" w:history="1">
        <w:r w:rsidR="00330F15" w:rsidRPr="00330F15">
          <w:rPr>
            <w:color w:val="0000FF"/>
            <w:szCs w:val="24"/>
            <w:u w:val="single"/>
            <w:lang w:val="en-GB" w:eastAsia="en-GB"/>
          </w:rPr>
          <w:t>HSTP.DLT-UC</w:t>
        </w:r>
      </w:hyperlink>
      <w:r w:rsidR="00330F15" w:rsidRPr="00330F15">
        <w:rPr>
          <w:szCs w:val="24"/>
          <w:lang w:val="en-GB" w:eastAsia="en-GB"/>
        </w:rPr>
        <w:t>: Distributed ledger technologies: Use cases</w:t>
      </w:r>
    </w:p>
    <w:p w14:paraId="2240F2C2" w14:textId="30660CFA" w:rsidR="00330F15" w:rsidRPr="00330F15" w:rsidRDefault="00E12FA7"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2" w:tgtFrame="_blank" w:history="1">
        <w:r w:rsidR="00330F15" w:rsidRPr="00330F15">
          <w:rPr>
            <w:color w:val="0000FF"/>
            <w:szCs w:val="24"/>
            <w:u w:val="single"/>
            <w:lang w:val="en-GB" w:eastAsia="en-GB"/>
          </w:rPr>
          <w:t>HSTP.DLT-RF</w:t>
        </w:r>
      </w:hyperlink>
      <w:r w:rsidR="00330F15" w:rsidRPr="00330F15">
        <w:rPr>
          <w:szCs w:val="24"/>
          <w:lang w:val="en-GB" w:eastAsia="en-GB"/>
        </w:rPr>
        <w:t>: Distributed ledger technology: Regulatory framework</w:t>
      </w:r>
    </w:p>
    <w:p w14:paraId="30ADBC9E" w14:textId="768368EC" w:rsidR="00330F15" w:rsidRPr="00330F15" w:rsidRDefault="00E12FA7"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3" w:tgtFrame="_blank" w:history="1">
        <w:r w:rsidR="00330F15" w:rsidRPr="00330F15">
          <w:rPr>
            <w:color w:val="0000FF"/>
            <w:szCs w:val="24"/>
            <w:u w:val="single"/>
            <w:lang w:val="en-GB" w:eastAsia="en-GB"/>
          </w:rPr>
          <w:t>F.751.0</w:t>
        </w:r>
      </w:hyperlink>
      <w:r w:rsidR="00330F15" w:rsidRPr="00330F15">
        <w:rPr>
          <w:szCs w:val="24"/>
          <w:lang w:val="en-GB" w:eastAsia="en-GB"/>
        </w:rPr>
        <w:t>: Requirements for distributed ledger systems</w:t>
      </w:r>
    </w:p>
    <w:p w14:paraId="1429BF76" w14:textId="2EE43231" w:rsidR="00330F15" w:rsidRPr="00330F15" w:rsidRDefault="00E12FA7"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4" w:tgtFrame="_blank" w:history="1">
        <w:r w:rsidR="00330F15" w:rsidRPr="00330F15">
          <w:rPr>
            <w:color w:val="0000FF"/>
            <w:szCs w:val="24"/>
            <w:u w:val="single"/>
            <w:lang w:val="en-GB" w:eastAsia="en-GB"/>
          </w:rPr>
          <w:t>F.751.1</w:t>
        </w:r>
      </w:hyperlink>
      <w:r w:rsidR="00330F15" w:rsidRPr="00330F15">
        <w:rPr>
          <w:szCs w:val="24"/>
          <w:lang w:val="en-GB" w:eastAsia="en-GB"/>
        </w:rPr>
        <w:t>: Assessment criteria for distributed ledger technology (DLT) platforms</w:t>
      </w:r>
    </w:p>
    <w:p w14:paraId="503F991A" w14:textId="5026610C" w:rsidR="00BF27D7" w:rsidRDefault="00E12FA7"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5" w:tgtFrame="_blank" w:history="1">
        <w:r w:rsidR="00330F15" w:rsidRPr="00330F15">
          <w:rPr>
            <w:color w:val="0000FF"/>
            <w:szCs w:val="24"/>
            <w:u w:val="single"/>
            <w:lang w:val="en-GB" w:eastAsia="en-GB"/>
          </w:rPr>
          <w:t>F.751.2</w:t>
        </w:r>
      </w:hyperlink>
      <w:r w:rsidR="00330F15" w:rsidRPr="00330F15">
        <w:rPr>
          <w:szCs w:val="24"/>
          <w:lang w:val="en-GB" w:eastAsia="en-GB"/>
        </w:rPr>
        <w:t>: Reference framework for distributed ledger technologies</w:t>
      </w:r>
      <w:r w:rsidR="008F104D">
        <w:rPr>
          <w:szCs w:val="24"/>
          <w:lang w:val="en-GB" w:eastAsia="en-GB"/>
        </w:rPr>
        <w:t>.</w:t>
      </w:r>
    </w:p>
    <w:p w14:paraId="7CE63C61" w14:textId="1F217ECF" w:rsidR="00BF27D7" w:rsidRDefault="00BF27D7" w:rsidP="00BF27D7">
      <w:pPr>
        <w:tabs>
          <w:tab w:val="clear" w:pos="794"/>
          <w:tab w:val="clear" w:pos="1191"/>
          <w:tab w:val="clear" w:pos="1588"/>
          <w:tab w:val="clear" w:pos="1985"/>
        </w:tabs>
        <w:overflowPunct/>
        <w:autoSpaceDE/>
        <w:autoSpaceDN/>
        <w:adjustRightInd/>
        <w:rPr>
          <w:szCs w:val="24"/>
          <w:lang w:val="en-GB" w:eastAsia="en-GB"/>
        </w:rPr>
      </w:pPr>
      <w:r w:rsidRPr="00BF27D7">
        <w:rPr>
          <w:szCs w:val="24"/>
          <w:lang w:val="en-GB" w:eastAsia="en-GB"/>
        </w:rPr>
        <w:t xml:space="preserve">The following work items </w:t>
      </w:r>
      <w:r>
        <w:rPr>
          <w:szCs w:val="24"/>
          <w:lang w:val="en-GB" w:eastAsia="en-GB"/>
        </w:rPr>
        <w:t xml:space="preserve">are under </w:t>
      </w:r>
      <w:r w:rsidRPr="00BF27D7">
        <w:rPr>
          <w:szCs w:val="24"/>
          <w:lang w:val="en-GB" w:eastAsia="en-GB"/>
        </w:rPr>
        <w:t>develop</w:t>
      </w:r>
      <w:r>
        <w:rPr>
          <w:szCs w:val="24"/>
          <w:lang w:val="en-GB" w:eastAsia="en-GB"/>
        </w:rPr>
        <w:t>ment</w:t>
      </w:r>
      <w:r w:rsidRPr="00BF27D7">
        <w:rPr>
          <w:szCs w:val="24"/>
          <w:lang w:val="en-GB" w:eastAsia="en-GB"/>
        </w:rPr>
        <w:t>:</w:t>
      </w:r>
    </w:p>
    <w:p w14:paraId="6AB9B27A" w14:textId="77777777" w:rsidR="00BF27D7" w:rsidRDefault="00E12FA7"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6" w:tgtFrame="_blank" w:history="1">
        <w:r w:rsidR="00330F15" w:rsidRPr="00BF27D7">
          <w:rPr>
            <w:color w:val="0000FF"/>
            <w:szCs w:val="24"/>
            <w:u w:val="single"/>
            <w:lang w:val="en-GB" w:eastAsia="en-GB"/>
          </w:rPr>
          <w:t>F.DLT-FIN</w:t>
        </w:r>
      </w:hyperlink>
      <w:r w:rsidR="00330F15" w:rsidRPr="00BF27D7">
        <w:rPr>
          <w:szCs w:val="24"/>
          <w:lang w:val="en-GB" w:eastAsia="en-GB"/>
        </w:rPr>
        <w:t>: Financial distributed ledger technology application guideline</w:t>
      </w:r>
    </w:p>
    <w:p w14:paraId="60FB3965" w14:textId="77777777" w:rsidR="00BF27D7" w:rsidRDefault="00E12FA7"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7" w:tgtFrame="_blank" w:history="1">
        <w:r w:rsidR="00330F15" w:rsidRPr="00BF27D7">
          <w:rPr>
            <w:color w:val="0000FF"/>
            <w:szCs w:val="24"/>
            <w:u w:val="single"/>
            <w:lang w:val="en-GB" w:eastAsia="en-GB"/>
          </w:rPr>
          <w:t>H.DLT-DE</w:t>
        </w:r>
      </w:hyperlink>
      <w:r w:rsidR="00330F15" w:rsidRPr="00BF27D7">
        <w:rPr>
          <w:szCs w:val="24"/>
          <w:lang w:val="en-GB" w:eastAsia="en-GB"/>
        </w:rPr>
        <w:t>: Digital evidence services based on distributed ledger technologies</w:t>
      </w:r>
    </w:p>
    <w:p w14:paraId="235460A1" w14:textId="77777777" w:rsidR="00BF27D7" w:rsidRDefault="00E12FA7"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8" w:tgtFrame="_blank" w:history="1">
        <w:r w:rsidR="00330F15" w:rsidRPr="00BF27D7">
          <w:rPr>
            <w:color w:val="0000FF"/>
            <w:szCs w:val="24"/>
            <w:u w:val="single"/>
            <w:lang w:val="en-GB" w:eastAsia="en-GB"/>
          </w:rPr>
          <w:t>H.DLT-GTI</w:t>
        </w:r>
      </w:hyperlink>
      <w:r w:rsidR="00330F15" w:rsidRPr="00BF27D7">
        <w:rPr>
          <w:szCs w:val="24"/>
          <w:lang w:val="en-GB" w:eastAsia="en-GB"/>
        </w:rPr>
        <w:t>: DLT governance and technical interoperability framework</w:t>
      </w:r>
    </w:p>
    <w:p w14:paraId="6E5F00FC" w14:textId="77777777" w:rsidR="00BF27D7" w:rsidRDefault="00E12FA7"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19" w:tgtFrame="_blank" w:history="1">
        <w:r w:rsidR="00330F15" w:rsidRPr="00BF27D7">
          <w:rPr>
            <w:color w:val="0000FF"/>
            <w:szCs w:val="24"/>
            <w:u w:val="single"/>
            <w:lang w:val="en-GB" w:eastAsia="en-GB"/>
          </w:rPr>
          <w:t>H.DLT-INV</w:t>
        </w:r>
      </w:hyperlink>
      <w:r w:rsidR="00330F15" w:rsidRPr="00BF27D7">
        <w:rPr>
          <w:szCs w:val="24"/>
          <w:lang w:val="en-GB" w:eastAsia="en-GB"/>
        </w:rPr>
        <w:t>: General framework of DLT-based invoices</w:t>
      </w:r>
    </w:p>
    <w:p w14:paraId="5003931C" w14:textId="77777777" w:rsidR="00BF27D7" w:rsidRDefault="00E12FA7"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20" w:tgtFrame="_blank" w:history="1">
        <w:r w:rsidR="00330F15" w:rsidRPr="00BF27D7">
          <w:rPr>
            <w:color w:val="0000FF"/>
            <w:szCs w:val="24"/>
            <w:u w:val="single"/>
            <w:lang w:val="en-GB" w:eastAsia="en-GB"/>
          </w:rPr>
          <w:t>H.DLT-TFR</w:t>
        </w:r>
      </w:hyperlink>
      <w:r w:rsidR="00330F15" w:rsidRPr="00BF27D7">
        <w:rPr>
          <w:szCs w:val="24"/>
          <w:lang w:val="en-GB" w:eastAsia="en-GB"/>
        </w:rPr>
        <w:t>: Technical framework for DLT regulation</w:t>
      </w:r>
    </w:p>
    <w:p w14:paraId="7A0B074F" w14:textId="77777777" w:rsidR="00BF27D7" w:rsidRDefault="00E12FA7"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21" w:tgtFrame="_blank" w:history="1">
        <w:r w:rsidR="00330F15" w:rsidRPr="00BF27D7">
          <w:rPr>
            <w:color w:val="0000FF"/>
            <w:szCs w:val="24"/>
            <w:u w:val="single"/>
            <w:lang w:val="en-GB" w:eastAsia="en-GB"/>
          </w:rPr>
          <w:t>H.DLT-VERI</w:t>
        </w:r>
      </w:hyperlink>
      <w:r w:rsidR="00330F15" w:rsidRPr="00BF27D7">
        <w:rPr>
          <w:szCs w:val="24"/>
          <w:lang w:val="en-GB" w:eastAsia="en-GB"/>
        </w:rPr>
        <w:t>: Formal verification framework for smart contract</w:t>
      </w:r>
    </w:p>
    <w:p w14:paraId="7E4BAB51" w14:textId="590A4522" w:rsidR="00330F15" w:rsidRPr="00BF27D7" w:rsidRDefault="00E12FA7" w:rsidP="00CC5384">
      <w:pPr>
        <w:numPr>
          <w:ilvl w:val="0"/>
          <w:numId w:val="48"/>
        </w:numPr>
        <w:tabs>
          <w:tab w:val="clear" w:pos="794"/>
          <w:tab w:val="clear" w:pos="1191"/>
          <w:tab w:val="clear" w:pos="1588"/>
          <w:tab w:val="clear" w:pos="1985"/>
        </w:tabs>
        <w:overflowPunct/>
        <w:autoSpaceDE/>
        <w:autoSpaceDN/>
        <w:adjustRightInd/>
        <w:rPr>
          <w:szCs w:val="24"/>
          <w:lang w:val="en-GB" w:eastAsia="en-GB"/>
        </w:rPr>
      </w:pPr>
      <w:hyperlink r:id="rId122" w:tgtFrame="_blank" w:history="1">
        <w:r w:rsidR="00330F15" w:rsidRPr="00BF27D7">
          <w:rPr>
            <w:color w:val="0000FF"/>
            <w:szCs w:val="24"/>
            <w:u w:val="single"/>
            <w:lang w:val="en-GB" w:eastAsia="en-GB"/>
          </w:rPr>
          <w:t>HSTP.DLT-Risk</w:t>
        </w:r>
      </w:hyperlink>
      <w:r w:rsidR="00330F15" w:rsidRPr="00BF27D7">
        <w:rPr>
          <w:szCs w:val="24"/>
          <w:lang w:val="en-GB" w:eastAsia="en-GB"/>
        </w:rPr>
        <w:t>: DLT-based application development risks and their mitigations</w:t>
      </w:r>
      <w:r w:rsidR="008F104D" w:rsidRPr="00BF27D7">
        <w:rPr>
          <w:szCs w:val="24"/>
          <w:lang w:val="en-GB" w:eastAsia="en-GB"/>
        </w:rPr>
        <w:t>.</w:t>
      </w:r>
    </w:p>
    <w:p w14:paraId="37F84F24" w14:textId="0EE72522" w:rsidR="00330F15" w:rsidRPr="00330F15" w:rsidRDefault="00642324" w:rsidP="00330F15">
      <w:p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The latest</w:t>
      </w:r>
      <w:r w:rsidR="00330F15" w:rsidRPr="00330F15">
        <w:rPr>
          <w:szCs w:val="24"/>
          <w:lang w:val="en-GB" w:eastAsia="en-GB"/>
        </w:rPr>
        <w:t xml:space="preserve"> information can be found at:</w:t>
      </w:r>
      <w:r>
        <w:rPr>
          <w:szCs w:val="24"/>
          <w:lang w:val="en-GB" w:eastAsia="en-GB"/>
        </w:rPr>
        <w:t xml:space="preserve"> </w:t>
      </w:r>
      <w:hyperlink r:id="rId123" w:history="1">
        <w:r w:rsidRPr="00982390">
          <w:rPr>
            <w:rStyle w:val="Hyperlink"/>
            <w:szCs w:val="24"/>
            <w:lang w:val="en-GB" w:eastAsia="en-GB"/>
          </w:rPr>
          <w:t>https://itu.int/ITU-T/workprog/wp_search.aspx?sg=16&amp;q=22</w:t>
        </w:r>
      </w:hyperlink>
      <w:r w:rsidR="00330F15" w:rsidRPr="00330F15">
        <w:rPr>
          <w:szCs w:val="24"/>
          <w:lang w:val="en-GB" w:eastAsia="en-GB"/>
        </w:rPr>
        <w:t>.</w:t>
      </w:r>
    </w:p>
    <w:p w14:paraId="4C00F6B6" w14:textId="7C3E1DC4" w:rsidR="00330F15" w:rsidRPr="00330F15" w:rsidRDefault="00330F15" w:rsidP="008F104D">
      <w:pPr>
        <w:tabs>
          <w:tab w:val="clear" w:pos="794"/>
          <w:tab w:val="clear" w:pos="1191"/>
          <w:tab w:val="clear" w:pos="1588"/>
          <w:tab w:val="clear" w:pos="1985"/>
        </w:tabs>
        <w:overflowPunct/>
        <w:autoSpaceDE/>
        <w:autoSpaceDN/>
        <w:adjustRightInd/>
        <w:rPr>
          <w:b/>
          <w:bCs/>
          <w:szCs w:val="24"/>
          <w:lang w:val="en-GB" w:eastAsia="en-GB"/>
        </w:rPr>
      </w:pPr>
      <w:r w:rsidRPr="00330F15">
        <w:rPr>
          <w:b/>
          <w:bCs/>
          <w:szCs w:val="24"/>
          <w:lang w:val="en-GB" w:eastAsia="en-GB"/>
        </w:rPr>
        <w:t>ITU-T Study Group 17</w:t>
      </w:r>
    </w:p>
    <w:p w14:paraId="5C058DC4" w14:textId="3BCD9D42" w:rsidR="00330F15" w:rsidRPr="00330F15" w:rsidRDefault="00BF27D7" w:rsidP="00330F15">
      <w:pPr>
        <w:tabs>
          <w:tab w:val="clear" w:pos="794"/>
          <w:tab w:val="clear" w:pos="1191"/>
          <w:tab w:val="clear" w:pos="1588"/>
          <w:tab w:val="clear" w:pos="1985"/>
        </w:tabs>
        <w:overflowPunct/>
        <w:autoSpaceDE/>
        <w:autoSpaceDN/>
        <w:adjustRightInd/>
        <w:rPr>
          <w:szCs w:val="24"/>
          <w:lang w:val="en-GB" w:eastAsia="en-GB"/>
        </w:rPr>
      </w:pPr>
      <w:r>
        <w:rPr>
          <w:szCs w:val="24"/>
          <w:lang w:val="en-GB" w:eastAsia="en-GB"/>
        </w:rPr>
        <w:t xml:space="preserve">As FinTech </w:t>
      </w:r>
      <w:r w:rsidR="00330F15" w:rsidRPr="00330F15">
        <w:rPr>
          <w:szCs w:val="24"/>
          <w:lang w:val="en-GB" w:eastAsia="en-GB"/>
        </w:rPr>
        <w:t>change</w:t>
      </w:r>
      <w:r>
        <w:rPr>
          <w:szCs w:val="24"/>
          <w:lang w:val="en-GB" w:eastAsia="en-GB"/>
        </w:rPr>
        <w:t>s</w:t>
      </w:r>
      <w:r w:rsidR="00330F15" w:rsidRPr="00330F15">
        <w:rPr>
          <w:szCs w:val="24"/>
          <w:lang w:val="en-GB" w:eastAsia="en-GB"/>
        </w:rPr>
        <w:t xml:space="preserve"> the way consumers access financial products and services</w:t>
      </w:r>
      <w:r>
        <w:rPr>
          <w:szCs w:val="24"/>
          <w:lang w:val="en-GB" w:eastAsia="en-GB"/>
        </w:rPr>
        <w:t>,</w:t>
      </w:r>
      <w:r w:rsidR="00330F15" w:rsidRPr="00330F15">
        <w:rPr>
          <w:szCs w:val="24"/>
          <w:lang w:val="en-GB" w:eastAsia="en-GB"/>
        </w:rPr>
        <w:t xml:space="preserve"> </w:t>
      </w:r>
      <w:r>
        <w:rPr>
          <w:szCs w:val="24"/>
          <w:lang w:val="en-GB" w:eastAsia="en-GB"/>
        </w:rPr>
        <w:t>i</w:t>
      </w:r>
      <w:r w:rsidR="00330F15" w:rsidRPr="00330F15">
        <w:rPr>
          <w:szCs w:val="24"/>
          <w:lang w:val="en-GB" w:eastAsia="en-GB"/>
        </w:rPr>
        <w:t xml:space="preserve">nterfaces between FinTech start-ups and traditional providers </w:t>
      </w:r>
      <w:r>
        <w:rPr>
          <w:szCs w:val="24"/>
          <w:lang w:val="en-GB" w:eastAsia="en-GB"/>
        </w:rPr>
        <w:t xml:space="preserve">have become </w:t>
      </w:r>
      <w:r w:rsidR="00330F15" w:rsidRPr="00330F15">
        <w:rPr>
          <w:szCs w:val="24"/>
          <w:lang w:val="en-GB" w:eastAsia="en-GB"/>
        </w:rPr>
        <w:t xml:space="preserve">a common source of cyber vulnerabilities. ITU-T SG17 is developing technical and procedural specifications to ensure </w:t>
      </w:r>
      <w:r>
        <w:rPr>
          <w:szCs w:val="24"/>
          <w:lang w:val="en-GB" w:eastAsia="en-GB"/>
        </w:rPr>
        <w:t xml:space="preserve">that </w:t>
      </w:r>
      <w:r w:rsidR="00330F15" w:rsidRPr="00330F15">
        <w:rPr>
          <w:szCs w:val="24"/>
          <w:lang w:val="en-GB" w:eastAsia="en-GB"/>
        </w:rPr>
        <w:t xml:space="preserve">risk-based security management </w:t>
      </w:r>
      <w:r>
        <w:rPr>
          <w:szCs w:val="24"/>
          <w:lang w:val="en-GB" w:eastAsia="en-GB"/>
        </w:rPr>
        <w:t xml:space="preserve">is </w:t>
      </w:r>
      <w:r w:rsidR="00330F15" w:rsidRPr="00330F15">
        <w:rPr>
          <w:szCs w:val="24"/>
          <w:lang w:val="en-GB" w:eastAsia="en-GB"/>
        </w:rPr>
        <w:t xml:space="preserve">implemented </w:t>
      </w:r>
      <w:r w:rsidR="00642324">
        <w:rPr>
          <w:szCs w:val="24"/>
          <w:lang w:val="en-GB" w:eastAsia="en-GB"/>
        </w:rPr>
        <w:t>at</w:t>
      </w:r>
      <w:r w:rsidR="00330F15" w:rsidRPr="00330F15">
        <w:rPr>
          <w:szCs w:val="24"/>
          <w:lang w:val="en-GB" w:eastAsia="en-GB"/>
        </w:rPr>
        <w:t xml:space="preserve"> every lifecycle stage</w:t>
      </w:r>
      <w:r>
        <w:rPr>
          <w:szCs w:val="24"/>
          <w:lang w:val="en-GB" w:eastAsia="en-GB"/>
        </w:rPr>
        <w:t>. C</w:t>
      </w:r>
      <w:r w:rsidR="00330F15" w:rsidRPr="00330F15">
        <w:rPr>
          <w:szCs w:val="24"/>
          <w:lang w:val="en-GB" w:eastAsia="en-GB"/>
        </w:rPr>
        <w:t xml:space="preserve">omponent and interface </w:t>
      </w:r>
      <w:r>
        <w:rPr>
          <w:szCs w:val="24"/>
          <w:lang w:val="en-GB" w:eastAsia="en-GB"/>
        </w:rPr>
        <w:t xml:space="preserve">aspects of </w:t>
      </w:r>
      <w:r w:rsidR="00330F15" w:rsidRPr="00330F15">
        <w:rPr>
          <w:szCs w:val="24"/>
          <w:lang w:val="en-GB" w:eastAsia="en-GB"/>
        </w:rPr>
        <w:t>FinTech systems and services</w:t>
      </w:r>
      <w:r w:rsidR="008F104D">
        <w:rPr>
          <w:szCs w:val="24"/>
          <w:lang w:val="en-GB" w:eastAsia="en-GB"/>
        </w:rPr>
        <w:t xml:space="preserve"> </w:t>
      </w:r>
      <w:r>
        <w:rPr>
          <w:szCs w:val="24"/>
          <w:lang w:val="en-GB" w:eastAsia="en-GB"/>
        </w:rPr>
        <w:t xml:space="preserve">are under study in </w:t>
      </w:r>
      <w:r w:rsidR="00330F15" w:rsidRPr="00F87EB8">
        <w:rPr>
          <w:szCs w:val="24"/>
          <w:lang w:val="en-GB" w:eastAsia="en-GB"/>
        </w:rPr>
        <w:t>Q</w:t>
      </w:r>
      <w:r w:rsidR="00642324">
        <w:rPr>
          <w:szCs w:val="24"/>
          <w:lang w:val="en-GB" w:eastAsia="en-GB"/>
        </w:rPr>
        <w:t xml:space="preserve">uestion </w:t>
      </w:r>
      <w:r w:rsidR="00330F15" w:rsidRPr="00F87EB8">
        <w:rPr>
          <w:szCs w:val="24"/>
          <w:lang w:val="en-GB" w:eastAsia="en-GB"/>
        </w:rPr>
        <w:t xml:space="preserve">7/17 </w:t>
      </w:r>
      <w:r w:rsidR="00642324">
        <w:rPr>
          <w:szCs w:val="24"/>
          <w:lang w:val="en-GB" w:eastAsia="en-GB"/>
        </w:rPr>
        <w:t>“</w:t>
      </w:r>
      <w:r w:rsidR="00330F15" w:rsidRPr="00F87EB8">
        <w:rPr>
          <w:szCs w:val="24"/>
          <w:lang w:val="en-GB" w:eastAsia="en-GB"/>
        </w:rPr>
        <w:t>Secure application services</w:t>
      </w:r>
      <w:r w:rsidR="00642324">
        <w:rPr>
          <w:szCs w:val="24"/>
          <w:lang w:val="en-GB" w:eastAsia="en-GB"/>
        </w:rPr>
        <w:t xml:space="preserve">” </w:t>
      </w:r>
      <w:r w:rsidR="00330F15" w:rsidRPr="00F87EB8">
        <w:rPr>
          <w:szCs w:val="24"/>
          <w:lang w:val="en-GB" w:eastAsia="en-GB"/>
        </w:rPr>
        <w:t>and Q</w:t>
      </w:r>
      <w:r w:rsidR="00642324">
        <w:rPr>
          <w:szCs w:val="24"/>
          <w:lang w:val="en-GB" w:eastAsia="en-GB"/>
        </w:rPr>
        <w:t xml:space="preserve">uestion </w:t>
      </w:r>
      <w:r w:rsidR="00330F15" w:rsidRPr="00F87EB8">
        <w:rPr>
          <w:szCs w:val="24"/>
          <w:lang w:val="en-GB" w:eastAsia="en-GB"/>
        </w:rPr>
        <w:t xml:space="preserve">14/17 </w:t>
      </w:r>
      <w:r w:rsidR="00642324">
        <w:rPr>
          <w:szCs w:val="24"/>
          <w:lang w:val="en-GB" w:eastAsia="en-GB"/>
        </w:rPr>
        <w:t>“</w:t>
      </w:r>
      <w:r w:rsidR="00330F15" w:rsidRPr="00F87EB8">
        <w:rPr>
          <w:szCs w:val="24"/>
          <w:lang w:val="en-GB" w:eastAsia="en-GB"/>
        </w:rPr>
        <w:t>Distributed ledger technology security</w:t>
      </w:r>
      <w:r w:rsidR="00642324">
        <w:rPr>
          <w:szCs w:val="24"/>
          <w:lang w:val="en-GB" w:eastAsia="en-GB"/>
        </w:rPr>
        <w:t>”</w:t>
      </w:r>
      <w:r w:rsidR="00330F15" w:rsidRPr="00330F15">
        <w:rPr>
          <w:szCs w:val="24"/>
          <w:lang w:val="en-GB" w:eastAsia="en-GB"/>
        </w:rPr>
        <w:t>.</w:t>
      </w:r>
    </w:p>
    <w:p w14:paraId="0A3A7810" w14:textId="0715ADDD" w:rsidR="00330F15" w:rsidRPr="00330F15" w:rsidRDefault="00642324" w:rsidP="00642324">
      <w:pPr>
        <w:tabs>
          <w:tab w:val="clear" w:pos="794"/>
          <w:tab w:val="clear" w:pos="1191"/>
          <w:tab w:val="clear" w:pos="1588"/>
          <w:tab w:val="clear" w:pos="1985"/>
        </w:tabs>
        <w:overflowPunct/>
        <w:autoSpaceDE/>
        <w:autoSpaceDN/>
        <w:adjustRightInd/>
        <w:rPr>
          <w:szCs w:val="24"/>
          <w:lang w:val="en-GB" w:eastAsia="en-GB"/>
        </w:rPr>
      </w:pPr>
      <w:r>
        <w:t>A new ITU standard describes security requirements FinTech services built on open platform architectures (</w:t>
      </w:r>
      <w:hyperlink r:id="rId124" w:history="1">
        <w:r>
          <w:rPr>
            <w:rStyle w:val="Hyperlink"/>
            <w:lang w:val="en-GB" w:eastAsia="en-GB"/>
          </w:rPr>
          <w:t>X.1</w:t>
        </w:r>
        <w:r w:rsidRPr="2B30A600">
          <w:rPr>
            <w:rStyle w:val="Hyperlink"/>
            <w:lang w:val="en-GB" w:eastAsia="en-GB"/>
          </w:rPr>
          <w:t>149</w:t>
        </w:r>
      </w:hyperlink>
      <w:r>
        <w:t>).</w:t>
      </w:r>
      <w:r>
        <w:rPr>
          <w:szCs w:val="24"/>
          <w:lang w:val="en-GB" w:eastAsia="en-GB"/>
        </w:rPr>
        <w:t xml:space="preserve"> Work is underway on the work item </w:t>
      </w:r>
      <w:hyperlink r:id="rId125" w:tgtFrame="_blank" w:history="1">
        <w:r w:rsidR="00330F15" w:rsidRPr="00330F15">
          <w:rPr>
            <w:color w:val="0000FF"/>
            <w:szCs w:val="24"/>
            <w:u w:val="single"/>
            <w:lang w:val="en-GB" w:eastAsia="en-GB"/>
          </w:rPr>
          <w:t>X.str-dlt</w:t>
        </w:r>
      </w:hyperlink>
      <w:r>
        <w:rPr>
          <w:szCs w:val="24"/>
          <w:lang w:val="en-GB" w:eastAsia="en-GB"/>
        </w:rPr>
        <w:t xml:space="preserve"> to describe s</w:t>
      </w:r>
      <w:r w:rsidR="00330F15" w:rsidRPr="00330F15">
        <w:rPr>
          <w:szCs w:val="24"/>
          <w:lang w:val="en-GB" w:eastAsia="en-GB"/>
        </w:rPr>
        <w:t>ecurity requirements for digital payment services using distributed ledger technology</w:t>
      </w:r>
      <w:r w:rsidR="00F87EB8">
        <w:rPr>
          <w:szCs w:val="24"/>
          <w:lang w:val="en-GB" w:eastAsia="en-GB"/>
        </w:rPr>
        <w:t>.</w:t>
      </w:r>
    </w:p>
    <w:p w14:paraId="001CBB42" w14:textId="503AF8F8" w:rsidR="00330F15" w:rsidRPr="00A55C37" w:rsidRDefault="00A55C37" w:rsidP="00A55C37">
      <w:pPr>
        <w:pStyle w:val="Heading2"/>
      </w:pPr>
      <w:bookmarkStart w:id="159" w:name="_Toc51331516"/>
      <w:r>
        <w:t>9.3</w:t>
      </w:r>
      <w:r>
        <w:tab/>
      </w:r>
      <w:r w:rsidR="00330F15" w:rsidRPr="00A55C37">
        <w:t xml:space="preserve">DFS </w:t>
      </w:r>
      <w:r>
        <w:t>w</w:t>
      </w:r>
      <w:r w:rsidR="00330F15" w:rsidRPr="00A55C37">
        <w:t xml:space="preserve">ebinar </w:t>
      </w:r>
      <w:r>
        <w:t>s</w:t>
      </w:r>
      <w:r w:rsidR="00330F15" w:rsidRPr="00A55C37">
        <w:t>eries during COVID-19</w:t>
      </w:r>
      <w:bookmarkEnd w:id="159"/>
    </w:p>
    <w:p w14:paraId="6948845A" w14:textId="27F17371"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TSB organi</w:t>
      </w:r>
      <w:r w:rsidR="003D2B95">
        <w:rPr>
          <w:szCs w:val="24"/>
          <w:lang w:val="en-GB" w:eastAsia="en-GB"/>
        </w:rPr>
        <w:t>z</w:t>
      </w:r>
      <w:r w:rsidRPr="00330F15">
        <w:rPr>
          <w:szCs w:val="24"/>
          <w:lang w:val="en-GB" w:eastAsia="en-GB"/>
        </w:rPr>
        <w:t>ed</w:t>
      </w:r>
      <w:r w:rsidR="00A55C37">
        <w:rPr>
          <w:szCs w:val="24"/>
          <w:lang w:val="en-GB" w:eastAsia="en-GB"/>
        </w:rPr>
        <w:t xml:space="preserve"> </w:t>
      </w:r>
      <w:r w:rsidRPr="00330F15">
        <w:rPr>
          <w:szCs w:val="24"/>
          <w:lang w:val="en-GB" w:eastAsia="en-GB"/>
        </w:rPr>
        <w:t>the</w:t>
      </w:r>
      <w:r w:rsidR="00A55C37">
        <w:rPr>
          <w:szCs w:val="24"/>
          <w:lang w:val="en-GB" w:eastAsia="en-GB"/>
        </w:rPr>
        <w:t xml:space="preserve"> </w:t>
      </w:r>
      <w:hyperlink r:id="rId126" w:tgtFrame="_blank" w:history="1">
        <w:r w:rsidRPr="00330F15">
          <w:rPr>
            <w:color w:val="0000FF"/>
            <w:szCs w:val="24"/>
            <w:u w:val="single"/>
            <w:lang w:val="en-GB" w:eastAsia="en-GB"/>
          </w:rPr>
          <w:t>Insights on DFS</w:t>
        </w:r>
        <w:r w:rsidR="00A55C37">
          <w:rPr>
            <w:color w:val="0000FF"/>
            <w:szCs w:val="24"/>
            <w:u w:val="single"/>
            <w:lang w:val="en-GB" w:eastAsia="en-GB"/>
          </w:rPr>
          <w:t xml:space="preserve"> </w:t>
        </w:r>
        <w:r w:rsidRPr="00330F15">
          <w:rPr>
            <w:color w:val="0000FF"/>
            <w:szCs w:val="24"/>
            <w:u w:val="single"/>
            <w:lang w:val="en-GB" w:eastAsia="en-GB"/>
          </w:rPr>
          <w:t>webinar</w:t>
        </w:r>
        <w:r w:rsidR="00A55C37">
          <w:rPr>
            <w:color w:val="0000FF"/>
            <w:szCs w:val="24"/>
            <w:u w:val="single"/>
            <w:lang w:val="en-GB" w:eastAsia="en-GB"/>
          </w:rPr>
          <w:t xml:space="preserve"> </w:t>
        </w:r>
        <w:r w:rsidRPr="00330F15">
          <w:rPr>
            <w:color w:val="0000FF"/>
            <w:szCs w:val="24"/>
            <w:u w:val="single"/>
            <w:lang w:val="en-GB" w:eastAsia="en-GB"/>
          </w:rPr>
          <w:t>series</w:t>
        </w:r>
      </w:hyperlink>
      <w:r w:rsidR="00A55C37">
        <w:rPr>
          <w:szCs w:val="24"/>
          <w:lang w:val="en-GB" w:eastAsia="en-GB"/>
        </w:rPr>
        <w:t xml:space="preserve"> </w:t>
      </w:r>
      <w:r w:rsidRPr="00330F15">
        <w:rPr>
          <w:szCs w:val="24"/>
          <w:lang w:val="en-GB" w:eastAsia="en-GB"/>
        </w:rPr>
        <w:t>focusing on digital financial services with the objective of providing insights on the innovative applications of telecommunications services, digital payments and fintech in addressing COVID-19 triggered social distancing and lockdown and share lessons learned from governments and DFS stakeholders on the measures that they are implementing. Ten webinars were held between May and July 2020 attracting over</w:t>
      </w:r>
      <w:r w:rsidR="00A55C37">
        <w:rPr>
          <w:szCs w:val="24"/>
          <w:lang w:val="en-GB" w:eastAsia="en-GB"/>
        </w:rPr>
        <w:t xml:space="preserve"> </w:t>
      </w:r>
      <w:r w:rsidRPr="00330F15">
        <w:rPr>
          <w:szCs w:val="24"/>
          <w:lang w:val="en-GB" w:eastAsia="en-GB"/>
        </w:rPr>
        <w:t>870</w:t>
      </w:r>
      <w:r w:rsidR="00A55C37">
        <w:rPr>
          <w:szCs w:val="24"/>
          <w:lang w:val="en-GB" w:eastAsia="en-GB"/>
        </w:rPr>
        <w:t xml:space="preserve"> </w:t>
      </w:r>
      <w:r w:rsidRPr="00330F15">
        <w:rPr>
          <w:szCs w:val="24"/>
          <w:lang w:val="en-GB" w:eastAsia="en-GB"/>
        </w:rPr>
        <w:t>unique</w:t>
      </w:r>
      <w:r w:rsidR="00A55C37">
        <w:rPr>
          <w:szCs w:val="24"/>
          <w:lang w:val="en-GB" w:eastAsia="en-GB"/>
        </w:rPr>
        <w:t xml:space="preserve"> </w:t>
      </w:r>
      <w:r w:rsidRPr="00330F15">
        <w:rPr>
          <w:szCs w:val="24"/>
          <w:lang w:val="en-GB" w:eastAsia="en-GB"/>
        </w:rPr>
        <w:t>participants from 105 countries. The webinars focused on topics such as digital identity, strong authentication technologies, security of digital financial transactions, handling fraud and scams, digital credit technologies and central bank digital currency.</w:t>
      </w:r>
    </w:p>
    <w:p w14:paraId="1E0A6570" w14:textId="572B4654" w:rsidR="00330F15" w:rsidRPr="00E455C8" w:rsidRDefault="00E455C8" w:rsidP="00E455C8">
      <w:pPr>
        <w:pStyle w:val="Heading2"/>
      </w:pPr>
      <w:bookmarkStart w:id="160" w:name="_Toc51331517"/>
      <w:r>
        <w:t>9.4</w:t>
      </w:r>
      <w:r>
        <w:tab/>
      </w:r>
      <w:r w:rsidR="00330F15" w:rsidRPr="00E455C8">
        <w:t>Digital Currency Global Initiative</w:t>
      </w:r>
      <w:bookmarkEnd w:id="160"/>
    </w:p>
    <w:p w14:paraId="0FE23B67" w14:textId="32CD3410"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w:t>
      </w:r>
      <w:r w:rsidR="00BE1043">
        <w:rPr>
          <w:szCs w:val="24"/>
          <w:lang w:val="en-GB" w:eastAsia="en-GB"/>
        </w:rPr>
        <w:t xml:space="preserve"> </w:t>
      </w:r>
      <w:hyperlink r:id="rId127" w:tgtFrame="_blank" w:history="1">
        <w:r w:rsidRPr="005150C3">
          <w:rPr>
            <w:color w:val="0000FF"/>
            <w:szCs w:val="24"/>
            <w:u w:val="single"/>
            <w:lang w:val="en-GB" w:eastAsia="en-GB"/>
          </w:rPr>
          <w:t>Digital Currency Global Initiative</w:t>
        </w:r>
      </w:hyperlink>
      <w:r w:rsidR="005150C3">
        <w:rPr>
          <w:szCs w:val="24"/>
          <w:lang w:val="en-GB" w:eastAsia="en-GB"/>
        </w:rPr>
        <w:t xml:space="preserve"> </w:t>
      </w:r>
      <w:r w:rsidRPr="00330F15">
        <w:rPr>
          <w:szCs w:val="24"/>
          <w:lang w:val="en-GB" w:eastAsia="en-GB"/>
        </w:rPr>
        <w:t>is a collaboration between ITU and Stanford University</w:t>
      </w:r>
      <w:r w:rsidR="005150C3">
        <w:rPr>
          <w:szCs w:val="24"/>
          <w:lang w:val="en-GB" w:eastAsia="en-GB"/>
        </w:rPr>
        <w:t xml:space="preserve"> </w:t>
      </w:r>
      <w:r w:rsidRPr="00330F15">
        <w:rPr>
          <w:szCs w:val="24"/>
          <w:lang w:val="en-GB" w:eastAsia="en-GB"/>
        </w:rPr>
        <w:t>and its main objectives are:</w:t>
      </w:r>
    </w:p>
    <w:p w14:paraId="750D9D5B" w14:textId="70959B45" w:rsidR="00330F15" w:rsidRPr="00642324" w:rsidRDefault="00330F15"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 xml:space="preserve">Conduct further research on technical architecture, security, the technical implications and challenges in deployment caused by regulatory and policy requirements for </w:t>
      </w:r>
      <w:r w:rsidR="00D5587B" w:rsidRPr="00642324">
        <w:rPr>
          <w:rFonts w:ascii="Times New Roman" w:hAnsi="Times New Roman"/>
          <w:sz w:val="24"/>
          <w:szCs w:val="24"/>
          <w:lang w:val="en-GB" w:eastAsia="en-GB"/>
        </w:rPr>
        <w:t>c</w:t>
      </w:r>
      <w:r w:rsidRPr="00642324">
        <w:rPr>
          <w:rFonts w:ascii="Times New Roman" w:hAnsi="Times New Roman"/>
          <w:sz w:val="24"/>
          <w:szCs w:val="24"/>
          <w:lang w:val="en-GB" w:eastAsia="en-GB"/>
        </w:rPr>
        <w:t xml:space="preserve">entral </w:t>
      </w:r>
      <w:r w:rsidR="00D5587B" w:rsidRPr="00642324">
        <w:rPr>
          <w:rFonts w:ascii="Times New Roman" w:hAnsi="Times New Roman"/>
          <w:sz w:val="24"/>
          <w:szCs w:val="24"/>
          <w:lang w:val="en-GB" w:eastAsia="en-GB"/>
        </w:rPr>
        <w:t>b</w:t>
      </w:r>
      <w:r w:rsidRPr="00642324">
        <w:rPr>
          <w:rFonts w:ascii="Times New Roman" w:hAnsi="Times New Roman"/>
          <w:sz w:val="24"/>
          <w:szCs w:val="24"/>
          <w:lang w:val="en-GB" w:eastAsia="en-GB"/>
        </w:rPr>
        <w:t xml:space="preserve">ank </w:t>
      </w:r>
      <w:r w:rsidR="00D5587B" w:rsidRPr="00642324">
        <w:rPr>
          <w:rFonts w:ascii="Times New Roman" w:hAnsi="Times New Roman"/>
          <w:sz w:val="24"/>
          <w:szCs w:val="24"/>
          <w:lang w:val="en-GB" w:eastAsia="en-GB"/>
        </w:rPr>
        <w:lastRenderedPageBreak/>
        <w:t>d</w:t>
      </w:r>
      <w:r w:rsidRPr="00642324">
        <w:rPr>
          <w:rFonts w:ascii="Times New Roman" w:hAnsi="Times New Roman"/>
          <w:sz w:val="24"/>
          <w:szCs w:val="24"/>
          <w:lang w:val="en-GB" w:eastAsia="en-GB"/>
        </w:rPr>
        <w:t xml:space="preserve">igital </w:t>
      </w:r>
      <w:r w:rsidR="00D5587B" w:rsidRPr="00642324">
        <w:rPr>
          <w:rFonts w:ascii="Times New Roman" w:hAnsi="Times New Roman"/>
          <w:sz w:val="24"/>
          <w:szCs w:val="24"/>
          <w:lang w:val="en-GB" w:eastAsia="en-GB"/>
        </w:rPr>
        <w:t>c</w:t>
      </w:r>
      <w:r w:rsidRPr="00642324">
        <w:rPr>
          <w:rFonts w:ascii="Times New Roman" w:hAnsi="Times New Roman"/>
          <w:sz w:val="24"/>
          <w:szCs w:val="24"/>
          <w:lang w:val="en-GB" w:eastAsia="en-GB"/>
        </w:rPr>
        <w:t xml:space="preserve">urrency and other </w:t>
      </w:r>
      <w:r w:rsidR="00D5587B" w:rsidRPr="00642324">
        <w:rPr>
          <w:rFonts w:ascii="Times New Roman" w:hAnsi="Times New Roman"/>
          <w:sz w:val="24"/>
          <w:szCs w:val="24"/>
          <w:lang w:val="en-GB" w:eastAsia="en-GB"/>
        </w:rPr>
        <w:t>d</w:t>
      </w:r>
      <w:r w:rsidRPr="00642324">
        <w:rPr>
          <w:rFonts w:ascii="Times New Roman" w:hAnsi="Times New Roman"/>
          <w:sz w:val="24"/>
          <w:szCs w:val="24"/>
          <w:lang w:val="en-GB" w:eastAsia="en-GB"/>
        </w:rPr>
        <w:t xml:space="preserve">igital </w:t>
      </w:r>
      <w:r w:rsidR="00D5587B" w:rsidRPr="00642324">
        <w:rPr>
          <w:rFonts w:ascii="Times New Roman" w:hAnsi="Times New Roman"/>
          <w:sz w:val="24"/>
          <w:szCs w:val="24"/>
          <w:lang w:val="en-GB" w:eastAsia="en-GB"/>
        </w:rPr>
        <w:t>c</w:t>
      </w:r>
      <w:r w:rsidRPr="00642324">
        <w:rPr>
          <w:rFonts w:ascii="Times New Roman" w:hAnsi="Times New Roman"/>
          <w:sz w:val="24"/>
          <w:szCs w:val="24"/>
          <w:lang w:val="en-GB" w:eastAsia="en-GB"/>
        </w:rPr>
        <w:t>urrencies, technology trends in digital currency and the use cases related to financial inclusion, operational efficiency and interoperability;</w:t>
      </w:r>
    </w:p>
    <w:p w14:paraId="265A9C14" w14:textId="372FF183" w:rsidR="00330F15" w:rsidRPr="00642324" w:rsidRDefault="00330F15"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Develop a set of metrics by which to evaluate the robustness of various digital currency technologies against the requirements set by various stakeholders.</w:t>
      </w:r>
    </w:p>
    <w:p w14:paraId="7D227405" w14:textId="1E4E32DE" w:rsidR="00330F15" w:rsidRPr="00642324" w:rsidRDefault="00330F15"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Identify areas for standardization to enable implementation of digital</w:t>
      </w:r>
      <w:r w:rsidR="005150C3" w:rsidRPr="00642324">
        <w:rPr>
          <w:rFonts w:ascii="Times New Roman" w:hAnsi="Times New Roman"/>
          <w:sz w:val="24"/>
          <w:szCs w:val="24"/>
          <w:lang w:val="en-GB" w:eastAsia="en-GB"/>
        </w:rPr>
        <w:t xml:space="preserve"> </w:t>
      </w:r>
      <w:r w:rsidRPr="00642324">
        <w:rPr>
          <w:rFonts w:ascii="Times New Roman" w:hAnsi="Times New Roman"/>
          <w:sz w:val="24"/>
          <w:szCs w:val="24"/>
          <w:lang w:val="en-GB" w:eastAsia="en-GB"/>
        </w:rPr>
        <w:t>currency;</w:t>
      </w:r>
    </w:p>
    <w:p w14:paraId="2DC9CBF8" w14:textId="76D223E9" w:rsidR="00330F15" w:rsidRPr="00642324" w:rsidRDefault="00330F15" w:rsidP="00CC5384">
      <w:pPr>
        <w:pStyle w:val="ListParagraph"/>
        <w:numPr>
          <w:ilvl w:val="0"/>
          <w:numId w:val="49"/>
        </w:numPr>
        <w:rPr>
          <w:rFonts w:ascii="Times New Roman" w:hAnsi="Times New Roman"/>
          <w:sz w:val="24"/>
          <w:szCs w:val="24"/>
          <w:lang w:val="en-GB" w:eastAsia="en-GB"/>
        </w:rPr>
      </w:pPr>
      <w:r w:rsidRPr="00642324">
        <w:rPr>
          <w:rFonts w:ascii="Times New Roman" w:hAnsi="Times New Roman"/>
          <w:sz w:val="24"/>
          <w:szCs w:val="24"/>
          <w:lang w:val="en-GB" w:eastAsia="en-GB"/>
        </w:rPr>
        <w:t>Organize a conference on an annual basis to share information on best practices, technical standards and lessons learned on digital currency implementation.</w:t>
      </w:r>
    </w:p>
    <w:p w14:paraId="11E1CADA" w14:textId="62161D66" w:rsidR="00642324" w:rsidRDefault="00330F15" w:rsidP="00D5587B">
      <w:pPr>
        <w:tabs>
          <w:tab w:val="clear" w:pos="794"/>
          <w:tab w:val="clear" w:pos="1191"/>
          <w:tab w:val="clear" w:pos="1588"/>
          <w:tab w:val="clear" w:pos="1985"/>
        </w:tabs>
        <w:overflowPunct/>
        <w:autoSpaceDE/>
        <w:autoSpaceDN/>
        <w:adjustRightInd/>
        <w:rPr>
          <w:color w:val="201F1E"/>
          <w:szCs w:val="24"/>
          <w:lang w:val="en-GB" w:eastAsia="en-GB"/>
        </w:rPr>
      </w:pPr>
      <w:r w:rsidRPr="00330F15">
        <w:rPr>
          <w:color w:val="201F1E"/>
          <w:szCs w:val="24"/>
          <w:lang w:val="en-GB" w:eastAsia="en-GB"/>
        </w:rPr>
        <w:t xml:space="preserve">The </w:t>
      </w:r>
      <w:r w:rsidR="00642324">
        <w:rPr>
          <w:color w:val="201F1E"/>
          <w:szCs w:val="24"/>
          <w:lang w:val="en-GB" w:eastAsia="en-GB"/>
        </w:rPr>
        <w:t xml:space="preserve">Digital Currency Global </w:t>
      </w:r>
      <w:r w:rsidRPr="00330F15">
        <w:rPr>
          <w:color w:val="201F1E"/>
          <w:szCs w:val="24"/>
          <w:lang w:val="en-GB" w:eastAsia="en-GB"/>
        </w:rPr>
        <w:t>Initiative will continue the dialogue and research initiated by the</w:t>
      </w:r>
      <w:r w:rsidR="005150C3">
        <w:rPr>
          <w:color w:val="201F1E"/>
          <w:szCs w:val="24"/>
          <w:lang w:val="en-GB" w:eastAsia="en-GB"/>
        </w:rPr>
        <w:t xml:space="preserve"> </w:t>
      </w:r>
      <w:r w:rsidRPr="00330F15">
        <w:rPr>
          <w:color w:val="201F1E"/>
          <w:szCs w:val="24"/>
          <w:lang w:val="en-GB" w:eastAsia="en-GB"/>
        </w:rPr>
        <w:t>ITU</w:t>
      </w:r>
      <w:r w:rsidR="00642324">
        <w:rPr>
          <w:color w:val="201F1E"/>
          <w:szCs w:val="24"/>
          <w:lang w:val="en-GB" w:eastAsia="en-GB"/>
        </w:rPr>
        <w:t>-T</w:t>
      </w:r>
      <w:r w:rsidRPr="00330F15">
        <w:rPr>
          <w:color w:val="201F1E"/>
          <w:szCs w:val="24"/>
          <w:lang w:val="en-GB" w:eastAsia="en-GB"/>
        </w:rPr>
        <w:t xml:space="preserve"> Focus Group on Digital Currency including Digital Fiat Currency</w:t>
      </w:r>
      <w:r w:rsidR="00D5587B">
        <w:rPr>
          <w:color w:val="201F1E"/>
          <w:szCs w:val="24"/>
          <w:lang w:val="en-GB" w:eastAsia="en-GB"/>
        </w:rPr>
        <w:t xml:space="preserve"> </w:t>
      </w:r>
      <w:r w:rsidRPr="00330F15">
        <w:rPr>
          <w:color w:val="201F1E"/>
          <w:szCs w:val="24"/>
          <w:lang w:val="en-GB" w:eastAsia="en-GB"/>
        </w:rPr>
        <w:t>on pilot implementations, use cases, applications and developing specifications for technical standards that will foster adoption, universal access, and ultimately financial inclusion.</w:t>
      </w:r>
      <w:r w:rsidR="00D5587B">
        <w:rPr>
          <w:color w:val="201F1E"/>
          <w:szCs w:val="24"/>
          <w:lang w:val="en-GB" w:eastAsia="en-GB"/>
        </w:rPr>
        <w:t xml:space="preserve"> </w:t>
      </w:r>
    </w:p>
    <w:p w14:paraId="31A2AF27" w14:textId="54FB7BA4" w:rsidR="00330F15" w:rsidRPr="00330F15" w:rsidRDefault="00330F15" w:rsidP="00D5587B">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 xml:space="preserve">Participation is open </w:t>
      </w:r>
      <w:r w:rsidR="00642324">
        <w:rPr>
          <w:szCs w:val="24"/>
          <w:lang w:val="en-GB" w:eastAsia="en-GB"/>
        </w:rPr>
        <w:t xml:space="preserve">to all interested parties. </w:t>
      </w:r>
    </w:p>
    <w:p w14:paraId="49263EA3" w14:textId="025FB8A4" w:rsidR="00330F15" w:rsidRPr="00330F15" w:rsidRDefault="00330F15" w:rsidP="00D5587B">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 first e-meeting of the Digital Currency Global Initiative was held 22-23 July 2020 and some</w:t>
      </w:r>
      <w:r w:rsidR="00D5587B">
        <w:rPr>
          <w:szCs w:val="24"/>
          <w:lang w:val="en-GB" w:eastAsia="en-GB"/>
        </w:rPr>
        <w:t xml:space="preserve"> </w:t>
      </w:r>
      <w:r w:rsidRPr="00330F15">
        <w:rPr>
          <w:szCs w:val="24"/>
          <w:lang w:val="en-GB" w:eastAsia="en-GB"/>
        </w:rPr>
        <w:t>157 participants</w:t>
      </w:r>
      <w:r w:rsidR="00D5587B">
        <w:rPr>
          <w:szCs w:val="24"/>
          <w:lang w:val="en-GB" w:eastAsia="en-GB"/>
        </w:rPr>
        <w:t xml:space="preserve"> </w:t>
      </w:r>
      <w:r w:rsidRPr="00330F15">
        <w:rPr>
          <w:szCs w:val="24"/>
          <w:lang w:val="en-GB" w:eastAsia="en-GB"/>
        </w:rPr>
        <w:t>from 40 countries participated in the event.</w:t>
      </w:r>
      <w:r w:rsidR="00D5587B">
        <w:rPr>
          <w:szCs w:val="24"/>
          <w:lang w:val="en-GB" w:eastAsia="en-GB"/>
        </w:rPr>
        <w:t xml:space="preserve"> </w:t>
      </w:r>
      <w:r w:rsidRPr="00330F15">
        <w:rPr>
          <w:szCs w:val="24"/>
          <w:lang w:val="en-GB" w:eastAsia="en-GB"/>
        </w:rPr>
        <w:t>The</w:t>
      </w:r>
      <w:r w:rsidR="00D5587B">
        <w:rPr>
          <w:szCs w:val="24"/>
          <w:lang w:val="en-GB" w:eastAsia="en-GB"/>
        </w:rPr>
        <w:t xml:space="preserve"> </w:t>
      </w:r>
      <w:r w:rsidRPr="00330F15">
        <w:rPr>
          <w:szCs w:val="24"/>
          <w:lang w:val="en-GB" w:eastAsia="en-GB"/>
        </w:rPr>
        <w:t>participants include Central Banks, digital currency platform providers, fintech companies,</w:t>
      </w:r>
      <w:r w:rsidR="00D5587B">
        <w:rPr>
          <w:szCs w:val="24"/>
          <w:lang w:val="en-GB" w:eastAsia="en-GB"/>
        </w:rPr>
        <w:t xml:space="preserve"> </w:t>
      </w:r>
      <w:r w:rsidRPr="00330F15">
        <w:rPr>
          <w:szCs w:val="24"/>
          <w:lang w:val="en-GB" w:eastAsia="en-GB"/>
        </w:rPr>
        <w:t>payment service providers,</w:t>
      </w:r>
      <w:r w:rsidR="00D5587B">
        <w:rPr>
          <w:szCs w:val="24"/>
          <w:lang w:val="en-GB" w:eastAsia="en-GB"/>
        </w:rPr>
        <w:t xml:space="preserve"> </w:t>
      </w:r>
      <w:r w:rsidRPr="00330F15">
        <w:rPr>
          <w:szCs w:val="24"/>
          <w:lang w:val="en-GB" w:eastAsia="en-GB"/>
        </w:rPr>
        <w:t>academia</w:t>
      </w:r>
      <w:r w:rsidR="00D5587B">
        <w:rPr>
          <w:szCs w:val="24"/>
          <w:lang w:val="en-GB" w:eastAsia="en-GB"/>
        </w:rPr>
        <w:t xml:space="preserve"> </w:t>
      </w:r>
      <w:r w:rsidRPr="00330F15">
        <w:rPr>
          <w:szCs w:val="24"/>
          <w:lang w:val="en-GB" w:eastAsia="en-GB"/>
        </w:rPr>
        <w:t>and</w:t>
      </w:r>
      <w:r w:rsidR="00D5587B">
        <w:rPr>
          <w:szCs w:val="24"/>
          <w:lang w:val="en-GB" w:eastAsia="en-GB"/>
        </w:rPr>
        <w:t xml:space="preserve"> </w:t>
      </w:r>
      <w:r w:rsidRPr="00330F15">
        <w:rPr>
          <w:szCs w:val="24"/>
          <w:lang w:val="en-GB" w:eastAsia="en-GB"/>
        </w:rPr>
        <w:t>international organizations.</w:t>
      </w:r>
    </w:p>
    <w:p w14:paraId="5B3DDA64" w14:textId="309CCAAA" w:rsidR="00330F15" w:rsidRPr="00330F15" w:rsidRDefault="00330F15" w:rsidP="00330F15">
      <w:pPr>
        <w:tabs>
          <w:tab w:val="clear" w:pos="794"/>
          <w:tab w:val="clear" w:pos="1191"/>
          <w:tab w:val="clear" w:pos="1588"/>
          <w:tab w:val="clear" w:pos="1985"/>
        </w:tabs>
        <w:overflowPunct/>
        <w:autoSpaceDE/>
        <w:autoSpaceDN/>
        <w:adjustRightInd/>
        <w:rPr>
          <w:szCs w:val="24"/>
          <w:lang w:val="en-GB" w:eastAsia="en-GB"/>
        </w:rPr>
      </w:pPr>
      <w:r w:rsidRPr="00330F15">
        <w:rPr>
          <w:szCs w:val="24"/>
          <w:lang w:val="en-GB" w:eastAsia="en-GB"/>
        </w:rPr>
        <w:t>The</w:t>
      </w:r>
      <w:r w:rsidR="00D5587B">
        <w:rPr>
          <w:szCs w:val="24"/>
          <w:lang w:val="en-GB" w:eastAsia="en-GB"/>
        </w:rPr>
        <w:t xml:space="preserve"> </w:t>
      </w:r>
      <w:r w:rsidRPr="00330F15">
        <w:rPr>
          <w:szCs w:val="24"/>
          <w:lang w:val="en-GB" w:eastAsia="en-GB"/>
        </w:rPr>
        <w:t>activities of the Digital Currency Global Initiative are focused around three main pillars:</w:t>
      </w:r>
      <w:r w:rsidR="00D5587B">
        <w:rPr>
          <w:szCs w:val="24"/>
          <w:lang w:val="en-GB" w:eastAsia="en-GB"/>
        </w:rPr>
        <w:t xml:space="preserve"> </w:t>
      </w:r>
      <w:r w:rsidRPr="00330F15">
        <w:rPr>
          <w:szCs w:val="24"/>
          <w:lang w:val="en-GB" w:eastAsia="en-GB"/>
        </w:rPr>
        <w:t>engagement, innovative</w:t>
      </w:r>
      <w:r w:rsidR="00D5587B">
        <w:rPr>
          <w:szCs w:val="24"/>
          <w:lang w:val="en-GB" w:eastAsia="en-GB"/>
        </w:rPr>
        <w:t xml:space="preserve"> </w:t>
      </w:r>
      <w:r w:rsidRPr="00330F15">
        <w:rPr>
          <w:szCs w:val="24"/>
          <w:lang w:val="en-GB" w:eastAsia="en-GB"/>
        </w:rPr>
        <w:t>use</w:t>
      </w:r>
      <w:r w:rsidR="00D5587B">
        <w:rPr>
          <w:szCs w:val="24"/>
          <w:lang w:val="en-GB" w:eastAsia="en-GB"/>
        </w:rPr>
        <w:t xml:space="preserve"> </w:t>
      </w:r>
      <w:r w:rsidRPr="00330F15">
        <w:rPr>
          <w:szCs w:val="24"/>
          <w:lang w:val="en-GB" w:eastAsia="en-GB"/>
        </w:rPr>
        <w:t>and standardization.</w:t>
      </w:r>
      <w:r w:rsidR="00D5587B">
        <w:rPr>
          <w:szCs w:val="24"/>
          <w:lang w:val="en-GB" w:eastAsia="en-GB"/>
        </w:rPr>
        <w:t xml:space="preserve"> </w:t>
      </w:r>
      <w:r w:rsidRPr="00330F15">
        <w:rPr>
          <w:szCs w:val="24"/>
          <w:lang w:val="en-GB" w:eastAsia="en-GB"/>
        </w:rPr>
        <w:t>Three working groups were set up under the Standardization pillar during the first meeting:</w:t>
      </w:r>
    </w:p>
    <w:p w14:paraId="6EF00CBC" w14:textId="6A565192" w:rsidR="00330F15" w:rsidRPr="00642324" w:rsidRDefault="00330F15" w:rsidP="00CC5384">
      <w:pPr>
        <w:pStyle w:val="ListParagraph"/>
        <w:numPr>
          <w:ilvl w:val="0"/>
          <w:numId w:val="50"/>
        </w:numPr>
        <w:rPr>
          <w:rFonts w:ascii="Times New Roman" w:hAnsi="Times New Roman"/>
          <w:sz w:val="24"/>
          <w:szCs w:val="24"/>
          <w:lang w:val="en-GB" w:eastAsia="en-GB"/>
        </w:rPr>
      </w:pPr>
      <w:r w:rsidRPr="00642324">
        <w:rPr>
          <w:rFonts w:ascii="Times New Roman" w:hAnsi="Times New Roman"/>
          <w:sz w:val="24"/>
          <w:szCs w:val="24"/>
          <w:lang w:val="en-GB" w:eastAsia="en-GB"/>
        </w:rPr>
        <w:t>Architecture, Interoperability Requirements and Use Cases (AIRU)</w:t>
      </w:r>
    </w:p>
    <w:p w14:paraId="0A258368" w14:textId="4F0C2960" w:rsidR="00330F15" w:rsidRPr="00642324" w:rsidRDefault="00330F15" w:rsidP="00CC5384">
      <w:pPr>
        <w:pStyle w:val="ListParagraph"/>
        <w:numPr>
          <w:ilvl w:val="0"/>
          <w:numId w:val="50"/>
        </w:numPr>
        <w:rPr>
          <w:rFonts w:ascii="Times New Roman" w:hAnsi="Times New Roman"/>
          <w:sz w:val="24"/>
          <w:szCs w:val="24"/>
          <w:lang w:val="en-GB" w:eastAsia="en-GB"/>
        </w:rPr>
      </w:pPr>
      <w:r w:rsidRPr="00642324">
        <w:rPr>
          <w:rFonts w:ascii="Times New Roman" w:hAnsi="Times New Roman"/>
          <w:sz w:val="24"/>
          <w:szCs w:val="24"/>
          <w:lang w:val="en-GB" w:eastAsia="en-GB"/>
        </w:rPr>
        <w:t>Policy and Governance (PG)</w:t>
      </w:r>
    </w:p>
    <w:p w14:paraId="0FE1F8AF" w14:textId="0E2BA96B" w:rsidR="00330F15" w:rsidRPr="00642324" w:rsidRDefault="00330F15" w:rsidP="00CC5384">
      <w:pPr>
        <w:pStyle w:val="ListParagraph"/>
        <w:numPr>
          <w:ilvl w:val="0"/>
          <w:numId w:val="50"/>
        </w:numPr>
        <w:rPr>
          <w:rFonts w:ascii="Times New Roman" w:hAnsi="Times New Roman"/>
          <w:sz w:val="24"/>
          <w:szCs w:val="24"/>
          <w:lang w:val="en-GB" w:eastAsia="en-GB"/>
        </w:rPr>
      </w:pPr>
      <w:r w:rsidRPr="00642324">
        <w:rPr>
          <w:rFonts w:ascii="Times New Roman" w:hAnsi="Times New Roman"/>
          <w:sz w:val="24"/>
          <w:szCs w:val="24"/>
          <w:lang w:val="en-GB" w:eastAsia="en-GB"/>
        </w:rPr>
        <w:t>Security and Assurance (SA)</w:t>
      </w:r>
    </w:p>
    <w:p w14:paraId="7912171F" w14:textId="594766CA" w:rsidR="00AA4DB9" w:rsidRPr="00AA4DB9" w:rsidRDefault="00330F15" w:rsidP="00D5587B">
      <w:pPr>
        <w:tabs>
          <w:tab w:val="clear" w:pos="794"/>
          <w:tab w:val="clear" w:pos="1191"/>
          <w:tab w:val="clear" w:pos="1588"/>
          <w:tab w:val="clear" w:pos="1985"/>
        </w:tabs>
        <w:overflowPunct/>
        <w:autoSpaceDE/>
        <w:autoSpaceDN/>
        <w:adjustRightInd/>
        <w:rPr>
          <w:lang w:val="en-GB" w:eastAsia="en-US"/>
        </w:rPr>
      </w:pPr>
      <w:r w:rsidRPr="00330F15">
        <w:rPr>
          <w:szCs w:val="24"/>
          <w:lang w:val="en-GB" w:eastAsia="en-GB"/>
        </w:rPr>
        <w:t>The main objectives of the Innovative Use pillar will be to study pilot implementations of digital currencies and to develop the appropriate benchmarking and evaluation frameworks through the Digital Currency Lab to be set up by Stanford University.</w:t>
      </w:r>
      <w:r w:rsidR="00D5587B">
        <w:rPr>
          <w:szCs w:val="24"/>
          <w:lang w:val="en-GB" w:eastAsia="en-GB"/>
        </w:rPr>
        <w:t xml:space="preserve"> </w:t>
      </w:r>
      <w:r w:rsidRPr="00330F15">
        <w:rPr>
          <w:szCs w:val="24"/>
          <w:lang w:val="en-GB" w:eastAsia="en-GB"/>
        </w:rPr>
        <w:t>Under the Engagement pillar</w:t>
      </w:r>
      <w:r w:rsidR="00D5587B">
        <w:rPr>
          <w:szCs w:val="24"/>
          <w:lang w:val="en-GB" w:eastAsia="en-GB"/>
        </w:rPr>
        <w:t xml:space="preserve"> </w:t>
      </w:r>
      <w:r w:rsidRPr="00330F15">
        <w:rPr>
          <w:szCs w:val="24"/>
          <w:lang w:val="en-GB" w:eastAsia="en-GB"/>
        </w:rPr>
        <w:t>the objective will be to</w:t>
      </w:r>
      <w:r w:rsidR="00D5587B">
        <w:rPr>
          <w:szCs w:val="24"/>
          <w:lang w:val="en-GB" w:eastAsia="en-GB"/>
        </w:rPr>
        <w:t xml:space="preserve"> </w:t>
      </w:r>
      <w:r w:rsidRPr="00330F15">
        <w:rPr>
          <w:szCs w:val="24"/>
          <w:lang w:val="en-GB" w:eastAsia="en-GB"/>
        </w:rPr>
        <w:t>provide a platform for sharing lessons learned on digital currency projects and organise an annual conference to</w:t>
      </w:r>
      <w:r w:rsidR="00D5587B">
        <w:rPr>
          <w:szCs w:val="24"/>
          <w:lang w:val="en-GB" w:eastAsia="en-GB"/>
        </w:rPr>
        <w:t xml:space="preserve"> </w:t>
      </w:r>
      <w:r w:rsidRPr="00330F15">
        <w:rPr>
          <w:szCs w:val="24"/>
          <w:lang w:val="en-GB" w:eastAsia="en-GB"/>
        </w:rPr>
        <w:t>disseminate</w:t>
      </w:r>
      <w:r w:rsidR="00D5587B">
        <w:rPr>
          <w:szCs w:val="24"/>
          <w:lang w:val="en-GB" w:eastAsia="en-GB"/>
        </w:rPr>
        <w:t xml:space="preserve"> </w:t>
      </w:r>
      <w:r w:rsidRPr="00330F15">
        <w:rPr>
          <w:szCs w:val="24"/>
          <w:lang w:val="en-GB" w:eastAsia="en-GB"/>
        </w:rPr>
        <w:t>the findings of</w:t>
      </w:r>
      <w:r w:rsidR="00D5587B">
        <w:rPr>
          <w:szCs w:val="24"/>
          <w:lang w:val="en-GB" w:eastAsia="en-GB"/>
        </w:rPr>
        <w:t xml:space="preserve"> </w:t>
      </w:r>
      <w:r w:rsidRPr="00330F15">
        <w:rPr>
          <w:szCs w:val="24"/>
          <w:lang w:val="en-GB" w:eastAsia="en-GB"/>
        </w:rPr>
        <w:t>the working groups</w:t>
      </w:r>
      <w:r w:rsidR="00D5587B">
        <w:rPr>
          <w:szCs w:val="24"/>
          <w:lang w:val="en-GB" w:eastAsia="en-GB"/>
        </w:rPr>
        <w:t xml:space="preserve"> </w:t>
      </w:r>
      <w:r w:rsidRPr="00330F15">
        <w:rPr>
          <w:szCs w:val="24"/>
          <w:lang w:val="en-GB" w:eastAsia="en-GB"/>
        </w:rPr>
        <w:t xml:space="preserve">and the </w:t>
      </w:r>
      <w:r w:rsidR="00642324">
        <w:rPr>
          <w:szCs w:val="24"/>
          <w:lang w:val="en-GB" w:eastAsia="en-GB"/>
        </w:rPr>
        <w:t>D</w:t>
      </w:r>
      <w:r w:rsidRPr="00330F15">
        <w:rPr>
          <w:szCs w:val="24"/>
          <w:lang w:val="en-GB" w:eastAsia="en-GB"/>
        </w:rPr>
        <w:t xml:space="preserve">igital </w:t>
      </w:r>
      <w:r w:rsidR="00642324">
        <w:rPr>
          <w:szCs w:val="24"/>
          <w:lang w:val="en-GB" w:eastAsia="en-GB"/>
        </w:rPr>
        <w:t>C</w:t>
      </w:r>
      <w:r w:rsidRPr="00330F15">
        <w:rPr>
          <w:szCs w:val="24"/>
          <w:lang w:val="en-GB" w:eastAsia="en-GB"/>
        </w:rPr>
        <w:t xml:space="preserve">urrency </w:t>
      </w:r>
      <w:r w:rsidR="00642324">
        <w:rPr>
          <w:szCs w:val="24"/>
          <w:lang w:val="en-GB" w:eastAsia="en-GB"/>
        </w:rPr>
        <w:t>L</w:t>
      </w:r>
      <w:r w:rsidRPr="00330F15">
        <w:rPr>
          <w:szCs w:val="24"/>
          <w:lang w:val="en-GB" w:eastAsia="en-GB"/>
        </w:rPr>
        <w:t>ab.</w:t>
      </w:r>
    </w:p>
    <w:p w14:paraId="09E14D47" w14:textId="5E1CEC09" w:rsidR="00136E7B" w:rsidRPr="00F57FAD" w:rsidRDefault="00CB641D" w:rsidP="00136E7B">
      <w:pPr>
        <w:pStyle w:val="Heading1"/>
      </w:pPr>
      <w:bookmarkStart w:id="161" w:name="_Toc51331518"/>
      <w:r>
        <w:t>10</w:t>
      </w:r>
      <w:r w:rsidR="00AA4DB9">
        <w:tab/>
      </w:r>
      <w:r w:rsidR="00136E7B" w:rsidRPr="00F57FAD">
        <w:t>Membership</w:t>
      </w:r>
      <w:bookmarkEnd w:id="125"/>
      <w:bookmarkEnd w:id="126"/>
      <w:bookmarkEnd w:id="127"/>
      <w:bookmarkEnd w:id="128"/>
      <w:bookmarkEnd w:id="129"/>
      <w:bookmarkEnd w:id="130"/>
      <w:bookmarkEnd w:id="131"/>
      <w:bookmarkEnd w:id="152"/>
      <w:bookmarkEnd w:id="153"/>
      <w:bookmarkEnd w:id="154"/>
      <w:bookmarkEnd w:id="156"/>
      <w:bookmarkEnd w:id="161"/>
    </w:p>
    <w:p w14:paraId="235E621B" w14:textId="34E5D54D" w:rsidR="00136E7B" w:rsidRPr="00F57FAD" w:rsidRDefault="00CB641D" w:rsidP="00136E7B">
      <w:pPr>
        <w:pStyle w:val="Heading2"/>
      </w:pPr>
      <w:bookmarkStart w:id="162" w:name="_Toc462664266"/>
      <w:bookmarkStart w:id="163" w:name="_Toc480527859"/>
      <w:bookmarkStart w:id="164" w:name="_Toc51331519"/>
      <w:r>
        <w:t>10</w:t>
      </w:r>
      <w:r w:rsidR="00136E7B" w:rsidRPr="00F57FAD">
        <w:t>.1</w:t>
      </w:r>
      <w:r w:rsidR="00136E7B" w:rsidRPr="00F57FAD">
        <w:tab/>
      </w:r>
      <w:r w:rsidR="003E1653">
        <w:t>Snapshot of</w:t>
      </w:r>
      <w:r w:rsidR="00CA0F67">
        <w:t xml:space="preserve"> </w:t>
      </w:r>
      <w:r w:rsidR="00136E7B" w:rsidRPr="00F57FAD">
        <w:t>ITU-T membership</w:t>
      </w:r>
      <w:bookmarkEnd w:id="162"/>
      <w:bookmarkEnd w:id="163"/>
      <w:r w:rsidR="003E1653">
        <w:t xml:space="preserve"> in 2020</w:t>
      </w:r>
      <w:bookmarkEnd w:id="164"/>
    </w:p>
    <w:p w14:paraId="649CC019" w14:textId="77777777" w:rsidR="004A71B8" w:rsidRPr="008E7489" w:rsidRDefault="004A71B8" w:rsidP="004A71B8">
      <w:pPr>
        <w:rPr>
          <w:rFonts w:eastAsia="Calibri"/>
          <w:lang w:val="en-GB"/>
        </w:rPr>
      </w:pPr>
      <w:r w:rsidRPr="008E7489">
        <w:rPr>
          <w:rFonts w:eastAsia="Calibri"/>
          <w:lang w:val="en-GB"/>
        </w:rPr>
        <w:t>ITU-T membership has maintained</w:t>
      </w:r>
      <w:r>
        <w:rPr>
          <w:rFonts w:eastAsia="Calibri"/>
          <w:lang w:val="en-GB"/>
        </w:rPr>
        <w:t xml:space="preserve"> </w:t>
      </w:r>
      <w:r w:rsidRPr="008E7489">
        <w:rPr>
          <w:rFonts w:eastAsia="Calibri"/>
          <w:lang w:val="en-GB"/>
        </w:rPr>
        <w:t>growth in 2020 despite the impact of C</w:t>
      </w:r>
      <w:r>
        <w:rPr>
          <w:rFonts w:eastAsia="Calibri"/>
          <w:lang w:val="en-GB"/>
        </w:rPr>
        <w:t>OVID</w:t>
      </w:r>
      <w:r w:rsidRPr="008E7489">
        <w:rPr>
          <w:rFonts w:eastAsia="Calibri"/>
          <w:lang w:val="en-GB"/>
        </w:rPr>
        <w:t>-19.</w:t>
      </w:r>
      <w:r>
        <w:rPr>
          <w:rFonts w:eastAsia="Calibri"/>
          <w:lang w:val="en-GB"/>
        </w:rPr>
        <w:t xml:space="preserve"> Eight</w:t>
      </w:r>
      <w:r w:rsidRPr="008E7489">
        <w:rPr>
          <w:rFonts w:eastAsia="Calibri"/>
          <w:lang w:val="en-GB"/>
        </w:rPr>
        <w:t xml:space="preserve"> Sector Members and 22 Associates joined ITU-T</w:t>
      </w:r>
      <w:r>
        <w:rPr>
          <w:rFonts w:eastAsia="Calibri"/>
          <w:lang w:val="en-GB"/>
        </w:rPr>
        <w:t xml:space="preserve"> in the reporting period</w:t>
      </w:r>
      <w:r w:rsidRPr="008E7489">
        <w:rPr>
          <w:rFonts w:eastAsia="Calibri"/>
          <w:lang w:val="en-GB"/>
        </w:rPr>
        <w:t xml:space="preserve">, amounting to a total of 30 new members. </w:t>
      </w:r>
      <w:r>
        <w:rPr>
          <w:rFonts w:eastAsia="Calibri"/>
          <w:lang w:val="en-GB"/>
        </w:rPr>
        <w:t>This translates into a net increase of 18 ITU</w:t>
      </w:r>
      <w:r w:rsidRPr="008E7489">
        <w:rPr>
          <w:rFonts w:eastAsia="Calibri"/>
          <w:lang w:val="en-GB"/>
        </w:rPr>
        <w:t xml:space="preserve">-T </w:t>
      </w:r>
      <w:r>
        <w:rPr>
          <w:rFonts w:eastAsia="Calibri"/>
          <w:lang w:val="en-GB"/>
        </w:rPr>
        <w:t>members</w:t>
      </w:r>
      <w:r w:rsidRPr="008E7489">
        <w:rPr>
          <w:rFonts w:eastAsia="Calibri"/>
          <w:lang w:val="en-GB"/>
        </w:rPr>
        <w:t xml:space="preserve"> in 2020 (not including Academia). In addition, 17 new Academia members joined ITU</w:t>
      </w:r>
      <w:r>
        <w:rPr>
          <w:rFonts w:eastAsia="Calibri"/>
          <w:lang w:val="en-GB"/>
        </w:rPr>
        <w:t xml:space="preserve"> in the reporting period</w:t>
      </w:r>
      <w:r w:rsidRPr="008E7489">
        <w:rPr>
          <w:rFonts w:eastAsia="Calibri"/>
          <w:lang w:val="en-GB"/>
        </w:rPr>
        <w:t>.</w:t>
      </w:r>
    </w:p>
    <w:p w14:paraId="4C3B317D" w14:textId="1E304228" w:rsidR="0085423D" w:rsidRDefault="0085423D" w:rsidP="5F2B6CF0">
      <w:pPr>
        <w:rPr>
          <w:rFonts w:eastAsia="Calibri"/>
          <w:lang w:val="en-GB"/>
        </w:rPr>
      </w:pPr>
      <w:r w:rsidRPr="008E7489">
        <w:rPr>
          <w:rFonts w:eastAsia="Calibri"/>
          <w:lang w:val="en-GB"/>
        </w:rPr>
        <w:t xml:space="preserve">New ITU-T members include companies in cloud applications, cybersecurity, IoT/M2M connectivity, distributed ledger technologies, </w:t>
      </w:r>
      <w:r>
        <w:rPr>
          <w:rFonts w:eastAsia="Calibri"/>
          <w:lang w:val="en-GB"/>
        </w:rPr>
        <w:t>AI and machine learning</w:t>
      </w:r>
      <w:r w:rsidRPr="008E7489">
        <w:rPr>
          <w:rFonts w:eastAsia="Calibri"/>
          <w:lang w:val="en-GB"/>
        </w:rPr>
        <w:t>, autonomous network</w:t>
      </w:r>
      <w:r>
        <w:rPr>
          <w:rFonts w:eastAsia="Calibri"/>
          <w:lang w:val="en-GB"/>
        </w:rPr>
        <w:t>ing</w:t>
      </w:r>
      <w:r w:rsidRPr="008E7489">
        <w:rPr>
          <w:rFonts w:eastAsia="Calibri"/>
          <w:lang w:val="en-GB"/>
        </w:rPr>
        <w:t xml:space="preserve">, micro optical switch semiconductors, </w:t>
      </w:r>
      <w:r>
        <w:rPr>
          <w:rFonts w:eastAsia="Calibri"/>
          <w:lang w:val="en-GB"/>
        </w:rPr>
        <w:t xml:space="preserve">cable </w:t>
      </w:r>
      <w:r w:rsidRPr="008E7489">
        <w:rPr>
          <w:rFonts w:eastAsia="Calibri"/>
          <w:lang w:val="en-GB"/>
        </w:rPr>
        <w:t>television, video technologies, test equipment for</w:t>
      </w:r>
      <w:r>
        <w:rPr>
          <w:rFonts w:eastAsia="Calibri"/>
          <w:lang w:val="en-GB"/>
        </w:rPr>
        <w:t xml:space="preserve"> electromagnetic field</w:t>
      </w:r>
      <w:r w:rsidRPr="008E7489">
        <w:rPr>
          <w:rFonts w:eastAsia="Calibri"/>
          <w:lang w:val="en-GB"/>
        </w:rPr>
        <w:t xml:space="preserve"> assessment, smart city solutions, I</w:t>
      </w:r>
      <w:r>
        <w:rPr>
          <w:rFonts w:eastAsia="Calibri"/>
          <w:lang w:val="en-GB"/>
        </w:rPr>
        <w:t xml:space="preserve">P performance </w:t>
      </w:r>
      <w:r w:rsidRPr="008E7489">
        <w:rPr>
          <w:rFonts w:eastAsia="Calibri"/>
          <w:lang w:val="en-GB"/>
        </w:rPr>
        <w:t>measurement</w:t>
      </w:r>
      <w:r>
        <w:rPr>
          <w:rFonts w:eastAsia="Calibri"/>
          <w:lang w:val="en-GB"/>
        </w:rPr>
        <w:t>,</w:t>
      </w:r>
      <w:r w:rsidRPr="008E7489">
        <w:rPr>
          <w:rFonts w:eastAsia="Calibri"/>
          <w:lang w:val="en-GB"/>
        </w:rPr>
        <w:t xml:space="preserve"> and </w:t>
      </w:r>
      <w:r>
        <w:rPr>
          <w:rFonts w:eastAsia="Calibri"/>
          <w:lang w:val="en-GB"/>
        </w:rPr>
        <w:t>e</w:t>
      </w:r>
      <w:r w:rsidRPr="008E7489">
        <w:rPr>
          <w:rFonts w:eastAsia="Calibri"/>
          <w:lang w:val="en-GB"/>
        </w:rPr>
        <w:t>sports.</w:t>
      </w:r>
    </w:p>
    <w:p w14:paraId="0BC82B5B" w14:textId="23DB4987" w:rsidR="003044EF" w:rsidRDefault="003044EF" w:rsidP="5F2B6CF0">
      <w:pPr>
        <w:rPr>
          <w:rFonts w:eastAsia="Calibri"/>
          <w:lang w:val="en-GB"/>
        </w:rPr>
      </w:pPr>
      <w:r w:rsidRPr="008E7489">
        <w:rPr>
          <w:rFonts w:eastAsia="Calibri"/>
          <w:lang w:val="en-GB"/>
        </w:rPr>
        <w:t>TSB continues to p</w:t>
      </w:r>
      <w:r>
        <w:rPr>
          <w:rFonts w:eastAsia="Calibri"/>
          <w:lang w:val="en-GB"/>
        </w:rPr>
        <w:t xml:space="preserve">lace </w:t>
      </w:r>
      <w:r w:rsidRPr="008E7489">
        <w:rPr>
          <w:rFonts w:eastAsia="Calibri"/>
          <w:lang w:val="en-GB"/>
        </w:rPr>
        <w:t>increased emphasis on tailored outreach to membership prospects while also enhancing the level of account management offered to ITU-T’s existing membership.</w:t>
      </w:r>
      <w:r w:rsidR="003E1653">
        <w:rPr>
          <w:rFonts w:eastAsia="Calibri"/>
          <w:lang w:val="en-GB"/>
        </w:rPr>
        <w:t xml:space="preserve"> </w:t>
      </w:r>
      <w:r w:rsidR="00136E7B" w:rsidRPr="008E7489">
        <w:rPr>
          <w:rFonts w:eastAsia="Calibri"/>
          <w:lang w:val="en-GB"/>
        </w:rPr>
        <w:t xml:space="preserve">Targeted outreach, campaigns and </w:t>
      </w:r>
      <w:r w:rsidR="166DE57D" w:rsidRPr="008E7489">
        <w:rPr>
          <w:rFonts w:eastAsia="Calibri"/>
          <w:lang w:val="en-GB"/>
        </w:rPr>
        <w:t xml:space="preserve">participation at </w:t>
      </w:r>
      <w:r w:rsidR="00136E7B" w:rsidRPr="008E7489">
        <w:rPr>
          <w:rFonts w:eastAsia="Calibri"/>
          <w:lang w:val="en-GB"/>
        </w:rPr>
        <w:t>events</w:t>
      </w:r>
      <w:r w:rsidR="22AE903E" w:rsidRPr="008E7489">
        <w:rPr>
          <w:rFonts w:eastAsia="Calibri"/>
          <w:lang w:val="en-GB"/>
        </w:rPr>
        <w:t xml:space="preserve"> (currently virtual)</w:t>
      </w:r>
      <w:r>
        <w:rPr>
          <w:rFonts w:eastAsia="Calibri"/>
          <w:lang w:val="en-GB"/>
        </w:rPr>
        <w:t xml:space="preserve"> </w:t>
      </w:r>
      <w:r w:rsidR="003E1653">
        <w:rPr>
          <w:rFonts w:eastAsia="Calibri"/>
          <w:lang w:val="en-GB"/>
        </w:rPr>
        <w:t xml:space="preserve">are </w:t>
      </w:r>
      <w:r>
        <w:rPr>
          <w:rFonts w:eastAsia="Calibri"/>
          <w:lang w:val="en-GB"/>
        </w:rPr>
        <w:t>supported by the TSB</w:t>
      </w:r>
      <w:r w:rsidR="00F30670">
        <w:rPr>
          <w:rFonts w:eastAsia="Calibri"/>
          <w:lang w:val="en-GB"/>
        </w:rPr>
        <w:t xml:space="preserve"> study groups department </w:t>
      </w:r>
      <w:r>
        <w:rPr>
          <w:rFonts w:eastAsia="Calibri"/>
          <w:lang w:val="en-GB"/>
        </w:rPr>
        <w:t xml:space="preserve">together with ITU’s </w:t>
      </w:r>
      <w:r w:rsidR="00F30670">
        <w:rPr>
          <w:rFonts w:eastAsia="Calibri"/>
          <w:lang w:val="en-GB"/>
        </w:rPr>
        <w:t>membership</w:t>
      </w:r>
      <w:r>
        <w:rPr>
          <w:rFonts w:eastAsia="Calibri"/>
          <w:lang w:val="en-GB"/>
        </w:rPr>
        <w:t xml:space="preserve"> and communications</w:t>
      </w:r>
      <w:r w:rsidR="00F30670">
        <w:rPr>
          <w:rFonts w:eastAsia="Calibri"/>
          <w:lang w:val="en-GB"/>
        </w:rPr>
        <w:t xml:space="preserve"> divisions</w:t>
      </w:r>
      <w:r w:rsidR="00136E7B" w:rsidRPr="008E7489">
        <w:rPr>
          <w:rFonts w:eastAsia="Calibri"/>
          <w:lang w:val="en-GB"/>
        </w:rPr>
        <w:t>.</w:t>
      </w:r>
    </w:p>
    <w:p w14:paraId="309672DB" w14:textId="6E4A6A5C" w:rsidR="003044EF" w:rsidRPr="00F57FAD" w:rsidRDefault="003044EF" w:rsidP="003044EF">
      <w:pPr>
        <w:pStyle w:val="Heading2"/>
      </w:pPr>
      <w:bookmarkStart w:id="165" w:name="_Toc51331520"/>
      <w:r>
        <w:lastRenderedPageBreak/>
        <w:t>10</w:t>
      </w:r>
      <w:r w:rsidRPr="00F57FAD">
        <w:t>.</w:t>
      </w:r>
      <w:r>
        <w:t>2</w:t>
      </w:r>
      <w:r w:rsidRPr="00F57FAD">
        <w:tab/>
        <w:t xml:space="preserve">ITU-T </w:t>
      </w:r>
      <w:r w:rsidR="00CA0F67">
        <w:t>news moves to MyITU</w:t>
      </w:r>
      <w:bookmarkEnd w:id="165"/>
    </w:p>
    <w:p w14:paraId="2B8C4548" w14:textId="72090D4E" w:rsidR="00136E7B" w:rsidRDefault="003044EF" w:rsidP="5F2B6CF0">
      <w:pPr>
        <w:rPr>
          <w:lang w:val="en-GB"/>
        </w:rPr>
      </w:pPr>
      <w:r>
        <w:rPr>
          <w:lang w:val="en-GB"/>
        </w:rPr>
        <w:t>ITU’s communications and membership divisions continue to strengthen joint processes for outreach to stakeholders in ITU</w:t>
      </w:r>
      <w:r w:rsidR="00CA0F67">
        <w:rPr>
          <w:lang w:val="en-GB"/>
        </w:rPr>
        <w:t>-T</w:t>
      </w:r>
      <w:r>
        <w:rPr>
          <w:lang w:val="en-GB"/>
        </w:rPr>
        <w:t xml:space="preserve"> standardization. </w:t>
      </w:r>
      <w:r w:rsidRPr="004E5B45">
        <w:rPr>
          <w:lang w:val="en-GB"/>
        </w:rPr>
        <w:t xml:space="preserve">ITU-T news </w:t>
      </w:r>
      <w:r>
        <w:rPr>
          <w:lang w:val="en-GB"/>
        </w:rPr>
        <w:t xml:space="preserve">is now </w:t>
      </w:r>
      <w:r w:rsidRPr="004E5B45">
        <w:rPr>
          <w:lang w:val="en-GB"/>
        </w:rPr>
        <w:t xml:space="preserve">published on </w:t>
      </w:r>
      <w:hyperlink r:id="rId128" w:history="1">
        <w:r>
          <w:rPr>
            <w:rStyle w:val="Hyperlink"/>
            <w:lang w:val="en-GB"/>
          </w:rPr>
          <w:t>MyITU</w:t>
        </w:r>
        <w:r w:rsidRPr="004E5B45">
          <w:rPr>
            <w:rStyle w:val="Hyperlink"/>
            <w:lang w:val="en-GB"/>
          </w:rPr>
          <w:t xml:space="preserve"> News</w:t>
        </w:r>
      </w:hyperlink>
      <w:r w:rsidRPr="004E5B45">
        <w:rPr>
          <w:lang w:val="en-GB"/>
        </w:rPr>
        <w:t>,</w:t>
      </w:r>
      <w:r w:rsidR="00CA0F67">
        <w:rPr>
          <w:lang w:val="en-GB"/>
        </w:rPr>
        <w:t xml:space="preserve"> </w:t>
      </w:r>
      <w:r w:rsidRPr="004E5B45">
        <w:rPr>
          <w:lang w:val="en-GB"/>
        </w:rPr>
        <w:t xml:space="preserve">a </w:t>
      </w:r>
      <w:r>
        <w:rPr>
          <w:lang w:val="en-GB"/>
        </w:rPr>
        <w:t xml:space="preserve">new </w:t>
      </w:r>
      <w:r w:rsidRPr="004E5B45">
        <w:rPr>
          <w:lang w:val="en-GB"/>
        </w:rPr>
        <w:t xml:space="preserve">platform </w:t>
      </w:r>
      <w:r>
        <w:rPr>
          <w:lang w:val="en-GB"/>
        </w:rPr>
        <w:t>designed to guide readers to news, publications and events customized to their interests. With the support of a</w:t>
      </w:r>
      <w:r w:rsidR="00CA0F67">
        <w:rPr>
          <w:lang w:val="en-GB"/>
        </w:rPr>
        <w:t xml:space="preserve"> coordinated</w:t>
      </w:r>
      <w:r>
        <w:rPr>
          <w:lang w:val="en-GB"/>
        </w:rPr>
        <w:t xml:space="preserve"> social media strategy led by the ITU General Secretariat, ITU-T news</w:t>
      </w:r>
      <w:r w:rsidRPr="004E5B45">
        <w:rPr>
          <w:lang w:val="en-GB"/>
        </w:rPr>
        <w:t xml:space="preserve"> </w:t>
      </w:r>
      <w:r>
        <w:rPr>
          <w:lang w:val="en-GB"/>
        </w:rPr>
        <w:t xml:space="preserve">consistently </w:t>
      </w:r>
      <w:r w:rsidRPr="004E5B45">
        <w:rPr>
          <w:lang w:val="en-GB"/>
        </w:rPr>
        <w:t>feature</w:t>
      </w:r>
      <w:r>
        <w:rPr>
          <w:lang w:val="en-GB"/>
        </w:rPr>
        <w:t>s</w:t>
      </w:r>
      <w:r w:rsidRPr="004E5B45">
        <w:rPr>
          <w:lang w:val="en-GB"/>
        </w:rPr>
        <w:t xml:space="preserve"> among the most popular ITU content each year</w:t>
      </w:r>
      <w:r w:rsidR="00CA0F67">
        <w:rPr>
          <w:lang w:val="en-GB"/>
        </w:rPr>
        <w:t xml:space="preserve">. </w:t>
      </w:r>
      <w:r>
        <w:rPr>
          <w:lang w:val="en-GB"/>
        </w:rPr>
        <w:t>ITU-T news articles are increasingly supported by video, animations and i</w:t>
      </w:r>
      <w:r w:rsidRPr="004E5B45">
        <w:rPr>
          <w:lang w:val="en-GB"/>
        </w:rPr>
        <w:t>nfographics</w:t>
      </w:r>
      <w:r w:rsidR="003E1653">
        <w:rPr>
          <w:lang w:val="en-GB"/>
        </w:rPr>
        <w:t xml:space="preserve">. </w:t>
      </w:r>
      <w:r w:rsidR="00CA0F67">
        <w:rPr>
          <w:lang w:val="en-GB"/>
        </w:rPr>
        <w:t xml:space="preserve"> </w:t>
      </w:r>
    </w:p>
    <w:p w14:paraId="6611DC3A" w14:textId="1D5C369A" w:rsidR="00CA0F67" w:rsidRPr="00CA0F67" w:rsidRDefault="00CA0F67" w:rsidP="00CA0F67">
      <w:pPr>
        <w:pStyle w:val="Heading2"/>
      </w:pPr>
      <w:bookmarkStart w:id="166" w:name="_Toc51331521"/>
      <w:r>
        <w:t>10</w:t>
      </w:r>
      <w:r w:rsidRPr="00F57FAD">
        <w:t>.</w:t>
      </w:r>
      <w:r>
        <w:t>3</w:t>
      </w:r>
      <w:r w:rsidRPr="00F57FAD">
        <w:tab/>
      </w:r>
      <w:r>
        <w:t>Evolution of ITU-T membership</w:t>
      </w:r>
      <w:bookmarkEnd w:id="166"/>
    </w:p>
    <w:p w14:paraId="3F4AB3CC" w14:textId="0E968E7A" w:rsidR="00136E7B" w:rsidRPr="004571F7" w:rsidRDefault="00136E7B" w:rsidP="5F2B6CF0">
      <w:pPr>
        <w:rPr>
          <w:rFonts w:eastAsia="Calibri"/>
          <w:b/>
          <w:bCs/>
          <w:lang w:val="en-GB"/>
        </w:rPr>
      </w:pPr>
      <w:r w:rsidRPr="004571F7">
        <w:rPr>
          <w:rFonts w:eastAsia="Calibri"/>
          <w:b/>
          <w:bCs/>
          <w:lang w:val="en-GB"/>
        </w:rPr>
        <w:t>New Sector Members in 20</w:t>
      </w:r>
      <w:r w:rsidR="71F610C8" w:rsidRPr="004571F7">
        <w:rPr>
          <w:rFonts w:eastAsia="Calibri"/>
          <w:b/>
          <w:bCs/>
          <w:lang w:val="en-GB"/>
        </w:rPr>
        <w:t>20</w:t>
      </w:r>
      <w:r w:rsidRPr="004571F7">
        <w:rPr>
          <w:rFonts w:eastAsia="Calibri"/>
          <w:b/>
          <w:bCs/>
          <w:lang w:val="en-GB"/>
        </w:rPr>
        <w:t>:</w:t>
      </w:r>
    </w:p>
    <w:p w14:paraId="5F4FB419" w14:textId="4A176638" w:rsidR="63672484" w:rsidRPr="008E7489" w:rsidRDefault="63672484" w:rsidP="2B30A600">
      <w:pPr>
        <w:rPr>
          <w:rFonts w:eastAsia="Times"/>
          <w:szCs w:val="24"/>
        </w:rPr>
      </w:pPr>
      <w:r w:rsidRPr="00281B31">
        <w:rPr>
          <w:rFonts w:eastAsia="Times"/>
          <w:szCs w:val="24"/>
          <w:lang w:val="en-GB"/>
        </w:rPr>
        <w:t>IBM;</w:t>
      </w:r>
      <w:r w:rsidRPr="001A6E88">
        <w:rPr>
          <w:rFonts w:eastAsia="Times"/>
          <w:szCs w:val="24"/>
          <w:lang w:val="en-GB"/>
        </w:rPr>
        <w:t xml:space="preserve"> </w:t>
      </w:r>
      <w:r w:rsidR="217BDC58" w:rsidRPr="008E7489">
        <w:rPr>
          <w:rFonts w:eastAsia="Times"/>
          <w:szCs w:val="24"/>
        </w:rPr>
        <w:t xml:space="preserve">Zhejiang Dahua Technology Co. Ltd.; </w:t>
      </w:r>
      <w:r w:rsidR="296B152C" w:rsidRPr="008E7489">
        <w:rPr>
          <w:rFonts w:eastAsia="Times"/>
          <w:szCs w:val="24"/>
        </w:rPr>
        <w:t xml:space="preserve">Cox Communications; </w:t>
      </w:r>
      <w:r w:rsidR="45F7CB3D" w:rsidRPr="008E7489">
        <w:rPr>
          <w:rFonts w:eastAsia="Times"/>
          <w:szCs w:val="24"/>
        </w:rPr>
        <w:t xml:space="preserve">Huawei Technologies Switzerland AG; </w:t>
      </w:r>
      <w:r w:rsidR="058B1530" w:rsidRPr="008E7489">
        <w:rPr>
          <w:rFonts w:eastAsia="Times"/>
          <w:szCs w:val="24"/>
        </w:rPr>
        <w:t>Asiainfo Technologies (China), Inc.; InterDigital Canada Ltee</w:t>
      </w:r>
      <w:r w:rsidR="6AC89497" w:rsidRPr="008E7489">
        <w:rPr>
          <w:rFonts w:eastAsia="Times"/>
          <w:szCs w:val="24"/>
        </w:rPr>
        <w:t>; Rakuten Mobile, Inc; Global Esports Federation</w:t>
      </w:r>
      <w:r w:rsidR="00281B31">
        <w:rPr>
          <w:rFonts w:eastAsia="Times"/>
          <w:szCs w:val="24"/>
        </w:rPr>
        <w:t>.</w:t>
      </w:r>
    </w:p>
    <w:p w14:paraId="4FF74DD6" w14:textId="2E9CCEC0" w:rsidR="00136E7B" w:rsidRPr="004571F7" w:rsidRDefault="00136E7B" w:rsidP="5F2B6CF0">
      <w:pPr>
        <w:rPr>
          <w:rFonts w:ascii="Times" w:eastAsia="Times" w:hAnsi="Times" w:cs="Times"/>
          <w:b/>
          <w:bCs/>
          <w:lang w:val="en-GB"/>
        </w:rPr>
      </w:pPr>
      <w:r w:rsidRPr="004571F7">
        <w:rPr>
          <w:rFonts w:ascii="Times" w:eastAsia="Times" w:hAnsi="Times" w:cs="Times"/>
          <w:b/>
          <w:bCs/>
          <w:lang w:val="en-GB"/>
        </w:rPr>
        <w:t>New Associates in 20</w:t>
      </w:r>
      <w:r w:rsidR="1D7844A1" w:rsidRPr="004571F7">
        <w:rPr>
          <w:rFonts w:ascii="Times" w:eastAsia="Times" w:hAnsi="Times" w:cs="Times"/>
          <w:b/>
          <w:bCs/>
          <w:lang w:val="en-GB"/>
        </w:rPr>
        <w:t>20</w:t>
      </w:r>
      <w:r w:rsidR="004571F7">
        <w:rPr>
          <w:rFonts w:ascii="Times" w:eastAsia="Times" w:hAnsi="Times" w:cs="Times"/>
          <w:b/>
          <w:bCs/>
          <w:lang w:val="en-GB"/>
        </w:rPr>
        <w:t>:</w:t>
      </w:r>
    </w:p>
    <w:p w14:paraId="6FEB1C8E" w14:textId="72E50DAB" w:rsidR="29858283" w:rsidRPr="008E7489" w:rsidRDefault="29858283" w:rsidP="2B30A600">
      <w:pPr>
        <w:rPr>
          <w:rFonts w:eastAsia="Times"/>
          <w:szCs w:val="24"/>
        </w:rPr>
      </w:pPr>
      <w:r w:rsidRPr="008E7489">
        <w:rPr>
          <w:rFonts w:eastAsia="Times"/>
          <w:szCs w:val="24"/>
          <w:lang w:val="en-GB"/>
        </w:rPr>
        <w:t>Tampnet (SG2)</w:t>
      </w:r>
      <w:r w:rsidR="1D733723" w:rsidRPr="008E7489">
        <w:rPr>
          <w:rFonts w:eastAsia="Times"/>
          <w:szCs w:val="24"/>
          <w:lang w:val="en-GB"/>
        </w:rPr>
        <w:t>;</w:t>
      </w:r>
      <w:r w:rsidRPr="008E7489">
        <w:rPr>
          <w:rFonts w:eastAsia="Times"/>
          <w:szCs w:val="24"/>
          <w:lang w:val="en-GB"/>
        </w:rPr>
        <w:t xml:space="preserve"> </w:t>
      </w:r>
      <w:r w:rsidR="31906146" w:rsidRPr="008E7489">
        <w:rPr>
          <w:rFonts w:eastAsia="Times"/>
          <w:szCs w:val="24"/>
          <w:lang w:val="en-GB"/>
        </w:rPr>
        <w:t>Podsystem Ltd. (SG2)</w:t>
      </w:r>
      <w:r w:rsidR="370C17C8" w:rsidRPr="008E7489">
        <w:rPr>
          <w:rFonts w:eastAsia="Times"/>
          <w:szCs w:val="24"/>
          <w:lang w:val="en-GB"/>
        </w:rPr>
        <w:t>;</w:t>
      </w:r>
      <w:r w:rsidR="02BCD24A" w:rsidRPr="008E7489">
        <w:rPr>
          <w:rFonts w:eastAsia="Times"/>
          <w:szCs w:val="24"/>
        </w:rPr>
        <w:t xml:space="preserve"> Inspur Tianyuan Communication Information System Co., Ltd.(SG2)</w:t>
      </w:r>
      <w:r w:rsidR="02BCD24A" w:rsidRPr="008E7489">
        <w:rPr>
          <w:rFonts w:eastAsia="Times"/>
          <w:szCs w:val="24"/>
          <w:lang w:val="en-GB"/>
        </w:rPr>
        <w:t>;</w:t>
      </w:r>
      <w:r w:rsidR="370C17C8" w:rsidRPr="008E7489">
        <w:rPr>
          <w:rFonts w:eastAsia="Times"/>
          <w:szCs w:val="24"/>
          <w:lang w:val="en-GB"/>
        </w:rPr>
        <w:t xml:space="preserve"> </w:t>
      </w:r>
      <w:r w:rsidR="31906146" w:rsidRPr="008E7489">
        <w:rPr>
          <w:rFonts w:eastAsia="Times"/>
          <w:szCs w:val="24"/>
          <w:lang w:val="en-GB"/>
        </w:rPr>
        <w:t>Wavecontrol, S.L. (</w:t>
      </w:r>
      <w:r w:rsidR="76216ADD" w:rsidRPr="008E7489">
        <w:rPr>
          <w:rFonts w:eastAsia="Times"/>
          <w:szCs w:val="24"/>
          <w:lang w:val="en-GB"/>
        </w:rPr>
        <w:t>SG5)</w:t>
      </w:r>
      <w:r w:rsidR="273B01F1" w:rsidRPr="008E7489">
        <w:rPr>
          <w:rFonts w:eastAsia="Times"/>
          <w:szCs w:val="24"/>
          <w:lang w:val="en-GB"/>
        </w:rPr>
        <w:t>;</w:t>
      </w:r>
      <w:r w:rsidR="273B01F1" w:rsidRPr="008E7489">
        <w:rPr>
          <w:rFonts w:eastAsia="Times"/>
          <w:szCs w:val="24"/>
          <w:u w:val="single"/>
          <w:lang w:val="en-GB"/>
        </w:rPr>
        <w:t xml:space="preserve"> </w:t>
      </w:r>
      <w:r w:rsidR="5FEF60D7" w:rsidRPr="008E7489">
        <w:rPr>
          <w:rFonts w:eastAsia="Times"/>
          <w:szCs w:val="24"/>
        </w:rPr>
        <w:t>Sky Group</w:t>
      </w:r>
      <w:r w:rsidR="5FEF60D7" w:rsidRPr="008E7489">
        <w:rPr>
          <w:rFonts w:eastAsia="Times"/>
          <w:szCs w:val="24"/>
          <w:lang w:val="en-GB"/>
        </w:rPr>
        <w:t xml:space="preserve"> (SG9); </w:t>
      </w:r>
      <w:r w:rsidR="71F3611F" w:rsidRPr="008E7489">
        <w:rPr>
          <w:rFonts w:eastAsia="Times"/>
          <w:szCs w:val="24"/>
          <w:lang w:val="en-GB"/>
        </w:rPr>
        <w:t>Vaulto Communication Technologies Ltd. (SG1</w:t>
      </w:r>
      <w:r w:rsidR="4617C977" w:rsidRPr="008E7489">
        <w:rPr>
          <w:rFonts w:eastAsia="Times"/>
          <w:szCs w:val="24"/>
          <w:lang w:val="en-GB"/>
        </w:rPr>
        <w:t>1</w:t>
      </w:r>
      <w:r w:rsidR="71F3611F" w:rsidRPr="008E7489">
        <w:rPr>
          <w:rFonts w:eastAsia="Times"/>
          <w:szCs w:val="24"/>
          <w:lang w:val="en-GB"/>
        </w:rPr>
        <w:t>)</w:t>
      </w:r>
      <w:r w:rsidR="39D01110" w:rsidRPr="008E7489">
        <w:rPr>
          <w:rFonts w:eastAsia="Times"/>
          <w:szCs w:val="24"/>
          <w:lang w:val="en-GB"/>
        </w:rPr>
        <w:t>;</w:t>
      </w:r>
      <w:r w:rsidR="1D3E1503" w:rsidRPr="008E7489">
        <w:rPr>
          <w:rFonts w:eastAsia="Times"/>
          <w:szCs w:val="24"/>
          <w:lang w:val="en-GB"/>
        </w:rPr>
        <w:t xml:space="preserve"> </w:t>
      </w:r>
      <w:r w:rsidR="1D3E1503" w:rsidRPr="008E7489">
        <w:rPr>
          <w:rFonts w:eastAsia="Times"/>
          <w:szCs w:val="24"/>
        </w:rPr>
        <w:t>Speedchecker Ltd. (SG12)</w:t>
      </w:r>
      <w:r w:rsidR="40C0380E" w:rsidRPr="008E7489">
        <w:rPr>
          <w:rFonts w:eastAsia="Times"/>
          <w:szCs w:val="24"/>
        </w:rPr>
        <w:t xml:space="preserve"> Wuhan Rayton Network Technology Co., Ltd (SG13);</w:t>
      </w:r>
      <w:r w:rsidR="37297E88" w:rsidRPr="008E7489">
        <w:rPr>
          <w:rFonts w:eastAsia="Times"/>
          <w:szCs w:val="24"/>
        </w:rPr>
        <w:t xml:space="preserve"> Jiangsu Zhongtian Technology Co., Ltd.(SG15);</w:t>
      </w:r>
      <w:r w:rsidR="30CB53B6" w:rsidRPr="008E7489">
        <w:rPr>
          <w:rFonts w:eastAsia="Times"/>
          <w:szCs w:val="24"/>
        </w:rPr>
        <w:t xml:space="preserve"> Idea Electronic Systems (SG15);</w:t>
      </w:r>
      <w:r w:rsidR="32EDF98C" w:rsidRPr="008E7489">
        <w:rPr>
          <w:rFonts w:eastAsia="Times"/>
          <w:szCs w:val="24"/>
        </w:rPr>
        <w:t xml:space="preserve"> AEPONYX inc (SG15);</w:t>
      </w:r>
      <w:r w:rsidR="71F3611F" w:rsidRPr="008E7489">
        <w:rPr>
          <w:rFonts w:eastAsia="Times"/>
          <w:szCs w:val="24"/>
          <w:lang w:val="en-GB"/>
        </w:rPr>
        <w:t xml:space="preserve"> </w:t>
      </w:r>
      <w:r w:rsidR="71F3611F" w:rsidRPr="008E7489">
        <w:rPr>
          <w:rFonts w:eastAsia="Times"/>
          <w:szCs w:val="24"/>
        </w:rPr>
        <w:t>Onchain Solutions (Shanghai Distributed Technology Co., Ltd.) (SG1</w:t>
      </w:r>
      <w:r w:rsidR="1B37F3C8" w:rsidRPr="008E7489">
        <w:rPr>
          <w:rFonts w:eastAsia="Times"/>
          <w:szCs w:val="24"/>
        </w:rPr>
        <w:t>6)</w:t>
      </w:r>
      <w:r w:rsidR="12A5F594" w:rsidRPr="008E7489">
        <w:rPr>
          <w:rFonts w:eastAsia="Times"/>
          <w:szCs w:val="24"/>
        </w:rPr>
        <w:t>;</w:t>
      </w:r>
      <w:r w:rsidR="4AEBFF20" w:rsidRPr="008E7489">
        <w:rPr>
          <w:rFonts w:eastAsia="Times"/>
          <w:szCs w:val="24"/>
        </w:rPr>
        <w:t xml:space="preserve"> Hangzhou Qulian Technology Co., Ltd.(SG16); Beijing Zhongdun Security Technology Development Co.(SG16);</w:t>
      </w:r>
      <w:r w:rsidR="01EB8463" w:rsidRPr="008E7489">
        <w:rPr>
          <w:rFonts w:eastAsia="Times"/>
          <w:szCs w:val="24"/>
        </w:rPr>
        <w:t xml:space="preserve"> PwC UK (SG16);</w:t>
      </w:r>
      <w:r w:rsidR="0052EDD6" w:rsidRPr="008E7489">
        <w:rPr>
          <w:rFonts w:eastAsia="Times"/>
          <w:szCs w:val="24"/>
        </w:rPr>
        <w:t xml:space="preserve"> Shenzhen Transsion Holdings Co. Limited (SG16</w:t>
      </w:r>
      <w:r w:rsidR="3C589A83" w:rsidRPr="008E7489">
        <w:rPr>
          <w:rFonts w:eastAsia="Times"/>
          <w:szCs w:val="24"/>
        </w:rPr>
        <w:t>)</w:t>
      </w:r>
      <w:r w:rsidR="0052EDD6" w:rsidRPr="008E7489">
        <w:rPr>
          <w:rFonts w:eastAsia="Times"/>
          <w:szCs w:val="24"/>
        </w:rPr>
        <w:t>;</w:t>
      </w:r>
      <w:r w:rsidR="0D3FE6EC" w:rsidRPr="008E7489">
        <w:rPr>
          <w:rFonts w:eastAsia="Times"/>
          <w:szCs w:val="24"/>
        </w:rPr>
        <w:t xml:space="preserve"> ePaiLive Auction (Beijing) Co., Ltd.(SG16);</w:t>
      </w:r>
      <w:r w:rsidR="68628D7A" w:rsidRPr="008E7489">
        <w:rPr>
          <w:rFonts w:eastAsia="Times"/>
          <w:szCs w:val="24"/>
        </w:rPr>
        <w:t xml:space="preserve"> Multiledgers (SG16);</w:t>
      </w:r>
      <w:r w:rsidR="01EB8463" w:rsidRPr="008E7489">
        <w:rPr>
          <w:rFonts w:eastAsia="Times"/>
          <w:szCs w:val="24"/>
        </w:rPr>
        <w:t xml:space="preserve"> Zennous SA (SG20);</w:t>
      </w:r>
      <w:r w:rsidR="1661339A" w:rsidRPr="008E7489">
        <w:rPr>
          <w:rFonts w:eastAsia="Times"/>
          <w:szCs w:val="24"/>
        </w:rPr>
        <w:t xml:space="preserve"> Innov-Alliance-Tech (SG20)</w:t>
      </w:r>
      <w:r w:rsidR="6913A104" w:rsidRPr="008E7489">
        <w:rPr>
          <w:rFonts w:eastAsia="Times"/>
          <w:szCs w:val="24"/>
        </w:rPr>
        <w:t>; ITRI International Inc. (SG20);</w:t>
      </w:r>
      <w:r w:rsidR="12A3DFDB" w:rsidRPr="008E7489">
        <w:rPr>
          <w:rFonts w:eastAsia="Times"/>
          <w:szCs w:val="24"/>
        </w:rPr>
        <w:t xml:space="preserve"> BigchainDB GmbH (SG20)</w:t>
      </w:r>
      <w:r w:rsidR="00281B31">
        <w:rPr>
          <w:rFonts w:eastAsia="Times"/>
          <w:szCs w:val="24"/>
        </w:rPr>
        <w:t>.</w:t>
      </w:r>
    </w:p>
    <w:p w14:paraId="787735F9" w14:textId="77B921A2" w:rsidR="00136E7B" w:rsidRPr="004571F7" w:rsidRDefault="00136E7B" w:rsidP="5F2B6CF0">
      <w:pPr>
        <w:rPr>
          <w:rFonts w:eastAsia="Calibri"/>
          <w:b/>
          <w:bCs/>
          <w:lang w:val="en-GB"/>
        </w:rPr>
      </w:pPr>
      <w:r w:rsidRPr="004571F7">
        <w:rPr>
          <w:rFonts w:eastAsia="Calibri"/>
          <w:b/>
          <w:bCs/>
          <w:lang w:val="en-GB"/>
        </w:rPr>
        <w:t>New Academia in 20</w:t>
      </w:r>
      <w:r w:rsidR="4AEAC1BE" w:rsidRPr="004571F7">
        <w:rPr>
          <w:rFonts w:eastAsia="Calibri"/>
          <w:b/>
          <w:bCs/>
          <w:lang w:val="en-GB"/>
        </w:rPr>
        <w:t>20</w:t>
      </w:r>
      <w:r w:rsidRPr="004571F7">
        <w:rPr>
          <w:rFonts w:eastAsia="Calibri"/>
          <w:b/>
          <w:bCs/>
          <w:lang w:val="en-GB"/>
        </w:rPr>
        <w:t>:</w:t>
      </w:r>
    </w:p>
    <w:p w14:paraId="4CB29914" w14:textId="64F505F5" w:rsidR="64A0D0A3" w:rsidRPr="008E7489" w:rsidRDefault="64A0D0A3" w:rsidP="5F2B6CF0">
      <w:pPr>
        <w:rPr>
          <w:rFonts w:eastAsia="Calibri"/>
          <w:lang w:val="en-GB"/>
        </w:rPr>
      </w:pPr>
      <w:r w:rsidRPr="008E7489">
        <w:rPr>
          <w:rFonts w:eastAsia="Calibri"/>
          <w:lang w:val="en-GB"/>
        </w:rPr>
        <w:t>Szechenyi Istvan University; King Abdullah</w:t>
      </w:r>
      <w:r w:rsidR="437EBF35" w:rsidRPr="008E7489">
        <w:rPr>
          <w:rFonts w:eastAsia="Calibri"/>
          <w:lang w:val="en-GB"/>
        </w:rPr>
        <w:t xml:space="preserve"> University of Science and Technology;</w:t>
      </w:r>
      <w:r w:rsidR="1D40D701" w:rsidRPr="008E7489">
        <w:rPr>
          <w:rFonts w:eastAsia="Calibri"/>
          <w:lang w:val="en-GB"/>
        </w:rPr>
        <w:t xml:space="preserve"> George Washington University; Council for Scientific and Industrial Research; </w:t>
      </w:r>
      <w:r w:rsidR="37860280" w:rsidRPr="008E7489">
        <w:rPr>
          <w:rFonts w:eastAsia="Calibri"/>
          <w:lang w:val="en-GB"/>
        </w:rPr>
        <w:t>Big Data Academy of the Institute of Computing Technology Chinese Academy of Sciences; Harbin Institute of Technology;</w:t>
      </w:r>
      <w:r w:rsidR="5ED333B3" w:rsidRPr="008E7489">
        <w:rPr>
          <w:rFonts w:eastAsia="Calibri"/>
          <w:lang w:val="en-GB"/>
        </w:rPr>
        <w:t xml:space="preserve"> Stanford University;</w:t>
      </w:r>
      <w:r w:rsidR="53D8DAEA" w:rsidRPr="008E7489">
        <w:rPr>
          <w:rFonts w:eastAsia="Calibri"/>
          <w:lang w:val="en-GB"/>
        </w:rPr>
        <w:t xml:space="preserve"> Nanjing Research Institute of Next-generation Artificial Intelligence; Shenyang Institute of Automation Chinese Academy of Sciences;</w:t>
      </w:r>
      <w:r w:rsidR="2ECE8AFF" w:rsidRPr="008E7489">
        <w:rPr>
          <w:rFonts w:eastAsia="Calibri"/>
          <w:lang w:val="en-GB"/>
        </w:rPr>
        <w:t xml:space="preserve"> Universidad Nacional</w:t>
      </w:r>
      <w:r w:rsidR="3FF74917" w:rsidRPr="008E7489">
        <w:rPr>
          <w:rFonts w:eastAsia="Calibri"/>
          <w:lang w:val="en-GB"/>
        </w:rPr>
        <w:t xml:space="preserve"> </w:t>
      </w:r>
      <w:r w:rsidR="2ECE8AFF" w:rsidRPr="008E7489">
        <w:rPr>
          <w:rFonts w:eastAsia="Calibri"/>
          <w:lang w:val="en-GB"/>
        </w:rPr>
        <w:t>de Córdoba; Universidad Rio Cuarto; Universidad Nacional de San Luis; Universidad Nacional</w:t>
      </w:r>
      <w:r w:rsidR="63400821" w:rsidRPr="008E7489">
        <w:rPr>
          <w:rFonts w:eastAsia="Calibri"/>
          <w:lang w:val="en-GB"/>
        </w:rPr>
        <w:t xml:space="preserve"> </w:t>
      </w:r>
      <w:r w:rsidR="2ECE8AFF" w:rsidRPr="008E7489">
        <w:rPr>
          <w:rFonts w:eastAsia="Calibri"/>
          <w:lang w:val="en-GB"/>
        </w:rPr>
        <w:t>de Tucumán</w:t>
      </w:r>
      <w:r w:rsidR="5F4EE132" w:rsidRPr="008E7489">
        <w:rPr>
          <w:rFonts w:eastAsia="Calibri"/>
          <w:lang w:val="en-GB"/>
        </w:rPr>
        <w:t xml:space="preserve">; Wuhan University; </w:t>
      </w:r>
      <w:r w:rsidR="451600C8" w:rsidRPr="008E7489">
        <w:rPr>
          <w:rFonts w:eastAsia="Calibri"/>
          <w:lang w:val="en-GB"/>
        </w:rPr>
        <w:t>Northwestern Polytechnical University; State Grid</w:t>
      </w:r>
      <w:r w:rsidR="1FF2832C" w:rsidRPr="008E7489">
        <w:rPr>
          <w:rFonts w:eastAsia="Calibri"/>
          <w:lang w:val="en-GB"/>
        </w:rPr>
        <w:t xml:space="preserve"> </w:t>
      </w:r>
      <w:r w:rsidR="451600C8" w:rsidRPr="008E7489">
        <w:rPr>
          <w:rFonts w:eastAsia="Calibri"/>
          <w:lang w:val="en-GB"/>
        </w:rPr>
        <w:t>Hubei Electric Power Research Institute; Tongji University; Private Institution Kostanay Engineering and Economics University</w:t>
      </w:r>
      <w:r w:rsidR="3BC98044" w:rsidRPr="008E7489">
        <w:rPr>
          <w:rFonts w:eastAsia="Calibri"/>
          <w:lang w:val="en-GB"/>
        </w:rPr>
        <w:t>;</w:t>
      </w:r>
    </w:p>
    <w:p w14:paraId="185CE2D4" w14:textId="08F7E696" w:rsidR="00136E7B" w:rsidRPr="008E7489" w:rsidRDefault="00136E7B" w:rsidP="5F2B6CF0">
      <w:pPr>
        <w:rPr>
          <w:rFonts w:eastAsia="Calibri"/>
          <w:b/>
          <w:bCs/>
          <w:lang w:val="en-GB"/>
        </w:rPr>
      </w:pPr>
      <w:r w:rsidRPr="008E7489">
        <w:rPr>
          <w:rFonts w:eastAsia="Calibri"/>
          <w:b/>
          <w:bCs/>
          <w:lang w:val="en-GB"/>
        </w:rPr>
        <w:t>Total ITU-T Sector Members, Associates and Academia (31 December 200</w:t>
      </w:r>
      <w:r w:rsidR="35528E80" w:rsidRPr="008E7489">
        <w:rPr>
          <w:rFonts w:eastAsia="Calibri"/>
          <w:b/>
          <w:bCs/>
          <w:lang w:val="en-GB"/>
        </w:rPr>
        <w:t>9</w:t>
      </w:r>
      <w:r w:rsidRPr="008E7489">
        <w:rPr>
          <w:rFonts w:eastAsia="Calibri"/>
          <w:b/>
          <w:bCs/>
          <w:lang w:val="en-GB"/>
        </w:rPr>
        <w:t xml:space="preserve"> – 31 </w:t>
      </w:r>
      <w:r w:rsidR="004A71B8">
        <w:rPr>
          <w:rFonts w:eastAsia="Calibri"/>
          <w:b/>
          <w:bCs/>
          <w:lang w:val="en-GB"/>
        </w:rPr>
        <w:t>August</w:t>
      </w:r>
      <w:r w:rsidRPr="008E7489">
        <w:rPr>
          <w:rFonts w:eastAsia="Calibri"/>
          <w:b/>
          <w:bCs/>
          <w:lang w:val="en-GB"/>
        </w:rPr>
        <w:t xml:space="preserve"> 20</w:t>
      </w:r>
      <w:r w:rsidR="42D00CCD" w:rsidRPr="008E7489">
        <w:rPr>
          <w:rFonts w:eastAsia="Calibri"/>
          <w:b/>
          <w:bCs/>
          <w:lang w:val="en-GB"/>
        </w:rPr>
        <w:t>20</w:t>
      </w:r>
      <w:r w:rsidRPr="008E7489">
        <w:rPr>
          <w:rFonts w:eastAsia="Calibri"/>
          <w:b/>
          <w:bCs/>
          <w:lang w:val="en-GB"/>
        </w:rPr>
        <w:t>):</w:t>
      </w:r>
    </w:p>
    <w:p w14:paraId="3E76A84C" w14:textId="4A8BA811" w:rsidR="00136E7B" w:rsidRPr="008E7489" w:rsidRDefault="00136E7B" w:rsidP="5F2B6CF0">
      <w:pPr>
        <w:rPr>
          <w:rFonts w:eastAsia="Calibri"/>
          <w:lang w:val="en-GB"/>
        </w:rPr>
      </w:pPr>
      <w:r w:rsidRPr="008E7489">
        <w:rPr>
          <w:rFonts w:eastAsia="Calibri"/>
          <w:lang w:val="en-GB"/>
        </w:rPr>
        <w:t>The following table and figure illustrate the evolution of ITU-T membership from 31 December 200</w:t>
      </w:r>
      <w:r w:rsidR="62A49B75" w:rsidRPr="008E7489">
        <w:rPr>
          <w:rFonts w:eastAsia="Calibri"/>
          <w:lang w:val="en-GB"/>
        </w:rPr>
        <w:t>9</w:t>
      </w:r>
      <w:r w:rsidRPr="008E7489">
        <w:rPr>
          <w:rFonts w:eastAsia="Calibri"/>
          <w:lang w:val="en-GB"/>
        </w:rPr>
        <w:t xml:space="preserve"> to 31 </w:t>
      </w:r>
      <w:r w:rsidR="6709AEAC" w:rsidRPr="008E7489">
        <w:rPr>
          <w:rFonts w:eastAsia="Calibri"/>
          <w:lang w:val="en-GB"/>
        </w:rPr>
        <w:t>August</w:t>
      </w:r>
      <w:r w:rsidRPr="008E7489">
        <w:rPr>
          <w:rFonts w:eastAsia="Calibri"/>
          <w:lang w:val="en-GB"/>
        </w:rPr>
        <w:t xml:space="preserve"> 20</w:t>
      </w:r>
      <w:r w:rsidR="589E8768" w:rsidRPr="008E7489">
        <w:rPr>
          <w:rFonts w:eastAsia="Calibri"/>
          <w:lang w:val="en-GB"/>
        </w:rPr>
        <w:t>20</w:t>
      </w:r>
      <w:r w:rsidRPr="008E7489">
        <w:rPr>
          <w:rFonts w:eastAsia="Calibri"/>
          <w:lang w:val="en-GB"/>
        </w:rPr>
        <w:t xml:space="preserve"> (noting that the Academia membership category opened in 2011).</w:t>
      </w:r>
    </w:p>
    <w:p w14:paraId="692337CF" w14:textId="700E4C3B" w:rsidR="00136E7B" w:rsidRPr="008E7489" w:rsidRDefault="00136E7B" w:rsidP="5F2B6CF0">
      <w:pPr>
        <w:rPr>
          <w:rFonts w:eastAsia="Calibri"/>
          <w:b/>
          <w:bCs/>
          <w:lang w:val="en-GB"/>
        </w:rPr>
      </w:pPr>
      <w:r w:rsidRPr="008E7489">
        <w:rPr>
          <w:rFonts w:eastAsia="Calibri"/>
          <w:b/>
          <w:bCs/>
          <w:lang w:val="en-GB"/>
        </w:rPr>
        <w:t>Table 1: Evolution of ITU-T membership from 31 December 200</w:t>
      </w:r>
      <w:r w:rsidR="663EE720" w:rsidRPr="008E7489">
        <w:rPr>
          <w:rFonts w:eastAsia="Calibri"/>
          <w:b/>
          <w:bCs/>
          <w:lang w:val="en-GB"/>
        </w:rPr>
        <w:t>9</w:t>
      </w:r>
      <w:r w:rsidRPr="008E7489">
        <w:rPr>
          <w:rFonts w:eastAsia="Calibri"/>
          <w:b/>
          <w:bCs/>
          <w:lang w:val="en-GB"/>
        </w:rPr>
        <w:t xml:space="preserve"> to 31 </w:t>
      </w:r>
      <w:r w:rsidR="455E95FE" w:rsidRPr="008E7489">
        <w:rPr>
          <w:rFonts w:eastAsia="Calibri"/>
          <w:b/>
          <w:bCs/>
          <w:lang w:val="en-GB"/>
        </w:rPr>
        <w:t xml:space="preserve">August </w:t>
      </w:r>
      <w:r w:rsidRPr="008E7489">
        <w:rPr>
          <w:rFonts w:eastAsia="Calibri"/>
          <w:b/>
          <w:bCs/>
          <w:lang w:val="en-GB"/>
        </w:rPr>
        <w:t>20</w:t>
      </w:r>
      <w:r w:rsidR="5201CB1B" w:rsidRPr="008E7489">
        <w:rPr>
          <w:rFonts w:eastAsia="Calibri"/>
          <w:b/>
          <w:bCs/>
          <w:lang w:val="en-GB"/>
        </w:rPr>
        <w:t>20</w:t>
      </w:r>
    </w:p>
    <w:p w14:paraId="0720F5FE" w14:textId="77777777" w:rsidR="00136E7B" w:rsidRPr="008E7489" w:rsidRDefault="00136E7B" w:rsidP="5F2B6CF0">
      <w:pPr>
        <w:rPr>
          <w:rFonts w:eastAsia="Calibri"/>
          <w:lang w:val="en-GB"/>
        </w:rPr>
      </w:pPr>
    </w:p>
    <w:tbl>
      <w:tblPr>
        <w:tblW w:w="975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tblGrid>
      <w:tr w:rsidR="00F256BD" w:rsidRPr="008137C7" w14:paraId="582E25B5" w14:textId="77777777" w:rsidTr="00281B31">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1689B312" w14:textId="77777777" w:rsidR="00136E7B" w:rsidRPr="008E7489" w:rsidRDefault="00136E7B" w:rsidP="5F2B6CF0">
            <w:pPr>
              <w:rPr>
                <w:rFonts w:eastAsia="Calibri"/>
                <w:lang w:val="en-GB"/>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0B0A45D" w14:textId="77777777" w:rsidR="00136E7B" w:rsidRPr="008E7489" w:rsidRDefault="00136E7B" w:rsidP="5F2B6CF0">
            <w:pPr>
              <w:rPr>
                <w:rFonts w:eastAsia="Calibri"/>
                <w:b/>
                <w:bCs/>
                <w:lang w:val="en-GB"/>
              </w:rPr>
            </w:pPr>
            <w:r w:rsidRPr="008E7489">
              <w:rPr>
                <w:rFonts w:eastAsia="Calibri"/>
                <w:b/>
                <w:bCs/>
                <w:lang w:val="en-G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39E6CD6" w14:textId="77777777" w:rsidR="00136E7B" w:rsidRPr="008E7489" w:rsidRDefault="00136E7B" w:rsidP="5F2B6CF0">
            <w:pPr>
              <w:rPr>
                <w:rFonts w:eastAsia="Calibri"/>
                <w:b/>
                <w:bCs/>
                <w:lang w:val="en-GB"/>
              </w:rPr>
            </w:pPr>
            <w:r w:rsidRPr="008E7489">
              <w:rPr>
                <w:rFonts w:eastAsia="Calibri"/>
                <w:b/>
                <w:bCs/>
                <w:lang w:val="en-G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FC21A8C" w14:textId="77777777" w:rsidR="00136E7B" w:rsidRPr="008E7489" w:rsidRDefault="00136E7B" w:rsidP="5F2B6CF0">
            <w:pPr>
              <w:rPr>
                <w:rFonts w:eastAsia="Calibri"/>
                <w:b/>
                <w:bCs/>
                <w:lang w:val="en-GB"/>
              </w:rPr>
            </w:pPr>
            <w:r w:rsidRPr="008E7489">
              <w:rPr>
                <w:rFonts w:eastAsia="Calibri"/>
                <w:b/>
                <w:bCs/>
                <w:lang w:val="en-G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481274E" w14:textId="77777777" w:rsidR="00136E7B" w:rsidRPr="008E7489" w:rsidRDefault="00136E7B" w:rsidP="5F2B6CF0">
            <w:pPr>
              <w:rPr>
                <w:rFonts w:eastAsia="Calibri"/>
                <w:b/>
                <w:bCs/>
                <w:lang w:val="en-GB"/>
              </w:rPr>
            </w:pPr>
            <w:r w:rsidRPr="008E7489">
              <w:rPr>
                <w:rFonts w:eastAsia="Calibri"/>
                <w:b/>
                <w:bCs/>
                <w:lang w:val="en-G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9CDA8E4" w14:textId="77777777" w:rsidR="00136E7B" w:rsidRPr="008E7489" w:rsidRDefault="00136E7B" w:rsidP="5F2B6CF0">
            <w:pPr>
              <w:rPr>
                <w:rFonts w:eastAsia="Calibri"/>
                <w:b/>
                <w:bCs/>
                <w:lang w:val="en-GB"/>
              </w:rPr>
            </w:pPr>
            <w:r w:rsidRPr="008E7489">
              <w:rPr>
                <w:rFonts w:eastAsia="Calibri"/>
                <w:b/>
                <w:bCs/>
                <w:lang w:val="en-G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1D4E63B" w14:textId="77777777" w:rsidR="00136E7B" w:rsidRPr="008E7489" w:rsidRDefault="00136E7B" w:rsidP="5F2B6CF0">
            <w:pPr>
              <w:rPr>
                <w:rFonts w:eastAsia="Calibri"/>
                <w:b/>
                <w:bCs/>
                <w:lang w:val="en-GB"/>
              </w:rPr>
            </w:pPr>
            <w:r w:rsidRPr="008E7489">
              <w:rPr>
                <w:rFonts w:eastAsia="Calibri"/>
                <w:b/>
                <w:bCs/>
                <w:lang w:val="en-G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F913023" w14:textId="77777777" w:rsidR="00136E7B" w:rsidRPr="008E7489" w:rsidRDefault="00136E7B" w:rsidP="5F2B6CF0">
            <w:pPr>
              <w:rPr>
                <w:rFonts w:eastAsia="Calibri"/>
                <w:b/>
                <w:bCs/>
                <w:lang w:val="en-GB"/>
              </w:rPr>
            </w:pPr>
            <w:r w:rsidRPr="008E7489">
              <w:rPr>
                <w:rFonts w:eastAsia="Calibri"/>
                <w:b/>
                <w:bCs/>
                <w:lang w:val="en-G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FF08C3B" w14:textId="77777777" w:rsidR="00136E7B" w:rsidRPr="008E7489" w:rsidRDefault="00136E7B" w:rsidP="5F2B6CF0">
            <w:pPr>
              <w:rPr>
                <w:rFonts w:eastAsia="Calibri"/>
                <w:b/>
                <w:bCs/>
                <w:lang w:val="en-GB"/>
              </w:rPr>
            </w:pPr>
            <w:r w:rsidRPr="008E7489">
              <w:rPr>
                <w:rFonts w:eastAsia="Calibri"/>
                <w:b/>
                <w:bCs/>
                <w:lang w:val="en-G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1A405AEC" w14:textId="77777777" w:rsidR="00136E7B" w:rsidRPr="008E7489" w:rsidRDefault="00136E7B" w:rsidP="5F2B6CF0">
            <w:pPr>
              <w:rPr>
                <w:rFonts w:eastAsia="Calibri"/>
                <w:b/>
                <w:bCs/>
                <w:lang w:val="en-GB"/>
              </w:rPr>
            </w:pPr>
            <w:r w:rsidRPr="008E7489">
              <w:rPr>
                <w:rFonts w:eastAsia="Calibri"/>
                <w:b/>
                <w:bCs/>
                <w:lang w:val="en-GB"/>
              </w:rPr>
              <w:t>2017</w:t>
            </w:r>
          </w:p>
        </w:tc>
        <w:tc>
          <w:tcPr>
            <w:tcW w:w="600" w:type="dxa"/>
            <w:tcBorders>
              <w:top w:val="single" w:sz="12" w:space="0" w:color="auto"/>
              <w:left w:val="single" w:sz="4" w:space="0" w:color="auto"/>
              <w:bottom w:val="single" w:sz="12" w:space="0" w:color="auto"/>
              <w:right w:val="single" w:sz="4" w:space="0" w:color="auto"/>
            </w:tcBorders>
            <w:hideMark/>
          </w:tcPr>
          <w:p w14:paraId="31ECDF02" w14:textId="77777777" w:rsidR="00136E7B" w:rsidRPr="008E7489" w:rsidRDefault="00136E7B" w:rsidP="5F2B6CF0">
            <w:pPr>
              <w:rPr>
                <w:rFonts w:eastAsia="Calibri"/>
                <w:b/>
                <w:bCs/>
                <w:lang w:val="en-GB"/>
              </w:rPr>
            </w:pPr>
            <w:r w:rsidRPr="008E7489">
              <w:rPr>
                <w:rFonts w:eastAsia="Calibri"/>
                <w:b/>
                <w:bCs/>
                <w:lang w:val="en-GB"/>
              </w:rPr>
              <w:t>2018</w:t>
            </w:r>
          </w:p>
        </w:tc>
        <w:tc>
          <w:tcPr>
            <w:tcW w:w="645" w:type="dxa"/>
            <w:tcBorders>
              <w:top w:val="single" w:sz="12" w:space="0" w:color="auto"/>
              <w:left w:val="single" w:sz="4" w:space="0" w:color="auto"/>
              <w:bottom w:val="single" w:sz="12" w:space="0" w:color="auto"/>
              <w:right w:val="single" w:sz="4" w:space="0" w:color="auto"/>
            </w:tcBorders>
            <w:hideMark/>
          </w:tcPr>
          <w:p w14:paraId="6734304F" w14:textId="77777777" w:rsidR="00136E7B" w:rsidRPr="008E7489" w:rsidRDefault="00136E7B" w:rsidP="5F2B6CF0">
            <w:pPr>
              <w:rPr>
                <w:rFonts w:eastAsia="Calibri"/>
                <w:b/>
                <w:bCs/>
                <w:lang w:val="en-GB"/>
              </w:rPr>
            </w:pPr>
            <w:r w:rsidRPr="008E7489">
              <w:rPr>
                <w:rFonts w:eastAsia="Calibri"/>
                <w:b/>
                <w:bCs/>
                <w:lang w:val="en-GB"/>
              </w:rPr>
              <w:t>2019</w:t>
            </w:r>
          </w:p>
        </w:tc>
        <w:tc>
          <w:tcPr>
            <w:tcW w:w="630" w:type="dxa"/>
            <w:tcBorders>
              <w:top w:val="single" w:sz="12" w:space="0" w:color="auto"/>
              <w:left w:val="single" w:sz="4" w:space="0" w:color="auto"/>
              <w:bottom w:val="single" w:sz="12" w:space="0" w:color="auto"/>
              <w:right w:val="single" w:sz="12" w:space="0" w:color="auto"/>
            </w:tcBorders>
          </w:tcPr>
          <w:p w14:paraId="6043ECC4" w14:textId="5FF1D28A" w:rsidR="7A075A1F" w:rsidRPr="008E7489" w:rsidRDefault="01B18FC1" w:rsidP="5F2B6CF0">
            <w:pPr>
              <w:rPr>
                <w:rFonts w:eastAsia="Calibri"/>
                <w:b/>
                <w:bCs/>
                <w:lang w:val="en-GB"/>
              </w:rPr>
            </w:pPr>
            <w:r w:rsidRPr="008E7489">
              <w:rPr>
                <w:rFonts w:eastAsia="Calibri"/>
                <w:b/>
                <w:bCs/>
                <w:lang w:val="en-GB"/>
              </w:rPr>
              <w:t>2020</w:t>
            </w:r>
          </w:p>
        </w:tc>
      </w:tr>
      <w:tr w:rsidR="00F256BD" w:rsidRPr="008137C7" w14:paraId="63268304" w14:textId="77777777" w:rsidTr="00281B3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D6976E1" w14:textId="77777777" w:rsidR="00136E7B" w:rsidRPr="008E7489" w:rsidRDefault="00136E7B" w:rsidP="5F2B6CF0">
            <w:pPr>
              <w:rPr>
                <w:rFonts w:eastAsia="Calibri"/>
                <w:lang w:val="en-GB"/>
              </w:rPr>
            </w:pPr>
            <w:r w:rsidRPr="008E7489">
              <w:rPr>
                <w:rFonts w:eastAsia="Calibri"/>
                <w:lang w:val="en-GB"/>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7DE4916" w14:textId="1165D4CA" w:rsidR="00136E7B" w:rsidRPr="008E7489" w:rsidRDefault="00136E7B" w:rsidP="5F2B6CF0">
            <w:pPr>
              <w:rPr>
                <w:rFonts w:eastAsia="Calibri"/>
                <w:lang w:val="en-GB"/>
              </w:rPr>
            </w:pPr>
            <w:r w:rsidRPr="008E7489">
              <w:rPr>
                <w:rFonts w:eastAsia="Calibri"/>
                <w:lang w:val="en-GB"/>
              </w:rPr>
              <w:t>29</w:t>
            </w:r>
            <w:r w:rsidR="6F883B1A" w:rsidRPr="008E7489">
              <w:rPr>
                <w:rFonts w:eastAsia="Calibri"/>
                <w:lang w:val="en-GB"/>
              </w:rPr>
              <w:t>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5A6C0C9" w14:textId="18B18850" w:rsidR="00136E7B" w:rsidRPr="008E7489" w:rsidRDefault="00136E7B" w:rsidP="5F2B6CF0">
            <w:pPr>
              <w:rPr>
                <w:rFonts w:eastAsia="Calibri"/>
                <w:lang w:val="en-GB"/>
              </w:rPr>
            </w:pPr>
            <w:r w:rsidRPr="008E7489">
              <w:rPr>
                <w:rFonts w:eastAsia="Calibri"/>
                <w:lang w:val="en-GB"/>
              </w:rPr>
              <w:t>2</w:t>
            </w:r>
            <w:r w:rsidR="0D548F34" w:rsidRPr="008E7489">
              <w:rPr>
                <w:rFonts w:eastAsia="Calibri"/>
                <w:lang w:val="en-GB"/>
              </w:rPr>
              <w:t>61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93EB928" w14:textId="6229A3C2" w:rsidR="00136E7B" w:rsidRPr="008E7489" w:rsidRDefault="00136E7B" w:rsidP="5F2B6CF0">
            <w:pPr>
              <w:rPr>
                <w:rFonts w:eastAsia="Calibri"/>
                <w:lang w:val="en-GB"/>
              </w:rPr>
            </w:pPr>
            <w:r w:rsidRPr="008E7489">
              <w:rPr>
                <w:rFonts w:eastAsia="Calibri"/>
                <w:lang w:val="en-GB"/>
              </w:rPr>
              <w:t>2</w:t>
            </w:r>
            <w:r w:rsidR="524D8FD6" w:rsidRPr="008E7489">
              <w:rPr>
                <w:rFonts w:eastAsia="Calibri"/>
                <w:lang w:val="en-GB"/>
              </w:rPr>
              <w:t>63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6522113" w14:textId="7E733298" w:rsidR="00136E7B" w:rsidRPr="008E7489" w:rsidRDefault="00136E7B" w:rsidP="5F2B6CF0">
            <w:pPr>
              <w:rPr>
                <w:rFonts w:eastAsia="Calibri"/>
                <w:lang w:val="en-GB"/>
              </w:rPr>
            </w:pPr>
            <w:r w:rsidRPr="008E7489">
              <w:rPr>
                <w:rFonts w:eastAsia="Calibri"/>
                <w:lang w:val="en-GB"/>
              </w:rPr>
              <w:t>2</w:t>
            </w:r>
            <w:r w:rsidR="29BE7DC2" w:rsidRPr="008E7489">
              <w:rPr>
                <w:rFonts w:eastAsia="Calibri"/>
                <w:lang w:val="en-GB"/>
              </w:rPr>
              <w:t>67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7CBC552" w14:textId="1FC33715" w:rsidR="00136E7B" w:rsidRPr="008E7489" w:rsidRDefault="00136E7B" w:rsidP="5F2B6CF0">
            <w:pPr>
              <w:rPr>
                <w:rFonts w:eastAsia="Calibri"/>
                <w:lang w:val="en-GB"/>
              </w:rPr>
            </w:pPr>
            <w:r w:rsidRPr="008E7489">
              <w:rPr>
                <w:rFonts w:eastAsia="Calibri"/>
                <w:lang w:val="en-GB"/>
              </w:rPr>
              <w:t>2</w:t>
            </w:r>
            <w:r w:rsidR="5EFFF4C5" w:rsidRPr="008E7489">
              <w:rPr>
                <w:rFonts w:eastAsia="Calibri"/>
                <w:lang w:val="en-GB"/>
              </w:rPr>
              <w:t>7</w:t>
            </w:r>
            <w:r w:rsidRPr="008E7489">
              <w:rPr>
                <w:rFonts w:eastAsia="Calibri"/>
                <w:lang w:val="en-GB"/>
              </w:rPr>
              <w:t>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F5DB886" w14:textId="348893E5" w:rsidR="00136E7B" w:rsidRPr="008E7489" w:rsidRDefault="00136E7B" w:rsidP="5F2B6CF0">
            <w:pPr>
              <w:rPr>
                <w:rFonts w:eastAsia="Calibri"/>
                <w:lang w:val="en-GB"/>
              </w:rPr>
            </w:pPr>
            <w:r w:rsidRPr="008E7489">
              <w:rPr>
                <w:rFonts w:eastAsia="Calibri"/>
                <w:lang w:val="en-GB"/>
              </w:rPr>
              <w:t>27</w:t>
            </w:r>
            <w:r w:rsidR="52626C23" w:rsidRPr="008E7489">
              <w:rPr>
                <w:rFonts w:eastAsia="Calibri"/>
                <w:lang w:val="en-GB"/>
              </w:rPr>
              <w:t>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97CCF6F" w14:textId="482EB912" w:rsidR="00136E7B" w:rsidRPr="008E7489" w:rsidRDefault="00136E7B" w:rsidP="5F2B6CF0">
            <w:pPr>
              <w:rPr>
                <w:rFonts w:eastAsia="Calibri"/>
                <w:lang w:val="en-GB"/>
              </w:rPr>
            </w:pPr>
            <w:r w:rsidRPr="008E7489">
              <w:rPr>
                <w:rFonts w:eastAsia="Calibri"/>
                <w:lang w:val="en-GB"/>
              </w:rPr>
              <w:t>26</w:t>
            </w:r>
            <w:r w:rsidR="089EF13B" w:rsidRPr="008E7489">
              <w:rPr>
                <w:rFonts w:eastAsia="Calibri"/>
                <w:lang w:val="en-GB"/>
              </w:rPr>
              <w:t>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42EBEC0" w14:textId="234790F2" w:rsidR="00136E7B" w:rsidRPr="008E7489" w:rsidRDefault="00136E7B" w:rsidP="5F2B6CF0">
            <w:pPr>
              <w:rPr>
                <w:rFonts w:eastAsia="Calibri"/>
                <w:lang w:val="en-GB"/>
              </w:rPr>
            </w:pPr>
            <w:r w:rsidRPr="008E7489">
              <w:rPr>
                <w:rFonts w:eastAsia="Calibri"/>
                <w:lang w:val="en-GB"/>
              </w:rPr>
              <w:t>25</w:t>
            </w:r>
            <w:r w:rsidR="24BFA4FC" w:rsidRPr="008E7489">
              <w:rPr>
                <w:rFonts w:eastAsia="Calibri"/>
                <w:lang w:val="en-GB"/>
              </w:rPr>
              <w:t>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5058951B" w14:textId="2C5B8175" w:rsidR="00136E7B" w:rsidRPr="008E7489" w:rsidRDefault="00136E7B" w:rsidP="5F2B6CF0">
            <w:pPr>
              <w:jc w:val="center"/>
              <w:rPr>
                <w:rFonts w:eastAsia="Calibri"/>
                <w:lang w:val="en-GB"/>
              </w:rPr>
            </w:pPr>
            <w:r w:rsidRPr="008E7489">
              <w:rPr>
                <w:rFonts w:eastAsia="Calibri"/>
                <w:lang w:val="en-GB"/>
              </w:rPr>
              <w:t>25</w:t>
            </w:r>
            <w:r w:rsidR="0B7FAC08" w:rsidRPr="008E7489">
              <w:rPr>
                <w:rFonts w:eastAsia="Calibri"/>
                <w:lang w:val="en-GB"/>
              </w:rPr>
              <w:t>7</w:t>
            </w:r>
          </w:p>
        </w:tc>
        <w:tc>
          <w:tcPr>
            <w:tcW w:w="600" w:type="dxa"/>
            <w:tcBorders>
              <w:top w:val="nil"/>
              <w:left w:val="single" w:sz="4" w:space="0" w:color="auto"/>
              <w:bottom w:val="single" w:sz="8" w:space="0" w:color="auto"/>
              <w:right w:val="single" w:sz="4" w:space="0" w:color="auto"/>
            </w:tcBorders>
            <w:hideMark/>
          </w:tcPr>
          <w:p w14:paraId="715CFFFA" w14:textId="77777777" w:rsidR="00136E7B" w:rsidRPr="008E7489" w:rsidRDefault="00136E7B" w:rsidP="5F2B6CF0">
            <w:pPr>
              <w:jc w:val="center"/>
              <w:rPr>
                <w:rFonts w:eastAsia="Calibri"/>
                <w:lang w:val="en-GB"/>
              </w:rPr>
            </w:pPr>
            <w:r w:rsidRPr="008E7489">
              <w:rPr>
                <w:rFonts w:eastAsia="Calibri"/>
                <w:lang w:val="en-GB"/>
              </w:rPr>
              <w:t>257</w:t>
            </w:r>
          </w:p>
        </w:tc>
        <w:tc>
          <w:tcPr>
            <w:tcW w:w="645" w:type="dxa"/>
            <w:tcBorders>
              <w:top w:val="nil"/>
              <w:left w:val="single" w:sz="4" w:space="0" w:color="auto"/>
              <w:bottom w:val="single" w:sz="8" w:space="0" w:color="auto"/>
              <w:right w:val="single" w:sz="4" w:space="0" w:color="auto"/>
            </w:tcBorders>
            <w:hideMark/>
          </w:tcPr>
          <w:p w14:paraId="17D50B7D" w14:textId="77777777" w:rsidR="00136E7B" w:rsidRPr="008E7489" w:rsidRDefault="00136E7B" w:rsidP="5F2B6CF0">
            <w:pPr>
              <w:jc w:val="center"/>
              <w:rPr>
                <w:rFonts w:eastAsia="Calibri"/>
                <w:lang w:val="en-GB"/>
              </w:rPr>
            </w:pPr>
            <w:r w:rsidRPr="008E7489">
              <w:rPr>
                <w:rFonts w:eastAsia="Calibri"/>
                <w:lang w:val="en-GB"/>
              </w:rPr>
              <w:t>268</w:t>
            </w:r>
          </w:p>
        </w:tc>
        <w:tc>
          <w:tcPr>
            <w:tcW w:w="630" w:type="dxa"/>
            <w:tcBorders>
              <w:top w:val="nil"/>
              <w:left w:val="single" w:sz="4" w:space="0" w:color="auto"/>
              <w:bottom w:val="single" w:sz="8" w:space="0" w:color="auto"/>
              <w:right w:val="single" w:sz="12" w:space="0" w:color="auto"/>
            </w:tcBorders>
          </w:tcPr>
          <w:p w14:paraId="50ED7D01" w14:textId="575CB858" w:rsidR="13C8D3E6" w:rsidRPr="008E7489" w:rsidRDefault="1EC0CB84" w:rsidP="5F2B6CF0">
            <w:pPr>
              <w:jc w:val="center"/>
              <w:rPr>
                <w:rFonts w:eastAsia="Calibri"/>
                <w:lang w:val="en-GB"/>
              </w:rPr>
            </w:pPr>
            <w:r w:rsidRPr="008E7489">
              <w:rPr>
                <w:rFonts w:eastAsia="Calibri"/>
                <w:lang w:val="en-GB"/>
              </w:rPr>
              <w:t>271</w:t>
            </w:r>
          </w:p>
        </w:tc>
      </w:tr>
      <w:tr w:rsidR="00F256BD" w:rsidRPr="008137C7" w14:paraId="2E5551FD" w14:textId="77777777" w:rsidTr="00281B3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77D0AAA" w14:textId="77777777" w:rsidR="00136E7B" w:rsidRPr="008E7489" w:rsidRDefault="00136E7B" w:rsidP="5F2B6CF0">
            <w:pPr>
              <w:rPr>
                <w:rFonts w:eastAsia="Calibri"/>
                <w:lang w:val="en-GB"/>
              </w:rPr>
            </w:pPr>
            <w:r w:rsidRPr="008E7489">
              <w:rPr>
                <w:rFonts w:eastAsia="Calibri"/>
                <w:lang w:val="en-GB"/>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497D783" w14:textId="42188A9C" w:rsidR="00136E7B" w:rsidRPr="008E7489" w:rsidRDefault="00136E7B" w:rsidP="5F2B6CF0">
            <w:pPr>
              <w:rPr>
                <w:rFonts w:eastAsia="Calibri"/>
                <w:lang w:val="en-GB"/>
              </w:rPr>
            </w:pPr>
            <w:r w:rsidRPr="008E7489">
              <w:rPr>
                <w:rFonts w:eastAsia="Calibri"/>
                <w:lang w:val="en-GB"/>
              </w:rPr>
              <w:t>1</w:t>
            </w:r>
            <w:r w:rsidR="441D6DF1" w:rsidRPr="008E7489">
              <w:rPr>
                <w:rFonts w:eastAsia="Calibri"/>
                <w:lang w:val="en-GB"/>
              </w:rPr>
              <w:t>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033B2C2" w14:textId="5A7D79D2" w:rsidR="00136E7B" w:rsidRPr="008E7489" w:rsidRDefault="00136E7B" w:rsidP="5F2B6CF0">
            <w:pPr>
              <w:rPr>
                <w:rFonts w:eastAsia="Calibri"/>
                <w:lang w:val="en-GB"/>
              </w:rPr>
            </w:pPr>
            <w:r w:rsidRPr="008E7489">
              <w:rPr>
                <w:rFonts w:eastAsia="Calibri"/>
                <w:lang w:val="en-GB"/>
              </w:rPr>
              <w:t>1</w:t>
            </w:r>
            <w:r w:rsidR="13B431FD" w:rsidRPr="008E7489">
              <w:rPr>
                <w:rFonts w:eastAsia="Calibri"/>
                <w:lang w:val="en-GB"/>
              </w:rPr>
              <w:t>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A5D5AD2" w14:textId="73CA082A" w:rsidR="00136E7B" w:rsidRPr="008E7489" w:rsidRDefault="00136E7B" w:rsidP="5F2B6CF0">
            <w:pPr>
              <w:rPr>
                <w:rFonts w:eastAsia="Calibri"/>
                <w:lang w:val="en-GB"/>
              </w:rPr>
            </w:pPr>
            <w:r w:rsidRPr="008E7489">
              <w:rPr>
                <w:rFonts w:eastAsia="Calibri"/>
                <w:lang w:val="en-GB"/>
              </w:rPr>
              <w:t>1</w:t>
            </w:r>
            <w:r w:rsidR="774D66D6" w:rsidRPr="008E7489">
              <w:rPr>
                <w:rFonts w:eastAsia="Calibri"/>
                <w:lang w:val="en-GB"/>
              </w:rPr>
              <w:t>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A7219C9" w14:textId="34423F62" w:rsidR="00136E7B" w:rsidRPr="008E7489" w:rsidRDefault="00136E7B" w:rsidP="5F2B6CF0">
            <w:pPr>
              <w:rPr>
                <w:rFonts w:eastAsia="Calibri"/>
                <w:lang w:val="en-GB"/>
              </w:rPr>
            </w:pPr>
            <w:r w:rsidRPr="008E7489">
              <w:rPr>
                <w:rFonts w:eastAsia="Calibri"/>
                <w:lang w:val="en-GB"/>
              </w:rPr>
              <w:t>1</w:t>
            </w:r>
            <w:r w:rsidR="1DD5C693" w:rsidRPr="008E7489">
              <w:rPr>
                <w:rFonts w:eastAsia="Calibri"/>
                <w:lang w:val="en-GB"/>
              </w:rPr>
              <w:t>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65400AD" w14:textId="2C1299E5" w:rsidR="00136E7B" w:rsidRPr="008E7489" w:rsidRDefault="00136E7B" w:rsidP="5F2B6CF0">
            <w:pPr>
              <w:rPr>
                <w:rFonts w:eastAsia="Calibri"/>
                <w:lang w:val="en-GB"/>
              </w:rPr>
            </w:pPr>
            <w:r w:rsidRPr="008E7489">
              <w:rPr>
                <w:rFonts w:eastAsia="Calibri"/>
                <w:lang w:val="en-GB"/>
              </w:rPr>
              <w:t>13</w:t>
            </w:r>
            <w:r w:rsidR="686B6970" w:rsidRPr="008E7489">
              <w:rPr>
                <w:rFonts w:eastAsia="Calibri"/>
                <w:lang w:val="en-GB"/>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FAA995B" w14:textId="35808E66" w:rsidR="00136E7B" w:rsidRPr="008E7489" w:rsidRDefault="00136E7B" w:rsidP="5F2B6CF0">
            <w:pPr>
              <w:rPr>
                <w:rFonts w:eastAsia="Calibri"/>
                <w:lang w:val="en-GB"/>
              </w:rPr>
            </w:pPr>
            <w:r w:rsidRPr="008E7489">
              <w:rPr>
                <w:rFonts w:eastAsia="Calibri"/>
                <w:lang w:val="en-GB"/>
              </w:rPr>
              <w:t>13</w:t>
            </w:r>
            <w:r w:rsidR="14060AAA" w:rsidRPr="008E7489">
              <w:rPr>
                <w:rFonts w:eastAsia="Calibri"/>
                <w:lang w:val="en-GB"/>
              </w:rPr>
              <w:t>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ECA0DDA" w14:textId="52E38E23" w:rsidR="00136E7B" w:rsidRPr="008E7489" w:rsidRDefault="00136E7B" w:rsidP="5F2B6CF0">
            <w:pPr>
              <w:rPr>
                <w:rFonts w:eastAsia="Calibri"/>
                <w:lang w:val="en-GB"/>
              </w:rPr>
            </w:pPr>
            <w:r w:rsidRPr="008E7489">
              <w:rPr>
                <w:rFonts w:eastAsia="Calibri"/>
                <w:lang w:val="en-GB"/>
              </w:rPr>
              <w:t>1</w:t>
            </w:r>
            <w:r w:rsidR="67D3935D" w:rsidRPr="008E7489">
              <w:rPr>
                <w:rFonts w:eastAsia="Calibri"/>
                <w:lang w:val="en-GB"/>
              </w:rPr>
              <w:t>32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8823D35" w14:textId="2EDB1809" w:rsidR="00136E7B" w:rsidRPr="008E7489" w:rsidRDefault="00136E7B" w:rsidP="5F2B6CF0">
            <w:pPr>
              <w:rPr>
                <w:rFonts w:eastAsia="Calibri"/>
                <w:lang w:val="en-GB"/>
              </w:rPr>
            </w:pPr>
            <w:r w:rsidRPr="008E7489">
              <w:rPr>
                <w:rFonts w:eastAsia="Calibri"/>
                <w:lang w:val="en-GB"/>
              </w:rPr>
              <w:t>1</w:t>
            </w:r>
            <w:r w:rsidR="217AC98B" w:rsidRPr="008E7489">
              <w:rPr>
                <w:rFonts w:eastAsia="Calibri"/>
                <w:lang w:val="en-GB"/>
              </w:rPr>
              <w:t>28</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6773125D" w14:textId="38D5A8DF" w:rsidR="00136E7B" w:rsidRPr="008E7489" w:rsidRDefault="00136E7B" w:rsidP="5F2B6CF0">
            <w:pPr>
              <w:jc w:val="center"/>
              <w:rPr>
                <w:rFonts w:eastAsia="Calibri"/>
                <w:lang w:val="en-GB"/>
              </w:rPr>
            </w:pPr>
            <w:r w:rsidRPr="008E7489">
              <w:rPr>
                <w:rFonts w:eastAsia="Calibri"/>
                <w:lang w:val="en-GB"/>
              </w:rPr>
              <w:t>13</w:t>
            </w:r>
            <w:r w:rsidR="38B5055B" w:rsidRPr="008E7489">
              <w:rPr>
                <w:rFonts w:eastAsia="Calibri"/>
                <w:lang w:val="en-GB"/>
              </w:rPr>
              <w:t>7</w:t>
            </w:r>
          </w:p>
        </w:tc>
        <w:tc>
          <w:tcPr>
            <w:tcW w:w="600" w:type="dxa"/>
            <w:tcBorders>
              <w:top w:val="nil"/>
              <w:left w:val="single" w:sz="4" w:space="0" w:color="auto"/>
              <w:bottom w:val="single" w:sz="8" w:space="0" w:color="auto"/>
              <w:right w:val="single" w:sz="4" w:space="0" w:color="auto"/>
            </w:tcBorders>
            <w:hideMark/>
          </w:tcPr>
          <w:p w14:paraId="44945A25" w14:textId="77777777" w:rsidR="00136E7B" w:rsidRPr="008E7489" w:rsidRDefault="00136E7B" w:rsidP="5F2B6CF0">
            <w:pPr>
              <w:jc w:val="center"/>
              <w:rPr>
                <w:rFonts w:eastAsia="Calibri"/>
                <w:lang w:val="en-GB"/>
              </w:rPr>
            </w:pPr>
            <w:r w:rsidRPr="008E7489">
              <w:rPr>
                <w:rFonts w:eastAsia="Calibri"/>
                <w:lang w:val="en-GB"/>
              </w:rPr>
              <w:t>157</w:t>
            </w:r>
          </w:p>
        </w:tc>
        <w:tc>
          <w:tcPr>
            <w:tcW w:w="645" w:type="dxa"/>
            <w:tcBorders>
              <w:top w:val="nil"/>
              <w:left w:val="single" w:sz="4" w:space="0" w:color="auto"/>
              <w:bottom w:val="single" w:sz="8" w:space="0" w:color="auto"/>
              <w:right w:val="single" w:sz="4" w:space="0" w:color="auto"/>
            </w:tcBorders>
            <w:hideMark/>
          </w:tcPr>
          <w:p w14:paraId="0A53078D" w14:textId="77777777" w:rsidR="00136E7B" w:rsidRPr="008E7489" w:rsidRDefault="00136E7B" w:rsidP="5F2B6CF0">
            <w:pPr>
              <w:jc w:val="center"/>
              <w:rPr>
                <w:rFonts w:eastAsia="Calibri"/>
                <w:lang w:val="en-GB"/>
              </w:rPr>
            </w:pPr>
            <w:r w:rsidRPr="008E7489">
              <w:rPr>
                <w:rFonts w:eastAsia="Calibri"/>
                <w:lang w:val="en-GB"/>
              </w:rPr>
              <w:t>184</w:t>
            </w:r>
          </w:p>
        </w:tc>
        <w:tc>
          <w:tcPr>
            <w:tcW w:w="630" w:type="dxa"/>
            <w:tcBorders>
              <w:top w:val="nil"/>
              <w:left w:val="single" w:sz="4" w:space="0" w:color="auto"/>
              <w:bottom w:val="single" w:sz="8" w:space="0" w:color="auto"/>
              <w:right w:val="single" w:sz="12" w:space="0" w:color="auto"/>
            </w:tcBorders>
          </w:tcPr>
          <w:p w14:paraId="6179A301" w14:textId="4E46ACB4" w:rsidR="433D511A" w:rsidRPr="008E7489" w:rsidRDefault="5D2DAE72" w:rsidP="5F2B6CF0">
            <w:pPr>
              <w:jc w:val="center"/>
              <w:rPr>
                <w:rFonts w:eastAsia="Calibri"/>
                <w:lang w:val="en-GB"/>
              </w:rPr>
            </w:pPr>
            <w:r w:rsidRPr="008E7489">
              <w:rPr>
                <w:rFonts w:eastAsia="Calibri"/>
                <w:lang w:val="en-GB"/>
              </w:rPr>
              <w:t>199</w:t>
            </w:r>
          </w:p>
        </w:tc>
      </w:tr>
      <w:tr w:rsidR="00F256BD" w:rsidRPr="008137C7" w14:paraId="3F0CEBAC" w14:textId="77777777" w:rsidTr="00281B3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A371F5E" w14:textId="77777777" w:rsidR="00136E7B" w:rsidRPr="008E7489" w:rsidRDefault="00136E7B" w:rsidP="5F2B6CF0">
            <w:pPr>
              <w:rPr>
                <w:rFonts w:eastAsia="Calibri"/>
                <w:lang w:val="en-GB"/>
              </w:rPr>
            </w:pPr>
            <w:r w:rsidRPr="008E7489">
              <w:rPr>
                <w:rFonts w:eastAsia="Calibri"/>
                <w:lang w:val="en-GB"/>
              </w:rPr>
              <w:lastRenderedPageBreak/>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23D2DD8" w14:textId="77777777" w:rsidR="00136E7B" w:rsidRPr="00281B31" w:rsidRDefault="00136E7B" w:rsidP="5F2B6CF0">
            <w:pPr>
              <w:rPr>
                <w:rFonts w:eastAsia="Calibri"/>
                <w:lang w:val="en-GB"/>
              </w:rPr>
            </w:pPr>
            <w:r w:rsidRPr="00281B31">
              <w:rPr>
                <w:rFonts w:eastAsia="Calibri"/>
                <w:szCs w:val="24"/>
                <w:lang w:val="en-GB"/>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0147475" w14:textId="77777777" w:rsidR="00136E7B" w:rsidRPr="00281B31" w:rsidRDefault="00136E7B" w:rsidP="5F2B6CF0">
            <w:pPr>
              <w:rPr>
                <w:rFonts w:eastAsia="Calibri"/>
                <w:lang w:val="en-GB"/>
              </w:rPr>
            </w:pPr>
            <w:r w:rsidRPr="00281B31">
              <w:rPr>
                <w:rFonts w:eastAsia="Calibri"/>
                <w:szCs w:val="24"/>
                <w:lang w:val="en-GB"/>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BC4A729" w14:textId="75C53A71" w:rsidR="00136E7B" w:rsidRPr="008E7489" w:rsidRDefault="00136E7B" w:rsidP="5F2B6CF0">
            <w:pPr>
              <w:rPr>
                <w:rFonts w:eastAsia="Calibri"/>
                <w:lang w:val="en-GB"/>
              </w:rPr>
            </w:pPr>
            <w:r w:rsidRPr="008E7489">
              <w:rPr>
                <w:rFonts w:eastAsia="Calibri"/>
                <w:lang w:val="en-GB"/>
              </w:rPr>
              <w:t>2</w:t>
            </w:r>
            <w:r w:rsidR="20DAD7DE" w:rsidRPr="008E7489">
              <w:rPr>
                <w:rFonts w:eastAsia="Calibri"/>
                <w:lang w:val="en-GB"/>
              </w:rPr>
              <w:t>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24DB713" w14:textId="3ECFDDE6" w:rsidR="00136E7B" w:rsidRPr="008E7489" w:rsidRDefault="572C8EDC" w:rsidP="5F2B6CF0">
            <w:pPr>
              <w:rPr>
                <w:rFonts w:eastAsia="Calibri"/>
                <w:lang w:val="en-GB"/>
              </w:rPr>
            </w:pPr>
            <w:r w:rsidRPr="008E7489">
              <w:rPr>
                <w:rFonts w:eastAsia="Calibri"/>
                <w:lang w:val="en-GB"/>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A750BF4" w14:textId="1F6AA648" w:rsidR="00136E7B" w:rsidRPr="008E7489" w:rsidRDefault="62273516" w:rsidP="5F2B6CF0">
            <w:pPr>
              <w:rPr>
                <w:rFonts w:eastAsia="Calibri"/>
                <w:lang w:val="en-GB"/>
              </w:rPr>
            </w:pPr>
            <w:r w:rsidRPr="008E7489">
              <w:rPr>
                <w:rFonts w:eastAsia="Calibri"/>
                <w:lang w:val="en-GB"/>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7583E06" w14:textId="570E284C" w:rsidR="00136E7B" w:rsidRPr="008E7489" w:rsidRDefault="1800C95A" w:rsidP="5F2B6CF0">
            <w:pPr>
              <w:rPr>
                <w:rFonts w:eastAsia="Calibri"/>
                <w:lang w:val="en-GB"/>
              </w:rPr>
            </w:pPr>
            <w:r w:rsidRPr="008E7489">
              <w:rPr>
                <w:rFonts w:eastAsia="Calibri"/>
                <w:lang w:val="en-GB"/>
              </w:rPr>
              <w:t>73</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F50305E" w14:textId="78EBE272" w:rsidR="00136E7B" w:rsidRPr="008E7489" w:rsidRDefault="19438A62" w:rsidP="5F2B6CF0">
            <w:pPr>
              <w:rPr>
                <w:rFonts w:eastAsia="Calibri"/>
                <w:lang w:val="en-GB"/>
              </w:rPr>
            </w:pPr>
            <w:r w:rsidRPr="008E7489">
              <w:rPr>
                <w:rFonts w:eastAsia="Calibri"/>
                <w:lang w:val="en-GB"/>
              </w:rPr>
              <w:t>95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25C44DD" w14:textId="77777777" w:rsidR="00136E7B" w:rsidRPr="008E7489" w:rsidRDefault="00136E7B" w:rsidP="5F2B6CF0">
            <w:pPr>
              <w:rPr>
                <w:rFonts w:eastAsia="Calibri"/>
                <w:lang w:val="en-GB"/>
              </w:rPr>
            </w:pPr>
            <w:r w:rsidRPr="008E7489">
              <w:rPr>
                <w:rFonts w:eastAsia="Calibri"/>
                <w:lang w:val="en-GB"/>
              </w:rPr>
              <w:t>107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8CAAD67" w14:textId="6A47F6AF" w:rsidR="00136E7B" w:rsidRPr="008E7489" w:rsidRDefault="00136E7B" w:rsidP="5F2B6CF0">
            <w:pPr>
              <w:jc w:val="center"/>
              <w:rPr>
                <w:rFonts w:eastAsia="Calibri"/>
                <w:lang w:val="en-GB"/>
              </w:rPr>
            </w:pPr>
            <w:r w:rsidRPr="008E7489">
              <w:rPr>
                <w:rFonts w:eastAsia="Calibri"/>
                <w:lang w:val="en-GB"/>
              </w:rPr>
              <w:t>12</w:t>
            </w:r>
            <w:r w:rsidR="1BA137C6" w:rsidRPr="008E7489">
              <w:rPr>
                <w:rFonts w:eastAsia="Calibri"/>
                <w:lang w:val="en-GB"/>
              </w:rPr>
              <w:t>4</w:t>
            </w:r>
          </w:p>
        </w:tc>
        <w:tc>
          <w:tcPr>
            <w:tcW w:w="600" w:type="dxa"/>
            <w:tcBorders>
              <w:top w:val="nil"/>
              <w:left w:val="single" w:sz="4" w:space="0" w:color="auto"/>
              <w:bottom w:val="single" w:sz="8" w:space="0" w:color="auto"/>
              <w:right w:val="single" w:sz="4" w:space="0" w:color="auto"/>
            </w:tcBorders>
            <w:hideMark/>
          </w:tcPr>
          <w:p w14:paraId="326AF719" w14:textId="7CC33652" w:rsidR="00136E7B" w:rsidRPr="008E7489" w:rsidRDefault="00136E7B" w:rsidP="5F2B6CF0">
            <w:pPr>
              <w:jc w:val="center"/>
              <w:rPr>
                <w:rFonts w:eastAsia="Calibri"/>
                <w:lang w:val="en-GB"/>
              </w:rPr>
            </w:pPr>
            <w:r w:rsidRPr="008E7489">
              <w:rPr>
                <w:rFonts w:eastAsia="Calibri"/>
                <w:lang w:val="en-GB"/>
              </w:rPr>
              <w:t>15</w:t>
            </w:r>
            <w:r w:rsidR="7B8A6965" w:rsidRPr="008E7489">
              <w:rPr>
                <w:rFonts w:eastAsia="Calibri"/>
                <w:lang w:val="en-GB"/>
              </w:rPr>
              <w:t>3</w:t>
            </w:r>
          </w:p>
        </w:tc>
        <w:tc>
          <w:tcPr>
            <w:tcW w:w="645" w:type="dxa"/>
            <w:tcBorders>
              <w:top w:val="nil"/>
              <w:left w:val="single" w:sz="4" w:space="0" w:color="auto"/>
              <w:bottom w:val="single" w:sz="8" w:space="0" w:color="auto"/>
              <w:right w:val="single" w:sz="4" w:space="0" w:color="auto"/>
            </w:tcBorders>
            <w:hideMark/>
          </w:tcPr>
          <w:p w14:paraId="4C965A24" w14:textId="77777777" w:rsidR="00136E7B" w:rsidRPr="008E7489" w:rsidRDefault="00136E7B" w:rsidP="5F2B6CF0">
            <w:pPr>
              <w:jc w:val="center"/>
              <w:rPr>
                <w:rFonts w:eastAsia="Calibri"/>
                <w:lang w:val="en-GB"/>
              </w:rPr>
            </w:pPr>
            <w:r w:rsidRPr="008E7489">
              <w:rPr>
                <w:rFonts w:eastAsia="Calibri"/>
                <w:lang w:val="en-GB"/>
              </w:rPr>
              <w:t>163</w:t>
            </w:r>
          </w:p>
        </w:tc>
        <w:tc>
          <w:tcPr>
            <w:tcW w:w="630" w:type="dxa"/>
            <w:tcBorders>
              <w:top w:val="nil"/>
              <w:left w:val="single" w:sz="4" w:space="0" w:color="auto"/>
              <w:bottom w:val="single" w:sz="8" w:space="0" w:color="auto"/>
              <w:right w:val="single" w:sz="12" w:space="0" w:color="auto"/>
            </w:tcBorders>
          </w:tcPr>
          <w:p w14:paraId="05EED167" w14:textId="5AA0DCAC" w:rsidR="654F2C5A" w:rsidRPr="008E7489" w:rsidRDefault="5DFD58E8" w:rsidP="5F2B6CF0">
            <w:pPr>
              <w:jc w:val="center"/>
              <w:rPr>
                <w:rFonts w:eastAsia="Calibri"/>
                <w:lang w:val="en-GB"/>
              </w:rPr>
            </w:pPr>
            <w:r w:rsidRPr="008E7489">
              <w:rPr>
                <w:rFonts w:eastAsia="Calibri"/>
                <w:lang w:val="en-GB"/>
              </w:rPr>
              <w:t>162</w:t>
            </w:r>
          </w:p>
        </w:tc>
      </w:tr>
      <w:tr w:rsidR="00F256BD" w:rsidRPr="008137C7" w14:paraId="33465576" w14:textId="77777777" w:rsidTr="00281B31">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DBA0218" w14:textId="0F64F204" w:rsidR="00136E7B" w:rsidRPr="00F256BD" w:rsidRDefault="00136E7B" w:rsidP="5F2B6CF0">
            <w:pPr>
              <w:rPr>
                <w:rFonts w:eastAsia="Calibri"/>
                <w:lang w:val="en-GB"/>
              </w:rPr>
            </w:pPr>
            <w:r w:rsidRPr="00F256BD">
              <w:rPr>
                <w:rFonts w:eastAsia="Calibri"/>
                <w:lang w:val="en-GB"/>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A4DB101" w14:textId="60973562" w:rsidR="00136E7B" w:rsidRPr="00F256BD" w:rsidRDefault="6688B6EC" w:rsidP="5F2B6CF0">
            <w:pPr>
              <w:rPr>
                <w:rFonts w:eastAsia="Calibri"/>
                <w:lang w:val="en-GB"/>
              </w:rPr>
            </w:pPr>
            <w:r w:rsidRPr="00F256BD">
              <w:rPr>
                <w:rFonts w:eastAsia="Calibri"/>
                <w:lang w:val="en-GB"/>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218C4496" w14:textId="09051AE1" w:rsidR="00136E7B" w:rsidRPr="00F256BD" w:rsidRDefault="00136E7B" w:rsidP="5F2B6CF0">
            <w:pPr>
              <w:rPr>
                <w:rFonts w:eastAsia="Calibri"/>
                <w:lang w:val="en-GB"/>
              </w:rPr>
            </w:pPr>
            <w:r w:rsidRPr="00F256BD">
              <w:rPr>
                <w:rFonts w:eastAsia="Calibri"/>
                <w:lang w:val="en-GB"/>
              </w:rPr>
              <w:t>3</w:t>
            </w:r>
            <w:r w:rsidR="482D85F1" w:rsidRPr="00F256BD">
              <w:rPr>
                <w:rFonts w:eastAsia="Calibri"/>
                <w:lang w:val="en-GB"/>
              </w:rPr>
              <w:t>72</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D300470" w14:textId="4E04601F" w:rsidR="00136E7B" w:rsidRPr="00F256BD" w:rsidRDefault="00136E7B" w:rsidP="5F2B6CF0">
            <w:pPr>
              <w:rPr>
                <w:rFonts w:eastAsia="Calibri"/>
                <w:lang w:val="en-GB"/>
              </w:rPr>
            </w:pPr>
            <w:r w:rsidRPr="00F256BD">
              <w:rPr>
                <w:rFonts w:eastAsia="Calibri"/>
                <w:lang w:val="en-GB"/>
              </w:rPr>
              <w:t>4</w:t>
            </w:r>
            <w:r w:rsidR="36082AB4" w:rsidRPr="00F256BD">
              <w:rPr>
                <w:rFonts w:eastAsia="Calibri"/>
                <w:lang w:val="en-GB"/>
              </w:rPr>
              <w:t>05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626FD46" w14:textId="6B1E375C" w:rsidR="00136E7B" w:rsidRPr="00F256BD" w:rsidRDefault="00136E7B" w:rsidP="5F2B6CF0">
            <w:pPr>
              <w:rPr>
                <w:rFonts w:eastAsia="Calibri"/>
                <w:lang w:val="en-GB"/>
              </w:rPr>
            </w:pPr>
            <w:r w:rsidRPr="00F256BD">
              <w:rPr>
                <w:rFonts w:eastAsia="Calibri"/>
                <w:lang w:val="en-GB"/>
              </w:rPr>
              <w:t>4</w:t>
            </w:r>
            <w:r w:rsidR="148E6F85" w:rsidRPr="00F256BD">
              <w:rPr>
                <w:rFonts w:eastAsia="Calibri"/>
                <w:lang w:val="en-GB"/>
              </w:rPr>
              <w:t>35</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30CF564D" w14:textId="73E57018" w:rsidR="00136E7B" w:rsidRPr="00F256BD" w:rsidRDefault="7E400061" w:rsidP="5F2B6CF0">
            <w:pPr>
              <w:rPr>
                <w:rFonts w:eastAsia="Calibri"/>
                <w:lang w:val="en-GB"/>
              </w:rPr>
            </w:pPr>
            <w:r w:rsidRPr="00F256BD">
              <w:rPr>
                <w:rFonts w:eastAsia="Calibri"/>
                <w:lang w:val="en-GB"/>
              </w:rPr>
              <w:t>462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D2E82B8" w14:textId="6E188F8B" w:rsidR="00136E7B" w:rsidRPr="00F256BD" w:rsidRDefault="4ACE4CA2" w:rsidP="5F2B6CF0">
            <w:pPr>
              <w:rPr>
                <w:rFonts w:eastAsia="Calibri"/>
                <w:lang w:val="en-GB"/>
              </w:rPr>
            </w:pPr>
            <w:r w:rsidRPr="00F256BD">
              <w:rPr>
                <w:rFonts w:eastAsia="Calibri"/>
                <w:lang w:val="en-GB"/>
              </w:rPr>
              <w:t>477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C598FE8" w14:textId="7D2BC127" w:rsidR="00136E7B" w:rsidRPr="00F256BD" w:rsidRDefault="4ACE4CA2" w:rsidP="5F2B6CF0">
            <w:pPr>
              <w:rPr>
                <w:rFonts w:eastAsia="Calibri"/>
                <w:lang w:val="en-GB"/>
              </w:rPr>
            </w:pPr>
            <w:r w:rsidRPr="00F256BD">
              <w:rPr>
                <w:rFonts w:eastAsia="Calibri"/>
                <w:lang w:val="en-GB"/>
              </w:rPr>
              <w:t>493</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2F28090" w14:textId="57EE6778" w:rsidR="00136E7B" w:rsidRPr="00F256BD" w:rsidRDefault="00136E7B" w:rsidP="5F2B6CF0">
            <w:pPr>
              <w:rPr>
                <w:rFonts w:eastAsia="Calibri"/>
                <w:lang w:val="en-GB"/>
              </w:rPr>
            </w:pPr>
            <w:r w:rsidRPr="00F256BD">
              <w:rPr>
                <w:rFonts w:eastAsia="Calibri"/>
                <w:lang w:val="en-GB"/>
              </w:rPr>
              <w:t>4</w:t>
            </w:r>
            <w:r w:rsidR="1C33A6BA" w:rsidRPr="00F256BD">
              <w:rPr>
                <w:rFonts w:eastAsia="Calibri"/>
                <w:lang w:val="en-GB"/>
              </w:rPr>
              <w:t>88</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1C3AE084" w14:textId="359188D0" w:rsidR="00136E7B" w:rsidRPr="00F256BD" w:rsidRDefault="00136E7B" w:rsidP="5F2B6CF0">
            <w:pPr>
              <w:jc w:val="center"/>
              <w:rPr>
                <w:rFonts w:eastAsia="Calibri"/>
                <w:lang w:val="en-GB"/>
              </w:rPr>
            </w:pPr>
            <w:r w:rsidRPr="00F256BD">
              <w:rPr>
                <w:rFonts w:eastAsia="Calibri"/>
                <w:lang w:val="en-GB"/>
              </w:rPr>
              <w:t>5</w:t>
            </w:r>
            <w:r w:rsidR="229EECD7" w:rsidRPr="00F256BD">
              <w:rPr>
                <w:rFonts w:eastAsia="Calibri"/>
                <w:lang w:val="en-GB"/>
              </w:rPr>
              <w:t>1</w:t>
            </w:r>
            <w:r w:rsidR="2ED8E249" w:rsidRPr="00F256BD">
              <w:rPr>
                <w:rFonts w:eastAsia="Calibri"/>
                <w:lang w:val="en-GB"/>
              </w:rPr>
              <w:t>8</w:t>
            </w:r>
          </w:p>
        </w:tc>
        <w:tc>
          <w:tcPr>
            <w:tcW w:w="600" w:type="dxa"/>
            <w:tcBorders>
              <w:top w:val="nil"/>
              <w:left w:val="single" w:sz="4" w:space="0" w:color="auto"/>
              <w:bottom w:val="single" w:sz="12" w:space="0" w:color="auto"/>
              <w:right w:val="single" w:sz="4" w:space="0" w:color="auto"/>
            </w:tcBorders>
            <w:hideMark/>
          </w:tcPr>
          <w:p w14:paraId="19C3F761" w14:textId="2129F8E0" w:rsidR="00136E7B" w:rsidRPr="00F256BD" w:rsidRDefault="00136E7B" w:rsidP="5F2B6CF0">
            <w:pPr>
              <w:jc w:val="center"/>
              <w:rPr>
                <w:rFonts w:eastAsia="Calibri"/>
                <w:lang w:val="en-GB"/>
              </w:rPr>
            </w:pPr>
            <w:r w:rsidRPr="00F256BD">
              <w:rPr>
                <w:rFonts w:eastAsia="Calibri"/>
                <w:lang w:val="en-GB"/>
              </w:rPr>
              <w:t>56</w:t>
            </w:r>
            <w:r w:rsidR="1CE7F1E7" w:rsidRPr="00F256BD">
              <w:rPr>
                <w:rFonts w:eastAsia="Calibri"/>
                <w:lang w:val="en-GB"/>
              </w:rPr>
              <w:t>7</w:t>
            </w:r>
          </w:p>
        </w:tc>
        <w:tc>
          <w:tcPr>
            <w:tcW w:w="645" w:type="dxa"/>
            <w:tcBorders>
              <w:top w:val="nil"/>
              <w:left w:val="single" w:sz="4" w:space="0" w:color="auto"/>
              <w:bottom w:val="single" w:sz="12" w:space="0" w:color="auto"/>
              <w:right w:val="single" w:sz="4" w:space="0" w:color="auto"/>
            </w:tcBorders>
            <w:hideMark/>
          </w:tcPr>
          <w:p w14:paraId="0DF60C66" w14:textId="77777777" w:rsidR="00136E7B" w:rsidRPr="00F256BD" w:rsidRDefault="00136E7B" w:rsidP="5F2B6CF0">
            <w:pPr>
              <w:jc w:val="center"/>
              <w:rPr>
                <w:rFonts w:eastAsia="Calibri"/>
                <w:lang w:val="en-GB"/>
              </w:rPr>
            </w:pPr>
            <w:r w:rsidRPr="00F256BD">
              <w:rPr>
                <w:rFonts w:eastAsia="Calibri"/>
                <w:lang w:val="en-GB"/>
              </w:rPr>
              <w:t>615</w:t>
            </w:r>
          </w:p>
        </w:tc>
        <w:tc>
          <w:tcPr>
            <w:tcW w:w="630" w:type="dxa"/>
            <w:tcBorders>
              <w:top w:val="nil"/>
              <w:left w:val="single" w:sz="4" w:space="0" w:color="auto"/>
              <w:bottom w:val="single" w:sz="12" w:space="0" w:color="auto"/>
              <w:right w:val="single" w:sz="12" w:space="0" w:color="auto"/>
            </w:tcBorders>
          </w:tcPr>
          <w:p w14:paraId="428DE1E8" w14:textId="37B1FFDB" w:rsidR="478E0C16" w:rsidRPr="00F256BD" w:rsidRDefault="7B48A806" w:rsidP="5F2B6CF0">
            <w:pPr>
              <w:jc w:val="center"/>
              <w:rPr>
                <w:rFonts w:eastAsia="Calibri"/>
                <w:lang w:val="en-GB"/>
              </w:rPr>
            </w:pPr>
            <w:r w:rsidRPr="00F256BD">
              <w:rPr>
                <w:rFonts w:eastAsia="Calibri"/>
                <w:lang w:val="en-GB"/>
              </w:rPr>
              <w:t>632</w:t>
            </w:r>
          </w:p>
        </w:tc>
      </w:tr>
    </w:tbl>
    <w:p w14:paraId="2C495062" w14:textId="77777777" w:rsidR="00136E7B" w:rsidRPr="00F256BD" w:rsidRDefault="00136E7B" w:rsidP="5F2B6CF0">
      <w:pPr>
        <w:rPr>
          <w:rFonts w:eastAsia="Calibri"/>
          <w:lang w:val="en-GB"/>
        </w:rPr>
      </w:pPr>
      <w:r w:rsidRPr="00F256BD">
        <w:rPr>
          <w:rFonts w:eastAsia="Calibri"/>
          <w:lang w:val="en-GB"/>
        </w:rPr>
        <w:t>NOTE – Some of the figures in the table above have been subject to retroactive changes</w:t>
      </w:r>
    </w:p>
    <w:p w14:paraId="139D8224" w14:textId="77777777" w:rsidR="00136E7B" w:rsidRPr="00F256BD" w:rsidRDefault="00136E7B" w:rsidP="5F2B6CF0">
      <w:pPr>
        <w:rPr>
          <w:rFonts w:eastAsia="Calibri"/>
          <w:lang w:val="en-GB"/>
        </w:rPr>
      </w:pPr>
    </w:p>
    <w:p w14:paraId="1C965DF2" w14:textId="129F1C2B" w:rsidR="00136E7B" w:rsidRPr="00F256BD" w:rsidRDefault="00136E7B" w:rsidP="5F2B6CF0">
      <w:pPr>
        <w:jc w:val="center"/>
        <w:rPr>
          <w:rFonts w:eastAsia="Calibri"/>
          <w:b/>
          <w:bCs/>
          <w:lang w:val="en-GB"/>
        </w:rPr>
      </w:pPr>
      <w:r w:rsidRPr="00F256BD">
        <w:rPr>
          <w:rFonts w:eastAsia="Calibri"/>
          <w:b/>
          <w:bCs/>
          <w:lang w:val="en-GB"/>
        </w:rPr>
        <w:t>Figure 3 – Evolution of ITU-T membership from 31 December 200</w:t>
      </w:r>
      <w:r w:rsidR="17E83D2A" w:rsidRPr="00F256BD">
        <w:rPr>
          <w:rFonts w:eastAsia="Calibri"/>
          <w:b/>
          <w:bCs/>
          <w:lang w:val="en-GB"/>
        </w:rPr>
        <w:t>9</w:t>
      </w:r>
      <w:r w:rsidRPr="00F256BD">
        <w:rPr>
          <w:rFonts w:eastAsia="Calibri"/>
          <w:b/>
          <w:bCs/>
          <w:lang w:val="en-GB"/>
        </w:rPr>
        <w:t xml:space="preserve"> to 31 </w:t>
      </w:r>
      <w:r w:rsidR="2C8CFF9D" w:rsidRPr="00F256BD">
        <w:rPr>
          <w:rFonts w:eastAsia="Calibri"/>
          <w:b/>
          <w:bCs/>
          <w:lang w:val="en-GB"/>
        </w:rPr>
        <w:t>August 2020</w:t>
      </w:r>
    </w:p>
    <w:p w14:paraId="16F5167E" w14:textId="0844F1D9" w:rsidR="130B18DC" w:rsidRDefault="33B95C73" w:rsidP="00F256BD">
      <w:pPr>
        <w:spacing w:line="259" w:lineRule="auto"/>
        <w:jc w:val="center"/>
      </w:pPr>
      <w:r>
        <w:rPr>
          <w:noProof/>
        </w:rPr>
        <w:drawing>
          <wp:inline distT="0" distB="0" distL="0" distR="0" wp14:anchorId="40AAD33A" wp14:editId="3ABABC08">
            <wp:extent cx="4533900" cy="2873925"/>
            <wp:effectExtent l="0" t="0" r="0" b="0"/>
            <wp:docPr id="934338933" name="Picture 93433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9">
                      <a:extLst>
                        <a:ext uri="{28A0092B-C50C-407E-A947-70E740481C1C}">
                          <a14:useLocalDpi xmlns:a14="http://schemas.microsoft.com/office/drawing/2010/main" val="0"/>
                        </a:ext>
                      </a:extLst>
                    </a:blip>
                    <a:stretch>
                      <a:fillRect/>
                    </a:stretch>
                  </pic:blipFill>
                  <pic:spPr>
                    <a:xfrm>
                      <a:off x="0" y="0"/>
                      <a:ext cx="4533900" cy="2873925"/>
                    </a:xfrm>
                    <a:prstGeom prst="rect">
                      <a:avLst/>
                    </a:prstGeom>
                  </pic:spPr>
                </pic:pic>
              </a:graphicData>
            </a:graphic>
          </wp:inline>
        </w:drawing>
      </w:r>
    </w:p>
    <w:p w14:paraId="1A8F13C0" w14:textId="77777777" w:rsidR="00136E7B" w:rsidRPr="00662764" w:rsidRDefault="00136E7B" w:rsidP="00136E7B">
      <w:pPr>
        <w:rPr>
          <w:rFonts w:eastAsia="Calibri"/>
          <w:szCs w:val="24"/>
          <w:lang w:val="en-GB"/>
        </w:rPr>
      </w:pPr>
      <w:r w:rsidRPr="004E5B45">
        <w:rPr>
          <w:rFonts w:eastAsia="Calibri"/>
          <w:szCs w:val="24"/>
          <w:lang w:val="en-GB"/>
        </w:rPr>
        <w:t>NOTE – The Academia category was created in 2011.</w:t>
      </w:r>
    </w:p>
    <w:p w14:paraId="2A12E231" w14:textId="53A68118" w:rsidR="004A71B8" w:rsidRPr="004A71B8" w:rsidRDefault="00CB641D" w:rsidP="004A71B8">
      <w:pPr>
        <w:pStyle w:val="Heading2"/>
      </w:pPr>
      <w:bookmarkStart w:id="167" w:name="_Toc51331522"/>
      <w:r>
        <w:t>10</w:t>
      </w:r>
      <w:r w:rsidR="00136E7B" w:rsidRPr="00F57FAD">
        <w:t>.2</w:t>
      </w:r>
      <w:r w:rsidR="00136E7B" w:rsidRPr="00F57FAD">
        <w:tab/>
      </w:r>
      <w:r w:rsidR="004A71B8">
        <w:t xml:space="preserve">Conclusion </w:t>
      </w:r>
      <w:r w:rsidR="00136E7B" w:rsidRPr="00F57FAD">
        <w:t>of SME Pilot Project</w:t>
      </w:r>
      <w:r w:rsidR="004A71B8">
        <w:t xml:space="preserve"> and implementation of a reduced Associate fee structure for SMEs</w:t>
      </w:r>
      <w:bookmarkEnd w:id="167"/>
    </w:p>
    <w:p w14:paraId="01873D57" w14:textId="6517604E" w:rsidR="00136E7B" w:rsidRPr="004A71B8" w:rsidRDefault="004A71B8" w:rsidP="00E20273">
      <w:pPr>
        <w:spacing w:after="120"/>
        <w:rPr>
          <w:lang w:val="en-GB"/>
        </w:rPr>
      </w:pPr>
      <w:r w:rsidRPr="00710D5D">
        <w:rPr>
          <w:lang w:val="en-GB"/>
        </w:rPr>
        <w:t xml:space="preserve">The ITU Council SME Pilot Project has transitioned into the new SME fee structure available to Associates meeting certain eligibility criteria. </w:t>
      </w:r>
      <w:r w:rsidR="00E20273" w:rsidRPr="00E20273">
        <w:rPr>
          <w:lang w:val="en-GB"/>
        </w:rPr>
        <w:t>Currently, the following organizations enjoy this modality of participation:</w:t>
      </w:r>
    </w:p>
    <w:tbl>
      <w:tblPr>
        <w:tblStyle w:val="TableGrid"/>
        <w:tblW w:w="9639" w:type="dxa"/>
        <w:tblLayout w:type="fixed"/>
        <w:tblLook w:val="06A0" w:firstRow="1" w:lastRow="0" w:firstColumn="1" w:lastColumn="0" w:noHBand="1" w:noVBand="1"/>
      </w:tblPr>
      <w:tblGrid>
        <w:gridCol w:w="3681"/>
        <w:gridCol w:w="1417"/>
        <w:gridCol w:w="4541"/>
      </w:tblGrid>
      <w:tr w:rsidR="00E20273" w:rsidRPr="00E305AD" w14:paraId="39B34AFC" w14:textId="77777777" w:rsidTr="00C278FD">
        <w:tc>
          <w:tcPr>
            <w:tcW w:w="3681" w:type="dxa"/>
            <w:vAlign w:val="center"/>
          </w:tcPr>
          <w:p w14:paraId="38D1E8BD" w14:textId="4926B04D" w:rsidR="04FED12F" w:rsidRPr="00E305AD" w:rsidRDefault="04FED12F" w:rsidP="2B30A600">
            <w:pPr>
              <w:rPr>
                <w:rFonts w:eastAsia="Times"/>
                <w:b/>
                <w:bCs/>
                <w:szCs w:val="24"/>
                <w:lang w:val="en-GB"/>
              </w:rPr>
            </w:pPr>
            <w:r w:rsidRPr="00E305AD">
              <w:rPr>
                <w:rFonts w:eastAsia="Times"/>
                <w:b/>
                <w:bCs/>
                <w:szCs w:val="24"/>
                <w:lang w:val="en-GB"/>
              </w:rPr>
              <w:t>Organization</w:t>
            </w:r>
          </w:p>
        </w:tc>
        <w:tc>
          <w:tcPr>
            <w:tcW w:w="1417" w:type="dxa"/>
            <w:vAlign w:val="center"/>
          </w:tcPr>
          <w:p w14:paraId="3D7D28B4" w14:textId="6CFB0A46" w:rsidR="04FED12F" w:rsidRPr="00E305AD" w:rsidRDefault="04FED12F" w:rsidP="2B30A600">
            <w:pPr>
              <w:rPr>
                <w:rFonts w:eastAsia="Times"/>
                <w:b/>
                <w:bCs/>
                <w:szCs w:val="24"/>
                <w:lang w:val="en-GB"/>
              </w:rPr>
            </w:pPr>
            <w:r w:rsidRPr="00E305AD">
              <w:rPr>
                <w:rFonts w:eastAsia="Times"/>
                <w:b/>
                <w:bCs/>
                <w:szCs w:val="24"/>
                <w:lang w:val="en-GB"/>
              </w:rPr>
              <w:t>Study Group</w:t>
            </w:r>
          </w:p>
        </w:tc>
        <w:tc>
          <w:tcPr>
            <w:tcW w:w="4541" w:type="dxa"/>
            <w:vAlign w:val="center"/>
          </w:tcPr>
          <w:p w14:paraId="3E32531D" w14:textId="67E8B051" w:rsidR="2B30A600" w:rsidRPr="00E305AD" w:rsidRDefault="638A8A37" w:rsidP="5F2B6CF0">
            <w:pPr>
              <w:rPr>
                <w:rFonts w:eastAsia="Times"/>
                <w:b/>
                <w:bCs/>
                <w:szCs w:val="24"/>
                <w:lang w:val="en-GB"/>
              </w:rPr>
            </w:pPr>
            <w:r w:rsidRPr="00E305AD">
              <w:rPr>
                <w:rFonts w:eastAsia="Times"/>
                <w:b/>
                <w:bCs/>
                <w:szCs w:val="24"/>
                <w:lang w:val="en-GB"/>
              </w:rPr>
              <w:t>Area of Interest</w:t>
            </w:r>
          </w:p>
        </w:tc>
      </w:tr>
      <w:tr w:rsidR="00E20273" w:rsidRPr="00E305AD" w14:paraId="6E89F78E" w14:textId="77777777" w:rsidTr="00BE09F8">
        <w:tc>
          <w:tcPr>
            <w:tcW w:w="3681" w:type="dxa"/>
          </w:tcPr>
          <w:p w14:paraId="4DF169C0" w14:textId="024BE906" w:rsidR="603CBAA4" w:rsidRPr="00E305AD" w:rsidRDefault="603CBAA4" w:rsidP="2B30A600">
            <w:pPr>
              <w:rPr>
                <w:rFonts w:eastAsia="Times"/>
                <w:sz w:val="22"/>
                <w:szCs w:val="22"/>
                <w:lang w:val="en-GB"/>
              </w:rPr>
            </w:pPr>
            <w:r w:rsidRPr="00E305AD">
              <w:rPr>
                <w:rFonts w:eastAsia="Times"/>
                <w:sz w:val="22"/>
                <w:szCs w:val="22"/>
                <w:lang w:val="en-GB"/>
              </w:rPr>
              <w:t>Wave</w:t>
            </w:r>
            <w:r w:rsidR="002CB1E2" w:rsidRPr="00E305AD">
              <w:rPr>
                <w:rFonts w:eastAsia="Times"/>
                <w:sz w:val="22"/>
                <w:szCs w:val="22"/>
                <w:lang w:val="en-GB"/>
              </w:rPr>
              <w:t>control, S.L.</w:t>
            </w:r>
          </w:p>
        </w:tc>
        <w:tc>
          <w:tcPr>
            <w:tcW w:w="1417" w:type="dxa"/>
          </w:tcPr>
          <w:p w14:paraId="71F90DAE" w14:textId="7F729DCD" w:rsidR="25BA1832" w:rsidRPr="00E305AD" w:rsidRDefault="25BA1832" w:rsidP="00E20273">
            <w:pPr>
              <w:jc w:val="center"/>
              <w:rPr>
                <w:rFonts w:eastAsia="Times"/>
                <w:sz w:val="22"/>
                <w:szCs w:val="22"/>
                <w:lang w:val="en-GB"/>
              </w:rPr>
            </w:pPr>
            <w:r w:rsidRPr="00E305AD">
              <w:rPr>
                <w:rFonts w:eastAsia="Times"/>
                <w:sz w:val="22"/>
                <w:szCs w:val="22"/>
                <w:lang w:val="en-GB"/>
              </w:rPr>
              <w:t>SG</w:t>
            </w:r>
            <w:r w:rsidR="51F44500" w:rsidRPr="00E305AD">
              <w:rPr>
                <w:rFonts w:eastAsia="Times"/>
                <w:sz w:val="22"/>
                <w:szCs w:val="22"/>
                <w:lang w:val="en-GB"/>
              </w:rPr>
              <w:t>5</w:t>
            </w:r>
          </w:p>
        </w:tc>
        <w:tc>
          <w:tcPr>
            <w:tcW w:w="4541" w:type="dxa"/>
          </w:tcPr>
          <w:p w14:paraId="1BB34FC0" w14:textId="3703A0DF" w:rsidR="60DF6B45" w:rsidRPr="00E305AD" w:rsidRDefault="60DF6B45" w:rsidP="2B30A600">
            <w:pPr>
              <w:rPr>
                <w:rFonts w:eastAsia="Times"/>
                <w:sz w:val="22"/>
                <w:szCs w:val="22"/>
                <w:lang w:val="en-GB"/>
              </w:rPr>
            </w:pPr>
            <w:r w:rsidRPr="00E305AD">
              <w:rPr>
                <w:rFonts w:eastAsia="Times"/>
                <w:sz w:val="22"/>
                <w:szCs w:val="22"/>
                <w:lang w:val="en-GB"/>
              </w:rPr>
              <w:t>EMF monitoring procedures</w:t>
            </w:r>
          </w:p>
        </w:tc>
      </w:tr>
      <w:tr w:rsidR="00E20273" w:rsidRPr="00E305AD" w14:paraId="7A66D94F" w14:textId="77777777" w:rsidTr="00BE09F8">
        <w:tc>
          <w:tcPr>
            <w:tcW w:w="3681" w:type="dxa"/>
          </w:tcPr>
          <w:p w14:paraId="5DBDC85D" w14:textId="111FECB1" w:rsidR="10733615" w:rsidRPr="00E305AD" w:rsidRDefault="10733615" w:rsidP="2B30A600">
            <w:pPr>
              <w:rPr>
                <w:rFonts w:eastAsia="Times"/>
                <w:sz w:val="22"/>
                <w:szCs w:val="22"/>
                <w:lang w:val="en-GB"/>
              </w:rPr>
            </w:pPr>
            <w:r w:rsidRPr="00E305AD">
              <w:rPr>
                <w:rFonts w:eastAsia="Times"/>
                <w:sz w:val="22"/>
                <w:szCs w:val="22"/>
                <w:lang w:val="en-GB"/>
              </w:rPr>
              <w:t>Vaulto Communication Technologies</w:t>
            </w:r>
          </w:p>
        </w:tc>
        <w:tc>
          <w:tcPr>
            <w:tcW w:w="1417" w:type="dxa"/>
          </w:tcPr>
          <w:p w14:paraId="199FCCBF" w14:textId="18389C34" w:rsidR="10733615" w:rsidRPr="00E305AD" w:rsidRDefault="10733615" w:rsidP="00E20273">
            <w:pPr>
              <w:jc w:val="center"/>
              <w:rPr>
                <w:rFonts w:eastAsia="Times"/>
                <w:sz w:val="22"/>
                <w:szCs w:val="22"/>
                <w:lang w:val="en-GB"/>
              </w:rPr>
            </w:pPr>
            <w:r w:rsidRPr="00E305AD">
              <w:rPr>
                <w:rFonts w:eastAsia="Times"/>
                <w:sz w:val="22"/>
                <w:szCs w:val="22"/>
                <w:lang w:val="en-GB"/>
              </w:rPr>
              <w:t>SG11</w:t>
            </w:r>
          </w:p>
        </w:tc>
        <w:tc>
          <w:tcPr>
            <w:tcW w:w="4541" w:type="dxa"/>
          </w:tcPr>
          <w:p w14:paraId="719D3F6B" w14:textId="5143B0EC" w:rsidR="79A0392F" w:rsidRPr="00E305AD" w:rsidRDefault="79A0392F" w:rsidP="2B30A600">
            <w:pPr>
              <w:rPr>
                <w:rFonts w:eastAsia="Times"/>
                <w:sz w:val="22"/>
                <w:szCs w:val="22"/>
                <w:lang w:val="en-GB"/>
              </w:rPr>
            </w:pPr>
            <w:r w:rsidRPr="00E305AD">
              <w:rPr>
                <w:rFonts w:eastAsia="Times"/>
                <w:sz w:val="22"/>
                <w:szCs w:val="22"/>
                <w:lang w:val="en-GB"/>
              </w:rPr>
              <w:t>Abuse of SS7 vulnerabilities to commit financial fraud</w:t>
            </w:r>
          </w:p>
        </w:tc>
      </w:tr>
      <w:tr w:rsidR="00E20273" w:rsidRPr="00E305AD" w14:paraId="7070D5C9" w14:textId="77777777" w:rsidTr="00BE09F8">
        <w:tc>
          <w:tcPr>
            <w:tcW w:w="3681" w:type="dxa"/>
          </w:tcPr>
          <w:p w14:paraId="38ECE3A2" w14:textId="63870401" w:rsidR="10733615" w:rsidRPr="00E305AD" w:rsidRDefault="10733615" w:rsidP="2B30A600">
            <w:pPr>
              <w:rPr>
                <w:rFonts w:eastAsia="Times"/>
                <w:sz w:val="22"/>
                <w:szCs w:val="22"/>
                <w:lang w:val="en-GB"/>
              </w:rPr>
            </w:pPr>
            <w:r w:rsidRPr="00E305AD">
              <w:rPr>
                <w:rFonts w:eastAsia="Times"/>
                <w:sz w:val="22"/>
                <w:szCs w:val="22"/>
                <w:lang w:val="en-GB"/>
              </w:rPr>
              <w:t>Speedchecker</w:t>
            </w:r>
          </w:p>
        </w:tc>
        <w:tc>
          <w:tcPr>
            <w:tcW w:w="1417" w:type="dxa"/>
          </w:tcPr>
          <w:p w14:paraId="3AACC6E8" w14:textId="616FCFC4" w:rsidR="10733615" w:rsidRPr="00E305AD" w:rsidRDefault="10733615" w:rsidP="00E20273">
            <w:pPr>
              <w:jc w:val="center"/>
              <w:rPr>
                <w:rFonts w:eastAsia="Times"/>
                <w:sz w:val="22"/>
                <w:szCs w:val="22"/>
                <w:lang w:val="en-GB"/>
              </w:rPr>
            </w:pPr>
            <w:r w:rsidRPr="00E305AD">
              <w:rPr>
                <w:rFonts w:eastAsia="Times"/>
                <w:sz w:val="22"/>
                <w:szCs w:val="22"/>
                <w:lang w:val="en-GB"/>
              </w:rPr>
              <w:t>SG12</w:t>
            </w:r>
          </w:p>
        </w:tc>
        <w:tc>
          <w:tcPr>
            <w:tcW w:w="4541" w:type="dxa"/>
          </w:tcPr>
          <w:p w14:paraId="3A1F9C71" w14:textId="3179FF72" w:rsidR="0DBC1658" w:rsidRPr="00E305AD" w:rsidRDefault="0DBC1658" w:rsidP="2B30A600">
            <w:pPr>
              <w:rPr>
                <w:rStyle w:val="Hyperlink"/>
                <w:rFonts w:eastAsia="Times"/>
                <w:color w:val="auto"/>
                <w:sz w:val="22"/>
                <w:szCs w:val="22"/>
                <w:u w:val="none"/>
                <w:lang w:val="en-GB"/>
              </w:rPr>
            </w:pPr>
            <w:r w:rsidRPr="00E305AD">
              <w:rPr>
                <w:rStyle w:val="Hyperlink"/>
                <w:rFonts w:eastAsia="Times"/>
                <w:color w:val="auto"/>
                <w:sz w:val="22"/>
                <w:szCs w:val="22"/>
                <w:u w:val="none"/>
                <w:lang w:val="en-GB"/>
              </w:rPr>
              <w:t xml:space="preserve">Crowdsourcing </w:t>
            </w:r>
            <w:r w:rsidR="1805FE30" w:rsidRPr="00E305AD">
              <w:rPr>
                <w:rStyle w:val="Hyperlink"/>
                <w:rFonts w:eastAsia="Times"/>
                <w:color w:val="auto"/>
                <w:sz w:val="22"/>
                <w:szCs w:val="22"/>
                <w:u w:val="none"/>
                <w:lang w:val="en-GB"/>
              </w:rPr>
              <w:t>approach for the assessment of end-to-end quality of service in fixed and mobile broadband networks</w:t>
            </w:r>
          </w:p>
        </w:tc>
      </w:tr>
      <w:tr w:rsidR="00E20273" w:rsidRPr="00E305AD" w14:paraId="75A688FF" w14:textId="77777777" w:rsidTr="00BE09F8">
        <w:tc>
          <w:tcPr>
            <w:tcW w:w="3681" w:type="dxa"/>
          </w:tcPr>
          <w:p w14:paraId="63819FC6" w14:textId="0249E078" w:rsidR="61E54594" w:rsidRPr="00E305AD" w:rsidRDefault="61E54594" w:rsidP="2B30A600">
            <w:pPr>
              <w:rPr>
                <w:rFonts w:eastAsia="Times"/>
                <w:sz w:val="22"/>
                <w:szCs w:val="22"/>
                <w:lang w:val="en-GB"/>
              </w:rPr>
            </w:pPr>
            <w:r w:rsidRPr="00E305AD">
              <w:rPr>
                <w:rFonts w:eastAsia="Times"/>
                <w:sz w:val="22"/>
                <w:szCs w:val="22"/>
                <w:lang w:val="en-GB"/>
              </w:rPr>
              <w:t>Focus Infocom Ges. F. Informatik u. Telekomm. mbH</w:t>
            </w:r>
          </w:p>
        </w:tc>
        <w:tc>
          <w:tcPr>
            <w:tcW w:w="1417" w:type="dxa"/>
          </w:tcPr>
          <w:p w14:paraId="3FDE79CD" w14:textId="356E969D" w:rsidR="61E54594" w:rsidRPr="00E305AD" w:rsidRDefault="61E54594" w:rsidP="00E20273">
            <w:pPr>
              <w:jc w:val="center"/>
              <w:rPr>
                <w:rFonts w:eastAsia="Times"/>
                <w:sz w:val="22"/>
                <w:szCs w:val="22"/>
                <w:lang w:val="en-GB"/>
              </w:rPr>
            </w:pPr>
            <w:r w:rsidRPr="00E305AD">
              <w:rPr>
                <w:rFonts w:eastAsia="Times"/>
                <w:sz w:val="22"/>
                <w:szCs w:val="22"/>
                <w:lang w:val="en-GB"/>
              </w:rPr>
              <w:t>SG12</w:t>
            </w:r>
          </w:p>
        </w:tc>
        <w:tc>
          <w:tcPr>
            <w:tcW w:w="4541" w:type="dxa"/>
          </w:tcPr>
          <w:p w14:paraId="5ECADE05" w14:textId="4406EBD8" w:rsidR="0E11FDD2" w:rsidRPr="00E305AD" w:rsidRDefault="0E11FDD2" w:rsidP="2B30A600">
            <w:pPr>
              <w:rPr>
                <w:rFonts w:eastAsia="Times"/>
                <w:sz w:val="22"/>
                <w:szCs w:val="22"/>
                <w:lang w:val="en-GB"/>
              </w:rPr>
            </w:pPr>
            <w:r w:rsidRPr="00E305AD">
              <w:rPr>
                <w:rFonts w:eastAsia="Times"/>
                <w:sz w:val="22"/>
                <w:szCs w:val="22"/>
                <w:lang w:val="en-GB"/>
              </w:rPr>
              <w:t>Operational aspects of telecommunication network service quality</w:t>
            </w:r>
          </w:p>
        </w:tc>
      </w:tr>
      <w:tr w:rsidR="00E20273" w:rsidRPr="00E305AD" w14:paraId="6EC2AED6" w14:textId="77777777" w:rsidTr="00BE09F8">
        <w:tc>
          <w:tcPr>
            <w:tcW w:w="3681" w:type="dxa"/>
          </w:tcPr>
          <w:p w14:paraId="6024F902" w14:textId="5580FA56" w:rsidR="61E54594" w:rsidRPr="00E305AD" w:rsidRDefault="61E54594" w:rsidP="2B30A600">
            <w:pPr>
              <w:rPr>
                <w:rFonts w:eastAsia="Times"/>
                <w:sz w:val="22"/>
                <w:szCs w:val="22"/>
                <w:lang w:val="en-GB"/>
              </w:rPr>
            </w:pPr>
            <w:r w:rsidRPr="00E305AD">
              <w:rPr>
                <w:rFonts w:eastAsia="Times"/>
                <w:sz w:val="22"/>
                <w:szCs w:val="22"/>
                <w:lang w:val="en-GB"/>
              </w:rPr>
              <w:t>OPTICOM Dipl.-Ing. M. Keyhl GmbH</w:t>
            </w:r>
          </w:p>
        </w:tc>
        <w:tc>
          <w:tcPr>
            <w:tcW w:w="1417" w:type="dxa"/>
          </w:tcPr>
          <w:p w14:paraId="2DEF6526" w14:textId="65655F48" w:rsidR="61E54594" w:rsidRPr="00E305AD" w:rsidRDefault="61E54594" w:rsidP="00E20273">
            <w:pPr>
              <w:jc w:val="center"/>
              <w:rPr>
                <w:rFonts w:eastAsia="Times"/>
                <w:sz w:val="22"/>
                <w:szCs w:val="22"/>
                <w:lang w:val="en-GB"/>
              </w:rPr>
            </w:pPr>
            <w:r w:rsidRPr="00E305AD">
              <w:rPr>
                <w:rFonts w:eastAsia="Times"/>
                <w:sz w:val="22"/>
                <w:szCs w:val="22"/>
                <w:lang w:val="en-GB"/>
              </w:rPr>
              <w:t>SG12</w:t>
            </w:r>
          </w:p>
        </w:tc>
        <w:tc>
          <w:tcPr>
            <w:tcW w:w="4541" w:type="dxa"/>
          </w:tcPr>
          <w:p w14:paraId="2E65B7C7" w14:textId="62EB7454" w:rsidR="055D37DD" w:rsidRPr="00E305AD" w:rsidRDefault="055D37DD" w:rsidP="2B30A600">
            <w:pPr>
              <w:rPr>
                <w:rFonts w:eastAsia="Times"/>
                <w:sz w:val="22"/>
                <w:szCs w:val="22"/>
              </w:rPr>
            </w:pPr>
            <w:r w:rsidRPr="00E305AD">
              <w:rPr>
                <w:rFonts w:eastAsia="Times"/>
                <w:sz w:val="22"/>
                <w:szCs w:val="22"/>
                <w:lang w:val="en-GB"/>
              </w:rPr>
              <w:t>Next-Generation Mobile voice quality testing</w:t>
            </w:r>
          </w:p>
        </w:tc>
      </w:tr>
      <w:tr w:rsidR="00E20273" w:rsidRPr="00E305AD" w14:paraId="1704EE19" w14:textId="77777777" w:rsidTr="00BE09F8">
        <w:tc>
          <w:tcPr>
            <w:tcW w:w="3681" w:type="dxa"/>
          </w:tcPr>
          <w:p w14:paraId="3C01BE7F" w14:textId="6D75A426" w:rsidR="2B54285E" w:rsidRPr="00E305AD" w:rsidRDefault="2B54285E" w:rsidP="2B30A600">
            <w:pPr>
              <w:rPr>
                <w:rFonts w:eastAsia="Times"/>
                <w:sz w:val="22"/>
                <w:szCs w:val="22"/>
                <w:lang w:val="en-GB"/>
              </w:rPr>
            </w:pPr>
            <w:r w:rsidRPr="00E305AD">
              <w:rPr>
                <w:rFonts w:eastAsia="Times"/>
                <w:sz w:val="22"/>
                <w:szCs w:val="22"/>
                <w:lang w:val="en-GB"/>
              </w:rPr>
              <w:t>Opensignal</w:t>
            </w:r>
          </w:p>
        </w:tc>
        <w:tc>
          <w:tcPr>
            <w:tcW w:w="1417" w:type="dxa"/>
          </w:tcPr>
          <w:p w14:paraId="30FD9645" w14:textId="2F00241B" w:rsidR="2B54285E" w:rsidRPr="00E305AD" w:rsidRDefault="2B54285E" w:rsidP="00E20273">
            <w:pPr>
              <w:jc w:val="center"/>
              <w:rPr>
                <w:rFonts w:eastAsia="Times"/>
                <w:sz w:val="22"/>
                <w:szCs w:val="22"/>
                <w:lang w:val="en-GB"/>
              </w:rPr>
            </w:pPr>
            <w:r w:rsidRPr="00E305AD">
              <w:rPr>
                <w:rFonts w:eastAsia="Times"/>
                <w:sz w:val="22"/>
                <w:szCs w:val="22"/>
                <w:lang w:val="en-GB"/>
              </w:rPr>
              <w:t>SG12</w:t>
            </w:r>
          </w:p>
        </w:tc>
        <w:tc>
          <w:tcPr>
            <w:tcW w:w="4541" w:type="dxa"/>
          </w:tcPr>
          <w:p w14:paraId="057FB513" w14:textId="2284C86D" w:rsidR="2B30A600" w:rsidRPr="00E305AD" w:rsidRDefault="067BE3DF" w:rsidP="2B30A600">
            <w:pPr>
              <w:rPr>
                <w:rFonts w:eastAsia="Times"/>
                <w:sz w:val="22"/>
                <w:szCs w:val="22"/>
                <w:lang w:val="en-GB"/>
              </w:rPr>
            </w:pPr>
            <w:r w:rsidRPr="00E305AD">
              <w:rPr>
                <w:rStyle w:val="Hyperlink"/>
                <w:rFonts w:eastAsia="Times"/>
                <w:color w:val="auto"/>
                <w:sz w:val="22"/>
                <w:szCs w:val="22"/>
                <w:u w:val="none"/>
                <w:lang w:val="en-GB"/>
              </w:rPr>
              <w:t>Crowdsourcing approach for the assessment of end-to-end quality of service in fixed and mobile broadband networks</w:t>
            </w:r>
          </w:p>
        </w:tc>
      </w:tr>
      <w:tr w:rsidR="00E20273" w:rsidRPr="00E305AD" w14:paraId="41033BE7" w14:textId="77777777" w:rsidTr="00BE09F8">
        <w:tc>
          <w:tcPr>
            <w:tcW w:w="3681" w:type="dxa"/>
          </w:tcPr>
          <w:p w14:paraId="1B087C0D" w14:textId="356A19E7" w:rsidR="13D3A643" w:rsidRPr="00E305AD" w:rsidRDefault="13D3A643" w:rsidP="2B30A600">
            <w:pPr>
              <w:rPr>
                <w:rFonts w:eastAsia="Times"/>
                <w:sz w:val="22"/>
                <w:szCs w:val="22"/>
              </w:rPr>
            </w:pPr>
            <w:r w:rsidRPr="00E305AD">
              <w:rPr>
                <w:rFonts w:eastAsia="Times"/>
                <w:sz w:val="22"/>
                <w:szCs w:val="22"/>
              </w:rPr>
              <w:lastRenderedPageBreak/>
              <w:t>AEPONYX inc</w:t>
            </w:r>
          </w:p>
        </w:tc>
        <w:tc>
          <w:tcPr>
            <w:tcW w:w="1417" w:type="dxa"/>
          </w:tcPr>
          <w:p w14:paraId="792B6F19" w14:textId="7181A487" w:rsidR="13D3A643" w:rsidRPr="00E305AD" w:rsidRDefault="13D3A643" w:rsidP="00E20273">
            <w:pPr>
              <w:jc w:val="center"/>
              <w:rPr>
                <w:rFonts w:eastAsia="Times"/>
                <w:sz w:val="22"/>
                <w:szCs w:val="22"/>
                <w:lang w:val="en-GB"/>
              </w:rPr>
            </w:pPr>
            <w:r w:rsidRPr="00E305AD">
              <w:rPr>
                <w:rFonts w:eastAsia="Times"/>
                <w:sz w:val="22"/>
                <w:szCs w:val="22"/>
                <w:lang w:val="en-GB"/>
              </w:rPr>
              <w:t>SG15</w:t>
            </w:r>
          </w:p>
        </w:tc>
        <w:tc>
          <w:tcPr>
            <w:tcW w:w="4541" w:type="dxa"/>
          </w:tcPr>
          <w:p w14:paraId="0F906EEA" w14:textId="57218196" w:rsidR="25962946" w:rsidRPr="00E305AD" w:rsidRDefault="25962946" w:rsidP="2B30A600">
            <w:pPr>
              <w:rPr>
                <w:rFonts w:eastAsia="Times"/>
                <w:sz w:val="22"/>
                <w:szCs w:val="22"/>
                <w:lang w:val="en-GB"/>
              </w:rPr>
            </w:pPr>
            <w:r w:rsidRPr="00E305AD">
              <w:rPr>
                <w:rFonts w:eastAsia="Times"/>
                <w:sz w:val="22"/>
                <w:szCs w:val="22"/>
                <w:lang w:val="en-GB"/>
              </w:rPr>
              <w:t>Next-generation PON systems to enable a higher data transmission capacity through multiple frequency channels</w:t>
            </w:r>
          </w:p>
        </w:tc>
      </w:tr>
      <w:tr w:rsidR="00E20273" w:rsidRPr="00E305AD" w14:paraId="49A7BF61" w14:textId="77777777" w:rsidTr="00BE09F8">
        <w:tc>
          <w:tcPr>
            <w:tcW w:w="3681" w:type="dxa"/>
          </w:tcPr>
          <w:p w14:paraId="2CD7C733" w14:textId="261C0B6A" w:rsidR="4294C30D" w:rsidRPr="00E305AD" w:rsidRDefault="4294C30D" w:rsidP="2B30A600">
            <w:pPr>
              <w:rPr>
                <w:rFonts w:eastAsia="Times"/>
                <w:sz w:val="22"/>
                <w:szCs w:val="22"/>
                <w:lang w:val="en-GB"/>
              </w:rPr>
            </w:pPr>
            <w:r w:rsidRPr="00E305AD">
              <w:rPr>
                <w:rFonts w:eastAsia="Times"/>
                <w:sz w:val="22"/>
                <w:szCs w:val="22"/>
                <w:lang w:val="en-GB"/>
              </w:rPr>
              <w:t>Hangzhou Qulian Technology Co., Ltd.</w:t>
            </w:r>
          </w:p>
        </w:tc>
        <w:tc>
          <w:tcPr>
            <w:tcW w:w="1417" w:type="dxa"/>
          </w:tcPr>
          <w:p w14:paraId="0F74644E" w14:textId="655C8667" w:rsidR="4294C30D" w:rsidRPr="00E305AD" w:rsidRDefault="4294C30D" w:rsidP="00E20273">
            <w:pPr>
              <w:jc w:val="center"/>
              <w:rPr>
                <w:rFonts w:eastAsia="Times"/>
                <w:sz w:val="22"/>
                <w:szCs w:val="22"/>
                <w:lang w:val="en-GB"/>
              </w:rPr>
            </w:pPr>
            <w:r w:rsidRPr="00E305AD">
              <w:rPr>
                <w:rFonts w:eastAsia="Times"/>
                <w:sz w:val="22"/>
                <w:szCs w:val="22"/>
                <w:lang w:val="en-GB"/>
              </w:rPr>
              <w:t>SG16</w:t>
            </w:r>
          </w:p>
        </w:tc>
        <w:tc>
          <w:tcPr>
            <w:tcW w:w="4541" w:type="dxa"/>
          </w:tcPr>
          <w:p w14:paraId="18E24977" w14:textId="4C2A9E68" w:rsidR="1FF113BC" w:rsidRPr="00E305AD" w:rsidRDefault="1FF113BC" w:rsidP="2B30A600">
            <w:pPr>
              <w:rPr>
                <w:rFonts w:eastAsia="Times"/>
                <w:sz w:val="22"/>
                <w:szCs w:val="22"/>
                <w:lang w:val="en-GB"/>
              </w:rPr>
            </w:pPr>
            <w:r w:rsidRPr="00E305AD">
              <w:rPr>
                <w:rFonts w:eastAsia="Times"/>
                <w:sz w:val="22"/>
                <w:szCs w:val="22"/>
                <w:lang w:val="en-GB"/>
              </w:rPr>
              <w:t>Distributed ledger technologies and e-services</w:t>
            </w:r>
          </w:p>
        </w:tc>
      </w:tr>
      <w:tr w:rsidR="00E20273" w:rsidRPr="00E305AD" w14:paraId="27A6A1F2" w14:textId="77777777" w:rsidTr="00BE09F8">
        <w:tc>
          <w:tcPr>
            <w:tcW w:w="3681" w:type="dxa"/>
          </w:tcPr>
          <w:p w14:paraId="0DB66B35" w14:textId="0E67BF71" w:rsidR="4294C30D" w:rsidRPr="00E305AD" w:rsidRDefault="4294C30D" w:rsidP="2B30A600">
            <w:pPr>
              <w:rPr>
                <w:rFonts w:eastAsia="Times"/>
                <w:sz w:val="22"/>
                <w:szCs w:val="22"/>
              </w:rPr>
            </w:pPr>
            <w:r w:rsidRPr="00E305AD">
              <w:rPr>
                <w:rFonts w:eastAsia="Times"/>
                <w:sz w:val="22"/>
                <w:szCs w:val="22"/>
              </w:rPr>
              <w:t>Onchain Solutions (Shanghai Distributed Technology Co., Ltd.)</w:t>
            </w:r>
          </w:p>
        </w:tc>
        <w:tc>
          <w:tcPr>
            <w:tcW w:w="1417" w:type="dxa"/>
          </w:tcPr>
          <w:p w14:paraId="287F697B" w14:textId="4E53AE81" w:rsidR="4294C30D" w:rsidRPr="00E305AD" w:rsidRDefault="4294C30D" w:rsidP="00E20273">
            <w:pPr>
              <w:jc w:val="center"/>
              <w:rPr>
                <w:rFonts w:eastAsia="Times"/>
                <w:sz w:val="22"/>
                <w:szCs w:val="22"/>
                <w:lang w:val="en-GB"/>
              </w:rPr>
            </w:pPr>
            <w:r w:rsidRPr="00E305AD">
              <w:rPr>
                <w:rFonts w:eastAsia="Times"/>
                <w:sz w:val="22"/>
                <w:szCs w:val="22"/>
                <w:lang w:val="en-GB"/>
              </w:rPr>
              <w:t>SG16</w:t>
            </w:r>
          </w:p>
        </w:tc>
        <w:tc>
          <w:tcPr>
            <w:tcW w:w="4541" w:type="dxa"/>
          </w:tcPr>
          <w:p w14:paraId="5BC0B9FC" w14:textId="232E2B0B" w:rsidR="2CE855EA" w:rsidRPr="00E305AD" w:rsidRDefault="2CE855EA" w:rsidP="2B30A600">
            <w:pPr>
              <w:rPr>
                <w:rFonts w:eastAsia="Times"/>
                <w:sz w:val="22"/>
                <w:szCs w:val="22"/>
                <w:lang w:val="en-GB"/>
              </w:rPr>
            </w:pPr>
            <w:r w:rsidRPr="00E305AD">
              <w:rPr>
                <w:rFonts w:eastAsia="Times"/>
                <w:sz w:val="22"/>
                <w:szCs w:val="22"/>
                <w:lang w:val="en-GB"/>
              </w:rPr>
              <w:t>Distributed ledger technologies and e-services</w:t>
            </w:r>
          </w:p>
        </w:tc>
      </w:tr>
      <w:tr w:rsidR="00E20273" w:rsidRPr="00E305AD" w14:paraId="0AD567CA" w14:textId="77777777" w:rsidTr="00BE09F8">
        <w:tc>
          <w:tcPr>
            <w:tcW w:w="3681" w:type="dxa"/>
          </w:tcPr>
          <w:p w14:paraId="454A056E" w14:textId="268BC95F" w:rsidR="3AD97454" w:rsidRPr="00E305AD" w:rsidRDefault="3AD97454" w:rsidP="2B30A600">
            <w:pPr>
              <w:rPr>
                <w:rFonts w:eastAsia="Times"/>
                <w:sz w:val="22"/>
                <w:szCs w:val="22"/>
                <w:lang w:val="en-GB"/>
              </w:rPr>
            </w:pPr>
            <w:r w:rsidRPr="00E305AD">
              <w:rPr>
                <w:rFonts w:eastAsia="Times"/>
                <w:sz w:val="22"/>
                <w:szCs w:val="22"/>
                <w:lang w:val="en-GB"/>
              </w:rPr>
              <w:t>Multiledgers</w:t>
            </w:r>
          </w:p>
        </w:tc>
        <w:tc>
          <w:tcPr>
            <w:tcW w:w="1417" w:type="dxa"/>
          </w:tcPr>
          <w:p w14:paraId="2BCCE76B" w14:textId="5D975D04" w:rsidR="3AD97454" w:rsidRPr="00E305AD" w:rsidRDefault="3AD97454" w:rsidP="00E20273">
            <w:pPr>
              <w:jc w:val="center"/>
              <w:rPr>
                <w:rFonts w:eastAsia="Times"/>
                <w:sz w:val="22"/>
                <w:szCs w:val="22"/>
                <w:lang w:val="en-GB"/>
              </w:rPr>
            </w:pPr>
            <w:r w:rsidRPr="00E305AD">
              <w:rPr>
                <w:rFonts w:eastAsia="Times"/>
                <w:sz w:val="22"/>
                <w:szCs w:val="22"/>
                <w:lang w:val="en-GB"/>
              </w:rPr>
              <w:t>SG16</w:t>
            </w:r>
          </w:p>
        </w:tc>
        <w:tc>
          <w:tcPr>
            <w:tcW w:w="4541" w:type="dxa"/>
          </w:tcPr>
          <w:p w14:paraId="26666292" w14:textId="089272A0" w:rsidR="0A3041C1" w:rsidRPr="00E305AD" w:rsidRDefault="0A3041C1" w:rsidP="2B30A600">
            <w:pPr>
              <w:rPr>
                <w:rFonts w:eastAsia="Times"/>
                <w:sz w:val="22"/>
                <w:szCs w:val="22"/>
                <w:lang w:val="en-GB"/>
              </w:rPr>
            </w:pPr>
            <w:r w:rsidRPr="00E305AD">
              <w:rPr>
                <w:rFonts w:eastAsia="Times"/>
                <w:sz w:val="22"/>
                <w:szCs w:val="22"/>
                <w:lang w:val="en-GB"/>
              </w:rPr>
              <w:t>Distributed ledger technologies and e-services</w:t>
            </w:r>
          </w:p>
        </w:tc>
      </w:tr>
      <w:tr w:rsidR="00E20273" w:rsidRPr="00E305AD" w14:paraId="43B04DDD" w14:textId="77777777" w:rsidTr="00BE09F8">
        <w:tc>
          <w:tcPr>
            <w:tcW w:w="3681" w:type="dxa"/>
          </w:tcPr>
          <w:p w14:paraId="7DE5A5E0" w14:textId="5CF4AEFE" w:rsidR="3AD97454" w:rsidRPr="00E305AD" w:rsidRDefault="3AD97454" w:rsidP="2B30A600">
            <w:pPr>
              <w:rPr>
                <w:rFonts w:eastAsia="Times"/>
                <w:sz w:val="22"/>
                <w:szCs w:val="22"/>
                <w:lang w:val="en-GB"/>
              </w:rPr>
            </w:pPr>
            <w:r w:rsidRPr="00E305AD">
              <w:rPr>
                <w:rFonts w:eastAsia="Times"/>
                <w:sz w:val="22"/>
                <w:szCs w:val="22"/>
                <w:lang w:val="en-GB"/>
              </w:rPr>
              <w:t>Innov-Alliance-Tech</w:t>
            </w:r>
          </w:p>
        </w:tc>
        <w:tc>
          <w:tcPr>
            <w:tcW w:w="1417" w:type="dxa"/>
          </w:tcPr>
          <w:p w14:paraId="241A04FF" w14:textId="402ED21F" w:rsidR="3AD97454" w:rsidRPr="00E305AD" w:rsidRDefault="3AD97454" w:rsidP="00E20273">
            <w:pPr>
              <w:jc w:val="center"/>
              <w:rPr>
                <w:rFonts w:eastAsia="Times"/>
                <w:sz w:val="22"/>
                <w:szCs w:val="22"/>
                <w:lang w:val="en-GB"/>
              </w:rPr>
            </w:pPr>
            <w:r w:rsidRPr="00E305AD">
              <w:rPr>
                <w:rFonts w:eastAsia="Times"/>
                <w:sz w:val="22"/>
                <w:szCs w:val="22"/>
                <w:lang w:val="en-GB"/>
              </w:rPr>
              <w:t>SG20</w:t>
            </w:r>
          </w:p>
        </w:tc>
        <w:tc>
          <w:tcPr>
            <w:tcW w:w="4541" w:type="dxa"/>
          </w:tcPr>
          <w:p w14:paraId="04F37FBB" w14:textId="11B7A98E" w:rsidR="5BC807DC" w:rsidRPr="00E305AD" w:rsidRDefault="5BC807DC" w:rsidP="2B30A600">
            <w:pPr>
              <w:rPr>
                <w:rFonts w:eastAsia="Times"/>
                <w:sz w:val="22"/>
                <w:szCs w:val="22"/>
                <w:lang w:val="en-GB"/>
              </w:rPr>
            </w:pPr>
            <w:r w:rsidRPr="00E305AD">
              <w:rPr>
                <w:rFonts w:eastAsia="Times"/>
                <w:sz w:val="22"/>
                <w:szCs w:val="22"/>
                <w:lang w:val="en-GB"/>
              </w:rPr>
              <w:t>Sensors, management and monitoring software</w:t>
            </w:r>
          </w:p>
        </w:tc>
      </w:tr>
      <w:tr w:rsidR="00E20273" w:rsidRPr="00E305AD" w14:paraId="00B0B994" w14:textId="77777777" w:rsidTr="00BE09F8">
        <w:tc>
          <w:tcPr>
            <w:tcW w:w="3681" w:type="dxa"/>
          </w:tcPr>
          <w:p w14:paraId="56BCD4EC" w14:textId="7517F7FC" w:rsidR="3AD97454" w:rsidRPr="00E305AD" w:rsidRDefault="3AD97454" w:rsidP="2B30A600">
            <w:pPr>
              <w:rPr>
                <w:rFonts w:eastAsia="Times"/>
                <w:sz w:val="22"/>
                <w:szCs w:val="22"/>
                <w:lang w:val="en-GB"/>
              </w:rPr>
            </w:pPr>
            <w:r w:rsidRPr="00E305AD">
              <w:rPr>
                <w:rFonts w:eastAsia="Times"/>
                <w:sz w:val="22"/>
                <w:szCs w:val="22"/>
                <w:lang w:val="en-GB"/>
              </w:rPr>
              <w:t>BigchainDB GmbH</w:t>
            </w:r>
          </w:p>
        </w:tc>
        <w:tc>
          <w:tcPr>
            <w:tcW w:w="1417" w:type="dxa"/>
          </w:tcPr>
          <w:p w14:paraId="72C6EC41" w14:textId="19B9DEF3" w:rsidR="3AD97454" w:rsidRPr="00E305AD" w:rsidRDefault="3AD97454" w:rsidP="00E20273">
            <w:pPr>
              <w:jc w:val="center"/>
              <w:rPr>
                <w:rFonts w:eastAsia="Times"/>
                <w:sz w:val="22"/>
                <w:szCs w:val="22"/>
                <w:lang w:val="en-GB"/>
              </w:rPr>
            </w:pPr>
            <w:r w:rsidRPr="00E305AD">
              <w:rPr>
                <w:rFonts w:eastAsia="Times"/>
                <w:sz w:val="22"/>
                <w:szCs w:val="22"/>
                <w:lang w:val="en-GB"/>
              </w:rPr>
              <w:t>SG20</w:t>
            </w:r>
          </w:p>
        </w:tc>
        <w:tc>
          <w:tcPr>
            <w:tcW w:w="4541" w:type="dxa"/>
          </w:tcPr>
          <w:p w14:paraId="592D45FA" w14:textId="0CD5288E" w:rsidR="6B638C1E" w:rsidRPr="00E305AD" w:rsidRDefault="6B638C1E" w:rsidP="2B30A600">
            <w:pPr>
              <w:rPr>
                <w:rFonts w:eastAsia="Times"/>
                <w:sz w:val="22"/>
                <w:szCs w:val="22"/>
                <w:lang w:val="en-GB"/>
              </w:rPr>
            </w:pPr>
            <w:r w:rsidRPr="00E305AD">
              <w:rPr>
                <w:rFonts w:eastAsia="Times"/>
                <w:sz w:val="22"/>
                <w:szCs w:val="22"/>
                <w:lang w:val="en-GB"/>
              </w:rPr>
              <w:t>General interest</w:t>
            </w:r>
            <w:r w:rsidR="7EA3C3C4" w:rsidRPr="00E305AD">
              <w:rPr>
                <w:rFonts w:eastAsia="Times"/>
                <w:sz w:val="22"/>
                <w:szCs w:val="22"/>
                <w:lang w:val="en-GB"/>
              </w:rPr>
              <w:t xml:space="preserve"> with a focus on AI related work items</w:t>
            </w:r>
          </w:p>
        </w:tc>
      </w:tr>
      <w:tr w:rsidR="00E20273" w:rsidRPr="00E305AD" w14:paraId="4C17DB1E" w14:textId="77777777" w:rsidTr="00BE09F8">
        <w:tc>
          <w:tcPr>
            <w:tcW w:w="3681" w:type="dxa"/>
          </w:tcPr>
          <w:p w14:paraId="74C4E3BE" w14:textId="17B83833" w:rsidR="3AD97454" w:rsidRPr="00E305AD" w:rsidRDefault="3AD97454" w:rsidP="2B30A600">
            <w:pPr>
              <w:rPr>
                <w:rFonts w:eastAsia="Times"/>
                <w:sz w:val="22"/>
                <w:szCs w:val="22"/>
                <w:lang w:val="en-GB"/>
              </w:rPr>
            </w:pPr>
            <w:r w:rsidRPr="00E305AD">
              <w:rPr>
                <w:rFonts w:eastAsia="Times"/>
                <w:sz w:val="22"/>
                <w:szCs w:val="22"/>
                <w:lang w:val="en-GB"/>
              </w:rPr>
              <w:t>Zennous SA</w:t>
            </w:r>
          </w:p>
        </w:tc>
        <w:tc>
          <w:tcPr>
            <w:tcW w:w="1417" w:type="dxa"/>
          </w:tcPr>
          <w:p w14:paraId="2BC3170C" w14:textId="613F7111" w:rsidR="3AD97454" w:rsidRPr="00E305AD" w:rsidRDefault="3AD97454" w:rsidP="00E20273">
            <w:pPr>
              <w:jc w:val="center"/>
              <w:rPr>
                <w:rFonts w:eastAsia="Times"/>
                <w:sz w:val="22"/>
                <w:szCs w:val="22"/>
                <w:lang w:val="en-GB"/>
              </w:rPr>
            </w:pPr>
            <w:r w:rsidRPr="00E305AD">
              <w:rPr>
                <w:rFonts w:eastAsia="Times"/>
                <w:sz w:val="22"/>
                <w:szCs w:val="22"/>
                <w:lang w:val="en-GB"/>
              </w:rPr>
              <w:t>SG20</w:t>
            </w:r>
          </w:p>
        </w:tc>
        <w:tc>
          <w:tcPr>
            <w:tcW w:w="4541" w:type="dxa"/>
          </w:tcPr>
          <w:p w14:paraId="73010F58" w14:textId="1C21430B" w:rsidR="34FBC99C" w:rsidRPr="00E305AD" w:rsidRDefault="34FBC99C" w:rsidP="2B30A600">
            <w:pPr>
              <w:rPr>
                <w:rFonts w:eastAsia="Times"/>
                <w:sz w:val="22"/>
                <w:szCs w:val="22"/>
                <w:lang w:val="en-GB"/>
              </w:rPr>
            </w:pPr>
            <w:r w:rsidRPr="00E305AD">
              <w:rPr>
                <w:rFonts w:eastAsia="Times"/>
                <w:sz w:val="22"/>
                <w:szCs w:val="22"/>
                <w:lang w:val="en-GB"/>
              </w:rPr>
              <w:t xml:space="preserve">Next Generation Urban Measurement Methodology </w:t>
            </w:r>
          </w:p>
        </w:tc>
      </w:tr>
    </w:tbl>
    <w:p w14:paraId="5BDB0CEB" w14:textId="7E2A0B78" w:rsidR="00136E7B" w:rsidRPr="00F57FAD" w:rsidRDefault="00BA3326" w:rsidP="00136E7B">
      <w:pPr>
        <w:pStyle w:val="Heading1"/>
      </w:pPr>
      <w:bookmarkStart w:id="168" w:name="_Toc51331523"/>
      <w:bookmarkStart w:id="169" w:name="_Toc438553987"/>
      <w:bookmarkStart w:id="170" w:name="_Toc453929111"/>
      <w:bookmarkStart w:id="171" w:name="_Toc453932982"/>
      <w:bookmarkStart w:id="172" w:name="_Toc454295888"/>
      <w:bookmarkStart w:id="173" w:name="_Toc462664268"/>
      <w:bookmarkStart w:id="174" w:name="_Toc480527861"/>
      <w:r>
        <w:t>1</w:t>
      </w:r>
      <w:r w:rsidR="00CB641D">
        <w:t>1</w:t>
      </w:r>
      <w:r w:rsidR="00136E7B" w:rsidRPr="00F57FAD">
        <w:tab/>
        <w:t>Gender</w:t>
      </w:r>
      <w:bookmarkEnd w:id="168"/>
    </w:p>
    <w:p w14:paraId="7D8B7440" w14:textId="13F00427" w:rsidR="00136E7B" w:rsidRPr="007C0A96" w:rsidRDefault="00136E7B" w:rsidP="00136E7B">
      <w:pPr>
        <w:rPr>
          <w:lang w:val="en-GB"/>
        </w:rPr>
      </w:pPr>
      <w:r w:rsidRPr="004E5B45">
        <w:rPr>
          <w:lang w:val="en-GB"/>
        </w:rPr>
        <w:t xml:space="preserve">In alignment with </w:t>
      </w:r>
      <w:r w:rsidRPr="004E5B45">
        <w:rPr>
          <w:rFonts w:eastAsia="SimSun"/>
          <w:szCs w:val="24"/>
          <w:lang w:val="en-GB"/>
        </w:rPr>
        <w:t xml:space="preserve">ITU-T Resolution 55 (Rev. Hammamet, 2016), </w:t>
      </w:r>
      <w:r w:rsidRPr="004E5B45">
        <w:rPr>
          <w:lang w:val="en-GB"/>
        </w:rPr>
        <w:t xml:space="preserve">TSB continues to undertake actions to improve gender equality in TSB and ITU-T. </w:t>
      </w:r>
      <w:r w:rsidRPr="004E5B45">
        <w:rPr>
          <w:rFonts w:eastAsia="SimSun"/>
          <w:szCs w:val="24"/>
          <w:lang w:val="en-GB"/>
        </w:rPr>
        <w:t xml:space="preserve">TSB has endorsed the “Gender Responsive Standards” initiative </w:t>
      </w:r>
      <w:r w:rsidR="004A71B8">
        <w:rPr>
          <w:rFonts w:eastAsia="SimSun"/>
          <w:szCs w:val="24"/>
          <w:lang w:val="en-GB"/>
        </w:rPr>
        <w:t xml:space="preserve">of </w:t>
      </w:r>
      <w:r w:rsidRPr="004E5B45">
        <w:rPr>
          <w:rFonts w:eastAsia="SimSun"/>
          <w:szCs w:val="24"/>
          <w:lang w:val="en-GB"/>
        </w:rPr>
        <w:t>UNECE which aims to improve gender balance in standards development and ensure that the content and impacts of standards are gender responsive.</w:t>
      </w:r>
      <w:r w:rsidRPr="004E5B45">
        <w:rPr>
          <w:lang w:val="en-GB"/>
        </w:rPr>
        <w:t xml:space="preserve"> Diversity of staff, gender equality and the empowerment of women continue to be among TSB's priorities.</w:t>
      </w:r>
    </w:p>
    <w:p w14:paraId="69F7B621" w14:textId="0A7C363F" w:rsidR="00136E7B" w:rsidRPr="00F57FAD" w:rsidRDefault="00136E7B" w:rsidP="00136E7B">
      <w:pPr>
        <w:pStyle w:val="Heading1"/>
      </w:pPr>
      <w:bookmarkStart w:id="175" w:name="_Toc51331524"/>
      <w:r w:rsidRPr="00F57FAD">
        <w:t>1</w:t>
      </w:r>
      <w:r w:rsidR="00CB641D">
        <w:t>2</w:t>
      </w:r>
      <w:r w:rsidRPr="00F57FAD">
        <w:tab/>
        <w:t>Academia</w:t>
      </w:r>
      <w:bookmarkEnd w:id="169"/>
      <w:bookmarkEnd w:id="170"/>
      <w:bookmarkEnd w:id="171"/>
      <w:bookmarkEnd w:id="172"/>
      <w:bookmarkEnd w:id="173"/>
      <w:bookmarkEnd w:id="174"/>
      <w:bookmarkEnd w:id="175"/>
    </w:p>
    <w:p w14:paraId="5F130BFE" w14:textId="1E467DFF" w:rsidR="00136E7B" w:rsidRPr="00F57FAD" w:rsidRDefault="00136E7B" w:rsidP="00136E7B">
      <w:pPr>
        <w:pStyle w:val="Heading2"/>
      </w:pPr>
      <w:bookmarkStart w:id="176" w:name="_Toc51331525"/>
      <w:r w:rsidRPr="00F57FAD">
        <w:t>1</w:t>
      </w:r>
      <w:r w:rsidR="00CB641D">
        <w:t>2</w:t>
      </w:r>
      <w:r w:rsidRPr="00F57FAD">
        <w:t>.1</w:t>
      </w:r>
      <w:r w:rsidRPr="00F57FAD">
        <w:tab/>
        <w:t>ITU Kaleidoscope academic conferences</w:t>
      </w:r>
      <w:bookmarkEnd w:id="176"/>
    </w:p>
    <w:p w14:paraId="78C000B6" w14:textId="0E30FDA2" w:rsidR="00136E7B" w:rsidRPr="004E5B45" w:rsidRDefault="00136E7B" w:rsidP="00136E7B">
      <w:pPr>
        <w:rPr>
          <w:lang w:val="en-GB"/>
        </w:rPr>
      </w:pPr>
      <w:r w:rsidRPr="004E5B45">
        <w:rPr>
          <w:lang w:val="en-GB"/>
        </w:rPr>
        <w:t xml:space="preserve">The ITU Kaleidoscope series of peer-reviewed academic conferences – technically co-sponsored by the IEEE Communications Society (IEEE ComSoc) – calls for original research on </w:t>
      </w:r>
      <w:r w:rsidR="004A71B8">
        <w:rPr>
          <w:lang w:val="en-GB"/>
        </w:rPr>
        <w:t xml:space="preserve">topics of growing strategic relevance to ITU membership. </w:t>
      </w:r>
    </w:p>
    <w:p w14:paraId="20398B41" w14:textId="4AA0D40E" w:rsidR="0F0A21E7" w:rsidRDefault="0F0A21E7">
      <w:pPr>
        <w:rPr>
          <w:szCs w:val="24"/>
          <w:lang w:val="en-GB"/>
        </w:rPr>
      </w:pPr>
      <w:r w:rsidRPr="7EC87BF3">
        <w:rPr>
          <w:szCs w:val="24"/>
          <w:lang w:val="en-GB"/>
        </w:rPr>
        <w:t xml:space="preserve">The </w:t>
      </w:r>
      <w:r w:rsidR="004A71B8">
        <w:rPr>
          <w:szCs w:val="24"/>
          <w:lang w:val="en-GB"/>
        </w:rPr>
        <w:t>twelfth</w:t>
      </w:r>
      <w:r w:rsidRPr="7EC87BF3">
        <w:rPr>
          <w:szCs w:val="24"/>
          <w:lang w:val="en-GB"/>
        </w:rPr>
        <w:t xml:space="preserve"> edition of the ITU Kaleidoscope conference will take place</w:t>
      </w:r>
      <w:r w:rsidR="004A71B8">
        <w:rPr>
          <w:szCs w:val="24"/>
          <w:lang w:val="en-GB"/>
        </w:rPr>
        <w:t xml:space="preserve"> virtually</w:t>
      </w:r>
      <w:r w:rsidRPr="7EC87BF3">
        <w:rPr>
          <w:szCs w:val="24"/>
          <w:lang w:val="en-GB"/>
        </w:rPr>
        <w:t xml:space="preserve"> from 7</w:t>
      </w:r>
      <w:r w:rsidR="004A71B8">
        <w:rPr>
          <w:szCs w:val="24"/>
          <w:lang w:val="en-GB"/>
        </w:rPr>
        <w:t xml:space="preserve"> to </w:t>
      </w:r>
      <w:r w:rsidRPr="7EC87BF3">
        <w:rPr>
          <w:szCs w:val="24"/>
          <w:lang w:val="en-GB"/>
        </w:rPr>
        <w:t xml:space="preserve">11 December 2020 on the topic of </w:t>
      </w:r>
      <w:hyperlink r:id="rId130" w:history="1">
        <w:r w:rsidRPr="7EC87BF3">
          <w:rPr>
            <w:rStyle w:val="Hyperlink"/>
            <w:szCs w:val="24"/>
            <w:lang w:val="en-GB"/>
          </w:rPr>
          <w:t>Industry-driven digital transformation</w:t>
        </w:r>
      </w:hyperlink>
      <w:r w:rsidRPr="7EC87BF3">
        <w:rPr>
          <w:szCs w:val="24"/>
          <w:lang w:val="en-GB"/>
        </w:rPr>
        <w:t>. This year the conference continues to be technically co-sponsored by the IEEE Communications Society (IEEE ComSoc) and is also supported by the IEEE Technology and Engineering Management Society (IEEE TEMS). Initially intended to take place in Ha Noi, Vietnam, the academic conference will now be held as a fully online conference.</w:t>
      </w:r>
    </w:p>
    <w:p w14:paraId="16F3E971" w14:textId="64F7A4A4" w:rsidR="006B4EC0" w:rsidRDefault="006B4EC0">
      <w:r w:rsidRPr="006B4EC0">
        <w:rPr>
          <w:lang w:val="en-GB"/>
        </w:rPr>
        <w:t xml:space="preserve">Kaleidoscope 2020 will feature a global representation of expert views and demos. </w:t>
      </w:r>
      <w:r w:rsidRPr="006B4EC0">
        <w:t xml:space="preserve">From early research prototypes to production-ready systems, a </w:t>
      </w:r>
      <w:hyperlink r:id="rId131" w:history="1">
        <w:r w:rsidRPr="006B4EC0">
          <w:rPr>
            <w:rStyle w:val="Hyperlink"/>
          </w:rPr>
          <w:t>Call for Demos</w:t>
        </w:r>
      </w:hyperlink>
      <w:r w:rsidRPr="006B4EC0">
        <w:t xml:space="preserve"> is welcoming emerging concepts in applied research as well as concepts already seeing application in industry.</w:t>
      </w:r>
    </w:p>
    <w:p w14:paraId="6C55357A" w14:textId="44ABB394" w:rsidR="00136E7B" w:rsidRPr="0098310A" w:rsidRDefault="00136E7B" w:rsidP="0098310A">
      <w:pPr>
        <w:pStyle w:val="Heading2"/>
      </w:pPr>
      <w:bookmarkStart w:id="177" w:name="_Toc51331526"/>
      <w:r w:rsidRPr="00F57FAD">
        <w:t>1</w:t>
      </w:r>
      <w:r w:rsidR="00CB641D">
        <w:t>2</w:t>
      </w:r>
      <w:r w:rsidRPr="00F57FAD">
        <w:t>.2</w:t>
      </w:r>
      <w:r w:rsidRPr="00F57FAD">
        <w:tab/>
        <w:t>ITU Journal</w:t>
      </w:r>
      <w:bookmarkEnd w:id="177"/>
    </w:p>
    <w:p w14:paraId="3C55C201" w14:textId="77777777" w:rsidR="004A71B8" w:rsidRDefault="004A71B8" w:rsidP="004A71B8">
      <w:pPr>
        <w:rPr>
          <w:szCs w:val="24"/>
          <w:lang w:val="en-GB"/>
        </w:rPr>
      </w:pPr>
      <w:r w:rsidRPr="004A71B8">
        <w:rPr>
          <w:szCs w:val="24"/>
          <w:lang w:val="en-GB"/>
        </w:rPr>
        <w:t xml:space="preserve">The ITU Journal: </w:t>
      </w:r>
      <w:r w:rsidRPr="004A71B8">
        <w:rPr>
          <w:i/>
          <w:iCs/>
          <w:szCs w:val="24"/>
          <w:lang w:val="en-GB"/>
        </w:rPr>
        <w:t>ICT Discoveries</w:t>
      </w:r>
      <w:r w:rsidRPr="004A71B8">
        <w:rPr>
          <w:szCs w:val="24"/>
          <w:lang w:val="en-GB"/>
        </w:rPr>
        <w:t xml:space="preserve"> published its final special issue on “</w:t>
      </w:r>
      <w:hyperlink r:id="rId132" w:history="1">
        <w:r w:rsidRPr="004A71B8">
          <w:rPr>
            <w:rStyle w:val="Hyperlink"/>
            <w:color w:val="0563C1"/>
            <w:szCs w:val="24"/>
            <w:lang w:val="en-GB"/>
          </w:rPr>
          <w:t>The future of video and immersive media</w:t>
        </w:r>
      </w:hyperlink>
      <w:r w:rsidRPr="004A71B8">
        <w:rPr>
          <w:rStyle w:val="Hyperlink"/>
          <w:color w:val="0563C1"/>
          <w:szCs w:val="24"/>
          <w:lang w:val="en-GB"/>
        </w:rPr>
        <w:t>”</w:t>
      </w:r>
      <w:r w:rsidRPr="004A71B8">
        <w:rPr>
          <w:szCs w:val="24"/>
          <w:lang w:val="en-GB"/>
        </w:rPr>
        <w:t xml:space="preserve">. This complete issue was published in July 2020 and includes twelve original research papers exploring the state of the art in multimedia as well as history review article on the Emmy-winning development of the first edition of the JPEG image compression standard. </w:t>
      </w:r>
    </w:p>
    <w:p w14:paraId="2C0082A3" w14:textId="7D5191B2" w:rsidR="004A71B8" w:rsidRPr="004A71B8" w:rsidRDefault="004A71B8" w:rsidP="004A71B8">
      <w:pPr>
        <w:rPr>
          <w:szCs w:val="24"/>
          <w:lang w:val="en-GB"/>
        </w:rPr>
      </w:pPr>
      <w:r w:rsidRPr="004A71B8">
        <w:rPr>
          <w:szCs w:val="24"/>
          <w:lang w:val="en-GB"/>
        </w:rPr>
        <w:t xml:space="preserve">The ITU Journal has since renewed its title to renew its focus on the future. Launched in August 2020 with a new </w:t>
      </w:r>
      <w:hyperlink r:id="rId133" w:history="1">
        <w:r w:rsidRPr="004A71B8">
          <w:rPr>
            <w:rStyle w:val="Hyperlink"/>
            <w:color w:val="0563C1"/>
            <w:szCs w:val="24"/>
            <w:lang w:val="en-GB"/>
          </w:rPr>
          <w:t>Editor-in-Chief</w:t>
        </w:r>
      </w:hyperlink>
      <w:r w:rsidRPr="004A71B8">
        <w:rPr>
          <w:szCs w:val="24"/>
          <w:lang w:val="en-GB"/>
        </w:rPr>
        <w:t xml:space="preserve">, the </w:t>
      </w:r>
      <w:hyperlink r:id="rId134" w:history="1">
        <w:r w:rsidRPr="004A71B8">
          <w:rPr>
            <w:rStyle w:val="Hyperlink"/>
            <w:color w:val="0563C1"/>
            <w:szCs w:val="24"/>
            <w:lang w:val="en-GB"/>
          </w:rPr>
          <w:t>ITU Journal on Future and Evolving Technologies</w:t>
        </w:r>
      </w:hyperlink>
      <w:r w:rsidRPr="004A71B8">
        <w:rPr>
          <w:szCs w:val="24"/>
          <w:lang w:val="en-GB"/>
        </w:rPr>
        <w:t xml:space="preserve"> – free of </w:t>
      </w:r>
      <w:r w:rsidRPr="004A71B8">
        <w:rPr>
          <w:szCs w:val="24"/>
          <w:lang w:val="en-GB"/>
        </w:rPr>
        <w:lastRenderedPageBreak/>
        <w:t>charge for both readers and authors – will provide complete coverage of all communications and networking paradigms.</w:t>
      </w:r>
    </w:p>
    <w:p w14:paraId="7F75F2BD" w14:textId="3BD4F22A" w:rsidR="004A71B8" w:rsidRPr="004A71B8" w:rsidRDefault="004A71B8" w:rsidP="7EC87BF3">
      <w:pPr>
        <w:rPr>
          <w:color w:val="000000" w:themeColor="text1"/>
          <w:szCs w:val="24"/>
          <w:lang w:val="en-GB"/>
        </w:rPr>
      </w:pPr>
      <w:r w:rsidRPr="004A71B8">
        <w:rPr>
          <w:color w:val="000000" w:themeColor="text1"/>
          <w:szCs w:val="24"/>
          <w:lang w:val="en-GB"/>
        </w:rPr>
        <w:t xml:space="preserve">In line with the co-publishing agreement signed between ITU and Tsinghua University Press Ltd. in 2019, the new joint ITU-Tsinghua journal on </w:t>
      </w:r>
      <w:hyperlink r:id="rId135" w:history="1">
        <w:r w:rsidRPr="004A71B8">
          <w:rPr>
            <w:rStyle w:val="Hyperlink"/>
            <w:color w:val="0070C0"/>
            <w:szCs w:val="24"/>
            <w:lang w:val="en-GB"/>
          </w:rPr>
          <w:t>Intelligent and Converged Networks</w:t>
        </w:r>
      </w:hyperlink>
      <w:r w:rsidRPr="004A71B8">
        <w:rPr>
          <w:color w:val="000000" w:themeColor="text1"/>
          <w:szCs w:val="24"/>
          <w:lang w:val="en-GB"/>
        </w:rPr>
        <w:t xml:space="preserve"> published its first issue in June 2020.</w:t>
      </w:r>
    </w:p>
    <w:p w14:paraId="17E5DD17" w14:textId="21E0CD7E" w:rsidR="00136E7B" w:rsidRPr="00F57FAD" w:rsidRDefault="00136E7B" w:rsidP="00136E7B">
      <w:pPr>
        <w:pStyle w:val="Heading2"/>
      </w:pPr>
      <w:bookmarkStart w:id="178" w:name="_Toc51331527"/>
      <w:r w:rsidRPr="00F57FAD">
        <w:t>1</w:t>
      </w:r>
      <w:r w:rsidR="00CB641D">
        <w:t>2</w:t>
      </w:r>
      <w:r w:rsidRPr="00F57FAD">
        <w:t>.3</w:t>
      </w:r>
      <w:r w:rsidRPr="00F57FAD">
        <w:tab/>
        <w:t>World Standards Cooperation and Academia</w:t>
      </w:r>
      <w:bookmarkEnd w:id="178"/>
    </w:p>
    <w:p w14:paraId="685F7EF0" w14:textId="77777777" w:rsidR="00136E7B" w:rsidRPr="004E5B45" w:rsidRDefault="00136E7B" w:rsidP="00136E7B">
      <w:pPr>
        <w:rPr>
          <w:lang w:val="en-GB"/>
        </w:rPr>
      </w:pPr>
      <w:r w:rsidRPr="004E5B45">
        <w:rPr>
          <w:lang w:val="en-GB"/>
        </w:rPr>
        <w:t xml:space="preserve">IEC, ISO and ITU organize academic events under the banner of the World Standards Cooperation to discuss the role played by academia in the standards-development process. See relevant </w:t>
      </w:r>
      <w:hyperlink r:id="rId136" w:history="1">
        <w:r w:rsidRPr="004E5B45">
          <w:rPr>
            <w:rStyle w:val="Hyperlink"/>
            <w:lang w:val="en-GB"/>
          </w:rPr>
          <w:t>web page</w:t>
        </w:r>
      </w:hyperlink>
      <w:r w:rsidRPr="004E5B45">
        <w:rPr>
          <w:lang w:val="en-GB"/>
        </w:rPr>
        <w:t>.</w:t>
      </w:r>
    </w:p>
    <w:p w14:paraId="3295B73F" w14:textId="4E5B1011" w:rsidR="00136E7B" w:rsidRPr="00036FD7" w:rsidRDefault="00136E7B" w:rsidP="00136E7B">
      <w:pPr>
        <w:rPr>
          <w:lang w:val="en-GB"/>
        </w:rPr>
      </w:pPr>
      <w:r w:rsidRPr="00036FD7">
        <w:rPr>
          <w:lang w:val="en-GB"/>
        </w:rPr>
        <w:t>WSC Academic Days took place in China (2011), Indonesia (2012), France (2013), Canada (2014), Korea (2015), Germany (2016), the U.S. (2017)</w:t>
      </w:r>
      <w:r w:rsidR="1F71E6C7" w:rsidRPr="00036FD7">
        <w:rPr>
          <w:lang w:val="en-GB"/>
        </w:rPr>
        <w:t>,</w:t>
      </w:r>
      <w:r w:rsidR="004A71B8">
        <w:rPr>
          <w:lang w:val="en-GB"/>
        </w:rPr>
        <w:t xml:space="preserve"> </w:t>
      </w:r>
      <w:r w:rsidRPr="00036FD7">
        <w:rPr>
          <w:lang w:val="en-GB"/>
        </w:rPr>
        <w:t>Indonesia (2018)</w:t>
      </w:r>
      <w:r w:rsidR="5127AE58" w:rsidRPr="00036FD7">
        <w:rPr>
          <w:lang w:val="en-GB"/>
        </w:rPr>
        <w:t xml:space="preserve"> and Serbia (2019)</w:t>
      </w:r>
      <w:r w:rsidRPr="00036FD7">
        <w:rPr>
          <w:lang w:val="en-GB"/>
        </w:rPr>
        <w:t>. These events are held in conjunction with the annual International Cooperation for Education about Standardization (ICES) conferences.</w:t>
      </w:r>
    </w:p>
    <w:p w14:paraId="0947295C" w14:textId="132E06D5" w:rsidR="00136E7B" w:rsidRPr="00F57FAD" w:rsidRDefault="00136E7B" w:rsidP="00136E7B">
      <w:pPr>
        <w:pStyle w:val="Heading1"/>
      </w:pPr>
      <w:bookmarkStart w:id="179" w:name="_Toc462664274"/>
      <w:bookmarkStart w:id="180" w:name="_Toc480527863"/>
      <w:bookmarkStart w:id="181" w:name="_Toc51331528"/>
      <w:bookmarkStart w:id="182" w:name="_Toc453929120"/>
      <w:bookmarkStart w:id="183" w:name="_Toc453932991"/>
      <w:bookmarkStart w:id="184" w:name="_Toc454295897"/>
      <w:bookmarkStart w:id="185" w:name="_Toc387390042"/>
      <w:bookmarkStart w:id="186" w:name="_Toc416161372"/>
      <w:bookmarkStart w:id="187" w:name="_Toc438553998"/>
      <w:r w:rsidRPr="00F57FAD">
        <w:t>1</w:t>
      </w:r>
      <w:r w:rsidR="00CB641D">
        <w:t>3</w:t>
      </w:r>
      <w:r w:rsidRPr="00F57FAD">
        <w:tab/>
        <w:t>Publications</w:t>
      </w:r>
      <w:bookmarkEnd w:id="179"/>
      <w:bookmarkEnd w:id="180"/>
      <w:bookmarkEnd w:id="181"/>
    </w:p>
    <w:p w14:paraId="0A0A5DEE" w14:textId="4678424D" w:rsidR="00136E7B" w:rsidRPr="00CD5204" w:rsidRDefault="00136E7B" w:rsidP="00136E7B">
      <w:pPr>
        <w:rPr>
          <w:lang w:val="en-GB"/>
        </w:rPr>
      </w:pPr>
      <w:r w:rsidRPr="00CD5204">
        <w:rPr>
          <w:lang w:val="en-GB"/>
        </w:rPr>
        <w:t xml:space="preserve">Over </w:t>
      </w:r>
      <w:r w:rsidR="21DBE819" w:rsidRPr="00CD5204">
        <w:rPr>
          <w:lang w:val="en-GB"/>
        </w:rPr>
        <w:t>12</w:t>
      </w:r>
      <w:r w:rsidRPr="00CD5204">
        <w:rPr>
          <w:lang w:val="en-GB"/>
        </w:rPr>
        <w:t>,</w:t>
      </w:r>
      <w:r w:rsidR="425CC246" w:rsidRPr="00CD5204">
        <w:rPr>
          <w:lang w:val="en-GB"/>
        </w:rPr>
        <w:t>5</w:t>
      </w:r>
      <w:r w:rsidRPr="00CD5204">
        <w:rPr>
          <w:lang w:val="en-GB"/>
        </w:rPr>
        <w:t xml:space="preserve">00 pages of ITU-T Recommendations and Supplements were published between </w:t>
      </w:r>
      <w:r w:rsidR="329AD0D3" w:rsidRPr="00CD5204">
        <w:rPr>
          <w:lang w:val="en-GB"/>
        </w:rPr>
        <w:t>January</w:t>
      </w:r>
      <w:r w:rsidRPr="00CD5204">
        <w:rPr>
          <w:lang w:val="en-GB"/>
        </w:rPr>
        <w:t xml:space="preserve"> and </w:t>
      </w:r>
      <w:r w:rsidR="51FA3EF3" w:rsidRPr="00CD5204">
        <w:rPr>
          <w:lang w:val="en-GB"/>
        </w:rPr>
        <w:t>August</w:t>
      </w:r>
      <w:r w:rsidRPr="00CD5204">
        <w:rPr>
          <w:lang w:val="en-GB"/>
        </w:rPr>
        <w:t xml:space="preserve"> 20</w:t>
      </w:r>
      <w:r w:rsidR="1948E4B3" w:rsidRPr="00CD5204">
        <w:rPr>
          <w:lang w:val="en-GB"/>
        </w:rPr>
        <w:t>20</w:t>
      </w:r>
      <w:r w:rsidRPr="00CD5204">
        <w:rPr>
          <w:lang w:val="en-GB"/>
        </w:rPr>
        <w:t>. Figure 4 illustrates the number of Recommendations (including Supplements) published per year since 2016, noting that 20</w:t>
      </w:r>
      <w:r w:rsidR="0F1B0CE3" w:rsidRPr="00CD5204">
        <w:rPr>
          <w:lang w:val="en-GB"/>
        </w:rPr>
        <w:t>20</w:t>
      </w:r>
      <w:r w:rsidRPr="00CD5204">
        <w:rPr>
          <w:lang w:val="en-GB"/>
        </w:rPr>
        <w:t xml:space="preserve"> covers only until </w:t>
      </w:r>
      <w:r w:rsidR="26C416EC" w:rsidRPr="00CD5204">
        <w:rPr>
          <w:lang w:val="en-GB"/>
        </w:rPr>
        <w:t>end August</w:t>
      </w:r>
      <w:r w:rsidRPr="00CD5204">
        <w:rPr>
          <w:lang w:val="en-GB"/>
        </w:rPr>
        <w:t>.</w:t>
      </w:r>
    </w:p>
    <w:p w14:paraId="4AC22D15" w14:textId="77777777" w:rsidR="00136E7B" w:rsidRPr="00CD5204" w:rsidRDefault="00136E7B" w:rsidP="00136E7B">
      <w:pPr>
        <w:rPr>
          <w:lang w:val="en-GB"/>
        </w:rPr>
      </w:pPr>
      <w:r w:rsidRPr="00CD5204">
        <w:rPr>
          <w:lang w:val="en-GB"/>
        </w:rPr>
        <w:t>All major editions of ITU-T Recommendations are now also being converted to the reflowable ePub format, and are published for free download alongside the usual PDF format. The ePub format allows users to read the Recommendations on devices of different screen sizes, and also to apply functions such as bookmarks, notes and highlights.</w:t>
      </w:r>
    </w:p>
    <w:p w14:paraId="16484C42" w14:textId="029BFCA8" w:rsidR="00136E7B" w:rsidRPr="00CD5204" w:rsidRDefault="00136E7B" w:rsidP="00136E7B">
      <w:pPr>
        <w:rPr>
          <w:lang w:val="en-GB"/>
        </w:rPr>
      </w:pPr>
      <w:r w:rsidRPr="00CD5204">
        <w:rPr>
          <w:lang w:val="en-GB"/>
        </w:rPr>
        <w:t>As approved by TSAG, most corrigenda and amendments to ITU-T Recommendations are now integrated into the main edition. The changes introduced by the amendment or corrigendum are shown in revision marks.</w:t>
      </w:r>
    </w:p>
    <w:p w14:paraId="6EA23A58" w14:textId="77777777" w:rsidR="00136E7B" w:rsidRPr="00CD5204" w:rsidRDefault="00136E7B" w:rsidP="00136E7B">
      <w:pPr>
        <w:rPr>
          <w:lang w:val="en-GB"/>
        </w:rPr>
      </w:pPr>
      <w:r w:rsidRPr="00CD5204">
        <w:rPr>
          <w:lang w:val="en-GB"/>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 frame and SG, among others, with searches applicable to the title or the full text of the standard.</w:t>
      </w:r>
    </w:p>
    <w:p w14:paraId="60A52EEA" w14:textId="0D559B3E" w:rsidR="00136E7B" w:rsidRPr="00A4066E" w:rsidRDefault="00136E7B" w:rsidP="00136E7B">
      <w:pPr>
        <w:jc w:val="center"/>
        <w:rPr>
          <w:lang w:val="en-GB"/>
        </w:rPr>
      </w:pPr>
      <w:r w:rsidRPr="5F2B6CF0">
        <w:rPr>
          <w:lang w:val="en-GB" w:eastAsia="en-GB"/>
        </w:rPr>
        <w:t xml:space="preserve"> </w:t>
      </w:r>
      <w:r w:rsidR="4778500E">
        <w:rPr>
          <w:noProof/>
        </w:rPr>
        <w:drawing>
          <wp:inline distT="0" distB="0" distL="0" distR="0" wp14:anchorId="48FDF757" wp14:editId="40491204">
            <wp:extent cx="4972050" cy="2628900"/>
            <wp:effectExtent l="0" t="0" r="0" b="0"/>
            <wp:docPr id="520275553" name="Picture 52027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275553"/>
                    <pic:cNvPicPr/>
                  </pic:nvPicPr>
                  <pic:blipFill>
                    <a:blip r:embed="rId137">
                      <a:extLst>
                        <a:ext uri="{28A0092B-C50C-407E-A947-70E740481C1C}">
                          <a14:useLocalDpi xmlns:a14="http://schemas.microsoft.com/office/drawing/2010/main" val="0"/>
                        </a:ext>
                      </a:extLst>
                    </a:blip>
                    <a:stretch>
                      <a:fillRect/>
                    </a:stretch>
                  </pic:blipFill>
                  <pic:spPr>
                    <a:xfrm>
                      <a:off x="0" y="0"/>
                      <a:ext cx="4972050" cy="2628900"/>
                    </a:xfrm>
                    <a:prstGeom prst="rect">
                      <a:avLst/>
                    </a:prstGeom>
                  </pic:spPr>
                </pic:pic>
              </a:graphicData>
            </a:graphic>
          </wp:inline>
        </w:drawing>
      </w:r>
    </w:p>
    <w:p w14:paraId="3C05A50B" w14:textId="77777777" w:rsidR="00136E7B" w:rsidRPr="001759E6" w:rsidRDefault="00136E7B" w:rsidP="00136E7B">
      <w:pPr>
        <w:jc w:val="center"/>
        <w:rPr>
          <w:rFonts w:eastAsia="MS Mincho"/>
          <w:b/>
          <w:lang w:val="en-GB"/>
        </w:rPr>
      </w:pPr>
      <w:bookmarkStart w:id="188" w:name="_Toc16780647"/>
      <w:r w:rsidRPr="00CD5204">
        <w:rPr>
          <w:rFonts w:eastAsia="MS Mincho"/>
          <w:b/>
          <w:lang w:val="en-GB"/>
        </w:rPr>
        <w:lastRenderedPageBreak/>
        <w:t xml:space="preserve">Figure </w:t>
      </w:r>
      <w:r w:rsidRPr="00CD5204">
        <w:rPr>
          <w:rFonts w:eastAsia="MS Mincho"/>
          <w:b/>
          <w:color w:val="2B579A"/>
          <w:lang w:val="en-GB"/>
        </w:rPr>
        <w:fldChar w:fldCharType="begin"/>
      </w:r>
      <w:r w:rsidRPr="00CD5204">
        <w:rPr>
          <w:rFonts w:eastAsia="MS Mincho"/>
          <w:b/>
          <w:lang w:val="en-GB"/>
        </w:rPr>
        <w:instrText xml:space="preserve"> SEQ Figure \* ARABIC </w:instrText>
      </w:r>
      <w:r w:rsidRPr="00CD5204">
        <w:rPr>
          <w:rFonts w:eastAsia="MS Mincho"/>
          <w:b/>
          <w:color w:val="2B579A"/>
          <w:lang w:val="en-GB"/>
        </w:rPr>
        <w:fldChar w:fldCharType="separate"/>
      </w:r>
      <w:r w:rsidRPr="00CD5204">
        <w:rPr>
          <w:rFonts w:eastAsia="MS Mincho"/>
          <w:b/>
          <w:lang w:val="en-GB"/>
        </w:rPr>
        <w:t>4</w:t>
      </w:r>
      <w:r w:rsidRPr="00CD5204">
        <w:rPr>
          <w:rFonts w:eastAsia="MS Mincho"/>
          <w:b/>
          <w:color w:val="2B579A"/>
          <w:lang w:val="en-GB"/>
        </w:rPr>
        <w:fldChar w:fldCharType="end"/>
      </w:r>
      <w:r w:rsidRPr="00CD5204">
        <w:rPr>
          <w:rFonts w:eastAsia="MS Mincho"/>
          <w:b/>
          <w:lang w:val="en-GB"/>
        </w:rPr>
        <w:t xml:space="preserve"> – Number of Recommendations, amendments and Supplements </w:t>
      </w:r>
      <w:r>
        <w:rPr>
          <w:rFonts w:eastAsia="MS Mincho"/>
        </w:rPr>
        <w:br/>
      </w:r>
      <w:r w:rsidRPr="00CD5204">
        <w:rPr>
          <w:rFonts w:eastAsia="MS Mincho"/>
          <w:b/>
          <w:lang w:val="en-GB"/>
        </w:rPr>
        <w:t>published per year since 2016</w:t>
      </w:r>
      <w:bookmarkEnd w:id="188"/>
    </w:p>
    <w:p w14:paraId="09867142" w14:textId="07E7BF89" w:rsidR="00136E7B" w:rsidRPr="00F57FAD" w:rsidRDefault="00136E7B" w:rsidP="00A4066E">
      <w:pPr>
        <w:pStyle w:val="Heading1"/>
        <w:spacing w:before="240"/>
      </w:pPr>
      <w:bookmarkStart w:id="189" w:name="_Toc416161374"/>
      <w:bookmarkStart w:id="190" w:name="_Toc438553999"/>
      <w:bookmarkStart w:id="191" w:name="_Toc453929121"/>
      <w:bookmarkStart w:id="192" w:name="_Toc453932992"/>
      <w:bookmarkStart w:id="193" w:name="_Toc454295898"/>
      <w:bookmarkStart w:id="194" w:name="_Toc462664276"/>
      <w:bookmarkStart w:id="195" w:name="_Toc480527868"/>
      <w:bookmarkStart w:id="196" w:name="_Ref16697318"/>
      <w:bookmarkStart w:id="197" w:name="_Toc51331529"/>
      <w:bookmarkEnd w:id="182"/>
      <w:bookmarkEnd w:id="183"/>
      <w:bookmarkEnd w:id="184"/>
      <w:bookmarkEnd w:id="185"/>
      <w:bookmarkEnd w:id="186"/>
      <w:bookmarkEnd w:id="187"/>
      <w:r w:rsidRPr="00F57FAD">
        <w:t>1</w:t>
      </w:r>
      <w:r w:rsidR="00CB641D">
        <w:t>5</w:t>
      </w:r>
      <w:r w:rsidRPr="00F57FAD">
        <w:tab/>
        <w:t>Services and tools</w:t>
      </w:r>
      <w:bookmarkEnd w:id="189"/>
      <w:bookmarkEnd w:id="190"/>
      <w:bookmarkEnd w:id="191"/>
      <w:bookmarkEnd w:id="192"/>
      <w:bookmarkEnd w:id="193"/>
      <w:bookmarkEnd w:id="194"/>
      <w:bookmarkEnd w:id="195"/>
      <w:bookmarkEnd w:id="196"/>
      <w:bookmarkEnd w:id="197"/>
    </w:p>
    <w:p w14:paraId="05B3B757" w14:textId="54DA38F3" w:rsidR="00136E7B" w:rsidRDefault="00136E7B" w:rsidP="00136E7B">
      <w:pPr>
        <w:rPr>
          <w:lang w:val="en-GB"/>
        </w:rPr>
      </w:pPr>
      <w:r w:rsidRPr="004E5B45">
        <w:rPr>
          <w:lang w:val="en-GB"/>
        </w:rPr>
        <w:t xml:space="preserve">Electronic working methods offer crucial support to members engaged in ITU-T standardization work. </w:t>
      </w:r>
      <w:r w:rsidRPr="376C6823">
        <w:rPr>
          <w:lang w:val="en-GB"/>
        </w:rPr>
        <w:t xml:space="preserve">TSB </w:t>
      </w:r>
      <w:r w:rsidR="23BCD338" w:rsidRPr="376C6823">
        <w:rPr>
          <w:lang w:val="en-GB"/>
        </w:rPr>
        <w:t xml:space="preserve">is </w:t>
      </w:r>
      <w:r w:rsidRPr="376C6823">
        <w:rPr>
          <w:lang w:val="en-GB"/>
        </w:rPr>
        <w:t>continu</w:t>
      </w:r>
      <w:r w:rsidR="0BB9C80E" w:rsidRPr="376C6823">
        <w:rPr>
          <w:lang w:val="en-GB"/>
        </w:rPr>
        <w:t>ously</w:t>
      </w:r>
      <w:r w:rsidRPr="376C6823">
        <w:rPr>
          <w:lang w:val="en-GB"/>
        </w:rPr>
        <w:t xml:space="preserve"> develop</w:t>
      </w:r>
      <w:r w:rsidR="6F5664FA" w:rsidRPr="376C6823">
        <w:rPr>
          <w:lang w:val="en-GB"/>
        </w:rPr>
        <w:t>ing</w:t>
      </w:r>
      <w:r w:rsidRPr="004E5B45">
        <w:rPr>
          <w:lang w:val="en-GB"/>
        </w:rPr>
        <w:t xml:space="preserve"> new applications and services</w:t>
      </w:r>
      <w:r w:rsidR="0965978F" w:rsidRPr="376C6823">
        <w:rPr>
          <w:lang w:val="en-GB"/>
        </w:rPr>
        <w:t>, while enhancing existing services,</w:t>
      </w:r>
      <w:r w:rsidRPr="004E5B45">
        <w:rPr>
          <w:lang w:val="en-GB"/>
        </w:rPr>
        <w:t xml:space="preserve"> to maintain and expand ITU-T's advanced electronic working environment.</w:t>
      </w:r>
    </w:p>
    <w:p w14:paraId="5A8D2739" w14:textId="550B4C0F" w:rsidR="00136E7B" w:rsidRPr="00F57FAD" w:rsidRDefault="00136E7B" w:rsidP="00136E7B">
      <w:pPr>
        <w:pStyle w:val="Heading2"/>
      </w:pPr>
      <w:bookmarkStart w:id="198" w:name="_Toc312148142"/>
      <w:bookmarkStart w:id="199" w:name="_Toc462664277"/>
      <w:bookmarkStart w:id="200" w:name="_Toc480527869"/>
      <w:bookmarkStart w:id="201" w:name="_Toc51331530"/>
      <w:r w:rsidRPr="00F57FAD">
        <w:t>1</w:t>
      </w:r>
      <w:r w:rsidR="00CB641D">
        <w:t>5</w:t>
      </w:r>
      <w:r w:rsidRPr="00F57FAD">
        <w:t>.1</w:t>
      </w:r>
      <w:r w:rsidRPr="00F57FAD">
        <w:tab/>
        <w:t>ITU-T databases</w:t>
      </w:r>
      <w:bookmarkEnd w:id="198"/>
      <w:bookmarkEnd w:id="199"/>
      <w:bookmarkEnd w:id="200"/>
      <w:bookmarkEnd w:id="201"/>
    </w:p>
    <w:p w14:paraId="74268C65" w14:textId="7699F144" w:rsidR="00136E7B" w:rsidRPr="004E5B45" w:rsidRDefault="79765E7F" w:rsidP="00136E7B">
      <w:pPr>
        <w:rPr>
          <w:lang w:val="en-GB"/>
        </w:rPr>
      </w:pPr>
      <w:r w:rsidRPr="376C6823">
        <w:rPr>
          <w:lang w:val="en-GB"/>
        </w:rPr>
        <w:t>F</w:t>
      </w:r>
      <w:r w:rsidR="00136E7B" w:rsidRPr="376C6823">
        <w:rPr>
          <w:lang w:val="en-GB"/>
        </w:rPr>
        <w:t xml:space="preserve">ollowing databases are </w:t>
      </w:r>
      <w:r w:rsidR="59F4FAA5" w:rsidRPr="376C6823">
        <w:rPr>
          <w:lang w:val="en-GB"/>
        </w:rPr>
        <w:t xml:space="preserve">made </w:t>
      </w:r>
      <w:r w:rsidR="00136E7B" w:rsidRPr="376C6823">
        <w:rPr>
          <w:lang w:val="en-GB"/>
        </w:rPr>
        <w:t xml:space="preserve">available </w:t>
      </w:r>
      <w:r w:rsidR="72FCC781" w:rsidRPr="376C6823">
        <w:rPr>
          <w:lang w:val="en-GB"/>
        </w:rPr>
        <w:t>for</w:t>
      </w:r>
      <w:r w:rsidR="00136E7B" w:rsidRPr="004E5B45">
        <w:rPr>
          <w:lang w:val="en-GB"/>
        </w:rPr>
        <w:t xml:space="preserve"> ITU-T delegates and secretariat staff:</w:t>
      </w:r>
    </w:p>
    <w:p w14:paraId="05E504F7" w14:textId="77777777" w:rsidR="00136E7B" w:rsidRPr="00D44674" w:rsidRDefault="00E12FA7" w:rsidP="0063096B">
      <w:pPr>
        <w:numPr>
          <w:ilvl w:val="0"/>
          <w:numId w:val="9"/>
        </w:numPr>
        <w:tabs>
          <w:tab w:val="clear" w:pos="794"/>
          <w:tab w:val="clear" w:pos="1191"/>
          <w:tab w:val="clear" w:pos="1588"/>
          <w:tab w:val="clear" w:pos="1985"/>
        </w:tabs>
        <w:spacing w:before="0"/>
        <w:rPr>
          <w:lang w:val="en-GB"/>
        </w:rPr>
      </w:pPr>
      <w:hyperlink r:id="rId138" w:history="1">
        <w:r w:rsidR="00136E7B" w:rsidRPr="00D44674">
          <w:rPr>
            <w:rStyle w:val="Hyperlink"/>
            <w:rFonts w:asciiTheme="majorBidi" w:eastAsia="SimSun" w:hAnsiTheme="majorBidi" w:cstheme="majorBidi"/>
            <w:lang w:val="en-GB"/>
          </w:rPr>
          <w:t>ITU-T Work Programme</w:t>
        </w:r>
      </w:hyperlink>
    </w:p>
    <w:p w14:paraId="3DFC3E63" w14:textId="77777777" w:rsidR="00136E7B" w:rsidRPr="00D44674" w:rsidRDefault="00E12FA7" w:rsidP="0063096B">
      <w:pPr>
        <w:numPr>
          <w:ilvl w:val="0"/>
          <w:numId w:val="9"/>
        </w:numPr>
        <w:tabs>
          <w:tab w:val="clear" w:pos="794"/>
          <w:tab w:val="clear" w:pos="1191"/>
          <w:tab w:val="clear" w:pos="1588"/>
          <w:tab w:val="clear" w:pos="1985"/>
        </w:tabs>
        <w:spacing w:before="0"/>
        <w:rPr>
          <w:lang w:val="en-GB"/>
        </w:rPr>
      </w:pPr>
      <w:hyperlink r:id="rId139" w:history="1">
        <w:r w:rsidR="00136E7B" w:rsidRPr="00D44674">
          <w:rPr>
            <w:rStyle w:val="Hyperlink"/>
            <w:rFonts w:asciiTheme="majorBidi" w:eastAsia="SimSun" w:hAnsiTheme="majorBidi" w:cstheme="majorBidi"/>
            <w:lang w:val="en-GB"/>
          </w:rPr>
          <w:t>ITU-T A.4, A.5 and A.6 recognized organizations</w:t>
        </w:r>
      </w:hyperlink>
    </w:p>
    <w:p w14:paraId="10F240D2" w14:textId="77777777" w:rsidR="00136E7B" w:rsidRPr="00D44674" w:rsidRDefault="00E12FA7" w:rsidP="0063096B">
      <w:pPr>
        <w:numPr>
          <w:ilvl w:val="0"/>
          <w:numId w:val="9"/>
        </w:numPr>
        <w:tabs>
          <w:tab w:val="clear" w:pos="794"/>
          <w:tab w:val="clear" w:pos="1191"/>
          <w:tab w:val="clear" w:pos="1588"/>
          <w:tab w:val="clear" w:pos="1985"/>
        </w:tabs>
        <w:spacing w:before="0"/>
        <w:rPr>
          <w:lang w:val="en-GB"/>
        </w:rPr>
      </w:pPr>
      <w:hyperlink r:id="rId140" w:history="1">
        <w:r w:rsidR="00136E7B" w:rsidRPr="00D44674">
          <w:rPr>
            <w:rStyle w:val="Hyperlink"/>
            <w:rFonts w:asciiTheme="majorBidi" w:hAnsiTheme="majorBidi" w:cstheme="majorBidi"/>
            <w:lang w:val="en-GB"/>
          </w:rPr>
          <w:t>ITU-T AAP</w:t>
        </w:r>
      </w:hyperlink>
      <w:r w:rsidR="00136E7B" w:rsidRPr="00D44674">
        <w:rPr>
          <w:lang w:val="en-GB"/>
        </w:rPr>
        <w:t xml:space="preserve"> &amp; </w:t>
      </w:r>
      <w:hyperlink r:id="rId141" w:history="1">
        <w:r w:rsidR="00136E7B" w:rsidRPr="00D44674">
          <w:rPr>
            <w:rStyle w:val="Hyperlink"/>
            <w:rFonts w:asciiTheme="majorBidi" w:hAnsiTheme="majorBidi" w:cstheme="majorBidi"/>
            <w:lang w:val="en-GB"/>
          </w:rPr>
          <w:t>TAP</w:t>
        </w:r>
      </w:hyperlink>
    </w:p>
    <w:p w14:paraId="38AD7E7F" w14:textId="77777777" w:rsidR="00136E7B" w:rsidRPr="00D44674" w:rsidRDefault="00E12FA7" w:rsidP="0063096B">
      <w:pPr>
        <w:numPr>
          <w:ilvl w:val="0"/>
          <w:numId w:val="9"/>
        </w:numPr>
        <w:tabs>
          <w:tab w:val="clear" w:pos="794"/>
          <w:tab w:val="clear" w:pos="1191"/>
          <w:tab w:val="clear" w:pos="1588"/>
          <w:tab w:val="clear" w:pos="1985"/>
        </w:tabs>
        <w:spacing w:before="0"/>
        <w:rPr>
          <w:lang w:val="en-GB"/>
        </w:rPr>
      </w:pPr>
      <w:hyperlink r:id="rId142" w:history="1">
        <w:r w:rsidR="00136E7B" w:rsidRPr="00D44674">
          <w:rPr>
            <w:rStyle w:val="Hyperlink"/>
            <w:rFonts w:asciiTheme="majorBidi" w:eastAsia="SimSun" w:hAnsiTheme="majorBidi" w:cstheme="majorBidi"/>
            <w:lang w:val="en-GB"/>
          </w:rPr>
          <w:t>ITU-T Recommendations</w:t>
        </w:r>
      </w:hyperlink>
    </w:p>
    <w:p w14:paraId="72DAAF8A" w14:textId="77777777" w:rsidR="00136E7B" w:rsidRPr="00D44674" w:rsidRDefault="00E12FA7" w:rsidP="0063096B">
      <w:pPr>
        <w:numPr>
          <w:ilvl w:val="0"/>
          <w:numId w:val="9"/>
        </w:numPr>
        <w:tabs>
          <w:tab w:val="clear" w:pos="794"/>
          <w:tab w:val="clear" w:pos="1191"/>
          <w:tab w:val="clear" w:pos="1588"/>
          <w:tab w:val="clear" w:pos="1985"/>
        </w:tabs>
        <w:spacing w:before="0"/>
        <w:rPr>
          <w:lang w:val="en-GB"/>
        </w:rPr>
      </w:pPr>
      <w:hyperlink r:id="rId143" w:history="1">
        <w:r w:rsidR="00136E7B" w:rsidRPr="00D44674">
          <w:rPr>
            <w:rStyle w:val="Hyperlink"/>
            <w:rFonts w:asciiTheme="majorBidi" w:eastAsia="SimSun" w:hAnsiTheme="majorBidi" w:cstheme="majorBidi"/>
            <w:lang w:val="en-GB"/>
          </w:rPr>
          <w:t>ITU-T Liaison Statements</w:t>
        </w:r>
      </w:hyperlink>
    </w:p>
    <w:p w14:paraId="4A8D466E" w14:textId="77777777" w:rsidR="00136E7B" w:rsidRPr="00D44674" w:rsidRDefault="00E12FA7" w:rsidP="0063096B">
      <w:pPr>
        <w:numPr>
          <w:ilvl w:val="0"/>
          <w:numId w:val="9"/>
        </w:numPr>
        <w:tabs>
          <w:tab w:val="clear" w:pos="794"/>
          <w:tab w:val="clear" w:pos="1191"/>
          <w:tab w:val="clear" w:pos="1588"/>
          <w:tab w:val="clear" w:pos="1985"/>
        </w:tabs>
        <w:spacing w:before="0"/>
        <w:rPr>
          <w:lang w:val="en-GB"/>
        </w:rPr>
      </w:pPr>
      <w:hyperlink r:id="rId144" w:history="1">
        <w:r w:rsidR="00136E7B" w:rsidRPr="00D44674">
          <w:rPr>
            <w:rStyle w:val="Hyperlink"/>
            <w:rFonts w:asciiTheme="majorBidi" w:eastAsia="SimSun" w:hAnsiTheme="majorBidi" w:cstheme="majorBidi"/>
            <w:lang w:val="en-GB"/>
          </w:rPr>
          <w:t>ITU-T Patents and Software Copyrights</w:t>
        </w:r>
      </w:hyperlink>
    </w:p>
    <w:p w14:paraId="28D3C932" w14:textId="77777777" w:rsidR="00136E7B" w:rsidRPr="00D44674" w:rsidRDefault="00E12FA7" w:rsidP="0063096B">
      <w:pPr>
        <w:numPr>
          <w:ilvl w:val="0"/>
          <w:numId w:val="9"/>
        </w:numPr>
        <w:tabs>
          <w:tab w:val="clear" w:pos="794"/>
          <w:tab w:val="clear" w:pos="1191"/>
          <w:tab w:val="clear" w:pos="1588"/>
          <w:tab w:val="clear" w:pos="1985"/>
        </w:tabs>
        <w:spacing w:before="0"/>
        <w:rPr>
          <w:lang w:val="en-GB"/>
        </w:rPr>
      </w:pPr>
      <w:hyperlink r:id="rId145" w:history="1">
        <w:r w:rsidR="00136E7B" w:rsidRPr="00D44674">
          <w:rPr>
            <w:rStyle w:val="Hyperlink"/>
            <w:rFonts w:asciiTheme="majorBidi" w:eastAsia="SimSun" w:hAnsiTheme="majorBidi" w:cstheme="majorBidi"/>
            <w:lang w:val="en-GB"/>
          </w:rPr>
          <w:t>ITU Product Conformity Database</w:t>
        </w:r>
      </w:hyperlink>
    </w:p>
    <w:p w14:paraId="5FDA57D5" w14:textId="77777777" w:rsidR="00136E7B" w:rsidRPr="00D44674" w:rsidRDefault="00E12FA7" w:rsidP="0063096B">
      <w:pPr>
        <w:numPr>
          <w:ilvl w:val="0"/>
          <w:numId w:val="9"/>
        </w:numPr>
        <w:tabs>
          <w:tab w:val="clear" w:pos="794"/>
          <w:tab w:val="clear" w:pos="1191"/>
          <w:tab w:val="clear" w:pos="1588"/>
          <w:tab w:val="clear" w:pos="1985"/>
        </w:tabs>
        <w:spacing w:before="0"/>
        <w:rPr>
          <w:lang w:val="en-GB"/>
        </w:rPr>
      </w:pPr>
      <w:hyperlink r:id="rId146" w:history="1">
        <w:r w:rsidR="00136E7B" w:rsidRPr="00D44674">
          <w:rPr>
            <w:rStyle w:val="Hyperlink"/>
            <w:rFonts w:asciiTheme="majorBidi" w:eastAsia="SimSun" w:hAnsiTheme="majorBidi" w:cstheme="majorBidi"/>
            <w:lang w:val="en-GB"/>
          </w:rPr>
          <w:t>ITU-T Formal Descriptions and Object Identifiers</w:t>
        </w:r>
      </w:hyperlink>
    </w:p>
    <w:p w14:paraId="566869F5" w14:textId="77777777" w:rsidR="00136E7B" w:rsidRPr="00D44674" w:rsidRDefault="00E12FA7" w:rsidP="0063096B">
      <w:pPr>
        <w:numPr>
          <w:ilvl w:val="0"/>
          <w:numId w:val="9"/>
        </w:numPr>
        <w:tabs>
          <w:tab w:val="clear" w:pos="794"/>
          <w:tab w:val="clear" w:pos="1191"/>
          <w:tab w:val="clear" w:pos="1588"/>
          <w:tab w:val="clear" w:pos="1985"/>
        </w:tabs>
        <w:spacing w:before="0"/>
        <w:rPr>
          <w:lang w:val="en-GB"/>
        </w:rPr>
      </w:pPr>
      <w:hyperlink r:id="rId147" w:history="1">
        <w:r w:rsidR="00136E7B" w:rsidRPr="00D44674">
          <w:rPr>
            <w:rStyle w:val="Hyperlink"/>
            <w:rFonts w:asciiTheme="majorBidi" w:eastAsia="SimSun" w:hAnsiTheme="majorBidi" w:cstheme="majorBidi"/>
            <w:lang w:val="en-GB"/>
          </w:rPr>
          <w:t>ITU-T Test Signals</w:t>
        </w:r>
      </w:hyperlink>
    </w:p>
    <w:p w14:paraId="7EB5C533" w14:textId="77777777" w:rsidR="00136E7B" w:rsidRPr="00D44674" w:rsidRDefault="00E12FA7" w:rsidP="0063096B">
      <w:pPr>
        <w:numPr>
          <w:ilvl w:val="0"/>
          <w:numId w:val="9"/>
        </w:numPr>
        <w:tabs>
          <w:tab w:val="clear" w:pos="794"/>
          <w:tab w:val="clear" w:pos="1191"/>
          <w:tab w:val="clear" w:pos="1588"/>
          <w:tab w:val="clear" w:pos="1985"/>
        </w:tabs>
        <w:spacing w:before="0"/>
        <w:rPr>
          <w:lang w:val="en-GB"/>
        </w:rPr>
      </w:pPr>
      <w:hyperlink r:id="rId148" w:history="1">
        <w:r w:rsidR="00136E7B" w:rsidRPr="00D44674">
          <w:rPr>
            <w:rStyle w:val="Hyperlink"/>
            <w:rFonts w:asciiTheme="majorBidi" w:eastAsia="SimSun" w:hAnsiTheme="majorBidi" w:cstheme="majorBidi"/>
            <w:lang w:val="en-GB"/>
          </w:rPr>
          <w:t>ITU-T Terms &amp; Definitions</w:t>
        </w:r>
      </w:hyperlink>
    </w:p>
    <w:p w14:paraId="6AF1A241" w14:textId="4019FAE5" w:rsidR="00136E7B" w:rsidRPr="00D44674" w:rsidRDefault="00E12FA7" w:rsidP="0063096B">
      <w:pPr>
        <w:numPr>
          <w:ilvl w:val="0"/>
          <w:numId w:val="9"/>
        </w:numPr>
        <w:tabs>
          <w:tab w:val="clear" w:pos="794"/>
          <w:tab w:val="clear" w:pos="1191"/>
          <w:tab w:val="clear" w:pos="1588"/>
          <w:tab w:val="clear" w:pos="1985"/>
        </w:tabs>
        <w:spacing w:before="0"/>
        <w:rPr>
          <w:lang w:val="en-GB"/>
        </w:rPr>
      </w:pPr>
      <w:hyperlink r:id="rId149">
        <w:r w:rsidR="00136E7B" w:rsidRPr="00D44674">
          <w:rPr>
            <w:rStyle w:val="Hyperlink"/>
            <w:rFonts w:asciiTheme="majorBidi" w:eastAsia="SimSun" w:hAnsiTheme="majorBidi" w:cstheme="majorBidi"/>
            <w:lang w:val="en-GB"/>
          </w:rPr>
          <w:t>International Numbering Resources</w:t>
        </w:r>
      </w:hyperlink>
      <w:r w:rsidR="00136E7B" w:rsidRPr="00D44674">
        <w:rPr>
          <w:lang w:val="en-GB"/>
        </w:rPr>
        <w:t xml:space="preserve"> (See section 1</w:t>
      </w:r>
      <w:r w:rsidR="054A6179" w:rsidRPr="00D44674">
        <w:rPr>
          <w:lang w:val="en-GB"/>
        </w:rPr>
        <w:t>4</w:t>
      </w:r>
      <w:r w:rsidR="00136E7B" w:rsidRPr="00D44674">
        <w:rPr>
          <w:lang w:val="en-GB"/>
        </w:rPr>
        <w:t>.6 for more details)</w:t>
      </w:r>
      <w:r w:rsidR="2A3FE1DC" w:rsidRPr="00D44674">
        <w:rPr>
          <w:lang w:val="en-GB"/>
        </w:rPr>
        <w:t>ICT standards landscape</w:t>
      </w:r>
      <w:r w:rsidR="421D0307" w:rsidRPr="00D44674">
        <w:rPr>
          <w:lang w:val="en-GB"/>
        </w:rPr>
        <w:t>:</w:t>
      </w:r>
    </w:p>
    <w:p w14:paraId="74F14C7E" w14:textId="6A83C7FB" w:rsidR="421D0307" w:rsidRPr="00D44674" w:rsidRDefault="421D0307" w:rsidP="0063096B">
      <w:pPr>
        <w:numPr>
          <w:ilvl w:val="1"/>
          <w:numId w:val="9"/>
        </w:numPr>
        <w:spacing w:before="0"/>
        <w:rPr>
          <w:lang w:val="en-GB"/>
        </w:rPr>
      </w:pPr>
      <w:r w:rsidRPr="00D44674">
        <w:rPr>
          <w:lang w:val="en-GB"/>
        </w:rPr>
        <w:t>Access Network Transport Standar</w:t>
      </w:r>
      <w:r w:rsidR="0085423D">
        <w:rPr>
          <w:lang w:val="en-GB"/>
        </w:rPr>
        <w:t>d</w:t>
      </w:r>
      <w:r w:rsidRPr="00D44674">
        <w:rPr>
          <w:lang w:val="en-GB"/>
        </w:rPr>
        <w:t>s</w:t>
      </w:r>
    </w:p>
    <w:p w14:paraId="2AF070E6" w14:textId="232FB479" w:rsidR="421D0307" w:rsidRPr="00D44674" w:rsidRDefault="421D0307" w:rsidP="0063096B">
      <w:pPr>
        <w:numPr>
          <w:ilvl w:val="1"/>
          <w:numId w:val="9"/>
        </w:numPr>
        <w:spacing w:before="0"/>
        <w:rPr>
          <w:lang w:val="en-GB"/>
        </w:rPr>
      </w:pPr>
      <w:r w:rsidRPr="00D44674">
        <w:rPr>
          <w:lang w:val="en-GB"/>
        </w:rPr>
        <w:t>C</w:t>
      </w:r>
      <w:r w:rsidR="0085423D">
        <w:rPr>
          <w:lang w:val="en-GB"/>
        </w:rPr>
        <w:t>l</w:t>
      </w:r>
      <w:r w:rsidRPr="00D44674">
        <w:rPr>
          <w:lang w:val="en-GB"/>
        </w:rPr>
        <w:t>oud Computing</w:t>
      </w:r>
    </w:p>
    <w:p w14:paraId="07C07DCD" w14:textId="6E5E940E" w:rsidR="421D0307" w:rsidRPr="00D44674" w:rsidRDefault="421D0307" w:rsidP="0063096B">
      <w:pPr>
        <w:numPr>
          <w:ilvl w:val="1"/>
          <w:numId w:val="9"/>
        </w:numPr>
        <w:spacing w:before="0"/>
        <w:rPr>
          <w:lang w:val="en-GB"/>
        </w:rPr>
      </w:pPr>
      <w:r w:rsidRPr="00D44674">
        <w:rPr>
          <w:lang w:val="en-GB"/>
        </w:rPr>
        <w:t>Home Network Transport Standards</w:t>
      </w:r>
    </w:p>
    <w:p w14:paraId="2C63AD85" w14:textId="16C5DBD2" w:rsidR="421D0307" w:rsidRPr="00D44674" w:rsidRDefault="421D0307" w:rsidP="0063096B">
      <w:pPr>
        <w:numPr>
          <w:ilvl w:val="1"/>
          <w:numId w:val="9"/>
        </w:numPr>
        <w:spacing w:before="0"/>
        <w:rPr>
          <w:lang w:val="en-GB"/>
        </w:rPr>
      </w:pPr>
      <w:r w:rsidRPr="00D44674">
        <w:rPr>
          <w:lang w:val="en-GB"/>
        </w:rPr>
        <w:t>ICT Security Standards</w:t>
      </w:r>
    </w:p>
    <w:p w14:paraId="0ACCE1BF" w14:textId="6DE0D3CF" w:rsidR="421D0307" w:rsidRPr="00D44674" w:rsidRDefault="421D0307" w:rsidP="0063096B">
      <w:pPr>
        <w:numPr>
          <w:ilvl w:val="1"/>
          <w:numId w:val="9"/>
        </w:numPr>
        <w:spacing w:before="0"/>
        <w:rPr>
          <w:lang w:val="en-GB"/>
        </w:rPr>
      </w:pPr>
      <w:r w:rsidRPr="00D44674">
        <w:rPr>
          <w:lang w:val="en-GB"/>
        </w:rPr>
        <w:t>IMT-2020</w:t>
      </w:r>
    </w:p>
    <w:p w14:paraId="7DCE21E3" w14:textId="16527AC8" w:rsidR="421D0307" w:rsidRPr="00D44674" w:rsidRDefault="421D0307" w:rsidP="0063096B">
      <w:pPr>
        <w:numPr>
          <w:ilvl w:val="1"/>
          <w:numId w:val="9"/>
        </w:numPr>
        <w:spacing w:before="0"/>
        <w:rPr>
          <w:lang w:val="en-GB"/>
        </w:rPr>
      </w:pPr>
      <w:r w:rsidRPr="00D44674">
        <w:rPr>
          <w:lang w:val="en-GB"/>
        </w:rPr>
        <w:t>IoT &amp; Smart Sustainable Cities Standards</w:t>
      </w:r>
    </w:p>
    <w:p w14:paraId="46E00520" w14:textId="45D7338C" w:rsidR="421D0307" w:rsidRPr="00D44674" w:rsidRDefault="421D0307" w:rsidP="0063096B">
      <w:pPr>
        <w:numPr>
          <w:ilvl w:val="1"/>
          <w:numId w:val="9"/>
        </w:numPr>
        <w:spacing w:before="0"/>
        <w:rPr>
          <w:lang w:val="en-GB"/>
        </w:rPr>
      </w:pPr>
      <w:r w:rsidRPr="00D44674">
        <w:rPr>
          <w:lang w:val="en-GB"/>
        </w:rPr>
        <w:t>ITS Communication Standards</w:t>
      </w:r>
    </w:p>
    <w:p w14:paraId="52EA8C93" w14:textId="14DA2CD3" w:rsidR="00136E7B" w:rsidRPr="00F57FAD" w:rsidRDefault="00136E7B" w:rsidP="00136E7B">
      <w:pPr>
        <w:pStyle w:val="Heading2"/>
      </w:pPr>
      <w:bookmarkStart w:id="202" w:name="_Toc51331531"/>
      <w:r w:rsidRPr="00F57FAD">
        <w:t>1</w:t>
      </w:r>
      <w:r w:rsidR="00CB641D">
        <w:t>5</w:t>
      </w:r>
      <w:r w:rsidRPr="00F57FAD">
        <w:t>.2</w:t>
      </w:r>
      <w:r w:rsidRPr="00F57FAD">
        <w:tab/>
        <w:t>MyWorkspace</w:t>
      </w:r>
      <w:bookmarkEnd w:id="202"/>
    </w:p>
    <w:p w14:paraId="5ECAE13E" w14:textId="288E2476" w:rsidR="00136E7B" w:rsidRPr="00D44674" w:rsidRDefault="00E12FA7" w:rsidP="00136E7B">
      <w:pPr>
        <w:rPr>
          <w:lang w:val="en-GB"/>
        </w:rPr>
      </w:pPr>
      <w:hyperlink r:id="rId150">
        <w:r w:rsidR="00136E7B" w:rsidRPr="0A47BC55">
          <w:rPr>
            <w:rStyle w:val="Hyperlink"/>
            <w:lang w:val="en-GB"/>
          </w:rPr>
          <w:t>MyWorkspace</w:t>
        </w:r>
      </w:hyperlink>
      <w:r w:rsidR="00136E7B" w:rsidRPr="0A47BC55">
        <w:rPr>
          <w:lang w:val="en-GB"/>
        </w:rPr>
        <w:t xml:space="preserve"> is a </w:t>
      </w:r>
      <w:r w:rsidR="69FD6702" w:rsidRPr="0A47BC55">
        <w:rPr>
          <w:lang w:val="en-GB"/>
        </w:rPr>
        <w:t>user</w:t>
      </w:r>
      <w:r w:rsidR="00136E7B" w:rsidRPr="0A47BC55">
        <w:rPr>
          <w:lang w:val="en-GB"/>
        </w:rPr>
        <w:t xml:space="preserve">-friendly </w:t>
      </w:r>
      <w:r w:rsidR="465F3EA4" w:rsidRPr="0A47BC55">
        <w:rPr>
          <w:lang w:val="en-GB"/>
        </w:rPr>
        <w:t xml:space="preserve">mobile platform that centralizes a set of </w:t>
      </w:r>
      <w:r w:rsidR="7AE8A3E2" w:rsidRPr="0A47BC55">
        <w:rPr>
          <w:lang w:val="en-GB"/>
        </w:rPr>
        <w:t>applications</w:t>
      </w:r>
      <w:r w:rsidR="00136E7B" w:rsidRPr="0A47BC55">
        <w:rPr>
          <w:lang w:val="en-GB"/>
        </w:rPr>
        <w:t xml:space="preserve"> and services</w:t>
      </w:r>
      <w:r w:rsidR="064BAC4B" w:rsidRPr="0A47BC55">
        <w:rPr>
          <w:lang w:val="en-GB"/>
        </w:rPr>
        <w:t xml:space="preserve"> developed to strengthen electronic working methods for the work of ITU-T,</w:t>
      </w:r>
      <w:r w:rsidR="00136E7B" w:rsidRPr="0A47BC55">
        <w:rPr>
          <w:lang w:val="en-GB"/>
        </w:rPr>
        <w:t xml:space="preserve"> </w:t>
      </w:r>
      <w:r w:rsidR="1C5A3A50" w:rsidRPr="0A47BC55">
        <w:rPr>
          <w:lang w:val="en-GB"/>
        </w:rPr>
        <w:t xml:space="preserve">as stated in </w:t>
      </w:r>
      <w:r w:rsidR="00136E7B" w:rsidRPr="0A47BC55">
        <w:rPr>
          <w:lang w:val="en-GB"/>
        </w:rPr>
        <w:t xml:space="preserve">WTSA Resolution 32. </w:t>
      </w:r>
      <w:r w:rsidR="7B6D37F8" w:rsidRPr="0A47BC55">
        <w:rPr>
          <w:lang w:val="en-GB"/>
        </w:rPr>
        <w:t>Since t</w:t>
      </w:r>
      <w:r w:rsidR="00136E7B" w:rsidRPr="0A47BC55">
        <w:rPr>
          <w:lang w:val="en-GB"/>
        </w:rPr>
        <w:t>he first version was released in 2017</w:t>
      </w:r>
      <w:r w:rsidR="3EA8485C" w:rsidRPr="0A47BC55">
        <w:rPr>
          <w:lang w:val="en-GB"/>
        </w:rPr>
        <w:t>,</w:t>
      </w:r>
      <w:r w:rsidR="00136E7B" w:rsidRPr="0A47BC55">
        <w:rPr>
          <w:lang w:val="en-GB"/>
        </w:rPr>
        <w:t xml:space="preserve"> </w:t>
      </w:r>
      <w:r w:rsidR="5257543D" w:rsidRPr="0A47BC55">
        <w:rPr>
          <w:lang w:val="en-GB"/>
        </w:rPr>
        <w:t>more than</w:t>
      </w:r>
      <w:r w:rsidR="7F9A6879" w:rsidRPr="0A47BC55">
        <w:rPr>
          <w:lang w:val="en-GB"/>
        </w:rPr>
        <w:t xml:space="preserve"> </w:t>
      </w:r>
      <w:r w:rsidR="71BE97F4" w:rsidRPr="0A47BC55">
        <w:rPr>
          <w:lang w:val="en-GB"/>
        </w:rPr>
        <w:t>4000</w:t>
      </w:r>
      <w:r w:rsidR="00136E7B" w:rsidRPr="0A47BC55">
        <w:rPr>
          <w:lang w:val="en-GB"/>
        </w:rPr>
        <w:t xml:space="preserve"> users</w:t>
      </w:r>
      <w:r w:rsidR="5B933680" w:rsidRPr="0A47BC55">
        <w:rPr>
          <w:lang w:val="en-GB"/>
        </w:rPr>
        <w:t xml:space="preserve"> have visited it</w:t>
      </w:r>
      <w:r w:rsidR="5AE79740" w:rsidRPr="0A47BC55">
        <w:rPr>
          <w:lang w:val="en-GB"/>
        </w:rPr>
        <w:t>, with</w:t>
      </w:r>
      <w:r w:rsidR="00136E7B" w:rsidRPr="0A47BC55">
        <w:rPr>
          <w:lang w:val="en-GB"/>
        </w:rPr>
        <w:t xml:space="preserve"> an average of 500 </w:t>
      </w:r>
      <w:r w:rsidR="7F4A4901" w:rsidRPr="0A47BC55">
        <w:rPr>
          <w:lang w:val="en-GB"/>
        </w:rPr>
        <w:t>visits</w:t>
      </w:r>
      <w:r w:rsidR="00136E7B" w:rsidRPr="0A47BC55">
        <w:rPr>
          <w:lang w:val="en-GB"/>
        </w:rPr>
        <w:t xml:space="preserve"> per month.</w:t>
      </w:r>
      <w:r w:rsidR="40BD9EC4" w:rsidRPr="0A47BC55">
        <w:rPr>
          <w:lang w:val="en-GB"/>
        </w:rPr>
        <w:t xml:space="preserve"> </w:t>
      </w:r>
      <w:r w:rsidR="30DA72F8" w:rsidRPr="0A47BC55">
        <w:rPr>
          <w:lang w:val="en-GB"/>
        </w:rPr>
        <w:t>The platform</w:t>
      </w:r>
      <w:r w:rsidR="00136E7B" w:rsidRPr="0A47BC55">
        <w:rPr>
          <w:lang w:val="en-GB"/>
        </w:rPr>
        <w:t xml:space="preserve"> is accessible </w:t>
      </w:r>
      <w:r w:rsidR="2D0727AB" w:rsidRPr="0A47BC55">
        <w:rPr>
          <w:lang w:val="en-GB"/>
        </w:rPr>
        <w:t xml:space="preserve">online </w:t>
      </w:r>
      <w:r w:rsidR="00136E7B" w:rsidRPr="0A47BC55">
        <w:rPr>
          <w:lang w:val="en-GB"/>
        </w:rPr>
        <w:t xml:space="preserve">and </w:t>
      </w:r>
      <w:r w:rsidR="45BA6147" w:rsidRPr="0A47BC55">
        <w:rPr>
          <w:lang w:val="en-GB"/>
        </w:rPr>
        <w:t>as</w:t>
      </w:r>
      <w:r w:rsidR="00136E7B" w:rsidRPr="0A47BC55">
        <w:rPr>
          <w:lang w:val="en-GB"/>
        </w:rPr>
        <w:t xml:space="preserve"> </w:t>
      </w:r>
      <w:r w:rsidR="21B61B8E" w:rsidRPr="0A47BC55">
        <w:rPr>
          <w:lang w:val="en-GB"/>
        </w:rPr>
        <w:t>a</w:t>
      </w:r>
      <w:r w:rsidR="00136E7B" w:rsidRPr="0A47BC55">
        <w:rPr>
          <w:lang w:val="en-GB"/>
        </w:rPr>
        <w:t xml:space="preserve"> mobile application (Android &amp; iOS). Secure access to MyWorkspace is enabled through ITU User Account (TIES) credentials.</w:t>
      </w:r>
    </w:p>
    <w:p w14:paraId="282FE629" w14:textId="7595E593" w:rsidR="00136E7B" w:rsidRPr="00D44674" w:rsidRDefault="00136E7B" w:rsidP="00136E7B">
      <w:pPr>
        <w:rPr>
          <w:lang w:val="en-GB"/>
        </w:rPr>
      </w:pPr>
      <w:r w:rsidRPr="20821C4C">
        <w:rPr>
          <w:lang w:val="en-GB"/>
        </w:rPr>
        <w:t xml:space="preserve">The following </w:t>
      </w:r>
      <w:r w:rsidR="41692370" w:rsidRPr="20821C4C">
        <w:rPr>
          <w:lang w:val="en-GB"/>
        </w:rPr>
        <w:t>applications and</w:t>
      </w:r>
      <w:r w:rsidRPr="20821C4C">
        <w:rPr>
          <w:lang w:val="en-GB"/>
        </w:rPr>
        <w:t xml:space="preserve"> services are available </w:t>
      </w:r>
      <w:r w:rsidR="20E74DAA" w:rsidRPr="20821C4C">
        <w:rPr>
          <w:lang w:val="en-GB"/>
        </w:rPr>
        <w:t>in</w:t>
      </w:r>
      <w:r w:rsidRPr="20821C4C">
        <w:rPr>
          <w:lang w:val="en-GB"/>
        </w:rPr>
        <w:t xml:space="preserve"> </w:t>
      </w:r>
      <w:r w:rsidR="02FDFC9C" w:rsidRPr="20821C4C">
        <w:rPr>
          <w:lang w:val="en-GB"/>
        </w:rPr>
        <w:t>MyWorkspace</w:t>
      </w:r>
      <w:r w:rsidRPr="20821C4C">
        <w:rPr>
          <w:lang w:val="en-GB"/>
        </w:rPr>
        <w:t>:</w:t>
      </w:r>
    </w:p>
    <w:p w14:paraId="509D762E" w14:textId="48D20436" w:rsidR="00136E7B" w:rsidRPr="00D44674" w:rsidRDefault="00E12FA7" w:rsidP="0063096B">
      <w:pPr>
        <w:numPr>
          <w:ilvl w:val="0"/>
          <w:numId w:val="11"/>
        </w:numPr>
        <w:rPr>
          <w:lang w:val="en-GB"/>
        </w:rPr>
      </w:pPr>
      <w:hyperlink r:id="rId151" w:anchor="/my-workspace/remote_participation">
        <w:r w:rsidR="7FAE8A6B" w:rsidRPr="20821C4C">
          <w:rPr>
            <w:rStyle w:val="Hyperlink"/>
            <w:lang w:val="en-GB"/>
          </w:rPr>
          <w:t>MyMeetings</w:t>
        </w:r>
      </w:hyperlink>
      <w:r w:rsidR="7FAE8A6B" w:rsidRPr="20821C4C">
        <w:rPr>
          <w:lang w:val="en-GB"/>
        </w:rPr>
        <w:t xml:space="preserve">: </w:t>
      </w:r>
      <w:r w:rsidR="7FAE8A6B">
        <w:t>R</w:t>
      </w:r>
      <w:r w:rsidR="7FAE8A6B" w:rsidRPr="20821C4C">
        <w:rPr>
          <w:lang w:val="en-GB"/>
        </w:rPr>
        <w:t xml:space="preserve">emote participation service based on an open-source solution </w:t>
      </w:r>
      <w:r w:rsidR="2A89D6A6" w:rsidRPr="20821C4C">
        <w:rPr>
          <w:lang w:val="en-GB"/>
        </w:rPr>
        <w:t xml:space="preserve">and </w:t>
      </w:r>
      <w:r w:rsidR="7FAE8A6B" w:rsidRPr="20821C4C">
        <w:rPr>
          <w:lang w:val="en-GB"/>
        </w:rPr>
        <w:t>customized in-house to support requirements of both statutory and non-statutory ITU-T meetings</w:t>
      </w:r>
      <w:r w:rsidR="7FAE8A6B">
        <w:t>.</w:t>
      </w:r>
    </w:p>
    <w:p w14:paraId="7C4A245E" w14:textId="774BB8E7" w:rsidR="031D0B52" w:rsidRPr="00D44674" w:rsidRDefault="00E12FA7" w:rsidP="0063096B">
      <w:pPr>
        <w:numPr>
          <w:ilvl w:val="0"/>
          <w:numId w:val="11"/>
        </w:numPr>
        <w:spacing w:line="259" w:lineRule="auto"/>
        <w:rPr>
          <w:lang w:val="en-GB"/>
        </w:rPr>
      </w:pPr>
      <w:hyperlink r:id="rId152" w:anchor="/my-workspace/myevents">
        <w:r w:rsidR="031D0B52" w:rsidRPr="20821C4C">
          <w:rPr>
            <w:rStyle w:val="Hyperlink"/>
            <w:lang w:val="en-GB"/>
          </w:rPr>
          <w:t>MyEvents</w:t>
        </w:r>
      </w:hyperlink>
      <w:r w:rsidR="031D0B52" w:rsidRPr="20821C4C">
        <w:rPr>
          <w:lang w:val="en-GB"/>
        </w:rPr>
        <w:t>: Events management platform, which provides real time ITU-T events agenda, list of registered participants, speakers and exhibitors, as well as a ‘matchmaking’ function to enable networking among participants.</w:t>
      </w:r>
    </w:p>
    <w:p w14:paraId="02721299" w14:textId="62194BDB" w:rsidR="031D0B52" w:rsidRPr="00D44674" w:rsidRDefault="00E12FA7" w:rsidP="0063096B">
      <w:pPr>
        <w:numPr>
          <w:ilvl w:val="0"/>
          <w:numId w:val="11"/>
        </w:numPr>
        <w:spacing w:line="259" w:lineRule="auto"/>
        <w:rPr>
          <w:lang w:val="en-GB"/>
        </w:rPr>
      </w:pPr>
      <w:hyperlink r:id="rId153" w:anchor="/my-workspace/allevent">
        <w:r w:rsidR="031D0B52" w:rsidRPr="0A47BC55">
          <w:rPr>
            <w:rStyle w:val="Hyperlink"/>
            <w:lang w:val="en-GB"/>
          </w:rPr>
          <w:t>All Events</w:t>
        </w:r>
      </w:hyperlink>
      <w:r w:rsidR="031D0B52" w:rsidRPr="0A47BC55">
        <w:rPr>
          <w:lang w:val="en-GB"/>
        </w:rPr>
        <w:t>: Simplified calendar view of events</w:t>
      </w:r>
      <w:r w:rsidR="28B6544A" w:rsidRPr="0A47BC55">
        <w:rPr>
          <w:lang w:val="en-GB"/>
        </w:rPr>
        <w:t>, with links to access</w:t>
      </w:r>
      <w:r w:rsidR="031D0B52" w:rsidRPr="0A47BC55">
        <w:rPr>
          <w:lang w:val="en-GB"/>
        </w:rPr>
        <w:t xml:space="preserve"> detail</w:t>
      </w:r>
      <w:r w:rsidR="2A7C344F" w:rsidRPr="0A47BC55">
        <w:rPr>
          <w:lang w:val="en-GB"/>
        </w:rPr>
        <w:t>ed</w:t>
      </w:r>
      <w:r w:rsidR="2E4C310C" w:rsidRPr="0A47BC55">
        <w:rPr>
          <w:lang w:val="en-GB"/>
        </w:rPr>
        <w:t xml:space="preserve"> information</w:t>
      </w:r>
      <w:r w:rsidR="031D0B52" w:rsidRPr="0A47BC55">
        <w:rPr>
          <w:lang w:val="en-GB"/>
        </w:rPr>
        <w:t>.</w:t>
      </w:r>
    </w:p>
    <w:p w14:paraId="7909E38D" w14:textId="1F07550D" w:rsidR="031D0B52" w:rsidRPr="00D44674" w:rsidRDefault="00E12FA7" w:rsidP="0063096B">
      <w:pPr>
        <w:numPr>
          <w:ilvl w:val="0"/>
          <w:numId w:val="11"/>
        </w:numPr>
        <w:spacing w:line="259" w:lineRule="auto"/>
        <w:rPr>
          <w:lang w:val="en-GB"/>
        </w:rPr>
      </w:pPr>
      <w:hyperlink r:id="rId154" w:anchor="/my-workspace/translate">
        <w:r w:rsidR="031D0B52" w:rsidRPr="0A47BC55">
          <w:rPr>
            <w:rStyle w:val="Hyperlink"/>
            <w:lang w:val="en-GB"/>
          </w:rPr>
          <w:t>ITU Translate</w:t>
        </w:r>
      </w:hyperlink>
      <w:r w:rsidR="031D0B52" w:rsidRPr="0A47BC55">
        <w:rPr>
          <w:lang w:val="en-GB"/>
        </w:rPr>
        <w:t>: Machine translation tool based on neural network</w:t>
      </w:r>
      <w:r w:rsidR="2707DD47" w:rsidRPr="0A47BC55">
        <w:rPr>
          <w:lang w:val="en-GB"/>
        </w:rPr>
        <w:t>,</w:t>
      </w:r>
      <w:r w:rsidR="031D0B52" w:rsidRPr="0A47BC55">
        <w:rPr>
          <w:lang w:val="en-GB"/>
        </w:rPr>
        <w:t xml:space="preserve"> trained in-house on ITU documents official translations</w:t>
      </w:r>
      <w:r w:rsidR="0CE0F78C" w:rsidRPr="0A47BC55">
        <w:rPr>
          <w:lang w:val="en-GB"/>
        </w:rPr>
        <w:t xml:space="preserve"> and</w:t>
      </w:r>
      <w:r w:rsidR="031D0B52" w:rsidRPr="0A47BC55">
        <w:rPr>
          <w:lang w:val="en-GB"/>
        </w:rPr>
        <w:t xml:space="preserve"> supporting </w:t>
      </w:r>
      <w:r w:rsidR="0B28C90A" w:rsidRPr="0A47BC55">
        <w:rPr>
          <w:lang w:val="en-GB"/>
        </w:rPr>
        <w:t xml:space="preserve">all </w:t>
      </w:r>
      <w:r w:rsidR="031D0B52" w:rsidRPr="0A47BC55">
        <w:rPr>
          <w:lang w:val="en-GB"/>
        </w:rPr>
        <w:t xml:space="preserve">six (6) </w:t>
      </w:r>
      <w:r w:rsidR="7FCFDC26" w:rsidRPr="0A47BC55">
        <w:rPr>
          <w:lang w:val="en-GB"/>
        </w:rPr>
        <w:t>UN</w:t>
      </w:r>
      <w:r w:rsidR="031D0B52" w:rsidRPr="0A47BC55">
        <w:rPr>
          <w:lang w:val="en-GB"/>
        </w:rPr>
        <w:t xml:space="preserve"> official languages.</w:t>
      </w:r>
    </w:p>
    <w:p w14:paraId="68A3D1F9" w14:textId="599E6063" w:rsidR="031D0B52" w:rsidRPr="00D44674" w:rsidRDefault="00E12FA7" w:rsidP="0063096B">
      <w:pPr>
        <w:numPr>
          <w:ilvl w:val="0"/>
          <w:numId w:val="11"/>
        </w:numPr>
        <w:spacing w:line="259" w:lineRule="auto"/>
        <w:rPr>
          <w:lang w:val="en-GB"/>
        </w:rPr>
      </w:pPr>
      <w:hyperlink r:id="rId155">
        <w:r w:rsidR="031D0B52" w:rsidRPr="0A47BC55">
          <w:rPr>
            <w:rStyle w:val="Hyperlink"/>
            <w:lang w:val="en-GB"/>
          </w:rPr>
          <w:t>ITU-T Cloud</w:t>
        </w:r>
      </w:hyperlink>
      <w:r w:rsidR="031D0B52" w:rsidRPr="0A47BC55">
        <w:rPr>
          <w:lang w:val="en-GB"/>
        </w:rPr>
        <w:t xml:space="preserve">: ITU premises storage service allowing users to share and exchange up to 10 GB </w:t>
      </w:r>
      <w:r w:rsidR="6617F47B" w:rsidRPr="0A47BC55">
        <w:rPr>
          <w:lang w:val="en-GB"/>
        </w:rPr>
        <w:t xml:space="preserve">of files </w:t>
      </w:r>
      <w:r w:rsidR="031D0B52" w:rsidRPr="0A47BC55">
        <w:rPr>
          <w:lang w:val="en-GB"/>
        </w:rPr>
        <w:t>per user.</w:t>
      </w:r>
    </w:p>
    <w:p w14:paraId="5B408C9D" w14:textId="576BD5C1" w:rsidR="031D0B52" w:rsidRPr="00D44674" w:rsidRDefault="00E12FA7" w:rsidP="0063096B">
      <w:pPr>
        <w:numPr>
          <w:ilvl w:val="0"/>
          <w:numId w:val="11"/>
        </w:numPr>
        <w:spacing w:line="259" w:lineRule="auto"/>
        <w:rPr>
          <w:lang w:val="en-GB"/>
        </w:rPr>
      </w:pPr>
      <w:hyperlink r:id="rId156" w:anchor="/my-workspace/mails">
        <w:r w:rsidR="031D0B52" w:rsidRPr="0A47BC55">
          <w:rPr>
            <w:rStyle w:val="Hyperlink"/>
            <w:lang w:val="en-GB"/>
          </w:rPr>
          <w:t>Mailing list</w:t>
        </w:r>
      </w:hyperlink>
      <w:r w:rsidR="031D0B52" w:rsidRPr="0A47BC55">
        <w:rPr>
          <w:lang w:val="en-GB"/>
        </w:rPr>
        <w:t>: Subscription management with search function</w:t>
      </w:r>
      <w:r w:rsidR="0643EA57" w:rsidRPr="0A47BC55">
        <w:rPr>
          <w:lang w:val="en-GB"/>
        </w:rPr>
        <w:t>ality</w:t>
      </w:r>
      <w:r w:rsidR="031D0B52" w:rsidRPr="0A47BC55">
        <w:rPr>
          <w:lang w:val="en-GB"/>
        </w:rPr>
        <w:t>.</w:t>
      </w:r>
    </w:p>
    <w:p w14:paraId="08EA7172" w14:textId="7D2C3AB0" w:rsidR="031D0B52" w:rsidRPr="00D44674" w:rsidRDefault="00E12FA7" w:rsidP="0063096B">
      <w:pPr>
        <w:numPr>
          <w:ilvl w:val="0"/>
          <w:numId w:val="11"/>
        </w:numPr>
        <w:spacing w:line="259" w:lineRule="auto"/>
        <w:rPr>
          <w:szCs w:val="24"/>
          <w:lang w:val="en-GB"/>
        </w:rPr>
      </w:pPr>
      <w:hyperlink r:id="rId157" w:anchor="/my-workspace/community" w:history="1">
        <w:r w:rsidR="031D0B52" w:rsidRPr="00D44674">
          <w:rPr>
            <w:rStyle w:val="Hyperlink"/>
            <w:szCs w:val="24"/>
            <w:lang w:val="en-GB"/>
          </w:rPr>
          <w:t>Community</w:t>
        </w:r>
      </w:hyperlink>
      <w:r w:rsidR="031D0B52" w:rsidRPr="00D44674">
        <w:rPr>
          <w:szCs w:val="24"/>
          <w:lang w:val="en-GB"/>
        </w:rPr>
        <w:t>: MyWorkspace user’s directory.</w:t>
      </w:r>
    </w:p>
    <w:p w14:paraId="6BBAEC48" w14:textId="7033DC11" w:rsidR="00C35B17" w:rsidRDefault="7B18FB8C" w:rsidP="0063096B">
      <w:pPr>
        <w:numPr>
          <w:ilvl w:val="0"/>
          <w:numId w:val="11"/>
        </w:numPr>
        <w:spacing w:line="259" w:lineRule="auto"/>
        <w:rPr>
          <w:lang w:val="en-GB"/>
        </w:rPr>
      </w:pPr>
      <w:r w:rsidRPr="0A47BC55">
        <w:rPr>
          <w:u w:val="single"/>
          <w:lang w:val="en-GB"/>
        </w:rPr>
        <w:t>Suggested meeting documents</w:t>
      </w:r>
      <w:r w:rsidRPr="0A47BC55">
        <w:rPr>
          <w:lang w:val="en-GB"/>
        </w:rPr>
        <w:t xml:space="preserve">: </w:t>
      </w:r>
      <w:r w:rsidR="43013559" w:rsidRPr="0A47BC55">
        <w:rPr>
          <w:lang w:val="en-GB"/>
        </w:rPr>
        <w:t xml:space="preserve">A proposed </w:t>
      </w:r>
      <w:r w:rsidR="6D7E901A" w:rsidRPr="0A47BC55">
        <w:rPr>
          <w:lang w:val="en-GB"/>
        </w:rPr>
        <w:t>l</w:t>
      </w:r>
      <w:r w:rsidRPr="0A47BC55">
        <w:rPr>
          <w:lang w:val="en-GB"/>
        </w:rPr>
        <w:t>ist of documents based on pre</w:t>
      </w:r>
      <w:r w:rsidR="0085423D">
        <w:rPr>
          <w:lang w:val="en-GB"/>
        </w:rPr>
        <w:t>-</w:t>
      </w:r>
      <w:r w:rsidRPr="0A47BC55">
        <w:rPr>
          <w:lang w:val="en-GB"/>
        </w:rPr>
        <w:t xml:space="preserve">set user interests, with the option to </w:t>
      </w:r>
      <w:r w:rsidRPr="0A47BC55">
        <w:rPr>
          <w:u w:val="single"/>
          <w:lang w:val="en-GB"/>
        </w:rPr>
        <w:t>bookmark</w:t>
      </w:r>
      <w:r w:rsidRPr="0A47BC55">
        <w:rPr>
          <w:lang w:val="en-GB"/>
        </w:rPr>
        <w:t xml:space="preserve"> favourites.</w:t>
      </w:r>
    </w:p>
    <w:p w14:paraId="419BE855" w14:textId="61F9DBBC" w:rsidR="00C35B17" w:rsidRPr="00C35B17" w:rsidRDefault="00E12FA7" w:rsidP="0063096B">
      <w:pPr>
        <w:numPr>
          <w:ilvl w:val="0"/>
          <w:numId w:val="11"/>
        </w:numPr>
        <w:spacing w:line="259" w:lineRule="auto"/>
        <w:rPr>
          <w:lang w:val="en-GB"/>
        </w:rPr>
      </w:pPr>
      <w:hyperlink r:id="rId158" w:anchor="/profile">
        <w:r w:rsidR="031D0B52" w:rsidRPr="7EC87BF3">
          <w:rPr>
            <w:rStyle w:val="Hyperlink"/>
          </w:rPr>
          <w:t>Profile</w:t>
        </w:r>
      </w:hyperlink>
      <w:r w:rsidR="031D0B52">
        <w:t>:</w:t>
      </w:r>
      <w:r w:rsidR="64CC9665">
        <w:t xml:space="preserve"> User personal information and interests.</w:t>
      </w:r>
    </w:p>
    <w:p w14:paraId="202C7491" w14:textId="378A2ECB" w:rsidR="00136E7B" w:rsidRPr="00F57FAD" w:rsidRDefault="00136E7B" w:rsidP="00136E7B">
      <w:pPr>
        <w:pStyle w:val="Heading2"/>
      </w:pPr>
      <w:bookmarkStart w:id="203" w:name="_Toc51331532"/>
      <w:r w:rsidRPr="00F57FAD">
        <w:t>1</w:t>
      </w:r>
      <w:r w:rsidR="00CB641D">
        <w:t>5</w:t>
      </w:r>
      <w:r w:rsidRPr="00F57FAD">
        <w:t>.3</w:t>
      </w:r>
      <w:r w:rsidRPr="00F57FAD">
        <w:tab/>
        <w:t>ITU</w:t>
      </w:r>
      <w:r w:rsidR="0316CE1D" w:rsidRPr="00F57FAD">
        <w:t>S</w:t>
      </w:r>
      <w:r w:rsidRPr="00F57FAD">
        <w:t>earch</w:t>
      </w:r>
      <w:bookmarkEnd w:id="203"/>
    </w:p>
    <w:p w14:paraId="64809DD7" w14:textId="08F5C392" w:rsidR="00136E7B" w:rsidRPr="00D44674" w:rsidRDefault="00E12FA7" w:rsidP="00136E7B">
      <w:pPr>
        <w:rPr>
          <w:lang w:val="en-GB"/>
        </w:rPr>
      </w:pPr>
      <w:hyperlink r:id="rId159">
        <w:r w:rsidR="7E36B0DA" w:rsidRPr="0A47BC55">
          <w:rPr>
            <w:rStyle w:val="Hyperlink"/>
            <w:lang w:val="en-GB"/>
          </w:rPr>
          <w:t>ITUSearch</w:t>
        </w:r>
      </w:hyperlink>
      <w:r w:rsidR="7E36B0DA" w:rsidRPr="0A47BC55">
        <w:rPr>
          <w:lang w:val="en-GB"/>
        </w:rPr>
        <w:t xml:space="preserve"> is a</w:t>
      </w:r>
      <w:r w:rsidR="00136E7B" w:rsidRPr="004E5B45">
        <w:rPr>
          <w:lang w:val="en-GB"/>
        </w:rPr>
        <w:t xml:space="preserve"> mobile-friendly </w:t>
      </w:r>
      <w:r w:rsidR="1B7B2653" w:rsidRPr="0A47BC55">
        <w:rPr>
          <w:lang w:val="en-GB"/>
        </w:rPr>
        <w:t>search engine covering all</w:t>
      </w:r>
      <w:r w:rsidR="00136E7B" w:rsidRPr="0A47BC55">
        <w:rPr>
          <w:lang w:val="en-GB"/>
        </w:rPr>
        <w:t xml:space="preserve"> ITU </w:t>
      </w:r>
      <w:r w:rsidR="00136E7B" w:rsidRPr="004E5B45">
        <w:rPr>
          <w:lang w:val="en-GB"/>
        </w:rPr>
        <w:t>documents, websites, publications</w:t>
      </w:r>
      <w:r w:rsidR="47716B42" w:rsidRPr="0A47BC55">
        <w:rPr>
          <w:lang w:val="en-GB"/>
        </w:rPr>
        <w:t>,</w:t>
      </w:r>
      <w:r w:rsidR="00136E7B" w:rsidRPr="004E5B45">
        <w:rPr>
          <w:lang w:val="en-GB"/>
        </w:rPr>
        <w:t xml:space="preserve"> and other </w:t>
      </w:r>
      <w:r w:rsidR="097A4415" w:rsidRPr="0A47BC55">
        <w:rPr>
          <w:lang w:val="en-GB"/>
        </w:rPr>
        <w:t xml:space="preserve">type of </w:t>
      </w:r>
      <w:r w:rsidR="00136E7B" w:rsidRPr="004E5B45">
        <w:rPr>
          <w:lang w:val="en-GB"/>
        </w:rPr>
        <w:t xml:space="preserve">resources. </w:t>
      </w:r>
      <w:r w:rsidR="51424C36" w:rsidRPr="0A47BC55">
        <w:rPr>
          <w:lang w:val="en-GB"/>
        </w:rPr>
        <w:t>O</w:t>
      </w:r>
      <w:r w:rsidR="00136E7B" w:rsidRPr="0A47BC55">
        <w:rPr>
          <w:lang w:val="en-GB"/>
        </w:rPr>
        <w:t>n average</w:t>
      </w:r>
      <w:r w:rsidR="364AA8AC" w:rsidRPr="0A47BC55">
        <w:rPr>
          <w:lang w:val="en-GB"/>
        </w:rPr>
        <w:t xml:space="preserve">, </w:t>
      </w:r>
      <w:r w:rsidR="41D667F0" w:rsidRPr="0A47BC55">
        <w:rPr>
          <w:lang w:val="en-GB"/>
        </w:rPr>
        <w:t>70</w:t>
      </w:r>
      <w:r w:rsidR="00136E7B" w:rsidRPr="0A47BC55">
        <w:rPr>
          <w:lang w:val="en-GB"/>
        </w:rPr>
        <w:t xml:space="preserve">,000 searches </w:t>
      </w:r>
      <w:r w:rsidR="09F11DF7" w:rsidRPr="0A47BC55">
        <w:rPr>
          <w:lang w:val="en-GB"/>
        </w:rPr>
        <w:t>are performed</w:t>
      </w:r>
      <w:r w:rsidR="00136E7B" w:rsidRPr="0A47BC55">
        <w:rPr>
          <w:lang w:val="en-GB"/>
        </w:rPr>
        <w:t xml:space="preserve"> each month</w:t>
      </w:r>
      <w:r w:rsidR="3A6EF8ED" w:rsidRPr="0A47BC55">
        <w:rPr>
          <w:lang w:val="en-GB"/>
        </w:rPr>
        <w:t xml:space="preserve"> using ITUSearch</w:t>
      </w:r>
      <w:r w:rsidR="00136E7B" w:rsidRPr="0A47BC55">
        <w:rPr>
          <w:lang w:val="en-GB"/>
        </w:rPr>
        <w:t>.</w:t>
      </w:r>
    </w:p>
    <w:p w14:paraId="35341FAA" w14:textId="41AF7FB8" w:rsidR="00136E7B" w:rsidRPr="00D44674" w:rsidRDefault="00136E7B" w:rsidP="00136E7B">
      <w:pPr>
        <w:rPr>
          <w:lang w:val="en-GB"/>
        </w:rPr>
      </w:pPr>
      <w:r w:rsidRPr="00D44674">
        <w:rPr>
          <w:lang w:val="en-GB"/>
        </w:rPr>
        <w:t xml:space="preserve">The latest version of the search engine released </w:t>
      </w:r>
      <w:r w:rsidR="724F123A" w:rsidRPr="00D44674">
        <w:rPr>
          <w:lang w:val="en-GB"/>
        </w:rPr>
        <w:t>last year</w:t>
      </w:r>
      <w:r w:rsidRPr="00D44674">
        <w:rPr>
          <w:lang w:val="en-GB"/>
        </w:rPr>
        <w:t xml:space="preserve"> includes</w:t>
      </w:r>
      <w:r w:rsidR="122F11CC" w:rsidRPr="00D44674">
        <w:rPr>
          <w:lang w:val="en-GB"/>
        </w:rPr>
        <w:t xml:space="preserve"> following search category</w:t>
      </w:r>
      <w:r w:rsidRPr="00D44674">
        <w:rPr>
          <w:lang w:val="en-GB"/>
        </w:rPr>
        <w:t>:</w:t>
      </w:r>
    </w:p>
    <w:p w14:paraId="609184F7" w14:textId="7121E4BE" w:rsidR="77D4D658" w:rsidRPr="00D44674" w:rsidRDefault="00E12FA7" w:rsidP="0063096B">
      <w:pPr>
        <w:numPr>
          <w:ilvl w:val="0"/>
          <w:numId w:val="12"/>
        </w:numPr>
        <w:rPr>
          <w:lang w:val="en-GB"/>
        </w:rPr>
      </w:pPr>
      <w:hyperlink r:id="rId160" w:anchor="?target=All&amp;ex=false&amp;q=TSAG&amp;fl=0">
        <w:r w:rsidR="77D4D658" w:rsidRPr="0A47BC55">
          <w:rPr>
            <w:rStyle w:val="Hyperlink"/>
            <w:lang w:val="en-GB"/>
          </w:rPr>
          <w:t>All</w:t>
        </w:r>
      </w:hyperlink>
      <w:r w:rsidR="77D4D658" w:rsidRPr="0A47BC55">
        <w:rPr>
          <w:lang w:val="en-GB"/>
        </w:rPr>
        <w:t>: Search</w:t>
      </w:r>
      <w:r w:rsidR="5C5465C6" w:rsidRPr="0A47BC55">
        <w:rPr>
          <w:lang w:val="en-GB"/>
        </w:rPr>
        <w:t>es</w:t>
      </w:r>
      <w:r w:rsidR="77D4D658" w:rsidRPr="0A47BC55">
        <w:rPr>
          <w:lang w:val="en-GB"/>
        </w:rPr>
        <w:t xml:space="preserve"> on all ITU resources with filtering features on Sectors, type</w:t>
      </w:r>
      <w:r w:rsidR="438B810A" w:rsidRPr="0A47BC55">
        <w:rPr>
          <w:lang w:val="en-GB"/>
        </w:rPr>
        <w:t>s</w:t>
      </w:r>
      <w:r w:rsidR="77D4D658" w:rsidRPr="0A47BC55">
        <w:rPr>
          <w:lang w:val="en-GB"/>
        </w:rPr>
        <w:t xml:space="preserve"> of </w:t>
      </w:r>
      <w:r w:rsidR="07707AEC" w:rsidRPr="0A47BC55">
        <w:rPr>
          <w:lang w:val="en-GB"/>
        </w:rPr>
        <w:t xml:space="preserve">content </w:t>
      </w:r>
      <w:r w:rsidR="77D4D658" w:rsidRPr="0A47BC55">
        <w:rPr>
          <w:lang w:val="en-GB"/>
        </w:rPr>
        <w:t>and languages.</w:t>
      </w:r>
    </w:p>
    <w:p w14:paraId="17943E0E" w14:textId="00AA2777" w:rsidR="5C4E5E45" w:rsidRPr="00D44674" w:rsidRDefault="00E12FA7" w:rsidP="0063096B">
      <w:pPr>
        <w:numPr>
          <w:ilvl w:val="0"/>
          <w:numId w:val="12"/>
        </w:numPr>
        <w:rPr>
          <w:lang w:val="en-GB"/>
        </w:rPr>
      </w:pPr>
      <w:hyperlink r:id="rId161" w:anchor="?target=Media&amp;ex=false&amp;q=TSAG&amp;fl=0">
        <w:r w:rsidR="5C4E5E45" w:rsidRPr="0A47BC55">
          <w:rPr>
            <w:rStyle w:val="Hyperlink"/>
            <w:lang w:val="en-GB"/>
          </w:rPr>
          <w:t>Multimedia</w:t>
        </w:r>
      </w:hyperlink>
      <w:r w:rsidR="5C4E5E45" w:rsidRPr="0A47BC55">
        <w:rPr>
          <w:lang w:val="en-GB"/>
        </w:rPr>
        <w:t>: Search</w:t>
      </w:r>
      <w:r w:rsidR="28C4060D" w:rsidRPr="0A47BC55">
        <w:rPr>
          <w:lang w:val="en-GB"/>
        </w:rPr>
        <w:t>es</w:t>
      </w:r>
      <w:r w:rsidR="5C4E5E45" w:rsidRPr="0A47BC55">
        <w:rPr>
          <w:lang w:val="en-GB"/>
        </w:rPr>
        <w:t xml:space="preserve"> on ITU Facebook and Twitter accounts posts.</w:t>
      </w:r>
    </w:p>
    <w:p w14:paraId="471859B9" w14:textId="519ECF73" w:rsidR="5C4E5E45" w:rsidRPr="00D44674" w:rsidRDefault="00E12FA7" w:rsidP="0063096B">
      <w:pPr>
        <w:numPr>
          <w:ilvl w:val="0"/>
          <w:numId w:val="12"/>
        </w:numPr>
        <w:rPr>
          <w:lang w:val="en-GB"/>
        </w:rPr>
      </w:pPr>
      <w:hyperlink r:id="rId162" w:anchor="?target=Social%20media">
        <w:r w:rsidR="5C4E5E45" w:rsidRPr="0A47BC55">
          <w:rPr>
            <w:rStyle w:val="Hyperlink"/>
            <w:lang w:val="en-GB"/>
          </w:rPr>
          <w:t>Social media</w:t>
        </w:r>
      </w:hyperlink>
      <w:r w:rsidR="5C4E5E45" w:rsidRPr="0A47BC55">
        <w:rPr>
          <w:lang w:val="en-GB"/>
        </w:rPr>
        <w:t>: Search</w:t>
      </w:r>
      <w:r w:rsidR="6A1AF7B1" w:rsidRPr="0A47BC55">
        <w:rPr>
          <w:lang w:val="en-GB"/>
        </w:rPr>
        <w:t>es</w:t>
      </w:r>
      <w:r w:rsidR="5C4E5E45" w:rsidRPr="0A47BC55">
        <w:rPr>
          <w:lang w:val="en-GB"/>
        </w:rPr>
        <w:t xml:space="preserve"> on ITU Flickr and You</w:t>
      </w:r>
      <w:r w:rsidR="0085423D">
        <w:rPr>
          <w:lang w:val="en-GB"/>
        </w:rPr>
        <w:t>T</w:t>
      </w:r>
      <w:r w:rsidR="5C4E5E45" w:rsidRPr="0A47BC55">
        <w:rPr>
          <w:lang w:val="en-GB"/>
        </w:rPr>
        <w:t>ube accounts resources.</w:t>
      </w:r>
    </w:p>
    <w:p w14:paraId="78CF700C" w14:textId="2483FD62" w:rsidR="5C4E5E45" w:rsidRPr="00D44674" w:rsidRDefault="00E12FA7" w:rsidP="0063096B">
      <w:pPr>
        <w:numPr>
          <w:ilvl w:val="0"/>
          <w:numId w:val="12"/>
        </w:numPr>
        <w:rPr>
          <w:lang w:val="en-GB"/>
        </w:rPr>
      </w:pPr>
      <w:hyperlink r:id="rId163" w:anchor="?target=Base%20text&amp;ex=false&amp;q=Resolution%2032&amp;fl=0&amp;sector=t&amp;group=all&amp;collection=General">
        <w:r w:rsidR="5C4E5E45" w:rsidRPr="0A47BC55">
          <w:rPr>
            <w:rStyle w:val="Hyperlink"/>
            <w:lang w:val="en-GB"/>
          </w:rPr>
          <w:t>Basic text</w:t>
        </w:r>
      </w:hyperlink>
      <w:r w:rsidR="5C4E5E45" w:rsidRPr="0A47BC55">
        <w:rPr>
          <w:lang w:val="en-GB"/>
        </w:rPr>
        <w:t>: Specialized full text search on latest ITU and Sectors Assemblies and C</w:t>
      </w:r>
      <w:r w:rsidR="5ECAF13A" w:rsidRPr="0A47BC55">
        <w:rPr>
          <w:lang w:val="en-GB"/>
        </w:rPr>
        <w:t>o</w:t>
      </w:r>
      <w:r w:rsidR="5C4E5E45" w:rsidRPr="0A47BC55">
        <w:rPr>
          <w:lang w:val="en-GB"/>
        </w:rPr>
        <w:t xml:space="preserve">nferences </w:t>
      </w:r>
      <w:r w:rsidR="1669A4D6" w:rsidRPr="0A47BC55">
        <w:rPr>
          <w:lang w:val="en-GB"/>
        </w:rPr>
        <w:t xml:space="preserve">in force </w:t>
      </w:r>
      <w:r w:rsidR="5C4E5E45" w:rsidRPr="0A47BC55">
        <w:rPr>
          <w:lang w:val="en-GB"/>
        </w:rPr>
        <w:t xml:space="preserve">basic texts in the </w:t>
      </w:r>
      <w:r w:rsidR="0314D243" w:rsidRPr="0A47BC55">
        <w:rPr>
          <w:lang w:val="en-GB"/>
        </w:rPr>
        <w:t>six</w:t>
      </w:r>
      <w:r w:rsidR="5C4E5E45" w:rsidRPr="0A47BC55">
        <w:rPr>
          <w:lang w:val="en-GB"/>
        </w:rPr>
        <w:t xml:space="preserve"> </w:t>
      </w:r>
      <w:r w:rsidR="77F51395" w:rsidRPr="0A47BC55">
        <w:rPr>
          <w:lang w:val="en-GB"/>
        </w:rPr>
        <w:t>(</w:t>
      </w:r>
      <w:r w:rsidR="710087AD" w:rsidRPr="0A47BC55">
        <w:rPr>
          <w:lang w:val="en-GB"/>
        </w:rPr>
        <w:t>6</w:t>
      </w:r>
      <w:r w:rsidR="77F51395" w:rsidRPr="0A47BC55">
        <w:rPr>
          <w:lang w:val="en-GB"/>
        </w:rPr>
        <w:t xml:space="preserve">) </w:t>
      </w:r>
      <w:r w:rsidR="7D1C5794" w:rsidRPr="0A47BC55">
        <w:rPr>
          <w:lang w:val="en-GB"/>
        </w:rPr>
        <w:t>UN</w:t>
      </w:r>
      <w:r w:rsidR="5C4E5E45" w:rsidRPr="0A47BC55">
        <w:rPr>
          <w:lang w:val="en-GB"/>
        </w:rPr>
        <w:t xml:space="preserve"> official languages.</w:t>
      </w:r>
    </w:p>
    <w:p w14:paraId="5BEF7358" w14:textId="00CC26E4" w:rsidR="00136E7B" w:rsidRPr="00F57FAD" w:rsidRDefault="00136E7B" w:rsidP="00136E7B">
      <w:pPr>
        <w:pStyle w:val="Heading2"/>
      </w:pPr>
      <w:bookmarkStart w:id="204" w:name="_Toc51331533"/>
      <w:r w:rsidRPr="00F57FAD">
        <w:t>1</w:t>
      </w:r>
      <w:r w:rsidR="00CB641D">
        <w:t>5</w:t>
      </w:r>
      <w:r w:rsidRPr="00F57FAD">
        <w:t>.4</w:t>
      </w:r>
      <w:r w:rsidRPr="00F57FAD">
        <w:tab/>
        <w:t>ITU-T services &amp; tools announcements</w:t>
      </w:r>
      <w:bookmarkEnd w:id="204"/>
    </w:p>
    <w:p w14:paraId="0C28D408" w14:textId="576199D6" w:rsidR="00136E7B" w:rsidRPr="008D28D9" w:rsidRDefault="00136E7B" w:rsidP="00136E7B">
      <w:pPr>
        <w:rPr>
          <w:b/>
          <w:bCs/>
          <w:lang w:val="en-GB"/>
        </w:rPr>
      </w:pPr>
      <w:r w:rsidRPr="004E5B45">
        <w:rPr>
          <w:lang w:val="en-GB"/>
        </w:rPr>
        <w:t xml:space="preserve">A service announcements </w:t>
      </w:r>
      <w:r w:rsidR="473BEC47" w:rsidRPr="0A47BC55">
        <w:rPr>
          <w:lang w:val="en-GB"/>
        </w:rPr>
        <w:t>webpage for Electronic Working Methods (EWM)</w:t>
      </w:r>
      <w:r w:rsidRPr="0A47BC55">
        <w:rPr>
          <w:lang w:val="en-GB"/>
        </w:rPr>
        <w:t xml:space="preserve"> </w:t>
      </w:r>
      <w:r w:rsidRPr="004E5B45">
        <w:rPr>
          <w:lang w:val="en-GB"/>
        </w:rPr>
        <w:t xml:space="preserve">keeps the ITU-T community up to date with the latest </w:t>
      </w:r>
      <w:r w:rsidR="62AF2A5B" w:rsidRPr="0A47BC55">
        <w:rPr>
          <w:lang w:val="en-GB"/>
        </w:rPr>
        <w:t xml:space="preserve">tools available and services enhancements provided. </w:t>
      </w:r>
    </w:p>
    <w:p w14:paraId="155B0150" w14:textId="59457DA5" w:rsidR="00136E7B" w:rsidRPr="00F57FAD" w:rsidRDefault="00136E7B" w:rsidP="00136E7B">
      <w:pPr>
        <w:pStyle w:val="Heading2"/>
      </w:pPr>
      <w:bookmarkStart w:id="205" w:name="_Toc480527871"/>
      <w:bookmarkStart w:id="206" w:name="_Toc51331534"/>
      <w:r w:rsidRPr="00F57FAD">
        <w:t>1</w:t>
      </w:r>
      <w:r w:rsidR="00CB641D">
        <w:t>5</w:t>
      </w:r>
      <w:r w:rsidRPr="00F57FAD">
        <w:t>.5</w:t>
      </w:r>
      <w:r w:rsidRPr="00F57FAD">
        <w:tab/>
        <w:t>Document Management System for Rapporteur Groups</w:t>
      </w:r>
      <w:bookmarkEnd w:id="205"/>
      <w:bookmarkEnd w:id="206"/>
    </w:p>
    <w:p w14:paraId="5F4E1BB3" w14:textId="77777777" w:rsidR="00136E7B" w:rsidRPr="004E5B45" w:rsidRDefault="00136E7B" w:rsidP="00136E7B">
      <w:pPr>
        <w:rPr>
          <w:lang w:val="en-GB"/>
        </w:rPr>
      </w:pPr>
      <w:r w:rsidRPr="004E5B45">
        <w:rPr>
          <w:szCs w:val="24"/>
          <w:lang w:val="en-GB"/>
        </w:rPr>
        <w:t>The Microsoft SharePoint-based Document Management System for ITU-T Rapporteur Group Meetings (RGMs) has been used</w:t>
      </w:r>
      <w:r w:rsidRPr="004E5B45">
        <w:rPr>
          <w:lang w:val="en-GB"/>
        </w:rPr>
        <w:t xml:space="preserve"> </w:t>
      </w:r>
      <w:r w:rsidRPr="004E5B45">
        <w:rPr>
          <w:szCs w:val="24"/>
          <w:lang w:val="en-GB"/>
        </w:rPr>
        <w:t>extensively by the majority of ITU-T SGs, notably SGs 2, 3, 9, 11, 13, 15, 16, 17 and TSAG. Feedback from Rapporteurs drives the continuous improvement of the RGM system.</w:t>
      </w:r>
    </w:p>
    <w:p w14:paraId="5289805C" w14:textId="77777777" w:rsidR="00136E7B" w:rsidRPr="004E5B45" w:rsidRDefault="00136E7B" w:rsidP="00136E7B">
      <w:pPr>
        <w:rPr>
          <w:szCs w:val="24"/>
          <w:lang w:val="en-GB"/>
        </w:rPr>
      </w:pPr>
      <w:r w:rsidRPr="004E5B45">
        <w:rPr>
          <w:szCs w:val="24"/>
          <w:lang w:val="en-GB"/>
        </w:rPr>
        <w:t xml:space="preserve">Current and past RGM meetings can be accessed at </w:t>
      </w:r>
      <w:hyperlink r:id="rId164" w:history="1">
        <w:r w:rsidRPr="004E5B45">
          <w:rPr>
            <w:rStyle w:val="Hyperlink"/>
            <w:szCs w:val="24"/>
            <w:lang w:val="en-GB"/>
          </w:rPr>
          <w:t>http://itu.int/go/itu-t/rgm</w:t>
        </w:r>
      </w:hyperlink>
    </w:p>
    <w:p w14:paraId="000E3D91" w14:textId="77777777" w:rsidR="00136E7B" w:rsidRPr="004E5B45" w:rsidRDefault="00136E7B" w:rsidP="00136E7B">
      <w:pPr>
        <w:rPr>
          <w:szCs w:val="24"/>
          <w:lang w:val="en-GB"/>
        </w:rPr>
      </w:pPr>
      <w:r w:rsidRPr="004E5B45">
        <w:rPr>
          <w:szCs w:val="24"/>
          <w:lang w:val="en-GB"/>
        </w:rPr>
        <w:t xml:space="preserve">A comprehensive support and FAQs page offering RGM tips and best practices is available at </w:t>
      </w:r>
      <w:hyperlink r:id="rId165" w:history="1">
        <w:r w:rsidRPr="004E5B45">
          <w:rPr>
            <w:rStyle w:val="Hyperlink"/>
            <w:szCs w:val="24"/>
            <w:lang w:val="en-GB"/>
          </w:rPr>
          <w:t>http://itu.int/go/itu-t/rgm-support</w:t>
        </w:r>
      </w:hyperlink>
    </w:p>
    <w:p w14:paraId="3D5C859E" w14:textId="77777777" w:rsidR="00136E7B" w:rsidRPr="004E5B45" w:rsidRDefault="00136E7B" w:rsidP="00136E7B">
      <w:pPr>
        <w:rPr>
          <w:szCs w:val="24"/>
          <w:lang w:val="en-GB"/>
        </w:rPr>
      </w:pPr>
      <w:r w:rsidRPr="004E5B45">
        <w:rPr>
          <w:szCs w:val="24"/>
          <w:lang w:val="en-GB"/>
        </w:rPr>
        <w:t xml:space="preserve">A detailed online user guide for the RGM System, including video tutorials, is available at </w:t>
      </w:r>
      <w:hyperlink r:id="rId166" w:history="1">
        <w:r w:rsidRPr="004E5B45">
          <w:rPr>
            <w:rStyle w:val="Hyperlink"/>
            <w:szCs w:val="24"/>
            <w:lang w:val="en-GB"/>
          </w:rPr>
          <w:t>http://itu.int/go/itu-t/rgm-guide</w:t>
        </w:r>
      </w:hyperlink>
    </w:p>
    <w:p w14:paraId="217EE31B" w14:textId="77777777" w:rsidR="00136E7B" w:rsidRPr="009A0820" w:rsidRDefault="00136E7B" w:rsidP="00136E7B">
      <w:pPr>
        <w:rPr>
          <w:lang w:val="en-GB"/>
        </w:rPr>
      </w:pPr>
      <w:r w:rsidRPr="004E5B45">
        <w:rPr>
          <w:lang w:val="en-GB"/>
        </w:rPr>
        <w:t xml:space="preserve">The RGM system </w:t>
      </w:r>
      <w:r w:rsidRPr="004E5B45">
        <w:rPr>
          <w:szCs w:val="24"/>
          <w:lang w:val="en-GB"/>
        </w:rPr>
        <w:t xml:space="preserve">is one </w:t>
      </w:r>
      <w:r w:rsidRPr="004E5B45">
        <w:rPr>
          <w:lang w:val="en-GB"/>
        </w:rPr>
        <w:t>of several services available in the ITU-T SharePoint collaboration sites. These sites are restricted to ITU-T members and can be accessed using an ITU User Account (TIES).</w:t>
      </w:r>
    </w:p>
    <w:p w14:paraId="1BDB48B8" w14:textId="24512D95" w:rsidR="00136E7B" w:rsidRPr="00F57FAD" w:rsidRDefault="00136E7B" w:rsidP="00136E7B">
      <w:pPr>
        <w:pStyle w:val="Heading2"/>
      </w:pPr>
      <w:bookmarkStart w:id="207" w:name="_Toc480527873"/>
      <w:bookmarkStart w:id="208" w:name="_Toc51331535"/>
      <w:r w:rsidRPr="00F57FAD">
        <w:lastRenderedPageBreak/>
        <w:t>1</w:t>
      </w:r>
      <w:r w:rsidR="00CB641D">
        <w:t>5</w:t>
      </w:r>
      <w:r w:rsidRPr="00F57FAD">
        <w:t>.6</w:t>
      </w:r>
      <w:r w:rsidRPr="00F57FAD">
        <w:tab/>
        <w:t>International Numbering Resources (INRs)</w:t>
      </w:r>
      <w:bookmarkEnd w:id="207"/>
      <w:bookmarkEnd w:id="208"/>
    </w:p>
    <w:p w14:paraId="46818061" w14:textId="60173625" w:rsidR="0053504D" w:rsidRPr="0053504D" w:rsidRDefault="00136E7B" w:rsidP="0053504D">
      <w:pPr>
        <w:rPr>
          <w:lang w:val="en-GB"/>
        </w:rPr>
      </w:pPr>
      <w:r w:rsidRPr="00F012E8">
        <w:rPr>
          <w:lang w:val="en-GB"/>
        </w:rPr>
        <w:t xml:space="preserve">A prototype of a new repository of national numbering plans has been developed and is available at: </w:t>
      </w:r>
      <w:hyperlink r:id="rId167">
        <w:r w:rsidRPr="00F012E8">
          <w:rPr>
            <w:rStyle w:val="Hyperlink"/>
            <w:lang w:val="en-GB"/>
          </w:rPr>
          <w:t>https://www.itu.int/net4/itu-t/nnp</w:t>
        </w:r>
      </w:hyperlink>
      <w:r w:rsidRPr="00F012E8">
        <w:rPr>
          <w:lang w:val="en-GB"/>
        </w:rPr>
        <w:t xml:space="preserve">. The prototype responds to </w:t>
      </w:r>
      <w:r w:rsidRPr="00F012E8">
        <w:rPr>
          <w:rFonts w:eastAsia="SimSun"/>
          <w:lang w:val="en-GB"/>
        </w:rPr>
        <w:t>WTSA Resolution 91 (Hammamet, 2016) on "Enhancing access to an electronic repository of information on numbering plans published by the ITU Telecommunication Standardization Sector".</w:t>
      </w:r>
      <w:r w:rsidRPr="00F012E8">
        <w:rPr>
          <w:lang w:val="en-GB"/>
        </w:rPr>
        <w:t xml:space="preserve"> </w:t>
      </w:r>
      <w:r w:rsidRPr="00F012E8">
        <w:rPr>
          <w:rFonts w:eastAsia="SimSun"/>
          <w:lang w:val="en-GB"/>
        </w:rPr>
        <w:t xml:space="preserve">Pursuant to the relevant ITU-T Recommendations, Member States are invited to </w:t>
      </w:r>
      <w:r w:rsidRPr="00F012E8">
        <w:rPr>
          <w:lang w:val="en-GB"/>
        </w:rPr>
        <w:t>provide information on the presentation of their national numbering plans and amendments thereto in a timely manner, so as to ensure that the electronic repository remains up to date.</w:t>
      </w:r>
    </w:p>
    <w:p w14:paraId="3019A6C4" w14:textId="7C4827CA" w:rsidR="0649A483" w:rsidRPr="00F012E8" w:rsidRDefault="19DA27F2" w:rsidP="2DECB209">
      <w:pPr>
        <w:rPr>
          <w:rFonts w:eastAsia="SimSun"/>
          <w:lang w:val="en-GB"/>
        </w:rPr>
      </w:pPr>
      <w:r w:rsidRPr="222B8D80">
        <w:rPr>
          <w:rFonts w:eastAsia="SimSun"/>
          <w:lang w:val="en-GB"/>
        </w:rPr>
        <w:t xml:space="preserve">A new </w:t>
      </w:r>
      <w:hyperlink r:id="rId168">
        <w:r w:rsidR="2EF0815D" w:rsidRPr="222B8D80">
          <w:rPr>
            <w:rStyle w:val="Hyperlink"/>
            <w:rFonts w:eastAsia="SimSun"/>
          </w:rPr>
          <w:t>Numbering Applications Monitor</w:t>
        </w:r>
      </w:hyperlink>
      <w:r w:rsidRPr="222B8D80">
        <w:rPr>
          <w:rFonts w:eastAsia="SimSun"/>
          <w:lang w:val="en-GB"/>
        </w:rPr>
        <w:t xml:space="preserve"> site is now available for ITU-T SG2 experts who wish to follow the progress of numbering resource applications in real time. The site may be accessed only using a valid ITU user account (ITU-T Members or Associates of ITU-T SG2).</w:t>
      </w:r>
    </w:p>
    <w:p w14:paraId="7126D24A" w14:textId="77777777" w:rsidR="00136E7B" w:rsidRPr="00F012E8" w:rsidRDefault="00136E7B" w:rsidP="00136E7B">
      <w:pPr>
        <w:rPr>
          <w:lang w:val="en-GB"/>
        </w:rPr>
      </w:pPr>
      <w:r w:rsidRPr="00F012E8">
        <w:rPr>
          <w:lang w:val="en-GB"/>
        </w:rPr>
        <w:t>ITU assigns about two-dozen types of International Numbering Resources (INRs), either directly or indirectly.</w:t>
      </w:r>
    </w:p>
    <w:p w14:paraId="795E64E7" w14:textId="77777777" w:rsidR="00136E7B" w:rsidRPr="00F012E8" w:rsidRDefault="00136E7B" w:rsidP="00136E7B">
      <w:pPr>
        <w:rPr>
          <w:lang w:val="en-GB"/>
        </w:rPr>
      </w:pPr>
      <w:r w:rsidRPr="00F012E8">
        <w:rPr>
          <w:lang w:val="en-GB"/>
        </w:rPr>
        <w:t xml:space="preserve">Notifications of national numbering/identification plan updates and assignments or reclamations of national numbering/identification resources are received and published in the </w:t>
      </w:r>
      <w:hyperlink r:id="rId169" w:history="1">
        <w:r w:rsidRPr="00F012E8">
          <w:rPr>
            <w:rFonts w:asciiTheme="majorBidi" w:hAnsiTheme="majorBidi" w:cstheme="majorBidi"/>
            <w:color w:val="0000FF"/>
            <w:u w:val="single" w:color="0000FF"/>
            <w:lang w:val="en-GB"/>
          </w:rPr>
          <w:t>ITU Operational Bulletin</w:t>
        </w:r>
      </w:hyperlink>
      <w:r w:rsidRPr="00F012E8">
        <w:rPr>
          <w:lang w:val="en-GB"/>
        </w:rPr>
        <w:t>. The ITU Operational Bulletin is published in the six official languages of the Union twice a month. Some 20 annexes are maintained on numbers and codes allocated in accordance with the following recommendations:</w:t>
      </w:r>
    </w:p>
    <w:p w14:paraId="3551F438"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E.164 "The international public telecommunication numbering plan"</w:t>
      </w:r>
    </w:p>
    <w:p w14:paraId="2412DD64"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E.118 "The international telecommunication charge card"</w:t>
      </w:r>
    </w:p>
    <w:p w14:paraId="02C3FF07"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E.212 "The international identification plan for public networks and subscriptions"</w:t>
      </w:r>
    </w:p>
    <w:p w14:paraId="341B5DC6"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E.218 "Management of the allocation of terrestrial trunk radio Mobile Country Codes"</w:t>
      </w:r>
    </w:p>
    <w:p w14:paraId="18E9518C" w14:textId="77777777" w:rsidR="00136E7B" w:rsidRPr="00F012E8" w:rsidRDefault="00136E7B" w:rsidP="0063096B">
      <w:pPr>
        <w:numPr>
          <w:ilvl w:val="0"/>
          <w:numId w:val="22"/>
        </w:numPr>
        <w:rPr>
          <w:rFonts w:eastAsiaTheme="minorEastAsia"/>
          <w:lang w:val="en-GB"/>
        </w:rPr>
      </w:pPr>
      <w:r w:rsidRPr="00F012E8">
        <w:rPr>
          <w:rFonts w:eastAsiaTheme="minorEastAsia"/>
          <w:lang w:val="en-GB"/>
        </w:rPr>
        <w:t>ITU-T Q.708 "Assignment procedures for international signalling point codes".</w:t>
      </w:r>
    </w:p>
    <w:p w14:paraId="49EA1F75" w14:textId="616671F3" w:rsidR="00136E7B" w:rsidRPr="00F012E8" w:rsidRDefault="00136E7B" w:rsidP="00136E7B">
      <w:r w:rsidRPr="00F012E8">
        <w:rPr>
          <w:lang w:val="en-GB"/>
        </w:rPr>
        <w:t xml:space="preserve">ITU-T E.156 "Guidelines for ITU-T action on reported misuse of E.164 number resources" </w:t>
      </w:r>
      <w:r w:rsidR="007B3684" w:rsidRPr="00F012E8">
        <w:rPr>
          <w:lang w:val="en-GB"/>
        </w:rPr>
        <w:t xml:space="preserve">was revised </w:t>
      </w:r>
      <w:r w:rsidR="00B96A2E" w:rsidRPr="00F012E8">
        <w:rPr>
          <w:lang w:val="en-GB"/>
        </w:rPr>
        <w:t xml:space="preserve">in June 2020 </w:t>
      </w:r>
      <w:r w:rsidRPr="00F012E8">
        <w:rPr>
          <w:lang w:val="en-GB"/>
        </w:rPr>
        <w:t>to include new cases of misuse and to investigate more efficient means of combating misuse.</w:t>
      </w:r>
      <w:r w:rsidR="009238C0">
        <w:rPr>
          <w:lang w:val="en-GB"/>
        </w:rPr>
        <w:t xml:space="preserve"> </w:t>
      </w:r>
      <w:r w:rsidR="009238C0" w:rsidRPr="009238C0">
        <w:rPr>
          <w:lang w:val="en-GB"/>
        </w:rPr>
        <w:t xml:space="preserve">The revised text of the Recommendation better reflects the different types of numbering resources between directly assigned resources, so called global numbers, which are the responsibility of the Director TSB, and indirectly assigned resources, numbers that are the responsibility of Member States. The </w:t>
      </w:r>
      <w:r w:rsidR="0008239C">
        <w:rPr>
          <w:lang w:val="en-GB"/>
        </w:rPr>
        <w:t xml:space="preserve">latest </w:t>
      </w:r>
      <w:r w:rsidR="00AA62E8">
        <w:rPr>
          <w:lang w:val="en-GB"/>
        </w:rPr>
        <w:t>changes</w:t>
      </w:r>
      <w:r w:rsidR="009238C0" w:rsidRPr="009238C0">
        <w:rPr>
          <w:lang w:val="en-GB"/>
        </w:rPr>
        <w:t xml:space="preserve"> make the reporting of the indirectly assigned resources more effective through email notification to a pre-determined mailing list of misuse rather </w:t>
      </w:r>
      <w:r w:rsidR="009238C0" w:rsidRPr="00956564">
        <w:rPr>
          <w:lang w:val="en-GB"/>
        </w:rPr>
        <w:t>than registration of the report of misuse for action by TSB.</w:t>
      </w:r>
    </w:p>
    <w:p w14:paraId="791D4161" w14:textId="77777777" w:rsidR="00136E7B" w:rsidRPr="00F012E8" w:rsidRDefault="00136E7B" w:rsidP="00136E7B">
      <w:pPr>
        <w:rPr>
          <w:szCs w:val="24"/>
          <w:lang w:val="en-GB"/>
        </w:rPr>
      </w:pPr>
      <w:r w:rsidRPr="00F012E8">
        <w:rPr>
          <w:szCs w:val="24"/>
          <w:lang w:val="en-GB"/>
        </w:rPr>
        <w:t>Member States are encouraged to contribute to the implementation of PP Resolution 190 (Busan, 2014) "Countering misappropriation and misuse of international telecommunication numbering resources", in particular "to continue to study ways and means to improve the understanding, identification and resolution of misappropriation and misuse of ITU-T E.164 telephone numbers through activities of ITU-T and ITU-D SGs" and "develop national legal and regulatory frameworks that are sufficient to ensure best practices in ITU-T E.164 telephone numbering management in order to counter telephone number misappropriation and misuse".</w:t>
      </w:r>
    </w:p>
    <w:p w14:paraId="72622F6E" w14:textId="77777777" w:rsidR="00136E7B" w:rsidRPr="00F012E8" w:rsidRDefault="00136E7B" w:rsidP="00136E7B">
      <w:pPr>
        <w:snapToGrid w:val="0"/>
        <w:rPr>
          <w:rFonts w:eastAsia="Calibri"/>
          <w:szCs w:val="24"/>
          <w:lang w:val="en-GB"/>
        </w:rPr>
      </w:pPr>
      <w:r w:rsidRPr="00F012E8">
        <w:rPr>
          <w:rFonts w:eastAsia="SimSun"/>
          <w:szCs w:val="24"/>
          <w:lang w:val="en-GB"/>
        </w:rPr>
        <w:t xml:space="preserve">Council 2017 </w:t>
      </w:r>
      <w:r w:rsidRPr="00F012E8">
        <w:rPr>
          <w:szCs w:val="24"/>
          <w:lang w:val="en-GB"/>
        </w:rPr>
        <w:t>approved the new fee structure for UIFN (Universal International Freephone Number) and IIN (Issuer Identifier Number) by approving new Decision 600 (</w:t>
      </w:r>
      <w:hyperlink r:id="rId170" w:history="1">
        <w:r w:rsidRPr="00F012E8">
          <w:rPr>
            <w:rStyle w:val="Hyperlink"/>
            <w:szCs w:val="24"/>
            <w:lang w:val="en-GB"/>
          </w:rPr>
          <w:t>C17/133</w:t>
        </w:r>
      </w:hyperlink>
      <w:r w:rsidRPr="00F012E8">
        <w:rPr>
          <w:szCs w:val="24"/>
          <w:lang w:val="en-GB"/>
        </w:rPr>
        <w:t>) and 601 (</w:t>
      </w:r>
      <w:hyperlink r:id="rId171" w:history="1">
        <w:r w:rsidRPr="00F012E8">
          <w:rPr>
            <w:rStyle w:val="Hyperlink"/>
            <w:szCs w:val="24"/>
            <w:lang w:val="en-GB"/>
          </w:rPr>
          <w:t>C17/134</w:t>
        </w:r>
      </w:hyperlink>
      <w:r w:rsidRPr="00F012E8">
        <w:rPr>
          <w:szCs w:val="24"/>
          <w:lang w:val="en-GB"/>
        </w:rPr>
        <w:t>). ITU has been in the process of implementing these Decisions.</w:t>
      </w:r>
      <w:r w:rsidRPr="00F012E8">
        <w:rPr>
          <w:lang w:val="en-GB"/>
        </w:rPr>
        <w:t xml:space="preserve"> </w:t>
      </w:r>
      <w:r w:rsidRPr="00F012E8">
        <w:rPr>
          <w:rFonts w:eastAsia="Calibri"/>
          <w:szCs w:val="24"/>
          <w:lang w:val="en-GB"/>
        </w:rPr>
        <w:t xml:space="preserve">Although progress is being achieved in implementing Council Decisions 600 and 601, further assistance from Member States is required either to identify the contact information of UIFN service providers and IIN assignees or ensure that invoices are paid on time. It was also observed that </w:t>
      </w:r>
      <w:r w:rsidRPr="00F012E8">
        <w:rPr>
          <w:szCs w:val="24"/>
          <w:lang w:val="en-GB"/>
        </w:rPr>
        <w:t xml:space="preserve">Council Decision 600 encouraged operators to </w:t>
      </w:r>
      <w:r w:rsidRPr="00F012E8">
        <w:rPr>
          <w:szCs w:val="24"/>
          <w:lang w:val="en-GB"/>
        </w:rPr>
        <w:lastRenderedPageBreak/>
        <w:t>update their list of active UIFNs and return the unused UIFNs to ITU, and that Council Decision 601 improves the precision of the IIN records kept in the ITU database. The following recommendation was approved by ITU Council 2019:</w:t>
      </w:r>
    </w:p>
    <w:p w14:paraId="3BC27F47" w14:textId="77777777" w:rsidR="00136E7B" w:rsidRPr="00F012E8" w:rsidRDefault="00136E7B" w:rsidP="00136E7B">
      <w:pPr>
        <w:overflowPunct/>
        <w:autoSpaceDE/>
        <w:autoSpaceDN/>
        <w:adjustRightInd/>
        <w:ind w:left="567"/>
        <w:textAlignment w:val="auto"/>
        <w:rPr>
          <w:rFonts w:eastAsia="SimSun"/>
          <w:b/>
          <w:bCs/>
          <w:i/>
          <w:iCs/>
          <w:szCs w:val="24"/>
          <w:lang w:val="en-GB"/>
        </w:rPr>
      </w:pPr>
      <w:r w:rsidRPr="00F012E8">
        <w:rPr>
          <w:rFonts w:eastAsia="SimSun"/>
          <w:i/>
          <w:szCs w:val="24"/>
          <w:lang w:val="en-GB"/>
        </w:rPr>
        <w:t>The list of UIFN service providers in Annex A to Document C19/47 will be marked as "not reachable" in the ITU database. The records for these UIFN service providers are subject to removal from the ITU database and the UIFNs assigned to them are subject for reclamation based on confirmations/notifications from national Administrations/regulators as recommended by Council 2018. Among these UIFN service providers, for the ones to whom invoices for the maintenance fee for 2018 have been sent, the invoices will be cancelled.</w:t>
      </w:r>
    </w:p>
    <w:p w14:paraId="2F99AB6C" w14:textId="77777777" w:rsidR="00136E7B" w:rsidRPr="00F012E8" w:rsidRDefault="00136E7B" w:rsidP="00136E7B">
      <w:pPr>
        <w:overflowPunct/>
        <w:autoSpaceDE/>
        <w:autoSpaceDN/>
        <w:adjustRightInd/>
        <w:ind w:left="567"/>
        <w:textAlignment w:val="auto"/>
        <w:rPr>
          <w:rFonts w:eastAsia="SimSun"/>
          <w:i/>
          <w:szCs w:val="24"/>
          <w:lang w:val="en-GB"/>
        </w:rPr>
      </w:pPr>
      <w:r w:rsidRPr="00F012E8">
        <w:rPr>
          <w:i/>
          <w:szCs w:val="24"/>
          <w:lang w:val="en-GB"/>
        </w:rPr>
        <w:t>If the invoices sent to the UIFN service providers in Annex B to Document C19/47 remain unpaid for an extended period, the secretariat will seek assistance from Member States to recover the debt.</w:t>
      </w:r>
    </w:p>
    <w:p w14:paraId="355225E7" w14:textId="77777777" w:rsidR="00136E7B" w:rsidRPr="00F012E8" w:rsidRDefault="00136E7B" w:rsidP="00136E7B">
      <w:pPr>
        <w:ind w:left="567"/>
        <w:rPr>
          <w:rFonts w:eastAsia="SimSun"/>
          <w:i/>
          <w:lang w:val="en-GB"/>
        </w:rPr>
      </w:pPr>
      <w:r w:rsidRPr="00F012E8">
        <w:rPr>
          <w:rFonts w:eastAsia="SimSun"/>
          <w:i/>
          <w:lang w:val="en-GB"/>
        </w:rPr>
        <w:t>National Administrations/regulators or</w:t>
      </w:r>
      <w:r w:rsidRPr="00F012E8">
        <w:rPr>
          <w:i/>
          <w:lang w:val="en-GB"/>
        </w:rPr>
        <w:t xml:space="preserve"> authorized agencies</w:t>
      </w:r>
      <w:r w:rsidRPr="00F012E8">
        <w:rPr>
          <w:rFonts w:eastAsia="SimSun"/>
          <w:i/>
          <w:lang w:val="en-GB"/>
        </w:rPr>
        <w:t xml:space="preserve"> are encouraged to provide assistance in identifying the up-to-date contact or status of the UIFN service providers (e.g., if they are no longer in business) listed in Annex C to </w:t>
      </w:r>
      <w:r w:rsidRPr="00F012E8">
        <w:rPr>
          <w:i/>
          <w:lang w:val="en-GB"/>
        </w:rPr>
        <w:t>Document C19/47</w:t>
      </w:r>
      <w:r w:rsidRPr="00F012E8">
        <w:rPr>
          <w:rFonts w:eastAsia="SimSun"/>
          <w:i/>
          <w:lang w:val="en-GB"/>
        </w:rPr>
        <w:t>.</w:t>
      </w:r>
    </w:p>
    <w:p w14:paraId="2B84D654" w14:textId="77777777" w:rsidR="00136E7B" w:rsidRPr="00F012E8" w:rsidRDefault="00136E7B" w:rsidP="00136E7B">
      <w:pPr>
        <w:ind w:left="567"/>
        <w:rPr>
          <w:rFonts w:eastAsia="SimSun"/>
          <w:i/>
          <w:lang w:val="en-GB"/>
        </w:rPr>
      </w:pPr>
      <w:r w:rsidRPr="00F012E8">
        <w:rPr>
          <w:rFonts w:eastAsia="SimSun"/>
          <w:i/>
          <w:lang w:val="en-GB"/>
        </w:rPr>
        <w:t>The list of IINs for which contact information is pending will be published on ITU website as IINs with the status "assignee not reachable" and will be announced in the ITU Operational Bulletin. National Administrations/regulators or authorized agencies are encouraged to provide assistance in identifying their up-to-date status and/or contact information.</w:t>
      </w:r>
    </w:p>
    <w:p w14:paraId="221F0BF7" w14:textId="77777777" w:rsidR="00136E7B" w:rsidRPr="00F012E8" w:rsidRDefault="00136E7B" w:rsidP="00136E7B">
      <w:pPr>
        <w:ind w:left="567"/>
        <w:rPr>
          <w:rFonts w:eastAsia="SimSun"/>
          <w:i/>
          <w:lang w:val="en-GB"/>
        </w:rPr>
      </w:pPr>
      <w:r w:rsidRPr="00F012E8">
        <w:rPr>
          <w:rFonts w:eastAsia="SimSun"/>
          <w:i/>
          <w:lang w:val="en-GB"/>
        </w:rPr>
        <w:t>For the UIFNs and IINs which are still under consultation with national Administrations/regulators or authorized agencies, their status should be confirmed before 31 October 2019. If no objection is received from national Administrations/regulators or authorized agencies, the corresponding UIFNs and IINs will be considered as no longer active and removed from ITU databases.</w:t>
      </w:r>
    </w:p>
    <w:p w14:paraId="1C1AC618" w14:textId="77777777" w:rsidR="00136E7B" w:rsidRPr="00C81B63" w:rsidRDefault="00136E7B" w:rsidP="00136E7B">
      <w:pPr>
        <w:snapToGrid w:val="0"/>
        <w:ind w:left="567"/>
        <w:rPr>
          <w:i/>
          <w:lang w:val="en-GB"/>
        </w:rPr>
      </w:pPr>
      <w:r w:rsidRPr="00F012E8">
        <w:rPr>
          <w:rFonts w:eastAsia="SimSun"/>
          <w:i/>
          <w:iCs/>
          <w:szCs w:val="24"/>
          <w:lang w:val="en-GB"/>
        </w:rPr>
        <w:t xml:space="preserve">UIFN service providers or IIN assignees with the status of </w:t>
      </w:r>
      <w:r w:rsidRPr="00F012E8">
        <w:rPr>
          <w:rFonts w:eastAsia="SimSun"/>
          <w:i/>
          <w:szCs w:val="24"/>
          <w:lang w:val="en-GB"/>
        </w:rPr>
        <w:t>ADMIN RELATED</w:t>
      </w:r>
      <w:r w:rsidRPr="00F012E8">
        <w:rPr>
          <w:rFonts w:eastAsia="SimSun"/>
          <w:i/>
          <w:iCs/>
          <w:szCs w:val="24"/>
          <w:lang w:val="en-GB"/>
        </w:rPr>
        <w:t xml:space="preserve"> are not subject to the annual maintenance fee.</w:t>
      </w:r>
    </w:p>
    <w:p w14:paraId="4A2E4582" w14:textId="4843306A" w:rsidR="00136E7B" w:rsidRPr="00F57FAD" w:rsidRDefault="00136E7B" w:rsidP="00136E7B">
      <w:pPr>
        <w:pStyle w:val="Heading2"/>
      </w:pPr>
      <w:bookmarkStart w:id="209" w:name="_Toc462664279"/>
      <w:bookmarkStart w:id="210" w:name="_Toc480527874"/>
      <w:bookmarkStart w:id="211" w:name="_Toc51331536"/>
      <w:r w:rsidRPr="00F57FAD">
        <w:t>1</w:t>
      </w:r>
      <w:r w:rsidR="00CB641D">
        <w:t>5</w:t>
      </w:r>
      <w:r w:rsidRPr="00F57FAD">
        <w:t>.7</w:t>
      </w:r>
      <w:r w:rsidRPr="00F57FAD">
        <w:tab/>
        <w:t>ITU-T SharePoint collaboration sites</w:t>
      </w:r>
      <w:bookmarkEnd w:id="209"/>
      <w:bookmarkEnd w:id="210"/>
      <w:bookmarkEnd w:id="211"/>
    </w:p>
    <w:p w14:paraId="6C2D6E4E" w14:textId="77777777" w:rsidR="00136E7B" w:rsidRPr="004E5B45" w:rsidRDefault="00136E7B" w:rsidP="00136E7B">
      <w:pPr>
        <w:overflowPunct/>
        <w:autoSpaceDE/>
        <w:autoSpaceDN/>
        <w:adjustRightInd/>
        <w:textAlignment w:val="auto"/>
        <w:rPr>
          <w:lang w:val="en-GB"/>
        </w:rPr>
      </w:pPr>
      <w:r w:rsidRPr="004E5B45">
        <w:rPr>
          <w:lang w:val="en-GB"/>
        </w:rPr>
        <w:t>The ITU-T SharePoint collaboration sites enable participants in ITU-T working groups to conduct online discussions, work on projects, schedule meetings and manage and store documents in a secure shared environment.</w:t>
      </w:r>
    </w:p>
    <w:p w14:paraId="25ED9DA0" w14:textId="77777777" w:rsidR="00136E7B" w:rsidRPr="004E5B45" w:rsidRDefault="00136E7B" w:rsidP="00136E7B">
      <w:pPr>
        <w:overflowPunct/>
        <w:autoSpaceDE/>
        <w:autoSpaceDN/>
        <w:adjustRightInd/>
        <w:textAlignment w:val="auto"/>
        <w:rPr>
          <w:lang w:val="en-GB"/>
        </w:rPr>
      </w:pPr>
      <w:r w:rsidRPr="004E5B45">
        <w:rPr>
          <w:lang w:val="en-GB"/>
        </w:rPr>
        <w:t xml:space="preserve">The home of ITU-T SharePoint collaboration sites can be accessed at: </w:t>
      </w:r>
      <w:hyperlink r:id="rId172" w:history="1">
        <w:r w:rsidRPr="004E5B45">
          <w:rPr>
            <w:rStyle w:val="Hyperlink"/>
            <w:rFonts w:asciiTheme="majorBidi" w:hAnsiTheme="majorBidi" w:cstheme="majorBidi"/>
            <w:szCs w:val="24"/>
            <w:lang w:val="en-GB"/>
          </w:rPr>
          <w:t>https://extranet.itu.int/sites/ITU-T/</w:t>
        </w:r>
      </w:hyperlink>
      <w:r w:rsidRPr="004E5B45">
        <w:rPr>
          <w:lang w:val="en-GB"/>
        </w:rPr>
        <w:t>.</w:t>
      </w:r>
    </w:p>
    <w:p w14:paraId="27C4BD32" w14:textId="77777777" w:rsidR="00136E7B" w:rsidRPr="004E5B45" w:rsidRDefault="00136E7B" w:rsidP="00136E7B">
      <w:pPr>
        <w:rPr>
          <w:lang w:val="en-GB"/>
        </w:rPr>
      </w:pPr>
      <w:r w:rsidRPr="004E5B45">
        <w:rPr>
          <w:lang w:val="en-GB"/>
        </w:rPr>
        <w:t>A selection of notable collaboration sites are listed below:</w:t>
      </w:r>
    </w:p>
    <w:p w14:paraId="419AF83D" w14:textId="77777777" w:rsidR="00136E7B" w:rsidRPr="004E5B45" w:rsidRDefault="00136E7B" w:rsidP="0063096B">
      <w:pPr>
        <w:numPr>
          <w:ilvl w:val="0"/>
          <w:numId w:val="13"/>
        </w:numPr>
        <w:rPr>
          <w:lang w:val="en-GB"/>
        </w:rPr>
      </w:pPr>
      <w:r w:rsidRPr="004E5B45">
        <w:rPr>
          <w:lang w:val="en-GB"/>
        </w:rPr>
        <w:t>ITU-T SGs (Study Period 2017-2020) (</w:t>
      </w:r>
      <w:hyperlink r:id="rId173" w:history="1">
        <w:r w:rsidRPr="004E5B45">
          <w:rPr>
            <w:rStyle w:val="Hyperlink"/>
            <w:rFonts w:asciiTheme="majorBidi" w:hAnsiTheme="majorBidi" w:cstheme="majorBidi"/>
            <w:lang w:val="en-GB"/>
          </w:rPr>
          <w:t>https://extranet.itu.int/sites/itu-t/studygroups/2017-2020</w:t>
        </w:r>
      </w:hyperlink>
      <w:r w:rsidRPr="004E5B45">
        <w:rPr>
          <w:lang w:val="en-GB"/>
        </w:rPr>
        <w:t>)</w:t>
      </w:r>
    </w:p>
    <w:p w14:paraId="7132042A" w14:textId="77777777" w:rsidR="00136E7B" w:rsidRPr="004E5B45" w:rsidRDefault="00136E7B" w:rsidP="0063096B">
      <w:pPr>
        <w:numPr>
          <w:ilvl w:val="0"/>
          <w:numId w:val="13"/>
        </w:numPr>
        <w:rPr>
          <w:lang w:val="en-GB"/>
        </w:rPr>
      </w:pPr>
      <w:r w:rsidRPr="004E5B45">
        <w:rPr>
          <w:lang w:val="en-GB"/>
        </w:rPr>
        <w:t>United for Smart Sustainable Cities (U4SSC) (</w:t>
      </w:r>
      <w:hyperlink r:id="rId174" w:history="1">
        <w:r w:rsidRPr="004E5B45">
          <w:rPr>
            <w:rStyle w:val="Hyperlink"/>
            <w:rFonts w:asciiTheme="majorBidi" w:hAnsiTheme="majorBidi" w:cstheme="majorBidi"/>
            <w:lang w:val="en-GB"/>
          </w:rPr>
          <w:t>https://extranet.itu.int/sites/itu-t/initiatives/U4SSC/</w:t>
        </w:r>
      </w:hyperlink>
      <w:r w:rsidRPr="004E5B45">
        <w:rPr>
          <w:lang w:val="en-GB"/>
        </w:rPr>
        <w:t>)</w:t>
      </w:r>
    </w:p>
    <w:p w14:paraId="26D6AE74" w14:textId="77777777" w:rsidR="00136E7B" w:rsidRPr="004E5B45" w:rsidRDefault="00136E7B" w:rsidP="0063096B">
      <w:pPr>
        <w:numPr>
          <w:ilvl w:val="0"/>
          <w:numId w:val="13"/>
        </w:numPr>
        <w:rPr>
          <w:lang w:val="en-GB"/>
        </w:rPr>
      </w:pPr>
      <w:r w:rsidRPr="004E5B45">
        <w:rPr>
          <w:lang w:val="en-GB"/>
        </w:rPr>
        <w:t>Security, Infrastructure and Trust Working Group (SIT WG) (</w:t>
      </w:r>
      <w:hyperlink r:id="rId175" w:history="1">
        <w:r w:rsidRPr="004E5B45">
          <w:rPr>
            <w:rStyle w:val="Hyperlink"/>
            <w:rFonts w:asciiTheme="majorBidi" w:hAnsiTheme="majorBidi" w:cstheme="majorBidi"/>
            <w:lang w:val="en-GB"/>
          </w:rPr>
          <w:t>https://extranet.itu.int/sites/itu-t/initiatives/sitwg/</w:t>
        </w:r>
      </w:hyperlink>
      <w:r w:rsidRPr="004E5B45">
        <w:rPr>
          <w:lang w:val="en-GB"/>
        </w:rPr>
        <w:t>)</w:t>
      </w:r>
    </w:p>
    <w:p w14:paraId="14EF60E6" w14:textId="77777777" w:rsidR="00136E7B" w:rsidRPr="004E5B45" w:rsidRDefault="00136E7B" w:rsidP="0063096B">
      <w:pPr>
        <w:numPr>
          <w:ilvl w:val="0"/>
          <w:numId w:val="13"/>
        </w:numPr>
        <w:rPr>
          <w:lang w:val="en-GB"/>
        </w:rPr>
      </w:pPr>
      <w:r w:rsidRPr="004E5B45">
        <w:rPr>
          <w:lang w:val="en-GB"/>
        </w:rPr>
        <w:t>FG ML5G - ITU-T Focus Group on Machine Learning for Future Networks including 5G (</w:t>
      </w:r>
      <w:hyperlink r:id="rId176" w:history="1">
        <w:r w:rsidRPr="004E5B45">
          <w:rPr>
            <w:rStyle w:val="Hyperlink"/>
            <w:rFonts w:asciiTheme="majorBidi" w:hAnsiTheme="majorBidi" w:cstheme="majorBidi"/>
            <w:lang w:val="en-GB"/>
          </w:rPr>
          <w:t>https://extranet.itu.int/sites/itu-t/focusgroups/ML5G/</w:t>
        </w:r>
      </w:hyperlink>
      <w:r w:rsidRPr="004E5B45">
        <w:rPr>
          <w:lang w:val="en-GB"/>
        </w:rPr>
        <w:t>)</w:t>
      </w:r>
    </w:p>
    <w:p w14:paraId="3E651958" w14:textId="77777777" w:rsidR="00136E7B" w:rsidRPr="004E5B45" w:rsidRDefault="00136E7B" w:rsidP="0063096B">
      <w:pPr>
        <w:numPr>
          <w:ilvl w:val="0"/>
          <w:numId w:val="13"/>
        </w:numPr>
        <w:rPr>
          <w:lang w:val="en-GB"/>
        </w:rPr>
      </w:pPr>
      <w:r w:rsidRPr="004E5B45">
        <w:rPr>
          <w:lang w:val="en-GB"/>
        </w:rPr>
        <w:t>FG NET-2030 – ITU-T Focus Group on Technologies for Network 2030 (</w:t>
      </w:r>
      <w:hyperlink r:id="rId177" w:history="1">
        <w:r w:rsidRPr="004E5B45">
          <w:rPr>
            <w:rStyle w:val="Hyperlink"/>
            <w:rFonts w:asciiTheme="majorBidi" w:hAnsiTheme="majorBidi" w:cstheme="majorBidi"/>
            <w:lang w:val="en-GB"/>
          </w:rPr>
          <w:t>https://extranet.itu.int/sites/itu-t/focusgroups/net-2030/</w:t>
        </w:r>
      </w:hyperlink>
      <w:r w:rsidRPr="004E5B45">
        <w:rPr>
          <w:lang w:val="en-GB"/>
        </w:rPr>
        <w:t>)</w:t>
      </w:r>
    </w:p>
    <w:p w14:paraId="478A0AE0" w14:textId="77777777" w:rsidR="00136E7B" w:rsidRPr="004E5B45" w:rsidRDefault="00136E7B" w:rsidP="0063096B">
      <w:pPr>
        <w:numPr>
          <w:ilvl w:val="0"/>
          <w:numId w:val="13"/>
        </w:numPr>
        <w:rPr>
          <w:lang w:val="en-GB"/>
        </w:rPr>
      </w:pPr>
      <w:r w:rsidRPr="004E5B45">
        <w:rPr>
          <w:lang w:val="en-GB"/>
        </w:rPr>
        <w:lastRenderedPageBreak/>
        <w:t>FG-AI4H - ITU-T Focus Group on AI for Health (</w:t>
      </w:r>
      <w:hyperlink r:id="rId178" w:history="1">
        <w:r w:rsidRPr="004E5B45">
          <w:rPr>
            <w:rStyle w:val="Hyperlink"/>
            <w:rFonts w:asciiTheme="majorBidi" w:hAnsiTheme="majorBidi" w:cstheme="majorBidi"/>
            <w:lang w:val="en-GB"/>
          </w:rPr>
          <w:t>https://extranet.itu.int/sites/itu-t/focusgroups/ai4h/</w:t>
        </w:r>
      </w:hyperlink>
      <w:r w:rsidRPr="004E5B45">
        <w:rPr>
          <w:lang w:val="en-GB"/>
        </w:rPr>
        <w:t>)</w:t>
      </w:r>
    </w:p>
    <w:p w14:paraId="15D01F46" w14:textId="77777777" w:rsidR="00136E7B" w:rsidRPr="004E5B45" w:rsidRDefault="00136E7B" w:rsidP="0063096B">
      <w:pPr>
        <w:numPr>
          <w:ilvl w:val="0"/>
          <w:numId w:val="13"/>
        </w:numPr>
        <w:rPr>
          <w:lang w:val="en-GB"/>
        </w:rPr>
      </w:pPr>
      <w:r w:rsidRPr="004E5B45">
        <w:rPr>
          <w:lang w:val="en-GB"/>
        </w:rPr>
        <w:t>FG-VM - ITU-T Focus Group on Vehicular Multimedia</w:t>
      </w:r>
      <w:r w:rsidRPr="004E5B45">
        <w:rPr>
          <w:lang w:val="en-GB"/>
        </w:rPr>
        <w:br/>
        <w:t>(</w:t>
      </w:r>
      <w:hyperlink r:id="rId179" w:history="1">
        <w:r w:rsidRPr="004E5B45">
          <w:rPr>
            <w:rStyle w:val="Hyperlink"/>
            <w:rFonts w:asciiTheme="majorBidi" w:hAnsiTheme="majorBidi" w:cstheme="majorBidi"/>
            <w:lang w:val="en-GB"/>
          </w:rPr>
          <w:t>https://extranet.itu.int/sites/itu-t/focusgroups/vm/</w:t>
        </w:r>
      </w:hyperlink>
      <w:r w:rsidRPr="004E5B45">
        <w:rPr>
          <w:lang w:val="en-GB"/>
        </w:rPr>
        <w:t>)</w:t>
      </w:r>
    </w:p>
    <w:p w14:paraId="6C4C897B" w14:textId="77777777" w:rsidR="00136E7B" w:rsidRPr="004E5B45" w:rsidRDefault="00136E7B" w:rsidP="0063096B">
      <w:pPr>
        <w:numPr>
          <w:ilvl w:val="0"/>
          <w:numId w:val="13"/>
        </w:numPr>
        <w:rPr>
          <w:lang w:val="en-GB"/>
        </w:rPr>
      </w:pPr>
      <w:r w:rsidRPr="004E5B45">
        <w:rPr>
          <w:lang w:val="en-GB"/>
        </w:rPr>
        <w:t>FG-AI4EE - Focus Group on Environmental Efficiency for AI and other Emerging Technologies</w:t>
      </w:r>
      <w:r w:rsidRPr="004E5B45">
        <w:rPr>
          <w:lang w:val="en-GB"/>
        </w:rPr>
        <w:br/>
        <w:t>(</w:t>
      </w:r>
      <w:hyperlink r:id="rId180" w:history="1">
        <w:r w:rsidRPr="004E5B45">
          <w:rPr>
            <w:rStyle w:val="Hyperlink"/>
            <w:rFonts w:asciiTheme="majorBidi" w:hAnsiTheme="majorBidi" w:cstheme="majorBidi"/>
            <w:lang w:val="en-GB"/>
          </w:rPr>
          <w:t>https://extranet.itu.int/sites/itu-t/focusgroups/ai4ee/</w:t>
        </w:r>
      </w:hyperlink>
      <w:r w:rsidRPr="004E5B45">
        <w:rPr>
          <w:lang w:val="en-GB"/>
        </w:rPr>
        <w:t>)</w:t>
      </w:r>
    </w:p>
    <w:p w14:paraId="4F4337B5" w14:textId="77777777" w:rsidR="00136E7B" w:rsidRPr="004E5B45" w:rsidRDefault="00136E7B" w:rsidP="0063096B">
      <w:pPr>
        <w:numPr>
          <w:ilvl w:val="0"/>
          <w:numId w:val="13"/>
        </w:numPr>
        <w:rPr>
          <w:lang w:val="en-GB"/>
        </w:rPr>
      </w:pPr>
      <w:r w:rsidRPr="004E5B45">
        <w:rPr>
          <w:lang w:val="en-GB"/>
        </w:rPr>
        <w:t>FG QIT4N – ITU-T Focus Group on Quantum Information Technology for Networks (</w:t>
      </w:r>
      <w:hyperlink r:id="rId181" w:history="1">
        <w:r w:rsidRPr="004E5B45">
          <w:rPr>
            <w:rStyle w:val="Hyperlink"/>
            <w:lang w:val="en-GB"/>
          </w:rPr>
          <w:t>https://extranet.itu.int/sites/itu-t/focusgroups/qit4n</w:t>
        </w:r>
      </w:hyperlink>
      <w:r w:rsidRPr="004E5B45">
        <w:rPr>
          <w:lang w:val="en-GB"/>
        </w:rPr>
        <w:t>)</w:t>
      </w:r>
    </w:p>
    <w:p w14:paraId="60BCF6B0" w14:textId="77777777" w:rsidR="00136E7B" w:rsidRPr="004E5B45" w:rsidRDefault="00136E7B" w:rsidP="0063096B">
      <w:pPr>
        <w:numPr>
          <w:ilvl w:val="0"/>
          <w:numId w:val="13"/>
        </w:numPr>
        <w:rPr>
          <w:lang w:val="en-GB"/>
        </w:rPr>
      </w:pPr>
      <w:r w:rsidRPr="004E5B45">
        <w:rPr>
          <w:lang w:val="en-GB"/>
        </w:rPr>
        <w:t>FG-AI4AD – ITU-T Focus Group on Autonomous and Assisted Driving (</w:t>
      </w:r>
      <w:hyperlink r:id="rId182" w:history="1">
        <w:r w:rsidRPr="004E5B45">
          <w:rPr>
            <w:rStyle w:val="Hyperlink"/>
            <w:lang w:val="en-GB"/>
          </w:rPr>
          <w:t>https://extranet.itu.int/sites/itu-t/focusgroups/ai4ad</w:t>
        </w:r>
      </w:hyperlink>
      <w:r w:rsidRPr="004E5B45">
        <w:rPr>
          <w:lang w:val="en-GB"/>
        </w:rPr>
        <w:t>)</w:t>
      </w:r>
    </w:p>
    <w:p w14:paraId="4C50B945" w14:textId="77777777" w:rsidR="00136E7B" w:rsidRPr="004E5B45" w:rsidRDefault="00136E7B" w:rsidP="0063096B">
      <w:pPr>
        <w:numPr>
          <w:ilvl w:val="0"/>
          <w:numId w:val="13"/>
        </w:numPr>
        <w:rPr>
          <w:lang w:val="en-GB"/>
        </w:rPr>
      </w:pPr>
      <w:r w:rsidRPr="004E5B45">
        <w:rPr>
          <w:lang w:val="en-GB"/>
        </w:rPr>
        <w:t>JVDS - ITU-T SG16 &amp; ISO TC22/SC31/WG8 Joint Project Team on Vehicle Domain Service (</w:t>
      </w:r>
      <w:hyperlink r:id="rId183" w:history="1">
        <w:r w:rsidRPr="004E5B45">
          <w:rPr>
            <w:rStyle w:val="Hyperlink"/>
          </w:rPr>
          <w:t>https://extranet.itu.int/sites/itu-t/jointgroups/jvds/</w:t>
        </w:r>
      </w:hyperlink>
      <w:r w:rsidRPr="004E5B45">
        <w:t>)</w:t>
      </w:r>
    </w:p>
    <w:p w14:paraId="4FE06528" w14:textId="77777777" w:rsidR="00136E7B" w:rsidRPr="004E5B45" w:rsidRDefault="00136E7B" w:rsidP="0063096B">
      <w:pPr>
        <w:numPr>
          <w:ilvl w:val="0"/>
          <w:numId w:val="13"/>
        </w:numPr>
        <w:rPr>
          <w:lang w:val="en-GB"/>
        </w:rPr>
      </w:pPr>
      <w:r w:rsidRPr="004E5B45">
        <w:rPr>
          <w:lang w:val="en-GB"/>
        </w:rPr>
        <w:t>IRG-AVA - Intersector Rapporteur Group on Audiovisual Media Accessibility (</w:t>
      </w:r>
      <w:hyperlink r:id="rId184" w:history="1">
        <w:r w:rsidRPr="004E5B45">
          <w:rPr>
            <w:rStyle w:val="Hyperlink"/>
          </w:rPr>
          <w:t>https://extranet.itu.int/sites/irg/ava/</w:t>
        </w:r>
      </w:hyperlink>
      <w:r w:rsidRPr="004E5B45">
        <w:t>)</w:t>
      </w:r>
    </w:p>
    <w:p w14:paraId="6E95883E" w14:textId="2B416709" w:rsidR="00136E7B" w:rsidRPr="004E5B45" w:rsidRDefault="00136E7B" w:rsidP="0063096B">
      <w:pPr>
        <w:numPr>
          <w:ilvl w:val="0"/>
          <w:numId w:val="13"/>
        </w:numPr>
        <w:rPr>
          <w:lang w:val="en-GB"/>
        </w:rPr>
      </w:pPr>
      <w:r w:rsidRPr="20821C4C">
        <w:rPr>
          <w:lang w:val="en-GB"/>
        </w:rPr>
        <w:t>CASC - ITU-T Conformity Assessment Steering Committee</w:t>
      </w:r>
      <w:r>
        <w:br/>
      </w:r>
      <w:r w:rsidRPr="20821C4C">
        <w:rPr>
          <w:lang w:val="en-GB"/>
        </w:rPr>
        <w:t>(</w:t>
      </w:r>
      <w:hyperlink r:id="rId185">
        <w:r w:rsidRPr="20821C4C">
          <w:rPr>
            <w:rStyle w:val="Hyperlink"/>
          </w:rPr>
          <w:t>https://extranet.itu.int/sites/itu-t/studygroups/2017-2020/sg11/casc/</w:t>
        </w:r>
      </w:hyperlink>
      <w:r>
        <w:t>)</w:t>
      </w:r>
    </w:p>
    <w:p w14:paraId="6426246B" w14:textId="06F54DC7" w:rsidR="4852C0E0" w:rsidRDefault="4852C0E0" w:rsidP="0063096B">
      <w:pPr>
        <w:numPr>
          <w:ilvl w:val="0"/>
          <w:numId w:val="13"/>
        </w:numPr>
        <w:rPr>
          <w:szCs w:val="24"/>
        </w:rPr>
      </w:pPr>
      <w:r>
        <w:t>Pathway #1: Circular Design (</w:t>
      </w:r>
      <w:hyperlink r:id="rId186" w:history="1">
        <w:r w:rsidRPr="20821C4C">
          <w:rPr>
            <w:rStyle w:val="Hyperlink"/>
          </w:rPr>
          <w:t>https://extranet.itu.int/sites/itu-t/initiatives/circulardesign</w:t>
        </w:r>
      </w:hyperlink>
      <w:r>
        <w:t>)</w:t>
      </w:r>
    </w:p>
    <w:p w14:paraId="0399880F" w14:textId="541087E1" w:rsidR="4852C0E0" w:rsidRDefault="4852C0E0" w:rsidP="0063096B">
      <w:pPr>
        <w:numPr>
          <w:ilvl w:val="0"/>
          <w:numId w:val="13"/>
        </w:numPr>
        <w:rPr>
          <w:szCs w:val="24"/>
        </w:rPr>
      </w:pPr>
      <w:r>
        <w:t>Digital Currency Global Initiative (</w:t>
      </w:r>
      <w:hyperlink r:id="rId187" w:history="1">
        <w:r w:rsidRPr="20821C4C">
          <w:rPr>
            <w:rStyle w:val="Hyperlink"/>
          </w:rPr>
          <w:t>https://extranet.itu.int/sites/itu-t/initiatives/dcgi</w:t>
        </w:r>
      </w:hyperlink>
      <w:r>
        <w:t>)</w:t>
      </w:r>
    </w:p>
    <w:p w14:paraId="1AB2CA14" w14:textId="3E467C82" w:rsidR="4852C0E0" w:rsidRDefault="4852C0E0" w:rsidP="0063096B">
      <w:pPr>
        <w:numPr>
          <w:ilvl w:val="0"/>
          <w:numId w:val="13"/>
        </w:numPr>
        <w:rPr>
          <w:szCs w:val="24"/>
        </w:rPr>
      </w:pPr>
      <w:r>
        <w:t>Project on E-waste (</w:t>
      </w:r>
      <w:hyperlink r:id="rId188" w:history="1">
        <w:r w:rsidRPr="20821C4C">
          <w:rPr>
            <w:rStyle w:val="Hyperlink"/>
          </w:rPr>
          <w:t>https://extranet.itu.int/sites/itu-t/initiatives/E-waste</w:t>
        </w:r>
      </w:hyperlink>
      <w:r>
        <w:t>)</w:t>
      </w:r>
    </w:p>
    <w:p w14:paraId="426FD4AA" w14:textId="6A5BE359" w:rsidR="4852C0E0" w:rsidRDefault="4852C0E0" w:rsidP="0063096B">
      <w:pPr>
        <w:numPr>
          <w:ilvl w:val="0"/>
          <w:numId w:val="13"/>
        </w:numPr>
        <w:rPr>
          <w:szCs w:val="24"/>
        </w:rPr>
      </w:pPr>
      <w:r>
        <w:t>Focal points and coordinators for WTSA-20 from regional organizations (</w:t>
      </w:r>
      <w:hyperlink r:id="rId189" w:history="1">
        <w:r w:rsidR="00214A22" w:rsidRPr="002E448E">
          <w:rPr>
            <w:rStyle w:val="Hyperlink"/>
          </w:rPr>
          <w:t>https://extranet.itu.int/sites/itu-t/wtsa-20/prepmeet/Lists/ContactSheet/DefViewContacts.aspx</w:t>
        </w:r>
      </w:hyperlink>
      <w:r>
        <w:t>)</w:t>
      </w:r>
    </w:p>
    <w:p w14:paraId="7998B51F" w14:textId="77777777" w:rsidR="00136E7B" w:rsidRPr="004E5B45" w:rsidRDefault="00136E7B" w:rsidP="00136E7B">
      <w:pPr>
        <w:rPr>
          <w:lang w:val="en-GB"/>
        </w:rPr>
      </w:pPr>
      <w:r w:rsidRPr="004E5B45">
        <w:rPr>
          <w:lang w:val="en-GB"/>
        </w:rPr>
        <w:t xml:space="preserve">A support site containing a knowledge base of FAQs and user guides on the various SharePoint services is available at: </w:t>
      </w:r>
      <w:hyperlink r:id="rId190" w:history="1">
        <w:r w:rsidRPr="004E5B45">
          <w:rPr>
            <w:rStyle w:val="Hyperlink"/>
            <w:rFonts w:asciiTheme="majorBidi" w:hAnsiTheme="majorBidi" w:cstheme="majorBidi"/>
            <w:szCs w:val="24"/>
            <w:lang w:val="en-GB"/>
          </w:rPr>
          <w:t>https://extranet.itu.int/ITU-T/support/</w:t>
        </w:r>
      </w:hyperlink>
      <w:r w:rsidRPr="004E5B45">
        <w:rPr>
          <w:lang w:val="en-GB"/>
        </w:rPr>
        <w:t>.</w:t>
      </w:r>
    </w:p>
    <w:p w14:paraId="7269572D" w14:textId="77777777" w:rsidR="00136E7B" w:rsidRPr="00C47E64" w:rsidRDefault="00136E7B" w:rsidP="00136E7B">
      <w:pPr>
        <w:rPr>
          <w:lang w:val="en-GB"/>
        </w:rPr>
      </w:pPr>
      <w:r w:rsidRPr="004E5B45">
        <w:rPr>
          <w:lang w:val="en-GB"/>
        </w:rPr>
        <w:t>Most of the collaboration sites are restricted to ITU-T members, accessed using an ITU User Account (TIES). Certain collaboration sites are open to non-members, accessed using non-member ITU User Accounts.</w:t>
      </w:r>
    </w:p>
    <w:p w14:paraId="4E424F5C" w14:textId="39ED4B32" w:rsidR="00136E7B" w:rsidRPr="00F57FAD" w:rsidRDefault="00136E7B" w:rsidP="00136E7B">
      <w:pPr>
        <w:pStyle w:val="Heading2"/>
      </w:pPr>
      <w:bookmarkStart w:id="212" w:name="_Toc462664281"/>
      <w:bookmarkStart w:id="213" w:name="_Toc480527876"/>
      <w:bookmarkStart w:id="214" w:name="_Toc51331537"/>
      <w:r w:rsidRPr="00F57FAD">
        <w:t>1</w:t>
      </w:r>
      <w:r w:rsidR="00CB641D">
        <w:t>5</w:t>
      </w:r>
      <w:r w:rsidRPr="00F57FAD">
        <w:t>.8</w:t>
      </w:r>
      <w:r w:rsidRPr="00F57FAD">
        <w:tab/>
        <w:t>Meeting Documents Sync Application</w:t>
      </w:r>
      <w:bookmarkEnd w:id="212"/>
      <w:bookmarkEnd w:id="213"/>
      <w:bookmarkEnd w:id="214"/>
    </w:p>
    <w:p w14:paraId="60EB598E" w14:textId="77777777" w:rsidR="00136E7B" w:rsidRPr="004E5B45" w:rsidRDefault="00136E7B" w:rsidP="00136E7B">
      <w:pPr>
        <w:rPr>
          <w:lang w:val="en-GB"/>
        </w:rPr>
      </w:pPr>
      <w:bookmarkStart w:id="215" w:name="_Toc462664282"/>
      <w:r w:rsidRPr="004E5B45">
        <w:rPr>
          <w:lang w:val="en-GB"/>
        </w:rPr>
        <w:t>This application enables meeting participants to synchronize documents of ongoing ITU-T SG meetings from the ITU server to their local drive. The application is constantly enhanced and updated following feedback and suggestions from users.</w:t>
      </w:r>
    </w:p>
    <w:p w14:paraId="3FD79452" w14:textId="025E410A" w:rsidR="00136E7B" w:rsidRPr="00F57FAD" w:rsidRDefault="00136E7B" w:rsidP="00136E7B">
      <w:pPr>
        <w:pStyle w:val="Heading2"/>
      </w:pPr>
      <w:bookmarkStart w:id="216" w:name="_Toc51331538"/>
      <w:r w:rsidRPr="00F57FAD">
        <w:t>1</w:t>
      </w:r>
      <w:r w:rsidR="00CB641D">
        <w:t>5</w:t>
      </w:r>
      <w:r w:rsidRPr="00F57FAD">
        <w:t>.9</w:t>
      </w:r>
      <w:r w:rsidRPr="00F57FAD">
        <w:tab/>
        <w:t>Electronic meetings</w:t>
      </w:r>
      <w:bookmarkEnd w:id="215"/>
      <w:bookmarkEnd w:id="216"/>
    </w:p>
    <w:p w14:paraId="7D33FE2E" w14:textId="2B1373CB" w:rsidR="00136E7B" w:rsidRPr="009C4488" w:rsidRDefault="6ABD0293" w:rsidP="6B63C149">
      <w:pPr>
        <w:rPr>
          <w:lang w:val="en-GB"/>
        </w:rPr>
      </w:pPr>
      <w:r w:rsidRPr="009C4488">
        <w:rPr>
          <w:lang w:val="en-GB"/>
        </w:rPr>
        <w:t xml:space="preserve">In the last few months, TSB has made some important changes and improvements to its electronic meeting facilities due to the COVID-19 pandemic. MyMeetings, the ITU-T open source solution for electronic meetings introduced in January 2019 by TSB, is now used as the main platform to organize ITU-T statutory meetings. The tool features some important elements found in ITU-T physical meetings, including participants’ list and affiliation, multilingual support, moderated floor request and captioning. In addition, the tool has put in place several layers of access control to make sure that only registered participants can have access to Statutory meetings. MyMeetings is also been used to host Rapporteur Group Meetings and non-statutory events, such as webinars. Other electronic meeting tools, such as Zoom, are also provided by TSB for hosting fully online (virtual) </w:t>
      </w:r>
      <w:r w:rsidRPr="009C4488">
        <w:rPr>
          <w:lang w:val="en-GB"/>
        </w:rPr>
        <w:lastRenderedPageBreak/>
        <w:t>and any on-demand ad-hoc meetings. Statistics on e-meetings for the 2018, 2019 and 2020 are shown below.</w:t>
      </w:r>
    </w:p>
    <w:p w14:paraId="2535C1E5" w14:textId="4DD93538" w:rsidR="1C6920EE" w:rsidRDefault="1C6920EE" w:rsidP="00BF785D">
      <w:pPr>
        <w:jc w:val="center"/>
      </w:pPr>
      <w:r>
        <w:rPr>
          <w:noProof/>
        </w:rPr>
        <w:drawing>
          <wp:inline distT="0" distB="0" distL="0" distR="0" wp14:anchorId="0D866D6C" wp14:editId="6E7253C3">
            <wp:extent cx="5248276" cy="2990850"/>
            <wp:effectExtent l="0" t="0" r="0" b="0"/>
            <wp:docPr id="918000061" name="Picture 9180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000061"/>
                    <pic:cNvPicPr/>
                  </pic:nvPicPr>
                  <pic:blipFill>
                    <a:blip r:embed="rId191">
                      <a:extLst>
                        <a:ext uri="{28A0092B-C50C-407E-A947-70E740481C1C}">
                          <a14:useLocalDpi xmlns:a14="http://schemas.microsoft.com/office/drawing/2010/main" val="0"/>
                        </a:ext>
                      </a:extLst>
                    </a:blip>
                    <a:stretch>
                      <a:fillRect/>
                    </a:stretch>
                  </pic:blipFill>
                  <pic:spPr>
                    <a:xfrm>
                      <a:off x="0" y="0"/>
                      <a:ext cx="5248276" cy="2990850"/>
                    </a:xfrm>
                    <a:prstGeom prst="rect">
                      <a:avLst/>
                    </a:prstGeom>
                  </pic:spPr>
                </pic:pic>
              </a:graphicData>
            </a:graphic>
          </wp:inline>
        </w:drawing>
      </w:r>
    </w:p>
    <w:p w14:paraId="45AFB4A2" w14:textId="77777777" w:rsidR="00136E7B" w:rsidRPr="006937F2" w:rsidRDefault="00136E7B" w:rsidP="00136E7B">
      <w:pPr>
        <w:pStyle w:val="Caption"/>
        <w:rPr>
          <w:lang w:val="en-GB"/>
        </w:rPr>
      </w:pPr>
      <w:r w:rsidRPr="00BF785D">
        <w:rPr>
          <w:lang w:val="en-GB"/>
        </w:rPr>
        <w:t xml:space="preserve">Figure </w:t>
      </w:r>
      <w:r w:rsidRPr="00BF785D">
        <w:rPr>
          <w:color w:val="2B579A"/>
          <w:shd w:val="clear" w:color="auto" w:fill="E6E6E6"/>
          <w:lang w:val="en-GB"/>
        </w:rPr>
        <w:fldChar w:fldCharType="begin"/>
      </w:r>
      <w:r w:rsidRPr="00BF785D">
        <w:rPr>
          <w:lang w:val="en-GB"/>
        </w:rPr>
        <w:instrText xml:space="preserve"> SEQ Figure \* ARABIC </w:instrText>
      </w:r>
      <w:r w:rsidRPr="00BF785D">
        <w:rPr>
          <w:color w:val="2B579A"/>
          <w:shd w:val="clear" w:color="auto" w:fill="E6E6E6"/>
          <w:lang w:val="en-GB"/>
        </w:rPr>
        <w:fldChar w:fldCharType="separate"/>
      </w:r>
      <w:r w:rsidRPr="00BF785D">
        <w:rPr>
          <w:lang w:val="en-GB"/>
        </w:rPr>
        <w:t>5</w:t>
      </w:r>
      <w:r w:rsidRPr="00BF785D">
        <w:rPr>
          <w:color w:val="2B579A"/>
          <w:shd w:val="clear" w:color="auto" w:fill="E6E6E6"/>
          <w:lang w:val="en-GB"/>
        </w:rPr>
        <w:fldChar w:fldCharType="end"/>
      </w:r>
      <w:r w:rsidRPr="00BF785D">
        <w:rPr>
          <w:lang w:val="en-GB"/>
        </w:rPr>
        <w:t xml:space="preserve"> – Remote participation and e-meetings</w:t>
      </w:r>
    </w:p>
    <w:p w14:paraId="00B184EB" w14:textId="1FE45D97" w:rsidR="00136E7B" w:rsidRPr="00F57FAD" w:rsidRDefault="00136E7B" w:rsidP="00136E7B">
      <w:pPr>
        <w:pStyle w:val="Heading2"/>
      </w:pPr>
      <w:bookmarkStart w:id="217" w:name="_Toc389154483"/>
      <w:bookmarkStart w:id="218" w:name="_Toc462664285"/>
      <w:bookmarkStart w:id="219" w:name="_Toc480527879"/>
      <w:bookmarkStart w:id="220" w:name="_Toc51331539"/>
      <w:r w:rsidRPr="00F57FAD">
        <w:t>1</w:t>
      </w:r>
      <w:r w:rsidR="00CB641D">
        <w:t>5</w:t>
      </w:r>
      <w:r w:rsidRPr="00F57FAD">
        <w:t>.10</w:t>
      </w:r>
      <w:r w:rsidRPr="00F57FAD">
        <w:tab/>
        <w:t>Use in the ITU-T of the official languages of the Union on an equal footing</w:t>
      </w:r>
      <w:bookmarkEnd w:id="217"/>
      <w:bookmarkEnd w:id="218"/>
      <w:bookmarkEnd w:id="219"/>
      <w:bookmarkEnd w:id="220"/>
    </w:p>
    <w:p w14:paraId="3544EB96" w14:textId="77777777" w:rsidR="00136E7B" w:rsidRPr="004E5B45" w:rsidRDefault="00136E7B" w:rsidP="00136E7B">
      <w:pPr>
        <w:rPr>
          <w:lang w:val="en-GB"/>
        </w:rPr>
      </w:pPr>
      <w:r w:rsidRPr="004E5B45">
        <w:rPr>
          <w:lang w:val="en-GB"/>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300EA685" w14:textId="77777777" w:rsidR="00136E7B" w:rsidRPr="004E5B45" w:rsidRDefault="00136E7B" w:rsidP="00136E7B">
      <w:pPr>
        <w:rPr>
          <w:lang w:val="en-GB"/>
        </w:rPr>
      </w:pPr>
      <w:r w:rsidRPr="004E5B45">
        <w:rPr>
          <w:lang w:val="en-GB"/>
        </w:rPr>
        <w:t>TSB continues to collect all new terms and definitions proposed by ITU-T SGs, entering them into the online ITU Terms and Definitions database.</w:t>
      </w:r>
    </w:p>
    <w:p w14:paraId="3D17172B" w14:textId="77777777" w:rsidR="00136E7B" w:rsidRPr="00CD5204" w:rsidRDefault="00136E7B" w:rsidP="00136E7B">
      <w:pPr>
        <w:rPr>
          <w:lang w:val="en-GB"/>
        </w:rPr>
      </w:pPr>
      <w:r w:rsidRPr="00CD5204">
        <w:rPr>
          <w:lang w:val="en-GB"/>
        </w:rPr>
        <w:t>As requested by WTSA Resolution 67, TSB continues to translate all Recommendations approved under the Traditional Approval Process (TAP) as well as all TSAG reports.</w:t>
      </w:r>
    </w:p>
    <w:p w14:paraId="39E09C75" w14:textId="414EDDAF" w:rsidR="00136E7B" w:rsidRPr="004668BC" w:rsidRDefault="00136E7B" w:rsidP="00136E7B">
      <w:pPr>
        <w:rPr>
          <w:lang w:val="en-GB"/>
        </w:rPr>
      </w:pPr>
      <w:r w:rsidRPr="00CD5204">
        <w:rPr>
          <w:lang w:val="en-GB"/>
        </w:rPr>
        <w:t xml:space="preserve">TSB also translated </w:t>
      </w:r>
      <w:r w:rsidR="3DEE1028" w:rsidRPr="294D9109">
        <w:rPr>
          <w:lang w:val="en-GB"/>
        </w:rPr>
        <w:t>11</w:t>
      </w:r>
      <w:r>
        <w:rPr>
          <w:lang w:val="en-GB"/>
        </w:rPr>
        <w:t xml:space="preserve"> </w:t>
      </w:r>
      <w:r w:rsidRPr="00CD5204">
        <w:rPr>
          <w:lang w:val="en-GB"/>
        </w:rPr>
        <w:t xml:space="preserve">AAP Recommendations between January and </w:t>
      </w:r>
      <w:r w:rsidR="3B845FAE" w:rsidRPr="294D9109">
        <w:rPr>
          <w:lang w:val="en-GB"/>
        </w:rPr>
        <w:t xml:space="preserve">August </w:t>
      </w:r>
      <w:r w:rsidRPr="00CD5204">
        <w:rPr>
          <w:lang w:val="en-GB"/>
        </w:rPr>
        <w:t>20</w:t>
      </w:r>
      <w:r w:rsidR="329BC22B" w:rsidRPr="294D9109">
        <w:rPr>
          <w:lang w:val="en-GB"/>
        </w:rPr>
        <w:t>20</w:t>
      </w:r>
      <w:r w:rsidRPr="00CD5204">
        <w:rPr>
          <w:lang w:val="en-GB"/>
        </w:rPr>
        <w:t>, in accordance with requests received from ITU-T SGs and linguistic groups</w:t>
      </w:r>
      <w:r w:rsidR="54826E5C" w:rsidRPr="294D9109">
        <w:rPr>
          <w:lang w:val="en-GB"/>
        </w:rPr>
        <w:t>, and within the available budget</w:t>
      </w:r>
      <w:r w:rsidRPr="00CD5204">
        <w:rPr>
          <w:lang w:val="en-GB"/>
        </w:rPr>
        <w:t>.</w:t>
      </w:r>
    </w:p>
    <w:p w14:paraId="78DF0FC3" w14:textId="59F2F3A5" w:rsidR="00136E7B" w:rsidRPr="00F57FAD" w:rsidRDefault="00136E7B" w:rsidP="00136E7B">
      <w:pPr>
        <w:pStyle w:val="Heading2"/>
      </w:pPr>
      <w:bookmarkStart w:id="221" w:name="_Toc51331540"/>
      <w:r w:rsidRPr="00F57FAD">
        <w:t>1</w:t>
      </w:r>
      <w:r w:rsidR="00CB641D">
        <w:t>5</w:t>
      </w:r>
      <w:r w:rsidRPr="00F57FAD">
        <w:t>.11</w:t>
      </w:r>
      <w:r w:rsidRPr="00F57FAD">
        <w:tab/>
        <w:t>Workshops and symposia</w:t>
      </w:r>
      <w:bookmarkEnd w:id="221"/>
    </w:p>
    <w:p w14:paraId="430BB036" w14:textId="37EBA70C" w:rsidR="00710D5D" w:rsidRPr="00710D5D" w:rsidRDefault="00710D5D" w:rsidP="00136E7B">
      <w:pPr>
        <w:rPr>
          <w:highlight w:val="yellow"/>
          <w:lang w:val="en-GB"/>
        </w:rPr>
      </w:pPr>
      <w:r w:rsidRPr="00D363D7">
        <w:rPr>
          <w:lang w:val="en-GB"/>
        </w:rPr>
        <w:t xml:space="preserve">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r>
        <w:rPr>
          <w:lang w:val="en-GB"/>
        </w:rPr>
        <w:t xml:space="preserve">Participation in ITU workshops and symposia has </w:t>
      </w:r>
      <w:r w:rsidRPr="222B8D80">
        <w:rPr>
          <w:lang w:val="en-GB"/>
        </w:rPr>
        <w:t xml:space="preserve">increased </w:t>
      </w:r>
      <w:r>
        <w:rPr>
          <w:lang w:val="en-GB"/>
        </w:rPr>
        <w:t xml:space="preserve">as a result of </w:t>
      </w:r>
      <w:r w:rsidRPr="222B8D80">
        <w:rPr>
          <w:lang w:val="en-GB"/>
        </w:rPr>
        <w:t>COVID-19</w:t>
      </w:r>
      <w:r>
        <w:rPr>
          <w:lang w:val="en-GB"/>
        </w:rPr>
        <w:t>. With</w:t>
      </w:r>
      <w:r w:rsidRPr="222B8D80">
        <w:rPr>
          <w:lang w:val="en-GB"/>
        </w:rPr>
        <w:t xml:space="preserve"> all ITU-T workshops and symposia</w:t>
      </w:r>
      <w:r>
        <w:rPr>
          <w:lang w:val="en-GB"/>
        </w:rPr>
        <w:t xml:space="preserve"> held virtually with </w:t>
      </w:r>
      <w:r w:rsidRPr="00A669AD">
        <w:rPr>
          <w:lang w:val="en-GB"/>
        </w:rPr>
        <w:t>MyMeetings</w:t>
      </w:r>
      <w:r>
        <w:rPr>
          <w:lang w:val="en-GB"/>
        </w:rPr>
        <w:t xml:space="preserve">, workshops and symposia are welcoming a greater number and diversity of particpants. </w:t>
      </w:r>
    </w:p>
    <w:p w14:paraId="056FA3F8" w14:textId="66E487FB" w:rsidR="00136E7B" w:rsidRPr="00D666B5" w:rsidRDefault="00136E7B" w:rsidP="00136E7B">
      <w:pPr>
        <w:rPr>
          <w:lang w:val="en-GB"/>
        </w:rPr>
      </w:pPr>
      <w:r w:rsidRPr="222B8D80">
        <w:rPr>
          <w:lang w:val="en-GB"/>
        </w:rPr>
        <w:t>The following ITU</w:t>
      </w:r>
      <w:r w:rsidR="0F1DB58F" w:rsidRPr="222B8D80">
        <w:rPr>
          <w:lang w:val="en-GB"/>
        </w:rPr>
        <w:t>-T</w:t>
      </w:r>
      <w:r w:rsidRPr="222B8D80">
        <w:rPr>
          <w:lang w:val="en-GB"/>
        </w:rPr>
        <w:t xml:space="preserve"> workshops and symposia, arranged by venue, were organized by TSB from </w:t>
      </w:r>
      <w:r w:rsidR="00D666B5" w:rsidRPr="222B8D80">
        <w:rPr>
          <w:lang w:val="en-GB"/>
        </w:rPr>
        <w:t>January</w:t>
      </w:r>
      <w:r w:rsidRPr="222B8D80">
        <w:rPr>
          <w:lang w:val="en-GB"/>
        </w:rPr>
        <w:t xml:space="preserve"> to </w:t>
      </w:r>
      <w:r w:rsidR="00D666B5" w:rsidRPr="222B8D80">
        <w:rPr>
          <w:lang w:val="en-GB"/>
        </w:rPr>
        <w:t xml:space="preserve">August </w:t>
      </w:r>
      <w:r w:rsidRPr="222B8D80">
        <w:rPr>
          <w:lang w:val="en-GB"/>
        </w:rPr>
        <w:t>20</w:t>
      </w:r>
      <w:r w:rsidR="00D666B5" w:rsidRPr="222B8D80">
        <w:rPr>
          <w:lang w:val="en-GB"/>
        </w:rPr>
        <w:t>20</w:t>
      </w:r>
      <w:r w:rsidRPr="222B8D80">
        <w:rPr>
          <w:lang w:val="en-GB"/>
        </w:rPr>
        <w:t>:</w:t>
      </w:r>
    </w:p>
    <w:p w14:paraId="26F2170B" w14:textId="77777777" w:rsidR="00136E7B" w:rsidRPr="00F57FAD" w:rsidRDefault="00136E7B" w:rsidP="00136E7B">
      <w:pPr>
        <w:rPr>
          <w:szCs w:val="24"/>
          <w:lang w:val="en-GB"/>
        </w:rPr>
      </w:pPr>
      <w:r w:rsidRPr="00F57FAD">
        <w:rPr>
          <w:b/>
          <w:bCs/>
          <w:szCs w:val="24"/>
          <w:lang w:val="en-GB"/>
        </w:rPr>
        <w:t>ITU Headquarters, Geneva:</w:t>
      </w:r>
    </w:p>
    <w:p w14:paraId="2EA0BF48" w14:textId="23F2E6DE" w:rsidR="00064643" w:rsidRPr="00EF28A3" w:rsidRDefault="00E12FA7" w:rsidP="0063096B">
      <w:pPr>
        <w:numPr>
          <w:ilvl w:val="0"/>
          <w:numId w:val="14"/>
        </w:numPr>
        <w:rPr>
          <w:lang w:val="en-GB"/>
        </w:rPr>
      </w:pPr>
      <w:hyperlink r:id="rId192" w:history="1">
        <w:r w:rsidR="77A5CB8C" w:rsidRPr="222B8D80">
          <w:rPr>
            <w:color w:val="3789BD"/>
            <w:u w:val="single"/>
            <w:bdr w:val="none" w:sz="0" w:space="0" w:color="auto" w:frame="1"/>
            <w:shd w:val="clear" w:color="auto" w:fill="FFFFFF"/>
          </w:rPr>
          <w:t>Joint IEEE 802 and ITU-T Study Group 15 Workshop</w:t>
        </w:r>
      </w:hyperlink>
      <w:r w:rsidR="77A5CB8C" w:rsidRPr="222B8D80">
        <w:rPr>
          <w:lang w:val="en-GB"/>
        </w:rPr>
        <w:t xml:space="preserve">, </w:t>
      </w:r>
      <w:r w:rsidR="77A5CB8C" w:rsidRPr="222B8D80">
        <w:rPr>
          <w:color w:val="444444"/>
          <w:shd w:val="clear" w:color="auto" w:fill="FFFFFF"/>
        </w:rPr>
        <w:t>Geneva, Switzerland, 25 January 2020.</w:t>
      </w:r>
    </w:p>
    <w:p w14:paraId="388F9DF4" w14:textId="3B66BFB8" w:rsidR="00EF28A3" w:rsidRPr="00EF28A3" w:rsidRDefault="00E12FA7" w:rsidP="0063096B">
      <w:pPr>
        <w:numPr>
          <w:ilvl w:val="0"/>
          <w:numId w:val="14"/>
        </w:numPr>
        <w:spacing w:line="259" w:lineRule="auto"/>
        <w:rPr>
          <w:lang w:val="en-GB"/>
        </w:rPr>
      </w:pPr>
      <w:hyperlink r:id="rId193" w:history="1">
        <w:r w:rsidR="00764E75" w:rsidRPr="222B8D80">
          <w:rPr>
            <w:color w:val="3789BD"/>
            <w:u w:val="single"/>
            <w:bdr w:val="none" w:sz="0" w:space="0" w:color="auto" w:frame="1"/>
            <w:shd w:val="clear" w:color="auto" w:fill="FFFFFF"/>
          </w:rPr>
          <w:t>Future Networked Car Symposium (FNC 2020)</w:t>
        </w:r>
      </w:hyperlink>
      <w:r w:rsidR="00764E75" w:rsidRPr="222B8D80">
        <w:rPr>
          <w:color w:val="444444"/>
          <w:shd w:val="clear" w:color="auto" w:fill="FFFFFF"/>
        </w:rPr>
        <w:t xml:space="preserve">, </w:t>
      </w:r>
      <w:r w:rsidR="00764E75" w:rsidRPr="00EF28A3">
        <w:t>Geneva</w:t>
      </w:r>
      <w:r w:rsidR="00764E75" w:rsidRPr="222B8D80">
        <w:rPr>
          <w:color w:val="444444"/>
          <w:shd w:val="clear" w:color="auto" w:fill="FFFFFF"/>
        </w:rPr>
        <w:t>, Switzerland, 5 March 2020.</w:t>
      </w:r>
    </w:p>
    <w:p w14:paraId="0FB46F9B" w14:textId="77777777" w:rsidR="00136E7B" w:rsidRPr="00F57FAD" w:rsidRDefault="00136E7B" w:rsidP="00136E7B">
      <w:pPr>
        <w:rPr>
          <w:b/>
          <w:bCs/>
          <w:szCs w:val="24"/>
          <w:lang w:val="en-GB"/>
        </w:rPr>
      </w:pPr>
      <w:r w:rsidRPr="00F57FAD">
        <w:rPr>
          <w:b/>
          <w:bCs/>
          <w:szCs w:val="24"/>
          <w:lang w:val="en-GB"/>
        </w:rPr>
        <w:lastRenderedPageBreak/>
        <w:t>Rest of Europe (see above for Geneva):</w:t>
      </w:r>
    </w:p>
    <w:p w14:paraId="715FD344" w14:textId="7324EC75" w:rsidR="004A1789" w:rsidRDefault="00E12FA7" w:rsidP="0063096B">
      <w:pPr>
        <w:numPr>
          <w:ilvl w:val="0"/>
          <w:numId w:val="15"/>
        </w:numPr>
        <w:rPr>
          <w:szCs w:val="24"/>
          <w:lang w:val="en-GB"/>
        </w:rPr>
      </w:pPr>
      <w:hyperlink r:id="rId194" w:history="1">
        <w:r w:rsidR="004A1789" w:rsidRPr="004A1789">
          <w:rPr>
            <w:rStyle w:val="Hyperlink"/>
            <w:color w:val="3789BD"/>
            <w:szCs w:val="24"/>
            <w:bdr w:val="none" w:sz="0" w:space="0" w:color="auto" w:frame="1"/>
            <w:shd w:val="clear" w:color="auto" w:fill="FFFFFF"/>
          </w:rPr>
          <w:t>Sixth ITU Workshop on Network 2030 and Demo Day</w:t>
        </w:r>
      </w:hyperlink>
      <w:r w:rsidR="004A1789" w:rsidRPr="004A1789">
        <w:rPr>
          <w:szCs w:val="24"/>
          <w:lang w:val="en-GB"/>
        </w:rPr>
        <w:t>, Lisbon, Portugal, 13-14 January 2020</w:t>
      </w:r>
      <w:r w:rsidR="004A1789">
        <w:rPr>
          <w:szCs w:val="24"/>
          <w:lang w:val="en-GB"/>
        </w:rPr>
        <w:t>.</w:t>
      </w:r>
    </w:p>
    <w:p w14:paraId="6A9049A6" w14:textId="0098AD3D" w:rsidR="0059798C" w:rsidRPr="00B410CB" w:rsidRDefault="00E12FA7" w:rsidP="0063096B">
      <w:pPr>
        <w:numPr>
          <w:ilvl w:val="0"/>
          <w:numId w:val="15"/>
        </w:numPr>
        <w:rPr>
          <w:lang w:val="en-GB"/>
        </w:rPr>
      </w:pPr>
      <w:hyperlink r:id="rId195" w:history="1">
        <w:r w:rsidR="0059798C" w:rsidRPr="6171A8C9">
          <w:rPr>
            <w:color w:val="3789BD"/>
            <w:u w:val="single"/>
            <w:bdr w:val="none" w:sz="0" w:space="0" w:color="auto" w:frame="1"/>
            <w:shd w:val="clear" w:color="auto" w:fill="FFFFFF"/>
          </w:rPr>
          <w:t>ITU Workshop on Explainable AI (XAI) for Autonomous and Assisted Driving</w:t>
        </w:r>
      </w:hyperlink>
      <w:r w:rsidR="0059798C" w:rsidRPr="6171A8C9">
        <w:rPr>
          <w:lang w:val="en-GB"/>
        </w:rPr>
        <w:t xml:space="preserve">, </w:t>
      </w:r>
      <w:r w:rsidR="0059798C" w:rsidRPr="6171A8C9">
        <w:rPr>
          <w:color w:val="444444"/>
          <w:shd w:val="clear" w:color="auto" w:fill="FFFFFF"/>
        </w:rPr>
        <w:t>London, United Kingdom, 21 January 2020.</w:t>
      </w:r>
    </w:p>
    <w:p w14:paraId="13C82780" w14:textId="1D40DEFC" w:rsidR="30F86459" w:rsidRDefault="30F86459" w:rsidP="0063096B">
      <w:pPr>
        <w:numPr>
          <w:ilvl w:val="0"/>
          <w:numId w:val="15"/>
        </w:numPr>
        <w:rPr>
          <w:color w:val="3789BD"/>
          <w:szCs w:val="24"/>
          <w:u w:val="single"/>
        </w:rPr>
      </w:pPr>
      <w:r w:rsidRPr="6171A8C9">
        <w:rPr>
          <w:color w:val="3789BD"/>
          <w:u w:val="single"/>
        </w:rPr>
        <w:t xml:space="preserve">ITU Forum "Smart sustainable cities: from concept to implementation" </w:t>
      </w:r>
      <w:r>
        <w:br/>
      </w:r>
      <w:r w:rsidRPr="6171A8C9">
        <w:t>3-5 March 2020, Minsk, Belarus</w:t>
      </w:r>
    </w:p>
    <w:p w14:paraId="21EBDC56" w14:textId="7074D0F8" w:rsidR="00B410CB" w:rsidRPr="00B410CB" w:rsidRDefault="00E12FA7" w:rsidP="0063096B">
      <w:pPr>
        <w:numPr>
          <w:ilvl w:val="0"/>
          <w:numId w:val="15"/>
        </w:numPr>
        <w:rPr>
          <w:lang w:val="en-GB"/>
        </w:rPr>
      </w:pPr>
      <w:hyperlink r:id="rId196" w:history="1">
        <w:r w:rsidR="00B410CB" w:rsidRPr="6171A8C9">
          <w:rPr>
            <w:color w:val="3789BD"/>
            <w:u w:val="single"/>
            <w:bdr w:val="none" w:sz="0" w:space="0" w:color="auto" w:frame="1"/>
            <w:shd w:val="clear" w:color="auto" w:fill="FFFFFF"/>
          </w:rPr>
          <w:t>Joint ITU-ETSI Workshop on "Machine Learning in communication networks”</w:t>
        </w:r>
      </w:hyperlink>
      <w:r w:rsidR="00B410CB" w:rsidRPr="6171A8C9">
        <w:rPr>
          <w:color w:val="444444"/>
          <w:shd w:val="clear" w:color="auto" w:fill="FFFFFF"/>
        </w:rPr>
        <w:t>, Sophia Antipolis, France, 16 March 2020.</w:t>
      </w:r>
    </w:p>
    <w:p w14:paraId="7F2E1552" w14:textId="77777777" w:rsidR="00136E7B" w:rsidRPr="00F57FAD" w:rsidRDefault="00136E7B" w:rsidP="00136E7B">
      <w:pPr>
        <w:rPr>
          <w:b/>
          <w:bCs/>
          <w:szCs w:val="24"/>
          <w:lang w:val="en-GB"/>
        </w:rPr>
      </w:pPr>
      <w:r w:rsidRPr="00F57FAD">
        <w:rPr>
          <w:b/>
          <w:bCs/>
          <w:szCs w:val="24"/>
          <w:lang w:val="en-GB"/>
        </w:rPr>
        <w:t>Africa:</w:t>
      </w:r>
    </w:p>
    <w:p w14:paraId="50954544" w14:textId="0A7FF6C5" w:rsidR="0071270F" w:rsidRDefault="00E12FA7" w:rsidP="0063096B">
      <w:pPr>
        <w:numPr>
          <w:ilvl w:val="0"/>
          <w:numId w:val="16"/>
        </w:numPr>
        <w:rPr>
          <w:szCs w:val="24"/>
          <w:lang w:val="en-GB"/>
        </w:rPr>
      </w:pPr>
      <w:hyperlink r:id="rId197" w:history="1">
        <w:r w:rsidR="0071270F" w:rsidRPr="0071270F">
          <w:rPr>
            <w:color w:val="3789BD"/>
            <w:szCs w:val="24"/>
            <w:u w:val="single"/>
            <w:shd w:val="clear" w:color="auto" w:fill="FFFFFF"/>
          </w:rPr>
          <w:t>Seventh SG13 Regional Workshop on "Standardization of Future Networks towards Building a Better Connected Africa"</w:t>
        </w:r>
      </w:hyperlink>
      <w:r w:rsidR="0071270F" w:rsidRPr="0071270F">
        <w:rPr>
          <w:szCs w:val="24"/>
          <w:lang w:val="en-GB"/>
        </w:rPr>
        <w:t xml:space="preserve">, </w:t>
      </w:r>
      <w:r w:rsidR="0071270F" w:rsidRPr="0071270F">
        <w:rPr>
          <w:color w:val="444444"/>
          <w:szCs w:val="24"/>
          <w:shd w:val="clear" w:color="auto" w:fill="FFFFFF"/>
        </w:rPr>
        <w:t>Abuja, Nigeria, 3-4 February 2020</w:t>
      </w:r>
      <w:r w:rsidR="0071270F" w:rsidRPr="0071270F">
        <w:rPr>
          <w:szCs w:val="24"/>
          <w:lang w:val="en-GB"/>
        </w:rPr>
        <w:t>.</w:t>
      </w:r>
    </w:p>
    <w:p w14:paraId="4E2FDF27" w14:textId="1E8640DF" w:rsidR="00831C6F" w:rsidRPr="00831C6F" w:rsidRDefault="00E12FA7" w:rsidP="0063096B">
      <w:pPr>
        <w:numPr>
          <w:ilvl w:val="0"/>
          <w:numId w:val="16"/>
        </w:numPr>
        <w:rPr>
          <w:lang w:val="en-GB"/>
        </w:rPr>
      </w:pPr>
      <w:hyperlink r:id="rId198" w:history="1">
        <w:r w:rsidR="46BFD51A" w:rsidRPr="222B8D80">
          <w:rPr>
            <w:color w:val="3789BD"/>
            <w:u w:val="single"/>
            <w:shd w:val="clear" w:color="auto" w:fill="FFFFFF"/>
          </w:rPr>
          <w:t>ITU Workshop on Network Performance, Quality of Service and Quality of Experience</w:t>
        </w:r>
      </w:hyperlink>
      <w:r w:rsidR="46BFD51A" w:rsidRPr="222B8D80">
        <w:rPr>
          <w:lang w:val="en-GB"/>
        </w:rPr>
        <w:t xml:space="preserve">, </w:t>
      </w:r>
      <w:r w:rsidR="46BFD51A" w:rsidRPr="222B8D80">
        <w:rPr>
          <w:color w:val="444444"/>
          <w:shd w:val="clear" w:color="auto" w:fill="FFFFFF"/>
        </w:rPr>
        <w:t>N’Djamena, Chad</w:t>
      </w:r>
      <w:r w:rsidR="46BFD51A" w:rsidRPr="222B8D80">
        <w:rPr>
          <w:color w:val="444444"/>
          <w:bdr w:val="none" w:sz="0" w:space="0" w:color="auto" w:frame="1"/>
          <w:shd w:val="clear" w:color="auto" w:fill="FFFFFF"/>
        </w:rPr>
        <w:t xml:space="preserve">, </w:t>
      </w:r>
      <w:r w:rsidR="46BFD51A" w:rsidRPr="222B8D80">
        <w:rPr>
          <w:color w:val="444444"/>
          <w:shd w:val="clear" w:color="auto" w:fill="FFFFFF"/>
        </w:rPr>
        <w:t>2-3 March 2020</w:t>
      </w:r>
      <w:r w:rsidR="46BFD51A" w:rsidRPr="222B8D80">
        <w:rPr>
          <w:lang w:val="en-GB"/>
        </w:rPr>
        <w:t>.</w:t>
      </w:r>
    </w:p>
    <w:p w14:paraId="1D90C365" w14:textId="77777777" w:rsidR="00136E7B" w:rsidRPr="00F57FAD" w:rsidRDefault="00136E7B" w:rsidP="00136E7B">
      <w:pPr>
        <w:keepNext/>
        <w:keepLines/>
        <w:rPr>
          <w:b/>
          <w:bCs/>
          <w:szCs w:val="24"/>
          <w:lang w:val="en-GB"/>
        </w:rPr>
      </w:pPr>
      <w:r w:rsidRPr="00F57FAD">
        <w:rPr>
          <w:b/>
          <w:bCs/>
          <w:szCs w:val="24"/>
          <w:lang w:val="en-GB"/>
        </w:rPr>
        <w:t>Americas:</w:t>
      </w:r>
    </w:p>
    <w:p w14:paraId="30415264" w14:textId="521949E7" w:rsidR="00FB602D" w:rsidRPr="00FB602D" w:rsidRDefault="00E12FA7" w:rsidP="0063096B">
      <w:pPr>
        <w:numPr>
          <w:ilvl w:val="0"/>
          <w:numId w:val="17"/>
        </w:numPr>
        <w:rPr>
          <w:lang w:val="en-GB"/>
        </w:rPr>
      </w:pPr>
      <w:hyperlink r:id="rId199" w:history="1">
        <w:r w:rsidR="600AA1EC" w:rsidRPr="222B8D80">
          <w:rPr>
            <w:rStyle w:val="Hyperlink"/>
            <w:color w:val="3789BD"/>
            <w:bdr w:val="none" w:sz="0" w:space="0" w:color="auto" w:frame="1"/>
            <w:shd w:val="clear" w:color="auto" w:fill="FFFFFF"/>
          </w:rPr>
          <w:t>8th ITU/WHO Workshop on Artificial Intelligence for Health</w:t>
        </w:r>
      </w:hyperlink>
      <w:r w:rsidR="600AA1EC" w:rsidRPr="222B8D80">
        <w:rPr>
          <w:lang w:val="en-GB"/>
        </w:rPr>
        <w:t xml:space="preserve">, </w:t>
      </w:r>
      <w:r w:rsidR="600AA1EC" w:rsidRPr="222B8D80">
        <w:rPr>
          <w:color w:val="444444"/>
          <w:shd w:val="clear" w:color="auto" w:fill="FFFFFF"/>
        </w:rPr>
        <w:t>Brasilia, Brazil, 21 January 2020.</w:t>
      </w:r>
    </w:p>
    <w:p w14:paraId="2B5AAF07" w14:textId="3C42F0D3" w:rsidR="38C00F7C" w:rsidRDefault="38C00F7C" w:rsidP="6171A8C9">
      <w:pPr>
        <w:rPr>
          <w:b/>
          <w:bCs/>
          <w:lang w:val="en-GB"/>
        </w:rPr>
      </w:pPr>
      <w:r w:rsidRPr="6171A8C9">
        <w:rPr>
          <w:b/>
          <w:bCs/>
          <w:lang w:val="en-GB"/>
        </w:rPr>
        <w:t>Arab states:</w:t>
      </w:r>
    </w:p>
    <w:p w14:paraId="5387F650" w14:textId="4AFDB412" w:rsidR="38C00F7C" w:rsidRDefault="38C00F7C" w:rsidP="0063096B">
      <w:pPr>
        <w:numPr>
          <w:ilvl w:val="0"/>
          <w:numId w:val="17"/>
        </w:numPr>
        <w:rPr>
          <w:color w:val="444444"/>
          <w:szCs w:val="24"/>
        </w:rPr>
      </w:pPr>
      <w:r w:rsidRPr="6171A8C9">
        <w:rPr>
          <w:rStyle w:val="Hyperlink"/>
          <w:color w:val="3789BD"/>
          <w:szCs w:val="24"/>
        </w:rPr>
        <w:t>WUF10 Networking event on "Governing and managing smart sustainable cities"</w:t>
      </w:r>
      <w:r>
        <w:br/>
      </w:r>
      <w:r w:rsidRPr="6171A8C9">
        <w:rPr>
          <w:color w:val="444444"/>
        </w:rPr>
        <w:t>10 February 2020, Abu Dhabi, UAE</w:t>
      </w:r>
      <w:r>
        <w:br/>
      </w:r>
    </w:p>
    <w:p w14:paraId="7F4BA6F1" w14:textId="09A4F150" w:rsidR="4610CA7D" w:rsidRPr="00A82332" w:rsidRDefault="4610CA7D" w:rsidP="00A82332">
      <w:pPr>
        <w:keepNext/>
        <w:keepLines/>
        <w:rPr>
          <w:b/>
          <w:szCs w:val="24"/>
          <w:lang w:val="en-GB"/>
        </w:rPr>
      </w:pPr>
      <w:r w:rsidRPr="0A47BC55">
        <w:rPr>
          <w:b/>
          <w:bCs/>
          <w:lang w:val="en-GB"/>
        </w:rPr>
        <w:t xml:space="preserve">Fully </w:t>
      </w:r>
      <w:r w:rsidR="00FD6FE8" w:rsidRPr="0A47BC55">
        <w:rPr>
          <w:b/>
          <w:bCs/>
          <w:lang w:val="en-GB"/>
        </w:rPr>
        <w:t>v</w:t>
      </w:r>
      <w:r w:rsidRPr="0A47BC55">
        <w:rPr>
          <w:b/>
          <w:bCs/>
          <w:lang w:val="en-GB"/>
        </w:rPr>
        <w:t>irtual</w:t>
      </w:r>
      <w:r w:rsidR="2D4C055C" w:rsidRPr="0A47BC55">
        <w:rPr>
          <w:b/>
          <w:bCs/>
          <w:lang w:val="en-GB"/>
        </w:rPr>
        <w:t xml:space="preserve"> </w:t>
      </w:r>
      <w:r w:rsidR="00FD6FE8" w:rsidRPr="0A47BC55">
        <w:rPr>
          <w:b/>
          <w:bCs/>
          <w:lang w:val="en-GB"/>
        </w:rPr>
        <w:t>m</w:t>
      </w:r>
      <w:r w:rsidR="2D4C055C" w:rsidRPr="0A47BC55">
        <w:rPr>
          <w:b/>
          <w:bCs/>
          <w:lang w:val="en-GB"/>
        </w:rPr>
        <w:t>eetings</w:t>
      </w:r>
      <w:r w:rsidR="00A82332" w:rsidRPr="0A47BC55">
        <w:rPr>
          <w:b/>
          <w:bCs/>
          <w:lang w:val="en-GB"/>
        </w:rPr>
        <w:t>:</w:t>
      </w:r>
    </w:p>
    <w:p w14:paraId="099B2509" w14:textId="369275BB" w:rsidR="3BB80D42" w:rsidRDefault="00E12FA7" w:rsidP="0063096B">
      <w:pPr>
        <w:pStyle w:val="ListParagraph"/>
        <w:numPr>
          <w:ilvl w:val="0"/>
          <w:numId w:val="35"/>
        </w:numPr>
        <w:spacing w:before="120"/>
        <w:ind w:left="714" w:hanging="357"/>
        <w:rPr>
          <w:rStyle w:val="Hyperlink"/>
          <w:b/>
          <w:bCs/>
          <w:color w:val="3789BD"/>
          <w:sz w:val="18"/>
          <w:szCs w:val="18"/>
        </w:rPr>
      </w:pPr>
      <w:hyperlink r:id="rId200">
        <w:r w:rsidR="708DD1E6" w:rsidRPr="52AFA42C">
          <w:rPr>
            <w:rStyle w:val="Hyperlink"/>
            <w:rFonts w:ascii="Times New Roman" w:hAnsi="Times New Roman"/>
            <w:color w:val="3789BD"/>
            <w:sz w:val="24"/>
            <w:szCs w:val="24"/>
          </w:rPr>
          <w:t>Webinar on "</w:t>
        </w:r>
        <w:r w:rsidR="207A3C97" w:rsidRPr="52AFA42C">
          <w:rPr>
            <w:rStyle w:val="Hyperlink"/>
            <w:rFonts w:ascii="Times New Roman" w:hAnsi="Times New Roman"/>
            <w:color w:val="3789BD"/>
            <w:sz w:val="24"/>
            <w:szCs w:val="24"/>
          </w:rPr>
          <w:t>Using international standards to tackle the e-waste challenge</w:t>
        </w:r>
        <w:r w:rsidR="708DD1E6" w:rsidRPr="52AFA42C">
          <w:rPr>
            <w:rStyle w:val="Hyperlink"/>
            <w:rFonts w:ascii="Times New Roman" w:hAnsi="Times New Roman"/>
            <w:color w:val="3789BD"/>
            <w:sz w:val="24"/>
            <w:szCs w:val="24"/>
          </w:rPr>
          <w:t>"</w:t>
        </w:r>
      </w:hyperlink>
      <w:r w:rsidR="68DC9B53" w:rsidRPr="52AFA42C">
        <w:rPr>
          <w:rStyle w:val="Hyperlink"/>
          <w:rFonts w:ascii="Times New Roman" w:hAnsi="Times New Roman"/>
          <w:color w:val="3789BD"/>
          <w:sz w:val="24"/>
          <w:szCs w:val="24"/>
        </w:rPr>
        <w:t>, Virtual Meeting</w:t>
      </w:r>
      <w:r w:rsidR="2F4041B5" w:rsidRPr="52AFA42C">
        <w:rPr>
          <w:rStyle w:val="Hyperlink"/>
          <w:rFonts w:ascii="Times New Roman" w:hAnsi="Times New Roman"/>
          <w:color w:val="3789BD"/>
          <w:sz w:val="24"/>
          <w:szCs w:val="24"/>
        </w:rPr>
        <w:t>, 1 and</w:t>
      </w:r>
      <w:r w:rsidR="34CA8255" w:rsidRPr="52AFA42C">
        <w:rPr>
          <w:rStyle w:val="Hyperlink"/>
          <w:rFonts w:ascii="Times New Roman" w:hAnsi="Times New Roman"/>
          <w:color w:val="3789BD"/>
          <w:sz w:val="24"/>
          <w:szCs w:val="24"/>
        </w:rPr>
        <w:t xml:space="preserve"> 2</w:t>
      </w:r>
      <w:r w:rsidR="2F4041B5" w:rsidRPr="52AFA42C">
        <w:rPr>
          <w:rStyle w:val="Hyperlink"/>
          <w:rFonts w:ascii="Times New Roman" w:hAnsi="Times New Roman"/>
          <w:color w:val="3789BD"/>
          <w:sz w:val="24"/>
          <w:szCs w:val="24"/>
        </w:rPr>
        <w:t xml:space="preserve"> April 2020.</w:t>
      </w:r>
    </w:p>
    <w:p w14:paraId="5FED80DA" w14:textId="56579110" w:rsidR="2E7BA59E" w:rsidRDefault="00E12FA7" w:rsidP="0063096B">
      <w:pPr>
        <w:pStyle w:val="ListParagraph"/>
        <w:numPr>
          <w:ilvl w:val="0"/>
          <w:numId w:val="35"/>
        </w:numPr>
        <w:spacing w:before="120"/>
        <w:ind w:left="714" w:hanging="357"/>
        <w:rPr>
          <w:rStyle w:val="Hyperlink"/>
          <w:b/>
          <w:bCs/>
          <w:color w:val="3789BD"/>
          <w:sz w:val="18"/>
          <w:szCs w:val="18"/>
        </w:rPr>
      </w:pPr>
      <w:hyperlink r:id="rId201">
        <w:r w:rsidR="5EE9181B" w:rsidRPr="52AFA42C">
          <w:rPr>
            <w:rStyle w:val="Hyperlink"/>
            <w:rFonts w:ascii="Times New Roman" w:hAnsi="Times New Roman"/>
            <w:color w:val="3789BD"/>
            <w:sz w:val="24"/>
            <w:szCs w:val="24"/>
          </w:rPr>
          <w:t>Webinar on "Explore a c</w:t>
        </w:r>
        <w:r w:rsidR="64459AB0" w:rsidRPr="52AFA42C">
          <w:rPr>
            <w:rStyle w:val="Hyperlink"/>
            <w:rFonts w:ascii="Times New Roman" w:hAnsi="Times New Roman"/>
            <w:color w:val="3789BD"/>
            <w:sz w:val="24"/>
            <w:szCs w:val="24"/>
          </w:rPr>
          <w:t>ircular vision the ICT sector</w:t>
        </w:r>
        <w:r w:rsidR="5EE9181B" w:rsidRPr="52AFA42C">
          <w:rPr>
            <w:rStyle w:val="Hyperlink"/>
            <w:rFonts w:ascii="Times New Roman" w:hAnsi="Times New Roman"/>
            <w:color w:val="3789BD"/>
            <w:sz w:val="24"/>
            <w:szCs w:val="24"/>
          </w:rPr>
          <w:t>"</w:t>
        </w:r>
      </w:hyperlink>
      <w:r w:rsidR="0F1DD2E5" w:rsidRPr="52AFA42C">
        <w:rPr>
          <w:rStyle w:val="Hyperlink"/>
          <w:rFonts w:ascii="Times New Roman" w:hAnsi="Times New Roman"/>
          <w:color w:val="3789BD"/>
          <w:sz w:val="24"/>
          <w:szCs w:val="24"/>
        </w:rPr>
        <w:t>, Virtual Meeting, 14 and 16 April 2020</w:t>
      </w:r>
      <w:r w:rsidR="29061E6F" w:rsidRPr="52AFA42C">
        <w:rPr>
          <w:rStyle w:val="Hyperlink"/>
          <w:rFonts w:ascii="Times New Roman" w:hAnsi="Times New Roman"/>
          <w:color w:val="3789BD"/>
          <w:sz w:val="24"/>
          <w:szCs w:val="24"/>
        </w:rPr>
        <w:t>/</w:t>
      </w:r>
    </w:p>
    <w:p w14:paraId="716B915A" w14:textId="3DD49D55" w:rsidR="71ED42FB" w:rsidRPr="00A82332" w:rsidRDefault="71ED42FB"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A82332">
        <w:rPr>
          <w:rStyle w:val="Hyperlink"/>
          <w:rFonts w:ascii="Times New Roman" w:hAnsi="Times New Roman"/>
          <w:color w:val="3789BD"/>
          <w:sz w:val="24"/>
          <w:szCs w:val="24"/>
        </w:rPr>
        <w:t>Webinar on "Using digital financial services to curb the threat of the pandemic"</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14 May 2020</w:t>
      </w:r>
      <w:r w:rsidR="00A82332" w:rsidRPr="00A82332">
        <w:rPr>
          <w:rFonts w:ascii="Times New Roman" w:hAnsi="Times New Roman"/>
          <w:sz w:val="24"/>
          <w:szCs w:val="24"/>
        </w:rPr>
        <w:t>.</w:t>
      </w:r>
    </w:p>
    <w:p w14:paraId="3332D7AD" w14:textId="26759A44" w:rsidR="71ED42FB" w:rsidRPr="00A82332" w:rsidRDefault="71ED42FB" w:rsidP="0063096B">
      <w:pPr>
        <w:pStyle w:val="ListParagraph"/>
        <w:numPr>
          <w:ilvl w:val="0"/>
          <w:numId w:val="35"/>
        </w:numPr>
        <w:spacing w:before="120"/>
        <w:ind w:left="714" w:hanging="357"/>
        <w:contextualSpacing w:val="0"/>
        <w:rPr>
          <w:rFonts w:ascii="Times New Roman" w:eastAsia="Tahoma" w:hAnsi="Times New Roman"/>
          <w:b/>
          <w:color w:val="3789BD"/>
          <w:sz w:val="24"/>
          <w:szCs w:val="24"/>
        </w:rPr>
      </w:pPr>
      <w:r w:rsidRPr="00A82332">
        <w:rPr>
          <w:rStyle w:val="Hyperlink"/>
          <w:rFonts w:ascii="Times New Roman" w:hAnsi="Times New Roman"/>
          <w:color w:val="3789BD"/>
          <w:sz w:val="24"/>
          <w:szCs w:val="24"/>
        </w:rPr>
        <w:t>Webinar on "Benefits of Digital ID to enable governments and private sector response to the pandemic- Part 1"</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20 May 2020</w:t>
      </w:r>
      <w:r w:rsidR="00A82332" w:rsidRPr="00A82332">
        <w:rPr>
          <w:rFonts w:ascii="Times New Roman" w:hAnsi="Times New Roman"/>
          <w:sz w:val="24"/>
          <w:szCs w:val="24"/>
        </w:rPr>
        <w:t>.</w:t>
      </w:r>
    </w:p>
    <w:p w14:paraId="59FA9FCC" w14:textId="711FBB96"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"Benefits of Digital ID to enable governments and private sector response to the pandemic- Part 2"</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21 May 2020</w:t>
      </w:r>
      <w:r w:rsidR="00A82332" w:rsidRPr="00A82332">
        <w:rPr>
          <w:rFonts w:ascii="Times New Roman" w:hAnsi="Times New Roman"/>
          <w:sz w:val="24"/>
          <w:szCs w:val="24"/>
        </w:rPr>
        <w:t>.</w:t>
      </w:r>
    </w:p>
    <w:p w14:paraId="780FAC08" w14:textId="245F0A1F" w:rsidR="71ED42FB" w:rsidRPr="00A82332" w:rsidRDefault="71ED42FB"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A82332">
        <w:rPr>
          <w:rStyle w:val="Hyperlink"/>
          <w:rFonts w:ascii="Times New Roman" w:hAnsi="Times New Roman"/>
          <w:color w:val="3789BD"/>
          <w:sz w:val="24"/>
          <w:szCs w:val="24"/>
        </w:rPr>
        <w:t>Webinar on "Digital credit and consumer protection"</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11 June 2020</w:t>
      </w:r>
      <w:r w:rsidR="00A82332" w:rsidRPr="00A82332">
        <w:rPr>
          <w:rFonts w:ascii="Times New Roman" w:hAnsi="Times New Roman"/>
          <w:sz w:val="24"/>
          <w:szCs w:val="24"/>
        </w:rPr>
        <w:t>.</w:t>
      </w:r>
    </w:p>
    <w:p w14:paraId="1AB9E4E5" w14:textId="31CBDB26"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"Digital Credit Technologies and Financial Inclusion"</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23 June 2020</w:t>
      </w:r>
      <w:r w:rsidR="00A82332" w:rsidRPr="00A82332">
        <w:rPr>
          <w:rFonts w:ascii="Times New Roman" w:hAnsi="Times New Roman"/>
          <w:sz w:val="24"/>
          <w:szCs w:val="24"/>
        </w:rPr>
        <w:t>.</w:t>
      </w:r>
    </w:p>
    <w:p w14:paraId="08E47A1C" w14:textId="64500A83"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“Accelerating cities’ transformation through standards”</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25 June 2020</w:t>
      </w:r>
      <w:r w:rsidR="00A82332" w:rsidRPr="00A82332">
        <w:rPr>
          <w:rFonts w:ascii="Times New Roman" w:hAnsi="Times New Roman"/>
          <w:sz w:val="24"/>
          <w:szCs w:val="24"/>
        </w:rPr>
        <w:t>.</w:t>
      </w:r>
    </w:p>
    <w:p w14:paraId="1DF917F3" w14:textId="4DE01688"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Meeting of the Joint Coordination Activity on Internet of Things and Smart Cities and Communities (JCA-IoT and SC&amp;C)</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26 June 2020</w:t>
      </w:r>
      <w:r w:rsidR="00A82332" w:rsidRPr="00A82332">
        <w:rPr>
          <w:rFonts w:ascii="Times New Roman" w:hAnsi="Times New Roman"/>
          <w:sz w:val="24"/>
          <w:szCs w:val="24"/>
        </w:rPr>
        <w:t>.</w:t>
      </w:r>
    </w:p>
    <w:p w14:paraId="75A99AD8" w14:textId="2C4D48D2"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 Central Bank Digital Currency and Digital Financial Inclusion"</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26 June 2020</w:t>
      </w:r>
      <w:r w:rsidR="00A82332" w:rsidRPr="00A82332">
        <w:rPr>
          <w:rFonts w:ascii="Times New Roman" w:hAnsi="Times New Roman"/>
          <w:sz w:val="24"/>
          <w:szCs w:val="24"/>
        </w:rPr>
        <w:t>.</w:t>
      </w:r>
    </w:p>
    <w:p w14:paraId="49C44040" w14:textId="7B1BA6CD" w:rsidR="71ED42FB" w:rsidRPr="00A82332" w:rsidRDefault="71ED42FB"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A82332">
        <w:rPr>
          <w:rStyle w:val="Hyperlink"/>
          <w:rFonts w:ascii="Times New Roman" w:hAnsi="Times New Roman"/>
          <w:color w:val="3789BD"/>
          <w:sz w:val="24"/>
          <w:szCs w:val="24"/>
        </w:rPr>
        <w:lastRenderedPageBreak/>
        <w:t>Webinar on "Digital currency applications and need for standards"</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29 June 2020</w:t>
      </w:r>
      <w:r w:rsidR="00A82332" w:rsidRPr="00A82332">
        <w:rPr>
          <w:rFonts w:ascii="Times New Roman" w:hAnsi="Times New Roman"/>
          <w:sz w:val="24"/>
          <w:szCs w:val="24"/>
        </w:rPr>
        <w:t>.</w:t>
      </w:r>
    </w:p>
    <w:p w14:paraId="4BFC130A" w14:textId="4FC1707A" w:rsidR="71ED42FB" w:rsidRPr="00A82332" w:rsidRDefault="71ED42FB" w:rsidP="0063096B">
      <w:pPr>
        <w:pStyle w:val="ListParagraph"/>
        <w:numPr>
          <w:ilvl w:val="0"/>
          <w:numId w:val="35"/>
        </w:numPr>
        <w:spacing w:before="120"/>
        <w:ind w:left="714" w:hanging="357"/>
        <w:contextualSpacing w:val="0"/>
        <w:rPr>
          <w:rFonts w:ascii="Times New Roman" w:eastAsia="Arial" w:hAnsi="Times New Roman"/>
          <w:b/>
          <w:color w:val="3789BD"/>
          <w:sz w:val="18"/>
          <w:szCs w:val="18"/>
        </w:rPr>
      </w:pPr>
      <w:r w:rsidRPr="00A82332">
        <w:rPr>
          <w:rStyle w:val="Hyperlink"/>
          <w:rFonts w:ascii="Times New Roman" w:hAnsi="Times New Roman"/>
          <w:color w:val="3789BD"/>
          <w:sz w:val="24"/>
          <w:szCs w:val="24"/>
        </w:rPr>
        <w:t>Webinar on "Handling of Digital Finance Crimes and Scams"</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30 June 2020</w:t>
      </w:r>
      <w:r w:rsidR="00A82332" w:rsidRPr="00A82332">
        <w:rPr>
          <w:rFonts w:ascii="Times New Roman" w:hAnsi="Times New Roman"/>
          <w:sz w:val="24"/>
          <w:szCs w:val="24"/>
        </w:rPr>
        <w:t>.</w:t>
      </w:r>
    </w:p>
    <w:p w14:paraId="13660B77" w14:textId="0A2F2DD2"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"Tracking Digital Financial Crimes and Fraud"</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10 July 2020</w:t>
      </w:r>
      <w:r w:rsidR="00A82332" w:rsidRPr="00A82332">
        <w:rPr>
          <w:rFonts w:ascii="Times New Roman" w:hAnsi="Times New Roman"/>
          <w:sz w:val="24"/>
          <w:szCs w:val="24"/>
        </w:rPr>
        <w:t>.</w:t>
      </w:r>
    </w:p>
    <w:p w14:paraId="45E639B1" w14:textId="2DA36A56" w:rsidR="71ED42FB" w:rsidRPr="00A82332" w:rsidRDefault="71ED42FB" w:rsidP="0063096B">
      <w:pPr>
        <w:pStyle w:val="ListParagraph"/>
        <w:numPr>
          <w:ilvl w:val="0"/>
          <w:numId w:val="35"/>
        </w:numPr>
        <w:spacing w:before="120"/>
        <w:ind w:left="714" w:hanging="357"/>
        <w:contextualSpacing w:val="0"/>
        <w:rPr>
          <w:rFonts w:ascii="Times New Roman" w:eastAsia="Tahoma,Times New Roman" w:hAnsi="Times New Roman"/>
          <w:b/>
          <w:color w:val="3789BD"/>
          <w:sz w:val="24"/>
          <w:szCs w:val="24"/>
        </w:rPr>
      </w:pPr>
      <w:r w:rsidRPr="00A82332">
        <w:rPr>
          <w:rStyle w:val="Hyperlink"/>
          <w:rFonts w:ascii="Times New Roman" w:hAnsi="Times New Roman"/>
          <w:color w:val="3789BD"/>
          <w:sz w:val="24"/>
          <w:szCs w:val="24"/>
        </w:rPr>
        <w:t>Webinar on " Interoperability and resiliency requirements of Digital Payments System"</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27 July 2020</w:t>
      </w:r>
      <w:r w:rsidR="00A82332" w:rsidRPr="00A82332">
        <w:rPr>
          <w:rFonts w:ascii="Times New Roman" w:hAnsi="Times New Roman"/>
          <w:sz w:val="24"/>
          <w:szCs w:val="24"/>
        </w:rPr>
        <w:t>.</w:t>
      </w:r>
    </w:p>
    <w:p w14:paraId="6DD8636D" w14:textId="6A5241CD" w:rsidR="71ED42FB" w:rsidRPr="00A82332" w:rsidRDefault="71ED42FB" w:rsidP="0063096B">
      <w:pPr>
        <w:pStyle w:val="ListParagraph"/>
        <w:numPr>
          <w:ilvl w:val="0"/>
          <w:numId w:val="35"/>
        </w:numPr>
        <w:spacing w:before="120"/>
        <w:ind w:left="714" w:hanging="357"/>
        <w:contextualSpacing w:val="0"/>
        <w:rPr>
          <w:rStyle w:val="Hyperlink"/>
          <w:rFonts w:ascii="Times New Roman" w:eastAsia="Tahoma" w:hAnsi="Times New Roman"/>
          <w:color w:val="3789BD"/>
          <w:sz w:val="24"/>
          <w:szCs w:val="24"/>
        </w:rPr>
      </w:pPr>
      <w:r w:rsidRPr="00A82332">
        <w:rPr>
          <w:rStyle w:val="Hyperlink"/>
          <w:rFonts w:ascii="Times New Roman" w:hAnsi="Times New Roman"/>
          <w:color w:val="3789BD"/>
          <w:sz w:val="24"/>
          <w:szCs w:val="24"/>
        </w:rPr>
        <w:t>DLT Interoperability</w:t>
      </w:r>
      <w:r w:rsidR="00A82332" w:rsidRPr="00A82332">
        <w:rPr>
          <w:rStyle w:val="Hyperlink"/>
          <w:rFonts w:ascii="Times New Roman" w:hAnsi="Times New Roman"/>
          <w:color w:val="3789BD"/>
          <w:sz w:val="24"/>
          <w:szCs w:val="24"/>
        </w:rPr>
        <w:t xml:space="preserve">, </w:t>
      </w:r>
      <w:r w:rsidRPr="00A82332">
        <w:rPr>
          <w:rFonts w:ascii="Times New Roman" w:hAnsi="Times New Roman"/>
          <w:sz w:val="24"/>
          <w:szCs w:val="24"/>
        </w:rPr>
        <w:t>Virtual Meeting, 5 August 2020</w:t>
      </w:r>
      <w:r w:rsidR="00A82332" w:rsidRPr="00A82332">
        <w:rPr>
          <w:rFonts w:ascii="Times New Roman" w:hAnsi="Times New Roman"/>
          <w:sz w:val="24"/>
          <w:szCs w:val="24"/>
        </w:rPr>
        <w:t>.</w:t>
      </w:r>
    </w:p>
    <w:p w14:paraId="1FF611D8" w14:textId="04870813" w:rsidR="4610CA7D" w:rsidRDefault="4610CA7D" w:rsidP="0063096B">
      <w:pPr>
        <w:pStyle w:val="ListParagraph"/>
        <w:numPr>
          <w:ilvl w:val="0"/>
          <w:numId w:val="35"/>
        </w:numPr>
        <w:spacing w:before="120" w:after="240"/>
        <w:ind w:left="714" w:hanging="357"/>
        <w:contextualSpacing w:val="0"/>
        <w:rPr>
          <w:rFonts w:ascii="Times New Roman" w:eastAsia="Tahoma" w:hAnsi="Times New Roman"/>
          <w:sz w:val="24"/>
          <w:szCs w:val="24"/>
        </w:rPr>
      </w:pPr>
      <w:r w:rsidRPr="00A82332">
        <w:rPr>
          <w:rStyle w:val="Hyperlink"/>
          <w:rFonts w:ascii="Times New Roman" w:hAnsi="Times New Roman"/>
          <w:color w:val="3789BD"/>
          <w:sz w:val="24"/>
          <w:szCs w:val="24"/>
        </w:rPr>
        <w:t>Webinar on " Crowdsourcing for regulators – Case studies and frameworks",</w:t>
      </w:r>
      <w:r w:rsidRPr="00A82332">
        <w:rPr>
          <w:rFonts w:ascii="Times New Roman" w:hAnsi="Times New Roman"/>
          <w:color w:val="444444"/>
          <w:sz w:val="24"/>
          <w:szCs w:val="24"/>
        </w:rPr>
        <w:t xml:space="preserve"> </w:t>
      </w:r>
      <w:r w:rsidR="6AC66E02" w:rsidRPr="00A82332">
        <w:rPr>
          <w:rFonts w:ascii="Times New Roman" w:eastAsia="Tahoma" w:hAnsi="Times New Roman"/>
          <w:sz w:val="24"/>
          <w:szCs w:val="24"/>
        </w:rPr>
        <w:t>Virtual Meeting,</w:t>
      </w:r>
      <w:r w:rsidR="6AC66E02" w:rsidRPr="00A82332">
        <w:rPr>
          <w:rFonts w:ascii="Times New Roman" w:hAnsi="Times New Roman"/>
          <w:sz w:val="24"/>
          <w:szCs w:val="24"/>
        </w:rPr>
        <w:t xml:space="preserve"> </w:t>
      </w:r>
      <w:r w:rsidRPr="00A82332">
        <w:rPr>
          <w:rFonts w:ascii="Times New Roman" w:hAnsi="Times New Roman"/>
          <w:sz w:val="24"/>
          <w:szCs w:val="24"/>
        </w:rPr>
        <w:t>27 August 2020</w:t>
      </w:r>
      <w:r w:rsidR="00A82332" w:rsidRPr="00A82332">
        <w:rPr>
          <w:rFonts w:ascii="Times New Roman" w:hAnsi="Times New Roman"/>
          <w:sz w:val="24"/>
          <w:szCs w:val="24"/>
        </w:rPr>
        <w:t>.</w:t>
      </w:r>
    </w:p>
    <w:p w14:paraId="394C7B92" w14:textId="1043FB96" w:rsidR="00136E7B" w:rsidRPr="00F57FAD" w:rsidRDefault="00136E7B" w:rsidP="00136E7B">
      <w:pPr>
        <w:pStyle w:val="Heading1"/>
      </w:pPr>
      <w:bookmarkStart w:id="222" w:name="_Toc480527880"/>
      <w:bookmarkStart w:id="223" w:name="_Toc51331541"/>
      <w:bookmarkStart w:id="224" w:name="_Toc438554000"/>
      <w:bookmarkStart w:id="225" w:name="_Toc453929122"/>
      <w:bookmarkStart w:id="226" w:name="_Toc453932993"/>
      <w:bookmarkStart w:id="227" w:name="_Toc454295899"/>
      <w:bookmarkStart w:id="228" w:name="_Toc462664286"/>
      <w:r w:rsidRPr="00F57FAD">
        <w:t>1</w:t>
      </w:r>
      <w:r w:rsidR="00CB641D">
        <w:t>6</w:t>
      </w:r>
      <w:r w:rsidRPr="00F57FAD">
        <w:tab/>
        <w:t>Implementation of WTSA Resolutions</w:t>
      </w:r>
      <w:bookmarkEnd w:id="222"/>
      <w:r w:rsidRPr="00F57FAD">
        <w:t xml:space="preserve"> and A-series ITU-T Recommendations</w:t>
      </w:r>
      <w:bookmarkEnd w:id="223"/>
    </w:p>
    <w:p w14:paraId="462D6A2E" w14:textId="77777777" w:rsidR="00136E7B" w:rsidRPr="004E5B45" w:rsidRDefault="00136E7B" w:rsidP="00136E7B">
      <w:pPr>
        <w:rPr>
          <w:lang w:val="en-GB"/>
        </w:rPr>
      </w:pPr>
      <w:r w:rsidRPr="004E5B45">
        <w:rPr>
          <w:lang w:val="en-GB"/>
        </w:rPr>
        <w:t>WTSA Resolution 22 instructs the TSB Director to report to TSAG on the implementation of WTSA resolutions and actions to be undertaken pursuant to their operative paragraphs. WTSA Resolution 22 also instructs the TSB Director to report to TSAG on the implementation of the A-series ITU-T Recommendations.</w:t>
      </w:r>
    </w:p>
    <w:p w14:paraId="574F2DE4" w14:textId="77777777" w:rsidR="00136E7B" w:rsidRPr="004E5B45" w:rsidRDefault="00136E7B" w:rsidP="00136E7B">
      <w:pPr>
        <w:rPr>
          <w:lang w:val="en-GB"/>
        </w:rPr>
      </w:pPr>
      <w:r w:rsidRPr="004E5B45">
        <w:rPr>
          <w:lang w:val="en-GB"/>
        </w:rPr>
        <w:t xml:space="preserve">WTSA Resolutions are available at </w:t>
      </w:r>
      <w:hyperlink r:id="rId202" w:history="1">
        <w:r w:rsidRPr="004E5B45">
          <w:rPr>
            <w:rStyle w:val="Hyperlink"/>
            <w:rFonts w:asciiTheme="majorBidi" w:hAnsiTheme="majorBidi" w:cstheme="majorBidi"/>
            <w:lang w:val="en-GB"/>
          </w:rPr>
          <w:t>http://www.itu.int/pub/T-RES</w:t>
        </w:r>
      </w:hyperlink>
      <w:r w:rsidRPr="004E5B45">
        <w:rPr>
          <w:lang w:val="en-GB"/>
        </w:rPr>
        <w:t>.</w:t>
      </w:r>
    </w:p>
    <w:p w14:paraId="13A0731A" w14:textId="0AADB8C8" w:rsidR="00136E7B" w:rsidRPr="00650A05" w:rsidRDefault="00136E7B" w:rsidP="00136E7B">
      <w:pPr>
        <w:rPr>
          <w:lang w:val="en-GB"/>
        </w:rPr>
      </w:pPr>
      <w:r w:rsidRPr="00650A05">
        <w:rPr>
          <w:lang w:val="en-GB"/>
        </w:rPr>
        <w:t xml:space="preserve">The updated WTSA-16 Action </w:t>
      </w:r>
      <w:r w:rsidRPr="00650A05">
        <w:rPr>
          <w:szCs w:val="24"/>
          <w:lang w:val="en-GB"/>
        </w:rPr>
        <w:t>Plan (</w:t>
      </w:r>
      <w:hyperlink r:id="rId203" w:history="1">
        <w:r w:rsidRPr="00650A05">
          <w:rPr>
            <w:rStyle w:val="Hyperlink"/>
            <w:szCs w:val="24"/>
          </w:rPr>
          <w:t>TSAG</w:t>
        </w:r>
        <w:r w:rsidR="00650A05" w:rsidRPr="00650A05">
          <w:rPr>
            <w:rStyle w:val="Hyperlink"/>
            <w:szCs w:val="24"/>
          </w:rPr>
          <w:t>-</w:t>
        </w:r>
        <w:r w:rsidRPr="00650A05">
          <w:rPr>
            <w:rStyle w:val="Hyperlink"/>
            <w:szCs w:val="24"/>
          </w:rPr>
          <w:t>TD</w:t>
        </w:r>
        <w:r w:rsidR="00650A05" w:rsidRPr="00650A05">
          <w:rPr>
            <w:rStyle w:val="Hyperlink"/>
            <w:szCs w:val="24"/>
          </w:rPr>
          <w:t>789</w:t>
        </w:r>
      </w:hyperlink>
      <w:r w:rsidRPr="00650A05">
        <w:rPr>
          <w:szCs w:val="24"/>
          <w:lang w:val="en-GB"/>
        </w:rPr>
        <w:t>) assigns</w:t>
      </w:r>
      <w:r w:rsidRPr="00650A05">
        <w:rPr>
          <w:lang w:val="en-GB"/>
        </w:rPr>
        <w:t xml:space="preserve"> action items to the operational provisions in the Resolutions and also reports information on the progress of the implementation of those action items.</w:t>
      </w:r>
    </w:p>
    <w:p w14:paraId="1024A3DE" w14:textId="25CCDB07" w:rsidR="00136E7B" w:rsidRPr="00F57FAD" w:rsidRDefault="00136E7B" w:rsidP="00136E7B">
      <w:pPr>
        <w:pStyle w:val="Heading1"/>
      </w:pPr>
      <w:bookmarkStart w:id="229" w:name="_Toc480527881"/>
      <w:bookmarkStart w:id="230" w:name="_Toc51331542"/>
      <w:r w:rsidRPr="00F57FAD">
        <w:t>1</w:t>
      </w:r>
      <w:r w:rsidR="00CB641D">
        <w:t>7</w:t>
      </w:r>
      <w:r w:rsidRPr="00F57FAD">
        <w:tab/>
        <w:t>ITU-T's activities in the implementation of WSIS</w:t>
      </w:r>
      <w:bookmarkEnd w:id="224"/>
      <w:bookmarkEnd w:id="225"/>
      <w:bookmarkEnd w:id="226"/>
      <w:bookmarkEnd w:id="227"/>
      <w:bookmarkEnd w:id="228"/>
      <w:r w:rsidRPr="00F57FAD">
        <w:t xml:space="preserve"> and the Sustainable Development Goals</w:t>
      </w:r>
      <w:bookmarkStart w:id="231" w:name="_Toc261186390"/>
      <w:bookmarkEnd w:id="229"/>
      <w:bookmarkEnd w:id="230"/>
    </w:p>
    <w:p w14:paraId="68AF41EE" w14:textId="77777777" w:rsidR="00136E7B" w:rsidRPr="0017239D" w:rsidRDefault="00136E7B" w:rsidP="00136E7B">
      <w:pPr>
        <w:rPr>
          <w:lang w:val="en-GB"/>
        </w:rPr>
      </w:pPr>
      <w:r w:rsidRPr="0017239D">
        <w:rPr>
          <w:lang w:val="en-GB"/>
        </w:rPr>
        <w:t>ITU-T's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14:paraId="26812FD7" w14:textId="77777777" w:rsidR="00136E7B" w:rsidRPr="0017239D" w:rsidRDefault="00136E7B" w:rsidP="00136E7B">
      <w:pPr>
        <w:rPr>
          <w:lang w:val="en-GB"/>
        </w:rPr>
      </w:pPr>
      <w:r w:rsidRPr="0017239D">
        <w:rPr>
          <w:lang w:val="en-GB"/>
        </w:rPr>
        <w:t>ITU-T has undertaken a mapping of its activities to the UN Sustainable Development Goals (SDGs), an action highlighting the ITU-T activities most relevant to the SDGs and proposing actions for ITU-T to expand its contribution to the pursuit of the SDGs.</w:t>
      </w:r>
    </w:p>
    <w:p w14:paraId="4514FF8E" w14:textId="77777777" w:rsidR="00136E7B" w:rsidRPr="0017239D" w:rsidRDefault="00136E7B" w:rsidP="00136E7B">
      <w:pPr>
        <w:rPr>
          <w:lang w:val="en-GB"/>
        </w:rPr>
      </w:pPr>
      <w:r w:rsidRPr="0017239D">
        <w:rPr>
          <w:lang w:val="en-GB"/>
        </w:rPr>
        <w:t xml:space="preserve">This mapping of ITU-T work to the SDGs will support the WSIS process in its promotion of efforts to leverage ICTs for sustainable development (see the </w:t>
      </w:r>
      <w:hyperlink r:id="rId204" w:history="1">
        <w:r w:rsidRPr="0017239D">
          <w:rPr>
            <w:rStyle w:val="Hyperlink"/>
            <w:rFonts w:asciiTheme="majorBidi" w:hAnsiTheme="majorBidi" w:cstheme="majorBidi"/>
            <w:lang w:val="en-GB"/>
          </w:rPr>
          <w:t>WSIS-SDG Matrix</w:t>
        </w:r>
      </w:hyperlink>
      <w:r w:rsidRPr="0017239D">
        <w:rPr>
          <w:lang w:val="en-GB"/>
        </w:rPr>
        <w:t xml:space="preserve"> linking WSIS Action Lines with the SDGs), highlighting areas where these efforts will receive support from the international standards developed by ITU-T.</w:t>
      </w:r>
    </w:p>
    <w:p w14:paraId="519CCA1E" w14:textId="77777777" w:rsidR="00136E7B" w:rsidRPr="007B5B96" w:rsidRDefault="00136E7B" w:rsidP="00136E7B">
      <w:pPr>
        <w:rPr>
          <w:lang w:val="en-GB"/>
        </w:rPr>
      </w:pPr>
      <w:r w:rsidRPr="0017239D">
        <w:rPr>
          <w:lang w:val="en-GB"/>
        </w:rPr>
        <w:t>TSB continues to map ITU-T objectives, outputs and results to the SDG goals and targets and the WSIS Action Lines.</w:t>
      </w:r>
    </w:p>
    <w:p w14:paraId="4B9A346D" w14:textId="77777777" w:rsidR="006944F8" w:rsidRPr="00E562A6" w:rsidRDefault="006944F8" w:rsidP="006944F8">
      <w:pPr>
        <w:pStyle w:val="Heading1"/>
        <w:pageBreakBefore/>
        <w:jc w:val="center"/>
      </w:pPr>
      <w:bookmarkStart w:id="232" w:name="_Toc51331543"/>
      <w:bookmarkEnd w:id="231"/>
      <w:r w:rsidRPr="00E562A6">
        <w:lastRenderedPageBreak/>
        <w:t>Appendix I – List of approved Recommendations and other approved texts</w:t>
      </w:r>
      <w:bookmarkEnd w:id="10"/>
      <w:bookmarkEnd w:id="11"/>
      <w:bookmarkEnd w:id="232"/>
    </w:p>
    <w:p w14:paraId="75DA245E" w14:textId="4FFC1A2C" w:rsidR="006944F8" w:rsidRPr="00E562A6" w:rsidRDefault="001C37A8" w:rsidP="001C37A8">
      <w:pPr>
        <w:pStyle w:val="Note"/>
        <w:rPr>
          <w:lang w:val="en-GB"/>
        </w:rPr>
      </w:pPr>
      <w:r w:rsidRPr="00E562A6">
        <w:rPr>
          <w:lang w:val="en-GB"/>
        </w:rPr>
        <w:t xml:space="preserve">NOTE </w:t>
      </w:r>
      <w:r w:rsidR="006944F8" w:rsidRPr="00E562A6">
        <w:rPr>
          <w:lang w:val="en-GB"/>
        </w:rPr>
        <w:t>– Corrigenda are not listed here.</w:t>
      </w:r>
    </w:p>
    <w:p w14:paraId="1F7CC3BC" w14:textId="17A17B8E" w:rsidR="006A46AE" w:rsidRPr="00811A5D" w:rsidRDefault="006A46AE" w:rsidP="006A46AE">
      <w:pPr>
        <w:pStyle w:val="Headingb"/>
      </w:pPr>
      <w:bookmarkStart w:id="233" w:name="_Toc480527886"/>
      <w:bookmarkStart w:id="234" w:name="_Toc480527890"/>
      <w:bookmarkEnd w:id="12"/>
      <w:r w:rsidRPr="00811A5D">
        <w:t>I.1.1</w:t>
      </w:r>
      <w:r w:rsidRPr="00811A5D">
        <w:tab/>
        <w:t>G.fast and DSL: Breathing new life into existing copper infrastructure</w:t>
      </w:r>
    </w:p>
    <w:p w14:paraId="384E5B5D" w14:textId="516339DB" w:rsidR="00811A5D" w:rsidRDefault="00E12FA7" w:rsidP="00811A5D">
      <w:hyperlink r:id="rId205" w:history="1">
        <w:r w:rsidR="00811A5D" w:rsidRPr="00BC0783">
          <w:rPr>
            <w:rStyle w:val="Hyperlink"/>
            <w:b/>
            <w:lang w:val="en-GB" w:eastAsia="en-US"/>
          </w:rPr>
          <w:t>ITU-T G.994.1 Amd.1 “</w:t>
        </w:r>
        <w:r w:rsidR="00811A5D" w:rsidRPr="00BC0783">
          <w:rPr>
            <w:rStyle w:val="Hyperlink"/>
            <w:b/>
          </w:rPr>
          <w:t>Handshake procedures for digital subscriber line transceivers - Amendment 1</w:t>
        </w:r>
        <w:r w:rsidR="00811A5D" w:rsidRPr="00BC0783">
          <w:rPr>
            <w:rStyle w:val="Hyperlink"/>
            <w:b/>
            <w:lang w:val="en-GB" w:eastAsia="en-US"/>
          </w:rPr>
          <w:t>”</w:t>
        </w:r>
      </w:hyperlink>
      <w:r w:rsidR="00811A5D" w:rsidRPr="009E5DFA">
        <w:rPr>
          <w:bCs/>
          <w:lang w:val="en-GB" w:eastAsia="en-US"/>
        </w:rPr>
        <w:t xml:space="preserve"> </w:t>
      </w:r>
      <w:r w:rsidR="00811A5D">
        <w:t>includes the following new technical material:</w:t>
      </w:r>
    </w:p>
    <w:p w14:paraId="602E020E" w14:textId="7B3BDAD5" w:rsidR="00811A5D" w:rsidRDefault="00811A5D" w:rsidP="00811A5D">
      <w:r>
        <w:t>–</w:t>
      </w:r>
      <w:r>
        <w:tab/>
      </w:r>
      <w:r w:rsidRPr="003D447E">
        <w:t xml:space="preserve">codepoints for support of </w:t>
      </w:r>
      <w:r>
        <w:t xml:space="preserve">ITU-T G.9701 extended range of </w:t>
      </w:r>
      <w:r w:rsidRPr="00C26E96">
        <w:rPr>
          <w:i/>
        </w:rPr>
        <w:t>T</w:t>
      </w:r>
      <w:r w:rsidRPr="00C26E96">
        <w:rPr>
          <w:i/>
          <w:vertAlign w:val="subscript"/>
        </w:rPr>
        <w:t>g1</w:t>
      </w:r>
      <w:r w:rsidR="009E5DFA">
        <w:rPr>
          <w:i/>
          <w:vertAlign w:val="subscript"/>
        </w:rPr>
        <w:t>’</w:t>
      </w:r>
      <w:r>
        <w:t>.</w:t>
      </w:r>
    </w:p>
    <w:p w14:paraId="2ABC6444" w14:textId="63F6404C" w:rsidR="005724A4" w:rsidRDefault="00E12FA7" w:rsidP="005724A4">
      <w:hyperlink r:id="rId206" w:history="1">
        <w:r w:rsidR="005724A4" w:rsidRPr="00F53F5D">
          <w:rPr>
            <w:rStyle w:val="Hyperlink"/>
            <w:b/>
          </w:rPr>
          <w:t>ITU-T G.997.2 Amd.1 “Physical layer management for G.fast transceivers - Amendment 1”</w:t>
        </w:r>
      </w:hyperlink>
      <w:r w:rsidR="005724A4">
        <w:t xml:space="preserve"> integrates the Corrigendum 1 to ITU-T Rec G.997.2 (2019) and includes in addition:</w:t>
      </w:r>
    </w:p>
    <w:p w14:paraId="185F5062" w14:textId="77777777" w:rsidR="005724A4" w:rsidRDefault="005724A4" w:rsidP="005724A4">
      <w:r>
        <w:t>-</w:t>
      </w:r>
      <w:r>
        <w:tab/>
        <w:t>Add managed objects for the support of RMC sub-carrier masking</w:t>
      </w:r>
    </w:p>
    <w:p w14:paraId="1B9B849D" w14:textId="77777777" w:rsidR="005724A4" w:rsidRDefault="005724A4" w:rsidP="005724A4">
      <w:r>
        <w:t>-</w:t>
      </w:r>
      <w:r>
        <w:tab/>
        <w:t>Add managed objects for the support of TGVN</w:t>
      </w:r>
    </w:p>
    <w:p w14:paraId="39B1B118" w14:textId="383B39AD" w:rsidR="005724A4" w:rsidRDefault="005724A4" w:rsidP="005724A4">
      <w:pPr>
        <w:rPr>
          <w:lang w:val="en-GB" w:eastAsia="en-US"/>
        </w:rPr>
      </w:pPr>
      <w:r>
        <w:t>-</w:t>
      </w:r>
      <w:r>
        <w:tab/>
        <w:t>Add managed objects for the support of PREFNDR.</w:t>
      </w:r>
    </w:p>
    <w:p w14:paraId="66046F00" w14:textId="74405CD6" w:rsidR="0027175B" w:rsidRPr="00952FDF" w:rsidRDefault="00E12FA7" w:rsidP="0027175B">
      <w:pPr>
        <w:rPr>
          <w:highlight w:val="yellow"/>
          <w:lang w:val="en-GB"/>
        </w:rPr>
      </w:pPr>
      <w:hyperlink r:id="rId207" w:history="1">
        <w:r w:rsidR="0027175B" w:rsidRPr="00AD1C2F">
          <w:rPr>
            <w:rStyle w:val="Hyperlink"/>
            <w:b/>
            <w:lang w:val="en-GB"/>
          </w:rPr>
          <w:t>ITU-T G.9701 (2019) Amd.2 “Fast access to subscriber terminals (G.fast) - Physical layer specification: Amendment 2”</w:t>
        </w:r>
      </w:hyperlink>
      <w:r w:rsidR="0027175B" w:rsidRPr="00BC6399">
        <w:rPr>
          <w:bCs/>
          <w:lang w:val="en-GB"/>
        </w:rPr>
        <w:t xml:space="preserve"> </w:t>
      </w:r>
      <w:r w:rsidR="0027175B" w:rsidRPr="00AD1C2F">
        <w:rPr>
          <w:lang w:val="en-GB"/>
        </w:rPr>
        <w:t>includes a new Annex on targeted generalized vectoring with non-active G.97</w:t>
      </w:r>
      <w:r w:rsidR="0027175B" w:rsidRPr="0027175B">
        <w:rPr>
          <w:lang w:val="en-GB"/>
        </w:rPr>
        <w:t>01 supporting lines (TGVN).</w:t>
      </w:r>
    </w:p>
    <w:p w14:paraId="1A042C58" w14:textId="6AB9ED5E" w:rsidR="006A46AE" w:rsidRPr="00E56653" w:rsidRDefault="00E12FA7" w:rsidP="006A46AE">
      <w:pPr>
        <w:rPr>
          <w:lang w:val="en-GB"/>
        </w:rPr>
      </w:pPr>
      <w:hyperlink r:id="rId208" w:history="1">
        <w:r w:rsidR="006A46AE" w:rsidRPr="00796D5A">
          <w:rPr>
            <w:rStyle w:val="Hyperlink"/>
            <w:b/>
            <w:bCs/>
            <w:lang w:val="en-GB"/>
          </w:rPr>
          <w:t>ITU-T G.9710 "Multi-gigabit fast access to subscriber terminals (MGfast) – Power spectral density specification"</w:t>
        </w:r>
      </w:hyperlink>
      <w:r w:rsidR="006A46AE" w:rsidRPr="00E56653">
        <w:rPr>
          <w:lang w:val="en-GB"/>
        </w:rPr>
        <w:t xml:space="preserve"> </w:t>
      </w:r>
      <w:r w:rsidR="00E56653" w:rsidRPr="00E56653">
        <w:rPr>
          <w:lang w:val="en-GB"/>
        </w:rPr>
        <w:t>specifies power spectral density (PSD) mask requirements for Multi-gigabit fast access to subscriber terminals (MGfast), a set of tools to support reduction of the transmit PSD mask, and a methodology for transmit PSD verification. It supports operation over both twist</w:t>
      </w:r>
      <w:r w:rsidR="00E56653">
        <w:rPr>
          <w:lang w:val="en-GB"/>
        </w:rPr>
        <w:t>ed pair and coaxial cable media</w:t>
      </w:r>
      <w:r w:rsidR="006A46AE" w:rsidRPr="00E56653">
        <w:rPr>
          <w:lang w:val="en-GB"/>
        </w:rPr>
        <w:t>.</w:t>
      </w:r>
    </w:p>
    <w:p w14:paraId="2D25F806" w14:textId="07F0D1DD" w:rsidR="006A46AE" w:rsidRPr="009A7EC5" w:rsidRDefault="006A46AE" w:rsidP="006A46AE">
      <w:pPr>
        <w:pStyle w:val="Headingb"/>
      </w:pPr>
      <w:bookmarkStart w:id="235" w:name="_Toc480527892"/>
      <w:r w:rsidRPr="009A7EC5">
        <w:t>I.1.2</w:t>
      </w:r>
      <w:r w:rsidRPr="009A7EC5">
        <w:tab/>
        <w:t>Ultra-high-speed access including NG-PON2</w:t>
      </w:r>
      <w:bookmarkEnd w:id="235"/>
    </w:p>
    <w:p w14:paraId="5C45DD90" w14:textId="3E9EA63C" w:rsidR="009A7EC5" w:rsidRPr="009A7EC5" w:rsidRDefault="00E12FA7" w:rsidP="009A7EC5">
      <w:pPr>
        <w:rPr>
          <w:lang w:val="en-GB" w:eastAsia="en-US"/>
        </w:rPr>
      </w:pPr>
      <w:hyperlink r:id="rId209" w:history="1">
        <w:r w:rsidR="009A7EC5" w:rsidRPr="00BD36EB">
          <w:rPr>
            <w:rStyle w:val="Hyperlink"/>
            <w:b/>
            <w:lang w:val="en-GB" w:eastAsia="en-US"/>
          </w:rPr>
          <w:t>ITU-T G.984.3 (2014) Amd.1 “Gigabit-capable passive optical networks (G-PON): Transmission convergence layer specification”</w:t>
        </w:r>
      </w:hyperlink>
      <w:r w:rsidR="009A7EC5" w:rsidRPr="00CB4E06">
        <w:rPr>
          <w:lang w:val="en-GB" w:eastAsia="en-US"/>
        </w:rPr>
        <w:t xml:space="preserve"> </w:t>
      </w:r>
      <w:r w:rsidR="009A7EC5" w:rsidRPr="009A7EC5">
        <w:rPr>
          <w:lang w:val="en-GB" w:eastAsia="en-US"/>
        </w:rPr>
        <w:t>describes the transmission convergence layer for gigabit-capable passive optical networks – a family of flexible access networks capable of providing a range of broadband and narrow-band services, operating at the rates of 2.48832 Gbit/s downstream and 1.24416 or 2.48832 Gbit/s upstream. This Recommendation includes the specifications of the following:</w:t>
      </w:r>
    </w:p>
    <w:p w14:paraId="7F51CB9A" w14:textId="77777777" w:rsidR="009A7EC5" w:rsidRPr="009A7EC5" w:rsidRDefault="009A7EC5" w:rsidP="009A7EC5">
      <w:pPr>
        <w:rPr>
          <w:lang w:val="en-GB" w:eastAsia="en-US"/>
        </w:rPr>
      </w:pPr>
      <w:r w:rsidRPr="009A7EC5">
        <w:rPr>
          <w:lang w:val="en-GB" w:eastAsia="en-US"/>
        </w:rPr>
        <w:t>•</w:t>
      </w:r>
      <w:r w:rsidRPr="009A7EC5">
        <w:rPr>
          <w:lang w:val="en-GB" w:eastAsia="en-US"/>
        </w:rPr>
        <w:tab/>
        <w:t>gigabit PON transmission convergence (GTC) layer framing;</w:t>
      </w:r>
    </w:p>
    <w:p w14:paraId="7FFCE188"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upstream time division multiple access mechanism; </w:t>
      </w:r>
    </w:p>
    <w:p w14:paraId="236511B9"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physical layer operation, administration and maintenance (OAM) messaging channel; </w:t>
      </w:r>
    </w:p>
    <w:p w14:paraId="7765AEA9"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principles and signalling mechanism of the upstream dynamic bandwidth assignment; </w:t>
      </w:r>
    </w:p>
    <w:p w14:paraId="12EA7C0A"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optical network unit (ONU) activation method; </w:t>
      </w:r>
    </w:p>
    <w:p w14:paraId="48A53BD0" w14:textId="77777777" w:rsidR="009A7EC5" w:rsidRPr="009A7EC5" w:rsidRDefault="009A7EC5" w:rsidP="009A7EC5">
      <w:pPr>
        <w:rPr>
          <w:lang w:val="en-GB" w:eastAsia="en-US"/>
        </w:rPr>
      </w:pPr>
      <w:r w:rsidRPr="009A7EC5">
        <w:rPr>
          <w:lang w:val="en-GB" w:eastAsia="en-US"/>
        </w:rPr>
        <w:t>•</w:t>
      </w:r>
      <w:r w:rsidRPr="009A7EC5">
        <w:rPr>
          <w:lang w:val="en-GB" w:eastAsia="en-US"/>
        </w:rPr>
        <w:tab/>
        <w:t xml:space="preserve">forward error correction; </w:t>
      </w:r>
    </w:p>
    <w:p w14:paraId="05F46C8A" w14:textId="77777777" w:rsidR="009A7EC5" w:rsidRPr="009A7EC5" w:rsidRDefault="009A7EC5" w:rsidP="009A7EC5">
      <w:pPr>
        <w:rPr>
          <w:lang w:val="en-GB" w:eastAsia="en-US"/>
        </w:rPr>
      </w:pPr>
      <w:r w:rsidRPr="009A7EC5">
        <w:rPr>
          <w:lang w:val="en-GB" w:eastAsia="en-US"/>
        </w:rPr>
        <w:t>•</w:t>
      </w:r>
      <w:r w:rsidRPr="009A7EC5">
        <w:rPr>
          <w:lang w:val="en-GB" w:eastAsia="en-US"/>
        </w:rPr>
        <w:tab/>
        <w:t>security.</w:t>
      </w:r>
    </w:p>
    <w:p w14:paraId="3CAFBC24" w14:textId="2BE151AB" w:rsidR="009A7EC5" w:rsidRDefault="009A7EC5" w:rsidP="009A7EC5">
      <w:pPr>
        <w:rPr>
          <w:lang w:val="en-GB" w:eastAsia="en-US"/>
        </w:rPr>
      </w:pPr>
      <w:r w:rsidRPr="009A7EC5">
        <w:rPr>
          <w:lang w:val="en-GB" w:eastAsia="en-US"/>
        </w:rPr>
        <w:t>This Recommendation forms an integral part of the G.984-series of ITU-T Recommendations that, together, specify a single coherent set of access transmission systems.</w:t>
      </w:r>
      <w:r>
        <w:rPr>
          <w:lang w:val="en-GB" w:eastAsia="en-US"/>
        </w:rPr>
        <w:t xml:space="preserve"> </w:t>
      </w:r>
      <w:r w:rsidRPr="009A7EC5">
        <w:rPr>
          <w:lang w:val="en-GB" w:eastAsia="en-US"/>
        </w:rPr>
        <w:t>The present Amendment provides necessary extensions to support Class D ODN.</w:t>
      </w:r>
    </w:p>
    <w:p w14:paraId="7E06CC0F" w14:textId="712D296A" w:rsidR="00F60D75" w:rsidRDefault="00E12FA7" w:rsidP="00F60D75">
      <w:pPr>
        <w:rPr>
          <w:lang w:val="en-GB" w:eastAsia="en-US"/>
        </w:rPr>
      </w:pPr>
      <w:hyperlink r:id="rId210" w:history="1">
        <w:r w:rsidR="00F60D75" w:rsidRPr="0071756E">
          <w:rPr>
            <w:rStyle w:val="Hyperlink"/>
            <w:b/>
            <w:lang w:val="en-GB" w:eastAsia="en-US"/>
          </w:rPr>
          <w:t>ITU-T G.987.3 (2014) Amd.1</w:t>
        </w:r>
        <w:r w:rsidR="0026023A" w:rsidRPr="0071756E">
          <w:rPr>
            <w:rStyle w:val="Hyperlink"/>
            <w:b/>
            <w:lang w:val="en-GB" w:eastAsia="en-US"/>
          </w:rPr>
          <w:t xml:space="preserve"> “10-Gigabit-capable passive optical networks (XG-PON): Transmission convergence (TC) layer specification - Amendment 1”</w:t>
        </w:r>
      </w:hyperlink>
      <w:r w:rsidR="0026023A" w:rsidRPr="00767C09">
        <w:rPr>
          <w:bCs/>
          <w:lang w:val="en-GB" w:eastAsia="en-US"/>
        </w:rPr>
        <w:t xml:space="preserve"> </w:t>
      </w:r>
      <w:r w:rsidR="00F60D75" w:rsidRPr="00F60D75">
        <w:rPr>
          <w:lang w:val="en-GB" w:eastAsia="en-US"/>
        </w:rPr>
        <w:t xml:space="preserve">describes the transmission convergence layer for 10 gigabit capable passive optical network systems – a family of flexible access network systems that operate over a point-to-multipoint optical access infrastructure at nominal data rates in the order of 10.0 Gbit/s in at least one direction, while providing a wide range </w:t>
      </w:r>
      <w:r w:rsidR="00F60D75" w:rsidRPr="00F60D75">
        <w:rPr>
          <w:lang w:val="en-GB" w:eastAsia="en-US"/>
        </w:rPr>
        <w:lastRenderedPageBreak/>
        <w:t>of broadband and narrow-band services to end-users.</w:t>
      </w:r>
      <w:r w:rsidR="0026023A">
        <w:rPr>
          <w:lang w:val="en-GB" w:eastAsia="en-US"/>
        </w:rPr>
        <w:t xml:space="preserve"> </w:t>
      </w:r>
      <w:r w:rsidR="00F60D75" w:rsidRPr="00F60D75">
        <w:rPr>
          <w:lang w:val="en-GB" w:eastAsia="en-US"/>
        </w:rPr>
        <w:t>The present Amendment extends to the G.987.3 the concept of Cooperative DBA and the general DBA framework, which have been developed in the context of G.989.3, and extends the maximum number of the burst allocation series per ONU in a BWmap to 16.</w:t>
      </w:r>
    </w:p>
    <w:p w14:paraId="2F048AA5" w14:textId="3A9BDFA3" w:rsidR="0092458C" w:rsidRPr="0092458C" w:rsidRDefault="00E12FA7" w:rsidP="0092458C">
      <w:pPr>
        <w:rPr>
          <w:lang w:val="en-GB" w:eastAsia="en-US"/>
        </w:rPr>
      </w:pPr>
      <w:hyperlink r:id="rId211" w:history="1">
        <w:r w:rsidR="0092458C" w:rsidRPr="006E58FD">
          <w:rPr>
            <w:rStyle w:val="Hyperlink"/>
            <w:b/>
            <w:lang w:val="en-GB" w:eastAsia="en-US"/>
          </w:rPr>
          <w:t>ITU-T G.988 (2017) Amd.3 “ONU management and control interface (OMCI) specification: Amendment 3”</w:t>
        </w:r>
      </w:hyperlink>
      <w:r w:rsidR="0092458C" w:rsidRPr="00723B76">
        <w:rPr>
          <w:bCs/>
          <w:lang w:val="en-GB" w:eastAsia="en-US"/>
        </w:rPr>
        <w:t xml:space="preserve"> </w:t>
      </w:r>
      <w:r w:rsidR="0092458C" w:rsidRPr="0092458C">
        <w:rPr>
          <w:lang w:val="en-GB" w:eastAsia="en-US"/>
        </w:rPr>
        <w:t>adds:</w:t>
      </w:r>
    </w:p>
    <w:p w14:paraId="5C47B721" w14:textId="77777777" w:rsidR="0092458C" w:rsidRPr="0092458C" w:rsidRDefault="0092458C" w:rsidP="0092458C">
      <w:pPr>
        <w:rPr>
          <w:lang w:val="en-GB" w:eastAsia="en-US"/>
        </w:rPr>
      </w:pPr>
      <w:r w:rsidRPr="0092458C">
        <w:rPr>
          <w:lang w:val="en-GB" w:eastAsia="en-US"/>
        </w:rPr>
        <w:t>•</w:t>
      </w:r>
      <w:r w:rsidRPr="0092458C">
        <w:rPr>
          <w:lang w:val="en-GB" w:eastAsia="en-US"/>
        </w:rPr>
        <w:tab/>
        <w:t>Support for the discovery of Extended VLAN tagging operation configuration data ME enhanced mode through the ONU3-G ME.</w:t>
      </w:r>
    </w:p>
    <w:p w14:paraId="46494900" w14:textId="77777777" w:rsidR="0092458C" w:rsidRPr="0092458C" w:rsidRDefault="0092458C" w:rsidP="0092458C">
      <w:pPr>
        <w:rPr>
          <w:lang w:val="en-GB" w:eastAsia="en-US"/>
        </w:rPr>
      </w:pPr>
      <w:r w:rsidRPr="0092458C">
        <w:rPr>
          <w:lang w:val="en-GB" w:eastAsia="en-US"/>
        </w:rPr>
        <w:t>•</w:t>
      </w:r>
      <w:r w:rsidRPr="0092458C">
        <w:rPr>
          <w:lang w:val="en-GB" w:eastAsia="en-US"/>
        </w:rPr>
        <w:tab/>
        <w:t>Support for Extended VLAN ME tagging operation configuration data ME enhanced mode.</w:t>
      </w:r>
    </w:p>
    <w:p w14:paraId="0FF1073D" w14:textId="06BB6BCA" w:rsidR="0092458C" w:rsidRDefault="0092458C" w:rsidP="0092458C">
      <w:pPr>
        <w:rPr>
          <w:lang w:val="en-GB" w:eastAsia="en-US"/>
        </w:rPr>
      </w:pPr>
      <w:r w:rsidRPr="0092458C">
        <w:rPr>
          <w:lang w:val="en-GB" w:eastAsia="en-US"/>
        </w:rPr>
        <w:t>•</w:t>
      </w:r>
      <w:r w:rsidRPr="0092458C">
        <w:rPr>
          <w:lang w:val="en-GB" w:eastAsia="en-US"/>
        </w:rPr>
        <w:tab/>
        <w:t>Corrections to Table 9.1.5-1 “Plug-in unit types”.</w:t>
      </w:r>
    </w:p>
    <w:p w14:paraId="5F22E74B" w14:textId="0C9792B5" w:rsidR="00D10C6A" w:rsidRPr="009A7EC5" w:rsidRDefault="00E12FA7" w:rsidP="00D10C6A">
      <w:pPr>
        <w:rPr>
          <w:lang w:val="en-GB" w:eastAsia="en-US"/>
        </w:rPr>
      </w:pPr>
      <w:hyperlink r:id="rId212" w:history="1">
        <w:r w:rsidR="00D10C6A" w:rsidRPr="00CA1CD8">
          <w:rPr>
            <w:rStyle w:val="Hyperlink"/>
            <w:b/>
            <w:lang w:val="en-GB" w:eastAsia="en-US"/>
          </w:rPr>
          <w:t>ITU-T G.989.3 (2015) Amd.3 “40-Gigabit-capable passive optical networks (NG-PON2): Transmission convergence layer specification - Amendment 3”</w:t>
        </w:r>
      </w:hyperlink>
      <w:r w:rsidR="00D10C6A" w:rsidRPr="00F16BFE">
        <w:rPr>
          <w:bCs/>
          <w:lang w:val="en-GB" w:eastAsia="en-US"/>
        </w:rPr>
        <w:t xml:space="preserve"> </w:t>
      </w:r>
      <w:r w:rsidR="00D10C6A" w:rsidRPr="00D10C6A">
        <w:rPr>
          <w:lang w:val="en-GB" w:eastAsia="en-US"/>
        </w:rPr>
        <w:t>clarifies the use of SeqNo in the upstream PLOAM messages, clarifies the distinction between Performance Monitoring counters and other Performance Monitoring parameters, and provides regular specification maintenance.</w:t>
      </w:r>
    </w:p>
    <w:p w14:paraId="37BF30C2" w14:textId="77777777" w:rsidR="006A46AE" w:rsidRPr="00187B9F" w:rsidRDefault="006A46AE" w:rsidP="006A46AE">
      <w:pPr>
        <w:pStyle w:val="Headingb"/>
      </w:pPr>
      <w:r w:rsidRPr="00187B9F">
        <w:t>I.1.3</w:t>
      </w:r>
      <w:r w:rsidRPr="00187B9F">
        <w:tab/>
        <w:t>Optical fibres</w:t>
      </w:r>
      <w:bookmarkEnd w:id="233"/>
    </w:p>
    <w:p w14:paraId="09B76005" w14:textId="68483B2B" w:rsidR="00187B9F" w:rsidRDefault="00E12FA7" w:rsidP="00187B9F">
      <w:hyperlink r:id="rId213" w:history="1">
        <w:r w:rsidR="00187B9F" w:rsidRPr="00280E5E">
          <w:rPr>
            <w:rStyle w:val="Hyperlink"/>
            <w:b/>
          </w:rPr>
          <w:t xml:space="preserve">ITU-T G.654 </w:t>
        </w:r>
        <w:r w:rsidR="003B3D46" w:rsidRPr="00280E5E">
          <w:rPr>
            <w:rStyle w:val="Hyperlink"/>
            <w:b/>
          </w:rPr>
          <w:t xml:space="preserve">(revised) </w:t>
        </w:r>
        <w:r w:rsidR="00187B9F" w:rsidRPr="00280E5E">
          <w:rPr>
            <w:rStyle w:val="Hyperlink"/>
            <w:b/>
          </w:rPr>
          <w:t>“Characteristics of a cut-off shifted single-mode optical fibre and cable”</w:t>
        </w:r>
      </w:hyperlink>
      <w:r w:rsidR="00187B9F" w:rsidRPr="001E3BC2">
        <w:rPr>
          <w:bCs/>
        </w:rPr>
        <w:t xml:space="preserve"> </w:t>
      </w:r>
      <w:r w:rsidR="00187B9F">
        <w:t>describes the geometrical, mechanical and transmission attributes of a single-mode optical fibre and cable which has the zero-dispersion wavelength around 1 300 nm wavelength, and which is loss-minimized and cut-off wavelength shifted at around the 1 550 nm wavelength region. This is the latest revision of this Recommendation that was first created in 1988. In this version the attenuation coefficient of G.654.E to specify a wavelength dependency for estimating optical system design has been changed. Also, in this version a note has been added for cable cut-off wavelength when G.654.E fibre is used at central frequencies for applications specified in Recommendation G.698.2.</w:t>
      </w:r>
    </w:p>
    <w:p w14:paraId="434A0AD1" w14:textId="7F2BEC8C" w:rsidR="00571DB0" w:rsidRDefault="00E12FA7" w:rsidP="00571DB0">
      <w:hyperlink r:id="rId214" w:history="1">
        <w:r w:rsidR="00571DB0" w:rsidRPr="00596A4C">
          <w:rPr>
            <w:rStyle w:val="Hyperlink"/>
            <w:b/>
          </w:rPr>
          <w:t>ITU-T G.9806 “Higher speed bidirectional, single fibre, point-to-point optical access system (HS-PtP)”</w:t>
        </w:r>
      </w:hyperlink>
      <w:r w:rsidR="00571DB0">
        <w:t xml:space="preserve"> describes a higher speed bidirectional single fibre point-to-point optical access system than the data rate in existing ITU-T point-to-point access systems. It supports 10 Gbit/s and above for the optical access services including the optical distribution network (ODN) specification, the physical layer specification, services requirements and the operation, administration and maintenance (OAM) specification.</w:t>
      </w:r>
    </w:p>
    <w:p w14:paraId="799CB81E" w14:textId="6910CFB9" w:rsidR="00700989" w:rsidRDefault="00E12FA7" w:rsidP="006A46AE">
      <w:pPr>
        <w:rPr>
          <w:lang w:val="en-GB" w:eastAsia="en-US"/>
        </w:rPr>
      </w:pPr>
      <w:hyperlink r:id="rId215" w:history="1">
        <w:r w:rsidR="00700989" w:rsidRPr="008812D9">
          <w:rPr>
            <w:rStyle w:val="Hyperlink"/>
            <w:b/>
            <w:lang w:val="en-GB" w:eastAsia="en-US"/>
          </w:rPr>
          <w:t>ITU-T L.105/L.87 Amd.1 “Optical fibre cables for drop applications Amendment 1”</w:t>
        </w:r>
      </w:hyperlink>
      <w:r w:rsidR="00700989" w:rsidRPr="009F1E80">
        <w:rPr>
          <w:bCs/>
          <w:lang w:val="en-GB" w:eastAsia="en-US"/>
        </w:rPr>
        <w:t xml:space="preserve"> </w:t>
      </w:r>
      <w:r w:rsidR="00700989" w:rsidRPr="00700989">
        <w:rPr>
          <w:lang w:val="en-GB" w:eastAsia="en-US"/>
        </w:rPr>
        <w:t>aims to provide the latest standard development and application experience of drop cables in China.</w:t>
      </w:r>
    </w:p>
    <w:p w14:paraId="55403C68" w14:textId="295A555D" w:rsidR="006118F2" w:rsidRPr="006118F2" w:rsidRDefault="00E12FA7" w:rsidP="006118F2">
      <w:pPr>
        <w:rPr>
          <w:lang w:val="en-GB" w:eastAsia="en-US"/>
        </w:rPr>
      </w:pPr>
      <w:hyperlink r:id="rId216" w:history="1">
        <w:r w:rsidR="006118F2" w:rsidRPr="005236E9">
          <w:rPr>
            <w:rStyle w:val="Hyperlink"/>
            <w:b/>
            <w:lang w:val="en-GB" w:eastAsia="en-US"/>
          </w:rPr>
          <w:t>ITU-T Technical Report LSTR-GLSR (revised) “Guide on the use of ITU-T L-series Recommendations related to optical technologies for outside plant”</w:t>
        </w:r>
      </w:hyperlink>
      <w:r w:rsidR="006118F2">
        <w:rPr>
          <w:lang w:val="en-GB" w:eastAsia="en-US"/>
        </w:rPr>
        <w:t xml:space="preserve"> </w:t>
      </w:r>
      <w:r w:rsidR="006118F2" w:rsidRPr="006118F2">
        <w:rPr>
          <w:lang w:val="en-GB" w:eastAsia="en-US"/>
        </w:rPr>
        <w:t>contains a functional grouping of the ITU-T Recommendations on:</w:t>
      </w:r>
    </w:p>
    <w:p w14:paraId="1C5A4836" w14:textId="77777777" w:rsidR="006118F2" w:rsidRPr="006118F2" w:rsidRDefault="006118F2" w:rsidP="006118F2">
      <w:pPr>
        <w:rPr>
          <w:lang w:val="en-GB" w:eastAsia="en-US"/>
        </w:rPr>
      </w:pPr>
      <w:r w:rsidRPr="006118F2">
        <w:rPr>
          <w:lang w:val="en-GB" w:eastAsia="en-US"/>
        </w:rPr>
        <w:t>-</w:t>
      </w:r>
      <w:r w:rsidRPr="006118F2">
        <w:rPr>
          <w:lang w:val="en-GB" w:eastAsia="en-US"/>
        </w:rPr>
        <w:tab/>
        <w:t xml:space="preserve">optical cable construction for all kinds of terrestrial application, including marinized terrestrial cables; </w:t>
      </w:r>
    </w:p>
    <w:p w14:paraId="4E90FEB5" w14:textId="77777777" w:rsidR="006118F2" w:rsidRPr="006118F2" w:rsidRDefault="006118F2" w:rsidP="006118F2">
      <w:pPr>
        <w:rPr>
          <w:lang w:val="en-GB" w:eastAsia="en-US"/>
        </w:rPr>
      </w:pPr>
      <w:r w:rsidRPr="006118F2">
        <w:rPr>
          <w:lang w:val="en-GB" w:eastAsia="en-US"/>
        </w:rPr>
        <w:t>-</w:t>
      </w:r>
      <w:r w:rsidRPr="006118F2">
        <w:rPr>
          <w:lang w:val="en-GB" w:eastAsia="en-US"/>
        </w:rPr>
        <w:tab/>
        <w:t xml:space="preserve">optical infrastructures, including node elements, installation techniques and network design; </w:t>
      </w:r>
    </w:p>
    <w:p w14:paraId="2B883D59" w14:textId="77777777" w:rsidR="006118F2" w:rsidRPr="006118F2" w:rsidRDefault="006118F2" w:rsidP="006118F2">
      <w:pPr>
        <w:rPr>
          <w:lang w:val="en-GB" w:eastAsia="en-US"/>
        </w:rPr>
      </w:pPr>
      <w:r w:rsidRPr="006118F2">
        <w:rPr>
          <w:lang w:val="en-GB" w:eastAsia="en-US"/>
        </w:rPr>
        <w:t>-</w:t>
      </w:r>
      <w:r w:rsidRPr="006118F2">
        <w:rPr>
          <w:lang w:val="en-GB" w:eastAsia="en-US"/>
        </w:rPr>
        <w:tab/>
        <w:t>outside plant maintenance, operation and support management, including disaster management issues;</w:t>
      </w:r>
    </w:p>
    <w:p w14:paraId="24A63FC6" w14:textId="77777777" w:rsidR="006118F2" w:rsidRPr="006118F2" w:rsidRDefault="006118F2" w:rsidP="006118F2">
      <w:pPr>
        <w:rPr>
          <w:lang w:val="en-GB" w:eastAsia="en-US"/>
        </w:rPr>
      </w:pPr>
      <w:r w:rsidRPr="006118F2">
        <w:rPr>
          <w:lang w:val="en-GB" w:eastAsia="en-US"/>
        </w:rPr>
        <w:t>-</w:t>
      </w:r>
      <w:r w:rsidRPr="006118F2">
        <w:rPr>
          <w:lang w:val="en-GB" w:eastAsia="en-US"/>
        </w:rPr>
        <w:tab/>
        <w:t>passive optical components.</w:t>
      </w:r>
    </w:p>
    <w:p w14:paraId="730B18E7" w14:textId="5DDEB166" w:rsidR="006118F2" w:rsidRPr="00700989" w:rsidRDefault="006118F2" w:rsidP="006118F2">
      <w:pPr>
        <w:rPr>
          <w:highlight w:val="yellow"/>
          <w:lang w:val="en-GB" w:eastAsia="en-US"/>
        </w:rPr>
      </w:pPr>
      <w:r w:rsidRPr="006118F2">
        <w:rPr>
          <w:lang w:val="en-GB" w:eastAsia="en-US"/>
        </w:rPr>
        <w:t xml:space="preserve">For each Recommendation, there is a short description of the purpose, content and, in many cases, the evolution of the content in the subsequent versions. The main purpose of this guide is to give to developing countries an improved capability in the application of standards, while the </w:t>
      </w:r>
      <w:r w:rsidRPr="006118F2">
        <w:rPr>
          <w:lang w:val="en-GB" w:eastAsia="en-US"/>
        </w:rPr>
        <w:lastRenderedPageBreak/>
        <w:t>telecommunication industry, particularly manufacturers and operators, could benefit from the greater involvement of developing countries in the making and application of standards.</w:t>
      </w:r>
      <w:r>
        <w:rPr>
          <w:lang w:val="en-GB" w:eastAsia="en-US"/>
        </w:rPr>
        <w:t xml:space="preserve"> </w:t>
      </w:r>
      <w:r w:rsidRPr="006118F2">
        <w:rPr>
          <w:lang w:val="en-GB" w:eastAsia="en-US"/>
        </w:rPr>
        <w:t>The guide could also have a wider use among manufacturers and operators who are not directly involved in the preparation of this group of Recommendations and they could find the guide to be a useful tool both for rapidly focusing on the Recommendation(s) of specific interest and for better understanding the meaning and the objectives of each Recommendation.</w:t>
      </w:r>
    </w:p>
    <w:p w14:paraId="25802D61" w14:textId="77777777" w:rsidR="006A46AE" w:rsidRPr="00AD6730" w:rsidRDefault="006A46AE" w:rsidP="006A46AE">
      <w:pPr>
        <w:rPr>
          <w:b/>
          <w:sz w:val="22"/>
          <w:szCs w:val="22"/>
          <w:lang w:val="en-GB"/>
        </w:rPr>
      </w:pPr>
      <w:bookmarkStart w:id="236" w:name="_Toc480527891"/>
      <w:r w:rsidRPr="00AD6730">
        <w:rPr>
          <w:b/>
          <w:sz w:val="22"/>
          <w:szCs w:val="22"/>
          <w:lang w:val="en-GB"/>
        </w:rPr>
        <w:t>I.1.4</w:t>
      </w:r>
      <w:r w:rsidRPr="00AD6730">
        <w:rPr>
          <w:b/>
          <w:sz w:val="22"/>
          <w:szCs w:val="22"/>
          <w:lang w:val="en-GB"/>
        </w:rPr>
        <w:tab/>
        <w:t>Ultra-high-speed optical core network: OTN beyond 100G</w:t>
      </w:r>
      <w:bookmarkEnd w:id="236"/>
    </w:p>
    <w:p w14:paraId="587ADE0C" w14:textId="77777777" w:rsidR="006A46AE" w:rsidRPr="00CE2DA3" w:rsidRDefault="006A46AE" w:rsidP="006A46AE">
      <w:pPr>
        <w:pStyle w:val="Headingb"/>
      </w:pPr>
      <w:bookmarkStart w:id="237" w:name="_Toc480527887"/>
      <w:r w:rsidRPr="00CE2DA3">
        <w:t>I.1.5</w:t>
      </w:r>
      <w:r w:rsidRPr="00CE2DA3">
        <w:tab/>
        <w:t>Optical transmission systems</w:t>
      </w:r>
      <w:bookmarkEnd w:id="237"/>
    </w:p>
    <w:p w14:paraId="1628E5B0" w14:textId="118FA84F" w:rsidR="00501348" w:rsidRPr="00501348" w:rsidRDefault="00E12FA7" w:rsidP="00501348">
      <w:pPr>
        <w:widowControl w:val="0"/>
      </w:pPr>
      <w:hyperlink r:id="rId217" w:history="1">
        <w:r w:rsidR="00501348" w:rsidRPr="001C500E">
          <w:rPr>
            <w:rStyle w:val="Hyperlink"/>
            <w:b/>
          </w:rPr>
          <w:t>ITU-T G.709/Y.1331 (revised) “Interfaces for the optical transport network (OTN)”</w:t>
        </w:r>
      </w:hyperlink>
      <w:r w:rsidR="00501348" w:rsidRPr="001C500E">
        <w:rPr>
          <w:bCs/>
        </w:rPr>
        <w:t xml:space="preserve"> </w:t>
      </w:r>
      <w:r w:rsidR="00501348" w:rsidRPr="00501348">
        <w:t>defines the requirements for the optical transport network (OTN) interface signals of the optical transport network, in terms of:</w:t>
      </w:r>
    </w:p>
    <w:p w14:paraId="3A005593" w14:textId="77777777" w:rsidR="00501348" w:rsidRPr="00501348" w:rsidRDefault="00501348" w:rsidP="00501348">
      <w:pPr>
        <w:widowControl w:val="0"/>
      </w:pPr>
      <w:r w:rsidRPr="00501348">
        <w:t>–</w:t>
      </w:r>
      <w:r w:rsidRPr="00501348">
        <w:tab/>
        <w:t>OTN hierarchy</w:t>
      </w:r>
    </w:p>
    <w:p w14:paraId="39DFAA91" w14:textId="77777777" w:rsidR="00501348" w:rsidRPr="00501348" w:rsidRDefault="00501348" w:rsidP="00501348">
      <w:pPr>
        <w:widowControl w:val="0"/>
      </w:pPr>
      <w:r w:rsidRPr="00501348">
        <w:t>–</w:t>
      </w:r>
      <w:r w:rsidRPr="00501348">
        <w:tab/>
        <w:t>functionality of the overhead in support of multi-wavelength optical networks</w:t>
      </w:r>
    </w:p>
    <w:p w14:paraId="549F3F10" w14:textId="77777777" w:rsidR="00501348" w:rsidRPr="00501348" w:rsidRDefault="00501348" w:rsidP="00501348">
      <w:pPr>
        <w:widowControl w:val="0"/>
      </w:pPr>
      <w:r w:rsidRPr="00501348">
        <w:t>–</w:t>
      </w:r>
      <w:r w:rsidRPr="00501348">
        <w:tab/>
        <w:t>frame structures</w:t>
      </w:r>
    </w:p>
    <w:p w14:paraId="7C43201A" w14:textId="77777777" w:rsidR="00501348" w:rsidRPr="00501348" w:rsidRDefault="00501348" w:rsidP="00501348">
      <w:pPr>
        <w:widowControl w:val="0"/>
      </w:pPr>
      <w:r w:rsidRPr="00501348">
        <w:t>–</w:t>
      </w:r>
      <w:r w:rsidRPr="00501348">
        <w:tab/>
        <w:t>bit rates</w:t>
      </w:r>
    </w:p>
    <w:p w14:paraId="363376BD" w14:textId="77777777" w:rsidR="00501348" w:rsidRPr="00501348" w:rsidRDefault="00501348" w:rsidP="00501348">
      <w:pPr>
        <w:widowControl w:val="0"/>
      </w:pPr>
      <w:r w:rsidRPr="00501348">
        <w:t>–</w:t>
      </w:r>
      <w:r w:rsidRPr="00501348">
        <w:tab/>
        <w:t>formats for mapping client signals.</w:t>
      </w:r>
    </w:p>
    <w:p w14:paraId="577D3C6A" w14:textId="6F5EFCB6" w:rsidR="00501348" w:rsidRPr="00501348" w:rsidRDefault="00501348" w:rsidP="00501348">
      <w:pPr>
        <w:widowControl w:val="0"/>
      </w:pPr>
      <w:r w:rsidRPr="00501348">
        <w:t>Edition 6.0 of this Recommendation includes the text of Amendments 1, 2, 3, Corrigendum 1 and 2 to Edition 5.0 of this Recommendation, addition of 25 and 50 Gbit/s OTU, ODU and OPU frame formats and multiplexing of lower rate ODUk/flex signals into these two OPUs, extension of the supported ODUflex(IMP) bit rates to any rate, specification of frequency synchronous OTU and ODU and addition of a new appendix with examples of ODUflex(GFP) and ODUflex(IMP) clock generation methods. Edition 6.0 furthermore clarifies that the ODUflex(GFP) bit rate can be any rate and is not limited to the recommended bit rates, updates the OTN interface terminology, corrects the replacement signal definitions for some of the Ethernet client signals and restricts the FlexE aware sub-rate granularity to 25 Gbit/s.</w:t>
      </w:r>
    </w:p>
    <w:p w14:paraId="58BFB895" w14:textId="2D4FE29D" w:rsidR="00DF1CA5" w:rsidRDefault="00E12FA7" w:rsidP="00DF1CA5">
      <w:pPr>
        <w:widowControl w:val="0"/>
      </w:pPr>
      <w:hyperlink r:id="rId218" w:history="1">
        <w:r w:rsidR="00DF1CA5" w:rsidRPr="00085DB2">
          <w:rPr>
            <w:rStyle w:val="Hyperlink"/>
            <w:b/>
          </w:rPr>
          <w:t>ITU-T G.709.4 “OTU 25 and OTU 50G short reach interfaces”</w:t>
        </w:r>
      </w:hyperlink>
      <w:r w:rsidR="00DF1CA5">
        <w:t xml:space="preserve"> specifies an interface for an OTU25 and OTU50 short-reach interconnect application.</w:t>
      </w:r>
    </w:p>
    <w:p w14:paraId="23E15552" w14:textId="3E611076" w:rsidR="006A46AE" w:rsidRDefault="00E12FA7" w:rsidP="006A46AE">
      <w:pPr>
        <w:rPr>
          <w:bCs/>
          <w:szCs w:val="24"/>
          <w:lang w:val="en-GB"/>
        </w:rPr>
      </w:pPr>
      <w:hyperlink r:id="rId219" w:history="1">
        <w:r w:rsidR="006A46AE" w:rsidRPr="00271B13">
          <w:rPr>
            <w:rStyle w:val="Hyperlink"/>
            <w:b/>
            <w:bCs/>
            <w:lang w:val="en-GB"/>
          </w:rPr>
          <w:t>ITU-T G.807 "Generic functional architecture of the optica</w:t>
        </w:r>
        <w:r w:rsidR="00580181" w:rsidRPr="00271B13">
          <w:rPr>
            <w:rStyle w:val="Hyperlink"/>
            <w:b/>
            <w:bCs/>
            <w:lang w:val="en-GB"/>
          </w:rPr>
          <w:t>l media network"</w:t>
        </w:r>
      </w:hyperlink>
      <w:r w:rsidR="00580181" w:rsidRPr="00271B13">
        <w:rPr>
          <w:bCs/>
          <w:lang w:val="en-GB"/>
        </w:rPr>
        <w:t xml:space="preserve"> </w:t>
      </w:r>
      <w:r w:rsidR="006A46AE" w:rsidRPr="00580181">
        <w:rPr>
          <w:bCs/>
          <w:szCs w:val="24"/>
          <w:lang w:val="en-GB"/>
        </w:rPr>
        <w:t>describes the generic functional architecture of the optical media network that supports the propagation of signals in the context of a transport network. This description is independent of the client digital information that is being carried by a signal in the media network.</w:t>
      </w:r>
    </w:p>
    <w:p w14:paraId="1BBECB16" w14:textId="270F33D4" w:rsidR="00E13A4B" w:rsidRPr="00CB2B4E" w:rsidRDefault="00E12FA7" w:rsidP="00E13A4B">
      <w:pPr>
        <w:rPr>
          <w:highlight w:val="yellow"/>
          <w:lang w:val="en-GB" w:eastAsia="en-US"/>
        </w:rPr>
      </w:pPr>
      <w:hyperlink r:id="rId220" w:history="1">
        <w:r w:rsidR="00E13A4B" w:rsidRPr="0044416C">
          <w:rPr>
            <w:rStyle w:val="Hyperlink"/>
            <w:b/>
            <w:bCs/>
            <w:lang w:val="en-GB" w:eastAsia="en-US"/>
          </w:rPr>
          <w:t>I</w:t>
        </w:r>
        <w:r w:rsidR="00E13A4B" w:rsidRPr="002D6A47">
          <w:rPr>
            <w:rStyle w:val="Hyperlink"/>
            <w:b/>
            <w:bCs/>
            <w:lang w:val="en-GB" w:eastAsia="en-US"/>
          </w:rPr>
          <w:t>TU-T G.875 (revised) “Optical transport network: Protocol-neutral management information model for the network element view”</w:t>
        </w:r>
      </w:hyperlink>
      <w:r w:rsidR="00E13A4B">
        <w:rPr>
          <w:lang w:val="en-GB" w:eastAsia="en-US"/>
        </w:rPr>
        <w:t xml:space="preserve"> </w:t>
      </w:r>
      <w:r w:rsidR="00E13A4B" w:rsidRPr="00CB2B4E">
        <w:rPr>
          <w:lang w:val="en-GB" w:eastAsia="en-US"/>
        </w:rPr>
        <w:t>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management network (TMN) architecture. The protocol-neutral management information model shall be used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should be described in the protocol-specific information model Recommendations.</w:t>
      </w:r>
      <w:r w:rsidR="00E13A4B">
        <w:rPr>
          <w:lang w:val="en-GB" w:eastAsia="en-US"/>
        </w:rPr>
        <w:t xml:space="preserve"> </w:t>
      </w:r>
      <w:r w:rsidR="00E13A4B" w:rsidRPr="00CB2B4E">
        <w:rPr>
          <w:lang w:val="en-GB" w:eastAsia="en-US"/>
        </w:rPr>
        <w:t xml:space="preserve">The 2020 revision of this Recommendation up-versions the UML model tool to Papyrus v4.1.0 and the profile to v0.2.17; updates and cleans up the model for ODU, adding support for ODUCn, ODU Delay Measurement, GCC1/2 management, ODU clients (aligning with G.709 </w:t>
      </w:r>
      <w:r w:rsidR="00E13A4B" w:rsidRPr="00CB2B4E">
        <w:rPr>
          <w:lang w:val="en-GB" w:eastAsia="en-US"/>
        </w:rPr>
        <w:lastRenderedPageBreak/>
        <w:t>v6), OTU and FlexO; add the model for GFP management; deprecates duplicated attributes and associations; un-deprecates the OTU CTP object classes and fixes some other errors.</w:t>
      </w:r>
    </w:p>
    <w:p w14:paraId="2CC15051" w14:textId="0E4649E5" w:rsidR="00D60D86" w:rsidRPr="00D60D86" w:rsidRDefault="00E12FA7" w:rsidP="00D60D86">
      <w:pPr>
        <w:rPr>
          <w:bCs/>
          <w:lang w:val="en-GB"/>
        </w:rPr>
      </w:pPr>
      <w:hyperlink r:id="rId221" w:history="1">
        <w:r w:rsidR="00D60D86" w:rsidRPr="00524F1D">
          <w:rPr>
            <w:rStyle w:val="Hyperlink"/>
            <w:b/>
            <w:bCs/>
            <w:lang w:val="en-GB"/>
          </w:rPr>
          <w:t>ITU-T G.sup.58 (revised) “Optical transport network module framer interfaces”</w:t>
        </w:r>
      </w:hyperlink>
      <w:r w:rsidR="00D60D86" w:rsidRPr="00524F1D">
        <w:rPr>
          <w:lang w:val="en-GB"/>
        </w:rPr>
        <w:t xml:space="preserve"> </w:t>
      </w:r>
      <w:r w:rsidR="00D60D86" w:rsidRPr="00D60D86">
        <w:rPr>
          <w:bCs/>
          <w:lang w:val="en-GB"/>
        </w:rPr>
        <w:t>describes several interoperable component to component multilane interfaces (across different vendors) to connect an optical module (with or without digital signal processor (DSP)) to a framer device in a vendor's equipment supporting 25G, 40G, 50G, 100G or beyond 100G optical transport network (OTN) interfaces.</w:t>
      </w:r>
      <w:r w:rsidR="00D60D86">
        <w:rPr>
          <w:bCs/>
          <w:lang w:val="en-GB"/>
        </w:rPr>
        <w:t xml:space="preserve"> </w:t>
      </w:r>
      <w:r w:rsidR="00D60D86" w:rsidRPr="00D60D86">
        <w:rPr>
          <w:bCs/>
          <w:lang w:val="en-GB"/>
        </w:rPr>
        <w:t>Only the structure of the 11G, 28G or 56G physical lanes of the different OTN module framer interface (MFI) examples is provided in this Supplement. For their electrical characteristics, the OIF-CEI IA specifications can be used.</w:t>
      </w:r>
      <w:r w:rsidR="00D60D86">
        <w:rPr>
          <w:bCs/>
          <w:lang w:val="en-GB"/>
        </w:rPr>
        <w:t xml:space="preserve"> </w:t>
      </w:r>
      <w:r w:rsidR="00D60D86" w:rsidRPr="00D60D86">
        <w:rPr>
          <w:bCs/>
          <w:lang w:val="en-GB"/>
        </w:rPr>
        <w:t>This Supplement relates to Recommendation ITU-T G.709/Y.1331.</w:t>
      </w:r>
    </w:p>
    <w:p w14:paraId="5617F155" w14:textId="5DF74F50" w:rsidR="006A46AE" w:rsidRPr="00CB2B4E" w:rsidRDefault="006A46AE" w:rsidP="00A26B87">
      <w:pPr>
        <w:pStyle w:val="Headingb"/>
      </w:pPr>
      <w:bookmarkStart w:id="238" w:name="_Toc480527889"/>
      <w:r w:rsidRPr="00CB2B4E">
        <w:t>I.1.6</w:t>
      </w:r>
      <w:r w:rsidRPr="00CB2B4E">
        <w:tab/>
        <w:t>Transport network control aspects</w:t>
      </w:r>
      <w:bookmarkEnd w:id="238"/>
    </w:p>
    <w:p w14:paraId="6F924030" w14:textId="1FC96F20" w:rsidR="006A46AE" w:rsidRDefault="006A46AE" w:rsidP="006A46AE">
      <w:pPr>
        <w:pStyle w:val="Headingb"/>
      </w:pPr>
      <w:r w:rsidRPr="00801E7D">
        <w:t>I.1.7</w:t>
      </w:r>
      <w:r w:rsidRPr="00801E7D">
        <w:tab/>
        <w:t>Ethernet over transport networks</w:t>
      </w:r>
    </w:p>
    <w:p w14:paraId="0DB8E18A" w14:textId="443529BC" w:rsidR="00230A9B" w:rsidRPr="00230A9B" w:rsidRDefault="00E12FA7" w:rsidP="00230A9B">
      <w:pPr>
        <w:rPr>
          <w:lang w:val="en-GB" w:eastAsia="en-US"/>
        </w:rPr>
      </w:pPr>
      <w:hyperlink r:id="rId222" w:history="1">
        <w:r w:rsidR="00230A9B" w:rsidRPr="001F4712">
          <w:rPr>
            <w:rStyle w:val="Hyperlink"/>
            <w:b/>
            <w:lang w:val="en-GB" w:eastAsia="en-US"/>
          </w:rPr>
          <w:t>ITU-T G.8001 Imp (revised) “Implementers' guide for Recommendation ITU-T G.8001/Y.1354 (2020)”</w:t>
        </w:r>
      </w:hyperlink>
      <w:r w:rsidR="00230A9B">
        <w:rPr>
          <w:lang w:val="en-GB" w:eastAsia="en-US"/>
        </w:rPr>
        <w:t xml:space="preserve"> </w:t>
      </w:r>
      <w:r w:rsidR="00230A9B" w:rsidRPr="00230A9B">
        <w:rPr>
          <w:lang w:val="en-GB" w:eastAsia="en-US"/>
        </w:rPr>
        <w:t>is an Implementers' Guide for Recommendation ITU-T G.8001/Y.1354 (2016-04). This version contains all updates submitted up to and including those at Study Group 15 meeting in January/February 2020.</w:t>
      </w:r>
    </w:p>
    <w:p w14:paraId="682D617D" w14:textId="3475B804" w:rsidR="00801E7D" w:rsidRPr="00801E7D" w:rsidRDefault="00E12FA7" w:rsidP="00801E7D">
      <w:pPr>
        <w:rPr>
          <w:highlight w:val="yellow"/>
          <w:lang w:val="en-GB" w:eastAsia="en-US"/>
        </w:rPr>
      </w:pPr>
      <w:hyperlink r:id="rId223" w:history="1">
        <w:r w:rsidR="00801E7D" w:rsidRPr="002E10D8">
          <w:rPr>
            <w:rStyle w:val="Hyperlink"/>
            <w:b/>
            <w:lang w:val="en-GB" w:eastAsia="en-US"/>
          </w:rPr>
          <w:t>ITU-T G.8032/Y.1344 (revised) “Ethernet ring protection switching”</w:t>
        </w:r>
      </w:hyperlink>
      <w:r w:rsidR="00801E7D" w:rsidRPr="006E3328">
        <w:rPr>
          <w:bCs/>
          <w:lang w:val="en-GB" w:eastAsia="en-US"/>
        </w:rPr>
        <w:t xml:space="preserve"> </w:t>
      </w:r>
      <w:r w:rsidR="00801E7D" w:rsidRPr="00801E7D">
        <w:rPr>
          <w:lang w:val="en-GB" w:eastAsia="en-US"/>
        </w:rPr>
        <w:t>defines the automatic protection switching (APS) protocol and protection switching mechanisms for Ethernet layer network (ETH) ring topologies. Included are details pertaining to Ethernet ring protection characteristics, architectures and the ring APS (R-APS) protocol.</w:t>
      </w:r>
      <w:r w:rsidR="00801E7D">
        <w:rPr>
          <w:lang w:val="en-GB" w:eastAsia="en-US"/>
        </w:rPr>
        <w:t xml:space="preserve"> </w:t>
      </w:r>
      <w:r w:rsidR="00801E7D" w:rsidRPr="00801E7D">
        <w:rPr>
          <w:lang w:val="en-GB" w:eastAsia="en-US"/>
        </w:rPr>
        <w:t>This revision updates references, removes items formerly considered for further study and incorporates terms formerly defined in ITU-T Recommendation G.8001/Y.1354 (2016).</w:t>
      </w:r>
    </w:p>
    <w:p w14:paraId="58B56A5F" w14:textId="77777777" w:rsidR="006A46AE" w:rsidRPr="00A10F95" w:rsidRDefault="006A46AE" w:rsidP="006A46AE">
      <w:pPr>
        <w:pStyle w:val="Headingb"/>
      </w:pPr>
      <w:r w:rsidRPr="00A10F95">
        <w:t>I.1.8</w:t>
      </w:r>
      <w:r w:rsidRPr="00A10F95">
        <w:tab/>
        <w:t>MPLS over transport networks</w:t>
      </w:r>
    </w:p>
    <w:p w14:paraId="25E47AFD" w14:textId="2782DE8C" w:rsidR="006A46AE" w:rsidRPr="0054768A" w:rsidRDefault="006A46AE" w:rsidP="006A46AE">
      <w:pPr>
        <w:pStyle w:val="Headingb"/>
      </w:pPr>
      <w:r w:rsidRPr="0054768A">
        <w:t>I.1.9</w:t>
      </w:r>
      <w:r w:rsidRPr="0054768A">
        <w:tab/>
        <w:t>Synchronization and timing</w:t>
      </w:r>
    </w:p>
    <w:p w14:paraId="4F048AAC" w14:textId="2C73319D" w:rsidR="00DE11A6" w:rsidRPr="00DE11A6" w:rsidRDefault="00E12FA7" w:rsidP="00DE11A6">
      <w:pPr>
        <w:rPr>
          <w:bCs/>
          <w:lang w:val="en-GB" w:eastAsia="en-US"/>
        </w:rPr>
      </w:pPr>
      <w:hyperlink r:id="rId224" w:history="1">
        <w:r w:rsidR="00DE11A6" w:rsidRPr="004A1F1B">
          <w:rPr>
            <w:rStyle w:val="Hyperlink"/>
            <w:b/>
            <w:lang w:val="en-GB" w:eastAsia="en-US"/>
          </w:rPr>
          <w:t>ITU-T G.781 (revised) “Synchronization layer functions for frequency synchronization based on the physical layer”</w:t>
        </w:r>
      </w:hyperlink>
      <w:r w:rsidR="00DE11A6" w:rsidRPr="008E1514">
        <w:rPr>
          <w:bCs/>
          <w:lang w:val="en-GB" w:eastAsia="en-US"/>
        </w:rPr>
        <w:t xml:space="preserve"> </w:t>
      </w:r>
      <w:r w:rsidR="00DE11A6" w:rsidRPr="00DE11A6">
        <w:rPr>
          <w:bCs/>
          <w:lang w:val="en-GB" w:eastAsia="en-US"/>
        </w:rPr>
        <w:t>defines the atomic functions that are part of the two synchronization layers, the synchronization distribution (SD) layer and the network synchronization (NS) layer. It also defines some atomic functions, part of the transport layer, which are related to synchronization.</w:t>
      </w:r>
      <w:r w:rsidR="00DE11A6">
        <w:rPr>
          <w:bCs/>
          <w:lang w:val="en-GB" w:eastAsia="en-US"/>
        </w:rPr>
        <w:t xml:space="preserve"> </w:t>
      </w:r>
      <w:r w:rsidR="00DE11A6" w:rsidRPr="00DE11A6">
        <w:rPr>
          <w:bCs/>
          <w:lang w:val="en-GB" w:eastAsia="en-US"/>
        </w:rPr>
        <w:t>These functions describe the synchronization of SDH, Ethernet, and OTN NEs and how these NEs are involved in network synchronization.</w:t>
      </w:r>
      <w:r w:rsidR="00DE11A6">
        <w:rPr>
          <w:bCs/>
          <w:lang w:val="en-GB" w:eastAsia="en-US"/>
        </w:rPr>
        <w:t xml:space="preserve"> </w:t>
      </w:r>
      <w:r w:rsidR="00DE11A6" w:rsidRPr="00DE11A6">
        <w:rPr>
          <w:bCs/>
          <w:lang w:val="en-GB" w:eastAsia="en-US"/>
        </w:rPr>
        <w:t>The specifications in this Recommendation are the superset of functionality of three regional standards bodies. Care should be taken when selecting from this Recommendation.</w:t>
      </w:r>
      <w:r w:rsidR="00DE11A6">
        <w:rPr>
          <w:bCs/>
          <w:lang w:val="en-GB" w:eastAsia="en-US"/>
        </w:rPr>
        <w:t xml:space="preserve"> </w:t>
      </w:r>
      <w:r w:rsidR="00DE11A6" w:rsidRPr="00DE11A6">
        <w:rPr>
          <w:bCs/>
          <w:lang w:val="en-GB" w:eastAsia="en-US"/>
        </w:rPr>
        <w:t>Not every atomic function defined in this Recommendation is required for every application. Different subsets of atomic functions may be assembled in different ways according to the combination rules given in Recommendations ITU-T G.783, ITU-T G.705, ITU-T G.8021, ITU-T G.8121, and ITU T G.798 to provide a variety of different capabilities. Network operators and equipment suppliers may choose which functions must be implemented for each application.</w:t>
      </w:r>
    </w:p>
    <w:p w14:paraId="62A06CAF" w14:textId="4D97CE70" w:rsidR="0054768A" w:rsidRDefault="00E12FA7" w:rsidP="0054768A">
      <w:pPr>
        <w:rPr>
          <w:lang w:val="en-GB" w:eastAsia="en-US"/>
        </w:rPr>
      </w:pPr>
      <w:hyperlink r:id="rId225" w:history="1">
        <w:r w:rsidR="0054768A" w:rsidRPr="00C87BDB">
          <w:rPr>
            <w:rStyle w:val="Hyperlink"/>
            <w:b/>
            <w:lang w:val="en-GB" w:eastAsia="en-US"/>
          </w:rPr>
          <w:t xml:space="preserve">ITU-T G.8260 </w:t>
        </w:r>
        <w:r w:rsidR="001F1207" w:rsidRPr="00C87BDB">
          <w:rPr>
            <w:rStyle w:val="Hyperlink"/>
            <w:b/>
            <w:lang w:val="en-GB" w:eastAsia="en-US"/>
          </w:rPr>
          <w:t xml:space="preserve">(revised) </w:t>
        </w:r>
        <w:r w:rsidR="0054768A" w:rsidRPr="00C87BDB">
          <w:rPr>
            <w:rStyle w:val="Hyperlink"/>
            <w:b/>
            <w:lang w:val="en-GB" w:eastAsia="en-US"/>
          </w:rPr>
          <w:t>“Definitions and terminology for synchronization in packet networks”</w:t>
        </w:r>
      </w:hyperlink>
      <w:r w:rsidR="0054768A" w:rsidRPr="00064208">
        <w:rPr>
          <w:bCs/>
          <w:lang w:val="en-GB" w:eastAsia="en-US"/>
        </w:rPr>
        <w:t xml:space="preserve"> </w:t>
      </w:r>
      <w:r w:rsidR="0054768A" w:rsidRPr="0054768A">
        <w:rPr>
          <w:lang w:val="en-GB" w:eastAsia="en-US"/>
        </w:rPr>
        <w:t>provides the definitions, terminology and abbreviations used in ITU T Recommendations on timing and synchronization in packet networks.</w:t>
      </w:r>
    </w:p>
    <w:p w14:paraId="3B74E7EA" w14:textId="1402F4C9" w:rsidR="001F1207" w:rsidRPr="001F1207" w:rsidRDefault="00E12FA7" w:rsidP="001F1207">
      <w:pPr>
        <w:rPr>
          <w:lang w:val="en-GB" w:eastAsia="en-US"/>
        </w:rPr>
      </w:pPr>
      <w:hyperlink r:id="rId226" w:history="1">
        <w:r w:rsidR="001F1207" w:rsidRPr="00B36FE5">
          <w:rPr>
            <w:rStyle w:val="Hyperlink"/>
            <w:b/>
            <w:lang w:val="en-GB" w:eastAsia="en-US"/>
          </w:rPr>
          <w:t>ITU-T G.8261/Y.1361 (2019) Amd.1 “Timing and synchronization aspects in packet networks - Amendment 1”</w:t>
        </w:r>
      </w:hyperlink>
      <w:r w:rsidR="001F1207">
        <w:rPr>
          <w:lang w:val="en-GB" w:eastAsia="en-US"/>
        </w:rPr>
        <w:t xml:space="preserve"> </w:t>
      </w:r>
      <w:r w:rsidR="001F1207" w:rsidRPr="001F1207">
        <w:rPr>
          <w:lang w:val="en-GB" w:eastAsia="en-US"/>
        </w:rPr>
        <w:t>provides the following updates:</w:t>
      </w:r>
    </w:p>
    <w:p w14:paraId="5201A731" w14:textId="7654A5F3" w:rsidR="001F1207" w:rsidRDefault="001F1207" w:rsidP="001F1207">
      <w:pPr>
        <w:rPr>
          <w:lang w:val="en-GB" w:eastAsia="en-US"/>
        </w:rPr>
      </w:pPr>
      <w:r w:rsidRPr="001F1207">
        <w:rPr>
          <w:lang w:val="en-GB" w:eastAsia="en-US"/>
        </w:rPr>
        <w:t>−</w:t>
      </w:r>
      <w:r w:rsidRPr="001F1207">
        <w:rPr>
          <w:lang w:val="en-GB" w:eastAsia="en-US"/>
        </w:rPr>
        <w:tab/>
        <w:t>Addition of new TDEV mask to clause 9.2.1.4.</w:t>
      </w:r>
    </w:p>
    <w:p w14:paraId="63FDAF81" w14:textId="7D6BDA2D" w:rsidR="00043944" w:rsidRPr="00043944" w:rsidRDefault="00E12FA7" w:rsidP="00043944">
      <w:pPr>
        <w:rPr>
          <w:lang w:val="en-GB" w:eastAsia="en-US"/>
        </w:rPr>
      </w:pPr>
      <w:hyperlink r:id="rId227" w:history="1">
        <w:r w:rsidR="00043944" w:rsidRPr="00CE7986">
          <w:rPr>
            <w:rStyle w:val="Hyperlink"/>
            <w:b/>
            <w:lang w:val="en-GB" w:eastAsia="en-US"/>
          </w:rPr>
          <w:t>ITU-T G.8262 (2018) Amd.1 “Timing characteristics of synchronous equipment slave clock - Amendment 1”</w:t>
        </w:r>
      </w:hyperlink>
      <w:r w:rsidR="00043944">
        <w:rPr>
          <w:lang w:val="en-GB" w:eastAsia="en-US"/>
        </w:rPr>
        <w:t xml:space="preserve"> </w:t>
      </w:r>
      <w:r w:rsidR="00043944" w:rsidRPr="00043944">
        <w:rPr>
          <w:lang w:val="en-GB" w:eastAsia="en-US"/>
        </w:rPr>
        <w:t>provides the following updates:</w:t>
      </w:r>
    </w:p>
    <w:p w14:paraId="1642CE38" w14:textId="77777777" w:rsidR="00043944" w:rsidRPr="00043944" w:rsidRDefault="00043944" w:rsidP="00043944">
      <w:pPr>
        <w:rPr>
          <w:lang w:val="en-GB" w:eastAsia="en-US"/>
        </w:rPr>
      </w:pPr>
      <w:r w:rsidRPr="00043944">
        <w:rPr>
          <w:lang w:val="en-GB" w:eastAsia="en-US"/>
        </w:rPr>
        <w:t>-</w:t>
      </w:r>
      <w:r w:rsidRPr="00043944">
        <w:rPr>
          <w:lang w:val="en-GB" w:eastAsia="en-US"/>
        </w:rPr>
        <w:tab/>
        <w:t>Updates References</w:t>
      </w:r>
    </w:p>
    <w:p w14:paraId="1BEDF278" w14:textId="77777777" w:rsidR="00043944" w:rsidRPr="00043944" w:rsidRDefault="00043944" w:rsidP="00043944">
      <w:pPr>
        <w:rPr>
          <w:lang w:val="en-GB" w:eastAsia="en-US"/>
        </w:rPr>
      </w:pPr>
      <w:r w:rsidRPr="00043944">
        <w:rPr>
          <w:lang w:val="en-GB" w:eastAsia="en-US"/>
        </w:rPr>
        <w:t>-</w:t>
      </w:r>
      <w:r w:rsidRPr="00043944">
        <w:rPr>
          <w:lang w:val="en-GB" w:eastAsia="en-US"/>
        </w:rPr>
        <w:tab/>
        <w:t>Adds a note in clause 9.2.1</w:t>
      </w:r>
    </w:p>
    <w:p w14:paraId="127B9AF2" w14:textId="77777777" w:rsidR="00043944" w:rsidRPr="00043944" w:rsidRDefault="00043944" w:rsidP="00043944">
      <w:pPr>
        <w:rPr>
          <w:lang w:val="en-GB" w:eastAsia="en-US"/>
        </w:rPr>
      </w:pPr>
      <w:r w:rsidRPr="00043944">
        <w:rPr>
          <w:lang w:val="en-GB" w:eastAsia="en-US"/>
        </w:rPr>
        <w:t>-</w:t>
      </w:r>
      <w:r w:rsidRPr="00043944">
        <w:rPr>
          <w:lang w:val="en-GB" w:eastAsia="en-US"/>
        </w:rPr>
        <w:tab/>
        <w:t>Changes Figure 13 in Clause 11.2.1</w:t>
      </w:r>
    </w:p>
    <w:p w14:paraId="2AF3F5FB" w14:textId="77777777" w:rsidR="00043944" w:rsidRPr="00043944" w:rsidRDefault="00043944" w:rsidP="00043944">
      <w:pPr>
        <w:rPr>
          <w:lang w:val="en-GB" w:eastAsia="en-US"/>
        </w:rPr>
      </w:pPr>
      <w:r w:rsidRPr="00043944">
        <w:rPr>
          <w:lang w:val="en-GB" w:eastAsia="en-US"/>
        </w:rPr>
        <w:t>-</w:t>
      </w:r>
      <w:r w:rsidRPr="00043944">
        <w:rPr>
          <w:lang w:val="en-GB" w:eastAsia="en-US"/>
        </w:rPr>
        <w:tab/>
        <w:t xml:space="preserve">Adds PAM4 interfaces in Appendix III </w:t>
      </w:r>
    </w:p>
    <w:p w14:paraId="2D274A96" w14:textId="4CEE2B14" w:rsidR="005D7533" w:rsidRDefault="00043944" w:rsidP="00043944">
      <w:pPr>
        <w:rPr>
          <w:lang w:val="en-GB" w:eastAsia="en-US"/>
        </w:rPr>
      </w:pPr>
      <w:r w:rsidRPr="00043944">
        <w:rPr>
          <w:lang w:val="en-GB" w:eastAsia="en-US"/>
        </w:rPr>
        <w:t>-</w:t>
      </w:r>
      <w:r w:rsidRPr="00043944">
        <w:rPr>
          <w:lang w:val="en-GB" w:eastAsia="en-US"/>
        </w:rPr>
        <w:tab/>
        <w:t>Adds a sentence in Appendix VII.</w:t>
      </w:r>
    </w:p>
    <w:p w14:paraId="67F78D15" w14:textId="371F73BE" w:rsidR="005D7533" w:rsidRDefault="00E12FA7" w:rsidP="005D7533">
      <w:pPr>
        <w:rPr>
          <w:lang w:val="en-GB" w:eastAsia="en-US"/>
        </w:rPr>
      </w:pPr>
      <w:hyperlink r:id="rId228" w:history="1">
        <w:r w:rsidR="005D7533" w:rsidRPr="002956E2">
          <w:rPr>
            <w:rStyle w:val="Hyperlink"/>
            <w:b/>
            <w:lang w:val="en-GB" w:eastAsia="en-US"/>
          </w:rPr>
          <w:t>ITU-T G.8271 (revised) “Time and phase synchronization aspects of telecommunication networks”</w:t>
        </w:r>
      </w:hyperlink>
      <w:r w:rsidR="005D7533" w:rsidRPr="00987791">
        <w:rPr>
          <w:bCs/>
          <w:lang w:val="en-GB" w:eastAsia="en-US"/>
        </w:rPr>
        <w:t xml:space="preserve"> </w:t>
      </w:r>
      <w:r w:rsidR="005D7533" w:rsidRPr="005D7533">
        <w:rPr>
          <w:lang w:val="en-GB" w:eastAsia="en-US"/>
        </w:rPr>
        <w:t>defines time and phase synchronization aspects in packet networks. It specifies the suitable methods to distribute the reference timing signals that can be used to recover the phase synchronization and/or time synchronization according to the required quality.</w:t>
      </w:r>
      <w:r w:rsidR="005D7533">
        <w:rPr>
          <w:lang w:val="en-GB" w:eastAsia="en-US"/>
        </w:rPr>
        <w:t xml:space="preserve"> </w:t>
      </w:r>
      <w:r w:rsidR="005D7533" w:rsidRPr="005D7533">
        <w:rPr>
          <w:lang w:val="en-GB" w:eastAsia="en-US"/>
        </w:rPr>
        <w:t>The requirements for the synchronization characteristics that are specified in this Recommendation must be adhered to in order to ensure interoperability of equipment produced by different manufacturers and a satisfactory network performance.</w:t>
      </w:r>
    </w:p>
    <w:p w14:paraId="14223886" w14:textId="763F343E" w:rsidR="009F6A3F" w:rsidRDefault="00E12FA7" w:rsidP="009F6A3F">
      <w:pPr>
        <w:rPr>
          <w:lang w:val="en-GB" w:eastAsia="en-US"/>
        </w:rPr>
      </w:pPr>
      <w:hyperlink r:id="rId229" w:history="1">
        <w:r w:rsidR="009F6A3F" w:rsidRPr="009D1893">
          <w:rPr>
            <w:rStyle w:val="Hyperlink"/>
            <w:b/>
            <w:lang w:val="en-GB" w:eastAsia="en-US"/>
          </w:rPr>
          <w:t xml:space="preserve">ITU-T G.8271.1/Y.1366.1 </w:t>
        </w:r>
        <w:r w:rsidR="00ED1FF3" w:rsidRPr="009D1893">
          <w:rPr>
            <w:rStyle w:val="Hyperlink"/>
            <w:b/>
            <w:lang w:val="en-GB" w:eastAsia="en-US"/>
          </w:rPr>
          <w:t xml:space="preserve">(revised) </w:t>
        </w:r>
        <w:r w:rsidR="009F6A3F" w:rsidRPr="009D1893">
          <w:rPr>
            <w:rStyle w:val="Hyperlink"/>
            <w:b/>
            <w:lang w:val="en-GB" w:eastAsia="en-US"/>
          </w:rPr>
          <w:t>“Network limits for time synchronization in packet networks with full timing support from the network”</w:t>
        </w:r>
      </w:hyperlink>
      <w:r w:rsidR="009F6A3F" w:rsidRPr="009D1893">
        <w:rPr>
          <w:lang w:val="en-GB" w:eastAsia="en-US"/>
        </w:rPr>
        <w:t xml:space="preserve"> specifies</w:t>
      </w:r>
      <w:r w:rsidR="009F6A3F" w:rsidRPr="009F6A3F">
        <w:rPr>
          <w:lang w:val="en-GB" w:eastAsia="en-US"/>
        </w:rPr>
        <w:t xml:space="preserve">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w:t>
      </w:r>
      <w:r w:rsidR="009F6A3F">
        <w:rPr>
          <w:lang w:val="en-GB" w:eastAsia="en-US"/>
        </w:rPr>
        <w:t xml:space="preserve"> </w:t>
      </w:r>
      <w:r w:rsidR="009F6A3F" w:rsidRPr="009F6A3F">
        <w:rPr>
          <w:lang w:val="en-GB" w:eastAsia="en-US"/>
        </w:rPr>
        <w:t>This Recommendation addresses the case of time and phase distribution across a network by a packet-based method with full timing support to the protocol level from the network.</w:t>
      </w:r>
    </w:p>
    <w:p w14:paraId="1E2751B8" w14:textId="4FF284C1" w:rsidR="00ED1FF3" w:rsidRPr="00ED1FF3" w:rsidRDefault="00E12FA7" w:rsidP="00ED1FF3">
      <w:pPr>
        <w:rPr>
          <w:lang w:val="en-GB" w:eastAsia="en-US"/>
        </w:rPr>
      </w:pPr>
      <w:hyperlink r:id="rId230" w:history="1">
        <w:r w:rsidR="00ED1FF3" w:rsidRPr="00C73C31">
          <w:rPr>
            <w:rStyle w:val="Hyperlink"/>
            <w:b/>
            <w:lang w:val="en-GB" w:eastAsia="en-US"/>
          </w:rPr>
          <w:t>ITU-T G.8272 (2018) Amd.1 “Timing characteristics of primary reference time clocks - Amendment 1”</w:t>
        </w:r>
      </w:hyperlink>
      <w:r w:rsidR="00ED1FF3">
        <w:rPr>
          <w:lang w:val="en-GB" w:eastAsia="en-US"/>
        </w:rPr>
        <w:t xml:space="preserve"> </w:t>
      </w:r>
      <w:r w:rsidR="00ED1FF3" w:rsidRPr="00ED1FF3">
        <w:rPr>
          <w:lang w:val="en-GB" w:eastAsia="en-US"/>
        </w:rPr>
        <w:t>provides the following updates:</w:t>
      </w:r>
    </w:p>
    <w:p w14:paraId="6576BBC9" w14:textId="77777777" w:rsidR="00ED1FF3" w:rsidRPr="00ED1FF3" w:rsidRDefault="00ED1FF3" w:rsidP="00ED1FF3">
      <w:pPr>
        <w:rPr>
          <w:lang w:val="en-GB" w:eastAsia="en-US"/>
        </w:rPr>
      </w:pPr>
      <w:r w:rsidRPr="00ED1FF3">
        <w:rPr>
          <w:lang w:val="en-GB" w:eastAsia="en-US"/>
        </w:rPr>
        <w:t>•</w:t>
      </w:r>
      <w:r w:rsidRPr="00ED1FF3">
        <w:rPr>
          <w:lang w:val="en-GB" w:eastAsia="en-US"/>
        </w:rPr>
        <w:tab/>
        <w:t>Modified the scope.</w:t>
      </w:r>
    </w:p>
    <w:p w14:paraId="170EF3DA" w14:textId="77777777" w:rsidR="00ED1FF3" w:rsidRPr="00ED1FF3" w:rsidRDefault="00ED1FF3" w:rsidP="00ED1FF3">
      <w:pPr>
        <w:rPr>
          <w:lang w:val="en-GB" w:eastAsia="en-US"/>
        </w:rPr>
      </w:pPr>
      <w:r w:rsidRPr="00ED1FF3">
        <w:rPr>
          <w:lang w:val="en-GB" w:eastAsia="en-US"/>
        </w:rPr>
        <w:t>•</w:t>
      </w:r>
      <w:r w:rsidRPr="00ED1FF3">
        <w:rPr>
          <w:lang w:val="en-GB" w:eastAsia="en-US"/>
        </w:rPr>
        <w:tab/>
        <w:t>In clause 6, amend the final sentence (immediately before clause 6.1) to read (insertions highlighted):</w:t>
      </w:r>
    </w:p>
    <w:p w14:paraId="5221CA86" w14:textId="77777777" w:rsidR="00ED1FF3" w:rsidRDefault="00ED1FF3" w:rsidP="00ED1FF3">
      <w:pPr>
        <w:rPr>
          <w:lang w:val="en-GB" w:eastAsia="en-US"/>
        </w:rPr>
      </w:pPr>
      <w:r w:rsidRPr="00ED1FF3">
        <w:rPr>
          <w:lang w:val="en-GB" w:eastAsia="en-US"/>
        </w:rPr>
        <w:t>•</w:t>
      </w:r>
      <w:r w:rsidRPr="00ED1FF3">
        <w:rPr>
          <w:lang w:val="en-GB" w:eastAsia="en-US"/>
        </w:rPr>
        <w:tab/>
        <w:t>In clause 6.2, new sente</w:t>
      </w:r>
      <w:r>
        <w:rPr>
          <w:lang w:val="en-GB" w:eastAsia="en-US"/>
        </w:rPr>
        <w:t>nce is added.</w:t>
      </w:r>
    </w:p>
    <w:p w14:paraId="438D27D6" w14:textId="6A9B0AD5" w:rsidR="00ED1FF3" w:rsidRDefault="00ED1FF3" w:rsidP="00ED1FF3">
      <w:pPr>
        <w:rPr>
          <w:lang w:val="en-GB" w:eastAsia="en-US"/>
        </w:rPr>
      </w:pPr>
      <w:r w:rsidRPr="00ED1FF3">
        <w:rPr>
          <w:lang w:val="en-GB" w:eastAsia="en-US"/>
        </w:rPr>
        <w:t>•</w:t>
      </w:r>
      <w:r w:rsidRPr="00ED1FF3">
        <w:rPr>
          <w:lang w:val="en-GB" w:eastAsia="en-US"/>
        </w:rPr>
        <w:tab/>
        <w:t>Replace the second paragraph after Figure I.4 of clause I.3.1.</w:t>
      </w:r>
    </w:p>
    <w:p w14:paraId="7323320E" w14:textId="6D3DBC8A" w:rsidR="00712687" w:rsidRPr="00712687" w:rsidRDefault="00E12FA7" w:rsidP="00712687">
      <w:pPr>
        <w:rPr>
          <w:lang w:val="en-GB" w:eastAsia="en-US"/>
        </w:rPr>
      </w:pPr>
      <w:hyperlink r:id="rId231" w:history="1">
        <w:r w:rsidR="00712687" w:rsidRPr="00F11331">
          <w:rPr>
            <w:rStyle w:val="Hyperlink"/>
            <w:b/>
            <w:lang w:val="en-GB" w:eastAsia="en-US"/>
          </w:rPr>
          <w:t>ITU-T G.8273 (2018) Amd.1 “Framework of phase and time clocks - Amendment 1”</w:t>
        </w:r>
      </w:hyperlink>
      <w:r w:rsidR="00712687" w:rsidRPr="00E0629B">
        <w:rPr>
          <w:bCs/>
          <w:lang w:val="en-GB" w:eastAsia="en-US"/>
        </w:rPr>
        <w:t xml:space="preserve"> </w:t>
      </w:r>
      <w:r w:rsidR="00712687" w:rsidRPr="00712687">
        <w:rPr>
          <w:lang w:val="en-GB" w:eastAsia="en-US"/>
        </w:rPr>
        <w:t>provides the following updates:</w:t>
      </w:r>
    </w:p>
    <w:p w14:paraId="284427B7" w14:textId="77777777" w:rsidR="00712687" w:rsidRPr="00712687" w:rsidRDefault="00712687" w:rsidP="00712687">
      <w:pPr>
        <w:rPr>
          <w:lang w:val="en-GB" w:eastAsia="en-US"/>
        </w:rPr>
      </w:pPr>
      <w:r w:rsidRPr="00712687">
        <w:rPr>
          <w:lang w:val="en-GB" w:eastAsia="en-US"/>
        </w:rPr>
        <w:t>−</w:t>
      </w:r>
      <w:r w:rsidRPr="00712687">
        <w:rPr>
          <w:lang w:val="en-GB" w:eastAsia="en-US"/>
        </w:rPr>
        <w:tab/>
        <w:t>Updates References</w:t>
      </w:r>
    </w:p>
    <w:p w14:paraId="59B46F38" w14:textId="77777777" w:rsidR="00712687" w:rsidRPr="00712687" w:rsidRDefault="00712687" w:rsidP="00712687">
      <w:pPr>
        <w:rPr>
          <w:lang w:val="en-GB" w:eastAsia="en-US"/>
        </w:rPr>
      </w:pPr>
      <w:r w:rsidRPr="00712687">
        <w:rPr>
          <w:lang w:val="en-GB" w:eastAsia="en-US"/>
        </w:rPr>
        <w:t>−</w:t>
      </w:r>
      <w:r w:rsidRPr="00712687">
        <w:rPr>
          <w:lang w:val="en-GB" w:eastAsia="en-US"/>
        </w:rPr>
        <w:tab/>
        <w:t>Adds Appendix IV</w:t>
      </w:r>
    </w:p>
    <w:p w14:paraId="58FB71B5" w14:textId="36ED0FC3" w:rsidR="00712687" w:rsidRDefault="00712687" w:rsidP="00712687">
      <w:pPr>
        <w:rPr>
          <w:lang w:val="en-GB" w:eastAsia="en-US"/>
        </w:rPr>
      </w:pPr>
      <w:r w:rsidRPr="00712687">
        <w:rPr>
          <w:lang w:val="en-GB" w:eastAsia="en-US"/>
        </w:rPr>
        <w:t>−</w:t>
      </w:r>
      <w:r w:rsidRPr="00712687">
        <w:rPr>
          <w:lang w:val="en-GB" w:eastAsia="en-US"/>
        </w:rPr>
        <w:tab/>
        <w:t>Editorial changes in Annex B and minor edits throughout the document.</w:t>
      </w:r>
    </w:p>
    <w:p w14:paraId="3C450C3C" w14:textId="075F90C2" w:rsidR="00D83261" w:rsidRPr="00D83261" w:rsidRDefault="00E12FA7" w:rsidP="00D83261">
      <w:pPr>
        <w:rPr>
          <w:lang w:val="en-GB" w:eastAsia="en-US"/>
        </w:rPr>
      </w:pPr>
      <w:hyperlink r:id="rId232" w:history="1">
        <w:r w:rsidR="00D83261" w:rsidRPr="00430981">
          <w:rPr>
            <w:rStyle w:val="Hyperlink"/>
            <w:b/>
            <w:lang w:val="en-GB" w:eastAsia="en-US"/>
          </w:rPr>
          <w:t xml:space="preserve">ITU-T G.8273.2/Y.1368.2 Amd.1 </w:t>
        </w:r>
        <w:r w:rsidR="00F96304" w:rsidRPr="00430981">
          <w:rPr>
            <w:rStyle w:val="Hyperlink"/>
            <w:b/>
            <w:lang w:val="en-GB" w:eastAsia="en-US"/>
          </w:rPr>
          <w:t xml:space="preserve">(revised) </w:t>
        </w:r>
        <w:r w:rsidR="00D83261" w:rsidRPr="00430981">
          <w:rPr>
            <w:rStyle w:val="Hyperlink"/>
            <w:b/>
            <w:lang w:val="en-GB" w:eastAsia="en-US"/>
          </w:rPr>
          <w:t>“Timing characteristics of telecom boundary clocks and telecom time slave clocks for use with full timing support from the network - Amendment 1”</w:t>
        </w:r>
      </w:hyperlink>
      <w:r w:rsidR="00D83261" w:rsidRPr="00361960">
        <w:rPr>
          <w:lang w:val="en-GB" w:eastAsia="en-US"/>
        </w:rPr>
        <w:t xml:space="preserve"> </w:t>
      </w:r>
      <w:r w:rsidR="00D83261" w:rsidRPr="00D83261">
        <w:rPr>
          <w:lang w:val="en-GB" w:eastAsia="en-US"/>
        </w:rPr>
        <w:t>provides the following updates:</w:t>
      </w:r>
    </w:p>
    <w:p w14:paraId="3FF330CA" w14:textId="77777777" w:rsidR="00D83261" w:rsidRPr="00D83261" w:rsidRDefault="00D83261" w:rsidP="00D83261">
      <w:pPr>
        <w:rPr>
          <w:lang w:val="en-GB" w:eastAsia="en-US"/>
        </w:rPr>
      </w:pPr>
      <w:r w:rsidRPr="00D83261">
        <w:rPr>
          <w:lang w:val="en-GB" w:eastAsia="en-US"/>
        </w:rPr>
        <w:t>−</w:t>
      </w:r>
      <w:r w:rsidRPr="00D83261">
        <w:rPr>
          <w:lang w:val="en-GB" w:eastAsia="en-US"/>
        </w:rPr>
        <w:tab/>
        <w:t>Updates the title of the recommendation</w:t>
      </w:r>
    </w:p>
    <w:p w14:paraId="6FA38ACC" w14:textId="77777777" w:rsidR="00D83261" w:rsidRPr="00D83261" w:rsidRDefault="00D83261" w:rsidP="00D83261">
      <w:pPr>
        <w:rPr>
          <w:lang w:val="en-GB" w:eastAsia="en-US"/>
        </w:rPr>
      </w:pPr>
      <w:r w:rsidRPr="00D83261">
        <w:rPr>
          <w:lang w:val="en-GB" w:eastAsia="en-US"/>
        </w:rPr>
        <w:t>−</w:t>
      </w:r>
      <w:r w:rsidRPr="00D83261">
        <w:rPr>
          <w:lang w:val="en-GB" w:eastAsia="en-US"/>
        </w:rPr>
        <w:tab/>
        <w:t>Updates References</w:t>
      </w:r>
    </w:p>
    <w:p w14:paraId="7010B702" w14:textId="77777777" w:rsidR="00D83261" w:rsidRPr="00D83261" w:rsidRDefault="00D83261" w:rsidP="00D83261">
      <w:pPr>
        <w:rPr>
          <w:lang w:val="en-GB" w:eastAsia="en-US"/>
        </w:rPr>
      </w:pPr>
      <w:r w:rsidRPr="00D83261">
        <w:rPr>
          <w:lang w:val="en-GB" w:eastAsia="en-US"/>
        </w:rPr>
        <w:t>−</w:t>
      </w:r>
      <w:r w:rsidRPr="00D83261">
        <w:rPr>
          <w:lang w:val="en-GB" w:eastAsia="en-US"/>
        </w:rPr>
        <w:tab/>
        <w:t>Adds a Note in clause 7.1.1</w:t>
      </w:r>
    </w:p>
    <w:p w14:paraId="4C49AE27" w14:textId="77777777" w:rsidR="00D83261" w:rsidRPr="00D83261" w:rsidRDefault="00D83261" w:rsidP="00D83261">
      <w:pPr>
        <w:rPr>
          <w:lang w:val="en-GB" w:eastAsia="en-US"/>
        </w:rPr>
      </w:pPr>
      <w:r w:rsidRPr="00D83261">
        <w:rPr>
          <w:lang w:val="en-GB" w:eastAsia="en-US"/>
        </w:rPr>
        <w:t>−</w:t>
      </w:r>
      <w:r w:rsidRPr="00D83261">
        <w:rPr>
          <w:lang w:val="en-GB" w:eastAsia="en-US"/>
        </w:rPr>
        <w:tab/>
        <w:t>Adds a reference to [ITU-T G.8260] and a Note in clause 7.1.4</w:t>
      </w:r>
    </w:p>
    <w:p w14:paraId="41AAF3B2" w14:textId="77777777" w:rsidR="00D83261" w:rsidRPr="00D83261" w:rsidRDefault="00D83261" w:rsidP="00D83261">
      <w:pPr>
        <w:rPr>
          <w:lang w:val="en-GB" w:eastAsia="en-US"/>
        </w:rPr>
      </w:pPr>
      <w:r w:rsidRPr="00D83261">
        <w:rPr>
          <w:lang w:val="en-GB" w:eastAsia="en-US"/>
        </w:rPr>
        <w:lastRenderedPageBreak/>
        <w:t>−</w:t>
      </w:r>
      <w:r w:rsidRPr="00D83261">
        <w:rPr>
          <w:lang w:val="en-GB" w:eastAsia="en-US"/>
        </w:rPr>
        <w:tab/>
        <w:t>Adds Noise tolerance for clock class C</w:t>
      </w:r>
    </w:p>
    <w:p w14:paraId="5653D239" w14:textId="77777777" w:rsidR="00D83261" w:rsidRPr="00D83261" w:rsidRDefault="00D83261" w:rsidP="00D83261">
      <w:pPr>
        <w:rPr>
          <w:lang w:val="en-GB" w:eastAsia="en-US"/>
        </w:rPr>
      </w:pPr>
      <w:r w:rsidRPr="00D83261">
        <w:rPr>
          <w:lang w:val="en-GB" w:eastAsia="en-US"/>
        </w:rPr>
        <w:t>−</w:t>
      </w:r>
      <w:r w:rsidRPr="00D83261">
        <w:rPr>
          <w:lang w:val="en-GB" w:eastAsia="en-US"/>
        </w:rPr>
        <w:tab/>
        <w:t>Makes editorial changes and updated Appendix V for T-BC chains</w:t>
      </w:r>
    </w:p>
    <w:p w14:paraId="3F828262" w14:textId="29A7AAAD" w:rsidR="00D83261" w:rsidRDefault="00D83261" w:rsidP="00D83261">
      <w:pPr>
        <w:rPr>
          <w:lang w:val="en-GB" w:eastAsia="en-US"/>
        </w:rPr>
      </w:pPr>
      <w:r w:rsidRPr="00D83261">
        <w:rPr>
          <w:lang w:val="en-GB" w:eastAsia="en-US"/>
        </w:rPr>
        <w:t>−</w:t>
      </w:r>
      <w:r w:rsidRPr="00D83261">
        <w:rPr>
          <w:lang w:val="en-GB" w:eastAsia="en-US"/>
        </w:rPr>
        <w:tab/>
        <w:t>Changes 1 PPS to 1PPS (without space) throughout the Recommendation.</w:t>
      </w:r>
    </w:p>
    <w:p w14:paraId="204B7941" w14:textId="3A6DE78D" w:rsidR="00F96304" w:rsidRDefault="00E12FA7" w:rsidP="00F96304">
      <w:pPr>
        <w:rPr>
          <w:lang w:val="en-GB" w:eastAsia="en-US"/>
        </w:rPr>
      </w:pPr>
      <w:hyperlink r:id="rId233" w:history="1">
        <w:r w:rsidR="00F96304" w:rsidRPr="009426DB">
          <w:rPr>
            <w:rStyle w:val="Hyperlink"/>
            <w:b/>
            <w:lang w:val="en-GB" w:eastAsia="en-US"/>
          </w:rPr>
          <w:t>ITU-T G.8273.4/Y.1368.4 “Timing characteristics of telecom boundary clocks and telecom time slave clocks for use with partial timing support from the network”</w:t>
        </w:r>
      </w:hyperlink>
      <w:r w:rsidR="00F96304">
        <w:rPr>
          <w:lang w:val="en-GB" w:eastAsia="en-US"/>
        </w:rPr>
        <w:t xml:space="preserve"> </w:t>
      </w:r>
      <w:r w:rsidR="00F96304" w:rsidRPr="00F96304">
        <w:rPr>
          <w:lang w:val="en-GB" w:eastAsia="en-US"/>
        </w:rPr>
        <w:t>specifies minimum requirements for time and phase synchronization equipment used in synchronization network that operates in the assisted partial timing support (APTS) and partial timing support (PTS) architectures.</w:t>
      </w:r>
    </w:p>
    <w:p w14:paraId="6AA8F28D" w14:textId="4B07320F" w:rsidR="00971855" w:rsidRDefault="00E12FA7" w:rsidP="00971855">
      <w:pPr>
        <w:rPr>
          <w:lang w:val="en-GB" w:eastAsia="en-US"/>
        </w:rPr>
      </w:pPr>
      <w:hyperlink r:id="rId234" w:history="1">
        <w:r w:rsidR="00971855" w:rsidRPr="0084022C">
          <w:rPr>
            <w:rStyle w:val="Hyperlink"/>
            <w:b/>
            <w:lang w:val="en-GB" w:eastAsia="en-US"/>
          </w:rPr>
          <w:t xml:space="preserve">ITU-T G.8275.1/Y.1369.1 </w:t>
        </w:r>
        <w:r w:rsidR="000E4F2B" w:rsidRPr="0084022C">
          <w:rPr>
            <w:rStyle w:val="Hyperlink"/>
            <w:b/>
            <w:lang w:val="en-GB" w:eastAsia="en-US"/>
          </w:rPr>
          <w:t xml:space="preserve">(revised) </w:t>
        </w:r>
        <w:r w:rsidR="00971855" w:rsidRPr="0084022C">
          <w:rPr>
            <w:rStyle w:val="Hyperlink"/>
            <w:b/>
            <w:lang w:val="en-GB" w:eastAsia="en-US"/>
          </w:rPr>
          <w:t>“Precision time protocol telecom profile for phase/time synchronization with full timing support from the network”</w:t>
        </w:r>
      </w:hyperlink>
      <w:r w:rsidR="00971855" w:rsidRPr="0084022C">
        <w:rPr>
          <w:lang w:val="en-GB" w:eastAsia="en-US"/>
        </w:rPr>
        <w:t xml:space="preserve"> contains the ITU-T precision time protocol (PTP) profile for phase and time distribution with full timing support from the network. It provides the necessary details to utilize IEEE 1588 in a manner consistent with the architecture described in Recommendation ITU T G.8275/Y.1369.</w:t>
      </w:r>
    </w:p>
    <w:p w14:paraId="425EA571" w14:textId="1F9DECEA" w:rsidR="000E4F2B" w:rsidRDefault="00E12FA7" w:rsidP="000E4F2B">
      <w:pPr>
        <w:rPr>
          <w:lang w:val="en-GB" w:eastAsia="en-US"/>
        </w:rPr>
      </w:pPr>
      <w:hyperlink r:id="rId235" w:history="1">
        <w:r w:rsidR="000E4F2B" w:rsidRPr="00696B8C">
          <w:rPr>
            <w:rStyle w:val="Hyperlink"/>
            <w:b/>
            <w:lang w:val="en-GB" w:eastAsia="en-US"/>
          </w:rPr>
          <w:t xml:space="preserve">ITU-T G.8275.2/Y.1369.2 </w:t>
        </w:r>
        <w:r w:rsidR="00E80E2C" w:rsidRPr="00696B8C">
          <w:rPr>
            <w:rStyle w:val="Hyperlink"/>
            <w:b/>
            <w:lang w:val="en-GB" w:eastAsia="en-US"/>
          </w:rPr>
          <w:t xml:space="preserve">(revised) </w:t>
        </w:r>
        <w:r w:rsidR="000E4F2B" w:rsidRPr="00696B8C">
          <w:rPr>
            <w:rStyle w:val="Hyperlink"/>
            <w:b/>
            <w:lang w:val="en-GB" w:eastAsia="en-US"/>
          </w:rPr>
          <w:t>“Precision time protocol telecom profile for phase/time synchronization with partial timing support from the network”</w:t>
        </w:r>
      </w:hyperlink>
      <w:r w:rsidR="000E4F2B">
        <w:rPr>
          <w:lang w:val="en-GB" w:eastAsia="en-US"/>
        </w:rPr>
        <w:t xml:space="preserve"> </w:t>
      </w:r>
      <w:r w:rsidR="000E4F2B" w:rsidRPr="000E4F2B">
        <w:rPr>
          <w:lang w:val="en-GB" w:eastAsia="en-US"/>
        </w:rPr>
        <w:t xml:space="preserve">contains the ITU-T precision time protocol (PTP) profile for phase/time distribution with partial timing support from the network (unicast mode). It provides the necessary details to utilize IEEE 1588 in a manner consistent with the architecture described </w:t>
      </w:r>
      <w:r w:rsidR="000E4F2B">
        <w:rPr>
          <w:lang w:val="en-GB" w:eastAsia="en-US"/>
        </w:rPr>
        <w:t>in Recommendation ITU-T G.</w:t>
      </w:r>
      <w:r w:rsidR="000E4F2B" w:rsidRPr="000E4F2B">
        <w:rPr>
          <w:lang w:val="en-GB" w:eastAsia="en-US"/>
        </w:rPr>
        <w:t>8275/Y.1369. This Recommendation defines the PTP profile for unicast mode only. Future editions of this Recommendation may contain a separate profile for a mixed unicast/multicast case.</w:t>
      </w:r>
    </w:p>
    <w:p w14:paraId="0640DB5C" w14:textId="2AA3032B" w:rsidR="00D1448E" w:rsidRPr="005D7533" w:rsidRDefault="00E12FA7" w:rsidP="00D1448E">
      <w:pPr>
        <w:rPr>
          <w:lang w:val="en-GB" w:eastAsia="en-US"/>
        </w:rPr>
      </w:pPr>
      <w:hyperlink r:id="rId236" w:history="1">
        <w:r w:rsidR="00D1448E" w:rsidRPr="00717ADB">
          <w:rPr>
            <w:rStyle w:val="Hyperlink"/>
            <w:b/>
            <w:lang w:val="en-GB" w:eastAsia="en-US"/>
          </w:rPr>
          <w:t>ITU-T G.Sup.</w:t>
        </w:r>
        <w:r w:rsidR="00717ADB" w:rsidRPr="00717ADB">
          <w:rPr>
            <w:rStyle w:val="Hyperlink"/>
            <w:b/>
            <w:lang w:val="en-GB" w:eastAsia="en-US"/>
          </w:rPr>
          <w:t>68</w:t>
        </w:r>
        <w:r w:rsidR="00D1448E" w:rsidRPr="00717ADB">
          <w:rPr>
            <w:rStyle w:val="Hyperlink"/>
            <w:b/>
            <w:lang w:val="en-GB" w:eastAsia="en-US"/>
          </w:rPr>
          <w:t xml:space="preserve"> “Synchronization OAM requirements”</w:t>
        </w:r>
      </w:hyperlink>
      <w:r w:rsidR="00D1448E">
        <w:rPr>
          <w:lang w:val="en-GB" w:eastAsia="en-US"/>
        </w:rPr>
        <w:t xml:space="preserve"> </w:t>
      </w:r>
      <w:r w:rsidR="00D1448E" w:rsidRPr="00D1448E">
        <w:rPr>
          <w:lang w:val="en-GB" w:eastAsia="en-US"/>
        </w:rPr>
        <w:t>provides an overview of Synchronization operations, administration, maintenance (OAM), includes fault management, performance monitoring, alarms and events.</w:t>
      </w:r>
    </w:p>
    <w:p w14:paraId="5239B3A7" w14:textId="73709898" w:rsidR="00CF3F61" w:rsidRDefault="00E12FA7" w:rsidP="00CF3F61">
      <w:pPr>
        <w:rPr>
          <w:lang w:val="en-GB" w:eastAsia="en-US"/>
        </w:rPr>
      </w:pPr>
      <w:hyperlink r:id="rId237" w:history="1">
        <w:r w:rsidR="00CF3F61" w:rsidRPr="00253029">
          <w:rPr>
            <w:rStyle w:val="Hyperlink"/>
            <w:b/>
            <w:lang w:val="en-GB" w:eastAsia="en-US"/>
          </w:rPr>
          <w:t xml:space="preserve">ITU-T Technical Report GSTR-GNSS “Considerations on the </w:t>
        </w:r>
        <w:r w:rsidR="00253029" w:rsidRPr="00253029">
          <w:rPr>
            <w:rStyle w:val="Hyperlink"/>
            <w:b/>
            <w:lang w:val="en-GB" w:eastAsia="en-US"/>
          </w:rPr>
          <w:t>u</w:t>
        </w:r>
        <w:r w:rsidR="00CF3F61" w:rsidRPr="00253029">
          <w:rPr>
            <w:rStyle w:val="Hyperlink"/>
            <w:b/>
            <w:lang w:val="en-GB" w:eastAsia="en-US"/>
          </w:rPr>
          <w:t xml:space="preserve">se of GNSS as a </w:t>
        </w:r>
        <w:r w:rsidR="00253029" w:rsidRPr="00253029">
          <w:rPr>
            <w:rStyle w:val="Hyperlink"/>
            <w:b/>
            <w:lang w:val="en-GB" w:eastAsia="en-US"/>
          </w:rPr>
          <w:t>p</w:t>
        </w:r>
        <w:r w:rsidR="00CF3F61" w:rsidRPr="00253029">
          <w:rPr>
            <w:rStyle w:val="Hyperlink"/>
            <w:b/>
            <w:lang w:val="en-GB" w:eastAsia="en-US"/>
          </w:rPr>
          <w:t xml:space="preserve">rimary </w:t>
        </w:r>
        <w:r w:rsidR="00253029" w:rsidRPr="00253029">
          <w:rPr>
            <w:rStyle w:val="Hyperlink"/>
            <w:b/>
            <w:lang w:val="en-GB" w:eastAsia="en-US"/>
          </w:rPr>
          <w:t>t</w:t>
        </w:r>
        <w:r w:rsidR="00CF3F61" w:rsidRPr="00253029">
          <w:rPr>
            <w:rStyle w:val="Hyperlink"/>
            <w:b/>
            <w:lang w:val="en-GB" w:eastAsia="en-US"/>
          </w:rPr>
          <w:t xml:space="preserve">ime </w:t>
        </w:r>
        <w:r w:rsidR="00253029" w:rsidRPr="00253029">
          <w:rPr>
            <w:rStyle w:val="Hyperlink"/>
            <w:b/>
            <w:lang w:val="en-GB" w:eastAsia="en-US"/>
          </w:rPr>
          <w:t>r</w:t>
        </w:r>
        <w:r w:rsidR="00CF3F61" w:rsidRPr="00253029">
          <w:rPr>
            <w:rStyle w:val="Hyperlink"/>
            <w:b/>
            <w:lang w:val="en-GB" w:eastAsia="en-US"/>
          </w:rPr>
          <w:t xml:space="preserve">eference in </w:t>
        </w:r>
        <w:r w:rsidR="00253029" w:rsidRPr="00253029">
          <w:rPr>
            <w:rStyle w:val="Hyperlink"/>
            <w:b/>
            <w:lang w:val="en-GB" w:eastAsia="en-US"/>
          </w:rPr>
          <w:t>t</w:t>
        </w:r>
        <w:r w:rsidR="00CF3F61" w:rsidRPr="00253029">
          <w:rPr>
            <w:rStyle w:val="Hyperlink"/>
            <w:b/>
            <w:lang w:val="en-GB" w:eastAsia="en-US"/>
          </w:rPr>
          <w:t>elecommunications</w:t>
        </w:r>
        <w:r w:rsidR="00CF3F61" w:rsidRPr="00253029">
          <w:rPr>
            <w:rStyle w:val="Hyperlink"/>
            <w:lang w:val="en-GB" w:eastAsia="en-US"/>
          </w:rPr>
          <w:t>”</w:t>
        </w:r>
      </w:hyperlink>
      <w:r w:rsidR="00CF3F61">
        <w:rPr>
          <w:lang w:val="en-GB" w:eastAsia="en-US"/>
        </w:rPr>
        <w:t xml:space="preserve"> </w:t>
      </w:r>
      <w:r w:rsidR="00CF3F61" w:rsidRPr="00CF3F61">
        <w:rPr>
          <w:lang w:val="en-GB" w:eastAsia="en-US"/>
        </w:rPr>
        <w:t>provides information relevant to optimal GNSS reception in telecom applications where highly accurate time recovery is critical. Unlike commonly used GNSS navigation applications, where position is the goal, the focus in telecom is on accurate time recovery with stationary receivers, which provide accurate time to such equipment as primary reference time clocks (PRTCs) and base stations in mobile networks.</w:t>
      </w:r>
    </w:p>
    <w:p w14:paraId="3D8AFA09" w14:textId="77777777" w:rsidR="006A46AE" w:rsidRPr="001E0821" w:rsidRDefault="006A46AE" w:rsidP="006A46AE">
      <w:pPr>
        <w:pStyle w:val="Headingb"/>
      </w:pPr>
      <w:r w:rsidRPr="001E0821">
        <w:t>I.1.10</w:t>
      </w:r>
      <w:r w:rsidRPr="001E0821">
        <w:tab/>
        <w:t>Cable</w:t>
      </w:r>
      <w:bookmarkEnd w:id="234"/>
    </w:p>
    <w:p w14:paraId="0971CD41" w14:textId="3A76D47F" w:rsidR="001E0821" w:rsidRDefault="00E12FA7" w:rsidP="001E0821">
      <w:hyperlink r:id="rId238" w:history="1">
        <w:r w:rsidR="001E0821" w:rsidRPr="00223A61">
          <w:rPr>
            <w:rStyle w:val="Hyperlink"/>
            <w:b/>
            <w:bCs/>
          </w:rPr>
          <w:t>ITU-T J.1 (revised) “Terms, definitions and acronyms for television and sound transmission and integrated broadband cable networks”</w:t>
        </w:r>
      </w:hyperlink>
      <w:r w:rsidR="001E0821" w:rsidRPr="00223A61">
        <w:t xml:space="preserve"> compiles all the definitions related to television and sound transmission, and integrated broadband cable networks, and which are in force in J-series and N-series Recommendations developed under the responsibility of SG9. The Recommendation is regularly updated to reflect newly-approved terms and definitions.</w:t>
      </w:r>
    </w:p>
    <w:p w14:paraId="1CCB4D4E" w14:textId="72CA3CDD" w:rsidR="00F55069" w:rsidRDefault="00E12FA7" w:rsidP="00F55069">
      <w:hyperlink r:id="rId239" w:history="1">
        <w:r w:rsidR="00F55069" w:rsidRPr="00223A61">
          <w:rPr>
            <w:rStyle w:val="Hyperlink"/>
            <w:b/>
            <w:bCs/>
          </w:rPr>
          <w:t>ITU-T J.216 (revised) “Second-generation modular headend architecture in systems for interactive cable television services - IP cable modems”</w:t>
        </w:r>
      </w:hyperlink>
      <w:r w:rsidR="00F55069">
        <w:t xml:space="preserve"> defines the second generation of headend architectures for high-speed data-over-cable systems. The second-generation of headend architecture introduces a number of new features that build upon what was present in previous Cabinet DOCSIS Recommendations ITU-T J.223.1 and ITU-T J.223.2. This Recommendation includes key new features for the CMC III device (also known as the remote-PHY device).</w:t>
      </w:r>
    </w:p>
    <w:p w14:paraId="3E61680D" w14:textId="28E3BAC5" w:rsidR="00F55069" w:rsidRDefault="00F55069" w:rsidP="00F55069">
      <w:pPr>
        <w:rPr>
          <w:sz w:val="22"/>
          <w:szCs w:val="22"/>
        </w:rPr>
      </w:pPr>
      <w:r w:rsidRPr="00F55069">
        <w:rPr>
          <w:sz w:val="22"/>
          <w:szCs w:val="22"/>
        </w:rPr>
        <w:t>NOTE – The structure and content of this Recommendation have been organized for ease of use through direct reference to the original source material, based on the recognition of CableLabs by ITU as an ITU-T A.5 organization (</w:t>
      </w:r>
      <w:hyperlink r:id="rId240" w:history="1">
        <w:r w:rsidR="00FB4BB2" w:rsidRPr="00127FBB">
          <w:rPr>
            <w:rStyle w:val="Hyperlink"/>
            <w:sz w:val="22"/>
            <w:szCs w:val="22"/>
          </w:rPr>
          <w:t>https://www.itu.int/en/ITU-T/extcoop/Pages/sdo.aspx</w:t>
        </w:r>
      </w:hyperlink>
      <w:r w:rsidRPr="00F55069">
        <w:rPr>
          <w:sz w:val="22"/>
          <w:szCs w:val="22"/>
        </w:rPr>
        <w:t>).</w:t>
      </w:r>
    </w:p>
    <w:p w14:paraId="279A2B5F" w14:textId="61739C65" w:rsidR="00FB4BB2" w:rsidRPr="00FB4BB2" w:rsidRDefault="00E12FA7" w:rsidP="00FB4BB2">
      <w:pPr>
        <w:rPr>
          <w:szCs w:val="24"/>
        </w:rPr>
      </w:pPr>
      <w:hyperlink r:id="rId241" w:history="1">
        <w:r w:rsidR="00FB4BB2" w:rsidRPr="00223A61">
          <w:rPr>
            <w:rStyle w:val="Hyperlink"/>
            <w:b/>
            <w:bCs/>
            <w:szCs w:val="24"/>
          </w:rPr>
          <w:t>ITU-T J.224 (revised) “Fifth-generation transmission systems for interactive cable television services - IP cable modems”</w:t>
        </w:r>
      </w:hyperlink>
      <w:r w:rsidR="00FB4BB2" w:rsidRPr="00FB4BB2">
        <w:rPr>
          <w:b/>
          <w:bCs/>
          <w:szCs w:val="24"/>
        </w:rPr>
        <w:t xml:space="preserve"> </w:t>
      </w:r>
      <w:r w:rsidR="00FB4BB2" w:rsidRPr="00FB4BB2">
        <w:rPr>
          <w:szCs w:val="24"/>
        </w:rPr>
        <w:t>defines the fifth generation of high-speed data-over-cable systems. The fifth-generation transmission systems introduce a number of new features that build upon what was present in previous ITU-T Recommendations namely ITU-T J.112, ITU-T J.122, ITU-T J.222.x-series, and ITU-T J.223.x-series. This Recommendation includes key new features for the physical (PHY) layer and defines full duplex data over cable service interface Specification (DOCSIS) mode of operation, including enhancements to the media access control (MAC) layer protocols as well as requirements for upper layer protocols such as Internet protocol (IP), dynamic host configuration protocol (DHCP), etc. The fifth-generation cable modem specifications fully incorporate the fourth generation specifications.</w:t>
      </w:r>
    </w:p>
    <w:p w14:paraId="607E96C7" w14:textId="70AE0189" w:rsidR="00FB4BB2" w:rsidRDefault="00FB4BB2" w:rsidP="00FB4BB2">
      <w:pPr>
        <w:rPr>
          <w:sz w:val="22"/>
          <w:szCs w:val="22"/>
        </w:rPr>
      </w:pPr>
      <w:r w:rsidRPr="00FB4BB2">
        <w:rPr>
          <w:sz w:val="22"/>
          <w:szCs w:val="22"/>
        </w:rPr>
        <w:t>NOTE – The structure and content of this Recommendation have been organized for ease of use through direct reference to the original source material, based on the recognition of CableLabs by ITU as an A.5 organization (</w:t>
      </w:r>
      <w:hyperlink r:id="rId242" w:history="1">
        <w:r w:rsidR="006C27B1" w:rsidRPr="00127FBB">
          <w:rPr>
            <w:rStyle w:val="Hyperlink"/>
            <w:sz w:val="22"/>
            <w:szCs w:val="22"/>
          </w:rPr>
          <w:t>https://www.itu.int/en/ITU-T/extcoop/Pages/sdo.aspx</w:t>
        </w:r>
      </w:hyperlink>
      <w:r w:rsidRPr="00FB4BB2">
        <w:rPr>
          <w:sz w:val="22"/>
          <w:szCs w:val="22"/>
        </w:rPr>
        <w:t>).</w:t>
      </w:r>
    </w:p>
    <w:p w14:paraId="6078C8D5" w14:textId="4287A251" w:rsidR="006C27B1" w:rsidRPr="006C27B1" w:rsidRDefault="00E12FA7" w:rsidP="006C27B1">
      <w:pPr>
        <w:rPr>
          <w:szCs w:val="24"/>
        </w:rPr>
      </w:pPr>
      <w:hyperlink r:id="rId243" w:history="1">
        <w:r w:rsidR="006C27B1" w:rsidRPr="008A5780">
          <w:rPr>
            <w:rStyle w:val="Hyperlink"/>
            <w:b/>
            <w:bCs/>
            <w:szCs w:val="24"/>
          </w:rPr>
          <w:t>ITU-T J.225 “Fourth-generation transmission systems for interactive cable television services - IP cable modems”</w:t>
        </w:r>
      </w:hyperlink>
      <w:r w:rsidR="006C27B1" w:rsidRPr="008A5780">
        <w:rPr>
          <w:szCs w:val="24"/>
        </w:rPr>
        <w:t xml:space="preserve"> defi</w:t>
      </w:r>
      <w:r w:rsidR="006C27B1" w:rsidRPr="006C27B1">
        <w:rPr>
          <w:szCs w:val="24"/>
        </w:rPr>
        <w:t>nes the fourth generation of high-speed data-over-cable systems. The fourth-generation transmission systems introduce a number of new features that build upon what was present in previous Recommendations [ITU-T J.112], [ITU-T J.122], [ITU-T J.222], and [ITU-T J.223]. This Recommendation includes key new features for the physical (PHY) layer and defines Full Duplex DOCSIS® Mode of operation, including enhancements to the media access control (MAC) layer protocols as well as requirements for upper layer protocols (e.g., IP, DHCP, etc.). The fourth-generation cable modem specifications are incorporated fully in this Recommendation. An informative Supplement [b-ITU-T J Suppl. 10] contains the correspondence between the DOCSIS versions and the ITU-T Recommendations revisions and generations.</w:t>
      </w:r>
    </w:p>
    <w:p w14:paraId="14BD8340" w14:textId="72D6240B" w:rsidR="006C27B1" w:rsidRDefault="006C27B1" w:rsidP="006C27B1">
      <w:pPr>
        <w:rPr>
          <w:sz w:val="22"/>
          <w:szCs w:val="22"/>
        </w:rPr>
      </w:pPr>
      <w:r w:rsidRPr="006C27B1">
        <w:rPr>
          <w:sz w:val="22"/>
          <w:szCs w:val="22"/>
        </w:rPr>
        <w:t>NOTE – The structure and content of this Recommendation have been organized for ease of use through direct reference to the original source material, based on the recognition of CableLabs by ITU as an A.5 organization (</w:t>
      </w:r>
      <w:hyperlink r:id="rId244" w:history="1">
        <w:r w:rsidR="00CC7A3A" w:rsidRPr="00127FBB">
          <w:rPr>
            <w:rStyle w:val="Hyperlink"/>
            <w:sz w:val="22"/>
            <w:szCs w:val="22"/>
          </w:rPr>
          <w:t>https://www.itu.int/en/ITU-T/extcoop/Pages/sdo.aspx</w:t>
        </w:r>
      </w:hyperlink>
      <w:r w:rsidRPr="006C27B1">
        <w:rPr>
          <w:sz w:val="22"/>
          <w:szCs w:val="22"/>
        </w:rPr>
        <w:t>).</w:t>
      </w:r>
    </w:p>
    <w:p w14:paraId="10AB174A" w14:textId="479D9AC6" w:rsidR="00CC7A3A" w:rsidRDefault="00E12FA7" w:rsidP="00CC7A3A">
      <w:pPr>
        <w:rPr>
          <w:szCs w:val="24"/>
        </w:rPr>
      </w:pPr>
      <w:hyperlink r:id="rId245" w:history="1">
        <w:r w:rsidR="00CC7A3A" w:rsidRPr="00143156">
          <w:rPr>
            <w:rStyle w:val="Hyperlink"/>
            <w:b/>
            <w:bCs/>
            <w:szCs w:val="24"/>
          </w:rPr>
          <w:t>ITU-T J.299 “Functional Requirements for remote management of cable STB by Auto Configuration Server (ACS)”</w:t>
        </w:r>
      </w:hyperlink>
      <w:r w:rsidR="00CC7A3A" w:rsidRPr="00CC7A3A">
        <w:rPr>
          <w:szCs w:val="24"/>
        </w:rPr>
        <w:t xml:space="preserve"> describes the functional requirements for Auto Configuration Server (ACS) and STB connected each other for remote maintenance purpose. ACS is usually used to remotely set up and maintain customer premises equipment (CPE) such as STB. The major purpose of the new Recommendation is to specify basic requirements for remote maintenance in the cable TV system.</w:t>
      </w:r>
    </w:p>
    <w:p w14:paraId="68FA4E9C" w14:textId="3D3B922C" w:rsidR="00AD0AFA" w:rsidRDefault="00E12FA7" w:rsidP="00AD0AFA">
      <w:pPr>
        <w:rPr>
          <w:szCs w:val="24"/>
        </w:rPr>
      </w:pPr>
      <w:hyperlink r:id="rId246" w:history="1">
        <w:r w:rsidR="00AD0AFA" w:rsidRPr="00C012FE">
          <w:rPr>
            <w:rStyle w:val="Hyperlink"/>
            <w:b/>
            <w:bCs/>
            <w:szCs w:val="24"/>
          </w:rPr>
          <w:t>ITU-T J.1012 “Embedded common interface for exchangeable CA/DRM solutions; CA/DRM container, loader, interfaces, revocation”</w:t>
        </w:r>
      </w:hyperlink>
      <w:r w:rsidR="00AD0AFA">
        <w:rPr>
          <w:szCs w:val="24"/>
        </w:rPr>
        <w:t xml:space="preserve"> </w:t>
      </w:r>
      <w:r w:rsidR="00AD0AFA" w:rsidRPr="00AD0AFA">
        <w:rPr>
          <w:szCs w:val="24"/>
        </w:rPr>
        <w:t>is part of a multi-part deliverable covering the conditional access/digital rights management (CA/DRM) container, loader, interfaces, revocation for the embedded common interface for exchangeable CA/DRM solutions specification.</w:t>
      </w:r>
      <w:r w:rsidR="00AD0AFA">
        <w:rPr>
          <w:szCs w:val="24"/>
        </w:rPr>
        <w:t xml:space="preserve"> </w:t>
      </w:r>
      <w:r w:rsidR="00AD0AFA" w:rsidRPr="00AD0AFA">
        <w:rPr>
          <w:szCs w:val="24"/>
        </w:rPr>
        <w:t>This ITU-T Recommendation is a transposition of the ETSI standard [b- ETSI GS ECI 001-3] and is a result of a collaboration between ITU-T SG9 and ETSI ISG ECI. Modifications have been introduced to clauses 2, 7.7.2.5.2, 9.4.4.6.2, 9.4.6.1, 9.5.2.2, 9.8.1, 9.8.2, 10.2, I-2 and to the Bibliography. Some additional editorial corrections were necessary.</w:t>
      </w:r>
    </w:p>
    <w:p w14:paraId="429A208F" w14:textId="28F7CC46" w:rsidR="00532A0B" w:rsidRDefault="00E12FA7" w:rsidP="00532A0B">
      <w:pPr>
        <w:rPr>
          <w:szCs w:val="24"/>
        </w:rPr>
      </w:pPr>
      <w:hyperlink r:id="rId247" w:history="1">
        <w:r w:rsidR="00532A0B" w:rsidRPr="008D1EC6">
          <w:rPr>
            <w:rStyle w:val="Hyperlink"/>
            <w:b/>
            <w:bCs/>
            <w:szCs w:val="24"/>
          </w:rPr>
          <w:t>ITU-T J.1013 “Embedded Common Interface (ECI) for exchangeable CA/DRM solutions; The Virtual Machine”</w:t>
        </w:r>
      </w:hyperlink>
      <w:r w:rsidR="00532A0B" w:rsidRPr="008D1EC6">
        <w:rPr>
          <w:szCs w:val="24"/>
        </w:rPr>
        <w:t xml:space="preserve"> is part of a multi-part deliverable covering the virtual machine for the embedded common interface (ECI) for exchangeable conditional access/digital rights management (CA/DRM) solutions specification. This ITU-T Recommendation is a transposition of the ETSI standard [b- ETSI GS ECI 001-4] and is a result of a collaboration between ITU-T SG9 and ETSI ISG ECI. A minor modification was done in clause 7.3.7.1.</w:t>
      </w:r>
    </w:p>
    <w:p w14:paraId="3E09A3AC" w14:textId="3840B888" w:rsidR="00F70DF7" w:rsidRDefault="00E12FA7" w:rsidP="00F70DF7">
      <w:pPr>
        <w:rPr>
          <w:szCs w:val="24"/>
        </w:rPr>
      </w:pPr>
      <w:hyperlink r:id="rId248" w:history="1">
        <w:r w:rsidR="00F70DF7" w:rsidRPr="00DB6D33">
          <w:rPr>
            <w:rStyle w:val="Hyperlink"/>
            <w:b/>
            <w:bCs/>
            <w:szCs w:val="24"/>
          </w:rPr>
          <w:t>ITU-T J.1014 “Embedded common interface for exchangeable CA/DRM solutions; Advanced Security - ECI-specific functionalities”</w:t>
        </w:r>
      </w:hyperlink>
      <w:r w:rsidR="00F70DF7">
        <w:rPr>
          <w:szCs w:val="24"/>
        </w:rPr>
        <w:t xml:space="preserve"> </w:t>
      </w:r>
      <w:r w:rsidR="00F70DF7" w:rsidRPr="00F70DF7">
        <w:rPr>
          <w:szCs w:val="24"/>
        </w:rPr>
        <w:t>is one part of a multi-part deliverable covering the ECI-</w:t>
      </w:r>
      <w:r w:rsidR="00F70DF7" w:rsidRPr="00F70DF7">
        <w:rPr>
          <w:szCs w:val="24"/>
        </w:rPr>
        <w:lastRenderedPageBreak/>
        <w:t>specific functionalities of an advanced security system for the embedded common interface (ECI) for exchangeable conditional access/digital rights management (CA/DRM) solutions specification.</w:t>
      </w:r>
      <w:r w:rsidR="00F70DF7">
        <w:rPr>
          <w:szCs w:val="24"/>
        </w:rPr>
        <w:t xml:space="preserve"> </w:t>
      </w:r>
      <w:r w:rsidR="00F70DF7" w:rsidRPr="00F70DF7">
        <w:rPr>
          <w:szCs w:val="24"/>
        </w:rPr>
        <w:t>This ITU-T Recommendation is a transposition of the ETSI standard [b- ETSI GS ECI 001-5-1] and is a result of a collaboration between ITU-T SG9 and ETSI ISG ECI. Modifications have been introduced to clauses 1, 3.2, 6.1, 6.2, 6.3 and 8.2.3 as well as editorial corrections and the substitution of the term “content processing system” by “Secure Video Path”.</w:t>
      </w:r>
    </w:p>
    <w:p w14:paraId="7042897C" w14:textId="283ADE3A" w:rsidR="00AE695D" w:rsidRDefault="00E12FA7" w:rsidP="00AE695D">
      <w:pPr>
        <w:rPr>
          <w:szCs w:val="24"/>
        </w:rPr>
      </w:pPr>
      <w:hyperlink r:id="rId249" w:history="1">
        <w:r w:rsidR="00AE695D" w:rsidRPr="00F01CD7">
          <w:rPr>
            <w:rStyle w:val="Hyperlink"/>
            <w:b/>
            <w:bCs/>
            <w:szCs w:val="24"/>
          </w:rPr>
          <w:t>ITU-T J.1015 “Embedded common interface for exchangeable CA/DRM solutions: The advanced security system – Key ladder block”</w:t>
        </w:r>
      </w:hyperlink>
      <w:r w:rsidR="00AE695D">
        <w:rPr>
          <w:szCs w:val="24"/>
        </w:rPr>
        <w:t xml:space="preserve"> </w:t>
      </w:r>
      <w:r w:rsidR="00AE695D" w:rsidRPr="00AE695D">
        <w:rPr>
          <w:szCs w:val="24"/>
        </w:rPr>
        <w:t>is part of a series covering the advanced security system key ladder block for the embedded common interface for exchangeable conditional access/digital rights management (CA/DRM) solutions specification.</w:t>
      </w:r>
      <w:r w:rsidR="00AE695D">
        <w:rPr>
          <w:szCs w:val="24"/>
        </w:rPr>
        <w:t xml:space="preserve"> </w:t>
      </w:r>
      <w:r w:rsidR="00AE695D" w:rsidRPr="00AE695D">
        <w:rPr>
          <w:szCs w:val="24"/>
        </w:rPr>
        <w:t>This ITU-T Recommendation is a transposition of the ETSI standard [b-ETSI GS ECI 001-5-2] and is a result of a collaboration between ITU-T SG9 and ETSI ISG ECI.</w:t>
      </w:r>
    </w:p>
    <w:p w14:paraId="0CCABD6C" w14:textId="40BC10D5" w:rsidR="001E2D98" w:rsidRDefault="00E12FA7" w:rsidP="001E2D98">
      <w:pPr>
        <w:rPr>
          <w:szCs w:val="24"/>
        </w:rPr>
      </w:pPr>
      <w:hyperlink r:id="rId250" w:history="1">
        <w:r w:rsidR="001E2D98" w:rsidRPr="00615EBA">
          <w:rPr>
            <w:rStyle w:val="Hyperlink"/>
            <w:b/>
            <w:bCs/>
            <w:szCs w:val="24"/>
          </w:rPr>
          <w:t>ITU-T J.1015.1 “Embedded common interface for exchangeable CA/DRM solutions: The advanced security system – Key ladder block: Authentication of control word-usage rules information and associated data”</w:t>
        </w:r>
      </w:hyperlink>
      <w:r w:rsidR="001E2D98">
        <w:rPr>
          <w:szCs w:val="24"/>
        </w:rPr>
        <w:t xml:space="preserve"> </w:t>
      </w:r>
      <w:r w:rsidR="001E2D98" w:rsidRPr="001E2D98">
        <w:rPr>
          <w:szCs w:val="24"/>
        </w:rPr>
        <w:t>is part of a series covering the advanced security system key ladder block for the embedded common interface for exchangeable conditional access/digital rights management (CA/DRM) solutions specification.</w:t>
      </w:r>
    </w:p>
    <w:p w14:paraId="58E50730" w14:textId="31716653" w:rsidR="001267B8" w:rsidRDefault="00E12FA7" w:rsidP="001267B8">
      <w:pPr>
        <w:rPr>
          <w:szCs w:val="24"/>
        </w:rPr>
      </w:pPr>
      <w:hyperlink r:id="rId251" w:history="1">
        <w:r w:rsidR="001267B8" w:rsidRPr="00143156">
          <w:rPr>
            <w:rStyle w:val="Hyperlink"/>
            <w:b/>
            <w:bCs/>
            <w:szCs w:val="24"/>
          </w:rPr>
          <w:t>ITU-T J.1031 “Downloadable Conditional Access System for Bidirectional Network; Requirements”</w:t>
        </w:r>
      </w:hyperlink>
      <w:r w:rsidR="001267B8">
        <w:rPr>
          <w:szCs w:val="24"/>
        </w:rPr>
        <w:t xml:space="preserve"> </w:t>
      </w:r>
      <w:r w:rsidR="001267B8" w:rsidRPr="001267B8">
        <w:rPr>
          <w:szCs w:val="24"/>
        </w:rPr>
        <w:t>specifies requirements for the two-way downloadable conditional access system (DCAS) for bidirectional network. A two-way DCAS protects broadcast content/services and controls consumer entitlements in the same way as what traditional conditional access (CA) systems do, and enables a two-way terminal device, such as a set-top-box (STB), to adapt to a new CA system by downloading and installing a new CA system’s client software without changing hardware. In particular, a two-way DCAS can work in bidirectional cable TV networks and other bidirectional networks such as broadband cable networks.</w:t>
      </w:r>
    </w:p>
    <w:p w14:paraId="666F57EA" w14:textId="1B6EC606" w:rsidR="00F42FB1" w:rsidRDefault="00E12FA7" w:rsidP="00F42FB1">
      <w:pPr>
        <w:rPr>
          <w:szCs w:val="24"/>
        </w:rPr>
      </w:pPr>
      <w:hyperlink r:id="rId252" w:history="1">
        <w:r w:rsidR="00F42FB1" w:rsidRPr="00191644">
          <w:rPr>
            <w:rStyle w:val="Hyperlink"/>
            <w:b/>
            <w:bCs/>
            <w:szCs w:val="24"/>
          </w:rPr>
          <w:t>ITU-T J.1032 “Downloadable Conditional Access System for Bidirectional Network; System Architecture”</w:t>
        </w:r>
      </w:hyperlink>
      <w:r w:rsidR="00F42FB1">
        <w:rPr>
          <w:szCs w:val="24"/>
        </w:rPr>
        <w:t xml:space="preserve"> </w:t>
      </w:r>
      <w:r w:rsidR="00F42FB1" w:rsidRPr="00F42FB1">
        <w:rPr>
          <w:szCs w:val="24"/>
        </w:rPr>
        <w:t>specifies a system architecture for the two-way downloadable conditional access system (DCAS) for bidirectional network. A two-way DCAS protects broadcast content/services and controls consumer entitlements in the same way as what traditional conditional access (CA) systems do, and enables a two-way terminal device, such as a set-top-box (STB), to adapt to a new CA system by downloading and installing a new CA system’s client software without changing hardware. In particular, a two-way DCAS can work in bidirectional cable TV networks and other bidirectional networks such as broadband cable networks.</w:t>
      </w:r>
    </w:p>
    <w:p w14:paraId="6E152872" w14:textId="78638A37" w:rsidR="00F93962" w:rsidRDefault="00E12FA7" w:rsidP="00F93962">
      <w:pPr>
        <w:rPr>
          <w:szCs w:val="24"/>
        </w:rPr>
      </w:pPr>
      <w:hyperlink r:id="rId253" w:history="1">
        <w:r w:rsidR="00F93962" w:rsidRPr="00925F91">
          <w:rPr>
            <w:rStyle w:val="Hyperlink"/>
            <w:b/>
            <w:bCs/>
            <w:szCs w:val="24"/>
          </w:rPr>
          <w:t>ITU-T J.1033 “Downloadable Conditional Access System for Bidirectional Network; The Terminal”</w:t>
        </w:r>
      </w:hyperlink>
      <w:r w:rsidR="00F93962">
        <w:rPr>
          <w:szCs w:val="24"/>
        </w:rPr>
        <w:t xml:space="preserve"> </w:t>
      </w:r>
      <w:r w:rsidR="00F93962" w:rsidRPr="00F93962">
        <w:rPr>
          <w:szCs w:val="24"/>
        </w:rPr>
        <w:t>specifies a terminal for the two-way downloadable conditional access system (DCAS) for bidirectional network. A two-way DCAS protects broadcast content/services and controls consumer entitlements in the same way as what traditional conditional access (CA) systems do, and enables a two-way terminal device, such as a set-top-box (STB), to adapt to a new CA system by downloading and installing a new CA system’s client software without changing hardware. In particular, a two-way DCAS can work in bidirectional cable TV networks and other bidirectional networks such as broadband cable networks.</w:t>
      </w:r>
    </w:p>
    <w:p w14:paraId="41D87A8E" w14:textId="2A2FF81C" w:rsidR="00F948CD" w:rsidRDefault="00E12FA7" w:rsidP="00F948CD">
      <w:pPr>
        <w:rPr>
          <w:szCs w:val="24"/>
        </w:rPr>
      </w:pPr>
      <w:hyperlink r:id="rId254" w:history="1">
        <w:r w:rsidR="00F948CD" w:rsidRPr="003C2543">
          <w:rPr>
            <w:rStyle w:val="Hyperlink"/>
            <w:b/>
            <w:bCs/>
            <w:szCs w:val="24"/>
          </w:rPr>
          <w:t>ITU-T J.1203 “The specification of a smart TV operating system”</w:t>
        </w:r>
      </w:hyperlink>
      <w:r w:rsidR="00F948CD">
        <w:rPr>
          <w:szCs w:val="24"/>
        </w:rPr>
        <w:t xml:space="preserve"> </w:t>
      </w:r>
      <w:r w:rsidR="00F948CD" w:rsidRPr="00F948CD">
        <w:rPr>
          <w:szCs w:val="24"/>
        </w:rPr>
        <w:t xml:space="preserve">defines the detailed specification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w:t>
      </w:r>
      <w:r w:rsidR="00F948CD" w:rsidRPr="00F948CD">
        <w:rPr>
          <w:szCs w:val="24"/>
        </w:rPr>
        <w:lastRenderedPageBreak/>
        <w:t>interconnected with the related cable operators' platforms.</w:t>
      </w:r>
      <w:r w:rsidR="00F948CD">
        <w:rPr>
          <w:szCs w:val="24"/>
        </w:rPr>
        <w:t xml:space="preserve"> </w:t>
      </w:r>
      <w:r w:rsidR="00F948CD" w:rsidRPr="00F948CD">
        <w:rPr>
          <w:szCs w:val="24"/>
        </w:rPr>
        <w:t>Recommendation ITU-T J.1203 is developed in accordance with the requirements defined in [ITU-T J.1201] and based on the architecture defined in [ITU-T J.1202]. This Recommendation provides a specification for administrations and entities who intend to implement smart TV operating system.</w:t>
      </w:r>
    </w:p>
    <w:p w14:paraId="0D4E12A2" w14:textId="3A1C74C8" w:rsidR="00F32769" w:rsidRDefault="00E12FA7" w:rsidP="00F32769">
      <w:pPr>
        <w:rPr>
          <w:szCs w:val="24"/>
        </w:rPr>
      </w:pPr>
      <w:hyperlink r:id="rId255" w:history="1">
        <w:r w:rsidR="00F32769" w:rsidRPr="00B508FA">
          <w:rPr>
            <w:rStyle w:val="Hyperlink"/>
            <w:b/>
            <w:bCs/>
            <w:szCs w:val="24"/>
          </w:rPr>
          <w:t>ITU-T J.1204 “The security framework of a smart TV operating system”</w:t>
        </w:r>
      </w:hyperlink>
      <w:r w:rsidR="00F32769" w:rsidRPr="00B508FA">
        <w:rPr>
          <w:szCs w:val="24"/>
        </w:rPr>
        <w:t xml:space="preserve"> defines the security</w:t>
      </w:r>
      <w:r w:rsidR="00F32769" w:rsidRPr="00F32769">
        <w:rPr>
          <w:szCs w:val="24"/>
        </w:rPr>
        <w:t xml:space="preserve">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r w:rsidR="00F32769">
        <w:rPr>
          <w:szCs w:val="24"/>
        </w:rPr>
        <w:t xml:space="preserve"> </w:t>
      </w:r>
      <w:r w:rsidR="00F32769" w:rsidRPr="00F32769">
        <w:rPr>
          <w:szCs w:val="24"/>
        </w:rPr>
        <w:t>Recommendation ITU-T J.1204 intends to specify the smart TV operating system security framework, which exploits the popular hardware based TEE technology and has multiple security defence capabilities.</w:t>
      </w:r>
    </w:p>
    <w:p w14:paraId="0F78430F" w14:textId="71036A22" w:rsidR="006638F3" w:rsidRPr="00CC7A3A" w:rsidRDefault="00E12FA7" w:rsidP="006638F3">
      <w:pPr>
        <w:rPr>
          <w:szCs w:val="24"/>
        </w:rPr>
      </w:pPr>
      <w:hyperlink r:id="rId256" w:history="1">
        <w:r w:rsidR="006638F3" w:rsidRPr="00D46F05">
          <w:rPr>
            <w:rStyle w:val="Hyperlink"/>
            <w:b/>
            <w:bCs/>
            <w:szCs w:val="24"/>
          </w:rPr>
          <w:t>ITU-T J.1211 “Specifications of IP Video Broadcast (IPVB) for CATV Networks”</w:t>
        </w:r>
      </w:hyperlink>
      <w:r w:rsidR="006638F3" w:rsidRPr="00D46F05">
        <w:rPr>
          <w:szCs w:val="24"/>
        </w:rPr>
        <w:t>:</w:t>
      </w:r>
      <w:r w:rsidR="006638F3">
        <w:rPr>
          <w:szCs w:val="24"/>
        </w:rPr>
        <w:t xml:space="preserve"> </w:t>
      </w:r>
      <w:r w:rsidR="006638F3" w:rsidRPr="006638F3">
        <w:rPr>
          <w:szCs w:val="24"/>
        </w:rPr>
        <w:t>In recent years, IP-based video services have been developed rapidly in CATV networks, especially the highly asymmetric IP-based services with large bandwidth, such as 4K, 8K and VR, whose single program bandwidth might easily exceed 35Mbps or even up to 100Mbps. This requires huge downlink bandwidth of transmission channels and poses challenges to the existing CATV technologies. For this scenario</w:t>
      </w:r>
      <w:r w:rsidR="006638F3">
        <w:rPr>
          <w:szCs w:val="24"/>
        </w:rPr>
        <w:t xml:space="preserve">, </w:t>
      </w:r>
      <w:r w:rsidR="006638F3" w:rsidRPr="006638F3">
        <w:rPr>
          <w:szCs w:val="24"/>
        </w:rPr>
        <w:t>it is necessary to propose a solution with low cost and low complexity for meeting the bandwidth requirements of the current asymmetric IP-based video service.</w:t>
      </w:r>
      <w:r w:rsidR="006638F3">
        <w:rPr>
          <w:szCs w:val="24"/>
        </w:rPr>
        <w:t xml:space="preserve"> </w:t>
      </w:r>
      <w:r w:rsidR="006638F3" w:rsidRPr="006638F3">
        <w:rPr>
          <w:szCs w:val="24"/>
        </w:rPr>
        <w:t>This recommendation specifies an IPVB technology, which simply adds a one-way IP-based video broadcast system to the existing low-cost bidirectional CATV networks. The IPVB can greatly increase the bandwidth of downlink programs, and at the same time, have the characteristics of low cost and low complexity. The IPVB in downlink transmits IP-based video streams through broadcast channels which are identified by multicast IP addresses and UDP port numbers, and broadcasts all the IP-based video streams through the CATV networks to all subscribers. By cooperating with the uplink channel provided by the existing bidirectional access networks, it is capable of providing varieties of IP-based high bitrate video services in CATV networks.</w:t>
      </w:r>
    </w:p>
    <w:p w14:paraId="5C92C629" w14:textId="620600A1" w:rsidR="00A20D13" w:rsidRDefault="00E12FA7" w:rsidP="00A20D13">
      <w:pPr>
        <w:rPr>
          <w:lang w:val="en-GB"/>
        </w:rPr>
      </w:pPr>
      <w:hyperlink r:id="rId257" w:history="1">
        <w:r w:rsidR="00A20D13" w:rsidRPr="00351A87">
          <w:rPr>
            <w:rStyle w:val="Hyperlink"/>
            <w:b/>
            <w:bCs/>
            <w:lang w:val="en-GB"/>
          </w:rPr>
          <w:t>ITU-T J.Suppl.7 “Embedded Common Interface (ECI) for exchangeable CA/DRM solutions; Guidelines for the implementation of ECI (EG)”</w:t>
        </w:r>
      </w:hyperlink>
      <w:r w:rsidR="00351A87" w:rsidRPr="00351A87">
        <w:rPr>
          <w:lang w:val="en-GB"/>
        </w:rPr>
        <w:t xml:space="preserve"> </w:t>
      </w:r>
      <w:r w:rsidR="00A20D13" w:rsidRPr="00A20D13">
        <w:rPr>
          <w:lang w:val="en-GB"/>
        </w:rPr>
        <w:t>serves as a guidance document, which contains performance parameters and values as well as use cases for the Embedded Common Interface (ECI) for exchangeable CA/DRM solutions and complements ECI-related ITU-T Recommendations covering the ECI Ecosystem. This ITU-T Supplement is a transposition of the ETSI Group Report [b-ETSI GR ECI 004] and is a result of a collaboration between ITU-T SG9 and ETSI ISG ECI. A minor amendment was introduced with new clause 6.4.</w:t>
      </w:r>
    </w:p>
    <w:p w14:paraId="546C824A" w14:textId="46B3D328" w:rsidR="00DF0C42" w:rsidRDefault="00E12FA7" w:rsidP="00DF0C42">
      <w:pPr>
        <w:rPr>
          <w:lang w:val="en-GB"/>
        </w:rPr>
      </w:pPr>
      <w:hyperlink r:id="rId258" w:history="1">
        <w:r w:rsidR="00DF0C42" w:rsidRPr="00D31279">
          <w:rPr>
            <w:rStyle w:val="Hyperlink"/>
            <w:b/>
            <w:bCs/>
            <w:lang w:val="en-GB"/>
          </w:rPr>
          <w:t>ITU-T J.Suppl.8 “Embedded Common Interface (ECI) for exchangeable CA/DRM solutions; Trust Environment (TE)”</w:t>
        </w:r>
      </w:hyperlink>
      <w:r w:rsidR="00DF0C42" w:rsidRPr="00D31279">
        <w:rPr>
          <w:lang w:val="en-GB"/>
        </w:rPr>
        <w:t xml:space="preserve"> addresses details of a Trust Environment for the Embedded Common Interface (ECI) for exchangeable CA/DRM solutions and complements ECI-related ITU-T Recommendations covering the ECI Ecosystem. This ITU-T Supplement is a transposition of the ETSI standard [b- ETSI GS ECI 001-6] and is a result of a collaboration between ITU-T SG9 and ETSI ISG ECI.</w:t>
      </w:r>
    </w:p>
    <w:p w14:paraId="668A5EB9" w14:textId="10FEC09A" w:rsidR="00E37F03" w:rsidRDefault="00E12FA7" w:rsidP="00E37F03">
      <w:pPr>
        <w:rPr>
          <w:b/>
          <w:bCs/>
          <w:highlight w:val="red"/>
          <w:lang w:val="en-GB"/>
        </w:rPr>
      </w:pPr>
      <w:hyperlink r:id="rId259" w:history="1">
        <w:r w:rsidR="00E37F03" w:rsidRPr="001D1635">
          <w:rPr>
            <w:rStyle w:val="Hyperlink"/>
            <w:b/>
            <w:bCs/>
            <w:lang w:val="en-GB"/>
          </w:rPr>
          <w:t>ITU-T J.Suppl.</w:t>
        </w:r>
        <w:r w:rsidR="00B05AEB" w:rsidRPr="001D1635">
          <w:rPr>
            <w:rStyle w:val="Hyperlink"/>
            <w:b/>
            <w:bCs/>
            <w:lang w:val="en-GB"/>
          </w:rPr>
          <w:t>9</w:t>
        </w:r>
        <w:r w:rsidR="00E37F03" w:rsidRPr="001D1635">
          <w:rPr>
            <w:rStyle w:val="Hyperlink"/>
            <w:b/>
            <w:bCs/>
            <w:lang w:val="en-GB"/>
          </w:rPr>
          <w:t xml:space="preserve"> “Embedded Common Interface (ECI) for exchangeable CA/DRM solutions; System Validation (VAL)”</w:t>
        </w:r>
      </w:hyperlink>
      <w:r w:rsidR="00E37F03">
        <w:rPr>
          <w:lang w:val="en-GB"/>
        </w:rPr>
        <w:t xml:space="preserve"> </w:t>
      </w:r>
      <w:r w:rsidR="00E37F03" w:rsidRPr="00E37F03">
        <w:rPr>
          <w:lang w:val="en-GB"/>
        </w:rPr>
        <w:t>addresses scenarios for System Validation for the Embedded Common Interface (ECI) for exchangeable CA/DRM solutions and complements ECI-related ITU-T Recommendations covering the ECI Ecosystem.</w:t>
      </w:r>
      <w:r w:rsidR="00E37F03">
        <w:rPr>
          <w:lang w:val="en-GB"/>
        </w:rPr>
        <w:t xml:space="preserve"> </w:t>
      </w:r>
      <w:r w:rsidR="00E37F03" w:rsidRPr="00E37F03">
        <w:rPr>
          <w:lang w:val="en-GB"/>
        </w:rPr>
        <w:t>This ITU-T Supplement is a transposition of the ETSI standard [b- ETSI GS ECI 002] and is a result of a collaboration between ITU-T SG9 and ETSI ISG ECI.</w:t>
      </w:r>
    </w:p>
    <w:p w14:paraId="754AA590" w14:textId="68DFE454" w:rsidR="005F3467" w:rsidRDefault="00E12FA7" w:rsidP="005F3467">
      <w:pPr>
        <w:rPr>
          <w:lang w:val="en-GB"/>
        </w:rPr>
      </w:pPr>
      <w:hyperlink r:id="rId260" w:history="1">
        <w:r w:rsidR="005F3467" w:rsidRPr="007A0E14">
          <w:rPr>
            <w:rStyle w:val="Hyperlink"/>
            <w:b/>
            <w:bCs/>
            <w:lang w:val="en-GB"/>
          </w:rPr>
          <w:t>ITU-T J.Suppl.10 “Correspondence Between CableLabs DOCSIS Specifications and ITU-T J-series Recommendations”</w:t>
        </w:r>
      </w:hyperlink>
      <w:r w:rsidR="005F3467">
        <w:rPr>
          <w:lang w:val="en-GB"/>
        </w:rPr>
        <w:t xml:space="preserve"> </w:t>
      </w:r>
      <w:r w:rsidR="005F3467" w:rsidRPr="005F3467">
        <w:rPr>
          <w:lang w:val="en-GB"/>
        </w:rPr>
        <w:t>is to clarify the relationship between the multiple generations of CableLabs DOCSIS specifications and the ITU-T J-series of DOCSIS-based recommendations.</w:t>
      </w:r>
    </w:p>
    <w:p w14:paraId="48A3238E" w14:textId="79343F99" w:rsidR="00291C7C" w:rsidRDefault="00E12FA7" w:rsidP="00291C7C">
      <w:pPr>
        <w:rPr>
          <w:lang w:val="en-GB"/>
        </w:rPr>
      </w:pPr>
      <w:hyperlink r:id="rId261" w:history="1">
        <w:r w:rsidR="00291C7C" w:rsidRPr="002C3671">
          <w:rPr>
            <w:rStyle w:val="Hyperlink"/>
            <w:b/>
            <w:bCs/>
            <w:lang w:val="en-GB"/>
          </w:rPr>
          <w:t>ITU-T Technical Paper JSTP-AFDI “</w:t>
        </w:r>
        <w:r w:rsidR="002C3671" w:rsidRPr="002C3671">
          <w:rPr>
            <w:rStyle w:val="Hyperlink"/>
            <w:b/>
            <w:bCs/>
            <w:lang w:val="en-GB"/>
          </w:rPr>
          <w:t>Analysis and related solutions for full duplex interference</w:t>
        </w:r>
        <w:r w:rsidR="00291C7C" w:rsidRPr="002C3671">
          <w:rPr>
            <w:rStyle w:val="Hyperlink"/>
            <w:b/>
            <w:bCs/>
            <w:lang w:val="en-GB"/>
          </w:rPr>
          <w:t>”</w:t>
        </w:r>
      </w:hyperlink>
      <w:r w:rsidR="00291C7C" w:rsidRPr="002C3671">
        <w:rPr>
          <w:lang w:val="en-GB"/>
        </w:rPr>
        <w:t xml:space="preserve"> </w:t>
      </w:r>
      <w:r w:rsidR="00291C7C" w:rsidRPr="00291C7C">
        <w:rPr>
          <w:lang w:val="en-GB"/>
        </w:rPr>
        <w:t>describes that several primary interferences will impact the in-band full-duplex CM performance, and the interference mitigation solutions are provided.</w:t>
      </w:r>
    </w:p>
    <w:p w14:paraId="101F78AE" w14:textId="434C144E" w:rsidR="00355D7E" w:rsidRPr="00952FDF" w:rsidRDefault="00E12FA7" w:rsidP="00355D7E">
      <w:pPr>
        <w:rPr>
          <w:highlight w:val="yellow"/>
          <w:lang w:val="en-GB"/>
        </w:rPr>
      </w:pPr>
      <w:hyperlink r:id="rId262" w:history="1">
        <w:r w:rsidR="00332498" w:rsidRPr="00332498">
          <w:rPr>
            <w:rStyle w:val="Hyperlink"/>
            <w:b/>
            <w:bCs/>
            <w:szCs w:val="24"/>
          </w:rPr>
          <w:t>ITU-T Technical Paper JSTP-IBBDTV “</w:t>
        </w:r>
        <w:r w:rsidR="00332498" w:rsidRPr="00332498">
          <w:rPr>
            <w:rStyle w:val="Hyperlink"/>
            <w:b/>
            <w:bCs/>
            <w:szCs w:val="24"/>
            <w:bdr w:val="none" w:sz="0" w:space="0" w:color="auto" w:frame="1"/>
            <w:shd w:val="clear" w:color="auto" w:fill="FFFFFF"/>
          </w:rPr>
          <w:t>Integrated broadcast-broadband digital TV application cooperated with server for functional extension including functions of digital TV reception and processing</w:t>
        </w:r>
      </w:hyperlink>
      <w:r w:rsidR="00332498" w:rsidRPr="00332498">
        <w:rPr>
          <w:b/>
          <w:bCs/>
          <w:szCs w:val="24"/>
        </w:rPr>
        <w:t>”</w:t>
      </w:r>
      <w:r w:rsidR="00332498" w:rsidRPr="00C027BA">
        <w:rPr>
          <w:szCs w:val="24"/>
        </w:rPr>
        <w:t xml:space="preserve"> </w:t>
      </w:r>
      <w:r w:rsidR="00355D7E" w:rsidRPr="00355D7E">
        <w:rPr>
          <w:lang w:val="en-GB"/>
        </w:rPr>
        <w:t>describes an integrated broadcast-broadband (IBB) digital TV application cooperated with server for functional extension including functions of digital TV reception and processing. In the current CATV systems, services are dependent on functions of a set top box (STB); thus, the services that require functions beyond the capabilities of an STB cannot be introduced. This system allows for the introduction of new services that require furthering the capabilities of the existing STBs and smoothly transitioning to new STB models. The system is built on an IBB system as defined in [ITU-T J.207].</w:t>
      </w:r>
      <w:r w:rsidR="00355D7E">
        <w:rPr>
          <w:lang w:val="en-GB"/>
        </w:rPr>
        <w:t xml:space="preserve"> </w:t>
      </w:r>
      <w:r w:rsidR="00355D7E" w:rsidRPr="00355D7E">
        <w:rPr>
          <w:lang w:val="en-GB"/>
        </w:rPr>
        <w:t>This system comprises servers and STBs with the following features. The server receives a cable broadcast signal, processes the required content elements and applications, and transfers the processed outputs to STBs. The STB presents the delivered processed outputs, and provides user-interactive functions.</w:t>
      </w:r>
    </w:p>
    <w:p w14:paraId="73890609" w14:textId="77777777" w:rsidR="006A46AE" w:rsidRPr="00FB1F1B" w:rsidRDefault="006A46AE" w:rsidP="006A46AE">
      <w:pPr>
        <w:pStyle w:val="Headingb"/>
      </w:pPr>
      <w:bookmarkStart w:id="239" w:name="_Toc480527893"/>
      <w:r w:rsidRPr="00FB1F1B">
        <w:t>I.2.2</w:t>
      </w:r>
      <w:r w:rsidRPr="00FB1F1B">
        <w:tab/>
      </w:r>
      <w:bookmarkEnd w:id="239"/>
      <w:r w:rsidRPr="00FB1F1B">
        <w:t>Smart ubiquitous networks, next-generation networks evolution, and future networks</w:t>
      </w:r>
    </w:p>
    <w:p w14:paraId="067F98C8" w14:textId="5EC92E25" w:rsidR="00DA3441" w:rsidRDefault="00E12FA7" w:rsidP="00DA3441">
      <w:pPr>
        <w:rPr>
          <w:lang w:val="en-GB" w:eastAsia="en-US"/>
        </w:rPr>
      </w:pPr>
      <w:hyperlink r:id="rId263" w:history="1">
        <w:r w:rsidR="00DA3441" w:rsidRPr="00081EA9">
          <w:rPr>
            <w:rStyle w:val="Hyperlink"/>
            <w:b/>
            <w:bCs/>
            <w:lang w:val="en-GB" w:eastAsia="en-US"/>
          </w:rPr>
          <w:t>ITU-T H.644.3 “Functional architecture of multimedia content delivery networks”</w:t>
        </w:r>
      </w:hyperlink>
      <w:r w:rsidR="00DA3441" w:rsidRPr="00081EA9">
        <w:rPr>
          <w:lang w:val="en-GB" w:eastAsia="en-US"/>
        </w:rPr>
        <w:t xml:space="preserve"> specifies the common functional architecture for multi</w:t>
      </w:r>
      <w:r w:rsidR="00DA3441" w:rsidRPr="00DA3441">
        <w:rPr>
          <w:lang w:val="en-GB" w:eastAsia="en-US"/>
        </w:rPr>
        <w:t>media content delivery network. The Functions and Functional blocks within this common functional architecture and the related reference points are specified in this Recommendation for matching the requirements of various kinds of content ingestion, content distribution and content delivery within different network and platform. In addition, this Recommendation also gives some examples of the related service features, workflows, implementation guide and the security aspects in Appendixes. This Recommendation is intended to provide the references for MCDN providers to help them to build the common infrastructures of a multimedia content delivery network. With this Recommendation, it is benefit for different multimedia content providers to dispatch their content to the different types of end-users by taking advantage of a common MCDN capability.</w:t>
      </w:r>
    </w:p>
    <w:p w14:paraId="66FC2D7C" w14:textId="7771E98C" w:rsidR="0013243D" w:rsidRPr="0039167D" w:rsidRDefault="0013243D" w:rsidP="0013243D">
      <w:pPr>
        <w:rPr>
          <w:lang w:val="en-GB" w:eastAsia="en-US"/>
        </w:rPr>
      </w:pPr>
      <w:r w:rsidRPr="0039167D">
        <w:rPr>
          <w:b/>
          <w:bCs/>
          <w:lang w:val="en-GB" w:eastAsia="en-US"/>
        </w:rPr>
        <w:t>ITU-T Q.3058 “Signalling architecture of orchestration in NGNe” (under approval):</w:t>
      </w:r>
      <w:r w:rsidRPr="0039167D">
        <w:rPr>
          <w:lang w:val="en-GB" w:eastAsia="en-US"/>
        </w:rPr>
        <w:t xml:space="preserve"> The orchestration in NGNe is of great significance for next generation network evolution, because it takes the coexistence and corporation of traditional network such as NGN and SDN/NFV enabled network into consideration. This Recommendation specifies the mapping of reference points to interfaces in the signalling architecture of orchestration in NGNe, and provides the signalling requirements of the interfaces and defines the protocols used for interfaces. The descriptions of the requirements, the functional architecture and the reference points of orchestration in NGNe are aligned with [ITU-T Y.2323] and [ITU-T Y.2324].</w:t>
      </w:r>
    </w:p>
    <w:p w14:paraId="68199605" w14:textId="256FDC41" w:rsidR="00C964CA" w:rsidRPr="0039167D" w:rsidRDefault="00C964CA" w:rsidP="00C964CA">
      <w:pPr>
        <w:rPr>
          <w:lang w:val="en-GB" w:eastAsia="en-US"/>
        </w:rPr>
      </w:pPr>
      <w:r w:rsidRPr="0039167D">
        <w:rPr>
          <w:b/>
          <w:bCs/>
          <w:lang w:val="en-GB" w:eastAsia="en-US"/>
        </w:rPr>
        <w:t>ITU-T Q.3059 “Signalling requirements for service function discovery” (under approval)</w:t>
      </w:r>
      <w:r w:rsidRPr="0039167D">
        <w:rPr>
          <w:lang w:val="en-GB" w:eastAsia="en-US"/>
        </w:rPr>
        <w:t xml:space="preserve"> specifies the signalling requirements for service function discovery based on its functional architecture. The signalling is for service function path controller to discover and select the service function.</w:t>
      </w:r>
    </w:p>
    <w:p w14:paraId="589DB40A" w14:textId="77777777" w:rsidR="00DE3ED4" w:rsidRPr="00DE3ED4" w:rsidRDefault="00DE3ED4" w:rsidP="00DE3ED4">
      <w:pPr>
        <w:rPr>
          <w:lang w:val="en-GB" w:eastAsia="en-US"/>
        </w:rPr>
      </w:pPr>
      <w:r w:rsidRPr="0039167D">
        <w:rPr>
          <w:b/>
          <w:bCs/>
          <w:lang w:val="en-GB" w:eastAsia="en-US"/>
        </w:rPr>
        <w:t>ITU-T Q.3060 “Signalling architecture of the fast deployment emergency telecommunication network to be used in a natural disaster” (under approval)</w:t>
      </w:r>
      <w:r w:rsidRPr="0039167D">
        <w:rPr>
          <w:lang w:val="en-GB" w:eastAsia="en-US"/>
        </w:rPr>
        <w:t>:</w:t>
      </w:r>
      <w:r w:rsidRPr="00DE3ED4">
        <w:rPr>
          <w:lang w:val="en-GB" w:eastAsia="en-US"/>
        </w:rPr>
        <w:t xml:space="preserve"> In the last decade, climate change and natural disasters affected most of the countries all over the globe. The consequence such as tropical storms, floods and droughts directly affect social and various industrial sectors including ICT.</w:t>
      </w:r>
    </w:p>
    <w:p w14:paraId="3510DBD2" w14:textId="77777777" w:rsidR="00DE3ED4" w:rsidRPr="00DE3ED4" w:rsidRDefault="00DE3ED4" w:rsidP="00DE3ED4">
      <w:pPr>
        <w:rPr>
          <w:lang w:val="en-GB" w:eastAsia="en-US"/>
        </w:rPr>
      </w:pPr>
      <w:r w:rsidRPr="00DE3ED4">
        <w:rPr>
          <w:lang w:val="en-GB" w:eastAsia="en-US"/>
        </w:rPr>
        <w:lastRenderedPageBreak/>
        <w:t>In this regard, the deployment of special emergency telecommunication network becomes a first and important aid for civilians afflicted by natural disasters. The rapid deployment of such networks is fundamental.</w:t>
      </w:r>
    </w:p>
    <w:p w14:paraId="62CDC840" w14:textId="77777777" w:rsidR="00DE3ED4" w:rsidRPr="00DE3ED4" w:rsidRDefault="00DE3ED4" w:rsidP="00DE3ED4">
      <w:pPr>
        <w:rPr>
          <w:lang w:val="en-GB" w:eastAsia="en-US"/>
        </w:rPr>
      </w:pPr>
      <w:r w:rsidRPr="00DE3ED4">
        <w:rPr>
          <w:lang w:val="en-GB" w:eastAsia="en-US"/>
        </w:rPr>
        <w:t>Currently, the emergency systems, which are used in a natural disaster cases, are based on the existing technologies such as space-based networks (e.g. Iridium, etc.). However, in forthcoming 5G and IoT era, there are some technologies which may play an important role in helping to provide wide number of ICT services from simple voice/video communication up to telemetry exchange, to name a few. All these services which are rapidly deployed in harmed country may sufficiently change the situation and help to save life of victims of natural hazard events.</w:t>
      </w:r>
    </w:p>
    <w:p w14:paraId="4F6175BD" w14:textId="0B882B9A" w:rsidR="00DE3ED4" w:rsidRDefault="00DE3ED4" w:rsidP="00DE3ED4">
      <w:pPr>
        <w:rPr>
          <w:highlight w:val="yellow"/>
          <w:lang w:val="en-GB" w:eastAsia="en-US"/>
        </w:rPr>
      </w:pPr>
      <w:r w:rsidRPr="00DE3ED4">
        <w:rPr>
          <w:lang w:val="en-GB" w:eastAsia="en-US"/>
        </w:rPr>
        <w:t>The goal of this Recommendation is to describe the functional elements, services and signaling architecture of emergency telecommunication network which can be rapidly deployed in a country affected by a natural disaster.</w:t>
      </w:r>
    </w:p>
    <w:p w14:paraId="5CF194F3" w14:textId="73545434" w:rsidR="00772383" w:rsidRDefault="00E12FA7" w:rsidP="00772383">
      <w:pPr>
        <w:rPr>
          <w:lang w:val="en-GB" w:eastAsia="en-US"/>
        </w:rPr>
      </w:pPr>
      <w:hyperlink r:id="rId264" w:history="1">
        <w:r w:rsidR="00772383" w:rsidRPr="003A0178">
          <w:rPr>
            <w:rStyle w:val="Hyperlink"/>
            <w:b/>
            <w:bCs/>
            <w:lang w:val="en-GB" w:eastAsia="en-US"/>
          </w:rPr>
          <w:t>ITU-T Q.3643 “Signalling architecture of distributed infrastructure ENUM networking for IMS”</w:t>
        </w:r>
      </w:hyperlink>
      <w:r w:rsidR="003A0178">
        <w:rPr>
          <w:lang w:val="en-GB" w:eastAsia="en-US"/>
        </w:rPr>
        <w:t xml:space="preserve"> d</w:t>
      </w:r>
      <w:r w:rsidR="00772383" w:rsidRPr="00772383">
        <w:rPr>
          <w:lang w:val="en-GB" w:eastAsia="en-US"/>
        </w:rPr>
        <w:t>efines the framework and signalling architecture for distributed ENUM networking in support of IMS interconnection. Based on the signalling architecture of distributed ENUM model, it specifies the signalling procedures of ENUM profile management and ENUM resolution. The signalling requirements and protocols to be applied for interfaces of distributed ENUM networking are addressed as well.</w:t>
      </w:r>
    </w:p>
    <w:p w14:paraId="052F4FD9" w14:textId="0490375F" w:rsidR="00863CE9" w:rsidRPr="0039167D" w:rsidRDefault="00863CE9" w:rsidP="00863CE9">
      <w:pPr>
        <w:rPr>
          <w:lang w:val="en-GB" w:eastAsia="en-US"/>
        </w:rPr>
      </w:pPr>
      <w:r w:rsidRPr="0039167D">
        <w:rPr>
          <w:b/>
          <w:bCs/>
          <w:lang w:val="en-GB" w:eastAsia="en-US"/>
        </w:rPr>
        <w:t>ITU-T Q.3645 “Protocol at interface between two distributed ENUM servers for IMS” (under approval)</w:t>
      </w:r>
      <w:r w:rsidRPr="0039167D">
        <w:rPr>
          <w:lang w:val="en-GB" w:eastAsia="en-US"/>
        </w:rPr>
        <w:t xml:space="preserve"> defines protocol at the interface between two Distributed ENUM Servers (DES) of distributed ENUM system in support of IMS interconnection. Based on the functions and signalling requirements defined in [ITU T Q.3643], this Recommendation provides the reference model, procedures, protocol, and message specification for the interface between two DES.</w:t>
      </w:r>
    </w:p>
    <w:p w14:paraId="2BA8F81A" w14:textId="2344C5A4" w:rsidR="00ED7F2B" w:rsidRPr="0039167D" w:rsidRDefault="00ED7F2B" w:rsidP="00ED7F2B">
      <w:pPr>
        <w:rPr>
          <w:lang w:val="en-GB" w:eastAsia="en-US"/>
        </w:rPr>
      </w:pPr>
      <w:r w:rsidRPr="0039167D">
        <w:rPr>
          <w:b/>
          <w:bCs/>
          <w:lang w:val="en-GB" w:eastAsia="en-US"/>
        </w:rPr>
        <w:t>ITU-T Q.3720 “Procedures for vBNG acceleration with programmable acceleration card” (under approval)</w:t>
      </w:r>
      <w:r w:rsidRPr="0039167D">
        <w:rPr>
          <w:lang w:val="en-GB" w:eastAsia="en-US"/>
        </w:rPr>
        <w:t xml:space="preserve"> specifies the framework, working modes, and procedures for vBNG acceleration with programmable acceleration card.</w:t>
      </w:r>
    </w:p>
    <w:p w14:paraId="205EEAF0" w14:textId="17FB2732" w:rsidR="008F7548" w:rsidRPr="0039167D" w:rsidRDefault="008F7548" w:rsidP="008F7548">
      <w:pPr>
        <w:rPr>
          <w:lang w:val="en-GB" w:eastAsia="en-US"/>
        </w:rPr>
      </w:pPr>
      <w:r w:rsidRPr="0039167D">
        <w:rPr>
          <w:b/>
          <w:bCs/>
          <w:lang w:val="en-GB" w:eastAsia="en-US"/>
        </w:rPr>
        <w:t>ITU-T Q.3915 “Set of parameters of vBNG for monitoring” (under approval):</w:t>
      </w:r>
      <w:r w:rsidRPr="0039167D">
        <w:rPr>
          <w:lang w:val="en-GB" w:eastAsia="en-US"/>
        </w:rPr>
        <w:t xml:space="preserve"> Virtual Broadband Network Gateway has been developed as an entry point for telecommunication providers to introduce network function virtualization (NFV). This draft Recommendation focuses on monitoring of virtual Broadband Network Gateway (vBNG) in NFV. This Recommendation provides the set of parameters that indicate the state and event of vBNG.</w:t>
      </w:r>
    </w:p>
    <w:p w14:paraId="191B5B12" w14:textId="2EFB9DB0" w:rsidR="00D2738F" w:rsidRPr="0039167D" w:rsidRDefault="00D2738F" w:rsidP="00D2738F">
      <w:pPr>
        <w:rPr>
          <w:lang w:val="en-GB" w:eastAsia="en-US"/>
        </w:rPr>
      </w:pPr>
      <w:r w:rsidRPr="0039167D">
        <w:rPr>
          <w:b/>
          <w:bCs/>
          <w:lang w:val="en-GB" w:eastAsia="en-US"/>
        </w:rPr>
        <w:t>ITU-T Q.3961 “Parameters for evaluating bottleneck of web-browsing service” (under approval)</w:t>
      </w:r>
      <w:r w:rsidRPr="0039167D">
        <w:rPr>
          <w:lang w:val="en-GB" w:eastAsia="en-US"/>
        </w:rPr>
        <w:t>: If the QoS of web-browsing service drops, ISPs and ICPs hope to be able to immediately find the reasons, fix the faults and improve web-browsing service. To achieve the above aims, this Recommendation specifies parameters for evaluating bottleneck of the web-browsing service. These parameters can be divided into four groups: parameters in the application layer, parameters in the transportation layer, parameters in the network layer and the characteristic parameters. The relationship between these parameters is also introduced in this Recommendation.</w:t>
      </w:r>
    </w:p>
    <w:p w14:paraId="05DD42DB" w14:textId="6502AC97" w:rsidR="0028227C" w:rsidRPr="0039167D" w:rsidRDefault="0028227C" w:rsidP="0028227C">
      <w:pPr>
        <w:rPr>
          <w:lang w:val="en-GB" w:eastAsia="en-US"/>
        </w:rPr>
      </w:pPr>
      <w:r w:rsidRPr="0039167D">
        <w:rPr>
          <w:b/>
          <w:bCs/>
          <w:lang w:val="en-GB" w:eastAsia="en-US"/>
        </w:rPr>
        <w:t>ITU-T Q.4064 “Interoperability testing requirements of virtual Broadband Network Gateway” (under approval)</w:t>
      </w:r>
      <w:r w:rsidRPr="0039167D">
        <w:rPr>
          <w:lang w:val="en-GB" w:eastAsia="en-US"/>
        </w:rPr>
        <w:t xml:space="preserve"> aims to specify virtual BNG (vBNG) interoperability testing requirements. Firstly, as a basic background, this Recommendation introduces the overview of vBNG and interoperability testing of vBNG, which includes but not limited to the definition, characteristics, general capabilities of vBNG as well as the overview of interoperability testing of vBNG. The description of use cases of vBNG will be provided as appendix. Base on analysis of involved vBNG capabilities in use cases, the corresponding derived requirements of vBNG’s interoperability testing will be introduced.</w:t>
      </w:r>
    </w:p>
    <w:p w14:paraId="32A407EE" w14:textId="304AAD25" w:rsidR="0052171F" w:rsidRPr="0039167D" w:rsidRDefault="0052171F" w:rsidP="0052171F">
      <w:pPr>
        <w:rPr>
          <w:lang w:val="en-GB" w:eastAsia="en-US"/>
        </w:rPr>
      </w:pPr>
      <w:r w:rsidRPr="0039167D">
        <w:rPr>
          <w:b/>
          <w:bCs/>
          <w:lang w:val="en-GB" w:eastAsia="en-US"/>
        </w:rPr>
        <w:lastRenderedPageBreak/>
        <w:t>ITU-T Q.4066 “Testing procedures of Augmented Reality applications” (under approval)</w:t>
      </w:r>
      <w:r w:rsidRPr="0039167D">
        <w:rPr>
          <w:lang w:val="en-GB" w:eastAsia="en-US"/>
        </w:rPr>
        <w:t>: Augmented reality (AR) is a collection of new technologies that perform the function of displaying digital information to a user through special devices (smartphone, AR glasses, projectors, etc.) allowing data to be displayed in visual (3D objects, video, images, etc.), audio or text format alongside real-world objects. Besides, augmented reality offers the possibility of physical objects and virtual entities, which can make additional delays in the process of data transformation. Because testing procedures for augmented reality are significantly different from traditional applications, this Recommendation defines approaches for testing for various applications of AR.</w:t>
      </w:r>
    </w:p>
    <w:p w14:paraId="3BE12A33" w14:textId="612F36FE" w:rsidR="00C9671E" w:rsidRPr="0039167D" w:rsidRDefault="00C9671E" w:rsidP="00C9671E">
      <w:pPr>
        <w:rPr>
          <w:lang w:val="en-GB" w:eastAsia="en-US"/>
        </w:rPr>
      </w:pPr>
      <w:r w:rsidRPr="0039167D">
        <w:rPr>
          <w:b/>
          <w:bCs/>
          <w:lang w:val="en-GB" w:eastAsia="en-US"/>
        </w:rPr>
        <w:t>ITU-T Q.4100 “Hybrid peer-to-peer (P2P) communications: Functional architecture” (under approval)</w:t>
      </w:r>
      <w:r w:rsidRPr="0039167D">
        <w:rPr>
          <w:lang w:val="en-GB" w:eastAsia="en-US"/>
        </w:rPr>
        <w:t xml:space="preserve"> specifies functional architecture of hybrid peer-to-peer overlay networking architecture. The hybrid P2P network makes use of advantages of tree-based overlay network and mesh-based overlay network. This Recommendation specifies related components with detailed composition of functional entities based on their atomic functionalities. This also specifies the reference points to be used for further protocol specification among those components. In addition, this Recommendation provides high-level information flows for various application services based on hybrid overlay network such as IoT, blockchain and multimedia live streaming.</w:t>
      </w:r>
    </w:p>
    <w:p w14:paraId="740D5295" w14:textId="10B2A01F" w:rsidR="001311D3" w:rsidRPr="001311D3" w:rsidRDefault="001311D3" w:rsidP="001311D3">
      <w:pPr>
        <w:rPr>
          <w:lang w:val="en-GB" w:eastAsia="en-US"/>
        </w:rPr>
      </w:pPr>
      <w:r w:rsidRPr="0039167D">
        <w:rPr>
          <w:b/>
          <w:bCs/>
          <w:lang w:val="en-GB" w:eastAsia="en-US"/>
        </w:rPr>
        <w:t xml:space="preserve">ITU-T Q.5052 “Addressing mobile devices with duplicate unique identifier” (under approval): </w:t>
      </w:r>
      <w:r w:rsidRPr="001311D3">
        <w:rPr>
          <w:lang w:val="en-GB" w:eastAsia="en-US"/>
        </w:rPr>
        <w:t>The presence and detection of duplicate unique identifiers on mobile networks and identifying the authenticity of a device are two key problems that stakeholders are looking to find solutions for.</w:t>
      </w:r>
      <w:r>
        <w:rPr>
          <w:lang w:val="en-GB" w:eastAsia="en-US"/>
        </w:rPr>
        <w:t xml:space="preserve"> </w:t>
      </w:r>
      <w:r w:rsidRPr="001311D3">
        <w:rPr>
          <w:lang w:val="en-GB" w:eastAsia="en-US"/>
        </w:rPr>
        <w:t>The detection mechanisms discussed in this documentation are based on post-processing mobile network data to identify devices for blocking purposes based on criteria defined by individual national regulatory bodies. Through incorporation of one or more of these mechanisms, systems can identify and address the problem that duplicate or cloned devices present to governments, operators, and consumers.</w:t>
      </w:r>
      <w:r>
        <w:rPr>
          <w:lang w:val="en-GB" w:eastAsia="en-US"/>
        </w:rPr>
        <w:t xml:space="preserve"> </w:t>
      </w:r>
      <w:r w:rsidRPr="001311D3">
        <w:rPr>
          <w:lang w:val="en-GB" w:eastAsia="en-US"/>
        </w:rPr>
        <w:t>A combination of one or more methodologies described in this document can be employed at any given time. The decision regarding the methodology or methodologies to employ will determine the level of effectiveness of a country’s detection mechanism.</w:t>
      </w:r>
    </w:p>
    <w:p w14:paraId="28D422BC" w14:textId="79B528C5" w:rsidR="00742122" w:rsidRDefault="00E12FA7" w:rsidP="00742122">
      <w:pPr>
        <w:rPr>
          <w:lang w:val="en-GB" w:eastAsia="en-US"/>
        </w:rPr>
      </w:pPr>
      <w:hyperlink r:id="rId265" w:history="1">
        <w:r w:rsidR="00742122" w:rsidRPr="00670319">
          <w:rPr>
            <w:rStyle w:val="Hyperlink"/>
            <w:b/>
            <w:bCs/>
            <w:lang w:val="en-GB" w:eastAsia="en-US"/>
          </w:rPr>
          <w:t>ITU-T X.609.5 (revised) “Managed P2P communications: Overlay management protocol”</w:t>
        </w:r>
      </w:hyperlink>
      <w:r w:rsidR="00742122">
        <w:rPr>
          <w:lang w:val="en-GB" w:eastAsia="en-US"/>
        </w:rPr>
        <w:t xml:space="preserve"> </w:t>
      </w:r>
      <w:r w:rsidR="00742122" w:rsidRPr="00742122">
        <w:rPr>
          <w:lang w:val="en-GB" w:eastAsia="en-US"/>
        </w:rPr>
        <w:t>specifies a multimedia streaming overlay management protocol (MSOMP) that runs on the interface among entities of managed P2P communications. The management functionalities covered in this Recommendation include overlay network management including creation, modification, and termination and peer management including membership control and information maintenance. The protocol is applicable to various services such as multimedia streaming service and content distribution service over managed P2P communications. This Recommendation provides protocol operations and message formats.</w:t>
      </w:r>
    </w:p>
    <w:p w14:paraId="1F42479D" w14:textId="7B2908F3" w:rsidR="00E07444" w:rsidRPr="0039167D" w:rsidRDefault="00E07444" w:rsidP="00E07444">
      <w:pPr>
        <w:rPr>
          <w:lang w:val="en-GB" w:eastAsia="en-US"/>
        </w:rPr>
      </w:pPr>
      <w:r w:rsidRPr="0039167D">
        <w:rPr>
          <w:b/>
          <w:bCs/>
          <w:lang w:val="en-GB" w:eastAsia="en-US"/>
        </w:rPr>
        <w:t>ITU-T X.609.9 “Managed P2P communications: Overlay content management protocol” (under approval)</w:t>
      </w:r>
      <w:r w:rsidRPr="0039167D">
        <w:rPr>
          <w:lang w:val="en-GB" w:eastAsia="en-US"/>
        </w:rPr>
        <w:t xml:space="preserve"> specifies overlay content management protocol that supports of managing overlay content to be distributed over managed peer-to-peer network. This protocol is used between peer and IXS (index server) to manipulate the meta information needs to be shared among peers within a same overlay network. This Recommendation provides protocol message syntax and basic operations with information flows. In addition, this provides extended operations for using this protocol for various application services such as content distribution, multimedia streaming and data streaming.</w:t>
      </w:r>
    </w:p>
    <w:p w14:paraId="24421C51" w14:textId="36542857" w:rsidR="00CC7EF4" w:rsidRPr="0039167D" w:rsidRDefault="00CC7EF4" w:rsidP="00CC7EF4">
      <w:pPr>
        <w:rPr>
          <w:lang w:val="en-GB" w:eastAsia="en-US"/>
        </w:rPr>
      </w:pPr>
      <w:r w:rsidRPr="0039167D">
        <w:rPr>
          <w:b/>
          <w:bCs/>
          <w:lang w:val="en-GB" w:eastAsia="en-US"/>
        </w:rPr>
        <w:t>ITU-T X.609.10 “Managed P2P communications: Signalling requirements for data streaming” (under approval)</w:t>
      </w:r>
      <w:r w:rsidRPr="0039167D">
        <w:rPr>
          <w:lang w:val="en-GB" w:eastAsia="en-US"/>
        </w:rPr>
        <w:t xml:space="preserve"> defines the signalling requirements for data streaming that runs on the reference points among related entities of the managed P2P communications. Data streaming service is a service that delivers the data which a data source generates continuously or on a specific event. Different from audio or video frames in multimedia streaming service, each data generated </w:t>
      </w:r>
      <w:r w:rsidRPr="0039167D">
        <w:rPr>
          <w:lang w:val="en-GB" w:eastAsia="en-US"/>
        </w:rPr>
        <w:lastRenderedPageBreak/>
        <w:t>by the data source in the data streaming service can be processed independently. This Recommendation also addresses service procedures for providing data streaming services based on managed peer-to-peer networks.</w:t>
      </w:r>
    </w:p>
    <w:p w14:paraId="338DEAA6" w14:textId="1B7DE1BE" w:rsidR="00A17C46" w:rsidRDefault="00E12FA7" w:rsidP="00614A4C">
      <w:pPr>
        <w:rPr>
          <w:lang w:val="en-GB" w:eastAsia="en-US"/>
        </w:rPr>
      </w:pPr>
      <w:hyperlink r:id="rId266" w:history="1">
        <w:r w:rsidR="00A17C46" w:rsidRPr="00B13F8D">
          <w:rPr>
            <w:rStyle w:val="Hyperlink"/>
            <w:b/>
            <w:bCs/>
            <w:lang w:val="en-GB" w:eastAsia="en-US"/>
          </w:rPr>
          <w:t>ITU-T Y.2029 Amd.1 “A multi-path transmission control in multi-connection - Amendment 1</w:t>
        </w:r>
        <w:r w:rsidR="00614A4C" w:rsidRPr="00B13F8D">
          <w:rPr>
            <w:rStyle w:val="Hyperlink"/>
            <w:b/>
            <w:bCs/>
            <w:lang w:val="en-GB" w:eastAsia="en-US"/>
          </w:rPr>
          <w:t xml:space="preserve"> </w:t>
        </w:r>
        <w:r w:rsidR="00A17C46" w:rsidRPr="00B13F8D">
          <w:rPr>
            <w:rStyle w:val="Hyperlink"/>
            <w:b/>
            <w:bCs/>
            <w:lang w:val="en-GB" w:eastAsia="en-US"/>
          </w:rPr>
          <w:t>- New Annex A: Network equipment based multi-path transmission”</w:t>
        </w:r>
      </w:hyperlink>
      <w:r w:rsidR="00A17C46" w:rsidRPr="00B13F8D">
        <w:rPr>
          <w:b/>
          <w:bCs/>
          <w:lang w:val="en-GB" w:eastAsia="en-US"/>
        </w:rPr>
        <w:t xml:space="preserve"> </w:t>
      </w:r>
      <w:r w:rsidR="00614A4C" w:rsidRPr="00614A4C">
        <w:rPr>
          <w:lang w:val="en-GB" w:eastAsia="en-US"/>
        </w:rPr>
        <w:t>provides the text of network equipment based multi-path transmission including the necessity and technical considerations, capability requirements, scenarios, and information flows for supporting network equipment based multi-path transmission.</w:t>
      </w:r>
    </w:p>
    <w:p w14:paraId="4749F018" w14:textId="567BD197" w:rsidR="007A17AF" w:rsidRDefault="007A17AF" w:rsidP="007A17AF">
      <w:pPr>
        <w:rPr>
          <w:lang w:val="en-GB" w:eastAsia="en-US"/>
        </w:rPr>
      </w:pPr>
      <w:r w:rsidRPr="0039167D">
        <w:rPr>
          <w:b/>
          <w:bCs/>
          <w:lang w:val="en-GB" w:eastAsia="en-US"/>
        </w:rPr>
        <w:t>ITU-T Y.2245 “”Service model of the Agriculture Information based Convergence Service” (under approval):</w:t>
      </w:r>
      <w:r>
        <w:rPr>
          <w:lang w:val="en-GB" w:eastAsia="en-US"/>
        </w:rPr>
        <w:t xml:space="preserve"> </w:t>
      </w:r>
      <w:r w:rsidRPr="007A17AF">
        <w:rPr>
          <w:lang w:val="en-GB" w:eastAsia="en-US"/>
        </w:rPr>
        <w:t>Agricultural data is the key foundation for Smart Farm models, in which a wide range of Information and Communication Technology (ICT) such as IoT and Big Data are converged, to be operated and managed. Given the fact that every single stage in Smart Farm models from crop growing to selling requires appropriate data, it is crucial to have a well-established service model for data collection and its provision. This service model should gather and process data before providing it for users to enhance their farm business. By convergence of various data collected from each stage of production, the model should ensure higher quality of service. During the production stage, the convergence services are provided to increase crop quality and yield and reduce farm maintenance costs. This Recommendation provides more details about the service model.</w:t>
      </w:r>
    </w:p>
    <w:p w14:paraId="67247FAB" w14:textId="51B07151" w:rsidR="00BF6971" w:rsidRDefault="00E12FA7" w:rsidP="00BF6971">
      <w:pPr>
        <w:rPr>
          <w:lang w:val="en-GB" w:eastAsia="en-US"/>
        </w:rPr>
      </w:pPr>
      <w:hyperlink r:id="rId267" w:history="1">
        <w:r w:rsidR="00BF6971" w:rsidRPr="004A245D">
          <w:rPr>
            <w:rStyle w:val="Hyperlink"/>
            <w:b/>
            <w:bCs/>
            <w:lang w:val="en-GB" w:eastAsia="en-US"/>
          </w:rPr>
          <w:t xml:space="preserve">ITU-T </w:t>
        </w:r>
        <w:r w:rsidR="004A245D" w:rsidRPr="004A245D">
          <w:rPr>
            <w:rStyle w:val="Hyperlink"/>
            <w:b/>
            <w:bCs/>
            <w:lang w:val="en-GB" w:eastAsia="en-US"/>
          </w:rPr>
          <w:t>Y.Suppl.66</w:t>
        </w:r>
        <w:r w:rsidR="00BF6971" w:rsidRPr="004A245D">
          <w:rPr>
            <w:rStyle w:val="Hyperlink"/>
            <w:b/>
            <w:bCs/>
            <w:lang w:val="en-GB" w:eastAsia="en-US"/>
          </w:rPr>
          <w:t xml:space="preserve"> “Network 2030 Services: Capabilities, performance and design of new communications services for the Network 2030 applications”</w:t>
        </w:r>
      </w:hyperlink>
      <w:r w:rsidR="00BF6971">
        <w:rPr>
          <w:lang w:val="en-GB" w:eastAsia="en-US"/>
        </w:rPr>
        <w:t xml:space="preserve"> </w:t>
      </w:r>
      <w:r w:rsidR="00BF6971" w:rsidRPr="00BF6971">
        <w:rPr>
          <w:lang w:val="en-GB" w:eastAsia="en-US"/>
        </w:rPr>
        <w:t>tries to assess the new services and capabilities required by network 2030. This Supplement includes common terminology and definitions necessary for describing new services. It also analyses gaps in existing communication technology to provide the reasoning behind the new communication services that are proposed in this document.</w:t>
      </w:r>
    </w:p>
    <w:p w14:paraId="78F8186C" w14:textId="39199164" w:rsidR="009B2EFD" w:rsidRDefault="00E12FA7" w:rsidP="009B2EFD">
      <w:pPr>
        <w:rPr>
          <w:lang w:val="en-GB" w:eastAsia="en-US"/>
        </w:rPr>
      </w:pPr>
      <w:hyperlink r:id="rId268" w:history="1">
        <w:r w:rsidR="009B2EFD" w:rsidRPr="009B2EFD">
          <w:rPr>
            <w:rStyle w:val="Hyperlink"/>
            <w:b/>
            <w:bCs/>
            <w:lang w:val="en-GB" w:eastAsia="en-US"/>
          </w:rPr>
          <w:t>ITU-T Y.Suppl.67 “Representative use cases and key network requirements for Network 2030”</w:t>
        </w:r>
      </w:hyperlink>
      <w:r w:rsidR="009B2EFD">
        <w:rPr>
          <w:lang w:val="en-GB" w:eastAsia="en-US"/>
        </w:rPr>
        <w:t xml:space="preserve"> </w:t>
      </w:r>
      <w:r w:rsidR="009B2EFD" w:rsidRPr="009B2EFD">
        <w:rPr>
          <w:lang w:val="en-GB" w:eastAsia="en-US"/>
        </w:rPr>
        <w:t>presents at first seven representative use cases for Network 2030 with their potential key network requirements: Holographic Type Communications (HTC); Tactile Internet for Remote Operations (TIRO); Intelligent Operation Network (ION); Network and Computing Convergence (NCC); Digital Twin (DT); Space-Terrestrial Integrated Network (STIN); Industrial IoT (IIoT) with cloudification. Then, five overarching abstract requirement dimensions are proposed and scored relatively in order to compare the requirements of each use case, graphically. The rationale for consideration of these abstract dimensions is stated in detail, as well as an analysis of each use case from the abstract dimension perspective</w:t>
      </w:r>
      <w:r w:rsidR="0001345C">
        <w:rPr>
          <w:lang w:val="en-GB" w:eastAsia="en-US"/>
        </w:rPr>
        <w:t>.</w:t>
      </w:r>
    </w:p>
    <w:p w14:paraId="57F1C88D" w14:textId="7E910DCD" w:rsidR="005718E2" w:rsidRDefault="00E12FA7" w:rsidP="00BF1C84">
      <w:pPr>
        <w:rPr>
          <w:lang w:val="en-GB" w:eastAsia="en-US"/>
        </w:rPr>
      </w:pPr>
      <w:hyperlink r:id="rId269" w:history="1">
        <w:r w:rsidR="005718E2" w:rsidRPr="003873FF">
          <w:rPr>
            <w:rStyle w:val="Hyperlink"/>
            <w:b/>
            <w:bCs/>
            <w:lang w:val="en-GB" w:eastAsia="en-US"/>
          </w:rPr>
          <w:t xml:space="preserve">ITU-T Technical report </w:t>
        </w:r>
        <w:r w:rsidR="003873FF" w:rsidRPr="003873FF">
          <w:rPr>
            <w:rStyle w:val="Hyperlink"/>
            <w:b/>
            <w:bCs/>
            <w:lang w:val="en-GB" w:eastAsia="en-US"/>
          </w:rPr>
          <w:t xml:space="preserve">NET2030-DF </w:t>
        </w:r>
        <w:r w:rsidR="005718E2" w:rsidRPr="003873FF">
          <w:rPr>
            <w:rStyle w:val="Hyperlink"/>
            <w:b/>
            <w:bCs/>
            <w:lang w:val="en-GB" w:eastAsia="en-US"/>
          </w:rPr>
          <w:t>“Driving Forces and Vision towards Network 2030”</w:t>
        </w:r>
      </w:hyperlink>
      <w:r w:rsidR="005718E2" w:rsidRPr="005718E2">
        <w:rPr>
          <w:lang w:val="en-GB" w:eastAsia="en-US"/>
        </w:rPr>
        <w:t xml:space="preserve"> aims to provide a holistic vision for Network 2030, and analyses some fundamental driving forces by presenting four new network capability driven use cases and services. Accordingly, future-oriented challenges with potential network requirements are stated as well. Overall, this report provides an overview of Network 2030, finally leading to the three pillars of Network 2030, in terms of new applications, new services and new infrastructures.</w:t>
      </w:r>
    </w:p>
    <w:p w14:paraId="5B2895CD" w14:textId="09D24411" w:rsidR="0071195B" w:rsidRPr="0071195B" w:rsidRDefault="0071195B" w:rsidP="0071195B">
      <w:pPr>
        <w:rPr>
          <w:lang w:val="en-GB" w:eastAsia="en-US"/>
        </w:rPr>
      </w:pPr>
      <w:r w:rsidRPr="0039167D">
        <w:rPr>
          <w:b/>
          <w:bCs/>
          <w:lang w:val="en-GB" w:eastAsia="en-US"/>
        </w:rPr>
        <w:t>ITU-T Technical report “Use of ITU-T Recommendations by Developing Countries” (under publication)</w:t>
      </w:r>
      <w:r w:rsidRPr="0039167D">
        <w:rPr>
          <w:lang w:val="en-GB" w:eastAsia="en-US"/>
        </w:rPr>
        <w:t>:</w:t>
      </w:r>
      <w:r>
        <w:rPr>
          <w:lang w:val="en-GB" w:eastAsia="en-US"/>
        </w:rPr>
        <w:t xml:space="preserve"> </w:t>
      </w:r>
      <w:r w:rsidRPr="0071195B">
        <w:rPr>
          <w:lang w:val="en-GB" w:eastAsia="en-US"/>
        </w:rPr>
        <w:t>A standard is defined as a document established by consensus and approved by a recognized body.</w:t>
      </w:r>
      <w:r w:rsidR="00EA0195">
        <w:rPr>
          <w:lang w:val="en-GB" w:eastAsia="en-US"/>
        </w:rPr>
        <w:t xml:space="preserve"> </w:t>
      </w:r>
      <w:r w:rsidRPr="0071195B">
        <w:rPr>
          <w:lang w:val="en-GB" w:eastAsia="en-US"/>
        </w:rPr>
        <w:t>In the UN, the ITU-T is the recognized body for Telecommunication Standardization whose output Standards are known as ITU-T Recommendations. Countries use standards to maximize compatibility, interoperability, safety, repeatability, and quality among others.</w:t>
      </w:r>
      <w:r>
        <w:rPr>
          <w:lang w:val="en-GB" w:eastAsia="en-US"/>
        </w:rPr>
        <w:t xml:space="preserve"> </w:t>
      </w:r>
      <w:r w:rsidRPr="0071195B">
        <w:rPr>
          <w:lang w:val="en-GB" w:eastAsia="en-US"/>
        </w:rPr>
        <w:t xml:space="preserve">The ITU-T standardization process involves its members in the development of the standards, which they later utilize. The development of any standard is motivated by a present need to solve a problem or a future need to solve future problems. The expectation is that all countries on </w:t>
      </w:r>
      <w:r w:rsidRPr="0071195B">
        <w:rPr>
          <w:lang w:val="en-GB" w:eastAsia="en-US"/>
        </w:rPr>
        <w:lastRenderedPageBreak/>
        <w:t>either side of development, to actively participate in both the production and utilization of the standards. There is however a perception that there is less utilization of the ITU-T standards by Developing Countries.</w:t>
      </w:r>
    </w:p>
    <w:p w14:paraId="1DCB6DA2" w14:textId="3F07B3D6" w:rsidR="0071195B" w:rsidRPr="00952FDF" w:rsidRDefault="0071195B" w:rsidP="0071195B">
      <w:pPr>
        <w:rPr>
          <w:highlight w:val="yellow"/>
          <w:lang w:val="en-GB" w:eastAsia="en-US"/>
        </w:rPr>
      </w:pPr>
      <w:r w:rsidRPr="0071195B">
        <w:rPr>
          <w:lang w:val="en-GB" w:eastAsia="en-US"/>
        </w:rPr>
        <w:t>This document presents the analysis and interpretation of the results of the questionnaire on use of ITU-T Recommendations in Developing Countries.</w:t>
      </w:r>
    </w:p>
    <w:p w14:paraId="472C905D" w14:textId="77777777" w:rsidR="006A46AE" w:rsidRPr="00FB1F1B" w:rsidRDefault="006A46AE" w:rsidP="006A46AE">
      <w:pPr>
        <w:pStyle w:val="Headingb"/>
      </w:pPr>
      <w:bookmarkStart w:id="240" w:name="_Hlk50422856"/>
      <w:bookmarkStart w:id="241" w:name="_Toc480527894"/>
      <w:r w:rsidRPr="00FB1F1B">
        <w:t>I.2.3</w:t>
      </w:r>
      <w:r w:rsidRPr="00FB1F1B">
        <w:tab/>
        <w:t>IMT-2020/5G networks</w:t>
      </w:r>
    </w:p>
    <w:p w14:paraId="1A251235" w14:textId="6A4AEF35" w:rsidR="008F2AED" w:rsidRDefault="00E12FA7" w:rsidP="008F2AED">
      <w:hyperlink r:id="rId270" w:history="1">
        <w:r w:rsidR="008F2AED" w:rsidRPr="00CA204F">
          <w:rPr>
            <w:rStyle w:val="Hyperlink"/>
            <w:b/>
          </w:rPr>
          <w:t>ITU-T G.8300 “Characteristics of transport networks to support IMT-2020/5G”</w:t>
        </w:r>
      </w:hyperlink>
      <w:r w:rsidR="008F2AED">
        <w:t xml:space="preserve"> defines the requirements for the layer one transport network support for the 5G fronthaul, midhaul and backhaul networks as defined later in this document.</w:t>
      </w:r>
    </w:p>
    <w:p w14:paraId="406739B4" w14:textId="4889ED3C" w:rsidR="00B11EA1" w:rsidRPr="00B11EA1" w:rsidRDefault="00E12FA7" w:rsidP="00B11EA1">
      <w:hyperlink r:id="rId271" w:history="1">
        <w:r w:rsidR="00B11EA1" w:rsidRPr="0066572A">
          <w:rPr>
            <w:rStyle w:val="Hyperlink"/>
            <w:b/>
            <w:bCs/>
          </w:rPr>
          <w:t>ITU-T Q.5022 “Signalling procedure of energy efficient device-to-device communication for IMT-2020 network”</w:t>
        </w:r>
      </w:hyperlink>
      <w:r w:rsidR="00B11EA1" w:rsidRPr="0066572A">
        <w:t>: According to different surveys, the number of wireless devices may reach trillions by 2020. The massive increase of wireless devices will lead to different interconnection and communications challenges. In this regard, most of wireless devices would need to use D2D communication. In general, D2D communication may bring additional benefits to new wireless devices such as higher throughput, better cell coverage, spectrum efficiency and other valuable features of the cellular networks. However, still, there is a need to specify a procedure which may switch between two algorithms used for D2D communication according to the cell status, as follows:</w:t>
      </w:r>
    </w:p>
    <w:p w14:paraId="531D8648" w14:textId="6E04FAFD" w:rsidR="00B11EA1" w:rsidRPr="00B11EA1" w:rsidRDefault="00B11EA1" w:rsidP="0063096B">
      <w:pPr>
        <w:pStyle w:val="ListParagraph"/>
        <w:numPr>
          <w:ilvl w:val="0"/>
          <w:numId w:val="32"/>
        </w:numPr>
        <w:rPr>
          <w:rFonts w:ascii="Times New Roman" w:hAnsi="Times New Roman"/>
          <w:sz w:val="24"/>
          <w:szCs w:val="24"/>
        </w:rPr>
      </w:pPr>
      <w:r w:rsidRPr="00B11EA1">
        <w:rPr>
          <w:rFonts w:ascii="Times New Roman" w:hAnsi="Times New Roman"/>
          <w:sz w:val="24"/>
          <w:szCs w:val="24"/>
        </w:rPr>
        <w:t>communication algorithm which is used in a stable condition of the cell;</w:t>
      </w:r>
    </w:p>
    <w:p w14:paraId="2EB55478" w14:textId="1E81A4F9" w:rsidR="00B11EA1" w:rsidRPr="00B11EA1" w:rsidRDefault="00B11EA1" w:rsidP="0063096B">
      <w:pPr>
        <w:pStyle w:val="ListParagraph"/>
        <w:numPr>
          <w:ilvl w:val="0"/>
          <w:numId w:val="32"/>
        </w:numPr>
        <w:rPr>
          <w:rFonts w:ascii="Times New Roman" w:hAnsi="Times New Roman"/>
          <w:sz w:val="24"/>
          <w:szCs w:val="24"/>
        </w:rPr>
      </w:pPr>
      <w:r w:rsidRPr="00B11EA1">
        <w:rPr>
          <w:rFonts w:ascii="Times New Roman" w:hAnsi="Times New Roman"/>
          <w:sz w:val="24"/>
          <w:szCs w:val="24"/>
        </w:rPr>
        <w:t>communication algorithm which is used in the situation when the serving Base Station (BS) becomes unavailable in certain period of time.</w:t>
      </w:r>
    </w:p>
    <w:p w14:paraId="7D76510A" w14:textId="77777777" w:rsidR="00B11EA1" w:rsidRPr="00B11EA1" w:rsidRDefault="00B11EA1" w:rsidP="00B11EA1">
      <w:r w:rsidRPr="00B11EA1">
        <w:t>This procedure should be based on an energy efficient intra-cell clustering and the procedure should be able to reuse frequency between clusters. The key advantage of the procedure is the reducing of the signalling overhead.</w:t>
      </w:r>
    </w:p>
    <w:p w14:paraId="5C2B5741" w14:textId="68348633" w:rsidR="00B11EA1" w:rsidRPr="00B11EA1" w:rsidRDefault="60E05DEE" w:rsidP="00B11EA1">
      <w:pPr>
        <w:rPr>
          <w:highlight w:val="red"/>
        </w:rPr>
      </w:pPr>
      <w:r>
        <w:t>The Recommendation describes a D2D communication procedure to be used as a part of the IMT-2020 control plane.</w:t>
      </w:r>
    </w:p>
    <w:p w14:paraId="6ABC20EB" w14:textId="7EE6B4A3" w:rsidR="00082D27" w:rsidRPr="0039167D" w:rsidRDefault="05D3A4FF" w:rsidP="00F76D0F">
      <w:pPr>
        <w:rPr>
          <w:szCs w:val="24"/>
          <w:lang w:val="en-GB"/>
        </w:rPr>
      </w:pPr>
      <w:r w:rsidRPr="2B30A600">
        <w:rPr>
          <w:b/>
          <w:bCs/>
          <w:lang w:val="en-GB" w:eastAsia="en-US"/>
        </w:rPr>
        <w:t>ITU-T X.1811 “Security guidelines for applying quantum-safe algorithms in 5G systems” (under approval)</w:t>
      </w:r>
      <w:r w:rsidR="00F76D0F">
        <w:rPr>
          <w:b/>
          <w:bCs/>
          <w:lang w:val="en-GB" w:eastAsia="en-US"/>
        </w:rPr>
        <w:t xml:space="preserve"> </w:t>
      </w:r>
      <w:r w:rsidR="5BBF0B3F" w:rsidRPr="2B30A600">
        <w:rPr>
          <w:szCs w:val="24"/>
          <w:lang w:val="en-GB"/>
        </w:rPr>
        <w:t>identifies threats raised by quantum computing to fifth generation (5G) systems through assessing the security strength of currently used cryptographic algorithms. This Recommendation briefly reviewed quantum safe algorithms, including both symmetric and asymmetric types, and provides guidelines for applying quantum safe algorithms in 5G systems.</w:t>
      </w:r>
    </w:p>
    <w:p w14:paraId="0CB478CA" w14:textId="74C53FC8" w:rsidR="00082D27" w:rsidRPr="0039167D" w:rsidRDefault="60D09001" w:rsidP="2B30A600">
      <w:pPr>
        <w:rPr>
          <w:lang w:val="en-GB" w:eastAsia="en-US"/>
        </w:rPr>
      </w:pPr>
      <w:r w:rsidRPr="2B30A600">
        <w:rPr>
          <w:b/>
          <w:bCs/>
          <w:lang w:val="en-GB" w:eastAsia="en-US"/>
        </w:rPr>
        <w:t>ITU-T Y.3075 “Requirements and capabilities of Information Centric Networking routing and forwarding based on control and user plane separation in IMT-2020” (under approval)</w:t>
      </w:r>
      <w:r w:rsidRPr="2B30A600">
        <w:rPr>
          <w:lang w:val="en-GB" w:eastAsia="en-US"/>
        </w:rPr>
        <w:t xml:space="preserve"> specifies service requirements and functional requirements of ICN routing and forwarding based on control and user plane separation in IMT-2020. In addition, the capabilities of ICN routing and forwarding in control plane and data plane are described with considering different scenarios. Finally, the security consideration is discussed.</w:t>
      </w:r>
    </w:p>
    <w:p w14:paraId="7621A2EA" w14:textId="55A0AEE4" w:rsidR="000702B2" w:rsidRPr="0039167D" w:rsidRDefault="000702B2" w:rsidP="000702B2">
      <w:pPr>
        <w:rPr>
          <w:lang w:val="en-GB" w:eastAsia="en-US"/>
        </w:rPr>
      </w:pPr>
      <w:r w:rsidRPr="0039167D">
        <w:rPr>
          <w:b/>
          <w:bCs/>
          <w:lang w:val="en-GB" w:eastAsia="en-US"/>
        </w:rPr>
        <w:t>ITU-T Y.3076 “Architecture of ICN-enabled Edge Network in IMT-2020” (under approval)</w:t>
      </w:r>
      <w:r w:rsidRPr="0039167D">
        <w:rPr>
          <w:lang w:val="en-GB" w:eastAsia="en-US"/>
        </w:rPr>
        <w:t xml:space="preserve"> specifies the requirements and architecture about ICN-enabled edge network in IMT-2020. 1) From the service and network operation point of view, it discusses detailed requirements of ICN-enabled Edge network in IMT-2020. 2) It provides architecture of ICN-enabled edge network. 3) It describes the key functions and interfaces to satisfy the requirements of ICN-enabled edge network.</w:t>
      </w:r>
    </w:p>
    <w:p w14:paraId="10623606" w14:textId="4CE0B80F" w:rsidR="008E7AEC" w:rsidRPr="0039167D" w:rsidRDefault="008E7AEC" w:rsidP="008E7AEC">
      <w:pPr>
        <w:rPr>
          <w:lang w:val="en-GB" w:eastAsia="en-US"/>
        </w:rPr>
      </w:pPr>
      <w:r w:rsidRPr="0039167D">
        <w:rPr>
          <w:b/>
          <w:bCs/>
          <w:lang w:val="en-GB" w:eastAsia="en-US"/>
        </w:rPr>
        <w:t>ITU-T Y.3109 “QoS requirements and framework for virtual reality delivery using mobile edge computing supported by IMT-2020” (under approval)</w:t>
      </w:r>
      <w:r w:rsidRPr="0039167D">
        <w:rPr>
          <w:lang w:val="en-GB" w:eastAsia="en-US"/>
        </w:rPr>
        <w:t xml:space="preserve"> specifies Quality of Service (QoS) requirements and a framework for virtual reality delivery using mobile edge computing in IMT-2020. It first provides an introduction on virtual reality delivery using mobile edging computing </w:t>
      </w:r>
      <w:r w:rsidRPr="0039167D">
        <w:rPr>
          <w:lang w:val="en-GB" w:eastAsia="en-US"/>
        </w:rPr>
        <w:lastRenderedPageBreak/>
        <w:t>supported by International Mobile Telecommunications (IMT) 2020 network. It then specifies QoS requirements and a framework. The classification of VR services and the detailed VR service factors that become a basis for identifying requirements are specified in Appendix I and II. The typical VR user cases and guidelines for deployments of VR services are described in Appendix III and VI.</w:t>
      </w:r>
    </w:p>
    <w:p w14:paraId="64020212" w14:textId="2026626C" w:rsidR="00DC2077" w:rsidRPr="0039167D" w:rsidRDefault="00DC2077" w:rsidP="00DC2077">
      <w:pPr>
        <w:rPr>
          <w:lang w:val="en-GB" w:eastAsia="en-US"/>
        </w:rPr>
      </w:pPr>
      <w:r w:rsidRPr="0039167D">
        <w:rPr>
          <w:b/>
          <w:bCs/>
          <w:lang w:val="en-GB" w:eastAsia="en-US"/>
        </w:rPr>
        <w:t>ITU-T Y.3134 “IMT-2020 fixed mobile convergence functional requirements for management and orchestration” (under approval)</w:t>
      </w:r>
      <w:r w:rsidRPr="0039167D">
        <w:rPr>
          <w:lang w:val="en-GB" w:eastAsia="en-US"/>
        </w:rPr>
        <w:t xml:space="preserve"> gives specification about IMT-2020 FMC functional requirements for management and orchestration in order to realize unified network management and resource orchestration functions in IMT-2020 FMC context. The functional requirements include general aspect, resource aspect, service aspect, user aspect and performance aspect of IMT-2020 FMC functional requirements for management and orchestration. The afore-mentioned functional requirements are beneficial to network operators and service providers to design, deploy and operate network in IMT-2020 FMC context.</w:t>
      </w:r>
    </w:p>
    <w:p w14:paraId="7B9A85C6" w14:textId="74B4E010" w:rsidR="00CA0BE8" w:rsidRPr="0039167D" w:rsidRDefault="00CA0BE8" w:rsidP="00CA0BE8">
      <w:pPr>
        <w:rPr>
          <w:lang w:val="en-GB" w:eastAsia="en-US"/>
        </w:rPr>
      </w:pPr>
      <w:r w:rsidRPr="0039167D">
        <w:rPr>
          <w:b/>
          <w:bCs/>
          <w:lang w:val="en-GB" w:eastAsia="en-US"/>
        </w:rPr>
        <w:t>ITU-T Y.3136 “Session management for fixed mobile convergence in IMT-2020 networks” (under approval)</w:t>
      </w:r>
      <w:r w:rsidRPr="0039167D">
        <w:rPr>
          <w:lang w:val="en-GB" w:eastAsia="en-US"/>
        </w:rPr>
        <w:t xml:space="preserve"> describes the scenarios, general requirements and design principles of session management (SM) for fixed mobile convergence (FMC) in IMT-2020 networks. This Recommendation describes the functional architecture and key functions of session management for supporting FMC in IMT-2020 networks. This Recommendation provides information flows of PDU session management and traffic routing management for FMC in IMT-2020 networks.</w:t>
      </w:r>
    </w:p>
    <w:p w14:paraId="413321EC" w14:textId="0CF24260" w:rsidR="00047D72" w:rsidRPr="00047D72" w:rsidRDefault="00047D72" w:rsidP="00047D72">
      <w:pPr>
        <w:rPr>
          <w:lang w:val="en-GB" w:eastAsia="en-US"/>
        </w:rPr>
      </w:pPr>
      <w:r w:rsidRPr="0039167D">
        <w:rPr>
          <w:b/>
          <w:bCs/>
          <w:lang w:val="en-GB" w:eastAsia="en-US"/>
        </w:rPr>
        <w:t>ITU-T Y.3150 (revised) “High-level technical characteristics of network softwarization for IMT-2020” (under approval)</w:t>
      </w:r>
      <w:r w:rsidRPr="0039167D">
        <w:rPr>
          <w:lang w:val="en-GB" w:eastAsia="en-US"/>
        </w:rPr>
        <w:t>:</w:t>
      </w:r>
      <w:r>
        <w:rPr>
          <w:lang w:val="en-GB" w:eastAsia="en-US"/>
        </w:rPr>
        <w:t xml:space="preserve"> </w:t>
      </w:r>
      <w:r w:rsidRPr="00047D72">
        <w:rPr>
          <w:lang w:val="en-GB" w:eastAsia="en-US"/>
        </w:rPr>
        <w:t>With the global recognition of the usefulness of network slicing technology, which is the most typical substantiation of the network softwarization approach, this Recommendation describes how network softwarization and network slicing contribute to IMT-2020 systems. It explores network slicing from two viewpoints: vertical and horizontal aspects. The Recommendation further describes network slicing for mobile fronthaul/backhaul, introduction to advanced data-plane programmability, and capability exposure. These technical characteristic descriptions are expected to lead to their detailed study.</w:t>
      </w:r>
    </w:p>
    <w:p w14:paraId="5A04C111" w14:textId="3C0E944E" w:rsidR="00047D72" w:rsidRDefault="00047D72" w:rsidP="00047D72">
      <w:pPr>
        <w:rPr>
          <w:lang w:val="en-GB" w:eastAsia="en-US"/>
        </w:rPr>
      </w:pPr>
      <w:r w:rsidRPr="00047D72">
        <w:rPr>
          <w:lang w:val="en-GB" w:eastAsia="en-US"/>
        </w:rPr>
        <w:t>This revision contains i) the change of a basic model, which contains SDN, NFV, cloud computing and other technical environments, and ii) security consideration for network slicing.</w:t>
      </w:r>
      <w:r w:rsidR="00EA0195">
        <w:rPr>
          <w:lang w:val="en-GB" w:eastAsia="en-US"/>
        </w:rPr>
        <w:t xml:space="preserve"> </w:t>
      </w:r>
      <w:r w:rsidRPr="00047D72">
        <w:rPr>
          <w:lang w:val="en-GB" w:eastAsia="en-US"/>
        </w:rPr>
        <w:t>In addition, informative information on hierarchical orchestration is included.</w:t>
      </w:r>
    </w:p>
    <w:p w14:paraId="576D3F2F" w14:textId="4144BDDD" w:rsidR="007E5476" w:rsidRDefault="00E12FA7" w:rsidP="007E5476">
      <w:hyperlink r:id="rId272" w:history="1">
        <w:r w:rsidR="007E5476" w:rsidRPr="0087274F">
          <w:rPr>
            <w:rStyle w:val="Hyperlink"/>
            <w:b/>
            <w:bCs/>
          </w:rPr>
          <w:t>ITU-T Y.3154 “Resource pooling for scalable network slice service management and orchestration in the IMT-2020 network”</w:t>
        </w:r>
      </w:hyperlink>
      <w:r w:rsidR="00381493" w:rsidRPr="0087274F">
        <w:t>:</w:t>
      </w:r>
      <w:r w:rsidR="007E5476" w:rsidRPr="0087274F">
        <w:t xml:space="preserve"> </w:t>
      </w:r>
      <w:r w:rsidR="00381493" w:rsidRPr="00381493">
        <w:t>Managing the lifecycle of network slices has recently caught much attention as well as constructing end-to-end network slices. Especially, the agility and flexibility in resource allocation to network slices becomes more important for rapid service delivery to network slice service customers in the IMT-2020 network. This Recommendation describes scalable service management and orchestration framework using the middle layer named ‘Resource Pool’, which intensively stores a variety of virtual resources information collected from the underlying infrastructure layer relevant to network slice instances. Network slice instances can be created from the resources reserved according to network slice service demand forecast. The proposed approach in this Recommendation is generic and thus applicable to wide variety of organizational entities in network slicing such as network infrastructure provider, network slice provider, network slice service provider, and network slice service customer.</w:t>
      </w:r>
    </w:p>
    <w:p w14:paraId="0534936B" w14:textId="064DE858" w:rsidR="006174F6" w:rsidRPr="0039167D" w:rsidRDefault="006174F6" w:rsidP="006174F6">
      <w:r w:rsidRPr="0039167D">
        <w:rPr>
          <w:b/>
          <w:bCs/>
        </w:rPr>
        <w:t>ITU-T Y.3155 “Enhanced SDN Data Plane for IMT-2020” (under approval)</w:t>
      </w:r>
      <w:r w:rsidRPr="0039167D">
        <w:t xml:space="preserve"> provides the requirements and high-level architecture of enhanced SDN data plane (ESDP) for IMT-2020 which is aiming to provide improved support for relevant requirements of the network. Based on the high-level architecture, it specifies functional blocks, reference points, and work flow of ESDP.</w:t>
      </w:r>
    </w:p>
    <w:p w14:paraId="75D722C0" w14:textId="5CA23606" w:rsidR="00DC3E56" w:rsidRPr="0039167D" w:rsidRDefault="00DC3E56" w:rsidP="00DC3E56">
      <w:r w:rsidRPr="0039167D">
        <w:rPr>
          <w:b/>
          <w:bCs/>
        </w:rPr>
        <w:lastRenderedPageBreak/>
        <w:t>ITU-T Y.3156 “Framework of network slicing with AI-assisted analysis in IMT-2020 networks” (under approval)</w:t>
      </w:r>
      <w:r w:rsidRPr="0039167D">
        <w:t>: For the future enhanced operation and maintenance management of network slicing with the purpose of satisfying users' service level agreement (SLA) requirements, this Recommendation describes the requirements and functional roles of AI-assisted analysis which supports the lifecycle management and orchestration of network slicing.</w:t>
      </w:r>
    </w:p>
    <w:p w14:paraId="3CF704E8" w14:textId="423024D5" w:rsidR="00B95657" w:rsidRPr="00166972" w:rsidRDefault="00E12FA7" w:rsidP="00B95657">
      <w:pPr>
        <w:rPr>
          <w:lang w:val="en-GB"/>
        </w:rPr>
      </w:pPr>
      <w:hyperlink r:id="rId273" w:history="1">
        <w:r w:rsidR="00B95657" w:rsidRPr="00840D33">
          <w:rPr>
            <w:rStyle w:val="Hyperlink"/>
            <w:b/>
            <w:lang w:val="en-GB"/>
          </w:rPr>
          <w:t>ITU-T Y.3173 “Framework for evaluating intelligence level</w:t>
        </w:r>
        <w:r w:rsidR="00166972" w:rsidRPr="00840D33">
          <w:rPr>
            <w:rStyle w:val="Hyperlink"/>
            <w:b/>
            <w:lang w:val="en-GB"/>
          </w:rPr>
          <w:t>s</w:t>
        </w:r>
        <w:r w:rsidR="00B95657" w:rsidRPr="00840D33">
          <w:rPr>
            <w:rStyle w:val="Hyperlink"/>
            <w:b/>
            <w:lang w:val="en-GB"/>
          </w:rPr>
          <w:t xml:space="preserve"> of future networks inc</w:t>
        </w:r>
        <w:r w:rsidR="00166972" w:rsidRPr="00840D33">
          <w:rPr>
            <w:rStyle w:val="Hyperlink"/>
            <w:b/>
            <w:lang w:val="en-GB"/>
          </w:rPr>
          <w:t>luding IMT-2020”</w:t>
        </w:r>
      </w:hyperlink>
      <w:r w:rsidR="00166972" w:rsidRPr="00166972">
        <w:rPr>
          <w:b/>
          <w:lang w:val="en-GB"/>
        </w:rPr>
        <w:t xml:space="preserve"> </w:t>
      </w:r>
      <w:r w:rsidR="00166972" w:rsidRPr="00166972">
        <w:rPr>
          <w:lang w:val="en-GB"/>
        </w:rPr>
        <w:t>specifies a framework for evaluating the intelligence of future networks including IMT-2020. A method for evaluating the intelligence levels of future networks including IMT-2020 is introduced. An architecture view for evaluating network intelligence levels is also described according to the architectural framework specified in [ITU-T Y.3172]. In addition, the relationship between the framework described in this Recommendation and corresponding work in other standards or industry bodies, as well as the application of the method for evaluating network intelligence levels on several representative use cases are also provided.</w:t>
      </w:r>
    </w:p>
    <w:p w14:paraId="2B052E57" w14:textId="0664A920" w:rsidR="00502738" w:rsidRDefault="00E12FA7" w:rsidP="00502738">
      <w:pPr>
        <w:rPr>
          <w:lang w:val="en-GB"/>
        </w:rPr>
      </w:pPr>
      <w:hyperlink r:id="rId274" w:history="1">
        <w:r w:rsidR="00502738" w:rsidRPr="00840D33">
          <w:rPr>
            <w:rStyle w:val="Hyperlink"/>
            <w:b/>
            <w:lang w:val="en-GB"/>
          </w:rPr>
          <w:t>ITU-T Y.3174 “Framework for data handling to enable machine learning in future networks including IMT-2020”</w:t>
        </w:r>
      </w:hyperlink>
      <w:r w:rsidR="00502738" w:rsidRPr="00570C56">
        <w:rPr>
          <w:lang w:val="en-GB"/>
        </w:rPr>
        <w:t>: A framework for data handling to enable machine learning in future networks including IMT-2020 is described in this Recommendation. The requirements for data collection and processing mechanisms in various usage scenarios for machine learning in future networks including IMT-2020 are identified along with the requirements for applying machine learning output in the machine learning underlay network. Based on this, a generic framework for data handling and examples of its realization on specific underlying networks are described.</w:t>
      </w:r>
    </w:p>
    <w:p w14:paraId="5EB8E7C5" w14:textId="598A1265" w:rsidR="00D64135" w:rsidRPr="00570C56" w:rsidRDefault="00E12FA7" w:rsidP="00E945B8">
      <w:pPr>
        <w:rPr>
          <w:lang w:val="en-GB"/>
        </w:rPr>
      </w:pPr>
      <w:hyperlink r:id="rId275" w:history="1">
        <w:r w:rsidR="00D64135" w:rsidRPr="00722C49">
          <w:rPr>
            <w:rStyle w:val="Hyperlink"/>
            <w:b/>
            <w:bCs/>
            <w:lang w:val="en-GB"/>
          </w:rPr>
          <w:t>ITU-T Y.3175 “Functional architecture of machine learning based quality of service assurance for the IMT-2020 network”</w:t>
        </w:r>
      </w:hyperlink>
      <w:r w:rsidR="00D64135" w:rsidRPr="00D64135">
        <w:rPr>
          <w:lang w:val="en-GB"/>
        </w:rPr>
        <w:t xml:space="preserve"> </w:t>
      </w:r>
      <w:r w:rsidR="00E945B8" w:rsidRPr="00E945B8">
        <w:rPr>
          <w:lang w:val="en-GB"/>
        </w:rPr>
        <w:t>specifies a functional architecture of machine learning based quality of service (QoS) assurance for the international mobile telecommunications 2020 (IMT-2020) network. It first provides an overview of architectural framework for machine learning in IMT-2020 [ITU-T Y.3172]. It then describes the functional architecture of machine learning based QoS assurance for the IMT-2020 network including the reference points. It finally specifies the procedures of machine learning based QoS assurance for the IMT-2020 network.</w:t>
      </w:r>
    </w:p>
    <w:p w14:paraId="20F0906C" w14:textId="6E79F50F" w:rsidR="00030BBF" w:rsidRPr="00570C56" w:rsidRDefault="00030BBF" w:rsidP="00030BBF">
      <w:pPr>
        <w:rPr>
          <w:lang w:val="en-GB"/>
        </w:rPr>
      </w:pPr>
      <w:r w:rsidRPr="0039167D">
        <w:rPr>
          <w:b/>
          <w:bCs/>
          <w:lang w:val="en-GB"/>
        </w:rPr>
        <w:t>ITU-T Y.3176 “Machine learning marketplace integration in future networks including IMT-2020” (under approval)</w:t>
      </w:r>
      <w:r>
        <w:rPr>
          <w:lang w:val="en-GB"/>
        </w:rPr>
        <w:t xml:space="preserve"> </w:t>
      </w:r>
      <w:r w:rsidRPr="00030BBF">
        <w:rPr>
          <w:lang w:val="en-GB"/>
        </w:rPr>
        <w:t>provides high-level requirements and the architecture for integrating ML marketplaces in future networks including IMT-2020. Based on these requirements, the architecture for the integration of ML marketplaces is described taking into account the architectural framework in [ITU-T Y.3172] as a basis.</w:t>
      </w:r>
    </w:p>
    <w:p w14:paraId="554F042C" w14:textId="15A068C2" w:rsidR="006B08B6" w:rsidRDefault="00E12FA7" w:rsidP="006B08B6">
      <w:pPr>
        <w:rPr>
          <w:lang w:val="en-GB" w:eastAsia="en-US"/>
        </w:rPr>
      </w:pPr>
      <w:hyperlink r:id="rId276" w:history="1">
        <w:r w:rsidR="006B08B6" w:rsidRPr="004B44CE">
          <w:rPr>
            <w:rStyle w:val="Hyperlink"/>
            <w:b/>
            <w:bCs/>
            <w:lang w:val="en-GB" w:eastAsia="en-US"/>
          </w:rPr>
          <w:t>ITU-T Y.Suppl.59 to ITU-T Y.3100 of Recommendations “IMT-2020 standardization roadmap”</w:t>
        </w:r>
      </w:hyperlink>
      <w:r w:rsidR="006B08B6">
        <w:rPr>
          <w:lang w:val="en-GB" w:eastAsia="en-US"/>
        </w:rPr>
        <w:t xml:space="preserve"> </w:t>
      </w:r>
      <w:r w:rsidR="006B08B6" w:rsidRPr="006B08B6">
        <w:rPr>
          <w:lang w:val="en-GB" w:eastAsia="en-US"/>
        </w:rPr>
        <w:t>represents the snapshot of the current status of standardization activities on IMT-2020. It is based on the IMT-2020 standards roadmap, an online project maintained by the JCA-IMT2020 since its establishment.</w:t>
      </w:r>
    </w:p>
    <w:p w14:paraId="45DF94B2" w14:textId="4DA2D732" w:rsidR="00EA5BC5" w:rsidRPr="00952FDF" w:rsidRDefault="00E12FA7" w:rsidP="00EA5BC5">
      <w:pPr>
        <w:rPr>
          <w:highlight w:val="yellow"/>
          <w:lang w:val="en-GB" w:eastAsia="en-US"/>
        </w:rPr>
      </w:pPr>
      <w:hyperlink r:id="rId277" w:history="1">
        <w:r w:rsidR="007C208E">
          <w:rPr>
            <w:rStyle w:val="Hyperlink"/>
            <w:b/>
            <w:bCs/>
            <w:lang w:val="en-GB" w:eastAsia="en-US"/>
          </w:rPr>
          <w:t>ITU-T Y</w:t>
        </w:r>
        <w:r w:rsidR="00EA5BC5" w:rsidRPr="00EA5BC5">
          <w:rPr>
            <w:rStyle w:val="Hyperlink"/>
            <w:b/>
            <w:bCs/>
            <w:lang w:val="en-GB" w:eastAsia="en-US"/>
          </w:rPr>
          <w:t>.Suppl.64 “Awareness on Use Cases and Migration Aspects of IMT-2020”</w:t>
        </w:r>
      </w:hyperlink>
      <w:r w:rsidR="00EA5BC5" w:rsidRPr="00EA5BC5">
        <w:rPr>
          <w:b/>
          <w:bCs/>
          <w:lang w:val="en-GB" w:eastAsia="en-US"/>
        </w:rPr>
        <w:t>:</w:t>
      </w:r>
      <w:r w:rsidR="00EA5BC5">
        <w:rPr>
          <w:lang w:val="en-GB" w:eastAsia="en-US"/>
        </w:rPr>
        <w:t xml:space="preserve"> </w:t>
      </w:r>
      <w:r w:rsidR="00EA5BC5" w:rsidRPr="00EA5BC5">
        <w:rPr>
          <w:lang w:val="en-GB" w:eastAsia="en-US"/>
        </w:rPr>
        <w:t>IMT-2020 is rapidly evolving and for many organizations, including administrations, it is important to have awareness of these new developments. At this stage, it is critical to have awareness on use cases of IMT-2020 and possible migration scenarios from existing networks to IMT-2020. This Supplement to the ITU-T Recommendation series Y.3100 on IMT-2020 has been developed to provide awareness, on use cases and migration aspects of IMT-2020. The supplement was developed by Q5/13 with initial collaboration of Q20/13.</w:t>
      </w:r>
    </w:p>
    <w:bookmarkEnd w:id="240"/>
    <w:p w14:paraId="2315E48A" w14:textId="77777777" w:rsidR="006A46AE" w:rsidRPr="00C512C7" w:rsidRDefault="006A46AE" w:rsidP="006A46AE">
      <w:pPr>
        <w:pStyle w:val="Headingb"/>
      </w:pPr>
      <w:r w:rsidRPr="00C512C7">
        <w:t>I.2.4</w:t>
      </w:r>
      <w:r w:rsidRPr="00C512C7">
        <w:tab/>
        <w:t>Home networking</w:t>
      </w:r>
    </w:p>
    <w:p w14:paraId="19ED41E6" w14:textId="3F2D44D1" w:rsidR="006A46AE" w:rsidRDefault="00E12FA7" w:rsidP="006A46AE">
      <w:pPr>
        <w:rPr>
          <w:lang w:val="en-GB"/>
        </w:rPr>
      </w:pPr>
      <w:hyperlink r:id="rId278" w:history="1">
        <w:r w:rsidR="006A46AE" w:rsidRPr="00840D33">
          <w:rPr>
            <w:rStyle w:val="Hyperlink"/>
            <w:b/>
            <w:bCs/>
            <w:lang w:val="en-GB"/>
          </w:rPr>
          <w:t>ITU-T G.9960 (2018) Amd.1 "Unified high-speed wire-line based home networking transceivers - System architecture and physical layer specifica</w:t>
        </w:r>
        <w:r w:rsidR="00C512C7" w:rsidRPr="00840D33">
          <w:rPr>
            <w:rStyle w:val="Hyperlink"/>
            <w:b/>
            <w:bCs/>
            <w:lang w:val="en-GB"/>
          </w:rPr>
          <w:t>tion: Amendment 1"</w:t>
        </w:r>
      </w:hyperlink>
      <w:r w:rsidR="00C512C7" w:rsidRPr="00840D33">
        <w:rPr>
          <w:bCs/>
          <w:lang w:val="en-GB"/>
        </w:rPr>
        <w:t xml:space="preserve"> </w:t>
      </w:r>
      <w:r w:rsidR="00C512C7" w:rsidRPr="00C512C7">
        <w:rPr>
          <w:lang w:val="en-GB"/>
        </w:rPr>
        <w:t xml:space="preserve">includes </w:t>
      </w:r>
      <w:r w:rsidR="00C512C7" w:rsidRPr="00C512C7">
        <w:rPr>
          <w:lang w:val="en-GB"/>
        </w:rPr>
        <w:lastRenderedPageBreak/>
        <w:t>the extension of the Recommendation to operate on an extended bandwidth over coaxial and phoneline mediums, multi-level coding and RCM schemes.</w:t>
      </w:r>
    </w:p>
    <w:p w14:paraId="40C93635" w14:textId="176AEB4A" w:rsidR="00DE469B" w:rsidRPr="00C512C7" w:rsidRDefault="00E12FA7" w:rsidP="00DE469B">
      <w:pPr>
        <w:rPr>
          <w:lang w:val="en-GB"/>
        </w:rPr>
      </w:pPr>
      <w:hyperlink r:id="rId279" w:history="1">
        <w:r w:rsidR="00DE469B" w:rsidRPr="003838A0">
          <w:rPr>
            <w:rStyle w:val="Hyperlink"/>
            <w:b/>
            <w:lang w:val="en-GB"/>
          </w:rPr>
          <w:t>ITU-T G.9960 (2018) Amd.2 “Unified high-speed wire-line based home networking transceivers - System architecture and physical layer specification”</w:t>
        </w:r>
      </w:hyperlink>
      <w:r w:rsidR="00DE469B" w:rsidRPr="003838A0">
        <w:rPr>
          <w:bCs/>
          <w:lang w:val="en-GB"/>
        </w:rPr>
        <w:t xml:space="preserve"> </w:t>
      </w:r>
      <w:r w:rsidR="00DE469B" w:rsidRPr="00DE469B">
        <w:rPr>
          <w:lang w:val="en-GB"/>
        </w:rPr>
        <w:t>includes a new Annex R on the use of reverse power feeding techniques for G.hn over coaxial media, and adds a field to the PHY frame header of the MAP to better control PSD levels in complex networks such as those for Smart Grid applications.</w:t>
      </w:r>
    </w:p>
    <w:p w14:paraId="0227A66E" w14:textId="32E4CB49" w:rsidR="006A46AE" w:rsidRDefault="00E12FA7" w:rsidP="006A46AE">
      <w:pPr>
        <w:rPr>
          <w:lang w:eastAsia="en-US"/>
        </w:rPr>
      </w:pPr>
      <w:hyperlink r:id="rId280" w:history="1">
        <w:r w:rsidR="006A46AE" w:rsidRPr="00CB7595">
          <w:rPr>
            <w:rStyle w:val="Hyperlink"/>
            <w:b/>
            <w:lang w:val="en-GB"/>
          </w:rPr>
          <w:t>ITU-T G.9961 (2018) Amd.1 "Unified high-speed wireline-based home networking transceivers – Data link layer specification: Amendment 1"</w:t>
        </w:r>
      </w:hyperlink>
      <w:r w:rsidR="006A46AE" w:rsidRPr="00DF5DEB">
        <w:rPr>
          <w:lang w:val="en-GB"/>
        </w:rPr>
        <w:t xml:space="preserve"> </w:t>
      </w:r>
      <w:r w:rsidR="00DF5DEB" w:rsidRPr="00DF5DEB">
        <w:rPr>
          <w:lang w:eastAsia="en-US"/>
        </w:rPr>
        <w:t>includes a new physical layer specification. This new physical layer provides new modulation mechanisms (e.g. Multi Level Coding) and Robust Communication Mode (RCM) and allows the system to be operated over an extended bandwidth for coaxial and phoneline mediums.</w:t>
      </w:r>
    </w:p>
    <w:p w14:paraId="7DD7372F" w14:textId="2A0A77B9" w:rsidR="001C68A0" w:rsidRDefault="00E12FA7" w:rsidP="001C68A0">
      <w:pPr>
        <w:rPr>
          <w:lang w:eastAsia="en-US"/>
        </w:rPr>
      </w:pPr>
      <w:hyperlink r:id="rId281" w:history="1">
        <w:r w:rsidR="001C68A0" w:rsidRPr="002C3A16">
          <w:rPr>
            <w:rStyle w:val="Hyperlink"/>
            <w:b/>
            <w:lang w:eastAsia="en-US"/>
          </w:rPr>
          <w:t>ITU-T G.9961 (2018) Amd.2 “Unified high-speed wireline-based home networking transceivers - Data link layer specification - Amendment 2”</w:t>
        </w:r>
      </w:hyperlink>
      <w:r w:rsidR="001C68A0">
        <w:rPr>
          <w:lang w:eastAsia="en-US"/>
        </w:rPr>
        <w:t xml:space="preserve"> includes a new Annex D on IEEE 802.1X port-based network access control, means for delivering management data across the A interface, and support for a wider range of applications of the G.hn technology (e.g., means to indicate the category of applications and actual application that the domain is implementing).</w:t>
      </w:r>
    </w:p>
    <w:p w14:paraId="5F31FFE9" w14:textId="0ED81F3E" w:rsidR="001A3D8A" w:rsidRDefault="00E12FA7" w:rsidP="001A3D8A">
      <w:pPr>
        <w:rPr>
          <w:lang w:eastAsia="en-US"/>
        </w:rPr>
      </w:pPr>
      <w:hyperlink r:id="rId282" w:history="1">
        <w:r w:rsidR="001A3D8A" w:rsidRPr="004C420D">
          <w:rPr>
            <w:rStyle w:val="Hyperlink"/>
            <w:b/>
            <w:lang w:eastAsia="en-US"/>
          </w:rPr>
          <w:t>ITU-T G.9962 Amd.1 “Unified high-speed wire-line based home networking transceivers - Management specification - Amendment 1”</w:t>
        </w:r>
      </w:hyperlink>
      <w:r w:rsidR="001A3D8A">
        <w:rPr>
          <w:lang w:eastAsia="en-US"/>
        </w:rPr>
        <w:t xml:space="preserve"> includes a new logical interface between the Security Controller Entity and the Domain Master Management Entity.</w:t>
      </w:r>
    </w:p>
    <w:p w14:paraId="0EDD677D" w14:textId="072D3777" w:rsidR="00241D55" w:rsidRPr="00241D55" w:rsidRDefault="00E12FA7" w:rsidP="00241D55">
      <w:pPr>
        <w:rPr>
          <w:b/>
          <w:lang w:eastAsia="en-US"/>
        </w:rPr>
      </w:pPr>
      <w:hyperlink r:id="rId283" w:history="1">
        <w:r w:rsidR="00241D55" w:rsidRPr="00EB4C1D">
          <w:rPr>
            <w:rStyle w:val="Hyperlink"/>
            <w:b/>
            <w:lang w:eastAsia="en-US"/>
          </w:rPr>
          <w:t>ITU-T G.9964 (2011) Amd.3 “Unified high-speed wireline-based home networking transceivers – Power spectral density specification - Amendment 3”</w:t>
        </w:r>
      </w:hyperlink>
      <w:r w:rsidR="00241D55" w:rsidRPr="00241D55">
        <w:rPr>
          <w:b/>
          <w:lang w:eastAsia="en-US"/>
        </w:rPr>
        <w:t xml:space="preserve"> </w:t>
      </w:r>
      <w:r w:rsidR="00241D55">
        <w:t>includes the extension of the Recommendation to operate on an extended bandwidth over coaxial and phoneline mediums.</w:t>
      </w:r>
    </w:p>
    <w:p w14:paraId="4EF18727" w14:textId="28606D78" w:rsidR="007E0302" w:rsidRDefault="00E12FA7" w:rsidP="007E0302">
      <w:pPr>
        <w:rPr>
          <w:lang w:eastAsia="en-US"/>
        </w:rPr>
      </w:pPr>
      <w:hyperlink r:id="rId284" w:history="1">
        <w:r w:rsidR="007E0302" w:rsidRPr="003E2E50">
          <w:rPr>
            <w:rStyle w:val="Hyperlink"/>
            <w:b/>
            <w:lang w:eastAsia="en-US"/>
          </w:rPr>
          <w:t>ITU-T G.9991 (2019) Amd.1 “High-speed indoor visible light communication transceiver - System architecture, physical layer and data link layer specification (Amendment 1)”</w:t>
        </w:r>
      </w:hyperlink>
      <w:r w:rsidR="007E0302">
        <w:rPr>
          <w:lang w:eastAsia="en-US"/>
        </w:rPr>
        <w:t xml:space="preserve"> includes updates on security to accept IEEE 802.1X-based authentication and alignment with G.9960/G.9961 Recommendations.</w:t>
      </w:r>
    </w:p>
    <w:p w14:paraId="67E7A433" w14:textId="460A641F" w:rsidR="00FF1858" w:rsidRPr="00FF1858" w:rsidRDefault="00FF1858" w:rsidP="00FF1858">
      <w:pPr>
        <w:rPr>
          <w:lang w:val="en-GB"/>
        </w:rPr>
      </w:pPr>
      <w:r>
        <w:rPr>
          <w:b/>
          <w:lang w:val="en-GB"/>
        </w:rPr>
        <w:t xml:space="preserve">ITU-T </w:t>
      </w:r>
      <w:r w:rsidRPr="00FF1858">
        <w:rPr>
          <w:b/>
          <w:lang w:val="en-GB"/>
        </w:rPr>
        <w:t>Technical Paper</w:t>
      </w:r>
      <w:r>
        <w:rPr>
          <w:b/>
          <w:lang w:val="en-GB"/>
        </w:rPr>
        <w:t xml:space="preserve"> “</w:t>
      </w:r>
      <w:r w:rsidRPr="00FF1858">
        <w:rPr>
          <w:b/>
          <w:lang w:val="en-GB"/>
        </w:rPr>
        <w:t>Use of G.hn in Industrial Applications</w:t>
      </w:r>
      <w:r>
        <w:rPr>
          <w:b/>
          <w:lang w:val="en-GB"/>
        </w:rPr>
        <w:t xml:space="preserve">” </w:t>
      </w:r>
      <w:r w:rsidRPr="00FF1858">
        <w:rPr>
          <w:lang w:val="en-GB"/>
        </w:rPr>
        <w:t>summarizes a set of use cases for G.hn based PLC in industrial applications. Each use case is discussed by description and requirement for PLC technology. This document intends to provide guidance for G.hn based PLC technology to enter a new area beyond home network.</w:t>
      </w:r>
    </w:p>
    <w:p w14:paraId="7EE01A15" w14:textId="61496281" w:rsidR="006A46AE" w:rsidRPr="000D60C1" w:rsidRDefault="7905E7F1" w:rsidP="006A46AE">
      <w:pPr>
        <w:pStyle w:val="Headingb"/>
      </w:pPr>
      <w:r w:rsidRPr="000D60C1">
        <w:t>I.2.5</w:t>
      </w:r>
      <w:r w:rsidR="006A46AE" w:rsidRPr="000D60C1">
        <w:tab/>
      </w:r>
      <w:r w:rsidRPr="000D60C1">
        <w:t>Smart Grid</w:t>
      </w:r>
    </w:p>
    <w:p w14:paraId="6622E5D3" w14:textId="44229880" w:rsidR="0FA0FFBB" w:rsidRDefault="00E12FA7" w:rsidP="222B8D80">
      <w:hyperlink r:id="rId285" w:history="1">
        <w:r w:rsidR="003F0A07" w:rsidRPr="003D1A3C">
          <w:rPr>
            <w:rStyle w:val="Hyperlink"/>
            <w:b/>
            <w:lang w:val="en-GB"/>
          </w:rPr>
          <w:t>ITU-T X.1332 “Security guidelines for smart metering service in smart grids”</w:t>
        </w:r>
      </w:hyperlink>
      <w:r w:rsidR="003F0A07" w:rsidRPr="003D1A3C">
        <w:rPr>
          <w:bCs/>
          <w:lang w:val="en-GB"/>
        </w:rPr>
        <w:t>:</w:t>
      </w:r>
      <w:r w:rsidR="00821509">
        <w:rPr>
          <w:lang w:val="en-GB"/>
        </w:rPr>
        <w:t xml:space="preserve"> </w:t>
      </w:r>
      <w:r w:rsidR="00821509">
        <w:rPr>
          <w:bCs/>
          <w:lang w:val="en-GB"/>
        </w:rPr>
        <w:t>This Recommendation</w:t>
      </w:r>
      <w:r w:rsidR="0FA0FFBB">
        <w:t xml:space="preserve"> </w:t>
      </w:r>
      <w:r w:rsidR="6D5CA136">
        <w:t>provides security guidelines for smart metering services to enable service providers to implement appropriate security measures to ensure security of their service. This Recommendation identifies security threats and attack methods against smart metering services and specifies security requirements and capabilities to mitigate these threats and attacks accordingly</w:t>
      </w:r>
      <w:r w:rsidR="0FA0FFBB">
        <w:t>.</w:t>
      </w:r>
    </w:p>
    <w:p w14:paraId="7655961B" w14:textId="77777777" w:rsidR="006A46AE" w:rsidRPr="00A10F95" w:rsidRDefault="502438F5" w:rsidP="006A46AE">
      <w:pPr>
        <w:pStyle w:val="Headingb"/>
      </w:pPr>
      <w:r w:rsidRPr="00A10F95">
        <w:t>I.2.6</w:t>
      </w:r>
      <w:r w:rsidR="006A46AE" w:rsidRPr="00A10F95">
        <w:tab/>
      </w:r>
      <w:r w:rsidRPr="00A10F95">
        <w:t>Software-defined networking</w:t>
      </w:r>
      <w:bookmarkEnd w:id="241"/>
    </w:p>
    <w:p w14:paraId="72D30E3B" w14:textId="62262565" w:rsidR="4495ED75" w:rsidRPr="00E20273" w:rsidRDefault="4495ED75" w:rsidP="00B12DAE">
      <w:r w:rsidRPr="00B12DAE">
        <w:rPr>
          <w:b/>
          <w:bCs/>
        </w:rPr>
        <w:t>ITU-T X.1046 “Guideline on software-defined security in SDN (Software-defined Networking)/NFV (Network Function Virtualization) network” (under approval)</w:t>
      </w:r>
      <w:r w:rsidR="639448A6" w:rsidRPr="008E7489">
        <w:t xml:space="preserve"> specifies a framework of software-defined security – in software defined networks (SDN) and the network functions virtualization (NFV) network. This new framework utilizes the key advantages of SDN/NFV technologies such as on-demand capacity scale-in/scale-out, dynamic and intelligent security policy control in regarding the real-time network status, separated deploy of control layer and data forwarding layers, full view of traffic for monitoring and u</w:t>
      </w:r>
      <w:r w:rsidR="639448A6" w:rsidRPr="00E20273">
        <w:t>nified security policy setting.</w:t>
      </w:r>
    </w:p>
    <w:p w14:paraId="592E45F7" w14:textId="0C9D7E4F" w:rsidR="006A46AE" w:rsidRDefault="006A46AE" w:rsidP="006A46AE">
      <w:pPr>
        <w:pStyle w:val="Headingb"/>
      </w:pPr>
      <w:bookmarkStart w:id="242" w:name="_Toc480527895"/>
      <w:r w:rsidRPr="00FB1F1B">
        <w:lastRenderedPageBreak/>
        <w:t>I.2.7</w:t>
      </w:r>
      <w:r w:rsidRPr="00FB1F1B">
        <w:tab/>
        <w:t>Cloud computing</w:t>
      </w:r>
      <w:bookmarkEnd w:id="242"/>
    </w:p>
    <w:p w14:paraId="4E8F135B" w14:textId="77777777" w:rsidR="00C524C0" w:rsidRDefault="00E12FA7" w:rsidP="00C524C0">
      <w:pPr>
        <w:rPr>
          <w:lang w:val="en-GB"/>
        </w:rPr>
      </w:pPr>
      <w:hyperlink r:id="rId286" w:history="1">
        <w:r w:rsidR="00C524C0" w:rsidRPr="00940675">
          <w:rPr>
            <w:rStyle w:val="Hyperlink"/>
            <w:b/>
            <w:bCs/>
            <w:lang w:val="en-GB"/>
          </w:rPr>
          <w:t>ITU-T X.1604 “Security requirements of network as a service (NaaS) in cloud computing”</w:t>
        </w:r>
      </w:hyperlink>
      <w:r w:rsidR="00C524C0" w:rsidRPr="00C941ED">
        <w:rPr>
          <w:lang w:val="en-GB"/>
        </w:rPr>
        <w:t xml:space="preserve"> </w:t>
      </w:r>
      <w:r w:rsidR="00C524C0" w:rsidRPr="00940675">
        <w:rPr>
          <w:lang w:val="en-GB"/>
        </w:rPr>
        <w:t>analyses security threats and challenges on network as a service (NaaS) in cloud computing and specifies security requirements of NaaS in NaaS application, NaaS platform and NaaS connectivity aspects based on corresponding cloud capability types</w:t>
      </w:r>
      <w:r w:rsidR="00C524C0" w:rsidRPr="00C941ED">
        <w:rPr>
          <w:lang w:val="en-GB"/>
        </w:rPr>
        <w:t>.</w:t>
      </w:r>
    </w:p>
    <w:p w14:paraId="61E66911" w14:textId="77777777" w:rsidR="00C524C0" w:rsidRDefault="00E12FA7" w:rsidP="00C524C0">
      <w:pPr>
        <w:rPr>
          <w:szCs w:val="24"/>
        </w:rPr>
      </w:pPr>
      <w:hyperlink r:id="rId287" w:history="1">
        <w:r w:rsidR="00C524C0" w:rsidRPr="003E3CF4">
          <w:rPr>
            <w:rStyle w:val="Hyperlink"/>
            <w:b/>
            <w:bCs/>
            <w:szCs w:val="24"/>
          </w:rPr>
          <w:t>ITU-T X.1605 “Security requirements of public infrastructure as a service (IaaS) in cloud computing</w:t>
        </w:r>
      </w:hyperlink>
      <w:r w:rsidR="00C524C0" w:rsidRPr="003E3CF4">
        <w:rPr>
          <w:b/>
          <w:bCs/>
          <w:szCs w:val="24"/>
        </w:rPr>
        <w:t>”:</w:t>
      </w:r>
      <w:r w:rsidR="00C524C0">
        <w:rPr>
          <w:szCs w:val="24"/>
        </w:rPr>
        <w:t xml:space="preserve"> </w:t>
      </w:r>
      <w:r w:rsidR="00C524C0" w:rsidRPr="003E3CF4">
        <w:rPr>
          <w:szCs w:val="24"/>
        </w:rPr>
        <w:t>Infrastructure as a service (IaaS) platforms and virtualized services face different, and perhaps more, challenges and threats than traditional information technology infrastructure and application. IaaS platforms that share computing, storage and networking services need protections specific to threats in IaaS environment. This Recommendation aims to document security requirements of public IaaS in order to help IaaS providers to improve security of IaaS platform throughout the planning, building and operating stages</w:t>
      </w:r>
      <w:r w:rsidR="00C524C0" w:rsidRPr="00906790">
        <w:rPr>
          <w:szCs w:val="24"/>
        </w:rPr>
        <w:t>.</w:t>
      </w:r>
    </w:p>
    <w:p w14:paraId="5F59974D" w14:textId="37FFCA32" w:rsidR="00C524C0" w:rsidRPr="0039167D" w:rsidRDefault="00C524C0" w:rsidP="00C524C0">
      <w:pPr>
        <w:rPr>
          <w:lang w:val="en-GB"/>
        </w:rPr>
      </w:pPr>
      <w:r w:rsidRPr="0039167D">
        <w:rPr>
          <w:b/>
          <w:lang w:val="en-GB"/>
        </w:rPr>
        <w:t xml:space="preserve">ITU-T X.1606 “Security requirements for communications as a service application environments” (under </w:t>
      </w:r>
      <w:r w:rsidR="001808A0">
        <w:rPr>
          <w:b/>
          <w:lang w:val="en-GB"/>
        </w:rPr>
        <w:t>publication</w:t>
      </w:r>
      <w:r w:rsidRPr="0039167D">
        <w:rPr>
          <w:b/>
          <w:lang w:val="en-GB"/>
        </w:rPr>
        <w:t>)</w:t>
      </w:r>
      <w:r>
        <w:rPr>
          <w:lang w:val="en-GB"/>
        </w:rPr>
        <w:t xml:space="preserve"> </w:t>
      </w:r>
      <w:r w:rsidRPr="004D4525">
        <w:rPr>
          <w:lang w:val="en-GB"/>
        </w:rPr>
        <w:t>identifies security threats and recommends security requirements for communications as a service (CaaS) application environments. This Recommendation describes scenarios and features of CaaS containing multi-communication capabilities. Then it identifies specific threats arising from unique CaaS features and recommends appropriate CaaS security requirements.</w:t>
      </w:r>
    </w:p>
    <w:p w14:paraId="6A6FF900" w14:textId="26B83EB7" w:rsidR="003B1760" w:rsidRPr="0039167D" w:rsidRDefault="003B1760" w:rsidP="003B1760">
      <w:pPr>
        <w:rPr>
          <w:lang w:val="en-GB"/>
        </w:rPr>
      </w:pPr>
      <w:r w:rsidRPr="0039167D">
        <w:rPr>
          <w:b/>
          <w:bCs/>
          <w:lang w:val="en-GB"/>
        </w:rPr>
        <w:t>ITU-T Y.3525 “Cloud computing - Requirements for cloud service development and operation management” (under approval)</w:t>
      </w:r>
      <w:r w:rsidRPr="0039167D">
        <w:rPr>
          <w:lang w:val="en-GB"/>
        </w:rPr>
        <w:t xml:space="preserve"> specifies functional requirements of cloud service development and operation management based on the analysis of corresponding use cases.</w:t>
      </w:r>
    </w:p>
    <w:p w14:paraId="35D425BB" w14:textId="3F5C768D" w:rsidR="0050368E" w:rsidRPr="0039167D" w:rsidRDefault="0050368E" w:rsidP="0050368E">
      <w:pPr>
        <w:rPr>
          <w:lang w:val="en-GB"/>
        </w:rPr>
      </w:pPr>
      <w:r w:rsidRPr="0039167D">
        <w:rPr>
          <w:b/>
          <w:bCs/>
          <w:lang w:val="en-GB"/>
        </w:rPr>
        <w:t>ITU-T Y.3530 “Cloud computing - Functional requirements for blockchain as a service” (under approval)</w:t>
      </w:r>
      <w:r w:rsidRPr="0039167D">
        <w:rPr>
          <w:lang w:val="en-GB"/>
        </w:rPr>
        <w:t>: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deploy and operate decentralized applications. This Recommendation introduces blockchain and blockchain as a service. This Recommendation also provides functional requirements of blockchain as a service which is derived from use cases.</w:t>
      </w:r>
    </w:p>
    <w:p w14:paraId="3E13C37B" w14:textId="77777777" w:rsidR="006A46AE" w:rsidRPr="00856513" w:rsidRDefault="006A46AE" w:rsidP="006A46AE">
      <w:pPr>
        <w:pStyle w:val="Headingb"/>
      </w:pPr>
      <w:r w:rsidRPr="00856513">
        <w:t>I.2.8</w:t>
      </w:r>
      <w:r w:rsidRPr="00856513">
        <w:tab/>
        <w:t>Big data</w:t>
      </w:r>
    </w:p>
    <w:p w14:paraId="24B24EED" w14:textId="75393775" w:rsidR="00704014" w:rsidRPr="0039167D" w:rsidRDefault="00704014" w:rsidP="00704014">
      <w:pPr>
        <w:rPr>
          <w:lang w:val="en-GB"/>
        </w:rPr>
      </w:pPr>
      <w:r w:rsidRPr="0039167D">
        <w:rPr>
          <w:b/>
          <w:lang w:val="en-GB"/>
        </w:rPr>
        <w:t>ITU-T F.743.20 “Assessment framework for big data infrastructure” (under approval)</w:t>
      </w:r>
      <w:r>
        <w:rPr>
          <w:b/>
          <w:bCs/>
          <w:lang w:val="en-GB"/>
        </w:rPr>
        <w:t xml:space="preserve"> </w:t>
      </w:r>
      <w:r w:rsidRPr="00704014">
        <w:rPr>
          <w:lang w:val="en-GB"/>
        </w:rPr>
        <w:t>gives an assessment framework of big data infrastructure, which includes functional metrics, performance metrics, scalability metrics, security metrics, operation metrics and compatibility metrics.</w:t>
      </w:r>
    </w:p>
    <w:p w14:paraId="301403C0" w14:textId="7DC5A915" w:rsidR="003F25D5" w:rsidRPr="00952FDF" w:rsidRDefault="003F25D5" w:rsidP="003F25D5">
      <w:pPr>
        <w:rPr>
          <w:highlight w:val="yellow"/>
          <w:lang w:val="en-GB"/>
        </w:rPr>
      </w:pPr>
      <w:r w:rsidRPr="0039167D">
        <w:rPr>
          <w:b/>
          <w:lang w:val="en-GB"/>
        </w:rPr>
        <w:t xml:space="preserve">ITU-T X.1750 “Guidelines on security of big data as a service for Big Data Service Providers” (under </w:t>
      </w:r>
      <w:r w:rsidR="001808A0">
        <w:rPr>
          <w:b/>
          <w:lang w:val="en-GB"/>
        </w:rPr>
        <w:t>publication</w:t>
      </w:r>
      <w:r w:rsidRPr="0039167D">
        <w:rPr>
          <w:b/>
          <w:lang w:val="en-GB"/>
        </w:rPr>
        <w:t>):</w:t>
      </w:r>
      <w:r>
        <w:rPr>
          <w:lang w:val="en-GB"/>
        </w:rPr>
        <w:t xml:space="preserve"> </w:t>
      </w:r>
      <w:r w:rsidRPr="006C5792">
        <w:rPr>
          <w:lang w:val="en-GB"/>
        </w:rPr>
        <w:t>Big data as a service (BDaaS) is a cloud service category that provides cloud service customers with capabilities to collect, store, analyse, visualize and manage big data, as specified in ITU-T Y.3600. With remarkable growth of data volumes and rapid development of big data business, big data infrastructure has become the central facility to provide BDaaS. Consequently, significant security issues arise for BDaaS. For example, open source big data software design sometimes fails to take security into consideration from the beginning. New technologies introduced by big data analytics can also result in failure of traditional security protection measures. Recommendation X.GSBDaaS analyses security challenges BDaaS faces, identifies security roles and responsibilities for provision of BDaaS, as well as a security framework for a big data infrastructure. It also specifies security protection measures that should be satisfied for services and components related to BDaaS.</w:t>
      </w:r>
    </w:p>
    <w:p w14:paraId="488D7FC5" w14:textId="5578CD45" w:rsidR="00F3309E" w:rsidRDefault="00F3309E" w:rsidP="00F3309E">
      <w:pPr>
        <w:rPr>
          <w:highlight w:val="yellow"/>
          <w:lang w:val="en-GB"/>
        </w:rPr>
      </w:pPr>
      <w:r w:rsidRPr="0039167D">
        <w:rPr>
          <w:b/>
          <w:lang w:val="en-GB"/>
        </w:rPr>
        <w:lastRenderedPageBreak/>
        <w:t xml:space="preserve">ITU-T X.1751 “Security guidelines on big data lifecycle management for telecommunication operators” (under </w:t>
      </w:r>
      <w:r w:rsidR="001808A0">
        <w:rPr>
          <w:b/>
          <w:lang w:val="en-GB"/>
        </w:rPr>
        <w:t>publication</w:t>
      </w:r>
      <w:r w:rsidRPr="0039167D">
        <w:rPr>
          <w:b/>
          <w:lang w:val="en-GB"/>
        </w:rPr>
        <w:t>)</w:t>
      </w:r>
      <w:r>
        <w:rPr>
          <w:lang w:val="en-GB"/>
        </w:rPr>
        <w:t xml:space="preserve"> </w:t>
      </w:r>
      <w:r w:rsidRPr="006E6F52">
        <w:rPr>
          <w:lang w:val="en-GB"/>
        </w:rPr>
        <w:t>analyses security vulnerabilities and provides security guidelines on the big data lifecycle management for telecommunication operators.</w:t>
      </w:r>
      <w:r>
        <w:rPr>
          <w:lang w:val="en-GB"/>
        </w:rPr>
        <w:t xml:space="preserve"> </w:t>
      </w:r>
      <w:r w:rsidRPr="006E6F52">
        <w:rPr>
          <w:lang w:val="en-GB"/>
        </w:rPr>
        <w:t>With rapid development of big data technology, the value of data has substantially increased. Big data bring new opportunities to telecommunication services. Previously, data were siloed and managed independently in different telecommunication service systems. Data aggregation and fusion trends are inevitable with the construction of big data services. In the process of data fusion convergence, data flow on platforms and in service processes. Data face various security vulnerabilities at different stages of its lifecycle.</w:t>
      </w:r>
      <w:r>
        <w:rPr>
          <w:lang w:val="en-GB"/>
        </w:rPr>
        <w:t xml:space="preserve"> </w:t>
      </w:r>
      <w:r w:rsidRPr="006E6F52">
        <w:rPr>
          <w:lang w:val="en-GB"/>
        </w:rPr>
        <w:t>This Recommendation introduces specific characteristics of telecommunication big data services and data categories, analyses security vulnerabilities of big data lifecycle management, specifies security guidelines for telecommunication operators.</w:t>
      </w:r>
    </w:p>
    <w:p w14:paraId="666794BB" w14:textId="29D7C7FE" w:rsidR="004B19DD" w:rsidRDefault="00E12FA7" w:rsidP="004B19DD">
      <w:pPr>
        <w:rPr>
          <w:lang w:val="en-GB"/>
        </w:rPr>
      </w:pPr>
      <w:hyperlink r:id="rId288" w:history="1">
        <w:r w:rsidR="004B19DD" w:rsidRPr="001C03B7">
          <w:rPr>
            <w:rStyle w:val="Hyperlink"/>
            <w:b/>
            <w:lang w:val="en-GB"/>
          </w:rPr>
          <w:t>ITU-T Y.3604 “Big data – Overview and requirements for data preservation”</w:t>
        </w:r>
      </w:hyperlink>
      <w:r w:rsidR="004B19DD" w:rsidRPr="00F965BE">
        <w:rPr>
          <w:lang w:val="en-GB"/>
        </w:rPr>
        <w:t xml:space="preserve"> provides the overview of big data preservation and its requirements which are derived from the corresponding use cases. It addresses the subjects of overview of big data preservation, functional requirements of big data preservation as well as use cases of big data preservation.</w:t>
      </w:r>
    </w:p>
    <w:p w14:paraId="56201EB5" w14:textId="42BAC48E" w:rsidR="0088159A" w:rsidRDefault="0088159A" w:rsidP="0088159A">
      <w:pPr>
        <w:rPr>
          <w:lang w:val="en-GB"/>
        </w:rPr>
      </w:pPr>
      <w:r w:rsidRPr="0039167D">
        <w:rPr>
          <w:b/>
          <w:bCs/>
          <w:lang w:val="en-GB"/>
        </w:rPr>
        <w:t>ITU-T Y.3605 “Big data - Reference architecture” (under approval)</w:t>
      </w:r>
      <w:r w:rsidRPr="0039167D">
        <w:rPr>
          <w:lang w:val="en-GB"/>
        </w:rPr>
        <w:t xml:space="preserve"> defines</w:t>
      </w:r>
      <w:r w:rsidRPr="0088159A">
        <w:rPr>
          <w:lang w:val="en-GB"/>
        </w:rPr>
        <w:t xml:space="preserve"> Big Data Reference Architecture (BDRA) that can serve as a fundamental reference point for big data standardization and which provides an overall framework for the basic concepts and principles of big data. The Recommendation provides a description of reference architecture concepts, two distinct viewpoints including user view and functional view, and also cross cutting aspects. Furthermore, the Recommendation addresses layering framework, functional components within framework and detailed functional descriptions for big data.</w:t>
      </w:r>
    </w:p>
    <w:p w14:paraId="692C56C3" w14:textId="5DF2958A" w:rsidR="00427893" w:rsidRPr="00F965BE" w:rsidRDefault="00E12FA7" w:rsidP="008A2CFA">
      <w:pPr>
        <w:rPr>
          <w:lang w:val="en-GB"/>
        </w:rPr>
      </w:pPr>
      <w:hyperlink r:id="rId289" w:history="1">
        <w:r w:rsidR="00427893" w:rsidRPr="002E22D1">
          <w:rPr>
            <w:rStyle w:val="Hyperlink"/>
            <w:b/>
            <w:bCs/>
            <w:lang w:val="en-GB"/>
          </w:rPr>
          <w:t>ITU-T Y.3652 “Requirements of big data driven networking”</w:t>
        </w:r>
      </w:hyperlink>
      <w:r w:rsidR="00427893" w:rsidRPr="002E22D1">
        <w:rPr>
          <w:lang w:val="en-GB"/>
        </w:rPr>
        <w:t>:</w:t>
      </w:r>
      <w:r w:rsidR="00427893" w:rsidRPr="00427893">
        <w:rPr>
          <w:lang w:val="en-GB"/>
        </w:rPr>
        <w:t xml:space="preserve"> </w:t>
      </w:r>
      <w:r w:rsidR="008A2CFA" w:rsidRPr="008A2CFA">
        <w:rPr>
          <w:lang w:val="en-GB"/>
        </w:rPr>
        <w:t>Big data driven networking (bDDN) is a group of technologies and methods to facilitate network operation, administration, maintenance and optimization etc. based on the big data generated by the network and a series of methods and tools. That is to say, big data generated by the network are used to serve for the network and make the network better. This Recommendation specifies requirements of big data driven networking. This Recommendation studies general requirements for big data driven networking, requirements of big data plane for big data driven networking, requirements of network plane for big data driven networking, requirements of management plane for big data driven networking, interface requirements for big data driven networking.</w:t>
      </w:r>
    </w:p>
    <w:p w14:paraId="357C1E62" w14:textId="5263F8F5" w:rsidR="006A46AE" w:rsidRPr="00BF5201" w:rsidRDefault="006A46AE" w:rsidP="006A46AE">
      <w:pPr>
        <w:pStyle w:val="Headingb"/>
      </w:pPr>
      <w:r w:rsidRPr="00BF5201">
        <w:t>I.2.9</w:t>
      </w:r>
      <w:r w:rsidRPr="00BF5201">
        <w:tab/>
        <w:t>Network Management</w:t>
      </w:r>
    </w:p>
    <w:p w14:paraId="04AC8404" w14:textId="5FEA814F" w:rsidR="004349FA" w:rsidRPr="00EA6FEB" w:rsidRDefault="00E12FA7" w:rsidP="004349FA">
      <w:pPr>
        <w:rPr>
          <w:lang w:val="en-GB" w:eastAsia="en-US"/>
        </w:rPr>
      </w:pPr>
      <w:hyperlink r:id="rId290" w:history="1">
        <w:r w:rsidR="004349FA" w:rsidRPr="00C13752">
          <w:rPr>
            <w:rStyle w:val="Hyperlink"/>
            <w:b/>
            <w:lang w:val="en-GB" w:eastAsia="en-US"/>
          </w:rPr>
          <w:t>ITU-T M.3041 “Framework of smart operation, management and maintenance”</w:t>
        </w:r>
      </w:hyperlink>
      <w:r w:rsidR="004349FA" w:rsidRPr="00EA6FEB">
        <w:rPr>
          <w:lang w:val="en-GB" w:eastAsia="en-US"/>
        </w:rPr>
        <w:t xml:space="preserve"> introduces framework of smart operation, management and maintenance (SOMM). In this Recommendation, characteristics, scenarios and the functional architecture of SOMM are provided to support service operation, network management, and infrastructure maintenance for both traditional non-SDN/NFV and SDN/NFV aware networks. This Recommendation also describes the relationship of the functional architecture of SOMM with logical layered architecture (LLA) of telecommunications management network (TMN).</w:t>
      </w:r>
    </w:p>
    <w:p w14:paraId="08F6D7A1" w14:textId="2B05CF12" w:rsidR="00B2267A" w:rsidRPr="00B2267A" w:rsidRDefault="00E12FA7" w:rsidP="00B2267A">
      <w:pPr>
        <w:rPr>
          <w:bCs/>
          <w:highlight w:val="red"/>
          <w:lang w:val="en-GB" w:eastAsia="en-US"/>
        </w:rPr>
      </w:pPr>
      <w:hyperlink r:id="rId291" w:history="1">
        <w:r w:rsidR="00B2267A" w:rsidRPr="004170B3">
          <w:rPr>
            <w:rStyle w:val="Hyperlink"/>
            <w:b/>
            <w:lang w:val="en-GB" w:eastAsia="en-US"/>
          </w:rPr>
          <w:t>ITU-T M.3164 “Generic information model for on-site telecommunication smart maintenance”</w:t>
        </w:r>
      </w:hyperlink>
      <w:r w:rsidR="00B2267A" w:rsidRPr="00B2267A">
        <w:rPr>
          <w:bCs/>
          <w:lang w:val="en-GB" w:eastAsia="en-US"/>
        </w:rPr>
        <w:t xml:space="preserve"> introduces the generic information model for on-site telecommunication smart maintenance. In this Recommendation, the definition and description of the generic information object classes, attributes and the relationship between object classes are provided. This Recommendation also provides examples of each information object class and a diagram of all the example instances.</w:t>
      </w:r>
    </w:p>
    <w:p w14:paraId="6BE46B43" w14:textId="6B0FDCDB" w:rsidR="004349FA" w:rsidRPr="00640D0A" w:rsidRDefault="00E12FA7" w:rsidP="004349FA">
      <w:pPr>
        <w:rPr>
          <w:lang w:val="en-GB" w:eastAsia="en-US"/>
        </w:rPr>
      </w:pPr>
      <w:hyperlink r:id="rId292" w:history="1">
        <w:r w:rsidR="004349FA" w:rsidRPr="0044416C">
          <w:rPr>
            <w:rStyle w:val="Hyperlink"/>
            <w:b/>
            <w:lang w:val="en-GB" w:eastAsia="en-US"/>
          </w:rPr>
          <w:t>ITU-T M.3362 “Requirements for Telecommunication anti-Fraud Management in the TMN”</w:t>
        </w:r>
      </w:hyperlink>
      <w:r w:rsidR="004349FA" w:rsidRPr="0044416C">
        <w:rPr>
          <w:lang w:val="en-GB" w:eastAsia="en-US"/>
        </w:rPr>
        <w:t xml:space="preserve"> </w:t>
      </w:r>
      <w:r w:rsidR="001770F4" w:rsidRPr="00640D0A">
        <w:rPr>
          <w:lang w:val="en-GB" w:eastAsia="en-US"/>
        </w:rPr>
        <w:t xml:space="preserve">describes the requirements for telecommunication anti-fraud management in the telecommunication </w:t>
      </w:r>
      <w:r w:rsidR="001770F4" w:rsidRPr="00640D0A">
        <w:rPr>
          <w:lang w:val="en-GB" w:eastAsia="en-US"/>
        </w:rPr>
        <w:lastRenderedPageBreak/>
        <w:t>management network (TMN), the functional framework for combating telecommunication fraud management and the functional description. The requirements for telecommunication anti-fraud management include fraud detection management, fraud monitoring management, fraud mitigation management and fraud information sharing management. This Recommendation also describes telecommunication fraud scenarios including nuisance calls and spoofing calls.</w:t>
      </w:r>
    </w:p>
    <w:p w14:paraId="09C6C887" w14:textId="0FEBFCF6" w:rsidR="004349FA" w:rsidRPr="002B085D" w:rsidRDefault="00E12FA7" w:rsidP="004349FA">
      <w:pPr>
        <w:rPr>
          <w:lang w:val="en-GB" w:eastAsia="en-US"/>
        </w:rPr>
      </w:pPr>
      <w:hyperlink r:id="rId293" w:history="1">
        <w:r w:rsidR="004349FA" w:rsidRPr="001D522C">
          <w:rPr>
            <w:rStyle w:val="Hyperlink"/>
            <w:b/>
            <w:lang w:val="en-GB" w:eastAsia="en-US"/>
          </w:rPr>
          <w:t>ITU-T M.3363 “Requirements for data management in the TMN”</w:t>
        </w:r>
      </w:hyperlink>
      <w:r w:rsidR="004349FA" w:rsidRPr="002B085D">
        <w:rPr>
          <w:lang w:val="en-GB" w:eastAsia="en-US"/>
        </w:rPr>
        <w:t xml:space="preserve"> describes the requirements for data management in the TMN, the functional framework for data management and the functional description. The data refers to the different categories of telecommunication data in BSS and OSS. The requirements for data management include metadata management, data lifecycle management, data quality management, data security management, data configuration management, data service management.</w:t>
      </w:r>
    </w:p>
    <w:p w14:paraId="60529DE7" w14:textId="32209A13" w:rsidR="004349FA" w:rsidRPr="002B085D" w:rsidRDefault="00E12FA7" w:rsidP="004349FA">
      <w:pPr>
        <w:rPr>
          <w:lang w:val="en-GB" w:eastAsia="en-US"/>
        </w:rPr>
      </w:pPr>
      <w:hyperlink r:id="rId294" w:history="1">
        <w:r w:rsidR="004349FA" w:rsidRPr="001D522C">
          <w:rPr>
            <w:rStyle w:val="Hyperlink"/>
            <w:b/>
            <w:lang w:val="en-GB" w:eastAsia="en-US"/>
          </w:rPr>
          <w:t>ITU-T M.3364 “Requirements for on-site telecommunication smart maintenance management function”</w:t>
        </w:r>
      </w:hyperlink>
      <w:r w:rsidR="004349FA" w:rsidRPr="002B085D">
        <w:rPr>
          <w:lang w:val="en-GB" w:eastAsia="en-US"/>
        </w:rPr>
        <w:t xml:space="preserve"> introduces requirements for on-site telecommunication smart maintenance management function. In this Recommendation, the requirements for telecommunication smart maintenance function are provided, which include on-site patrol, on-site overhaul, on-site troubleshooting, evaluation of maintenance work, management of maintenance knowledge base, management of service activation function, management of network resource, management of SMAT. This Recommendation also provides use cases of SMAT in TSMS.</w:t>
      </w:r>
    </w:p>
    <w:p w14:paraId="08D82439" w14:textId="77777777" w:rsidR="006A46AE" w:rsidRPr="0037705C" w:rsidRDefault="006A46AE" w:rsidP="006A46AE">
      <w:pPr>
        <w:pStyle w:val="Headingb"/>
      </w:pPr>
      <w:r w:rsidRPr="0037705C">
        <w:t>I.3.1</w:t>
      </w:r>
      <w:r w:rsidRPr="0037705C">
        <w:tab/>
        <w:t>Video and image coding</w:t>
      </w:r>
    </w:p>
    <w:p w14:paraId="4C779383" w14:textId="2C7BF1D8" w:rsidR="0037705C" w:rsidRDefault="00E12FA7" w:rsidP="0037705C">
      <w:pPr>
        <w:rPr>
          <w:lang w:val="en-GB"/>
        </w:rPr>
      </w:pPr>
      <w:hyperlink r:id="rId295" w:history="1">
        <w:r w:rsidR="0037705C" w:rsidRPr="00CA20FA">
          <w:rPr>
            <w:rStyle w:val="Hyperlink"/>
            <w:b/>
            <w:bCs/>
            <w:lang w:val="en-GB"/>
          </w:rPr>
          <w:t>ITU-T H.266 “Versatile video coding”</w:t>
        </w:r>
      </w:hyperlink>
      <w:r w:rsidR="0037705C">
        <w:rPr>
          <w:lang w:val="en-GB"/>
        </w:rPr>
        <w:t xml:space="preserve"> </w:t>
      </w:r>
      <w:r w:rsidR="0037705C" w:rsidRPr="0037705C">
        <w:rPr>
          <w:lang w:val="en-GB"/>
        </w:rPr>
        <w:t>provides text for the new video coding Recommendation entitled “Versatile video coding” (VVC). This Recommendation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Some key application areas for the use of this standard particularly include ultra-high definition video, video with a high dynamic range and wide colour gamut, and video for immersive media applications such as 360° omnidirectional video projected using a common projection format such as the equirectangular or cubemap projection formats, in addition to the applications that have commonly been addressed by prior video coding standards.</w:t>
      </w:r>
      <w:r w:rsidR="0037705C">
        <w:rPr>
          <w:lang w:val="en-GB"/>
        </w:rPr>
        <w:t xml:space="preserve"> </w:t>
      </w:r>
      <w:r w:rsidR="0037705C" w:rsidRPr="0037705C">
        <w:rPr>
          <w:lang w:val="en-GB"/>
        </w:rPr>
        <w:t>This Recommendation was developed collaboratively with ISO/IEC JTC 1/SC 29, and corresponds with ISO/IEC 23090-3 as technically aligned twin text.</w:t>
      </w:r>
    </w:p>
    <w:p w14:paraId="7E7EB86E" w14:textId="4D7F84E6" w:rsidR="00523D05" w:rsidRDefault="00E12FA7" w:rsidP="00523D05">
      <w:pPr>
        <w:rPr>
          <w:lang w:val="en-GB"/>
        </w:rPr>
      </w:pPr>
      <w:hyperlink r:id="rId296" w:history="1">
        <w:r w:rsidR="00523D05" w:rsidRPr="00E50419">
          <w:rPr>
            <w:rStyle w:val="Hyperlink"/>
            <w:b/>
            <w:bCs/>
            <w:lang w:val="en-GB"/>
          </w:rPr>
          <w:t>ITU-T H.274 “Versatile supplemental enhancement information messages for coded video bitstreams”</w:t>
        </w:r>
      </w:hyperlink>
      <w:r w:rsidR="00523D05">
        <w:rPr>
          <w:lang w:val="en-GB"/>
        </w:rPr>
        <w:t xml:space="preserve"> </w:t>
      </w:r>
      <w:r w:rsidR="00523D05" w:rsidRPr="00523D05">
        <w:rPr>
          <w:lang w:val="en-GB"/>
        </w:rPr>
        <w:t>provides text for a new Recommendation that 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w:t>
      </w:r>
      <w:r w:rsidR="00523D05">
        <w:rPr>
          <w:lang w:val="en-GB"/>
        </w:rPr>
        <w:t xml:space="preserve"> </w:t>
      </w:r>
      <w:r w:rsidR="00523D05" w:rsidRPr="00523D05">
        <w:rPr>
          <w:lang w:val="en-GB"/>
        </w:rPr>
        <w:t>This Recommendation was developed collaboratively with ISO/IEC JTC 1/SC 29, and corresponds with ISO/IEC 23002-7 as technically aligned twin text.</w:t>
      </w:r>
    </w:p>
    <w:p w14:paraId="4A0F3D60" w14:textId="2F184983" w:rsidR="00B91D2B" w:rsidRPr="00B91D2B" w:rsidRDefault="00B91D2B" w:rsidP="00B91D2B">
      <w:pPr>
        <w:rPr>
          <w:lang w:val="en-GB"/>
        </w:rPr>
      </w:pPr>
      <w:r w:rsidRPr="0039167D">
        <w:rPr>
          <w:b/>
          <w:bCs/>
          <w:lang w:val="en-GB"/>
        </w:rPr>
        <w:t>ITU-T T.701.11 “Guidance on audio descriptions (twin text of ISO/IEC TS 20071-11:2019, Information technology - Guidance on alternative text for images - Part 11)” (under approval)</w:t>
      </w:r>
      <w:r>
        <w:rPr>
          <w:lang w:val="en-GB"/>
        </w:rPr>
        <w:t xml:space="preserve"> </w:t>
      </w:r>
      <w:r w:rsidRPr="00B91D2B">
        <w:rPr>
          <w:lang w:val="en-GB"/>
        </w:rPr>
        <w:t xml:space="preserve">gives guidance on how to create text alternatives (also known as "alt-text") and what information to put in text alternatives. </w:t>
      </w:r>
    </w:p>
    <w:p w14:paraId="6E96F9F3" w14:textId="0C03673F" w:rsidR="00B91D2B" w:rsidRPr="00952FDF" w:rsidRDefault="00B91D2B" w:rsidP="00B91D2B">
      <w:pPr>
        <w:rPr>
          <w:highlight w:val="yellow"/>
          <w:lang w:val="en-GB"/>
        </w:rPr>
      </w:pPr>
      <w:r w:rsidRPr="00B91D2B">
        <w:rPr>
          <w:lang w:val="en-GB"/>
        </w:rPr>
        <w:lastRenderedPageBreak/>
        <w:t>This Recommendation applies to all still images that are used in any type of electronic document. It also applies to individual images within a slide show. The alternative text guidance provided in this Recommendation is not applicable to moving images (e.g. movies).</w:t>
      </w:r>
      <w:r>
        <w:rPr>
          <w:lang w:val="en-GB"/>
        </w:rPr>
        <w:t xml:space="preserve"> </w:t>
      </w:r>
      <w:r w:rsidRPr="00B91D2B">
        <w:rPr>
          <w:lang w:val="en-GB"/>
        </w:rPr>
        <w:t>This Recommendation is a twin text with ISO/IEC 20071-11:2019 "Information technology – User interface component accessibility – Part 11: Guidance on text alternatives for images", prepared by ISO/IEC JTC1 SC35 "User interfaces".</w:t>
      </w:r>
    </w:p>
    <w:p w14:paraId="6CBC4C80" w14:textId="77777777" w:rsidR="006A46AE" w:rsidRPr="00A10F95" w:rsidRDefault="006A46AE" w:rsidP="006A46AE">
      <w:pPr>
        <w:pStyle w:val="Headingb"/>
      </w:pPr>
      <w:bookmarkStart w:id="243" w:name="_Toc480527896"/>
      <w:r w:rsidRPr="00A10F95">
        <w:t>I.3.2</w:t>
      </w:r>
      <w:r w:rsidRPr="00A10F95">
        <w:tab/>
        <w:t>Intelligent, interoperable visual surveillance systems</w:t>
      </w:r>
      <w:bookmarkEnd w:id="243"/>
    </w:p>
    <w:p w14:paraId="53AEB800" w14:textId="77777777" w:rsidR="006A46AE" w:rsidRPr="00A8434B" w:rsidRDefault="006A46AE" w:rsidP="006A46AE">
      <w:pPr>
        <w:pStyle w:val="Headingb"/>
      </w:pPr>
      <w:bookmarkStart w:id="244" w:name="_Toc480527898"/>
      <w:r w:rsidRPr="00A8434B">
        <w:t>I.3.3</w:t>
      </w:r>
      <w:r w:rsidRPr="00A8434B">
        <w:tab/>
        <w:t>IPTV and digital signage</w:t>
      </w:r>
      <w:bookmarkEnd w:id="244"/>
    </w:p>
    <w:p w14:paraId="05F4AE31" w14:textId="2E5B7A07" w:rsidR="00A8434B" w:rsidRDefault="00E12FA7" w:rsidP="00A8434B">
      <w:pPr>
        <w:rPr>
          <w:lang w:val="en-GB" w:eastAsia="en-US"/>
        </w:rPr>
      </w:pPr>
      <w:hyperlink r:id="rId297" w:history="1">
        <w:r w:rsidR="00A8434B" w:rsidRPr="002C2393">
          <w:rPr>
            <w:rStyle w:val="Hyperlink"/>
            <w:b/>
            <w:bCs/>
            <w:lang w:val="en-GB" w:eastAsia="en-US"/>
          </w:rPr>
          <w:t>ITU-T H.702 (V2) (revised) “Accessibility profiles for IPTV systems”</w:t>
        </w:r>
      </w:hyperlink>
      <w:r w:rsidR="00A8434B">
        <w:rPr>
          <w:lang w:val="en-GB" w:eastAsia="en-US"/>
        </w:rPr>
        <w:t xml:space="preserve"> </w:t>
      </w:r>
      <w:r w:rsidR="00A8434B" w:rsidRPr="000D6D55">
        <w:rPr>
          <w:lang w:val="en-GB" w:eastAsia="en-US"/>
        </w:rPr>
        <w:t>defines three profiles for accessibility features in IPTV systems, with increasing levels of support. Accessibility information such as caption, sign language and audio description that are sent separately from video contents to IPTV terminal devices. By defining the above profiles, persons with disabilities can choose more easily the terminal devices that have the functions they need. The set of parameters within each profile were identified in consultation with the assistance of persons with disabilities participating in the work of ITU-T. This version includes the accessibility profiles for cognitive disabilities and appendix about an example for H.702 based system, and harmonizes the latest term definitions.</w:t>
      </w:r>
    </w:p>
    <w:p w14:paraId="7359E21B" w14:textId="7C0117BF" w:rsidR="0031304D" w:rsidRPr="006B74E2" w:rsidRDefault="00E12FA7" w:rsidP="0031304D">
      <w:pPr>
        <w:rPr>
          <w:highlight w:val="yellow"/>
          <w:lang w:val="en-GB" w:eastAsia="en-US"/>
        </w:rPr>
      </w:pPr>
      <w:hyperlink r:id="rId298" w:history="1">
        <w:r w:rsidR="0031304D" w:rsidRPr="00BE3C8F">
          <w:rPr>
            <w:rStyle w:val="Hyperlink"/>
            <w:b/>
            <w:bCs/>
            <w:lang w:val="en-GB" w:eastAsia="en-US"/>
          </w:rPr>
          <w:t>ITU-T H.704 “Enhanced UI framework for IPTV terminal device - Gesture control interface”</w:t>
        </w:r>
      </w:hyperlink>
      <w:r w:rsidR="0031304D">
        <w:rPr>
          <w:lang w:val="en-GB" w:eastAsia="en-US"/>
        </w:rPr>
        <w:t xml:space="preserve"> </w:t>
      </w:r>
      <w:r w:rsidR="0031304D" w:rsidRPr="0031304D">
        <w:rPr>
          <w:lang w:val="en-GB" w:eastAsia="en-US"/>
        </w:rPr>
        <w:t>defines the general requirements, functional elements and interfaces supporting enhanced capability of user interaction by gesture recognition and controlling over IPTV terminal devices, based on the enhanced user interface (UI) framework defined in [ITU-T H.703]. Those functional elements are described in the gesture controlling enabler and gesture recognition enabler defined in this Recommendation. Moreover, the procedures of interaction between gesture recognition device and gesture-controlled device are defined with the recommended information used in the interaction. This Recommendation enables the gesture controlling feature in the Enhanced IPTV User Interface defined in [ITU-T H.703]. With those features, users can control the operation of IPTV applications in an IPTV terminal device in a convenient, natural and comfortable way.</w:t>
      </w:r>
    </w:p>
    <w:p w14:paraId="6C0490BE" w14:textId="4D50E0C9" w:rsidR="006A46AE" w:rsidRPr="00CD3F1F" w:rsidRDefault="006A46AE" w:rsidP="006A46AE">
      <w:pPr>
        <w:pStyle w:val="Headingb"/>
      </w:pPr>
      <w:bookmarkStart w:id="245" w:name="_Toc480527900"/>
      <w:r w:rsidRPr="00CD3F1F">
        <w:t>I.3.4</w:t>
      </w:r>
      <w:r w:rsidRPr="00CD3F1F">
        <w:tab/>
        <w:t>Immersive live experience</w:t>
      </w:r>
    </w:p>
    <w:p w14:paraId="5E1FF284" w14:textId="3686A9E6" w:rsidR="00CD3F1F" w:rsidRPr="00952FDF" w:rsidRDefault="00E12FA7" w:rsidP="00CD3F1F">
      <w:pPr>
        <w:rPr>
          <w:highlight w:val="yellow"/>
          <w:lang w:val="en-GB" w:eastAsia="en-US"/>
        </w:rPr>
      </w:pPr>
      <w:hyperlink r:id="rId299" w:history="1">
        <w:r w:rsidR="00CD3F1F" w:rsidRPr="00BD4B16">
          <w:rPr>
            <w:rStyle w:val="Hyperlink"/>
            <w:b/>
            <w:bCs/>
            <w:lang w:val="en-GB" w:eastAsia="en-US"/>
          </w:rPr>
          <w:t>ITU-T H.430.5 “Reference models for immersive live experience (ILE) presentation environment”</w:t>
        </w:r>
      </w:hyperlink>
      <w:r w:rsidR="00CD3F1F" w:rsidRPr="00BD4B16">
        <w:rPr>
          <w:lang w:val="en-GB" w:eastAsia="en-US"/>
        </w:rPr>
        <w:t>:</w:t>
      </w:r>
      <w:r w:rsidR="00CD3F1F">
        <w:rPr>
          <w:lang w:val="en-GB" w:eastAsia="en-US"/>
        </w:rPr>
        <w:t xml:space="preserve"> </w:t>
      </w:r>
      <w:r w:rsidR="00CD3F1F" w:rsidRPr="00CD3F1F">
        <w:rPr>
          <w:lang w:val="en-GB" w:eastAsia="en-US"/>
        </w:rPr>
        <w:t>In order to reproduce a highly realistic experience and sense of immersiveness for audiences at a viewing site on par with the experience of audiences at the event site at the same time, and also to reduce the design and setup times of ILE viewing sites, this Recommendation specifies reference models for the Immersive Live Experience (ILE) presentation environment. This document provides three reference models for proscenium, open, and arena style presentation environments, and provides functional blocks and some implementation guidelines for ILE viewing sites as informative information.</w:t>
      </w:r>
    </w:p>
    <w:p w14:paraId="5D94185A" w14:textId="526AA725" w:rsidR="00391EDF" w:rsidRPr="00391EDF" w:rsidRDefault="00E12FA7" w:rsidP="00391EDF">
      <w:pPr>
        <w:rPr>
          <w:lang w:val="en-GB" w:eastAsia="en-US"/>
        </w:rPr>
      </w:pPr>
      <w:hyperlink r:id="rId300" w:history="1">
        <w:r w:rsidR="00391EDF" w:rsidRPr="006A4731">
          <w:rPr>
            <w:rStyle w:val="Hyperlink"/>
            <w:b/>
            <w:bCs/>
            <w:lang w:val="en-GB" w:eastAsia="en-US"/>
          </w:rPr>
          <w:t>ITU-T H.627 (V2) (revised) “Signalling and protocols for a video surveillance system”</w:t>
        </w:r>
      </w:hyperlink>
      <w:r w:rsidR="00391EDF">
        <w:rPr>
          <w:lang w:val="en-GB" w:eastAsia="en-US"/>
        </w:rPr>
        <w:t xml:space="preserve"> </w:t>
      </w:r>
      <w:r w:rsidR="00391EDF" w:rsidRPr="00391EDF">
        <w:rPr>
          <w:lang w:val="en-GB" w:eastAsia="en-US"/>
        </w:rPr>
        <w:t>defines the detailed signalling flows and relevant protocols of a video surveillance system, based on the requirements defined in Recommendation ITU-T F.743V2 and the functional architecture defined in Recommendation ITU-T H.626 (V2). This revision updates the title of this Recommendation, adds the overall requirements, revises the signalling flows and relevant protocols.</w:t>
      </w:r>
    </w:p>
    <w:p w14:paraId="0631B3A6" w14:textId="77777777" w:rsidR="006A46AE" w:rsidRPr="0031561B" w:rsidRDefault="006A46AE" w:rsidP="006A46AE">
      <w:pPr>
        <w:pStyle w:val="Headingb"/>
      </w:pPr>
      <w:r w:rsidRPr="0031561B">
        <w:t>I.3.5</w:t>
      </w:r>
      <w:r w:rsidRPr="0031561B">
        <w:tab/>
        <w:t>Standards to assess quality of video communications and applications</w:t>
      </w:r>
    </w:p>
    <w:p w14:paraId="119E622C" w14:textId="4F647149" w:rsidR="0031561B" w:rsidRPr="00952FDF" w:rsidRDefault="00E12FA7" w:rsidP="0031561B">
      <w:pPr>
        <w:widowControl w:val="0"/>
        <w:rPr>
          <w:bCs/>
          <w:highlight w:val="yellow"/>
          <w:lang w:val="en-GB"/>
        </w:rPr>
      </w:pPr>
      <w:hyperlink r:id="rId301" w:history="1">
        <w:r w:rsidR="0031561B" w:rsidRPr="0031561B">
          <w:rPr>
            <w:rStyle w:val="Hyperlink"/>
            <w:b/>
            <w:lang w:val="en-GB"/>
          </w:rPr>
          <w:t>ITU-T TP GSTP-IPTV-QoS “Technical Paper: Performance metrics for end-to-end IPTV video quality”</w:t>
        </w:r>
      </w:hyperlink>
      <w:r w:rsidR="0031561B">
        <w:rPr>
          <w:bCs/>
          <w:lang w:val="en-GB"/>
        </w:rPr>
        <w:t xml:space="preserve"> </w:t>
      </w:r>
      <w:r w:rsidR="0031561B" w:rsidRPr="0031561B">
        <w:rPr>
          <w:bCs/>
          <w:lang w:val="en-GB"/>
        </w:rPr>
        <w:t>describes useful QoS performance metrics for video quality of IPTV service in all domains of IPTV architecture intended to enhance end-to-end video quality and, as a result, improving quality of experience of end-users. Detailed explanation of measurement methodologies of these metrics on each domain from headend to home network is presented.</w:t>
      </w:r>
    </w:p>
    <w:p w14:paraId="2BBD2A83" w14:textId="77777777" w:rsidR="006A46AE" w:rsidRPr="00012ECF" w:rsidRDefault="006A46AE" w:rsidP="006A46AE">
      <w:pPr>
        <w:pStyle w:val="Headingb"/>
      </w:pPr>
      <w:r w:rsidRPr="00012ECF">
        <w:lastRenderedPageBreak/>
        <w:t>I.3.6</w:t>
      </w:r>
      <w:r w:rsidRPr="00012ECF">
        <w:tab/>
        <w:t>New services and applications</w:t>
      </w:r>
      <w:bookmarkEnd w:id="245"/>
    </w:p>
    <w:p w14:paraId="752A7752" w14:textId="7DCAE07B" w:rsidR="00012ECF" w:rsidRDefault="00E12FA7" w:rsidP="00012ECF">
      <w:hyperlink r:id="rId302" w:history="1">
        <w:r w:rsidR="00012ECF" w:rsidRPr="00A64A3E">
          <w:rPr>
            <w:rStyle w:val="Hyperlink"/>
            <w:b/>
            <w:bCs/>
          </w:rPr>
          <w:t>ITU-T F.735.1 “Requirements for software defined camera”</w:t>
        </w:r>
      </w:hyperlink>
      <w:r w:rsidR="00012ECF">
        <w:t>: With the development of hardware and intelligent algorithms, various intelligent algorithms are developed for massive scenarios. In order to meet the various scenarios and requirements, cameras supporting algorithms on-demand deployment and online upgrade without service interruption are needed. Software-defined camera is a kind of IPU (see [ITU-T F.743.1]), which provides a technical approach to decouple hardware and software and to support algorithms on-demand deployment, online upgrade without services interrupting, continuous online learning to adapt to various scenarios. This Recommendation defines the typical scenarios, functional architecture and requirements of such software- defined camera.</w:t>
      </w:r>
    </w:p>
    <w:p w14:paraId="2A519C99" w14:textId="34175B80" w:rsidR="001720C6" w:rsidRDefault="00E12FA7" w:rsidP="001720C6">
      <w:pPr>
        <w:rPr>
          <w:lang w:val="en-GB"/>
        </w:rPr>
      </w:pPr>
      <w:hyperlink r:id="rId303" w:history="1">
        <w:r w:rsidR="001720C6" w:rsidRPr="00DF790F">
          <w:rPr>
            <w:rStyle w:val="Hyperlink"/>
            <w:b/>
            <w:bCs/>
            <w:lang w:val="en-GB"/>
          </w:rPr>
          <w:t>ITU-T F.743.11 “Requirements for video surveillance with mobile premises units”</w:t>
        </w:r>
      </w:hyperlink>
      <w:r w:rsidR="001720C6">
        <w:rPr>
          <w:lang w:val="en-GB"/>
        </w:rPr>
        <w:t xml:space="preserve"> </w:t>
      </w:r>
      <w:r w:rsidR="001720C6" w:rsidRPr="001720C6">
        <w:rPr>
          <w:lang w:val="en-GB"/>
        </w:rPr>
        <w:t>defines requirements for video surveillance with mobile premises units. Mobile premises units can effectively enhance the flexibility of surveillance perspectives, expand surveillance scenarios and the application scope of video surveillance technology. Meanwhile, since the current wireless communication technology can support the mobile wireless transmission of video or image data, the application of wireless communication technology to mobile premises units can greatly improve the flexibility of video surveillance and construct a comprehensive video surveillance system. This Recommendation describes the application scenarios and the requirements for video surveillance with mobile premises units.</w:t>
      </w:r>
    </w:p>
    <w:p w14:paraId="3BA2C170" w14:textId="5FFC6273" w:rsidR="00C92149" w:rsidRPr="00704014" w:rsidRDefault="00E12FA7" w:rsidP="00C92149">
      <w:pPr>
        <w:rPr>
          <w:highlight w:val="red"/>
          <w:lang w:val="en-GB"/>
        </w:rPr>
      </w:pPr>
      <w:hyperlink r:id="rId304" w:history="1">
        <w:r w:rsidR="00C92149" w:rsidRPr="003F677D">
          <w:rPr>
            <w:rStyle w:val="Hyperlink"/>
            <w:b/>
            <w:bCs/>
            <w:lang w:val="en-GB"/>
          </w:rPr>
          <w:t>ITU-T F.743.20 “Assessment framework for big data infrastructure”</w:t>
        </w:r>
      </w:hyperlink>
      <w:r w:rsidR="00C92149" w:rsidRPr="003F677D">
        <w:rPr>
          <w:lang w:val="en-GB"/>
        </w:rPr>
        <w:t xml:space="preserve"> gives</w:t>
      </w:r>
      <w:r w:rsidR="00C92149" w:rsidRPr="00704014">
        <w:rPr>
          <w:lang w:val="en-GB"/>
        </w:rPr>
        <w:t xml:space="preserve"> an assessment framework of big data infrastructure, which includes functional metrics, performance metrics, scalability metrics, security metrics, operation metrics and compatibility metrics.</w:t>
      </w:r>
    </w:p>
    <w:p w14:paraId="5D2A5243" w14:textId="3C5FC0A0" w:rsidR="00C92149" w:rsidRDefault="00E12FA7" w:rsidP="00C92149">
      <w:pPr>
        <w:rPr>
          <w:lang w:val="en-GB"/>
        </w:rPr>
      </w:pPr>
      <w:hyperlink r:id="rId305" w:history="1">
        <w:r w:rsidR="00C92149" w:rsidRPr="00821C77">
          <w:rPr>
            <w:rStyle w:val="Hyperlink"/>
            <w:b/>
            <w:bCs/>
            <w:lang w:val="en-GB"/>
          </w:rPr>
          <w:t>ITU-T F.743.21 “Framework for data asset management”</w:t>
        </w:r>
      </w:hyperlink>
      <w:r w:rsidR="00C92149" w:rsidRPr="00821C77">
        <w:rPr>
          <w:lang w:val="en-GB"/>
        </w:rPr>
        <w:t xml:space="preserve"> defines</w:t>
      </w:r>
      <w:r w:rsidR="00C92149" w:rsidRPr="00C92149">
        <w:rPr>
          <w:lang w:val="en-GB"/>
        </w:rPr>
        <w:t xml:space="preserve"> data asset management framework with its corresponding objects, activities and supports. Objects of data asset management are data assets, which include master data, metadata and other data assets. Activities include data standards management, data model management, data quality management, data security management, data valuation management, and data sharing management. In order to ensure the management, the corresponding people in charge, rules and regulations, and technology tools are needed.</w:t>
      </w:r>
    </w:p>
    <w:p w14:paraId="57AA197E" w14:textId="366BE0F6" w:rsidR="000B4095" w:rsidRDefault="00E12FA7" w:rsidP="000B4095">
      <w:pPr>
        <w:rPr>
          <w:lang w:val="en-GB"/>
        </w:rPr>
      </w:pPr>
      <w:hyperlink r:id="rId306" w:history="1">
        <w:r w:rsidR="000B4095" w:rsidRPr="00AA2F73">
          <w:rPr>
            <w:rStyle w:val="Hyperlink"/>
            <w:b/>
            <w:bCs/>
            <w:lang w:val="en-GB"/>
          </w:rPr>
          <w:t>ITU-T F.746.10 “Architecture for spontaneous dialog processing system for language learning”</w:t>
        </w:r>
      </w:hyperlink>
      <w:r w:rsidR="000B4095">
        <w:rPr>
          <w:lang w:val="en-GB"/>
        </w:rPr>
        <w:t xml:space="preserve"> </w:t>
      </w:r>
      <w:r w:rsidR="009350EA" w:rsidRPr="009350EA">
        <w:rPr>
          <w:lang w:val="en-GB"/>
        </w:rPr>
        <w:t>defines the architecture, functional entities, and interfaces for a spontaneous dialog processing system for language learning service which is described in [ITU-T F.746.5]. The scope of this Recommendation is focused on describing the architecture with different functional components in spontaneous dialog processing system, which are: input/output management, dialog understanding, dual dialog management and generation, dialog knowledge management, incremental dialog knowledge learning, unstructured spontaneous speech recognition management and language learning function. This Recommendation together with the existing standards "Framework for language learning system based on speech and natural language processing (NLP) technology" [ITU-T F.746.5] will support the future systems which are expected to be equipped with dialog processing and language learning functions for advanced user experiences</w:t>
      </w:r>
      <w:r w:rsidR="000B4095" w:rsidRPr="000B4095">
        <w:rPr>
          <w:lang w:val="en-GB"/>
        </w:rPr>
        <w:t>.</w:t>
      </w:r>
    </w:p>
    <w:p w14:paraId="14F3520A" w14:textId="2D9A1EEE" w:rsidR="00DE599E" w:rsidRDefault="00E12FA7" w:rsidP="00DE599E">
      <w:pPr>
        <w:rPr>
          <w:lang w:val="en-GB"/>
        </w:rPr>
      </w:pPr>
      <w:hyperlink r:id="rId307" w:history="1">
        <w:r w:rsidR="00DE599E" w:rsidRPr="00AA2F73">
          <w:rPr>
            <w:rStyle w:val="Hyperlink"/>
            <w:b/>
            <w:bCs/>
            <w:lang w:val="en-GB"/>
          </w:rPr>
          <w:t>ITU-T F.746.11 “Interfaces for intelligent question answering system”</w:t>
        </w:r>
      </w:hyperlink>
      <w:r w:rsidR="00DE599E">
        <w:rPr>
          <w:lang w:val="en-GB"/>
        </w:rPr>
        <w:t xml:space="preserve"> </w:t>
      </w:r>
      <w:r w:rsidR="00DE599E" w:rsidRPr="00DE599E">
        <w:rPr>
          <w:lang w:val="en-GB"/>
        </w:rPr>
        <w:t xml:space="preserve">defines interfaces for Intelligent Question Answering Service. This recommendation defines the interfaces among functional modules to support intelligent Question Answering service described in [ITU-T F.746.3]. The scope of this Recommendation is focused on describing the interfaces among different functional components in intelligent question answering (QA) system: natural language processing function, question analysis function, candidate answer generation function, and answer inference/generation function. This Recommendation together with the existing standards "Intelligent Question Answering Service Framework" [ITU-T F.746.3] and "Metadata for </w:t>
      </w:r>
      <w:r w:rsidR="00DE599E" w:rsidRPr="00DE599E">
        <w:rPr>
          <w:lang w:val="en-GB"/>
        </w:rPr>
        <w:lastRenderedPageBreak/>
        <w:t>Intelligent Question Answering Service" [ITU-T F.746.7] will support the future systems which are expected to be equipped with QA functions for advanced user experiences.</w:t>
      </w:r>
    </w:p>
    <w:p w14:paraId="402BD64A" w14:textId="2BCC98F4" w:rsidR="0029112A" w:rsidRDefault="00E12FA7" w:rsidP="0029112A">
      <w:pPr>
        <w:rPr>
          <w:lang w:val="en-GB"/>
        </w:rPr>
      </w:pPr>
      <w:hyperlink r:id="rId308" w:history="1">
        <w:r w:rsidR="0029112A" w:rsidRPr="00E5686C">
          <w:rPr>
            <w:rStyle w:val="Hyperlink"/>
            <w:b/>
            <w:bCs/>
            <w:lang w:val="en-GB"/>
          </w:rPr>
          <w:t>ITU-T F.748.11 “Metrics and evaluation methods for deep neural network processor benchmark”</w:t>
        </w:r>
      </w:hyperlink>
      <w:r w:rsidR="0029112A">
        <w:rPr>
          <w:lang w:val="en-GB"/>
        </w:rPr>
        <w:t xml:space="preserve"> </w:t>
      </w:r>
      <w:r w:rsidR="0029112A" w:rsidRPr="0029112A">
        <w:rPr>
          <w:lang w:val="en-GB"/>
        </w:rPr>
        <w:t>provides the benchmarking framework, evaluation metrics and methods, and the application scenarios for deep neural network processors while doing training and inference task.</w:t>
      </w:r>
      <w:r w:rsidR="0029112A">
        <w:rPr>
          <w:lang w:val="en-GB"/>
        </w:rPr>
        <w:t xml:space="preserve"> </w:t>
      </w:r>
      <w:r w:rsidR="0029112A" w:rsidRPr="0029112A">
        <w:rPr>
          <w:lang w:val="en-GB"/>
        </w:rPr>
        <w:t>This can be used to guide relevant parties to test, select or evaluate the deep neural network processor under the specified application scenarios. The establishment of relevant application performance evaluation benchmarks can objectively reflect the current state of the AI processor by providing objective metrics and comparison dimensions.</w:t>
      </w:r>
    </w:p>
    <w:p w14:paraId="6CDC0675" w14:textId="3FB4DB34" w:rsidR="00002389" w:rsidRPr="00952FDF" w:rsidRDefault="00E12FA7" w:rsidP="00002389">
      <w:pPr>
        <w:rPr>
          <w:highlight w:val="yellow"/>
          <w:lang w:val="en-GB"/>
        </w:rPr>
      </w:pPr>
      <w:hyperlink r:id="rId309" w:history="1">
        <w:r w:rsidR="00002389" w:rsidRPr="006D3A88">
          <w:rPr>
            <w:rStyle w:val="Hyperlink"/>
            <w:b/>
            <w:bCs/>
            <w:lang w:val="en-GB"/>
          </w:rPr>
          <w:t>ITU-T F.749.3 “Use cases and requirements for the vehicular multimedia networks”</w:t>
        </w:r>
      </w:hyperlink>
      <w:r w:rsidR="00002389" w:rsidRPr="006D3A88">
        <w:rPr>
          <w:lang w:val="en-GB"/>
        </w:rPr>
        <w:t>:</w:t>
      </w:r>
      <w:r w:rsidR="00002389">
        <w:rPr>
          <w:lang w:val="en-GB"/>
        </w:rPr>
        <w:t xml:space="preserve"> </w:t>
      </w:r>
      <w:r w:rsidR="00002389" w:rsidRPr="00002389">
        <w:rPr>
          <w:lang w:val="en-GB"/>
        </w:rPr>
        <w:t>The vehicular multimedia networks (VMN) consist of the vehicular multimedia service platform (VMSP), broadcast and communication networks, and the vehicular multimedia system (VMS) in the vehicle. This Recommendation specifies use cases and requirements for the VMN, including overview, connectivity, intelligent human machine interfaces (HMI) for the VMS, privacy considerations, content rights protection in a converged network environment, copyright and rights management support for content delivery, security, safety, and definition of vehicular multimedia configurations. A series of Recommendations for vehicular multimedia networks is under the responsibility of ITU- T SG16. This Recommendation is a part of that series and gives the requirements and user cases for the VMN.</w:t>
      </w:r>
    </w:p>
    <w:p w14:paraId="04D6D273" w14:textId="0D4F1975" w:rsidR="009A41F4" w:rsidRPr="00952FDF" w:rsidRDefault="00E12FA7" w:rsidP="00366241">
      <w:pPr>
        <w:rPr>
          <w:highlight w:val="yellow"/>
          <w:lang w:val="en-GB"/>
        </w:rPr>
      </w:pPr>
      <w:hyperlink r:id="rId310" w:history="1">
        <w:r w:rsidR="009A41F4" w:rsidRPr="00C62190">
          <w:rPr>
            <w:rStyle w:val="Hyperlink"/>
            <w:b/>
            <w:bCs/>
            <w:lang w:val="en-GB"/>
          </w:rPr>
          <w:t>ITU-T F.749.12 “Framework for communication application of civilian unmanned aerial vehicle”</w:t>
        </w:r>
      </w:hyperlink>
      <w:r w:rsidR="00366241" w:rsidRPr="00C62190">
        <w:rPr>
          <w:lang w:val="en-GB"/>
        </w:rPr>
        <w:t>:</w:t>
      </w:r>
      <w:r w:rsidR="009A41F4">
        <w:rPr>
          <w:lang w:val="en-GB"/>
        </w:rPr>
        <w:t xml:space="preserve"> </w:t>
      </w:r>
      <w:r w:rsidR="00366241" w:rsidRPr="00366241">
        <w:rPr>
          <w:lang w:val="en-GB"/>
        </w:rPr>
        <w:t>The civilian unmanned aerial vehicles are widely used in industry and consumer areas such as agriculture and plant protection, power line and petroleum pipeline inspection, police &amp; traffic security surveillance, disaster monitoring, aerial photography &amp; videography, express delivery, forestry and forest fire monitoring, meteorological, resource and scientific research etc.</w:t>
      </w:r>
      <w:r w:rsidR="00256B5A">
        <w:rPr>
          <w:lang w:val="en-GB"/>
        </w:rPr>
        <w:t xml:space="preserve"> </w:t>
      </w:r>
      <w:r w:rsidR="00366241" w:rsidRPr="00366241">
        <w:rPr>
          <w:lang w:val="en-GB"/>
        </w:rPr>
        <w:t>This Recommendation presents the general framework for communication application of CUAV and its functional entities, reference points, etc.</w:t>
      </w:r>
    </w:p>
    <w:p w14:paraId="0681196F" w14:textId="77777777" w:rsidR="006A46AE" w:rsidRPr="00C52D00" w:rsidRDefault="006A46AE" w:rsidP="006A46AE">
      <w:pPr>
        <w:pStyle w:val="Headingb"/>
      </w:pPr>
      <w:r w:rsidRPr="00C52D00">
        <w:t>I.4.1</w:t>
      </w:r>
      <w:r w:rsidRPr="00C52D00">
        <w:tab/>
        <w:t>Internet of Things and Smart City</w:t>
      </w:r>
    </w:p>
    <w:p w14:paraId="0F1E8498" w14:textId="2520225D" w:rsidR="007C62BB" w:rsidRDefault="00E12FA7" w:rsidP="007C62BB">
      <w:pPr>
        <w:rPr>
          <w:bCs/>
        </w:rPr>
      </w:pPr>
      <w:hyperlink r:id="rId311" w:history="1">
        <w:r w:rsidR="007C62BB" w:rsidRPr="00EA2A97">
          <w:rPr>
            <w:rStyle w:val="Hyperlink"/>
            <w:b/>
          </w:rPr>
          <w:t>ITU-T Q.3745 “Protocol for time constraint IoT-based applications over SDN”</w:t>
        </w:r>
      </w:hyperlink>
      <w:r w:rsidR="007C62BB" w:rsidRPr="00EA2A97">
        <w:rPr>
          <w:bCs/>
        </w:rPr>
        <w:t xml:space="preserve">: </w:t>
      </w:r>
      <w:r w:rsidR="007C62BB" w:rsidRPr="007C62BB">
        <w:rPr>
          <w:bCs/>
        </w:rPr>
        <w:t>Traffic generated by smart devices becomes a significant part of the Internet. Smart devices require mobility and guaranteed quality of services which need to be managed. Potentially, SDN and NFV based technologies (IMT-2020) will be used for managing all types of services and therefore, SDN is to be tasked to manage these kinds of demands as well. A significant number of the available Internet services require the exact value of network parameters such as latency, jitter, RTT and bandwidth. Using SDN capabilities for managing network parameters, will give a possibility to implement new services such as a tactile Internet, augmented reality, e-health applications. In this regard, the protocol is proposed to ensure the transfer of the requested (by IoT server) network performance requirements for IoT applications in SDN and NFV based networks (IMT2020). This protocol is to be used for interconnection between the IoT server and the Orchestrator application layer (Management application).</w:t>
      </w:r>
    </w:p>
    <w:p w14:paraId="1A11E7C2" w14:textId="7E2EFAB7" w:rsidR="000F6CB1" w:rsidRDefault="00E12FA7">
      <w:pPr>
        <w:rPr>
          <w:bCs/>
        </w:rPr>
      </w:pPr>
      <w:hyperlink r:id="rId312" w:history="1">
        <w:r w:rsidR="000F6CB1" w:rsidRPr="00867D48">
          <w:rPr>
            <w:rStyle w:val="Hyperlink"/>
            <w:b/>
          </w:rPr>
          <w:t>ITU-T X.1363 “</w:t>
        </w:r>
        <w:r w:rsidR="00867D48" w:rsidRPr="00867D48">
          <w:rPr>
            <w:rStyle w:val="Hyperlink"/>
            <w:b/>
          </w:rPr>
          <w:t>Technical framework of personally identifiable information (PII) handling system in Internet of things (IoT) environment</w:t>
        </w:r>
        <w:r w:rsidR="000F6CB1" w:rsidRPr="00867D48">
          <w:rPr>
            <w:rStyle w:val="Hyperlink"/>
            <w:b/>
          </w:rPr>
          <w:t>”</w:t>
        </w:r>
      </w:hyperlink>
      <w:r w:rsidR="000F6CB1" w:rsidRPr="00867D48">
        <w:rPr>
          <w:b/>
        </w:rPr>
        <w:t>:</w:t>
      </w:r>
      <w:r w:rsidR="000F6CB1" w:rsidRPr="00867D48">
        <w:rPr>
          <w:bCs/>
        </w:rPr>
        <w:t xml:space="preserve"> </w:t>
      </w:r>
      <w:r w:rsidR="00F611FF">
        <w:t xml:space="preserve">specifies </w:t>
      </w:r>
      <w:r w:rsidR="00F611FF" w:rsidRPr="0076562D">
        <w:rPr>
          <w:lang w:val="en-GB"/>
        </w:rPr>
        <w:t>a technical framework for PII handling in IoT environment with single or multiple service providers</w:t>
      </w:r>
      <w:r w:rsidR="00F611FF">
        <w:t xml:space="preserve">. </w:t>
      </w:r>
      <w:r w:rsidR="00F611FF" w:rsidRPr="0079614C">
        <w:rPr>
          <w:lang w:val="en-GB"/>
        </w:rPr>
        <w:t>In IoT environment, some IoT devices have capability to collect PII data. As PII data are useful for various types of services, data can be shared among multiple service providers. The technical framework specified in this Recommendation provides a mechanism to protect IoT users’ PII data when collected, shared and used by one or more IoT service providers.</w:t>
      </w:r>
    </w:p>
    <w:p w14:paraId="7507C2C6" w14:textId="43CA87EC" w:rsidR="003101DA" w:rsidRDefault="00E12FA7" w:rsidP="00F40BB8">
      <w:pPr>
        <w:rPr>
          <w:bCs/>
        </w:rPr>
      </w:pPr>
      <w:hyperlink r:id="rId313" w:history="1">
        <w:r w:rsidR="003101DA" w:rsidRPr="00F40BB8">
          <w:rPr>
            <w:rStyle w:val="Hyperlink"/>
            <w:b/>
          </w:rPr>
          <w:t>ITU-T X.1364 “</w:t>
        </w:r>
        <w:r w:rsidR="00F40BB8" w:rsidRPr="00F40BB8">
          <w:rPr>
            <w:rStyle w:val="Hyperlink"/>
            <w:b/>
          </w:rPr>
          <w:t>Security requirements and framework for narrow band Internet of things</w:t>
        </w:r>
        <w:r w:rsidR="003101DA" w:rsidRPr="00F40BB8">
          <w:rPr>
            <w:rStyle w:val="Hyperlink"/>
            <w:b/>
          </w:rPr>
          <w:t>”</w:t>
        </w:r>
      </w:hyperlink>
      <w:r w:rsidR="003101DA" w:rsidRPr="00F40BB8">
        <w:rPr>
          <w:bCs/>
        </w:rPr>
        <w:t>:</w:t>
      </w:r>
      <w:r w:rsidR="003101DA" w:rsidRPr="003101DA">
        <w:rPr>
          <w:bCs/>
        </w:rPr>
        <w:t xml:space="preserve"> </w:t>
      </w:r>
      <w:r w:rsidR="00F611FF" w:rsidRPr="00F611FF">
        <w:rPr>
          <w:bCs/>
          <w:lang w:val="en-GB"/>
        </w:rPr>
        <w:t>aims to analyse potential deployment scheme and typical application scenarios of NB-IoT. It specifies security threats and requirements specific to the NB-IoT deployments and thus establishes a security framework for the operator to safeguard these new technology applications.</w:t>
      </w:r>
    </w:p>
    <w:p w14:paraId="2C27D969" w14:textId="7E7672A1" w:rsidR="00F611FF" w:rsidRDefault="00E12FA7" w:rsidP="00F611FF">
      <w:pPr>
        <w:rPr>
          <w:lang w:val="en-GB"/>
        </w:rPr>
      </w:pPr>
      <w:hyperlink r:id="rId314" w:history="1">
        <w:r w:rsidR="00821509" w:rsidRPr="00B76F32">
          <w:rPr>
            <w:rStyle w:val="Hyperlink"/>
            <w:b/>
            <w:lang w:val="en-GB"/>
          </w:rPr>
          <w:t>ITU-T X.1365 “Security methodology for the use of identity-based cryptography in support of Internet of things services over telecommunication networks”</w:t>
        </w:r>
      </w:hyperlink>
      <w:r w:rsidR="00821509" w:rsidRPr="00D86385">
        <w:rPr>
          <w:b/>
          <w:bCs/>
          <w:lang w:val="en-GB"/>
        </w:rPr>
        <w:t xml:space="preserve"> </w:t>
      </w:r>
      <w:r w:rsidR="00F611FF" w:rsidRPr="00CE2EA5">
        <w:t xml:space="preserve">provides a security methodology for </w:t>
      </w:r>
      <w:r w:rsidR="00F611FF" w:rsidRPr="00CE2EA5">
        <w:rPr>
          <w:rFonts w:hint="eastAsia"/>
        </w:rPr>
        <w:t xml:space="preserve">the </w:t>
      </w:r>
      <w:r w:rsidR="00F611FF" w:rsidRPr="00CE2EA5">
        <w:t xml:space="preserve">use of </w:t>
      </w:r>
      <w:r w:rsidR="00F611FF" w:rsidRPr="00B629FC">
        <w:rPr>
          <w:lang w:val="en-GB"/>
        </w:rPr>
        <w:t>identity-based cryptography</w:t>
      </w:r>
      <w:r w:rsidR="00F611FF" w:rsidRPr="00CE2EA5">
        <w:t xml:space="preserve"> public key technology in support of IoT services over telecommunications networks including mechanisms of identity management, key management architecture, key management operations and authentication</w:t>
      </w:r>
      <w:r w:rsidR="00F611FF">
        <w:t>.</w:t>
      </w:r>
      <w:r w:rsidR="00F611FF" w:rsidRPr="00B629FC">
        <w:rPr>
          <w:lang w:val="en-GB"/>
        </w:rPr>
        <w:t xml:space="preserve"> </w:t>
      </w:r>
    </w:p>
    <w:p w14:paraId="01B295CB" w14:textId="1A598680" w:rsidR="00BE6E0C" w:rsidRPr="00BE6E0C" w:rsidRDefault="00D85FB4" w:rsidP="00BE6E0C">
      <w:pPr>
        <w:rPr>
          <w:bCs/>
        </w:rPr>
      </w:pPr>
      <w:r w:rsidRPr="0039167D">
        <w:rPr>
          <w:b/>
        </w:rPr>
        <w:t xml:space="preserve">ITU-T X.1366 “Aggregate message authentication schemes for Internet of things (IoT)” (under </w:t>
      </w:r>
      <w:r w:rsidR="001808A0">
        <w:rPr>
          <w:b/>
        </w:rPr>
        <w:t>publication</w:t>
      </w:r>
      <w:r w:rsidRPr="0039167D">
        <w:rPr>
          <w:b/>
        </w:rPr>
        <w:t>)</w:t>
      </w:r>
      <w:r w:rsidR="00BE6E0C">
        <w:rPr>
          <w:bCs/>
        </w:rPr>
        <w:t xml:space="preserve">: </w:t>
      </w:r>
      <w:r w:rsidR="00BE6E0C" w:rsidRPr="00BE6E0C">
        <w:rPr>
          <w:bCs/>
        </w:rPr>
        <w:t>The number of Internet of things (IoT) devices is increasing, and in the near future there will be an enormous number of devices connected to the IoT network including 5G. This Recommendation specifies two message authentication schemes. One is an aggregate message authentication (AMA) scheme for IoT as a basic mechanism. The other is an interactive aggregate message authentication (IAMA) scheme with interactive protocol in a lightweight and secure manner. Both aggregate message authentication schemes can be applied for ensuring "entity (identity) authentication" as well as for ensuring "message authentication". These schemes may not be applicable in all use cases for utilizing IoT devices, but they are quite effective and suitable for use cases in the following conditions where:</w:t>
      </w:r>
    </w:p>
    <w:p w14:paraId="3B29477E" w14:textId="77777777" w:rsidR="00BE6E0C" w:rsidRPr="00BE6E0C" w:rsidRDefault="00BE6E0C" w:rsidP="00BE6E0C">
      <w:pPr>
        <w:rPr>
          <w:bCs/>
        </w:rPr>
      </w:pPr>
      <w:r w:rsidRPr="00BE6E0C">
        <w:rPr>
          <w:bCs/>
        </w:rPr>
        <w:t>•</w:t>
      </w:r>
      <w:r w:rsidRPr="00BE6E0C">
        <w:rPr>
          <w:bCs/>
        </w:rPr>
        <w:tab/>
        <w:t>Message authentication is required from tens to tens of thousands of IoT devices.</w:t>
      </w:r>
    </w:p>
    <w:p w14:paraId="39A86FD6" w14:textId="77777777" w:rsidR="00BE6E0C" w:rsidRPr="00BE6E0C" w:rsidRDefault="00BE6E0C" w:rsidP="00BE6E0C">
      <w:pPr>
        <w:rPr>
          <w:bCs/>
        </w:rPr>
      </w:pPr>
      <w:r w:rsidRPr="00BE6E0C">
        <w:rPr>
          <w:bCs/>
        </w:rPr>
        <w:t>•</w:t>
      </w:r>
      <w:r w:rsidRPr="00BE6E0C">
        <w:rPr>
          <w:bCs/>
        </w:rPr>
        <w:tab/>
        <w:t>Data/message being handled for an authentication process that occurs frequently and intermittently.</w:t>
      </w:r>
    </w:p>
    <w:p w14:paraId="4EDB12EB" w14:textId="0DD74507" w:rsidR="00D85FB4" w:rsidRPr="0039167D" w:rsidRDefault="00BE6E0C" w:rsidP="00BE6E0C">
      <w:r w:rsidRPr="00BE6E0C">
        <w:rPr>
          <w:bCs/>
        </w:rPr>
        <w:t>For example, "surveillance applications for use of image data" and "remote telemetry" such as monitoring of plant/factory operations and health monitoring are the typical candidates of use cases for these schemes.</w:t>
      </w:r>
    </w:p>
    <w:p w14:paraId="7C07B28C" w14:textId="43223434" w:rsidR="009A5DB1" w:rsidRPr="009A5DB1" w:rsidRDefault="009A5DB1" w:rsidP="001A24CF">
      <w:pPr>
        <w:rPr>
          <w:bCs/>
        </w:rPr>
      </w:pPr>
      <w:r w:rsidRPr="0039167D">
        <w:rPr>
          <w:b/>
        </w:rPr>
        <w:t xml:space="preserve">ITU-T X.1367 “Standard format for Internet of things error logs for security incident operations” (under </w:t>
      </w:r>
      <w:r w:rsidR="00B03543">
        <w:rPr>
          <w:b/>
        </w:rPr>
        <w:t>publication</w:t>
      </w:r>
      <w:r w:rsidRPr="0039167D">
        <w:rPr>
          <w:b/>
        </w:rPr>
        <w:t>)</w:t>
      </w:r>
      <w:r w:rsidR="001A24CF">
        <w:rPr>
          <w:bCs/>
        </w:rPr>
        <w:t xml:space="preserve">: </w:t>
      </w:r>
      <w:r w:rsidR="001A24CF" w:rsidRPr="001A24CF">
        <w:rPr>
          <w:bCs/>
        </w:rPr>
        <w:t>There are two issues to handle security incidents from the Internet of things (IoT) ecosystem: The first is the incompatibility of protocols between computer networks using transmission control protocol/Internet protocol (TCP/IP) and IoT edge devices. The second is the lack of compatibility of error codes among edge device manufacturers.</w:t>
      </w:r>
      <w:r w:rsidR="001A24CF">
        <w:rPr>
          <w:bCs/>
        </w:rPr>
        <w:t xml:space="preserve"> </w:t>
      </w:r>
      <w:r w:rsidR="001A24CF" w:rsidRPr="001A24CF">
        <w:rPr>
          <w:bCs/>
        </w:rPr>
        <w:t>Recommendation X.1367 specifies a standardized error log format that can be placed in a protocol payload, such as syslog [b-IETF RFC 5424] to be used for converting an error log information issued by an edge device to the standard error log format. Recommendation X.1367 also specifies a standardized error code table to solve the second issue. As a result, security incidents across computer networks and networks for IoT edge devices can be integrally managed.</w:t>
      </w:r>
    </w:p>
    <w:p w14:paraId="58703390" w14:textId="31385335" w:rsidR="052AB999" w:rsidRDefault="052AB999" w:rsidP="65A54C5D">
      <w:r w:rsidRPr="65A54C5D">
        <w:rPr>
          <w:b/>
          <w:bCs/>
        </w:rPr>
        <w:t xml:space="preserve">ITU-T X.1368 “Secure software update procedure for IoT devices” (under approval): </w:t>
      </w:r>
      <w:r w:rsidR="3EAE6814" w:rsidRPr="00B03543">
        <w:t>This Recommendation specifies: 1) basic models and procedures for securely updating firmware/software (FW/SW) of Internet of things (IoT) devices; and 2) requirements and capabilities for updating IoT FW.</w:t>
      </w:r>
      <w:r w:rsidR="3EAE6814">
        <w:t xml:space="preserve"> </w:t>
      </w:r>
      <w:r w:rsidR="3EAE6814" w:rsidRPr="00B03543">
        <w:t>A common secure update procedure is specified with general requirements. This procedure allows common IoT SW/FW updates to be securely implemented among stakeholders in the IoT environment, such as IoT device developers and IoT system/service providers.</w:t>
      </w:r>
      <w:r w:rsidR="3EAE6814">
        <w:t xml:space="preserve"> </w:t>
      </w:r>
      <w:r w:rsidR="3EAE6814" w:rsidRPr="00B03543">
        <w:t>This Recommendation focuses on updating FW, but it is applicable to updating any other SW of IoT devices.</w:t>
      </w:r>
    </w:p>
    <w:p w14:paraId="289E3236" w14:textId="2865FC75" w:rsidR="39D5DB6F" w:rsidRDefault="00585C20">
      <w:r w:rsidRPr="6171A8C9">
        <w:rPr>
          <w:b/>
          <w:color w:val="0000FF"/>
          <w:szCs w:val="24"/>
          <w:u w:val="single"/>
        </w:rPr>
        <w:t>ITU-T Y.</w:t>
      </w:r>
      <w:r w:rsidR="39D5DB6F" w:rsidRPr="6171A8C9">
        <w:rPr>
          <w:b/>
          <w:bCs/>
          <w:color w:val="0000FF"/>
          <w:szCs w:val="24"/>
          <w:u w:val="single"/>
        </w:rPr>
        <w:t>4208 “IoT requirements for support of edge computing”</w:t>
      </w:r>
      <w:r w:rsidR="39D5DB6F" w:rsidRPr="6171A8C9">
        <w:rPr>
          <w:szCs w:val="24"/>
        </w:rPr>
        <w:t>: Some</w:t>
      </w:r>
      <w:r w:rsidRPr="6171A8C9">
        <w:rPr>
          <w:szCs w:val="24"/>
        </w:rPr>
        <w:t xml:space="preserve"> of the </w:t>
      </w:r>
      <w:r w:rsidR="39D5DB6F" w:rsidRPr="6171A8C9">
        <w:rPr>
          <w:szCs w:val="24"/>
        </w:rPr>
        <w:t xml:space="preserve">capabilities offered by the IoT, e.g., capabilities for computing, storage and analytics, are evolving in closer proximity to the IoT data sources. This Recommendation provides an overview on related challenges faced by the IoT and describes how the IoT supporting edge computing may address </w:t>
      </w:r>
      <w:r w:rsidR="39D5DB6F" w:rsidRPr="6171A8C9">
        <w:rPr>
          <w:szCs w:val="24"/>
        </w:rPr>
        <w:lastRenderedPageBreak/>
        <w:t xml:space="preserve">these challenges. From the edge computing deployment perspective, service requirements for support of edge computing capabilities in the IoT are identified as well as related functional requirements. As example, scenarios of edge computing deployment in different application domains, edge computing scenarios for Vehicle-to-Everything and for </w:t>
      </w:r>
      <w:r w:rsidRPr="6171A8C9">
        <w:rPr>
          <w:szCs w:val="24"/>
        </w:rPr>
        <w:t xml:space="preserve">smart </w:t>
      </w:r>
      <w:r w:rsidR="39D5DB6F" w:rsidRPr="6171A8C9">
        <w:rPr>
          <w:szCs w:val="24"/>
        </w:rPr>
        <w:t>manufacturing are provided in Appendix I.</w:t>
      </w:r>
    </w:p>
    <w:p w14:paraId="51383CB0" w14:textId="2D393101" w:rsidR="00585C20" w:rsidRDefault="00E12FA7" w:rsidP="0085517A">
      <w:pPr>
        <w:rPr>
          <w:bCs/>
          <w:lang w:val="en-GB"/>
        </w:rPr>
      </w:pPr>
      <w:hyperlink r:id="rId315" w:history="1">
        <w:r w:rsidR="00585C20" w:rsidRPr="005D03E3">
          <w:rPr>
            <w:rStyle w:val="Hyperlink"/>
            <w:b/>
          </w:rPr>
          <w:t>ITU-T Y.4209 “</w:t>
        </w:r>
        <w:r w:rsidR="00585C20" w:rsidRPr="005D03E3">
          <w:rPr>
            <w:rStyle w:val="Hyperlink"/>
            <w:b/>
            <w:lang w:val="en-GB"/>
          </w:rPr>
          <w:t>Requirements for interoperation of the smart port with the smart city”</w:t>
        </w:r>
      </w:hyperlink>
      <w:r w:rsidR="0085517A" w:rsidRPr="003C5057">
        <w:rPr>
          <w:b/>
          <w:lang w:val="en-GB"/>
        </w:rPr>
        <w:t xml:space="preserve"> </w:t>
      </w:r>
      <w:r w:rsidR="00585C20" w:rsidRPr="003C5057">
        <w:rPr>
          <w:bCs/>
          <w:lang w:val="en-GB"/>
        </w:rPr>
        <w:t>provides the requirements for Smart Port interoperation with Smart Cities and other smart elements. Additionally, these requirements are the foundation that enables the provision of enhanced smart services by the Smart Port (which may also benefit Smart Cities), also described in this Recommendation.</w:t>
      </w:r>
    </w:p>
    <w:p w14:paraId="55A703D5" w14:textId="616B33FA" w:rsidR="00B0174D" w:rsidRPr="003C5057" w:rsidRDefault="00E12FA7" w:rsidP="00B0174D">
      <w:pPr>
        <w:rPr>
          <w:b/>
        </w:rPr>
      </w:pPr>
      <w:hyperlink r:id="rId316">
        <w:r w:rsidR="75A59D3B" w:rsidRPr="6171A8C9">
          <w:rPr>
            <w:rStyle w:val="Hyperlink"/>
            <w:b/>
            <w:bCs/>
            <w:lang w:val="en-GB"/>
          </w:rPr>
          <w:t>ITU-T Y.4210 “Requirements and use cases for universal communication module of mobile IoT devices”</w:t>
        </w:r>
      </w:hyperlink>
      <w:r w:rsidR="00B0174D" w:rsidRPr="005326E5">
        <w:rPr>
          <w:b/>
          <w:lang w:val="en-GB"/>
        </w:rPr>
        <w:t>:</w:t>
      </w:r>
      <w:r w:rsidR="00B0174D">
        <w:rPr>
          <w:bCs/>
          <w:lang w:val="en-GB"/>
        </w:rPr>
        <w:t xml:space="preserve"> </w:t>
      </w:r>
      <w:r w:rsidR="00B0174D" w:rsidRPr="00B0174D">
        <w:rPr>
          <w:bCs/>
          <w:lang w:val="en-GB"/>
        </w:rPr>
        <w:t>As an important part of mobile IoT devices, the universal communication module is a key component to achieve economies of scale for mobile IoT devices, accelerate the progress of research and development, and promote the application of new mobile IoT technologies. This Recommendation specifies requirements for universal communication module of mobile IoT devices. Related use cases are provided in Appendix I, universal communication module reference types are described in Appendix II.</w:t>
      </w:r>
    </w:p>
    <w:p w14:paraId="455BFAE8" w14:textId="708BD04C" w:rsidR="5F0F655E" w:rsidRDefault="00E64737">
      <w:r w:rsidRPr="6171A8C9">
        <w:rPr>
          <w:b/>
          <w:color w:val="0000FF"/>
          <w:szCs w:val="24"/>
          <w:u w:val="single"/>
        </w:rPr>
        <w:t>ITU-T Y.</w:t>
      </w:r>
      <w:r w:rsidR="5F0F655E" w:rsidRPr="6171A8C9">
        <w:rPr>
          <w:b/>
          <w:bCs/>
          <w:color w:val="0000FF"/>
          <w:szCs w:val="24"/>
          <w:u w:val="single"/>
        </w:rPr>
        <w:t xml:space="preserve">4459 “Digital entity </w:t>
      </w:r>
      <w:r w:rsidRPr="6171A8C9">
        <w:rPr>
          <w:b/>
          <w:color w:val="0000FF"/>
          <w:szCs w:val="24"/>
          <w:u w:val="single"/>
        </w:rPr>
        <w:t xml:space="preserve">architecture </w:t>
      </w:r>
      <w:r w:rsidR="5F0F655E" w:rsidRPr="6171A8C9">
        <w:rPr>
          <w:b/>
          <w:bCs/>
          <w:color w:val="0000FF"/>
          <w:szCs w:val="24"/>
          <w:u w:val="single"/>
        </w:rPr>
        <w:t>framework for IoT interoperability”</w:t>
      </w:r>
      <w:r w:rsidR="5F0F655E" w:rsidRPr="6171A8C9">
        <w:rPr>
          <w:szCs w:val="24"/>
        </w:rPr>
        <w:t xml:space="preserve">: This Recommendation introduces digital entity architecture and its prospective in addressing interoperability and security among IoT applications. This Recommendation defines an architecture framework for information-oriented services that makes use </w:t>
      </w:r>
      <w:r w:rsidRPr="6171A8C9">
        <w:rPr>
          <w:szCs w:val="24"/>
        </w:rPr>
        <w:t xml:space="preserve">of </w:t>
      </w:r>
      <w:r w:rsidR="5F0F655E" w:rsidRPr="6171A8C9">
        <w:rPr>
          <w:szCs w:val="24"/>
        </w:rPr>
        <w:t>existing infrastructures, including the Internet infrastructure, to enhance secure and managed information sharing over a distributed networking environment. It defines an architecture framework for information management based on the use of digital entity, and a common set of secure services that will help the registration, discovery, resolution, and dissemination of such digital entities. The set of services is designed to facilitate sharing across any storage boundaries, any heterogeneous application boundaries, and any organization boundaries. Digital entity architecture defines a minimum set of needed architectural components, and services to provide a generic information and service interoperability. It will facilitate the interoperability of identification, description, representation, access, storage and security</w:t>
      </w:r>
      <w:r w:rsidRPr="6171A8C9">
        <w:rPr>
          <w:szCs w:val="24"/>
        </w:rPr>
        <w:t xml:space="preserve"> of IoT devices</w:t>
      </w:r>
      <w:r w:rsidR="5F0F655E" w:rsidRPr="6171A8C9">
        <w:rPr>
          <w:szCs w:val="24"/>
        </w:rPr>
        <w:t>. This architecture framework encourages a common security and management interface across different IoT applications. Under a digital entity architecture, information represented in digital form is structured as digital entity, each of which has an associated unique persistent identifier. However, metadata contained in the digital entities (e.g. location of the object) could be updated without changing its identifier. The identifier allows the digital entities to be identified and discovered, regardless where they are located or stored. Digital entities are not confined within any particular application boundary and may be moved from host to host, accessed from application to application, shared from organization to organization, without losing its ownership or management control, in order to enhance interoperability. The digital entity's data model allows ownership and access control information to be defined by data owners independently of any specific applications. This Recommendation can be used with different identification and addressing protocols (e.g. IP and/or non IP based networks).</w:t>
      </w:r>
    </w:p>
    <w:p w14:paraId="7CF85F63" w14:textId="5E22DEC6" w:rsidR="3411E5A7" w:rsidRDefault="3411E5A7">
      <w:r w:rsidRPr="6171A8C9">
        <w:rPr>
          <w:b/>
          <w:bCs/>
          <w:color w:val="0000FF"/>
          <w:szCs w:val="24"/>
          <w:u w:val="single"/>
          <w:lang w:val="en-GB"/>
        </w:rPr>
        <w:t xml:space="preserve">ITU-T Y.4461 “Framework of open data in </w:t>
      </w:r>
      <w:r w:rsidR="00E64737" w:rsidRPr="6171A8C9">
        <w:rPr>
          <w:b/>
          <w:color w:val="0000FF"/>
          <w:szCs w:val="24"/>
          <w:u w:val="single"/>
          <w:lang w:val="en-GB"/>
        </w:rPr>
        <w:t xml:space="preserve">smart </w:t>
      </w:r>
      <w:r w:rsidRPr="6171A8C9">
        <w:rPr>
          <w:b/>
          <w:bCs/>
          <w:color w:val="0000FF"/>
          <w:szCs w:val="24"/>
          <w:u w:val="single"/>
          <w:lang w:val="en-GB"/>
        </w:rPr>
        <w:t>cities”</w:t>
      </w:r>
      <w:r w:rsidRPr="6171A8C9">
        <w:rPr>
          <w:b/>
          <w:bCs/>
          <w:szCs w:val="24"/>
          <w:lang w:val="en-GB"/>
        </w:rPr>
        <w:t>:</w:t>
      </w:r>
      <w:r w:rsidRPr="6171A8C9">
        <w:rPr>
          <w:szCs w:val="24"/>
        </w:rPr>
        <w:t xml:space="preserve"> This Recommendation defines a framework of open data in smart cities. It clarifies the concept of open data in smart cities, analyses the benefits of open data in smart cities, identifies the key phases, key roles and activities of open data in smart cities and describes the framework and general requirements of open data in smart cities. The use cases are also provided in an informative appendix.</w:t>
      </w:r>
    </w:p>
    <w:p w14:paraId="150BA788" w14:textId="7A661194" w:rsidR="3411E5A7" w:rsidRDefault="3411E5A7">
      <w:r w:rsidRPr="6171A8C9">
        <w:rPr>
          <w:b/>
          <w:bCs/>
          <w:color w:val="0000FF"/>
          <w:szCs w:val="24"/>
          <w:u w:val="single"/>
        </w:rPr>
        <w:t>ITU-T Y.4462 “Requirements and functional architecture of open IoT identity correlation service”</w:t>
      </w:r>
      <w:r w:rsidRPr="6171A8C9">
        <w:rPr>
          <w:szCs w:val="24"/>
        </w:rPr>
        <w:t xml:space="preserve">: Open IoT identity correlation service, or open IoT ICS, is a service to map identities </w:t>
      </w:r>
      <w:r w:rsidRPr="6171A8C9">
        <w:rPr>
          <w:szCs w:val="24"/>
        </w:rPr>
        <w:lastRenderedPageBreak/>
        <w:t>among devices, third party services, and transactions. Recommendation ITU-T Y.4462 specifies the reference architecture of open IoT ICS which supports Internet of things (IoT) devices to access multiple third party service providers. This Recommendation clarifies the concept of the open IoT ICS, identifies its basic capabilities, common requirements and also provides the reference architecture and relevant high-level common procedures for open IoT ICS.</w:t>
      </w:r>
    </w:p>
    <w:p w14:paraId="44C2E8A6" w14:textId="2F9B3C53" w:rsidR="3411E5A7" w:rsidRDefault="3411E5A7">
      <w:r w:rsidRPr="6171A8C9">
        <w:rPr>
          <w:b/>
          <w:bCs/>
          <w:color w:val="0000FF"/>
          <w:szCs w:val="24"/>
          <w:u w:val="single"/>
        </w:rPr>
        <w:t>ITU-T Y.4463 “Framework of delegation service for IoT devices”</w:t>
      </w:r>
      <w:r w:rsidRPr="6171A8C9">
        <w:rPr>
          <w:szCs w:val="24"/>
        </w:rPr>
        <w:t>: This Recommendation is a framework of the delegation service for transferring ownership (i.e., access rights to the IoT devices) among authorized IoT devices. This Recommendation describes overview and types of the delegation service in IoT environment. It also describes the requirements and architectural models of the delegation service.</w:t>
      </w:r>
    </w:p>
    <w:p w14:paraId="403BF3BA" w14:textId="4B55B31C" w:rsidR="3411E5A7" w:rsidRDefault="3411E5A7">
      <w:r w:rsidRPr="6171A8C9">
        <w:rPr>
          <w:b/>
          <w:bCs/>
          <w:color w:val="0000FF"/>
          <w:szCs w:val="24"/>
          <w:u w:val="single"/>
        </w:rPr>
        <w:t>ITU-T Y.4464 “Framework of blockchain of things as decentralized service platform”</w:t>
      </w:r>
      <w:r w:rsidRPr="6171A8C9">
        <w:rPr>
          <w:szCs w:val="24"/>
        </w:rPr>
        <w:t xml:space="preserve">: This Recommendation introduces a decentralized IoT service platform, blockchain of things (BoT), which is enabled by blockchain-related technologies. This Recommendation analyses the concept, common characteristics and high-level requirements of BoT, and provides common capabilities and functionalities, general procedures, and relevant use cases for BoT. BoT, works in a decentralized service mode and is capable of enhancing many aspects of IoT. It has the advantages of blockchain-related technologies, especially for building decentralized data storage and management, crowding decision-making and automatic interactions. </w:t>
      </w:r>
    </w:p>
    <w:p w14:paraId="71A883F8" w14:textId="2A10C141" w:rsidR="3411E5A7" w:rsidRDefault="3411E5A7">
      <w:r w:rsidRPr="6171A8C9">
        <w:rPr>
          <w:b/>
          <w:bCs/>
          <w:color w:val="0000FF"/>
          <w:szCs w:val="24"/>
          <w:u w:val="single"/>
        </w:rPr>
        <w:t>ITU-T Y.4465 “Framework of IoT Services based on Visible Light Communications”</w:t>
      </w:r>
      <w:r w:rsidRPr="6171A8C9">
        <w:rPr>
          <w:szCs w:val="24"/>
        </w:rPr>
        <w:t>: This Recommendation describes a framework of Internet-of-Things (IoT) services based on Visible Light Communications (VLC). After describing the technical overview of VLC and the concepts of IoT services based on VLC, this Recommendation describes requirements and a reference model.</w:t>
      </w:r>
    </w:p>
    <w:p w14:paraId="0A241D74" w14:textId="353B8B96" w:rsidR="3411E5A7" w:rsidRDefault="3411E5A7">
      <w:r w:rsidRPr="6171A8C9">
        <w:rPr>
          <w:b/>
          <w:bCs/>
          <w:color w:val="0000FF"/>
          <w:szCs w:val="24"/>
          <w:u w:val="single"/>
        </w:rPr>
        <w:t>ITU-T Y.4466 “Framework of smart greenhouse service”</w:t>
      </w:r>
      <w:r w:rsidRPr="6171A8C9">
        <w:rPr>
          <w:szCs w:val="24"/>
        </w:rPr>
        <w:t xml:space="preserve">: A smart greenhouse service enables precision farming with help of IoT devices (such as sensors and actuators) installed in a smart greenhouse. A smart greenhouse service collects information about both environment and crop-growth status, and then analyses the information to produce an optimal growth model for each crop. With the optimal growth model, a smart greenhouse service can maximize agricultural productivity and improve crop quality. In addition, it can enhance user convenience. To describe a smart greenhouse service framework, this Recommendation specifies requirements, a reference model, a functional architecture and interfaces for a smart greenhouse service. </w:t>
      </w:r>
    </w:p>
    <w:p w14:paraId="2955EDE3" w14:textId="2EFC4E41" w:rsidR="3411E5A7" w:rsidRDefault="3411E5A7">
      <w:r w:rsidRPr="6171A8C9">
        <w:rPr>
          <w:b/>
          <w:bCs/>
          <w:color w:val="0000FF"/>
          <w:szCs w:val="24"/>
          <w:u w:val="single"/>
        </w:rPr>
        <w:t>ITU-T Y.4467 “Minimum set of data structure for automotive emergency response system”</w:t>
      </w:r>
      <w:r w:rsidRPr="6171A8C9">
        <w:rPr>
          <w:szCs w:val="24"/>
        </w:rPr>
        <w:t xml:space="preserve">: An automotive emergency response system (AERS) for aftermarket devices defined in the Recommendation ITU-T Y.4119 is designed to bring rapid assistance to driver and/or passengers involved in accidents. For a normal operation purpose of the AERS, an accident related data (so-called minimum set of data, MSD) needs to be sent from an automotive emergency detection device (AEDD) to an automotive emergency response center (AERC). An MSD includes mandatory information and optional information. Mandatory information of an MSD is a set of information that shall be included in an MSD when an AEDD performs normal operation. Optional information of an MSD is a set of information on an accident that can be additionally included to give more information to AERC. This Recommendation specifies an MSD structure and encoding rule for an AERS. </w:t>
      </w:r>
    </w:p>
    <w:p w14:paraId="55AD297E" w14:textId="03DC3FF0" w:rsidR="3411E5A7" w:rsidRDefault="3411E5A7">
      <w:r w:rsidRPr="6171A8C9">
        <w:rPr>
          <w:b/>
          <w:bCs/>
          <w:color w:val="0000FF"/>
          <w:szCs w:val="24"/>
          <w:u w:val="single"/>
        </w:rPr>
        <w:t>ITU-T Y.4468 “Minimum set of data transfer protocol for automotive emergency response system”</w:t>
      </w:r>
      <w:r w:rsidRPr="6171A8C9">
        <w:rPr>
          <w:szCs w:val="24"/>
        </w:rPr>
        <w:t xml:space="preserve">: An automotive emergency response system (AERS) for aftermarket devices defined in the Recommendation ITU-T Y.4119 is designed to bring rapid assistance to driver and/or passengers involved in accidents. For a normal operation purpose of the AERS, an accident related data (so-called minimum set of data, MSD) needs to be sent from an automotive emergency detection device (AEDD) to an automotive emergency response center (AERC). This Recommendation specifies an </w:t>
      </w:r>
      <w:r w:rsidRPr="6171A8C9">
        <w:rPr>
          <w:szCs w:val="24"/>
        </w:rPr>
        <w:lastRenderedPageBreak/>
        <w:t>MSD transfer protocol to provide the rules of an MSD transfer operations between an AEDD and an AERC in an AERS.</w:t>
      </w:r>
    </w:p>
    <w:p w14:paraId="0F16B4A9" w14:textId="5295A7D1" w:rsidR="00E64737" w:rsidRDefault="00E12FA7" w:rsidP="00E64737">
      <w:pPr>
        <w:rPr>
          <w:lang w:val="en-GB"/>
        </w:rPr>
      </w:pPr>
      <w:hyperlink r:id="rId317" w:history="1">
        <w:r w:rsidR="00E64737" w:rsidRPr="00F67343">
          <w:rPr>
            <w:rStyle w:val="Hyperlink"/>
            <w:b/>
            <w:bCs/>
            <w:lang w:val="en-GB"/>
          </w:rPr>
          <w:t>ITU-T Y.4469 “Reference architecture of spare computational capability exposure of IoT devices for smart home”</w:t>
        </w:r>
      </w:hyperlink>
      <w:r w:rsidR="00E64737" w:rsidRPr="00F67343">
        <w:rPr>
          <w:lang w:val="en-GB"/>
        </w:rPr>
        <w:t xml:space="preserve"> </w:t>
      </w:r>
      <w:r w:rsidR="00E64737" w:rsidRPr="00E64737">
        <w:rPr>
          <w:lang w:val="en-GB"/>
        </w:rPr>
        <w:t>introduces spare computational capability exposure (SCCE) of Internet of things (IoT) devices for smart home and provides the characteristics and reference architecture of SCCE. In addition, it provides common procedures and several use cases to illustrate the concepts and the reference architecture of SCCE.</w:t>
      </w:r>
      <w:r w:rsidR="00E64737">
        <w:rPr>
          <w:lang w:val="en-GB"/>
        </w:rPr>
        <w:t xml:space="preserve"> </w:t>
      </w:r>
      <w:r w:rsidR="00E64737" w:rsidRPr="00E64737">
        <w:rPr>
          <w:lang w:val="en-GB"/>
        </w:rPr>
        <w:t>SCCE is a functional entity in the smart home that facilitates IoT applications to make full use of spare computational capabilities of IoT devices in smart home scenarios. SCCE collects the spare computational capabilities exposed by IoT devices and provides them to IoT applications. With using SCCE, the spare computational capabilities of IoT devices can be used by IoT applications instead of the cloud to reduce the requirements of cloud computing and network resources.</w:t>
      </w:r>
    </w:p>
    <w:p w14:paraId="77563F3B" w14:textId="7871D926" w:rsidR="008A2D48" w:rsidRDefault="00E12FA7" w:rsidP="008A2D48">
      <w:pPr>
        <w:rPr>
          <w:lang w:val="en-GB"/>
        </w:rPr>
      </w:pPr>
      <w:hyperlink r:id="rId318" w:history="1">
        <w:r w:rsidR="008A2D48" w:rsidRPr="009F2BBA">
          <w:rPr>
            <w:rStyle w:val="Hyperlink"/>
            <w:b/>
            <w:bCs/>
            <w:lang w:val="en-GB"/>
          </w:rPr>
          <w:t>ITU-T Y.4470 “Reference architecture of artificial intelligence service exposure for smart sustainable cities”</w:t>
        </w:r>
      </w:hyperlink>
      <w:r w:rsidR="008A2D48">
        <w:rPr>
          <w:lang w:val="en-GB"/>
        </w:rPr>
        <w:t xml:space="preserve"> </w:t>
      </w:r>
      <w:r w:rsidR="008A2D48" w:rsidRPr="008A2D48">
        <w:rPr>
          <w:lang w:val="en-GB"/>
        </w:rPr>
        <w:t>introduces artificial intelligence service exposure (AISE) for smart sustainable cities (SSC), and provides the common characteristics and high-level requirements, reference architecture and relevant common capabilities of AISE.</w:t>
      </w:r>
      <w:r w:rsidR="008A2D48">
        <w:rPr>
          <w:lang w:val="en-GB"/>
        </w:rPr>
        <w:t xml:space="preserve"> </w:t>
      </w:r>
      <w:r w:rsidR="008A2D48" w:rsidRPr="008A2D48">
        <w:rPr>
          <w:lang w:val="en-GB"/>
        </w:rPr>
        <w:t>AISE is one of the basic supporting functional entities for smart sustainable cities, with which SSC services can use uniform reference points (exposed by AISE) to integrate and access the AI capabilities of AI services (e.g., machine learning services for image recognition, natural language processing services, traffic prediction services etc.). In addition, AISE can collect and open SSC data, and it supports AI services to train and perform AI capabilities in AISE in SSCs.</w:t>
      </w:r>
    </w:p>
    <w:p w14:paraId="28EC0AB0" w14:textId="16E88EF3" w:rsidR="0035389B" w:rsidRPr="0039167D" w:rsidRDefault="0035389B" w:rsidP="0035389B">
      <w:pPr>
        <w:rPr>
          <w:lang w:val="en-GB"/>
        </w:rPr>
      </w:pPr>
      <w:r w:rsidRPr="0039167D">
        <w:rPr>
          <w:b/>
          <w:bCs/>
          <w:lang w:val="en-GB"/>
        </w:rPr>
        <w:t>ITU-T Y.4471 “Functional architecture of network-based driving assistance for autonomous vehicles” (under approval)</w:t>
      </w:r>
      <w:r w:rsidRPr="0039167D">
        <w:rPr>
          <w:lang w:val="en-GB"/>
        </w:rPr>
        <w:t xml:space="preserve"> defines a reference functional architecture of network-based driving assistance (NDA) for autonomous vehicles. It clarifies the concept of NDA, specifies key functional entities and defines reference points between entities. The use cases and operational procedures are also provided in an informative appendix.</w:t>
      </w:r>
    </w:p>
    <w:p w14:paraId="50F1C12B" w14:textId="0262D9E8" w:rsidR="0035389B" w:rsidRPr="0039167D" w:rsidRDefault="0035389B" w:rsidP="0035389B">
      <w:pPr>
        <w:rPr>
          <w:lang w:val="en-GB"/>
        </w:rPr>
      </w:pPr>
      <w:r w:rsidRPr="0039167D">
        <w:rPr>
          <w:lang w:val="en-GB"/>
        </w:rPr>
        <w:t>For improvement in the driving of autonomous vehicles, coordination between vehicles and infrastructures need to be improved with network technologies to provide the increasing transportation services and application requirements. NDA can improve the safety and efficiency of automated driving with capabilities of cooperative perception and decisions.</w:t>
      </w:r>
    </w:p>
    <w:p w14:paraId="6937B4C1" w14:textId="481BD102" w:rsidR="00CA095B" w:rsidRPr="00CA095B" w:rsidRDefault="00CA095B" w:rsidP="00CA095B">
      <w:pPr>
        <w:rPr>
          <w:lang w:val="en-GB"/>
        </w:rPr>
      </w:pPr>
      <w:r w:rsidRPr="0039167D">
        <w:rPr>
          <w:b/>
          <w:lang w:val="en-GB"/>
        </w:rPr>
        <w:t>ITU-T Y.4472 “Open data application programming interface (APIs) for IoT data in smart cities and communities” (under approval):</w:t>
      </w:r>
      <w:r>
        <w:rPr>
          <w:lang w:val="en-GB"/>
        </w:rPr>
        <w:t xml:space="preserve"> </w:t>
      </w:r>
      <w:r w:rsidRPr="00CA095B">
        <w:rPr>
          <w:lang w:val="en-GB"/>
        </w:rPr>
        <w:t>A growing number of smart cities and Administrations are inclined to collaborate and mutualize their efforts and resources for IoT deployments and open data sharing. This Recommendation intends to study the concept and potential of developing a secured open and interoperable API in the context of IoT deployment and open data management in smart cities. It will analyse current solutions implemented by Administrations around the world, where applicable, including those adopted by smart cities, to share their data through open and interoperable interfaces. It will subsequently specify an open and interoperable API for secured Open Data architecture as well as to support IoT data interoperability for smart cities.</w:t>
      </w:r>
    </w:p>
    <w:p w14:paraId="563D111F" w14:textId="12BDEB0D" w:rsidR="00CA095B" w:rsidRDefault="00CA095B" w:rsidP="00CA095B">
      <w:pPr>
        <w:rPr>
          <w:lang w:val="en-GB"/>
        </w:rPr>
      </w:pPr>
      <w:r w:rsidRPr="00CA095B">
        <w:rPr>
          <w:lang w:val="en-GB"/>
        </w:rPr>
        <w:t xml:space="preserve">This Recommendation presents a complete set of Open APIs dedicated to smart cities offering different features covering the needs of interoperable smart city framework development. In order to achieve interoperability among heterogeneous platforms and development of smart cities, the Recommendation proposed “interoperability points” in southbound and northbound in smart city framework. It provides a list of core API sets focusing on data interoperability, including context data management APIs, data transactions APIs, data storage APIs, and security APIs. Through the mechanism of subscriptions, it is possible to get a performant and scalable context data managment. The data storage APIs allow a granular management of the saved data for all cases, in particular </w:t>
      </w:r>
      <w:r w:rsidRPr="00CA095B">
        <w:rPr>
          <w:lang w:val="en-GB"/>
        </w:rPr>
        <w:lastRenderedPageBreak/>
        <w:t>both for open data and private data. The data transaction APIs facilitate exposure and access to the data through a data marketplace. In addition, security and privacy APIs are seriously taken into account to provide secure data exchange. It should be noted that data interoperability with open APIs can be completed with using common data models which is briefly discussed. Common data models built upon the collaboration with several standard fora and European projects are opened to public to use of them. The development of interoperable framework makes smart city platforms cost-efficient, flexible and extendable. The interoperability is not a choice but a must in smart city systems that embeds multiple verticals.</w:t>
      </w:r>
    </w:p>
    <w:p w14:paraId="1AEF14B6" w14:textId="37A03008" w:rsidR="00CB6066" w:rsidRDefault="00E12FA7" w:rsidP="00CB6066">
      <w:pPr>
        <w:rPr>
          <w:lang w:val="en-GB"/>
        </w:rPr>
      </w:pPr>
      <w:hyperlink r:id="rId319" w:history="1">
        <w:r w:rsidR="00CB6066" w:rsidRPr="00E358BF">
          <w:rPr>
            <w:rStyle w:val="Hyperlink"/>
            <w:b/>
            <w:bCs/>
            <w:lang w:val="en-GB"/>
          </w:rPr>
          <w:t>ITU-T Y.4473 “SensorThings API – Sensing”</w:t>
        </w:r>
      </w:hyperlink>
      <w:r w:rsidR="00CB6066">
        <w:rPr>
          <w:lang w:val="en-GB"/>
        </w:rPr>
        <w:t xml:space="preserve"> </w:t>
      </w:r>
      <w:r w:rsidR="00CB6066" w:rsidRPr="00CB6066">
        <w:rPr>
          <w:lang w:val="en-GB"/>
        </w:rPr>
        <w:t>specifies the SensorThings application programming interface (API) which provides an open standard-based and geospatial-enabled framework to interconnect Internet of things (IoT) devices, data, and applications over the Web.</w:t>
      </w:r>
      <w:r w:rsidR="00CB6066">
        <w:rPr>
          <w:lang w:val="en-GB"/>
        </w:rPr>
        <w:t xml:space="preserve"> </w:t>
      </w:r>
      <w:r w:rsidR="00CB6066" w:rsidRPr="00CB6066">
        <w:rPr>
          <w:lang w:val="en-GB"/>
        </w:rPr>
        <w:t>The SensorThings API is an open standard, and that means it is non-proprietary, platform-independent. It builds on a rich set of proven-working and widely-adopted open standards, such as the Web protocols and the Open Geospatial Consortium (OGC) sensor Web enablement (SWE) standards, including the ISO/OGC observation and measurement data model. The SensorThings API is extensible and can be applied to not only simple but also complex use cases.</w:t>
      </w:r>
      <w:r w:rsidR="00CB6066">
        <w:rPr>
          <w:lang w:val="en-GB"/>
        </w:rPr>
        <w:t xml:space="preserve"> </w:t>
      </w:r>
      <w:r w:rsidR="00CB6066" w:rsidRPr="00CB6066">
        <w:rPr>
          <w:lang w:val="en-GB"/>
        </w:rPr>
        <w:t>This Recommendation provides a standard way to manage and retrieve observations and metadata from heterogeneous IoT sensor systems. The SensorThings API uses representational state transfer (REST) principles, an efficient JavaScript object notation (JSON) encoding, message queuing telemetry transport (MQTT) protocol, flexible OASIS open data protocol (OData) and uniform resource locator (URL) conventions.</w:t>
      </w:r>
    </w:p>
    <w:p w14:paraId="347A6849" w14:textId="310E0514" w:rsidR="00E045D1" w:rsidRDefault="00E12FA7" w:rsidP="00E045D1">
      <w:pPr>
        <w:rPr>
          <w:lang w:val="en-GB"/>
        </w:rPr>
      </w:pPr>
      <w:hyperlink r:id="rId320" w:history="1">
        <w:r w:rsidR="00E045D1" w:rsidRPr="008D1762">
          <w:rPr>
            <w:rStyle w:val="Hyperlink"/>
            <w:b/>
            <w:bCs/>
            <w:lang w:val="en-GB"/>
          </w:rPr>
          <w:t>ITU-T Y.4474 “Functional architecture for IoT services based on Visible Light Communications”</w:t>
        </w:r>
      </w:hyperlink>
      <w:r w:rsidR="00E045D1">
        <w:rPr>
          <w:lang w:val="en-GB"/>
        </w:rPr>
        <w:t xml:space="preserve"> </w:t>
      </w:r>
      <w:r w:rsidR="00E045D1" w:rsidRPr="00E045D1">
        <w:rPr>
          <w:lang w:val="en-GB"/>
        </w:rPr>
        <w:t>describes the functional architecture for Internet of Things (IoT) services based on Visible Light Communications (VLC), which includes functional requirements, functional architecture, messages and information flows.</w:t>
      </w:r>
    </w:p>
    <w:p w14:paraId="10FD4546" w14:textId="3F6F6A0E" w:rsidR="000262C8" w:rsidRDefault="00E12FA7" w:rsidP="000262C8">
      <w:pPr>
        <w:rPr>
          <w:lang w:val="en-GB"/>
        </w:rPr>
      </w:pPr>
      <w:hyperlink r:id="rId321" w:history="1">
        <w:r w:rsidR="000262C8" w:rsidRPr="00827DC9">
          <w:rPr>
            <w:rStyle w:val="Hyperlink"/>
            <w:b/>
            <w:bCs/>
            <w:lang w:val="en-GB"/>
          </w:rPr>
          <w:t>ITU-T Y.4475 “Lightweight intelligent software framework for IoT devices”</w:t>
        </w:r>
      </w:hyperlink>
      <w:r w:rsidR="000262C8">
        <w:rPr>
          <w:lang w:val="en-GB"/>
        </w:rPr>
        <w:t xml:space="preserve"> </w:t>
      </w:r>
      <w:r w:rsidR="000262C8" w:rsidRPr="000262C8">
        <w:rPr>
          <w:lang w:val="en-GB"/>
        </w:rPr>
        <w:t>addresses the concept of the lightweight intelligent software framework (LISF) which supports IoT applications requiring intelligent processing, and enables it working on resource-limited IoT devices. It identifies general requirements and provides a functional architecture of LISF based on the IoT reference model [ITU-T Y.4000].</w:t>
      </w:r>
    </w:p>
    <w:p w14:paraId="4DBE002B" w14:textId="4A444D0A" w:rsidR="00040EA7" w:rsidRPr="00040EA7" w:rsidRDefault="00E12FA7" w:rsidP="00040EA7">
      <w:pPr>
        <w:rPr>
          <w:lang w:val="en-GB"/>
        </w:rPr>
      </w:pPr>
      <w:hyperlink r:id="rId322" w:history="1">
        <w:r w:rsidR="00040EA7" w:rsidRPr="004A693D">
          <w:rPr>
            <w:rStyle w:val="Hyperlink"/>
            <w:b/>
            <w:bCs/>
            <w:lang w:val="en-GB"/>
          </w:rPr>
          <w:t>ITU-T Y.4558 “Requirements and functional architecture of smart fire smoke detection service”</w:t>
        </w:r>
      </w:hyperlink>
      <w:r w:rsidR="00040EA7" w:rsidRPr="004A693D">
        <w:rPr>
          <w:b/>
          <w:bCs/>
          <w:lang w:val="en-GB"/>
        </w:rPr>
        <w:t>:</w:t>
      </w:r>
      <w:r w:rsidR="00040EA7">
        <w:rPr>
          <w:lang w:val="en-GB"/>
        </w:rPr>
        <w:t xml:space="preserve"> </w:t>
      </w:r>
      <w:r w:rsidR="00040EA7" w:rsidRPr="00040EA7">
        <w:rPr>
          <w:lang w:val="en-GB"/>
        </w:rPr>
        <w:t>Fire smoke detection service is usually deployed in indoor environment like residential buildings, factories, shopping malls, hotels, office buildings, etc. With the development of society and economy, fire smoke detection service is playing a more and more important role in people's life, but there are some issues, including inefficient maintenance and management, non-real-time device failure detection, non-real-time fire alarms notification and poor service experience.</w:t>
      </w:r>
    </w:p>
    <w:p w14:paraId="31C9CA39" w14:textId="4A2507C5" w:rsidR="00040EA7" w:rsidRDefault="00040EA7" w:rsidP="00040EA7">
      <w:pPr>
        <w:rPr>
          <w:lang w:val="en-GB"/>
        </w:rPr>
      </w:pPr>
      <w:r w:rsidRPr="00040EA7">
        <w:rPr>
          <w:lang w:val="en-GB"/>
        </w:rPr>
        <w:t>In order to solve the above issues, Smart Fire Smoke Detection (SFSD) service can not only detect the smoke concentration through sensors and trigger a fire alarm when it reaches a certain threshold to prevent disaster, but also send the alarm information to the cloud platform through network, thus relevant departments and personnel can be notified in time through Web/APP/SMS/Voice/Instant Message Client, etc. The SFSD service can provide many benefits, including efficient maintenance and management, real-time alarm report, real-time faults report and good service experience.</w:t>
      </w:r>
      <w:r>
        <w:rPr>
          <w:lang w:val="en-GB"/>
        </w:rPr>
        <w:t xml:space="preserve"> </w:t>
      </w:r>
      <w:r w:rsidRPr="00040EA7">
        <w:rPr>
          <w:lang w:val="en-GB"/>
        </w:rPr>
        <w:t>Based on these observations, this Recommendation describes requirements and functional architecture of SFSD service.</w:t>
      </w:r>
    </w:p>
    <w:p w14:paraId="3F7BDA04" w14:textId="370AD013" w:rsidR="00EC1418" w:rsidRPr="00EC1418" w:rsidRDefault="00EC1418" w:rsidP="00EC1418">
      <w:pPr>
        <w:rPr>
          <w:lang w:val="en-GB"/>
        </w:rPr>
      </w:pPr>
      <w:r w:rsidRPr="0039167D">
        <w:rPr>
          <w:b/>
          <w:bCs/>
          <w:lang w:val="en-GB"/>
        </w:rPr>
        <w:t>ITU-T Y.4559 “Requirements and functional architecture of base station inspection services using unmanned aerial vehicles” (under approval)</w:t>
      </w:r>
      <w:r w:rsidRPr="0039167D">
        <w:rPr>
          <w:lang w:val="en-GB"/>
        </w:rPr>
        <w:t>:</w:t>
      </w:r>
      <w:r>
        <w:rPr>
          <w:lang w:val="en-GB"/>
        </w:rPr>
        <w:t xml:space="preserve"> T</w:t>
      </w:r>
      <w:r w:rsidRPr="00EC1418">
        <w:rPr>
          <w:lang w:val="en-GB"/>
        </w:rPr>
        <w:t xml:space="preserve">he changes being experienced in weather conditions and the aging of materials may cause damage to base stations, which will affect network service quality and even cause safety incidents. Network operators need to carry out timely and </w:t>
      </w:r>
      <w:r w:rsidRPr="00EC1418">
        <w:rPr>
          <w:lang w:val="en-GB"/>
        </w:rPr>
        <w:lastRenderedPageBreak/>
        <w:t>periodic inspection and maintenance operations. Due to the long-term, high-intensity and high-altitude nature of these operations, the base station inspection (BSI) services conducted manually are dangerous, inefficient and costly.</w:t>
      </w:r>
    </w:p>
    <w:p w14:paraId="5C56DEC1" w14:textId="11741819" w:rsidR="00EC1418" w:rsidRPr="00EC1418" w:rsidRDefault="00EC1418" w:rsidP="00EC1418">
      <w:pPr>
        <w:rPr>
          <w:lang w:val="en-GB"/>
        </w:rPr>
      </w:pPr>
      <w:r w:rsidRPr="00EC1418">
        <w:rPr>
          <w:lang w:val="en-GB"/>
        </w:rPr>
        <w:t>Unmanned aerial vehicles (UAVs) with mature flight control and sensing capabilities can be used not only in the normal working environment but also in some extreme working environments. Therefore, BSI using UAVs can replace most manual inspections through a network connection and reduce the risk of inspection and ensure the safety of personnel.</w:t>
      </w:r>
      <w:r>
        <w:rPr>
          <w:lang w:val="en-GB"/>
        </w:rPr>
        <w:t xml:space="preserve"> </w:t>
      </w:r>
      <w:r w:rsidRPr="00EC1418">
        <w:rPr>
          <w:lang w:val="en-GB"/>
        </w:rPr>
        <w:t>To achieve automation functions, the UAV needs to bear corresponding flight control, sensing and capturing, and communication capabilities, and it is necessary to develop a BSI supporting platform with corresponding functions to fulfil the automation and safety requirements of BSI services using UAVs.</w:t>
      </w:r>
    </w:p>
    <w:p w14:paraId="09A7F653" w14:textId="0BAC6CC8" w:rsidR="00EC1418" w:rsidRDefault="00EC1418" w:rsidP="00EC1418">
      <w:pPr>
        <w:rPr>
          <w:lang w:val="en-GB"/>
        </w:rPr>
      </w:pPr>
      <w:r w:rsidRPr="00EC1418">
        <w:rPr>
          <w:lang w:val="en-GB"/>
        </w:rPr>
        <w:t>This Recommendation describes requirements and functional architecture of BSI services using UAVs. It focuses on how to effectively provide inspection services for the base station using BSI-dedicated UAVs (BSI-UAVs).</w:t>
      </w:r>
    </w:p>
    <w:p w14:paraId="1DD93575" w14:textId="0890BDED" w:rsidR="1CEF59DA" w:rsidRDefault="1CEF59DA">
      <w:r w:rsidRPr="6171A8C9">
        <w:rPr>
          <w:b/>
          <w:bCs/>
          <w:color w:val="0000FF"/>
          <w:szCs w:val="24"/>
          <w:u w:val="single"/>
        </w:rPr>
        <w:t>ITU-T Y.4807 “Agility by design for Telecommunications/ICT Systems Security used in the Internet of Things”</w:t>
      </w:r>
      <w:r w:rsidRPr="6171A8C9">
        <w:rPr>
          <w:szCs w:val="24"/>
        </w:rPr>
        <w:t>: This Recommendation addresses possible improvement of security and stability of the Internet of Things by ensuring the supporting Telecommunications/ICT systems and related infrastructure - protocols, standards, etc. - have the flexibility to keep up with advances in Telecommunications/ICT security and cryptography. This document intentionally does not provide guidance on specific cryptosystems, standards or algorithms.</w:t>
      </w:r>
    </w:p>
    <w:p w14:paraId="01B851AA" w14:textId="31E8A484" w:rsidR="00942057" w:rsidRDefault="00E12FA7" w:rsidP="00942057">
      <w:pPr>
        <w:rPr>
          <w:lang w:val="en-GB"/>
        </w:rPr>
      </w:pPr>
      <w:hyperlink r:id="rId323" w:history="1">
        <w:r w:rsidR="00942057" w:rsidRPr="00EF4F9A">
          <w:rPr>
            <w:rStyle w:val="Hyperlink"/>
            <w:b/>
            <w:bCs/>
            <w:lang w:val="en-GB"/>
          </w:rPr>
          <w:t>ITU-T Y.4808 “Digital entity architecture framework to combat counterfeiting in IoT”</w:t>
        </w:r>
      </w:hyperlink>
      <w:r w:rsidR="00942057" w:rsidRPr="00EF4F9A">
        <w:rPr>
          <w:lang w:val="en-GB"/>
        </w:rPr>
        <w:t>:</w:t>
      </w:r>
      <w:r w:rsidR="00942057">
        <w:rPr>
          <w:lang w:val="en-GB"/>
        </w:rPr>
        <w:t xml:space="preserve"> </w:t>
      </w:r>
      <w:r w:rsidR="00942057" w:rsidRPr="00942057">
        <w:rPr>
          <w:lang w:val="en-GB"/>
        </w:rPr>
        <w:t>There are challenges related to the use and circulation of counterfeit devices in the market, including adverse consequences for users, governments and the private sector.</w:t>
      </w:r>
    </w:p>
    <w:p w14:paraId="7E384F7F" w14:textId="5191D2C9" w:rsidR="00942057" w:rsidRPr="00942057" w:rsidRDefault="00942057" w:rsidP="00942057">
      <w:pPr>
        <w:rPr>
          <w:lang w:val="en-GB"/>
        </w:rPr>
      </w:pPr>
      <w:r w:rsidRPr="00942057">
        <w:rPr>
          <w:lang w:val="en-GB"/>
        </w:rPr>
        <w:t>As documented in the ITU-T Technical Report on Counterfeit ICT equipment [b-ITU-T TR on Counterfeit ICT Equipment], there are a lot of technical solutions which are widely used for combating counterfeit products over the globe. The report indicates that RFID tags are among technologies which are used for combating counterfeiting. While this may be true, there are some difficulties associated with securing these systems with regard to the access control exercised to write on the tags.</w:t>
      </w:r>
      <w:r>
        <w:rPr>
          <w:lang w:val="en-GB"/>
        </w:rPr>
        <w:t xml:space="preserve"> </w:t>
      </w:r>
      <w:r w:rsidRPr="00942057">
        <w:rPr>
          <w:lang w:val="en-GB"/>
        </w:rPr>
        <w:t>There are solutions established for combating counterfeit devices for specific technologies and/or industries which may not be applicable to all use cases. On the other hand, there are such solutions which may be applicable to all use cases, these solutions are based on the ITU-T Recommendations such as ITU –T Y.4459 “Digital entity architecture framework for Internet of things interoperability" and ITU-T X.1255 “Framework for discovery of identity management information”.</w:t>
      </w:r>
      <w:r>
        <w:rPr>
          <w:lang w:val="en-GB"/>
        </w:rPr>
        <w:t xml:space="preserve"> </w:t>
      </w:r>
      <w:r w:rsidRPr="00942057">
        <w:rPr>
          <w:lang w:val="en-GB"/>
        </w:rPr>
        <w:t>Resolution 188 (Busan, 2014) on combating counterfeit telecommunication/information and communication technology devices recognized (in recognizing e) that Recommendation ITU-T X.1255, which is based on the digital entity architecture, provides a framework for discovery of identity management information.</w:t>
      </w:r>
      <w:r>
        <w:rPr>
          <w:lang w:val="en-GB"/>
        </w:rPr>
        <w:t xml:space="preserve"> </w:t>
      </w:r>
      <w:r w:rsidRPr="00942057">
        <w:rPr>
          <w:lang w:val="en-GB"/>
        </w:rPr>
        <w:t>A digital entity architecture, as described in ITU-T Y.4459, defines a minimum set of needed architectural components and services to provide a generic information and service interoperability. It will facilitate the interoperability of identification, description, representation, access, storage and security of IoT devices. This architecture framework encourages a common security and management interface across different IoT applications.</w:t>
      </w:r>
    </w:p>
    <w:p w14:paraId="4F8DA2F0" w14:textId="3FF037C1" w:rsidR="00942057" w:rsidRPr="00952FDF" w:rsidRDefault="00942057" w:rsidP="00942057">
      <w:pPr>
        <w:rPr>
          <w:highlight w:val="yellow"/>
          <w:lang w:val="en-GB"/>
        </w:rPr>
      </w:pPr>
      <w:r w:rsidRPr="00942057">
        <w:rPr>
          <w:lang w:val="en-GB"/>
        </w:rPr>
        <w:t>Digital entity architecture provides additional means of security (e.g. public key infrastructure) features to authenticate the parties involved in the identifiers registration process. Other industry approaches to combat counterfeiting are available. They rely on commonly acknowledged identifiers including, but not limited to MAC, IMEI, RFID, …etc.</w:t>
      </w:r>
      <w:r>
        <w:rPr>
          <w:lang w:val="en-GB"/>
        </w:rPr>
        <w:t xml:space="preserve"> </w:t>
      </w:r>
      <w:r w:rsidRPr="00942057">
        <w:rPr>
          <w:lang w:val="en-GB"/>
        </w:rPr>
        <w:t xml:space="preserve">Systems based on digital entity architecture may be considered as one category of candidate tools which allow vendors/industries (not only ICT industry) to store their products’ profile in digital form. Therefore, this </w:t>
      </w:r>
      <w:r w:rsidRPr="00942057">
        <w:rPr>
          <w:lang w:val="en-GB"/>
        </w:rPr>
        <w:lastRenderedPageBreak/>
        <w:t>Recommendation can be used in different industries such as ICT, pharmaceutical, automotive, avionic.</w:t>
      </w:r>
    </w:p>
    <w:p w14:paraId="647D5B17" w14:textId="13642E18" w:rsidR="0057262B" w:rsidRDefault="00E12FA7" w:rsidP="0057262B">
      <w:pPr>
        <w:rPr>
          <w:lang w:val="en-GB"/>
        </w:rPr>
      </w:pPr>
      <w:hyperlink r:id="rId324" w:history="1">
        <w:r w:rsidR="0057262B" w:rsidRPr="00946ECC">
          <w:rPr>
            <w:rStyle w:val="Hyperlink"/>
            <w:b/>
            <w:bCs/>
            <w:lang w:val="en-GB"/>
          </w:rPr>
          <w:t>ITU-T Y.4907 “Reference architecture of blockchain-based unified KPI data management for smart sustainable cities”</w:t>
        </w:r>
      </w:hyperlink>
      <w:r w:rsidR="0057262B">
        <w:rPr>
          <w:lang w:val="en-GB"/>
        </w:rPr>
        <w:t xml:space="preserve"> </w:t>
      </w:r>
      <w:r w:rsidR="0057262B" w:rsidRPr="0057262B">
        <w:rPr>
          <w:lang w:val="en-GB"/>
        </w:rPr>
        <w:t>provides a reference architecture for blockchain-based unified KPI (key performance indicator) data management for smart sustainable cities (BKDMS). This Recommendation provides the concept, characteristics and high-level requirements of BKDMS. A reference architecture including capabilities of its functional entities is described in details, and unified structures of KPI data are also introduced with which to ensure BKDMS realizable.</w:t>
      </w:r>
    </w:p>
    <w:p w14:paraId="4C0B714D" w14:textId="50AF2145" w:rsidR="0062414B" w:rsidRPr="0062414B" w:rsidRDefault="0062414B" w:rsidP="0062414B">
      <w:pPr>
        <w:rPr>
          <w:lang w:val="en-GB"/>
        </w:rPr>
      </w:pPr>
      <w:r w:rsidRPr="0039167D">
        <w:rPr>
          <w:b/>
          <w:bCs/>
          <w:lang w:val="en-GB"/>
        </w:rPr>
        <w:t>ITU-T Y.4908 “Performance evaluation frameworks of e-health systems in the IoT” (under approval)</w:t>
      </w:r>
      <w:r w:rsidRPr="0039167D">
        <w:rPr>
          <w:lang w:val="en-GB"/>
        </w:rPr>
        <w:t>:</w:t>
      </w:r>
      <w:r>
        <w:rPr>
          <w:lang w:val="en-GB"/>
        </w:rPr>
        <w:t xml:space="preserve"> </w:t>
      </w:r>
      <w:r w:rsidRPr="0062414B">
        <w:rPr>
          <w:lang w:val="en-GB"/>
        </w:rPr>
        <w:t>Currently e-health systems are being implemented by governments and stakeholders to increase the effectiveness, efficiency and the quality of health care services.</w:t>
      </w:r>
      <w:r w:rsidR="00EA0195">
        <w:rPr>
          <w:lang w:val="en-GB"/>
        </w:rPr>
        <w:t xml:space="preserve"> </w:t>
      </w:r>
      <w:r w:rsidRPr="0062414B">
        <w:rPr>
          <w:lang w:val="en-GB"/>
        </w:rPr>
        <w:t>The Internet of things (IoT) as a relatively new technology is transforming e-health systems to further enhance health care services. However, this transformation concomitantly creates a need for effective performance evaluation frameworks of e-health systems in the IoT.</w:t>
      </w:r>
      <w:r>
        <w:rPr>
          <w:lang w:val="en-GB"/>
        </w:rPr>
        <w:t xml:space="preserve"> </w:t>
      </w:r>
      <w:r w:rsidRPr="0062414B">
        <w:rPr>
          <w:lang w:val="en-GB"/>
        </w:rPr>
        <w:t>This Recommendation addresses this need for effective performance evaluation frameworks of e-health systems in the IoT and includes:</w:t>
      </w:r>
    </w:p>
    <w:p w14:paraId="6E066AAA" w14:textId="77777777" w:rsidR="0062414B" w:rsidRPr="0062414B" w:rsidRDefault="0062414B" w:rsidP="0062414B">
      <w:pPr>
        <w:rPr>
          <w:lang w:val="en-GB"/>
        </w:rPr>
      </w:pPr>
      <w:r w:rsidRPr="0062414B">
        <w:rPr>
          <w:lang w:val="en-GB"/>
        </w:rPr>
        <w:t>–</w:t>
      </w:r>
      <w:r w:rsidRPr="0062414B">
        <w:rPr>
          <w:lang w:val="en-GB"/>
        </w:rPr>
        <w:tab/>
        <w:t>A classification of e-health services in the IoT</w:t>
      </w:r>
    </w:p>
    <w:p w14:paraId="0736F7D8" w14:textId="77777777" w:rsidR="0062414B" w:rsidRPr="0062414B" w:rsidRDefault="0062414B" w:rsidP="0062414B">
      <w:pPr>
        <w:rPr>
          <w:lang w:val="en-GB"/>
        </w:rPr>
      </w:pPr>
      <w:r w:rsidRPr="0062414B">
        <w:rPr>
          <w:lang w:val="en-GB"/>
        </w:rPr>
        <w:t>–</w:t>
      </w:r>
      <w:r w:rsidRPr="0062414B">
        <w:rPr>
          <w:lang w:val="en-GB"/>
        </w:rPr>
        <w:tab/>
        <w:t>A non-exhaustive set of non-functional performance evaluation factors applicable to the e-health systems in the IoT</w:t>
      </w:r>
    </w:p>
    <w:p w14:paraId="7B41545A" w14:textId="0406830F" w:rsidR="0062414B" w:rsidRPr="00952FDF" w:rsidRDefault="0062414B" w:rsidP="0062414B">
      <w:pPr>
        <w:rPr>
          <w:highlight w:val="yellow"/>
          <w:lang w:val="en-GB"/>
        </w:rPr>
      </w:pPr>
      <w:r w:rsidRPr="0062414B">
        <w:rPr>
          <w:lang w:val="en-GB"/>
        </w:rPr>
        <w:t>–</w:t>
      </w:r>
      <w:r w:rsidRPr="0062414B">
        <w:rPr>
          <w:lang w:val="en-GB"/>
        </w:rPr>
        <w:tab/>
        <w:t>Performance evaluation frameworks for e-health systems in the IoT</w:t>
      </w:r>
      <w:r>
        <w:rPr>
          <w:lang w:val="en-GB"/>
        </w:rPr>
        <w:t>.</w:t>
      </w:r>
    </w:p>
    <w:p w14:paraId="666DF1BD" w14:textId="1D6B606B" w:rsidR="006A46AE" w:rsidRPr="00F56DA9" w:rsidRDefault="006A46AE" w:rsidP="006A46AE">
      <w:pPr>
        <w:pStyle w:val="Headingb"/>
      </w:pPr>
      <w:bookmarkStart w:id="246" w:name="_Toc480527902"/>
      <w:r w:rsidRPr="00F56DA9">
        <w:t>I.4.4</w:t>
      </w:r>
      <w:r w:rsidRPr="00F56DA9">
        <w:tab/>
        <w:t>Connected vehicles, automated driving and intelligent transport systems</w:t>
      </w:r>
      <w:bookmarkEnd w:id="246"/>
    </w:p>
    <w:p w14:paraId="49F2B11D" w14:textId="77777777" w:rsidR="00F56DA9" w:rsidRDefault="00E12FA7" w:rsidP="00F56DA9">
      <w:pPr>
        <w:rPr>
          <w:bCs/>
        </w:rPr>
      </w:pPr>
      <w:hyperlink r:id="rId325" w:history="1">
        <w:r w:rsidR="00F56DA9" w:rsidRPr="00766E39">
          <w:rPr>
            <w:rStyle w:val="Hyperlink"/>
            <w:b/>
            <w:lang w:val="en-GB"/>
          </w:rPr>
          <w:t>ITU-T X.1371 “Security threats to connected vehicles”</w:t>
        </w:r>
      </w:hyperlink>
      <w:r w:rsidR="00F56DA9" w:rsidRPr="00766E39">
        <w:rPr>
          <w:bCs/>
          <w:lang w:val="en-GB"/>
        </w:rPr>
        <w:t xml:space="preserve"> </w:t>
      </w:r>
      <w:r w:rsidR="00F56DA9" w:rsidRPr="00AA49A0">
        <w:t>describes security threats to connected vehicles</w:t>
      </w:r>
      <w:r w:rsidR="00F56DA9" w:rsidRPr="00AA49A0">
        <w:rPr>
          <w:bCs/>
        </w:rPr>
        <w:t>. These threats can be referred to and utilized in other Recommendations developed by ITU-T to consistently develop Recommendations in the context of the security aspects of intelligent transport systems (ITSs).</w:t>
      </w:r>
    </w:p>
    <w:p w14:paraId="7E81945A" w14:textId="77777777" w:rsidR="00F56DA9" w:rsidRPr="00952FDF" w:rsidRDefault="00E12FA7" w:rsidP="00F56DA9">
      <w:pPr>
        <w:rPr>
          <w:bCs/>
          <w:highlight w:val="yellow"/>
          <w:lang w:val="en-GB"/>
        </w:rPr>
      </w:pPr>
      <w:hyperlink r:id="rId326">
        <w:r w:rsidR="00F56DA9" w:rsidRPr="65A54C5D">
          <w:rPr>
            <w:rStyle w:val="Hyperlink"/>
            <w:b/>
            <w:bCs/>
            <w:lang w:val="en-GB"/>
          </w:rPr>
          <w:t>ITU-T X.1372 “Security guidelines for Vehicle-to-Everything (V2X) communication systems”</w:t>
        </w:r>
      </w:hyperlink>
      <w:r w:rsidR="00F56DA9" w:rsidRPr="00E70E2B">
        <w:rPr>
          <w:bCs/>
          <w:lang w:val="en-GB"/>
        </w:rPr>
        <w:t xml:space="preserve"> </w:t>
      </w:r>
      <w:r w:rsidR="00F56DA9" w:rsidRPr="00AA49A0">
        <w:rPr>
          <w:bCs/>
          <w:lang w:val="en-GB"/>
        </w:rPr>
        <w:t>identifies threats in V2X communication environments and specifies security requirements for V2X communication to mitigate these threats. This Recommendation also provides description of possible implementation of V2X communication with security.</w:t>
      </w:r>
    </w:p>
    <w:p w14:paraId="59599D5E" w14:textId="7ED2A963" w:rsidR="4EF4BA90" w:rsidRPr="007E7A06" w:rsidRDefault="4EF4BA90" w:rsidP="65A54C5D">
      <w:r w:rsidRPr="007E7A06">
        <w:rPr>
          <w:b/>
          <w:bCs/>
          <w:szCs w:val="24"/>
          <w:lang w:val="en-GB"/>
        </w:rPr>
        <w:t>ITU-T X.1374 “Security requirements for external device with vehicle access capability” (under approval)</w:t>
      </w:r>
      <w:r w:rsidR="007E7A06" w:rsidRPr="007E7A06">
        <w:rPr>
          <w:b/>
          <w:bCs/>
          <w:szCs w:val="24"/>
          <w:lang w:val="en-GB"/>
        </w:rPr>
        <w:t xml:space="preserve"> </w:t>
      </w:r>
      <w:r w:rsidR="007E7A06" w:rsidRPr="007E7A06">
        <w:rPr>
          <w:szCs w:val="24"/>
          <w:lang w:val="en-GB"/>
        </w:rPr>
        <w:t>describes security threats in two parts, the interfaces which are used to communicate between a vehicle and its external devices, and the external device which communicates to the vehicle. This Recommendation provides security requirements for such external interfaces and external devices with vehicle access capability in telecommunication network environments to address identified threats depending on types of access interfaces. Interfaces and external devices with vehicle access capability include the remote keyless entry (RKE) system with smart key, a diagnostic tool and a wireless dongle using on-board diagnostic II (OBD-II) port, telematics control units with wireless communication devices and so on.</w:t>
      </w:r>
    </w:p>
    <w:p w14:paraId="2EFF11A8" w14:textId="7FE03518" w:rsidR="4EF4BA90" w:rsidRPr="002207F6" w:rsidRDefault="4EF4BA90" w:rsidP="002207F6">
      <w:r w:rsidRPr="002207F6">
        <w:rPr>
          <w:b/>
          <w:bCs/>
          <w:szCs w:val="24"/>
          <w:lang w:val="en-GB"/>
        </w:rPr>
        <w:t>ITU-T X.1375 “Methodologies for intrusion detection system on in-vehicle system” (under approval)</w:t>
      </w:r>
      <w:r w:rsidR="002207F6" w:rsidRPr="002207F6">
        <w:rPr>
          <w:b/>
          <w:bCs/>
          <w:szCs w:val="24"/>
          <w:lang w:val="en-GB"/>
        </w:rPr>
        <w:t xml:space="preserve"> </w:t>
      </w:r>
      <w:r w:rsidR="002207F6" w:rsidRPr="002207F6">
        <w:rPr>
          <w:szCs w:val="24"/>
          <w:lang w:val="en-GB"/>
        </w:rPr>
        <w:t>provides methodologies for intrusion detection systems (IDSs) on in-vehicle networks. This Recommendation mainly focuses on how to detect intrusion and malicious activities on in-vehicle networks such as those using controller area network (CAN) that cannot be supported by general IDSs currently used in Internet deployments. This Recommendation includes classifications and analyses of attack types used on in-vehicle networks. It then provides methodologies for detecting intrusions and malicious activities within CAN-based in-vehicle networks that cannot be supported by general IDSs.</w:t>
      </w:r>
    </w:p>
    <w:p w14:paraId="7BC42A73" w14:textId="4675793B" w:rsidR="798BDF3A" w:rsidRDefault="01E0F6F6" w:rsidP="65A54C5D">
      <w:pPr>
        <w:rPr>
          <w:lang w:val="en-GB"/>
        </w:rPr>
      </w:pPr>
      <w:r w:rsidRPr="2B30A600">
        <w:rPr>
          <w:b/>
          <w:bCs/>
          <w:lang w:val="en-GB"/>
        </w:rPr>
        <w:lastRenderedPageBreak/>
        <w:t>ITU-T X.1376 “Security-related misbehaviour detection mechanism for connected vehicles”</w:t>
      </w:r>
      <w:r w:rsidR="002207F6" w:rsidRPr="2B30A600">
        <w:rPr>
          <w:b/>
          <w:bCs/>
          <w:lang w:val="en-GB"/>
        </w:rPr>
        <w:t xml:space="preserve"> (under </w:t>
      </w:r>
      <w:r w:rsidR="12503A1C" w:rsidRPr="2B30A600">
        <w:rPr>
          <w:b/>
          <w:bCs/>
          <w:lang w:val="en-GB"/>
        </w:rPr>
        <w:t>approval</w:t>
      </w:r>
      <w:r w:rsidR="002207F6" w:rsidRPr="2B30A600">
        <w:rPr>
          <w:b/>
          <w:bCs/>
          <w:lang w:val="en-GB"/>
        </w:rPr>
        <w:t>)</w:t>
      </w:r>
      <w:r w:rsidRPr="2B30A600">
        <w:rPr>
          <w:b/>
          <w:bCs/>
          <w:lang w:val="en-GB"/>
        </w:rPr>
        <w:t xml:space="preserve">: </w:t>
      </w:r>
      <w:r w:rsidRPr="2B30A600">
        <w:rPr>
          <w:lang w:val="en-GB"/>
        </w:rPr>
        <w:t>As connectivity of vehicles increases, the number of vulnerabilities is rising due to the development of complex technology. These vulnerabilities bring more threats to connected vehicles. Analysis of a large amount of automotive data is very useful for assessing security of connected vehicles. Recommendation X.1376 describes a security-related misbehaviour detection mechanism for connected vehicles to help stakeholders to utilize automotive data to improve vehicle security.</w:t>
      </w:r>
    </w:p>
    <w:p w14:paraId="22DFBAB3" w14:textId="77777777" w:rsidR="006A46AE" w:rsidRPr="00122D08" w:rsidRDefault="006A46AE" w:rsidP="006A46AE">
      <w:pPr>
        <w:pStyle w:val="Headingb"/>
      </w:pPr>
      <w:r w:rsidRPr="00122D08">
        <w:t>I.4.5</w:t>
      </w:r>
      <w:r w:rsidRPr="00122D08">
        <w:tab/>
        <w:t>Connected health: e-Health</w:t>
      </w:r>
    </w:p>
    <w:p w14:paraId="58BC510E" w14:textId="64921D8B" w:rsidR="00122D08" w:rsidRPr="00122D08" w:rsidRDefault="00E12FA7" w:rsidP="00122D08">
      <w:pPr>
        <w:rPr>
          <w:lang w:val="en-GB"/>
        </w:rPr>
      </w:pPr>
      <w:hyperlink r:id="rId327" w:history="1">
        <w:r w:rsidR="00122D08" w:rsidRPr="00497C75">
          <w:rPr>
            <w:rStyle w:val="Hyperlink"/>
            <w:b/>
            <w:bCs/>
            <w:lang w:val="en-GB"/>
          </w:rPr>
          <w:t>ITU-T H.841 (revised) “Conformance of ITU-T H.810 personal health system: Personal Health Devices interface Part 1: Optimized Exchange Protocol: Personal Health Device”</w:t>
        </w:r>
      </w:hyperlink>
      <w:r w:rsidR="00122D08">
        <w:rPr>
          <w:lang w:val="en-GB"/>
        </w:rPr>
        <w:t xml:space="preserve"> </w:t>
      </w:r>
      <w:r w:rsidR="00122D08" w:rsidRPr="00122D08">
        <w:rPr>
          <w:lang w:val="en-GB"/>
        </w:rPr>
        <w:t>provides a test suite structure (TSS) and the test purposes (TP) for personal health devices using the IEEE 11073-20601 optimized exchange protocol in the Personal Health Devices (PHD) interface, based on the requirements defined in the Recommendations of the ITU-T H.810 sub-series, of which Recommendation ITU T H.810 (2017) is the base Recommendation. The objective of this test specification is to provide a high probability of interoperability at this interface.</w:t>
      </w:r>
    </w:p>
    <w:p w14:paraId="54EB9BA0" w14:textId="0A3F18A1" w:rsidR="00122D08" w:rsidRPr="00122D08" w:rsidRDefault="00122D08" w:rsidP="00122D08">
      <w:pPr>
        <w:rPr>
          <w:lang w:val="en-GB"/>
        </w:rPr>
      </w:pPr>
      <w:r w:rsidRPr="00122D08">
        <w:rPr>
          <w:lang w:val="en-GB"/>
        </w:rPr>
        <w:t>Recommendation ITU-T H.841 is a transposition of Continua Test Tool DG2016, Test Suite Structure &amp; Test Purposes, Personal Health Devices Interface; Part 1: Optimized Exchange Protocol. Personal Health Device (Version 1.11, 2017-03-14),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r>
        <w:rPr>
          <w:lang w:val="en-GB"/>
        </w:rPr>
        <w:t xml:space="preserve"> </w:t>
      </w:r>
      <w:r w:rsidRPr="00122D08">
        <w:rPr>
          <w:lang w:val="en-GB"/>
        </w:rPr>
        <w:t>The updates include the following aspects:</w:t>
      </w:r>
    </w:p>
    <w:p w14:paraId="1383A6AE" w14:textId="6DBE26DC" w:rsidR="00122D08" w:rsidRPr="00952FDF" w:rsidRDefault="00122D08" w:rsidP="00122D08">
      <w:pPr>
        <w:rPr>
          <w:highlight w:val="yellow"/>
          <w:lang w:val="en-GB"/>
        </w:rPr>
      </w:pPr>
      <w:r w:rsidRPr="00122D08">
        <w:rPr>
          <w:lang w:val="en-GB"/>
        </w:rPr>
        <w:t>–</w:t>
      </w:r>
      <w:r w:rsidRPr="00122D08">
        <w:rPr>
          <w:lang w:val="en-GB"/>
        </w:rPr>
        <w:tab/>
        <w:t>Updates related to the inclusion of the value “7946” according to CDG2017 document, H812.1 H.812.1 - Observation Upload, corresponding to “MDC_TIME_SYNC_EBWW” and according to bugzilla 1164 and 1165.</w:t>
      </w:r>
    </w:p>
    <w:bookmarkStart w:id="247" w:name="H871"/>
    <w:p w14:paraId="6AE0072A" w14:textId="744B4134" w:rsidR="00E41A28" w:rsidRDefault="005A56C9" w:rsidP="00E41A28">
      <w:r w:rsidRPr="005A56C9">
        <w:rPr>
          <w:b/>
          <w:bCs/>
          <w:color w:val="2B579A"/>
          <w:shd w:val="clear" w:color="auto" w:fill="E6E6E6"/>
        </w:rPr>
        <w:fldChar w:fldCharType="begin"/>
      </w:r>
      <w:r w:rsidRPr="005A56C9">
        <w:rPr>
          <w:b/>
          <w:bCs/>
        </w:rPr>
        <w:instrText xml:space="preserve"> HYPERLINK "https://www.itu.int/ITU-T/recommendations/rec.aspx?id=14345" </w:instrText>
      </w:r>
      <w:r w:rsidRPr="005A56C9">
        <w:rPr>
          <w:b/>
          <w:bCs/>
          <w:color w:val="2B579A"/>
          <w:shd w:val="clear" w:color="auto" w:fill="E6E6E6"/>
        </w:rPr>
        <w:fldChar w:fldCharType="separate"/>
      </w:r>
      <w:r w:rsidR="00E41A28" w:rsidRPr="005A56C9">
        <w:rPr>
          <w:rStyle w:val="Hyperlink"/>
          <w:b/>
          <w:bCs/>
        </w:rPr>
        <w:t>ITU-T H.850.1 (revised) “Conformance of ITU-T H.810 personal health system: Personal Health Devices interface Part 10A: Transcoding for Bluetooth Low Energy: Personal Health Gateway – Thermometer”</w:t>
      </w:r>
      <w:r w:rsidRPr="005A56C9">
        <w:rPr>
          <w:b/>
          <w:bCs/>
          <w:color w:val="2B579A"/>
          <w:shd w:val="clear" w:color="auto" w:fill="E6E6E6"/>
        </w:rPr>
        <w:fldChar w:fldCharType="end"/>
      </w:r>
      <w:r w:rsidR="00E41A28">
        <w:t xml:space="preserve"> provides a test suite structure (TSS) and the test purposes (TP) for the transcoding of thermometer data by personal health gateways in the Personal Health Devices (PHD) interface of thermometer device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02879817" w14:textId="4896E748" w:rsidR="00E41A28" w:rsidRDefault="00E41A28" w:rsidP="00E41A28">
      <w:r>
        <w:t>Recommendation ITU-T H.850.1 is a transposition of clause 3.3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26E260AE" w14:textId="77777777" w:rsidR="00E41A28" w:rsidRDefault="00E41A28" w:rsidP="00E41A28">
      <w:r>
        <w:t>–</w:t>
      </w:r>
      <w:r>
        <w:tab/>
        <w:t>Updates related to the value of the Reg-Cert-Data-List according to the CDG2017-Q2.</w:t>
      </w:r>
    </w:p>
    <w:p w14:paraId="063548F7" w14:textId="09912949" w:rsidR="00E41A28" w:rsidRDefault="00E12FA7" w:rsidP="00E41A28">
      <w:hyperlink r:id="rId328" w:history="1">
        <w:r w:rsidR="00E41A28" w:rsidRPr="004107F0">
          <w:rPr>
            <w:rStyle w:val="Hyperlink"/>
            <w:b/>
            <w:bCs/>
          </w:rPr>
          <w:t>ITU-T H.850.2 (revised) “Conformance of ITU-T H.810 personal health system: Personal Health Devices interface Part 10B: Transcoding for Bluetooth Low Energy: Personal Health Gateway - Blood pressure”</w:t>
        </w:r>
      </w:hyperlink>
      <w:r w:rsidR="00E41A28">
        <w:t xml:space="preserve"> provides a test suite structure (TSS) and the test purposes (TP) for the transcoding of blood pressure data by personal health gateways in the Personal Health Devices (PHD) interface of application-level data between the Bluetooth Low Energy Bluetooth Generic </w:t>
      </w:r>
      <w:r w:rsidR="00E41A28">
        <w:lastRenderedPageBreak/>
        <w:t>Attribute Profile (GATT) format and the IEEE 11073-20601 data format, of which Recommendation ITU T H.810 (2016) is the base Recommendation. The objective of this test specification is to provide a high probability of interoperability at this interface.</w:t>
      </w:r>
    </w:p>
    <w:p w14:paraId="294D5BE4" w14:textId="6AC025CC" w:rsidR="00E41A28" w:rsidRDefault="00E41A28" w:rsidP="00E41A28">
      <w:r>
        <w:t>Recommendation ITU-T H.850.2 is a transposition of clause 3.4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17CB0E33" w14:textId="77777777" w:rsidR="00E41A28" w:rsidRDefault="00E41A28" w:rsidP="00E41A28">
      <w:r>
        <w:t>–</w:t>
      </w:r>
      <w:r>
        <w:tab/>
        <w:t>Updates related to the value of the Reg-Cert-Data-List according to the CDG2017-Q2.</w:t>
      </w:r>
    </w:p>
    <w:p w14:paraId="3DB05723" w14:textId="0DBB749E" w:rsidR="00E41A28" w:rsidRDefault="00E12FA7" w:rsidP="00E41A28">
      <w:hyperlink r:id="rId329" w:history="1">
        <w:r w:rsidR="00EC603F" w:rsidRPr="009B6475">
          <w:rPr>
            <w:rStyle w:val="Hyperlink"/>
            <w:b/>
            <w:bCs/>
          </w:rPr>
          <w:t xml:space="preserve">ITU-T </w:t>
        </w:r>
        <w:r w:rsidR="00E41A28" w:rsidRPr="009B6475">
          <w:rPr>
            <w:rStyle w:val="Hyperlink"/>
            <w:b/>
            <w:bCs/>
          </w:rPr>
          <w:t xml:space="preserve">H.850.3 </w:t>
        </w:r>
        <w:r w:rsidR="00EC603F" w:rsidRPr="009B6475">
          <w:rPr>
            <w:rStyle w:val="Hyperlink"/>
            <w:b/>
            <w:bCs/>
          </w:rPr>
          <w:t>“</w:t>
        </w:r>
        <w:r w:rsidR="00E41A28" w:rsidRPr="009B6475">
          <w:rPr>
            <w:rStyle w:val="Hyperlink"/>
            <w:b/>
            <w:bCs/>
          </w:rPr>
          <w:t>Conformance of ITU-T H.810 personal health system: Personal Health Devices interface Part 10C: Transcoding for Bluetooth Low Energy: Personal Health Gateway - Heart-rate</w:t>
        </w:r>
        <w:r w:rsidR="00EC603F" w:rsidRPr="009B6475">
          <w:rPr>
            <w:rStyle w:val="Hyperlink"/>
            <w:b/>
            <w:bCs/>
          </w:rPr>
          <w:t>”</w:t>
        </w:r>
      </w:hyperlink>
      <w:r w:rsidR="00EC603F">
        <w:t xml:space="preserve"> </w:t>
      </w:r>
      <w:r w:rsidR="00E41A28">
        <w:t>provides a test suite structure (TSS) and the test purposes (TP) for the transcoding of heart rate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650190F7" w14:textId="79CF3F3F" w:rsidR="00E41A28" w:rsidRDefault="00E41A28" w:rsidP="00E41A28">
      <w:r>
        <w:t>Recommendation ITU-T H.850.3 is a transposition of clause 3.5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 The updates include the following aspects:</w:t>
      </w:r>
    </w:p>
    <w:p w14:paraId="08233C7C" w14:textId="77777777" w:rsidR="00E41A28" w:rsidRDefault="00E41A28" w:rsidP="00E41A28">
      <w:r>
        <w:t>–</w:t>
      </w:r>
      <w:r>
        <w:tab/>
        <w:t>Updates related to the value of the Reg-Cert-Data-List according to the CDG2017-Q2.</w:t>
      </w:r>
    </w:p>
    <w:p w14:paraId="44C26EC0" w14:textId="1CD874AB" w:rsidR="00E41A28" w:rsidRDefault="00E12FA7" w:rsidP="00E41A28">
      <w:hyperlink r:id="rId330" w:history="1">
        <w:r w:rsidR="00EC603F" w:rsidRPr="00CD091B">
          <w:rPr>
            <w:rStyle w:val="Hyperlink"/>
            <w:b/>
            <w:bCs/>
          </w:rPr>
          <w:t xml:space="preserve">ITU-T </w:t>
        </w:r>
        <w:r w:rsidR="00E41A28" w:rsidRPr="00CD091B">
          <w:rPr>
            <w:rStyle w:val="Hyperlink"/>
            <w:b/>
            <w:bCs/>
          </w:rPr>
          <w:t>H.850.4 (revised)</w:t>
        </w:r>
        <w:r w:rsidR="00EC603F" w:rsidRPr="00CD091B">
          <w:rPr>
            <w:rStyle w:val="Hyperlink"/>
            <w:b/>
            <w:bCs/>
          </w:rPr>
          <w:t xml:space="preserve"> “</w:t>
        </w:r>
        <w:r w:rsidR="00E41A28" w:rsidRPr="00CD091B">
          <w:rPr>
            <w:rStyle w:val="Hyperlink"/>
            <w:b/>
            <w:bCs/>
          </w:rPr>
          <w:t>Conformance of ITU-T H.810 personal health system: Personal Health Devices interface Part 10D: Transcoding for Bluetooth Low Energy: Personal Health Gateway - Glucose meter</w:t>
        </w:r>
        <w:r w:rsidR="00EC603F" w:rsidRPr="00CD091B">
          <w:rPr>
            <w:rStyle w:val="Hyperlink"/>
            <w:b/>
            <w:bCs/>
          </w:rPr>
          <w:t>”</w:t>
        </w:r>
      </w:hyperlink>
      <w:r w:rsidR="00EC603F">
        <w:t xml:space="preserve"> </w:t>
      </w:r>
      <w:r w:rsidR="00E41A28">
        <w:t>provides a test suite structure (TSS) and the test purposes (TP) for the transcoding of glucose meter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3E4A39FB" w14:textId="78BEBA6D" w:rsidR="00E41A28" w:rsidRDefault="00E41A28" w:rsidP="00E41A28">
      <w:r>
        <w:t>Recommendation ITU-T H.850.4 is a transposition of clause 3.6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w:t>
      </w:r>
      <w:r w:rsidR="00EC603F">
        <w:t xml:space="preserve"> </w:t>
      </w:r>
      <w:r>
        <w:t>The updates include the following aspects:</w:t>
      </w:r>
    </w:p>
    <w:p w14:paraId="409F37DD" w14:textId="77777777" w:rsidR="00E41A28" w:rsidRDefault="00E41A28" w:rsidP="00E41A28">
      <w:r>
        <w:t>–</w:t>
      </w:r>
      <w:r>
        <w:tab/>
        <w:t>Updates related to the value of the Reg-Cert-Data-List according to the CDG2017-Q2.</w:t>
      </w:r>
    </w:p>
    <w:p w14:paraId="1C3DE650" w14:textId="14E56E74" w:rsidR="00E41A28" w:rsidRDefault="00E12FA7" w:rsidP="00E41A28">
      <w:hyperlink r:id="rId331" w:history="1">
        <w:r w:rsidR="00EC603F" w:rsidRPr="00135FC4">
          <w:rPr>
            <w:rStyle w:val="Hyperlink"/>
            <w:b/>
            <w:bCs/>
          </w:rPr>
          <w:t xml:space="preserve">ITU-T </w:t>
        </w:r>
        <w:r w:rsidR="00E41A28" w:rsidRPr="00135FC4">
          <w:rPr>
            <w:rStyle w:val="Hyperlink"/>
            <w:b/>
            <w:bCs/>
          </w:rPr>
          <w:t>H.850.5 (revised)</w:t>
        </w:r>
        <w:r w:rsidR="00EC603F" w:rsidRPr="00135FC4">
          <w:rPr>
            <w:rStyle w:val="Hyperlink"/>
            <w:b/>
            <w:bCs/>
          </w:rPr>
          <w:t xml:space="preserve"> “</w:t>
        </w:r>
        <w:r w:rsidR="00E41A28" w:rsidRPr="00135FC4">
          <w:rPr>
            <w:rStyle w:val="Hyperlink"/>
            <w:b/>
            <w:bCs/>
          </w:rPr>
          <w:t>Conformance of ITU-T H.810 personal health system: Personal Health Devices interface Part 10E: Transcoding for Bluetooth Low Energy: Personal Health Gateway - Weighing scales</w:t>
        </w:r>
        <w:r w:rsidR="00EC603F" w:rsidRPr="00135FC4">
          <w:rPr>
            <w:rStyle w:val="Hyperlink"/>
            <w:b/>
            <w:bCs/>
          </w:rPr>
          <w:t>”</w:t>
        </w:r>
      </w:hyperlink>
      <w:r w:rsidR="00EC603F">
        <w:t xml:space="preserve"> </w:t>
      </w:r>
      <w:r w:rsidR="00E41A28">
        <w:t>provides a test suite structure (TSS) and the test purposes (TP) for the transcoding of weighing scales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363D69C7" w14:textId="5A51B80B" w:rsidR="00E41A28" w:rsidRDefault="00E41A28" w:rsidP="00E41A28">
      <w:r>
        <w:t>Recommendation ITU-T H.850.5 is a transposition of clause 3.7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w:t>
      </w:r>
      <w:r w:rsidR="00EC603F">
        <w:t xml:space="preserve"> </w:t>
      </w:r>
      <w:r>
        <w:t>The updates include the following aspects:</w:t>
      </w:r>
    </w:p>
    <w:p w14:paraId="6D0FCD3C" w14:textId="77777777" w:rsidR="00E41A28" w:rsidRDefault="00E41A28" w:rsidP="00E41A28">
      <w:r>
        <w:t>–</w:t>
      </w:r>
      <w:r>
        <w:tab/>
        <w:t>Updates related to the value of the Reg-Cert-Data-List according to the CDG2017-Q2.</w:t>
      </w:r>
    </w:p>
    <w:p w14:paraId="70B65867" w14:textId="3C0A6C4C" w:rsidR="00E41A28" w:rsidRDefault="00E12FA7" w:rsidP="00E41A28">
      <w:hyperlink r:id="rId332" w:history="1">
        <w:r w:rsidR="00EC603F" w:rsidRPr="00210944">
          <w:rPr>
            <w:rStyle w:val="Hyperlink"/>
            <w:b/>
            <w:bCs/>
          </w:rPr>
          <w:t xml:space="preserve">ITU-T </w:t>
        </w:r>
        <w:r w:rsidR="00E41A28" w:rsidRPr="00210944">
          <w:rPr>
            <w:rStyle w:val="Hyperlink"/>
            <w:b/>
            <w:bCs/>
          </w:rPr>
          <w:t>H.850.6 (revised)</w:t>
        </w:r>
        <w:r w:rsidR="00EC603F" w:rsidRPr="00210944">
          <w:rPr>
            <w:rStyle w:val="Hyperlink"/>
            <w:b/>
            <w:bCs/>
          </w:rPr>
          <w:t xml:space="preserve"> “</w:t>
        </w:r>
        <w:r w:rsidR="00E41A28" w:rsidRPr="00210944">
          <w:rPr>
            <w:rStyle w:val="Hyperlink"/>
            <w:b/>
            <w:bCs/>
          </w:rPr>
          <w:t>Conformance of ITU-T H.810 personal health system: Personal Health Devices interface Part 10F: Transcoding for Bluetooth Low Energy: Personal Health Gateway - Pulse oximeter</w:t>
        </w:r>
        <w:r w:rsidR="00EC603F" w:rsidRPr="00210944">
          <w:rPr>
            <w:rStyle w:val="Hyperlink"/>
            <w:b/>
            <w:bCs/>
          </w:rPr>
          <w:t>”</w:t>
        </w:r>
      </w:hyperlink>
      <w:r w:rsidR="00EC603F">
        <w:t xml:space="preserve"> </w:t>
      </w:r>
      <w:r w:rsidR="00E41A28">
        <w:t>provides a test suite structure (TSS) and the test purposes (TP) for the transcoding of pulse oximeter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0B8A527F" w14:textId="747E9376" w:rsidR="00E41A28" w:rsidRDefault="00E41A28" w:rsidP="00E41A28">
      <w:r>
        <w:t>Recommendation ITU-T H.850.6 is a transposition of clause 3.8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w:t>
      </w:r>
      <w:r w:rsidR="00EC603F">
        <w:t xml:space="preserve"> </w:t>
      </w:r>
      <w:r>
        <w:t>The updates include the following aspects:</w:t>
      </w:r>
    </w:p>
    <w:p w14:paraId="548B8F34" w14:textId="77777777" w:rsidR="00E41A28" w:rsidRDefault="00E41A28" w:rsidP="00E41A28">
      <w:r>
        <w:t>–</w:t>
      </w:r>
      <w:r>
        <w:tab/>
        <w:t>Updates related to the value of the Reg-Cert-Data-List according to the CDG2017-Q2.</w:t>
      </w:r>
    </w:p>
    <w:p w14:paraId="1D5D5027" w14:textId="6FF1A551" w:rsidR="00E41A28" w:rsidRDefault="00E12FA7" w:rsidP="00E41A28">
      <w:hyperlink r:id="rId333" w:history="1">
        <w:r w:rsidR="00EC603F" w:rsidRPr="00951559">
          <w:rPr>
            <w:rStyle w:val="Hyperlink"/>
            <w:b/>
            <w:bCs/>
          </w:rPr>
          <w:t xml:space="preserve">ITU-T </w:t>
        </w:r>
        <w:r w:rsidR="00E41A28" w:rsidRPr="00951559">
          <w:rPr>
            <w:rStyle w:val="Hyperlink"/>
            <w:b/>
            <w:bCs/>
          </w:rPr>
          <w:t>H.850.7 (revised)</w:t>
        </w:r>
        <w:r w:rsidR="00EC603F" w:rsidRPr="00951559">
          <w:rPr>
            <w:rStyle w:val="Hyperlink"/>
            <w:b/>
            <w:bCs/>
          </w:rPr>
          <w:t xml:space="preserve"> “</w:t>
        </w:r>
        <w:r w:rsidR="00E41A28" w:rsidRPr="00951559">
          <w:rPr>
            <w:rStyle w:val="Hyperlink"/>
            <w:b/>
            <w:bCs/>
          </w:rPr>
          <w:t>Conformance of ITU-T H.810 personal health system: Personal Health Devices interface Part 10G: Transcoding for Bluetooth Low Energy: Personal Health Gateway - Continuous glucose monitoring</w:t>
        </w:r>
        <w:r w:rsidR="00EC603F" w:rsidRPr="00951559">
          <w:rPr>
            <w:rStyle w:val="Hyperlink"/>
            <w:b/>
            <w:bCs/>
          </w:rPr>
          <w:t>”</w:t>
        </w:r>
      </w:hyperlink>
      <w:r w:rsidR="00EC603F">
        <w:t xml:space="preserve"> </w:t>
      </w:r>
      <w:r w:rsidR="00E41A28">
        <w:t>provides a test suite structure (TSS) and the test purposes (TP) for the transcoding of continuous glucose monitoring data by personal health gateways (PHGs)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w:t>
      </w:r>
    </w:p>
    <w:p w14:paraId="797D6760" w14:textId="500DC976" w:rsidR="00E41A28" w:rsidRDefault="00E41A28" w:rsidP="00E41A28">
      <w:r>
        <w:t xml:space="preserve">Recommendation ITU-T H.850.7 is a transposition of clause 3.9 of Continua Test Tool DG2016, Test Suite Structure &amp; Test Purposes, Personal Health Devices Interface; Part 10: PHD Transcoding Whitepaper. Personal Health Gateway (Version 1.7, 2017-07-18), that was developed by the Personal Connected Health Alliance. A number of versions of this specification existed before </w:t>
      </w:r>
      <w:r>
        <w:lastRenderedPageBreak/>
        <w:t>transposition.</w:t>
      </w:r>
      <w:r w:rsidR="00EC603F">
        <w:t xml:space="preserve"> </w:t>
      </w:r>
      <w:r>
        <w:t>This Recommendation includes an electronic attachment with the protocol implementation conformance statements (PICS) and the protocol implementation extra information for testing (PIXIT) required for the implementation of Annex A.</w:t>
      </w:r>
      <w:r w:rsidR="00EC603F">
        <w:t xml:space="preserve"> </w:t>
      </w:r>
      <w:r>
        <w:t>The updates include the following aspects:</w:t>
      </w:r>
    </w:p>
    <w:p w14:paraId="73F07841" w14:textId="5AF3B859" w:rsidR="00E41A28" w:rsidRDefault="00E41A28" w:rsidP="00E41A28">
      <w:r>
        <w:t>–</w:t>
      </w:r>
      <w:r>
        <w:tab/>
        <w:t>Updates related to the value of the Reg-Cert-Data-List according to the CDG2017-Q2.</w:t>
      </w:r>
    </w:p>
    <w:p w14:paraId="4AFD62B2" w14:textId="116EC6EF" w:rsidR="007E2877" w:rsidRPr="007E2877" w:rsidRDefault="00E12FA7" w:rsidP="007E2877">
      <w:pPr>
        <w:rPr>
          <w:bCs/>
          <w:lang w:val="en-GB"/>
        </w:rPr>
      </w:pPr>
      <w:hyperlink r:id="rId334" w:history="1">
        <w:r w:rsidR="007E2877" w:rsidRPr="00530F6F">
          <w:rPr>
            <w:rStyle w:val="Hyperlink"/>
            <w:b/>
            <w:lang w:val="en-GB"/>
          </w:rPr>
          <w:t>ITU-T H.862.1 “Data model for sleep management services”</w:t>
        </w:r>
      </w:hyperlink>
      <w:r w:rsidR="007E2877" w:rsidRPr="00530F6F">
        <w:rPr>
          <w:bCs/>
          <w:lang w:val="en-GB"/>
        </w:rPr>
        <w:t>:</w:t>
      </w:r>
      <w:r w:rsidR="007E2877">
        <w:rPr>
          <w:bCs/>
          <w:lang w:val="en-GB"/>
        </w:rPr>
        <w:t xml:space="preserve"> </w:t>
      </w:r>
      <w:r w:rsidR="007E2877" w:rsidRPr="007E2877">
        <w:rPr>
          <w:bCs/>
          <w:lang w:val="en-GB"/>
        </w:rPr>
        <w:t xml:space="preserve">Sleep could affect labour productivity, healthcare in many fields of human factors. While previous sleep management markets focused on furniture including bedding and medical sleep management, current trends include a new form of sleep management technology, including a convergence of existing sleep management methodology and ICT. The reference model of the sleep management service and sleep safety services were introduced in ITU H.862.0. This Recommendation describes the data model for the sleep management services. The scope of this Recommendation is focused on the structured model of data for expressing data collected from sensors as information such as sleep time, sleep stage, and sleep goal to apply to sleep management services. </w:t>
      </w:r>
    </w:p>
    <w:p w14:paraId="75C02A9E" w14:textId="388E05CB" w:rsidR="007E2877" w:rsidRPr="007E2877" w:rsidRDefault="007E2877" w:rsidP="007E2877">
      <w:pPr>
        <w:rPr>
          <w:bCs/>
          <w:lang w:val="en-GB"/>
        </w:rPr>
      </w:pPr>
      <w:r w:rsidRPr="007E2877">
        <w:rPr>
          <w:bCs/>
          <w:lang w:val="en-GB"/>
        </w:rPr>
        <w:t>In many fields of human factors including healthcare, sleep data can be obtained from a variety of sensors such as EEG, ECG, pulse, motion, sound. From the data, sleep time and sleep quality can be calculated. A general sleep management services that can handle multiple devices independently of the raw data should be able to represent the quantity and quality of sleep. This can be present the sleep stage and its time.</w:t>
      </w:r>
    </w:p>
    <w:p w14:paraId="4FE6D15D" w14:textId="64B66440" w:rsidR="007E2877" w:rsidRPr="007E2877" w:rsidRDefault="00E12FA7" w:rsidP="007E2877">
      <w:pPr>
        <w:rPr>
          <w:bCs/>
          <w:lang w:val="en-GB"/>
        </w:rPr>
      </w:pPr>
      <w:hyperlink r:id="rId335" w:history="1">
        <w:r w:rsidR="007E2877" w:rsidRPr="00EC7B99">
          <w:rPr>
            <w:rStyle w:val="Hyperlink"/>
            <w:b/>
            <w:lang w:val="en-GB"/>
          </w:rPr>
          <w:t>ITU-T H.862.2 “Framework of annotation methods for biosignal data”</w:t>
        </w:r>
      </w:hyperlink>
      <w:r w:rsidR="007E2877" w:rsidRPr="00EC7B99">
        <w:rPr>
          <w:b/>
          <w:lang w:val="en-GB"/>
        </w:rPr>
        <w:t>:</w:t>
      </w:r>
      <w:r w:rsidR="007E2877">
        <w:rPr>
          <w:bCs/>
          <w:lang w:val="en-GB"/>
        </w:rPr>
        <w:t xml:space="preserve"> </w:t>
      </w:r>
      <w:r w:rsidR="007E2877" w:rsidRPr="007E2877">
        <w:rPr>
          <w:bCs/>
          <w:lang w:val="en-GB"/>
        </w:rPr>
        <w:t>In many fields of human factors including healthcare, various types of data are produced by different institutions. Biosignals are various signal-based data obtained from the human body and include voice, temperature, ECG, EEG and EMG. The purpose of this Recommendation is to define the framework of annotation methods for biosignal data. The scope of this Recommendation is focused on the method of temporally expressing the occurrence interval of an event generated from a biosignal, and the ontology for label mapping.</w:t>
      </w:r>
    </w:p>
    <w:p w14:paraId="64FABBB8" w14:textId="77777777" w:rsidR="007E2877" w:rsidRPr="007E2877" w:rsidRDefault="007E2877" w:rsidP="007E2877">
      <w:pPr>
        <w:rPr>
          <w:bCs/>
          <w:lang w:val="en-GB"/>
        </w:rPr>
      </w:pPr>
      <w:r w:rsidRPr="007E2877">
        <w:rPr>
          <w:bCs/>
          <w:lang w:val="en-GB"/>
        </w:rPr>
        <w:t>In recent years, the use of biosignal data in diagnosis, treatment, and health management has become an important issue. Health data generated from different medical sites and individuals contain various information about health conditions, and a unified method of expressing annotation biosignal data is required to allow interoperability. This Recommendation covers the ontology for label mapping.</w:t>
      </w:r>
    </w:p>
    <w:p w14:paraId="13E51A85" w14:textId="5825683B" w:rsidR="007E2877" w:rsidRPr="007E2877" w:rsidRDefault="00E12FA7" w:rsidP="007E2877">
      <w:pPr>
        <w:rPr>
          <w:bCs/>
          <w:lang w:val="en-GB"/>
        </w:rPr>
      </w:pPr>
      <w:hyperlink r:id="rId336" w:history="1">
        <w:r w:rsidR="007E2877" w:rsidRPr="004A7252">
          <w:rPr>
            <w:rStyle w:val="Hyperlink"/>
            <w:b/>
            <w:lang w:val="en-GB"/>
          </w:rPr>
          <w:t>ITU-T H.862.3 “Requirements of voice management interface for human-care services”</w:t>
        </w:r>
      </w:hyperlink>
      <w:r w:rsidR="007E2877" w:rsidRPr="004A7252">
        <w:rPr>
          <w:bCs/>
          <w:lang w:val="en-GB"/>
        </w:rPr>
        <w:t>:</w:t>
      </w:r>
      <w:r w:rsidR="007E2877">
        <w:rPr>
          <w:bCs/>
          <w:lang w:val="en-GB"/>
        </w:rPr>
        <w:t xml:space="preserve"> </w:t>
      </w:r>
      <w:r w:rsidR="007E2877" w:rsidRPr="007E2877">
        <w:rPr>
          <w:bCs/>
          <w:lang w:val="en-GB"/>
        </w:rPr>
        <w:t>Human-care services are related issues for improvement of the quality of life providing what is necessary for the health, welfare, and protection of people. Various voice-based services are being developed from a nursing robot to care patients and to identify problems through conversation with patients, to the technology for early diagnosis of dementia from voice. This Recommendation describes requirements of voice management user interface (UI) for human-care services. The scope of this Recommendation is focused on the classification of users and services for voice UI in human-care services such as healthcare fields.</w:t>
      </w:r>
    </w:p>
    <w:p w14:paraId="5737136B" w14:textId="77777777" w:rsidR="007E2877" w:rsidRPr="007E2877" w:rsidRDefault="007E2877" w:rsidP="007E2877">
      <w:pPr>
        <w:rPr>
          <w:bCs/>
          <w:lang w:val="en-GB"/>
        </w:rPr>
      </w:pPr>
      <w:r w:rsidRPr="007E2877">
        <w:rPr>
          <w:bCs/>
          <w:lang w:val="en-GB"/>
        </w:rPr>
        <w:t>The technology of speech recognition in traditional healthcare sector has been used only to enhance the convenience of medical personnel in producing medical records. However, recent speech recognition services and research have improved the convenience of typing beyond simple user interface through natural dialogue with users. In addition, it has become possible to manage customer's health, such as checking and improving their health status.</w:t>
      </w:r>
    </w:p>
    <w:p w14:paraId="43270250" w14:textId="76F0C510" w:rsidR="007E2877" w:rsidRPr="00952FDF" w:rsidRDefault="007E2877" w:rsidP="007E2877">
      <w:pPr>
        <w:rPr>
          <w:bCs/>
          <w:highlight w:val="yellow"/>
          <w:lang w:val="en-GB"/>
        </w:rPr>
      </w:pPr>
      <w:r w:rsidRPr="007E2877">
        <w:rPr>
          <w:bCs/>
          <w:lang w:val="en-GB"/>
        </w:rPr>
        <w:t>This Recommendation proposes a service model through the speech recognition interface in human-care services such as healthcare fields using several scenarios to apply speech recognition technology.</w:t>
      </w:r>
    </w:p>
    <w:p w14:paraId="01A6FC74" w14:textId="77777777" w:rsidR="006A46AE" w:rsidRPr="00BF03A9" w:rsidRDefault="006A46AE" w:rsidP="006A46AE">
      <w:pPr>
        <w:pStyle w:val="Headingb"/>
      </w:pPr>
      <w:bookmarkStart w:id="248" w:name="_Toc480527903"/>
      <w:bookmarkEnd w:id="247"/>
      <w:r w:rsidRPr="00BF03A9">
        <w:lastRenderedPageBreak/>
        <w:t>I.5.1</w:t>
      </w:r>
      <w:r w:rsidRPr="00BF03A9">
        <w:tab/>
        <w:t>New security standards</w:t>
      </w:r>
      <w:bookmarkEnd w:id="248"/>
    </w:p>
    <w:p w14:paraId="60F0466D" w14:textId="626BCF12" w:rsidR="00783E3B" w:rsidRDefault="00E12FA7" w:rsidP="00783E3B">
      <w:pPr>
        <w:rPr>
          <w:szCs w:val="24"/>
        </w:rPr>
      </w:pPr>
      <w:hyperlink r:id="rId337" w:history="1">
        <w:r w:rsidR="00783E3B" w:rsidRPr="006801C4">
          <w:rPr>
            <w:rStyle w:val="Hyperlink"/>
            <w:b/>
            <w:bCs/>
            <w:szCs w:val="24"/>
          </w:rPr>
          <w:t>ITU-T J.1204 “The security framework of a smart TV operating system”</w:t>
        </w:r>
      </w:hyperlink>
      <w:r w:rsidR="00783E3B" w:rsidRPr="006801C4">
        <w:rPr>
          <w:szCs w:val="24"/>
        </w:rPr>
        <w:t xml:space="preserve"> defines</w:t>
      </w:r>
      <w:r w:rsidR="00783E3B" w:rsidRPr="00F32769">
        <w:rPr>
          <w:szCs w:val="24"/>
        </w:rPr>
        <w:t xml:space="preserve"> the security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r w:rsidR="00783E3B">
        <w:rPr>
          <w:szCs w:val="24"/>
        </w:rPr>
        <w:t xml:space="preserve"> </w:t>
      </w:r>
      <w:r w:rsidR="00783E3B" w:rsidRPr="00F32769">
        <w:rPr>
          <w:szCs w:val="24"/>
        </w:rPr>
        <w:t>Recommendation ITU-T J.1204 intends to specify the smart TV operating system security framework, which exploits the popular hardware based TEE technology and has multiple security defence capabilities.</w:t>
      </w:r>
    </w:p>
    <w:p w14:paraId="10B66944" w14:textId="627857F7" w:rsidR="00DD55AE" w:rsidRPr="00DD55AE" w:rsidRDefault="00E12FA7" w:rsidP="00DD55AE">
      <w:pPr>
        <w:rPr>
          <w:bCs/>
          <w:lang w:val="en-GB"/>
        </w:rPr>
      </w:pPr>
      <w:hyperlink r:id="rId338" w:history="1">
        <w:r w:rsidR="00DD55AE" w:rsidRPr="008B6776">
          <w:rPr>
            <w:rStyle w:val="Hyperlink"/>
            <w:b/>
            <w:lang w:val="en-GB"/>
          </w:rPr>
          <w:t>Recommendation ITU-T X.510 | ISO/IEC 9594-11 “Information technology – Open Systems Interconnection – The Directory: Protocol specifications for secure operations”</w:t>
        </w:r>
      </w:hyperlink>
      <w:r w:rsidR="00DD55AE" w:rsidDel="00F3309E">
        <w:rPr>
          <w:b/>
          <w:lang w:val="en-GB"/>
        </w:rPr>
        <w:t xml:space="preserve"> </w:t>
      </w:r>
      <w:r w:rsidR="00DD55AE" w:rsidRPr="00F3309E">
        <w:rPr>
          <w:bCs/>
          <w:lang w:val="en-GB"/>
        </w:rPr>
        <w:t>specifies a general protocol, called the wrapper protocol, that provides cyber security for</w:t>
      </w:r>
      <w:r w:rsidR="00DD55AE" w:rsidRPr="00DD55AE">
        <w:rPr>
          <w:bCs/>
          <w:lang w:val="en-GB"/>
        </w:rPr>
        <w:t xml:space="preserve"> protocols designed for protection by the wrapper protocol. The wrapper protocol provides authentication, integrity and optionally confidentiality (encryption). The wrapper protocol allows cyber security to be provided independently of the protected protocols, which means that the security may be enhanced without affecting protected protocol specifications.</w:t>
      </w:r>
      <w:r w:rsidR="00DD55AE">
        <w:rPr>
          <w:bCs/>
          <w:lang w:val="en-GB"/>
        </w:rPr>
        <w:t xml:space="preserve"> </w:t>
      </w:r>
      <w:r w:rsidR="00DD55AE" w:rsidRPr="00DD55AE">
        <w:rPr>
          <w:bCs/>
          <w:lang w:val="en-GB"/>
        </w:rPr>
        <w:t>The wrapper protocol is specified without specifying specific cryptographic algorithms but is designed for plucking-in cryptographic algorithms as required.</w:t>
      </w:r>
      <w:r w:rsidR="00DD55AE">
        <w:rPr>
          <w:bCs/>
          <w:lang w:val="en-GB"/>
        </w:rPr>
        <w:t xml:space="preserve"> </w:t>
      </w:r>
      <w:r w:rsidR="00DD55AE" w:rsidRPr="00DD55AE">
        <w:rPr>
          <w:bCs/>
          <w:lang w:val="en-GB"/>
        </w:rPr>
        <w:t>The wrapper protocol is designed for easy migration of cryptographic algorithms, as stronger cryptographic algorithms become necessary.</w:t>
      </w:r>
    </w:p>
    <w:p w14:paraId="480B3864" w14:textId="002693DC" w:rsidR="00DD55AE" w:rsidRPr="00952FDF" w:rsidRDefault="00DD55AE" w:rsidP="00DD55AE">
      <w:pPr>
        <w:rPr>
          <w:bCs/>
          <w:highlight w:val="yellow"/>
          <w:lang w:val="en-GB"/>
        </w:rPr>
      </w:pPr>
      <w:r w:rsidRPr="00DD55AE">
        <w:rPr>
          <w:bCs/>
          <w:lang w:val="en-GB"/>
        </w:rPr>
        <w:t>Recommendation ITU-T X.510 | ISO/IEC 9594-11 contains recommendations for how other Recommendations and International Standards may include features for migration of cryptographic algorithms, and it includes ASN.1 specifications to be applied for that purpose.</w:t>
      </w:r>
      <w:r>
        <w:rPr>
          <w:bCs/>
          <w:lang w:val="en-GB"/>
        </w:rPr>
        <w:t xml:space="preserve"> </w:t>
      </w:r>
      <w:r w:rsidRPr="00DD55AE">
        <w:rPr>
          <w:bCs/>
          <w:lang w:val="en-GB"/>
        </w:rPr>
        <w:t>Recommendation ITU-T X.510 | ISO/IEC 9594-11 also specifies three protocols that make use of the protection of the wrapper protocol. This includes a protocol for maintenance of authorization and validation lists (AVLs), a protocol for subscribing of public-key certificate status and a protocol for accessing a trust broker.</w:t>
      </w:r>
    </w:p>
    <w:p w14:paraId="73F02C42" w14:textId="6CBC8805" w:rsidR="00C700C9" w:rsidRPr="006A781B" w:rsidRDefault="00E12FA7" w:rsidP="00C700C9">
      <w:pPr>
        <w:rPr>
          <w:lang w:val="en-GB"/>
        </w:rPr>
      </w:pPr>
      <w:hyperlink r:id="rId339">
        <w:r w:rsidR="0C856D3C" w:rsidRPr="2B30A600">
          <w:rPr>
            <w:rStyle w:val="Hyperlink"/>
            <w:b/>
            <w:bCs/>
            <w:lang w:val="en-GB"/>
          </w:rPr>
          <w:t>ITU-T X.677 “Identification mechanism for unmanned aerial vehicles using object identifiers”</w:t>
        </w:r>
      </w:hyperlink>
      <w:r w:rsidR="0C856D3C" w:rsidRPr="2B30A600">
        <w:rPr>
          <w:lang w:val="en-GB"/>
        </w:rPr>
        <w:t xml:space="preserve"> </w:t>
      </w:r>
      <w:r w:rsidR="211282B4" w:rsidRPr="2B30A600">
        <w:rPr>
          <w:lang w:val="en-GB"/>
        </w:rPr>
        <w:t>analyses the requirements for a full life-cycle management and operating identity recognition of unmanned aerial vehicles (UAVs) with security considerations. It also specifies an identification mechanism for UAVs using object identifiers (OIDs), including detailed specifications of assignment rules and registration procedures of OIDs used for UAVs.</w:t>
      </w:r>
    </w:p>
    <w:p w14:paraId="3CAE5149" w14:textId="6830A5C2" w:rsidR="7DBA77F0" w:rsidRDefault="7DBA77F0" w:rsidP="2B30A600">
      <w:pPr>
        <w:rPr>
          <w:szCs w:val="24"/>
        </w:rPr>
      </w:pPr>
      <w:r w:rsidRPr="2B30A600">
        <w:rPr>
          <w:rStyle w:val="Hyperlink"/>
          <w:b/>
          <w:bCs/>
        </w:rPr>
        <w:t>ITU-T X.1052 (revised) “Organization information security management guideline” (under approval)</w:t>
      </w:r>
      <w:r w:rsidR="565870F8" w:rsidRPr="2B30A600">
        <w:rPr>
          <w:szCs w:val="24"/>
        </w:rPr>
        <w:t xml:space="preserve"> provides best practices for information security management for telecommunication organizations to support Recommendation ITU-T X.1051. This recommendation is based on a process approach to describe a set of security management areas, which gives guidelines of telecommunication organizations to fulfil the control objectives defined in Recommendation ITU‑T X.1051. The management areas including asset management, incident management, risk management policy management and map the controls defined by Recommendation ITU-T X.1051 to achieve methodologies.</w:t>
      </w:r>
    </w:p>
    <w:p w14:paraId="0CC22728" w14:textId="5C73BAAC" w:rsidR="00865C32" w:rsidRPr="00865C32" w:rsidRDefault="00E12FA7" w:rsidP="00865C32">
      <w:hyperlink r:id="rId340" w:history="1">
        <w:r w:rsidR="00865C32" w:rsidRPr="2B30A600">
          <w:rPr>
            <w:rStyle w:val="Hyperlink"/>
            <w:b/>
            <w:bCs/>
          </w:rPr>
          <w:t>ITU-T X.1054 (revised) “Information security, cybersecurity and privacy protection - Governance of information security”</w:t>
        </w:r>
      </w:hyperlink>
      <w:r w:rsidR="00865C32" w:rsidRPr="2B30A600">
        <w:rPr>
          <w:b/>
          <w:bCs/>
        </w:rPr>
        <w:t xml:space="preserve"> : </w:t>
      </w:r>
      <w:r w:rsidR="00865C32">
        <w:t>Information security is a key issue for organizations, amplified by rapid advances in attack methodologies and technologies, and corresponding increased regulatory pressures. The failure of an organization’s information security controls can have many adverse impacts on an organization and its interested parties including but not limited to the undermining of trust. Governance of information security is the use of resources to ensure effective implementation of information security, and provides assurance that:</w:t>
      </w:r>
    </w:p>
    <w:p w14:paraId="0F64F104" w14:textId="77777777" w:rsidR="00865C32" w:rsidRPr="00865C32" w:rsidRDefault="00865C32" w:rsidP="00865C32">
      <w:r w:rsidRPr="00865C32">
        <w:lastRenderedPageBreak/>
        <w:t>•</w:t>
      </w:r>
      <w:r w:rsidRPr="00865C32">
        <w:tab/>
        <w:t>directives concerning information security will be followed; and</w:t>
      </w:r>
    </w:p>
    <w:p w14:paraId="2E7EE4DF" w14:textId="77777777" w:rsidR="00865C32" w:rsidRPr="00865C32" w:rsidRDefault="00865C32" w:rsidP="00865C32">
      <w:r w:rsidRPr="00865C32">
        <w:t>•</w:t>
      </w:r>
      <w:r w:rsidRPr="00865C32">
        <w:tab/>
        <w:t>the governing body will receive reliable and relevant reporting about information security related activities.</w:t>
      </w:r>
    </w:p>
    <w:p w14:paraId="551EFE40" w14:textId="77777777" w:rsidR="00865C32" w:rsidRPr="00865C32" w:rsidRDefault="00865C32" w:rsidP="00865C32">
      <w:r w:rsidRPr="00865C32">
        <w:t>This assists the governing body to make decisions concerning the strategic objectives for the organization by providing information about information security that may affect these objectives. It also ensures that information security strategy aligns with the overall objectives of the entity.</w:t>
      </w:r>
    </w:p>
    <w:p w14:paraId="210CC2C8" w14:textId="77777777" w:rsidR="00865C32" w:rsidRPr="00865C32" w:rsidRDefault="00865C32" w:rsidP="00865C32">
      <w:r w:rsidRPr="00865C32">
        <w:t>Managers and others working in organizations need to understand:</w:t>
      </w:r>
    </w:p>
    <w:p w14:paraId="01992ADB" w14:textId="77777777" w:rsidR="00865C32" w:rsidRPr="00865C32" w:rsidRDefault="00865C32" w:rsidP="00865C32">
      <w:r w:rsidRPr="00865C32">
        <w:t>•</w:t>
      </w:r>
      <w:r w:rsidRPr="00865C32">
        <w:tab/>
        <w:t>the governance requirements that affect their work; and</w:t>
      </w:r>
    </w:p>
    <w:p w14:paraId="451D54F1" w14:textId="6C0DCFE0" w:rsidR="00865C32" w:rsidRPr="00865C32" w:rsidRDefault="00865C32" w:rsidP="00865C32">
      <w:r w:rsidRPr="00865C32">
        <w:t>•</w:t>
      </w:r>
      <w:r w:rsidRPr="00865C32">
        <w:tab/>
        <w:t>how to meet governance requirements that require them to take action.</w:t>
      </w:r>
    </w:p>
    <w:p w14:paraId="5478A2CD" w14:textId="5EC8AA2A" w:rsidR="00E6512D" w:rsidRDefault="00E6512D" w:rsidP="00E6512D">
      <w:pPr>
        <w:rPr>
          <w:lang w:val="en-GB"/>
        </w:rPr>
      </w:pPr>
      <w:r w:rsidRPr="0039167D">
        <w:rPr>
          <w:b/>
          <w:lang w:val="en-GB"/>
        </w:rPr>
        <w:t xml:space="preserve">ITU-T X.1148 “Framework of de-identification process for telecommunication service providers” (under </w:t>
      </w:r>
      <w:r w:rsidR="000A3338">
        <w:rPr>
          <w:b/>
          <w:lang w:val="en-GB"/>
        </w:rPr>
        <w:t>publication</w:t>
      </w:r>
      <w:r w:rsidRPr="0039167D">
        <w:rPr>
          <w:b/>
          <w:lang w:val="en-GB"/>
        </w:rPr>
        <w:t>):</w:t>
      </w:r>
      <w:r>
        <w:rPr>
          <w:lang w:val="en-GB"/>
        </w:rPr>
        <w:t xml:space="preserve"> </w:t>
      </w:r>
      <w:r w:rsidRPr="00E6512D">
        <w:rPr>
          <w:lang w:val="en-GB"/>
        </w:rPr>
        <w:t>Telecommunication organizations collect, manage, use, and share data about individuals, including personally identifiable information. As a result, they utilize data de-identification techniques to protect individuals’ data. This Recommendation describes a framework of de-identification process with operational steps and specifies data release models and data stages in a de-identification process for telecommunication service providers based on data lifecycle model and roles of stakeholders.</w:t>
      </w:r>
    </w:p>
    <w:p w14:paraId="0CC06F0A" w14:textId="07BDA65D" w:rsidR="0062200B" w:rsidRPr="0062200B" w:rsidRDefault="00E12FA7" w:rsidP="0062200B">
      <w:pPr>
        <w:rPr>
          <w:highlight w:val="red"/>
          <w:lang w:val="en-GB"/>
        </w:rPr>
      </w:pPr>
      <w:hyperlink r:id="rId341" w:history="1">
        <w:r w:rsidR="0062200B" w:rsidRPr="005D6B2A">
          <w:rPr>
            <w:rStyle w:val="Hyperlink"/>
            <w:b/>
            <w:bCs/>
            <w:lang w:val="en-GB"/>
          </w:rPr>
          <w:t>ITU-T X.1149 “Security framework of open platform for FinTech services”</w:t>
        </w:r>
      </w:hyperlink>
      <w:r w:rsidR="0062200B" w:rsidRPr="005D6B2A">
        <w:rPr>
          <w:lang w:val="en-GB"/>
        </w:rPr>
        <w:t xml:space="preserve"> </w:t>
      </w:r>
      <w:r w:rsidR="0062200B" w:rsidRPr="0062200B">
        <w:rPr>
          <w:lang w:val="en-GB"/>
        </w:rPr>
        <w:t>describes an open platform architecture for financial technology (FinTech) services. It also specifies threats and vulnerabilities of open platform, open API usage procedure for FinTech services, and detailed security requirements to open platform of FinTech services from both financial company and FinTech company sides. Appendix to this Recommendation includes some use cases of the proposed open platform.</w:t>
      </w:r>
    </w:p>
    <w:p w14:paraId="77CFE617" w14:textId="1328A507" w:rsidR="000B101D" w:rsidRPr="0039167D" w:rsidRDefault="000B101D" w:rsidP="000B101D">
      <w:pPr>
        <w:rPr>
          <w:lang w:val="en-GB"/>
        </w:rPr>
      </w:pPr>
      <w:r w:rsidRPr="0039167D">
        <w:rPr>
          <w:b/>
          <w:lang w:val="en-GB"/>
        </w:rPr>
        <w:t xml:space="preserve">ITU-T X.1216 “Requirements for collection and preservation of cybersecurity incident evidence” (under </w:t>
      </w:r>
      <w:r w:rsidR="000A3338">
        <w:rPr>
          <w:b/>
          <w:lang w:val="en-GB"/>
        </w:rPr>
        <w:t>publication</w:t>
      </w:r>
      <w:r>
        <w:rPr>
          <w:lang w:val="en-GB"/>
        </w:rPr>
        <w:t xml:space="preserve">) </w:t>
      </w:r>
      <w:r w:rsidRPr="000B101D">
        <w:rPr>
          <w:lang w:val="en-GB"/>
        </w:rPr>
        <w:t>describes a general procedure for cybersecurity incident response and investigation, analyses sources of cybersecurity incident evidence and specifies capability requirements for tools used for collection and preservation of such evidence an investigative process. This Recommendation also specifies reliability assurance requirements for these tools as guidelines to developers who design tools for such purpose.</w:t>
      </w:r>
    </w:p>
    <w:p w14:paraId="3F966807" w14:textId="19792D29" w:rsidR="00EE23B7" w:rsidRPr="0066079A" w:rsidRDefault="4E7979DA" w:rsidP="0066079A">
      <w:pPr>
        <w:rPr>
          <w:lang w:val="en-GB"/>
        </w:rPr>
      </w:pPr>
      <w:r w:rsidRPr="2B30A600">
        <w:rPr>
          <w:b/>
          <w:bCs/>
          <w:lang w:val="en-GB"/>
        </w:rPr>
        <w:t>ITU-T X.1217 “Framework and guidelines for applying threat intelligence in telecom network operation” (under approval):</w:t>
      </w:r>
      <w:r w:rsidR="0066079A" w:rsidRPr="2B30A600">
        <w:rPr>
          <w:b/>
          <w:bCs/>
          <w:lang w:val="en-GB"/>
        </w:rPr>
        <w:t xml:space="preserve"> </w:t>
      </w:r>
      <w:r w:rsidR="0066079A" w:rsidRPr="2B30A600">
        <w:rPr>
          <w:lang w:val="en-GB"/>
        </w:rPr>
        <w:t>Threat intelligence from a telecommunication operator’s point of view is a collection of organized, analysed and refined information about potential and current attacks that may threaten an organization. This information can also include attackers’ motivations, intentions, characteristics and methods, along with their modus operandi or techniques, tactics and procedures. In the area of network and information security, the occurrence of large-scale and unexpected cybersecurity incidents has triggered the urgent need for threat intelligence. Threat intelligence can help an organization reduce risk and improve overall security. A unified taxonomy, grammar and presentation of threat intelligence has been defined so that threat intelligence can be shared between different organizations. This Recommendation specifies guidelines for applying threat intelligence in telecommunication network operation after an overview analysis.</w:t>
      </w:r>
    </w:p>
    <w:p w14:paraId="026C2128" w14:textId="7C8564E5" w:rsidR="00EE23B7" w:rsidRPr="00EE23B7" w:rsidRDefault="38052A28" w:rsidP="2B30A600">
      <w:pPr>
        <w:rPr>
          <w:lang w:val="en-GB"/>
        </w:rPr>
      </w:pPr>
      <w:r w:rsidRPr="2B30A600">
        <w:rPr>
          <w:b/>
          <w:bCs/>
          <w:lang w:val="en-GB"/>
        </w:rPr>
        <w:t xml:space="preserve">ITU-T X.1218 “Requirements and guidelines for dynamic malware analysis in a sandbox environment” (under approval): </w:t>
      </w:r>
      <w:r w:rsidR="53B1603F" w:rsidRPr="2B30A600">
        <w:rPr>
          <w:szCs w:val="24"/>
        </w:rPr>
        <w:t xml:space="preserve">The unknown malware is a common method used for avoiding detection used in advanced attacks, in particular APTs (Advanced Persistent Threat). For example, a targeted attack using phishing email weaponized with unknown malwares can achieve a successful initial compromise easily. Thus for detection of advanced attacks, special attention and defense measurements should be taken at detection of unknown malwares. The purpose of this </w:t>
      </w:r>
      <w:r w:rsidR="53B1603F" w:rsidRPr="2B30A600">
        <w:rPr>
          <w:szCs w:val="24"/>
        </w:rPr>
        <w:lastRenderedPageBreak/>
        <w:t>Recommendation is to analyze threats related to unknown malwares, and put forward the specific requirements of detecting the unknown malwares based on dynamic behavior analysis.</w:t>
      </w:r>
    </w:p>
    <w:p w14:paraId="13B954F2" w14:textId="1E4BCEE2" w:rsidR="00EE23B7" w:rsidRPr="00EE23B7" w:rsidRDefault="00EE23B7" w:rsidP="2B30A600">
      <w:pPr>
        <w:rPr>
          <w:lang w:val="en-GB"/>
        </w:rPr>
      </w:pPr>
      <w:r w:rsidRPr="2B30A600">
        <w:rPr>
          <w:b/>
          <w:bCs/>
          <w:lang w:val="en-GB"/>
        </w:rPr>
        <w:t xml:space="preserve">ITU-T X.1254 (revised) “Entity authentication assurance framework” (under </w:t>
      </w:r>
      <w:r w:rsidR="00850AEC" w:rsidRPr="2B30A600">
        <w:rPr>
          <w:b/>
          <w:bCs/>
          <w:lang w:val="en-GB"/>
        </w:rPr>
        <w:t>publication</w:t>
      </w:r>
      <w:r w:rsidRPr="2B30A600">
        <w:rPr>
          <w:b/>
          <w:bCs/>
          <w:lang w:val="en-GB"/>
        </w:rPr>
        <w:t>)</w:t>
      </w:r>
      <w:r w:rsidRPr="2B30A600">
        <w:rPr>
          <w:lang w:val="en-GB"/>
        </w:rPr>
        <w:t xml:space="preserve"> defines three entity authentication assurance levels (i.e., AAL1 – AAL3), and the criteria and threats for each of the three levels of entity authentication assurance. Additionally, it:</w:t>
      </w:r>
    </w:p>
    <w:p w14:paraId="47FC8548" w14:textId="77777777" w:rsidR="00EE23B7" w:rsidRPr="00EE23B7" w:rsidRDefault="00EE23B7" w:rsidP="00EE23B7">
      <w:pPr>
        <w:rPr>
          <w:bCs/>
          <w:lang w:val="en-GB"/>
        </w:rPr>
      </w:pPr>
      <w:r w:rsidRPr="00EE23B7">
        <w:rPr>
          <w:bCs/>
          <w:lang w:val="en-GB"/>
        </w:rPr>
        <w:t>•</w:t>
      </w:r>
      <w:r w:rsidRPr="00EE23B7">
        <w:rPr>
          <w:bCs/>
          <w:lang w:val="en-GB"/>
        </w:rPr>
        <w:tab/>
        <w:t>specifies a framework for managing the assurance levels;</w:t>
      </w:r>
    </w:p>
    <w:p w14:paraId="3D91EBEE" w14:textId="77777777" w:rsidR="00EE23B7" w:rsidRPr="00EE23B7" w:rsidRDefault="00EE23B7" w:rsidP="00EE23B7">
      <w:pPr>
        <w:rPr>
          <w:bCs/>
          <w:lang w:val="en-GB"/>
        </w:rPr>
      </w:pPr>
      <w:r w:rsidRPr="00EE23B7">
        <w:rPr>
          <w:bCs/>
          <w:lang w:val="en-GB"/>
        </w:rPr>
        <w:t>•</w:t>
      </w:r>
      <w:r w:rsidRPr="00EE23B7">
        <w:rPr>
          <w:bCs/>
          <w:lang w:val="en-GB"/>
        </w:rPr>
        <w:tab/>
        <w:t>provides guidance concerning control technologies that are to be used to mitigate authentication threats, based on a risk assessment;</w:t>
      </w:r>
    </w:p>
    <w:p w14:paraId="2214DBF6" w14:textId="77777777" w:rsidR="00EE23B7" w:rsidRPr="00EE23B7" w:rsidRDefault="00EE23B7" w:rsidP="00EE23B7">
      <w:pPr>
        <w:rPr>
          <w:bCs/>
          <w:lang w:val="en-GB"/>
        </w:rPr>
      </w:pPr>
      <w:r w:rsidRPr="00EE23B7">
        <w:rPr>
          <w:bCs/>
          <w:lang w:val="en-GB"/>
        </w:rPr>
        <w:t>•</w:t>
      </w:r>
      <w:r w:rsidRPr="00EE23B7">
        <w:rPr>
          <w:bCs/>
          <w:lang w:val="en-GB"/>
        </w:rPr>
        <w:tab/>
        <w:t>provides guidance for mapping the three levels of assurance to other authentication assurance schemas; and</w:t>
      </w:r>
    </w:p>
    <w:p w14:paraId="528CA0AD" w14:textId="1797ABB1" w:rsidR="00EE23B7" w:rsidRDefault="00EE23B7" w:rsidP="00EE23B7">
      <w:pPr>
        <w:rPr>
          <w:bCs/>
          <w:lang w:val="en-GB"/>
        </w:rPr>
      </w:pPr>
      <w:r w:rsidRPr="00EE23B7">
        <w:rPr>
          <w:bCs/>
          <w:lang w:val="en-GB"/>
        </w:rPr>
        <w:t>•</w:t>
      </w:r>
      <w:r w:rsidRPr="00EE23B7">
        <w:rPr>
          <w:bCs/>
          <w:lang w:val="en-GB"/>
        </w:rPr>
        <w:tab/>
        <w:t>provides guidance for exchanging the results of authentication that are based on the three levels of assurance.</w:t>
      </w:r>
    </w:p>
    <w:p w14:paraId="30A26C8F" w14:textId="531ED73D" w:rsidR="000121BA" w:rsidRDefault="000121BA" w:rsidP="000121BA">
      <w:pPr>
        <w:rPr>
          <w:bCs/>
          <w:highlight w:val="yellow"/>
          <w:lang w:val="en-GB"/>
        </w:rPr>
      </w:pPr>
      <w:r w:rsidRPr="0039167D">
        <w:rPr>
          <w:b/>
          <w:lang w:val="en-GB"/>
        </w:rPr>
        <w:t xml:space="preserve">ITU-T X.1279 “Framework of enhanced authentication using telebiometrics with anti-spoofing detection mechanisms” </w:t>
      </w:r>
      <w:r w:rsidR="00850AEC">
        <w:rPr>
          <w:b/>
          <w:lang w:val="en-GB"/>
        </w:rPr>
        <w:t>(under publication)</w:t>
      </w:r>
      <w:r>
        <w:rPr>
          <w:bCs/>
          <w:lang w:val="en-GB"/>
        </w:rPr>
        <w:t xml:space="preserve"> </w:t>
      </w:r>
      <w:r w:rsidRPr="000121BA">
        <w:rPr>
          <w:bCs/>
          <w:lang w:val="en-GB"/>
        </w:rPr>
        <w:t>provides an architectural framework of enhanced authentication using telebiometrics with anti-spoofing detection. This Recommendation analyses threats to traditional telebiometric authentication solutions and specifies an architectural framework, authentication process flows and security considerations for enhanced authentication using telebiometrics with anti-spoofing detection mechanisms.</w:t>
      </w:r>
    </w:p>
    <w:p w14:paraId="54A85D7B" w14:textId="77777777" w:rsidR="0020313D" w:rsidRDefault="00E12FA7" w:rsidP="0020313D">
      <w:pPr>
        <w:rPr>
          <w:highlight w:val="yellow"/>
          <w:lang w:val="en-GB"/>
        </w:rPr>
      </w:pPr>
      <w:hyperlink r:id="rId342">
        <w:r w:rsidR="631909AE" w:rsidRPr="2B30A600">
          <w:rPr>
            <w:rStyle w:val="Hyperlink"/>
            <w:b/>
            <w:bCs/>
            <w:lang w:val="en-GB"/>
          </w:rPr>
          <w:t>ITU-T X.1451 “Risk identification to optimize authentication”</w:t>
        </w:r>
      </w:hyperlink>
      <w:r w:rsidR="631909AE" w:rsidRPr="2B30A600">
        <w:rPr>
          <w:lang w:val="en-GB"/>
        </w:rPr>
        <w:t xml:space="preserve"> </w:t>
      </w:r>
      <w:r w:rsidR="631909AE">
        <w:t>specifies a risk identification function in an ICT service system as a pre-processor before the authentication function is invoked. It enables the ICT service system to optimize user authentication based on identified risks. With this specific risk identification function, the ICT service system can make choices on authentication mechanisms adaptively to its users and achieve multiple benefits such as: 1) to improve user experiences; 2) to increase the capacity and reduce the per transaction cost of user authentication; and 3) to reduce the risk of user identity forgery.</w:t>
      </w:r>
    </w:p>
    <w:p w14:paraId="09AC7900" w14:textId="54FB804F" w:rsidR="0C946273" w:rsidRDefault="0C946273" w:rsidP="2B30A600">
      <w:pPr>
        <w:rPr>
          <w:szCs w:val="24"/>
        </w:rPr>
      </w:pPr>
      <w:r w:rsidRPr="005D3621">
        <w:rPr>
          <w:b/>
          <w:bCs/>
        </w:rPr>
        <w:t>ITU-T X.1452 “Technical framework for security services provided by operators” (under approval)</w:t>
      </w:r>
      <w:r w:rsidRPr="2B30A600">
        <w:rPr>
          <w:b/>
          <w:bCs/>
        </w:rPr>
        <w:t xml:space="preserve">: </w:t>
      </w:r>
      <w:r w:rsidR="70840ED2" w:rsidRPr="2B30A600">
        <w:rPr>
          <w:szCs w:val="24"/>
        </w:rPr>
        <w:t>Due to the growing number of innovations in services in network and telecommunication domains, operators do face the pressing need to explore new services based on their network and services capabilities. In this transformation, operators have not only accumulated new assets and experiences with technologies and services for network and telecommunication, but also the capability of offering security services based on the full extend of their network and infrastructure deployments and operations. The specific nature of this class of services makes them exhibit a number of differences with the more traditional telecommunication services (e.g. phone call, short message, mobile network access). In this context, the portfolio of security services that are currently in production and explored by the operators need a specific integration with the resources and assets of the telecommunication network and infrastructure; the risk level on this portfolio is actually higher should the security service itself be compromised as it is precisely supposed to turn the operator offering it as the 'security provider' for the end market customers. A compromise of the service will result in lost of trust by customers and will span through the whole range of the services offered by the operator and will significantly increase the overall Churn level and customer satisfaction and loyalty. Therefore the security assurance defined as the degree of confidence reached in the security service needs to be studied thoroughly. In order to offer technical reference for the operators and guarantee the security, the guidelines of the security services provided by the operator need to be analyzed and established. This recommendation aims to classify the potential use cases of the security service provided by operators, analyze the specific requirements for the security service and thus provides the guidelines for the operator to safeguard and improve the security service.</w:t>
      </w:r>
    </w:p>
    <w:p w14:paraId="01865B98" w14:textId="0F5E22B1" w:rsidR="547F1B3A" w:rsidRDefault="547F1B3A" w:rsidP="005D3621">
      <w:pPr>
        <w:rPr>
          <w:szCs w:val="24"/>
        </w:rPr>
      </w:pPr>
      <w:r w:rsidRPr="005D3621">
        <w:rPr>
          <w:b/>
          <w:bCs/>
          <w:lang w:eastAsia="en-US"/>
        </w:rPr>
        <w:lastRenderedPageBreak/>
        <w:t>ITU-T Technical Report “Security framework for quantum key distribution in telecom network”</w:t>
      </w:r>
      <w:r w:rsidR="5B1D401A" w:rsidRPr="2B30A600">
        <w:rPr>
          <w:b/>
          <w:bCs/>
          <w:lang w:eastAsia="en-US"/>
        </w:rPr>
        <w:t xml:space="preserve">: </w:t>
      </w:r>
      <w:r w:rsidR="5B1D401A" w:rsidRPr="2B30A600">
        <w:rPr>
          <w:szCs w:val="24"/>
        </w:rPr>
        <w:t xml:space="preserve">Facing challenge from quantum computers, quantum safe cryptography is becoming increasingly important. </w:t>
      </w:r>
    </w:p>
    <w:p w14:paraId="69D7FE13" w14:textId="7160084C" w:rsidR="5B1D401A" w:rsidRDefault="5B1D401A" w:rsidP="005D3621">
      <w:pPr>
        <w:rPr>
          <w:szCs w:val="24"/>
        </w:rPr>
      </w:pPr>
      <w:r w:rsidRPr="2B30A600">
        <w:rPr>
          <w:szCs w:val="24"/>
        </w:rPr>
        <w:t>Quantum key distribution (QKD) is a technology using quantum physics to securely exchange symmetric encryption keys. This technology solves the problem of key distribution by allowing the exchange of cryptographic keys between two remote parties with information-theoretic security, guaranteed by the fundamental laws of physics. These keys can then be used securely with conventional cryptographic algorithms.</w:t>
      </w:r>
    </w:p>
    <w:p w14:paraId="3FEC7CE0" w14:textId="3CC09369" w:rsidR="5B1D401A" w:rsidRDefault="5B1D401A" w:rsidP="005D3621">
      <w:pPr>
        <w:rPr>
          <w:szCs w:val="24"/>
        </w:rPr>
      </w:pPr>
      <w:r w:rsidRPr="2B30A600">
        <w:rPr>
          <w:szCs w:val="24"/>
        </w:rPr>
        <w:t>Post-quantum cryptography (PQC) refers to cryptographic algorithms which are resilient to attacks by quantum computers. Some post-quantum cryptographies, such as lattice-, code- or hash-based cryptosystems, are currently believed to be quantum-safe until proven otherwise.</w:t>
      </w:r>
    </w:p>
    <w:p w14:paraId="40DC6AEF" w14:textId="7C0A5EF6" w:rsidR="5B1D401A" w:rsidRDefault="5B1D401A" w:rsidP="005D3621">
      <w:pPr>
        <w:rPr>
          <w:szCs w:val="24"/>
        </w:rPr>
      </w:pPr>
      <w:r w:rsidRPr="2B30A600">
        <w:rPr>
          <w:szCs w:val="24"/>
        </w:rPr>
        <w:t>These two technologies, i.e., QKD and PQC are two pillars complementary to each other for quantum‑safe cryptography. QKD can be used as a key establishment alternative and QKD deployment is used to secure operators' backbone communications. PQC is a collection of cryptographic algorithms considered to be secure against quantum computer for end-point security.</w:t>
      </w:r>
    </w:p>
    <w:p w14:paraId="09A633C0" w14:textId="28CAFC97" w:rsidR="5B1D401A" w:rsidRDefault="5B1D401A" w:rsidP="005D3621">
      <w:pPr>
        <w:rPr>
          <w:szCs w:val="24"/>
        </w:rPr>
      </w:pPr>
      <w:r w:rsidRPr="2B30A600">
        <w:rPr>
          <w:szCs w:val="24"/>
        </w:rPr>
        <w:t>This Technical Report only studies the perspective of QKD. Although QKD technologies have been developed for several decades, there is a need to develop a QKD framework to satisfy requirements from the telecom network's perspective.</w:t>
      </w:r>
    </w:p>
    <w:p w14:paraId="3DA929EC" w14:textId="4DC1383B" w:rsidR="547F1B3A" w:rsidRDefault="547F1B3A" w:rsidP="2B30A600">
      <w:pPr>
        <w:rPr>
          <w:lang w:eastAsia="en-US"/>
        </w:rPr>
      </w:pPr>
      <w:r w:rsidRPr="005D3621">
        <w:rPr>
          <w:b/>
          <w:bCs/>
          <w:lang w:eastAsia="en-US"/>
        </w:rPr>
        <w:t>ITU-T Technical Report “Problems, requirements and potential solutions for OID resolution”</w:t>
      </w:r>
      <w:r w:rsidR="0A43B868" w:rsidRPr="2B30A600">
        <w:rPr>
          <w:lang w:eastAsia="en-US"/>
        </w:rPr>
        <w:t xml:space="preserve"> identifies problems, requirements and potential solutions for OID resolution. The problems include local performance and global resolution of missing OID subtrees. Technical requirements for possible solutions are also discussed. Finally, potential technical solutions, administrative and operational guidance are provided.</w:t>
      </w:r>
    </w:p>
    <w:p w14:paraId="45265165" w14:textId="21476063" w:rsidR="547F1B3A" w:rsidRDefault="547F1B3A" w:rsidP="2B30A600">
      <w:pPr>
        <w:rPr>
          <w:lang w:eastAsia="en-US"/>
        </w:rPr>
      </w:pPr>
      <w:r w:rsidRPr="005D3621">
        <w:rPr>
          <w:b/>
          <w:bCs/>
          <w:lang w:eastAsia="en-US"/>
        </w:rPr>
        <w:t>ITU-T Technical Report “Security in telecommunications and information technology (7th edition)”</w:t>
      </w:r>
      <w:r w:rsidR="4C57A725" w:rsidRPr="2B30A600">
        <w:rPr>
          <w:lang w:eastAsia="en-US"/>
        </w:rPr>
        <w:t xml:space="preserve"> provides a broad introduction to the Information and Communication Technology (ICT) security work of the ITU-T and, more specifically, it summarizes how the ITU-T is responding to global cybersecurity challenges with Recommendations, technical reports, guidance documents and outreach initiatives. It is primarily directed towards those who have responsibility for, or an interest in, information and communications security in organizations and the related standards, as well as those who simply need to gain a better understanding of ICT security issues.</w:t>
      </w:r>
    </w:p>
    <w:p w14:paraId="7ADEEE45" w14:textId="570180B2" w:rsidR="547F1B3A" w:rsidRDefault="547F1B3A" w:rsidP="2B30A600">
      <w:pPr>
        <w:rPr>
          <w:lang w:eastAsia="en-US"/>
        </w:rPr>
      </w:pPr>
      <w:r w:rsidRPr="005D3621">
        <w:rPr>
          <w:b/>
          <w:bCs/>
          <w:lang w:eastAsia="en-US"/>
        </w:rPr>
        <w:t>ITU-T Technical Report “Successful use of security standards (2</w:t>
      </w:r>
      <w:r w:rsidRPr="005D3621">
        <w:rPr>
          <w:b/>
          <w:bCs/>
          <w:vertAlign w:val="superscript"/>
          <w:lang w:eastAsia="en-US"/>
        </w:rPr>
        <w:t>nd</w:t>
      </w:r>
      <w:r w:rsidRPr="005D3621">
        <w:rPr>
          <w:b/>
          <w:bCs/>
          <w:lang w:eastAsia="en-US"/>
        </w:rPr>
        <w:t xml:space="preserve"> edition)”</w:t>
      </w:r>
      <w:r w:rsidR="5C087B12" w:rsidRPr="2B30A600">
        <w:rPr>
          <w:lang w:eastAsia="en-US"/>
        </w:rPr>
        <w:t xml:space="preserve"> present</w:t>
      </w:r>
      <w:r w:rsidR="005D3621">
        <w:rPr>
          <w:lang w:eastAsia="en-US"/>
        </w:rPr>
        <w:t>s</w:t>
      </w:r>
      <w:r w:rsidR="5C087B12" w:rsidRPr="2B30A600">
        <w:rPr>
          <w:lang w:eastAsia="en-US"/>
        </w:rPr>
        <w:t xml:space="preserve"> examples of how ITU-T Recommendations are used today in the market place to help protect networks, people, data and critical infrastructure. The report focuses on how approved security-related ITU-T Recommendations can be successfully deployed. Examples, of individual Recommendations (such as ITU-T X.805) and families of Recommendations (such as CYBEX) are considered.</w:t>
      </w:r>
    </w:p>
    <w:p w14:paraId="2BF9A1A6" w14:textId="74553CC8" w:rsidR="0CDCEB48" w:rsidRDefault="547F1B3A" w:rsidP="2B30A600">
      <w:r w:rsidRPr="005D3621">
        <w:rPr>
          <w:b/>
          <w:bCs/>
          <w:lang w:eastAsia="en-US"/>
        </w:rPr>
        <w:t>ITU-T Technical Report “Description of the incubation mechanism and ways to improve it”</w:t>
      </w:r>
      <w:r w:rsidR="0CDCEB48" w:rsidRPr="005D3621">
        <w:rPr>
          <w:b/>
          <w:bCs/>
          <w:lang w:eastAsia="en-US"/>
        </w:rPr>
        <w:t xml:space="preserve">: </w:t>
      </w:r>
      <w:r w:rsidR="0CDCEB48" w:rsidRPr="2B30A600">
        <w:rPr>
          <w:lang w:eastAsia="en-US"/>
        </w:rPr>
        <w:t>SG17 took the initiative to develop a strategy of transformation of security studies in three steps where the first step was about the creation of an incubation mechanism to deal with innovation at a much more timely manner. Whilst this incubation mechanism proved to be successful in pilot, a lot of the documentation describing it got diluted in too many temporary documents. It was therefore felt the need for a reference live document that can codify this incubation mechanism and fundamentally incrementally answer the question:</w:t>
      </w:r>
    </w:p>
    <w:p w14:paraId="166521C0" w14:textId="0C8AF454" w:rsidR="0CDCEB48" w:rsidRPr="005D3621" w:rsidRDefault="005D3621" w:rsidP="00CC5384">
      <w:pPr>
        <w:pStyle w:val="ListParagraph"/>
        <w:numPr>
          <w:ilvl w:val="0"/>
          <w:numId w:val="37"/>
        </w:numPr>
        <w:rPr>
          <w:rFonts w:ascii="Times New Roman" w:hAnsi="Times New Roman"/>
          <w:sz w:val="24"/>
          <w:szCs w:val="24"/>
        </w:rPr>
      </w:pPr>
      <w:r>
        <w:rPr>
          <w:rFonts w:ascii="Times New Roman" w:hAnsi="Times New Roman"/>
          <w:sz w:val="24"/>
          <w:szCs w:val="24"/>
          <w:lang w:eastAsia="en-US"/>
        </w:rPr>
        <w:t>H</w:t>
      </w:r>
      <w:r w:rsidR="0CDCEB48" w:rsidRPr="005D3621">
        <w:rPr>
          <w:rFonts w:ascii="Times New Roman" w:hAnsi="Times New Roman"/>
          <w:sz w:val="24"/>
          <w:szCs w:val="24"/>
          <w:lang w:eastAsia="en-US"/>
        </w:rPr>
        <w:t xml:space="preserve">ow to bring innovation in cybersecurity </w:t>
      </w:r>
      <w:r w:rsidR="31B9E64C" w:rsidRPr="005D3621">
        <w:rPr>
          <w:rFonts w:ascii="Times New Roman" w:hAnsi="Times New Roman"/>
          <w:sz w:val="24"/>
          <w:szCs w:val="24"/>
          <w:lang w:eastAsia="en-US"/>
        </w:rPr>
        <w:t>standardization</w:t>
      </w:r>
      <w:r w:rsidR="0CDCEB48" w:rsidRPr="005D3621">
        <w:rPr>
          <w:rFonts w:ascii="Times New Roman" w:hAnsi="Times New Roman"/>
          <w:sz w:val="24"/>
          <w:szCs w:val="24"/>
          <w:lang w:eastAsia="en-US"/>
        </w:rPr>
        <w:t xml:space="preserve"> in Study Group 17 in a timely manner?</w:t>
      </w:r>
    </w:p>
    <w:p w14:paraId="02B722D5" w14:textId="05C3ECED" w:rsidR="0CDCEB48" w:rsidRDefault="0CDCEB48" w:rsidP="2B30A600">
      <w:r w:rsidRPr="2B30A600">
        <w:rPr>
          <w:lang w:eastAsia="en-US"/>
        </w:rPr>
        <w:lastRenderedPageBreak/>
        <w:t>This technical papers’ purpose is precisely to answer this question.</w:t>
      </w:r>
      <w:r w:rsidR="005D3621">
        <w:rPr>
          <w:lang w:eastAsia="en-US"/>
        </w:rPr>
        <w:t xml:space="preserve"> </w:t>
      </w:r>
      <w:r w:rsidRPr="2B30A600">
        <w:rPr>
          <w:lang w:eastAsia="en-US"/>
        </w:rPr>
        <w:t>As any mechanism can be improved it will as well review and analyse what other SDOs are doing to bring innovation and perhaps it will help SG17 to constantly review and improve this mechanism.</w:t>
      </w:r>
    </w:p>
    <w:p w14:paraId="61779DD9" w14:textId="26E2B056" w:rsidR="547F1B3A" w:rsidRDefault="547F1B3A" w:rsidP="2B30A600">
      <w:pPr>
        <w:rPr>
          <w:szCs w:val="24"/>
        </w:rPr>
      </w:pPr>
      <w:r w:rsidRPr="005D3621">
        <w:rPr>
          <w:b/>
          <w:bCs/>
          <w:lang w:eastAsia="en-US"/>
        </w:rPr>
        <w:t>ITU-T Technical Report “Strategic approaches to the transformation of security studies”</w:t>
      </w:r>
      <w:r w:rsidR="4D81AE50" w:rsidRPr="2B30A600">
        <w:rPr>
          <w:b/>
          <w:bCs/>
          <w:lang w:eastAsia="en-US"/>
        </w:rPr>
        <w:t xml:space="preserve"> </w:t>
      </w:r>
      <w:r w:rsidR="4D81AE50" w:rsidRPr="2B30A600">
        <w:rPr>
          <w:szCs w:val="24"/>
        </w:rPr>
        <w:t>is the synthesis of all the results delivered by the correspondence group on transformation of security studies under the mandate of ITU-T SG17 from August 2017 to August 2020. It includes the contextualization of this work and the methodological aspects considered. It describes the strategic thinking that the correspondence group developed. It covers the short, mid and long-term aspects of the transformation of security studies.</w:t>
      </w:r>
    </w:p>
    <w:p w14:paraId="41DD065A" w14:textId="77777777" w:rsidR="005D3621" w:rsidRDefault="547F1B3A" w:rsidP="0020313D">
      <w:pPr>
        <w:pStyle w:val="Headingb"/>
        <w:rPr>
          <w:szCs w:val="24"/>
          <w:lang w:val="en-US"/>
        </w:rPr>
      </w:pPr>
      <w:r w:rsidRPr="005D3621">
        <w:rPr>
          <w:bCs/>
        </w:rPr>
        <w:t>ITU-T Technical Report “Unified Security Model (USM) - a neutral integrated system approach to Cybersecurity”</w:t>
      </w:r>
      <w:r w:rsidR="198EC658" w:rsidRPr="2B30A600">
        <w:rPr>
          <w:bCs/>
        </w:rPr>
        <w:t xml:space="preserve">: </w:t>
      </w:r>
      <w:r w:rsidR="198EC658" w:rsidRPr="005D3621">
        <w:rPr>
          <w:b w:val="0"/>
          <w:bCs/>
          <w:szCs w:val="24"/>
          <w:lang w:val="en-US"/>
        </w:rPr>
        <w:t>The Unified Security Model and architecture presented here is a universal “all matters security” architecture, that is neutral and agnostic. It has the potential to facilitate security control mass interoperability and security response automation.</w:t>
      </w:r>
    </w:p>
    <w:p w14:paraId="5F39A0BC" w14:textId="2241656F" w:rsidR="0020313D" w:rsidRPr="00F776D2" w:rsidRDefault="0020313D" w:rsidP="0020313D">
      <w:pPr>
        <w:pStyle w:val="Headingb"/>
      </w:pPr>
      <w:r w:rsidRPr="00F776D2">
        <w:t>I.5.</w:t>
      </w:r>
      <w:r w:rsidR="002F3B62">
        <w:t>2</w:t>
      </w:r>
      <w:r w:rsidRPr="00F776D2">
        <w:tab/>
      </w:r>
      <w:r>
        <w:t>Q</w:t>
      </w:r>
      <w:r w:rsidRPr="0020313D">
        <w:t>uantum key distribution networks</w:t>
      </w:r>
    </w:p>
    <w:p w14:paraId="4357A03B" w14:textId="287D3945" w:rsidR="00014BB2" w:rsidRDefault="00E12FA7" w:rsidP="00086D3D">
      <w:pPr>
        <w:tabs>
          <w:tab w:val="left" w:pos="284"/>
          <w:tab w:val="left" w:pos="567"/>
          <w:tab w:val="left" w:pos="851"/>
          <w:tab w:val="left" w:pos="1418"/>
          <w:tab w:val="left" w:pos="1701"/>
          <w:tab w:val="left" w:pos="2552"/>
          <w:tab w:val="left" w:pos="2835"/>
          <w:tab w:val="left" w:pos="3119"/>
          <w:tab w:val="left" w:pos="3402"/>
          <w:tab w:val="left" w:pos="3686"/>
          <w:tab w:val="left" w:pos="3969"/>
        </w:tabs>
        <w:rPr>
          <w:lang w:val="en-GB"/>
        </w:rPr>
      </w:pPr>
      <w:hyperlink r:id="rId343" w:history="1">
        <w:r w:rsidR="00014BB2" w:rsidRPr="00EC032D">
          <w:rPr>
            <w:rStyle w:val="Hyperlink"/>
            <w:b/>
            <w:lang w:val="en-GB"/>
          </w:rPr>
          <w:t>ITU-T Y.3801 “Functional requirements for quantum key distribution networks”</w:t>
        </w:r>
      </w:hyperlink>
      <w:r w:rsidR="00014BB2" w:rsidRPr="00014BB2">
        <w:rPr>
          <w:bCs/>
          <w:lang w:val="en-GB"/>
        </w:rPr>
        <w:t xml:space="preserve"> specifies functional requirements for quantum layer, key management layer, QKDN control layer and QKDN management layer</w:t>
      </w:r>
      <w:r w:rsidR="00014BB2">
        <w:rPr>
          <w:bCs/>
          <w:lang w:val="en-GB"/>
        </w:rPr>
        <w:t xml:space="preserve"> f</w:t>
      </w:r>
      <w:r w:rsidR="00014BB2" w:rsidRPr="00014BB2">
        <w:rPr>
          <w:bCs/>
          <w:lang w:val="en-GB"/>
        </w:rPr>
        <w:t>or quantum key distribution networks (QKDN).</w:t>
      </w:r>
    </w:p>
    <w:p w14:paraId="0CB05905" w14:textId="4613EC66" w:rsidR="003049A6" w:rsidRPr="0039167D"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9167D">
        <w:rPr>
          <w:b/>
          <w:lang w:val="en-GB"/>
        </w:rPr>
        <w:t>ITU-T Y.3802 “Quantum key distribution networks - Functional architecture” (under approval)</w:t>
      </w:r>
      <w:r w:rsidRPr="0039167D">
        <w:rPr>
          <w:bCs/>
          <w:lang w:val="en-GB"/>
        </w:rPr>
        <w:t xml:space="preserve"> defines a functional architecture model of quantum key distribution (QKD) networks. In order to realize this model, it specifies detailed functional elements and reference points, architectural configurations and basic operational procedures of QKD networks (QKDN).</w:t>
      </w:r>
    </w:p>
    <w:p w14:paraId="6F0BA7C3" w14:textId="46471CF0" w:rsidR="003049A6" w:rsidRPr="003049A6"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9167D">
        <w:rPr>
          <w:b/>
          <w:lang w:val="en-GB"/>
        </w:rPr>
        <w:t>ITU-T Y.3803 “Quantum key distribution networks – Key management” (under approval)</w:t>
      </w:r>
      <w:r w:rsidRPr="0039167D">
        <w:rPr>
          <w:bCs/>
          <w:lang w:val="en-GB"/>
        </w:rPr>
        <w:t>:</w:t>
      </w:r>
      <w:r>
        <w:rPr>
          <w:bCs/>
          <w:lang w:val="en-GB"/>
        </w:rPr>
        <w:t xml:space="preserve"> </w:t>
      </w:r>
      <w:r w:rsidRPr="003049A6">
        <w:rPr>
          <w:bCs/>
          <w:lang w:val="en-GB"/>
        </w:rPr>
        <w:t>Quantum Key Distribution (QKD) protocols provide the means to distribute a symmetric random bit strings as a secure key that can be proven to be secure even against an eavesdropper, who has unbounded computational ability. A basic element of QKD is a pair of QKD modules linked by a QKD link that allows two remote parties to share secure keys. A QKD network consists of two or more QKD links and trusted nodes (QKD nodes), where any pair of two QKD nodes can share secure keys via QKD links and key relay. In the end, these keys are supplied to cryptographic applications in user networks. To implement the QKD network (QKDN) and appropriately integrate with the user network, an overview of the QKD technologies, including network capabilities, conceptual structure, layered model, basic functions and components, and its relation to the user network, is given in Recommendation ITU-T Y.3800.</w:t>
      </w:r>
    </w:p>
    <w:p w14:paraId="2D2FCA1E" w14:textId="77777777" w:rsidR="003049A6" w:rsidRPr="003049A6"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049A6">
        <w:rPr>
          <w:bCs/>
          <w:lang w:val="en-GB"/>
        </w:rPr>
        <w:t>To operate the QKDN efficiently and securely, key management is the highest priority issue because without this, most of meaningful QKD operations and services cannot be realized. The key management includes, at least, storing keys generated by QKD modules, relaying keys between the nodes of the QKDN, and supplying keys to cryptographic applications upon requests from users, all in secure manners. The standardization of these issues is essential to realize the interoperability for QKDN, ensuring security, and widening applications of QKD.</w:t>
      </w:r>
    </w:p>
    <w:p w14:paraId="1D69B87E" w14:textId="02A49556" w:rsidR="003049A6" w:rsidRPr="003049A6"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049A6">
        <w:rPr>
          <w:bCs/>
          <w:lang w:val="en-GB"/>
        </w:rPr>
        <w:t>The objective of this Recommendation is to provide the help for design, deployment, and operation of key management of QKDN. Overall structure and basic functions of QKDN are first reviewed along with Recommendation ITU-T Y.3800, requirements of QKDN are second reviewed along with Recommendation ITU-T Y.3801, and then functional elements and procedures of key management are described in this Recommendation.</w:t>
      </w:r>
    </w:p>
    <w:p w14:paraId="670AD532" w14:textId="6CF5D2F4" w:rsidR="003049A6" w:rsidRPr="0039167D"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39167D">
        <w:rPr>
          <w:b/>
          <w:lang w:val="en-GB"/>
        </w:rPr>
        <w:t>ITU-T Y.3804 “Quantum Key Distribution Networks - Control and Management” (under approval)</w:t>
      </w:r>
      <w:r w:rsidRPr="0039167D">
        <w:rPr>
          <w:bCs/>
          <w:lang w:val="en-GB"/>
        </w:rPr>
        <w:t xml:space="preserve">: To realize secure, stable, efficient, and robust operations of and services by a quantum key distribution (QKD) network as well as to manage a QKD network (QKDN) as a whole and </w:t>
      </w:r>
      <w:r w:rsidRPr="0039167D">
        <w:rPr>
          <w:bCs/>
          <w:lang w:val="en-GB"/>
        </w:rPr>
        <w:lastRenderedPageBreak/>
        <w:t>support user network management, this Recommendation specifies functions and procedures for QKDN control and management based on the requirements specified in Recommendation ITU-T Y.3801.</w:t>
      </w:r>
    </w:p>
    <w:p w14:paraId="576CF00B" w14:textId="05F802BC" w:rsidR="1088F42E" w:rsidRPr="00690CD1" w:rsidRDefault="00690CD1" w:rsidP="00690CD1">
      <w:pPr>
        <w:rPr>
          <w:lang w:val="en-GB"/>
        </w:rPr>
      </w:pPr>
      <w:r w:rsidRPr="00690CD1">
        <w:rPr>
          <w:b/>
          <w:bCs/>
          <w:lang w:val="en-GB"/>
        </w:rPr>
        <w:t xml:space="preserve">ITU-T </w:t>
      </w:r>
      <w:r w:rsidR="1088F42E" w:rsidRPr="00690CD1">
        <w:rPr>
          <w:b/>
          <w:bCs/>
          <w:lang w:val="en-GB"/>
        </w:rPr>
        <w:t xml:space="preserve">X.1710 “Security framework for quantum key distribution networks" </w:t>
      </w:r>
      <w:r>
        <w:rPr>
          <w:b/>
          <w:bCs/>
          <w:lang w:val="en-GB"/>
        </w:rPr>
        <w:t xml:space="preserve">(under approval) </w:t>
      </w:r>
      <w:r w:rsidRPr="00690CD1">
        <w:rPr>
          <w:lang w:val="en-GB"/>
        </w:rPr>
        <w:t>specifies a framework for quantum key distribution networks (QKDNs) including requirements and measures to combat security threats. This Recommendation specifies a simplified QKDN structure and the relevant security threats. Security requirements and corresponding security measures are then specified on that basis.</w:t>
      </w:r>
    </w:p>
    <w:p w14:paraId="38CC286E" w14:textId="61335D8B" w:rsidR="1088F42E" w:rsidRPr="00F247D4" w:rsidRDefault="00690CD1" w:rsidP="65A54C5D">
      <w:pPr>
        <w:rPr>
          <w:lang w:val="en-GB"/>
        </w:rPr>
      </w:pPr>
      <w:r w:rsidRPr="00690CD1">
        <w:rPr>
          <w:b/>
          <w:bCs/>
          <w:lang w:val="en-GB"/>
        </w:rPr>
        <w:t xml:space="preserve">ITU-T </w:t>
      </w:r>
      <w:r w:rsidR="1088F42E" w:rsidRPr="00690CD1">
        <w:rPr>
          <w:b/>
          <w:bCs/>
          <w:lang w:val="en-GB"/>
        </w:rPr>
        <w:t xml:space="preserve">X.1714 “Key combination and confidential key supply for quantum key distribution networks" </w:t>
      </w:r>
      <w:r>
        <w:rPr>
          <w:b/>
          <w:bCs/>
          <w:lang w:val="en-GB"/>
        </w:rPr>
        <w:t xml:space="preserve">(under approval) </w:t>
      </w:r>
      <w:r w:rsidR="00F247D4" w:rsidRPr="00F247D4">
        <w:rPr>
          <w:lang w:val="en-GB"/>
        </w:rPr>
        <w:t>aims to specify the security requirements for both the key combination and the key supply from the QKDN to cryptographic applications.</w:t>
      </w:r>
    </w:p>
    <w:p w14:paraId="244D19D9" w14:textId="418037BA" w:rsidR="006A46AE" w:rsidRPr="00F776D2" w:rsidRDefault="006A46AE" w:rsidP="006A46AE">
      <w:pPr>
        <w:pStyle w:val="Headingb"/>
      </w:pPr>
      <w:r w:rsidRPr="00F776D2">
        <w:t>I.5.</w:t>
      </w:r>
      <w:r w:rsidR="002F3B62">
        <w:t>3</w:t>
      </w:r>
      <w:r w:rsidRPr="00F776D2">
        <w:tab/>
        <w:t>Trust</w:t>
      </w:r>
    </w:p>
    <w:p w14:paraId="6E5CA806" w14:textId="238823E5" w:rsidR="00F776D2" w:rsidRDefault="00E12FA7" w:rsidP="00F776D2">
      <w:pPr>
        <w:rPr>
          <w:lang w:val="en-GB" w:eastAsia="en-US"/>
        </w:rPr>
      </w:pPr>
      <w:hyperlink r:id="rId344" w:history="1">
        <w:r w:rsidR="00F776D2" w:rsidRPr="009A603B">
          <w:rPr>
            <w:rStyle w:val="Hyperlink"/>
            <w:b/>
            <w:bCs/>
            <w:lang w:val="en-GB" w:eastAsia="en-US"/>
          </w:rPr>
          <w:t>ITU-T Q.3057 “Signalling requirements and architecture for interconnection between trustable network entities”</w:t>
        </w:r>
      </w:hyperlink>
      <w:r w:rsidR="00F776D2" w:rsidRPr="001B027C">
        <w:rPr>
          <w:lang w:val="en-GB" w:eastAsia="en-US"/>
        </w:rPr>
        <w:t xml:space="preserve"> specifies</w:t>
      </w:r>
      <w:r w:rsidR="00F776D2" w:rsidRPr="00F776D2">
        <w:rPr>
          <w:lang w:val="en-GB" w:eastAsia="en-US"/>
        </w:rPr>
        <w:t xml:space="preserve"> the signalling architecture and requirement for interconnection between trustable network entities in support of existing and emerging networks. Based on the architecture, it specifies the interfaces and signalling requirements between the functional entities and signalling procedures to be applied.</w:t>
      </w:r>
    </w:p>
    <w:p w14:paraId="4EA417D5" w14:textId="618B9950" w:rsidR="00883497" w:rsidRPr="00883497" w:rsidRDefault="00883497" w:rsidP="00883497">
      <w:pPr>
        <w:rPr>
          <w:lang w:val="en-GB" w:eastAsia="en-US"/>
        </w:rPr>
      </w:pPr>
      <w:r w:rsidRPr="0039167D">
        <w:rPr>
          <w:b/>
          <w:bCs/>
          <w:lang w:val="en-GB" w:eastAsia="en-US"/>
        </w:rPr>
        <w:t>ITU-T Y.3055 “Framework for Trust based Personal Data Management” (under approval)</w:t>
      </w:r>
      <w:r w:rsidRPr="0039167D">
        <w:rPr>
          <w:lang w:val="en-GB" w:eastAsia="en-US"/>
        </w:rPr>
        <w:t>:</w:t>
      </w:r>
      <w:r>
        <w:rPr>
          <w:lang w:val="en-GB" w:eastAsia="en-US"/>
        </w:rPr>
        <w:t xml:space="preserve"> </w:t>
      </w:r>
      <w:r w:rsidRPr="00883497">
        <w:rPr>
          <w:lang w:val="en-GB" w:eastAsia="en-US"/>
        </w:rPr>
        <w:t>Data becomes more important for various industries, and data stakeholders aggregate personal data from various data sources to find new values. To increase benefits from personal data utilization with the balance of privacy protection, it is important to support trust based personal data management that considers the trust in personal data utilization processes. Thus, this Recommendation provides a framework for trust based personal data management. It introduces the necessity of trust based personal data management based on the analysis of personal data management. Then, it identifies various requirements for trust based personal data management. After identifying the requirements, this Recommendation provides a framework architecture specifying related functional blocks and reference points with relevant information flows. Details of prospective technologies for personal data management and a trust evaluation model with a specific use case are described in informative appendices.</w:t>
      </w:r>
    </w:p>
    <w:p w14:paraId="38D5C5C9" w14:textId="08332026" w:rsidR="00883497" w:rsidRPr="00883497" w:rsidRDefault="00883497" w:rsidP="00883497">
      <w:pPr>
        <w:rPr>
          <w:sz w:val="22"/>
          <w:szCs w:val="22"/>
          <w:lang w:val="en-GB" w:eastAsia="en-US"/>
        </w:rPr>
      </w:pPr>
      <w:r w:rsidRPr="00883497">
        <w:rPr>
          <w:sz w:val="22"/>
          <w:szCs w:val="22"/>
          <w:lang w:val="en-GB" w:eastAsia="en-US"/>
        </w:rPr>
        <w:t>NOTE – In this Recommendation, some capabilities and applications may be related to regulation in some countries. In this case, non-functional aspects related to regulation are out of scope.</w:t>
      </w:r>
    </w:p>
    <w:p w14:paraId="725E4B27" w14:textId="6E78F5B6" w:rsidR="000D6D7F" w:rsidRDefault="000D6D7F" w:rsidP="000D6D7F">
      <w:pPr>
        <w:pStyle w:val="Headingb"/>
      </w:pPr>
      <w:r>
        <w:t>I.5.</w:t>
      </w:r>
      <w:r w:rsidR="002F3B62">
        <w:t>4</w:t>
      </w:r>
      <w:r>
        <w:tab/>
        <w:t>Distributed Ledger Technology</w:t>
      </w:r>
    </w:p>
    <w:p w14:paraId="5F36FFBC" w14:textId="6E1D03C7" w:rsidR="000D6D7F" w:rsidRDefault="00E12FA7" w:rsidP="000D6D7F">
      <w:pPr>
        <w:rPr>
          <w:lang w:val="en-GB" w:eastAsia="en-US"/>
        </w:rPr>
      </w:pPr>
      <w:hyperlink r:id="rId345" w:history="1">
        <w:r w:rsidR="000D6D7F" w:rsidRPr="00FC0DBF">
          <w:rPr>
            <w:rStyle w:val="Hyperlink"/>
            <w:b/>
            <w:bCs/>
            <w:lang w:val="en-GB" w:eastAsia="en-US"/>
          </w:rPr>
          <w:t>ITU-T F.751.0 “Requirements for distributed ledger systems”</w:t>
        </w:r>
      </w:hyperlink>
      <w:r w:rsidR="000D6D7F" w:rsidRPr="00FC0DBF">
        <w:rPr>
          <w:lang w:val="en-GB" w:eastAsia="en-US"/>
        </w:rPr>
        <w:t xml:space="preserve"> defines the requirements of</w:t>
      </w:r>
      <w:r w:rsidR="000D6D7F" w:rsidRPr="000D6D7F">
        <w:rPr>
          <w:lang w:val="en-GB" w:eastAsia="en-US"/>
        </w:rPr>
        <w:t xml:space="preserve"> distributed ledger systems. The distributed ledger system ensures the security of the data in the ledger and prevents malicious tampering. This makes distributed ledger systems potentially applicable to medical records and other record management activities, such as identity management, transaction processing, document sources, food traceability and voting. The scope of this Recommendation focuses on the basic and advanced requirements of the distributed ledger systems.</w:t>
      </w:r>
    </w:p>
    <w:p w14:paraId="52BD73BF" w14:textId="35AE5C7D" w:rsidR="00FB58CA" w:rsidRPr="00FB58CA" w:rsidRDefault="00E12FA7" w:rsidP="00FB58CA">
      <w:pPr>
        <w:rPr>
          <w:lang w:val="en-GB" w:eastAsia="en-US"/>
        </w:rPr>
      </w:pPr>
      <w:hyperlink r:id="rId346" w:history="1">
        <w:r w:rsidR="00FB58CA" w:rsidRPr="00FC0DBF">
          <w:rPr>
            <w:rStyle w:val="Hyperlink"/>
            <w:b/>
            <w:bCs/>
            <w:lang w:val="en-GB" w:eastAsia="en-US"/>
          </w:rPr>
          <w:t>ITU-T F.751.1 “Assessment criteria for distributed ledger technology (DLT) platforms”</w:t>
        </w:r>
      </w:hyperlink>
      <w:r w:rsidR="00FB58CA">
        <w:rPr>
          <w:lang w:val="en-GB" w:eastAsia="en-US"/>
        </w:rPr>
        <w:t xml:space="preserve"> </w:t>
      </w:r>
      <w:r w:rsidR="00FB58CA" w:rsidRPr="00FB58CA">
        <w:rPr>
          <w:lang w:val="en-GB" w:eastAsia="en-US"/>
        </w:rPr>
        <w:t>defines assessment criteria for DLT platforms aim to assist implementers to evaluate and compare different platforms. Those 27 criteria covered the core functions, application functions, operation functions, and ecosystem of DLT platform. This Recommendation also defines the performance of DLT platform affected by environment and deployment reasons.</w:t>
      </w:r>
    </w:p>
    <w:p w14:paraId="196578DF" w14:textId="7F0C53DA" w:rsidR="00FB58CA" w:rsidRDefault="00E12FA7" w:rsidP="00FB58CA">
      <w:pPr>
        <w:rPr>
          <w:lang w:val="en-GB" w:eastAsia="en-US"/>
        </w:rPr>
      </w:pPr>
      <w:hyperlink r:id="rId347">
        <w:r w:rsidR="00FB58CA" w:rsidRPr="65A54C5D">
          <w:rPr>
            <w:rStyle w:val="Hyperlink"/>
            <w:b/>
            <w:bCs/>
            <w:lang w:val="en-GB" w:eastAsia="en-US"/>
          </w:rPr>
          <w:t>ITU-T F.751.2 “Reference framework for distributed ledger technologies”</w:t>
        </w:r>
      </w:hyperlink>
      <w:r w:rsidR="00FB58CA">
        <w:rPr>
          <w:lang w:val="en-GB" w:eastAsia="en-US"/>
        </w:rPr>
        <w:t xml:space="preserve"> </w:t>
      </w:r>
      <w:r w:rsidR="00FB58CA" w:rsidRPr="00FB58CA">
        <w:rPr>
          <w:lang w:val="en-GB" w:eastAsia="en-US"/>
        </w:rPr>
        <w:t xml:space="preserve">defines the reference architecture for distributed ledger technology (DLT), the hierarchical relationship and specific functions of the DLT architecture, important modules and specific functions in the structure of </w:t>
      </w:r>
      <w:r w:rsidR="00FB58CA" w:rsidRPr="00FB58CA">
        <w:rPr>
          <w:lang w:val="en-GB" w:eastAsia="en-US"/>
        </w:rPr>
        <w:lastRenderedPageBreak/>
        <w:t>DLT, the main technical route and direction of the core module in the DLT. It can be used as a guideline for DLT service providers to build system, and for the organizations to select and use a DLT platform.</w:t>
      </w:r>
    </w:p>
    <w:p w14:paraId="39F45F78" w14:textId="5DB82B6B" w:rsidR="59C862D3" w:rsidRPr="00D35063" w:rsidRDefault="59C862D3" w:rsidP="002878F0">
      <w:pPr>
        <w:rPr>
          <w:b/>
          <w:bCs/>
          <w:lang w:val="en-GB" w:eastAsia="en-US"/>
        </w:rPr>
      </w:pPr>
      <w:r w:rsidRPr="00D35063">
        <w:rPr>
          <w:b/>
          <w:bCs/>
          <w:lang w:val="en-GB" w:eastAsia="en-US"/>
        </w:rPr>
        <w:t>ITU-T X.1400 “Terms and definitions for distributed ledger technology”(under approval)</w:t>
      </w:r>
      <w:r w:rsidR="002878F0" w:rsidRPr="002878F0">
        <w:rPr>
          <w:lang w:val="en-GB" w:eastAsia="en-US"/>
        </w:rPr>
        <w:t xml:space="preserve"> contains a baseline set of terms and definitions for distributed ledger technology (DLT). The definitions provide a basic characterization of the term, and where appropriate, a note is included to provide additional clarity. It is based on Focus Group Technical Report ITU-T FG DLT D1.1:2019, FG DLT D1.1 Distributed ledger technology terms and definitions.</w:t>
      </w:r>
    </w:p>
    <w:p w14:paraId="0B416C72" w14:textId="5750D195" w:rsidR="004E2768" w:rsidRPr="004E2768" w:rsidRDefault="00E12FA7" w:rsidP="004E2768">
      <w:pPr>
        <w:rPr>
          <w:lang w:val="en-GB"/>
        </w:rPr>
      </w:pPr>
      <w:hyperlink r:id="rId348" w:history="1">
        <w:r w:rsidR="001F6191" w:rsidRPr="00684268">
          <w:rPr>
            <w:rStyle w:val="Hyperlink"/>
            <w:b/>
            <w:bCs/>
            <w:lang w:val="en-GB"/>
          </w:rPr>
          <w:t>ITU-T X.1402 “Security framework for distributed ledger technology”</w:t>
        </w:r>
      </w:hyperlink>
      <w:r w:rsidR="001F6191" w:rsidRPr="00684268">
        <w:rPr>
          <w:lang w:val="en-GB"/>
        </w:rPr>
        <w:t xml:space="preserve">: </w:t>
      </w:r>
      <w:r w:rsidR="004E2768" w:rsidRPr="004E2768">
        <w:rPr>
          <w:lang w:val="en-GB"/>
        </w:rPr>
        <w:t>Distributed ledger technology (DLT) is usually seen as a peer to peer distributed ledger based on a group of technologies for a new generation of transactional applications, which maintains a continuously growing list of cryptographically secured data records against tampering and revision. DLT can help establish trust, accountability, transparency and efficiency while streamlining business processes. However, DLT is also fac</w:t>
      </w:r>
      <w:r w:rsidR="004E2768" w:rsidRPr="004E2768">
        <w:rPr>
          <w:rFonts w:hint="eastAsia"/>
          <w:lang w:val="en-GB"/>
        </w:rPr>
        <w:t>ing</w:t>
      </w:r>
      <w:r w:rsidR="004E2768" w:rsidRPr="004E2768">
        <w:rPr>
          <w:lang w:val="en-GB"/>
        </w:rPr>
        <w:t xml:space="preserve"> security challenges and threats specific to DLT systems and DLT application scenarios. Based on analysis of security threats and security requirements to DLT, Recommendation ITU-T X.1402 describes security capabilities that could mitiga</w:t>
      </w:r>
      <w:r w:rsidR="004E2768" w:rsidRPr="004E2768">
        <w:rPr>
          <w:rFonts w:hint="eastAsia"/>
          <w:lang w:val="en-GB"/>
        </w:rPr>
        <w:t>te the related security threats</w:t>
      </w:r>
      <w:r w:rsidR="004E2768" w:rsidRPr="004E2768">
        <w:rPr>
          <w:lang w:val="en-GB"/>
        </w:rPr>
        <w:t xml:space="preserve"> </w:t>
      </w:r>
      <w:r w:rsidR="004E2768" w:rsidRPr="004E2768">
        <w:rPr>
          <w:rFonts w:hint="eastAsia"/>
          <w:lang w:val="en-GB"/>
        </w:rPr>
        <w:t xml:space="preserve">and </w:t>
      </w:r>
      <w:r w:rsidR="004E2768" w:rsidRPr="004E2768">
        <w:rPr>
          <w:lang w:val="en-GB"/>
        </w:rPr>
        <w:t xml:space="preserve">specifies </w:t>
      </w:r>
      <w:r w:rsidR="004E2768" w:rsidRPr="004E2768">
        <w:rPr>
          <w:rFonts w:hint="eastAsia"/>
          <w:lang w:val="en-GB"/>
        </w:rPr>
        <w:t xml:space="preserve">a security framework methodology </w:t>
      </w:r>
      <w:r w:rsidR="004E2768" w:rsidRPr="004E2768">
        <w:rPr>
          <w:lang w:val="en-GB"/>
        </w:rPr>
        <w:t xml:space="preserve">to </w:t>
      </w:r>
      <w:r w:rsidR="004E2768" w:rsidRPr="004E2768">
        <w:rPr>
          <w:rFonts w:hint="eastAsia"/>
          <w:lang w:val="en-GB"/>
        </w:rPr>
        <w:t>determin</w:t>
      </w:r>
      <w:r w:rsidR="004E2768" w:rsidRPr="004E2768">
        <w:rPr>
          <w:lang w:val="en-GB"/>
        </w:rPr>
        <w:t>e</w:t>
      </w:r>
      <w:r w:rsidR="004E2768" w:rsidRPr="004E2768">
        <w:rPr>
          <w:rFonts w:hint="eastAsia"/>
          <w:lang w:val="en-GB"/>
        </w:rPr>
        <w:t xml:space="preserve"> </w:t>
      </w:r>
      <w:r w:rsidR="004E2768" w:rsidRPr="004E2768">
        <w:rPr>
          <w:lang w:val="en-GB"/>
        </w:rPr>
        <w:t>how to use</w:t>
      </w:r>
      <w:r w:rsidR="004E2768" w:rsidRPr="004E2768">
        <w:rPr>
          <w:rFonts w:hint="eastAsia"/>
          <w:lang w:val="en-GB"/>
        </w:rPr>
        <w:t xml:space="preserve"> these security capabilities to mitigate security threats for a specific DLT system.</w:t>
      </w:r>
    </w:p>
    <w:p w14:paraId="5567B9CC" w14:textId="0E385F3B" w:rsidR="001F6191" w:rsidRDefault="001F6191" w:rsidP="000D6D7F">
      <w:pPr>
        <w:rPr>
          <w:lang w:val="en-GB"/>
        </w:rPr>
      </w:pPr>
      <w:r w:rsidRPr="0039167D">
        <w:rPr>
          <w:b/>
          <w:lang w:val="en-GB"/>
        </w:rPr>
        <w:t xml:space="preserve">ITU-T X.1403 “Security guidelines for using DLT for decentralized identity management” (under </w:t>
      </w:r>
      <w:r w:rsidR="00D35063">
        <w:rPr>
          <w:b/>
          <w:lang w:val="en-GB"/>
        </w:rPr>
        <w:t>publication</w:t>
      </w:r>
      <w:r w:rsidRPr="0039167D">
        <w:rPr>
          <w:b/>
          <w:lang w:val="en-GB"/>
        </w:rPr>
        <w:t>)</w:t>
      </w:r>
      <w:r w:rsidRPr="00202617">
        <w:rPr>
          <w:lang w:val="en-GB"/>
        </w:rPr>
        <w:t>: Distributed Ledger Technology and its specific implementations such as Blockchain offer a unique opportunity for utilizing a trust infrastructure and a platform that could be useful in enabling trusted federation for exchanging identity attributes and identity information. This Recommendation provides a telecom-specific privacy and security considerations for using DLT data in identity management.</w:t>
      </w:r>
    </w:p>
    <w:p w14:paraId="043BAAD5" w14:textId="40C8280A" w:rsidR="00682DC7" w:rsidRPr="00177A59" w:rsidRDefault="65A7D319" w:rsidP="00682DC7">
      <w:pPr>
        <w:spacing w:before="115"/>
        <w:jc w:val="both"/>
      </w:pPr>
      <w:r w:rsidRPr="65A54C5D">
        <w:rPr>
          <w:b/>
          <w:bCs/>
          <w:lang w:val="en-GB" w:eastAsia="en-US"/>
        </w:rPr>
        <w:t xml:space="preserve">ITU-T X.1404 “Security assurance for distributed ledger technology”(under approval): </w:t>
      </w:r>
      <w:r w:rsidR="00682DC7" w:rsidRPr="00177A59">
        <w:t>A distributed ledger technology (DLT) is defined as a shared digital ledger, or a continually updated list of all transactions. Assurance is the degree of confidence that the process or deliverable meets defined characteristics or objective. Security assurance is the capability of a DLT system to determine, with some level of certainty, that a claim to a particular security of DLT can be trusted to actually be the claimant's "true" security. An assurance level is a quantitative expression of assurance agreed among the relevant parties. A consensus mechanism such as Proof of Work uses computational power to validate new blocks of data in the distributed ledger system. This Recommendation defines three levels of security assurance for the distributed ledger technology. It also defines security assurance components and criteria for each of three levels of security assurance for each security assurance components. It also provides a mapping between specific threats and security assurance components and a mapping between specific capabilities and security assurance components.</w:t>
      </w:r>
    </w:p>
    <w:p w14:paraId="6567ABE1" w14:textId="29742610" w:rsidR="0050368E" w:rsidRPr="0039167D" w:rsidRDefault="0050368E" w:rsidP="00682DC7">
      <w:pPr>
        <w:rPr>
          <w:lang w:val="en-GB"/>
        </w:rPr>
      </w:pPr>
      <w:r w:rsidRPr="0039167D">
        <w:rPr>
          <w:b/>
          <w:bCs/>
          <w:lang w:val="en-GB"/>
        </w:rPr>
        <w:t>ITU-T Y.3530 “Cloud computing - Functional requirements for blockchain as a service” (under approval)</w:t>
      </w:r>
      <w:r w:rsidRPr="0039167D">
        <w:rPr>
          <w:lang w:val="en-GB"/>
        </w:rPr>
        <w:t>: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deploy and operate decentralized applications. This Recommendation introduces blockchain and blockchain as a service. This Recommendation also provides functional requirements of blockchain as a service which is derived from use cases.</w:t>
      </w:r>
    </w:p>
    <w:p w14:paraId="5B5D6F30" w14:textId="7A89A213" w:rsidR="00D6037D" w:rsidRPr="00D6037D" w:rsidRDefault="00D6037D" w:rsidP="00D6037D">
      <w:pPr>
        <w:rPr>
          <w:lang w:val="en-GB"/>
        </w:rPr>
      </w:pPr>
      <w:r w:rsidRPr="0039167D">
        <w:rPr>
          <w:b/>
          <w:bCs/>
          <w:lang w:val="en-GB"/>
        </w:rPr>
        <w:t>ITU-T Y.3531 “Cloud computing - Functional requirements for machine learning as a service” (under approval)</w:t>
      </w:r>
      <w:r w:rsidRPr="0039167D">
        <w:rPr>
          <w:lang w:val="en-GB"/>
        </w:rPr>
        <w:t xml:space="preserve"> p</w:t>
      </w:r>
      <w:r w:rsidRPr="00D6037D">
        <w:rPr>
          <w:lang w:val="en-GB"/>
        </w:rPr>
        <w:t xml:space="preserve">rovides cloud computing requirements for machine learning as a service (MLaaS), which addresses requirements from use cases. Machine learning as a service is a cloud service category in which the capability provided to the cloud service customer is the </w:t>
      </w:r>
      <w:r w:rsidRPr="00D6037D">
        <w:rPr>
          <w:lang w:val="en-GB"/>
        </w:rPr>
        <w:lastRenderedPageBreak/>
        <w:t>provision and use of machine learning framework. Machine learning framework is a set of functionalities for provisioning machine learning data as well as training, deploying, and managing machine learning model.</w:t>
      </w:r>
    </w:p>
    <w:p w14:paraId="6689E890" w14:textId="2A7F5DFA" w:rsidR="00D6037D" w:rsidRPr="00952FDF" w:rsidRDefault="00D6037D" w:rsidP="00D6037D">
      <w:pPr>
        <w:rPr>
          <w:highlight w:val="yellow"/>
          <w:lang w:val="en-GB"/>
        </w:rPr>
      </w:pPr>
      <w:r w:rsidRPr="00D6037D">
        <w:rPr>
          <w:lang w:val="en-GB"/>
        </w:rPr>
        <w:t>On the perspective of cloud computing service provisioning, this Recommendation provides the functional requirements for MLaaS to identify functionalities such as machine learning data pre-processing, machine learning model training, machine learning model testing, and etc. Also, this Recommendation aligned with the cloud computing reference architecture of [ITU-T Y.3502].</w:t>
      </w:r>
    </w:p>
    <w:p w14:paraId="3EB392B7" w14:textId="4D1B9CE7" w:rsidR="5AAAD7BE" w:rsidRDefault="00E12FA7" w:rsidP="6171A8C9">
      <w:pPr>
        <w:rPr>
          <w:lang w:val="en-GB"/>
        </w:rPr>
      </w:pPr>
      <w:hyperlink r:id="rId349">
        <w:r w:rsidR="5AAAD7BE" w:rsidRPr="6171A8C9">
          <w:rPr>
            <w:rStyle w:val="Hyperlink"/>
            <w:b/>
            <w:bCs/>
            <w:lang w:val="en-GB"/>
          </w:rPr>
          <w:t>ITU-T Y.4560 “Blockchain-based data exchange and sharing for supporting Internet of things and smart cities and communities”</w:t>
        </w:r>
      </w:hyperlink>
      <w:r w:rsidR="5AAAD7BE" w:rsidRPr="6171A8C9">
        <w:rPr>
          <w:b/>
          <w:bCs/>
          <w:lang w:val="en-GB"/>
        </w:rPr>
        <w:t>:</w:t>
      </w:r>
      <w:r w:rsidR="5AAAD7BE" w:rsidRPr="6171A8C9">
        <w:rPr>
          <w:lang w:val="en-GB"/>
        </w:rPr>
        <w:t xml:space="preserve"> Blockchain is an emerging technology, its most important characteristics are traceable, un-erasable, immutable, and time-stamped. It is able to efficiently ensure integrity, authenticity, and auditability for all transactions. Blockchain has important impacts and benefits for data exchange and sharing in support of Internet of things (IoT) and smart cities and communities (SC&amp;C). In most of the IoT and SC&amp;C scenarios, it is necessary to ensure data processing, circulation, sharing and management for all trust operations. Blockchain technologies can meet these needs. This Recommendation specifies the requirements, functional models, a platform and deployment modes of blockchain-based data exchange and sharing for supporting IoT and SC&amp;C.</w:t>
      </w:r>
    </w:p>
    <w:p w14:paraId="2F1CE1CE" w14:textId="6095CA31" w:rsidR="5AAAD7BE" w:rsidRDefault="00E12FA7" w:rsidP="6171A8C9">
      <w:pPr>
        <w:rPr>
          <w:lang w:val="en-GB"/>
        </w:rPr>
      </w:pPr>
      <w:hyperlink r:id="rId350">
        <w:r w:rsidR="5AAAD7BE" w:rsidRPr="6171A8C9">
          <w:rPr>
            <w:rStyle w:val="Hyperlink"/>
            <w:b/>
            <w:bCs/>
            <w:lang w:val="en-GB"/>
          </w:rPr>
          <w:t>ITU-T Y.4561 “Blockchain-based Data Management for supporting Internet of things and smart cities and communities”</w:t>
        </w:r>
      </w:hyperlink>
      <w:r w:rsidR="5AAAD7BE" w:rsidRPr="6171A8C9">
        <w:rPr>
          <w:b/>
          <w:bCs/>
          <w:lang w:val="en-GB"/>
        </w:rPr>
        <w:t>:</w:t>
      </w:r>
      <w:r w:rsidR="5AAAD7BE" w:rsidRPr="6171A8C9">
        <w:rPr>
          <w:lang w:val="en-GB"/>
        </w:rPr>
        <w:t xml:space="preserve"> Along with the development of the Internet of things (IoT) and smart cities and communities (SC&amp;C), various applications have different kinds of requirements for data management, and there are many challenges, especially in data representing, data processing, data service provisioning, and other aspects in a secure and effective manner. Meanwhile, blockchain as an emerging technology possesses the characteristics of trust, transparency, traceability and accountability. It has the potential capabilities to solve the existing issues in data management. This Recommendation specifies the requirements, generic reference model, common capabilities and procedures of blockchain-based data management.</w:t>
      </w:r>
    </w:p>
    <w:p w14:paraId="5DF9C1FC" w14:textId="46A2A76F" w:rsidR="5AAAD7BE" w:rsidRDefault="5AAAD7BE">
      <w:r w:rsidRPr="6171A8C9">
        <w:rPr>
          <w:b/>
          <w:bCs/>
          <w:color w:val="0000FF"/>
          <w:szCs w:val="24"/>
          <w:u w:val="single"/>
        </w:rPr>
        <w:t>ITU-T Y.4907 “Reference architecture of blockchain-based unified KPI data management for smart sustainable cities”</w:t>
      </w:r>
      <w:r w:rsidRPr="6171A8C9">
        <w:rPr>
          <w:b/>
          <w:bCs/>
          <w:szCs w:val="24"/>
          <w:lang w:val="en-GB"/>
        </w:rPr>
        <w:t>:</w:t>
      </w:r>
      <w:r w:rsidRPr="6171A8C9">
        <w:rPr>
          <w:szCs w:val="24"/>
          <w:lang w:val="en-GB"/>
        </w:rPr>
        <w:t xml:space="preserve"> This Recommendation provides a reference architecture for blockchain-based unified KPI (key performance indicator) data management for smart sustainable cities (BKDMS). This Recommendation provides the concept, characteristics and high-level requirements of BKDMS. A reference architecture including capabilities of its functional entities is described in details, and unified structures of KPI data are also introduced with which to ensure BKDMS realizable.</w:t>
      </w:r>
    </w:p>
    <w:p w14:paraId="4275F37B" w14:textId="040E139B" w:rsidR="006A46AE" w:rsidRPr="00CC0504" w:rsidRDefault="006A46AE" w:rsidP="006A46AE">
      <w:pPr>
        <w:pStyle w:val="Headingb"/>
      </w:pPr>
      <w:bookmarkStart w:id="249" w:name="_Toc480527904"/>
      <w:r w:rsidRPr="00CC0504">
        <w:t>I.6.1</w:t>
      </w:r>
      <w:r w:rsidRPr="00CC0504">
        <w:tab/>
        <w:t>Green ICT standards</w:t>
      </w:r>
      <w:bookmarkEnd w:id="249"/>
    </w:p>
    <w:p w14:paraId="0DAEB599" w14:textId="7384ED76" w:rsidR="00365779" w:rsidRPr="00365779" w:rsidRDefault="00365779" w:rsidP="00365779">
      <w:pPr>
        <w:rPr>
          <w:lang w:val="en-GB"/>
        </w:rPr>
      </w:pPr>
      <w:r w:rsidRPr="0039167D">
        <w:rPr>
          <w:b/>
          <w:lang w:val="en-GB"/>
        </w:rPr>
        <w:t>ITU-T L.1023 “Assessment method for Circular Scoring” (under approval)</w:t>
      </w:r>
      <w:r>
        <w:rPr>
          <w:lang w:val="en-GB"/>
        </w:rPr>
        <w:t xml:space="preserve"> </w:t>
      </w:r>
      <w:r w:rsidRPr="00365779">
        <w:rPr>
          <w:lang w:val="en-GB"/>
        </w:rPr>
        <w:t>outlines an assessment methodology for circularity scoring of ICT goods.</w:t>
      </w:r>
      <w:r>
        <w:rPr>
          <w:lang w:val="en-GB"/>
        </w:rPr>
        <w:t xml:space="preserve"> </w:t>
      </w:r>
      <w:r w:rsidRPr="00365779">
        <w:rPr>
          <w:lang w:val="en-GB"/>
        </w:rPr>
        <w:t>The assessment method consist</w:t>
      </w:r>
      <w:r w:rsidR="001D47FB">
        <w:rPr>
          <w:lang w:val="en-GB"/>
        </w:rPr>
        <w:t>s</w:t>
      </w:r>
      <w:r w:rsidRPr="00365779">
        <w:rPr>
          <w:lang w:val="en-GB"/>
        </w:rPr>
        <w:t xml:space="preserve"> of three steps:</w:t>
      </w:r>
    </w:p>
    <w:p w14:paraId="0C8A49DE" w14:textId="30BA2B13" w:rsidR="00365779" w:rsidRDefault="00365779" w:rsidP="00365779">
      <w:pPr>
        <w:pStyle w:val="Text"/>
        <w:spacing w:before="120"/>
      </w:pPr>
      <w:r w:rsidRPr="00365779">
        <w:rPr>
          <w:lang w:val="en-GB"/>
        </w:rPr>
        <w:t xml:space="preserve">1) </w:t>
      </w:r>
      <w:r>
        <w:t>Setting the relevance and applicability (</w:t>
      </w:r>
      <w:r w:rsidRPr="00574089">
        <w:rPr>
          <w:i/>
        </w:rPr>
        <w:t>R</w:t>
      </w:r>
      <w:r>
        <w:t>) of each criteria for circular product design (</w:t>
      </w:r>
      <w:r w:rsidRPr="00574089">
        <w:rPr>
          <w:i/>
        </w:rPr>
        <w:t>CCPD</w:t>
      </w:r>
      <w:r>
        <w:t>) for the ICT good at hand,</w:t>
      </w:r>
    </w:p>
    <w:p w14:paraId="30408CEF" w14:textId="7C365F90" w:rsidR="00365779" w:rsidRDefault="00365779" w:rsidP="00365779">
      <w:pPr>
        <w:pStyle w:val="Text"/>
        <w:spacing w:before="120"/>
      </w:pPr>
      <w:r>
        <w:t>2) Assess the margin of improvement (</w:t>
      </w:r>
      <w:r w:rsidRPr="00574089">
        <w:rPr>
          <w:i/>
        </w:rPr>
        <w:t>MI</w:t>
      </w:r>
      <w:r>
        <w:t xml:space="preserve">) of each </w:t>
      </w:r>
      <w:r w:rsidRPr="00574089">
        <w:rPr>
          <w:i/>
        </w:rPr>
        <w:t>CCPD</w:t>
      </w:r>
      <w:r>
        <w:t>,</w:t>
      </w:r>
    </w:p>
    <w:p w14:paraId="376B8B03" w14:textId="77777777" w:rsidR="00365779" w:rsidRDefault="00365779" w:rsidP="00365779">
      <w:pPr>
        <w:pStyle w:val="Text"/>
        <w:spacing w:before="120"/>
      </w:pPr>
      <w:r>
        <w:t>3) Calculate the circularity score from 0 to 100 % for the ICT good at hand for all three Circular Design Guideline Groups (</w:t>
      </w:r>
      <w:r w:rsidRPr="00574089">
        <w:rPr>
          <w:i/>
        </w:rPr>
        <w:t>CDGGs</w:t>
      </w:r>
      <w:r>
        <w:t>). This includes:</w:t>
      </w:r>
    </w:p>
    <w:p w14:paraId="7FB07D0C" w14:textId="77777777" w:rsidR="00365779" w:rsidRDefault="00365779" w:rsidP="0063096B">
      <w:pPr>
        <w:pStyle w:val="Text"/>
        <w:numPr>
          <w:ilvl w:val="0"/>
          <w:numId w:val="33"/>
        </w:numPr>
        <w:spacing w:before="120"/>
      </w:pPr>
      <w:r>
        <w:t xml:space="preserve">Using a predefined value matrix to identify the % score from 0 to 100 for each combination of </w:t>
      </w:r>
      <w:r w:rsidRPr="00574089">
        <w:rPr>
          <w:i/>
        </w:rPr>
        <w:t>R×MI</w:t>
      </w:r>
      <w:r>
        <w:t>.</w:t>
      </w:r>
    </w:p>
    <w:p w14:paraId="42811D1A" w14:textId="46E2A3BE" w:rsidR="00365779" w:rsidRPr="00365779" w:rsidRDefault="00365779" w:rsidP="0063096B">
      <w:pPr>
        <w:pStyle w:val="Text"/>
        <w:numPr>
          <w:ilvl w:val="0"/>
          <w:numId w:val="33"/>
        </w:numPr>
        <w:spacing w:before="120"/>
      </w:pPr>
      <w:r>
        <w:lastRenderedPageBreak/>
        <w:t xml:space="preserve">Average the included </w:t>
      </w:r>
      <w:r w:rsidRPr="00365779">
        <w:rPr>
          <w:i/>
        </w:rPr>
        <w:t>CCPDs</w:t>
      </w:r>
      <w:r>
        <w:t xml:space="preserve"> for the ICT good at hand separately for all three </w:t>
      </w:r>
      <w:r w:rsidRPr="00365779">
        <w:rPr>
          <w:i/>
        </w:rPr>
        <w:t>CDGGs:</w:t>
      </w:r>
      <w:r>
        <w:t xml:space="preserve"> Product Durability, Ability to Recycle, Repair, Reuse, and Upgrade from equipment and manufacturer level.</w:t>
      </w:r>
    </w:p>
    <w:p w14:paraId="3F458F4B" w14:textId="0EDF6C39" w:rsidR="00912E17" w:rsidRPr="00952FDF" w:rsidRDefault="00912E17" w:rsidP="00912E17">
      <w:pPr>
        <w:rPr>
          <w:highlight w:val="yellow"/>
          <w:lang w:val="en-GB"/>
        </w:rPr>
      </w:pPr>
      <w:r w:rsidRPr="0039167D">
        <w:rPr>
          <w:b/>
          <w:lang w:val="en-GB"/>
        </w:rPr>
        <w:t>ITU-T L.1310 (revised) “Energy efficiency metrics and measurement methods for telecommunication equipment” (under approval)</w:t>
      </w:r>
      <w:r>
        <w:rPr>
          <w:lang w:val="en-GB"/>
        </w:rPr>
        <w:t xml:space="preserve"> </w:t>
      </w:r>
      <w:r w:rsidRPr="00912E17">
        <w:rPr>
          <w:lang w:val="en-GB"/>
        </w:rPr>
        <w:t>contains the definition of energy efficiency/performance metrics test procedures, methodologies and measurement profiles required to assess the energy efficiency/performance of telecommunication equipment. Energy efficiency/performance metrics and measurement methods are defined for telecommunication network equipment and small networking equipment. These metrics allow for the comparison of equipment within the same class, e.g., equipment using the same technologies. The comparison of equipment in different classes is out of the scope of this Recommendation.</w:t>
      </w:r>
    </w:p>
    <w:p w14:paraId="5A07CF23" w14:textId="4B8DEF6D" w:rsidR="000602E1" w:rsidRDefault="00E12FA7" w:rsidP="000602E1">
      <w:pPr>
        <w:rPr>
          <w:highlight w:val="yellow"/>
          <w:lang w:val="en-GB"/>
        </w:rPr>
      </w:pPr>
      <w:hyperlink r:id="rId351" w:history="1">
        <w:r w:rsidR="000602E1" w:rsidRPr="00A61487">
          <w:rPr>
            <w:rStyle w:val="Hyperlink"/>
            <w:b/>
            <w:bCs/>
            <w:lang w:val="en-GB"/>
          </w:rPr>
          <w:t>ITU-T L.1371 “A methodology for assessing and scoring the sustainability performance of office buildings”</w:t>
        </w:r>
      </w:hyperlink>
      <w:r w:rsidR="000602E1">
        <w:rPr>
          <w:lang w:val="en-GB"/>
        </w:rPr>
        <w:t xml:space="preserve"> </w:t>
      </w:r>
      <w:r w:rsidR="000602E1" w:rsidRPr="000602E1">
        <w:rPr>
          <w:lang w:val="en-GB"/>
        </w:rPr>
        <w:t>provides a consistent framework for building owners, managers and operators to critically assess, score and improve the sustainability performance of office buildings in ten key areas; Energy, Water, Air, Comfort, Health &amp; Wellness, Purchasing, Custodial, Waste, Site, and Stakeholders. The framework described in this Recommendation provides a set concrete and measurable steps to reduce the environmental impacts, and specifically the Greenhouse Gas emissions, of existing office buildings, thus contributing to the achievement of the Sustainable Development Goal 11 ‘Make cities and human settlements inclusive, safe, resilient and sustainable’. The Annex to this Recommendation specifically contains an assessment scoring methodology to allow owners and managers to undertake a self assessment to evaluate their building’s current status and track progress going forward.</w:t>
      </w:r>
    </w:p>
    <w:p w14:paraId="237C017B" w14:textId="3E7FB975" w:rsidR="004C1094" w:rsidRDefault="00E12FA7" w:rsidP="004C1094">
      <w:pPr>
        <w:rPr>
          <w:lang w:val="en-GB"/>
        </w:rPr>
      </w:pPr>
      <w:hyperlink r:id="rId352" w:history="1">
        <w:r w:rsidR="004C1094" w:rsidRPr="008C26F9">
          <w:rPr>
            <w:rStyle w:val="Hyperlink"/>
            <w:b/>
            <w:bCs/>
            <w:lang w:val="en-GB"/>
          </w:rPr>
          <w:t>ITU-T L.1381 “Smart energy solution for data centre”</w:t>
        </w:r>
      </w:hyperlink>
      <w:r w:rsidR="004C1094" w:rsidRPr="008C26F9">
        <w:rPr>
          <w:lang w:val="en-GB"/>
        </w:rPr>
        <w:t>:</w:t>
      </w:r>
      <w:r w:rsidR="004C1094">
        <w:rPr>
          <w:lang w:val="en-GB"/>
        </w:rPr>
        <w:t xml:space="preserve"> </w:t>
      </w:r>
      <w:r w:rsidR="004C1094" w:rsidRPr="004C1094">
        <w:rPr>
          <w:lang w:val="en-GB"/>
        </w:rPr>
        <w:t>The smart control strategy on whole data centre energy system including the different power feeding solutions and cooling solutions are considered to get the higher energy efficiency and decrease the whole energy consumption. Firstly, for multiple energy input system, PV, wind, fuel cells, the grid, power generator and batteries were connected to the system. How to control these different energy inputs in smart way to increase the energy efficiency and also decrease the carbon emission will be considered in this Recommendation. In addition, for smart cooling system, how to use the outside cool air and maximize utilization of ICT side cooling such as ICT rack cooling, row cooling methods and liquid cooling etc. This Recommendation focuses on smart energy solutions for data centre to achieve green and sustainable goals including environmental friendly, decreasing carbon emissions, increasing energy efficiency and extending product life etc.</w:t>
      </w:r>
    </w:p>
    <w:p w14:paraId="1EF3912B" w14:textId="545E22BE" w:rsidR="001B4F2B" w:rsidRPr="00952FDF" w:rsidRDefault="00E12FA7" w:rsidP="001B4F2B">
      <w:pPr>
        <w:rPr>
          <w:highlight w:val="yellow"/>
          <w:lang w:val="en-GB"/>
        </w:rPr>
      </w:pPr>
      <w:hyperlink r:id="rId353" w:history="1">
        <w:r w:rsidR="001B4F2B" w:rsidRPr="008C26F9">
          <w:rPr>
            <w:rStyle w:val="Hyperlink"/>
            <w:b/>
            <w:bCs/>
            <w:lang w:val="en-GB"/>
          </w:rPr>
          <w:t>ITU-T L.1382 “Smart energy solution for telecommunication rooms”</w:t>
        </w:r>
      </w:hyperlink>
      <w:r w:rsidR="001B4F2B">
        <w:rPr>
          <w:lang w:val="en-GB"/>
        </w:rPr>
        <w:t xml:space="preserve"> </w:t>
      </w:r>
      <w:r w:rsidR="001B4F2B" w:rsidRPr="001B4F2B">
        <w:rPr>
          <w:lang w:val="en-GB"/>
        </w:rPr>
        <w:t>provides requirements on the power supply mode of the three-layer architecture of the telecommunication rooms. It aims to drive future-oriented network deployment for the ICT industry, maximize the energy efficiency , the use of renewable resources, and social resources in the digital era, and reduce energy and resource consumption while ensuring network performance and user experience, innovative ICT technologies are used to promote network energy saving, emission reduction, circular economy development, and continuously drive all parties in the industry chain to jointly build green networks and low-carbon societies. In addition, this standard provides suggestions and requirements on the deployment of three types of telecommunication rooms, which can be used as a reference for telecom operators to build the target network evolution strategies for telecommunication room power supply. This standard accelerates network deployment, reduces CAPEX and OPEX, optimizes investment efficiency, and guides ICT industry transformation and optimization. The new networking architecture, new power supply technologies, and specifications mentioned in this document will also effectively promote the upgrade of industry technologies.</w:t>
      </w:r>
    </w:p>
    <w:p w14:paraId="6833950F" w14:textId="60B41AAA" w:rsidR="009A35A4" w:rsidRPr="00952FDF" w:rsidRDefault="00E12FA7" w:rsidP="009A35A4">
      <w:pPr>
        <w:rPr>
          <w:highlight w:val="yellow"/>
          <w:lang w:val="en-GB"/>
        </w:rPr>
      </w:pPr>
      <w:hyperlink r:id="rId354" w:history="1">
        <w:r w:rsidR="009A35A4" w:rsidRPr="00621243">
          <w:rPr>
            <w:rStyle w:val="Hyperlink"/>
            <w:b/>
            <w:bCs/>
            <w:lang w:val="en-GB"/>
          </w:rPr>
          <w:t>ITU-T L.Suppl.37 “Guidance to operators of mobile networks, fixed networks and data-centres on setting 1.5°C aligned targets compliant with Recommendation ITU-T L.1470”</w:t>
        </w:r>
      </w:hyperlink>
      <w:r w:rsidR="009A35A4">
        <w:rPr>
          <w:lang w:val="en-GB"/>
        </w:rPr>
        <w:t xml:space="preserve"> </w:t>
      </w:r>
      <w:r w:rsidR="009A35A4" w:rsidRPr="009A35A4">
        <w:rPr>
          <w:lang w:val="en-GB"/>
        </w:rPr>
        <w:t>supports information and communication technology (ICTs) organizations in setting science-based targets for greenhouse gases (GHGs) according to the decarbonisation pathways, described in detail in Recommendation ITU-T L.1470 ‘GHG emissions trajectories for the ICT sector compatible with the UNFCCC (United Nations Framework Convention on Climate Change) Paris Agreement’, aligned to the IPCC Special Report on 1.5°C and developed to be used as a sectoral target-setting approach by the Science Based Targets Initiative (SBTi). This supplement focuses exclusively on ICT organizations operating mobile networks, fixed networks and/or data centres. Guidance for further ICT sub-sectors will be covered separately.</w:t>
      </w:r>
    </w:p>
    <w:p w14:paraId="33F70D2A" w14:textId="77777777" w:rsidR="006A46AE" w:rsidRPr="00825276" w:rsidRDefault="006A46AE" w:rsidP="006A46AE">
      <w:pPr>
        <w:pStyle w:val="Headingb"/>
      </w:pPr>
      <w:bookmarkStart w:id="250" w:name="_Toc480527905"/>
      <w:r w:rsidRPr="00825276">
        <w:t>I.6.2</w:t>
      </w:r>
      <w:r w:rsidRPr="00825276">
        <w:tab/>
        <w:t>Electromagnetic fields</w:t>
      </w:r>
      <w:bookmarkEnd w:id="250"/>
    </w:p>
    <w:p w14:paraId="011BE99C" w14:textId="6165B849" w:rsidR="00825276" w:rsidRDefault="00E12FA7" w:rsidP="00825276">
      <w:hyperlink r:id="rId355" w:history="1">
        <w:r w:rsidR="00825276" w:rsidRPr="00A8470F">
          <w:rPr>
            <w:rStyle w:val="Hyperlink"/>
            <w:b/>
            <w:bCs/>
          </w:rPr>
          <w:t>ITU-T K.21 (2019) Amd.1 “</w:t>
        </w:r>
        <w:r w:rsidR="00F477DC" w:rsidRPr="00A8470F">
          <w:rPr>
            <w:rStyle w:val="Hyperlink"/>
            <w:b/>
            <w:bCs/>
          </w:rPr>
          <w:t>Resistibility of telecommunication equipment installed in customer premises to overvoltages and overcurrents – Amendment 1: Resistibility of telecommunication equipment installed in customer premises to overvoltages and overcurrents</w:t>
        </w:r>
        <w:r w:rsidR="00825276" w:rsidRPr="00A8470F">
          <w:rPr>
            <w:rStyle w:val="Hyperlink"/>
            <w:b/>
            <w:bCs/>
          </w:rPr>
          <w:t>”</w:t>
        </w:r>
      </w:hyperlink>
      <w:r w:rsidR="00825276">
        <w:t xml:space="preserve"> refers to Annex A. Annex A applies to special environments, one factor being that the primary protection has a poor earth connection that does not meet the requirements of Recommendation ITU-T K.66. This condition is simulated by increasing the STP earth resistance (R1) from zero to 100. People have missed this change, possibly because the test circuit diagram is in Recommendation ITU-T K.44. To alert readers of this a text note has been inserted in the Comments column.</w:t>
      </w:r>
    </w:p>
    <w:p w14:paraId="3D5CCD61" w14:textId="30B82BEF" w:rsidR="00DA5051" w:rsidRDefault="00E12FA7" w:rsidP="00DA5051">
      <w:hyperlink r:id="rId356" w:history="1">
        <w:r w:rsidR="00DA5051" w:rsidRPr="00DA3160">
          <w:rPr>
            <w:rStyle w:val="Hyperlink"/>
            <w:b/>
            <w:bCs/>
          </w:rPr>
          <w:t>ITU-T K.45 (2019) Amd.1 "Resistibility of telecommunication equipment installed in the access and trunk networks to overvoltages and overcurrents – Amendment 1: Resistibility of telecommunication equipment installed in the access and trunk networks to overvoltages and overcurrents”</w:t>
        </w:r>
      </w:hyperlink>
      <w:r w:rsidR="00DA5051">
        <w:t xml:space="preserve"> refers to Annex A. Annex A applies to special environments, one factor being that the primary protection has a poor earth connection that does not meet the requirements of Recommendation ITU-T K.66. This condition is simulated by increasing the STP earth resistance (R1) from zero to 100. People have missed this change, possibly because the test circuit diagram is in Recommendation ITU-T K.44. </w:t>
      </w:r>
      <w:r w:rsidR="003E590D">
        <w:t>T</w:t>
      </w:r>
      <w:r w:rsidR="00DA5051">
        <w:t>o alert readers of this a text note has been inserted in the Comments column.</w:t>
      </w:r>
    </w:p>
    <w:p w14:paraId="7FEC85E1" w14:textId="11EC689A" w:rsidR="00854CDE" w:rsidRDefault="00E12FA7" w:rsidP="00854CDE">
      <w:hyperlink r:id="rId357" w:history="1">
        <w:r w:rsidR="00854CDE" w:rsidRPr="006F7F07">
          <w:rPr>
            <w:rStyle w:val="Hyperlink"/>
            <w:b/>
            <w:bCs/>
          </w:rPr>
          <w:t>ITU-T K.50 (2018) Amd.1 “Safe limits for operating voltages and currents in telecommunication systems powered over the network Amendment 1: Safe limits for operating voltages and currents of telecommunication systems powered over the network”</w:t>
        </w:r>
      </w:hyperlink>
      <w:r w:rsidR="00854CDE">
        <w:t xml:space="preserve"> updates Figure 3 to refer to ITU-T K.50 clauses rather than IEC 60950-1 clauses.</w:t>
      </w:r>
    </w:p>
    <w:p w14:paraId="2C96B67F" w14:textId="10EC8302" w:rsidR="004A4FC0" w:rsidRDefault="004A4FC0" w:rsidP="004A4FC0">
      <w:r w:rsidRPr="0039167D">
        <w:rPr>
          <w:b/>
        </w:rPr>
        <w:t>ITU-T K.56 (revised) “Protection of radio base stations against lightning discharges” (under approval)</w:t>
      </w:r>
      <w:r>
        <w:t xml:space="preserve"> presents the techniques applied to a telecommunication radio base station in order to protect it against lightning discharges. The need of protection is obtained from the methodology contained in IEC 62305-2, which is used to determine the relevant lightning protection level (LPL) for the installation. The protection techniques for the external area cover the lightning protection system (LPS), bonding procedures, earthing and the installation of surge protective devices (SPDs) at the power meter station. The protection techniques for the equipment building cover the feeder and lighting cables, the electric power conductors, the telecommunication cabling and the earthing/bonding procedures applied to cable trays and equipment frames. This Recommendation also provides guidelines in order to achieve adequate protection of the telecommunication equipment based on the coordination between equipment resistibility, SPD protection level and installation characteristics.</w:t>
      </w:r>
    </w:p>
    <w:p w14:paraId="5C6AA330" w14:textId="76E9CA19" w:rsidR="00A90536" w:rsidRDefault="00E12FA7" w:rsidP="00A90536">
      <w:hyperlink r:id="rId358" w:history="1">
        <w:r w:rsidR="00A90536" w:rsidRPr="00EB67A7">
          <w:rPr>
            <w:rStyle w:val="Hyperlink"/>
            <w:b/>
            <w:bCs/>
          </w:rPr>
          <w:t>ITU-T K.64 (revised) “Safe working practices for outside equipment installed in particular environments”</w:t>
        </w:r>
      </w:hyperlink>
      <w:r w:rsidR="00A90536">
        <w:t xml:space="preserve"> describes working practices for service personnel to help them work safely in </w:t>
      </w:r>
      <w:r w:rsidR="00A90536">
        <w:lastRenderedPageBreak/>
        <w:t>telecommunication installations in three specific environments. The specific environments covered in this Recommendation are characterized by wet conditions or close proximity to exposed metallic parts. The working practices apply to telecommunication plants with voltage levels higher than the limits defined for analogue PSTN circuits, such as remote feeding telecommunication current or voltage (RFT-C or RFT-V) circuits. This version of Recommendation ITU-T K.64 includes a warning regarding contact with terminals carrying RFT circuits with small parts of the body, e.g., back of the hand. The references have been updated to include the IEC 62368 series.</w:t>
      </w:r>
    </w:p>
    <w:p w14:paraId="2616F1FE" w14:textId="7548F151" w:rsidR="00F20EB7" w:rsidRPr="00952FDF" w:rsidRDefault="00E12FA7" w:rsidP="00F20EB7">
      <w:pPr>
        <w:rPr>
          <w:bCs/>
          <w:highlight w:val="yellow"/>
          <w:lang w:val="en-GB"/>
        </w:rPr>
      </w:pPr>
      <w:hyperlink r:id="rId359" w:history="1">
        <w:r w:rsidR="00F20EB7" w:rsidRPr="00936AF4">
          <w:rPr>
            <w:rStyle w:val="Hyperlink"/>
            <w:b/>
            <w:lang w:val="en-GB"/>
          </w:rPr>
          <w:t>ITU-T K.83 (revised) “Monitoring of electromagnetic field levels”</w:t>
        </w:r>
      </w:hyperlink>
      <w:r w:rsidR="00F20EB7">
        <w:rPr>
          <w:bCs/>
          <w:lang w:val="en-GB"/>
        </w:rPr>
        <w:t xml:space="preserve"> </w:t>
      </w:r>
      <w:r w:rsidR="00F20EB7" w:rsidRPr="00F20EB7">
        <w:rPr>
          <w:bCs/>
          <w:lang w:val="en-GB"/>
        </w:rPr>
        <w:t>gives guidance on how to make long-term measurements for the monitoring of electromagnetic fields (EMF) in the selected areas that are under public concern, in order to show that EMFs are under control and under the limits. The purpose of this Recommendation is to provide for the general public clear and easily available data concerning electromagnetic field levels in the form of results of continuous measurement.</w:t>
      </w:r>
    </w:p>
    <w:p w14:paraId="6B5B68E3" w14:textId="15683A99" w:rsidR="00EF15A0" w:rsidRPr="002334D1" w:rsidRDefault="00E12FA7" w:rsidP="00EF15A0">
      <w:hyperlink r:id="rId360" w:history="1">
        <w:r w:rsidR="002334D1" w:rsidRPr="002334D1">
          <w:rPr>
            <w:rStyle w:val="Hyperlink"/>
            <w:b/>
            <w:bCs/>
          </w:rPr>
          <w:t>ITU-T K.91 (revised) “Guidance for assessment, evaluation and monitoring of human exposure to radio frequency electromagnetic fields”</w:t>
        </w:r>
      </w:hyperlink>
      <w:r w:rsidR="002334D1">
        <w:t xml:space="preserve"> </w:t>
      </w:r>
      <w:r w:rsidR="00EF15A0" w:rsidRPr="00EF15A0">
        <w:rPr>
          <w:bCs/>
          <w:lang w:val="en-GB"/>
        </w:rPr>
        <w:t>are many possible methods of exposure assessment and each of them has its own advantages and disadvantages. Draft revised Recommendation ITU-T K.91 gives guidance on how to assess and monitor human exposure to radio frequency (RF) electromagnetic fields (EMFs) in areas with surrounding radiocommunication installations based on existing exposure and compliance standards in the 9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35D006CD" w14:textId="44C197DB" w:rsidR="00113F98" w:rsidRPr="00952FDF" w:rsidRDefault="00113F98" w:rsidP="00113F98">
      <w:pPr>
        <w:rPr>
          <w:bCs/>
          <w:highlight w:val="yellow"/>
          <w:lang w:val="en-GB"/>
        </w:rPr>
      </w:pPr>
      <w:r w:rsidRPr="0039167D">
        <w:rPr>
          <w:b/>
          <w:lang w:val="en-GB"/>
        </w:rPr>
        <w:t>ITU-T K.112 (revised) “Lightning protection, earthing and bonding: Practical procedures for radio base stations” (under approval)</w:t>
      </w:r>
      <w:r>
        <w:rPr>
          <w:bCs/>
          <w:lang w:val="en-GB"/>
        </w:rPr>
        <w:t xml:space="preserve"> </w:t>
      </w:r>
      <w:r w:rsidRPr="00113F98">
        <w:rPr>
          <w:bCs/>
          <w:lang w:val="en-GB"/>
        </w:rPr>
        <w:t>provides a set of practical procedures related to the lightning protection, earthing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earthing network, bonding conductors and surge protective devices (SPDs). This includes the specification of the materials, anti corrosion protection and special treatment for rocky areas. Particular attention is directed to the protection of the navigation light systems and of the electric power conductors that feed the RBS, especially in the case where the RBS is installed on the roof of a building. Annex A presents practical examples of earthing network design, whereas Annex B presents an overview of the techniques for measuring the earthing resistance and the earth resistivity.</w:t>
      </w:r>
    </w:p>
    <w:p w14:paraId="6D1AFD70" w14:textId="7DCDA6C0" w:rsidR="00CD1F0B" w:rsidRPr="00CD1F0B" w:rsidRDefault="00E12FA7" w:rsidP="00CD1F0B">
      <w:pPr>
        <w:rPr>
          <w:rFonts w:eastAsia="MS Mincho"/>
          <w:lang w:val="en-GB"/>
        </w:rPr>
      </w:pPr>
      <w:hyperlink r:id="rId361" w:history="1">
        <w:r w:rsidR="00CD1F0B" w:rsidRPr="003F45FE">
          <w:rPr>
            <w:rStyle w:val="Hyperlink"/>
            <w:rFonts w:eastAsia="MS Mincho"/>
            <w:lang w:val="en-GB"/>
          </w:rPr>
          <w:t>I</w:t>
        </w:r>
        <w:r w:rsidR="00CD1F0B" w:rsidRPr="003F45FE">
          <w:rPr>
            <w:rStyle w:val="Hyperlink"/>
            <w:rFonts w:eastAsia="MS Mincho"/>
            <w:b/>
            <w:bCs/>
            <w:lang w:val="en-GB"/>
          </w:rPr>
          <w:t>TU-T K.146 “Management of interferences on telecommunication transmissions on copper other than speech”</w:t>
        </w:r>
      </w:hyperlink>
      <w:r w:rsidR="00CD1F0B">
        <w:rPr>
          <w:rFonts w:eastAsia="MS Mincho"/>
          <w:lang w:val="en-GB"/>
        </w:rPr>
        <w:t xml:space="preserve"> </w:t>
      </w:r>
      <w:r w:rsidR="00CD1F0B" w:rsidRPr="00CD1F0B">
        <w:rPr>
          <w:rFonts w:eastAsia="MS Mincho"/>
          <w:lang w:val="en-GB"/>
        </w:rPr>
        <w:t>deals with the management of electromagnetic interference produced by electrified railways traction systems on telecommunication systems in DSL frequency band. This Recommendation defines only a procedure to evaluate the acceptability of an electromagnetic DSL draft interference and gives:</w:t>
      </w:r>
    </w:p>
    <w:p w14:paraId="3F799BA3" w14:textId="77777777" w:rsidR="00CD1F0B" w:rsidRPr="00CD1F0B" w:rsidRDefault="00CD1F0B" w:rsidP="00CD1F0B">
      <w:pPr>
        <w:rPr>
          <w:rFonts w:eastAsia="MS Mincho"/>
          <w:lang w:val="en-GB"/>
        </w:rPr>
      </w:pPr>
      <w:r w:rsidRPr="00CD1F0B">
        <w:rPr>
          <w:rFonts w:eastAsia="MS Mincho"/>
          <w:lang w:val="en-GB"/>
        </w:rPr>
        <w:t>– the criteria defining the Quality of Service that has to be reached;</w:t>
      </w:r>
    </w:p>
    <w:p w14:paraId="3754900F" w14:textId="77777777" w:rsidR="00CD1F0B" w:rsidRPr="00CD1F0B" w:rsidRDefault="00CD1F0B" w:rsidP="00CD1F0B">
      <w:pPr>
        <w:rPr>
          <w:rFonts w:eastAsia="MS Mincho"/>
          <w:lang w:val="en-GB"/>
        </w:rPr>
      </w:pPr>
      <w:r w:rsidRPr="00CD1F0B">
        <w:rPr>
          <w:rFonts w:eastAsia="MS Mincho"/>
          <w:lang w:val="en-GB"/>
        </w:rPr>
        <w:t>– the limits of the commercial ADSL offer guaranteed by an Internet Service Provider in conjunction with a telecom operator if necessary, in the vicinity of potential disturbing railway;</w:t>
      </w:r>
    </w:p>
    <w:p w14:paraId="4227731B" w14:textId="77777777" w:rsidR="00CD1F0B" w:rsidRPr="00CD1F0B" w:rsidRDefault="00CD1F0B" w:rsidP="00CD1F0B">
      <w:pPr>
        <w:rPr>
          <w:rFonts w:eastAsia="MS Mincho"/>
          <w:lang w:val="en-GB"/>
        </w:rPr>
      </w:pPr>
      <w:r w:rsidRPr="00CD1F0B">
        <w:rPr>
          <w:rFonts w:eastAsia="MS Mincho"/>
          <w:lang w:val="en-GB"/>
        </w:rPr>
        <w:lastRenderedPageBreak/>
        <w:t>– the installation conditions of electrified traction and telecommunication systems under which the recommendation applies.</w:t>
      </w:r>
    </w:p>
    <w:p w14:paraId="6FD91AFE" w14:textId="35901BD1" w:rsidR="00CD1F0B" w:rsidRDefault="00CD1F0B" w:rsidP="00CD1F0B">
      <w:pPr>
        <w:rPr>
          <w:rFonts w:eastAsia="MS Mincho"/>
          <w:lang w:val="en-GB"/>
        </w:rPr>
      </w:pPr>
      <w:r w:rsidRPr="00CD1F0B">
        <w:rPr>
          <w:rFonts w:eastAsia="MS Mincho"/>
          <w:lang w:val="en-GB"/>
        </w:rPr>
        <w:t>This Recommendation helps to establish a contract between Internet Service Providers in conjunction with telecommunication operators if necessary and railway operators in order to clearly share responsibilities, and, as a consequence, if necessary, the relevant expenses for mitigation measures.</w:t>
      </w:r>
    </w:p>
    <w:p w14:paraId="7487E3D5" w14:textId="4894F357" w:rsidR="00955C1F" w:rsidRDefault="00E12FA7" w:rsidP="00955C1F">
      <w:pPr>
        <w:rPr>
          <w:rFonts w:eastAsia="MS Mincho"/>
          <w:lang w:val="en-GB"/>
        </w:rPr>
      </w:pPr>
      <w:hyperlink r:id="rId362" w:history="1">
        <w:r w:rsidR="00955C1F" w:rsidRPr="008A5772">
          <w:rPr>
            <w:rStyle w:val="Hyperlink"/>
            <w:rFonts w:eastAsia="MS Mincho"/>
            <w:b/>
            <w:bCs/>
            <w:lang w:val="en-GB"/>
          </w:rPr>
          <w:t>ITU-T K.147 “Ethernet port resistibility testing for overvoltages and overcurrents”</w:t>
        </w:r>
      </w:hyperlink>
      <w:r w:rsidR="00955C1F" w:rsidRPr="008A5772">
        <w:rPr>
          <w:rFonts w:eastAsia="MS Mincho"/>
          <w:b/>
          <w:bCs/>
          <w:lang w:val="en-GB"/>
        </w:rPr>
        <w:t>:</w:t>
      </w:r>
      <w:r w:rsidR="00955C1F" w:rsidRPr="008A5772">
        <w:rPr>
          <w:rFonts w:eastAsia="MS Mincho"/>
          <w:lang w:val="en-GB"/>
        </w:rPr>
        <w:t xml:space="preserve"> Ethernet</w:t>
      </w:r>
      <w:r w:rsidR="00955C1F" w:rsidRPr="00955C1F">
        <w:rPr>
          <w:rFonts w:eastAsia="MS Mincho"/>
          <w:lang w:val="en-GB"/>
        </w:rPr>
        <w:t>, using twisted pair cabling, is a ubiquitous communications link, which also can act as a powering feed. Usually Ethernet is implemented as a star network and terminal ports can be independently tested for resistibility. Where equipment has multiple independent Ethernet ports, such as central hubs, switches, or repeaters, then testing is required for inter-port resistibility. Resistibility testing needs to test for lightning transients coupled into network by magnetic induction, earth potential rise, resistive coupling and transient coupling by voltage limiting operation of surge protective functions or flashover. The voltage limiting operation may convert common-mode surges into differential-mode surges in the signal path. It is also possible for AC mains power faults to couple into the network. This Recommendation covers the different “IEEE 802.3 Ethernet” implementations, their configurations, how surges are coupled into the system and what surge mitigation measures are used. Following this overview, the rational for the different surge and power fault test circuit approaches and when they are specified is given.</w:t>
      </w:r>
    </w:p>
    <w:p w14:paraId="091C4477" w14:textId="209F15E6" w:rsidR="00100904" w:rsidRPr="00100904" w:rsidRDefault="00E12FA7" w:rsidP="00100904">
      <w:pPr>
        <w:rPr>
          <w:rFonts w:eastAsiaTheme="minorEastAsia"/>
          <w:color w:val="000000" w:themeColor="text1"/>
          <w:lang w:val="en-GB"/>
        </w:rPr>
      </w:pPr>
      <w:hyperlink r:id="rId363" w:history="1">
        <w:r w:rsidR="00100904" w:rsidRPr="00C37EAE">
          <w:rPr>
            <w:rStyle w:val="Hyperlink"/>
            <w:rFonts w:eastAsiaTheme="minorEastAsia"/>
            <w:b/>
            <w:bCs/>
            <w:lang w:val="en-GB"/>
          </w:rPr>
          <w:t>ITU-T K.Suppl.1 (revised) – “ITU-T K.91 – Guide on electromagnetic fields and health”</w:t>
        </w:r>
      </w:hyperlink>
      <w:r w:rsidR="00100904">
        <w:rPr>
          <w:rFonts w:eastAsiaTheme="minorEastAsia"/>
          <w:color w:val="000000" w:themeColor="text1"/>
          <w:lang w:val="en-GB"/>
        </w:rPr>
        <w:t xml:space="preserve">: </w:t>
      </w:r>
      <w:r w:rsidR="00100904" w:rsidRPr="00100904">
        <w:rPr>
          <w:rFonts w:eastAsiaTheme="minorEastAsia"/>
          <w:color w:val="000000" w:themeColor="text1"/>
          <w:lang w:val="en-GB"/>
        </w:rPr>
        <w:t>The objective of Supplement 1 to the ITU-T K-series Recommendations, Guide on electromagnetic fields and health, is to answer questions commonly posed by the public on EMF and to address related concerns.</w:t>
      </w:r>
      <w:r w:rsidR="00100904">
        <w:rPr>
          <w:rFonts w:eastAsiaTheme="minorEastAsia"/>
          <w:color w:val="000000" w:themeColor="text1"/>
          <w:lang w:val="en-GB"/>
        </w:rPr>
        <w:t xml:space="preserve"> </w:t>
      </w:r>
      <w:r w:rsidR="00100904" w:rsidRPr="00100904">
        <w:rPr>
          <w:rFonts w:eastAsiaTheme="minorEastAsia"/>
          <w:color w:val="000000" w:themeColor="text1"/>
          <w:lang w:val="en-GB"/>
        </w:rPr>
        <w:t>This Guide on electromagnetic fields and health aims to:</w:t>
      </w:r>
    </w:p>
    <w:p w14:paraId="1C7B421B" w14:textId="77777777" w:rsidR="00100904" w:rsidRPr="00100904" w:rsidRDefault="00100904" w:rsidP="00100904">
      <w:pPr>
        <w:rPr>
          <w:rFonts w:eastAsiaTheme="minorEastAsia"/>
          <w:color w:val="000000" w:themeColor="text1"/>
          <w:lang w:val="en-GB"/>
        </w:rPr>
      </w:pPr>
      <w:r w:rsidRPr="00100904">
        <w:rPr>
          <w:rFonts w:eastAsiaTheme="minorEastAsia"/>
          <w:color w:val="000000" w:themeColor="text1"/>
          <w:lang w:val="en-GB"/>
        </w:rPr>
        <w:t>•</w:t>
      </w:r>
      <w:r w:rsidRPr="00100904">
        <w:rPr>
          <w:rFonts w:eastAsiaTheme="minorEastAsia"/>
          <w:color w:val="000000" w:themeColor="text1"/>
          <w:lang w:val="en-GB"/>
        </w:rPr>
        <w:tab/>
        <w:t>Provide electromagnetic field (EMF) information and education resources suitable for all communities, stakeholders and governments.</w:t>
      </w:r>
    </w:p>
    <w:p w14:paraId="3FA3B41D" w14:textId="77777777" w:rsidR="00100904" w:rsidRPr="00100904" w:rsidRDefault="00100904" w:rsidP="00100904">
      <w:pPr>
        <w:rPr>
          <w:rFonts w:eastAsiaTheme="minorEastAsia"/>
          <w:color w:val="000000" w:themeColor="text1"/>
          <w:lang w:val="en-GB"/>
        </w:rPr>
      </w:pPr>
      <w:r w:rsidRPr="00100904">
        <w:rPr>
          <w:rFonts w:eastAsiaTheme="minorEastAsia"/>
          <w:color w:val="000000" w:themeColor="text1"/>
          <w:lang w:val="en-GB"/>
        </w:rPr>
        <w:t>•</w:t>
      </w:r>
      <w:r w:rsidRPr="00100904">
        <w:rPr>
          <w:rFonts w:eastAsiaTheme="minorEastAsia"/>
          <w:color w:val="000000" w:themeColor="text1"/>
          <w:lang w:val="en-GB"/>
        </w:rPr>
        <w:tab/>
        <w:t>Support clarification of the science by referencing the WHO and other stakeholders (see Note) that provide information that is particularly useful in helping to clarify scientific uncertainties e.g., in the areas of radio frequency (RF) technology, infrastructure implementation, usage and consequential EMF exposure.</w:t>
      </w:r>
    </w:p>
    <w:p w14:paraId="0094DC5F" w14:textId="6E7EE043" w:rsidR="00100904" w:rsidRDefault="00100904" w:rsidP="00100904">
      <w:pPr>
        <w:rPr>
          <w:rFonts w:eastAsiaTheme="minorEastAsia"/>
          <w:color w:val="000000" w:themeColor="text1"/>
          <w:lang w:val="en-GB"/>
        </w:rPr>
      </w:pPr>
      <w:r w:rsidRPr="00100904">
        <w:rPr>
          <w:rFonts w:eastAsiaTheme="minorEastAsia"/>
          <w:color w:val="000000" w:themeColor="text1"/>
          <w:lang w:val="en-GB"/>
        </w:rPr>
        <w:t>NOTE – The primary reference on EMF and health is the World Health Organization (WHO). The primary reference on EMF assessment methods is the International Telecommunication Union (ITU) and the International Electrotechnical Commission (IEC).</w:t>
      </w:r>
    </w:p>
    <w:p w14:paraId="146E4C59" w14:textId="70AE8E4F" w:rsidR="00EC37D0" w:rsidRPr="00952FDF" w:rsidRDefault="00E12FA7" w:rsidP="00EC37D0">
      <w:pPr>
        <w:rPr>
          <w:rFonts w:eastAsiaTheme="minorEastAsia"/>
          <w:color w:val="000000" w:themeColor="text1"/>
          <w:highlight w:val="yellow"/>
          <w:lang w:val="en-GB"/>
        </w:rPr>
      </w:pPr>
      <w:hyperlink r:id="rId364" w:history="1">
        <w:r w:rsidR="00EC37D0" w:rsidRPr="0079408B">
          <w:rPr>
            <w:rStyle w:val="Hyperlink"/>
            <w:rFonts w:eastAsiaTheme="minorEastAsia"/>
            <w:b/>
            <w:bCs/>
            <w:lang w:val="en-GB"/>
          </w:rPr>
          <w:t>ITU-T K.Suppl.20 “RF Exposure evaluation around base station installed underground”</w:t>
        </w:r>
      </w:hyperlink>
      <w:r w:rsidR="00EC37D0" w:rsidRPr="0079408B">
        <w:rPr>
          <w:rFonts w:eastAsiaTheme="minorEastAsia"/>
          <w:color w:val="000000" w:themeColor="text1"/>
          <w:lang w:val="en-GB"/>
        </w:rPr>
        <w:t>:</w:t>
      </w:r>
      <w:r w:rsidR="00EC37D0">
        <w:rPr>
          <w:rFonts w:eastAsiaTheme="minorEastAsia"/>
          <w:color w:val="000000" w:themeColor="text1"/>
          <w:lang w:val="en-GB"/>
        </w:rPr>
        <w:t xml:space="preserve"> </w:t>
      </w:r>
      <w:r w:rsidR="00EC37D0" w:rsidRPr="00EC37D0">
        <w:rPr>
          <w:rFonts w:eastAsiaTheme="minorEastAsia"/>
          <w:color w:val="000000" w:themeColor="text1"/>
          <w:lang w:val="en-GB"/>
        </w:rPr>
        <w:t>Measurement and computation methods of human exposure to electromagnetic fields (EMFs) from fixed radio sources like mobile base stations have been standardized and published as ITU-T K-series Recommendations and IEC 62232. These also includes these methods prescribed in Japanese regulation, and have been basically assumed to be applied to radio sources installed above the ground. Underground base stations for use in small cells of fourth generation (4G) mobile networks are installed underground to construct service areas above the ground. Supplement &lt;No.&gt; to ITU-T K-series Recommendations contains the measurement results of radio frequency exposure from underground base stations, in order to evaluate the exposure from these base stations.</w:t>
      </w:r>
    </w:p>
    <w:p w14:paraId="5CA9293C" w14:textId="59E37B20" w:rsidR="006A46AE" w:rsidRPr="009224AD" w:rsidRDefault="006A46AE" w:rsidP="006A46AE">
      <w:pPr>
        <w:pStyle w:val="Headingb"/>
      </w:pPr>
      <w:bookmarkStart w:id="251" w:name="_Toc480527906"/>
      <w:r w:rsidRPr="009224AD">
        <w:t>I.6.4</w:t>
      </w:r>
      <w:r w:rsidRPr="009224AD">
        <w:tab/>
        <w:t>Emergency communication &amp; disaster relief</w:t>
      </w:r>
      <w:bookmarkEnd w:id="251"/>
    </w:p>
    <w:p w14:paraId="06F76E3E" w14:textId="33D0079B" w:rsidR="00751160" w:rsidRPr="00751160" w:rsidRDefault="00E12FA7" w:rsidP="00751160">
      <w:pPr>
        <w:rPr>
          <w:lang w:val="en-GB" w:eastAsia="en-US"/>
        </w:rPr>
      </w:pPr>
      <w:hyperlink r:id="rId365" w:history="1">
        <w:r w:rsidR="005411A6" w:rsidRPr="003A0620">
          <w:rPr>
            <w:rStyle w:val="Hyperlink"/>
            <w:rFonts w:asciiTheme="majorBidi" w:hAnsiTheme="majorBidi" w:cstheme="majorBidi"/>
            <w:b/>
            <w:bCs/>
            <w:szCs w:val="22"/>
          </w:rPr>
          <w:t>ITU-T Q.Supplement 72 “Signalling requirements for IMS emergency telecommunications service in support of multiple accesses”</w:t>
        </w:r>
      </w:hyperlink>
      <w:r w:rsidR="005411A6" w:rsidRPr="000E7AB3">
        <w:rPr>
          <w:rFonts w:asciiTheme="majorBidi" w:hAnsiTheme="majorBidi" w:cstheme="majorBidi"/>
          <w:szCs w:val="22"/>
        </w:rPr>
        <w:t xml:space="preserve"> defines the signalling requirements for IMS emergency telecommunications service in support of multiple accesses including fixed broadband, Wi-Fi, 4G and 5G networks.</w:t>
      </w:r>
    </w:p>
    <w:p w14:paraId="67D382BC" w14:textId="58DE1AC4" w:rsidR="001968B7" w:rsidRPr="00E27D62" w:rsidRDefault="001968B7" w:rsidP="001968B7">
      <w:pPr>
        <w:pStyle w:val="Headingb"/>
      </w:pPr>
      <w:r w:rsidRPr="00E27D62">
        <w:lastRenderedPageBreak/>
        <w:t>I.6.5</w:t>
      </w:r>
      <w:r w:rsidRPr="00E27D62">
        <w:tab/>
        <w:t>Naming, numbering, addressing and identification</w:t>
      </w:r>
    </w:p>
    <w:p w14:paraId="353DE2EB" w14:textId="65DC8CBB" w:rsidR="001968B7" w:rsidRDefault="00E12FA7" w:rsidP="001968B7">
      <w:pPr>
        <w:pStyle w:val="Headingb"/>
        <w:keepNext w:val="0"/>
        <w:rPr>
          <w:b w:val="0"/>
        </w:rPr>
      </w:pPr>
      <w:hyperlink r:id="rId366" w:history="1">
        <w:r w:rsidR="001968B7" w:rsidRPr="006A2A48">
          <w:rPr>
            <w:rStyle w:val="Hyperlink"/>
          </w:rPr>
          <w:t>ITU-T E.156 (revised) “Guidelines for ITU-T action on reported misuse of E.164 number resources”</w:t>
        </w:r>
      </w:hyperlink>
      <w:r w:rsidR="001968B7" w:rsidRPr="00162DD6">
        <w:rPr>
          <w:b w:val="0"/>
        </w:rPr>
        <w:t xml:space="preserve"> </w:t>
      </w:r>
      <w:r w:rsidR="0018102D" w:rsidRPr="00162DD6">
        <w:rPr>
          <w:b w:val="0"/>
        </w:rPr>
        <w:t>outlines the procedures for reporting and taking action regarding alleged misuse of numbers. It also outlines the procedures that the TSB Director should undertake upon receipt of reports of alleged misuse from members, including methods to address and counter any alleged misuse when such reports are brought to his attention</w:t>
      </w:r>
      <w:r w:rsidR="001968B7" w:rsidRPr="00162DD6">
        <w:rPr>
          <w:b w:val="0"/>
        </w:rPr>
        <w:t>.</w:t>
      </w:r>
    </w:p>
    <w:p w14:paraId="64DA804E" w14:textId="69EF74A5" w:rsidR="00EE6BEB" w:rsidRPr="00DD4AD5" w:rsidRDefault="00E12FA7" w:rsidP="00A95627">
      <w:pPr>
        <w:rPr>
          <w:szCs w:val="24"/>
          <w:u w:val="single"/>
        </w:rPr>
      </w:pPr>
      <w:hyperlink r:id="rId367" w:history="1">
        <w:r w:rsidR="00EE6BEB" w:rsidRPr="00EE6BEB">
          <w:rPr>
            <w:rStyle w:val="Hyperlink"/>
            <w:b/>
            <w:bCs/>
            <w:szCs w:val="24"/>
          </w:rPr>
          <w:t>ITU-T E.156 Amd.1 “</w:t>
        </w:r>
        <w:r w:rsidR="00A95627" w:rsidRPr="00A95627">
          <w:rPr>
            <w:rStyle w:val="Hyperlink"/>
            <w:b/>
            <w:bCs/>
            <w:szCs w:val="24"/>
          </w:rPr>
          <w:t>Guidelines for ITU-T action on reported misuse of E.164 number resources – Amendment 1: Appendix IV: Suggested guidelines for regulators, administrations and operating agencies authorized by Member States for dealing with number misappropriation</w:t>
        </w:r>
        <w:r w:rsidR="00A95627">
          <w:rPr>
            <w:rStyle w:val="Hyperlink"/>
            <w:b/>
            <w:bCs/>
            <w:szCs w:val="24"/>
          </w:rPr>
          <w:t>”</w:t>
        </w:r>
      </w:hyperlink>
      <w:r w:rsidR="00EE6BEB" w:rsidRPr="00970364">
        <w:rPr>
          <w:szCs w:val="24"/>
        </w:rPr>
        <w:t xml:space="preserve"> reproduces verbatim the attachment to WTSA Resolution 61 (Rev. Dubai, 2012) on “Suggested guidelines for regulators, administrations and operating agencies authorized by Member States for dealing with number misappropriation”.</w:t>
      </w:r>
    </w:p>
    <w:p w14:paraId="38A15261" w14:textId="33A107F6" w:rsidR="001968B7" w:rsidRPr="004A4030" w:rsidRDefault="00E12FA7" w:rsidP="001968B7">
      <w:pPr>
        <w:pStyle w:val="Headingb"/>
        <w:keepNext w:val="0"/>
        <w:rPr>
          <w:b w:val="0"/>
        </w:rPr>
      </w:pPr>
      <w:hyperlink r:id="rId368" w:history="1">
        <w:r w:rsidR="001968B7" w:rsidRPr="007C77BB">
          <w:rPr>
            <w:rStyle w:val="Hyperlink"/>
          </w:rPr>
          <w:t>ITU-T E.164.2 (revised) “E.164 numbering resources for trials”</w:t>
        </w:r>
      </w:hyperlink>
      <w:r w:rsidR="001968B7" w:rsidRPr="004A4030">
        <w:rPr>
          <w:b w:val="0"/>
        </w:rPr>
        <w:t xml:space="preserve"> </w:t>
      </w:r>
      <w:r w:rsidR="0095227E" w:rsidRPr="004A4030">
        <w:rPr>
          <w:b w:val="0"/>
        </w:rPr>
        <w:t>contains the criteria and procedures for an applicant to be temporarily assigned a three-digit identification code within the shared ITU-T E.164 country code 991 for the purpose of conducting an international non-commercial trial. The purpose of the trial will be to determine the viability of a proposed new international public correspondence service</w:t>
      </w:r>
      <w:r w:rsidR="001968B7" w:rsidRPr="004A4030">
        <w:rPr>
          <w:b w:val="0"/>
        </w:rPr>
        <w:t>.</w:t>
      </w:r>
    </w:p>
    <w:p w14:paraId="3F44D3D7" w14:textId="7E25B796" w:rsidR="001968B7" w:rsidRPr="008B2FCC" w:rsidRDefault="00E12FA7" w:rsidP="008206A7">
      <w:pPr>
        <w:pStyle w:val="Headingb"/>
        <w:rPr>
          <w:b w:val="0"/>
        </w:rPr>
      </w:pPr>
      <w:hyperlink r:id="rId369" w:history="1">
        <w:r w:rsidR="001968B7" w:rsidRPr="00421CAF">
          <w:rPr>
            <w:rStyle w:val="Hyperlink"/>
          </w:rPr>
          <w:t xml:space="preserve">ITU-T </w:t>
        </w:r>
        <w:r w:rsidR="008206A7" w:rsidRPr="00421CAF">
          <w:rPr>
            <w:rStyle w:val="Hyperlink"/>
          </w:rPr>
          <w:t xml:space="preserve">E.212 </w:t>
        </w:r>
        <w:r w:rsidR="008B2FCC" w:rsidRPr="00421CAF">
          <w:rPr>
            <w:rStyle w:val="Hyperlink"/>
          </w:rPr>
          <w:t>Amd.2</w:t>
        </w:r>
        <w:r w:rsidR="008206A7" w:rsidRPr="00421CAF">
          <w:rPr>
            <w:rStyle w:val="Hyperlink"/>
          </w:rPr>
          <w:t xml:space="preserve"> “The international identification plan for public networks and subscriptions - Annex G: Assignment of shared E.212 mobile country codes (MCC) for trials”</w:t>
        </w:r>
      </w:hyperlink>
      <w:r w:rsidR="008206A7" w:rsidRPr="00421CAF">
        <w:rPr>
          <w:b w:val="0"/>
          <w:bCs/>
        </w:rPr>
        <w:t xml:space="preserve"> </w:t>
      </w:r>
      <w:r w:rsidR="008206A7" w:rsidRPr="008B2FCC">
        <w:rPr>
          <w:b w:val="0"/>
          <w:bCs/>
        </w:rPr>
        <w:t>contains the criteria and procedures for an applicant to be temporarily assigned a two digit mobile network code (MNC) within the shared E.212 mobile country code 991 for the purpose of conducting an international non-commercial trial.</w:t>
      </w:r>
    </w:p>
    <w:p w14:paraId="7560476C" w14:textId="3364F14A" w:rsidR="00361128" w:rsidRPr="00361128" w:rsidRDefault="008172F9" w:rsidP="00361128">
      <w:pPr>
        <w:pStyle w:val="Headingb"/>
        <w:rPr>
          <w:b w:val="0"/>
          <w:bCs/>
        </w:rPr>
      </w:pPr>
      <w:r w:rsidRPr="0039167D">
        <w:t>ITU-T E.212 (2016) Amd.3 “The international identification plan for public networks and subscriptions - Annex H: Criteria and procedures for the assignment and reclamation of shared ITU-T E.212 mobile country codes (MCC) for regional and other international organizations (ROIO)/standards development organization (SDO)-specified networks and their respective mobile network codes (MNCs)” (under approval)</w:t>
      </w:r>
      <w:r>
        <w:t xml:space="preserve"> </w:t>
      </w:r>
      <w:r w:rsidRPr="008172F9">
        <w:rPr>
          <w:b w:val="0"/>
          <w:bCs/>
        </w:rPr>
        <w:t>provides criteria for assignment of shared E.212 resources for specific use cases to applicants that are regional and other international organizations (ROIO)/standard development organization (SDO)-specified networks.</w:t>
      </w:r>
    </w:p>
    <w:p w14:paraId="5BB5A8A5" w14:textId="05DC56BB" w:rsidR="001968B7" w:rsidRDefault="00E12FA7" w:rsidP="0057654F">
      <w:pPr>
        <w:pStyle w:val="Headingb"/>
        <w:rPr>
          <w:b w:val="0"/>
          <w:bCs/>
        </w:rPr>
      </w:pPr>
      <w:hyperlink r:id="rId370" w:history="1">
        <w:r w:rsidR="001968B7" w:rsidRPr="00320412">
          <w:rPr>
            <w:rStyle w:val="Hyperlink"/>
          </w:rPr>
          <w:t xml:space="preserve">ITU-T E.218 </w:t>
        </w:r>
        <w:r w:rsidR="00CF1A23" w:rsidRPr="00320412">
          <w:rPr>
            <w:rStyle w:val="Hyperlink"/>
          </w:rPr>
          <w:t>Amd.1</w:t>
        </w:r>
        <w:r w:rsidR="001968B7" w:rsidRPr="00320412">
          <w:rPr>
            <w:rStyle w:val="Hyperlink"/>
          </w:rPr>
          <w:t xml:space="preserve"> “</w:t>
        </w:r>
        <w:r w:rsidR="0057654F" w:rsidRPr="00320412">
          <w:rPr>
            <w:rStyle w:val="Hyperlink"/>
          </w:rPr>
          <w:t>Management of the allocation of terrestrial trunk radio Mobile Country Codes - Annex B: Criteria and procedures for the assignment and reclamation of shared ITU T E.218 terrestrial trunk radio access mobile country codes ((T)MCC) for networks and their respective terrestrial trunk radio access mobile network codes ((T)MNCs)”</w:t>
        </w:r>
      </w:hyperlink>
      <w:r w:rsidR="0057654F" w:rsidRPr="00320412">
        <w:rPr>
          <w:b w:val="0"/>
          <w:bCs/>
        </w:rPr>
        <w:t xml:space="preserve"> </w:t>
      </w:r>
      <w:r w:rsidR="0057654F" w:rsidRPr="00064C8B">
        <w:rPr>
          <w:b w:val="0"/>
          <w:bCs/>
        </w:rPr>
        <w:t>specifies the administration of global terrestrial trunk radio access mobile network codes by the ITU-T by detailing the scope of the resource covered by the annex. The annex also specifies the principles used for assignment, the criteria for assignment (against which applications for assignment of a global terrestrial trunk radio access mobile network codes will be assessed), the process for considering the application, and the circumstances under which a terrestrial trunk radio access mobile network code would be reclaimed.</w:t>
      </w:r>
    </w:p>
    <w:p w14:paraId="7C8A83B6" w14:textId="576138D1" w:rsidR="00D61CD4" w:rsidRDefault="00E12FA7" w:rsidP="00D61CD4">
      <w:pPr>
        <w:rPr>
          <w:lang w:val="en-GB" w:eastAsia="en-US"/>
        </w:rPr>
      </w:pPr>
      <w:hyperlink r:id="rId371" w:history="1">
        <w:r w:rsidR="00D61CD4" w:rsidRPr="00863B18">
          <w:rPr>
            <w:rStyle w:val="Hyperlink"/>
            <w:b/>
            <w:bCs/>
            <w:lang w:val="en-GB" w:eastAsia="en-US"/>
          </w:rPr>
          <w:t>ITU-T E-Suppl.</w:t>
        </w:r>
        <w:r w:rsidR="00863B18" w:rsidRPr="00863B18">
          <w:rPr>
            <w:rStyle w:val="Hyperlink"/>
            <w:b/>
            <w:bCs/>
            <w:lang w:val="en-GB" w:eastAsia="en-US"/>
          </w:rPr>
          <w:t>11</w:t>
        </w:r>
        <w:r w:rsidR="00D61CD4" w:rsidRPr="00863B18">
          <w:rPr>
            <w:rStyle w:val="Hyperlink"/>
            <w:b/>
            <w:bCs/>
            <w:lang w:val="en-GB" w:eastAsia="en-US"/>
          </w:rPr>
          <w:t xml:space="preserve"> “Criteria for M2M/IoT-Related Assignments under Recommendation ITU-T E.164.1 and Recommendation ITU-T E.212 Annex A”</w:t>
        </w:r>
      </w:hyperlink>
      <w:r w:rsidR="00D61CD4">
        <w:rPr>
          <w:lang w:val="en-GB" w:eastAsia="en-US"/>
        </w:rPr>
        <w:t xml:space="preserve"> </w:t>
      </w:r>
      <w:r w:rsidR="00D61CD4" w:rsidRPr="00D61CD4">
        <w:rPr>
          <w:lang w:val="en-GB" w:eastAsia="en-US"/>
        </w:rPr>
        <w:t>defines criteria for assigning E.164 Identification codes and E.212 Mobile Network Codes under shared MCCS for M2M/IoT services.</w:t>
      </w:r>
    </w:p>
    <w:p w14:paraId="0FE1116E" w14:textId="74982B76" w:rsidR="0016567B" w:rsidRDefault="00E12FA7" w:rsidP="0016567B">
      <w:pPr>
        <w:rPr>
          <w:lang w:val="en-GB" w:eastAsia="en-US"/>
        </w:rPr>
      </w:pPr>
      <w:hyperlink r:id="rId372" w:history="1">
        <w:r w:rsidR="0016567B" w:rsidRPr="00301664">
          <w:rPr>
            <w:rStyle w:val="Hyperlink"/>
            <w:b/>
            <w:bCs/>
            <w:lang w:val="en-GB" w:eastAsia="en-US"/>
          </w:rPr>
          <w:t>ITU-T E.164 Suppl.2 “Supplement 2 to Recommendation ITU-T E.164: Number portability”</w:t>
        </w:r>
      </w:hyperlink>
      <w:r w:rsidR="0016567B">
        <w:rPr>
          <w:lang w:val="en-GB" w:eastAsia="en-US"/>
        </w:rPr>
        <w:t xml:space="preserve"> </w:t>
      </w:r>
      <w:r w:rsidR="0016567B" w:rsidRPr="0016567B">
        <w:rPr>
          <w:lang w:val="en-GB" w:eastAsia="en-US"/>
        </w:rPr>
        <w:t xml:space="preserve">defines standard terminology for a common understanding of the different aspects of number portability within an ITU-T E.164 numbering scheme. It identifies numbering and addressing formats, call flows, network architectures and routing approaches that will provide alternative </w:t>
      </w:r>
      <w:r w:rsidR="0016567B" w:rsidRPr="0016567B">
        <w:rPr>
          <w:lang w:val="en-GB" w:eastAsia="en-US"/>
        </w:rPr>
        <w:lastRenderedPageBreak/>
        <w:t>methods of implementation. It also proposes some examples of the administrative and operational processes required for the successful implementation of number portability.</w:t>
      </w:r>
    </w:p>
    <w:p w14:paraId="6D337799" w14:textId="33CA79CE" w:rsidR="009826B5" w:rsidRPr="00D61CD4" w:rsidRDefault="00E12FA7" w:rsidP="009826B5">
      <w:pPr>
        <w:rPr>
          <w:lang w:val="en-GB" w:eastAsia="en-US"/>
        </w:rPr>
      </w:pPr>
      <w:hyperlink r:id="rId373" w:history="1">
        <w:r w:rsidR="009826B5" w:rsidRPr="00EC386B">
          <w:rPr>
            <w:rStyle w:val="Hyperlink"/>
            <w:b/>
            <w:bCs/>
            <w:lang w:val="en-GB" w:eastAsia="en-US"/>
          </w:rPr>
          <w:t>ITU-T TR.CLE “Technical Report on identify call location for emergency service”</w:t>
        </w:r>
      </w:hyperlink>
      <w:r w:rsidR="009826B5" w:rsidRPr="00EC386B">
        <w:rPr>
          <w:lang w:val="en-GB" w:eastAsia="en-US"/>
        </w:rPr>
        <w:t xml:space="preserve"> provides an</w:t>
      </w:r>
      <w:r w:rsidR="009826B5" w:rsidRPr="009826B5">
        <w:rPr>
          <w:lang w:val="en-GB" w:eastAsia="en-US"/>
        </w:rPr>
        <w:t xml:space="preserve"> overview of the technical solution of identifying the call location of the emergency service.</w:t>
      </w:r>
    </w:p>
    <w:p w14:paraId="609FBBBC" w14:textId="77777777" w:rsidR="006A46AE" w:rsidRPr="000C24BB" w:rsidRDefault="006A46AE" w:rsidP="006A46AE">
      <w:pPr>
        <w:pStyle w:val="Headingb"/>
      </w:pPr>
      <w:bookmarkStart w:id="252" w:name="_Toc480527908"/>
      <w:r w:rsidRPr="000C24BB">
        <w:t>I.7</w:t>
      </w:r>
      <w:r w:rsidRPr="000C24BB">
        <w:tab/>
        <w:t>Tariff and accounting principles and international telecommunication/ICT economic and policy issues</w:t>
      </w:r>
    </w:p>
    <w:p w14:paraId="62D4092A" w14:textId="77777777" w:rsidR="006A46AE" w:rsidRPr="00C7394F" w:rsidRDefault="006A46AE" w:rsidP="006A46AE">
      <w:pPr>
        <w:pStyle w:val="Headingb"/>
      </w:pPr>
      <w:r w:rsidRPr="00C7394F">
        <w:t>I.7.1</w:t>
      </w:r>
      <w:r w:rsidRPr="00C7394F">
        <w:tab/>
        <w:t>Economic impact of IXP, Universal service, NGN, Mobile Roaming and SMPOTT and Valuation of spectrum</w:t>
      </w:r>
    </w:p>
    <w:p w14:paraId="27C38255" w14:textId="2B01FB4A" w:rsidR="006A46AE" w:rsidRDefault="00E12FA7" w:rsidP="00C7394F">
      <w:pPr>
        <w:rPr>
          <w:bCs/>
          <w:lang w:val="en-GB"/>
        </w:rPr>
      </w:pPr>
      <w:hyperlink r:id="rId374" w:history="1">
        <w:r w:rsidR="006A46AE" w:rsidRPr="005A138B">
          <w:rPr>
            <w:rStyle w:val="Hyperlink"/>
            <w:b/>
            <w:lang w:val="en-GB"/>
          </w:rPr>
          <w:t>ITU-T D.264 "</w:t>
        </w:r>
        <w:r w:rsidR="00C7394F" w:rsidRPr="005A138B">
          <w:rPr>
            <w:rStyle w:val="Hyperlink"/>
            <w:b/>
            <w:lang w:val="en-GB"/>
          </w:rPr>
          <w:t>Shared uses of telecommunication infrastructure as possible methods for enhancing the efficiency of telecommunications”</w:t>
        </w:r>
      </w:hyperlink>
      <w:r w:rsidR="00C7394F" w:rsidRPr="00C7394F">
        <w:rPr>
          <w:bCs/>
          <w:lang w:val="en-GB"/>
        </w:rPr>
        <w:t xml:space="preserve"> proposes a set of possible methods to help telecommunication providers save costs and enhance efficiency through the shared uses of telecommunication infrastructure, including passive and active infrastructure sharing, including when enabled by aggregation of frequency bands assigned to operators who have acquired property rights over the spectrum to enable active infrastructure sharing implementation</w:t>
      </w:r>
      <w:r w:rsidR="006A46AE" w:rsidRPr="00C7394F">
        <w:rPr>
          <w:bCs/>
          <w:lang w:val="en-GB"/>
        </w:rPr>
        <w:t>.</w:t>
      </w:r>
    </w:p>
    <w:p w14:paraId="0DAEF5A4" w14:textId="3E0795EE" w:rsidR="00103050" w:rsidRDefault="00E12FA7" w:rsidP="00103050">
      <w:pPr>
        <w:rPr>
          <w:bCs/>
          <w:lang w:val="en-GB"/>
        </w:rPr>
      </w:pPr>
      <w:hyperlink r:id="rId375" w:history="1">
        <w:r w:rsidR="00103050" w:rsidRPr="002C6DDF">
          <w:rPr>
            <w:rStyle w:val="Hyperlink"/>
            <w:b/>
            <w:lang w:val="en-GB"/>
          </w:rPr>
          <w:t>ITU-T D.265 “Optimizing terrestrial cable utilization across multiple countries to boost regional and international connectivity”</w:t>
        </w:r>
      </w:hyperlink>
      <w:r w:rsidR="00103050">
        <w:rPr>
          <w:bCs/>
          <w:lang w:val="en-GB"/>
        </w:rPr>
        <w:t xml:space="preserve"> </w:t>
      </w:r>
      <w:r w:rsidR="00103050" w:rsidRPr="00103050">
        <w:rPr>
          <w:bCs/>
          <w:lang w:val="en-GB"/>
        </w:rPr>
        <w:t>provides a collaborative framework that can be applied in order to promote optimal cable utilization across multiple countries and boost regional and international connectivity. The framework is based on a proportional allocation model, which allocates circuits based on the length of fibre contributed to the terrestrial multi-country end-to-end cable network.</w:t>
      </w:r>
    </w:p>
    <w:p w14:paraId="74B0E3D9" w14:textId="2FAFF0A2" w:rsidR="007E608F" w:rsidRDefault="00E12FA7" w:rsidP="007E608F">
      <w:pPr>
        <w:rPr>
          <w:bCs/>
          <w:lang w:val="en-GB"/>
        </w:rPr>
      </w:pPr>
      <w:hyperlink r:id="rId376" w:history="1">
        <w:r w:rsidR="007E608F" w:rsidRPr="004E4358">
          <w:rPr>
            <w:rStyle w:val="Hyperlink"/>
            <w:b/>
            <w:lang w:val="en-GB"/>
          </w:rPr>
          <w:t>ITU-T D.266 “</w:t>
        </w:r>
        <w:r w:rsidR="008753AB" w:rsidRPr="004E4358">
          <w:rPr>
            <w:rStyle w:val="Hyperlink"/>
            <w:b/>
            <w:lang w:val="en-GB"/>
          </w:rPr>
          <w:t xml:space="preserve">Enabling environment for voluntary commercial arrangements between telecommunications network operators and </w:t>
        </w:r>
        <w:r w:rsidR="007E608F" w:rsidRPr="004E4358">
          <w:rPr>
            <w:rStyle w:val="Hyperlink"/>
            <w:b/>
            <w:lang w:val="en-GB"/>
          </w:rPr>
          <w:t>OTT</w:t>
        </w:r>
        <w:r w:rsidR="008753AB" w:rsidRPr="004E4358">
          <w:rPr>
            <w:rStyle w:val="Hyperlink"/>
            <w:b/>
            <w:lang w:val="en-GB"/>
          </w:rPr>
          <w:t xml:space="preserve"> providers</w:t>
        </w:r>
        <w:r w:rsidR="007E608F" w:rsidRPr="004E4358">
          <w:rPr>
            <w:rStyle w:val="Hyperlink"/>
            <w:b/>
            <w:lang w:val="en-GB"/>
          </w:rPr>
          <w:t>”</w:t>
        </w:r>
      </w:hyperlink>
      <w:r w:rsidR="007E608F">
        <w:rPr>
          <w:bCs/>
          <w:lang w:val="en-GB"/>
        </w:rPr>
        <w:t xml:space="preserve"> </w:t>
      </w:r>
      <w:r w:rsidR="007E608F" w:rsidRPr="007E608F">
        <w:rPr>
          <w:bCs/>
          <w:lang w:val="en-GB"/>
        </w:rPr>
        <w:t>addresses the measures for strengthening the commercial cooperation between over the top (OTT) providers and telecom operators. Given that network operators and OTTs are part of the international telecommunication/ICT ecosystem, this Recommendation encourages relevant stakeholders to work towards an enabling regulatory environment that supports and encourages the development of innovative business models in line with the advancement of technology and innovations, which are changing faster than ever.</w:t>
      </w:r>
    </w:p>
    <w:p w14:paraId="31A2117B" w14:textId="47FF22AB" w:rsidR="000C24BB" w:rsidRDefault="00E12FA7" w:rsidP="000C24BB">
      <w:pPr>
        <w:rPr>
          <w:bCs/>
          <w:lang w:val="en-GB"/>
        </w:rPr>
      </w:pPr>
      <w:hyperlink r:id="rId377" w:history="1">
        <w:r w:rsidR="000C24BB" w:rsidRPr="00B14D36">
          <w:rPr>
            <w:rStyle w:val="Hyperlink"/>
            <w:b/>
            <w:lang w:val="en-GB"/>
          </w:rPr>
          <w:t>ITU-T D.267</w:t>
        </w:r>
        <w:r w:rsidR="008753AB" w:rsidRPr="00B14D36">
          <w:rPr>
            <w:rStyle w:val="Hyperlink"/>
            <w:b/>
            <w:lang w:val="en-GB"/>
          </w:rPr>
          <w:t>/X.1261</w:t>
        </w:r>
        <w:r w:rsidR="000C24BB" w:rsidRPr="00B14D36">
          <w:rPr>
            <w:rStyle w:val="Hyperlink"/>
            <w:b/>
            <w:lang w:val="en-GB"/>
          </w:rPr>
          <w:t xml:space="preserve"> “Policy framework including principles for digital identity infrastructure”</w:t>
        </w:r>
      </w:hyperlink>
      <w:r w:rsidR="000C24BB">
        <w:rPr>
          <w:bCs/>
          <w:lang w:val="en-GB"/>
        </w:rPr>
        <w:t xml:space="preserve"> </w:t>
      </w:r>
      <w:r w:rsidR="000C24BB" w:rsidRPr="000C24BB">
        <w:rPr>
          <w:bCs/>
          <w:lang w:val="en-GB"/>
        </w:rPr>
        <w:t xml:space="preserve">sets out a policy framework including principles for digital identity infrastructure while recognizing the sovereign right of each Member State to regulate its </w:t>
      </w:r>
      <w:r w:rsidR="006F018B">
        <w:rPr>
          <w:bCs/>
          <w:lang w:val="en-GB"/>
        </w:rPr>
        <w:t>t</w:t>
      </w:r>
      <w:r w:rsidR="000C24BB" w:rsidRPr="000C24BB">
        <w:rPr>
          <w:bCs/>
          <w:lang w:val="en-GB"/>
        </w:rPr>
        <w:t>elecommunications.</w:t>
      </w:r>
    </w:p>
    <w:p w14:paraId="4F762D9E" w14:textId="6C236576" w:rsidR="005D6C25" w:rsidRPr="0075603A" w:rsidRDefault="005D6C25" w:rsidP="005D6C25">
      <w:pPr>
        <w:rPr>
          <w:bCs/>
          <w:lang w:val="en-GB"/>
        </w:rPr>
      </w:pPr>
      <w:r w:rsidRPr="0039167D">
        <w:rPr>
          <w:b/>
          <w:lang w:val="en-GB"/>
        </w:rPr>
        <w:t xml:space="preserve">ITU-T D.600R Annex B “Cost methodology for the regional tariff group for Africa applicable to the international automatic telephone service – Annex B: Guidelines for implementing efficient cost models for telecommunication service tariffs in the Africa region” (under approval) </w:t>
      </w:r>
      <w:r w:rsidR="0075603A" w:rsidRPr="0075603A">
        <w:rPr>
          <w:bCs/>
          <w:lang w:val="en-GB"/>
        </w:rPr>
        <w:t>provides guidelines to Member States of the Africa region for the construction of costing model, within the framework of the approval of prices of telecommunication services, taking into account the technological development and innovation in the field of telecommunications as well as the specificity of each country.</w:t>
      </w:r>
    </w:p>
    <w:p w14:paraId="1B7F3979" w14:textId="3C8FC0A5" w:rsidR="005A13FA" w:rsidRPr="0039167D" w:rsidRDefault="005A13FA" w:rsidP="005A13FA">
      <w:pPr>
        <w:rPr>
          <w:lang w:val="en-GB"/>
        </w:rPr>
      </w:pPr>
      <w:r w:rsidRPr="0039167D">
        <w:rPr>
          <w:b/>
          <w:lang w:val="en-GB"/>
        </w:rPr>
        <w:t>ITU-T D.607R “One Network Area Roaming” (under approval)</w:t>
      </w:r>
      <w:r w:rsidRPr="0039167D">
        <w:rPr>
          <w:lang w:val="en-GB"/>
        </w:rPr>
        <w:t>,</w:t>
      </w:r>
      <w:r w:rsidRPr="005A13FA">
        <w:rPr>
          <w:bCs/>
          <w:lang w:val="en-GB"/>
        </w:rPr>
        <w:t xml:space="preserve"> based on African regional experiences, aims to promote regional integration by bringing down the high cost of mobile roaming. It provides a framework and tools for facilitating and making affordable international telecommunications services to and from Africa’s countries.</w:t>
      </w:r>
    </w:p>
    <w:p w14:paraId="71DE5CB2" w14:textId="3632AF37" w:rsidR="008753AB" w:rsidRDefault="008753AB" w:rsidP="008753AB">
      <w:pPr>
        <w:rPr>
          <w:b/>
          <w:highlight w:val="red"/>
          <w:lang w:val="en-GB"/>
        </w:rPr>
      </w:pPr>
      <w:r w:rsidRPr="0039167D">
        <w:rPr>
          <w:b/>
          <w:lang w:val="en-GB"/>
        </w:rPr>
        <w:t>ITU-T D.1041 “Policy and methodological principles for determining colocation and access charges” (under approval)</w:t>
      </w:r>
      <w:r w:rsidRPr="0039167D">
        <w:rPr>
          <w:bCs/>
          <w:lang w:val="en-GB"/>
        </w:rPr>
        <w:t>:</w:t>
      </w:r>
      <w:r>
        <w:rPr>
          <w:bCs/>
          <w:lang w:val="en-GB"/>
        </w:rPr>
        <w:t xml:space="preserve"> </w:t>
      </w:r>
      <w:r w:rsidRPr="008753AB">
        <w:rPr>
          <w:bCs/>
          <w:lang w:val="en-GB"/>
        </w:rPr>
        <w:t xml:space="preserve">Co-location is an important telecommunications wholesale service essential to a competitive telecommunications landscape and a sustainable environment, as it eliminates the need for operators to build-out new or replicate existing infrastructure. A key </w:t>
      </w:r>
      <w:r w:rsidRPr="008753AB">
        <w:rPr>
          <w:bCs/>
          <w:lang w:val="en-GB"/>
        </w:rPr>
        <w:lastRenderedPageBreak/>
        <w:t>component for encouraging co-location is the establishment of reasonable co-location access and service rates on the principles of fairness and equity.</w:t>
      </w:r>
    </w:p>
    <w:p w14:paraId="670A45FB" w14:textId="25B9CE90" w:rsidR="009B04B9" w:rsidRPr="00C7394F" w:rsidRDefault="00E12FA7" w:rsidP="009B04B9">
      <w:pPr>
        <w:rPr>
          <w:bCs/>
          <w:lang w:val="en-GB"/>
        </w:rPr>
      </w:pPr>
      <w:hyperlink r:id="rId378" w:history="1">
        <w:r w:rsidR="009B04B9" w:rsidRPr="00452F2A">
          <w:rPr>
            <w:rStyle w:val="Hyperlink"/>
            <w:b/>
            <w:lang w:val="en-GB"/>
          </w:rPr>
          <w:t>ITU-T D.Suppl.4 “Supplement 4 to ITU-T D-series Recommendations: ITU-T D.263 – Supplement on Principles for increased adoption and use of mobile financial services (MFSs) through effective consumer protection mechanisms”</w:t>
        </w:r>
      </w:hyperlink>
      <w:r w:rsidR="009B04B9">
        <w:rPr>
          <w:bCs/>
          <w:lang w:val="en-GB"/>
        </w:rPr>
        <w:t xml:space="preserve"> </w:t>
      </w:r>
      <w:r w:rsidR="009B04B9" w:rsidRPr="009B04B9">
        <w:rPr>
          <w:bCs/>
          <w:lang w:val="en-GB"/>
        </w:rPr>
        <w:t>sets out a number of principles for encouraging adoption and use of MFS services through the establishment of adequate consumer protection mechanisms, such as information availability and transparency, quality of service, data protection and privacy, customer redress fraud prevention as well as contracts and disclosure guidelines.</w:t>
      </w:r>
    </w:p>
    <w:p w14:paraId="126BB7C5" w14:textId="77777777" w:rsidR="006A46AE" w:rsidRPr="00CF5650" w:rsidRDefault="006A46AE" w:rsidP="006A46AE">
      <w:pPr>
        <w:pStyle w:val="Headingb"/>
      </w:pPr>
      <w:r w:rsidRPr="00CF5650">
        <w:t>I.8</w:t>
      </w:r>
      <w:r w:rsidRPr="00CF5650">
        <w:tab/>
        <w:t>Quality of service and experience, and network performance</w:t>
      </w:r>
      <w:bookmarkEnd w:id="252"/>
    </w:p>
    <w:p w14:paraId="14A8AE33" w14:textId="696C14C5" w:rsidR="00EC5833" w:rsidRDefault="00E12FA7" w:rsidP="00EC5833">
      <w:pPr>
        <w:widowControl w:val="0"/>
      </w:pPr>
      <w:hyperlink r:id="rId379" w:history="1">
        <w:r w:rsidR="00EC5833" w:rsidRPr="00CA36D9">
          <w:rPr>
            <w:rStyle w:val="Hyperlink"/>
            <w:b/>
            <w:bCs/>
          </w:rPr>
          <w:t>ITU-T E.812 “Crowdsourcing approach for the assessment of end-to-end QoS in fixed and mobile broadband networks”</w:t>
        </w:r>
      </w:hyperlink>
      <w:r w:rsidR="00EC5833" w:rsidRPr="00CA36D9">
        <w:t>: End-user equipment, consumer premise equipment and its software have evolved to become faster, more powerful and able to perform data collection. This has enabled the crowdsourcing approach which seeks to increase the amount of technical parameters which can be collected from end-users without modification to existing hardware and software. Increasingly, players such as regulators and service providers have started to assess end-to-end QoS through a crowdsourcing approach. However, assessment using data collected through the crowdsourcing approach can be deployed in multiple ways and different approach provides different view of QoS. This Recommendation outlines the different crowdsourcing approaches used to assess end-to-end QoS on both fixed and mobile broadband networks.</w:t>
      </w:r>
    </w:p>
    <w:p w14:paraId="1DC3E001" w14:textId="13E30B75" w:rsidR="00B1611E" w:rsidRDefault="00E12FA7" w:rsidP="00B1611E">
      <w:pPr>
        <w:widowControl w:val="0"/>
      </w:pPr>
      <w:hyperlink r:id="rId380" w:history="1">
        <w:r w:rsidR="00B1611E" w:rsidRPr="00CA36D9">
          <w:rPr>
            <w:rStyle w:val="Hyperlink"/>
            <w:b/>
            <w:bCs/>
          </w:rPr>
          <w:t>ITU-T G.1035 “Influencing factors on quality of experience (QoE) for virtual reality (VR) services”</w:t>
        </w:r>
      </w:hyperlink>
      <w:r w:rsidR="00B1611E" w:rsidRPr="00CA36D9">
        <w:t xml:space="preserve"> classifies virtual reality services and identifies the key QoE factors of VR.</w:t>
      </w:r>
    </w:p>
    <w:p w14:paraId="6944EA9F" w14:textId="66241A94" w:rsidR="00FB4DC4" w:rsidRDefault="00E12FA7" w:rsidP="00FB4DC4">
      <w:pPr>
        <w:widowControl w:val="0"/>
      </w:pPr>
      <w:hyperlink r:id="rId381" w:history="1">
        <w:r w:rsidR="00FB4DC4" w:rsidRPr="001B20EA">
          <w:rPr>
            <w:rStyle w:val="Hyperlink"/>
            <w:b/>
            <w:bCs/>
          </w:rPr>
          <w:t>ITU-T P.501 (revised) “Test signals for use in telephony and other speech-based applications”</w:t>
        </w:r>
      </w:hyperlink>
      <w:r w:rsidR="00FB4DC4" w:rsidRPr="001B20EA">
        <w:t xml:space="preserve"> describes test signals that are applicable for several purposes in telephony and other speech-based applications. Recommendation ITU-T P.501 gives a wide variety of test signals starting with low complexity test signals up to test signals with a high degree of complexity incorporating many typical parameters of speech. Besides technical signals, such as sine waves or noise, more speech-like signals are described. Recommendation ITU-T P.501 describes the principles of signal construction for each type of test signal. Characteristic properties, such as power density spectra, probability density functions or shaping filter responses, are shown. Recommendation ITU-T P.501 gives an overview of the typical application of the test signals described. This overview is a guideline giving general application rules. The detailed description of the application, however, should be found in the individual Recommendations describing the measurement procedures for specific applications. In order to avoid problems in creating the test signals described, all these test signals are freely available for download from the ITU-T test signals database.</w:t>
      </w:r>
    </w:p>
    <w:p w14:paraId="24F9F67C" w14:textId="05B42D8F" w:rsidR="00FB4DC4" w:rsidRDefault="00FB4DC4" w:rsidP="00FB4DC4">
      <w:pPr>
        <w:widowControl w:val="0"/>
      </w:pPr>
      <w:r>
        <w:t>Annex A proposes two test signals [a pseudo noise sequence (PN-sequence) with a low crest factor and a logarithmically distributed multi-sine wave] for the measurement of terminal coupling loss (TCL). Annex B provides speech files and noise sequences to be used in combination with objective speech quality evaluation methods. This speech material does not replace the speech material found in Supplement 23 to the ITU T P-series Recommendations. Appendix I provides a description of the processing applied to the speech signals in clause 7.3. This Recommendation includes an electronic attachment containing the set of freely available test signals described in the Recommendation.</w:t>
      </w:r>
    </w:p>
    <w:p w14:paraId="6C446BA9" w14:textId="732B6D1D" w:rsidR="006251CD" w:rsidRDefault="00E12FA7" w:rsidP="006251CD">
      <w:pPr>
        <w:widowControl w:val="0"/>
      </w:pPr>
      <w:hyperlink r:id="rId382" w:history="1">
        <w:r w:rsidR="006251CD" w:rsidRPr="009F123A">
          <w:rPr>
            <w:rStyle w:val="Hyperlink"/>
            <w:b/>
            <w:bCs/>
          </w:rPr>
          <w:t>ITU-T P.863 Amd.1 “Perceptual objective listening quality prediction - Amendment 1: Revised Appendix III – Prediction of acoustically recorded narrowband speech”</w:t>
        </w:r>
      </w:hyperlink>
      <w:r w:rsidR="006251CD">
        <w:t xml:space="preserve"> replaces Appendix III which gives advice on how ITU-T P.863 can be used for the prediction of listening quality of acoustically recorded speech data in a narrowband context.</w:t>
      </w:r>
    </w:p>
    <w:p w14:paraId="2510591A" w14:textId="143AF274" w:rsidR="00FF0F8D" w:rsidRDefault="00E12FA7" w:rsidP="00FF0F8D">
      <w:pPr>
        <w:widowControl w:val="0"/>
      </w:pPr>
      <w:hyperlink r:id="rId383" w:history="1">
        <w:r w:rsidR="00FF0F8D" w:rsidRPr="00006BFA">
          <w:rPr>
            <w:rStyle w:val="Hyperlink"/>
            <w:b/>
            <w:bCs/>
          </w:rPr>
          <w:t xml:space="preserve">ITU-T P.1203.3 Amd.1 “Parametric bitstream-based quality assessment of progressive </w:t>
        </w:r>
        <w:r w:rsidR="00FF0F8D" w:rsidRPr="00006BFA">
          <w:rPr>
            <w:rStyle w:val="Hyperlink"/>
            <w:b/>
            <w:bCs/>
          </w:rPr>
          <w:lastRenderedPageBreak/>
          <w:t>download and adaptive audiovisual streaming services over reliable transport - Quality integration module Amendment 1 - Adjustment of the audiovisual quality”</w:t>
        </w:r>
      </w:hyperlink>
      <w:r w:rsidR="00FF0F8D">
        <w:t xml:space="preserve"> introduces an adjustment of the audiovisual quality of ITU-T P.1203.3 for the case of very low audio quality and long stalling events.</w:t>
      </w:r>
    </w:p>
    <w:p w14:paraId="558D1385" w14:textId="15CBD75E" w:rsidR="00280D12" w:rsidRDefault="00E12FA7" w:rsidP="00280D12">
      <w:pPr>
        <w:widowControl w:val="0"/>
      </w:pPr>
      <w:hyperlink r:id="rId384" w:history="1">
        <w:r w:rsidR="00280D12" w:rsidRPr="0019265B">
          <w:rPr>
            <w:rStyle w:val="Hyperlink"/>
            <w:b/>
            <w:lang w:val="en-GB"/>
          </w:rPr>
          <w:t>ITU-T Y.1540 Amd.1 “Internet protocol data communication service - IP packet transfer and availability performance parameters - Amendment 1 - Amendment 1: New Annex B – Additional search algorithm for IP-based capacity parameters and methods of measurement”</w:t>
        </w:r>
      </w:hyperlink>
      <w:r w:rsidR="00280D12" w:rsidRPr="000D5831">
        <w:rPr>
          <w:lang w:val="en-GB"/>
        </w:rPr>
        <w:t>: The latest Edition of Recommendation ITU-T Y.1540 incorporates many updates based on the plan to qualify and compare access measurement metrics, methods, models, and tools in a stable and repeatable laboratory environment. Amendment 1 introduces Annex B, which provides a second, more capable search algorithm for the IP capacity method of measurement defined in Annex A.</w:t>
      </w:r>
      <w:r w:rsidR="000D5831" w:rsidRPr="000D5831">
        <w:rPr>
          <w:lang w:val="en-GB"/>
        </w:rPr>
        <w:t xml:space="preserve"> </w:t>
      </w:r>
      <w:r w:rsidR="000D5831" w:rsidRPr="000D5831">
        <w:t>Annex B provides a second, more capable search algorithm for the IP capacity method of measurement defined in Annex A.</w:t>
      </w:r>
    </w:p>
    <w:p w14:paraId="4811F542" w14:textId="2F297B1F" w:rsidR="00D441EA" w:rsidRPr="000D5831" w:rsidRDefault="00E12FA7" w:rsidP="00D441EA">
      <w:pPr>
        <w:widowControl w:val="0"/>
        <w:rPr>
          <w:lang w:val="en-GB"/>
        </w:rPr>
      </w:pPr>
      <w:hyperlink r:id="rId385" w:history="1">
        <w:r w:rsidR="00D441EA" w:rsidRPr="00D441EA">
          <w:rPr>
            <w:rStyle w:val="Hyperlink"/>
            <w:b/>
            <w:bCs/>
          </w:rPr>
          <w:t>ITU-T Y Suppl.60 “Interpreting Y.1540 Maximum IP-Layer Capacity Measurements”</w:t>
        </w:r>
      </w:hyperlink>
      <w:r w:rsidR="00D441EA">
        <w:t xml:space="preserve"> provides information on interpreting Y.1540 Maximum IP-Layer Capacity Measurements, described in Annex A and Annex B. The supplement to provide useful information for those who measure various technologies. Much has been learned as part of the extensive testing campaigns thus far, and there is more to learn. Therefore, this Supplement may be updated frequently and readers are encouraged to ensure that they have the most recent version.</w:t>
      </w:r>
    </w:p>
    <w:p w14:paraId="231568F8" w14:textId="77777777" w:rsidR="006A46AE" w:rsidRPr="00080B1C" w:rsidRDefault="006A46AE" w:rsidP="006A46AE">
      <w:pPr>
        <w:pStyle w:val="Headingb"/>
      </w:pPr>
      <w:bookmarkStart w:id="253" w:name="_Toc480527909"/>
      <w:r w:rsidRPr="00080B1C">
        <w:t>I.9</w:t>
      </w:r>
      <w:r w:rsidRPr="00080B1C">
        <w:tab/>
        <w:t>Conformity, interoperability and testing</w:t>
      </w:r>
      <w:bookmarkEnd w:id="253"/>
    </w:p>
    <w:p w14:paraId="0768C053" w14:textId="77777777" w:rsidR="006A46AE" w:rsidRPr="00080B1C" w:rsidRDefault="006A46AE" w:rsidP="006A46AE">
      <w:pPr>
        <w:pStyle w:val="Headingb"/>
      </w:pPr>
      <w:r w:rsidRPr="00080B1C">
        <w:t>I.9.3</w:t>
      </w:r>
      <w:r w:rsidRPr="00080B1C">
        <w:tab/>
        <w:t>SIP-IMS conformity assessment and interconnection testing</w:t>
      </w:r>
    </w:p>
    <w:p w14:paraId="25545FD7" w14:textId="136EEAB7" w:rsidR="006A46AE" w:rsidRPr="00080B1C" w:rsidRDefault="006A46AE" w:rsidP="007F1F39">
      <w:pPr>
        <w:pStyle w:val="Headingb"/>
        <w:keepNext w:val="0"/>
      </w:pPr>
      <w:r w:rsidRPr="00080B1C">
        <w:t>I.9.8</w:t>
      </w:r>
      <w:r w:rsidRPr="00080B1C">
        <w:tab/>
        <w:t>Testing Internet of things</w:t>
      </w:r>
    </w:p>
    <w:p w14:paraId="212F22B5" w14:textId="71161148" w:rsidR="00080B1C" w:rsidRDefault="00080B1C" w:rsidP="00080B1C">
      <w:pPr>
        <w:rPr>
          <w:lang w:val="en-GB" w:eastAsia="en-US"/>
        </w:rPr>
      </w:pPr>
      <w:r w:rsidRPr="0039167D">
        <w:rPr>
          <w:b/>
          <w:bCs/>
          <w:lang w:val="en-GB" w:eastAsia="en-US"/>
        </w:rPr>
        <w:t>ITU-T Q.4062 “Framework for IoT Testing” (under approval)</w:t>
      </w:r>
      <w:r w:rsidRPr="0039167D">
        <w:rPr>
          <w:lang w:val="en-GB" w:eastAsia="en-US"/>
        </w:rPr>
        <w:t>:</w:t>
      </w:r>
      <w:r>
        <w:rPr>
          <w:lang w:val="en-GB" w:eastAsia="en-US"/>
        </w:rPr>
        <w:t xml:space="preserve"> </w:t>
      </w:r>
      <w:r w:rsidRPr="00080B1C">
        <w:rPr>
          <w:lang w:val="en-GB" w:eastAsia="en-US"/>
        </w:rPr>
        <w:t>The IoT is one of the global infrastructures for the information society, delivering advanced services by interconnecting things based on, existing and evolving, interoperable information and communication technologies. Such a global infrastructure can be achieved by use of multiple access technologies for different types of communication networks such as BAN, PAN, LAN, WLAN, LPWAN, FAN, MAN, WAN and Cellular networks. Conformance and interoperability tests not only for domains with single access technology but also for the integrated domains with multiple access technologies are required. The main goal of this Recommendation is to specify the testing framework for IoT to accommodate the tests for such integrated domains with multiple access technologies. Conformance and interoperability tests for domains served by single unified access technology have been taken into account by relevant SDOs and therefore are out of scope of this Recommendation.</w:t>
      </w:r>
      <w:r>
        <w:rPr>
          <w:lang w:val="en-GB" w:eastAsia="en-US"/>
        </w:rPr>
        <w:t xml:space="preserve"> </w:t>
      </w:r>
      <w:r w:rsidRPr="00080B1C">
        <w:rPr>
          <w:lang w:val="en-GB" w:eastAsia="en-US"/>
        </w:rPr>
        <w:t>This Recommendation describes the types of the tests for the domains with multiple access technologies and specifies the test procedures and the considerations correspond to the testing types.</w:t>
      </w:r>
    </w:p>
    <w:p w14:paraId="157A14F1" w14:textId="52A14D2C" w:rsidR="00A20762" w:rsidRPr="00A20762" w:rsidRDefault="00A20762" w:rsidP="00A20762">
      <w:pPr>
        <w:rPr>
          <w:lang w:val="en-GB" w:eastAsia="en-US"/>
        </w:rPr>
      </w:pPr>
      <w:r w:rsidRPr="0039167D">
        <w:rPr>
          <w:b/>
          <w:bCs/>
          <w:lang w:val="en-GB" w:eastAsia="en-US"/>
        </w:rPr>
        <w:t>ITU-T Q.4063 “The framework of testing of identification systems used in IoT” (under approval)</w:t>
      </w:r>
      <w:r w:rsidRPr="0039167D">
        <w:rPr>
          <w:lang w:val="en-GB" w:eastAsia="en-US"/>
        </w:rPr>
        <w:t>:</w:t>
      </w:r>
      <w:r>
        <w:rPr>
          <w:lang w:val="en-GB" w:eastAsia="en-US"/>
        </w:rPr>
        <w:t xml:space="preserve"> </w:t>
      </w:r>
      <w:r w:rsidRPr="00A20762">
        <w:rPr>
          <w:lang w:val="en-GB" w:eastAsia="en-US"/>
        </w:rPr>
        <w:t>The concept of the Internet of Things, defined in Recommendation ITU-T Y.4000/Y.2060, nowadays plays an important role for telecommunication and information technologies. According to a forecast, the number of Internet of Things in the foreseeable future will be hundreds of billions pieces, and further it will grow up to trillions. It is essential that most of customers of telecommunication networks will be IoT-based devices in the near future. In other words, all objects which are surround us might become IoT. The IoT, in accordance with the Recommendation ITU-T Y.4050/Y.2069, are things which have a network address and have the ability to integrate it. The penetration of IoT devices is going very fast and therefore, requires the standardization of identification procedures and relevant testing methods.</w:t>
      </w:r>
    </w:p>
    <w:p w14:paraId="76A1F183" w14:textId="0F80003A" w:rsidR="00A20762" w:rsidRPr="00080B1C" w:rsidRDefault="00A20762" w:rsidP="00A20762">
      <w:pPr>
        <w:rPr>
          <w:highlight w:val="yellow"/>
          <w:lang w:val="en-GB" w:eastAsia="en-US"/>
        </w:rPr>
      </w:pPr>
      <w:r w:rsidRPr="00A20762">
        <w:rPr>
          <w:lang w:val="en-GB" w:eastAsia="en-US"/>
        </w:rPr>
        <w:lastRenderedPageBreak/>
        <w:t>Also, bearing in mind that there are a lot of applications of Internet of Things, the testing of their identity might be considered as a very important issue as it allows customer to ensure the authenticity of the IoT.</w:t>
      </w:r>
      <w:r>
        <w:rPr>
          <w:lang w:val="en-GB" w:eastAsia="en-US"/>
        </w:rPr>
        <w:t xml:space="preserve"> </w:t>
      </w:r>
      <w:r w:rsidRPr="00A20762">
        <w:rPr>
          <w:lang w:val="en-GB" w:eastAsia="en-US"/>
        </w:rPr>
        <w:t>The classification of IoT, in terms of testing of their identification systems and the relevant testing approaches are subjects of this Recommendation.</w:t>
      </w:r>
    </w:p>
    <w:p w14:paraId="30ED8FA0" w14:textId="77777777" w:rsidR="006A46AE" w:rsidRPr="00A10F95" w:rsidRDefault="006A46AE" w:rsidP="007F1F39">
      <w:pPr>
        <w:pStyle w:val="Headingb"/>
        <w:keepNext w:val="0"/>
      </w:pPr>
      <w:r w:rsidRPr="00A10F95">
        <w:t>I.9.9</w:t>
      </w:r>
      <w:r w:rsidRPr="00A10F95">
        <w:tab/>
        <w:t>Testing energy efficiency of base stations</w:t>
      </w:r>
    </w:p>
    <w:p w14:paraId="24ABC2C5" w14:textId="77777777" w:rsidR="006A46AE" w:rsidRPr="00A10F95" w:rsidRDefault="006A46AE" w:rsidP="007F1F39">
      <w:pPr>
        <w:pStyle w:val="Headingb"/>
        <w:keepNext w:val="0"/>
      </w:pPr>
      <w:r w:rsidRPr="00A10F95">
        <w:t>I.9.10</w:t>
      </w:r>
      <w:r w:rsidRPr="00A10F95">
        <w:tab/>
        <w:t>Testing cloud computing</w:t>
      </w:r>
    </w:p>
    <w:p w14:paraId="19DC8B26" w14:textId="4A84B215" w:rsidR="006A46AE" w:rsidRPr="009864F0" w:rsidRDefault="006A46AE" w:rsidP="007F1F39">
      <w:pPr>
        <w:pStyle w:val="Headingb"/>
        <w:keepNext w:val="0"/>
      </w:pPr>
      <w:r w:rsidRPr="009864F0">
        <w:t>I.9.11</w:t>
      </w:r>
      <w:r w:rsidRPr="009864F0">
        <w:tab/>
        <w:t>Testing SDN</w:t>
      </w:r>
    </w:p>
    <w:p w14:paraId="19F891BA" w14:textId="34D83A10" w:rsidR="009864F0" w:rsidRPr="009864F0" w:rsidRDefault="00E12FA7" w:rsidP="009864F0">
      <w:pPr>
        <w:rPr>
          <w:lang w:val="en-GB" w:eastAsia="en-US"/>
        </w:rPr>
      </w:pPr>
      <w:hyperlink r:id="rId386" w:history="1">
        <w:r w:rsidR="009864F0" w:rsidRPr="005433A7">
          <w:rPr>
            <w:rStyle w:val="Hyperlink"/>
            <w:b/>
            <w:bCs/>
            <w:lang w:val="en-GB" w:eastAsia="en-US"/>
          </w:rPr>
          <w:t>ITU-T Q.3963 “The compatibility testing of SDN-based equipment using OpenFlow protocol”</w:t>
        </w:r>
      </w:hyperlink>
      <w:r w:rsidR="009864F0">
        <w:rPr>
          <w:lang w:val="en-GB" w:eastAsia="en-US"/>
        </w:rPr>
        <w:t xml:space="preserve">: </w:t>
      </w:r>
      <w:r w:rsidR="009864F0" w:rsidRPr="009864F0">
        <w:rPr>
          <w:lang w:val="en-GB" w:eastAsia="en-US"/>
        </w:rPr>
        <w:t>One of the challenges in the area of software-defined networking is to ensure the compatibility of solutions from various producers at all layers of the NFV and SDN network. There are many SDN solutions, both open-source and proprietary; each is unique in terms of the software implementation by the object, which, even if it delivers the functionality required by the standard, is still at risk in certain cases of the network failing or holding up traffic owing to a loss of the OpenFlow connection between the SDN switch and controller of the programmable network, exposing the operator (network owner) to the risk of financial and other losses (e.g. of customers).</w:t>
      </w:r>
      <w:r w:rsidR="009864F0">
        <w:rPr>
          <w:lang w:val="en-GB" w:eastAsia="en-US"/>
        </w:rPr>
        <w:t xml:space="preserve"> </w:t>
      </w:r>
      <w:r w:rsidR="009864F0" w:rsidRPr="009864F0">
        <w:rPr>
          <w:lang w:val="en-GB" w:eastAsia="en-US"/>
        </w:rPr>
        <w:t>To prevent such situations, when installing equipment on a telecommunication network, the operator will test the equipment in question for compatibility with other devices already operating on the network. In the case of SDN, tests are required to check the compatibility of OpenFlow protocol modules of each version installed on the device being tested.</w:t>
      </w:r>
    </w:p>
    <w:p w14:paraId="5FB0B169" w14:textId="6FFB40DE" w:rsidR="009864F0" w:rsidRPr="009864F0" w:rsidRDefault="009864F0" w:rsidP="009864F0">
      <w:pPr>
        <w:rPr>
          <w:highlight w:val="yellow"/>
          <w:lang w:val="en-GB" w:eastAsia="en-US"/>
        </w:rPr>
      </w:pPr>
      <w:r w:rsidRPr="009864F0">
        <w:rPr>
          <w:lang w:val="en-GB" w:eastAsia="en-US"/>
        </w:rPr>
        <w:t>This Recommendation has been developed with a view to harmonizing existing practices in the area of compatibility testing of devices using the OpenFlow operating system.</w:t>
      </w:r>
    </w:p>
    <w:p w14:paraId="014A52CF" w14:textId="7FC75B42" w:rsidR="006A46AE" w:rsidRPr="006B74E2" w:rsidRDefault="006A46AE" w:rsidP="007F1F39">
      <w:pPr>
        <w:pStyle w:val="Headingb"/>
        <w:keepNext w:val="0"/>
      </w:pPr>
      <w:r w:rsidRPr="006B74E2">
        <w:t>I.10</w:t>
      </w:r>
      <w:r w:rsidRPr="006B74E2">
        <w:tab/>
        <w:t>Mainstreaming accessibility in ICTs</w:t>
      </w:r>
    </w:p>
    <w:p w14:paraId="1E04FC2C" w14:textId="0B82EB01" w:rsidR="006B74E2" w:rsidRDefault="00E12FA7" w:rsidP="006B74E2">
      <w:pPr>
        <w:rPr>
          <w:lang w:val="en-GB" w:eastAsia="en-US"/>
        </w:rPr>
      </w:pPr>
      <w:hyperlink r:id="rId387" w:history="1">
        <w:r w:rsidR="006B74E2" w:rsidRPr="000A3960">
          <w:rPr>
            <w:rStyle w:val="Hyperlink"/>
            <w:b/>
            <w:bCs/>
            <w:lang w:val="en-GB" w:eastAsia="en-US"/>
          </w:rPr>
          <w:t>ITU-T F.922 “Requirements of information service systems for visually impaired persons”</w:t>
        </w:r>
      </w:hyperlink>
      <w:r w:rsidR="006B74E2">
        <w:rPr>
          <w:lang w:val="en-GB" w:eastAsia="en-US"/>
        </w:rPr>
        <w:t xml:space="preserve"> </w:t>
      </w:r>
      <w:r w:rsidR="006B74E2" w:rsidRPr="006B74E2">
        <w:rPr>
          <w:lang w:val="en-GB" w:eastAsia="en-US"/>
        </w:rPr>
        <w:t>provides requirements for establishing an information service system for visually impaired persons (ISS-VIP) which is based on mobile internet. ISS-VIP is constructed in C/S mode, VIPs and volunteers could access this system through their client software, and use the service provided by this system, or provide service for another person through this system. ISS-VIP provides three kinds of services, i.e. image recognition service, video assist service and trip companion service.</w:t>
      </w:r>
    </w:p>
    <w:p w14:paraId="6C85337F" w14:textId="2815C27C" w:rsidR="000D6D55" w:rsidRDefault="000D6D55" w:rsidP="000D6D55">
      <w:pPr>
        <w:rPr>
          <w:lang w:val="en-GB" w:eastAsia="en-US"/>
        </w:rPr>
      </w:pPr>
      <w:r w:rsidRPr="0039167D">
        <w:rPr>
          <w:b/>
          <w:lang w:val="en-GB" w:eastAsia="en-US"/>
        </w:rPr>
        <w:t>ITU-T H.702 (V2) (revised) “Accessibility profiles for IPTV systems” (under approval)</w:t>
      </w:r>
      <w:r>
        <w:rPr>
          <w:lang w:val="en-GB" w:eastAsia="en-US"/>
        </w:rPr>
        <w:t xml:space="preserve"> </w:t>
      </w:r>
      <w:r w:rsidRPr="000D6D55">
        <w:rPr>
          <w:lang w:val="en-GB" w:eastAsia="en-US"/>
        </w:rPr>
        <w:t>defines three profiles for accessibility features in IPTV systems, with increasing levels of support. Accessibility information such as caption, sign language and audio description that are sent separately from video contents to IPTV terminal devices. By defining the above profiles, persons with disabilities can choose more easily the terminal devices that have the functions they need. The set of parameters within each profile were identified in consultation with the assistance of persons with disabilities participating in the work of ITU-T. This version includes the accessibility profiles for cognitive disabilities and appendix about an example for H.702 based system, and harmonizes the latest term definitions.</w:t>
      </w:r>
    </w:p>
    <w:p w14:paraId="65D2E13E" w14:textId="4F01F562" w:rsidR="00D940B1" w:rsidRPr="006B74E2" w:rsidRDefault="00D940B1" w:rsidP="000D6D55">
      <w:pPr>
        <w:rPr>
          <w:highlight w:val="yellow"/>
          <w:lang w:val="en-GB" w:eastAsia="en-US"/>
        </w:rPr>
      </w:pPr>
      <w:r w:rsidRPr="0039167D">
        <w:rPr>
          <w:b/>
          <w:lang w:val="en-GB" w:eastAsia="en-US"/>
        </w:rPr>
        <w:t>ITU-T H.704 “Enhanced UI framework for IPTV terminal device - Gesture control interface” (under approval)</w:t>
      </w:r>
      <w:r>
        <w:rPr>
          <w:lang w:val="en-GB" w:eastAsia="en-US"/>
        </w:rPr>
        <w:t xml:space="preserve"> </w:t>
      </w:r>
      <w:r w:rsidRPr="0031304D">
        <w:rPr>
          <w:lang w:val="en-GB" w:eastAsia="en-US"/>
        </w:rPr>
        <w:t xml:space="preserve">defines the general requirements, functional elements and interfaces supporting enhanced capability of user interaction by gesture recognition and controlling over IPTV terminal devices, based on the enhanced user interface (UI) framework defined in [ITU-T H.703]. Those functional elements are described in the gesture controlling enabler and gesture recognition enabler defined in this Recommendation. Moreover, the procedures of interaction between gesture recognition device and gesture-controlled device are defined with the recommended information used in the interaction. This Recommendation enables the gesture controlling feature in the Enhanced IPTV User Interface defined in [ITU-T H.703]. With those features, users can control the </w:t>
      </w:r>
      <w:r w:rsidRPr="0031304D">
        <w:rPr>
          <w:lang w:val="en-GB" w:eastAsia="en-US"/>
        </w:rPr>
        <w:lastRenderedPageBreak/>
        <w:t>operation of IPTV applications in an IPTV terminal device in a convenient, natural and comfortable way.</w:t>
      </w:r>
    </w:p>
    <w:p w14:paraId="76E6577E" w14:textId="21A69829" w:rsidR="006A46AE" w:rsidRPr="00AD3DD6" w:rsidRDefault="006A46AE" w:rsidP="006A46AE">
      <w:pPr>
        <w:pStyle w:val="Headingb"/>
      </w:pPr>
      <w:r w:rsidRPr="00AD3DD6">
        <w:t>I.11</w:t>
      </w:r>
      <w:r w:rsidRPr="00AD3DD6">
        <w:tab/>
        <w:t>Combating Counterfeiting</w:t>
      </w:r>
      <w:r w:rsidR="000F1AB5">
        <w:t xml:space="preserve"> and the use of stolen ICT devices</w:t>
      </w:r>
    </w:p>
    <w:p w14:paraId="2B8E8C70" w14:textId="219CB632" w:rsidR="00AD3DD6" w:rsidRPr="00AD3DD6" w:rsidRDefault="00E12FA7" w:rsidP="00AD3DD6">
      <w:pPr>
        <w:rPr>
          <w:lang w:val="en-GB" w:eastAsia="en-US"/>
        </w:rPr>
      </w:pPr>
      <w:hyperlink r:id="rId388" w:history="1">
        <w:r w:rsidR="00F61A94" w:rsidRPr="00AD3DD6">
          <w:rPr>
            <w:rStyle w:val="Hyperlink"/>
            <w:b/>
            <w:lang w:val="en-GB" w:eastAsia="en-US"/>
          </w:rPr>
          <w:t>ITU-T Q.5051 “</w:t>
        </w:r>
        <w:r w:rsidR="00AD3DD6" w:rsidRPr="00AD3DD6">
          <w:rPr>
            <w:rStyle w:val="Hyperlink"/>
            <w:b/>
            <w:lang w:val="en-GB" w:eastAsia="en-US"/>
          </w:rPr>
          <w:t>Framework for combating the use of stolen mobile devices</w:t>
        </w:r>
        <w:r w:rsidR="00F61A94" w:rsidRPr="00AD3DD6">
          <w:rPr>
            <w:rStyle w:val="Hyperlink"/>
            <w:b/>
            <w:lang w:val="en-GB" w:eastAsia="en-US"/>
          </w:rPr>
          <w:t>”</w:t>
        </w:r>
      </w:hyperlink>
      <w:r w:rsidR="00F61A94" w:rsidRPr="00AD3DD6">
        <w:rPr>
          <w:lang w:val="en-GB" w:eastAsia="en-US"/>
        </w:rPr>
        <w:t xml:space="preserve">: </w:t>
      </w:r>
      <w:r w:rsidR="00AD3DD6" w:rsidRPr="00AD3DD6">
        <w:rPr>
          <w:lang w:val="en-GB" w:eastAsia="en-US"/>
        </w:rPr>
        <w:t>With the increased functions and capabilities available on Mobile Devices, the importance and usage of these devices in people’s daily lives have been growing in recent years. As a side effect, we also observe the rise, in some countries, of actions aimed to steal these devices and generate profit, not only by selling the equipment itself but also by illegally using the information contained on it.</w:t>
      </w:r>
    </w:p>
    <w:p w14:paraId="16AE66B4" w14:textId="77777777" w:rsidR="00AD3DD6" w:rsidRPr="00AD3DD6" w:rsidRDefault="00AD3DD6" w:rsidP="00AD3DD6">
      <w:pPr>
        <w:rPr>
          <w:lang w:val="en-GB" w:eastAsia="en-US"/>
        </w:rPr>
      </w:pPr>
      <w:r w:rsidRPr="00AD3DD6">
        <w:rPr>
          <w:lang w:val="en-GB" w:eastAsia="en-US"/>
        </w:rPr>
        <w:t>As a response, initiatives are needed to deter the theft and reuse of stolen Mobile Devices and to protect the consumer data stored on these devices against illegal use. Since it is common to have devices stolen in one country, that may have deployed solutions to mitigate the use of stolen devices, sold into other countries or even regions where similar mitigation measures may not have been taken, it is critical to the success of such initiatives to have coordination and information sharing between the governments and operators from different countries that aims to combat the theft and reuse of stolen Mobile Devices in a global environment. Otherwise, there is a risk that the illegal trade of stolen devices could occur across international borders.</w:t>
      </w:r>
    </w:p>
    <w:p w14:paraId="3BA6BBD7" w14:textId="77777777" w:rsidR="00AD3DD6" w:rsidRPr="00AD3DD6" w:rsidRDefault="00AD3DD6" w:rsidP="00AD3DD6">
      <w:pPr>
        <w:rPr>
          <w:lang w:val="en-GB" w:eastAsia="en-US"/>
        </w:rPr>
      </w:pPr>
      <w:r w:rsidRPr="00AD3DD6">
        <w:rPr>
          <w:lang w:val="en-GB" w:eastAsia="en-US"/>
        </w:rPr>
        <w:t>It is important to note that, since most solutions deployed today to deter the device theft and reuse problem rely on unique identifier lists, a common action taken by the traffickers to bypass these actions is to tamper with the device to alter its unique identifier, sometimes choosing an identifier already in use by a legitimate device, to allow the equipment to return to the market and to connect to mobile networks.</w:t>
      </w:r>
    </w:p>
    <w:p w14:paraId="068106A5" w14:textId="77777777" w:rsidR="00AD3DD6" w:rsidRPr="00AD3DD6" w:rsidRDefault="00AD3DD6" w:rsidP="00AD3DD6">
      <w:pPr>
        <w:rPr>
          <w:lang w:val="en-GB" w:eastAsia="en-US"/>
        </w:rPr>
      </w:pPr>
      <w:r w:rsidRPr="00AD3DD6">
        <w:rPr>
          <w:lang w:val="en-GB" w:eastAsia="en-US"/>
        </w:rPr>
        <w:t>In response to this scenario, many countries around the world are engaged not only in combating the use of stolen Mobile Devices, but also in preventing the devices with unauthorized reprogrammed unique identifiers, commonly described as tampered identifiers, from returning to the network. Meanwhile governments in other countries are challenged and unclear on the best strategies to adopt, mainly due to a lack of knowledge or expertise to understand the issue and the possible solutions, and to make informed choices to deploy solutions, tailored for their individual countries, that could be effective. In this sense, guidelines are necessary to address this challenge, as indicated on the WTSA Resolution 97 (Hammamet, 2016).</w:t>
      </w:r>
    </w:p>
    <w:p w14:paraId="27EF0207" w14:textId="29B6173E" w:rsidR="00F61A94" w:rsidRDefault="00AD3DD6" w:rsidP="00AD3DD6">
      <w:pPr>
        <w:rPr>
          <w:lang w:val="en-GB" w:eastAsia="en-US"/>
        </w:rPr>
      </w:pPr>
      <w:r w:rsidRPr="00AD3DD6">
        <w:rPr>
          <w:lang w:val="en-GB" w:eastAsia="en-US"/>
        </w:rPr>
        <w:t>Therefore, this Recommendation proposes a framework composed of requirements and a broad range of comprehensive and recommended measures that can be taken and applied to combat the theft and reuse of stolen Mobile Devices</w:t>
      </w:r>
      <w:r w:rsidR="00F61A94" w:rsidRPr="00AD3DD6">
        <w:rPr>
          <w:lang w:val="en-GB" w:eastAsia="en-US"/>
        </w:rPr>
        <w:t>.</w:t>
      </w:r>
    </w:p>
    <w:p w14:paraId="49A66151" w14:textId="50D5F704" w:rsidR="00C2683E" w:rsidRPr="00952FDF" w:rsidRDefault="00C2683E" w:rsidP="00AD3DD6">
      <w:pPr>
        <w:rPr>
          <w:highlight w:val="yellow"/>
          <w:lang w:val="en-GB" w:eastAsia="en-US"/>
        </w:rPr>
      </w:pPr>
      <w:r w:rsidRPr="00F078C3">
        <w:rPr>
          <w:rFonts w:asciiTheme="majorBidi" w:hAnsiTheme="majorBidi" w:cstheme="majorBidi"/>
          <w:b/>
          <w:bCs/>
          <w:szCs w:val="22"/>
        </w:rPr>
        <w:t>Technical Report ITU-T QTR-RLB-IMEI “Reliability of IMEI”</w:t>
      </w:r>
      <w:r w:rsidRPr="00F078C3">
        <w:rPr>
          <w:rFonts w:asciiTheme="majorBidi" w:hAnsiTheme="majorBidi" w:cstheme="majorBidi"/>
          <w:szCs w:val="22"/>
        </w:rPr>
        <w:t xml:space="preserve"> </w:t>
      </w:r>
      <w:r w:rsidR="000E0F2D" w:rsidRPr="00F078C3">
        <w:rPr>
          <w:rFonts w:asciiTheme="majorBidi" w:hAnsiTheme="majorBidi" w:cstheme="majorBidi"/>
          <w:b/>
          <w:bCs/>
          <w:szCs w:val="22"/>
        </w:rPr>
        <w:t>(under publication)</w:t>
      </w:r>
      <w:r w:rsidR="000E0F2D">
        <w:rPr>
          <w:rFonts w:asciiTheme="majorBidi" w:hAnsiTheme="majorBidi" w:cstheme="majorBidi"/>
          <w:szCs w:val="22"/>
        </w:rPr>
        <w:t xml:space="preserve"> </w:t>
      </w:r>
      <w:r w:rsidRPr="0050798B">
        <w:rPr>
          <w:rFonts w:asciiTheme="majorBidi" w:hAnsiTheme="majorBidi" w:cstheme="majorBidi"/>
          <w:szCs w:val="22"/>
        </w:rPr>
        <w:t>contains a study on the reliability of IMEI, including information about key vulnerabilities to IMEI reprogramming on mobile devices, challenges to make the IMEI non-reprogrammable, effects of IMEI tampering on mobile users, brand owners, manufacturers, service providers, regulators, governments, law enforcement agencies and on national security. It addresses key challenges faced by a range of stakeholders that arise from cloned/tampered IMEIs, including concerns about the misuse of IMEI numbers raised by Member States at ITU Council-17 and ITU Council-18. It also proposes ways to improve IMEI reliability and preventive steps for solving the issues on a national and international level.</w:t>
      </w:r>
    </w:p>
    <w:p w14:paraId="0D375717" w14:textId="77777777" w:rsidR="006A46AE" w:rsidRPr="009150FC" w:rsidRDefault="006A46AE" w:rsidP="006A46AE">
      <w:pPr>
        <w:pStyle w:val="Headingb"/>
      </w:pPr>
      <w:r w:rsidRPr="009150FC">
        <w:t>I.12</w:t>
      </w:r>
      <w:r w:rsidRPr="009150FC">
        <w:tab/>
        <w:t>Signalling Protocols</w:t>
      </w:r>
    </w:p>
    <w:p w14:paraId="6F226B19" w14:textId="55D81834" w:rsidR="006A46AE" w:rsidRDefault="006A46AE" w:rsidP="006A46AE">
      <w:pPr>
        <w:pStyle w:val="Headingb"/>
      </w:pPr>
      <w:r w:rsidRPr="000E37F0">
        <w:t>I.13</w:t>
      </w:r>
      <w:r w:rsidRPr="000E37F0">
        <w:tab/>
        <w:t>Formal Languages and Identification</w:t>
      </w:r>
    </w:p>
    <w:p w14:paraId="03D6BFB4" w14:textId="77777777" w:rsidR="0034383A" w:rsidRDefault="0034383A" w:rsidP="0034383A">
      <w:pPr>
        <w:rPr>
          <w:lang w:val="en-GB"/>
        </w:rPr>
      </w:pPr>
      <w:r w:rsidRPr="0060152E">
        <w:rPr>
          <w:b/>
          <w:bCs/>
          <w:lang w:val="en-GB"/>
        </w:rPr>
        <w:t>ITU-T X.680 | ISO/IEC 8824-1 (revised) “Information technology – Abstract Syntax Notation One (ASN.1): Specification of basic notation” (under approval)</w:t>
      </w:r>
      <w:r>
        <w:rPr>
          <w:lang w:val="en-GB"/>
        </w:rPr>
        <w:t xml:space="preserve"> </w:t>
      </w:r>
      <w:r w:rsidRPr="0060152E">
        <w:rPr>
          <w:lang w:val="en-GB"/>
        </w:rPr>
        <w:t xml:space="preserve">provides a notation called </w:t>
      </w:r>
      <w:r w:rsidRPr="0060152E">
        <w:rPr>
          <w:lang w:val="en-GB"/>
        </w:rPr>
        <w:lastRenderedPageBreak/>
        <w:t>Abstract Syntax Notation One (ASN.1) for defining the syntax of information data. It defines a number of simple data types and specifies a notation for referencing these types and for specifying values of these types.</w:t>
      </w:r>
      <w:r>
        <w:rPr>
          <w:lang w:val="en-GB"/>
        </w:rPr>
        <w:t xml:space="preserve"> </w:t>
      </w:r>
      <w:r w:rsidRPr="0060152E">
        <w:rPr>
          <w:lang w:val="en-GB"/>
        </w:rPr>
        <w:t>The ASN.1 notations can be applied whenever it is necessary to define the abstract syntax of information without constraining in any way how the information is encoded for transmission.</w:t>
      </w:r>
    </w:p>
    <w:p w14:paraId="60851B07" w14:textId="77777777" w:rsidR="0034383A" w:rsidRDefault="0034383A" w:rsidP="0034383A">
      <w:pPr>
        <w:rPr>
          <w:lang w:val="en-GB"/>
        </w:rPr>
      </w:pPr>
      <w:r w:rsidRPr="00EE183D">
        <w:rPr>
          <w:b/>
          <w:bCs/>
          <w:lang w:val="en-GB"/>
        </w:rPr>
        <w:t>ITU-T X.681 | ISO/IEC 8824-2 (revised) “Information technology – Abstract Syntax Notation One (ASN.1): Information object specification” (under approval)</w:t>
      </w:r>
      <w:r>
        <w:rPr>
          <w:lang w:val="en-GB"/>
        </w:rPr>
        <w:t xml:space="preserve"> </w:t>
      </w:r>
      <w:r w:rsidRPr="00EE183D">
        <w:rPr>
          <w:lang w:val="en-GB"/>
        </w:rPr>
        <w:t>provides the ASN.1 notation which allows information object classes as well as individual information objects and sets thereof to be defined and given reference names. An information object class defines the form of a conceptual table (an information object set) with one column for each field in the information object class, and with each complete row defining an information object.</w:t>
      </w:r>
    </w:p>
    <w:p w14:paraId="6D6AD60C" w14:textId="77777777" w:rsidR="0034383A" w:rsidRDefault="0034383A" w:rsidP="0034383A">
      <w:pPr>
        <w:rPr>
          <w:lang w:val="en-GB"/>
        </w:rPr>
      </w:pPr>
      <w:r w:rsidRPr="001E3FD4">
        <w:rPr>
          <w:b/>
          <w:bCs/>
          <w:lang w:val="en-GB"/>
        </w:rPr>
        <w:t>ITU-T X.682 | ISO/IEC 8824-3 (revised) “Information technology – Abstract Syntax Notation One (ASN.1): Constraint specification” (under approval)</w:t>
      </w:r>
      <w:r>
        <w:rPr>
          <w:lang w:val="en-GB"/>
        </w:rPr>
        <w:t xml:space="preserve"> </w:t>
      </w:r>
      <w:r w:rsidRPr="001E3FD4">
        <w:rPr>
          <w:lang w:val="en-GB"/>
        </w:rPr>
        <w:t>provides the ASN.1 notation for the general case of constraint and exception specification by which the data values of a structured data type can be limited. The notation also provides for signalling if and when a constraint is violated.</w:t>
      </w:r>
    </w:p>
    <w:p w14:paraId="36A289E3" w14:textId="77777777" w:rsidR="0034383A" w:rsidRDefault="0034383A" w:rsidP="0034383A">
      <w:pPr>
        <w:rPr>
          <w:lang w:val="en-GB"/>
        </w:rPr>
      </w:pPr>
      <w:r w:rsidRPr="00FC4DB6">
        <w:rPr>
          <w:b/>
          <w:bCs/>
          <w:lang w:val="en-GB"/>
        </w:rPr>
        <w:t>ITU-T X.683 | ISO/IEC 8824-4 (revised) “Information technology – Abstract Syntax Notation One (ASN.1): Parameterization of ASN.1 specifications” (under approval)</w:t>
      </w:r>
      <w:r>
        <w:rPr>
          <w:lang w:val="en-GB"/>
        </w:rPr>
        <w:t xml:space="preserve"> </w:t>
      </w:r>
      <w:r w:rsidRPr="00FC4DB6">
        <w:rPr>
          <w:lang w:val="en-GB"/>
        </w:rPr>
        <w:t>defines the provisions for parameterized reference names and parameterized assignments for data types which are useful for the designer when writing specifications where some aspects are left undefined at certain stages of the development to be filled in at a later stage to produce a complete definition of an abstract syntax.</w:t>
      </w:r>
    </w:p>
    <w:p w14:paraId="1490A94D" w14:textId="77777777" w:rsidR="0034383A" w:rsidRDefault="0034383A" w:rsidP="0034383A">
      <w:pPr>
        <w:rPr>
          <w:lang w:val="en-GB"/>
        </w:rPr>
      </w:pPr>
      <w:r w:rsidRPr="00DE5A3B">
        <w:rPr>
          <w:b/>
          <w:bCs/>
          <w:lang w:val="en-GB"/>
        </w:rPr>
        <w:t>ITU-T X.690 | ISO/IEC 8825-1 (revised) “Information technology – ASN.1 encoding rules: Specification of Basic Encoding Rules (BER), Canonical Encoding Rules (CER) and Distinguished Encoding Rules (DER)” (under approval)</w:t>
      </w:r>
      <w:r>
        <w:rPr>
          <w:lang w:val="en-GB"/>
        </w:rPr>
        <w:t xml:space="preserve"> </w:t>
      </w:r>
      <w:r w:rsidRPr="00DE5A3B">
        <w:rPr>
          <w:lang w:val="en-GB"/>
        </w:rPr>
        <w:t>defines a set of Basic Encoding Rules (BER) that may be applied to values of types defined using the ASN.1 notation. Application of these encoding rules produces a transfer syntax for such values. It is implicit in the specification of these encoding rules that they are also used for decoding. This Recommendation | International Standard defines also a set of Distinguished Encoding Rules (DER) and a set of Canonical Encoding Rules (CER) both of which provide constraints on the Basic Encoding Rules (BER). The key difference between them is that DER uses the definite length form of encoding while CER uses the indefinite length form. DER is more suitable for the small encoded values, while CER is more suitable for the large ones. It is implicit in the specification of these encoding rules that they are also used for decoding.</w:t>
      </w:r>
    </w:p>
    <w:p w14:paraId="0CBBAEAA" w14:textId="77777777" w:rsidR="0034383A" w:rsidRDefault="0034383A" w:rsidP="0034383A">
      <w:pPr>
        <w:rPr>
          <w:lang w:val="en-GB"/>
        </w:rPr>
      </w:pPr>
      <w:r w:rsidRPr="000016D7">
        <w:rPr>
          <w:b/>
          <w:bCs/>
          <w:lang w:val="en-GB"/>
        </w:rPr>
        <w:t>ITU-T X.691 | ISO/IEC 8825-2 (revised) “Information technology – ASN.1 encoding rules: Specification of Packed Encoding Rules (PER)” (under approval)</w:t>
      </w:r>
      <w:r>
        <w:rPr>
          <w:lang w:val="en-GB"/>
        </w:rPr>
        <w:t xml:space="preserve"> </w:t>
      </w:r>
      <w:r w:rsidRPr="000016D7">
        <w:rPr>
          <w:lang w:val="en-GB"/>
        </w:rPr>
        <w:t>describes a set of encoding rules that can be applied to values of all ASN.1 types to achieve a much more compact representation than that achieved by the Basic Encoding Rules and its derivatives (described in Rec. ITU-T X.690 | ISO/IEC 8825-1).</w:t>
      </w:r>
    </w:p>
    <w:p w14:paraId="1728725F" w14:textId="77777777" w:rsidR="0034383A" w:rsidRDefault="0034383A" w:rsidP="0034383A">
      <w:pPr>
        <w:rPr>
          <w:lang w:val="en-GB"/>
        </w:rPr>
      </w:pPr>
      <w:r w:rsidRPr="00C46708">
        <w:rPr>
          <w:b/>
          <w:bCs/>
          <w:lang w:val="en-GB"/>
        </w:rPr>
        <w:t>ITU-T X.692 | ISO/IEC 8825-3 (revised) “Information technology – ASN.1 encoding rules: Specification of Encoding Control Notation (ECN)” (under approval)</w:t>
      </w:r>
      <w:r>
        <w:rPr>
          <w:lang w:val="en-GB"/>
        </w:rPr>
        <w:t xml:space="preserve"> </w:t>
      </w:r>
      <w:r w:rsidRPr="00C46708">
        <w:rPr>
          <w:lang w:val="en-GB"/>
        </w:rPr>
        <w:t>defines the Encoding Control Notation (ECN) used to specify encodings (of ASN.1 types) that differ from those provided by standardized encoding rules such as the Basic Encoding Rules (BER) and the Packed Encoding Rules (PER).</w:t>
      </w:r>
    </w:p>
    <w:p w14:paraId="05B86C59" w14:textId="77777777" w:rsidR="0034383A" w:rsidRDefault="0034383A" w:rsidP="0034383A">
      <w:pPr>
        <w:rPr>
          <w:lang w:val="en-GB"/>
        </w:rPr>
      </w:pPr>
      <w:r w:rsidRPr="00417B83">
        <w:rPr>
          <w:b/>
          <w:bCs/>
          <w:lang w:val="en-GB"/>
        </w:rPr>
        <w:t>ITU-T X.693 | ISO/IEC 8825-4 (revised) “Information technology – ASN.1 encoding rules: XML Encoding Rules (XER)” (under approval)</w:t>
      </w:r>
      <w:r>
        <w:rPr>
          <w:lang w:val="en-GB"/>
        </w:rPr>
        <w:t xml:space="preserve"> </w:t>
      </w:r>
      <w:r w:rsidRPr="00417B83">
        <w:rPr>
          <w:lang w:val="en-GB"/>
        </w:rPr>
        <w:t>specifies rules for encoding values of ASN.1 types using the Extensible Markup Language (XML).</w:t>
      </w:r>
    </w:p>
    <w:p w14:paraId="0F2150E7" w14:textId="77777777" w:rsidR="0034383A" w:rsidRDefault="0034383A" w:rsidP="0034383A">
      <w:pPr>
        <w:rPr>
          <w:lang w:val="en-GB" w:eastAsia="en-US"/>
        </w:rPr>
      </w:pPr>
      <w:r w:rsidRPr="004670C5">
        <w:rPr>
          <w:b/>
          <w:bCs/>
          <w:lang w:val="en-GB" w:eastAsia="en-US"/>
        </w:rPr>
        <w:lastRenderedPageBreak/>
        <w:t>ITU-T Z.161 (revised) “Testing and Test Control Notation version 3: TTCN-3 core language” (under approval)</w:t>
      </w:r>
      <w:r>
        <w:rPr>
          <w:lang w:val="en-GB" w:eastAsia="en-US"/>
        </w:rPr>
        <w:t xml:space="preserve"> </w:t>
      </w:r>
      <w:r w:rsidRPr="004670C5">
        <w:rPr>
          <w:lang w:val="en-GB" w:eastAsia="en-US"/>
        </w:rPr>
        <w:t>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r>
        <w:rPr>
          <w:lang w:val="en-GB" w:eastAsia="en-US"/>
        </w:rPr>
        <w:t xml:space="preserve"> </w:t>
      </w:r>
      <w:r w:rsidRPr="004670C5">
        <w:rPr>
          <w:lang w:val="en-GB" w:eastAsia="en-US"/>
        </w:rPr>
        <w:t>This revision of the Recommendation contains amendments, clarifications, corrigenda and editorial corrections.</w:t>
      </w:r>
      <w:r w:rsidRPr="009D7E66">
        <w:rPr>
          <w:b/>
          <w:bCs/>
          <w:lang w:val="en-GB" w:eastAsia="en-US"/>
        </w:rPr>
        <w:t>ITU-T Z.161.3 (revised) “Testing and Test Control Notation version 3: TTCN-3 language extensions: Advanced parameterization” (under approval)</w:t>
      </w:r>
      <w:r>
        <w:rPr>
          <w:lang w:val="en-GB" w:eastAsia="en-US"/>
        </w:rPr>
        <w:t xml:space="preserve"> </w:t>
      </w:r>
      <w:r w:rsidRPr="009D7E66">
        <w:rPr>
          <w:lang w:val="en-GB" w:eastAsia="en-US"/>
        </w:rPr>
        <w:t>defines the advanced parameterization package of 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0C2954BC" w14:textId="77777777" w:rsidR="0034383A" w:rsidRDefault="0034383A" w:rsidP="0034383A">
      <w:pPr>
        <w:rPr>
          <w:lang w:val="en-GB" w:eastAsia="en-US"/>
        </w:rPr>
      </w:pPr>
      <w:r w:rsidRPr="008064C9">
        <w:rPr>
          <w:b/>
          <w:bCs/>
          <w:lang w:val="en-GB" w:eastAsia="en-US"/>
        </w:rPr>
        <w:t>ITU-T Z.161.4 (revised) “Testing and Test Control Notation version 3: TTCN-3 language extensions: Behaviour types” (under approval)</w:t>
      </w:r>
      <w:r>
        <w:rPr>
          <w:lang w:val="en-GB" w:eastAsia="en-US"/>
        </w:rPr>
        <w:t xml:space="preserve"> </w:t>
      </w:r>
      <w:r w:rsidRPr="008064C9">
        <w:rPr>
          <w:lang w:val="en-GB" w:eastAsia="en-US"/>
        </w:rPr>
        <w:t>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8A46739" w14:textId="77777777" w:rsidR="0034383A" w:rsidRDefault="0034383A" w:rsidP="0034383A">
      <w:pPr>
        <w:rPr>
          <w:lang w:val="en-GB" w:eastAsia="en-US"/>
        </w:rPr>
      </w:pPr>
      <w:r w:rsidRPr="0069349B">
        <w:rPr>
          <w:b/>
          <w:bCs/>
          <w:lang w:val="en-GB" w:eastAsia="en-US"/>
        </w:rPr>
        <w:t>ITU-T Z.161.6 (revised) “Testing and Test Control Notation version 3: TTCN-3 language extensions: Advanced Matching” (under approval)</w:t>
      </w:r>
      <w:r>
        <w:rPr>
          <w:lang w:val="en-GB" w:eastAsia="en-US"/>
        </w:rPr>
        <w:t xml:space="preserve"> </w:t>
      </w:r>
      <w:r w:rsidRPr="0069349B">
        <w:rPr>
          <w:lang w:val="en-GB" w:eastAsia="en-US"/>
        </w:rPr>
        <w:t>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4618AEA7" w14:textId="77777777" w:rsidR="0034383A" w:rsidRDefault="0034383A" w:rsidP="0034383A">
      <w:pPr>
        <w:rPr>
          <w:lang w:val="en-GB" w:eastAsia="en-US"/>
        </w:rPr>
      </w:pPr>
      <w:r w:rsidRPr="00CE6E87">
        <w:rPr>
          <w:b/>
          <w:bCs/>
          <w:lang w:val="en-GB" w:eastAsia="en-US"/>
        </w:rPr>
        <w:t>ITU-T Z.161.7 (revised) “Testing and Test Control Notation version 3: TTCN-3 language extensions: Object-Oriented Features” (under approval)</w:t>
      </w:r>
      <w:r>
        <w:rPr>
          <w:lang w:val="en-GB" w:eastAsia="en-US"/>
        </w:rPr>
        <w:t xml:space="preserve"> </w:t>
      </w:r>
      <w:r w:rsidRPr="00CE6E87">
        <w:rPr>
          <w:lang w:val="en-GB" w:eastAsia="en-US"/>
        </w:rPr>
        <w:t>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3BF1184E" w14:textId="77777777" w:rsidR="0034383A" w:rsidRDefault="0034383A" w:rsidP="0034383A">
      <w:pPr>
        <w:rPr>
          <w:lang w:val="en-GB" w:eastAsia="en-US"/>
        </w:rPr>
      </w:pPr>
      <w:r w:rsidRPr="00DF3F90">
        <w:rPr>
          <w:b/>
          <w:bCs/>
          <w:lang w:val="en-GB" w:eastAsia="en-US"/>
        </w:rPr>
        <w:t>ITU-T Z.165.1 (revised) “Testing and Test Control Notation version 3: TTCN-3 language extensions: Extended TRI” (under approval)</w:t>
      </w:r>
      <w:r>
        <w:rPr>
          <w:lang w:val="en-GB" w:eastAsia="en-US"/>
        </w:rPr>
        <w:t xml:space="preserve"> </w:t>
      </w:r>
      <w:r w:rsidRPr="00DF3F90">
        <w:rPr>
          <w:lang w:val="en-GB" w:eastAsia="en-US"/>
        </w:rPr>
        <w:t xml:space="preserve">defines the extended TRI package of TTCN 3. </w:t>
      </w:r>
      <w:r w:rsidRPr="00DF3F90">
        <w:rPr>
          <w:lang w:val="en-GB" w:eastAsia="en-US"/>
        </w:rPr>
        <w:lastRenderedPageBreak/>
        <w:t>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B3E47CC" w14:textId="77777777" w:rsidR="0034383A" w:rsidRDefault="0034383A" w:rsidP="0034383A">
      <w:pPr>
        <w:rPr>
          <w:lang w:val="en-GB" w:eastAsia="en-US"/>
        </w:rPr>
      </w:pPr>
      <w:r w:rsidRPr="00780D92">
        <w:rPr>
          <w:b/>
          <w:bCs/>
          <w:lang w:val="en-GB" w:eastAsia="en-US"/>
        </w:rPr>
        <w:t>ITU-T Z.166 (revised) “Testing and Test Control Notation version 3: TTCN-3 control interface (TCI)” (under approval)</w:t>
      </w:r>
      <w:r>
        <w:rPr>
          <w:lang w:val="en-GB" w:eastAsia="en-US"/>
        </w:rPr>
        <w:t xml:space="preserve"> </w:t>
      </w:r>
      <w:r w:rsidRPr="00780D92">
        <w:rPr>
          <w:lang w:val="en-GB" w:eastAsia="en-US"/>
        </w:rPr>
        <w:t>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w:t>
      </w:r>
      <w:r>
        <w:rPr>
          <w:lang w:val="en-GB" w:eastAsia="en-US"/>
        </w:rPr>
        <w:t xml:space="preserve"> </w:t>
      </w:r>
      <w:r w:rsidRPr="00780D92">
        <w:rPr>
          <w:lang w:val="en-GB" w:eastAsia="en-US"/>
        </w:rPr>
        <w:t>The interfaces are defined to be compatible with the TTCN-3 standards (see clause 2 of ETSI ES 201 873-6 V4.12.1). The interface definition uses the Common Object Request Broker Architecture (CORBA) Interface Definition Language (IDL) to specify the TCI completely. Clauses 8, 9 and 9.7 of ETSI ES 201 873-6 V4.12.1 present language mappings for this abstract specification to the target languages Java and ANSI C.</w:t>
      </w:r>
      <w:r>
        <w:rPr>
          <w:lang w:val="en-GB" w:eastAsia="en-US"/>
        </w:rPr>
        <w:t xml:space="preserve"> </w:t>
      </w:r>
      <w:r w:rsidRPr="00780D92">
        <w:rPr>
          <w:lang w:val="en-GB" w:eastAsia="en-US"/>
        </w:rPr>
        <w:t>This revision of the Recommendation contains amendments, clarifications, corrigenda and editorial corrections.</w:t>
      </w:r>
    </w:p>
    <w:p w14:paraId="5E256126" w14:textId="1C30728C" w:rsidR="0034383A" w:rsidRPr="0034383A" w:rsidRDefault="0034383A" w:rsidP="0034383A">
      <w:pPr>
        <w:rPr>
          <w:lang w:val="en-GB" w:eastAsia="en-US"/>
        </w:rPr>
      </w:pPr>
      <w:r w:rsidRPr="00C07E8E">
        <w:rPr>
          <w:b/>
          <w:bCs/>
          <w:lang w:val="en-GB" w:eastAsia="en-US"/>
        </w:rPr>
        <w:t>ITU-T Z.167 (revised) “Testing and Test Control Notation version 3: Using ASN.1 with TTCN-3” (under approval)</w:t>
      </w:r>
      <w:r>
        <w:rPr>
          <w:lang w:val="en-GB" w:eastAsia="en-US"/>
        </w:rPr>
        <w:t xml:space="preserve"> </w:t>
      </w:r>
      <w:r w:rsidRPr="00C07E8E">
        <w:rPr>
          <w:lang w:val="en-GB" w:eastAsia="en-US"/>
        </w:rPr>
        <w:t>defines a normative way of using ASN.1 as defined in Recommendations ITU-T X.680, ITU-T X.681, ITU-T X.682 and ITU-T X.683 with TTCN-3. The harmonization of other languages with TTCN-3 is not covered by this Recommendation.</w:t>
      </w:r>
      <w:r>
        <w:rPr>
          <w:lang w:val="en-GB" w:eastAsia="en-US"/>
        </w:rPr>
        <w:t xml:space="preserve"> </w:t>
      </w:r>
      <w:r w:rsidRPr="00C07E8E">
        <w:rPr>
          <w:lang w:val="en-GB" w:eastAsia="en-US"/>
        </w:rPr>
        <w:t>This revision of the Recommendation contains amendments, clarifications, corrigenda and editorial corrections.</w:t>
      </w:r>
    </w:p>
    <w:p w14:paraId="6A14EFB0" w14:textId="01578F74" w:rsidR="00024164" w:rsidRPr="00B9670D" w:rsidRDefault="00024164" w:rsidP="00024164">
      <w:pPr>
        <w:pStyle w:val="Headingb"/>
      </w:pPr>
      <w:r w:rsidRPr="00B9670D">
        <w:t>I.14</w:t>
      </w:r>
      <w:r w:rsidRPr="00B9670D">
        <w:tab/>
        <w:t>Rules and Procedures</w:t>
      </w:r>
      <w:r w:rsidR="00B9670D" w:rsidRPr="00B9670D">
        <w:t>, Working Methods</w:t>
      </w:r>
    </w:p>
    <w:p w14:paraId="0B1F31B7" w14:textId="24192DD7" w:rsidR="001968B7" w:rsidRPr="003B5D4B" w:rsidRDefault="00E12FA7" w:rsidP="003B5D4B">
      <w:hyperlink r:id="rId389" w:history="1">
        <w:r w:rsidR="00B9670D" w:rsidRPr="00027B9D">
          <w:rPr>
            <w:rStyle w:val="Hyperlink"/>
            <w:b/>
          </w:rPr>
          <w:t>Manual for rapporteurs and editors</w:t>
        </w:r>
        <w:r w:rsidR="003B5D4B" w:rsidRPr="00027B9D">
          <w:rPr>
            <w:rStyle w:val="Hyperlink"/>
            <w:b/>
          </w:rPr>
          <w:t xml:space="preserve"> (14 February 2020)</w:t>
        </w:r>
      </w:hyperlink>
      <w:r w:rsidR="003B5D4B" w:rsidRPr="003B5D4B">
        <w:rPr>
          <w:bCs/>
        </w:rPr>
        <w:t xml:space="preserve"> </w:t>
      </w:r>
      <w:r w:rsidR="003B5D4B" w:rsidRPr="003B5D4B">
        <w:rPr>
          <w:lang w:val="en-GB"/>
        </w:rPr>
        <w:t>provides guidance to rapporteurs and editors in their day-to-day performance of the task given to them.</w:t>
      </w:r>
      <w:r w:rsidR="003B5D4B">
        <w:rPr>
          <w:lang w:val="en-GB"/>
        </w:rPr>
        <w:t xml:space="preserve"> </w:t>
      </w:r>
      <w:r w:rsidR="003B5D4B" w:rsidRPr="003B5D4B">
        <w:rPr>
          <w:lang w:val="en-GB"/>
        </w:rPr>
        <w:t>The manual covers the requirements for meetings, the preparation of Recommendations, and the necessary reports.</w:t>
      </w:r>
    </w:p>
    <w:p w14:paraId="7F3F44C6" w14:textId="77777777" w:rsidR="00C44FDC" w:rsidRDefault="00C44FDC" w:rsidP="001968B7">
      <w:pPr>
        <w:jc w:val="center"/>
        <w:rPr>
          <w:lang w:val="en-GB"/>
        </w:rPr>
      </w:pPr>
    </w:p>
    <w:p w14:paraId="16AB967C" w14:textId="715C5BEB" w:rsidR="00373D43" w:rsidRPr="00180522" w:rsidRDefault="001968B7" w:rsidP="001968B7">
      <w:pPr>
        <w:jc w:val="center"/>
        <w:rPr>
          <w:lang w:val="en-GB"/>
        </w:rPr>
      </w:pPr>
      <w:r>
        <w:rPr>
          <w:lang w:val="en-GB"/>
        </w:rPr>
        <w:t>_______</w:t>
      </w:r>
      <w:r w:rsidR="00C44FDC">
        <w:rPr>
          <w:lang w:val="en-GB"/>
        </w:rPr>
        <w:t>____________</w:t>
      </w:r>
    </w:p>
    <w:sectPr w:rsidR="00373D43" w:rsidRPr="00180522" w:rsidSect="00C44FDC">
      <w:headerReference w:type="even" r:id="rId390"/>
      <w:headerReference w:type="default" r:id="rId391"/>
      <w:footerReference w:type="even" r:id="rId392"/>
      <w:footerReference w:type="default" r:id="rId393"/>
      <w:headerReference w:type="first" r:id="rId394"/>
      <w:footerReference w:type="first" r:id="rId395"/>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14F6A" w14:textId="77777777" w:rsidR="00D32BC7" w:rsidRDefault="00D32BC7">
      <w:r>
        <w:separator/>
      </w:r>
    </w:p>
  </w:endnote>
  <w:endnote w:type="continuationSeparator" w:id="0">
    <w:p w14:paraId="039DB415" w14:textId="77777777" w:rsidR="00D32BC7" w:rsidRDefault="00D32BC7">
      <w:r>
        <w:continuationSeparator/>
      </w:r>
    </w:p>
  </w:endnote>
  <w:endnote w:type="continuationNotice" w:id="1">
    <w:p w14:paraId="58C23D5F" w14:textId="77777777" w:rsidR="00D32BC7" w:rsidRDefault="00D32B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STKaiti">
    <w:charset w:val="86"/>
    <w:family w:val="auto"/>
    <w:pitch w:val="variable"/>
    <w:sig w:usb0="00000287" w:usb1="080F0000" w:usb2="00000010" w:usb3="00000000" w:csb0="0004009F" w:csb1="00000000"/>
  </w:font>
  <w:font w:name="Tahoma,Times New Roman">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BDAD9" w14:textId="77777777" w:rsidR="00E12FA7" w:rsidRDefault="00E12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72D88" w14:textId="77777777" w:rsidR="00E12FA7" w:rsidRDefault="00E12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1AC47" w14:textId="77777777" w:rsidR="00E12FA7" w:rsidRDefault="00E1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FF7B9" w14:textId="77777777" w:rsidR="00D32BC7" w:rsidRDefault="00D32BC7">
      <w:r>
        <w:separator/>
      </w:r>
    </w:p>
  </w:footnote>
  <w:footnote w:type="continuationSeparator" w:id="0">
    <w:p w14:paraId="22623019" w14:textId="77777777" w:rsidR="00D32BC7" w:rsidRDefault="00D32BC7">
      <w:r>
        <w:continuationSeparator/>
      </w:r>
    </w:p>
  </w:footnote>
  <w:footnote w:type="continuationNotice" w:id="1">
    <w:p w14:paraId="2F4725D6" w14:textId="77777777" w:rsidR="00D32BC7" w:rsidRDefault="00D32BC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F78EE" w14:textId="77777777" w:rsidR="00E12FA7" w:rsidRDefault="00E12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A81C" w14:textId="3EBFC267" w:rsidR="00D94185" w:rsidRPr="00C44FDC" w:rsidRDefault="00C44FDC" w:rsidP="00C44FDC">
    <w:pPr>
      <w:pStyle w:val="Header"/>
    </w:pPr>
    <w:r w:rsidRPr="00C44FDC">
      <w:t xml:space="preserve">- </w:t>
    </w:r>
    <w:r w:rsidRPr="00C44FDC">
      <w:fldChar w:fldCharType="begin"/>
    </w:r>
    <w:r w:rsidRPr="00C44FDC">
      <w:instrText xml:space="preserve"> PAGE  \* MERGEFORMAT </w:instrText>
    </w:r>
    <w:r w:rsidRPr="00C44FDC">
      <w:fldChar w:fldCharType="separate"/>
    </w:r>
    <w:r w:rsidR="00F966D0">
      <w:rPr>
        <w:noProof/>
      </w:rPr>
      <w:t>4</w:t>
    </w:r>
    <w:r w:rsidRPr="00C44FDC">
      <w:fldChar w:fldCharType="end"/>
    </w:r>
    <w:r w:rsidRPr="00C44FDC">
      <w:t xml:space="preserve"> -</w:t>
    </w:r>
  </w:p>
  <w:p w14:paraId="22CDC616" w14:textId="3F44C89C" w:rsidR="00C44FDC" w:rsidRPr="00C44FDC" w:rsidRDefault="00C44FDC" w:rsidP="00C44FDC">
    <w:pPr>
      <w:pStyle w:val="Header"/>
      <w:spacing w:after="240"/>
    </w:pPr>
    <w:r>
      <w:t>TSAG-TD788</w:t>
    </w:r>
    <w:r w:rsidR="00E12FA7">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6E45C" w14:textId="77777777" w:rsidR="00E12FA7" w:rsidRDefault="00E12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5D6503"/>
    <w:multiLevelType w:val="hybridMultilevel"/>
    <w:tmpl w:val="EC30725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0"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21B8D"/>
    <w:multiLevelType w:val="hybridMultilevel"/>
    <w:tmpl w:val="40A2FAC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826A07"/>
    <w:multiLevelType w:val="hybridMultilevel"/>
    <w:tmpl w:val="DD7EB726"/>
    <w:lvl w:ilvl="0" w:tplc="731455E2">
      <w:start w:val="1"/>
      <w:numFmt w:val="bullet"/>
      <w:lvlText w:val="–"/>
      <w:lvlJc w:val="left"/>
      <w:pPr>
        <w:ind w:left="720" w:hanging="360"/>
      </w:pPr>
      <w:rPr>
        <w:rFonts w:ascii="Times New Roman" w:hAnsi="Times New Roman" w:cs="Times New Roman" w:hint="default"/>
      </w:rPr>
    </w:lvl>
    <w:lvl w:ilvl="1" w:tplc="6BFE5608">
      <w:numFmt w:val="bullet"/>
      <w:lvlText w:val="•"/>
      <w:lvlJc w:val="left"/>
      <w:pPr>
        <w:ind w:left="1650" w:hanging="570"/>
      </w:pPr>
      <w:rPr>
        <w:rFonts w:ascii="Times New Roman" w:eastAsia="Gulim" w:hAnsi="Times New Roman" w:cs="Times New Roman" w:hint="default"/>
      </w:rPr>
    </w:lvl>
    <w:lvl w:ilvl="2" w:tplc="731455E2">
      <w:start w:val="1"/>
      <w:numFmt w:val="bullet"/>
      <w:lvlText w:val="–"/>
      <w:lvlJc w:val="left"/>
      <w:pPr>
        <w:ind w:left="2595" w:hanging="795"/>
      </w:pPr>
      <w:rPr>
        <w:rFonts w:ascii="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8F2DA5"/>
    <w:multiLevelType w:val="hybridMultilevel"/>
    <w:tmpl w:val="AC0001F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4" w15:restartNumberingAfterBreak="0">
    <w:nsid w:val="16CF416B"/>
    <w:multiLevelType w:val="hybridMultilevel"/>
    <w:tmpl w:val="C3ECAD3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28DD707C"/>
    <w:multiLevelType w:val="multilevel"/>
    <w:tmpl w:val="1E68F37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2C14316C"/>
    <w:multiLevelType w:val="hybridMultilevel"/>
    <w:tmpl w:val="60701CE4"/>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FC0544"/>
    <w:multiLevelType w:val="hybridMultilevel"/>
    <w:tmpl w:val="6F8E251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4" w15:restartNumberingAfterBreak="0">
    <w:nsid w:val="2EE675B9"/>
    <w:multiLevelType w:val="hybridMultilevel"/>
    <w:tmpl w:val="246C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C4F6F"/>
    <w:multiLevelType w:val="hybridMultilevel"/>
    <w:tmpl w:val="406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34055B"/>
    <w:multiLevelType w:val="hybridMultilevel"/>
    <w:tmpl w:val="3E5E071E"/>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31F4662"/>
    <w:multiLevelType w:val="hybridMultilevel"/>
    <w:tmpl w:val="A32ECE42"/>
    <w:lvl w:ilvl="0" w:tplc="BBF6815E">
      <w:start w:val="1"/>
      <w:numFmt w:val="bullet"/>
      <w:lvlText w:val=""/>
      <w:lvlJc w:val="left"/>
      <w:pPr>
        <w:tabs>
          <w:tab w:val="num" w:pos="720"/>
        </w:tabs>
        <w:ind w:left="720" w:hanging="360"/>
      </w:pPr>
      <w:rPr>
        <w:rFonts w:ascii="Symbol" w:hAnsi="Symbol" w:hint="default"/>
        <w:sz w:val="20"/>
      </w:rPr>
    </w:lvl>
    <w:lvl w:ilvl="1" w:tplc="619E4862" w:tentative="1">
      <w:start w:val="1"/>
      <w:numFmt w:val="bullet"/>
      <w:lvlText w:val=""/>
      <w:lvlJc w:val="left"/>
      <w:pPr>
        <w:tabs>
          <w:tab w:val="num" w:pos="1440"/>
        </w:tabs>
        <w:ind w:left="1440" w:hanging="360"/>
      </w:pPr>
      <w:rPr>
        <w:rFonts w:ascii="Symbol" w:hAnsi="Symbol" w:hint="default"/>
        <w:sz w:val="20"/>
      </w:rPr>
    </w:lvl>
    <w:lvl w:ilvl="2" w:tplc="5E345E4A" w:tentative="1">
      <w:start w:val="1"/>
      <w:numFmt w:val="bullet"/>
      <w:lvlText w:val=""/>
      <w:lvlJc w:val="left"/>
      <w:pPr>
        <w:tabs>
          <w:tab w:val="num" w:pos="2160"/>
        </w:tabs>
        <w:ind w:left="2160" w:hanging="360"/>
      </w:pPr>
      <w:rPr>
        <w:rFonts w:ascii="Symbol" w:hAnsi="Symbol" w:hint="default"/>
        <w:sz w:val="20"/>
      </w:rPr>
    </w:lvl>
    <w:lvl w:ilvl="3" w:tplc="BCDE252E" w:tentative="1">
      <w:start w:val="1"/>
      <w:numFmt w:val="bullet"/>
      <w:lvlText w:val=""/>
      <w:lvlJc w:val="left"/>
      <w:pPr>
        <w:tabs>
          <w:tab w:val="num" w:pos="2880"/>
        </w:tabs>
        <w:ind w:left="2880" w:hanging="360"/>
      </w:pPr>
      <w:rPr>
        <w:rFonts w:ascii="Symbol" w:hAnsi="Symbol" w:hint="default"/>
        <w:sz w:val="20"/>
      </w:rPr>
    </w:lvl>
    <w:lvl w:ilvl="4" w:tplc="C56AE9CA" w:tentative="1">
      <w:start w:val="1"/>
      <w:numFmt w:val="bullet"/>
      <w:lvlText w:val=""/>
      <w:lvlJc w:val="left"/>
      <w:pPr>
        <w:tabs>
          <w:tab w:val="num" w:pos="3600"/>
        </w:tabs>
        <w:ind w:left="3600" w:hanging="360"/>
      </w:pPr>
      <w:rPr>
        <w:rFonts w:ascii="Symbol" w:hAnsi="Symbol" w:hint="default"/>
        <w:sz w:val="20"/>
      </w:rPr>
    </w:lvl>
    <w:lvl w:ilvl="5" w:tplc="79228BBA" w:tentative="1">
      <w:start w:val="1"/>
      <w:numFmt w:val="bullet"/>
      <w:lvlText w:val=""/>
      <w:lvlJc w:val="left"/>
      <w:pPr>
        <w:tabs>
          <w:tab w:val="num" w:pos="4320"/>
        </w:tabs>
        <w:ind w:left="4320" w:hanging="360"/>
      </w:pPr>
      <w:rPr>
        <w:rFonts w:ascii="Symbol" w:hAnsi="Symbol" w:hint="default"/>
        <w:sz w:val="20"/>
      </w:rPr>
    </w:lvl>
    <w:lvl w:ilvl="6" w:tplc="C41C04D6" w:tentative="1">
      <w:start w:val="1"/>
      <w:numFmt w:val="bullet"/>
      <w:lvlText w:val=""/>
      <w:lvlJc w:val="left"/>
      <w:pPr>
        <w:tabs>
          <w:tab w:val="num" w:pos="5040"/>
        </w:tabs>
        <w:ind w:left="5040" w:hanging="360"/>
      </w:pPr>
      <w:rPr>
        <w:rFonts w:ascii="Symbol" w:hAnsi="Symbol" w:hint="default"/>
        <w:sz w:val="20"/>
      </w:rPr>
    </w:lvl>
    <w:lvl w:ilvl="7" w:tplc="ED185D78" w:tentative="1">
      <w:start w:val="1"/>
      <w:numFmt w:val="bullet"/>
      <w:lvlText w:val=""/>
      <w:lvlJc w:val="left"/>
      <w:pPr>
        <w:tabs>
          <w:tab w:val="num" w:pos="5760"/>
        </w:tabs>
        <w:ind w:left="5760" w:hanging="360"/>
      </w:pPr>
      <w:rPr>
        <w:rFonts w:ascii="Symbol" w:hAnsi="Symbol" w:hint="default"/>
        <w:sz w:val="20"/>
      </w:rPr>
    </w:lvl>
    <w:lvl w:ilvl="8" w:tplc="2DDA506C"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5074CF"/>
    <w:multiLevelType w:val="hybridMultilevel"/>
    <w:tmpl w:val="6C9A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2"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36" w15:restartNumberingAfterBreak="0">
    <w:nsid w:val="54284A28"/>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7F5742"/>
    <w:multiLevelType w:val="hybridMultilevel"/>
    <w:tmpl w:val="9E8CE2A4"/>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B845FE"/>
    <w:multiLevelType w:val="hybridMultilevel"/>
    <w:tmpl w:val="FFFFFFFF"/>
    <w:lvl w:ilvl="0" w:tplc="DD5A50AE">
      <w:start w:val="1"/>
      <w:numFmt w:val="bullet"/>
      <w:lvlText w:val="–"/>
      <w:lvlJc w:val="left"/>
      <w:pPr>
        <w:ind w:left="720" w:hanging="360"/>
      </w:pPr>
      <w:rPr>
        <w:rFonts w:ascii="Times New Roman" w:hAnsi="Times New Roman" w:hint="default"/>
      </w:rPr>
    </w:lvl>
    <w:lvl w:ilvl="1" w:tplc="AF84D308">
      <w:start w:val="1"/>
      <w:numFmt w:val="bullet"/>
      <w:lvlText w:val="o"/>
      <w:lvlJc w:val="left"/>
      <w:pPr>
        <w:ind w:left="1440" w:hanging="360"/>
      </w:pPr>
      <w:rPr>
        <w:rFonts w:ascii="Courier New" w:hAnsi="Courier New" w:hint="default"/>
      </w:rPr>
    </w:lvl>
    <w:lvl w:ilvl="2" w:tplc="82CC322C">
      <w:start w:val="1"/>
      <w:numFmt w:val="bullet"/>
      <w:lvlText w:val=""/>
      <w:lvlJc w:val="left"/>
      <w:pPr>
        <w:ind w:left="2160" w:hanging="360"/>
      </w:pPr>
      <w:rPr>
        <w:rFonts w:ascii="Wingdings" w:hAnsi="Wingdings" w:hint="default"/>
      </w:rPr>
    </w:lvl>
    <w:lvl w:ilvl="3" w:tplc="0A18A652">
      <w:start w:val="1"/>
      <w:numFmt w:val="bullet"/>
      <w:lvlText w:val=""/>
      <w:lvlJc w:val="left"/>
      <w:pPr>
        <w:ind w:left="2880" w:hanging="360"/>
      </w:pPr>
      <w:rPr>
        <w:rFonts w:ascii="Symbol" w:hAnsi="Symbol" w:hint="default"/>
      </w:rPr>
    </w:lvl>
    <w:lvl w:ilvl="4" w:tplc="40346B36">
      <w:start w:val="1"/>
      <w:numFmt w:val="bullet"/>
      <w:lvlText w:val="o"/>
      <w:lvlJc w:val="left"/>
      <w:pPr>
        <w:ind w:left="3600" w:hanging="360"/>
      </w:pPr>
      <w:rPr>
        <w:rFonts w:ascii="Courier New" w:hAnsi="Courier New" w:hint="default"/>
      </w:rPr>
    </w:lvl>
    <w:lvl w:ilvl="5" w:tplc="84E84C62">
      <w:start w:val="1"/>
      <w:numFmt w:val="bullet"/>
      <w:lvlText w:val=""/>
      <w:lvlJc w:val="left"/>
      <w:pPr>
        <w:ind w:left="4320" w:hanging="360"/>
      </w:pPr>
      <w:rPr>
        <w:rFonts w:ascii="Wingdings" w:hAnsi="Wingdings" w:hint="default"/>
      </w:rPr>
    </w:lvl>
    <w:lvl w:ilvl="6" w:tplc="A53A3910">
      <w:start w:val="1"/>
      <w:numFmt w:val="bullet"/>
      <w:lvlText w:val=""/>
      <w:lvlJc w:val="left"/>
      <w:pPr>
        <w:ind w:left="5040" w:hanging="360"/>
      </w:pPr>
      <w:rPr>
        <w:rFonts w:ascii="Symbol" w:hAnsi="Symbol" w:hint="default"/>
      </w:rPr>
    </w:lvl>
    <w:lvl w:ilvl="7" w:tplc="A3F46374">
      <w:start w:val="1"/>
      <w:numFmt w:val="bullet"/>
      <w:lvlText w:val="o"/>
      <w:lvlJc w:val="left"/>
      <w:pPr>
        <w:ind w:left="5760" w:hanging="360"/>
      </w:pPr>
      <w:rPr>
        <w:rFonts w:ascii="Courier New" w:hAnsi="Courier New" w:hint="default"/>
      </w:rPr>
    </w:lvl>
    <w:lvl w:ilvl="8" w:tplc="ECDEC866">
      <w:start w:val="1"/>
      <w:numFmt w:val="bullet"/>
      <w:lvlText w:val=""/>
      <w:lvlJc w:val="left"/>
      <w:pPr>
        <w:ind w:left="6480" w:hanging="360"/>
      </w:pPr>
      <w:rPr>
        <w:rFonts w:ascii="Wingdings" w:hAnsi="Wingdings" w:hint="default"/>
      </w:rPr>
    </w:lvl>
  </w:abstractNum>
  <w:abstractNum w:abstractNumId="43"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C97250"/>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6B4578E2"/>
    <w:multiLevelType w:val="hybridMultilevel"/>
    <w:tmpl w:val="7A22C7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5F6AB4"/>
    <w:multiLevelType w:val="hybridMultilevel"/>
    <w:tmpl w:val="7CE622F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9"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48"/>
  </w:num>
  <w:num w:numId="6">
    <w:abstractNumId w:val="27"/>
  </w:num>
  <w:num w:numId="7">
    <w:abstractNumId w:val="40"/>
  </w:num>
  <w:num w:numId="8">
    <w:abstractNumId w:val="23"/>
  </w:num>
  <w:num w:numId="9">
    <w:abstractNumId w:val="31"/>
  </w:num>
  <w:num w:numId="10">
    <w:abstractNumId w:val="50"/>
  </w:num>
  <w:num w:numId="11">
    <w:abstractNumId w:val="35"/>
  </w:num>
  <w:num w:numId="12">
    <w:abstractNumId w:val="38"/>
  </w:num>
  <w:num w:numId="13">
    <w:abstractNumId w:val="49"/>
  </w:num>
  <w:num w:numId="14">
    <w:abstractNumId w:val="45"/>
  </w:num>
  <w:num w:numId="15">
    <w:abstractNumId w:val="11"/>
  </w:num>
  <w:num w:numId="16">
    <w:abstractNumId w:val="47"/>
  </w:num>
  <w:num w:numId="17">
    <w:abstractNumId w:val="12"/>
  </w:num>
  <w:num w:numId="18">
    <w:abstractNumId w:val="5"/>
  </w:num>
  <w:num w:numId="19">
    <w:abstractNumId w:val="3"/>
  </w:num>
  <w:num w:numId="20">
    <w:abstractNumId w:val="1"/>
  </w:num>
  <w:num w:numId="21">
    <w:abstractNumId w:val="0"/>
  </w:num>
  <w:num w:numId="22">
    <w:abstractNumId w:val="41"/>
  </w:num>
  <w:num w:numId="23">
    <w:abstractNumId w:val="37"/>
  </w:num>
  <w:num w:numId="24">
    <w:abstractNumId w:val="26"/>
  </w:num>
  <w:num w:numId="25">
    <w:abstractNumId w:val="10"/>
  </w:num>
  <w:num w:numId="26">
    <w:abstractNumId w:val="18"/>
  </w:num>
  <w:num w:numId="27">
    <w:abstractNumId w:val="20"/>
  </w:num>
  <w:num w:numId="28">
    <w:abstractNumId w:val="32"/>
  </w:num>
  <w:num w:numId="29">
    <w:abstractNumId w:val="17"/>
  </w:num>
  <w:num w:numId="30">
    <w:abstractNumId w:val="8"/>
  </w:num>
  <w:num w:numId="31">
    <w:abstractNumId w:val="36"/>
  </w:num>
  <w:num w:numId="32">
    <w:abstractNumId w:val="30"/>
  </w:num>
  <w:num w:numId="33">
    <w:abstractNumId w:val="25"/>
  </w:num>
  <w:num w:numId="34">
    <w:abstractNumId w:val="44"/>
  </w:num>
  <w:num w:numId="35">
    <w:abstractNumId w:val="42"/>
  </w:num>
  <w:num w:numId="36">
    <w:abstractNumId w:val="16"/>
  </w:num>
  <w:num w:numId="37">
    <w:abstractNumId w:val="24"/>
  </w:num>
  <w:num w:numId="38">
    <w:abstractNumId w:val="22"/>
  </w:num>
  <w:num w:numId="39">
    <w:abstractNumId w:val="9"/>
  </w:num>
  <w:num w:numId="40">
    <w:abstractNumId w:val="13"/>
  </w:num>
  <w:num w:numId="41">
    <w:abstractNumId w:val="33"/>
  </w:num>
  <w:num w:numId="42">
    <w:abstractNumId w:val="34"/>
  </w:num>
  <w:num w:numId="43">
    <w:abstractNumId w:val="43"/>
  </w:num>
  <w:num w:numId="44">
    <w:abstractNumId w:val="46"/>
  </w:num>
  <w:num w:numId="45">
    <w:abstractNumId w:val="19"/>
  </w:num>
  <w:num w:numId="46">
    <w:abstractNumId w:val="28"/>
  </w:num>
  <w:num w:numId="47">
    <w:abstractNumId w:val="39"/>
  </w:num>
  <w:num w:numId="48">
    <w:abstractNumId w:val="29"/>
  </w:num>
  <w:num w:numId="49">
    <w:abstractNumId w:val="15"/>
  </w:num>
  <w:num w:numId="50">
    <w:abstractNumId w:val="14"/>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fr-FR" w:vendorID="64" w:dllVersion="6" w:nlCheck="1" w:checkStyle="0"/>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3"/>
    <w:rsid w:val="00000E42"/>
    <w:rsid w:val="0000140C"/>
    <w:rsid w:val="0000163C"/>
    <w:rsid w:val="0000169F"/>
    <w:rsid w:val="00001BF1"/>
    <w:rsid w:val="00002222"/>
    <w:rsid w:val="0000222C"/>
    <w:rsid w:val="00002389"/>
    <w:rsid w:val="00003923"/>
    <w:rsid w:val="00003FF1"/>
    <w:rsid w:val="00004748"/>
    <w:rsid w:val="000047E6"/>
    <w:rsid w:val="00004872"/>
    <w:rsid w:val="00004E60"/>
    <w:rsid w:val="0000626E"/>
    <w:rsid w:val="00006BFA"/>
    <w:rsid w:val="00007173"/>
    <w:rsid w:val="000078F8"/>
    <w:rsid w:val="00007C13"/>
    <w:rsid w:val="00007FD3"/>
    <w:rsid w:val="0001057B"/>
    <w:rsid w:val="000105C5"/>
    <w:rsid w:val="00010805"/>
    <w:rsid w:val="00010878"/>
    <w:rsid w:val="00011A8E"/>
    <w:rsid w:val="0001213A"/>
    <w:rsid w:val="000121BA"/>
    <w:rsid w:val="000122F9"/>
    <w:rsid w:val="00012B63"/>
    <w:rsid w:val="00012ECF"/>
    <w:rsid w:val="0001345C"/>
    <w:rsid w:val="00013F5C"/>
    <w:rsid w:val="00014568"/>
    <w:rsid w:val="00014788"/>
    <w:rsid w:val="00014BB2"/>
    <w:rsid w:val="0001521C"/>
    <w:rsid w:val="00015831"/>
    <w:rsid w:val="00015A33"/>
    <w:rsid w:val="00015DF0"/>
    <w:rsid w:val="00016BA5"/>
    <w:rsid w:val="00017936"/>
    <w:rsid w:val="000200DC"/>
    <w:rsid w:val="0002156B"/>
    <w:rsid w:val="00021815"/>
    <w:rsid w:val="00021CC6"/>
    <w:rsid w:val="0002397B"/>
    <w:rsid w:val="00023D1E"/>
    <w:rsid w:val="00024164"/>
    <w:rsid w:val="000245ED"/>
    <w:rsid w:val="000246D1"/>
    <w:rsid w:val="00024B0B"/>
    <w:rsid w:val="00024BD8"/>
    <w:rsid w:val="00024ED3"/>
    <w:rsid w:val="000262C8"/>
    <w:rsid w:val="0002651A"/>
    <w:rsid w:val="000267E4"/>
    <w:rsid w:val="00026FA5"/>
    <w:rsid w:val="00027B9D"/>
    <w:rsid w:val="00027C0F"/>
    <w:rsid w:val="00030BBF"/>
    <w:rsid w:val="00032542"/>
    <w:rsid w:val="00032EB9"/>
    <w:rsid w:val="000333AA"/>
    <w:rsid w:val="0003375C"/>
    <w:rsid w:val="00033CFF"/>
    <w:rsid w:val="00034364"/>
    <w:rsid w:val="00034683"/>
    <w:rsid w:val="00034BF6"/>
    <w:rsid w:val="00036FD7"/>
    <w:rsid w:val="0003707F"/>
    <w:rsid w:val="0003723C"/>
    <w:rsid w:val="000373F0"/>
    <w:rsid w:val="000374CE"/>
    <w:rsid w:val="00037943"/>
    <w:rsid w:val="00037A63"/>
    <w:rsid w:val="000401E9"/>
    <w:rsid w:val="00040344"/>
    <w:rsid w:val="00040917"/>
    <w:rsid w:val="00040AAC"/>
    <w:rsid w:val="00040B7A"/>
    <w:rsid w:val="00040EA7"/>
    <w:rsid w:val="0004147D"/>
    <w:rsid w:val="00041507"/>
    <w:rsid w:val="000415F6"/>
    <w:rsid w:val="00042EAA"/>
    <w:rsid w:val="00043327"/>
    <w:rsid w:val="000437EC"/>
    <w:rsid w:val="00043944"/>
    <w:rsid w:val="0004394F"/>
    <w:rsid w:val="00043952"/>
    <w:rsid w:val="00044D72"/>
    <w:rsid w:val="0004535C"/>
    <w:rsid w:val="000453B4"/>
    <w:rsid w:val="00045486"/>
    <w:rsid w:val="00045736"/>
    <w:rsid w:val="000460EB"/>
    <w:rsid w:val="00046259"/>
    <w:rsid w:val="000464F4"/>
    <w:rsid w:val="00046CE3"/>
    <w:rsid w:val="00047CEE"/>
    <w:rsid w:val="00047D72"/>
    <w:rsid w:val="00047EE0"/>
    <w:rsid w:val="00047F89"/>
    <w:rsid w:val="00050612"/>
    <w:rsid w:val="00051696"/>
    <w:rsid w:val="00051E89"/>
    <w:rsid w:val="00052C1C"/>
    <w:rsid w:val="000533A3"/>
    <w:rsid w:val="00054F52"/>
    <w:rsid w:val="000554B1"/>
    <w:rsid w:val="000555E9"/>
    <w:rsid w:val="00055D32"/>
    <w:rsid w:val="000563B5"/>
    <w:rsid w:val="000566B7"/>
    <w:rsid w:val="000568BC"/>
    <w:rsid w:val="00057470"/>
    <w:rsid w:val="00057DFA"/>
    <w:rsid w:val="00057EFE"/>
    <w:rsid w:val="00057F8C"/>
    <w:rsid w:val="00060087"/>
    <w:rsid w:val="000602E1"/>
    <w:rsid w:val="000606B4"/>
    <w:rsid w:val="00060BA9"/>
    <w:rsid w:val="00061D49"/>
    <w:rsid w:val="00061FA4"/>
    <w:rsid w:val="00062219"/>
    <w:rsid w:val="00062C3F"/>
    <w:rsid w:val="00063149"/>
    <w:rsid w:val="00064208"/>
    <w:rsid w:val="00064643"/>
    <w:rsid w:val="000648C6"/>
    <w:rsid w:val="00064C8B"/>
    <w:rsid w:val="00064D0D"/>
    <w:rsid w:val="00065304"/>
    <w:rsid w:val="00065D24"/>
    <w:rsid w:val="000664C2"/>
    <w:rsid w:val="00066584"/>
    <w:rsid w:val="00067B13"/>
    <w:rsid w:val="00067E2F"/>
    <w:rsid w:val="0007021C"/>
    <w:rsid w:val="000702B2"/>
    <w:rsid w:val="0007033F"/>
    <w:rsid w:val="000711B0"/>
    <w:rsid w:val="00071381"/>
    <w:rsid w:val="00071495"/>
    <w:rsid w:val="00072261"/>
    <w:rsid w:val="0007275C"/>
    <w:rsid w:val="00072995"/>
    <w:rsid w:val="00072A51"/>
    <w:rsid w:val="00072D0D"/>
    <w:rsid w:val="00073014"/>
    <w:rsid w:val="000731A4"/>
    <w:rsid w:val="000736A9"/>
    <w:rsid w:val="00075613"/>
    <w:rsid w:val="0007694B"/>
    <w:rsid w:val="00076D20"/>
    <w:rsid w:val="000779EA"/>
    <w:rsid w:val="0008023C"/>
    <w:rsid w:val="00080B1C"/>
    <w:rsid w:val="000819CC"/>
    <w:rsid w:val="00081EA9"/>
    <w:rsid w:val="00081F76"/>
    <w:rsid w:val="0008237E"/>
    <w:rsid w:val="0008239C"/>
    <w:rsid w:val="0008240C"/>
    <w:rsid w:val="000827A3"/>
    <w:rsid w:val="00082A3A"/>
    <w:rsid w:val="00082CC2"/>
    <w:rsid w:val="00082D27"/>
    <w:rsid w:val="000831F6"/>
    <w:rsid w:val="00083BF0"/>
    <w:rsid w:val="00083CD9"/>
    <w:rsid w:val="00083D88"/>
    <w:rsid w:val="000847C0"/>
    <w:rsid w:val="00084A4D"/>
    <w:rsid w:val="00084C58"/>
    <w:rsid w:val="0008527A"/>
    <w:rsid w:val="00085DB2"/>
    <w:rsid w:val="0008639B"/>
    <w:rsid w:val="00086951"/>
    <w:rsid w:val="00086B43"/>
    <w:rsid w:val="00086D3D"/>
    <w:rsid w:val="00086DCD"/>
    <w:rsid w:val="00086F81"/>
    <w:rsid w:val="00087F02"/>
    <w:rsid w:val="00090D62"/>
    <w:rsid w:val="00091313"/>
    <w:rsid w:val="000914FB"/>
    <w:rsid w:val="00091844"/>
    <w:rsid w:val="00091DA8"/>
    <w:rsid w:val="00092091"/>
    <w:rsid w:val="00092E6D"/>
    <w:rsid w:val="00093086"/>
    <w:rsid w:val="0009412C"/>
    <w:rsid w:val="000942DC"/>
    <w:rsid w:val="000945E5"/>
    <w:rsid w:val="00094A93"/>
    <w:rsid w:val="00094AFA"/>
    <w:rsid w:val="00095083"/>
    <w:rsid w:val="000950E0"/>
    <w:rsid w:val="0009510C"/>
    <w:rsid w:val="000952E6"/>
    <w:rsid w:val="000954CE"/>
    <w:rsid w:val="00095961"/>
    <w:rsid w:val="00096128"/>
    <w:rsid w:val="0009629E"/>
    <w:rsid w:val="00096A69"/>
    <w:rsid w:val="00097A36"/>
    <w:rsid w:val="000A0427"/>
    <w:rsid w:val="000A0CD5"/>
    <w:rsid w:val="000A0D69"/>
    <w:rsid w:val="000A1C27"/>
    <w:rsid w:val="000A21D7"/>
    <w:rsid w:val="000A2874"/>
    <w:rsid w:val="000A2A15"/>
    <w:rsid w:val="000A3338"/>
    <w:rsid w:val="000A37A2"/>
    <w:rsid w:val="000A3960"/>
    <w:rsid w:val="000A3FA5"/>
    <w:rsid w:val="000A4189"/>
    <w:rsid w:val="000A4884"/>
    <w:rsid w:val="000A566E"/>
    <w:rsid w:val="000A593C"/>
    <w:rsid w:val="000A5F8C"/>
    <w:rsid w:val="000A60E3"/>
    <w:rsid w:val="000A77DC"/>
    <w:rsid w:val="000B0056"/>
    <w:rsid w:val="000B101D"/>
    <w:rsid w:val="000B140F"/>
    <w:rsid w:val="000B1B66"/>
    <w:rsid w:val="000B2EC1"/>
    <w:rsid w:val="000B365B"/>
    <w:rsid w:val="000B3827"/>
    <w:rsid w:val="000B39A0"/>
    <w:rsid w:val="000B39C4"/>
    <w:rsid w:val="000B4095"/>
    <w:rsid w:val="000B54B2"/>
    <w:rsid w:val="000B5709"/>
    <w:rsid w:val="000B6626"/>
    <w:rsid w:val="000B6C31"/>
    <w:rsid w:val="000C01CD"/>
    <w:rsid w:val="000C0361"/>
    <w:rsid w:val="000C06D0"/>
    <w:rsid w:val="000C109A"/>
    <w:rsid w:val="000C1112"/>
    <w:rsid w:val="000C1419"/>
    <w:rsid w:val="000C1773"/>
    <w:rsid w:val="000C19AB"/>
    <w:rsid w:val="000C24BB"/>
    <w:rsid w:val="000C2528"/>
    <w:rsid w:val="000C2B37"/>
    <w:rsid w:val="000C2F70"/>
    <w:rsid w:val="000C399B"/>
    <w:rsid w:val="000C4D41"/>
    <w:rsid w:val="000C5287"/>
    <w:rsid w:val="000C556D"/>
    <w:rsid w:val="000C598D"/>
    <w:rsid w:val="000C63E6"/>
    <w:rsid w:val="000C6CAA"/>
    <w:rsid w:val="000C764B"/>
    <w:rsid w:val="000C77D4"/>
    <w:rsid w:val="000C77FD"/>
    <w:rsid w:val="000C7C43"/>
    <w:rsid w:val="000D066D"/>
    <w:rsid w:val="000D1229"/>
    <w:rsid w:val="000D1479"/>
    <w:rsid w:val="000D1722"/>
    <w:rsid w:val="000D22E9"/>
    <w:rsid w:val="000D2454"/>
    <w:rsid w:val="000D2E99"/>
    <w:rsid w:val="000D30C8"/>
    <w:rsid w:val="000D33D2"/>
    <w:rsid w:val="000D36E0"/>
    <w:rsid w:val="000D3D47"/>
    <w:rsid w:val="000D41C2"/>
    <w:rsid w:val="000D4317"/>
    <w:rsid w:val="000D453E"/>
    <w:rsid w:val="000D4FC5"/>
    <w:rsid w:val="000D5420"/>
    <w:rsid w:val="000D5831"/>
    <w:rsid w:val="000D5BC7"/>
    <w:rsid w:val="000D60C1"/>
    <w:rsid w:val="000D6C39"/>
    <w:rsid w:val="000D6D55"/>
    <w:rsid w:val="000D6D7F"/>
    <w:rsid w:val="000D71AF"/>
    <w:rsid w:val="000D77AD"/>
    <w:rsid w:val="000D7B5A"/>
    <w:rsid w:val="000D7C14"/>
    <w:rsid w:val="000E0047"/>
    <w:rsid w:val="000E04E3"/>
    <w:rsid w:val="000E0512"/>
    <w:rsid w:val="000E0F2D"/>
    <w:rsid w:val="000E1490"/>
    <w:rsid w:val="000E1850"/>
    <w:rsid w:val="000E19D9"/>
    <w:rsid w:val="000E1A14"/>
    <w:rsid w:val="000E1BF8"/>
    <w:rsid w:val="000E1D94"/>
    <w:rsid w:val="000E23F6"/>
    <w:rsid w:val="000E37F0"/>
    <w:rsid w:val="000E3DEC"/>
    <w:rsid w:val="000E3F38"/>
    <w:rsid w:val="000E4054"/>
    <w:rsid w:val="000E4F2B"/>
    <w:rsid w:val="000E50BF"/>
    <w:rsid w:val="000E5559"/>
    <w:rsid w:val="000E5D75"/>
    <w:rsid w:val="000E605B"/>
    <w:rsid w:val="000E6653"/>
    <w:rsid w:val="000E6BBA"/>
    <w:rsid w:val="000E7076"/>
    <w:rsid w:val="000E7D2E"/>
    <w:rsid w:val="000F08C3"/>
    <w:rsid w:val="000F09F4"/>
    <w:rsid w:val="000F0DE4"/>
    <w:rsid w:val="000F0DEF"/>
    <w:rsid w:val="000F10CE"/>
    <w:rsid w:val="000F10FA"/>
    <w:rsid w:val="000F11C0"/>
    <w:rsid w:val="000F12E7"/>
    <w:rsid w:val="000F1696"/>
    <w:rsid w:val="000F1AB5"/>
    <w:rsid w:val="000F233C"/>
    <w:rsid w:val="000F2B43"/>
    <w:rsid w:val="000F360D"/>
    <w:rsid w:val="000F474A"/>
    <w:rsid w:val="000F4E2A"/>
    <w:rsid w:val="000F5DC9"/>
    <w:rsid w:val="000F62F1"/>
    <w:rsid w:val="000F68DB"/>
    <w:rsid w:val="000F6CB1"/>
    <w:rsid w:val="000F6D6F"/>
    <w:rsid w:val="000F7F84"/>
    <w:rsid w:val="00100904"/>
    <w:rsid w:val="00100CD7"/>
    <w:rsid w:val="00101071"/>
    <w:rsid w:val="001015DF"/>
    <w:rsid w:val="001016AE"/>
    <w:rsid w:val="00102090"/>
    <w:rsid w:val="00103050"/>
    <w:rsid w:val="00103072"/>
    <w:rsid w:val="001043CE"/>
    <w:rsid w:val="001046DF"/>
    <w:rsid w:val="00105CFB"/>
    <w:rsid w:val="00106569"/>
    <w:rsid w:val="001067CB"/>
    <w:rsid w:val="00107B8C"/>
    <w:rsid w:val="00107C5C"/>
    <w:rsid w:val="00107F05"/>
    <w:rsid w:val="00110943"/>
    <w:rsid w:val="001109B1"/>
    <w:rsid w:val="00111469"/>
    <w:rsid w:val="001114FA"/>
    <w:rsid w:val="00111D4E"/>
    <w:rsid w:val="001122D5"/>
    <w:rsid w:val="00112B50"/>
    <w:rsid w:val="00113B8D"/>
    <w:rsid w:val="00113F98"/>
    <w:rsid w:val="00113FD1"/>
    <w:rsid w:val="00114BA3"/>
    <w:rsid w:val="0011532B"/>
    <w:rsid w:val="00115FC4"/>
    <w:rsid w:val="001167EC"/>
    <w:rsid w:val="00116DC8"/>
    <w:rsid w:val="00116DF7"/>
    <w:rsid w:val="00117017"/>
    <w:rsid w:val="001179C9"/>
    <w:rsid w:val="00117FCB"/>
    <w:rsid w:val="00120328"/>
    <w:rsid w:val="001204FF"/>
    <w:rsid w:val="00121202"/>
    <w:rsid w:val="001216FB"/>
    <w:rsid w:val="00122089"/>
    <w:rsid w:val="00122CE4"/>
    <w:rsid w:val="00122D08"/>
    <w:rsid w:val="00123385"/>
    <w:rsid w:val="0012386D"/>
    <w:rsid w:val="00123CE5"/>
    <w:rsid w:val="00124430"/>
    <w:rsid w:val="00124651"/>
    <w:rsid w:val="00125298"/>
    <w:rsid w:val="00125A17"/>
    <w:rsid w:val="00126089"/>
    <w:rsid w:val="001260C0"/>
    <w:rsid w:val="001262A0"/>
    <w:rsid w:val="001267B8"/>
    <w:rsid w:val="00126BCA"/>
    <w:rsid w:val="00127A50"/>
    <w:rsid w:val="001300E9"/>
    <w:rsid w:val="001308AA"/>
    <w:rsid w:val="001311D3"/>
    <w:rsid w:val="0013243D"/>
    <w:rsid w:val="001333CB"/>
    <w:rsid w:val="00134499"/>
    <w:rsid w:val="00135FC4"/>
    <w:rsid w:val="00136092"/>
    <w:rsid w:val="00136907"/>
    <w:rsid w:val="00136A56"/>
    <w:rsid w:val="00136E7B"/>
    <w:rsid w:val="00136EF1"/>
    <w:rsid w:val="00140FEE"/>
    <w:rsid w:val="00141089"/>
    <w:rsid w:val="00142431"/>
    <w:rsid w:val="00142F3D"/>
    <w:rsid w:val="00143156"/>
    <w:rsid w:val="00143477"/>
    <w:rsid w:val="001434ED"/>
    <w:rsid w:val="00143866"/>
    <w:rsid w:val="00143869"/>
    <w:rsid w:val="00143E7D"/>
    <w:rsid w:val="0014406E"/>
    <w:rsid w:val="00144799"/>
    <w:rsid w:val="00144A71"/>
    <w:rsid w:val="001452D7"/>
    <w:rsid w:val="001457DC"/>
    <w:rsid w:val="00146099"/>
    <w:rsid w:val="001463D7"/>
    <w:rsid w:val="00146F46"/>
    <w:rsid w:val="001473BF"/>
    <w:rsid w:val="00147721"/>
    <w:rsid w:val="00150BB7"/>
    <w:rsid w:val="00150C92"/>
    <w:rsid w:val="00151E55"/>
    <w:rsid w:val="001536FC"/>
    <w:rsid w:val="0015539B"/>
    <w:rsid w:val="00155970"/>
    <w:rsid w:val="00155AC4"/>
    <w:rsid w:val="00155D1C"/>
    <w:rsid w:val="00155D7A"/>
    <w:rsid w:val="00155E34"/>
    <w:rsid w:val="00155EB8"/>
    <w:rsid w:val="00156000"/>
    <w:rsid w:val="001577E3"/>
    <w:rsid w:val="0015787F"/>
    <w:rsid w:val="00160475"/>
    <w:rsid w:val="00160718"/>
    <w:rsid w:val="00160A54"/>
    <w:rsid w:val="00160CB7"/>
    <w:rsid w:val="001615CC"/>
    <w:rsid w:val="00161735"/>
    <w:rsid w:val="00162DD6"/>
    <w:rsid w:val="00165580"/>
    <w:rsid w:val="0016563F"/>
    <w:rsid w:val="0016567B"/>
    <w:rsid w:val="001659E1"/>
    <w:rsid w:val="00165A85"/>
    <w:rsid w:val="001663B8"/>
    <w:rsid w:val="00166972"/>
    <w:rsid w:val="00166CDA"/>
    <w:rsid w:val="001673AB"/>
    <w:rsid w:val="001673DC"/>
    <w:rsid w:val="00167DBE"/>
    <w:rsid w:val="00167F84"/>
    <w:rsid w:val="001702DE"/>
    <w:rsid w:val="001703C7"/>
    <w:rsid w:val="0017094D"/>
    <w:rsid w:val="00171DA1"/>
    <w:rsid w:val="00172091"/>
    <w:rsid w:val="001720C6"/>
    <w:rsid w:val="0017239D"/>
    <w:rsid w:val="00173BD3"/>
    <w:rsid w:val="00173E95"/>
    <w:rsid w:val="00173FDF"/>
    <w:rsid w:val="00174276"/>
    <w:rsid w:val="001754FC"/>
    <w:rsid w:val="001758DE"/>
    <w:rsid w:val="001759E6"/>
    <w:rsid w:val="00175E09"/>
    <w:rsid w:val="00176002"/>
    <w:rsid w:val="001770F4"/>
    <w:rsid w:val="0017788A"/>
    <w:rsid w:val="00177A35"/>
    <w:rsid w:val="001800D1"/>
    <w:rsid w:val="001803D3"/>
    <w:rsid w:val="00180522"/>
    <w:rsid w:val="001808A0"/>
    <w:rsid w:val="00180FE0"/>
    <w:rsid w:val="0018102D"/>
    <w:rsid w:val="00181442"/>
    <w:rsid w:val="00181523"/>
    <w:rsid w:val="001828C4"/>
    <w:rsid w:val="00182A22"/>
    <w:rsid w:val="00182FB9"/>
    <w:rsid w:val="00182FBD"/>
    <w:rsid w:val="001834A0"/>
    <w:rsid w:val="00183892"/>
    <w:rsid w:val="00183E89"/>
    <w:rsid w:val="0018413B"/>
    <w:rsid w:val="00184198"/>
    <w:rsid w:val="00184AE6"/>
    <w:rsid w:val="00185017"/>
    <w:rsid w:val="0018527C"/>
    <w:rsid w:val="00186680"/>
    <w:rsid w:val="0018708F"/>
    <w:rsid w:val="00187B9F"/>
    <w:rsid w:val="00191644"/>
    <w:rsid w:val="00191B1A"/>
    <w:rsid w:val="0019265B"/>
    <w:rsid w:val="00192CD9"/>
    <w:rsid w:val="00194F77"/>
    <w:rsid w:val="001951B6"/>
    <w:rsid w:val="00195340"/>
    <w:rsid w:val="001954C9"/>
    <w:rsid w:val="0019565B"/>
    <w:rsid w:val="00195688"/>
    <w:rsid w:val="001958EF"/>
    <w:rsid w:val="001958F6"/>
    <w:rsid w:val="00195C0A"/>
    <w:rsid w:val="001968B7"/>
    <w:rsid w:val="00196B8F"/>
    <w:rsid w:val="00196C3A"/>
    <w:rsid w:val="0019797F"/>
    <w:rsid w:val="001A0B03"/>
    <w:rsid w:val="001A14F3"/>
    <w:rsid w:val="001A16EB"/>
    <w:rsid w:val="001A1BAB"/>
    <w:rsid w:val="001A1C05"/>
    <w:rsid w:val="001A2158"/>
    <w:rsid w:val="001A24CF"/>
    <w:rsid w:val="001A2829"/>
    <w:rsid w:val="001A37C8"/>
    <w:rsid w:val="001A3D8A"/>
    <w:rsid w:val="001A3EF0"/>
    <w:rsid w:val="001A4357"/>
    <w:rsid w:val="001A5106"/>
    <w:rsid w:val="001A5609"/>
    <w:rsid w:val="001A5838"/>
    <w:rsid w:val="001A5D0C"/>
    <w:rsid w:val="001A6808"/>
    <w:rsid w:val="001A6D43"/>
    <w:rsid w:val="001A6DB6"/>
    <w:rsid w:val="001A6E88"/>
    <w:rsid w:val="001A7970"/>
    <w:rsid w:val="001B027C"/>
    <w:rsid w:val="001B0878"/>
    <w:rsid w:val="001B0AE0"/>
    <w:rsid w:val="001B0C01"/>
    <w:rsid w:val="001B0D76"/>
    <w:rsid w:val="001B20EA"/>
    <w:rsid w:val="001B2774"/>
    <w:rsid w:val="001B28E4"/>
    <w:rsid w:val="001B31AB"/>
    <w:rsid w:val="001B32CB"/>
    <w:rsid w:val="001B3932"/>
    <w:rsid w:val="001B3E90"/>
    <w:rsid w:val="001B4F2B"/>
    <w:rsid w:val="001B4F89"/>
    <w:rsid w:val="001B50FD"/>
    <w:rsid w:val="001B6021"/>
    <w:rsid w:val="001B6973"/>
    <w:rsid w:val="001B6D7D"/>
    <w:rsid w:val="001B71D4"/>
    <w:rsid w:val="001B720F"/>
    <w:rsid w:val="001B7390"/>
    <w:rsid w:val="001B7C5B"/>
    <w:rsid w:val="001C03B7"/>
    <w:rsid w:val="001C0D8C"/>
    <w:rsid w:val="001C161F"/>
    <w:rsid w:val="001C275C"/>
    <w:rsid w:val="001C28BB"/>
    <w:rsid w:val="001C30EF"/>
    <w:rsid w:val="001C37A8"/>
    <w:rsid w:val="001C46B6"/>
    <w:rsid w:val="001C494F"/>
    <w:rsid w:val="001C500E"/>
    <w:rsid w:val="001C5654"/>
    <w:rsid w:val="001C5889"/>
    <w:rsid w:val="001C68A0"/>
    <w:rsid w:val="001C6A23"/>
    <w:rsid w:val="001C7173"/>
    <w:rsid w:val="001D0080"/>
    <w:rsid w:val="001D01CC"/>
    <w:rsid w:val="001D0300"/>
    <w:rsid w:val="001D1129"/>
    <w:rsid w:val="001D1635"/>
    <w:rsid w:val="001D1654"/>
    <w:rsid w:val="001D1817"/>
    <w:rsid w:val="001D26FA"/>
    <w:rsid w:val="001D2CD9"/>
    <w:rsid w:val="001D4767"/>
    <w:rsid w:val="001D47FB"/>
    <w:rsid w:val="001D522C"/>
    <w:rsid w:val="001D573C"/>
    <w:rsid w:val="001D5AEF"/>
    <w:rsid w:val="001D5B6B"/>
    <w:rsid w:val="001D663E"/>
    <w:rsid w:val="001D6919"/>
    <w:rsid w:val="001D6D2D"/>
    <w:rsid w:val="001D7155"/>
    <w:rsid w:val="001D7B96"/>
    <w:rsid w:val="001E0661"/>
    <w:rsid w:val="001E0821"/>
    <w:rsid w:val="001E0F6F"/>
    <w:rsid w:val="001E1147"/>
    <w:rsid w:val="001E122D"/>
    <w:rsid w:val="001E2333"/>
    <w:rsid w:val="001E2644"/>
    <w:rsid w:val="001E2D98"/>
    <w:rsid w:val="001E2DAD"/>
    <w:rsid w:val="001E3BC2"/>
    <w:rsid w:val="001E4E64"/>
    <w:rsid w:val="001E4EDB"/>
    <w:rsid w:val="001E5368"/>
    <w:rsid w:val="001E5397"/>
    <w:rsid w:val="001E5B77"/>
    <w:rsid w:val="001E5EB0"/>
    <w:rsid w:val="001E65C9"/>
    <w:rsid w:val="001E67F6"/>
    <w:rsid w:val="001E6AEA"/>
    <w:rsid w:val="001E6E8F"/>
    <w:rsid w:val="001E7181"/>
    <w:rsid w:val="001E777C"/>
    <w:rsid w:val="001E7C78"/>
    <w:rsid w:val="001F0198"/>
    <w:rsid w:val="001F01C3"/>
    <w:rsid w:val="001F08FB"/>
    <w:rsid w:val="001F0C31"/>
    <w:rsid w:val="001F11AD"/>
    <w:rsid w:val="001F1207"/>
    <w:rsid w:val="001F1F9B"/>
    <w:rsid w:val="001F2C82"/>
    <w:rsid w:val="001F2C8D"/>
    <w:rsid w:val="001F2D5C"/>
    <w:rsid w:val="001F30DE"/>
    <w:rsid w:val="001F3576"/>
    <w:rsid w:val="001F375B"/>
    <w:rsid w:val="001F4712"/>
    <w:rsid w:val="001F49C8"/>
    <w:rsid w:val="001F55D3"/>
    <w:rsid w:val="001F5E41"/>
    <w:rsid w:val="001F5ED2"/>
    <w:rsid w:val="001F6191"/>
    <w:rsid w:val="001F61DC"/>
    <w:rsid w:val="001F6650"/>
    <w:rsid w:val="001F6911"/>
    <w:rsid w:val="001F6CAC"/>
    <w:rsid w:val="001F724D"/>
    <w:rsid w:val="001F7914"/>
    <w:rsid w:val="001F7D83"/>
    <w:rsid w:val="00200DE6"/>
    <w:rsid w:val="002013A1"/>
    <w:rsid w:val="0020147D"/>
    <w:rsid w:val="002014D8"/>
    <w:rsid w:val="00202617"/>
    <w:rsid w:val="002026E9"/>
    <w:rsid w:val="0020313D"/>
    <w:rsid w:val="00203D88"/>
    <w:rsid w:val="00204616"/>
    <w:rsid w:val="0020702B"/>
    <w:rsid w:val="002073B2"/>
    <w:rsid w:val="0020768A"/>
    <w:rsid w:val="002078CC"/>
    <w:rsid w:val="00210944"/>
    <w:rsid w:val="00210B79"/>
    <w:rsid w:val="00210CA6"/>
    <w:rsid w:val="002125CD"/>
    <w:rsid w:val="00212B30"/>
    <w:rsid w:val="0021319C"/>
    <w:rsid w:val="00213AB9"/>
    <w:rsid w:val="0021417E"/>
    <w:rsid w:val="00214A22"/>
    <w:rsid w:val="00214AE3"/>
    <w:rsid w:val="00214CD0"/>
    <w:rsid w:val="0021529F"/>
    <w:rsid w:val="00215434"/>
    <w:rsid w:val="002162C3"/>
    <w:rsid w:val="0021687B"/>
    <w:rsid w:val="00217462"/>
    <w:rsid w:val="002175D1"/>
    <w:rsid w:val="00217D62"/>
    <w:rsid w:val="00220082"/>
    <w:rsid w:val="002207F6"/>
    <w:rsid w:val="00220B30"/>
    <w:rsid w:val="00220CF1"/>
    <w:rsid w:val="00221EFB"/>
    <w:rsid w:val="00221F95"/>
    <w:rsid w:val="002221E5"/>
    <w:rsid w:val="00222C54"/>
    <w:rsid w:val="002236A2"/>
    <w:rsid w:val="00223A61"/>
    <w:rsid w:val="002244F3"/>
    <w:rsid w:val="002258B4"/>
    <w:rsid w:val="002258D5"/>
    <w:rsid w:val="0022716D"/>
    <w:rsid w:val="002276B8"/>
    <w:rsid w:val="00230A9B"/>
    <w:rsid w:val="00232FAA"/>
    <w:rsid w:val="00233149"/>
    <w:rsid w:val="002334D1"/>
    <w:rsid w:val="00235138"/>
    <w:rsid w:val="00235677"/>
    <w:rsid w:val="00235718"/>
    <w:rsid w:val="0023573D"/>
    <w:rsid w:val="00235C12"/>
    <w:rsid w:val="002360F7"/>
    <w:rsid w:val="00236ABD"/>
    <w:rsid w:val="002379CF"/>
    <w:rsid w:val="002409C6"/>
    <w:rsid w:val="00240BDA"/>
    <w:rsid w:val="00241277"/>
    <w:rsid w:val="00241D55"/>
    <w:rsid w:val="00242317"/>
    <w:rsid w:val="002431CD"/>
    <w:rsid w:val="0024371B"/>
    <w:rsid w:val="002437E2"/>
    <w:rsid w:val="00243B9F"/>
    <w:rsid w:val="00244089"/>
    <w:rsid w:val="00244517"/>
    <w:rsid w:val="00244EC9"/>
    <w:rsid w:val="0024588E"/>
    <w:rsid w:val="002469A2"/>
    <w:rsid w:val="00246F84"/>
    <w:rsid w:val="00247421"/>
    <w:rsid w:val="00247560"/>
    <w:rsid w:val="00247652"/>
    <w:rsid w:val="00247704"/>
    <w:rsid w:val="00247EAF"/>
    <w:rsid w:val="00247F5B"/>
    <w:rsid w:val="00250939"/>
    <w:rsid w:val="002510EB"/>
    <w:rsid w:val="0025151E"/>
    <w:rsid w:val="0025167A"/>
    <w:rsid w:val="002522DA"/>
    <w:rsid w:val="0025261A"/>
    <w:rsid w:val="00252724"/>
    <w:rsid w:val="00252B83"/>
    <w:rsid w:val="00253029"/>
    <w:rsid w:val="00253402"/>
    <w:rsid w:val="002534EE"/>
    <w:rsid w:val="002541BC"/>
    <w:rsid w:val="002549E8"/>
    <w:rsid w:val="00254A00"/>
    <w:rsid w:val="00254C2C"/>
    <w:rsid w:val="00255214"/>
    <w:rsid w:val="002559BA"/>
    <w:rsid w:val="00256466"/>
    <w:rsid w:val="00256B5A"/>
    <w:rsid w:val="00256C4B"/>
    <w:rsid w:val="002571C0"/>
    <w:rsid w:val="00257963"/>
    <w:rsid w:val="00257F0D"/>
    <w:rsid w:val="0026023A"/>
    <w:rsid w:val="002606A3"/>
    <w:rsid w:val="00261881"/>
    <w:rsid w:val="0026190E"/>
    <w:rsid w:val="00261AB3"/>
    <w:rsid w:val="00261F00"/>
    <w:rsid w:val="00262800"/>
    <w:rsid w:val="0026285A"/>
    <w:rsid w:val="00263F15"/>
    <w:rsid w:val="00264B14"/>
    <w:rsid w:val="00265464"/>
    <w:rsid w:val="0026678E"/>
    <w:rsid w:val="00266CB1"/>
    <w:rsid w:val="002672A2"/>
    <w:rsid w:val="00267E96"/>
    <w:rsid w:val="00267FAE"/>
    <w:rsid w:val="00270B63"/>
    <w:rsid w:val="0027175B"/>
    <w:rsid w:val="00271814"/>
    <w:rsid w:val="00271B13"/>
    <w:rsid w:val="00271FCC"/>
    <w:rsid w:val="00272844"/>
    <w:rsid w:val="00272C70"/>
    <w:rsid w:val="00273213"/>
    <w:rsid w:val="0027342E"/>
    <w:rsid w:val="00273549"/>
    <w:rsid w:val="0027388A"/>
    <w:rsid w:val="0027396C"/>
    <w:rsid w:val="00273A00"/>
    <w:rsid w:val="00273BA9"/>
    <w:rsid w:val="0027401E"/>
    <w:rsid w:val="00275223"/>
    <w:rsid w:val="002764B6"/>
    <w:rsid w:val="00277B72"/>
    <w:rsid w:val="00280D12"/>
    <w:rsid w:val="00280E5E"/>
    <w:rsid w:val="002811F6"/>
    <w:rsid w:val="00281B31"/>
    <w:rsid w:val="0028227C"/>
    <w:rsid w:val="00282672"/>
    <w:rsid w:val="00282D0E"/>
    <w:rsid w:val="00282EDF"/>
    <w:rsid w:val="00283DF3"/>
    <w:rsid w:val="0028435B"/>
    <w:rsid w:val="002849AA"/>
    <w:rsid w:val="00284BBB"/>
    <w:rsid w:val="00284EE7"/>
    <w:rsid w:val="002857E4"/>
    <w:rsid w:val="002858B7"/>
    <w:rsid w:val="00285A20"/>
    <w:rsid w:val="0028606B"/>
    <w:rsid w:val="00286D30"/>
    <w:rsid w:val="00287077"/>
    <w:rsid w:val="00287743"/>
    <w:rsid w:val="002878F0"/>
    <w:rsid w:val="00287F3C"/>
    <w:rsid w:val="00290069"/>
    <w:rsid w:val="002901BE"/>
    <w:rsid w:val="00290D5E"/>
    <w:rsid w:val="0029112A"/>
    <w:rsid w:val="00291C7C"/>
    <w:rsid w:val="00292415"/>
    <w:rsid w:val="0029262A"/>
    <w:rsid w:val="002932E3"/>
    <w:rsid w:val="00293AF2"/>
    <w:rsid w:val="00293B8F"/>
    <w:rsid w:val="00294F3D"/>
    <w:rsid w:val="002956E2"/>
    <w:rsid w:val="00295B59"/>
    <w:rsid w:val="00295F80"/>
    <w:rsid w:val="00296074"/>
    <w:rsid w:val="00296E57"/>
    <w:rsid w:val="00297061"/>
    <w:rsid w:val="0029722D"/>
    <w:rsid w:val="00297A9C"/>
    <w:rsid w:val="002A1103"/>
    <w:rsid w:val="002A1BB9"/>
    <w:rsid w:val="002A1FFC"/>
    <w:rsid w:val="002A23DF"/>
    <w:rsid w:val="002A2966"/>
    <w:rsid w:val="002A2C99"/>
    <w:rsid w:val="002A34E6"/>
    <w:rsid w:val="002A47BA"/>
    <w:rsid w:val="002A4FEE"/>
    <w:rsid w:val="002B085D"/>
    <w:rsid w:val="002B1581"/>
    <w:rsid w:val="002B19CF"/>
    <w:rsid w:val="002B2111"/>
    <w:rsid w:val="002B2851"/>
    <w:rsid w:val="002B286D"/>
    <w:rsid w:val="002B35E9"/>
    <w:rsid w:val="002B3667"/>
    <w:rsid w:val="002B38F8"/>
    <w:rsid w:val="002B3A3A"/>
    <w:rsid w:val="002B4310"/>
    <w:rsid w:val="002B4C51"/>
    <w:rsid w:val="002B4CF3"/>
    <w:rsid w:val="002B4D46"/>
    <w:rsid w:val="002B5172"/>
    <w:rsid w:val="002B52EC"/>
    <w:rsid w:val="002B60E2"/>
    <w:rsid w:val="002B652E"/>
    <w:rsid w:val="002B67D0"/>
    <w:rsid w:val="002B73CF"/>
    <w:rsid w:val="002B7F07"/>
    <w:rsid w:val="002B7F8C"/>
    <w:rsid w:val="002C0721"/>
    <w:rsid w:val="002C20D2"/>
    <w:rsid w:val="002C2393"/>
    <w:rsid w:val="002C2866"/>
    <w:rsid w:val="002C2A9E"/>
    <w:rsid w:val="002C2D31"/>
    <w:rsid w:val="002C3474"/>
    <w:rsid w:val="002C3671"/>
    <w:rsid w:val="002C3A16"/>
    <w:rsid w:val="002C3B16"/>
    <w:rsid w:val="002C3BB2"/>
    <w:rsid w:val="002C4E5B"/>
    <w:rsid w:val="002C52A7"/>
    <w:rsid w:val="002C580F"/>
    <w:rsid w:val="002C5E71"/>
    <w:rsid w:val="002C5EC2"/>
    <w:rsid w:val="002C618D"/>
    <w:rsid w:val="002C6C9E"/>
    <w:rsid w:val="002C6DDF"/>
    <w:rsid w:val="002C79B0"/>
    <w:rsid w:val="002CB1E2"/>
    <w:rsid w:val="002D082E"/>
    <w:rsid w:val="002D119C"/>
    <w:rsid w:val="002D17D9"/>
    <w:rsid w:val="002D18EC"/>
    <w:rsid w:val="002D2F33"/>
    <w:rsid w:val="002D3EFA"/>
    <w:rsid w:val="002D43AF"/>
    <w:rsid w:val="002D463F"/>
    <w:rsid w:val="002D47C8"/>
    <w:rsid w:val="002D4FC8"/>
    <w:rsid w:val="002D5CEC"/>
    <w:rsid w:val="002D5E76"/>
    <w:rsid w:val="002D633F"/>
    <w:rsid w:val="002D6531"/>
    <w:rsid w:val="002D673D"/>
    <w:rsid w:val="002D6A47"/>
    <w:rsid w:val="002D6DA6"/>
    <w:rsid w:val="002D6EF4"/>
    <w:rsid w:val="002E10D8"/>
    <w:rsid w:val="002E22D1"/>
    <w:rsid w:val="002E2A0B"/>
    <w:rsid w:val="002E4493"/>
    <w:rsid w:val="002E4C70"/>
    <w:rsid w:val="002E5784"/>
    <w:rsid w:val="002E658E"/>
    <w:rsid w:val="002E6839"/>
    <w:rsid w:val="002E68A9"/>
    <w:rsid w:val="002F01BD"/>
    <w:rsid w:val="002F0DD6"/>
    <w:rsid w:val="002F0E38"/>
    <w:rsid w:val="002F15C4"/>
    <w:rsid w:val="002F15C8"/>
    <w:rsid w:val="002F17E4"/>
    <w:rsid w:val="002F1CBD"/>
    <w:rsid w:val="002F225B"/>
    <w:rsid w:val="002F23F8"/>
    <w:rsid w:val="002F2F94"/>
    <w:rsid w:val="002F336E"/>
    <w:rsid w:val="002F37E4"/>
    <w:rsid w:val="002F3B62"/>
    <w:rsid w:val="002F3F17"/>
    <w:rsid w:val="002F40C6"/>
    <w:rsid w:val="002F500B"/>
    <w:rsid w:val="002F62A6"/>
    <w:rsid w:val="002F6519"/>
    <w:rsid w:val="002F702B"/>
    <w:rsid w:val="002F74D4"/>
    <w:rsid w:val="002F7611"/>
    <w:rsid w:val="002F7EBA"/>
    <w:rsid w:val="003009E5"/>
    <w:rsid w:val="00300CBA"/>
    <w:rsid w:val="00301664"/>
    <w:rsid w:val="00301BD0"/>
    <w:rsid w:val="0030255A"/>
    <w:rsid w:val="00302A43"/>
    <w:rsid w:val="003032F1"/>
    <w:rsid w:val="003040F1"/>
    <w:rsid w:val="003044EF"/>
    <w:rsid w:val="003046CE"/>
    <w:rsid w:val="003049A6"/>
    <w:rsid w:val="00306326"/>
    <w:rsid w:val="0030657A"/>
    <w:rsid w:val="003101DA"/>
    <w:rsid w:val="00310F18"/>
    <w:rsid w:val="003110DF"/>
    <w:rsid w:val="003110E0"/>
    <w:rsid w:val="00311216"/>
    <w:rsid w:val="0031157E"/>
    <w:rsid w:val="00311B9B"/>
    <w:rsid w:val="00312158"/>
    <w:rsid w:val="0031304D"/>
    <w:rsid w:val="003130CF"/>
    <w:rsid w:val="003132DD"/>
    <w:rsid w:val="00313560"/>
    <w:rsid w:val="003137D1"/>
    <w:rsid w:val="00313C6A"/>
    <w:rsid w:val="00313DE1"/>
    <w:rsid w:val="0031468E"/>
    <w:rsid w:val="00314E2C"/>
    <w:rsid w:val="00315436"/>
    <w:rsid w:val="0031561B"/>
    <w:rsid w:val="0031655F"/>
    <w:rsid w:val="00317140"/>
    <w:rsid w:val="00317329"/>
    <w:rsid w:val="00317510"/>
    <w:rsid w:val="00320412"/>
    <w:rsid w:val="003207E7"/>
    <w:rsid w:val="00321BAB"/>
    <w:rsid w:val="00321DC4"/>
    <w:rsid w:val="00321E20"/>
    <w:rsid w:val="00322645"/>
    <w:rsid w:val="00322BA8"/>
    <w:rsid w:val="00323060"/>
    <w:rsid w:val="003232FD"/>
    <w:rsid w:val="00323751"/>
    <w:rsid w:val="003239D7"/>
    <w:rsid w:val="003239FD"/>
    <w:rsid w:val="00323FBE"/>
    <w:rsid w:val="00324425"/>
    <w:rsid w:val="00324435"/>
    <w:rsid w:val="00324467"/>
    <w:rsid w:val="003248DA"/>
    <w:rsid w:val="003252C7"/>
    <w:rsid w:val="00325808"/>
    <w:rsid w:val="00325B02"/>
    <w:rsid w:val="00325BAA"/>
    <w:rsid w:val="00325C05"/>
    <w:rsid w:val="00327C00"/>
    <w:rsid w:val="00330325"/>
    <w:rsid w:val="0033037C"/>
    <w:rsid w:val="00330508"/>
    <w:rsid w:val="00330F15"/>
    <w:rsid w:val="003313D4"/>
    <w:rsid w:val="003313FE"/>
    <w:rsid w:val="003317CD"/>
    <w:rsid w:val="00331899"/>
    <w:rsid w:val="00332498"/>
    <w:rsid w:val="00332E8D"/>
    <w:rsid w:val="0033393D"/>
    <w:rsid w:val="00333E5A"/>
    <w:rsid w:val="0033408C"/>
    <w:rsid w:val="0033412F"/>
    <w:rsid w:val="0033447D"/>
    <w:rsid w:val="003351C3"/>
    <w:rsid w:val="003351EF"/>
    <w:rsid w:val="00335443"/>
    <w:rsid w:val="003358E6"/>
    <w:rsid w:val="00335B85"/>
    <w:rsid w:val="00335E62"/>
    <w:rsid w:val="0033606E"/>
    <w:rsid w:val="00337136"/>
    <w:rsid w:val="00337A18"/>
    <w:rsid w:val="00337FC8"/>
    <w:rsid w:val="003400E1"/>
    <w:rsid w:val="0034036E"/>
    <w:rsid w:val="00341832"/>
    <w:rsid w:val="003419BA"/>
    <w:rsid w:val="00342279"/>
    <w:rsid w:val="00342525"/>
    <w:rsid w:val="0034383A"/>
    <w:rsid w:val="00343AAA"/>
    <w:rsid w:val="003441D5"/>
    <w:rsid w:val="00344CDC"/>
    <w:rsid w:val="00344F18"/>
    <w:rsid w:val="00344F32"/>
    <w:rsid w:val="003450A7"/>
    <w:rsid w:val="00345610"/>
    <w:rsid w:val="00345CCB"/>
    <w:rsid w:val="00346220"/>
    <w:rsid w:val="00346DF0"/>
    <w:rsid w:val="00346F99"/>
    <w:rsid w:val="00347C59"/>
    <w:rsid w:val="00350248"/>
    <w:rsid w:val="003506F3"/>
    <w:rsid w:val="00351083"/>
    <w:rsid w:val="003510CE"/>
    <w:rsid w:val="00351A87"/>
    <w:rsid w:val="003521CC"/>
    <w:rsid w:val="00352249"/>
    <w:rsid w:val="00352618"/>
    <w:rsid w:val="0035389B"/>
    <w:rsid w:val="00353EEB"/>
    <w:rsid w:val="003547B9"/>
    <w:rsid w:val="003548E5"/>
    <w:rsid w:val="00355D7E"/>
    <w:rsid w:val="003560E6"/>
    <w:rsid w:val="003603C7"/>
    <w:rsid w:val="00360441"/>
    <w:rsid w:val="00360626"/>
    <w:rsid w:val="003610E2"/>
    <w:rsid w:val="00361128"/>
    <w:rsid w:val="00361960"/>
    <w:rsid w:val="00361B19"/>
    <w:rsid w:val="00362912"/>
    <w:rsid w:val="00362BC1"/>
    <w:rsid w:val="00362C55"/>
    <w:rsid w:val="003634B4"/>
    <w:rsid w:val="003641D1"/>
    <w:rsid w:val="00364DC6"/>
    <w:rsid w:val="00364FAD"/>
    <w:rsid w:val="0036507E"/>
    <w:rsid w:val="00365779"/>
    <w:rsid w:val="00365D2A"/>
    <w:rsid w:val="003660E9"/>
    <w:rsid w:val="00366241"/>
    <w:rsid w:val="00366F98"/>
    <w:rsid w:val="003671DA"/>
    <w:rsid w:val="00367749"/>
    <w:rsid w:val="00367984"/>
    <w:rsid w:val="00367E40"/>
    <w:rsid w:val="0037012D"/>
    <w:rsid w:val="003707FE"/>
    <w:rsid w:val="00370BFD"/>
    <w:rsid w:val="00370E4F"/>
    <w:rsid w:val="003713D2"/>
    <w:rsid w:val="003718AC"/>
    <w:rsid w:val="00371B60"/>
    <w:rsid w:val="00371F3B"/>
    <w:rsid w:val="0037266B"/>
    <w:rsid w:val="00372B1E"/>
    <w:rsid w:val="003738A6"/>
    <w:rsid w:val="00373D43"/>
    <w:rsid w:val="00374019"/>
    <w:rsid w:val="003742CB"/>
    <w:rsid w:val="00374D62"/>
    <w:rsid w:val="00375537"/>
    <w:rsid w:val="0037553F"/>
    <w:rsid w:val="00376554"/>
    <w:rsid w:val="0037705C"/>
    <w:rsid w:val="00377347"/>
    <w:rsid w:val="0037763C"/>
    <w:rsid w:val="00377867"/>
    <w:rsid w:val="003779BB"/>
    <w:rsid w:val="003810C5"/>
    <w:rsid w:val="00381493"/>
    <w:rsid w:val="00381697"/>
    <w:rsid w:val="00381E67"/>
    <w:rsid w:val="003825F3"/>
    <w:rsid w:val="00382610"/>
    <w:rsid w:val="00383506"/>
    <w:rsid w:val="003838A0"/>
    <w:rsid w:val="00383C4C"/>
    <w:rsid w:val="003849B9"/>
    <w:rsid w:val="00385A6D"/>
    <w:rsid w:val="00386B08"/>
    <w:rsid w:val="00386F9E"/>
    <w:rsid w:val="00387161"/>
    <w:rsid w:val="003873FF"/>
    <w:rsid w:val="003908F6"/>
    <w:rsid w:val="0039134D"/>
    <w:rsid w:val="0039167D"/>
    <w:rsid w:val="0039175E"/>
    <w:rsid w:val="003919C6"/>
    <w:rsid w:val="00391EDF"/>
    <w:rsid w:val="00392C04"/>
    <w:rsid w:val="00392C57"/>
    <w:rsid w:val="0039300F"/>
    <w:rsid w:val="0039331F"/>
    <w:rsid w:val="00393440"/>
    <w:rsid w:val="00393834"/>
    <w:rsid w:val="00393AE8"/>
    <w:rsid w:val="003943D7"/>
    <w:rsid w:val="00394B6C"/>
    <w:rsid w:val="003958DA"/>
    <w:rsid w:val="003959D8"/>
    <w:rsid w:val="00395C7F"/>
    <w:rsid w:val="0039641C"/>
    <w:rsid w:val="003972E5"/>
    <w:rsid w:val="0039765C"/>
    <w:rsid w:val="00397AB7"/>
    <w:rsid w:val="003A001F"/>
    <w:rsid w:val="003A0178"/>
    <w:rsid w:val="003A0620"/>
    <w:rsid w:val="003A0D11"/>
    <w:rsid w:val="003A13FC"/>
    <w:rsid w:val="003A20C3"/>
    <w:rsid w:val="003A2714"/>
    <w:rsid w:val="003A3060"/>
    <w:rsid w:val="003A3D45"/>
    <w:rsid w:val="003A4212"/>
    <w:rsid w:val="003A4877"/>
    <w:rsid w:val="003A6833"/>
    <w:rsid w:val="003A7DFD"/>
    <w:rsid w:val="003A7E77"/>
    <w:rsid w:val="003AE0F9"/>
    <w:rsid w:val="003B1760"/>
    <w:rsid w:val="003B1824"/>
    <w:rsid w:val="003B1FDB"/>
    <w:rsid w:val="003B22A3"/>
    <w:rsid w:val="003B22B6"/>
    <w:rsid w:val="003B22EC"/>
    <w:rsid w:val="003B2AD1"/>
    <w:rsid w:val="003B37DB"/>
    <w:rsid w:val="003B3D46"/>
    <w:rsid w:val="003B4C77"/>
    <w:rsid w:val="003B56F6"/>
    <w:rsid w:val="003B577A"/>
    <w:rsid w:val="003B5D4B"/>
    <w:rsid w:val="003B6673"/>
    <w:rsid w:val="003B6C24"/>
    <w:rsid w:val="003B7051"/>
    <w:rsid w:val="003B7325"/>
    <w:rsid w:val="003B7BA9"/>
    <w:rsid w:val="003C0BD5"/>
    <w:rsid w:val="003C1080"/>
    <w:rsid w:val="003C1FE2"/>
    <w:rsid w:val="003C2543"/>
    <w:rsid w:val="003C3100"/>
    <w:rsid w:val="003C3CA8"/>
    <w:rsid w:val="003C42E5"/>
    <w:rsid w:val="003C44C9"/>
    <w:rsid w:val="003C4902"/>
    <w:rsid w:val="003C4BC5"/>
    <w:rsid w:val="003C5057"/>
    <w:rsid w:val="003C5177"/>
    <w:rsid w:val="003C6816"/>
    <w:rsid w:val="003C7372"/>
    <w:rsid w:val="003D04D2"/>
    <w:rsid w:val="003D0D76"/>
    <w:rsid w:val="003D14F9"/>
    <w:rsid w:val="003D1A3C"/>
    <w:rsid w:val="003D28EB"/>
    <w:rsid w:val="003D2AA3"/>
    <w:rsid w:val="003D2B95"/>
    <w:rsid w:val="003D2F11"/>
    <w:rsid w:val="003D33A9"/>
    <w:rsid w:val="003D3607"/>
    <w:rsid w:val="003D3CA4"/>
    <w:rsid w:val="003D4120"/>
    <w:rsid w:val="003D42B8"/>
    <w:rsid w:val="003D479E"/>
    <w:rsid w:val="003D4F6B"/>
    <w:rsid w:val="003D60E6"/>
    <w:rsid w:val="003D62C3"/>
    <w:rsid w:val="003D63FA"/>
    <w:rsid w:val="003D731A"/>
    <w:rsid w:val="003D7773"/>
    <w:rsid w:val="003D793D"/>
    <w:rsid w:val="003D7A76"/>
    <w:rsid w:val="003E00DF"/>
    <w:rsid w:val="003E016A"/>
    <w:rsid w:val="003E0D98"/>
    <w:rsid w:val="003E1500"/>
    <w:rsid w:val="003E1574"/>
    <w:rsid w:val="003E1653"/>
    <w:rsid w:val="003E1D04"/>
    <w:rsid w:val="003E1E37"/>
    <w:rsid w:val="003E2374"/>
    <w:rsid w:val="003E2490"/>
    <w:rsid w:val="003E296E"/>
    <w:rsid w:val="003E2A4D"/>
    <w:rsid w:val="003E2E50"/>
    <w:rsid w:val="003E30E6"/>
    <w:rsid w:val="003E3CF4"/>
    <w:rsid w:val="003E40C8"/>
    <w:rsid w:val="003E45AF"/>
    <w:rsid w:val="003E4E71"/>
    <w:rsid w:val="003E5599"/>
    <w:rsid w:val="003E590D"/>
    <w:rsid w:val="003E633C"/>
    <w:rsid w:val="003F02CD"/>
    <w:rsid w:val="003F0A07"/>
    <w:rsid w:val="003F0CC2"/>
    <w:rsid w:val="003F19BD"/>
    <w:rsid w:val="003F1AF5"/>
    <w:rsid w:val="003F25D5"/>
    <w:rsid w:val="003F2708"/>
    <w:rsid w:val="003F28D7"/>
    <w:rsid w:val="003F2924"/>
    <w:rsid w:val="003F3019"/>
    <w:rsid w:val="003F36F7"/>
    <w:rsid w:val="003F3F1C"/>
    <w:rsid w:val="003F40B4"/>
    <w:rsid w:val="003F45FE"/>
    <w:rsid w:val="003F4FC4"/>
    <w:rsid w:val="003F5591"/>
    <w:rsid w:val="003F58B9"/>
    <w:rsid w:val="003F5E46"/>
    <w:rsid w:val="003F677C"/>
    <w:rsid w:val="003F677D"/>
    <w:rsid w:val="003F6E61"/>
    <w:rsid w:val="003F7912"/>
    <w:rsid w:val="003F7D47"/>
    <w:rsid w:val="00401B95"/>
    <w:rsid w:val="00403A2F"/>
    <w:rsid w:val="00403A96"/>
    <w:rsid w:val="00403EC2"/>
    <w:rsid w:val="0040416A"/>
    <w:rsid w:val="00404235"/>
    <w:rsid w:val="00404251"/>
    <w:rsid w:val="0040455A"/>
    <w:rsid w:val="00404AD8"/>
    <w:rsid w:val="00405D09"/>
    <w:rsid w:val="00406256"/>
    <w:rsid w:val="0040651F"/>
    <w:rsid w:val="0040738A"/>
    <w:rsid w:val="004079CB"/>
    <w:rsid w:val="00407A50"/>
    <w:rsid w:val="00407C81"/>
    <w:rsid w:val="00407CBD"/>
    <w:rsid w:val="00410010"/>
    <w:rsid w:val="0041004F"/>
    <w:rsid w:val="0041063B"/>
    <w:rsid w:val="004107F0"/>
    <w:rsid w:val="00410E97"/>
    <w:rsid w:val="004115D6"/>
    <w:rsid w:val="0041180C"/>
    <w:rsid w:val="00411861"/>
    <w:rsid w:val="00411880"/>
    <w:rsid w:val="00411F63"/>
    <w:rsid w:val="00412E28"/>
    <w:rsid w:val="00413321"/>
    <w:rsid w:val="00413834"/>
    <w:rsid w:val="0041487A"/>
    <w:rsid w:val="0041563B"/>
    <w:rsid w:val="00415A05"/>
    <w:rsid w:val="00415C79"/>
    <w:rsid w:val="0041610D"/>
    <w:rsid w:val="00416693"/>
    <w:rsid w:val="004170B3"/>
    <w:rsid w:val="004178F8"/>
    <w:rsid w:val="00417BF9"/>
    <w:rsid w:val="0042082E"/>
    <w:rsid w:val="004209FC"/>
    <w:rsid w:val="00420ED1"/>
    <w:rsid w:val="00421CAF"/>
    <w:rsid w:val="00421E69"/>
    <w:rsid w:val="00422088"/>
    <w:rsid w:val="0042281A"/>
    <w:rsid w:val="00423093"/>
    <w:rsid w:val="00423426"/>
    <w:rsid w:val="004240FA"/>
    <w:rsid w:val="00424394"/>
    <w:rsid w:val="004244D4"/>
    <w:rsid w:val="0042455A"/>
    <w:rsid w:val="0042516D"/>
    <w:rsid w:val="004254AB"/>
    <w:rsid w:val="004258B1"/>
    <w:rsid w:val="00426673"/>
    <w:rsid w:val="004269DE"/>
    <w:rsid w:val="004271EF"/>
    <w:rsid w:val="0042733D"/>
    <w:rsid w:val="004277FB"/>
    <w:rsid w:val="00427893"/>
    <w:rsid w:val="004278A8"/>
    <w:rsid w:val="00427B15"/>
    <w:rsid w:val="00427FC5"/>
    <w:rsid w:val="00430981"/>
    <w:rsid w:val="00431173"/>
    <w:rsid w:val="0043208E"/>
    <w:rsid w:val="00433A2C"/>
    <w:rsid w:val="004347E4"/>
    <w:rsid w:val="00434809"/>
    <w:rsid w:val="004349D9"/>
    <w:rsid w:val="004349FA"/>
    <w:rsid w:val="00434A8E"/>
    <w:rsid w:val="00434EEB"/>
    <w:rsid w:val="00434F49"/>
    <w:rsid w:val="00435186"/>
    <w:rsid w:val="00436746"/>
    <w:rsid w:val="004369A4"/>
    <w:rsid w:val="004369C7"/>
    <w:rsid w:val="00437210"/>
    <w:rsid w:val="004373E4"/>
    <w:rsid w:val="00440657"/>
    <w:rsid w:val="004406DA"/>
    <w:rsid w:val="00440EA1"/>
    <w:rsid w:val="00441D9D"/>
    <w:rsid w:val="004421E8"/>
    <w:rsid w:val="004427AC"/>
    <w:rsid w:val="00442997"/>
    <w:rsid w:val="00442A14"/>
    <w:rsid w:val="00443B02"/>
    <w:rsid w:val="00443DF0"/>
    <w:rsid w:val="0044416C"/>
    <w:rsid w:val="0044461C"/>
    <w:rsid w:val="00444D95"/>
    <w:rsid w:val="0044529F"/>
    <w:rsid w:val="004453F4"/>
    <w:rsid w:val="004467E5"/>
    <w:rsid w:val="00446E13"/>
    <w:rsid w:val="0044700F"/>
    <w:rsid w:val="004501D5"/>
    <w:rsid w:val="00450233"/>
    <w:rsid w:val="0045124B"/>
    <w:rsid w:val="0045140D"/>
    <w:rsid w:val="00451C6D"/>
    <w:rsid w:val="00451EBF"/>
    <w:rsid w:val="004521C5"/>
    <w:rsid w:val="0045255F"/>
    <w:rsid w:val="004528C5"/>
    <w:rsid w:val="00452F2A"/>
    <w:rsid w:val="00453010"/>
    <w:rsid w:val="00453196"/>
    <w:rsid w:val="00453258"/>
    <w:rsid w:val="00453759"/>
    <w:rsid w:val="00453CE2"/>
    <w:rsid w:val="00454EC6"/>
    <w:rsid w:val="00454EC8"/>
    <w:rsid w:val="00455029"/>
    <w:rsid w:val="004551B0"/>
    <w:rsid w:val="0045522B"/>
    <w:rsid w:val="00455358"/>
    <w:rsid w:val="00455386"/>
    <w:rsid w:val="00455DE7"/>
    <w:rsid w:val="00455F81"/>
    <w:rsid w:val="004565CD"/>
    <w:rsid w:val="0045687F"/>
    <w:rsid w:val="004571F7"/>
    <w:rsid w:val="004572BB"/>
    <w:rsid w:val="00457E37"/>
    <w:rsid w:val="00457E8C"/>
    <w:rsid w:val="00460909"/>
    <w:rsid w:val="00461144"/>
    <w:rsid w:val="004615BE"/>
    <w:rsid w:val="00461720"/>
    <w:rsid w:val="004627C0"/>
    <w:rsid w:val="00462D1E"/>
    <w:rsid w:val="004632C0"/>
    <w:rsid w:val="004638CB"/>
    <w:rsid w:val="00463B40"/>
    <w:rsid w:val="0046404B"/>
    <w:rsid w:val="00464221"/>
    <w:rsid w:val="00466315"/>
    <w:rsid w:val="004664AD"/>
    <w:rsid w:val="00466857"/>
    <w:rsid w:val="004668BC"/>
    <w:rsid w:val="004668E2"/>
    <w:rsid w:val="00466A3F"/>
    <w:rsid w:val="00467207"/>
    <w:rsid w:val="00467270"/>
    <w:rsid w:val="00470641"/>
    <w:rsid w:val="0047095D"/>
    <w:rsid w:val="0047129F"/>
    <w:rsid w:val="00472548"/>
    <w:rsid w:val="0047288C"/>
    <w:rsid w:val="00472B84"/>
    <w:rsid w:val="00472CFA"/>
    <w:rsid w:val="00473BCE"/>
    <w:rsid w:val="00474B7D"/>
    <w:rsid w:val="0047626A"/>
    <w:rsid w:val="0047677A"/>
    <w:rsid w:val="00477A8D"/>
    <w:rsid w:val="00480360"/>
    <w:rsid w:val="00480B33"/>
    <w:rsid w:val="004823F8"/>
    <w:rsid w:val="00484652"/>
    <w:rsid w:val="004848DD"/>
    <w:rsid w:val="00484D60"/>
    <w:rsid w:val="00485518"/>
    <w:rsid w:val="004862E6"/>
    <w:rsid w:val="004872B7"/>
    <w:rsid w:val="00487781"/>
    <w:rsid w:val="004878AC"/>
    <w:rsid w:val="0048792D"/>
    <w:rsid w:val="00490F4C"/>
    <w:rsid w:val="004917E7"/>
    <w:rsid w:val="00492790"/>
    <w:rsid w:val="00492BC7"/>
    <w:rsid w:val="00493424"/>
    <w:rsid w:val="0049370F"/>
    <w:rsid w:val="00493815"/>
    <w:rsid w:val="00494504"/>
    <w:rsid w:val="004947E8"/>
    <w:rsid w:val="00494877"/>
    <w:rsid w:val="0049496B"/>
    <w:rsid w:val="0049568B"/>
    <w:rsid w:val="00495749"/>
    <w:rsid w:val="00495869"/>
    <w:rsid w:val="00495D51"/>
    <w:rsid w:val="0049600B"/>
    <w:rsid w:val="00496280"/>
    <w:rsid w:val="004965DC"/>
    <w:rsid w:val="0049751F"/>
    <w:rsid w:val="004977AC"/>
    <w:rsid w:val="00497B60"/>
    <w:rsid w:val="00497BC0"/>
    <w:rsid w:val="00497C75"/>
    <w:rsid w:val="004A0072"/>
    <w:rsid w:val="004A0177"/>
    <w:rsid w:val="004A0676"/>
    <w:rsid w:val="004A069D"/>
    <w:rsid w:val="004A0BAC"/>
    <w:rsid w:val="004A0CFF"/>
    <w:rsid w:val="004A0E99"/>
    <w:rsid w:val="004A0F54"/>
    <w:rsid w:val="004A101A"/>
    <w:rsid w:val="004A117E"/>
    <w:rsid w:val="004A1789"/>
    <w:rsid w:val="004A1EBA"/>
    <w:rsid w:val="004A1F1B"/>
    <w:rsid w:val="004A245D"/>
    <w:rsid w:val="004A26E9"/>
    <w:rsid w:val="004A2AA8"/>
    <w:rsid w:val="004A2BC2"/>
    <w:rsid w:val="004A3069"/>
    <w:rsid w:val="004A3416"/>
    <w:rsid w:val="004A4030"/>
    <w:rsid w:val="004A4879"/>
    <w:rsid w:val="004A4D9F"/>
    <w:rsid w:val="004A4FC0"/>
    <w:rsid w:val="004A693D"/>
    <w:rsid w:val="004A6A76"/>
    <w:rsid w:val="004A6D8E"/>
    <w:rsid w:val="004A709C"/>
    <w:rsid w:val="004A71B8"/>
    <w:rsid w:val="004A7229"/>
    <w:rsid w:val="004A7252"/>
    <w:rsid w:val="004A7FDA"/>
    <w:rsid w:val="004B01C8"/>
    <w:rsid w:val="004B05E1"/>
    <w:rsid w:val="004B06C6"/>
    <w:rsid w:val="004B0930"/>
    <w:rsid w:val="004B1559"/>
    <w:rsid w:val="004B1757"/>
    <w:rsid w:val="004B19DD"/>
    <w:rsid w:val="004B1A6A"/>
    <w:rsid w:val="004B2159"/>
    <w:rsid w:val="004B3680"/>
    <w:rsid w:val="004B389F"/>
    <w:rsid w:val="004B426A"/>
    <w:rsid w:val="004B42D8"/>
    <w:rsid w:val="004B44CE"/>
    <w:rsid w:val="004B4D80"/>
    <w:rsid w:val="004B556A"/>
    <w:rsid w:val="004B5943"/>
    <w:rsid w:val="004B5B41"/>
    <w:rsid w:val="004B5DCF"/>
    <w:rsid w:val="004B5ED2"/>
    <w:rsid w:val="004B615C"/>
    <w:rsid w:val="004B6640"/>
    <w:rsid w:val="004B67C7"/>
    <w:rsid w:val="004B68C1"/>
    <w:rsid w:val="004B6D09"/>
    <w:rsid w:val="004C00E8"/>
    <w:rsid w:val="004C0A18"/>
    <w:rsid w:val="004C0F06"/>
    <w:rsid w:val="004C1094"/>
    <w:rsid w:val="004C18CA"/>
    <w:rsid w:val="004C1D67"/>
    <w:rsid w:val="004C1EEC"/>
    <w:rsid w:val="004C20A0"/>
    <w:rsid w:val="004C2485"/>
    <w:rsid w:val="004C2993"/>
    <w:rsid w:val="004C2B37"/>
    <w:rsid w:val="004C2F37"/>
    <w:rsid w:val="004C401A"/>
    <w:rsid w:val="004C40AC"/>
    <w:rsid w:val="004C420D"/>
    <w:rsid w:val="004C483A"/>
    <w:rsid w:val="004C4AE8"/>
    <w:rsid w:val="004C543D"/>
    <w:rsid w:val="004C56AD"/>
    <w:rsid w:val="004C5850"/>
    <w:rsid w:val="004C59EB"/>
    <w:rsid w:val="004C60A4"/>
    <w:rsid w:val="004C7176"/>
    <w:rsid w:val="004C7FD8"/>
    <w:rsid w:val="004D057F"/>
    <w:rsid w:val="004D07B4"/>
    <w:rsid w:val="004D094B"/>
    <w:rsid w:val="004D1112"/>
    <w:rsid w:val="004D1332"/>
    <w:rsid w:val="004D18F0"/>
    <w:rsid w:val="004D1C18"/>
    <w:rsid w:val="004D1E20"/>
    <w:rsid w:val="004D275F"/>
    <w:rsid w:val="004D2924"/>
    <w:rsid w:val="004D2E89"/>
    <w:rsid w:val="004D3969"/>
    <w:rsid w:val="004D4525"/>
    <w:rsid w:val="004D532C"/>
    <w:rsid w:val="004D6383"/>
    <w:rsid w:val="004D66B8"/>
    <w:rsid w:val="004D7447"/>
    <w:rsid w:val="004D7AB4"/>
    <w:rsid w:val="004E1933"/>
    <w:rsid w:val="004E1CA9"/>
    <w:rsid w:val="004E2768"/>
    <w:rsid w:val="004E281E"/>
    <w:rsid w:val="004E3254"/>
    <w:rsid w:val="004E42DD"/>
    <w:rsid w:val="004E4358"/>
    <w:rsid w:val="004E4C4B"/>
    <w:rsid w:val="004E531D"/>
    <w:rsid w:val="004E568B"/>
    <w:rsid w:val="004E5B45"/>
    <w:rsid w:val="004E5E2B"/>
    <w:rsid w:val="004E5F09"/>
    <w:rsid w:val="004E6F00"/>
    <w:rsid w:val="004E7F49"/>
    <w:rsid w:val="004E7FC7"/>
    <w:rsid w:val="004F0C57"/>
    <w:rsid w:val="004F0F96"/>
    <w:rsid w:val="004F10D8"/>
    <w:rsid w:val="004F17B4"/>
    <w:rsid w:val="004F1A0F"/>
    <w:rsid w:val="004F1D31"/>
    <w:rsid w:val="004F2A42"/>
    <w:rsid w:val="004F3194"/>
    <w:rsid w:val="004F38F9"/>
    <w:rsid w:val="004F44CF"/>
    <w:rsid w:val="004F45A7"/>
    <w:rsid w:val="004F45CB"/>
    <w:rsid w:val="004F5520"/>
    <w:rsid w:val="004F5C84"/>
    <w:rsid w:val="004F5D24"/>
    <w:rsid w:val="004F69F0"/>
    <w:rsid w:val="004F7120"/>
    <w:rsid w:val="004F7513"/>
    <w:rsid w:val="004F7902"/>
    <w:rsid w:val="00500266"/>
    <w:rsid w:val="00500815"/>
    <w:rsid w:val="00500959"/>
    <w:rsid w:val="00500E3C"/>
    <w:rsid w:val="00501348"/>
    <w:rsid w:val="00501387"/>
    <w:rsid w:val="0050223C"/>
    <w:rsid w:val="00502738"/>
    <w:rsid w:val="00502758"/>
    <w:rsid w:val="00502FC4"/>
    <w:rsid w:val="0050368E"/>
    <w:rsid w:val="005039F4"/>
    <w:rsid w:val="00504CD2"/>
    <w:rsid w:val="0050662C"/>
    <w:rsid w:val="00506642"/>
    <w:rsid w:val="00506C9C"/>
    <w:rsid w:val="005072F0"/>
    <w:rsid w:val="00507DB2"/>
    <w:rsid w:val="0051029C"/>
    <w:rsid w:val="005104AE"/>
    <w:rsid w:val="0051205A"/>
    <w:rsid w:val="005127C4"/>
    <w:rsid w:val="00512900"/>
    <w:rsid w:val="00512956"/>
    <w:rsid w:val="00512FDC"/>
    <w:rsid w:val="00513EF2"/>
    <w:rsid w:val="005142DD"/>
    <w:rsid w:val="005146B5"/>
    <w:rsid w:val="00514BA4"/>
    <w:rsid w:val="00514BC1"/>
    <w:rsid w:val="00514E0B"/>
    <w:rsid w:val="005150C3"/>
    <w:rsid w:val="00515A4B"/>
    <w:rsid w:val="00516CA9"/>
    <w:rsid w:val="005170F0"/>
    <w:rsid w:val="005201CE"/>
    <w:rsid w:val="005204C5"/>
    <w:rsid w:val="005209AE"/>
    <w:rsid w:val="00521110"/>
    <w:rsid w:val="0052171F"/>
    <w:rsid w:val="00521761"/>
    <w:rsid w:val="00522317"/>
    <w:rsid w:val="00522778"/>
    <w:rsid w:val="00522D28"/>
    <w:rsid w:val="0052305E"/>
    <w:rsid w:val="005236E9"/>
    <w:rsid w:val="00523BFA"/>
    <w:rsid w:val="00523CEE"/>
    <w:rsid w:val="00523D05"/>
    <w:rsid w:val="0052414C"/>
    <w:rsid w:val="00524F1D"/>
    <w:rsid w:val="00525566"/>
    <w:rsid w:val="00525AB9"/>
    <w:rsid w:val="00525F17"/>
    <w:rsid w:val="00526455"/>
    <w:rsid w:val="00526467"/>
    <w:rsid w:val="00526510"/>
    <w:rsid w:val="00527FC5"/>
    <w:rsid w:val="0052EDD6"/>
    <w:rsid w:val="0053002B"/>
    <w:rsid w:val="00530CFA"/>
    <w:rsid w:val="00530F6F"/>
    <w:rsid w:val="0053136A"/>
    <w:rsid w:val="00531584"/>
    <w:rsid w:val="00531E39"/>
    <w:rsid w:val="0053250D"/>
    <w:rsid w:val="005326E5"/>
    <w:rsid w:val="00532A0B"/>
    <w:rsid w:val="00532D61"/>
    <w:rsid w:val="00532E37"/>
    <w:rsid w:val="00534084"/>
    <w:rsid w:val="00534298"/>
    <w:rsid w:val="005345D4"/>
    <w:rsid w:val="00534FD5"/>
    <w:rsid w:val="0053504D"/>
    <w:rsid w:val="005352F4"/>
    <w:rsid w:val="00536036"/>
    <w:rsid w:val="005368BA"/>
    <w:rsid w:val="00536CB7"/>
    <w:rsid w:val="005377E4"/>
    <w:rsid w:val="00537E68"/>
    <w:rsid w:val="0054074E"/>
    <w:rsid w:val="00540CAD"/>
    <w:rsid w:val="005411A6"/>
    <w:rsid w:val="00541269"/>
    <w:rsid w:val="00541355"/>
    <w:rsid w:val="005413BB"/>
    <w:rsid w:val="005421AE"/>
    <w:rsid w:val="005433A7"/>
    <w:rsid w:val="00543C15"/>
    <w:rsid w:val="00544BB1"/>
    <w:rsid w:val="00545A32"/>
    <w:rsid w:val="00545DAC"/>
    <w:rsid w:val="00545F8F"/>
    <w:rsid w:val="005460B9"/>
    <w:rsid w:val="0054620B"/>
    <w:rsid w:val="005465EF"/>
    <w:rsid w:val="00546B79"/>
    <w:rsid w:val="0054718A"/>
    <w:rsid w:val="0054768A"/>
    <w:rsid w:val="00550422"/>
    <w:rsid w:val="0055118F"/>
    <w:rsid w:val="005511CC"/>
    <w:rsid w:val="00551632"/>
    <w:rsid w:val="00551783"/>
    <w:rsid w:val="005519D3"/>
    <w:rsid w:val="005533F3"/>
    <w:rsid w:val="0055355E"/>
    <w:rsid w:val="00553752"/>
    <w:rsid w:val="005537EC"/>
    <w:rsid w:val="00554A1A"/>
    <w:rsid w:val="00555207"/>
    <w:rsid w:val="00556A5C"/>
    <w:rsid w:val="005578B1"/>
    <w:rsid w:val="00557EBA"/>
    <w:rsid w:val="00557FE6"/>
    <w:rsid w:val="0056047D"/>
    <w:rsid w:val="005606A7"/>
    <w:rsid w:val="00560CD7"/>
    <w:rsid w:val="00561A87"/>
    <w:rsid w:val="00561B39"/>
    <w:rsid w:val="00561D21"/>
    <w:rsid w:val="005621F3"/>
    <w:rsid w:val="00562B40"/>
    <w:rsid w:val="005641EC"/>
    <w:rsid w:val="00564AF9"/>
    <w:rsid w:val="00564FEE"/>
    <w:rsid w:val="005659DB"/>
    <w:rsid w:val="0056676B"/>
    <w:rsid w:val="0056771D"/>
    <w:rsid w:val="0056785A"/>
    <w:rsid w:val="00567B70"/>
    <w:rsid w:val="00567CBC"/>
    <w:rsid w:val="00570310"/>
    <w:rsid w:val="00570990"/>
    <w:rsid w:val="00570C2A"/>
    <w:rsid w:val="00570C56"/>
    <w:rsid w:val="00570FBB"/>
    <w:rsid w:val="005711FE"/>
    <w:rsid w:val="00571280"/>
    <w:rsid w:val="005718E2"/>
    <w:rsid w:val="00571B94"/>
    <w:rsid w:val="00571DB0"/>
    <w:rsid w:val="005724A4"/>
    <w:rsid w:val="0057262B"/>
    <w:rsid w:val="00572648"/>
    <w:rsid w:val="00572694"/>
    <w:rsid w:val="0057292E"/>
    <w:rsid w:val="00573A21"/>
    <w:rsid w:val="00573BB8"/>
    <w:rsid w:val="00573E90"/>
    <w:rsid w:val="00574A30"/>
    <w:rsid w:val="00574C98"/>
    <w:rsid w:val="00575262"/>
    <w:rsid w:val="005752F9"/>
    <w:rsid w:val="00575375"/>
    <w:rsid w:val="005762AE"/>
    <w:rsid w:val="0057654F"/>
    <w:rsid w:val="005769CF"/>
    <w:rsid w:val="00576C09"/>
    <w:rsid w:val="00577616"/>
    <w:rsid w:val="00577676"/>
    <w:rsid w:val="00577B3C"/>
    <w:rsid w:val="00580017"/>
    <w:rsid w:val="00580181"/>
    <w:rsid w:val="00580341"/>
    <w:rsid w:val="00580655"/>
    <w:rsid w:val="00581B53"/>
    <w:rsid w:val="00581D53"/>
    <w:rsid w:val="005821A2"/>
    <w:rsid w:val="00582EFF"/>
    <w:rsid w:val="005837E2"/>
    <w:rsid w:val="0058394D"/>
    <w:rsid w:val="00584816"/>
    <w:rsid w:val="00584885"/>
    <w:rsid w:val="00584FD7"/>
    <w:rsid w:val="00585012"/>
    <w:rsid w:val="00585277"/>
    <w:rsid w:val="005858C6"/>
    <w:rsid w:val="00585C20"/>
    <w:rsid w:val="00585CBC"/>
    <w:rsid w:val="0058617C"/>
    <w:rsid w:val="00586719"/>
    <w:rsid w:val="00587244"/>
    <w:rsid w:val="005879E4"/>
    <w:rsid w:val="00590617"/>
    <w:rsid w:val="0059090A"/>
    <w:rsid w:val="0059105D"/>
    <w:rsid w:val="00591D76"/>
    <w:rsid w:val="0059207D"/>
    <w:rsid w:val="005927AA"/>
    <w:rsid w:val="00592D3E"/>
    <w:rsid w:val="005937C6"/>
    <w:rsid w:val="00593C53"/>
    <w:rsid w:val="00593F7D"/>
    <w:rsid w:val="00594351"/>
    <w:rsid w:val="0059552A"/>
    <w:rsid w:val="00596A4C"/>
    <w:rsid w:val="00596E18"/>
    <w:rsid w:val="00596FCE"/>
    <w:rsid w:val="0059798C"/>
    <w:rsid w:val="005A0875"/>
    <w:rsid w:val="005A0E8C"/>
    <w:rsid w:val="005A138B"/>
    <w:rsid w:val="005A13FA"/>
    <w:rsid w:val="005A1BB9"/>
    <w:rsid w:val="005A2319"/>
    <w:rsid w:val="005A2938"/>
    <w:rsid w:val="005A371A"/>
    <w:rsid w:val="005A3FD3"/>
    <w:rsid w:val="005A41C5"/>
    <w:rsid w:val="005A4A48"/>
    <w:rsid w:val="005A5686"/>
    <w:rsid w:val="005A56C9"/>
    <w:rsid w:val="005A65A8"/>
    <w:rsid w:val="005A6621"/>
    <w:rsid w:val="005A6B40"/>
    <w:rsid w:val="005A7197"/>
    <w:rsid w:val="005A71DA"/>
    <w:rsid w:val="005A72C9"/>
    <w:rsid w:val="005A7CF4"/>
    <w:rsid w:val="005A7E21"/>
    <w:rsid w:val="005B00D7"/>
    <w:rsid w:val="005B089C"/>
    <w:rsid w:val="005B0DE1"/>
    <w:rsid w:val="005B0FB7"/>
    <w:rsid w:val="005B1112"/>
    <w:rsid w:val="005B1C0A"/>
    <w:rsid w:val="005B1CBB"/>
    <w:rsid w:val="005B27A8"/>
    <w:rsid w:val="005B282E"/>
    <w:rsid w:val="005B41DE"/>
    <w:rsid w:val="005B4703"/>
    <w:rsid w:val="005B4D1F"/>
    <w:rsid w:val="005B53B4"/>
    <w:rsid w:val="005B62E9"/>
    <w:rsid w:val="005B6827"/>
    <w:rsid w:val="005B6ADA"/>
    <w:rsid w:val="005B771C"/>
    <w:rsid w:val="005B7EE5"/>
    <w:rsid w:val="005C04E3"/>
    <w:rsid w:val="005C0549"/>
    <w:rsid w:val="005C06EB"/>
    <w:rsid w:val="005C0983"/>
    <w:rsid w:val="005C0984"/>
    <w:rsid w:val="005C0D53"/>
    <w:rsid w:val="005C0F58"/>
    <w:rsid w:val="005C0FBC"/>
    <w:rsid w:val="005C111D"/>
    <w:rsid w:val="005C1FE3"/>
    <w:rsid w:val="005C2AA4"/>
    <w:rsid w:val="005C2E44"/>
    <w:rsid w:val="005C3985"/>
    <w:rsid w:val="005C40D0"/>
    <w:rsid w:val="005C46CA"/>
    <w:rsid w:val="005C4ABC"/>
    <w:rsid w:val="005C4E50"/>
    <w:rsid w:val="005C55CF"/>
    <w:rsid w:val="005C5B47"/>
    <w:rsid w:val="005C5DB4"/>
    <w:rsid w:val="005C5E12"/>
    <w:rsid w:val="005C772E"/>
    <w:rsid w:val="005C7D5A"/>
    <w:rsid w:val="005C7DEF"/>
    <w:rsid w:val="005D01C6"/>
    <w:rsid w:val="005D03E3"/>
    <w:rsid w:val="005D0E4B"/>
    <w:rsid w:val="005D182C"/>
    <w:rsid w:val="005D1A66"/>
    <w:rsid w:val="005D1DAE"/>
    <w:rsid w:val="005D1EF9"/>
    <w:rsid w:val="005D1F98"/>
    <w:rsid w:val="005D23B3"/>
    <w:rsid w:val="005D27CA"/>
    <w:rsid w:val="005D281C"/>
    <w:rsid w:val="005D29B5"/>
    <w:rsid w:val="005D3621"/>
    <w:rsid w:val="005D38E7"/>
    <w:rsid w:val="005D3FA7"/>
    <w:rsid w:val="005D4263"/>
    <w:rsid w:val="005D4C64"/>
    <w:rsid w:val="005D59CC"/>
    <w:rsid w:val="005D6B2A"/>
    <w:rsid w:val="005D6C25"/>
    <w:rsid w:val="005D6E14"/>
    <w:rsid w:val="005D6EDE"/>
    <w:rsid w:val="005D7504"/>
    <w:rsid w:val="005D7533"/>
    <w:rsid w:val="005E08E7"/>
    <w:rsid w:val="005E11C8"/>
    <w:rsid w:val="005E1251"/>
    <w:rsid w:val="005E1DB4"/>
    <w:rsid w:val="005E2B39"/>
    <w:rsid w:val="005E3F30"/>
    <w:rsid w:val="005E445F"/>
    <w:rsid w:val="005E48C7"/>
    <w:rsid w:val="005E4CE7"/>
    <w:rsid w:val="005E4FD3"/>
    <w:rsid w:val="005E533F"/>
    <w:rsid w:val="005F0042"/>
    <w:rsid w:val="005F0E94"/>
    <w:rsid w:val="005F2082"/>
    <w:rsid w:val="005F3467"/>
    <w:rsid w:val="005F38D0"/>
    <w:rsid w:val="005F4CF1"/>
    <w:rsid w:val="005F4F0D"/>
    <w:rsid w:val="005F563A"/>
    <w:rsid w:val="005F635C"/>
    <w:rsid w:val="005F7DA6"/>
    <w:rsid w:val="006008F3"/>
    <w:rsid w:val="00600D6B"/>
    <w:rsid w:val="00600E6D"/>
    <w:rsid w:val="00600F37"/>
    <w:rsid w:val="006025E0"/>
    <w:rsid w:val="0060285D"/>
    <w:rsid w:val="00602980"/>
    <w:rsid w:val="00602E78"/>
    <w:rsid w:val="006048A6"/>
    <w:rsid w:val="00604BF3"/>
    <w:rsid w:val="006056B8"/>
    <w:rsid w:val="00606970"/>
    <w:rsid w:val="0060697A"/>
    <w:rsid w:val="00606A86"/>
    <w:rsid w:val="00610B35"/>
    <w:rsid w:val="00611778"/>
    <w:rsid w:val="006118F2"/>
    <w:rsid w:val="00611AFD"/>
    <w:rsid w:val="00611B6B"/>
    <w:rsid w:val="00611C38"/>
    <w:rsid w:val="0061278C"/>
    <w:rsid w:val="00612977"/>
    <w:rsid w:val="00613E4E"/>
    <w:rsid w:val="006140A9"/>
    <w:rsid w:val="00614951"/>
    <w:rsid w:val="00614A4C"/>
    <w:rsid w:val="00614B94"/>
    <w:rsid w:val="00615A3F"/>
    <w:rsid w:val="00615EBA"/>
    <w:rsid w:val="0061624D"/>
    <w:rsid w:val="00616633"/>
    <w:rsid w:val="006169A2"/>
    <w:rsid w:val="0061725D"/>
    <w:rsid w:val="0061734E"/>
    <w:rsid w:val="006174F6"/>
    <w:rsid w:val="006175CC"/>
    <w:rsid w:val="006200F1"/>
    <w:rsid w:val="0062086A"/>
    <w:rsid w:val="00621243"/>
    <w:rsid w:val="00621D2B"/>
    <w:rsid w:val="0062200B"/>
    <w:rsid w:val="00622014"/>
    <w:rsid w:val="00622566"/>
    <w:rsid w:val="00622B92"/>
    <w:rsid w:val="00622F37"/>
    <w:rsid w:val="0062333D"/>
    <w:rsid w:val="00623A56"/>
    <w:rsid w:val="0062414B"/>
    <w:rsid w:val="006241AB"/>
    <w:rsid w:val="006242A0"/>
    <w:rsid w:val="00624446"/>
    <w:rsid w:val="006251CD"/>
    <w:rsid w:val="006258EA"/>
    <w:rsid w:val="0062594C"/>
    <w:rsid w:val="00625C00"/>
    <w:rsid w:val="00625D58"/>
    <w:rsid w:val="0062634D"/>
    <w:rsid w:val="0062676F"/>
    <w:rsid w:val="00626C57"/>
    <w:rsid w:val="006277E7"/>
    <w:rsid w:val="006278C2"/>
    <w:rsid w:val="00627EFD"/>
    <w:rsid w:val="00630820"/>
    <w:rsid w:val="0063096B"/>
    <w:rsid w:val="00631502"/>
    <w:rsid w:val="00631707"/>
    <w:rsid w:val="00631FC6"/>
    <w:rsid w:val="006326CC"/>
    <w:rsid w:val="00632908"/>
    <w:rsid w:val="00632EF3"/>
    <w:rsid w:val="0063300D"/>
    <w:rsid w:val="006331D6"/>
    <w:rsid w:val="00634016"/>
    <w:rsid w:val="00634097"/>
    <w:rsid w:val="006340DE"/>
    <w:rsid w:val="00634DB6"/>
    <w:rsid w:val="00635164"/>
    <w:rsid w:val="00635760"/>
    <w:rsid w:val="0063589E"/>
    <w:rsid w:val="00635B7B"/>
    <w:rsid w:val="00635E20"/>
    <w:rsid w:val="00635E4A"/>
    <w:rsid w:val="00636073"/>
    <w:rsid w:val="006360A7"/>
    <w:rsid w:val="00636703"/>
    <w:rsid w:val="00636AF0"/>
    <w:rsid w:val="00636B78"/>
    <w:rsid w:val="00636BA2"/>
    <w:rsid w:val="00637336"/>
    <w:rsid w:val="00637E34"/>
    <w:rsid w:val="00640D0A"/>
    <w:rsid w:val="006421CD"/>
    <w:rsid w:val="00642324"/>
    <w:rsid w:val="00642554"/>
    <w:rsid w:val="006425C8"/>
    <w:rsid w:val="006433A7"/>
    <w:rsid w:val="006433DC"/>
    <w:rsid w:val="00643A50"/>
    <w:rsid w:val="00643F00"/>
    <w:rsid w:val="00643F30"/>
    <w:rsid w:val="00644206"/>
    <w:rsid w:val="006443D7"/>
    <w:rsid w:val="0064445B"/>
    <w:rsid w:val="00644CC4"/>
    <w:rsid w:val="0064501E"/>
    <w:rsid w:val="00645410"/>
    <w:rsid w:val="006465C8"/>
    <w:rsid w:val="00647A67"/>
    <w:rsid w:val="00647A98"/>
    <w:rsid w:val="00647D76"/>
    <w:rsid w:val="006504D4"/>
    <w:rsid w:val="006505FC"/>
    <w:rsid w:val="00650A05"/>
    <w:rsid w:val="00652DF7"/>
    <w:rsid w:val="00653432"/>
    <w:rsid w:val="006534DC"/>
    <w:rsid w:val="00653C5B"/>
    <w:rsid w:val="00654A4A"/>
    <w:rsid w:val="00654A98"/>
    <w:rsid w:val="00654EF9"/>
    <w:rsid w:val="00655325"/>
    <w:rsid w:val="006553CE"/>
    <w:rsid w:val="00655A34"/>
    <w:rsid w:val="00656355"/>
    <w:rsid w:val="006564FA"/>
    <w:rsid w:val="006567C6"/>
    <w:rsid w:val="00657C98"/>
    <w:rsid w:val="0066002F"/>
    <w:rsid w:val="0066079A"/>
    <w:rsid w:val="00660B1C"/>
    <w:rsid w:val="00660B23"/>
    <w:rsid w:val="00660CDF"/>
    <w:rsid w:val="006610D6"/>
    <w:rsid w:val="006618E5"/>
    <w:rsid w:val="0066307D"/>
    <w:rsid w:val="00663255"/>
    <w:rsid w:val="006638F3"/>
    <w:rsid w:val="006641FA"/>
    <w:rsid w:val="006653E5"/>
    <w:rsid w:val="0066572A"/>
    <w:rsid w:val="00666043"/>
    <w:rsid w:val="006660F8"/>
    <w:rsid w:val="006661C7"/>
    <w:rsid w:val="00666B39"/>
    <w:rsid w:val="00666F7F"/>
    <w:rsid w:val="00667216"/>
    <w:rsid w:val="006678AD"/>
    <w:rsid w:val="00667C70"/>
    <w:rsid w:val="00670319"/>
    <w:rsid w:val="0067057F"/>
    <w:rsid w:val="0067063F"/>
    <w:rsid w:val="00670926"/>
    <w:rsid w:val="00671717"/>
    <w:rsid w:val="006725AB"/>
    <w:rsid w:val="006742D3"/>
    <w:rsid w:val="006744D0"/>
    <w:rsid w:val="006746BD"/>
    <w:rsid w:val="00674C62"/>
    <w:rsid w:val="00674D08"/>
    <w:rsid w:val="00675EE7"/>
    <w:rsid w:val="00676053"/>
    <w:rsid w:val="0067619F"/>
    <w:rsid w:val="00676525"/>
    <w:rsid w:val="0067658F"/>
    <w:rsid w:val="006767D9"/>
    <w:rsid w:val="00676BDE"/>
    <w:rsid w:val="00677047"/>
    <w:rsid w:val="00677947"/>
    <w:rsid w:val="006801C4"/>
    <w:rsid w:val="0068078A"/>
    <w:rsid w:val="00680C92"/>
    <w:rsid w:val="006816D0"/>
    <w:rsid w:val="00682C4B"/>
    <w:rsid w:val="00682CE0"/>
    <w:rsid w:val="00682DC7"/>
    <w:rsid w:val="00683032"/>
    <w:rsid w:val="006838A9"/>
    <w:rsid w:val="00684268"/>
    <w:rsid w:val="00684442"/>
    <w:rsid w:val="00684F73"/>
    <w:rsid w:val="0068515E"/>
    <w:rsid w:val="0068621C"/>
    <w:rsid w:val="006864D1"/>
    <w:rsid w:val="00686A64"/>
    <w:rsid w:val="00686DD3"/>
    <w:rsid w:val="006879A8"/>
    <w:rsid w:val="00690BAA"/>
    <w:rsid w:val="00690CD1"/>
    <w:rsid w:val="00690DCA"/>
    <w:rsid w:val="0069160C"/>
    <w:rsid w:val="00691998"/>
    <w:rsid w:val="00691C90"/>
    <w:rsid w:val="00692387"/>
    <w:rsid w:val="00692E1E"/>
    <w:rsid w:val="006937F2"/>
    <w:rsid w:val="006937F8"/>
    <w:rsid w:val="00693847"/>
    <w:rsid w:val="006944F8"/>
    <w:rsid w:val="006949A8"/>
    <w:rsid w:val="00695AFD"/>
    <w:rsid w:val="00695C49"/>
    <w:rsid w:val="006965BB"/>
    <w:rsid w:val="0069690C"/>
    <w:rsid w:val="00696B8C"/>
    <w:rsid w:val="00696BBF"/>
    <w:rsid w:val="00696C5F"/>
    <w:rsid w:val="00697967"/>
    <w:rsid w:val="006A0A81"/>
    <w:rsid w:val="006A13AE"/>
    <w:rsid w:val="006A1DDE"/>
    <w:rsid w:val="006A2A48"/>
    <w:rsid w:val="006A2C34"/>
    <w:rsid w:val="006A2E6E"/>
    <w:rsid w:val="006A3CC5"/>
    <w:rsid w:val="006A4036"/>
    <w:rsid w:val="006A44B1"/>
    <w:rsid w:val="006A46AE"/>
    <w:rsid w:val="006A4731"/>
    <w:rsid w:val="006A55B8"/>
    <w:rsid w:val="006A5893"/>
    <w:rsid w:val="006A6285"/>
    <w:rsid w:val="006A70E6"/>
    <w:rsid w:val="006A73F5"/>
    <w:rsid w:val="006A7765"/>
    <w:rsid w:val="006A781B"/>
    <w:rsid w:val="006B08B6"/>
    <w:rsid w:val="006B0B5C"/>
    <w:rsid w:val="006B0D93"/>
    <w:rsid w:val="006B0DC0"/>
    <w:rsid w:val="006B2182"/>
    <w:rsid w:val="006B228B"/>
    <w:rsid w:val="006B2BB8"/>
    <w:rsid w:val="006B2E90"/>
    <w:rsid w:val="006B310E"/>
    <w:rsid w:val="006B3B57"/>
    <w:rsid w:val="006B3FB3"/>
    <w:rsid w:val="006B45A3"/>
    <w:rsid w:val="006B46BC"/>
    <w:rsid w:val="006B4A6A"/>
    <w:rsid w:val="006B4EC0"/>
    <w:rsid w:val="006B4FEB"/>
    <w:rsid w:val="006B55F5"/>
    <w:rsid w:val="006B5907"/>
    <w:rsid w:val="006B5A79"/>
    <w:rsid w:val="006B5CA4"/>
    <w:rsid w:val="006B5F3A"/>
    <w:rsid w:val="006B5F4A"/>
    <w:rsid w:val="006B6376"/>
    <w:rsid w:val="006B6C5C"/>
    <w:rsid w:val="006B6D63"/>
    <w:rsid w:val="006B74E2"/>
    <w:rsid w:val="006B76E9"/>
    <w:rsid w:val="006B7780"/>
    <w:rsid w:val="006B787B"/>
    <w:rsid w:val="006B7DA9"/>
    <w:rsid w:val="006C01FB"/>
    <w:rsid w:val="006C1CAD"/>
    <w:rsid w:val="006C1FF4"/>
    <w:rsid w:val="006C2522"/>
    <w:rsid w:val="006C27B1"/>
    <w:rsid w:val="006C2A12"/>
    <w:rsid w:val="006C3052"/>
    <w:rsid w:val="006C3199"/>
    <w:rsid w:val="006C3BC5"/>
    <w:rsid w:val="006C4B94"/>
    <w:rsid w:val="006C537C"/>
    <w:rsid w:val="006C547C"/>
    <w:rsid w:val="006C55B8"/>
    <w:rsid w:val="006C5792"/>
    <w:rsid w:val="006C57C4"/>
    <w:rsid w:val="006C5DC0"/>
    <w:rsid w:val="006C60F0"/>
    <w:rsid w:val="006D0044"/>
    <w:rsid w:val="006D02A2"/>
    <w:rsid w:val="006D049E"/>
    <w:rsid w:val="006D06DA"/>
    <w:rsid w:val="006D0AB1"/>
    <w:rsid w:val="006D1662"/>
    <w:rsid w:val="006D37AF"/>
    <w:rsid w:val="006D3A35"/>
    <w:rsid w:val="006D3A88"/>
    <w:rsid w:val="006D40DB"/>
    <w:rsid w:val="006D4D11"/>
    <w:rsid w:val="006D4E6C"/>
    <w:rsid w:val="006D520D"/>
    <w:rsid w:val="006D5602"/>
    <w:rsid w:val="006D5AF7"/>
    <w:rsid w:val="006D7EE6"/>
    <w:rsid w:val="006E014F"/>
    <w:rsid w:val="006E0365"/>
    <w:rsid w:val="006E06DE"/>
    <w:rsid w:val="006E0A53"/>
    <w:rsid w:val="006E1316"/>
    <w:rsid w:val="006E15AC"/>
    <w:rsid w:val="006E19AC"/>
    <w:rsid w:val="006E22EF"/>
    <w:rsid w:val="006E269F"/>
    <w:rsid w:val="006E29F8"/>
    <w:rsid w:val="006E3328"/>
    <w:rsid w:val="006E439B"/>
    <w:rsid w:val="006E58FD"/>
    <w:rsid w:val="006E5D42"/>
    <w:rsid w:val="006E5FC2"/>
    <w:rsid w:val="006E6A13"/>
    <w:rsid w:val="006E6B4E"/>
    <w:rsid w:val="006E6B6E"/>
    <w:rsid w:val="006E6F52"/>
    <w:rsid w:val="006E706E"/>
    <w:rsid w:val="006E7FED"/>
    <w:rsid w:val="006F0045"/>
    <w:rsid w:val="006F018B"/>
    <w:rsid w:val="006F041B"/>
    <w:rsid w:val="006F07A4"/>
    <w:rsid w:val="006F0872"/>
    <w:rsid w:val="006F110A"/>
    <w:rsid w:val="006F198B"/>
    <w:rsid w:val="006F2134"/>
    <w:rsid w:val="006F2221"/>
    <w:rsid w:val="006F2D93"/>
    <w:rsid w:val="006F3156"/>
    <w:rsid w:val="006F3963"/>
    <w:rsid w:val="006F431A"/>
    <w:rsid w:val="006F517F"/>
    <w:rsid w:val="006F6A4F"/>
    <w:rsid w:val="006F6AC2"/>
    <w:rsid w:val="006F79DF"/>
    <w:rsid w:val="006F7F07"/>
    <w:rsid w:val="00700479"/>
    <w:rsid w:val="00700989"/>
    <w:rsid w:val="007021E8"/>
    <w:rsid w:val="00702BFE"/>
    <w:rsid w:val="00704014"/>
    <w:rsid w:val="00704D89"/>
    <w:rsid w:val="00705376"/>
    <w:rsid w:val="007060FD"/>
    <w:rsid w:val="007061AB"/>
    <w:rsid w:val="007064AE"/>
    <w:rsid w:val="00706AA4"/>
    <w:rsid w:val="0070713F"/>
    <w:rsid w:val="00707379"/>
    <w:rsid w:val="007078E8"/>
    <w:rsid w:val="00710BF6"/>
    <w:rsid w:val="00710D5D"/>
    <w:rsid w:val="00710F19"/>
    <w:rsid w:val="00711235"/>
    <w:rsid w:val="0071159C"/>
    <w:rsid w:val="0071195B"/>
    <w:rsid w:val="0071264F"/>
    <w:rsid w:val="00712687"/>
    <w:rsid w:val="007126F0"/>
    <w:rsid w:val="0071270F"/>
    <w:rsid w:val="00713380"/>
    <w:rsid w:val="00713E4F"/>
    <w:rsid w:val="00714491"/>
    <w:rsid w:val="00714A0C"/>
    <w:rsid w:val="00714BB5"/>
    <w:rsid w:val="0071560B"/>
    <w:rsid w:val="007159D9"/>
    <w:rsid w:val="00715DA1"/>
    <w:rsid w:val="00715F7F"/>
    <w:rsid w:val="00716078"/>
    <w:rsid w:val="00716AAA"/>
    <w:rsid w:val="007171BD"/>
    <w:rsid w:val="0071756E"/>
    <w:rsid w:val="00717ADB"/>
    <w:rsid w:val="007206A2"/>
    <w:rsid w:val="00720F28"/>
    <w:rsid w:val="0072130B"/>
    <w:rsid w:val="00721A9D"/>
    <w:rsid w:val="007220C4"/>
    <w:rsid w:val="00722C49"/>
    <w:rsid w:val="00722D82"/>
    <w:rsid w:val="00723B76"/>
    <w:rsid w:val="00724047"/>
    <w:rsid w:val="0072496D"/>
    <w:rsid w:val="007265D1"/>
    <w:rsid w:val="0072672B"/>
    <w:rsid w:val="00726B0E"/>
    <w:rsid w:val="00726E46"/>
    <w:rsid w:val="0072758D"/>
    <w:rsid w:val="007275D5"/>
    <w:rsid w:val="00727A13"/>
    <w:rsid w:val="00727E6D"/>
    <w:rsid w:val="007307D2"/>
    <w:rsid w:val="00730CCA"/>
    <w:rsid w:val="0073221E"/>
    <w:rsid w:val="007328C1"/>
    <w:rsid w:val="007331A7"/>
    <w:rsid w:val="00733541"/>
    <w:rsid w:val="007335B6"/>
    <w:rsid w:val="007339CE"/>
    <w:rsid w:val="00734B03"/>
    <w:rsid w:val="00734B6A"/>
    <w:rsid w:val="007359CC"/>
    <w:rsid w:val="0073692F"/>
    <w:rsid w:val="00736954"/>
    <w:rsid w:val="00737645"/>
    <w:rsid w:val="00737858"/>
    <w:rsid w:val="007379A3"/>
    <w:rsid w:val="007408F8"/>
    <w:rsid w:val="00742122"/>
    <w:rsid w:val="007424D3"/>
    <w:rsid w:val="00742D4E"/>
    <w:rsid w:val="007435D3"/>
    <w:rsid w:val="0074399B"/>
    <w:rsid w:val="00743F9E"/>
    <w:rsid w:val="00744365"/>
    <w:rsid w:val="00744E86"/>
    <w:rsid w:val="007458E1"/>
    <w:rsid w:val="007459F9"/>
    <w:rsid w:val="00745CD8"/>
    <w:rsid w:val="00745FCF"/>
    <w:rsid w:val="00746359"/>
    <w:rsid w:val="00746A79"/>
    <w:rsid w:val="00746E92"/>
    <w:rsid w:val="0074745E"/>
    <w:rsid w:val="00750D11"/>
    <w:rsid w:val="00750ED7"/>
    <w:rsid w:val="00751160"/>
    <w:rsid w:val="00753428"/>
    <w:rsid w:val="00753A00"/>
    <w:rsid w:val="00753F42"/>
    <w:rsid w:val="00754131"/>
    <w:rsid w:val="00754978"/>
    <w:rsid w:val="00754A74"/>
    <w:rsid w:val="00754A77"/>
    <w:rsid w:val="00754B21"/>
    <w:rsid w:val="007550B0"/>
    <w:rsid w:val="007552E9"/>
    <w:rsid w:val="00755C00"/>
    <w:rsid w:val="0075603A"/>
    <w:rsid w:val="00756723"/>
    <w:rsid w:val="00756A03"/>
    <w:rsid w:val="0075753F"/>
    <w:rsid w:val="007577A9"/>
    <w:rsid w:val="0075799C"/>
    <w:rsid w:val="00757AEE"/>
    <w:rsid w:val="00757B48"/>
    <w:rsid w:val="0076011F"/>
    <w:rsid w:val="007601DA"/>
    <w:rsid w:val="00761C5A"/>
    <w:rsid w:val="00763062"/>
    <w:rsid w:val="00764B16"/>
    <w:rsid w:val="00764E75"/>
    <w:rsid w:val="0076562D"/>
    <w:rsid w:val="00765D16"/>
    <w:rsid w:val="00766E39"/>
    <w:rsid w:val="00767586"/>
    <w:rsid w:val="00767949"/>
    <w:rsid w:val="007679AB"/>
    <w:rsid w:val="007679EC"/>
    <w:rsid w:val="00767C09"/>
    <w:rsid w:val="00770478"/>
    <w:rsid w:val="00770665"/>
    <w:rsid w:val="007706CC"/>
    <w:rsid w:val="00770B10"/>
    <w:rsid w:val="0077116C"/>
    <w:rsid w:val="00771890"/>
    <w:rsid w:val="0077193A"/>
    <w:rsid w:val="00771C0E"/>
    <w:rsid w:val="00772383"/>
    <w:rsid w:val="00772877"/>
    <w:rsid w:val="00772F2B"/>
    <w:rsid w:val="00773143"/>
    <w:rsid w:val="0077339C"/>
    <w:rsid w:val="00773E7D"/>
    <w:rsid w:val="00773ECF"/>
    <w:rsid w:val="00773F0D"/>
    <w:rsid w:val="00774D8A"/>
    <w:rsid w:val="0077525E"/>
    <w:rsid w:val="00775734"/>
    <w:rsid w:val="00775824"/>
    <w:rsid w:val="00775841"/>
    <w:rsid w:val="0077658C"/>
    <w:rsid w:val="00776CEE"/>
    <w:rsid w:val="007770FC"/>
    <w:rsid w:val="00777148"/>
    <w:rsid w:val="0077757C"/>
    <w:rsid w:val="00777CB4"/>
    <w:rsid w:val="007807D7"/>
    <w:rsid w:val="00780E85"/>
    <w:rsid w:val="007814C5"/>
    <w:rsid w:val="00781AF1"/>
    <w:rsid w:val="007820D4"/>
    <w:rsid w:val="00782F07"/>
    <w:rsid w:val="00783514"/>
    <w:rsid w:val="00783E3B"/>
    <w:rsid w:val="00784D05"/>
    <w:rsid w:val="00785270"/>
    <w:rsid w:val="007855E7"/>
    <w:rsid w:val="007856B2"/>
    <w:rsid w:val="00785715"/>
    <w:rsid w:val="00785D0A"/>
    <w:rsid w:val="00786847"/>
    <w:rsid w:val="00787710"/>
    <w:rsid w:val="00787ADE"/>
    <w:rsid w:val="007910E5"/>
    <w:rsid w:val="00791B91"/>
    <w:rsid w:val="007921DC"/>
    <w:rsid w:val="00792DA3"/>
    <w:rsid w:val="00793710"/>
    <w:rsid w:val="0079375E"/>
    <w:rsid w:val="00793CC1"/>
    <w:rsid w:val="0079408B"/>
    <w:rsid w:val="00794231"/>
    <w:rsid w:val="00795547"/>
    <w:rsid w:val="00795735"/>
    <w:rsid w:val="00795E43"/>
    <w:rsid w:val="0079614C"/>
    <w:rsid w:val="00796193"/>
    <w:rsid w:val="00796386"/>
    <w:rsid w:val="007963F7"/>
    <w:rsid w:val="00796D5A"/>
    <w:rsid w:val="00797116"/>
    <w:rsid w:val="00797171"/>
    <w:rsid w:val="00797393"/>
    <w:rsid w:val="00797E07"/>
    <w:rsid w:val="007A0390"/>
    <w:rsid w:val="007A04C2"/>
    <w:rsid w:val="007A0B0C"/>
    <w:rsid w:val="007A0B2E"/>
    <w:rsid w:val="007A0E14"/>
    <w:rsid w:val="007A17AF"/>
    <w:rsid w:val="007A1CC7"/>
    <w:rsid w:val="007A20DA"/>
    <w:rsid w:val="007A2420"/>
    <w:rsid w:val="007A431F"/>
    <w:rsid w:val="007A45C4"/>
    <w:rsid w:val="007A556F"/>
    <w:rsid w:val="007A6263"/>
    <w:rsid w:val="007A6268"/>
    <w:rsid w:val="007A678E"/>
    <w:rsid w:val="007A6856"/>
    <w:rsid w:val="007A778B"/>
    <w:rsid w:val="007B01BA"/>
    <w:rsid w:val="007B078B"/>
    <w:rsid w:val="007B0B08"/>
    <w:rsid w:val="007B0C38"/>
    <w:rsid w:val="007B10E5"/>
    <w:rsid w:val="007B185C"/>
    <w:rsid w:val="007B1C76"/>
    <w:rsid w:val="007B1E3A"/>
    <w:rsid w:val="007B1FAD"/>
    <w:rsid w:val="007B2042"/>
    <w:rsid w:val="007B2629"/>
    <w:rsid w:val="007B2B0A"/>
    <w:rsid w:val="007B2BB6"/>
    <w:rsid w:val="007B2F5A"/>
    <w:rsid w:val="007B3684"/>
    <w:rsid w:val="007B3840"/>
    <w:rsid w:val="007B45F8"/>
    <w:rsid w:val="007B54A2"/>
    <w:rsid w:val="007B5B96"/>
    <w:rsid w:val="007B5C7E"/>
    <w:rsid w:val="007B5D7E"/>
    <w:rsid w:val="007B6F4C"/>
    <w:rsid w:val="007B7393"/>
    <w:rsid w:val="007B77BE"/>
    <w:rsid w:val="007B7C75"/>
    <w:rsid w:val="007C0180"/>
    <w:rsid w:val="007C0A96"/>
    <w:rsid w:val="007C1711"/>
    <w:rsid w:val="007C1BD8"/>
    <w:rsid w:val="007C208E"/>
    <w:rsid w:val="007C213D"/>
    <w:rsid w:val="007C2832"/>
    <w:rsid w:val="007C2C81"/>
    <w:rsid w:val="007C3C06"/>
    <w:rsid w:val="007C41D6"/>
    <w:rsid w:val="007C44F7"/>
    <w:rsid w:val="007C48D8"/>
    <w:rsid w:val="007C519F"/>
    <w:rsid w:val="007C5738"/>
    <w:rsid w:val="007C6279"/>
    <w:rsid w:val="007C62BB"/>
    <w:rsid w:val="007C6883"/>
    <w:rsid w:val="007C688A"/>
    <w:rsid w:val="007C6998"/>
    <w:rsid w:val="007C6CEC"/>
    <w:rsid w:val="007C7076"/>
    <w:rsid w:val="007C77BB"/>
    <w:rsid w:val="007C7909"/>
    <w:rsid w:val="007C7DE0"/>
    <w:rsid w:val="007D053E"/>
    <w:rsid w:val="007D068B"/>
    <w:rsid w:val="007D0860"/>
    <w:rsid w:val="007D13F5"/>
    <w:rsid w:val="007D24D0"/>
    <w:rsid w:val="007D2724"/>
    <w:rsid w:val="007D3859"/>
    <w:rsid w:val="007D4449"/>
    <w:rsid w:val="007D4C0A"/>
    <w:rsid w:val="007D4EAE"/>
    <w:rsid w:val="007D5AFB"/>
    <w:rsid w:val="007D5F1E"/>
    <w:rsid w:val="007D61AB"/>
    <w:rsid w:val="007D6346"/>
    <w:rsid w:val="007D63B9"/>
    <w:rsid w:val="007D64F1"/>
    <w:rsid w:val="007D74A5"/>
    <w:rsid w:val="007D7C35"/>
    <w:rsid w:val="007E0302"/>
    <w:rsid w:val="007E07EF"/>
    <w:rsid w:val="007E1042"/>
    <w:rsid w:val="007E13B1"/>
    <w:rsid w:val="007E1B44"/>
    <w:rsid w:val="007E1E7A"/>
    <w:rsid w:val="007E214E"/>
    <w:rsid w:val="007E230A"/>
    <w:rsid w:val="007E2877"/>
    <w:rsid w:val="007E34AE"/>
    <w:rsid w:val="007E3D24"/>
    <w:rsid w:val="007E4DA4"/>
    <w:rsid w:val="007E4E15"/>
    <w:rsid w:val="007E51ED"/>
    <w:rsid w:val="007E5476"/>
    <w:rsid w:val="007E5D28"/>
    <w:rsid w:val="007E608F"/>
    <w:rsid w:val="007E60A7"/>
    <w:rsid w:val="007E6CA4"/>
    <w:rsid w:val="007E7339"/>
    <w:rsid w:val="007E745D"/>
    <w:rsid w:val="007E7802"/>
    <w:rsid w:val="007E7A06"/>
    <w:rsid w:val="007E7AF6"/>
    <w:rsid w:val="007F09E6"/>
    <w:rsid w:val="007F1385"/>
    <w:rsid w:val="007F1EA9"/>
    <w:rsid w:val="007F1F39"/>
    <w:rsid w:val="007F20DF"/>
    <w:rsid w:val="007F2294"/>
    <w:rsid w:val="007F23CB"/>
    <w:rsid w:val="007F2A0F"/>
    <w:rsid w:val="007F3B85"/>
    <w:rsid w:val="007F4255"/>
    <w:rsid w:val="007F551F"/>
    <w:rsid w:val="007F5C4A"/>
    <w:rsid w:val="007F5CD6"/>
    <w:rsid w:val="007F67EA"/>
    <w:rsid w:val="007F6DBC"/>
    <w:rsid w:val="007F781C"/>
    <w:rsid w:val="007F7A05"/>
    <w:rsid w:val="00800A22"/>
    <w:rsid w:val="00800F4F"/>
    <w:rsid w:val="008011D6"/>
    <w:rsid w:val="0080160A"/>
    <w:rsid w:val="00801BF9"/>
    <w:rsid w:val="00801D05"/>
    <w:rsid w:val="00801E7D"/>
    <w:rsid w:val="00802F60"/>
    <w:rsid w:val="0080365F"/>
    <w:rsid w:val="008043FA"/>
    <w:rsid w:val="00804A63"/>
    <w:rsid w:val="00804DDD"/>
    <w:rsid w:val="0080562D"/>
    <w:rsid w:val="00805BA5"/>
    <w:rsid w:val="00805D3C"/>
    <w:rsid w:val="00806473"/>
    <w:rsid w:val="0080656F"/>
    <w:rsid w:val="00806935"/>
    <w:rsid w:val="00806950"/>
    <w:rsid w:val="00806C0F"/>
    <w:rsid w:val="00806C70"/>
    <w:rsid w:val="008075C9"/>
    <w:rsid w:val="0080776F"/>
    <w:rsid w:val="008077A1"/>
    <w:rsid w:val="00807C49"/>
    <w:rsid w:val="00810294"/>
    <w:rsid w:val="00811456"/>
    <w:rsid w:val="008115FF"/>
    <w:rsid w:val="008117D3"/>
    <w:rsid w:val="00811A5D"/>
    <w:rsid w:val="008123C5"/>
    <w:rsid w:val="008124AD"/>
    <w:rsid w:val="00812579"/>
    <w:rsid w:val="008126F9"/>
    <w:rsid w:val="00812988"/>
    <w:rsid w:val="00812B1F"/>
    <w:rsid w:val="008137C7"/>
    <w:rsid w:val="00814C18"/>
    <w:rsid w:val="00814DDA"/>
    <w:rsid w:val="00816BAD"/>
    <w:rsid w:val="008172F9"/>
    <w:rsid w:val="008206A7"/>
    <w:rsid w:val="00820747"/>
    <w:rsid w:val="0082079C"/>
    <w:rsid w:val="00820B04"/>
    <w:rsid w:val="008213D2"/>
    <w:rsid w:val="008214AE"/>
    <w:rsid w:val="00821509"/>
    <w:rsid w:val="00821C77"/>
    <w:rsid w:val="008223F6"/>
    <w:rsid w:val="00822948"/>
    <w:rsid w:val="008232A4"/>
    <w:rsid w:val="00823C08"/>
    <w:rsid w:val="00825276"/>
    <w:rsid w:val="00825559"/>
    <w:rsid w:val="00826009"/>
    <w:rsid w:val="0082640B"/>
    <w:rsid w:val="00826C76"/>
    <w:rsid w:val="00826CE6"/>
    <w:rsid w:val="008277BB"/>
    <w:rsid w:val="00827DC9"/>
    <w:rsid w:val="00827DF6"/>
    <w:rsid w:val="00831BBD"/>
    <w:rsid w:val="00831C6F"/>
    <w:rsid w:val="0083217B"/>
    <w:rsid w:val="0083321E"/>
    <w:rsid w:val="00833403"/>
    <w:rsid w:val="00834621"/>
    <w:rsid w:val="00834C4C"/>
    <w:rsid w:val="008352BD"/>
    <w:rsid w:val="008353DF"/>
    <w:rsid w:val="008354B1"/>
    <w:rsid w:val="00835DFD"/>
    <w:rsid w:val="00837742"/>
    <w:rsid w:val="0083EB5B"/>
    <w:rsid w:val="0084022C"/>
    <w:rsid w:val="008402B2"/>
    <w:rsid w:val="0084084F"/>
    <w:rsid w:val="00840D33"/>
    <w:rsid w:val="008425E2"/>
    <w:rsid w:val="00842CC6"/>
    <w:rsid w:val="00843696"/>
    <w:rsid w:val="00843826"/>
    <w:rsid w:val="00843F6D"/>
    <w:rsid w:val="0084477D"/>
    <w:rsid w:val="00845819"/>
    <w:rsid w:val="00845DB8"/>
    <w:rsid w:val="008460C7"/>
    <w:rsid w:val="00846355"/>
    <w:rsid w:val="008468F7"/>
    <w:rsid w:val="00846C10"/>
    <w:rsid w:val="00846CA0"/>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95A"/>
    <w:rsid w:val="00853D3D"/>
    <w:rsid w:val="0085412F"/>
    <w:rsid w:val="0085423D"/>
    <w:rsid w:val="008542E8"/>
    <w:rsid w:val="00854405"/>
    <w:rsid w:val="00854698"/>
    <w:rsid w:val="008549FE"/>
    <w:rsid w:val="00854CDE"/>
    <w:rsid w:val="0085517A"/>
    <w:rsid w:val="008552C9"/>
    <w:rsid w:val="00855BA2"/>
    <w:rsid w:val="0085613A"/>
    <w:rsid w:val="00856513"/>
    <w:rsid w:val="008569B7"/>
    <w:rsid w:val="00857048"/>
    <w:rsid w:val="00857D24"/>
    <w:rsid w:val="00858200"/>
    <w:rsid w:val="0086052A"/>
    <w:rsid w:val="008610A7"/>
    <w:rsid w:val="00861539"/>
    <w:rsid w:val="00861C4F"/>
    <w:rsid w:val="00862C34"/>
    <w:rsid w:val="00863791"/>
    <w:rsid w:val="0086381B"/>
    <w:rsid w:val="008638C6"/>
    <w:rsid w:val="00863B18"/>
    <w:rsid w:val="00863CE9"/>
    <w:rsid w:val="00864261"/>
    <w:rsid w:val="00864ED2"/>
    <w:rsid w:val="00865C32"/>
    <w:rsid w:val="00866A7D"/>
    <w:rsid w:val="00866BD1"/>
    <w:rsid w:val="00867BB7"/>
    <w:rsid w:val="00867D48"/>
    <w:rsid w:val="00870112"/>
    <w:rsid w:val="00870678"/>
    <w:rsid w:val="00871C68"/>
    <w:rsid w:val="0087274F"/>
    <w:rsid w:val="00873132"/>
    <w:rsid w:val="00873246"/>
    <w:rsid w:val="008734B2"/>
    <w:rsid w:val="008747E9"/>
    <w:rsid w:val="00874E95"/>
    <w:rsid w:val="008753AB"/>
    <w:rsid w:val="00875964"/>
    <w:rsid w:val="00875BDD"/>
    <w:rsid w:val="00875F42"/>
    <w:rsid w:val="0087612B"/>
    <w:rsid w:val="0087619A"/>
    <w:rsid w:val="00877DC4"/>
    <w:rsid w:val="00880A69"/>
    <w:rsid w:val="008812D9"/>
    <w:rsid w:val="0088159A"/>
    <w:rsid w:val="008821A1"/>
    <w:rsid w:val="0088224D"/>
    <w:rsid w:val="00882451"/>
    <w:rsid w:val="008828FB"/>
    <w:rsid w:val="00882CE0"/>
    <w:rsid w:val="00883497"/>
    <w:rsid w:val="00883A4E"/>
    <w:rsid w:val="00883ECC"/>
    <w:rsid w:val="0088470A"/>
    <w:rsid w:val="00884F70"/>
    <w:rsid w:val="00885431"/>
    <w:rsid w:val="00885D02"/>
    <w:rsid w:val="00886599"/>
    <w:rsid w:val="0088660A"/>
    <w:rsid w:val="008868B9"/>
    <w:rsid w:val="00886911"/>
    <w:rsid w:val="008869D8"/>
    <w:rsid w:val="00886A2B"/>
    <w:rsid w:val="00886B15"/>
    <w:rsid w:val="00886DAC"/>
    <w:rsid w:val="008870EA"/>
    <w:rsid w:val="00887552"/>
    <w:rsid w:val="00887CF1"/>
    <w:rsid w:val="00887E0C"/>
    <w:rsid w:val="008901B9"/>
    <w:rsid w:val="00890F3E"/>
    <w:rsid w:val="0089106F"/>
    <w:rsid w:val="00891BD5"/>
    <w:rsid w:val="00892257"/>
    <w:rsid w:val="008925CE"/>
    <w:rsid w:val="0089265C"/>
    <w:rsid w:val="008929DA"/>
    <w:rsid w:val="00893D84"/>
    <w:rsid w:val="0089421A"/>
    <w:rsid w:val="008948A8"/>
    <w:rsid w:val="008955B9"/>
    <w:rsid w:val="00895A88"/>
    <w:rsid w:val="00895B87"/>
    <w:rsid w:val="00896A8D"/>
    <w:rsid w:val="00896E82"/>
    <w:rsid w:val="00897D8D"/>
    <w:rsid w:val="008A0ADF"/>
    <w:rsid w:val="008A1214"/>
    <w:rsid w:val="008A1533"/>
    <w:rsid w:val="008A1A1A"/>
    <w:rsid w:val="008A2AD4"/>
    <w:rsid w:val="008A2C01"/>
    <w:rsid w:val="008A2C0B"/>
    <w:rsid w:val="008A2C3A"/>
    <w:rsid w:val="008A2CFA"/>
    <w:rsid w:val="008A2D48"/>
    <w:rsid w:val="008A2F29"/>
    <w:rsid w:val="008A3843"/>
    <w:rsid w:val="008A41D8"/>
    <w:rsid w:val="008A4978"/>
    <w:rsid w:val="008A4C26"/>
    <w:rsid w:val="008A5772"/>
    <w:rsid w:val="008A5780"/>
    <w:rsid w:val="008A65DD"/>
    <w:rsid w:val="008A6810"/>
    <w:rsid w:val="008A69DD"/>
    <w:rsid w:val="008A7219"/>
    <w:rsid w:val="008A7741"/>
    <w:rsid w:val="008B1830"/>
    <w:rsid w:val="008B1EC2"/>
    <w:rsid w:val="008B2715"/>
    <w:rsid w:val="008B2795"/>
    <w:rsid w:val="008B2FCC"/>
    <w:rsid w:val="008B3698"/>
    <w:rsid w:val="008B3708"/>
    <w:rsid w:val="008B451B"/>
    <w:rsid w:val="008B453D"/>
    <w:rsid w:val="008B45AA"/>
    <w:rsid w:val="008B4CCA"/>
    <w:rsid w:val="008B4D11"/>
    <w:rsid w:val="008B4D94"/>
    <w:rsid w:val="008B50E0"/>
    <w:rsid w:val="008B5829"/>
    <w:rsid w:val="008B6085"/>
    <w:rsid w:val="008B60D1"/>
    <w:rsid w:val="008B6265"/>
    <w:rsid w:val="008B6776"/>
    <w:rsid w:val="008B7852"/>
    <w:rsid w:val="008C097B"/>
    <w:rsid w:val="008C0BEB"/>
    <w:rsid w:val="008C0E49"/>
    <w:rsid w:val="008C1380"/>
    <w:rsid w:val="008C2133"/>
    <w:rsid w:val="008C26F9"/>
    <w:rsid w:val="008C302E"/>
    <w:rsid w:val="008C30E3"/>
    <w:rsid w:val="008C48EE"/>
    <w:rsid w:val="008C50B7"/>
    <w:rsid w:val="008C631F"/>
    <w:rsid w:val="008C69E3"/>
    <w:rsid w:val="008C7191"/>
    <w:rsid w:val="008D0026"/>
    <w:rsid w:val="008D0158"/>
    <w:rsid w:val="008D0681"/>
    <w:rsid w:val="008D07E4"/>
    <w:rsid w:val="008D0B9E"/>
    <w:rsid w:val="008D16D1"/>
    <w:rsid w:val="008D1762"/>
    <w:rsid w:val="008D184E"/>
    <w:rsid w:val="008D1EC6"/>
    <w:rsid w:val="008D22B5"/>
    <w:rsid w:val="008D28D9"/>
    <w:rsid w:val="008D2C1C"/>
    <w:rsid w:val="008D3067"/>
    <w:rsid w:val="008D39EF"/>
    <w:rsid w:val="008D3B69"/>
    <w:rsid w:val="008D43BB"/>
    <w:rsid w:val="008D4CAB"/>
    <w:rsid w:val="008D53FE"/>
    <w:rsid w:val="008D5C85"/>
    <w:rsid w:val="008D5D0E"/>
    <w:rsid w:val="008D620D"/>
    <w:rsid w:val="008D620F"/>
    <w:rsid w:val="008D73E7"/>
    <w:rsid w:val="008D743A"/>
    <w:rsid w:val="008E072F"/>
    <w:rsid w:val="008E0C09"/>
    <w:rsid w:val="008E1118"/>
    <w:rsid w:val="008E120F"/>
    <w:rsid w:val="008E1514"/>
    <w:rsid w:val="008E2556"/>
    <w:rsid w:val="008E379F"/>
    <w:rsid w:val="008E436E"/>
    <w:rsid w:val="008E45F5"/>
    <w:rsid w:val="008E4E12"/>
    <w:rsid w:val="008E4EA9"/>
    <w:rsid w:val="008E6048"/>
    <w:rsid w:val="008E7489"/>
    <w:rsid w:val="008E7AEC"/>
    <w:rsid w:val="008F00FD"/>
    <w:rsid w:val="008F0A10"/>
    <w:rsid w:val="008F104D"/>
    <w:rsid w:val="008F1189"/>
    <w:rsid w:val="008F1548"/>
    <w:rsid w:val="008F1676"/>
    <w:rsid w:val="008F1C8A"/>
    <w:rsid w:val="008F1E49"/>
    <w:rsid w:val="008F2591"/>
    <w:rsid w:val="008F25D2"/>
    <w:rsid w:val="008F2698"/>
    <w:rsid w:val="008F2AED"/>
    <w:rsid w:val="008F30AA"/>
    <w:rsid w:val="008F380F"/>
    <w:rsid w:val="008F3E59"/>
    <w:rsid w:val="008F3EE2"/>
    <w:rsid w:val="008F4095"/>
    <w:rsid w:val="008F40E1"/>
    <w:rsid w:val="008F42B6"/>
    <w:rsid w:val="008F4727"/>
    <w:rsid w:val="008F4752"/>
    <w:rsid w:val="008F4E44"/>
    <w:rsid w:val="008F5426"/>
    <w:rsid w:val="008F58C7"/>
    <w:rsid w:val="008F5A9E"/>
    <w:rsid w:val="008F6308"/>
    <w:rsid w:val="008F64A2"/>
    <w:rsid w:val="008F686B"/>
    <w:rsid w:val="008F6BAC"/>
    <w:rsid w:val="008F6F0D"/>
    <w:rsid w:val="008F7548"/>
    <w:rsid w:val="008F7C0C"/>
    <w:rsid w:val="008F7E93"/>
    <w:rsid w:val="00900720"/>
    <w:rsid w:val="00900B56"/>
    <w:rsid w:val="00901034"/>
    <w:rsid w:val="00901C7F"/>
    <w:rsid w:val="00901CF2"/>
    <w:rsid w:val="0090212C"/>
    <w:rsid w:val="00902297"/>
    <w:rsid w:val="0090252F"/>
    <w:rsid w:val="00903E16"/>
    <w:rsid w:val="009051AA"/>
    <w:rsid w:val="009057D4"/>
    <w:rsid w:val="0090595D"/>
    <w:rsid w:val="00905CBC"/>
    <w:rsid w:val="00907137"/>
    <w:rsid w:val="00910EB6"/>
    <w:rsid w:val="00911699"/>
    <w:rsid w:val="00911C3F"/>
    <w:rsid w:val="00911D02"/>
    <w:rsid w:val="00911D23"/>
    <w:rsid w:val="00912E17"/>
    <w:rsid w:val="00913FBB"/>
    <w:rsid w:val="00914696"/>
    <w:rsid w:val="009150F2"/>
    <w:rsid w:val="009150FC"/>
    <w:rsid w:val="00915EBC"/>
    <w:rsid w:val="00916254"/>
    <w:rsid w:val="00917351"/>
    <w:rsid w:val="00917C60"/>
    <w:rsid w:val="00917FAF"/>
    <w:rsid w:val="00920085"/>
    <w:rsid w:val="00920827"/>
    <w:rsid w:val="00920B4F"/>
    <w:rsid w:val="00921B57"/>
    <w:rsid w:val="009224AD"/>
    <w:rsid w:val="0092254A"/>
    <w:rsid w:val="00923325"/>
    <w:rsid w:val="00923384"/>
    <w:rsid w:val="009238C0"/>
    <w:rsid w:val="00923EBF"/>
    <w:rsid w:val="0092458C"/>
    <w:rsid w:val="00924976"/>
    <w:rsid w:val="00925657"/>
    <w:rsid w:val="00925B72"/>
    <w:rsid w:val="00925F91"/>
    <w:rsid w:val="009261B2"/>
    <w:rsid w:val="00926458"/>
    <w:rsid w:val="00927739"/>
    <w:rsid w:val="00930669"/>
    <w:rsid w:val="00930961"/>
    <w:rsid w:val="00931CDE"/>
    <w:rsid w:val="00931D3F"/>
    <w:rsid w:val="00932425"/>
    <w:rsid w:val="00932445"/>
    <w:rsid w:val="009324E0"/>
    <w:rsid w:val="00932CB6"/>
    <w:rsid w:val="00933791"/>
    <w:rsid w:val="009338F2"/>
    <w:rsid w:val="00933FAF"/>
    <w:rsid w:val="0093401C"/>
    <w:rsid w:val="00934302"/>
    <w:rsid w:val="0093446E"/>
    <w:rsid w:val="00934BCD"/>
    <w:rsid w:val="00934C1B"/>
    <w:rsid w:val="00934CBB"/>
    <w:rsid w:val="00934DFD"/>
    <w:rsid w:val="009350EA"/>
    <w:rsid w:val="00935DF8"/>
    <w:rsid w:val="00936AF4"/>
    <w:rsid w:val="00937399"/>
    <w:rsid w:val="00937DD0"/>
    <w:rsid w:val="00940359"/>
    <w:rsid w:val="00940675"/>
    <w:rsid w:val="00940F51"/>
    <w:rsid w:val="00941777"/>
    <w:rsid w:val="00941AC2"/>
    <w:rsid w:val="00942057"/>
    <w:rsid w:val="009426DB"/>
    <w:rsid w:val="0094277F"/>
    <w:rsid w:val="00942844"/>
    <w:rsid w:val="00943B4C"/>
    <w:rsid w:val="00943ED0"/>
    <w:rsid w:val="0094405B"/>
    <w:rsid w:val="009444BA"/>
    <w:rsid w:val="0094519B"/>
    <w:rsid w:val="0094538E"/>
    <w:rsid w:val="0094544F"/>
    <w:rsid w:val="00945998"/>
    <w:rsid w:val="00945E33"/>
    <w:rsid w:val="00946ECC"/>
    <w:rsid w:val="009507FC"/>
    <w:rsid w:val="00950992"/>
    <w:rsid w:val="0095120C"/>
    <w:rsid w:val="00951559"/>
    <w:rsid w:val="00951681"/>
    <w:rsid w:val="0095227E"/>
    <w:rsid w:val="009528B8"/>
    <w:rsid w:val="00952CC9"/>
    <w:rsid w:val="00952F38"/>
    <w:rsid w:val="00952FC0"/>
    <w:rsid w:val="00952FDF"/>
    <w:rsid w:val="00952FF6"/>
    <w:rsid w:val="00953233"/>
    <w:rsid w:val="00953666"/>
    <w:rsid w:val="009541AB"/>
    <w:rsid w:val="009548E4"/>
    <w:rsid w:val="0095581C"/>
    <w:rsid w:val="00955C1F"/>
    <w:rsid w:val="00955DF9"/>
    <w:rsid w:val="00955F60"/>
    <w:rsid w:val="009560ED"/>
    <w:rsid w:val="00956305"/>
    <w:rsid w:val="00956564"/>
    <w:rsid w:val="009567EE"/>
    <w:rsid w:val="00957296"/>
    <w:rsid w:val="00957819"/>
    <w:rsid w:val="00960686"/>
    <w:rsid w:val="009606DA"/>
    <w:rsid w:val="0096094E"/>
    <w:rsid w:val="00960A39"/>
    <w:rsid w:val="00960E98"/>
    <w:rsid w:val="009616CF"/>
    <w:rsid w:val="009617E3"/>
    <w:rsid w:val="00961EE2"/>
    <w:rsid w:val="009623D3"/>
    <w:rsid w:val="009633C3"/>
    <w:rsid w:val="00963CD6"/>
    <w:rsid w:val="00963FBC"/>
    <w:rsid w:val="009640C6"/>
    <w:rsid w:val="00964D6B"/>
    <w:rsid w:val="00964E1F"/>
    <w:rsid w:val="00965157"/>
    <w:rsid w:val="0096555C"/>
    <w:rsid w:val="009656B4"/>
    <w:rsid w:val="00965E0D"/>
    <w:rsid w:val="00966671"/>
    <w:rsid w:val="00966747"/>
    <w:rsid w:val="009669F6"/>
    <w:rsid w:val="009673A2"/>
    <w:rsid w:val="0096760F"/>
    <w:rsid w:val="009708AB"/>
    <w:rsid w:val="00970D9F"/>
    <w:rsid w:val="00971855"/>
    <w:rsid w:val="009723D4"/>
    <w:rsid w:val="009724AC"/>
    <w:rsid w:val="009741CE"/>
    <w:rsid w:val="00974E5E"/>
    <w:rsid w:val="009752A3"/>
    <w:rsid w:val="009753A8"/>
    <w:rsid w:val="00976ADB"/>
    <w:rsid w:val="00976DA8"/>
    <w:rsid w:val="00976DAA"/>
    <w:rsid w:val="00976DB6"/>
    <w:rsid w:val="00977439"/>
    <w:rsid w:val="00977936"/>
    <w:rsid w:val="00977BFB"/>
    <w:rsid w:val="00980D04"/>
    <w:rsid w:val="00981285"/>
    <w:rsid w:val="00981737"/>
    <w:rsid w:val="00981FB1"/>
    <w:rsid w:val="00982357"/>
    <w:rsid w:val="009826B5"/>
    <w:rsid w:val="00982C5B"/>
    <w:rsid w:val="0098310A"/>
    <w:rsid w:val="00983282"/>
    <w:rsid w:val="009844F6"/>
    <w:rsid w:val="0098455E"/>
    <w:rsid w:val="00984A80"/>
    <w:rsid w:val="00984B5B"/>
    <w:rsid w:val="00984B81"/>
    <w:rsid w:val="0098557B"/>
    <w:rsid w:val="009864F0"/>
    <w:rsid w:val="00986C2A"/>
    <w:rsid w:val="0098729F"/>
    <w:rsid w:val="009872CC"/>
    <w:rsid w:val="00987791"/>
    <w:rsid w:val="00987BE3"/>
    <w:rsid w:val="00991D83"/>
    <w:rsid w:val="00992A05"/>
    <w:rsid w:val="00992E72"/>
    <w:rsid w:val="00992E78"/>
    <w:rsid w:val="00992FEE"/>
    <w:rsid w:val="009931E3"/>
    <w:rsid w:val="00993523"/>
    <w:rsid w:val="00993D2E"/>
    <w:rsid w:val="009945BE"/>
    <w:rsid w:val="00994D6D"/>
    <w:rsid w:val="00994E85"/>
    <w:rsid w:val="00995271"/>
    <w:rsid w:val="009953BB"/>
    <w:rsid w:val="00995BE6"/>
    <w:rsid w:val="00995FF9"/>
    <w:rsid w:val="00996552"/>
    <w:rsid w:val="009A0673"/>
    <w:rsid w:val="009A0820"/>
    <w:rsid w:val="009A0EC0"/>
    <w:rsid w:val="009A1576"/>
    <w:rsid w:val="009A1B90"/>
    <w:rsid w:val="009A2D34"/>
    <w:rsid w:val="009A3338"/>
    <w:rsid w:val="009A35A4"/>
    <w:rsid w:val="009A397F"/>
    <w:rsid w:val="009A39BE"/>
    <w:rsid w:val="009A3D34"/>
    <w:rsid w:val="009A41F4"/>
    <w:rsid w:val="009A45FB"/>
    <w:rsid w:val="009A4E2D"/>
    <w:rsid w:val="009A5DB1"/>
    <w:rsid w:val="009A603B"/>
    <w:rsid w:val="009A65C2"/>
    <w:rsid w:val="009A7B35"/>
    <w:rsid w:val="009A7EC5"/>
    <w:rsid w:val="009B0360"/>
    <w:rsid w:val="009B04B9"/>
    <w:rsid w:val="009B0A69"/>
    <w:rsid w:val="009B1798"/>
    <w:rsid w:val="009B1FF3"/>
    <w:rsid w:val="009B2282"/>
    <w:rsid w:val="009B2EFD"/>
    <w:rsid w:val="009B306E"/>
    <w:rsid w:val="009B3209"/>
    <w:rsid w:val="009B396B"/>
    <w:rsid w:val="009B3D3B"/>
    <w:rsid w:val="009B4136"/>
    <w:rsid w:val="009B4CBD"/>
    <w:rsid w:val="009B4ECA"/>
    <w:rsid w:val="009B5C11"/>
    <w:rsid w:val="009B6475"/>
    <w:rsid w:val="009B6726"/>
    <w:rsid w:val="009B6989"/>
    <w:rsid w:val="009B6DCF"/>
    <w:rsid w:val="009B7CFE"/>
    <w:rsid w:val="009C158E"/>
    <w:rsid w:val="009C20D9"/>
    <w:rsid w:val="009C2639"/>
    <w:rsid w:val="009C28C5"/>
    <w:rsid w:val="009C2F17"/>
    <w:rsid w:val="009C3766"/>
    <w:rsid w:val="009C4148"/>
    <w:rsid w:val="009C4488"/>
    <w:rsid w:val="009C4B45"/>
    <w:rsid w:val="009C4D1A"/>
    <w:rsid w:val="009C51A9"/>
    <w:rsid w:val="009C5DE5"/>
    <w:rsid w:val="009C627C"/>
    <w:rsid w:val="009C6603"/>
    <w:rsid w:val="009C6D4A"/>
    <w:rsid w:val="009D06C4"/>
    <w:rsid w:val="009D090E"/>
    <w:rsid w:val="009D1171"/>
    <w:rsid w:val="009D1383"/>
    <w:rsid w:val="009D1893"/>
    <w:rsid w:val="009D1DC2"/>
    <w:rsid w:val="009D233E"/>
    <w:rsid w:val="009D2765"/>
    <w:rsid w:val="009D2918"/>
    <w:rsid w:val="009D2AC6"/>
    <w:rsid w:val="009D2CA5"/>
    <w:rsid w:val="009D3823"/>
    <w:rsid w:val="009D4009"/>
    <w:rsid w:val="009D4512"/>
    <w:rsid w:val="009D48CF"/>
    <w:rsid w:val="009D4FF6"/>
    <w:rsid w:val="009D5334"/>
    <w:rsid w:val="009D55A2"/>
    <w:rsid w:val="009D5BAB"/>
    <w:rsid w:val="009D7F47"/>
    <w:rsid w:val="009E0267"/>
    <w:rsid w:val="009E1480"/>
    <w:rsid w:val="009E2037"/>
    <w:rsid w:val="009E20CF"/>
    <w:rsid w:val="009E2219"/>
    <w:rsid w:val="009E2F11"/>
    <w:rsid w:val="009E3B46"/>
    <w:rsid w:val="009E4020"/>
    <w:rsid w:val="009E4AAC"/>
    <w:rsid w:val="009E4DD2"/>
    <w:rsid w:val="009E4F25"/>
    <w:rsid w:val="009E51FF"/>
    <w:rsid w:val="009E535A"/>
    <w:rsid w:val="009E5AEF"/>
    <w:rsid w:val="009E5DFA"/>
    <w:rsid w:val="009E5FFA"/>
    <w:rsid w:val="009E62D1"/>
    <w:rsid w:val="009E6FD5"/>
    <w:rsid w:val="009F0181"/>
    <w:rsid w:val="009F0835"/>
    <w:rsid w:val="009F0C2E"/>
    <w:rsid w:val="009F0D52"/>
    <w:rsid w:val="009F0E31"/>
    <w:rsid w:val="009F123A"/>
    <w:rsid w:val="009F16CC"/>
    <w:rsid w:val="009F1915"/>
    <w:rsid w:val="009F1E80"/>
    <w:rsid w:val="009F1F1B"/>
    <w:rsid w:val="009F223B"/>
    <w:rsid w:val="009F2A67"/>
    <w:rsid w:val="009F2BBA"/>
    <w:rsid w:val="009F320A"/>
    <w:rsid w:val="009F3401"/>
    <w:rsid w:val="009F3E6B"/>
    <w:rsid w:val="009F47A6"/>
    <w:rsid w:val="009F485E"/>
    <w:rsid w:val="009F4F07"/>
    <w:rsid w:val="009F5A85"/>
    <w:rsid w:val="009F5C35"/>
    <w:rsid w:val="009F6178"/>
    <w:rsid w:val="009F6192"/>
    <w:rsid w:val="009F6317"/>
    <w:rsid w:val="009F6A3F"/>
    <w:rsid w:val="009F6D5D"/>
    <w:rsid w:val="009F7404"/>
    <w:rsid w:val="009F78FB"/>
    <w:rsid w:val="00A003DC"/>
    <w:rsid w:val="00A0069D"/>
    <w:rsid w:val="00A01038"/>
    <w:rsid w:val="00A01C8C"/>
    <w:rsid w:val="00A025A4"/>
    <w:rsid w:val="00A03811"/>
    <w:rsid w:val="00A0385C"/>
    <w:rsid w:val="00A03894"/>
    <w:rsid w:val="00A05011"/>
    <w:rsid w:val="00A0596D"/>
    <w:rsid w:val="00A05D69"/>
    <w:rsid w:val="00A05F66"/>
    <w:rsid w:val="00A060FA"/>
    <w:rsid w:val="00A0629B"/>
    <w:rsid w:val="00A0684D"/>
    <w:rsid w:val="00A06947"/>
    <w:rsid w:val="00A07A4E"/>
    <w:rsid w:val="00A07B1B"/>
    <w:rsid w:val="00A10357"/>
    <w:rsid w:val="00A1085F"/>
    <w:rsid w:val="00A10CFE"/>
    <w:rsid w:val="00A10F95"/>
    <w:rsid w:val="00A12D4A"/>
    <w:rsid w:val="00A1323B"/>
    <w:rsid w:val="00A13366"/>
    <w:rsid w:val="00A14388"/>
    <w:rsid w:val="00A14610"/>
    <w:rsid w:val="00A14658"/>
    <w:rsid w:val="00A14B4A"/>
    <w:rsid w:val="00A14E24"/>
    <w:rsid w:val="00A15A61"/>
    <w:rsid w:val="00A15ADE"/>
    <w:rsid w:val="00A16F2F"/>
    <w:rsid w:val="00A17597"/>
    <w:rsid w:val="00A1772B"/>
    <w:rsid w:val="00A177D1"/>
    <w:rsid w:val="00A1791C"/>
    <w:rsid w:val="00A1797A"/>
    <w:rsid w:val="00A17A27"/>
    <w:rsid w:val="00A17C46"/>
    <w:rsid w:val="00A20192"/>
    <w:rsid w:val="00A205C0"/>
    <w:rsid w:val="00A20762"/>
    <w:rsid w:val="00A20823"/>
    <w:rsid w:val="00A20BA8"/>
    <w:rsid w:val="00A20D13"/>
    <w:rsid w:val="00A21866"/>
    <w:rsid w:val="00A21C39"/>
    <w:rsid w:val="00A2205E"/>
    <w:rsid w:val="00A2313B"/>
    <w:rsid w:val="00A23389"/>
    <w:rsid w:val="00A233E3"/>
    <w:rsid w:val="00A23EE2"/>
    <w:rsid w:val="00A2413A"/>
    <w:rsid w:val="00A2455D"/>
    <w:rsid w:val="00A24FAD"/>
    <w:rsid w:val="00A25958"/>
    <w:rsid w:val="00A25F49"/>
    <w:rsid w:val="00A260FA"/>
    <w:rsid w:val="00A266E1"/>
    <w:rsid w:val="00A26840"/>
    <w:rsid w:val="00A26B87"/>
    <w:rsid w:val="00A2760E"/>
    <w:rsid w:val="00A27B69"/>
    <w:rsid w:val="00A300A3"/>
    <w:rsid w:val="00A31A1D"/>
    <w:rsid w:val="00A31C67"/>
    <w:rsid w:val="00A31C8C"/>
    <w:rsid w:val="00A31F1F"/>
    <w:rsid w:val="00A3281D"/>
    <w:rsid w:val="00A32A2D"/>
    <w:rsid w:val="00A33B4C"/>
    <w:rsid w:val="00A34125"/>
    <w:rsid w:val="00A35319"/>
    <w:rsid w:val="00A355CE"/>
    <w:rsid w:val="00A360A2"/>
    <w:rsid w:val="00A366AA"/>
    <w:rsid w:val="00A36980"/>
    <w:rsid w:val="00A37273"/>
    <w:rsid w:val="00A37EB4"/>
    <w:rsid w:val="00A400FC"/>
    <w:rsid w:val="00A4010D"/>
    <w:rsid w:val="00A40650"/>
    <w:rsid w:val="00A4066E"/>
    <w:rsid w:val="00A412C0"/>
    <w:rsid w:val="00A41766"/>
    <w:rsid w:val="00A4200D"/>
    <w:rsid w:val="00A4215B"/>
    <w:rsid w:val="00A42763"/>
    <w:rsid w:val="00A4278A"/>
    <w:rsid w:val="00A4291F"/>
    <w:rsid w:val="00A42E95"/>
    <w:rsid w:val="00A435C2"/>
    <w:rsid w:val="00A43AC1"/>
    <w:rsid w:val="00A43B61"/>
    <w:rsid w:val="00A43E95"/>
    <w:rsid w:val="00A445DB"/>
    <w:rsid w:val="00A4470F"/>
    <w:rsid w:val="00A448E9"/>
    <w:rsid w:val="00A44BC5"/>
    <w:rsid w:val="00A455A0"/>
    <w:rsid w:val="00A46090"/>
    <w:rsid w:val="00A46E92"/>
    <w:rsid w:val="00A47662"/>
    <w:rsid w:val="00A47A10"/>
    <w:rsid w:val="00A47A54"/>
    <w:rsid w:val="00A47CEC"/>
    <w:rsid w:val="00A47D62"/>
    <w:rsid w:val="00A50433"/>
    <w:rsid w:val="00A5095F"/>
    <w:rsid w:val="00A50B80"/>
    <w:rsid w:val="00A50EF9"/>
    <w:rsid w:val="00A51743"/>
    <w:rsid w:val="00A51B29"/>
    <w:rsid w:val="00A51CCB"/>
    <w:rsid w:val="00A521A0"/>
    <w:rsid w:val="00A52B0C"/>
    <w:rsid w:val="00A53497"/>
    <w:rsid w:val="00A5355A"/>
    <w:rsid w:val="00A53776"/>
    <w:rsid w:val="00A53E3B"/>
    <w:rsid w:val="00A54301"/>
    <w:rsid w:val="00A54975"/>
    <w:rsid w:val="00A54A3C"/>
    <w:rsid w:val="00A54D80"/>
    <w:rsid w:val="00A54E94"/>
    <w:rsid w:val="00A55C37"/>
    <w:rsid w:val="00A55ED4"/>
    <w:rsid w:val="00A5644E"/>
    <w:rsid w:val="00A564B6"/>
    <w:rsid w:val="00A56883"/>
    <w:rsid w:val="00A569A6"/>
    <w:rsid w:val="00A56D97"/>
    <w:rsid w:val="00A57051"/>
    <w:rsid w:val="00A57768"/>
    <w:rsid w:val="00A578F9"/>
    <w:rsid w:val="00A57D5B"/>
    <w:rsid w:val="00A6117A"/>
    <w:rsid w:val="00A6136B"/>
    <w:rsid w:val="00A61487"/>
    <w:rsid w:val="00A61689"/>
    <w:rsid w:val="00A61A7E"/>
    <w:rsid w:val="00A61D1C"/>
    <w:rsid w:val="00A62007"/>
    <w:rsid w:val="00A626D7"/>
    <w:rsid w:val="00A62C88"/>
    <w:rsid w:val="00A6341E"/>
    <w:rsid w:val="00A63FE4"/>
    <w:rsid w:val="00A645E4"/>
    <w:rsid w:val="00A648DA"/>
    <w:rsid w:val="00A64A3E"/>
    <w:rsid w:val="00A64ABF"/>
    <w:rsid w:val="00A653E5"/>
    <w:rsid w:val="00A65CC5"/>
    <w:rsid w:val="00A669AD"/>
    <w:rsid w:val="00A66D3C"/>
    <w:rsid w:val="00A66EF2"/>
    <w:rsid w:val="00A672AC"/>
    <w:rsid w:val="00A67FEA"/>
    <w:rsid w:val="00A701D9"/>
    <w:rsid w:val="00A703AD"/>
    <w:rsid w:val="00A705DB"/>
    <w:rsid w:val="00A709E6"/>
    <w:rsid w:val="00A70F1A"/>
    <w:rsid w:val="00A71393"/>
    <w:rsid w:val="00A71CF9"/>
    <w:rsid w:val="00A71EEB"/>
    <w:rsid w:val="00A73071"/>
    <w:rsid w:val="00A74E8B"/>
    <w:rsid w:val="00A7540B"/>
    <w:rsid w:val="00A75D94"/>
    <w:rsid w:val="00A75F13"/>
    <w:rsid w:val="00A76E5A"/>
    <w:rsid w:val="00A77471"/>
    <w:rsid w:val="00A77C7C"/>
    <w:rsid w:val="00A80DE5"/>
    <w:rsid w:val="00A81060"/>
    <w:rsid w:val="00A8125A"/>
    <w:rsid w:val="00A81A6F"/>
    <w:rsid w:val="00A820D0"/>
    <w:rsid w:val="00A8229B"/>
    <w:rsid w:val="00A82332"/>
    <w:rsid w:val="00A82551"/>
    <w:rsid w:val="00A82917"/>
    <w:rsid w:val="00A82BF0"/>
    <w:rsid w:val="00A830AE"/>
    <w:rsid w:val="00A8410A"/>
    <w:rsid w:val="00A842AB"/>
    <w:rsid w:val="00A8434B"/>
    <w:rsid w:val="00A8470F"/>
    <w:rsid w:val="00A84A17"/>
    <w:rsid w:val="00A84ECA"/>
    <w:rsid w:val="00A85401"/>
    <w:rsid w:val="00A86184"/>
    <w:rsid w:val="00A8643D"/>
    <w:rsid w:val="00A867D3"/>
    <w:rsid w:val="00A869DB"/>
    <w:rsid w:val="00A869E3"/>
    <w:rsid w:val="00A87283"/>
    <w:rsid w:val="00A87668"/>
    <w:rsid w:val="00A90536"/>
    <w:rsid w:val="00A907D8"/>
    <w:rsid w:val="00A90BC1"/>
    <w:rsid w:val="00A90CB6"/>
    <w:rsid w:val="00A915D2"/>
    <w:rsid w:val="00A91632"/>
    <w:rsid w:val="00A9378E"/>
    <w:rsid w:val="00A9450C"/>
    <w:rsid w:val="00A94529"/>
    <w:rsid w:val="00A94875"/>
    <w:rsid w:val="00A94A6A"/>
    <w:rsid w:val="00A94EFB"/>
    <w:rsid w:val="00A94F6B"/>
    <w:rsid w:val="00A954B1"/>
    <w:rsid w:val="00A95627"/>
    <w:rsid w:val="00A95631"/>
    <w:rsid w:val="00A95EE7"/>
    <w:rsid w:val="00A96A69"/>
    <w:rsid w:val="00A96F57"/>
    <w:rsid w:val="00A97090"/>
    <w:rsid w:val="00A97BAE"/>
    <w:rsid w:val="00A97DD2"/>
    <w:rsid w:val="00A97E3F"/>
    <w:rsid w:val="00AA06E0"/>
    <w:rsid w:val="00AA0929"/>
    <w:rsid w:val="00AA0BF1"/>
    <w:rsid w:val="00AA29D3"/>
    <w:rsid w:val="00AA2F73"/>
    <w:rsid w:val="00AA3546"/>
    <w:rsid w:val="00AA3813"/>
    <w:rsid w:val="00AA3856"/>
    <w:rsid w:val="00AA40A9"/>
    <w:rsid w:val="00AA49A0"/>
    <w:rsid w:val="00AA4DB9"/>
    <w:rsid w:val="00AA5C48"/>
    <w:rsid w:val="00AA62E8"/>
    <w:rsid w:val="00AA6649"/>
    <w:rsid w:val="00AA6C75"/>
    <w:rsid w:val="00AA6FF3"/>
    <w:rsid w:val="00AA7E94"/>
    <w:rsid w:val="00AB045C"/>
    <w:rsid w:val="00AB1714"/>
    <w:rsid w:val="00AB288B"/>
    <w:rsid w:val="00AB29F2"/>
    <w:rsid w:val="00AB4006"/>
    <w:rsid w:val="00AB44A5"/>
    <w:rsid w:val="00AB50A6"/>
    <w:rsid w:val="00AB521E"/>
    <w:rsid w:val="00AB567D"/>
    <w:rsid w:val="00AB73D3"/>
    <w:rsid w:val="00AC0DC7"/>
    <w:rsid w:val="00AC160D"/>
    <w:rsid w:val="00AC19CB"/>
    <w:rsid w:val="00AC1A58"/>
    <w:rsid w:val="00AC1DA1"/>
    <w:rsid w:val="00AC1DC5"/>
    <w:rsid w:val="00AC1FEE"/>
    <w:rsid w:val="00AC253E"/>
    <w:rsid w:val="00AC3158"/>
    <w:rsid w:val="00AC350D"/>
    <w:rsid w:val="00AC3FB7"/>
    <w:rsid w:val="00AC4978"/>
    <w:rsid w:val="00AC4B35"/>
    <w:rsid w:val="00AC4C00"/>
    <w:rsid w:val="00AC50DE"/>
    <w:rsid w:val="00AC51D1"/>
    <w:rsid w:val="00AC542A"/>
    <w:rsid w:val="00AC5EF0"/>
    <w:rsid w:val="00AC5F30"/>
    <w:rsid w:val="00AC68B2"/>
    <w:rsid w:val="00AC6B11"/>
    <w:rsid w:val="00AC6FE4"/>
    <w:rsid w:val="00AC7010"/>
    <w:rsid w:val="00AC7F70"/>
    <w:rsid w:val="00AD0AFA"/>
    <w:rsid w:val="00AD0B14"/>
    <w:rsid w:val="00AD1C2F"/>
    <w:rsid w:val="00AD26A7"/>
    <w:rsid w:val="00AD30A7"/>
    <w:rsid w:val="00AD3A64"/>
    <w:rsid w:val="00AD3A79"/>
    <w:rsid w:val="00AD3DD6"/>
    <w:rsid w:val="00AD42F9"/>
    <w:rsid w:val="00AD440F"/>
    <w:rsid w:val="00AD449B"/>
    <w:rsid w:val="00AD45EA"/>
    <w:rsid w:val="00AD490C"/>
    <w:rsid w:val="00AD4B55"/>
    <w:rsid w:val="00AD4D3F"/>
    <w:rsid w:val="00AD5110"/>
    <w:rsid w:val="00AD5B20"/>
    <w:rsid w:val="00AD5B9B"/>
    <w:rsid w:val="00AD5BD0"/>
    <w:rsid w:val="00AD5CFB"/>
    <w:rsid w:val="00AD5F39"/>
    <w:rsid w:val="00AD60B4"/>
    <w:rsid w:val="00AD63FC"/>
    <w:rsid w:val="00AD6561"/>
    <w:rsid w:val="00AD6730"/>
    <w:rsid w:val="00AE04A9"/>
    <w:rsid w:val="00AE106F"/>
    <w:rsid w:val="00AE16FE"/>
    <w:rsid w:val="00AE1F0A"/>
    <w:rsid w:val="00AE2055"/>
    <w:rsid w:val="00AE21AD"/>
    <w:rsid w:val="00AE29A1"/>
    <w:rsid w:val="00AE2CAA"/>
    <w:rsid w:val="00AE3383"/>
    <w:rsid w:val="00AE4627"/>
    <w:rsid w:val="00AE494C"/>
    <w:rsid w:val="00AE55D9"/>
    <w:rsid w:val="00AE65F6"/>
    <w:rsid w:val="00AE684B"/>
    <w:rsid w:val="00AE695D"/>
    <w:rsid w:val="00AE6B51"/>
    <w:rsid w:val="00AE6C76"/>
    <w:rsid w:val="00AF01F0"/>
    <w:rsid w:val="00AF29B6"/>
    <w:rsid w:val="00AF29CF"/>
    <w:rsid w:val="00AF35D9"/>
    <w:rsid w:val="00AF372C"/>
    <w:rsid w:val="00AF3F5C"/>
    <w:rsid w:val="00AF401D"/>
    <w:rsid w:val="00AF468D"/>
    <w:rsid w:val="00AF6AAA"/>
    <w:rsid w:val="00AF6B3B"/>
    <w:rsid w:val="00AF76C1"/>
    <w:rsid w:val="00AF76DA"/>
    <w:rsid w:val="00AF7743"/>
    <w:rsid w:val="00AF78B4"/>
    <w:rsid w:val="00B00350"/>
    <w:rsid w:val="00B00643"/>
    <w:rsid w:val="00B00975"/>
    <w:rsid w:val="00B00E92"/>
    <w:rsid w:val="00B01017"/>
    <w:rsid w:val="00B01193"/>
    <w:rsid w:val="00B0174D"/>
    <w:rsid w:val="00B018B9"/>
    <w:rsid w:val="00B01E21"/>
    <w:rsid w:val="00B028E5"/>
    <w:rsid w:val="00B02E4C"/>
    <w:rsid w:val="00B03543"/>
    <w:rsid w:val="00B03B9F"/>
    <w:rsid w:val="00B0441E"/>
    <w:rsid w:val="00B052EE"/>
    <w:rsid w:val="00B0550E"/>
    <w:rsid w:val="00B05739"/>
    <w:rsid w:val="00B05AEB"/>
    <w:rsid w:val="00B05AFE"/>
    <w:rsid w:val="00B05BBD"/>
    <w:rsid w:val="00B05D9E"/>
    <w:rsid w:val="00B05F29"/>
    <w:rsid w:val="00B06D0A"/>
    <w:rsid w:val="00B11AF4"/>
    <w:rsid w:val="00B11EA1"/>
    <w:rsid w:val="00B12130"/>
    <w:rsid w:val="00B12641"/>
    <w:rsid w:val="00B12C75"/>
    <w:rsid w:val="00B12D78"/>
    <w:rsid w:val="00B12DAE"/>
    <w:rsid w:val="00B1396D"/>
    <w:rsid w:val="00B13F8D"/>
    <w:rsid w:val="00B14982"/>
    <w:rsid w:val="00B14D36"/>
    <w:rsid w:val="00B157C8"/>
    <w:rsid w:val="00B1611E"/>
    <w:rsid w:val="00B16F5C"/>
    <w:rsid w:val="00B175DA"/>
    <w:rsid w:val="00B17FAF"/>
    <w:rsid w:val="00B20920"/>
    <w:rsid w:val="00B20B2D"/>
    <w:rsid w:val="00B21378"/>
    <w:rsid w:val="00B21741"/>
    <w:rsid w:val="00B21C9B"/>
    <w:rsid w:val="00B225E8"/>
    <w:rsid w:val="00B2267A"/>
    <w:rsid w:val="00B22E04"/>
    <w:rsid w:val="00B234C5"/>
    <w:rsid w:val="00B23862"/>
    <w:rsid w:val="00B251C0"/>
    <w:rsid w:val="00B2524C"/>
    <w:rsid w:val="00B25E89"/>
    <w:rsid w:val="00B262E2"/>
    <w:rsid w:val="00B2670B"/>
    <w:rsid w:val="00B26AB5"/>
    <w:rsid w:val="00B26B40"/>
    <w:rsid w:val="00B26DCC"/>
    <w:rsid w:val="00B27359"/>
    <w:rsid w:val="00B27A22"/>
    <w:rsid w:val="00B300C1"/>
    <w:rsid w:val="00B302F7"/>
    <w:rsid w:val="00B31949"/>
    <w:rsid w:val="00B33533"/>
    <w:rsid w:val="00B33BBA"/>
    <w:rsid w:val="00B34216"/>
    <w:rsid w:val="00B3453C"/>
    <w:rsid w:val="00B34CEA"/>
    <w:rsid w:val="00B352A9"/>
    <w:rsid w:val="00B35D78"/>
    <w:rsid w:val="00B366DC"/>
    <w:rsid w:val="00B36C93"/>
    <w:rsid w:val="00B36E65"/>
    <w:rsid w:val="00B36FE5"/>
    <w:rsid w:val="00B3716A"/>
    <w:rsid w:val="00B37743"/>
    <w:rsid w:val="00B40802"/>
    <w:rsid w:val="00B410CB"/>
    <w:rsid w:val="00B411FB"/>
    <w:rsid w:val="00B4140F"/>
    <w:rsid w:val="00B427A8"/>
    <w:rsid w:val="00B43B42"/>
    <w:rsid w:val="00B44203"/>
    <w:rsid w:val="00B44BFF"/>
    <w:rsid w:val="00B45BB8"/>
    <w:rsid w:val="00B4651A"/>
    <w:rsid w:val="00B46B7F"/>
    <w:rsid w:val="00B46EC3"/>
    <w:rsid w:val="00B47CFF"/>
    <w:rsid w:val="00B508FA"/>
    <w:rsid w:val="00B5090D"/>
    <w:rsid w:val="00B50D2B"/>
    <w:rsid w:val="00B50EE3"/>
    <w:rsid w:val="00B51623"/>
    <w:rsid w:val="00B51BE4"/>
    <w:rsid w:val="00B51E44"/>
    <w:rsid w:val="00B523F6"/>
    <w:rsid w:val="00B52B82"/>
    <w:rsid w:val="00B53714"/>
    <w:rsid w:val="00B53EA4"/>
    <w:rsid w:val="00B547D0"/>
    <w:rsid w:val="00B54C7D"/>
    <w:rsid w:val="00B55D28"/>
    <w:rsid w:val="00B5682F"/>
    <w:rsid w:val="00B57082"/>
    <w:rsid w:val="00B57CF2"/>
    <w:rsid w:val="00B601AE"/>
    <w:rsid w:val="00B60A2E"/>
    <w:rsid w:val="00B6121C"/>
    <w:rsid w:val="00B6191D"/>
    <w:rsid w:val="00B61A21"/>
    <w:rsid w:val="00B61BA2"/>
    <w:rsid w:val="00B61E8A"/>
    <w:rsid w:val="00B6252A"/>
    <w:rsid w:val="00B628B5"/>
    <w:rsid w:val="00B629FC"/>
    <w:rsid w:val="00B638C4"/>
    <w:rsid w:val="00B63D4F"/>
    <w:rsid w:val="00B63EDA"/>
    <w:rsid w:val="00B64705"/>
    <w:rsid w:val="00B64EC0"/>
    <w:rsid w:val="00B652FB"/>
    <w:rsid w:val="00B65B2B"/>
    <w:rsid w:val="00B6FA07"/>
    <w:rsid w:val="00B70497"/>
    <w:rsid w:val="00B70C68"/>
    <w:rsid w:val="00B71658"/>
    <w:rsid w:val="00B71CDE"/>
    <w:rsid w:val="00B72A2A"/>
    <w:rsid w:val="00B731CD"/>
    <w:rsid w:val="00B73200"/>
    <w:rsid w:val="00B7322F"/>
    <w:rsid w:val="00B7325D"/>
    <w:rsid w:val="00B73413"/>
    <w:rsid w:val="00B736D0"/>
    <w:rsid w:val="00B73F5F"/>
    <w:rsid w:val="00B744CF"/>
    <w:rsid w:val="00B75B8F"/>
    <w:rsid w:val="00B75D52"/>
    <w:rsid w:val="00B76116"/>
    <w:rsid w:val="00B762A9"/>
    <w:rsid w:val="00B768C5"/>
    <w:rsid w:val="00B76AB0"/>
    <w:rsid w:val="00B76F32"/>
    <w:rsid w:val="00B77154"/>
    <w:rsid w:val="00B778E1"/>
    <w:rsid w:val="00B803A5"/>
    <w:rsid w:val="00B80B86"/>
    <w:rsid w:val="00B80C45"/>
    <w:rsid w:val="00B80F73"/>
    <w:rsid w:val="00B815EF"/>
    <w:rsid w:val="00B81821"/>
    <w:rsid w:val="00B8195E"/>
    <w:rsid w:val="00B81E87"/>
    <w:rsid w:val="00B828D2"/>
    <w:rsid w:val="00B8319A"/>
    <w:rsid w:val="00B83230"/>
    <w:rsid w:val="00B83F5E"/>
    <w:rsid w:val="00B84810"/>
    <w:rsid w:val="00B84B85"/>
    <w:rsid w:val="00B84EE8"/>
    <w:rsid w:val="00B853A8"/>
    <w:rsid w:val="00B8567E"/>
    <w:rsid w:val="00B85847"/>
    <w:rsid w:val="00B866DD"/>
    <w:rsid w:val="00B866E6"/>
    <w:rsid w:val="00B8675E"/>
    <w:rsid w:val="00B86C88"/>
    <w:rsid w:val="00B86F74"/>
    <w:rsid w:val="00B87178"/>
    <w:rsid w:val="00B87F55"/>
    <w:rsid w:val="00B901CC"/>
    <w:rsid w:val="00B90BF4"/>
    <w:rsid w:val="00B90D9A"/>
    <w:rsid w:val="00B90DE7"/>
    <w:rsid w:val="00B9150D"/>
    <w:rsid w:val="00B91D2B"/>
    <w:rsid w:val="00B94769"/>
    <w:rsid w:val="00B9496F"/>
    <w:rsid w:val="00B953CF"/>
    <w:rsid w:val="00B95657"/>
    <w:rsid w:val="00B95C32"/>
    <w:rsid w:val="00B96146"/>
    <w:rsid w:val="00B962CC"/>
    <w:rsid w:val="00B96370"/>
    <w:rsid w:val="00B9670D"/>
    <w:rsid w:val="00B96A2E"/>
    <w:rsid w:val="00B96A73"/>
    <w:rsid w:val="00B96EAA"/>
    <w:rsid w:val="00B9731D"/>
    <w:rsid w:val="00B97669"/>
    <w:rsid w:val="00B9768B"/>
    <w:rsid w:val="00B9781E"/>
    <w:rsid w:val="00B979C9"/>
    <w:rsid w:val="00B97EAB"/>
    <w:rsid w:val="00BA02B2"/>
    <w:rsid w:val="00BA08AF"/>
    <w:rsid w:val="00BA096E"/>
    <w:rsid w:val="00BA0994"/>
    <w:rsid w:val="00BA09B0"/>
    <w:rsid w:val="00BA0BE0"/>
    <w:rsid w:val="00BA0DBF"/>
    <w:rsid w:val="00BA0F4D"/>
    <w:rsid w:val="00BA2A86"/>
    <w:rsid w:val="00BA330C"/>
    <w:rsid w:val="00BA3326"/>
    <w:rsid w:val="00BA38EC"/>
    <w:rsid w:val="00BA3B68"/>
    <w:rsid w:val="00BA3C09"/>
    <w:rsid w:val="00BA4ECC"/>
    <w:rsid w:val="00BA5475"/>
    <w:rsid w:val="00BA5CF2"/>
    <w:rsid w:val="00BA6136"/>
    <w:rsid w:val="00BA61AB"/>
    <w:rsid w:val="00BA713C"/>
    <w:rsid w:val="00BA72B6"/>
    <w:rsid w:val="00BA76C9"/>
    <w:rsid w:val="00BA786B"/>
    <w:rsid w:val="00BB0059"/>
    <w:rsid w:val="00BB1608"/>
    <w:rsid w:val="00BB161C"/>
    <w:rsid w:val="00BB1673"/>
    <w:rsid w:val="00BB1724"/>
    <w:rsid w:val="00BB1A24"/>
    <w:rsid w:val="00BB1E48"/>
    <w:rsid w:val="00BB20F7"/>
    <w:rsid w:val="00BB2216"/>
    <w:rsid w:val="00BB2441"/>
    <w:rsid w:val="00BB26E3"/>
    <w:rsid w:val="00BB27C2"/>
    <w:rsid w:val="00BB27CA"/>
    <w:rsid w:val="00BB3ED7"/>
    <w:rsid w:val="00BB4C2B"/>
    <w:rsid w:val="00BB507A"/>
    <w:rsid w:val="00BB5BCB"/>
    <w:rsid w:val="00BB5C05"/>
    <w:rsid w:val="00BB609D"/>
    <w:rsid w:val="00BB6561"/>
    <w:rsid w:val="00BB7866"/>
    <w:rsid w:val="00BB7C7A"/>
    <w:rsid w:val="00BB7D5D"/>
    <w:rsid w:val="00BC0783"/>
    <w:rsid w:val="00BC0A08"/>
    <w:rsid w:val="00BC0EFD"/>
    <w:rsid w:val="00BC10FA"/>
    <w:rsid w:val="00BC12EB"/>
    <w:rsid w:val="00BC1E67"/>
    <w:rsid w:val="00BC1FB1"/>
    <w:rsid w:val="00BC20DF"/>
    <w:rsid w:val="00BC264A"/>
    <w:rsid w:val="00BC270C"/>
    <w:rsid w:val="00BC2721"/>
    <w:rsid w:val="00BC2835"/>
    <w:rsid w:val="00BC2B73"/>
    <w:rsid w:val="00BC3EAD"/>
    <w:rsid w:val="00BC5767"/>
    <w:rsid w:val="00BC58A6"/>
    <w:rsid w:val="00BC5DFC"/>
    <w:rsid w:val="00BC5F1B"/>
    <w:rsid w:val="00BC6399"/>
    <w:rsid w:val="00BC63A8"/>
    <w:rsid w:val="00BC6A7A"/>
    <w:rsid w:val="00BC6C2F"/>
    <w:rsid w:val="00BC79A8"/>
    <w:rsid w:val="00BC7FDB"/>
    <w:rsid w:val="00BD0B83"/>
    <w:rsid w:val="00BD1378"/>
    <w:rsid w:val="00BD2669"/>
    <w:rsid w:val="00BD28EC"/>
    <w:rsid w:val="00BD323F"/>
    <w:rsid w:val="00BD3540"/>
    <w:rsid w:val="00BD36EB"/>
    <w:rsid w:val="00BD37F2"/>
    <w:rsid w:val="00BD3BD1"/>
    <w:rsid w:val="00BD3F88"/>
    <w:rsid w:val="00BD4B16"/>
    <w:rsid w:val="00BD641E"/>
    <w:rsid w:val="00BD67D4"/>
    <w:rsid w:val="00BD7126"/>
    <w:rsid w:val="00BD7E1A"/>
    <w:rsid w:val="00BE0148"/>
    <w:rsid w:val="00BE09F8"/>
    <w:rsid w:val="00BE0E1C"/>
    <w:rsid w:val="00BE1043"/>
    <w:rsid w:val="00BE1751"/>
    <w:rsid w:val="00BE2644"/>
    <w:rsid w:val="00BE2BBB"/>
    <w:rsid w:val="00BE2F68"/>
    <w:rsid w:val="00BE3030"/>
    <w:rsid w:val="00BE3420"/>
    <w:rsid w:val="00BE3430"/>
    <w:rsid w:val="00BE3603"/>
    <w:rsid w:val="00BE36D2"/>
    <w:rsid w:val="00BE3C8F"/>
    <w:rsid w:val="00BE4908"/>
    <w:rsid w:val="00BE5022"/>
    <w:rsid w:val="00BE5DB8"/>
    <w:rsid w:val="00BE6E0C"/>
    <w:rsid w:val="00BE755B"/>
    <w:rsid w:val="00BE7988"/>
    <w:rsid w:val="00BE7E0A"/>
    <w:rsid w:val="00BF013F"/>
    <w:rsid w:val="00BF030E"/>
    <w:rsid w:val="00BF03A9"/>
    <w:rsid w:val="00BF08DF"/>
    <w:rsid w:val="00BF0DA0"/>
    <w:rsid w:val="00BF1067"/>
    <w:rsid w:val="00BF1C84"/>
    <w:rsid w:val="00BF27D7"/>
    <w:rsid w:val="00BF3632"/>
    <w:rsid w:val="00BF382B"/>
    <w:rsid w:val="00BF38B0"/>
    <w:rsid w:val="00BF4201"/>
    <w:rsid w:val="00BF4969"/>
    <w:rsid w:val="00BF5201"/>
    <w:rsid w:val="00BF5412"/>
    <w:rsid w:val="00BF54CA"/>
    <w:rsid w:val="00BF5518"/>
    <w:rsid w:val="00BF55A9"/>
    <w:rsid w:val="00BF58A4"/>
    <w:rsid w:val="00BF5D38"/>
    <w:rsid w:val="00BF60F4"/>
    <w:rsid w:val="00BF6291"/>
    <w:rsid w:val="00BF67AB"/>
    <w:rsid w:val="00BF6971"/>
    <w:rsid w:val="00BF6AEF"/>
    <w:rsid w:val="00BF7779"/>
    <w:rsid w:val="00BF785D"/>
    <w:rsid w:val="00BF78E5"/>
    <w:rsid w:val="00BF79C7"/>
    <w:rsid w:val="00BF79E2"/>
    <w:rsid w:val="00BF7BCB"/>
    <w:rsid w:val="00BFB9B7"/>
    <w:rsid w:val="00C00477"/>
    <w:rsid w:val="00C01047"/>
    <w:rsid w:val="00C010A9"/>
    <w:rsid w:val="00C012FE"/>
    <w:rsid w:val="00C017E7"/>
    <w:rsid w:val="00C01815"/>
    <w:rsid w:val="00C01A25"/>
    <w:rsid w:val="00C01ED8"/>
    <w:rsid w:val="00C02718"/>
    <w:rsid w:val="00C029AD"/>
    <w:rsid w:val="00C02FCB"/>
    <w:rsid w:val="00C0406D"/>
    <w:rsid w:val="00C040AD"/>
    <w:rsid w:val="00C04492"/>
    <w:rsid w:val="00C046A8"/>
    <w:rsid w:val="00C04790"/>
    <w:rsid w:val="00C049BA"/>
    <w:rsid w:val="00C04AD1"/>
    <w:rsid w:val="00C04E79"/>
    <w:rsid w:val="00C07A04"/>
    <w:rsid w:val="00C1013F"/>
    <w:rsid w:val="00C10335"/>
    <w:rsid w:val="00C107C2"/>
    <w:rsid w:val="00C119C5"/>
    <w:rsid w:val="00C120F5"/>
    <w:rsid w:val="00C12136"/>
    <w:rsid w:val="00C12AF0"/>
    <w:rsid w:val="00C13752"/>
    <w:rsid w:val="00C13E08"/>
    <w:rsid w:val="00C1421E"/>
    <w:rsid w:val="00C14AE8"/>
    <w:rsid w:val="00C15190"/>
    <w:rsid w:val="00C1522F"/>
    <w:rsid w:val="00C15288"/>
    <w:rsid w:val="00C1541A"/>
    <w:rsid w:val="00C160D1"/>
    <w:rsid w:val="00C171F9"/>
    <w:rsid w:val="00C17ECA"/>
    <w:rsid w:val="00C20319"/>
    <w:rsid w:val="00C20637"/>
    <w:rsid w:val="00C20CC2"/>
    <w:rsid w:val="00C22237"/>
    <w:rsid w:val="00C22354"/>
    <w:rsid w:val="00C2256E"/>
    <w:rsid w:val="00C22837"/>
    <w:rsid w:val="00C23391"/>
    <w:rsid w:val="00C2348D"/>
    <w:rsid w:val="00C23E3F"/>
    <w:rsid w:val="00C24099"/>
    <w:rsid w:val="00C24916"/>
    <w:rsid w:val="00C249A3"/>
    <w:rsid w:val="00C25AD0"/>
    <w:rsid w:val="00C26218"/>
    <w:rsid w:val="00C2683E"/>
    <w:rsid w:val="00C278FD"/>
    <w:rsid w:val="00C27CDF"/>
    <w:rsid w:val="00C312FB"/>
    <w:rsid w:val="00C319EF"/>
    <w:rsid w:val="00C31E51"/>
    <w:rsid w:val="00C32351"/>
    <w:rsid w:val="00C32798"/>
    <w:rsid w:val="00C338E3"/>
    <w:rsid w:val="00C33A40"/>
    <w:rsid w:val="00C33C5C"/>
    <w:rsid w:val="00C34975"/>
    <w:rsid w:val="00C35B17"/>
    <w:rsid w:val="00C35E81"/>
    <w:rsid w:val="00C36096"/>
    <w:rsid w:val="00C36322"/>
    <w:rsid w:val="00C36A54"/>
    <w:rsid w:val="00C37105"/>
    <w:rsid w:val="00C3749F"/>
    <w:rsid w:val="00C37835"/>
    <w:rsid w:val="00C37EAE"/>
    <w:rsid w:val="00C40067"/>
    <w:rsid w:val="00C40175"/>
    <w:rsid w:val="00C408E6"/>
    <w:rsid w:val="00C413A4"/>
    <w:rsid w:val="00C41433"/>
    <w:rsid w:val="00C418E5"/>
    <w:rsid w:val="00C443B5"/>
    <w:rsid w:val="00C44FDC"/>
    <w:rsid w:val="00C45FF5"/>
    <w:rsid w:val="00C46AD5"/>
    <w:rsid w:val="00C46E14"/>
    <w:rsid w:val="00C46F4F"/>
    <w:rsid w:val="00C47E64"/>
    <w:rsid w:val="00C47FFD"/>
    <w:rsid w:val="00C5075C"/>
    <w:rsid w:val="00C512BC"/>
    <w:rsid w:val="00C512C7"/>
    <w:rsid w:val="00C51655"/>
    <w:rsid w:val="00C51A67"/>
    <w:rsid w:val="00C524C0"/>
    <w:rsid w:val="00C52670"/>
    <w:rsid w:val="00C52D00"/>
    <w:rsid w:val="00C52F6B"/>
    <w:rsid w:val="00C53003"/>
    <w:rsid w:val="00C535A5"/>
    <w:rsid w:val="00C558BC"/>
    <w:rsid w:val="00C55A9C"/>
    <w:rsid w:val="00C55B77"/>
    <w:rsid w:val="00C563E3"/>
    <w:rsid w:val="00C56C6B"/>
    <w:rsid w:val="00C5766E"/>
    <w:rsid w:val="00C57970"/>
    <w:rsid w:val="00C57A53"/>
    <w:rsid w:val="00C57D78"/>
    <w:rsid w:val="00C60CFC"/>
    <w:rsid w:val="00C61ED3"/>
    <w:rsid w:val="00C62190"/>
    <w:rsid w:val="00C6289F"/>
    <w:rsid w:val="00C62EEB"/>
    <w:rsid w:val="00C634F2"/>
    <w:rsid w:val="00C63DA9"/>
    <w:rsid w:val="00C64BDE"/>
    <w:rsid w:val="00C65C25"/>
    <w:rsid w:val="00C6630B"/>
    <w:rsid w:val="00C666C1"/>
    <w:rsid w:val="00C700C9"/>
    <w:rsid w:val="00C7058D"/>
    <w:rsid w:val="00C70AB5"/>
    <w:rsid w:val="00C70AF3"/>
    <w:rsid w:val="00C70B52"/>
    <w:rsid w:val="00C70FEC"/>
    <w:rsid w:val="00C71184"/>
    <w:rsid w:val="00C72357"/>
    <w:rsid w:val="00C7242B"/>
    <w:rsid w:val="00C72643"/>
    <w:rsid w:val="00C72A30"/>
    <w:rsid w:val="00C73844"/>
    <w:rsid w:val="00C7394F"/>
    <w:rsid w:val="00C73C31"/>
    <w:rsid w:val="00C742AE"/>
    <w:rsid w:val="00C7499A"/>
    <w:rsid w:val="00C7503F"/>
    <w:rsid w:val="00C7614B"/>
    <w:rsid w:val="00C7693A"/>
    <w:rsid w:val="00C76D03"/>
    <w:rsid w:val="00C77427"/>
    <w:rsid w:val="00C77769"/>
    <w:rsid w:val="00C807F0"/>
    <w:rsid w:val="00C8080B"/>
    <w:rsid w:val="00C80914"/>
    <w:rsid w:val="00C8107C"/>
    <w:rsid w:val="00C81B63"/>
    <w:rsid w:val="00C82DE5"/>
    <w:rsid w:val="00C85476"/>
    <w:rsid w:val="00C856A6"/>
    <w:rsid w:val="00C857A7"/>
    <w:rsid w:val="00C85F5B"/>
    <w:rsid w:val="00C8696B"/>
    <w:rsid w:val="00C86F1B"/>
    <w:rsid w:val="00C87BDB"/>
    <w:rsid w:val="00C87F20"/>
    <w:rsid w:val="00C92043"/>
    <w:rsid w:val="00C92149"/>
    <w:rsid w:val="00C93347"/>
    <w:rsid w:val="00C94061"/>
    <w:rsid w:val="00C941ED"/>
    <w:rsid w:val="00C95497"/>
    <w:rsid w:val="00C957E4"/>
    <w:rsid w:val="00C95AD0"/>
    <w:rsid w:val="00C9637F"/>
    <w:rsid w:val="00C964CA"/>
    <w:rsid w:val="00C9671E"/>
    <w:rsid w:val="00C97A1E"/>
    <w:rsid w:val="00CA06C3"/>
    <w:rsid w:val="00CA095B"/>
    <w:rsid w:val="00CA0BE8"/>
    <w:rsid w:val="00CA0F67"/>
    <w:rsid w:val="00CA1393"/>
    <w:rsid w:val="00CA180E"/>
    <w:rsid w:val="00CA1931"/>
    <w:rsid w:val="00CA1C31"/>
    <w:rsid w:val="00CA1CD8"/>
    <w:rsid w:val="00CA204F"/>
    <w:rsid w:val="00CA20FA"/>
    <w:rsid w:val="00CA298F"/>
    <w:rsid w:val="00CA2B16"/>
    <w:rsid w:val="00CA2D85"/>
    <w:rsid w:val="00CA2FD2"/>
    <w:rsid w:val="00CA36D9"/>
    <w:rsid w:val="00CA45D7"/>
    <w:rsid w:val="00CA518F"/>
    <w:rsid w:val="00CA5A57"/>
    <w:rsid w:val="00CA5CBF"/>
    <w:rsid w:val="00CA5D94"/>
    <w:rsid w:val="00CA5E9A"/>
    <w:rsid w:val="00CB05D7"/>
    <w:rsid w:val="00CB05DE"/>
    <w:rsid w:val="00CB0D5B"/>
    <w:rsid w:val="00CB0DC0"/>
    <w:rsid w:val="00CB14DA"/>
    <w:rsid w:val="00CB2B4E"/>
    <w:rsid w:val="00CB2D42"/>
    <w:rsid w:val="00CB353C"/>
    <w:rsid w:val="00CB3871"/>
    <w:rsid w:val="00CB3D15"/>
    <w:rsid w:val="00CB4D7D"/>
    <w:rsid w:val="00CB4E06"/>
    <w:rsid w:val="00CB4EE8"/>
    <w:rsid w:val="00CB53E1"/>
    <w:rsid w:val="00CB5887"/>
    <w:rsid w:val="00CB6066"/>
    <w:rsid w:val="00CB632D"/>
    <w:rsid w:val="00CB641D"/>
    <w:rsid w:val="00CB6946"/>
    <w:rsid w:val="00CB6CB5"/>
    <w:rsid w:val="00CB7595"/>
    <w:rsid w:val="00CB7773"/>
    <w:rsid w:val="00CC0325"/>
    <w:rsid w:val="00CC0504"/>
    <w:rsid w:val="00CC08C3"/>
    <w:rsid w:val="00CC0BC7"/>
    <w:rsid w:val="00CC1532"/>
    <w:rsid w:val="00CC18E3"/>
    <w:rsid w:val="00CC199C"/>
    <w:rsid w:val="00CC1AB6"/>
    <w:rsid w:val="00CC1E30"/>
    <w:rsid w:val="00CC20C0"/>
    <w:rsid w:val="00CC2103"/>
    <w:rsid w:val="00CC2D79"/>
    <w:rsid w:val="00CC4757"/>
    <w:rsid w:val="00CC4C3D"/>
    <w:rsid w:val="00CC52A2"/>
    <w:rsid w:val="00CC5384"/>
    <w:rsid w:val="00CC63CE"/>
    <w:rsid w:val="00CC6941"/>
    <w:rsid w:val="00CC7A3A"/>
    <w:rsid w:val="00CC7A3F"/>
    <w:rsid w:val="00CC7D95"/>
    <w:rsid w:val="00CC7EF4"/>
    <w:rsid w:val="00CD000E"/>
    <w:rsid w:val="00CD044C"/>
    <w:rsid w:val="00CD091B"/>
    <w:rsid w:val="00CD0B78"/>
    <w:rsid w:val="00CD1F0B"/>
    <w:rsid w:val="00CD267A"/>
    <w:rsid w:val="00CD2B14"/>
    <w:rsid w:val="00CD2E73"/>
    <w:rsid w:val="00CD2F5A"/>
    <w:rsid w:val="00CD3226"/>
    <w:rsid w:val="00CD347E"/>
    <w:rsid w:val="00CD3F1F"/>
    <w:rsid w:val="00CD457B"/>
    <w:rsid w:val="00CD460D"/>
    <w:rsid w:val="00CD4B5F"/>
    <w:rsid w:val="00CD5204"/>
    <w:rsid w:val="00CD5B71"/>
    <w:rsid w:val="00CD6160"/>
    <w:rsid w:val="00CD6253"/>
    <w:rsid w:val="00CD62D3"/>
    <w:rsid w:val="00CD6B9C"/>
    <w:rsid w:val="00CE1118"/>
    <w:rsid w:val="00CE2DA3"/>
    <w:rsid w:val="00CE2E7C"/>
    <w:rsid w:val="00CE2EA5"/>
    <w:rsid w:val="00CE32C3"/>
    <w:rsid w:val="00CE412D"/>
    <w:rsid w:val="00CE50A3"/>
    <w:rsid w:val="00CE720B"/>
    <w:rsid w:val="00CE77C5"/>
    <w:rsid w:val="00CE7986"/>
    <w:rsid w:val="00CE7B20"/>
    <w:rsid w:val="00CF01E4"/>
    <w:rsid w:val="00CF05A5"/>
    <w:rsid w:val="00CF0D98"/>
    <w:rsid w:val="00CF0FD8"/>
    <w:rsid w:val="00CF1A23"/>
    <w:rsid w:val="00CF30D6"/>
    <w:rsid w:val="00CF372A"/>
    <w:rsid w:val="00CF3CA7"/>
    <w:rsid w:val="00CF3F61"/>
    <w:rsid w:val="00CF4005"/>
    <w:rsid w:val="00CF419F"/>
    <w:rsid w:val="00CF4455"/>
    <w:rsid w:val="00CF55D8"/>
    <w:rsid w:val="00CF5650"/>
    <w:rsid w:val="00CF5750"/>
    <w:rsid w:val="00CF5A8A"/>
    <w:rsid w:val="00CF5A91"/>
    <w:rsid w:val="00CF5D53"/>
    <w:rsid w:val="00CF5F15"/>
    <w:rsid w:val="00CF6822"/>
    <w:rsid w:val="00CF7490"/>
    <w:rsid w:val="00CF7D1D"/>
    <w:rsid w:val="00D006F1"/>
    <w:rsid w:val="00D015B4"/>
    <w:rsid w:val="00D01B97"/>
    <w:rsid w:val="00D029A4"/>
    <w:rsid w:val="00D02C78"/>
    <w:rsid w:val="00D02E50"/>
    <w:rsid w:val="00D02E97"/>
    <w:rsid w:val="00D0343C"/>
    <w:rsid w:val="00D03795"/>
    <w:rsid w:val="00D03C38"/>
    <w:rsid w:val="00D03CA9"/>
    <w:rsid w:val="00D040E6"/>
    <w:rsid w:val="00D05450"/>
    <w:rsid w:val="00D069CC"/>
    <w:rsid w:val="00D07289"/>
    <w:rsid w:val="00D078A1"/>
    <w:rsid w:val="00D07B25"/>
    <w:rsid w:val="00D10319"/>
    <w:rsid w:val="00D10514"/>
    <w:rsid w:val="00D107C4"/>
    <w:rsid w:val="00D10C6A"/>
    <w:rsid w:val="00D11110"/>
    <w:rsid w:val="00D118FF"/>
    <w:rsid w:val="00D125BE"/>
    <w:rsid w:val="00D140F1"/>
    <w:rsid w:val="00D1448E"/>
    <w:rsid w:val="00D1465B"/>
    <w:rsid w:val="00D14AC3"/>
    <w:rsid w:val="00D1518F"/>
    <w:rsid w:val="00D152B0"/>
    <w:rsid w:val="00D155EE"/>
    <w:rsid w:val="00D15F27"/>
    <w:rsid w:val="00D1642F"/>
    <w:rsid w:val="00D17102"/>
    <w:rsid w:val="00D17736"/>
    <w:rsid w:val="00D2003F"/>
    <w:rsid w:val="00D2049C"/>
    <w:rsid w:val="00D20522"/>
    <w:rsid w:val="00D21635"/>
    <w:rsid w:val="00D2270B"/>
    <w:rsid w:val="00D229C9"/>
    <w:rsid w:val="00D22C05"/>
    <w:rsid w:val="00D22FEA"/>
    <w:rsid w:val="00D23277"/>
    <w:rsid w:val="00D236B5"/>
    <w:rsid w:val="00D236C3"/>
    <w:rsid w:val="00D23716"/>
    <w:rsid w:val="00D241F7"/>
    <w:rsid w:val="00D2451B"/>
    <w:rsid w:val="00D2452E"/>
    <w:rsid w:val="00D25134"/>
    <w:rsid w:val="00D2597B"/>
    <w:rsid w:val="00D26313"/>
    <w:rsid w:val="00D26562"/>
    <w:rsid w:val="00D2687F"/>
    <w:rsid w:val="00D2738F"/>
    <w:rsid w:val="00D27B40"/>
    <w:rsid w:val="00D30378"/>
    <w:rsid w:val="00D30448"/>
    <w:rsid w:val="00D30DEC"/>
    <w:rsid w:val="00D31207"/>
    <w:rsid w:val="00D31279"/>
    <w:rsid w:val="00D3150F"/>
    <w:rsid w:val="00D31928"/>
    <w:rsid w:val="00D3197C"/>
    <w:rsid w:val="00D31B99"/>
    <w:rsid w:val="00D3248B"/>
    <w:rsid w:val="00D32BC7"/>
    <w:rsid w:val="00D32FC7"/>
    <w:rsid w:val="00D336DC"/>
    <w:rsid w:val="00D3423D"/>
    <w:rsid w:val="00D3433D"/>
    <w:rsid w:val="00D35063"/>
    <w:rsid w:val="00D354F0"/>
    <w:rsid w:val="00D35D15"/>
    <w:rsid w:val="00D363D7"/>
    <w:rsid w:val="00D37044"/>
    <w:rsid w:val="00D37069"/>
    <w:rsid w:val="00D370D2"/>
    <w:rsid w:val="00D371E9"/>
    <w:rsid w:val="00D37B4F"/>
    <w:rsid w:val="00D4046F"/>
    <w:rsid w:val="00D4143F"/>
    <w:rsid w:val="00D41BA8"/>
    <w:rsid w:val="00D42726"/>
    <w:rsid w:val="00D42C78"/>
    <w:rsid w:val="00D42EC0"/>
    <w:rsid w:val="00D43929"/>
    <w:rsid w:val="00D441EA"/>
    <w:rsid w:val="00D44674"/>
    <w:rsid w:val="00D4495D"/>
    <w:rsid w:val="00D45F32"/>
    <w:rsid w:val="00D45FE5"/>
    <w:rsid w:val="00D462E4"/>
    <w:rsid w:val="00D46955"/>
    <w:rsid w:val="00D46F05"/>
    <w:rsid w:val="00D474D8"/>
    <w:rsid w:val="00D51233"/>
    <w:rsid w:val="00D5232B"/>
    <w:rsid w:val="00D52502"/>
    <w:rsid w:val="00D52711"/>
    <w:rsid w:val="00D53255"/>
    <w:rsid w:val="00D5367B"/>
    <w:rsid w:val="00D53C1F"/>
    <w:rsid w:val="00D53F4E"/>
    <w:rsid w:val="00D543C6"/>
    <w:rsid w:val="00D545DD"/>
    <w:rsid w:val="00D54872"/>
    <w:rsid w:val="00D54CD2"/>
    <w:rsid w:val="00D54EE1"/>
    <w:rsid w:val="00D54EFE"/>
    <w:rsid w:val="00D5587B"/>
    <w:rsid w:val="00D55D68"/>
    <w:rsid w:val="00D560F5"/>
    <w:rsid w:val="00D568EF"/>
    <w:rsid w:val="00D5692A"/>
    <w:rsid w:val="00D57997"/>
    <w:rsid w:val="00D6037D"/>
    <w:rsid w:val="00D60D86"/>
    <w:rsid w:val="00D6126C"/>
    <w:rsid w:val="00D61786"/>
    <w:rsid w:val="00D61A28"/>
    <w:rsid w:val="00D61CD4"/>
    <w:rsid w:val="00D61D0F"/>
    <w:rsid w:val="00D61FF5"/>
    <w:rsid w:val="00D6274D"/>
    <w:rsid w:val="00D62A0F"/>
    <w:rsid w:val="00D62F3D"/>
    <w:rsid w:val="00D631F3"/>
    <w:rsid w:val="00D63642"/>
    <w:rsid w:val="00D63841"/>
    <w:rsid w:val="00D6394A"/>
    <w:rsid w:val="00D63A0A"/>
    <w:rsid w:val="00D64135"/>
    <w:rsid w:val="00D64365"/>
    <w:rsid w:val="00D64AF8"/>
    <w:rsid w:val="00D65593"/>
    <w:rsid w:val="00D65865"/>
    <w:rsid w:val="00D65D7D"/>
    <w:rsid w:val="00D66513"/>
    <w:rsid w:val="00D666B5"/>
    <w:rsid w:val="00D669E5"/>
    <w:rsid w:val="00D66BCF"/>
    <w:rsid w:val="00D66D11"/>
    <w:rsid w:val="00D67334"/>
    <w:rsid w:val="00D67E99"/>
    <w:rsid w:val="00D706E4"/>
    <w:rsid w:val="00D71351"/>
    <w:rsid w:val="00D7191C"/>
    <w:rsid w:val="00D725CB"/>
    <w:rsid w:val="00D73BD9"/>
    <w:rsid w:val="00D74068"/>
    <w:rsid w:val="00D7420C"/>
    <w:rsid w:val="00D74291"/>
    <w:rsid w:val="00D74A35"/>
    <w:rsid w:val="00D75376"/>
    <w:rsid w:val="00D75A2A"/>
    <w:rsid w:val="00D766FE"/>
    <w:rsid w:val="00D76E7A"/>
    <w:rsid w:val="00D80220"/>
    <w:rsid w:val="00D8169A"/>
    <w:rsid w:val="00D8205A"/>
    <w:rsid w:val="00D827D3"/>
    <w:rsid w:val="00D83261"/>
    <w:rsid w:val="00D84DFB"/>
    <w:rsid w:val="00D856CC"/>
    <w:rsid w:val="00D85739"/>
    <w:rsid w:val="00D85AB0"/>
    <w:rsid w:val="00D85AD4"/>
    <w:rsid w:val="00D85B8F"/>
    <w:rsid w:val="00D85F92"/>
    <w:rsid w:val="00D85FB4"/>
    <w:rsid w:val="00D8661F"/>
    <w:rsid w:val="00D86676"/>
    <w:rsid w:val="00D86B64"/>
    <w:rsid w:val="00D86DFB"/>
    <w:rsid w:val="00D875EB"/>
    <w:rsid w:val="00D87AB7"/>
    <w:rsid w:val="00D87B39"/>
    <w:rsid w:val="00D90309"/>
    <w:rsid w:val="00D90334"/>
    <w:rsid w:val="00D903E6"/>
    <w:rsid w:val="00D90561"/>
    <w:rsid w:val="00D90F20"/>
    <w:rsid w:val="00D91AEF"/>
    <w:rsid w:val="00D93B9E"/>
    <w:rsid w:val="00D9401E"/>
    <w:rsid w:val="00D940B1"/>
    <w:rsid w:val="00D94185"/>
    <w:rsid w:val="00D94C24"/>
    <w:rsid w:val="00D94CEB"/>
    <w:rsid w:val="00D95934"/>
    <w:rsid w:val="00D95DD6"/>
    <w:rsid w:val="00D95DE4"/>
    <w:rsid w:val="00D965F8"/>
    <w:rsid w:val="00D96C6B"/>
    <w:rsid w:val="00D977B5"/>
    <w:rsid w:val="00D9794B"/>
    <w:rsid w:val="00D979D8"/>
    <w:rsid w:val="00D97A42"/>
    <w:rsid w:val="00DA072C"/>
    <w:rsid w:val="00DA0C65"/>
    <w:rsid w:val="00DA10D6"/>
    <w:rsid w:val="00DA1512"/>
    <w:rsid w:val="00DA2473"/>
    <w:rsid w:val="00DA257C"/>
    <w:rsid w:val="00DA2631"/>
    <w:rsid w:val="00DA29D3"/>
    <w:rsid w:val="00DA2A28"/>
    <w:rsid w:val="00DA2FA8"/>
    <w:rsid w:val="00DA3160"/>
    <w:rsid w:val="00DA3441"/>
    <w:rsid w:val="00DA3AD5"/>
    <w:rsid w:val="00DA5051"/>
    <w:rsid w:val="00DA5B20"/>
    <w:rsid w:val="00DA71AC"/>
    <w:rsid w:val="00DA734C"/>
    <w:rsid w:val="00DA77C5"/>
    <w:rsid w:val="00DB0331"/>
    <w:rsid w:val="00DB0471"/>
    <w:rsid w:val="00DB05EB"/>
    <w:rsid w:val="00DB0F3F"/>
    <w:rsid w:val="00DB179D"/>
    <w:rsid w:val="00DB1C61"/>
    <w:rsid w:val="00DB2A6D"/>
    <w:rsid w:val="00DB2F21"/>
    <w:rsid w:val="00DB3512"/>
    <w:rsid w:val="00DB3514"/>
    <w:rsid w:val="00DB3F38"/>
    <w:rsid w:val="00DB44BD"/>
    <w:rsid w:val="00DB4628"/>
    <w:rsid w:val="00DB514B"/>
    <w:rsid w:val="00DB5251"/>
    <w:rsid w:val="00DB5315"/>
    <w:rsid w:val="00DB540E"/>
    <w:rsid w:val="00DB5569"/>
    <w:rsid w:val="00DB604F"/>
    <w:rsid w:val="00DB6D33"/>
    <w:rsid w:val="00DB7D11"/>
    <w:rsid w:val="00DC01EC"/>
    <w:rsid w:val="00DC0357"/>
    <w:rsid w:val="00DC0691"/>
    <w:rsid w:val="00DC06A0"/>
    <w:rsid w:val="00DC06FE"/>
    <w:rsid w:val="00DC0B84"/>
    <w:rsid w:val="00DC162C"/>
    <w:rsid w:val="00DC1B40"/>
    <w:rsid w:val="00DC1B4A"/>
    <w:rsid w:val="00DC2077"/>
    <w:rsid w:val="00DC27BF"/>
    <w:rsid w:val="00DC3E56"/>
    <w:rsid w:val="00DC4015"/>
    <w:rsid w:val="00DC42C1"/>
    <w:rsid w:val="00DC4B14"/>
    <w:rsid w:val="00DC55F1"/>
    <w:rsid w:val="00DC5D77"/>
    <w:rsid w:val="00DC637E"/>
    <w:rsid w:val="00DC6E58"/>
    <w:rsid w:val="00DC7056"/>
    <w:rsid w:val="00DC7721"/>
    <w:rsid w:val="00DC7D39"/>
    <w:rsid w:val="00DD016B"/>
    <w:rsid w:val="00DD0517"/>
    <w:rsid w:val="00DD0F49"/>
    <w:rsid w:val="00DD1183"/>
    <w:rsid w:val="00DD1238"/>
    <w:rsid w:val="00DD1CC4"/>
    <w:rsid w:val="00DD24CB"/>
    <w:rsid w:val="00DD2729"/>
    <w:rsid w:val="00DD288D"/>
    <w:rsid w:val="00DD2C29"/>
    <w:rsid w:val="00DD32F1"/>
    <w:rsid w:val="00DD3DC4"/>
    <w:rsid w:val="00DD4A6A"/>
    <w:rsid w:val="00DD4A6F"/>
    <w:rsid w:val="00DD4AD5"/>
    <w:rsid w:val="00DD4ADB"/>
    <w:rsid w:val="00DD545C"/>
    <w:rsid w:val="00DD55AE"/>
    <w:rsid w:val="00DD6106"/>
    <w:rsid w:val="00DD7AA4"/>
    <w:rsid w:val="00DD7C59"/>
    <w:rsid w:val="00DE0F37"/>
    <w:rsid w:val="00DE10D4"/>
    <w:rsid w:val="00DE11A6"/>
    <w:rsid w:val="00DE1505"/>
    <w:rsid w:val="00DE18B3"/>
    <w:rsid w:val="00DE2218"/>
    <w:rsid w:val="00DE2520"/>
    <w:rsid w:val="00DE292C"/>
    <w:rsid w:val="00DE3568"/>
    <w:rsid w:val="00DE35ED"/>
    <w:rsid w:val="00DE3762"/>
    <w:rsid w:val="00DE3ED4"/>
    <w:rsid w:val="00DE469B"/>
    <w:rsid w:val="00DE46B6"/>
    <w:rsid w:val="00DE504F"/>
    <w:rsid w:val="00DE5117"/>
    <w:rsid w:val="00DE5545"/>
    <w:rsid w:val="00DE599E"/>
    <w:rsid w:val="00DE671C"/>
    <w:rsid w:val="00DE6902"/>
    <w:rsid w:val="00DE6F8D"/>
    <w:rsid w:val="00DE70FF"/>
    <w:rsid w:val="00DE77E2"/>
    <w:rsid w:val="00DF06DC"/>
    <w:rsid w:val="00DF0C42"/>
    <w:rsid w:val="00DF154A"/>
    <w:rsid w:val="00DF1CA5"/>
    <w:rsid w:val="00DF1CBB"/>
    <w:rsid w:val="00DF393E"/>
    <w:rsid w:val="00DF3B32"/>
    <w:rsid w:val="00DF42F0"/>
    <w:rsid w:val="00DF4C2B"/>
    <w:rsid w:val="00DF57F3"/>
    <w:rsid w:val="00DF5B88"/>
    <w:rsid w:val="00DF5DEB"/>
    <w:rsid w:val="00DF5E3C"/>
    <w:rsid w:val="00DF6111"/>
    <w:rsid w:val="00DF6E11"/>
    <w:rsid w:val="00DF74E5"/>
    <w:rsid w:val="00DF78CE"/>
    <w:rsid w:val="00DF790F"/>
    <w:rsid w:val="00DF7EA6"/>
    <w:rsid w:val="00E001D8"/>
    <w:rsid w:val="00E003F7"/>
    <w:rsid w:val="00E01027"/>
    <w:rsid w:val="00E01671"/>
    <w:rsid w:val="00E01B7B"/>
    <w:rsid w:val="00E0216E"/>
    <w:rsid w:val="00E03E1A"/>
    <w:rsid w:val="00E04195"/>
    <w:rsid w:val="00E045D1"/>
    <w:rsid w:val="00E04799"/>
    <w:rsid w:val="00E05461"/>
    <w:rsid w:val="00E0547F"/>
    <w:rsid w:val="00E05D7B"/>
    <w:rsid w:val="00E0629B"/>
    <w:rsid w:val="00E06348"/>
    <w:rsid w:val="00E068C9"/>
    <w:rsid w:val="00E06FE6"/>
    <w:rsid w:val="00E07444"/>
    <w:rsid w:val="00E100E1"/>
    <w:rsid w:val="00E10D83"/>
    <w:rsid w:val="00E12400"/>
    <w:rsid w:val="00E12728"/>
    <w:rsid w:val="00E1272A"/>
    <w:rsid w:val="00E12930"/>
    <w:rsid w:val="00E12FA7"/>
    <w:rsid w:val="00E13A4B"/>
    <w:rsid w:val="00E15411"/>
    <w:rsid w:val="00E16149"/>
    <w:rsid w:val="00E16F98"/>
    <w:rsid w:val="00E17086"/>
    <w:rsid w:val="00E17277"/>
    <w:rsid w:val="00E1748D"/>
    <w:rsid w:val="00E17628"/>
    <w:rsid w:val="00E20204"/>
    <w:rsid w:val="00E20273"/>
    <w:rsid w:val="00E20752"/>
    <w:rsid w:val="00E20A21"/>
    <w:rsid w:val="00E228ED"/>
    <w:rsid w:val="00E22949"/>
    <w:rsid w:val="00E248E4"/>
    <w:rsid w:val="00E24A6A"/>
    <w:rsid w:val="00E24BFF"/>
    <w:rsid w:val="00E25120"/>
    <w:rsid w:val="00E25B68"/>
    <w:rsid w:val="00E25B85"/>
    <w:rsid w:val="00E263C2"/>
    <w:rsid w:val="00E2641A"/>
    <w:rsid w:val="00E2729E"/>
    <w:rsid w:val="00E27D62"/>
    <w:rsid w:val="00E303DA"/>
    <w:rsid w:val="00E305AD"/>
    <w:rsid w:val="00E30C94"/>
    <w:rsid w:val="00E31940"/>
    <w:rsid w:val="00E32660"/>
    <w:rsid w:val="00E32AC2"/>
    <w:rsid w:val="00E32D58"/>
    <w:rsid w:val="00E32E4A"/>
    <w:rsid w:val="00E338FB"/>
    <w:rsid w:val="00E33E33"/>
    <w:rsid w:val="00E34854"/>
    <w:rsid w:val="00E34BE7"/>
    <w:rsid w:val="00E358BF"/>
    <w:rsid w:val="00E37269"/>
    <w:rsid w:val="00E37523"/>
    <w:rsid w:val="00E37E02"/>
    <w:rsid w:val="00E37E0D"/>
    <w:rsid w:val="00E37EC1"/>
    <w:rsid w:val="00E37F03"/>
    <w:rsid w:val="00E40483"/>
    <w:rsid w:val="00E406EE"/>
    <w:rsid w:val="00E41A28"/>
    <w:rsid w:val="00E421DF"/>
    <w:rsid w:val="00E42FD9"/>
    <w:rsid w:val="00E430C5"/>
    <w:rsid w:val="00E4356C"/>
    <w:rsid w:val="00E43855"/>
    <w:rsid w:val="00E43F50"/>
    <w:rsid w:val="00E452F5"/>
    <w:rsid w:val="00E455C8"/>
    <w:rsid w:val="00E4565A"/>
    <w:rsid w:val="00E45C2B"/>
    <w:rsid w:val="00E46028"/>
    <w:rsid w:val="00E46E70"/>
    <w:rsid w:val="00E46F6D"/>
    <w:rsid w:val="00E47AAB"/>
    <w:rsid w:val="00E47D84"/>
    <w:rsid w:val="00E50419"/>
    <w:rsid w:val="00E50A91"/>
    <w:rsid w:val="00E51075"/>
    <w:rsid w:val="00E5115C"/>
    <w:rsid w:val="00E512E1"/>
    <w:rsid w:val="00E5269B"/>
    <w:rsid w:val="00E52FA6"/>
    <w:rsid w:val="00E54A34"/>
    <w:rsid w:val="00E552A8"/>
    <w:rsid w:val="00E55643"/>
    <w:rsid w:val="00E55740"/>
    <w:rsid w:val="00E55A82"/>
    <w:rsid w:val="00E55CA8"/>
    <w:rsid w:val="00E5615B"/>
    <w:rsid w:val="00E562A6"/>
    <w:rsid w:val="00E56653"/>
    <w:rsid w:val="00E566D6"/>
    <w:rsid w:val="00E56778"/>
    <w:rsid w:val="00E567D9"/>
    <w:rsid w:val="00E5686C"/>
    <w:rsid w:val="00E56CC4"/>
    <w:rsid w:val="00E570C4"/>
    <w:rsid w:val="00E573F1"/>
    <w:rsid w:val="00E575B4"/>
    <w:rsid w:val="00E57B9C"/>
    <w:rsid w:val="00E57D8F"/>
    <w:rsid w:val="00E60651"/>
    <w:rsid w:val="00E619A9"/>
    <w:rsid w:val="00E619DD"/>
    <w:rsid w:val="00E6232F"/>
    <w:rsid w:val="00E6409E"/>
    <w:rsid w:val="00E64351"/>
    <w:rsid w:val="00E643EA"/>
    <w:rsid w:val="00E64737"/>
    <w:rsid w:val="00E64B4A"/>
    <w:rsid w:val="00E64F0B"/>
    <w:rsid w:val="00E6512D"/>
    <w:rsid w:val="00E65D82"/>
    <w:rsid w:val="00E6704A"/>
    <w:rsid w:val="00E67FBF"/>
    <w:rsid w:val="00E70E2B"/>
    <w:rsid w:val="00E71207"/>
    <w:rsid w:val="00E71D76"/>
    <w:rsid w:val="00E7342B"/>
    <w:rsid w:val="00E738E0"/>
    <w:rsid w:val="00E74675"/>
    <w:rsid w:val="00E758A5"/>
    <w:rsid w:val="00E75D38"/>
    <w:rsid w:val="00E776EC"/>
    <w:rsid w:val="00E7798C"/>
    <w:rsid w:val="00E8083C"/>
    <w:rsid w:val="00E80E2C"/>
    <w:rsid w:val="00E80E7E"/>
    <w:rsid w:val="00E80E8D"/>
    <w:rsid w:val="00E8148B"/>
    <w:rsid w:val="00E81B1B"/>
    <w:rsid w:val="00E81B76"/>
    <w:rsid w:val="00E81BEB"/>
    <w:rsid w:val="00E82A97"/>
    <w:rsid w:val="00E836AF"/>
    <w:rsid w:val="00E84024"/>
    <w:rsid w:val="00E855AE"/>
    <w:rsid w:val="00E85EFD"/>
    <w:rsid w:val="00E8713F"/>
    <w:rsid w:val="00E87480"/>
    <w:rsid w:val="00E8756A"/>
    <w:rsid w:val="00E87671"/>
    <w:rsid w:val="00E87B3B"/>
    <w:rsid w:val="00E87F2F"/>
    <w:rsid w:val="00E91A7E"/>
    <w:rsid w:val="00E91C89"/>
    <w:rsid w:val="00E93A86"/>
    <w:rsid w:val="00E945B8"/>
    <w:rsid w:val="00E95699"/>
    <w:rsid w:val="00E95C06"/>
    <w:rsid w:val="00E95CBD"/>
    <w:rsid w:val="00E95E52"/>
    <w:rsid w:val="00E967D2"/>
    <w:rsid w:val="00E96B1E"/>
    <w:rsid w:val="00E96C02"/>
    <w:rsid w:val="00E9702D"/>
    <w:rsid w:val="00E976AE"/>
    <w:rsid w:val="00E9793C"/>
    <w:rsid w:val="00EA0195"/>
    <w:rsid w:val="00EA0C1F"/>
    <w:rsid w:val="00EA19A2"/>
    <w:rsid w:val="00EA1C03"/>
    <w:rsid w:val="00EA1CF6"/>
    <w:rsid w:val="00EA1EB3"/>
    <w:rsid w:val="00EA1F4C"/>
    <w:rsid w:val="00EA21CF"/>
    <w:rsid w:val="00EA233B"/>
    <w:rsid w:val="00EA2701"/>
    <w:rsid w:val="00EA2A97"/>
    <w:rsid w:val="00EA2C0D"/>
    <w:rsid w:val="00EA3188"/>
    <w:rsid w:val="00EA43A0"/>
    <w:rsid w:val="00EA53F4"/>
    <w:rsid w:val="00EA59FD"/>
    <w:rsid w:val="00EA5BC5"/>
    <w:rsid w:val="00EA5F1F"/>
    <w:rsid w:val="00EA6A43"/>
    <w:rsid w:val="00EA6A9A"/>
    <w:rsid w:val="00EA6CDA"/>
    <w:rsid w:val="00EA6FEB"/>
    <w:rsid w:val="00EA76E4"/>
    <w:rsid w:val="00EA790C"/>
    <w:rsid w:val="00EB068D"/>
    <w:rsid w:val="00EB19F8"/>
    <w:rsid w:val="00EB1EBF"/>
    <w:rsid w:val="00EB1FD0"/>
    <w:rsid w:val="00EB40D5"/>
    <w:rsid w:val="00EB4C1D"/>
    <w:rsid w:val="00EB50C0"/>
    <w:rsid w:val="00EB559D"/>
    <w:rsid w:val="00EB67A7"/>
    <w:rsid w:val="00EB6F61"/>
    <w:rsid w:val="00EB78C3"/>
    <w:rsid w:val="00EC032D"/>
    <w:rsid w:val="00EC0A78"/>
    <w:rsid w:val="00EC0E38"/>
    <w:rsid w:val="00EC10D3"/>
    <w:rsid w:val="00EC1127"/>
    <w:rsid w:val="00EC1418"/>
    <w:rsid w:val="00EC1F78"/>
    <w:rsid w:val="00EC208D"/>
    <w:rsid w:val="00EC2236"/>
    <w:rsid w:val="00EC25FA"/>
    <w:rsid w:val="00EC3154"/>
    <w:rsid w:val="00EC37D0"/>
    <w:rsid w:val="00EC386B"/>
    <w:rsid w:val="00EC3BE0"/>
    <w:rsid w:val="00EC3F63"/>
    <w:rsid w:val="00EC5391"/>
    <w:rsid w:val="00EC5833"/>
    <w:rsid w:val="00EC603F"/>
    <w:rsid w:val="00EC606C"/>
    <w:rsid w:val="00EC611A"/>
    <w:rsid w:val="00EC620B"/>
    <w:rsid w:val="00EC6228"/>
    <w:rsid w:val="00EC6E6F"/>
    <w:rsid w:val="00EC7B99"/>
    <w:rsid w:val="00ED0011"/>
    <w:rsid w:val="00ED02CC"/>
    <w:rsid w:val="00ED0923"/>
    <w:rsid w:val="00ED0B09"/>
    <w:rsid w:val="00ED15F7"/>
    <w:rsid w:val="00ED1666"/>
    <w:rsid w:val="00ED1FF3"/>
    <w:rsid w:val="00ED2099"/>
    <w:rsid w:val="00ED22F7"/>
    <w:rsid w:val="00ED2359"/>
    <w:rsid w:val="00ED26C1"/>
    <w:rsid w:val="00ED2AEE"/>
    <w:rsid w:val="00ED2CF2"/>
    <w:rsid w:val="00ED3418"/>
    <w:rsid w:val="00ED3A57"/>
    <w:rsid w:val="00ED3E43"/>
    <w:rsid w:val="00ED445F"/>
    <w:rsid w:val="00ED465D"/>
    <w:rsid w:val="00ED519D"/>
    <w:rsid w:val="00ED5CBD"/>
    <w:rsid w:val="00ED5FDB"/>
    <w:rsid w:val="00ED6671"/>
    <w:rsid w:val="00ED66C1"/>
    <w:rsid w:val="00ED6EB7"/>
    <w:rsid w:val="00ED7F2B"/>
    <w:rsid w:val="00ED7FB7"/>
    <w:rsid w:val="00EE0C15"/>
    <w:rsid w:val="00EE0C1F"/>
    <w:rsid w:val="00EE1349"/>
    <w:rsid w:val="00EE1435"/>
    <w:rsid w:val="00EE18FE"/>
    <w:rsid w:val="00EE23B7"/>
    <w:rsid w:val="00EE25C4"/>
    <w:rsid w:val="00EE348C"/>
    <w:rsid w:val="00EE360C"/>
    <w:rsid w:val="00EE4719"/>
    <w:rsid w:val="00EE4836"/>
    <w:rsid w:val="00EE4A2D"/>
    <w:rsid w:val="00EE4C1F"/>
    <w:rsid w:val="00EE4F94"/>
    <w:rsid w:val="00EE5C81"/>
    <w:rsid w:val="00EE6BEB"/>
    <w:rsid w:val="00EE6C22"/>
    <w:rsid w:val="00EE7485"/>
    <w:rsid w:val="00EE7EE4"/>
    <w:rsid w:val="00EF080A"/>
    <w:rsid w:val="00EF1001"/>
    <w:rsid w:val="00EF133F"/>
    <w:rsid w:val="00EF15A0"/>
    <w:rsid w:val="00EF1657"/>
    <w:rsid w:val="00EF24E5"/>
    <w:rsid w:val="00EF28A3"/>
    <w:rsid w:val="00EF2934"/>
    <w:rsid w:val="00EF2D00"/>
    <w:rsid w:val="00EF3143"/>
    <w:rsid w:val="00EF345E"/>
    <w:rsid w:val="00EF351F"/>
    <w:rsid w:val="00EF3930"/>
    <w:rsid w:val="00EF39BA"/>
    <w:rsid w:val="00EF4259"/>
    <w:rsid w:val="00EF4914"/>
    <w:rsid w:val="00EF4F9A"/>
    <w:rsid w:val="00EF506B"/>
    <w:rsid w:val="00EF667A"/>
    <w:rsid w:val="00EF6D28"/>
    <w:rsid w:val="00EF7C7B"/>
    <w:rsid w:val="00EF7E83"/>
    <w:rsid w:val="00F00D09"/>
    <w:rsid w:val="00F00F46"/>
    <w:rsid w:val="00F01177"/>
    <w:rsid w:val="00F012E8"/>
    <w:rsid w:val="00F015B5"/>
    <w:rsid w:val="00F01CD7"/>
    <w:rsid w:val="00F0230A"/>
    <w:rsid w:val="00F02681"/>
    <w:rsid w:val="00F02E16"/>
    <w:rsid w:val="00F030D7"/>
    <w:rsid w:val="00F04E3B"/>
    <w:rsid w:val="00F053CB"/>
    <w:rsid w:val="00F0584C"/>
    <w:rsid w:val="00F05B1D"/>
    <w:rsid w:val="00F0619C"/>
    <w:rsid w:val="00F06CD1"/>
    <w:rsid w:val="00F078C3"/>
    <w:rsid w:val="00F07ABC"/>
    <w:rsid w:val="00F07BB5"/>
    <w:rsid w:val="00F07E4E"/>
    <w:rsid w:val="00F11093"/>
    <w:rsid w:val="00F11331"/>
    <w:rsid w:val="00F11642"/>
    <w:rsid w:val="00F1168C"/>
    <w:rsid w:val="00F130D3"/>
    <w:rsid w:val="00F14345"/>
    <w:rsid w:val="00F143E0"/>
    <w:rsid w:val="00F14C8E"/>
    <w:rsid w:val="00F14CDD"/>
    <w:rsid w:val="00F14F5B"/>
    <w:rsid w:val="00F14F80"/>
    <w:rsid w:val="00F1511A"/>
    <w:rsid w:val="00F15725"/>
    <w:rsid w:val="00F15AD3"/>
    <w:rsid w:val="00F1675B"/>
    <w:rsid w:val="00F16BFE"/>
    <w:rsid w:val="00F20008"/>
    <w:rsid w:val="00F209F1"/>
    <w:rsid w:val="00F20EB7"/>
    <w:rsid w:val="00F22078"/>
    <w:rsid w:val="00F22694"/>
    <w:rsid w:val="00F22E15"/>
    <w:rsid w:val="00F2368B"/>
    <w:rsid w:val="00F23E03"/>
    <w:rsid w:val="00F23E47"/>
    <w:rsid w:val="00F24277"/>
    <w:rsid w:val="00F247D4"/>
    <w:rsid w:val="00F25424"/>
    <w:rsid w:val="00F256BD"/>
    <w:rsid w:val="00F258BB"/>
    <w:rsid w:val="00F26DE9"/>
    <w:rsid w:val="00F30670"/>
    <w:rsid w:val="00F30C83"/>
    <w:rsid w:val="00F30E46"/>
    <w:rsid w:val="00F313E0"/>
    <w:rsid w:val="00F313F8"/>
    <w:rsid w:val="00F32769"/>
    <w:rsid w:val="00F327D9"/>
    <w:rsid w:val="00F3309E"/>
    <w:rsid w:val="00F3330F"/>
    <w:rsid w:val="00F3430A"/>
    <w:rsid w:val="00F34C6A"/>
    <w:rsid w:val="00F35A9A"/>
    <w:rsid w:val="00F35CF6"/>
    <w:rsid w:val="00F35E23"/>
    <w:rsid w:val="00F366A0"/>
    <w:rsid w:val="00F36723"/>
    <w:rsid w:val="00F3751E"/>
    <w:rsid w:val="00F37C75"/>
    <w:rsid w:val="00F37E86"/>
    <w:rsid w:val="00F4004F"/>
    <w:rsid w:val="00F40BB8"/>
    <w:rsid w:val="00F41AE2"/>
    <w:rsid w:val="00F41F3B"/>
    <w:rsid w:val="00F42857"/>
    <w:rsid w:val="00F42E0C"/>
    <w:rsid w:val="00F42FB1"/>
    <w:rsid w:val="00F4338D"/>
    <w:rsid w:val="00F438C3"/>
    <w:rsid w:val="00F4453F"/>
    <w:rsid w:val="00F45485"/>
    <w:rsid w:val="00F454A4"/>
    <w:rsid w:val="00F4559B"/>
    <w:rsid w:val="00F45D58"/>
    <w:rsid w:val="00F468A4"/>
    <w:rsid w:val="00F477DC"/>
    <w:rsid w:val="00F47F0E"/>
    <w:rsid w:val="00F50AED"/>
    <w:rsid w:val="00F510CA"/>
    <w:rsid w:val="00F51161"/>
    <w:rsid w:val="00F51383"/>
    <w:rsid w:val="00F526F7"/>
    <w:rsid w:val="00F53CF0"/>
    <w:rsid w:val="00F53F5D"/>
    <w:rsid w:val="00F54071"/>
    <w:rsid w:val="00F54089"/>
    <w:rsid w:val="00F540E0"/>
    <w:rsid w:val="00F549B0"/>
    <w:rsid w:val="00F54D07"/>
    <w:rsid w:val="00F55069"/>
    <w:rsid w:val="00F55790"/>
    <w:rsid w:val="00F55B73"/>
    <w:rsid w:val="00F567E1"/>
    <w:rsid w:val="00F56DA9"/>
    <w:rsid w:val="00F573BE"/>
    <w:rsid w:val="00F577EB"/>
    <w:rsid w:val="00F577F7"/>
    <w:rsid w:val="00F5780F"/>
    <w:rsid w:val="00F57959"/>
    <w:rsid w:val="00F57FAD"/>
    <w:rsid w:val="00F6083A"/>
    <w:rsid w:val="00F60D75"/>
    <w:rsid w:val="00F611FF"/>
    <w:rsid w:val="00F61A94"/>
    <w:rsid w:val="00F6230B"/>
    <w:rsid w:val="00F625F3"/>
    <w:rsid w:val="00F63215"/>
    <w:rsid w:val="00F63521"/>
    <w:rsid w:val="00F641EF"/>
    <w:rsid w:val="00F64A6B"/>
    <w:rsid w:val="00F6514A"/>
    <w:rsid w:val="00F65E46"/>
    <w:rsid w:val="00F660A9"/>
    <w:rsid w:val="00F66615"/>
    <w:rsid w:val="00F67038"/>
    <w:rsid w:val="00F67343"/>
    <w:rsid w:val="00F67366"/>
    <w:rsid w:val="00F6763A"/>
    <w:rsid w:val="00F70854"/>
    <w:rsid w:val="00F70DF7"/>
    <w:rsid w:val="00F72880"/>
    <w:rsid w:val="00F72B2E"/>
    <w:rsid w:val="00F72F3D"/>
    <w:rsid w:val="00F73E14"/>
    <w:rsid w:val="00F73FC0"/>
    <w:rsid w:val="00F73FEA"/>
    <w:rsid w:val="00F7408D"/>
    <w:rsid w:val="00F74942"/>
    <w:rsid w:val="00F74C33"/>
    <w:rsid w:val="00F74C6C"/>
    <w:rsid w:val="00F7656D"/>
    <w:rsid w:val="00F76949"/>
    <w:rsid w:val="00F76D0F"/>
    <w:rsid w:val="00F776D2"/>
    <w:rsid w:val="00F80948"/>
    <w:rsid w:val="00F81569"/>
    <w:rsid w:val="00F81632"/>
    <w:rsid w:val="00F82608"/>
    <w:rsid w:val="00F82873"/>
    <w:rsid w:val="00F829FC"/>
    <w:rsid w:val="00F82D4C"/>
    <w:rsid w:val="00F8374F"/>
    <w:rsid w:val="00F840F9"/>
    <w:rsid w:val="00F84A7B"/>
    <w:rsid w:val="00F851C7"/>
    <w:rsid w:val="00F86875"/>
    <w:rsid w:val="00F869C6"/>
    <w:rsid w:val="00F87EB8"/>
    <w:rsid w:val="00F916AD"/>
    <w:rsid w:val="00F919F8"/>
    <w:rsid w:val="00F91B67"/>
    <w:rsid w:val="00F93328"/>
    <w:rsid w:val="00F93825"/>
    <w:rsid w:val="00F93962"/>
    <w:rsid w:val="00F93B44"/>
    <w:rsid w:val="00F93D5E"/>
    <w:rsid w:val="00F93F91"/>
    <w:rsid w:val="00F94471"/>
    <w:rsid w:val="00F948CD"/>
    <w:rsid w:val="00F96304"/>
    <w:rsid w:val="00F96480"/>
    <w:rsid w:val="00F96569"/>
    <w:rsid w:val="00F965BE"/>
    <w:rsid w:val="00F966D0"/>
    <w:rsid w:val="00F97126"/>
    <w:rsid w:val="00F97473"/>
    <w:rsid w:val="00F97EC2"/>
    <w:rsid w:val="00FA014C"/>
    <w:rsid w:val="00FA2418"/>
    <w:rsid w:val="00FA3206"/>
    <w:rsid w:val="00FA354A"/>
    <w:rsid w:val="00FA4CF4"/>
    <w:rsid w:val="00FA4D48"/>
    <w:rsid w:val="00FA5911"/>
    <w:rsid w:val="00FA6249"/>
    <w:rsid w:val="00FA6272"/>
    <w:rsid w:val="00FA64C8"/>
    <w:rsid w:val="00FA6D8B"/>
    <w:rsid w:val="00FA75CC"/>
    <w:rsid w:val="00FA7BBE"/>
    <w:rsid w:val="00FB008B"/>
    <w:rsid w:val="00FB00CE"/>
    <w:rsid w:val="00FB011B"/>
    <w:rsid w:val="00FB1893"/>
    <w:rsid w:val="00FB1F1B"/>
    <w:rsid w:val="00FB22CC"/>
    <w:rsid w:val="00FB24ED"/>
    <w:rsid w:val="00FB262E"/>
    <w:rsid w:val="00FB3961"/>
    <w:rsid w:val="00FB3DAB"/>
    <w:rsid w:val="00FB4454"/>
    <w:rsid w:val="00FB481F"/>
    <w:rsid w:val="00FB4BB2"/>
    <w:rsid w:val="00FB4DC4"/>
    <w:rsid w:val="00FB5061"/>
    <w:rsid w:val="00FB587D"/>
    <w:rsid w:val="00FB58CA"/>
    <w:rsid w:val="00FB5BA9"/>
    <w:rsid w:val="00FB602D"/>
    <w:rsid w:val="00FB647D"/>
    <w:rsid w:val="00FB64D7"/>
    <w:rsid w:val="00FB75DD"/>
    <w:rsid w:val="00FB7CDF"/>
    <w:rsid w:val="00FC070A"/>
    <w:rsid w:val="00FC0854"/>
    <w:rsid w:val="00FC09F7"/>
    <w:rsid w:val="00FC0DBF"/>
    <w:rsid w:val="00FC10AF"/>
    <w:rsid w:val="00FC13B1"/>
    <w:rsid w:val="00FC2EE6"/>
    <w:rsid w:val="00FC3350"/>
    <w:rsid w:val="00FC36D0"/>
    <w:rsid w:val="00FC3DF7"/>
    <w:rsid w:val="00FC43FA"/>
    <w:rsid w:val="00FC4617"/>
    <w:rsid w:val="00FC4796"/>
    <w:rsid w:val="00FC4F8E"/>
    <w:rsid w:val="00FC4F90"/>
    <w:rsid w:val="00FC519E"/>
    <w:rsid w:val="00FC5599"/>
    <w:rsid w:val="00FC5600"/>
    <w:rsid w:val="00FC722E"/>
    <w:rsid w:val="00FC7295"/>
    <w:rsid w:val="00FD02B1"/>
    <w:rsid w:val="00FD11C7"/>
    <w:rsid w:val="00FD14DB"/>
    <w:rsid w:val="00FD14FB"/>
    <w:rsid w:val="00FD241D"/>
    <w:rsid w:val="00FD2435"/>
    <w:rsid w:val="00FD3134"/>
    <w:rsid w:val="00FD44F8"/>
    <w:rsid w:val="00FD48D7"/>
    <w:rsid w:val="00FD4AFB"/>
    <w:rsid w:val="00FD52E6"/>
    <w:rsid w:val="00FD5944"/>
    <w:rsid w:val="00FD5BF7"/>
    <w:rsid w:val="00FD6FE8"/>
    <w:rsid w:val="00FD7C67"/>
    <w:rsid w:val="00FE04CE"/>
    <w:rsid w:val="00FE056F"/>
    <w:rsid w:val="00FE0722"/>
    <w:rsid w:val="00FE09A3"/>
    <w:rsid w:val="00FE0A07"/>
    <w:rsid w:val="00FE0E2E"/>
    <w:rsid w:val="00FE1D2C"/>
    <w:rsid w:val="00FE21BC"/>
    <w:rsid w:val="00FE2B37"/>
    <w:rsid w:val="00FE2DD1"/>
    <w:rsid w:val="00FE388C"/>
    <w:rsid w:val="00FE4351"/>
    <w:rsid w:val="00FE46E0"/>
    <w:rsid w:val="00FE4F27"/>
    <w:rsid w:val="00FE5F71"/>
    <w:rsid w:val="00FE6830"/>
    <w:rsid w:val="00FE71EE"/>
    <w:rsid w:val="00FE7B8A"/>
    <w:rsid w:val="00FF004D"/>
    <w:rsid w:val="00FF03F8"/>
    <w:rsid w:val="00FF0F8D"/>
    <w:rsid w:val="00FF15E6"/>
    <w:rsid w:val="00FF1858"/>
    <w:rsid w:val="00FF1ABD"/>
    <w:rsid w:val="00FF20AB"/>
    <w:rsid w:val="00FF243B"/>
    <w:rsid w:val="00FF26DF"/>
    <w:rsid w:val="00FF283E"/>
    <w:rsid w:val="00FF2CBE"/>
    <w:rsid w:val="00FF3959"/>
    <w:rsid w:val="00FF3E41"/>
    <w:rsid w:val="00FF3E95"/>
    <w:rsid w:val="00FF4C4A"/>
    <w:rsid w:val="00FF4DF3"/>
    <w:rsid w:val="00FF5163"/>
    <w:rsid w:val="00FF604A"/>
    <w:rsid w:val="00FF61CE"/>
    <w:rsid w:val="00FF64D4"/>
    <w:rsid w:val="00FF6B3F"/>
    <w:rsid w:val="00FF6B47"/>
    <w:rsid w:val="00FF6E99"/>
    <w:rsid w:val="00FF71CF"/>
    <w:rsid w:val="00FF78C5"/>
    <w:rsid w:val="00FF796B"/>
    <w:rsid w:val="00FF7F99"/>
    <w:rsid w:val="011AFC64"/>
    <w:rsid w:val="01248B43"/>
    <w:rsid w:val="0125499B"/>
    <w:rsid w:val="013537EA"/>
    <w:rsid w:val="017C213C"/>
    <w:rsid w:val="01A2F5E1"/>
    <w:rsid w:val="01B18FC1"/>
    <w:rsid w:val="01B2D454"/>
    <w:rsid w:val="01C6A2B9"/>
    <w:rsid w:val="01CE2313"/>
    <w:rsid w:val="01E0F6F6"/>
    <w:rsid w:val="01EB8463"/>
    <w:rsid w:val="020E71F0"/>
    <w:rsid w:val="020EABAE"/>
    <w:rsid w:val="021877C4"/>
    <w:rsid w:val="02399349"/>
    <w:rsid w:val="023E002E"/>
    <w:rsid w:val="027A7C77"/>
    <w:rsid w:val="0299AAD3"/>
    <w:rsid w:val="0299CB50"/>
    <w:rsid w:val="02B86E42"/>
    <w:rsid w:val="02BCD24A"/>
    <w:rsid w:val="02CAA6C2"/>
    <w:rsid w:val="02D8094A"/>
    <w:rsid w:val="02DB3261"/>
    <w:rsid w:val="02DCE99A"/>
    <w:rsid w:val="02FDFC9C"/>
    <w:rsid w:val="0308A1CB"/>
    <w:rsid w:val="0314D243"/>
    <w:rsid w:val="0316CE1D"/>
    <w:rsid w:val="031D0B52"/>
    <w:rsid w:val="033799E6"/>
    <w:rsid w:val="0337F9ED"/>
    <w:rsid w:val="03510CB0"/>
    <w:rsid w:val="036587E3"/>
    <w:rsid w:val="03B5FB3E"/>
    <w:rsid w:val="03BD19E6"/>
    <w:rsid w:val="03BE7E54"/>
    <w:rsid w:val="03F4D4E5"/>
    <w:rsid w:val="03FC87F0"/>
    <w:rsid w:val="041AD149"/>
    <w:rsid w:val="041C0EF3"/>
    <w:rsid w:val="043D217E"/>
    <w:rsid w:val="04496070"/>
    <w:rsid w:val="0449A449"/>
    <w:rsid w:val="046618B4"/>
    <w:rsid w:val="0467979C"/>
    <w:rsid w:val="04A1CEBA"/>
    <w:rsid w:val="04C0013A"/>
    <w:rsid w:val="04CE8348"/>
    <w:rsid w:val="04D1CC34"/>
    <w:rsid w:val="04FED12F"/>
    <w:rsid w:val="050B7449"/>
    <w:rsid w:val="0512124C"/>
    <w:rsid w:val="0522A1E9"/>
    <w:rsid w:val="052AB999"/>
    <w:rsid w:val="054A6179"/>
    <w:rsid w:val="05562320"/>
    <w:rsid w:val="055D37DD"/>
    <w:rsid w:val="0562628B"/>
    <w:rsid w:val="056D301B"/>
    <w:rsid w:val="058B1530"/>
    <w:rsid w:val="05B6A47A"/>
    <w:rsid w:val="05D18984"/>
    <w:rsid w:val="05D3A4FF"/>
    <w:rsid w:val="05ED9562"/>
    <w:rsid w:val="0613A4CC"/>
    <w:rsid w:val="0616129B"/>
    <w:rsid w:val="062DF765"/>
    <w:rsid w:val="06391F90"/>
    <w:rsid w:val="06416B99"/>
    <w:rsid w:val="0643EA57"/>
    <w:rsid w:val="0649A483"/>
    <w:rsid w:val="064BAC4B"/>
    <w:rsid w:val="064CE41D"/>
    <w:rsid w:val="067BE3DF"/>
    <w:rsid w:val="0682CD27"/>
    <w:rsid w:val="06E3C4EA"/>
    <w:rsid w:val="06FF7619"/>
    <w:rsid w:val="0719A4B1"/>
    <w:rsid w:val="0728BEDA"/>
    <w:rsid w:val="072BB4B3"/>
    <w:rsid w:val="074B2B2C"/>
    <w:rsid w:val="0750BF82"/>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538E96"/>
    <w:rsid w:val="08670EDD"/>
    <w:rsid w:val="0871DD90"/>
    <w:rsid w:val="08787D65"/>
    <w:rsid w:val="087AD5D6"/>
    <w:rsid w:val="089C379D"/>
    <w:rsid w:val="089EF13B"/>
    <w:rsid w:val="08C2A36A"/>
    <w:rsid w:val="08F01D56"/>
    <w:rsid w:val="0916651E"/>
    <w:rsid w:val="091CBBE0"/>
    <w:rsid w:val="092489C6"/>
    <w:rsid w:val="09282F8C"/>
    <w:rsid w:val="0938BA35"/>
    <w:rsid w:val="094D6D63"/>
    <w:rsid w:val="0965978F"/>
    <w:rsid w:val="097A4415"/>
    <w:rsid w:val="09AA9BD2"/>
    <w:rsid w:val="09DE6E1E"/>
    <w:rsid w:val="09F11DF7"/>
    <w:rsid w:val="09FCC17C"/>
    <w:rsid w:val="0A08CA13"/>
    <w:rsid w:val="0A0DC326"/>
    <w:rsid w:val="0A1078C8"/>
    <w:rsid w:val="0A1550E6"/>
    <w:rsid w:val="0A2831BE"/>
    <w:rsid w:val="0A3041C1"/>
    <w:rsid w:val="0A43B868"/>
    <w:rsid w:val="0A47BC55"/>
    <w:rsid w:val="0A6888B3"/>
    <w:rsid w:val="0A86D2AE"/>
    <w:rsid w:val="0AB802A4"/>
    <w:rsid w:val="0AD36E94"/>
    <w:rsid w:val="0AF64213"/>
    <w:rsid w:val="0B1D0F1C"/>
    <w:rsid w:val="0B282C20"/>
    <w:rsid w:val="0B28C90A"/>
    <w:rsid w:val="0B342EBF"/>
    <w:rsid w:val="0B34C8D8"/>
    <w:rsid w:val="0B5F003A"/>
    <w:rsid w:val="0B7FAC08"/>
    <w:rsid w:val="0B8BC376"/>
    <w:rsid w:val="0BB9C80E"/>
    <w:rsid w:val="0BD333A2"/>
    <w:rsid w:val="0BE83D78"/>
    <w:rsid w:val="0BFF42AE"/>
    <w:rsid w:val="0C125B65"/>
    <w:rsid w:val="0C472415"/>
    <w:rsid w:val="0C5A5767"/>
    <w:rsid w:val="0C7F48CB"/>
    <w:rsid w:val="0C856D3C"/>
    <w:rsid w:val="0C946273"/>
    <w:rsid w:val="0C98347E"/>
    <w:rsid w:val="0CB816CE"/>
    <w:rsid w:val="0CDC5163"/>
    <w:rsid w:val="0CDCEB48"/>
    <w:rsid w:val="0CE0F78C"/>
    <w:rsid w:val="0CF26A39"/>
    <w:rsid w:val="0CF9589A"/>
    <w:rsid w:val="0D0CDDB4"/>
    <w:rsid w:val="0D235B77"/>
    <w:rsid w:val="0D287624"/>
    <w:rsid w:val="0D2A162E"/>
    <w:rsid w:val="0D2C1718"/>
    <w:rsid w:val="0D3FE6EC"/>
    <w:rsid w:val="0D460DAC"/>
    <w:rsid w:val="0D48F67D"/>
    <w:rsid w:val="0D548F34"/>
    <w:rsid w:val="0D79BDBE"/>
    <w:rsid w:val="0D87F5B3"/>
    <w:rsid w:val="0DBAE1CD"/>
    <w:rsid w:val="0DBC1658"/>
    <w:rsid w:val="0DE36292"/>
    <w:rsid w:val="0DF69707"/>
    <w:rsid w:val="0E0B9657"/>
    <w:rsid w:val="0E11FDD2"/>
    <w:rsid w:val="0E23B1F6"/>
    <w:rsid w:val="0E2D4896"/>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733615"/>
    <w:rsid w:val="1088F42E"/>
    <w:rsid w:val="10B7F37D"/>
    <w:rsid w:val="10DD1629"/>
    <w:rsid w:val="10F4C774"/>
    <w:rsid w:val="112AD6DC"/>
    <w:rsid w:val="112BEE8A"/>
    <w:rsid w:val="114D9C22"/>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40F99"/>
    <w:rsid w:val="12E7A903"/>
    <w:rsid w:val="12F21F43"/>
    <w:rsid w:val="12FA61A2"/>
    <w:rsid w:val="130B18DC"/>
    <w:rsid w:val="132949B9"/>
    <w:rsid w:val="133E989F"/>
    <w:rsid w:val="13519471"/>
    <w:rsid w:val="135BA022"/>
    <w:rsid w:val="1386B98A"/>
    <w:rsid w:val="138C7A99"/>
    <w:rsid w:val="13B431FD"/>
    <w:rsid w:val="13C8D3E6"/>
    <w:rsid w:val="13D335A3"/>
    <w:rsid w:val="13D3A643"/>
    <w:rsid w:val="14060AAA"/>
    <w:rsid w:val="14173B0E"/>
    <w:rsid w:val="14276664"/>
    <w:rsid w:val="1436E833"/>
    <w:rsid w:val="144721BB"/>
    <w:rsid w:val="146BB71C"/>
    <w:rsid w:val="148B1A31"/>
    <w:rsid w:val="148E6F85"/>
    <w:rsid w:val="14920448"/>
    <w:rsid w:val="149A188A"/>
    <w:rsid w:val="14C4BAC9"/>
    <w:rsid w:val="14CED1DD"/>
    <w:rsid w:val="14D61DA4"/>
    <w:rsid w:val="14EB0137"/>
    <w:rsid w:val="14EF4614"/>
    <w:rsid w:val="14F1687D"/>
    <w:rsid w:val="14FEC33B"/>
    <w:rsid w:val="1514AD41"/>
    <w:rsid w:val="157D6F2A"/>
    <w:rsid w:val="15A271E1"/>
    <w:rsid w:val="15CAC0DF"/>
    <w:rsid w:val="15D8268B"/>
    <w:rsid w:val="15E674B9"/>
    <w:rsid w:val="15EBFBB0"/>
    <w:rsid w:val="15FDEDA2"/>
    <w:rsid w:val="162246C3"/>
    <w:rsid w:val="16341A85"/>
    <w:rsid w:val="1638A12D"/>
    <w:rsid w:val="163AE076"/>
    <w:rsid w:val="16448CA0"/>
    <w:rsid w:val="165E2EB2"/>
    <w:rsid w:val="1661339A"/>
    <w:rsid w:val="16691D06"/>
    <w:rsid w:val="1669A4D6"/>
    <w:rsid w:val="166DE57D"/>
    <w:rsid w:val="1675F333"/>
    <w:rsid w:val="16907EFA"/>
    <w:rsid w:val="16926AC8"/>
    <w:rsid w:val="16F1F692"/>
    <w:rsid w:val="170E5A5C"/>
    <w:rsid w:val="17786B2C"/>
    <w:rsid w:val="1779787A"/>
    <w:rsid w:val="178FACE4"/>
    <w:rsid w:val="17ACBC45"/>
    <w:rsid w:val="17E83D2A"/>
    <w:rsid w:val="17EA4FB6"/>
    <w:rsid w:val="17FBD87F"/>
    <w:rsid w:val="1800C95A"/>
    <w:rsid w:val="18025A5C"/>
    <w:rsid w:val="1805FE30"/>
    <w:rsid w:val="18210416"/>
    <w:rsid w:val="1833055A"/>
    <w:rsid w:val="184DB884"/>
    <w:rsid w:val="185E2352"/>
    <w:rsid w:val="187574B5"/>
    <w:rsid w:val="1875A3B8"/>
    <w:rsid w:val="188F6ECC"/>
    <w:rsid w:val="189317CD"/>
    <w:rsid w:val="18A72198"/>
    <w:rsid w:val="18F0BBEA"/>
    <w:rsid w:val="190B4793"/>
    <w:rsid w:val="19438A62"/>
    <w:rsid w:val="1948E4B3"/>
    <w:rsid w:val="1960BBDF"/>
    <w:rsid w:val="198EC658"/>
    <w:rsid w:val="19A69BBF"/>
    <w:rsid w:val="19D5045E"/>
    <w:rsid w:val="19D6A188"/>
    <w:rsid w:val="19DA27F2"/>
    <w:rsid w:val="19E113CC"/>
    <w:rsid w:val="19EC37B8"/>
    <w:rsid w:val="19F08E89"/>
    <w:rsid w:val="1A03047D"/>
    <w:rsid w:val="1A0E4CBD"/>
    <w:rsid w:val="1A132D23"/>
    <w:rsid w:val="1A2699F1"/>
    <w:rsid w:val="1A3663E7"/>
    <w:rsid w:val="1A39151F"/>
    <w:rsid w:val="1A4FABDC"/>
    <w:rsid w:val="1A6EA3AF"/>
    <w:rsid w:val="1AA5165A"/>
    <w:rsid w:val="1ABB01A1"/>
    <w:rsid w:val="1AC842C4"/>
    <w:rsid w:val="1AEDA7A0"/>
    <w:rsid w:val="1B0628AB"/>
    <w:rsid w:val="1B068005"/>
    <w:rsid w:val="1B11E729"/>
    <w:rsid w:val="1B11E9BA"/>
    <w:rsid w:val="1B2C93DA"/>
    <w:rsid w:val="1B34581B"/>
    <w:rsid w:val="1B37F3C8"/>
    <w:rsid w:val="1B44846E"/>
    <w:rsid w:val="1B4A13E8"/>
    <w:rsid w:val="1B513602"/>
    <w:rsid w:val="1B5BACA7"/>
    <w:rsid w:val="1B7B2653"/>
    <w:rsid w:val="1B7E193C"/>
    <w:rsid w:val="1B861C4E"/>
    <w:rsid w:val="1BA137C6"/>
    <w:rsid w:val="1BAC1ABC"/>
    <w:rsid w:val="1BC7012A"/>
    <w:rsid w:val="1BCC3155"/>
    <w:rsid w:val="1BE8FE56"/>
    <w:rsid w:val="1C31DA5D"/>
    <w:rsid w:val="1C33A6BA"/>
    <w:rsid w:val="1C364879"/>
    <w:rsid w:val="1C5A3A50"/>
    <w:rsid w:val="1C5BEDBE"/>
    <w:rsid w:val="1C5D0831"/>
    <w:rsid w:val="1C682F74"/>
    <w:rsid w:val="1C6920EE"/>
    <w:rsid w:val="1C6C335F"/>
    <w:rsid w:val="1C87D4AA"/>
    <w:rsid w:val="1CAAFD90"/>
    <w:rsid w:val="1CB0E434"/>
    <w:rsid w:val="1CB68510"/>
    <w:rsid w:val="1CBDF6F5"/>
    <w:rsid w:val="1CD3B161"/>
    <w:rsid w:val="1CE7F1E7"/>
    <w:rsid w:val="1CEF59DA"/>
    <w:rsid w:val="1CFC07C8"/>
    <w:rsid w:val="1D05A2D3"/>
    <w:rsid w:val="1D3872B8"/>
    <w:rsid w:val="1D3D4029"/>
    <w:rsid w:val="1D3E1503"/>
    <w:rsid w:val="1D40D701"/>
    <w:rsid w:val="1D4A0F2F"/>
    <w:rsid w:val="1D517E99"/>
    <w:rsid w:val="1D5F3665"/>
    <w:rsid w:val="1D733723"/>
    <w:rsid w:val="1D7844A1"/>
    <w:rsid w:val="1D79A785"/>
    <w:rsid w:val="1D8578DA"/>
    <w:rsid w:val="1DA896E7"/>
    <w:rsid w:val="1DD0931B"/>
    <w:rsid w:val="1DD5C693"/>
    <w:rsid w:val="1E2E86AD"/>
    <w:rsid w:val="1E381467"/>
    <w:rsid w:val="1E3D80A7"/>
    <w:rsid w:val="1E5C9C58"/>
    <w:rsid w:val="1E6E658B"/>
    <w:rsid w:val="1EA4A824"/>
    <w:rsid w:val="1EB91794"/>
    <w:rsid w:val="1EC0CB84"/>
    <w:rsid w:val="1ECDF924"/>
    <w:rsid w:val="1ED815A7"/>
    <w:rsid w:val="1EF50A63"/>
    <w:rsid w:val="1F10B620"/>
    <w:rsid w:val="1F11AA2F"/>
    <w:rsid w:val="1F424B83"/>
    <w:rsid w:val="1F621F61"/>
    <w:rsid w:val="1F71E6C7"/>
    <w:rsid w:val="1FAD7DE6"/>
    <w:rsid w:val="1FF113BC"/>
    <w:rsid w:val="1FF2832C"/>
    <w:rsid w:val="20266B16"/>
    <w:rsid w:val="20499DD4"/>
    <w:rsid w:val="205D0658"/>
    <w:rsid w:val="20626ADE"/>
    <w:rsid w:val="20730EE2"/>
    <w:rsid w:val="207A3C97"/>
    <w:rsid w:val="20821C4C"/>
    <w:rsid w:val="209653EC"/>
    <w:rsid w:val="20B7957C"/>
    <w:rsid w:val="20BAD833"/>
    <w:rsid w:val="20DAD7DE"/>
    <w:rsid w:val="20E74DAA"/>
    <w:rsid w:val="20F3749A"/>
    <w:rsid w:val="211282B4"/>
    <w:rsid w:val="211E23E0"/>
    <w:rsid w:val="2128D124"/>
    <w:rsid w:val="214A4BFB"/>
    <w:rsid w:val="217AC98B"/>
    <w:rsid w:val="217BDC58"/>
    <w:rsid w:val="217EC600"/>
    <w:rsid w:val="2182F671"/>
    <w:rsid w:val="21931E76"/>
    <w:rsid w:val="21A5FF91"/>
    <w:rsid w:val="21B61B8E"/>
    <w:rsid w:val="21DBE819"/>
    <w:rsid w:val="21DCB271"/>
    <w:rsid w:val="220E4E0D"/>
    <w:rsid w:val="222B8D80"/>
    <w:rsid w:val="222D70CC"/>
    <w:rsid w:val="2237EA4E"/>
    <w:rsid w:val="2248C855"/>
    <w:rsid w:val="2259D5F9"/>
    <w:rsid w:val="229EECD7"/>
    <w:rsid w:val="22A87754"/>
    <w:rsid w:val="22AE903E"/>
    <w:rsid w:val="22C7357C"/>
    <w:rsid w:val="230E5B66"/>
    <w:rsid w:val="23125EB0"/>
    <w:rsid w:val="232393FD"/>
    <w:rsid w:val="23342415"/>
    <w:rsid w:val="233E92DA"/>
    <w:rsid w:val="23434FE0"/>
    <w:rsid w:val="23712FF5"/>
    <w:rsid w:val="23812F26"/>
    <w:rsid w:val="2393BB70"/>
    <w:rsid w:val="2394C04D"/>
    <w:rsid w:val="23BCD338"/>
    <w:rsid w:val="23CA5FC0"/>
    <w:rsid w:val="23D9200A"/>
    <w:rsid w:val="23FFE291"/>
    <w:rsid w:val="241F10CC"/>
    <w:rsid w:val="244BD0D3"/>
    <w:rsid w:val="244CCBE4"/>
    <w:rsid w:val="24571D42"/>
    <w:rsid w:val="24575B3E"/>
    <w:rsid w:val="24A297A0"/>
    <w:rsid w:val="24A4CCDA"/>
    <w:rsid w:val="24B73942"/>
    <w:rsid w:val="24BFA4FC"/>
    <w:rsid w:val="251FBB53"/>
    <w:rsid w:val="25214FDD"/>
    <w:rsid w:val="2542A85C"/>
    <w:rsid w:val="255A34DF"/>
    <w:rsid w:val="25796723"/>
    <w:rsid w:val="2588012E"/>
    <w:rsid w:val="25962946"/>
    <w:rsid w:val="25BA1832"/>
    <w:rsid w:val="25D4E9B2"/>
    <w:rsid w:val="260CBD36"/>
    <w:rsid w:val="261C290A"/>
    <w:rsid w:val="26272903"/>
    <w:rsid w:val="262F5C6B"/>
    <w:rsid w:val="26388BB7"/>
    <w:rsid w:val="26559A4C"/>
    <w:rsid w:val="26965E81"/>
    <w:rsid w:val="26A56F7C"/>
    <w:rsid w:val="26C19BB7"/>
    <w:rsid w:val="26C416EC"/>
    <w:rsid w:val="26C53EE9"/>
    <w:rsid w:val="26C7AD86"/>
    <w:rsid w:val="26EE8AA0"/>
    <w:rsid w:val="26FDF5E2"/>
    <w:rsid w:val="26FFEBC5"/>
    <w:rsid w:val="2707DD47"/>
    <w:rsid w:val="273B01F1"/>
    <w:rsid w:val="27759516"/>
    <w:rsid w:val="278E700E"/>
    <w:rsid w:val="27D54D00"/>
    <w:rsid w:val="27E22E4B"/>
    <w:rsid w:val="2803B63C"/>
    <w:rsid w:val="28200786"/>
    <w:rsid w:val="2821A3EB"/>
    <w:rsid w:val="284334BC"/>
    <w:rsid w:val="284F9C80"/>
    <w:rsid w:val="287414BD"/>
    <w:rsid w:val="288EF6F7"/>
    <w:rsid w:val="2891638C"/>
    <w:rsid w:val="289C5B3E"/>
    <w:rsid w:val="28B6544A"/>
    <w:rsid w:val="28C31F11"/>
    <w:rsid w:val="28C4060D"/>
    <w:rsid w:val="28CADC0A"/>
    <w:rsid w:val="28DEDB4B"/>
    <w:rsid w:val="28FE19FB"/>
    <w:rsid w:val="29061E6F"/>
    <w:rsid w:val="29184924"/>
    <w:rsid w:val="292D7961"/>
    <w:rsid w:val="294183A3"/>
    <w:rsid w:val="294BAD46"/>
    <w:rsid w:val="294D9109"/>
    <w:rsid w:val="29511E30"/>
    <w:rsid w:val="29637E63"/>
    <w:rsid w:val="296B152C"/>
    <w:rsid w:val="29858283"/>
    <w:rsid w:val="29871DD9"/>
    <w:rsid w:val="29B696EF"/>
    <w:rsid w:val="29BE7DC2"/>
    <w:rsid w:val="29E29350"/>
    <w:rsid w:val="29EB8A50"/>
    <w:rsid w:val="2A07D17D"/>
    <w:rsid w:val="2A17E7BB"/>
    <w:rsid w:val="2A1AB3FF"/>
    <w:rsid w:val="2A38F82A"/>
    <w:rsid w:val="2A3FE1DC"/>
    <w:rsid w:val="2A5C0242"/>
    <w:rsid w:val="2A78BF5E"/>
    <w:rsid w:val="2A7C344F"/>
    <w:rsid w:val="2A89D6A6"/>
    <w:rsid w:val="2A8A1CF3"/>
    <w:rsid w:val="2A8CB0EB"/>
    <w:rsid w:val="2A98E159"/>
    <w:rsid w:val="2A9F5FD2"/>
    <w:rsid w:val="2AE2B8B3"/>
    <w:rsid w:val="2B1CC582"/>
    <w:rsid w:val="2B29ED1F"/>
    <w:rsid w:val="2B30A600"/>
    <w:rsid w:val="2B478E79"/>
    <w:rsid w:val="2B54285E"/>
    <w:rsid w:val="2B663F86"/>
    <w:rsid w:val="2B7A525D"/>
    <w:rsid w:val="2B876D3A"/>
    <w:rsid w:val="2B8E8E7C"/>
    <w:rsid w:val="2BA70078"/>
    <w:rsid w:val="2BA87E71"/>
    <w:rsid w:val="2BC35802"/>
    <w:rsid w:val="2BF4D363"/>
    <w:rsid w:val="2C00EC73"/>
    <w:rsid w:val="2C0E5209"/>
    <w:rsid w:val="2C171E15"/>
    <w:rsid w:val="2C5128B0"/>
    <w:rsid w:val="2C69FB25"/>
    <w:rsid w:val="2C6E5731"/>
    <w:rsid w:val="2C75F593"/>
    <w:rsid w:val="2C86715E"/>
    <w:rsid w:val="2C8CFF9D"/>
    <w:rsid w:val="2C9E66EF"/>
    <w:rsid w:val="2CAE3DEC"/>
    <w:rsid w:val="2CB511CB"/>
    <w:rsid w:val="2CB70114"/>
    <w:rsid w:val="2CCE155C"/>
    <w:rsid w:val="2CE23FA5"/>
    <w:rsid w:val="2CE855EA"/>
    <w:rsid w:val="2CEFBE0C"/>
    <w:rsid w:val="2CF8690D"/>
    <w:rsid w:val="2CFF9A09"/>
    <w:rsid w:val="2D0727AB"/>
    <w:rsid w:val="2D0DAFE3"/>
    <w:rsid w:val="2D1B0A8C"/>
    <w:rsid w:val="2D2CF54A"/>
    <w:rsid w:val="2D4C055C"/>
    <w:rsid w:val="2D758DE6"/>
    <w:rsid w:val="2D85E5BD"/>
    <w:rsid w:val="2DA099F8"/>
    <w:rsid w:val="2DA33607"/>
    <w:rsid w:val="2DC55BD1"/>
    <w:rsid w:val="2DDE053A"/>
    <w:rsid w:val="2DE73812"/>
    <w:rsid w:val="2DECB209"/>
    <w:rsid w:val="2DF422E1"/>
    <w:rsid w:val="2DF90138"/>
    <w:rsid w:val="2DFBCFA6"/>
    <w:rsid w:val="2E024F98"/>
    <w:rsid w:val="2E122C4F"/>
    <w:rsid w:val="2E2161AA"/>
    <w:rsid w:val="2E2749F4"/>
    <w:rsid w:val="2E4C310C"/>
    <w:rsid w:val="2E5B1240"/>
    <w:rsid w:val="2E67145D"/>
    <w:rsid w:val="2E7BA59E"/>
    <w:rsid w:val="2E7EAD9D"/>
    <w:rsid w:val="2EA7F811"/>
    <w:rsid w:val="2EAC11BC"/>
    <w:rsid w:val="2ECE8AFF"/>
    <w:rsid w:val="2ED8E249"/>
    <w:rsid w:val="2EEE4E9E"/>
    <w:rsid w:val="2EF0815D"/>
    <w:rsid w:val="2F0946DB"/>
    <w:rsid w:val="2F15EDA8"/>
    <w:rsid w:val="2F17FB18"/>
    <w:rsid w:val="2F3E298E"/>
    <w:rsid w:val="2F4041B5"/>
    <w:rsid w:val="2F88EC9C"/>
    <w:rsid w:val="2FC29C72"/>
    <w:rsid w:val="2FD2B29D"/>
    <w:rsid w:val="2FF2C9D1"/>
    <w:rsid w:val="2FFC0814"/>
    <w:rsid w:val="30060106"/>
    <w:rsid w:val="301A42DA"/>
    <w:rsid w:val="301EE517"/>
    <w:rsid w:val="3024E958"/>
    <w:rsid w:val="303ACA12"/>
    <w:rsid w:val="303ADBFF"/>
    <w:rsid w:val="303D12CE"/>
    <w:rsid w:val="3056E1E3"/>
    <w:rsid w:val="30668696"/>
    <w:rsid w:val="308E86AD"/>
    <w:rsid w:val="30A12120"/>
    <w:rsid w:val="30AD1C28"/>
    <w:rsid w:val="30C98E8F"/>
    <w:rsid w:val="30CB53B6"/>
    <w:rsid w:val="30D812F3"/>
    <w:rsid w:val="30DA72F8"/>
    <w:rsid w:val="30EDE2A0"/>
    <w:rsid w:val="30F86459"/>
    <w:rsid w:val="30FD5510"/>
    <w:rsid w:val="31158489"/>
    <w:rsid w:val="311B0903"/>
    <w:rsid w:val="31492C70"/>
    <w:rsid w:val="31643074"/>
    <w:rsid w:val="3182CCEA"/>
    <w:rsid w:val="31906146"/>
    <w:rsid w:val="31B9E64C"/>
    <w:rsid w:val="31C7BE80"/>
    <w:rsid w:val="31C9F3BB"/>
    <w:rsid w:val="31EE7C1B"/>
    <w:rsid w:val="321E47B4"/>
    <w:rsid w:val="32204EC3"/>
    <w:rsid w:val="32377A4B"/>
    <w:rsid w:val="3255D77B"/>
    <w:rsid w:val="3263E86A"/>
    <w:rsid w:val="327AF34D"/>
    <w:rsid w:val="3296502C"/>
    <w:rsid w:val="329AD0D3"/>
    <w:rsid w:val="329BC22B"/>
    <w:rsid w:val="32CFFDD3"/>
    <w:rsid w:val="32E805D1"/>
    <w:rsid w:val="32EDF98C"/>
    <w:rsid w:val="32F73D75"/>
    <w:rsid w:val="3309C53C"/>
    <w:rsid w:val="330D73F1"/>
    <w:rsid w:val="3338E0C8"/>
    <w:rsid w:val="3348CD06"/>
    <w:rsid w:val="3351ADD1"/>
    <w:rsid w:val="3355945B"/>
    <w:rsid w:val="337D484A"/>
    <w:rsid w:val="338BF39D"/>
    <w:rsid w:val="3393A516"/>
    <w:rsid w:val="33B95C73"/>
    <w:rsid w:val="33F24EB9"/>
    <w:rsid w:val="3411C799"/>
    <w:rsid w:val="3411E5A7"/>
    <w:rsid w:val="341A0F4C"/>
    <w:rsid w:val="342F0384"/>
    <w:rsid w:val="34374FD0"/>
    <w:rsid w:val="34853064"/>
    <w:rsid w:val="34CA8255"/>
    <w:rsid w:val="34FBC99C"/>
    <w:rsid w:val="34FED89B"/>
    <w:rsid w:val="350EA8C6"/>
    <w:rsid w:val="351A17DD"/>
    <w:rsid w:val="35457EFD"/>
    <w:rsid w:val="35528E80"/>
    <w:rsid w:val="358D3D16"/>
    <w:rsid w:val="359BA912"/>
    <w:rsid w:val="35E091CD"/>
    <w:rsid w:val="35EBF325"/>
    <w:rsid w:val="35F5F685"/>
    <w:rsid w:val="35FB1F0D"/>
    <w:rsid w:val="36082AB4"/>
    <w:rsid w:val="361F558A"/>
    <w:rsid w:val="362EC7F7"/>
    <w:rsid w:val="363725AF"/>
    <w:rsid w:val="364AA8AC"/>
    <w:rsid w:val="36AE7B4A"/>
    <w:rsid w:val="36BC5FE2"/>
    <w:rsid w:val="36E0E04C"/>
    <w:rsid w:val="36F365F0"/>
    <w:rsid w:val="370C17C8"/>
    <w:rsid w:val="3727B4FB"/>
    <w:rsid w:val="37297E88"/>
    <w:rsid w:val="3736A0B5"/>
    <w:rsid w:val="3759FD66"/>
    <w:rsid w:val="376C682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7D18C3"/>
    <w:rsid w:val="3881DD64"/>
    <w:rsid w:val="3889D788"/>
    <w:rsid w:val="388E4F37"/>
    <w:rsid w:val="38B43401"/>
    <w:rsid w:val="38B5055B"/>
    <w:rsid w:val="38B50CE6"/>
    <w:rsid w:val="38C00F7C"/>
    <w:rsid w:val="3907FF91"/>
    <w:rsid w:val="393A192E"/>
    <w:rsid w:val="393D201F"/>
    <w:rsid w:val="39632891"/>
    <w:rsid w:val="39C85547"/>
    <w:rsid w:val="39D01110"/>
    <w:rsid w:val="39D5DB6F"/>
    <w:rsid w:val="39F6F5F4"/>
    <w:rsid w:val="39F73B00"/>
    <w:rsid w:val="3A43943E"/>
    <w:rsid w:val="3A574B00"/>
    <w:rsid w:val="3A5A5311"/>
    <w:rsid w:val="3A6EF8ED"/>
    <w:rsid w:val="3A77F996"/>
    <w:rsid w:val="3A7EBB60"/>
    <w:rsid w:val="3A8971C2"/>
    <w:rsid w:val="3A9ECB9A"/>
    <w:rsid w:val="3AA9B43B"/>
    <w:rsid w:val="3AAFC9A8"/>
    <w:rsid w:val="3AC462AB"/>
    <w:rsid w:val="3AD97454"/>
    <w:rsid w:val="3AE258FB"/>
    <w:rsid w:val="3AEE4452"/>
    <w:rsid w:val="3B2A06E8"/>
    <w:rsid w:val="3B410A67"/>
    <w:rsid w:val="3B4A0253"/>
    <w:rsid w:val="3B4EC0F0"/>
    <w:rsid w:val="3B5254AB"/>
    <w:rsid w:val="3B6CDB57"/>
    <w:rsid w:val="3B7EAC83"/>
    <w:rsid w:val="3B8051D2"/>
    <w:rsid w:val="3B845FAE"/>
    <w:rsid w:val="3BAEBD69"/>
    <w:rsid w:val="3BAF91DA"/>
    <w:rsid w:val="3BB80D42"/>
    <w:rsid w:val="3BC4CE2C"/>
    <w:rsid w:val="3BC98044"/>
    <w:rsid w:val="3BDB91E6"/>
    <w:rsid w:val="3C091A8C"/>
    <w:rsid w:val="3C589A83"/>
    <w:rsid w:val="3CE4DB36"/>
    <w:rsid w:val="3CFC43D3"/>
    <w:rsid w:val="3D115EDF"/>
    <w:rsid w:val="3D32F52A"/>
    <w:rsid w:val="3D3C6A71"/>
    <w:rsid w:val="3D443001"/>
    <w:rsid w:val="3D4D702A"/>
    <w:rsid w:val="3D5D7EB4"/>
    <w:rsid w:val="3D752208"/>
    <w:rsid w:val="3D7C92CE"/>
    <w:rsid w:val="3D840B5E"/>
    <w:rsid w:val="3D9B6AC8"/>
    <w:rsid w:val="3D9BA37E"/>
    <w:rsid w:val="3DAC5734"/>
    <w:rsid w:val="3DEE1028"/>
    <w:rsid w:val="3DFCFD2E"/>
    <w:rsid w:val="3E2AD058"/>
    <w:rsid w:val="3E5C7005"/>
    <w:rsid w:val="3E8E2BFE"/>
    <w:rsid w:val="3E965A3E"/>
    <w:rsid w:val="3EA8485C"/>
    <w:rsid w:val="3EAD03F8"/>
    <w:rsid w:val="3EAE6814"/>
    <w:rsid w:val="3ED5D954"/>
    <w:rsid w:val="3EE40E20"/>
    <w:rsid w:val="3F09BF41"/>
    <w:rsid w:val="3F0DBDE9"/>
    <w:rsid w:val="3F1046EF"/>
    <w:rsid w:val="3F18D327"/>
    <w:rsid w:val="3F228FE5"/>
    <w:rsid w:val="3F423D8B"/>
    <w:rsid w:val="3F45B34F"/>
    <w:rsid w:val="3F4EC727"/>
    <w:rsid w:val="3F6653BF"/>
    <w:rsid w:val="3F759C6B"/>
    <w:rsid w:val="3FAB28E7"/>
    <w:rsid w:val="3FC2B754"/>
    <w:rsid w:val="3FD7A9F9"/>
    <w:rsid w:val="3FF74917"/>
    <w:rsid w:val="400F00D3"/>
    <w:rsid w:val="401C1468"/>
    <w:rsid w:val="4020824D"/>
    <w:rsid w:val="4024D8BD"/>
    <w:rsid w:val="4054FCA4"/>
    <w:rsid w:val="405FE927"/>
    <w:rsid w:val="406F31ED"/>
    <w:rsid w:val="4092067A"/>
    <w:rsid w:val="40B2F3B7"/>
    <w:rsid w:val="40BD9EC4"/>
    <w:rsid w:val="40C0380E"/>
    <w:rsid w:val="40D03E98"/>
    <w:rsid w:val="40E88FF9"/>
    <w:rsid w:val="4105892F"/>
    <w:rsid w:val="4116E5C4"/>
    <w:rsid w:val="414B263D"/>
    <w:rsid w:val="4160C724"/>
    <w:rsid w:val="4165A937"/>
    <w:rsid w:val="41662D80"/>
    <w:rsid w:val="41692370"/>
    <w:rsid w:val="417B975B"/>
    <w:rsid w:val="4190C2E6"/>
    <w:rsid w:val="419AED30"/>
    <w:rsid w:val="419CC3C6"/>
    <w:rsid w:val="41A113BD"/>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D00CCD"/>
    <w:rsid w:val="43013559"/>
    <w:rsid w:val="4305A172"/>
    <w:rsid w:val="43197E4B"/>
    <w:rsid w:val="433D511A"/>
    <w:rsid w:val="434241D2"/>
    <w:rsid w:val="43572BF0"/>
    <w:rsid w:val="435DD482"/>
    <w:rsid w:val="4363D179"/>
    <w:rsid w:val="437EBF35"/>
    <w:rsid w:val="43806F99"/>
    <w:rsid w:val="438B810A"/>
    <w:rsid w:val="43BBD7A9"/>
    <w:rsid w:val="43C6EB38"/>
    <w:rsid w:val="43DA1ED3"/>
    <w:rsid w:val="43EF2BB8"/>
    <w:rsid w:val="441D6DF1"/>
    <w:rsid w:val="442F1A4C"/>
    <w:rsid w:val="44811C6E"/>
    <w:rsid w:val="4495ED75"/>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E7AB97"/>
    <w:rsid w:val="46EE9D38"/>
    <w:rsid w:val="46FEAC79"/>
    <w:rsid w:val="47001A68"/>
    <w:rsid w:val="4701D626"/>
    <w:rsid w:val="4736332D"/>
    <w:rsid w:val="473BEC47"/>
    <w:rsid w:val="47716B42"/>
    <w:rsid w:val="4773CE94"/>
    <w:rsid w:val="4777DA9B"/>
    <w:rsid w:val="4778500E"/>
    <w:rsid w:val="478E0C16"/>
    <w:rsid w:val="47EF03FD"/>
    <w:rsid w:val="48034772"/>
    <w:rsid w:val="480DCA20"/>
    <w:rsid w:val="482800FE"/>
    <w:rsid w:val="482D85F1"/>
    <w:rsid w:val="4852C0E0"/>
    <w:rsid w:val="486B6A8B"/>
    <w:rsid w:val="48800C41"/>
    <w:rsid w:val="488D1636"/>
    <w:rsid w:val="48AD1318"/>
    <w:rsid w:val="48F1F3A0"/>
    <w:rsid w:val="490E7F45"/>
    <w:rsid w:val="49392BEC"/>
    <w:rsid w:val="4983DDB9"/>
    <w:rsid w:val="499223D0"/>
    <w:rsid w:val="4A0A77A5"/>
    <w:rsid w:val="4A10BBBE"/>
    <w:rsid w:val="4A45FA0C"/>
    <w:rsid w:val="4A65A220"/>
    <w:rsid w:val="4A665483"/>
    <w:rsid w:val="4A672379"/>
    <w:rsid w:val="4A720494"/>
    <w:rsid w:val="4A99D2BF"/>
    <w:rsid w:val="4AB992AF"/>
    <w:rsid w:val="4ACE4CA2"/>
    <w:rsid w:val="4AEAC1BE"/>
    <w:rsid w:val="4AEBFF20"/>
    <w:rsid w:val="4AEE391B"/>
    <w:rsid w:val="4AF3EB1F"/>
    <w:rsid w:val="4B058369"/>
    <w:rsid w:val="4B093F13"/>
    <w:rsid w:val="4B1782E4"/>
    <w:rsid w:val="4B2A740A"/>
    <w:rsid w:val="4B500340"/>
    <w:rsid w:val="4B5415E7"/>
    <w:rsid w:val="4B5E66E3"/>
    <w:rsid w:val="4B70C39F"/>
    <w:rsid w:val="4B8D981E"/>
    <w:rsid w:val="4B8DC56A"/>
    <w:rsid w:val="4BC306BB"/>
    <w:rsid w:val="4BC990C1"/>
    <w:rsid w:val="4BE7BD75"/>
    <w:rsid w:val="4BE9C938"/>
    <w:rsid w:val="4C066792"/>
    <w:rsid w:val="4C201C93"/>
    <w:rsid w:val="4C2EC94C"/>
    <w:rsid w:val="4C369A13"/>
    <w:rsid w:val="4C57A725"/>
    <w:rsid w:val="4C72794A"/>
    <w:rsid w:val="4C74978B"/>
    <w:rsid w:val="4C89DF70"/>
    <w:rsid w:val="4CC32441"/>
    <w:rsid w:val="4CDCFA52"/>
    <w:rsid w:val="4D18E731"/>
    <w:rsid w:val="4D2B28F5"/>
    <w:rsid w:val="4D47364B"/>
    <w:rsid w:val="4D4C0DFD"/>
    <w:rsid w:val="4D6AE1DE"/>
    <w:rsid w:val="4D70800F"/>
    <w:rsid w:val="4D81AE50"/>
    <w:rsid w:val="4D83D26E"/>
    <w:rsid w:val="4D9D1A2D"/>
    <w:rsid w:val="4DACB228"/>
    <w:rsid w:val="4DB3A1A1"/>
    <w:rsid w:val="4DBA7864"/>
    <w:rsid w:val="4DC153C2"/>
    <w:rsid w:val="4DDFC52C"/>
    <w:rsid w:val="4DE31379"/>
    <w:rsid w:val="4DFA7F89"/>
    <w:rsid w:val="4E4AE9AC"/>
    <w:rsid w:val="4E51ABC8"/>
    <w:rsid w:val="4E7979DA"/>
    <w:rsid w:val="4E89177B"/>
    <w:rsid w:val="4E9EE8F8"/>
    <w:rsid w:val="4EAE792A"/>
    <w:rsid w:val="4EB3407B"/>
    <w:rsid w:val="4EBDABBB"/>
    <w:rsid w:val="4EF4BA90"/>
    <w:rsid w:val="4EFD0D7E"/>
    <w:rsid w:val="4F01C2C3"/>
    <w:rsid w:val="4F161AC7"/>
    <w:rsid w:val="4F3C4CD6"/>
    <w:rsid w:val="4F696016"/>
    <w:rsid w:val="4F6A5413"/>
    <w:rsid w:val="4FB13038"/>
    <w:rsid w:val="4FB90FA7"/>
    <w:rsid w:val="4FD7E433"/>
    <w:rsid w:val="5023493B"/>
    <w:rsid w:val="502438F5"/>
    <w:rsid w:val="503F12AF"/>
    <w:rsid w:val="50529AD6"/>
    <w:rsid w:val="507403DA"/>
    <w:rsid w:val="50A6ABE4"/>
    <w:rsid w:val="50C62BD0"/>
    <w:rsid w:val="50DB3FB4"/>
    <w:rsid w:val="50E24B3F"/>
    <w:rsid w:val="50E3E676"/>
    <w:rsid w:val="50E830B4"/>
    <w:rsid w:val="50FA2601"/>
    <w:rsid w:val="50FD9463"/>
    <w:rsid w:val="5112E39D"/>
    <w:rsid w:val="5127AE58"/>
    <w:rsid w:val="513350D0"/>
    <w:rsid w:val="51424C36"/>
    <w:rsid w:val="5151DB01"/>
    <w:rsid w:val="51A05A22"/>
    <w:rsid w:val="51AE67D6"/>
    <w:rsid w:val="51B5EF50"/>
    <w:rsid w:val="51BF51A8"/>
    <w:rsid w:val="51DAF5EE"/>
    <w:rsid w:val="51EFAC20"/>
    <w:rsid w:val="51F44500"/>
    <w:rsid w:val="51FA3EF3"/>
    <w:rsid w:val="51FF848B"/>
    <w:rsid w:val="5201CB1B"/>
    <w:rsid w:val="520444F9"/>
    <w:rsid w:val="52483F6D"/>
    <w:rsid w:val="524D8FD6"/>
    <w:rsid w:val="5257543D"/>
    <w:rsid w:val="52625171"/>
    <w:rsid w:val="52626C23"/>
    <w:rsid w:val="52AFA42C"/>
    <w:rsid w:val="52B29E97"/>
    <w:rsid w:val="52F4AA9C"/>
    <w:rsid w:val="52FDF3C3"/>
    <w:rsid w:val="53021A3B"/>
    <w:rsid w:val="53088698"/>
    <w:rsid w:val="530A091C"/>
    <w:rsid w:val="532C7892"/>
    <w:rsid w:val="536E862B"/>
    <w:rsid w:val="53ACFAC9"/>
    <w:rsid w:val="53B1603F"/>
    <w:rsid w:val="53D8DAEA"/>
    <w:rsid w:val="53FE4A44"/>
    <w:rsid w:val="54057FD7"/>
    <w:rsid w:val="543AC1EB"/>
    <w:rsid w:val="545E4FBF"/>
    <w:rsid w:val="547F1B3A"/>
    <w:rsid w:val="54826E5C"/>
    <w:rsid w:val="54AE97EF"/>
    <w:rsid w:val="54D89701"/>
    <w:rsid w:val="54E1B3D1"/>
    <w:rsid w:val="5525749A"/>
    <w:rsid w:val="555746D0"/>
    <w:rsid w:val="556148FE"/>
    <w:rsid w:val="55643B95"/>
    <w:rsid w:val="55A3F577"/>
    <w:rsid w:val="55B26F05"/>
    <w:rsid w:val="55B3D8E4"/>
    <w:rsid w:val="55CB2512"/>
    <w:rsid w:val="55E4F632"/>
    <w:rsid w:val="5626560E"/>
    <w:rsid w:val="564AB92C"/>
    <w:rsid w:val="565870F8"/>
    <w:rsid w:val="56667A42"/>
    <w:rsid w:val="56C55CB5"/>
    <w:rsid w:val="56EB5FA3"/>
    <w:rsid w:val="56FC5CE7"/>
    <w:rsid w:val="57000196"/>
    <w:rsid w:val="570751F8"/>
    <w:rsid w:val="571C16A2"/>
    <w:rsid w:val="572C8EDC"/>
    <w:rsid w:val="579E4B8A"/>
    <w:rsid w:val="57A39F94"/>
    <w:rsid w:val="57CC436C"/>
    <w:rsid w:val="57DC546B"/>
    <w:rsid w:val="57F74743"/>
    <w:rsid w:val="58038B7D"/>
    <w:rsid w:val="58283766"/>
    <w:rsid w:val="584AC2B6"/>
    <w:rsid w:val="5886EC8F"/>
    <w:rsid w:val="588B4119"/>
    <w:rsid w:val="589E8768"/>
    <w:rsid w:val="58A945E8"/>
    <w:rsid w:val="58CE6137"/>
    <w:rsid w:val="58CEBC5B"/>
    <w:rsid w:val="58EE10D2"/>
    <w:rsid w:val="58F04851"/>
    <w:rsid w:val="58F89A87"/>
    <w:rsid w:val="590980E6"/>
    <w:rsid w:val="596C7B30"/>
    <w:rsid w:val="5980ABD1"/>
    <w:rsid w:val="598D98EE"/>
    <w:rsid w:val="59ACA199"/>
    <w:rsid w:val="59BADF3A"/>
    <w:rsid w:val="59C862D3"/>
    <w:rsid w:val="59D31157"/>
    <w:rsid w:val="59F4FAA5"/>
    <w:rsid w:val="5A09336D"/>
    <w:rsid w:val="5A1EF2D3"/>
    <w:rsid w:val="5A31537E"/>
    <w:rsid w:val="5A3637C9"/>
    <w:rsid w:val="5A5B596F"/>
    <w:rsid w:val="5AA6EAE5"/>
    <w:rsid w:val="5AAAD7BE"/>
    <w:rsid w:val="5ABE9F1A"/>
    <w:rsid w:val="5AE1EE72"/>
    <w:rsid w:val="5AE79740"/>
    <w:rsid w:val="5AE976E8"/>
    <w:rsid w:val="5B1D401A"/>
    <w:rsid w:val="5B346766"/>
    <w:rsid w:val="5B666010"/>
    <w:rsid w:val="5B74A35D"/>
    <w:rsid w:val="5B7C8609"/>
    <w:rsid w:val="5B933680"/>
    <w:rsid w:val="5B96019B"/>
    <w:rsid w:val="5BA081A5"/>
    <w:rsid w:val="5BADCDAC"/>
    <w:rsid w:val="5BBF0B3F"/>
    <w:rsid w:val="5BC807DC"/>
    <w:rsid w:val="5C087B12"/>
    <w:rsid w:val="5C3CA4CE"/>
    <w:rsid w:val="5C4AF570"/>
    <w:rsid w:val="5C4E5E45"/>
    <w:rsid w:val="5C5465C6"/>
    <w:rsid w:val="5C594279"/>
    <w:rsid w:val="5C5E00A8"/>
    <w:rsid w:val="5C68FF04"/>
    <w:rsid w:val="5C88A4B2"/>
    <w:rsid w:val="5C8B41FA"/>
    <w:rsid w:val="5CBF35CB"/>
    <w:rsid w:val="5CE15003"/>
    <w:rsid w:val="5CF21C9B"/>
    <w:rsid w:val="5CF6DF39"/>
    <w:rsid w:val="5CF8106B"/>
    <w:rsid w:val="5CF8869D"/>
    <w:rsid w:val="5D004EE2"/>
    <w:rsid w:val="5D2DAE72"/>
    <w:rsid w:val="5D378222"/>
    <w:rsid w:val="5D5D460A"/>
    <w:rsid w:val="5D6D09E2"/>
    <w:rsid w:val="5D7A4D66"/>
    <w:rsid w:val="5DA91D45"/>
    <w:rsid w:val="5DBBEF0F"/>
    <w:rsid w:val="5DD89889"/>
    <w:rsid w:val="5DE98C6B"/>
    <w:rsid w:val="5DFD58E8"/>
    <w:rsid w:val="5E1D91C5"/>
    <w:rsid w:val="5E4B5D85"/>
    <w:rsid w:val="5E546F18"/>
    <w:rsid w:val="5E6B2DD5"/>
    <w:rsid w:val="5E894103"/>
    <w:rsid w:val="5E9AB9DF"/>
    <w:rsid w:val="5ECAF13A"/>
    <w:rsid w:val="5ECC0470"/>
    <w:rsid w:val="5ED1EB99"/>
    <w:rsid w:val="5ED333B3"/>
    <w:rsid w:val="5EE8545A"/>
    <w:rsid w:val="5EE9181B"/>
    <w:rsid w:val="5EF7998D"/>
    <w:rsid w:val="5EFFF4C5"/>
    <w:rsid w:val="5F0F655E"/>
    <w:rsid w:val="5F1976B2"/>
    <w:rsid w:val="5F1ABE8B"/>
    <w:rsid w:val="5F23392B"/>
    <w:rsid w:val="5F26845C"/>
    <w:rsid w:val="5F28403C"/>
    <w:rsid w:val="5F2B6CF0"/>
    <w:rsid w:val="5F36DBDD"/>
    <w:rsid w:val="5F4362AD"/>
    <w:rsid w:val="5F4528FE"/>
    <w:rsid w:val="5F4EE132"/>
    <w:rsid w:val="5FCACBF6"/>
    <w:rsid w:val="5FEF60D7"/>
    <w:rsid w:val="5FF7EE9B"/>
    <w:rsid w:val="600AA1EC"/>
    <w:rsid w:val="600B865C"/>
    <w:rsid w:val="60221281"/>
    <w:rsid w:val="603A7922"/>
    <w:rsid w:val="603CBAA4"/>
    <w:rsid w:val="6046925E"/>
    <w:rsid w:val="6064E9B7"/>
    <w:rsid w:val="607E57A8"/>
    <w:rsid w:val="6094FA8B"/>
    <w:rsid w:val="609D7853"/>
    <w:rsid w:val="609ED0FB"/>
    <w:rsid w:val="60B26EA9"/>
    <w:rsid w:val="60D09001"/>
    <w:rsid w:val="60DF6B45"/>
    <w:rsid w:val="60E05DEE"/>
    <w:rsid w:val="60FF75A0"/>
    <w:rsid w:val="6107F837"/>
    <w:rsid w:val="610C2E35"/>
    <w:rsid w:val="611CD39F"/>
    <w:rsid w:val="61413480"/>
    <w:rsid w:val="61588478"/>
    <w:rsid w:val="615B1758"/>
    <w:rsid w:val="6163B1A7"/>
    <w:rsid w:val="6168693A"/>
    <w:rsid w:val="6171A8C9"/>
    <w:rsid w:val="61862B67"/>
    <w:rsid w:val="61BBB5A0"/>
    <w:rsid w:val="61BCD067"/>
    <w:rsid w:val="61D01A87"/>
    <w:rsid w:val="61E54594"/>
    <w:rsid w:val="61F26D0A"/>
    <w:rsid w:val="61F4B3CD"/>
    <w:rsid w:val="61FEE60C"/>
    <w:rsid w:val="62273516"/>
    <w:rsid w:val="62427875"/>
    <w:rsid w:val="62587538"/>
    <w:rsid w:val="625AFC15"/>
    <w:rsid w:val="62608540"/>
    <w:rsid w:val="6264A582"/>
    <w:rsid w:val="6273DB0C"/>
    <w:rsid w:val="6287012B"/>
    <w:rsid w:val="62A49B75"/>
    <w:rsid w:val="62AF2A5B"/>
    <w:rsid w:val="631909AE"/>
    <w:rsid w:val="63275BDE"/>
    <w:rsid w:val="6329AC41"/>
    <w:rsid w:val="63400821"/>
    <w:rsid w:val="634F06E7"/>
    <w:rsid w:val="635F54A8"/>
    <w:rsid w:val="63672484"/>
    <w:rsid w:val="638A000C"/>
    <w:rsid w:val="638A8A37"/>
    <w:rsid w:val="639448A6"/>
    <w:rsid w:val="63996836"/>
    <w:rsid w:val="639A33AC"/>
    <w:rsid w:val="639D0AF6"/>
    <w:rsid w:val="63B67E4F"/>
    <w:rsid w:val="64054568"/>
    <w:rsid w:val="64343B3E"/>
    <w:rsid w:val="64459AB0"/>
    <w:rsid w:val="6460D7F6"/>
    <w:rsid w:val="6461A768"/>
    <w:rsid w:val="64666799"/>
    <w:rsid w:val="646BD719"/>
    <w:rsid w:val="64705219"/>
    <w:rsid w:val="647E9D90"/>
    <w:rsid w:val="6484ED97"/>
    <w:rsid w:val="648A5311"/>
    <w:rsid w:val="64988CB0"/>
    <w:rsid w:val="64A0D0A3"/>
    <w:rsid w:val="64AA0C37"/>
    <w:rsid w:val="64B25B38"/>
    <w:rsid w:val="64BB9EF3"/>
    <w:rsid w:val="64C0F628"/>
    <w:rsid w:val="64CC9665"/>
    <w:rsid w:val="64D8C044"/>
    <w:rsid w:val="64E7A4E0"/>
    <w:rsid w:val="6515DC66"/>
    <w:rsid w:val="654F2C5A"/>
    <w:rsid w:val="656C5117"/>
    <w:rsid w:val="659856E8"/>
    <w:rsid w:val="65A54C5D"/>
    <w:rsid w:val="65A7D319"/>
    <w:rsid w:val="65C82EC8"/>
    <w:rsid w:val="65F848E7"/>
    <w:rsid w:val="6617F47B"/>
    <w:rsid w:val="663C2BE7"/>
    <w:rsid w:val="663EE720"/>
    <w:rsid w:val="66431B47"/>
    <w:rsid w:val="6645DA77"/>
    <w:rsid w:val="664ECE1B"/>
    <w:rsid w:val="664EEF7D"/>
    <w:rsid w:val="6657594E"/>
    <w:rsid w:val="66813696"/>
    <w:rsid w:val="6688B6EC"/>
    <w:rsid w:val="66897708"/>
    <w:rsid w:val="668EF25B"/>
    <w:rsid w:val="66C28B52"/>
    <w:rsid w:val="66D76627"/>
    <w:rsid w:val="66D9D3F2"/>
    <w:rsid w:val="66F71B3C"/>
    <w:rsid w:val="6709AEAC"/>
    <w:rsid w:val="670BE17C"/>
    <w:rsid w:val="6717F7A4"/>
    <w:rsid w:val="67388DC7"/>
    <w:rsid w:val="675801B4"/>
    <w:rsid w:val="675C46FA"/>
    <w:rsid w:val="676F48D1"/>
    <w:rsid w:val="6781E0F0"/>
    <w:rsid w:val="6787CCC3"/>
    <w:rsid w:val="67948DEB"/>
    <w:rsid w:val="67C0375A"/>
    <w:rsid w:val="67D3935D"/>
    <w:rsid w:val="6819CF09"/>
    <w:rsid w:val="6831096F"/>
    <w:rsid w:val="683657DB"/>
    <w:rsid w:val="68377C33"/>
    <w:rsid w:val="685B0872"/>
    <w:rsid w:val="68628D7A"/>
    <w:rsid w:val="686B6970"/>
    <w:rsid w:val="68722F5C"/>
    <w:rsid w:val="6891FBEE"/>
    <w:rsid w:val="689C091A"/>
    <w:rsid w:val="68AAF554"/>
    <w:rsid w:val="68BA2000"/>
    <w:rsid w:val="68C8C35D"/>
    <w:rsid w:val="68DC9B53"/>
    <w:rsid w:val="68F624CD"/>
    <w:rsid w:val="68F8A516"/>
    <w:rsid w:val="6913A104"/>
    <w:rsid w:val="695919AA"/>
    <w:rsid w:val="69615EC5"/>
    <w:rsid w:val="699C0DE1"/>
    <w:rsid w:val="69D6FF61"/>
    <w:rsid w:val="69EF686C"/>
    <w:rsid w:val="69FD6702"/>
    <w:rsid w:val="6A1AF7B1"/>
    <w:rsid w:val="6A1D9531"/>
    <w:rsid w:val="6A44E300"/>
    <w:rsid w:val="6A463A6A"/>
    <w:rsid w:val="6A4F20CF"/>
    <w:rsid w:val="6A4FC1EC"/>
    <w:rsid w:val="6A6295AF"/>
    <w:rsid w:val="6A9E8839"/>
    <w:rsid w:val="6ABD0293"/>
    <w:rsid w:val="6AC66E02"/>
    <w:rsid w:val="6AC89497"/>
    <w:rsid w:val="6AF36642"/>
    <w:rsid w:val="6B08DD0E"/>
    <w:rsid w:val="6B0D1D3C"/>
    <w:rsid w:val="6B406889"/>
    <w:rsid w:val="6B408062"/>
    <w:rsid w:val="6B58E712"/>
    <w:rsid w:val="6B638C1E"/>
    <w:rsid w:val="6B63C149"/>
    <w:rsid w:val="6B8D2153"/>
    <w:rsid w:val="6BB7AA6A"/>
    <w:rsid w:val="6BB91856"/>
    <w:rsid w:val="6BCF25D8"/>
    <w:rsid w:val="6BF6B490"/>
    <w:rsid w:val="6C048DE4"/>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BF5DF"/>
    <w:rsid w:val="6D4D398F"/>
    <w:rsid w:val="6D5CA136"/>
    <w:rsid w:val="6D5E2AE9"/>
    <w:rsid w:val="6D5ED7ED"/>
    <w:rsid w:val="6D7749B0"/>
    <w:rsid w:val="6D7DBFD7"/>
    <w:rsid w:val="6D7E901A"/>
    <w:rsid w:val="6D8201B6"/>
    <w:rsid w:val="6DA7237D"/>
    <w:rsid w:val="6DA8E7F7"/>
    <w:rsid w:val="6DACDF4A"/>
    <w:rsid w:val="6DBA83CA"/>
    <w:rsid w:val="6DF18496"/>
    <w:rsid w:val="6E1954DF"/>
    <w:rsid w:val="6E32714D"/>
    <w:rsid w:val="6E804722"/>
    <w:rsid w:val="6E8E5317"/>
    <w:rsid w:val="6EA6F69C"/>
    <w:rsid w:val="6EABBEFE"/>
    <w:rsid w:val="6EBE855F"/>
    <w:rsid w:val="6ECA75C2"/>
    <w:rsid w:val="6ECF8D98"/>
    <w:rsid w:val="6ED545DE"/>
    <w:rsid w:val="6EDB4562"/>
    <w:rsid w:val="6F143050"/>
    <w:rsid w:val="6F2F2101"/>
    <w:rsid w:val="6F3463AD"/>
    <w:rsid w:val="6F47B248"/>
    <w:rsid w:val="6F523178"/>
    <w:rsid w:val="6F547FD6"/>
    <w:rsid w:val="6F5664FA"/>
    <w:rsid w:val="6F5D267F"/>
    <w:rsid w:val="6F8444A2"/>
    <w:rsid w:val="6F883B1A"/>
    <w:rsid w:val="6F8C0DF0"/>
    <w:rsid w:val="6F922A2E"/>
    <w:rsid w:val="7003A9EF"/>
    <w:rsid w:val="700715BA"/>
    <w:rsid w:val="7008FA83"/>
    <w:rsid w:val="70132795"/>
    <w:rsid w:val="7037EB1A"/>
    <w:rsid w:val="705A622D"/>
    <w:rsid w:val="7079F2BC"/>
    <w:rsid w:val="70840ED2"/>
    <w:rsid w:val="708DD1E6"/>
    <w:rsid w:val="70B2DEDE"/>
    <w:rsid w:val="70B66A05"/>
    <w:rsid w:val="70BDF782"/>
    <w:rsid w:val="710087AD"/>
    <w:rsid w:val="710E4FBB"/>
    <w:rsid w:val="7127C62D"/>
    <w:rsid w:val="713137BD"/>
    <w:rsid w:val="7139F7F1"/>
    <w:rsid w:val="715933D4"/>
    <w:rsid w:val="7187575C"/>
    <w:rsid w:val="71897CCA"/>
    <w:rsid w:val="71A1F04C"/>
    <w:rsid w:val="71AD1A10"/>
    <w:rsid w:val="71BE97F4"/>
    <w:rsid w:val="71C1A0B8"/>
    <w:rsid w:val="71C61DE5"/>
    <w:rsid w:val="71ED42FB"/>
    <w:rsid w:val="71F3611F"/>
    <w:rsid w:val="71F5C710"/>
    <w:rsid w:val="71F610C8"/>
    <w:rsid w:val="72087438"/>
    <w:rsid w:val="721B67FB"/>
    <w:rsid w:val="723A408F"/>
    <w:rsid w:val="724949F5"/>
    <w:rsid w:val="724F123A"/>
    <w:rsid w:val="7262B52F"/>
    <w:rsid w:val="72A7AB8F"/>
    <w:rsid w:val="72AA29E8"/>
    <w:rsid w:val="72EAD381"/>
    <w:rsid w:val="72FB47D5"/>
    <w:rsid w:val="72FB7EE5"/>
    <w:rsid w:val="72FCA266"/>
    <w:rsid w:val="72FCC781"/>
    <w:rsid w:val="730ED582"/>
    <w:rsid w:val="7377B0A4"/>
    <w:rsid w:val="737CE61F"/>
    <w:rsid w:val="73B7E5CA"/>
    <w:rsid w:val="73B7F92A"/>
    <w:rsid w:val="73C5EC53"/>
    <w:rsid w:val="742C897B"/>
    <w:rsid w:val="74500087"/>
    <w:rsid w:val="74598FAF"/>
    <w:rsid w:val="7461BFAE"/>
    <w:rsid w:val="74899EFA"/>
    <w:rsid w:val="748E1DB1"/>
    <w:rsid w:val="74910649"/>
    <w:rsid w:val="749FBC39"/>
    <w:rsid w:val="751CBAD0"/>
    <w:rsid w:val="7549C3B7"/>
    <w:rsid w:val="757A70E7"/>
    <w:rsid w:val="758AB15E"/>
    <w:rsid w:val="75A59D3B"/>
    <w:rsid w:val="75C8451F"/>
    <w:rsid w:val="76216ADD"/>
    <w:rsid w:val="7629017F"/>
    <w:rsid w:val="765025F4"/>
    <w:rsid w:val="765EE9CB"/>
    <w:rsid w:val="76734572"/>
    <w:rsid w:val="768CBD7D"/>
    <w:rsid w:val="76DBA669"/>
    <w:rsid w:val="7701DB7A"/>
    <w:rsid w:val="770A57C3"/>
    <w:rsid w:val="770E71FE"/>
    <w:rsid w:val="7713AC93"/>
    <w:rsid w:val="772B582C"/>
    <w:rsid w:val="774D66D6"/>
    <w:rsid w:val="775ECA9B"/>
    <w:rsid w:val="7779D8BF"/>
    <w:rsid w:val="77A5CB8C"/>
    <w:rsid w:val="77A6D5CA"/>
    <w:rsid w:val="77B41A33"/>
    <w:rsid w:val="77B75AEE"/>
    <w:rsid w:val="77D4D658"/>
    <w:rsid w:val="77F51395"/>
    <w:rsid w:val="7815A2BF"/>
    <w:rsid w:val="7830DE8F"/>
    <w:rsid w:val="7832545B"/>
    <w:rsid w:val="78644C3F"/>
    <w:rsid w:val="7885A684"/>
    <w:rsid w:val="7889BFC9"/>
    <w:rsid w:val="78B39C04"/>
    <w:rsid w:val="78DBABB1"/>
    <w:rsid w:val="790070B4"/>
    <w:rsid w:val="7905E7F1"/>
    <w:rsid w:val="7905F14C"/>
    <w:rsid w:val="792ED215"/>
    <w:rsid w:val="794A3A65"/>
    <w:rsid w:val="7953E18C"/>
    <w:rsid w:val="7965C234"/>
    <w:rsid w:val="7971F24D"/>
    <w:rsid w:val="79765E7F"/>
    <w:rsid w:val="797CA3D6"/>
    <w:rsid w:val="79885F56"/>
    <w:rsid w:val="798BDF3A"/>
    <w:rsid w:val="798F06F5"/>
    <w:rsid w:val="79A0392F"/>
    <w:rsid w:val="79CF6D87"/>
    <w:rsid w:val="79EE86D8"/>
    <w:rsid w:val="79F032DD"/>
    <w:rsid w:val="7A075A1F"/>
    <w:rsid w:val="7A14BDCD"/>
    <w:rsid w:val="7A216B80"/>
    <w:rsid w:val="7A2CE132"/>
    <w:rsid w:val="7A2F4131"/>
    <w:rsid w:val="7A3F4A5A"/>
    <w:rsid w:val="7A5BB7AB"/>
    <w:rsid w:val="7A621D3B"/>
    <w:rsid w:val="7A86C271"/>
    <w:rsid w:val="7AAA1E8B"/>
    <w:rsid w:val="7AC12966"/>
    <w:rsid w:val="7AC4F5CE"/>
    <w:rsid w:val="7ADD8FE8"/>
    <w:rsid w:val="7AE8A3E2"/>
    <w:rsid w:val="7AEE1A7B"/>
    <w:rsid w:val="7AFA612D"/>
    <w:rsid w:val="7B096EDA"/>
    <w:rsid w:val="7B0D0946"/>
    <w:rsid w:val="7B18FB8C"/>
    <w:rsid w:val="7B2138A0"/>
    <w:rsid w:val="7B26104B"/>
    <w:rsid w:val="7B27DA90"/>
    <w:rsid w:val="7B3A17EB"/>
    <w:rsid w:val="7B48A806"/>
    <w:rsid w:val="7B492F26"/>
    <w:rsid w:val="7B5402CF"/>
    <w:rsid w:val="7B6D37F8"/>
    <w:rsid w:val="7B8A6965"/>
    <w:rsid w:val="7B8B6E82"/>
    <w:rsid w:val="7B970984"/>
    <w:rsid w:val="7BC1C329"/>
    <w:rsid w:val="7C1928AC"/>
    <w:rsid w:val="7C2E8055"/>
    <w:rsid w:val="7C33A0BF"/>
    <w:rsid w:val="7C545D11"/>
    <w:rsid w:val="7C5B0F08"/>
    <w:rsid w:val="7C5B30C3"/>
    <w:rsid w:val="7C6F0C05"/>
    <w:rsid w:val="7C7BE26A"/>
    <w:rsid w:val="7C8E45DD"/>
    <w:rsid w:val="7C9D60B2"/>
    <w:rsid w:val="7CA6E5A9"/>
    <w:rsid w:val="7CEDF29C"/>
    <w:rsid w:val="7D1C5794"/>
    <w:rsid w:val="7D5D6AE6"/>
    <w:rsid w:val="7D60017E"/>
    <w:rsid w:val="7D946B8A"/>
    <w:rsid w:val="7D9D4684"/>
    <w:rsid w:val="7DA0E55A"/>
    <w:rsid w:val="7DAB1550"/>
    <w:rsid w:val="7DBA77F0"/>
    <w:rsid w:val="7DC61C69"/>
    <w:rsid w:val="7DD34247"/>
    <w:rsid w:val="7DDABA2E"/>
    <w:rsid w:val="7DE55659"/>
    <w:rsid w:val="7E0348EB"/>
    <w:rsid w:val="7E048329"/>
    <w:rsid w:val="7E0C3728"/>
    <w:rsid w:val="7E187F56"/>
    <w:rsid w:val="7E36B0DA"/>
    <w:rsid w:val="7E400061"/>
    <w:rsid w:val="7EA3C3C4"/>
    <w:rsid w:val="7EAC74F7"/>
    <w:rsid w:val="7EC87BF3"/>
    <w:rsid w:val="7EE9EE3B"/>
    <w:rsid w:val="7EFEF0D3"/>
    <w:rsid w:val="7F05C1CF"/>
    <w:rsid w:val="7F37B715"/>
    <w:rsid w:val="7F426749"/>
    <w:rsid w:val="7F4A4901"/>
    <w:rsid w:val="7F4CFC2D"/>
    <w:rsid w:val="7F5A6C17"/>
    <w:rsid w:val="7F60D247"/>
    <w:rsid w:val="7F9A6879"/>
    <w:rsid w:val="7FAE8A6B"/>
    <w:rsid w:val="7FC97032"/>
    <w:rsid w:val="7FCD12D1"/>
    <w:rsid w:val="7FCFDC26"/>
    <w:rsid w:val="7FD4AD59"/>
    <w:rsid w:val="7FEA5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6AB8FD9"/>
  <w15:docId w15:val="{7ED8E23B-5EA2-4165-9A90-B581E496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7AB7"/>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basedOn w:val="Normal"/>
    <w:next w:val="Normal"/>
    <w:link w:val="Heading1Char"/>
    <w:rsid w:val="00C1421E"/>
    <w:pPr>
      <w:keepNext/>
      <w:keepLines/>
      <w:spacing w:before="360"/>
      <w:ind w:left="794" w:hanging="794"/>
      <w:outlineLvl w:val="0"/>
    </w:pPr>
    <w:rPr>
      <w:b/>
      <w:lang w:val="en-GB"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clear" w:pos="794"/>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 w:val="clear" w:pos="119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pPr>
      <w:keepNext/>
      <w:keepLines/>
      <w:pageBreakBefore/>
      <w:spacing w:before="480"/>
      <w:jc w:val="center"/>
    </w:pPr>
    <w:rPr>
      <w:b/>
      <w:sz w:val="28"/>
    </w:rPr>
  </w:style>
  <w:style w:type="character" w:customStyle="1" w:styleId="AnnexNotitleChar">
    <w:name w:val="Annex_No &amp; title Char"/>
    <w:basedOn w:val="DefaultParagraphFont"/>
    <w:link w:val="AnnexNotitle"/>
    <w:locked/>
    <w:rPr>
      <w:b/>
      <w:sz w:val="28"/>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en-GB"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rPr>
      <w:lang w:val="en-GB" w:eastAsia="en-US"/>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en-GB" w:eastAsia="en-US"/>
    </w:rPr>
  </w:style>
  <w:style w:type="character" w:customStyle="1" w:styleId="HeaderChar">
    <w:name w:val="Header Char"/>
    <w:basedOn w:val="DefaultParagraphFont"/>
    <w:link w:val="Header"/>
    <w:locked/>
    <w:rPr>
      <w:rFonts w:cs="Times New Roman"/>
      <w:sz w:val="18"/>
      <w:lang w:val="en-GB" w:eastAsia="en-US" w:bidi="ar-SA"/>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C1421E"/>
    <w:pPr>
      <w:keepNext/>
      <w:spacing w:before="160"/>
    </w:pPr>
    <w:rPr>
      <w:b/>
      <w:lang w:val="en-GB" w:eastAsia="en-US"/>
    </w:rPr>
  </w:style>
  <w:style w:type="paragraph" w:customStyle="1" w:styleId="Headingi">
    <w:name w:val="Heading_i"/>
    <w:basedOn w:val="Normal"/>
    <w:next w:val="Normal"/>
    <w:rsid w:val="00C1421E"/>
    <w:pPr>
      <w:keepNext/>
      <w:spacing w:before="160"/>
    </w:pPr>
    <w:rPr>
      <w:i/>
      <w:lang w:val="en-GB" w:eastAsia="en-US"/>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超????,超?级链,하이퍼링크2,하이퍼링크21,CEO_Hyperlink"/>
    <w:basedOn w:val="DefaultParagraphFont"/>
    <w:uiPriority w:val="99"/>
    <w:qFormat/>
    <w:rPr>
      <w:rFonts w:cs="Times New Roman"/>
      <w:color w:val="0000FF"/>
      <w:u w:val="single"/>
    </w:rPr>
  </w:style>
  <w:style w:type="paragraph" w:customStyle="1" w:styleId="Normalaftertitle0">
    <w:name w:val="Normal after title"/>
    <w:basedOn w:val="Normal"/>
    <w:next w:val="Normal"/>
    <w:pPr>
      <w:overflowPunct/>
      <w:autoSpaceDE/>
      <w:autoSpaceDN/>
      <w:adjustRightInd/>
      <w:spacing w:before="320"/>
      <w:textAlignment w:val="auto"/>
    </w:p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pPr>
      <w:tabs>
        <w:tab w:val="num" w:pos="432"/>
      </w:tabs>
      <w:ind w:left="432" w:hanging="432"/>
    </w:pPr>
    <w:rPr>
      <w:szCs w:val="24"/>
    </w:rPr>
  </w:style>
  <w:style w:type="paragraph" w:customStyle="1" w:styleId="AnnexNo">
    <w:name w:val="Annex_No"/>
    <w:basedOn w:val="Normal"/>
    <w:next w:val="AnnexTitle"/>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tabs>
        <w:tab w:val="clear" w:pos="794"/>
        <w:tab w:val="clear" w:pos="1191"/>
        <w:tab w:val="clear" w:pos="1588"/>
        <w:tab w:val="clear" w:pos="1985"/>
      </w:tabs>
      <w:overflowPunct/>
      <w:autoSpaceDE/>
      <w:autoSpaceDN/>
      <w:adjustRightInd/>
      <w:ind w:left="1021"/>
      <w:textAlignment w:val="auto"/>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rPr>
  </w:style>
  <w:style w:type="paragraph" w:customStyle="1" w:styleId="NormalIndent1">
    <w:name w:val="Normal Indent1"/>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pPr>
      <w:jc w:val="both"/>
    </w:pPr>
    <w:rPr>
      <w:rFonts w:eastAsia="Batang"/>
      <w:lang w:eastAsia="ko-KR"/>
    </w:rPr>
  </w:style>
  <w:style w:type="character" w:customStyle="1" w:styleId="BodyText2Char">
    <w:name w:val="Body Text 2 Char"/>
    <w:basedOn w:val="DefaultParagraphFont"/>
    <w:link w:val="BodyText2"/>
    <w:locked/>
    <w:rPr>
      <w:rFonts w:eastAsia="Batang" w:cs="Times New Roman"/>
      <w:sz w:val="24"/>
      <w:lang w:val="en-GB" w:eastAsia="ko-KR" w:bidi="ar-SA"/>
    </w:rPr>
  </w:style>
  <w:style w:type="paragraph" w:customStyle="1" w:styleId="author">
    <w:name w:val="author"/>
    <w:basedOn w:val="Normal"/>
    <w:next w:val="Normal"/>
    <w:uiPriority w:val="99"/>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eastAsia="ko-KR"/>
    </w:rPr>
  </w:style>
  <w:style w:type="paragraph" w:customStyle="1" w:styleId="p1a">
    <w:name w:val="p1a"/>
    <w:basedOn w:val="Normal"/>
    <w:next w:val="Normal"/>
    <w:uiPriority w:val="99"/>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eastAsia="ko-KR"/>
    </w:rPr>
  </w:style>
  <w:style w:type="paragraph" w:customStyle="1" w:styleId="tabletitle">
    <w:name w:val="table title"/>
    <w:basedOn w:val="Normal"/>
    <w:next w:val="Normal"/>
    <w:uiPriority w:val="99"/>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eastAsia="ko-KR"/>
    </w:rPr>
  </w:style>
  <w:style w:type="paragraph" w:customStyle="1" w:styleId="a">
    <w:name w:val="正文 + 小四"/>
    <w:basedOn w:val="Normal"/>
    <w:uiPriority w:val="99"/>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Gulim"/>
      <w:szCs w:val="24"/>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rFonts w:eastAsia="Batang" w:cs="Times New Roman"/>
      <w:b/>
      <w:sz w:val="24"/>
      <w:lang w:val="en-GB" w:eastAsia="en-US" w:bidi="ar-SA"/>
    </w:rPr>
  </w:style>
  <w:style w:type="paragraph" w:styleId="MacroText">
    <w:name w:val="macro"/>
    <w:basedOn w:val="Normal"/>
    <w:link w:val="MacroTextChar"/>
    <w:uiPriority w:val="99"/>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a1">
    <w:name w:val="목록 단락"/>
    <w:basedOn w:val="Normal"/>
    <w:uiPriority w:val="99"/>
    <w:pPr>
      <w:ind w:leftChars="400" w:left="800"/>
    </w:pPr>
    <w:rPr>
      <w:rFonts w:eastAsia="Batang"/>
    </w:rPr>
  </w:style>
  <w:style w:type="paragraph" w:customStyle="1" w:styleId="Note1">
    <w:name w:val="Note 1"/>
    <w:basedOn w:val="Normal"/>
    <w:next w:val="Normal"/>
    <w:uiPriority w:val="99"/>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pPr>
      <w:autoSpaceDE w:val="0"/>
      <w:autoSpaceDN w:val="0"/>
      <w:adjustRightInd w:val="0"/>
    </w:pPr>
    <w:rPr>
      <w:rFonts w:ascii="Courier New" w:eastAsia="MS Mincho" w:hAnsi="Courier New"/>
    </w:rPr>
  </w:style>
  <w:style w:type="paragraph" w:customStyle="1" w:styleId="a2">
    <w:name w:val="수정"/>
    <w:hidden/>
    <w:uiPriority w:val="99"/>
    <w:semiHidden/>
    <w:rPr>
      <w:rFonts w:eastAsia="SimSun"/>
      <w:sz w:val="24"/>
      <w:lang w:val="en-GB"/>
    </w:rPr>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39"/>
    <w:qFormat/>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tabs>
        <w:tab w:val="clear" w:pos="794"/>
        <w:tab w:val="clear" w:pos="1191"/>
        <w:tab w:val="clear" w:pos="1588"/>
        <w:tab w:val="clear" w:pos="1985"/>
      </w:tabs>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rPr>
      <w:rFonts w:eastAsia="Batang"/>
    </w:rPr>
  </w:style>
  <w:style w:type="character" w:customStyle="1" w:styleId="BodyTextIndent2Char">
    <w:name w:val="Body Text Indent 2 Char"/>
    <w:basedOn w:val="DefaultParagraphFont"/>
    <w:link w:val="BodyTextIndent2"/>
    <w:locked/>
    <w:rPr>
      <w:rFonts w:eastAsia="Batang" w:cs="Times New Roman"/>
      <w:sz w:val="24"/>
      <w:lang w:val="en-GB" w:eastAsia="en-US"/>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overflowPunct/>
      <w:autoSpaceDE/>
      <w:autoSpaceDN/>
      <w:adjustRightInd/>
      <w:ind w:left="794"/>
      <w:textAlignment w:val="auto"/>
    </w:pPr>
    <w:rPr>
      <w:rFonts w:eastAsia="Batang"/>
    </w:rPr>
  </w:style>
  <w:style w:type="paragraph" w:customStyle="1" w:styleId="TableLegend0">
    <w:name w:val="Table_Legend"/>
    <w:basedOn w:val="TableText0"/>
    <w:uiPriority w:val="99"/>
    <w:pPr>
      <w:spacing w:before="120"/>
    </w:pPr>
    <w:rPr>
      <w:rFonts w:eastAsia="Batang"/>
    </w:rPr>
  </w:style>
  <w:style w:type="paragraph" w:customStyle="1" w:styleId="TableTitle0">
    <w:name w:val="Table_Title"/>
    <w:basedOn w:val="Normal"/>
    <w:next w:val="TableText0"/>
    <w:uiPriority w:val="99"/>
    <w:pPr>
      <w:keepNext/>
      <w:keepLines/>
      <w:tabs>
        <w:tab w:val="left" w:pos="2948"/>
        <w:tab w:val="left" w:pos="4082"/>
      </w:tabs>
      <w:overflowPunct/>
      <w:autoSpaceDE/>
      <w:autoSpaceDN/>
      <w:adjustRightInd/>
      <w:spacing w:before="480" w:after="120"/>
      <w:jc w:val="center"/>
      <w:textAlignment w:val="auto"/>
    </w:pPr>
    <w:rPr>
      <w:rFonts w:eastAsia="Batang"/>
      <w:b/>
    </w:rPr>
  </w:style>
  <w:style w:type="paragraph" w:customStyle="1" w:styleId="FigureLegend0">
    <w:name w:val="Figure_Legend"/>
    <w:basedOn w:val="Normal"/>
    <w:uiPriority w:val="99"/>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pPr>
      <w:overflowPunct/>
      <w:autoSpaceDE/>
      <w:autoSpaceDN/>
      <w:adjustRightInd/>
      <w:spacing w:before="480"/>
      <w:jc w:val="center"/>
      <w:textAlignment w:val="auto"/>
    </w:pPr>
    <w:rPr>
      <w:rFonts w:eastAsia="Batang"/>
      <w:caps/>
    </w:rPr>
  </w:style>
  <w:style w:type="paragraph" w:customStyle="1" w:styleId="RefText0">
    <w:name w:val="Ref_Text"/>
    <w:basedOn w:val="Normal"/>
    <w:uiPriority w:val="99"/>
    <w:pPr>
      <w:overflowPunct/>
      <w:autoSpaceDE/>
      <w:autoSpaceDN/>
      <w:adjustRightInd/>
      <w:ind w:left="794" w:hanging="794"/>
      <w:textAlignment w:val="auto"/>
    </w:pPr>
    <w:rPr>
      <w:rFonts w:eastAsia="Batang"/>
    </w:r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rPr>
      <w:rFonts w:eastAsia="Batang"/>
    </w:rPr>
  </w:style>
  <w:style w:type="paragraph" w:customStyle="1" w:styleId="RecTitle0">
    <w:name w:val="Rec_Title"/>
    <w:basedOn w:val="RecNo"/>
    <w:next w:val="RecRef0"/>
    <w:uiPriority w:val="99"/>
    <w:pPr>
      <w:overflowPunct/>
      <w:autoSpaceDE/>
      <w:autoSpaceDN/>
      <w:adjustRightInd/>
      <w:spacing w:before="240"/>
      <w:jc w:val="center"/>
      <w:textAlignment w:val="auto"/>
    </w:pPr>
    <w:rPr>
      <w:rFonts w:eastAsia="Batang"/>
    </w:r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overflowPunct/>
      <w:autoSpaceDE/>
      <w:autoSpaceDN/>
      <w:adjustRightInd/>
      <w:spacing w:before="160"/>
      <w:ind w:left="794"/>
      <w:textAlignment w:val="auto"/>
    </w:pPr>
    <w:rPr>
      <w:rFonts w:eastAsia="Batang"/>
      <w:i/>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rPr>
  </w:style>
  <w:style w:type="paragraph" w:customStyle="1" w:styleId="Part">
    <w:name w:val="Part"/>
    <w:basedOn w:val="Normal"/>
    <w:uiPriority w:val="9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rPr>
  </w:style>
  <w:style w:type="paragraph" w:customStyle="1" w:styleId="Keywords">
    <w:name w:val="Keywords"/>
    <w:basedOn w:val="Normal"/>
    <w:uiPriority w:val="99"/>
    <w:pPr>
      <w:tabs>
        <w:tab w:val="clear" w:pos="1191"/>
        <w:tab w:val="clear" w:pos="1588"/>
      </w:tabs>
      <w:overflowPunct/>
      <w:autoSpaceDE/>
      <w:autoSpaceDN/>
      <w:adjustRightInd/>
      <w:ind w:left="794" w:hanging="794"/>
      <w:textAlignment w:val="auto"/>
    </w:pPr>
    <w:rPr>
      <w:rFonts w:eastAsia="Batang"/>
    </w:rPr>
  </w:style>
  <w:style w:type="paragraph" w:customStyle="1" w:styleId="EquationLegend0">
    <w:name w:val="Equation_Legend"/>
    <w:basedOn w:val="Normal"/>
    <w:uiPriority w:val="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rPr>
  </w:style>
  <w:style w:type="paragraph" w:customStyle="1" w:styleId="Qlist">
    <w:name w:val="Qlist"/>
    <w:basedOn w:val="Normal"/>
    <w:uiPriority w:val="99"/>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overflowPunct/>
      <w:autoSpaceDE/>
      <w:autoSpaceDN/>
      <w:adjustRightInd/>
      <w:ind w:left="0" w:firstLine="0"/>
      <w:textAlignment w:val="auto"/>
      <w:outlineLvl w:val="9"/>
    </w:pPr>
    <w:rPr>
      <w:rFonts w:eastAsia="Batang"/>
      <w:b w:val="0"/>
      <w:i/>
    </w:rPr>
  </w:style>
  <w:style w:type="paragraph" w:customStyle="1" w:styleId="AppendixNo">
    <w:name w:val="Appendix_No"/>
    <w:basedOn w:val="AnnexNo"/>
    <w:next w:val="AppendixTitle"/>
    <w:rPr>
      <w:rFonts w:eastAsia="Batang"/>
      <w:szCs w:val="20"/>
    </w:rPr>
  </w:style>
  <w:style w:type="paragraph" w:customStyle="1" w:styleId="ArtHeading0">
    <w:name w:val="Art_Heading"/>
    <w:basedOn w:val="Normal"/>
    <w:next w:val="Normalaftertitle0"/>
    <w:uiPriority w:val="99"/>
    <w:pPr>
      <w:overflowPunct/>
      <w:autoSpaceDE/>
      <w:autoSpaceDN/>
      <w:adjustRightInd/>
      <w:spacing w:before="480"/>
      <w:jc w:val="center"/>
      <w:textAlignment w:val="auto"/>
    </w:pPr>
    <w:rPr>
      <w:rFonts w:eastAsia="Batang"/>
      <w:b/>
      <w:sz w:val="28"/>
    </w:rPr>
  </w:style>
  <w:style w:type="paragraph" w:customStyle="1" w:styleId="ArtTitle0">
    <w:name w:val="Art_Title"/>
    <w:basedOn w:val="Normal"/>
    <w:next w:val="Normalaftertitle0"/>
    <w:uiPriority w:val="99"/>
    <w:pPr>
      <w:overflowPunct/>
      <w:autoSpaceDE/>
      <w:autoSpaceDN/>
      <w:adjustRightInd/>
      <w:spacing w:before="240"/>
      <w:jc w:val="center"/>
      <w:textAlignment w:val="auto"/>
    </w:pPr>
    <w:rPr>
      <w:rFonts w:eastAsia="Batang"/>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pPr>
      <w:overflowPunct/>
      <w:autoSpaceDE/>
      <w:autoSpaceDN/>
      <w:adjustRightInd/>
      <w:textAlignment w:val="auto"/>
    </w:pPr>
    <w:rPr>
      <w:rFonts w:eastAsia="Batang"/>
      <w:sz w:val="28"/>
    </w:rPr>
  </w:style>
  <w:style w:type="paragraph" w:customStyle="1" w:styleId="sgmSPLML">
    <w:name w:val="sgmSPLML"/>
    <w:basedOn w:val="Normal"/>
    <w:uiPriority w:val="99"/>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rPr>
  </w:style>
  <w:style w:type="paragraph" w:customStyle="1" w:styleId="Table0">
    <w:name w:val="Table_#"/>
    <w:basedOn w:val="Normal"/>
    <w:next w:val="TableTitle0"/>
    <w:uiPriority w:val="99"/>
    <w:pPr>
      <w:keepNext/>
      <w:spacing w:before="560" w:after="120"/>
      <w:jc w:val="center"/>
    </w:pPr>
    <w:rPr>
      <w:rFonts w:eastAsia="Batang"/>
      <w:caps/>
    </w:rPr>
  </w:style>
  <w:style w:type="paragraph" w:customStyle="1" w:styleId="Fig">
    <w:name w:val="Fig"/>
    <w:basedOn w:val="Normal"/>
    <w:next w:val="Normal"/>
    <w:uiPriority w:val="99"/>
    <w:pPr>
      <w:spacing w:before="136"/>
      <w:jc w:val="center"/>
    </w:pPr>
    <w:rPr>
      <w:rFonts w:ascii="Arial" w:eastAsia="Batang" w:hAnsi="Arial"/>
      <w:sz w:val="20"/>
    </w:rPr>
  </w:style>
  <w:style w:type="paragraph" w:styleId="PlainText">
    <w:name w:val="Plain Text"/>
    <w:basedOn w:val="Normal"/>
    <w:link w:val="PlainTextChar"/>
    <w:uiPriority w:val="99"/>
    <w:pPr>
      <w:widowControl w:val="0"/>
      <w:tabs>
        <w:tab w:val="clear" w:pos="794"/>
        <w:tab w:val="clear" w:pos="1191"/>
        <w:tab w:val="clear" w:pos="1588"/>
        <w:tab w:val="clear" w:pos="1985"/>
      </w:tabs>
      <w:spacing w:before="0"/>
    </w:pPr>
    <w:rPr>
      <w:rFonts w:ascii="Courier New" w:eastAsia="Batang"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rFonts w:eastAsia="Batang"/>
      <w:b/>
      <w:sz w:val="20"/>
    </w:rPr>
  </w:style>
  <w:style w:type="paragraph" w:customStyle="1" w:styleId="Definition">
    <w:name w:val="Definition"/>
    <w:basedOn w:val="Normal"/>
    <w:uiPriority w:val="99"/>
    <w:pPr>
      <w:spacing w:before="136" w:line="260" w:lineRule="exact"/>
      <w:jc w:val="both"/>
    </w:pPr>
    <w:rPr>
      <w:rFonts w:eastAsia="Batang"/>
      <w:sz w:val="20"/>
    </w:rPr>
  </w:style>
  <w:style w:type="paragraph" w:customStyle="1" w:styleId="ASN1-Module">
    <w:name w:val="ASN1-Module"/>
    <w:basedOn w:val="Normal"/>
    <w:uiPriority w:val="99"/>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rPr>
  </w:style>
  <w:style w:type="paragraph" w:styleId="HTMLPreformatted">
    <w:name w:val="HTML Preformatted"/>
    <w:basedOn w:val="Normal"/>
    <w:link w:val="HTMLPreformattedChar"/>
    <w:uiPriority w:val="9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tabs>
        <w:tab w:val="clear" w:pos="794"/>
        <w:tab w:val="clear" w:pos="1191"/>
        <w:tab w:val="clear" w:pos="1588"/>
        <w:tab w:val="clear" w:pos="1985"/>
      </w:tabs>
      <w:overflowPunct/>
      <w:autoSpaceDE/>
      <w:autoSpaceDN/>
      <w:adjustRightInd/>
      <w:ind w:firstLine="432"/>
      <w:jc w:val="both"/>
      <w:textAlignment w:val="auto"/>
    </w:pPr>
    <w:rPr>
      <w:rFonts w:eastAsia="Batang"/>
    </w:rPr>
  </w:style>
  <w:style w:type="paragraph" w:customStyle="1" w:styleId="Annexref">
    <w:name w:val="Annex_ref"/>
    <w:basedOn w:val="Normal"/>
    <w:next w:val="Normal"/>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rPr>
  </w:style>
  <w:style w:type="paragraph" w:customStyle="1" w:styleId="Num-DocParagraph">
    <w:name w:val="Num-Doc Paragraph"/>
    <w:basedOn w:val="Normal"/>
    <w:uiPriority w:val="99"/>
    <w:rsid w:val="001C37A8"/>
    <w:pPr>
      <w:tabs>
        <w:tab w:val="clear" w:pos="794"/>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rPr>
  </w:style>
  <w:style w:type="paragraph" w:customStyle="1" w:styleId="Style1">
    <w:name w:val="Style1"/>
    <w:basedOn w:val="Normal"/>
    <w:uiPriority w:val="99"/>
    <w:pPr>
      <w:overflowPunct/>
      <w:autoSpaceDE/>
      <w:autoSpaceDN/>
      <w:adjustRightInd/>
      <w:ind w:left="927" w:hanging="360"/>
      <w:textAlignment w:val="auto"/>
    </w:pPr>
    <w:rPr>
      <w:rFonts w:eastAsia="Batang"/>
    </w:rPr>
  </w:style>
  <w:style w:type="paragraph" w:styleId="BlockText">
    <w:name w:val="Block Text"/>
    <w:basedOn w:val="Normal"/>
    <w:uiPriority w:val="99"/>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Normal"/>
    <w:uiPriority w:val="99"/>
    <w:rsid w:val="001C37A8"/>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hAnsi="Courier New"/>
      <w:b/>
      <w:noProof/>
      <w:spacing w:val="-2"/>
      <w:sz w:val="18"/>
      <w:szCs w:val="24"/>
      <w:lang w:eastAsia="en-US"/>
    </w:rPr>
  </w:style>
  <w:style w:type="paragraph" w:styleId="ListNumber2">
    <w:name w:val="List Number 2"/>
    <w:basedOn w:val="Normal"/>
    <w:uiPriority w:val="99"/>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pPr>
      <w:ind w:left="990" w:hanging="360"/>
    </w:pPr>
    <w:rPr>
      <w:rFonts w:eastAsia="Batang"/>
    </w:rPr>
  </w:style>
  <w:style w:type="paragraph" w:customStyle="1" w:styleId="EUListNumber2">
    <w:name w:val="EUList Number 2"/>
    <w:basedOn w:val="Normal"/>
    <w:uiPriority w:val="99"/>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pPr>
      <w:ind w:left="1287" w:hanging="360"/>
    </w:pPr>
    <w:rPr>
      <w:rFonts w:eastAsia="Batang"/>
    </w:rPr>
  </w:style>
  <w:style w:type="paragraph" w:styleId="ListBullet4">
    <w:name w:val="List Bullet 4"/>
    <w:basedOn w:val="Normal"/>
    <w:uiPriority w:val="99"/>
    <w:pPr>
      <w:ind w:left="1287" w:hanging="360"/>
    </w:pPr>
    <w:rPr>
      <w:rFonts w:eastAsia="Batang"/>
    </w:rPr>
  </w:style>
  <w:style w:type="paragraph" w:customStyle="1" w:styleId="NO">
    <w:name w:val="NO"/>
    <w:basedOn w:val="Normal"/>
    <w:uiPriority w:val="99"/>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pPr>
      <w:keepNext/>
      <w:numPr>
        <w:numId w:val="3"/>
      </w:numPr>
      <w:tabs>
        <w:tab w:val="clear" w:pos="643"/>
        <w:tab w:val="clear" w:pos="794"/>
        <w:tab w:val="clear" w:pos="1191"/>
        <w:tab w:val="clear" w:pos="1588"/>
        <w:tab w:val="clear" w:pos="1985"/>
      </w:tabs>
      <w:overflowPunct/>
      <w:autoSpaceDE/>
      <w:autoSpaceDN/>
      <w:adjustRightInd/>
      <w:spacing w:before="0"/>
      <w:textAlignment w:val="auto"/>
    </w:pPr>
    <w:rPr>
      <w:rFonts w:ascii="Trebuchet MS" w:eastAsia="Batang"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clear" w:pos="1588"/>
        <w:tab w:val="clear" w:pos="1985"/>
        <w:tab w:val="left" w:pos="1587"/>
        <w:tab w:val="left" w:pos="1984"/>
      </w:tabs>
      <w:overflowPunct/>
      <w:autoSpaceDE/>
      <w:autoSpaceDN/>
      <w:adjustRightInd/>
      <w:spacing w:before="360" w:after="120"/>
      <w:textAlignment w:val="auto"/>
    </w:pPr>
    <w:rPr>
      <w:rFonts w:eastAsia="Batang"/>
      <w:b/>
      <w:bCs/>
      <w:szCs w:val="32"/>
    </w:rPr>
  </w:style>
  <w:style w:type="paragraph" w:customStyle="1" w:styleId="TABLE">
    <w:name w:val="TABLE"/>
    <w:basedOn w:val="BodyTextIndent"/>
    <w:next w:val="BodyTextFirstIndent"/>
    <w:autoRedefine/>
    <w:uiPriority w:val="99"/>
    <w:pPr>
      <w:widowControl w:val="0"/>
      <w:numPr>
        <w:numId w:val="4"/>
      </w:numPr>
      <w:tabs>
        <w:tab w:val="num" w:pos="719"/>
      </w:tabs>
      <w:autoSpaceDE/>
      <w:autoSpaceDN/>
      <w:adjustRightInd/>
      <w:spacing w:before="240" w:after="120"/>
      <w:jc w:val="center"/>
    </w:pPr>
    <w:rPr>
      <w:rFonts w:eastAsia="Batang"/>
      <w:b/>
      <w:szCs w:val="24"/>
      <w:lang w:val="en-GB"/>
    </w:rPr>
  </w:style>
  <w:style w:type="paragraph" w:styleId="BodyTextFirstIndent">
    <w:name w:val="Body Text First Indent"/>
    <w:basedOn w:val="Normal"/>
    <w:link w:val="BodyTextFirstIndentChar"/>
    <w:rsid w:val="001C37A8"/>
    <w:pPr>
      <w:tabs>
        <w:tab w:val="clear" w:pos="1588"/>
        <w:tab w:val="clear" w:pos="1985"/>
        <w:tab w:val="left" w:pos="1587"/>
        <w:tab w:val="left" w:pos="1984"/>
      </w:tabs>
      <w:overflowPunct/>
      <w:autoSpaceDE/>
      <w:autoSpaceDN/>
      <w:adjustRightInd/>
      <w:spacing w:before="136" w:after="120"/>
      <w:ind w:firstLine="210"/>
      <w:jc w:val="both"/>
      <w:textAlignment w:val="auto"/>
    </w:pPr>
    <w:rPr>
      <w:sz w:val="20"/>
      <w:szCs w:val="24"/>
      <w:lang w:val="en-GB"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pPr>
      <w:tabs>
        <w:tab w:val="num" w:pos="900"/>
      </w:tabs>
      <w:textAlignment w:val="auto"/>
    </w:pPr>
    <w:rPr>
      <w:rFonts w:eastAsia="Batang"/>
      <w:b/>
      <w:bCs/>
      <w:sz w:val="22"/>
      <w:szCs w:val="24"/>
    </w:rPr>
  </w:style>
  <w:style w:type="paragraph" w:styleId="BodyTextIndent3">
    <w:name w:val="Body Text Indent 3"/>
    <w:basedOn w:val="Normal"/>
    <w:link w:val="BodyTextIndent3Char"/>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character" w:customStyle="1" w:styleId="BodyTextIndent3Char">
    <w:name w:val="Body Text Indent 3 Char"/>
    <w:basedOn w:val="DefaultParagraphFont"/>
    <w:link w:val="BodyTextIndent3"/>
    <w:locked/>
    <w:rPr>
      <w:rFonts w:eastAsia="Batang" w:cs="Times New Roman"/>
      <w:sz w:val="24"/>
      <w:szCs w:val="24"/>
      <w:lang w:val="en-GB" w:eastAsia="en-US"/>
    </w:rPr>
  </w:style>
  <w:style w:type="paragraph" w:customStyle="1" w:styleId="Appendixtitle0">
    <w:name w:val="Appendix_title"/>
    <w:basedOn w:val="AnnexTitle"/>
    <w:next w:val="Normalaftertitle0"/>
    <w:pPr>
      <w:spacing w:before="240" w:after="280"/>
    </w:pPr>
    <w:rPr>
      <w:rFonts w:eastAsia="Batang"/>
      <w:sz w:val="28"/>
      <w:u w:val="none"/>
    </w:rPr>
  </w:style>
  <w:style w:type="paragraph" w:customStyle="1" w:styleId="List1">
    <w:name w:val="List1"/>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eastAsia="ko-KR"/>
    </w:rPr>
  </w:style>
  <w:style w:type="paragraph" w:customStyle="1" w:styleId="a5">
    <w:name w:val="連番１"/>
    <w:basedOn w:val="Normal"/>
    <w:uiPriority w:val="99"/>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counciltitle">
    <w:name w:val="council_tit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Title10">
    <w:name w:val="Title1"/>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opritems">
    <w:name w:val="topritems"/>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rPr>
  </w:style>
  <w:style w:type="paragraph" w:customStyle="1" w:styleId="topritems2">
    <w:name w:val="topritems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rPr>
  </w:style>
  <w:style w:type="paragraph" w:customStyle="1" w:styleId="ulink">
    <w:name w:val="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rPr>
  </w:style>
  <w:style w:type="paragraph" w:customStyle="1" w:styleId="artab">
    <w:name w:val="ar_ta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rPr>
  </w:style>
  <w:style w:type="paragraph" w:customStyle="1" w:styleId="arulink">
    <w:name w:val="ar_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rPr>
  </w:style>
  <w:style w:type="paragraph" w:customStyle="1" w:styleId="arb2link">
    <w:name w:val="ar_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rPr>
  </w:style>
  <w:style w:type="paragraph" w:customStyle="1" w:styleId="iturlink">
    <w:name w:val="itur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rPr>
  </w:style>
  <w:style w:type="paragraph" w:customStyle="1" w:styleId="itutlink">
    <w:name w:val="itut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rPr>
  </w:style>
  <w:style w:type="paragraph" w:customStyle="1" w:styleId="itudlink">
    <w:name w:val="itud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rPr>
  </w:style>
  <w:style w:type="paragraph" w:customStyle="1" w:styleId="telecomlink">
    <w:name w:val="teleco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rPr>
  </w:style>
  <w:style w:type="paragraph" w:customStyle="1" w:styleId="blink">
    <w:name w:val="b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b2link">
    <w:name w:val="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rPr>
  </w:style>
  <w:style w:type="paragraph" w:customStyle="1" w:styleId="lmlink">
    <w:name w:val="l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rPr>
  </w:style>
  <w:style w:type="paragraph" w:customStyle="1" w:styleId="lm2link">
    <w:name w:val="lm2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nlink">
    <w:name w:val="n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newslink">
    <w:name w:val="itunews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oteritems">
    <w:name w:val="footeritems"/>
    <w:basedOn w:val="Normal"/>
    <w:uiPriority w:val="99"/>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rPr>
  </w:style>
  <w:style w:type="paragraph" w:customStyle="1" w:styleId="councilbluebullet">
    <w:name w:val="council_blue_bullet"/>
    <w:basedOn w:val="Normal"/>
    <w:uiPriority w:val="99"/>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rPr>
  </w:style>
  <w:style w:type="paragraph" w:customStyle="1" w:styleId="councilcircle">
    <w:name w:val="council_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bluebullet">
    <w:name w:val="blue_bullet"/>
    <w:basedOn w:val="Normal"/>
    <w:uiPriority w:val="99"/>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rPr>
  </w:style>
  <w:style w:type="paragraph" w:customStyle="1" w:styleId="circle">
    <w:name w:val="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parasmall">
    <w:name w:val="parasmall"/>
    <w:basedOn w:val="Normal"/>
    <w:uiPriority w:val="99"/>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rPr>
  </w:style>
  <w:style w:type="paragraph" w:customStyle="1" w:styleId="artitle">
    <w:name w:val="ar_title"/>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rPr>
  </w:style>
  <w:style w:type="paragraph" w:customStyle="1" w:styleId="arpara">
    <w:name w:val="ar_para"/>
    <w:basedOn w:val="Normal"/>
    <w:uiPriority w:val="9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rPr>
  </w:style>
  <w:style w:type="paragraph" w:customStyle="1" w:styleId="plist">
    <w:name w:val="plist"/>
    <w:basedOn w:val="Normal"/>
    <w:uiPriority w:val="99"/>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rPr>
  </w:style>
  <w:style w:type="paragraph" w:customStyle="1" w:styleId="nlist">
    <w:name w:val="n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rPr>
  </w:style>
  <w:style w:type="paragraph" w:customStyle="1" w:styleId="itunewslist">
    <w:name w:val="itunews_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rPr>
  </w:style>
  <w:style w:type="paragraph" w:customStyle="1" w:styleId="slist">
    <w:name w:val="s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rPr>
  </w:style>
  <w:style w:type="paragraph" w:customStyle="1" w:styleId="newsroom">
    <w:name w:val="newsroom"/>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rPr>
  </w:style>
  <w:style w:type="paragraph" w:customStyle="1" w:styleId="wrc">
    <w:name w:val="wr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uttondisplay">
    <w:name w:val="button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buttonsearch">
    <w:name w:val="buttonsearch"/>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formdisplay">
    <w:name w:val="form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go">
    <w:name w:val="go"/>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ch-blue-red">
    <w:name w:val="ch-blue-red"/>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blue">
    <w:name w:val="t-blu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globe">
    <w:name w:val="glob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l">
    <w:name w:val="globe-l"/>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t">
    <w:name w:val="globe-t"/>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menu">
    <w:name w:val="itumenu"/>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rPr>
  </w:style>
  <w:style w:type="paragraph" w:customStyle="1" w:styleId="navleft">
    <w:name w:val="navleft"/>
    <w:basedOn w:val="Normal"/>
    <w:uiPriority w:val="9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rPr>
  </w:style>
  <w:style w:type="paragraph" w:customStyle="1" w:styleId="locator">
    <w:name w:val="locator"/>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rPr>
  </w:style>
  <w:style w:type="paragraph" w:customStyle="1" w:styleId="tsize8pt">
    <w:name w:val="tsize8p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smalltext">
    <w:name w:val="smalltex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bulletlist-blue">
    <w:name w:val="bullet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bulletlist-red">
    <w:name w:val="bullet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blue">
    <w:name w:val="arrow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red">
    <w:name w:val="arrow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pdivider">
    <w:name w:val="pdivider"/>
    <w:basedOn w:val="Normal"/>
    <w:uiPriority w:val="9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rPr>
  </w:style>
  <w:style w:type="paragraph" w:customStyle="1" w:styleId="pj">
    <w:name w:val="pj"/>
    <w:basedOn w:val="Normal"/>
    <w:uiPriority w:val="9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rPr>
  </w:style>
  <w:style w:type="paragraph" w:customStyle="1" w:styleId="pml-40">
    <w:name w:val="pml-40"/>
    <w:basedOn w:val="Normal"/>
    <w:uiPriority w:val="9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rPr>
  </w:style>
  <w:style w:type="paragraph" w:customStyle="1" w:styleId="subfolderstyle">
    <w:name w:val="subfoldersty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1">
    <w:name w:val="subfolderstyle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generic">
    <w:name w:val="awmgeneri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0">
    <w:name w:val="awmst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0">
    <w:name w:val="awmsttd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0">
    <w:name w:val="awmst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0">
    <w:name w:val="awmstc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1">
    <w:name w:val="awmst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1">
    <w:name w:val="awmsttd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1">
    <w:name w:val="awmstc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2">
    <w:name w:val="awmsttd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3">
    <w:name w:val="awmst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3">
    <w:name w:val="awmsttd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3">
    <w:name w:val="awmstc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4">
    <w:name w:val="awmsttd4"/>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5">
    <w:name w:val="awmsttd5"/>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6">
    <w:name w:val="awmst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td6">
    <w:name w:val="awmsttd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6">
    <w:name w:val="awmstc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7">
    <w:name w:val="awmst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7">
    <w:name w:val="awmsttd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7">
    <w:name w:val="awmstc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2">
    <w:name w:val="subfolderstyle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rPr>
      <w:b/>
      <w:bCs/>
    </w:rPr>
  </w:style>
  <w:style w:type="paragraph" w:customStyle="1" w:styleId="LSForInfo">
    <w:name w:val="LSForInfo"/>
    <w:basedOn w:val="LSForAction"/>
  </w:style>
  <w:style w:type="paragraph" w:customStyle="1" w:styleId="LSForComment">
    <w:name w:val="LSForComment"/>
    <w:basedOn w:val="LSForAction"/>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tabs>
        <w:tab w:val="clear" w:pos="794"/>
        <w:tab w:val="clear" w:pos="1191"/>
        <w:tab w:val="clear" w:pos="1588"/>
        <w:tab w:val="clear" w:pos="1985"/>
      </w:tabs>
      <w:overflowPunct/>
      <w:autoSpaceDE/>
      <w:autoSpaceDN/>
      <w:adjustRightInd/>
      <w:spacing w:before="60"/>
      <w:textAlignment w:val="auto"/>
    </w:pPr>
    <w:rPr>
      <w:rFonts w:eastAsia="SimSun"/>
      <w:b/>
      <w:szCs w:val="24"/>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Title20">
    <w:name w:val="Title2"/>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StyleCaption12pt">
    <w:name w:val="Style Caption + 12 pt"/>
    <w:basedOn w:val="Caption"/>
    <w:rsid w:val="00C1421E"/>
  </w:style>
  <w:style w:type="paragraph" w:customStyle="1" w:styleId="LSDeadline">
    <w:name w:val="LSDeadline"/>
    <w:basedOn w:val="Normal"/>
    <w:rPr>
      <w:rFonts w:eastAsia="MS Mincho"/>
      <w:b/>
      <w:bCs/>
      <w:lang w:val="en-GB" w:eastAsia="en-US"/>
    </w:rPr>
  </w:style>
  <w:style w:type="paragraph" w:customStyle="1" w:styleId="LSSource">
    <w:name w:val="LSSource"/>
    <w:basedOn w:val="Normal"/>
    <w:rPr>
      <w:rFonts w:eastAsia="MS Mincho"/>
      <w:b/>
      <w:bCs/>
      <w:lang w:val="en-GB" w:eastAsia="en-U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pPr>
      <w:keepNext/>
      <w:keepLines/>
      <w:spacing w:before="720"/>
      <w:jc w:val="center"/>
    </w:pPr>
    <w:rPr>
      <w:rFonts w:eastAsiaTheme="minorEastAsia"/>
      <w:b/>
      <w:sz w:val="28"/>
      <w:lang w:val="en-GB"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val="en-GB" w:eastAsia="en-US"/>
    </w:rPr>
  </w:style>
  <w:style w:type="character" w:customStyle="1" w:styleId="DateChar">
    <w:name w:val="Date Char"/>
    <w:basedOn w:val="DefaultParagraphFont"/>
    <w:link w:val="Date"/>
    <w:rPr>
      <w:rFonts w:eastAsia="MS Mincho"/>
      <w:sz w:val="24"/>
      <w:lang w:val="en-GB" w:eastAsia="en-US"/>
    </w:rPr>
  </w:style>
  <w:style w:type="paragraph" w:customStyle="1" w:styleId="a6">
    <w:name w:val="連番２"/>
    <w:basedOn w:val="a5"/>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szCs w:val="24"/>
      <w:lang w:eastAsia="ja-JP"/>
    </w:rPr>
  </w:style>
  <w:style w:type="paragraph" w:customStyle="1" w:styleId="FigureNoTitle0">
    <w:name w:val="Figure_NoTitle"/>
    <w:basedOn w:val="Normal"/>
    <w:next w:val="Normalaftertitle"/>
    <w:pPr>
      <w:keepLines/>
      <w:spacing w:before="240" w:after="120"/>
      <w:jc w:val="center"/>
    </w:pPr>
    <w:rPr>
      <w:rFonts w:eastAsia="MS Mincho"/>
      <w:b/>
      <w:lang w:val="en-GB" w:eastAsia="en-US"/>
    </w:rPr>
  </w:style>
  <w:style w:type="paragraph" w:customStyle="1" w:styleId="a7">
    <w:name w:val="列项·"/>
    <w:pPr>
      <w:tabs>
        <w:tab w:val="num" w:pos="432"/>
        <w:tab w:val="left" w:pos="840"/>
      </w:tabs>
      <w:ind w:left="432" w:hanging="432"/>
      <w:jc w:val="both"/>
    </w:pPr>
    <w:rPr>
      <w:rFonts w:ascii="SimSun" w:eastAsia="SimSun"/>
      <w:sz w:val="21"/>
    </w:rPr>
  </w:style>
  <w:style w:type="paragraph" w:customStyle="1" w:styleId="MEP">
    <w:name w:val="MEP"/>
    <w:basedOn w:val="Normal"/>
    <w:pPr>
      <w:overflowPunct/>
      <w:autoSpaceDE/>
      <w:autoSpaceDN/>
      <w:adjustRightInd/>
      <w:spacing w:before="0"/>
      <w:textAlignment w:val="auto"/>
    </w:pPr>
    <w:rPr>
      <w:rFonts w:eastAsia="MS Mincho"/>
      <w:sz w:val="20"/>
      <w:szCs w:val="24"/>
      <w:lang w:eastAsia="en-US"/>
    </w:rPr>
  </w:style>
  <w:style w:type="paragraph" w:customStyle="1" w:styleId="ListOfAnswers1">
    <w:name w:val="ListOfAnswers1"/>
    <w:basedOn w:val="Normal"/>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rPr>
  </w:style>
  <w:style w:type="paragraph" w:customStyle="1" w:styleId="Indent">
    <w:name w:val="Indent"/>
    <w:basedOn w:val="Normal"/>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eastAsia="en-US"/>
    </w:rPr>
  </w:style>
  <w:style w:type="paragraph" w:customStyle="1" w:styleId="EX">
    <w:name w:val="EX"/>
    <w:basedOn w:val="Normal"/>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rPr>
  </w:style>
  <w:style w:type="paragraph" w:customStyle="1" w:styleId="reference">
    <w:name w:val="reference"/>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xsref">
    <w:name w:val="xsref"/>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NPNormal">
    <w:name w:val="NPNormal"/>
    <w:basedOn w:val="Normal"/>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eastAsia="en-US"/>
    </w:rPr>
  </w:style>
  <w:style w:type="paragraph" w:customStyle="1" w:styleId="AnnexHeading1">
    <w:name w:val="AnnexHeading 1"/>
    <w:basedOn w:val="Normal"/>
    <w:next w:val="Normal"/>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eastAsia="en-US"/>
    </w:rPr>
  </w:style>
  <w:style w:type="paragraph" w:customStyle="1" w:styleId="AnnexHeading2">
    <w:name w:val="AnnexHeading 2"/>
    <w:basedOn w:val="Normal"/>
    <w:next w:val="Normal"/>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eastAsia="en-US"/>
    </w:rPr>
  </w:style>
  <w:style w:type="paragraph" w:customStyle="1" w:styleId="AnnexHeading4">
    <w:name w:val="AnnexHeading 4"/>
    <w:basedOn w:val="Normal"/>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eastAsia="en-US"/>
    </w:rPr>
  </w:style>
  <w:style w:type="paragraph" w:customStyle="1" w:styleId="CM14">
    <w:name w:val="CM14"/>
    <w:basedOn w:val="Normal"/>
    <w:next w:val="Normal"/>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eastAsia="zh-TW"/>
    </w:rPr>
  </w:style>
  <w:style w:type="paragraph" w:customStyle="1" w:styleId="CM16">
    <w:name w:val="CM16"/>
    <w:basedOn w:val="Normal"/>
    <w:next w:val="Normal"/>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eastAsia="zh-TW"/>
    </w:rPr>
  </w:style>
  <w:style w:type="paragraph" w:customStyle="1" w:styleId="ISOComments">
    <w:name w:val="ISO_Comments"/>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hange">
    <w:name w:val="ISO_Change"/>
    <w:basedOn w:val="Normal"/>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SecretObservations">
    <w:name w:val="ISO_Secret_Observations"/>
    <w:basedOn w:val="Normal"/>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lause">
    <w:name w:val="ISO_Clause"/>
    <w:basedOn w:val="Normal"/>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Paragraph">
    <w:name w:val="ISO_Paragraph"/>
    <w:basedOn w:val="Normal"/>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ommType">
    <w:name w:val="ISO_Comm_Type"/>
    <w:basedOn w:val="Normal"/>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TERM-number">
    <w:name w:val="TERM-number"/>
    <w:basedOn w:val="Heading2"/>
    <w:next w:val="Normal"/>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rPr>
  </w:style>
  <w:style w:type="paragraph" w:customStyle="1" w:styleId="CodeFragment">
    <w:name w:val="Code Fragment"/>
    <w:basedOn w:val="Normal"/>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eastAsia="en-US"/>
    </w:rPr>
  </w:style>
  <w:style w:type="paragraph" w:customStyle="1" w:styleId="Cpara">
    <w:name w:val="C para"/>
    <w:basedOn w:val="Normal"/>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lang w:val="en-GB"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pPr>
      <w:tabs>
        <w:tab w:val="num" w:pos="720"/>
      </w:tabs>
      <w:ind w:left="720" w:hanging="360"/>
    </w:pPr>
    <w:rPr>
      <w:rFonts w:eastAsia="MS Mincho"/>
      <w:lang w:val="en-GB" w:eastAsia="en-US"/>
    </w:rPr>
  </w:style>
  <w:style w:type="paragraph" w:customStyle="1" w:styleId="ISOMB">
    <w:name w:val="ISO_MB"/>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lang w:val="en-GB" w:eastAsia="en-US"/>
    </w:rPr>
  </w:style>
  <w:style w:type="paragraph" w:customStyle="1" w:styleId="AnnexClause3">
    <w:name w:val="Annex Clause 3"/>
    <w:basedOn w:val="Normal"/>
    <w:autoRedefin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eastAsia="en-US"/>
    </w:rPr>
  </w:style>
  <w:style w:type="paragraph" w:customStyle="1" w:styleId="TERM-definition">
    <w:name w:val="TERM-definition"/>
    <w:basedOn w:val="Normal"/>
    <w:next w:val="TERM-number"/>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val="en-GB"/>
    </w:rPr>
  </w:style>
  <w:style w:type="paragraph" w:customStyle="1" w:styleId="Heading">
    <w:name w:val="Heading"/>
    <w:basedOn w:val="Normal"/>
    <w:next w:val="Normal"/>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eastAsia="en-US"/>
    </w:rPr>
  </w:style>
  <w:style w:type="paragraph" w:customStyle="1" w:styleId="Index">
    <w:name w:val="Index"/>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eastAsia="en-US"/>
    </w:rPr>
  </w:style>
  <w:style w:type="paragraph" w:customStyle="1" w:styleId="TableContents">
    <w:name w:val="Table Contents"/>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eastAsia="en-US"/>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eastAsia="Batang" w:hAnsi="Times New Roman Bold"/>
      <w:b/>
      <w:sz w:val="28"/>
      <w:lang w:val="en-GB" w:eastAsia="en-US"/>
    </w:rPr>
  </w:style>
  <w:style w:type="character" w:customStyle="1" w:styleId="ms-rteforecolor-2">
    <w:name w:val="ms-rteforecolor-2"/>
  </w:style>
  <w:style w:type="paragraph" w:customStyle="1" w:styleId="Docnumber">
    <w:name w:val="Docnumber"/>
    <w:basedOn w:val="Normal"/>
    <w:link w:val="DocnumberChar"/>
    <w:qFormat/>
    <w:rsid w:val="006F110A"/>
    <w:pPr>
      <w:jc w:val="right"/>
    </w:pPr>
    <w:rPr>
      <w:rFonts w:asciiTheme="majorBidi" w:eastAsia="SimSun" w:hAnsiTheme="majorBidi" w:cstheme="majorBidi"/>
      <w:b/>
      <w:sz w:val="32"/>
      <w:szCs w:val="32"/>
      <w:lang w:val="en-GB"/>
    </w:rPr>
  </w:style>
  <w:style w:type="character" w:customStyle="1" w:styleId="DocnumberChar">
    <w:name w:val="Docnumber Char"/>
    <w:link w:val="Docnumber"/>
    <w:rsid w:val="006F110A"/>
    <w:rPr>
      <w:rFonts w:asciiTheme="majorBidi" w:eastAsia="SimSun" w:hAnsiTheme="majorBidi" w:cstheme="majorBidi"/>
      <w:b/>
      <w:sz w:val="32"/>
      <w:szCs w:val="32"/>
      <w:lang w:val="en-GB"/>
    </w:rPr>
  </w:style>
  <w:style w:type="paragraph" w:styleId="Index7">
    <w:name w:val="index 7"/>
    <w:basedOn w:val="Normal"/>
    <w:next w:val="Normal"/>
    <w:pPr>
      <w:ind w:left="1698"/>
    </w:pPr>
    <w:rPr>
      <w:lang w:val="en-GB" w:eastAsia="en-US"/>
    </w:rPr>
  </w:style>
  <w:style w:type="paragraph" w:styleId="Index6">
    <w:name w:val="index 6"/>
    <w:basedOn w:val="Normal"/>
    <w:next w:val="Normal"/>
    <w:pPr>
      <w:ind w:left="1415"/>
    </w:pPr>
    <w:rPr>
      <w:lang w:val="en-GB" w:eastAsia="en-US"/>
    </w:rPr>
  </w:style>
  <w:style w:type="paragraph" w:customStyle="1" w:styleId="Appendixref0">
    <w:name w:val="Appendix_ref"/>
    <w:basedOn w:val="Normal"/>
    <w:next w:val="Normal"/>
    <w:pPr>
      <w:keepNext/>
      <w:keepLines/>
      <w:spacing w:after="280"/>
      <w:jc w:val="center"/>
    </w:pPr>
    <w:rPr>
      <w:lang w:val="en-GB"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val="en-GB" w:eastAsia="en-US"/>
    </w:rPr>
  </w:style>
  <w:style w:type="paragraph" w:customStyle="1" w:styleId="TableNo">
    <w:name w:val="Table_No"/>
    <w:basedOn w:val="Normal"/>
    <w:next w:val="Tabletitle1"/>
    <w:pPr>
      <w:keepNext/>
      <w:spacing w:before="560" w:after="120"/>
      <w:jc w:val="center"/>
    </w:pPr>
    <w:rPr>
      <w:caps/>
      <w:lang w:val="en-GB"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val="en-GB"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val="en-GB" w:eastAsia="en-US"/>
    </w:rPr>
  </w:style>
  <w:style w:type="paragraph" w:customStyle="1" w:styleId="Abstract">
    <w:name w:val="Abstract"/>
    <w:basedOn w:val="Normal"/>
    <w:pPr>
      <w:tabs>
        <w:tab w:val="clear" w:pos="794"/>
        <w:tab w:val="clear" w:pos="1191"/>
        <w:tab w:val="clear" w:pos="1588"/>
        <w:tab w:val="clear" w:pos="1985"/>
        <w:tab w:val="left" w:pos="1134"/>
        <w:tab w:val="left" w:pos="1871"/>
        <w:tab w:val="left" w:pos="2268"/>
      </w:tabs>
    </w:pPr>
    <w:rPr>
      <w:lang w:eastAsia="en-US"/>
    </w:rPr>
  </w:style>
  <w:style w:type="paragraph" w:customStyle="1" w:styleId="Agendaitem">
    <w:name w:val="Agenda_item"/>
    <w:basedOn w:val="Normal"/>
    <w:next w:val="Normal"/>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eastAsia="en-US"/>
    </w:rPr>
  </w:style>
  <w:style w:type="paragraph" w:customStyle="1" w:styleId="FigureNo">
    <w:name w:val="Figure_No"/>
    <w:basedOn w:val="Normal"/>
    <w:next w:val="Normal"/>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eastAsia="en-US"/>
    </w:rPr>
  </w:style>
  <w:style w:type="paragraph" w:customStyle="1" w:styleId="Figuretitle0">
    <w:name w:val="Figure_title"/>
    <w:basedOn w:val="Normal"/>
    <w:next w:val="Normal"/>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eastAsia="en-US"/>
    </w:rPr>
  </w:style>
  <w:style w:type="paragraph" w:customStyle="1" w:styleId="Committee">
    <w:name w:val="Committee"/>
    <w:basedOn w:val="Normal"/>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eastAsia="en-US"/>
    </w:rPr>
  </w:style>
  <w:style w:type="paragraph" w:customStyle="1" w:styleId="Section3">
    <w:name w:val="Section_3"/>
    <w:basedOn w:val="Section1"/>
    <w:pPr>
      <w:tabs>
        <w:tab w:val="center" w:pos="4820"/>
      </w:tabs>
      <w:spacing w:before="360"/>
    </w:pPr>
    <w:rPr>
      <w:b w:val="0"/>
      <w:lang w:val="en-GB"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b/>
      <w:lang w:val="en-GB" w:eastAsia="en-US"/>
    </w:rPr>
  </w:style>
  <w:style w:type="paragraph" w:customStyle="1" w:styleId="Reasons">
    <w:name w:val="Reasons"/>
    <w:basedOn w:val="Normal"/>
    <w:pPr>
      <w:tabs>
        <w:tab w:val="clear" w:pos="794"/>
        <w:tab w:val="clear" w:pos="1191"/>
        <w:tab w:val="left" w:pos="1134"/>
      </w:tabs>
    </w:pPr>
    <w:rPr>
      <w:lang w:val="en-GB" w:eastAsia="en-US"/>
    </w:rPr>
  </w:style>
  <w:style w:type="paragraph" w:customStyle="1" w:styleId="Volumetitle">
    <w:name w:val="Volume_title"/>
    <w:basedOn w:val="Normal"/>
    <w:pPr>
      <w:tabs>
        <w:tab w:val="clear" w:pos="794"/>
        <w:tab w:val="clear" w:pos="1191"/>
        <w:tab w:val="clear" w:pos="1588"/>
        <w:tab w:val="clear" w:pos="1985"/>
        <w:tab w:val="left" w:pos="1134"/>
        <w:tab w:val="left" w:pos="1871"/>
        <w:tab w:val="left" w:pos="2268"/>
      </w:tabs>
      <w:jc w:val="center"/>
    </w:pPr>
    <w:rPr>
      <w:b/>
      <w:bCs/>
      <w:sz w:val="28"/>
      <w:szCs w:val="28"/>
      <w:lang w:val="en-GB" w:eastAsia="en-US"/>
    </w:rPr>
  </w:style>
  <w:style w:type="paragraph" w:customStyle="1" w:styleId="Part1">
    <w:name w:val="Part_1"/>
    <w:basedOn w:val="Section1"/>
    <w:next w:val="Section1"/>
    <w:pPr>
      <w:tabs>
        <w:tab w:val="center" w:pos="4820"/>
      </w:tabs>
      <w:spacing w:before="360"/>
    </w:pPr>
    <w:rPr>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pPr>
      <w:tabs>
        <w:tab w:val="clear" w:pos="794"/>
        <w:tab w:val="clear" w:pos="1191"/>
        <w:tab w:val="clear" w:pos="1588"/>
        <w:tab w:val="clear" w:pos="1985"/>
      </w:tabs>
      <w:overflowPunct/>
      <w:autoSpaceDE/>
      <w:autoSpaceDN/>
      <w:adjustRightInd/>
      <w:spacing w:before="0"/>
      <w:jc w:val="center"/>
      <w:textAlignment w:val="auto"/>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Headingib">
    <w:name w:val="Heading_ib"/>
    <w:basedOn w:val="Headingi"/>
    <w:next w:val="Normal"/>
    <w:qFormat/>
    <w:rsid w:val="00C1421E"/>
    <w:rPr>
      <w:rFonts w:eastAsiaTheme="minorHAnsi"/>
      <w:b/>
      <w:bCs/>
      <w:lang w:eastAsia="ja-JP"/>
    </w:rPr>
  </w:style>
  <w:style w:type="paragraph" w:customStyle="1" w:styleId="NormalITU">
    <w:name w:val="Normal_ITU"/>
    <w:basedOn w:val="Normal"/>
    <w:pPr>
      <w:tabs>
        <w:tab w:val="clear" w:pos="794"/>
        <w:tab w:val="clear" w:pos="1191"/>
        <w:tab w:val="clear" w:pos="1588"/>
        <w:tab w:val="clear" w:pos="1985"/>
      </w:tabs>
      <w:overflowPunct/>
      <w:textAlignment w:val="auto"/>
    </w:pPr>
    <w:rPr>
      <w:rFonts w:eastAsia="MS Mincho" w:cs="Arial"/>
      <w:lang w:eastAsia="en-US"/>
    </w:rPr>
  </w:style>
  <w:style w:type="table" w:customStyle="1" w:styleId="ListTable4-Accent11">
    <w:name w:val="List Table 4 - Accent 11"/>
    <w:basedOn w:val="TableNormal"/>
    <w:uiPriority w:val="49"/>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customStyle="1" w:styleId="authorintro">
    <w:name w:val="authorintro"/>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tabs>
        <w:tab w:val="clear" w:pos="794"/>
        <w:tab w:val="clear" w:pos="1191"/>
        <w:tab w:val="clear" w:pos="1588"/>
        <w:tab w:val="clear" w:pos="1985"/>
      </w:tabs>
      <w:spacing w:before="0"/>
      <w:ind w:left="1920" w:hanging="240"/>
    </w:pPr>
  </w:style>
  <w:style w:type="paragraph" w:styleId="Index9">
    <w:name w:val="index 9"/>
    <w:basedOn w:val="Normal"/>
    <w:next w:val="Normal"/>
    <w:autoRedefine/>
    <w:uiPriority w:val="99"/>
    <w:semiHidden/>
    <w:unhideWhenUsed/>
    <w:rsid w:val="00C1421E"/>
    <w:pPr>
      <w:tabs>
        <w:tab w:val="clear" w:pos="794"/>
        <w:tab w:val="clear" w:pos="1191"/>
        <w:tab w:val="clear" w:pos="1588"/>
        <w:tab w:val="clear" w:pos="1985"/>
      </w:tabs>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8"/>
      </w:numPr>
      <w:contextualSpacing/>
    </w:pPr>
  </w:style>
  <w:style w:type="paragraph" w:styleId="ListBullet5">
    <w:name w:val="List Bullet 5"/>
    <w:basedOn w:val="Normal"/>
    <w:uiPriority w:val="99"/>
    <w:semiHidden/>
    <w:unhideWhenUsed/>
    <w:rsid w:val="00C1421E"/>
    <w:pPr>
      <w:numPr>
        <w:numId w:val="19"/>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20"/>
      </w:numPr>
      <w:contextualSpacing/>
    </w:pPr>
  </w:style>
  <w:style w:type="paragraph" w:styleId="ListNumber5">
    <w:name w:val="List Number 5"/>
    <w:basedOn w:val="Normal"/>
    <w:uiPriority w:val="99"/>
    <w:semiHidden/>
    <w:unhideWhenUsed/>
    <w:rsid w:val="00C1421E"/>
    <w:pPr>
      <w:numPr>
        <w:numId w:val="21"/>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customStyle="1" w:styleId="UnresolvedMention6">
    <w:name w:val="Unresolved Mention6"/>
    <w:basedOn w:val="DefaultParagraphFont"/>
    <w:uiPriority w:val="99"/>
    <w:semiHidden/>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GB" w:eastAsia="en-GB"/>
    </w:rPr>
  </w:style>
  <w:style w:type="paragraph" w:customStyle="1" w:styleId="xmsolistparagraph">
    <w:name w:val="x_msolistparagraph"/>
    <w:basedOn w:val="Normal"/>
    <w:rsid w:val="004E7FC7"/>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cs="Calibri"/>
      <w:sz w:val="22"/>
      <w:szCs w:val="22"/>
      <w:lang w:val="en-GB"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customStyle="1" w:styleId="Mention2">
    <w:name w:val="Mention2"/>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5071" TargetMode="External"/><Relationship Id="rId299" Type="http://schemas.openxmlformats.org/officeDocument/2006/relationships/hyperlink" Target="https://www.itu.int/ITU-T/recommendations/rec.aspx?id=14338" TargetMode="External"/><Relationship Id="rId21" Type="http://schemas.openxmlformats.org/officeDocument/2006/relationships/hyperlink" Target="https://www.itu.int/en/ITU-T/AI/challenge/2020/Pages/default.aspx" TargetMode="External"/><Relationship Id="rId63" Type="http://schemas.openxmlformats.org/officeDocument/2006/relationships/hyperlink" Target="https://itu.int/en/ITU-T/ipr/Pages/adhoc.aspx" TargetMode="External"/><Relationship Id="rId159" Type="http://schemas.openxmlformats.org/officeDocument/2006/relationships/hyperlink" Target="https://www.itu.int/search" TargetMode="External"/><Relationship Id="rId324" Type="http://schemas.openxmlformats.org/officeDocument/2006/relationships/hyperlink" Target="https://www.itu.int/ITU-T/recommendations/rec.aspx?id=14382" TargetMode="External"/><Relationship Id="rId366" Type="http://schemas.openxmlformats.org/officeDocument/2006/relationships/hyperlink" Target="https://www.itu.int/ITU-T/recommendations/rec.aspx?id=14177" TargetMode="External"/><Relationship Id="rId170" Type="http://schemas.openxmlformats.org/officeDocument/2006/relationships/hyperlink" Target="https://www.itu.int/md/S17-CL-C-0133/en" TargetMode="External"/><Relationship Id="rId226" Type="http://schemas.openxmlformats.org/officeDocument/2006/relationships/hyperlink" Target="https://www.itu.int/rec/T-REC-G.8261-202003-P!Amd1" TargetMode="External"/><Relationship Id="rId268" Type="http://schemas.openxmlformats.org/officeDocument/2006/relationships/hyperlink" Target="https://www.itu.int/ITU-T/recommendations/rec.aspx?rec=14386" TargetMode="External"/><Relationship Id="rId32" Type="http://schemas.openxmlformats.org/officeDocument/2006/relationships/hyperlink" Target="https://www.itu.int/en/ITU-T/academia/kaleidoscope/2020/Pages/default.aspx" TargetMode="External"/><Relationship Id="rId74" Type="http://schemas.openxmlformats.org/officeDocument/2006/relationships/hyperlink" Target="https://www.itu.int/en/irg/avqa" TargetMode="External"/><Relationship Id="rId128" Type="http://schemas.openxmlformats.org/officeDocument/2006/relationships/hyperlink" Target="https://www.itu.int/en/myitu/News" TargetMode="External"/><Relationship Id="rId335" Type="http://schemas.openxmlformats.org/officeDocument/2006/relationships/hyperlink" Target="https://www.itu.int/ITU-T/recommendations/rec.aspx?id=14353" TargetMode="External"/><Relationship Id="rId377" Type="http://schemas.openxmlformats.org/officeDocument/2006/relationships/hyperlink" Target="https://www.itu.int/ITU-T/recommendations/rec.aspx?id=14270" TargetMode="External"/><Relationship Id="rId5" Type="http://schemas.openxmlformats.org/officeDocument/2006/relationships/numbering" Target="numbering.xml"/><Relationship Id="rId181" Type="http://schemas.openxmlformats.org/officeDocument/2006/relationships/hyperlink" Target="https://extranet.itu.int/sites/itu-t/focusgroups/qit4n" TargetMode="External"/><Relationship Id="rId237" Type="http://schemas.openxmlformats.org/officeDocument/2006/relationships/hyperlink" Target="https://www.itu.int/pub/publications.aspx?lang=en&amp;parent=T-TUT-HOME-2020-1" TargetMode="External"/><Relationship Id="rId279" Type="http://schemas.openxmlformats.org/officeDocument/2006/relationships/hyperlink" Target="https://www.itu.int/rec/T-REC-G.9960-202007-I!Amd2" TargetMode="External"/><Relationship Id="rId43" Type="http://schemas.openxmlformats.org/officeDocument/2006/relationships/hyperlink" Target="https://www.itu.int/en/ITU-T/focusgroups/vm/Pages/default.aspx" TargetMode="External"/><Relationship Id="rId139" Type="http://schemas.openxmlformats.org/officeDocument/2006/relationships/hyperlink" Target="https://www.itu.int/en/ITU-T/extcoop/Pages/sdo.aspx" TargetMode="External"/><Relationship Id="rId290" Type="http://schemas.openxmlformats.org/officeDocument/2006/relationships/hyperlink" Target="https://www.itu.int/ITU-T/recommendations/rec.aspx?id=14181" TargetMode="External"/><Relationship Id="rId304" Type="http://schemas.openxmlformats.org/officeDocument/2006/relationships/hyperlink" Target="https://www.itu.int/ITU-T/recommendations/rec.aspx?id=14325" TargetMode="External"/><Relationship Id="rId346" Type="http://schemas.openxmlformats.org/officeDocument/2006/relationships/hyperlink" Target="https://www.itu.int/ITU-T/recommendations/rec.aspx?id=14333" TargetMode="External"/><Relationship Id="rId388" Type="http://schemas.openxmlformats.org/officeDocument/2006/relationships/hyperlink" Target="https://www.itu.int/ITU-T/recommendations/rec.aspx?id=14140" TargetMode="External"/><Relationship Id="rId85" Type="http://schemas.openxmlformats.org/officeDocument/2006/relationships/hyperlink" Target="https://www.itu.int/en/ITU-T/ssc/united/Pages/publication-U4SSC-KPIs.aspx" TargetMode="External"/><Relationship Id="rId150" Type="http://schemas.openxmlformats.org/officeDocument/2006/relationships/hyperlink" Target="https://www.itu.int/net4/ITU-T/myworkspace/" TargetMode="External"/><Relationship Id="rId192" Type="http://schemas.openxmlformats.org/officeDocument/2006/relationships/hyperlink" Target="https://www.itu.int/en/ITU-T/Workshops-and-Seminars/202001/Pages/default.aspx" TargetMode="External"/><Relationship Id="rId206" Type="http://schemas.openxmlformats.org/officeDocument/2006/relationships/hyperlink" Target="https://www.itu.int/ITU-T/recommendations/rec.aspx?id=14195" TargetMode="External"/><Relationship Id="rId248" Type="http://schemas.openxmlformats.org/officeDocument/2006/relationships/hyperlink" Target="https://www.itu.int/ITU-T/recommendations/rec.aspx?id=13575" TargetMode="External"/><Relationship Id="rId12" Type="http://schemas.openxmlformats.org/officeDocument/2006/relationships/hyperlink" Target="mailto:tsbtsag@itu.int" TargetMode="External"/><Relationship Id="rId108" Type="http://schemas.openxmlformats.org/officeDocument/2006/relationships/hyperlink" Target="https://www.itu.int/md/meetingdoc.asp?lang=en&amp;parent=T17-SG13-200720-TD-PLEN-0306" TargetMode="External"/><Relationship Id="rId315" Type="http://schemas.openxmlformats.org/officeDocument/2006/relationships/hyperlink" Target="https://www.itu.int/ITU-T/recommendations/rec.aspx?id=14163" TargetMode="External"/><Relationship Id="rId357" Type="http://schemas.openxmlformats.org/officeDocument/2006/relationships/hyperlink" Target="https://www.itu.int/rec/T-REC-K.50-202006-I!Amd1" TargetMode="External"/><Relationship Id="rId54" Type="http://schemas.openxmlformats.org/officeDocument/2006/relationships/hyperlink" Target="https://www.itu.int/en/irg/ava/Pages/default.aspx" TargetMode="External"/><Relationship Id="rId96" Type="http://schemas.openxmlformats.org/officeDocument/2006/relationships/hyperlink" Target="https://news.itu.int/join-global-initiative-ai-data-commons/" TargetMode="External"/><Relationship Id="rId161" Type="http://schemas.openxmlformats.org/officeDocument/2006/relationships/hyperlink" Target="https://www.itu.int/search" TargetMode="External"/><Relationship Id="rId217" Type="http://schemas.openxmlformats.org/officeDocument/2006/relationships/hyperlink" Target="https://www.itu.int/ITU-T/recommendations/rec.aspx?id=14199" TargetMode="External"/><Relationship Id="rId259" Type="http://schemas.openxmlformats.org/officeDocument/2006/relationships/hyperlink" Target="https://www.itu.int/ITU-T/recommendations/rec.aspx?id=14288" TargetMode="External"/><Relationship Id="rId23" Type="http://schemas.openxmlformats.org/officeDocument/2006/relationships/hyperlink" Target="https://www.itu.int/en/ITU-T/ssc/united/Pages/U4SSC-IP.aspx" TargetMode="External"/><Relationship Id="rId119" Type="http://schemas.openxmlformats.org/officeDocument/2006/relationships/hyperlink" Target="http://www.itu.int/itu-t/workprog/wp_item.aspx?isn=16367" TargetMode="External"/><Relationship Id="rId270" Type="http://schemas.openxmlformats.org/officeDocument/2006/relationships/hyperlink" Target="https://www.itu.int/ITU-T/recommendations/rec.aspx?id=14217" TargetMode="External"/><Relationship Id="rId326" Type="http://schemas.openxmlformats.org/officeDocument/2006/relationships/hyperlink" Target="https://www.itu.int/ITU-T/recommendations/rec.aspx?id=14091" TargetMode="External"/><Relationship Id="rId65" Type="http://schemas.openxmlformats.org/officeDocument/2006/relationships/hyperlink" Target="https://www.itu.int/en/ITU-T/focusgroups/ml5g/Pages/default.aspx" TargetMode="External"/><Relationship Id="rId130" Type="http://schemas.openxmlformats.org/officeDocument/2006/relationships/hyperlink" Target="https://www.itu.int/en/ITU-T/academia/kaleidoscope/2020/Pages/default.aspx" TargetMode="External"/><Relationship Id="rId368" Type="http://schemas.openxmlformats.org/officeDocument/2006/relationships/hyperlink" Target="https://www.itu.int/ITU-T/recommendations/rec.aspx?id=14178" TargetMode="External"/><Relationship Id="rId172" Type="http://schemas.openxmlformats.org/officeDocument/2006/relationships/hyperlink" Target="https://extranet.itu.int/sites/ITU-T/" TargetMode="External"/><Relationship Id="rId228" Type="http://schemas.openxmlformats.org/officeDocument/2006/relationships/hyperlink" Target="https://www.itu.int/ITU-T/recommendations/rec.aspx?id=14209" TargetMode="External"/><Relationship Id="rId281" Type="http://schemas.openxmlformats.org/officeDocument/2006/relationships/hyperlink" Target="https://www.itu.int/rec/T-REC-G.9961-202007-I!Amd2" TargetMode="External"/><Relationship Id="rId337" Type="http://schemas.openxmlformats.org/officeDocument/2006/relationships/hyperlink" Target="https://www.itu.int/ITU-T/recommendations/rec.aspx?id=14357" TargetMode="External"/><Relationship Id="rId34" Type="http://schemas.openxmlformats.org/officeDocument/2006/relationships/hyperlink" Target="https://www.itu.int/en/journal/2020/001/Pages/default.aspx" TargetMode="External"/><Relationship Id="rId76" Type="http://schemas.openxmlformats.org/officeDocument/2006/relationships/hyperlink" Target="http://www.itu.int/en/ITU-T/gsc/Pages/meetings.aspx" TargetMode="External"/><Relationship Id="rId141" Type="http://schemas.openxmlformats.org/officeDocument/2006/relationships/hyperlink" Target="https://www.itu.int/net/ITU-T/lists/t-approval.aspx" TargetMode="External"/><Relationship Id="rId379" Type="http://schemas.openxmlformats.org/officeDocument/2006/relationships/hyperlink" Target="https://www.itu.int/ITU-T/recommendations/rec.aspx?id=14272" TargetMode="External"/><Relationship Id="rId7" Type="http://schemas.openxmlformats.org/officeDocument/2006/relationships/settings" Target="settings.xml"/><Relationship Id="rId183" Type="http://schemas.openxmlformats.org/officeDocument/2006/relationships/hyperlink" Target="https://extranet.itu.int/sites/itu-t/jointgroups/jvds/" TargetMode="External"/><Relationship Id="rId239" Type="http://schemas.openxmlformats.org/officeDocument/2006/relationships/hyperlink" Target="https://www.itu.int/ITU-T/recommendations/rec.aspx?id=14276" TargetMode="External"/><Relationship Id="rId390" Type="http://schemas.openxmlformats.org/officeDocument/2006/relationships/header" Target="header1.xml"/><Relationship Id="rId250" Type="http://schemas.openxmlformats.org/officeDocument/2006/relationships/hyperlink" Target="https://www.itu.int/ITU-T/recommendations/rec.aspx?id=13837" TargetMode="External"/><Relationship Id="rId292" Type="http://schemas.openxmlformats.org/officeDocument/2006/relationships/hyperlink" Target="https://www.itu.int/ITU-T/recommendations/rec.aspx?id=14197" TargetMode="External"/><Relationship Id="rId306" Type="http://schemas.openxmlformats.org/officeDocument/2006/relationships/hyperlink" Target="https://www.itu.int/ITU-T/recommendations/rec.aspx?id=14327" TargetMode="External"/><Relationship Id="rId45" Type="http://schemas.openxmlformats.org/officeDocument/2006/relationships/hyperlink" Target="https://www.itu.int/en/ITU-T/focusgroups/ai4ad/Pages/default.aspx" TargetMode="External"/><Relationship Id="rId87" Type="http://schemas.openxmlformats.org/officeDocument/2006/relationships/hyperlink" Target="https://www.itu.int/en/publications/Documents/tsb/2020-U4SSC-A-guide-to-circular-cities/index.html" TargetMode="External"/><Relationship Id="rId110" Type="http://schemas.openxmlformats.org/officeDocument/2006/relationships/hyperlink" Target="https://www.itu.int/en/ITU-T/focusgroups/dlt/Pages/default.aspx" TargetMode="External"/><Relationship Id="rId348" Type="http://schemas.openxmlformats.org/officeDocument/2006/relationships/hyperlink" Target="https://www.itu.int/ITU-T/recommendations/rec.aspx?id=14251" TargetMode="External"/><Relationship Id="rId152" Type="http://schemas.openxmlformats.org/officeDocument/2006/relationships/hyperlink" Target="https://www.itu.int/myworkspace/" TargetMode="External"/><Relationship Id="rId194" Type="http://schemas.openxmlformats.org/officeDocument/2006/relationships/hyperlink" Target="https://www.itu.int/en/ITU-T/Workshops-and-Seminars/20200113/Pages/default.aspx" TargetMode="External"/><Relationship Id="rId208" Type="http://schemas.openxmlformats.org/officeDocument/2006/relationships/hyperlink" Target="https://www.itu.int/ITU-T/recommendations/rec.aspx?id=14022" TargetMode="External"/><Relationship Id="rId261" Type="http://schemas.openxmlformats.org/officeDocument/2006/relationships/hyperlink" Target="https://www.itu.int/pub/publications.aspx?lang=en&amp;parent=T-TUT-CABLETV-2020-1" TargetMode="External"/><Relationship Id="rId14" Type="http://schemas.openxmlformats.org/officeDocument/2006/relationships/hyperlink" Target="https://www.itu.int/en/ITU-T/focusgroups/Pages/default.aspx" TargetMode="External"/><Relationship Id="rId56" Type="http://schemas.openxmlformats.org/officeDocument/2006/relationships/hyperlink" Target="https://www.itu.int/net4/wsis/forum/2020/Agenda/Session/132" TargetMode="External"/><Relationship Id="rId317" Type="http://schemas.openxmlformats.org/officeDocument/2006/relationships/hyperlink" Target="https://www.itu.int/ITU-T/recommendations/rec.aspx?id=14372" TargetMode="External"/><Relationship Id="rId359" Type="http://schemas.openxmlformats.org/officeDocument/2006/relationships/hyperlink" Target="https://www.itu.int/ITU-T/recommendations/rec.aspx?id=14294" TargetMode="External"/><Relationship Id="rId98" Type="http://schemas.openxmlformats.org/officeDocument/2006/relationships/hyperlink" Target="https://www.itu.int/en/ITU-T/extcoop/Pages/mou.aspx" TargetMode="External"/><Relationship Id="rId121" Type="http://schemas.openxmlformats.org/officeDocument/2006/relationships/hyperlink" Target="http://www.itu.int/itu-t/workprog/wp_item.aspx?isn=16366" TargetMode="External"/><Relationship Id="rId163" Type="http://schemas.openxmlformats.org/officeDocument/2006/relationships/hyperlink" Target="https://www.itu.int/search" TargetMode="External"/><Relationship Id="rId219" Type="http://schemas.openxmlformats.org/officeDocument/2006/relationships/hyperlink" Target="https://www.itu.int/ITU-T/recommendations/rec.aspx?id=13997" TargetMode="External"/><Relationship Id="rId370" Type="http://schemas.openxmlformats.org/officeDocument/2006/relationships/hyperlink" Target="https://www.itu.int/rec/T-REC-E.218-202006-P!Amd1" TargetMode="External"/><Relationship Id="rId230" Type="http://schemas.openxmlformats.org/officeDocument/2006/relationships/hyperlink" Target="https://www.itu.int/rec/T-REC-G.8272-202003-P!Amd1" TargetMode="External"/><Relationship Id="rId25" Type="http://schemas.openxmlformats.org/officeDocument/2006/relationships/hyperlink" Target="https://www.itu.int/en/ITU-T/ssc/united/Pages/publications-U4SSC.aspx" TargetMode="External"/><Relationship Id="rId67" Type="http://schemas.openxmlformats.org/officeDocument/2006/relationships/hyperlink" Target="https://www.itu.int/en/ITU-T/focusgroups/net2030/Pages/default.aspx" TargetMode="External"/><Relationship Id="rId272" Type="http://schemas.openxmlformats.org/officeDocument/2006/relationships/hyperlink" Target="https://www.itu.int/ITU-T/recommendations/rec.aspx?id=14254" TargetMode="External"/><Relationship Id="rId328" Type="http://schemas.openxmlformats.org/officeDocument/2006/relationships/hyperlink" Target="https://www.itu.int/ITU-T/recommendations/rec.aspx?id=14346" TargetMode="External"/><Relationship Id="rId132" Type="http://schemas.openxmlformats.org/officeDocument/2006/relationships/hyperlink" Target="https://www.itu.int/en/journal/2020/001/Pages/default.aspx" TargetMode="External"/><Relationship Id="rId174" Type="http://schemas.openxmlformats.org/officeDocument/2006/relationships/hyperlink" Target="https://extranet.itu.int/sites/itu-t/initiatives/U4SSC/" TargetMode="External"/><Relationship Id="rId381" Type="http://schemas.openxmlformats.org/officeDocument/2006/relationships/hyperlink" Target="https://www.itu.int/ITU-T/recommendations/rec.aspx?id=14271" TargetMode="External"/><Relationship Id="rId241" Type="http://schemas.openxmlformats.org/officeDocument/2006/relationships/hyperlink" Target="https://www.itu.int/ITU-T/recommendations/rec.aspx?id=14277" TargetMode="External"/><Relationship Id="rId36" Type="http://schemas.openxmlformats.org/officeDocument/2006/relationships/hyperlink" Target="https://www.itu.int/en/journal/j-fet/Pages/editorial-board.aspx" TargetMode="External"/><Relationship Id="rId283" Type="http://schemas.openxmlformats.org/officeDocument/2006/relationships/hyperlink" Target="https://www.itu.int/rec/T-REC-G.9964-202002-P!Amd3" TargetMode="External"/><Relationship Id="rId339" Type="http://schemas.openxmlformats.org/officeDocument/2006/relationships/hyperlink" Target="https://www.itu.int/ITU-T/recommendations/rec.aspx?id=14039" TargetMode="External"/><Relationship Id="rId78" Type="http://schemas.openxmlformats.org/officeDocument/2006/relationships/hyperlink" Target="https://joinup.ec.europa.eu/collection/rolling-plan-ict-standardisation/rolling-plan-2019" TargetMode="External"/><Relationship Id="rId101" Type="http://schemas.openxmlformats.org/officeDocument/2006/relationships/hyperlink" Target="https://www.itu.int/en/ITU-T/Workshops-and-Seminars/bsg" TargetMode="External"/><Relationship Id="rId143" Type="http://schemas.openxmlformats.org/officeDocument/2006/relationships/hyperlink" Target="http://www.itu.int/net/itu-t/ls/" TargetMode="External"/><Relationship Id="rId185" Type="http://schemas.openxmlformats.org/officeDocument/2006/relationships/hyperlink" Target="https://extranet.itu.int/sites/itu-t/studygroups/2017-2020/sg11/casc/" TargetMode="External"/><Relationship Id="rId350" Type="http://schemas.openxmlformats.org/officeDocument/2006/relationships/hyperlink" Target="https://www.itu.int/ITU-T/recommendations/rec.aspx?id=14380" TargetMode="External"/><Relationship Id="rId9" Type="http://schemas.openxmlformats.org/officeDocument/2006/relationships/footnotes" Target="footnotes.xml"/><Relationship Id="rId210" Type="http://schemas.openxmlformats.org/officeDocument/2006/relationships/hyperlink" Target="https://www.itu.int/rec/T-REC-G.987.3-202003-P!Amd1" TargetMode="External"/><Relationship Id="rId392" Type="http://schemas.openxmlformats.org/officeDocument/2006/relationships/footer" Target="footer1.xml"/><Relationship Id="rId252" Type="http://schemas.openxmlformats.org/officeDocument/2006/relationships/hyperlink" Target="https://www.itu.int/ITU-T/recommendations/rec.aspx?id=14355" TargetMode="External"/><Relationship Id="rId294" Type="http://schemas.openxmlformats.org/officeDocument/2006/relationships/hyperlink" Target="https://www.itu.int/ITU-T/recommendations/rec.aspx?id=14183" TargetMode="External"/><Relationship Id="rId308" Type="http://schemas.openxmlformats.org/officeDocument/2006/relationships/hyperlink" Target="https://www.itu.int/ITU-T/recommendations/rec.aspx?id=14329" TargetMode="External"/><Relationship Id="rId47" Type="http://schemas.openxmlformats.org/officeDocument/2006/relationships/hyperlink" Target="https://www.itu.int/net4/ITU-T/myworkspace/" TargetMode="External"/><Relationship Id="rId89" Type="http://schemas.openxmlformats.org/officeDocument/2006/relationships/hyperlink" Target="https://www.itu.int/en/ITU-T/ssc/united/Pages/publication-U4SSC-KPIs.aspx" TargetMode="External"/><Relationship Id="rId112" Type="http://schemas.openxmlformats.org/officeDocument/2006/relationships/hyperlink" Target="http://www.itu.int/itu-t/workprog/wp_item.aspx?isn=16353" TargetMode="External"/><Relationship Id="rId154" Type="http://schemas.openxmlformats.org/officeDocument/2006/relationships/hyperlink" Target="https://www.itu.int/myworkspace/" TargetMode="External"/><Relationship Id="rId361" Type="http://schemas.openxmlformats.org/officeDocument/2006/relationships/hyperlink" Target="https://www.itu.int/ITU-T/recommendations/rec.aspx?id=14299" TargetMode="External"/><Relationship Id="rId196" Type="http://schemas.openxmlformats.org/officeDocument/2006/relationships/hyperlink" Target="https://www.itu.int/en/ITU-T/Workshops-and-Seminars/20200318/Pages/default.aspx" TargetMode="External"/><Relationship Id="rId16" Type="http://schemas.openxmlformats.org/officeDocument/2006/relationships/hyperlink" Target="https://www.itu.int/en/ITU-T/AI/challenge/2020/Pages/default.aspx" TargetMode="External"/><Relationship Id="rId221" Type="http://schemas.openxmlformats.org/officeDocument/2006/relationships/hyperlink" Target="https://www.itu.int/ITU-T/recommendations/rec.aspx?rec=13825" TargetMode="External"/><Relationship Id="rId263" Type="http://schemas.openxmlformats.org/officeDocument/2006/relationships/hyperlink" Target="https://www.itu.int/ITU-T/recommendations/rec.aspx?id=14340" TargetMode="External"/><Relationship Id="rId319" Type="http://schemas.openxmlformats.org/officeDocument/2006/relationships/hyperlink" Target="https://www.itu.int/ITU-T/recommendations/rec.aspx?id=14375" TargetMode="External"/><Relationship Id="rId37" Type="http://schemas.openxmlformats.org/officeDocument/2006/relationships/hyperlink" Target="http://icn.tsinghuajournals.com" TargetMode="External"/><Relationship Id="rId58" Type="http://schemas.openxmlformats.org/officeDocument/2006/relationships/hyperlink" Target="https://www.itu.int/en/ITU-D/Regional-Presence/Americas/Pages/EVENTS/2019/23940.aspx" TargetMode="External"/><Relationship Id="rId79" Type="http://schemas.openxmlformats.org/officeDocument/2006/relationships/hyperlink" Target="http://www.itu.int/en/ITU-T/tsbdir/cto/Pages/default.aspx" TargetMode="External"/><Relationship Id="rId102" Type="http://schemas.openxmlformats.org/officeDocument/2006/relationships/hyperlink" Target="https://www.itu.int/en/ITU-D/Regional-Presence/CIS/Pages/EVENTS/2020/03_Minsk/03_Minsk.aspx" TargetMode="External"/><Relationship Id="rId123" Type="http://schemas.openxmlformats.org/officeDocument/2006/relationships/hyperlink" Target="https://itu.int/ITU-T/workprog/wp_search.aspx?sg=16&amp;q=22" TargetMode="External"/><Relationship Id="rId144" Type="http://schemas.openxmlformats.org/officeDocument/2006/relationships/hyperlink" Target="http://www.itu.int/ipr/" TargetMode="External"/><Relationship Id="rId330" Type="http://schemas.openxmlformats.org/officeDocument/2006/relationships/hyperlink" Target="https://www.itu.int/ITU-T/recommendations/rec.aspx?id=14348" TargetMode="External"/><Relationship Id="rId90" Type="http://schemas.openxmlformats.org/officeDocument/2006/relationships/hyperlink" Target="https://www.itu.int/en/ITU-T/ssc/united/Pages/U4SSC-IP.aspx" TargetMode="External"/><Relationship Id="rId165" Type="http://schemas.openxmlformats.org/officeDocument/2006/relationships/hyperlink" Target="http://itu.int/go/itu-t/rgm-support" TargetMode="External"/><Relationship Id="rId186" Type="http://schemas.openxmlformats.org/officeDocument/2006/relationships/hyperlink" Target="https://extranet.itu.int/sites/itu-t/initiatives/circulardesign" TargetMode="External"/><Relationship Id="rId351" Type="http://schemas.openxmlformats.org/officeDocument/2006/relationships/hyperlink" Target="https://www.itu.int/ITU-T/recommendations/rec.aspx?id=14304" TargetMode="External"/><Relationship Id="rId372" Type="http://schemas.openxmlformats.org/officeDocument/2006/relationships/hyperlink" Target="https://www.itu.int/ITU-T/recommendations/rec.aspx?id=14311" TargetMode="External"/><Relationship Id="rId393" Type="http://schemas.openxmlformats.org/officeDocument/2006/relationships/footer" Target="footer2.xml"/><Relationship Id="rId211" Type="http://schemas.openxmlformats.org/officeDocument/2006/relationships/hyperlink" Target="https://www.itu.int/rec/T-REC-G.988-202003-P!Amd3" TargetMode="External"/><Relationship Id="rId232" Type="http://schemas.openxmlformats.org/officeDocument/2006/relationships/hyperlink" Target="https://www.itu.int/rec/T-REC-G.8273.2-202003-P!Amd1" TargetMode="External"/><Relationship Id="rId253" Type="http://schemas.openxmlformats.org/officeDocument/2006/relationships/hyperlink" Target="https://www.itu.int/ITU-T/recommendations/rec.aspx?id=14356" TargetMode="External"/><Relationship Id="rId274" Type="http://schemas.openxmlformats.org/officeDocument/2006/relationships/hyperlink" Target="https://www.itu.int/ITU-T/recommendations/rec.aspx?id=14134" TargetMode="External"/><Relationship Id="rId295" Type="http://schemas.openxmlformats.org/officeDocument/2006/relationships/hyperlink" Target="https://www.itu.int/ITU-T/recommendations/rec.aspx?id=14336" TargetMode="External"/><Relationship Id="rId309" Type="http://schemas.openxmlformats.org/officeDocument/2006/relationships/hyperlink" Target="https://www.itu.int/ITU-T/recommendations/rec.aspx?id=14330" TargetMode="External"/><Relationship Id="rId27" Type="http://schemas.openxmlformats.org/officeDocument/2006/relationships/hyperlink" Target="https://aiforgood.itu.int/" TargetMode="External"/><Relationship Id="rId48" Type="http://schemas.openxmlformats.org/officeDocument/2006/relationships/hyperlink" Target="https://www.itu.int/en/ITU-T/webinars/Pages/dfs.aspx" TargetMode="External"/><Relationship Id="rId69" Type="http://schemas.openxmlformats.org/officeDocument/2006/relationships/hyperlink" Target="https://www.itu.int/en/ITU-T/focusgroups/vm/Pages/default.aspx" TargetMode="External"/><Relationship Id="rId113" Type="http://schemas.openxmlformats.org/officeDocument/2006/relationships/hyperlink" Target="http://www.itu.int/itu-t/workprog/wp_item.aspx?isn=14071" TargetMode="External"/><Relationship Id="rId134" Type="http://schemas.openxmlformats.org/officeDocument/2006/relationships/hyperlink" Target="https://www.itu.int/en/journal/j-fet/Pages/default.aspx" TargetMode="External"/><Relationship Id="rId320" Type="http://schemas.openxmlformats.org/officeDocument/2006/relationships/hyperlink" Target="https://www.itu.int/ITU-T/recommendations/rec.aspx?id=14376" TargetMode="External"/><Relationship Id="rId80" Type="http://schemas.openxmlformats.org/officeDocument/2006/relationships/hyperlink" Target="http://www.itu.int/en/ITU-T/extcoop/cits/Pages/default.aspx" TargetMode="External"/><Relationship Id="rId155" Type="http://schemas.openxmlformats.org/officeDocument/2006/relationships/hyperlink" Target="http://tsbcloud.itu.int" TargetMode="External"/><Relationship Id="rId176" Type="http://schemas.openxmlformats.org/officeDocument/2006/relationships/hyperlink" Target="https://extranet.itu.int/sites/itu-t/focusgroups/ML5G/" TargetMode="External"/><Relationship Id="rId197" Type="http://schemas.openxmlformats.org/officeDocument/2006/relationships/hyperlink" Target="https://www.itu.int/en/ITU-T/Workshops-and-Seminars/standardization/20200203/Pages/default.aspx" TargetMode="External"/><Relationship Id="rId341" Type="http://schemas.openxmlformats.org/officeDocument/2006/relationships/hyperlink" Target="https://www.itu.int/ITU-T/recommendations/rec.aspx?id=14250" TargetMode="External"/><Relationship Id="rId362" Type="http://schemas.openxmlformats.org/officeDocument/2006/relationships/hyperlink" Target="https://www.itu.int/ITU-T/recommendations/rec.aspx?id=14300" TargetMode="External"/><Relationship Id="rId383" Type="http://schemas.openxmlformats.org/officeDocument/2006/relationships/hyperlink" Target="https://www.itu.int/ITU-T/recommendations/rec.aspx?id=14284" TargetMode="External"/><Relationship Id="rId201" Type="http://schemas.openxmlformats.org/officeDocument/2006/relationships/hyperlink" Target="http://www.brsmeas.org/Default.aspx?tabid=3574&amp;meetId=46965D8E-C675-EA11-BFFE-005056857856&amp;lang=en" TargetMode="External"/><Relationship Id="rId222" Type="http://schemas.openxmlformats.org/officeDocument/2006/relationships/hyperlink" Target="https://www.itu.int/rec/T-REC-G.Imp8001-202002-I" TargetMode="External"/><Relationship Id="rId243" Type="http://schemas.openxmlformats.org/officeDocument/2006/relationships/hyperlink" Target="https://www.itu.int/ITU-T/recommendations/rec.aspx?id=14278" TargetMode="External"/><Relationship Id="rId264" Type="http://schemas.openxmlformats.org/officeDocument/2006/relationships/hyperlink" Target="https://www.itu.int/ITU-T/recommendations/rec.aspx?id=14243" TargetMode="External"/><Relationship Id="rId285" Type="http://schemas.openxmlformats.org/officeDocument/2006/relationships/hyperlink" Target="https://www.itu.int/ITU-T/recommendations/rec.aspx?id=14086" TargetMode="External"/><Relationship Id="rId17" Type="http://schemas.openxmlformats.org/officeDocument/2006/relationships/hyperlink" Target="https://www.itu.int/en/ITU-T/ssc/united/Pages/default.aspx" TargetMode="External"/><Relationship Id="rId38" Type="http://schemas.openxmlformats.org/officeDocument/2006/relationships/hyperlink" Target="https://www.itu.int/en/myitu/News" TargetMode="External"/><Relationship Id="rId59" Type="http://schemas.openxmlformats.org/officeDocument/2006/relationships/hyperlink" Target="https://www.itu.int/en/ITU-D/Regional-Presence/Europe/Pages/Events/2019/AE/AccessibleEurope.aspx" TargetMode="External"/><Relationship Id="rId103" Type="http://schemas.openxmlformats.org/officeDocument/2006/relationships/hyperlink" Target="https://www.itu.int/en/ITU-T/studygroups/2017-2020/13/sg13rgafr/Pages/default.aspx" TargetMode="External"/><Relationship Id="rId124" Type="http://schemas.openxmlformats.org/officeDocument/2006/relationships/hyperlink" Target="https://www.itu.int/rec/T-REC-x/recommendation.asp?lang=en&amp;parent=T-REC-X.1149" TargetMode="External"/><Relationship Id="rId310" Type="http://schemas.openxmlformats.org/officeDocument/2006/relationships/hyperlink" Target="https://www.itu.int/ITU-T/recommendations/rec.aspx?id=14331" TargetMode="External"/><Relationship Id="rId70" Type="http://schemas.openxmlformats.org/officeDocument/2006/relationships/hyperlink" Target="https://www.itu.int/en/ITU-T/focusgroups/vm/Documents/FGVM-01R1.pdf" TargetMode="External"/><Relationship Id="rId91" Type="http://schemas.openxmlformats.org/officeDocument/2006/relationships/hyperlink" Target="https://www.itu.int/en/ITU-T/extcoop/figisymposium/Pages/default.aspx" TargetMode="External"/><Relationship Id="rId145" Type="http://schemas.openxmlformats.org/officeDocument/2006/relationships/hyperlink" Target="http://www.itu.int/net/itu-t/cdb/ConformityDB.aspx" TargetMode="External"/><Relationship Id="rId166" Type="http://schemas.openxmlformats.org/officeDocument/2006/relationships/hyperlink" Target="http://itu.int/go/itu-t/rgm-guide" TargetMode="External"/><Relationship Id="rId187" Type="http://schemas.openxmlformats.org/officeDocument/2006/relationships/hyperlink" Target="https://extranet.itu.int/sites/itu-t/initiatives/dcgi" TargetMode="External"/><Relationship Id="rId331" Type="http://schemas.openxmlformats.org/officeDocument/2006/relationships/hyperlink" Target="https://www.itu.int/ITU-T/recommendations/rec.aspx?id=14349" TargetMode="External"/><Relationship Id="rId352" Type="http://schemas.openxmlformats.org/officeDocument/2006/relationships/hyperlink" Target="https://www.itu.int/ITU-T/recommendations/rec.aspx?id=14305" TargetMode="External"/><Relationship Id="rId373" Type="http://schemas.openxmlformats.org/officeDocument/2006/relationships/hyperlink" Target="https://www.itu.int/pub/publications.aspx?lang=en&amp;parent=T-TUT-DIS-2020" TargetMode="External"/><Relationship Id="rId394" Type="http://schemas.openxmlformats.org/officeDocument/2006/relationships/header" Target="header3.xml"/><Relationship Id="rId1" Type="http://schemas.openxmlformats.org/officeDocument/2006/relationships/customXml" Target="../customXml/item1.xml"/><Relationship Id="rId212" Type="http://schemas.openxmlformats.org/officeDocument/2006/relationships/hyperlink" Target="https://www.itu.int/rec/T-REC-G.989.3-202003-P!Amd3" TargetMode="External"/><Relationship Id="rId233" Type="http://schemas.openxmlformats.org/officeDocument/2006/relationships/hyperlink" Target="https://www.itu.int/ITU-T/recommendations/rec.aspx?id=14214" TargetMode="External"/><Relationship Id="rId254" Type="http://schemas.openxmlformats.org/officeDocument/2006/relationships/hyperlink" Target="https://www.itu.int/ITU-T/recommendations/rec.aspx?id=14281" TargetMode="External"/><Relationship Id="rId28" Type="http://schemas.openxmlformats.org/officeDocument/2006/relationships/hyperlink" Target="https://www.itu.int/en/ITU-T/ssc/united/Pages/U4SSC-IP.aspx" TargetMode="External"/><Relationship Id="rId49" Type="http://schemas.openxmlformats.org/officeDocument/2006/relationships/hyperlink" Target="https://www.itu.int/en/ITU-T/webinars/Pages/qsdg.aspx" TargetMode="External"/><Relationship Id="rId114" Type="http://schemas.openxmlformats.org/officeDocument/2006/relationships/hyperlink" Target="http://www.itu.int/itu-t/workprog/wp_item.aspx?isn=14705" TargetMode="External"/><Relationship Id="rId275" Type="http://schemas.openxmlformats.org/officeDocument/2006/relationships/hyperlink" Target="https://www.itu.int/ITU-T/recommendations/rec.aspx?id=14255" TargetMode="External"/><Relationship Id="rId296" Type="http://schemas.openxmlformats.org/officeDocument/2006/relationships/hyperlink" Target="https://www.itu.int/ITU-T/recommendations/rec.aspx?id=14337" TargetMode="External"/><Relationship Id="rId300" Type="http://schemas.openxmlformats.org/officeDocument/2006/relationships/hyperlink" Target="https://www.itu.int/ITU-T/recommendations/rec.aspx?id=14342" TargetMode="External"/><Relationship Id="rId60" Type="http://schemas.openxmlformats.org/officeDocument/2006/relationships/hyperlink" Target="http://www.itu.int/en/ITU-T/ipr/Pages/adhoc.aspx" TargetMode="External"/><Relationship Id="rId81" Type="http://schemas.openxmlformats.org/officeDocument/2006/relationships/hyperlink" Target="https://www.itu.int/net4/ITU-T/landscape" TargetMode="External"/><Relationship Id="rId135" Type="http://schemas.openxmlformats.org/officeDocument/2006/relationships/hyperlink" Target="http://icn.tsinghuajournals.com" TargetMode="External"/><Relationship Id="rId156" Type="http://schemas.openxmlformats.org/officeDocument/2006/relationships/hyperlink" Target="https://www.itu.int/myworkspace/" TargetMode="External"/><Relationship Id="rId177" Type="http://schemas.openxmlformats.org/officeDocument/2006/relationships/hyperlink" Target="https://extranet.itu.int/sites/itu-t/focusgroups/net-2030/" TargetMode="External"/><Relationship Id="rId198" Type="http://schemas.openxmlformats.org/officeDocument/2006/relationships/hyperlink" Target="https://www.itu.int/en/ITU-T/Workshops-and-Seminars/qos/202003/Pages/default.aspx" TargetMode="External"/><Relationship Id="rId321" Type="http://schemas.openxmlformats.org/officeDocument/2006/relationships/hyperlink" Target="https://www.itu.int/ITU-T/recommendations/rec.aspx?id=14377" TargetMode="External"/><Relationship Id="rId342" Type="http://schemas.openxmlformats.org/officeDocument/2006/relationships/hyperlink" Target="https://www.itu.int/ITU-T/recommendations/rec.aspx?id=14252" TargetMode="External"/><Relationship Id="rId363" Type="http://schemas.openxmlformats.org/officeDocument/2006/relationships/hyperlink" Target="https://www.itu.int/ITU-T/recommendations/rec.aspx?id=14316" TargetMode="External"/><Relationship Id="rId384" Type="http://schemas.openxmlformats.org/officeDocument/2006/relationships/hyperlink" Target="https://www.itu.int/rec/T-REC-Y.1540-202002-P!Amd1" TargetMode="External"/><Relationship Id="rId202" Type="http://schemas.openxmlformats.org/officeDocument/2006/relationships/hyperlink" Target="http://www.itu.int/pub/T-RES" TargetMode="External"/><Relationship Id="rId223" Type="http://schemas.openxmlformats.org/officeDocument/2006/relationships/hyperlink" Target="https://www.itu.int/ITU-T/recommendations/rec.aspx?id=14205" TargetMode="External"/><Relationship Id="rId244" Type="http://schemas.openxmlformats.org/officeDocument/2006/relationships/hyperlink" Target="https://www.itu.int/en/ITU-T/extcoop/Pages/sdo.aspx" TargetMode="External"/><Relationship Id="rId18" Type="http://schemas.openxmlformats.org/officeDocument/2006/relationships/hyperlink" Target="https://www.itu.int/en/ITU-T/extcoop/figisymposium/Pages/default.aspx" TargetMode="External"/><Relationship Id="rId39" Type="http://schemas.openxmlformats.org/officeDocument/2006/relationships/hyperlink" Target="http://www.itu.int/net/itu-t/cdb/ConformityDB.aspx" TargetMode="External"/><Relationship Id="rId265" Type="http://schemas.openxmlformats.org/officeDocument/2006/relationships/hyperlink" Target="https://www.itu.int/ITU-T/recommendations/rec.aspx?id=14247" TargetMode="External"/><Relationship Id="rId286" Type="http://schemas.openxmlformats.org/officeDocument/2006/relationships/hyperlink" Target="https://www.itu.int/ITU-T/recommendations/rec.aspx?id=14093" TargetMode="External"/><Relationship Id="rId50" Type="http://schemas.openxmlformats.org/officeDocument/2006/relationships/hyperlink" Target="https://aiforgood.itu.int/programme-2020/" TargetMode="External"/><Relationship Id="rId104" Type="http://schemas.openxmlformats.org/officeDocument/2006/relationships/hyperlink" Target="https://www.itu.int/en/ITU-T/gap/Documents/nss-rep-may.pdf" TargetMode="External"/><Relationship Id="rId125" Type="http://schemas.openxmlformats.org/officeDocument/2006/relationships/hyperlink" Target="https://www.itu.int/itu-t/workprog/wp_item.aspx?isn=14372" TargetMode="External"/><Relationship Id="rId146" Type="http://schemas.openxmlformats.org/officeDocument/2006/relationships/hyperlink" Target="http://www.itu.int/ITU-T/formal-language/index.html" TargetMode="External"/><Relationship Id="rId167" Type="http://schemas.openxmlformats.org/officeDocument/2006/relationships/hyperlink" Target="https://www.itu.int/net4/itu-t/nnp" TargetMode="External"/><Relationship Id="rId188" Type="http://schemas.openxmlformats.org/officeDocument/2006/relationships/hyperlink" Target="https://extranet.itu.int/sites/itu-t/initiatives/E-waste" TargetMode="External"/><Relationship Id="rId311" Type="http://schemas.openxmlformats.org/officeDocument/2006/relationships/hyperlink" Target="https://www.itu.int/ITU-T/recommendations/rec.aspx?id=14244" TargetMode="External"/><Relationship Id="rId332" Type="http://schemas.openxmlformats.org/officeDocument/2006/relationships/hyperlink" Target="https://www.itu.int/ITU-T/recommendations/rec.aspx?id=14350" TargetMode="External"/><Relationship Id="rId353" Type="http://schemas.openxmlformats.org/officeDocument/2006/relationships/hyperlink" Target="https://www.itu.int/ITU-T/recommendations/rec.aspx?id=14306" TargetMode="External"/><Relationship Id="rId374" Type="http://schemas.openxmlformats.org/officeDocument/2006/relationships/hyperlink" Target="https://www.itu.int/ITU-T/recommendations/rec.aspx?id=13918" TargetMode="External"/><Relationship Id="rId395" Type="http://schemas.openxmlformats.org/officeDocument/2006/relationships/footer" Target="footer3.xml"/><Relationship Id="rId71" Type="http://schemas.openxmlformats.org/officeDocument/2006/relationships/hyperlink" Target="https://www.itu.int/en/ITU-T/focusgroups/ai4ad" TargetMode="External"/><Relationship Id="rId92" Type="http://schemas.openxmlformats.org/officeDocument/2006/relationships/hyperlink" Target="https://www.itu.int/en/ITU-T/extcoop/dcgi/Pages/default.aspx" TargetMode="External"/><Relationship Id="rId213" Type="http://schemas.openxmlformats.org/officeDocument/2006/relationships/hyperlink" Target="https://www.itu.int/ITU-T/recommendations/rec.aspx?id=14198" TargetMode="External"/><Relationship Id="rId234" Type="http://schemas.openxmlformats.org/officeDocument/2006/relationships/hyperlink" Target="https://www.itu.int/ITU-T/recommendations/rec.aspx?id=14215" TargetMode="External"/><Relationship Id="rId2" Type="http://schemas.openxmlformats.org/officeDocument/2006/relationships/customXml" Target="../customXml/item2.xml"/><Relationship Id="rId29" Type="http://schemas.openxmlformats.org/officeDocument/2006/relationships/hyperlink" Target="https://www.itu.int/go/fgai4h" TargetMode="External"/><Relationship Id="rId255" Type="http://schemas.openxmlformats.org/officeDocument/2006/relationships/hyperlink" Target="https://www.itu.int/ITU-T/recommendations/rec.aspx?id=14357" TargetMode="External"/><Relationship Id="rId276" Type="http://schemas.openxmlformats.org/officeDocument/2006/relationships/hyperlink" Target="https://www.itu.int/ITU-T/recommendations/rec.aspx?rec=14233" TargetMode="External"/><Relationship Id="rId297" Type="http://schemas.openxmlformats.org/officeDocument/2006/relationships/hyperlink" Target="https://www.itu.int/ITU-T/recommendations/rec.aspx?id=14341" TargetMode="External"/><Relationship Id="rId40" Type="http://schemas.openxmlformats.org/officeDocument/2006/relationships/hyperlink" Target="https://www.itu.int/net4/ITU-T/myworkspace/" TargetMode="External"/><Relationship Id="rId115" Type="http://schemas.openxmlformats.org/officeDocument/2006/relationships/hyperlink" Target="http://www.itu.int/itu-t/workprog/wp_item.aspx?isn=14706" TargetMode="External"/><Relationship Id="rId136" Type="http://schemas.openxmlformats.org/officeDocument/2006/relationships/hyperlink" Target="https://www.itu.int/en/ITU-T/academia/Pages/default.aspx" TargetMode="External"/><Relationship Id="rId157" Type="http://schemas.openxmlformats.org/officeDocument/2006/relationships/hyperlink" Target="https://www.itu.int/myworkspace/" TargetMode="External"/><Relationship Id="rId178" Type="http://schemas.openxmlformats.org/officeDocument/2006/relationships/hyperlink" Target="https://extranet.itu.int/sites/itu-t/focusgroups/ai4h/" TargetMode="External"/><Relationship Id="rId301" Type="http://schemas.openxmlformats.org/officeDocument/2006/relationships/hyperlink" Target="https://www.itu.int/pub/T-TUT-IPTV-2020-QOS" TargetMode="External"/><Relationship Id="rId322" Type="http://schemas.openxmlformats.org/officeDocument/2006/relationships/hyperlink" Target="https://www.itu.int/ITU-T/recommendations/rec.aspx?id=14378" TargetMode="External"/><Relationship Id="rId343" Type="http://schemas.openxmlformats.org/officeDocument/2006/relationships/hyperlink" Target="https://www.itu.int/ITU-T/recommendations/rec.aspx?id=14258" TargetMode="External"/><Relationship Id="rId364" Type="http://schemas.openxmlformats.org/officeDocument/2006/relationships/hyperlink" Target="https://www.itu.int/ITU-T/recommendations/rec.aspx?id=14317" TargetMode="External"/><Relationship Id="rId61" Type="http://schemas.openxmlformats.org/officeDocument/2006/relationships/hyperlink" Target="http://www.itu.int/en/ITU-T/ipr/Pages/revpatent.aspx" TargetMode="External"/><Relationship Id="rId82" Type="http://schemas.openxmlformats.org/officeDocument/2006/relationships/hyperlink" Target="https://www.frontiersin.org/articles/10.3389/fmars.2019.00424/full" TargetMode="External"/><Relationship Id="rId199" Type="http://schemas.openxmlformats.org/officeDocument/2006/relationships/hyperlink" Target="https://www.itu.int/en/ITU-T/Workshops-and-Seminars/ai4h/202001/Pages/default.aspx" TargetMode="External"/><Relationship Id="rId203" Type="http://schemas.openxmlformats.org/officeDocument/2006/relationships/hyperlink" Target="https://www.itu.int/md/T17-TSAG-200921-TD-GEN-0789" TargetMode="External"/><Relationship Id="rId385" Type="http://schemas.openxmlformats.org/officeDocument/2006/relationships/hyperlink" Target="https://www.itu.int/ITU-T/recommendations/rec.aspx?id=14285" TargetMode="External"/><Relationship Id="rId19" Type="http://schemas.openxmlformats.org/officeDocument/2006/relationships/hyperlink" Target="https://www.itu.int/en/ITU-T/extcoop/dcgi/Pages/default.aspx" TargetMode="External"/><Relationship Id="rId224" Type="http://schemas.openxmlformats.org/officeDocument/2006/relationships/hyperlink" Target="https://www.itu.int/ITU-T/recommendations/rec.aspx?id=14240" TargetMode="External"/><Relationship Id="rId245" Type="http://schemas.openxmlformats.org/officeDocument/2006/relationships/hyperlink" Target="https://www.itu.int/ITU-T/recommendations/rec.aspx?id=14279" TargetMode="External"/><Relationship Id="rId266" Type="http://schemas.openxmlformats.org/officeDocument/2006/relationships/hyperlink" Target="https://www.itu.int/ITU-T/recommendations/rec.aspx?id=12510" TargetMode="External"/><Relationship Id="rId287" Type="http://schemas.openxmlformats.org/officeDocument/2006/relationships/hyperlink" Target="https://www.itu.int/ITU-T/recommendations/rec.aspx?id=14094" TargetMode="External"/><Relationship Id="rId30" Type="http://schemas.openxmlformats.org/officeDocument/2006/relationships/hyperlink" Target="https://aiforgood.itu.int/programme-2020/" TargetMode="External"/><Relationship Id="rId105" Type="http://schemas.openxmlformats.org/officeDocument/2006/relationships/hyperlink" Target="http://academy.itu.int" TargetMode="External"/><Relationship Id="rId126" Type="http://schemas.openxmlformats.org/officeDocument/2006/relationships/hyperlink" Target="https://www.itu.int/en/ITU-T/webinars/Pages/dfs.aspx" TargetMode="External"/><Relationship Id="rId147" Type="http://schemas.openxmlformats.org/officeDocument/2006/relationships/hyperlink" Target="http://www.itu.int/net/itu-t/sigdb/menu.htm" TargetMode="External"/><Relationship Id="rId168" Type="http://schemas.openxmlformats.org/officeDocument/2006/relationships/hyperlink" Target="https://extranet.itu.int/sites/itu-t/studygroups/2017-2020/sg2/SitePages/Numbering%20Applications%20Monitor.aspx" TargetMode="External"/><Relationship Id="rId312" Type="http://schemas.openxmlformats.org/officeDocument/2006/relationships/hyperlink" Target="https://www.itu.int/ITU-T/recommendations/rec.aspx?id=14087" TargetMode="External"/><Relationship Id="rId333" Type="http://schemas.openxmlformats.org/officeDocument/2006/relationships/hyperlink" Target="https://www.itu.int/ITU-T/recommendations/rec.aspx?id=14351" TargetMode="External"/><Relationship Id="rId354" Type="http://schemas.openxmlformats.org/officeDocument/2006/relationships/hyperlink" Target="https://www.itu.int/ITU-T/recommendations/rec.aspx?id=14318" TargetMode="External"/><Relationship Id="rId51" Type="http://schemas.openxmlformats.org/officeDocument/2006/relationships/hyperlink" Target="http://www.itu.int/net/itu-t/cdb/ConformityDB.aspx" TargetMode="External"/><Relationship Id="rId72" Type="http://schemas.openxmlformats.org/officeDocument/2006/relationships/hyperlink" Target="https://www.itu.int/en/ITU-T/focusgroups/ai4ee/Pages/default.aspx" TargetMode="External"/><Relationship Id="rId93" Type="http://schemas.openxmlformats.org/officeDocument/2006/relationships/hyperlink" Target="https://aiforgood.itu.int/programme-2020/" TargetMode="External"/><Relationship Id="rId189" Type="http://schemas.openxmlformats.org/officeDocument/2006/relationships/hyperlink" Target="https://extranet.itu.int/sites/itu-t/wtsa-20/prepmeet/Lists/ContactSheet/DefViewContacts.aspx" TargetMode="External"/><Relationship Id="rId375" Type="http://schemas.openxmlformats.org/officeDocument/2006/relationships/hyperlink" Target="https://www.itu.int/ITU-T/recommendations/rec.aspx?id=14268" TargetMode="External"/><Relationship Id="rId396"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https://www.itu.int/ITU-T/recommendations/rec.aspx?id=14196" TargetMode="External"/><Relationship Id="rId235" Type="http://schemas.openxmlformats.org/officeDocument/2006/relationships/hyperlink" Target="https://www.itu.int/ITU-T/recommendations/rec.aspx?id=14216" TargetMode="External"/><Relationship Id="rId256" Type="http://schemas.openxmlformats.org/officeDocument/2006/relationships/hyperlink" Target="https://www.itu.int/ITU-T/recommendations/rec.aspx?id=14282" TargetMode="External"/><Relationship Id="rId277" Type="http://schemas.openxmlformats.org/officeDocument/2006/relationships/hyperlink" Target="https://www.itu.int/ITU-T/recommendations/rec.aspx?rec=14383" TargetMode="External"/><Relationship Id="rId298" Type="http://schemas.openxmlformats.org/officeDocument/2006/relationships/hyperlink" Target="https://www.itu.int/ITU-T/recommendations/rec.aspx?id=14343" TargetMode="External"/><Relationship Id="rId116" Type="http://schemas.openxmlformats.org/officeDocument/2006/relationships/hyperlink" Target="http://www.itu.int/itu-t/workprog/wp_item.aspx?isn=16656" TargetMode="External"/><Relationship Id="rId137" Type="http://schemas.openxmlformats.org/officeDocument/2006/relationships/image" Target="media/image4.png"/><Relationship Id="rId158" Type="http://schemas.openxmlformats.org/officeDocument/2006/relationships/hyperlink" Target="https://www.itu.int/myworkspace/" TargetMode="External"/><Relationship Id="rId302" Type="http://schemas.openxmlformats.org/officeDocument/2006/relationships/hyperlink" Target="https://www.itu.int/ITU-T/recommendations/rec.aspx?id=14323" TargetMode="External"/><Relationship Id="rId323" Type="http://schemas.openxmlformats.org/officeDocument/2006/relationships/hyperlink" Target="https://www.itu.int/ITU-T/recommendations/rec.aspx?id=14381" TargetMode="External"/><Relationship Id="rId344" Type="http://schemas.openxmlformats.org/officeDocument/2006/relationships/hyperlink" Target="https://www.itu.int/ITU-T/recommendations/rec.aspx?id=14242" TargetMode="External"/><Relationship Id="rId20" Type="http://schemas.openxmlformats.org/officeDocument/2006/relationships/hyperlink" Target="https://www.itu.int/en/ITU-T/extcoop/dcgi/Pages/default.aspx" TargetMode="External"/><Relationship Id="rId41" Type="http://schemas.openxmlformats.org/officeDocument/2006/relationships/hyperlink" Target="https://www.itu.int/en/ITU-T/studygroups/Pages/default.aspx" TargetMode="External"/><Relationship Id="rId62" Type="http://schemas.openxmlformats.org/officeDocument/2006/relationships/hyperlink" Target="http://www.itu.int/en/ITU-T/publications/Pages/recs.aspx" TargetMode="External"/><Relationship Id="rId83" Type="http://schemas.openxmlformats.org/officeDocument/2006/relationships/hyperlink" Target="https://www.itu.int/en/publications/Documents/tsb/2020-Frontier-Technologies-to-Protect-the-Environment-and-Tackle-Climate-Change/index.html" TargetMode="External"/><Relationship Id="rId179" Type="http://schemas.openxmlformats.org/officeDocument/2006/relationships/hyperlink" Target="https://extranet.itu.int/sites/itu-t/focusgroups/vm/" TargetMode="External"/><Relationship Id="rId365" Type="http://schemas.openxmlformats.org/officeDocument/2006/relationships/hyperlink" Target="https://www.itu.int/ITU-T/recommendations/rec.aspx?id=14388" TargetMode="External"/><Relationship Id="rId386" Type="http://schemas.openxmlformats.org/officeDocument/2006/relationships/hyperlink" Target="https://www.itu.int/ITU-T/recommendations/rec.aspx?id=14245" TargetMode="External"/><Relationship Id="rId190" Type="http://schemas.openxmlformats.org/officeDocument/2006/relationships/hyperlink" Target="https://extranet.itu.int/ITU-T/support/" TargetMode="External"/><Relationship Id="rId204" Type="http://schemas.openxmlformats.org/officeDocument/2006/relationships/hyperlink" Target="https://www.itu.int/net4/wsis/sdg/" TargetMode="External"/><Relationship Id="rId225" Type="http://schemas.openxmlformats.org/officeDocument/2006/relationships/hyperlink" Target="https://www.itu.int/ITU-T/recommendations/rec.aspx?id=14206" TargetMode="External"/><Relationship Id="rId246" Type="http://schemas.openxmlformats.org/officeDocument/2006/relationships/hyperlink" Target="https://www.itu.int/ITU-T/recommendations/rec.aspx?id=13573" TargetMode="External"/><Relationship Id="rId267" Type="http://schemas.openxmlformats.org/officeDocument/2006/relationships/hyperlink" Target="https://www.itu.int/ITU-T/recommendations/rec.aspx?rec=14385" TargetMode="External"/><Relationship Id="rId288" Type="http://schemas.openxmlformats.org/officeDocument/2006/relationships/hyperlink" Target="ttps://www.itu.int/ITU-T/recommendations/rec.aspx?id=14138" TargetMode="External"/><Relationship Id="rId106" Type="http://schemas.openxmlformats.org/officeDocument/2006/relationships/hyperlink" Target="https://academy.itu.int/index.php/training-courses/full-catalogue/audio-based-indoor-and-outdoor-network-navigation-system-persons-vision-impairment-1" TargetMode="External"/><Relationship Id="rId127" Type="http://schemas.openxmlformats.org/officeDocument/2006/relationships/hyperlink" Target="https://www.itu.int/en/ITU-T/extcoop/dcgi/Pages/default.aspx" TargetMode="External"/><Relationship Id="rId313" Type="http://schemas.openxmlformats.org/officeDocument/2006/relationships/hyperlink" Target="https://www.itu.int/ITU-T/recommendations/rec.aspx?id=14088" TargetMode="External"/><Relationship Id="rId10" Type="http://schemas.openxmlformats.org/officeDocument/2006/relationships/endnotes" Target="endnotes.xml"/><Relationship Id="rId31" Type="http://schemas.openxmlformats.org/officeDocument/2006/relationships/hyperlink" Target="https://www.itu.int/en/ITU-T/webinars/Pages/qsdg.aspx" TargetMode="External"/><Relationship Id="rId52" Type="http://schemas.openxmlformats.org/officeDocument/2006/relationships/hyperlink" Target="http://www.itu.int/pub/T-TUT-IPTV-2015-H721" TargetMode="External"/><Relationship Id="rId73" Type="http://schemas.openxmlformats.org/officeDocument/2006/relationships/hyperlink" Target="https://www.itu.int/en/irg/ava" TargetMode="External"/><Relationship Id="rId94" Type="http://schemas.openxmlformats.org/officeDocument/2006/relationships/hyperlink" Target="https://www.itu.int/md/T17-TSAG-R-0008/en" TargetMode="External"/><Relationship Id="rId148" Type="http://schemas.openxmlformats.org/officeDocument/2006/relationships/hyperlink" Target="http://www.itu.int/ITU-R/go/terminology-database" TargetMode="External"/><Relationship Id="rId169" Type="http://schemas.openxmlformats.org/officeDocument/2006/relationships/hyperlink" Target="http://www.itu.int/pub/T-SP-OB" TargetMode="External"/><Relationship Id="rId334" Type="http://schemas.openxmlformats.org/officeDocument/2006/relationships/hyperlink" Target="https://www.itu.int/ITU-T/recommendations/rec.aspx?id=14352" TargetMode="External"/><Relationship Id="rId355" Type="http://schemas.openxmlformats.org/officeDocument/2006/relationships/hyperlink" Target="https://www.itu.int/rec/T-REC-K.21-202006-I!Amd1" TargetMode="External"/><Relationship Id="rId376" Type="http://schemas.openxmlformats.org/officeDocument/2006/relationships/hyperlink" Target="https://www.itu.int/ITU-T/recommendations/rec.aspx?id=14269" TargetMode="External"/><Relationship Id="rId397" Type="http://schemas.openxmlformats.org/officeDocument/2006/relationships/glossaryDocument" Target="glossary/document.xml"/><Relationship Id="rId4" Type="http://schemas.openxmlformats.org/officeDocument/2006/relationships/customXml" Target="../customXml/item4.xml"/><Relationship Id="rId180" Type="http://schemas.openxmlformats.org/officeDocument/2006/relationships/hyperlink" Target="https://extranet.itu.int/sites/itu-t/focusgroups/ai4ee/" TargetMode="External"/><Relationship Id="rId215" Type="http://schemas.openxmlformats.org/officeDocument/2006/relationships/hyperlink" Target="https://www.itu.int/rec/T-REC-L.105-202003-I!Amd1" TargetMode="External"/><Relationship Id="rId236" Type="http://schemas.openxmlformats.org/officeDocument/2006/relationships/hyperlink" Target="https://www.itu.int/ITU-T/recommendations/rec.aspx?rec=14232" TargetMode="External"/><Relationship Id="rId257" Type="http://schemas.openxmlformats.org/officeDocument/2006/relationships/hyperlink" Target="https://www.itu.int/ITU-T/recommendations/rec.aspx?id=14286" TargetMode="External"/><Relationship Id="rId278" Type="http://schemas.openxmlformats.org/officeDocument/2006/relationships/hyperlink" Target="https://www.itu.int/rec/T-REC-G.9960-202002-I!Amd1" TargetMode="External"/><Relationship Id="rId303" Type="http://schemas.openxmlformats.org/officeDocument/2006/relationships/hyperlink" Target="https://www.itu.int/ITU-T/recommendations/rec.aspx?id=14324" TargetMode="External"/><Relationship Id="rId42" Type="http://schemas.openxmlformats.org/officeDocument/2006/relationships/hyperlink" Target="https://www.itu.int/en/ITU-T/focusgroups/ai4h/Pages/default.aspx" TargetMode="External"/><Relationship Id="rId84" Type="http://schemas.openxmlformats.org/officeDocument/2006/relationships/hyperlink" Target="http://www.itu.int/en/ITU-T/ssc/united/Pages/default.aspx" TargetMode="External"/><Relationship Id="rId138" Type="http://schemas.openxmlformats.org/officeDocument/2006/relationships/hyperlink" Target="http://www.itu.int/ITU-T/workprog" TargetMode="External"/><Relationship Id="rId345" Type="http://schemas.openxmlformats.org/officeDocument/2006/relationships/hyperlink" Target="https://www.itu.int/ITU-T/recommendations/rec.aspx?id=14332" TargetMode="External"/><Relationship Id="rId387" Type="http://schemas.openxmlformats.org/officeDocument/2006/relationships/hyperlink" Target="https://www.itu.int/ITU-T/recommendations/rec.aspx?id=14335" TargetMode="External"/><Relationship Id="rId191" Type="http://schemas.openxmlformats.org/officeDocument/2006/relationships/image" Target="media/image5.png"/><Relationship Id="rId205" Type="http://schemas.openxmlformats.org/officeDocument/2006/relationships/hyperlink" Target="https://www.itu.int/rec/T-REC-G.994.1-202003-P!Amd1" TargetMode="External"/><Relationship Id="rId247" Type="http://schemas.openxmlformats.org/officeDocument/2006/relationships/hyperlink" Target="https://www.itu.int/ITU-T/recommendations/rec.aspx?id=13574" TargetMode="External"/><Relationship Id="rId107" Type="http://schemas.openxmlformats.org/officeDocument/2006/relationships/hyperlink" Target="https://www.itu.int/pub/T-TUT" TargetMode="External"/><Relationship Id="rId289" Type="http://schemas.openxmlformats.org/officeDocument/2006/relationships/hyperlink" Target="https://www.itu.int/ITU-T/recommendations/rec.aspx?id=14256" TargetMode="External"/><Relationship Id="rId11" Type="http://schemas.openxmlformats.org/officeDocument/2006/relationships/image" Target="media/image1.gif"/><Relationship Id="rId53" Type="http://schemas.openxmlformats.org/officeDocument/2006/relationships/hyperlink" Target="http://www.itu.int/pub/T-TUT-IPTV-2017-H702" TargetMode="External"/><Relationship Id="rId149" Type="http://schemas.openxmlformats.org/officeDocument/2006/relationships/hyperlink" Target="http://www.itu.int/ITU-T/inr/index.html" TargetMode="External"/><Relationship Id="rId314" Type="http://schemas.openxmlformats.org/officeDocument/2006/relationships/hyperlink" Target="https://www.itu.int/ITU-T/recommendations/rec.aspx?id=14089" TargetMode="External"/><Relationship Id="rId356" Type="http://schemas.openxmlformats.org/officeDocument/2006/relationships/hyperlink" Target="https://www.itu.int/rec/T-REC-K.45-202006-I!Amd1" TargetMode="External"/><Relationship Id="rId398" Type="http://schemas.openxmlformats.org/officeDocument/2006/relationships/theme" Target="theme/theme1.xml"/><Relationship Id="rId95" Type="http://schemas.openxmlformats.org/officeDocument/2006/relationships/hyperlink" Target="https://www.itu.int/en/ITU-T/extcoop/ai-data-commons/202001/Pages/default.aspx" TargetMode="External"/><Relationship Id="rId160" Type="http://schemas.openxmlformats.org/officeDocument/2006/relationships/hyperlink" Target="https://www.itu.int/search" TargetMode="External"/><Relationship Id="rId216" Type="http://schemas.openxmlformats.org/officeDocument/2006/relationships/hyperlink" Target="https://www.itu.int/pub/publications.aspx?lang=en&amp;parent=T-TUT-L-2020-GLR" TargetMode="External"/><Relationship Id="rId258" Type="http://schemas.openxmlformats.org/officeDocument/2006/relationships/hyperlink" Target="https://www.itu.int/ITU-T/recommendations/rec.aspx?id=14287" TargetMode="External"/><Relationship Id="rId22" Type="http://schemas.openxmlformats.org/officeDocument/2006/relationships/hyperlink" Target="https://www.itu.int/en/ITU-T/ssc/united/Pages/publication-U4SSC-KPIs.aspx" TargetMode="External"/><Relationship Id="rId64" Type="http://schemas.openxmlformats.org/officeDocument/2006/relationships/hyperlink" Target="https://www.itu.int/en/ITU-T/focusgroups/qit4n/Pages/default.aspx" TargetMode="External"/><Relationship Id="rId118" Type="http://schemas.openxmlformats.org/officeDocument/2006/relationships/hyperlink" Target="http://www.itu.int/itu-t/workprog/wp_item.aspx?isn=16653" TargetMode="External"/><Relationship Id="rId325" Type="http://schemas.openxmlformats.org/officeDocument/2006/relationships/hyperlink" Target="https://www.itu.int/ITU-T/recommendations/rec.aspx?id=14090" TargetMode="External"/><Relationship Id="rId367" Type="http://schemas.openxmlformats.org/officeDocument/2006/relationships/hyperlink" Target="https://www.itu.int/rec/T-REC-E.156-202006-P!Amd1" TargetMode="External"/><Relationship Id="rId171" Type="http://schemas.openxmlformats.org/officeDocument/2006/relationships/hyperlink" Target="https://www.itu.int/md/S17-CL-C-0134/en" TargetMode="External"/><Relationship Id="rId227" Type="http://schemas.openxmlformats.org/officeDocument/2006/relationships/hyperlink" Target="https://www.itu.int/rec/T-REC-G.8262-202003-P!Amd1" TargetMode="External"/><Relationship Id="rId269" Type="http://schemas.openxmlformats.org/officeDocument/2006/relationships/hyperlink" Target="https://www.itu.int/pub/publications.aspx?lang=en&amp;parent=T-TUT-NET2030-2020" TargetMode="External"/><Relationship Id="rId33" Type="http://schemas.openxmlformats.org/officeDocument/2006/relationships/hyperlink" Target="https://www.itu.int/en/ITU-T/academia/kaleidoscope/2020/Pages/demos.aspx" TargetMode="External"/><Relationship Id="rId129" Type="http://schemas.openxmlformats.org/officeDocument/2006/relationships/image" Target="media/image3.png"/><Relationship Id="rId280" Type="http://schemas.openxmlformats.org/officeDocument/2006/relationships/hyperlink" Target="https://www.itu.int/rec/T-REC-G.9961-202002-I!Amd1" TargetMode="External"/><Relationship Id="rId336" Type="http://schemas.openxmlformats.org/officeDocument/2006/relationships/hyperlink" Target="https://www.itu.int/ITU-T/recommendations/rec.aspx?id=14354" TargetMode="External"/><Relationship Id="rId75" Type="http://schemas.openxmlformats.org/officeDocument/2006/relationships/hyperlink" Target="https://www.itu.int/en/irg/ibb" TargetMode="External"/><Relationship Id="rId140" Type="http://schemas.openxmlformats.org/officeDocument/2006/relationships/hyperlink" Target="https://www.itu.int/ITU-T/aap/AAPSearch.aspx" TargetMode="External"/><Relationship Id="rId182" Type="http://schemas.openxmlformats.org/officeDocument/2006/relationships/hyperlink" Target="https://extranet.itu.int/sites/itu-t/focusgroups/ai4ad" TargetMode="External"/><Relationship Id="rId378" Type="http://schemas.openxmlformats.org/officeDocument/2006/relationships/hyperlink" Target="https://www.itu.int/ITU-T/recommendations/rec.aspx?id=14239" TargetMode="External"/><Relationship Id="rId6" Type="http://schemas.openxmlformats.org/officeDocument/2006/relationships/styles" Target="styles.xml"/><Relationship Id="rId238" Type="http://schemas.openxmlformats.org/officeDocument/2006/relationships/hyperlink" Target="https://www.itu.int/ITU-T/recommendations/rec.aspx?id=14275" TargetMode="External"/><Relationship Id="rId291" Type="http://schemas.openxmlformats.org/officeDocument/2006/relationships/hyperlink" Target="https://www.itu.int/ITU-T/recommendations/rec.aspx?id=14319" TargetMode="External"/><Relationship Id="rId305" Type="http://schemas.openxmlformats.org/officeDocument/2006/relationships/hyperlink" Target="https://www.itu.int/ITU-T/recommendations/rec.aspx?id=14326" TargetMode="External"/><Relationship Id="rId347" Type="http://schemas.openxmlformats.org/officeDocument/2006/relationships/hyperlink" Target="https://www.itu.int/ITU-T/recommendations/rec.aspx?id=14334" TargetMode="External"/><Relationship Id="rId44" Type="http://schemas.openxmlformats.org/officeDocument/2006/relationships/hyperlink" Target="https://www.itu.int/en/ITU-T/focusgroups/ai4ee/Pages/default.aspx" TargetMode="External"/><Relationship Id="rId86" Type="http://schemas.openxmlformats.org/officeDocument/2006/relationships/hyperlink" Target="https://www.itu.int/en/ITU-T/ssc/united/Pages/thematic-groups.aspx" TargetMode="External"/><Relationship Id="rId151" Type="http://schemas.openxmlformats.org/officeDocument/2006/relationships/hyperlink" Target="https://www.itu.int/myworkspace/" TargetMode="External"/><Relationship Id="rId389" Type="http://schemas.openxmlformats.org/officeDocument/2006/relationships/hyperlink" Target="https://www.itu.int/oth/T0A0F00002C/" TargetMode="External"/><Relationship Id="rId193" Type="http://schemas.openxmlformats.org/officeDocument/2006/relationships/hyperlink" Target="https://www.itu.int/en/fnc/2020/Pages/default.aspx" TargetMode="External"/><Relationship Id="rId207" Type="http://schemas.openxmlformats.org/officeDocument/2006/relationships/hyperlink" Target="https://www.itu.int/ITU-T/recommendations/rec.aspx?id=14218" TargetMode="External"/><Relationship Id="rId249" Type="http://schemas.openxmlformats.org/officeDocument/2006/relationships/hyperlink" Target="https://www.itu.int/ITU-T/recommendations/rec.aspx?id=13576" TargetMode="External"/><Relationship Id="rId13" Type="http://schemas.openxmlformats.org/officeDocument/2006/relationships/hyperlink" Target="https://www.itu.int/itu-t/recommendations/rec.aspx?rec=14065" TargetMode="External"/><Relationship Id="rId109" Type="http://schemas.openxmlformats.org/officeDocument/2006/relationships/hyperlink" Target="https://www.itu.int/dms_pub/itu-t/opb/res/T-RES-T.89-2016-PDF-E.pdf" TargetMode="External"/><Relationship Id="rId260" Type="http://schemas.openxmlformats.org/officeDocument/2006/relationships/hyperlink" Target="https://www.itu.int/ITU-T/recommendations/rec.aspx?id=14289" TargetMode="External"/><Relationship Id="rId316" Type="http://schemas.openxmlformats.org/officeDocument/2006/relationships/hyperlink" Target="https://www.itu.int/ITU-T/recommendations/rec.aspx?id=14371" TargetMode="External"/><Relationship Id="rId55" Type="http://schemas.openxmlformats.org/officeDocument/2006/relationships/hyperlink" Target="https://www.itu.int/net4/wsis/forum/2020/Agenda/Session/124" TargetMode="External"/><Relationship Id="rId97" Type="http://schemas.openxmlformats.org/officeDocument/2006/relationships/hyperlink" Target="https://aiforgood.itu.int/events/global-data-pledge/" TargetMode="External"/><Relationship Id="rId120" Type="http://schemas.openxmlformats.org/officeDocument/2006/relationships/hyperlink" Target="http://www.itu.int/itu-t/workprog/wp_item.aspx?isn=16368" TargetMode="External"/><Relationship Id="rId358" Type="http://schemas.openxmlformats.org/officeDocument/2006/relationships/hyperlink" Target="https://www.itu.int/ITU-T/recommendations/rec.aspx?id=14294" TargetMode="External"/><Relationship Id="rId162" Type="http://schemas.openxmlformats.org/officeDocument/2006/relationships/hyperlink" Target="https://www.itu.int/search" TargetMode="External"/><Relationship Id="rId218" Type="http://schemas.openxmlformats.org/officeDocument/2006/relationships/hyperlink" Target="https://www.itu.int/ITU-T/recommendations/rec.aspx?id=14201" TargetMode="External"/><Relationship Id="rId271" Type="http://schemas.openxmlformats.org/officeDocument/2006/relationships/hyperlink" Target="https://www.itu.int/ITU-T/recommendations/rec.aspx?id=14246" TargetMode="External"/><Relationship Id="rId24" Type="http://schemas.openxmlformats.org/officeDocument/2006/relationships/hyperlink" Target="https://www.itu.int/en/publications/Documents/tsb/2020-U4SSC-A-guide-to-circular-cities/index.html" TargetMode="External"/><Relationship Id="rId66" Type="http://schemas.openxmlformats.org/officeDocument/2006/relationships/hyperlink" Target="https://www.itu.int/en/ITU-T/AI/challenge/2020/Pages/default.aspx" TargetMode="External"/><Relationship Id="rId131" Type="http://schemas.openxmlformats.org/officeDocument/2006/relationships/hyperlink" Target="https://www.itu.int/en/ITU-T/academia/kaleidoscope/2020/Pages/demos.aspx" TargetMode="External"/><Relationship Id="rId327" Type="http://schemas.openxmlformats.org/officeDocument/2006/relationships/hyperlink" Target="https://www.itu.int/ITU-T/recommendations/rec.aspx?id=14344" TargetMode="External"/><Relationship Id="rId369" Type="http://schemas.openxmlformats.org/officeDocument/2006/relationships/hyperlink" Target="https://www.itu.int/rec/T-REC-E.212-202006-P!Amd2" TargetMode="External"/><Relationship Id="rId173" Type="http://schemas.openxmlformats.org/officeDocument/2006/relationships/hyperlink" Target="https://extranet.itu.int/sites/itu-t/studygroups/2017-2020" TargetMode="External"/><Relationship Id="rId229" Type="http://schemas.openxmlformats.org/officeDocument/2006/relationships/hyperlink" Target="https://www.itu.int/ITU-T/recommendations/rec.aspx?id=14210" TargetMode="External"/><Relationship Id="rId380" Type="http://schemas.openxmlformats.org/officeDocument/2006/relationships/hyperlink" Target="https://www.itu.int/ITU-T/recommendations/rec.aspx?id=14274" TargetMode="External"/><Relationship Id="rId240" Type="http://schemas.openxmlformats.org/officeDocument/2006/relationships/hyperlink" Target="https://www.itu.int/en/ITU-T/extcoop/Pages/sdo.aspx" TargetMode="External"/><Relationship Id="rId35" Type="http://schemas.openxmlformats.org/officeDocument/2006/relationships/hyperlink" Target="https://www.itu.int/en/journal/j-fet/Pages/default.aspx" TargetMode="External"/><Relationship Id="rId77" Type="http://schemas.openxmlformats.org/officeDocument/2006/relationships/hyperlink" Target="http://www.itu.int/en/ITU-T/gsc/Pages/default.aspx" TargetMode="External"/><Relationship Id="rId100" Type="http://schemas.openxmlformats.org/officeDocument/2006/relationships/hyperlink" Target="https://www.itu.int/en/ITU-T/Workshops-and-Seminars/bsg" TargetMode="External"/><Relationship Id="rId282" Type="http://schemas.openxmlformats.org/officeDocument/2006/relationships/hyperlink" Target="https://www.itu.int/rec/T-REC-G.9962-202007-P!Amd1" TargetMode="External"/><Relationship Id="rId338" Type="http://schemas.openxmlformats.org/officeDocument/2006/relationships/hyperlink" Target="https://www.itu.int/ITU-T/recommendations/rec.aspx?id=14320" TargetMode="External"/><Relationship Id="rId8" Type="http://schemas.openxmlformats.org/officeDocument/2006/relationships/webSettings" Target="webSettings.xml"/><Relationship Id="rId142" Type="http://schemas.openxmlformats.org/officeDocument/2006/relationships/hyperlink" Target="http://www.itu.int/itu-t/recommendations" TargetMode="External"/><Relationship Id="rId184" Type="http://schemas.openxmlformats.org/officeDocument/2006/relationships/hyperlink" Target="https://extranet.itu.int/sites/irg/ava/" TargetMode="External"/><Relationship Id="rId391" Type="http://schemas.openxmlformats.org/officeDocument/2006/relationships/header" Target="header2.xml"/><Relationship Id="rId251" Type="http://schemas.openxmlformats.org/officeDocument/2006/relationships/hyperlink" Target="https://www.itu.int/ITU-T/recommendations/rec.aspx?id=14280" TargetMode="External"/><Relationship Id="rId46" Type="http://schemas.openxmlformats.org/officeDocument/2006/relationships/hyperlink" Target="https://www.itu.int/en/ITU-T/focusgroups/qit4n/Pages/default.aspx" TargetMode="External"/><Relationship Id="rId293" Type="http://schemas.openxmlformats.org/officeDocument/2006/relationships/hyperlink" Target="https://www.itu.int/ITU-T/recommendations/rec.aspx?id=14182" TargetMode="External"/><Relationship Id="rId307" Type="http://schemas.openxmlformats.org/officeDocument/2006/relationships/hyperlink" Target="https://www.itu.int/ITU-T/recommendations/rec.aspx?id=14328" TargetMode="External"/><Relationship Id="rId349" Type="http://schemas.openxmlformats.org/officeDocument/2006/relationships/hyperlink" Target="https://www.itu.int/ITU-T/recommendations/rec.aspx?id=14379" TargetMode="External"/><Relationship Id="rId88" Type="http://schemas.openxmlformats.org/officeDocument/2006/relationships/hyperlink" Target="https://www.itu.int/en/ITU-T/ssc/united/Pages/publications-U4SSC.aspx" TargetMode="External"/><Relationship Id="rId111" Type="http://schemas.openxmlformats.org/officeDocument/2006/relationships/hyperlink" Target="http://www.itu.int/itu-t/workprog/wp_item.aspx?isn=16354" TargetMode="External"/><Relationship Id="rId153" Type="http://schemas.openxmlformats.org/officeDocument/2006/relationships/hyperlink" Target="https://www.itu.int/myworkspace/" TargetMode="External"/><Relationship Id="rId195" Type="http://schemas.openxmlformats.org/officeDocument/2006/relationships/hyperlink" Target="https://www.itu.int/en/ITU-T/Workshops-and-Seminars/20200121/Pages/default.aspx" TargetMode="External"/><Relationship Id="rId209" Type="http://schemas.openxmlformats.org/officeDocument/2006/relationships/hyperlink" Target="https://www.itu.int/rec/T-REC-G.984.3-202003-P!Amd1" TargetMode="External"/><Relationship Id="rId360" Type="http://schemas.openxmlformats.org/officeDocument/2006/relationships/hyperlink" Target="https://www.itu.int/ITU-T/recommendations/rec.aspx?id=14296" TargetMode="External"/><Relationship Id="rId220" Type="http://schemas.openxmlformats.org/officeDocument/2006/relationships/hyperlink" Target="https://www.itu.int/ITU-T/recommendations/rec.aspx?id=14241" TargetMode="External"/><Relationship Id="rId15" Type="http://schemas.openxmlformats.org/officeDocument/2006/relationships/hyperlink" Target="https://aiforgood.itu.int/" TargetMode="External"/><Relationship Id="rId57" Type="http://schemas.openxmlformats.org/officeDocument/2006/relationships/hyperlink" Target="https://www.itu.int/net4/wsis/forum/2020/Agenda/Session/141" TargetMode="External"/><Relationship Id="rId262" Type="http://schemas.openxmlformats.org/officeDocument/2006/relationships/hyperlink" Target="https://www.itu.int/pub/publications.aspx?lang=en&amp;parent=T-TUT-CABLETV-2020" TargetMode="External"/><Relationship Id="rId318" Type="http://schemas.openxmlformats.org/officeDocument/2006/relationships/hyperlink" Target="https://www.itu.int/ITU-T/recommendations/rec.aspx?id=14373" TargetMode="External"/><Relationship Id="rId99" Type="http://schemas.openxmlformats.org/officeDocument/2006/relationships/image" Target="media/image2.png"/><Relationship Id="rId122" Type="http://schemas.openxmlformats.org/officeDocument/2006/relationships/hyperlink" Target="http://www.itu.int/itu-t/workprog/wp_item.aspx?isn=16658" TargetMode="External"/><Relationship Id="rId164" Type="http://schemas.openxmlformats.org/officeDocument/2006/relationships/hyperlink" Target="http://itu.int/go/itu-t/rgm" TargetMode="External"/><Relationship Id="rId371" Type="http://schemas.openxmlformats.org/officeDocument/2006/relationships/hyperlink" Target="https://www.itu.int/ITU-T/recommendations/rec.aspx?id=14321" TargetMode="External"/><Relationship Id="rId26" Type="http://schemas.openxmlformats.org/officeDocument/2006/relationships/hyperlink" Target="https://www.itu.int/en/ITU-T/ssc/united/Pages/publication-U4SSC-KPIs.aspx" TargetMode="External"/><Relationship Id="rId231" Type="http://schemas.openxmlformats.org/officeDocument/2006/relationships/hyperlink" Target="https://www.itu.int/rec/T-REC-G.8273-202003-P!Amd1" TargetMode="External"/><Relationship Id="rId273" Type="http://schemas.openxmlformats.org/officeDocument/2006/relationships/hyperlink" Target="https://www.itu.int/ITU-T/recommendations/rec.aspx?id=14133" TargetMode="External"/><Relationship Id="rId329" Type="http://schemas.openxmlformats.org/officeDocument/2006/relationships/hyperlink" Target="https://www.itu.int/ITU-T/recommendations/rec.aspx?id=14347" TargetMode="External"/><Relationship Id="rId68" Type="http://schemas.openxmlformats.org/officeDocument/2006/relationships/hyperlink" Target="https://www.itu.int/en/ITU-T/focusgroups/ai4h" TargetMode="External"/><Relationship Id="rId133" Type="http://schemas.openxmlformats.org/officeDocument/2006/relationships/hyperlink" Target="https://www.itu.int/en/journal/j-fet/Pages/editorial-board.aspx" TargetMode="External"/><Relationship Id="rId175" Type="http://schemas.openxmlformats.org/officeDocument/2006/relationships/hyperlink" Target="https://extranet.itu.int/sites/itu-t/initiatives/sitwg/" TargetMode="External"/><Relationship Id="rId340" Type="http://schemas.openxmlformats.org/officeDocument/2006/relationships/hyperlink" Target="https://www.itu.int/rec/T-REC-x/recommendation.asp?lang=en&amp;parent=T-REC-X.1054" TargetMode="External"/><Relationship Id="rId200" Type="http://schemas.openxmlformats.org/officeDocument/2006/relationships/hyperlink" Target="https://www.itu.int/en/ITU-T/climatechange/Documents/Events/Webinar_explore_a_circular_vision_%20for_the_ICT_sector.pdf" TargetMode="External"/><Relationship Id="rId382" Type="http://schemas.openxmlformats.org/officeDocument/2006/relationships/hyperlink" Target="https://www.itu.int/ITU-T/recommendations/rec.aspx?id=14283" TargetMode="External"/><Relationship Id="rId242" Type="http://schemas.openxmlformats.org/officeDocument/2006/relationships/hyperlink" Target="https://www.itu.int/en/ITU-T/extcoop/Pages/sdo.aspx" TargetMode="External"/><Relationship Id="rId284" Type="http://schemas.openxmlformats.org/officeDocument/2006/relationships/hyperlink" Target="https://www.itu.int/rec/T-REC-G.9962-202007-P!Am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STKaiti">
    <w:charset w:val="86"/>
    <w:family w:val="auto"/>
    <w:pitch w:val="variable"/>
    <w:sig w:usb0="00000287" w:usb1="080F0000" w:usb2="00000010" w:usb3="00000000" w:csb0="0004009F" w:csb1="00000000"/>
  </w:font>
  <w:font w:name="Tahoma,Times New Roman">
    <w:altName w:val="Tahom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45D53"/>
    <w:rsid w:val="00051733"/>
    <w:rsid w:val="00056E2E"/>
    <w:rsid w:val="00062358"/>
    <w:rsid w:val="000640F4"/>
    <w:rsid w:val="00095DFF"/>
    <w:rsid w:val="000A187B"/>
    <w:rsid w:val="000A1F20"/>
    <w:rsid w:val="000A3929"/>
    <w:rsid w:val="000A6E0C"/>
    <w:rsid w:val="000C4640"/>
    <w:rsid w:val="000D04F3"/>
    <w:rsid w:val="000F3FCC"/>
    <w:rsid w:val="00113406"/>
    <w:rsid w:val="00125082"/>
    <w:rsid w:val="001304C5"/>
    <w:rsid w:val="00141D69"/>
    <w:rsid w:val="00154BE5"/>
    <w:rsid w:val="0017462A"/>
    <w:rsid w:val="00181927"/>
    <w:rsid w:val="00186DF2"/>
    <w:rsid w:val="00194B90"/>
    <w:rsid w:val="001B199D"/>
    <w:rsid w:val="001B6FB2"/>
    <w:rsid w:val="001D3012"/>
    <w:rsid w:val="001D7F0B"/>
    <w:rsid w:val="001E5B04"/>
    <w:rsid w:val="001E7F9B"/>
    <w:rsid w:val="001F14D9"/>
    <w:rsid w:val="001F7D9E"/>
    <w:rsid w:val="0020155C"/>
    <w:rsid w:val="00220DB0"/>
    <w:rsid w:val="0023028A"/>
    <w:rsid w:val="002302E8"/>
    <w:rsid w:val="00242F72"/>
    <w:rsid w:val="0026026B"/>
    <w:rsid w:val="00266154"/>
    <w:rsid w:val="00291D2B"/>
    <w:rsid w:val="002932DA"/>
    <w:rsid w:val="00295839"/>
    <w:rsid w:val="002C18D7"/>
    <w:rsid w:val="002D5033"/>
    <w:rsid w:val="002D57FE"/>
    <w:rsid w:val="0030662F"/>
    <w:rsid w:val="00306BFB"/>
    <w:rsid w:val="00323BA2"/>
    <w:rsid w:val="003339F1"/>
    <w:rsid w:val="00344284"/>
    <w:rsid w:val="003473EC"/>
    <w:rsid w:val="003515D3"/>
    <w:rsid w:val="00357BB5"/>
    <w:rsid w:val="0036158A"/>
    <w:rsid w:val="00364AFC"/>
    <w:rsid w:val="0037233E"/>
    <w:rsid w:val="003851EE"/>
    <w:rsid w:val="00392835"/>
    <w:rsid w:val="00394A2A"/>
    <w:rsid w:val="00396F2D"/>
    <w:rsid w:val="003B5A8D"/>
    <w:rsid w:val="003B7E42"/>
    <w:rsid w:val="003D0246"/>
    <w:rsid w:val="004120E5"/>
    <w:rsid w:val="00460BEE"/>
    <w:rsid w:val="00460C35"/>
    <w:rsid w:val="00464E70"/>
    <w:rsid w:val="004777DC"/>
    <w:rsid w:val="004A38FD"/>
    <w:rsid w:val="004C2B5B"/>
    <w:rsid w:val="0051783C"/>
    <w:rsid w:val="00537D9C"/>
    <w:rsid w:val="0054647D"/>
    <w:rsid w:val="00554BF1"/>
    <w:rsid w:val="005945B1"/>
    <w:rsid w:val="005A0DBA"/>
    <w:rsid w:val="005A41FA"/>
    <w:rsid w:val="005A5B7B"/>
    <w:rsid w:val="005C399A"/>
    <w:rsid w:val="005C61BF"/>
    <w:rsid w:val="005F564F"/>
    <w:rsid w:val="00600DF0"/>
    <w:rsid w:val="00602118"/>
    <w:rsid w:val="0060489C"/>
    <w:rsid w:val="006277CD"/>
    <w:rsid w:val="00633D42"/>
    <w:rsid w:val="00634F0D"/>
    <w:rsid w:val="00655FEF"/>
    <w:rsid w:val="006567E9"/>
    <w:rsid w:val="00670B43"/>
    <w:rsid w:val="0067214C"/>
    <w:rsid w:val="00687AC0"/>
    <w:rsid w:val="0069691A"/>
    <w:rsid w:val="006A36B7"/>
    <w:rsid w:val="006A557C"/>
    <w:rsid w:val="006B44EE"/>
    <w:rsid w:val="006D7720"/>
    <w:rsid w:val="00701EE1"/>
    <w:rsid w:val="00713821"/>
    <w:rsid w:val="007227CA"/>
    <w:rsid w:val="00727C05"/>
    <w:rsid w:val="00733213"/>
    <w:rsid w:val="00751AEA"/>
    <w:rsid w:val="007525A2"/>
    <w:rsid w:val="0075345A"/>
    <w:rsid w:val="00762E99"/>
    <w:rsid w:val="007635D3"/>
    <w:rsid w:val="007B08DC"/>
    <w:rsid w:val="007B0FDA"/>
    <w:rsid w:val="007B456B"/>
    <w:rsid w:val="007C0258"/>
    <w:rsid w:val="007D6B89"/>
    <w:rsid w:val="007E4E44"/>
    <w:rsid w:val="007E5CEE"/>
    <w:rsid w:val="007F010E"/>
    <w:rsid w:val="00810A93"/>
    <w:rsid w:val="00810CDD"/>
    <w:rsid w:val="00812B97"/>
    <w:rsid w:val="00813ED7"/>
    <w:rsid w:val="00816154"/>
    <w:rsid w:val="00822B8F"/>
    <w:rsid w:val="00825B45"/>
    <w:rsid w:val="00826442"/>
    <w:rsid w:val="00843B72"/>
    <w:rsid w:val="0085759D"/>
    <w:rsid w:val="00866C70"/>
    <w:rsid w:val="00884AD4"/>
    <w:rsid w:val="0089158E"/>
    <w:rsid w:val="008A3ED4"/>
    <w:rsid w:val="008E0E6D"/>
    <w:rsid w:val="008F7972"/>
    <w:rsid w:val="00900CE7"/>
    <w:rsid w:val="0090252F"/>
    <w:rsid w:val="00903FED"/>
    <w:rsid w:val="00952CD2"/>
    <w:rsid w:val="00956927"/>
    <w:rsid w:val="00973C3F"/>
    <w:rsid w:val="0098527D"/>
    <w:rsid w:val="009914C6"/>
    <w:rsid w:val="009937CD"/>
    <w:rsid w:val="009A0F9B"/>
    <w:rsid w:val="009A766A"/>
    <w:rsid w:val="009B2421"/>
    <w:rsid w:val="009B503F"/>
    <w:rsid w:val="009C7968"/>
    <w:rsid w:val="009E31DF"/>
    <w:rsid w:val="009E7B31"/>
    <w:rsid w:val="009F1986"/>
    <w:rsid w:val="00A11C42"/>
    <w:rsid w:val="00A31A35"/>
    <w:rsid w:val="00A432EA"/>
    <w:rsid w:val="00A60B9C"/>
    <w:rsid w:val="00A64101"/>
    <w:rsid w:val="00A80F1B"/>
    <w:rsid w:val="00A85CD5"/>
    <w:rsid w:val="00AA1B75"/>
    <w:rsid w:val="00AA44C5"/>
    <w:rsid w:val="00AB6B24"/>
    <w:rsid w:val="00AD0B57"/>
    <w:rsid w:val="00AF1076"/>
    <w:rsid w:val="00AF3630"/>
    <w:rsid w:val="00B06CC3"/>
    <w:rsid w:val="00B225C0"/>
    <w:rsid w:val="00B300E3"/>
    <w:rsid w:val="00B406C8"/>
    <w:rsid w:val="00B416B2"/>
    <w:rsid w:val="00B722E6"/>
    <w:rsid w:val="00B768B3"/>
    <w:rsid w:val="00B81036"/>
    <w:rsid w:val="00B813C2"/>
    <w:rsid w:val="00B9278F"/>
    <w:rsid w:val="00BA55D5"/>
    <w:rsid w:val="00BA5794"/>
    <w:rsid w:val="00BB4BF1"/>
    <w:rsid w:val="00BC3B1C"/>
    <w:rsid w:val="00BC5FA1"/>
    <w:rsid w:val="00BE4B1B"/>
    <w:rsid w:val="00BF349E"/>
    <w:rsid w:val="00C01AF4"/>
    <w:rsid w:val="00C042CD"/>
    <w:rsid w:val="00C103E2"/>
    <w:rsid w:val="00C1420B"/>
    <w:rsid w:val="00C1510C"/>
    <w:rsid w:val="00C25430"/>
    <w:rsid w:val="00C26667"/>
    <w:rsid w:val="00C2711C"/>
    <w:rsid w:val="00C308C0"/>
    <w:rsid w:val="00C30D4D"/>
    <w:rsid w:val="00C3710C"/>
    <w:rsid w:val="00C40029"/>
    <w:rsid w:val="00C5041B"/>
    <w:rsid w:val="00C70686"/>
    <w:rsid w:val="00C83D5B"/>
    <w:rsid w:val="00C94540"/>
    <w:rsid w:val="00C968BC"/>
    <w:rsid w:val="00CA401D"/>
    <w:rsid w:val="00CA45D1"/>
    <w:rsid w:val="00CA5487"/>
    <w:rsid w:val="00CB0DC8"/>
    <w:rsid w:val="00CB0F4F"/>
    <w:rsid w:val="00CB4B45"/>
    <w:rsid w:val="00CC047F"/>
    <w:rsid w:val="00CC169B"/>
    <w:rsid w:val="00CC3AFA"/>
    <w:rsid w:val="00CC3D76"/>
    <w:rsid w:val="00D001A3"/>
    <w:rsid w:val="00D0251D"/>
    <w:rsid w:val="00D03C0E"/>
    <w:rsid w:val="00D20699"/>
    <w:rsid w:val="00D36D60"/>
    <w:rsid w:val="00D50FE1"/>
    <w:rsid w:val="00D51374"/>
    <w:rsid w:val="00D60A7E"/>
    <w:rsid w:val="00D62C3D"/>
    <w:rsid w:val="00DA4B6E"/>
    <w:rsid w:val="00DA6F65"/>
    <w:rsid w:val="00DA73E5"/>
    <w:rsid w:val="00DD7197"/>
    <w:rsid w:val="00DF1DA7"/>
    <w:rsid w:val="00DF33E0"/>
    <w:rsid w:val="00E0639D"/>
    <w:rsid w:val="00E333A7"/>
    <w:rsid w:val="00E354AA"/>
    <w:rsid w:val="00E56774"/>
    <w:rsid w:val="00E76DF8"/>
    <w:rsid w:val="00E800E1"/>
    <w:rsid w:val="00E904AF"/>
    <w:rsid w:val="00E91357"/>
    <w:rsid w:val="00E920BD"/>
    <w:rsid w:val="00EB05D1"/>
    <w:rsid w:val="00EB2B73"/>
    <w:rsid w:val="00EE2491"/>
    <w:rsid w:val="00EE3336"/>
    <w:rsid w:val="00EF6D5F"/>
    <w:rsid w:val="00F03D3A"/>
    <w:rsid w:val="00F20FD3"/>
    <w:rsid w:val="00F23C80"/>
    <w:rsid w:val="00F30FD2"/>
    <w:rsid w:val="00F43C6E"/>
    <w:rsid w:val="00F50376"/>
    <w:rsid w:val="00F5450E"/>
    <w:rsid w:val="00F60BBE"/>
    <w:rsid w:val="00F774C9"/>
    <w:rsid w:val="00F95D9D"/>
    <w:rsid w:val="00FA48B2"/>
    <w:rsid w:val="00FB21AE"/>
    <w:rsid w:val="00FC31C6"/>
    <w:rsid w:val="00FD06CD"/>
    <w:rsid w:val="00FD226D"/>
    <w:rsid w:val="00FE48E9"/>
    <w:rsid w:val="00FE7965"/>
    <w:rsid w:val="00FF6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9B3061DF65664B739FC85AE6A219CA21">
    <w:name w:val="9B3061DF65664B739FC85AE6A219CA21"/>
    <w:rsid w:val="00EA7C1D"/>
  </w:style>
  <w:style w:type="paragraph" w:customStyle="1" w:styleId="C726367F34C5411280E545CCA5531E6D">
    <w:name w:val="C726367F34C5411280E545CCA5531E6D"/>
    <w:rsid w:val="00F95D9D"/>
    <w:rPr>
      <w:lang w:val="en-US" w:eastAsia="en-US"/>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FF9D3-AD49-4CE1-A7D6-D6613B533EB4}">
  <ds:schemaRef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0d1600e8-004f-4c6f-afe8-0c63f3945779"/>
    <ds:schemaRef ds:uri="http://purl.org/dc/terms/"/>
  </ds:schemaRefs>
</ds:datastoreItem>
</file>

<file path=customXml/itemProps3.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4.xml><?xml version="1.0" encoding="utf-8"?>
<ds:datastoreItem xmlns:ds="http://schemas.openxmlformats.org/officeDocument/2006/customXml" ds:itemID="{066195CC-BF86-43E1-8D37-2175EB98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3</TotalTime>
  <Pages>96</Pages>
  <Words>52579</Words>
  <Characters>299704</Characters>
  <Application>Microsoft Office Word</Application>
  <DocSecurity>0</DocSecurity>
  <Lines>2497</Lines>
  <Paragraphs>703</Paragraphs>
  <ScaleCrop>false</ScaleCrop>
  <HeadingPairs>
    <vt:vector size="2" baseType="variant">
      <vt:variant>
        <vt:lpstr>Title</vt:lpstr>
      </vt:variant>
      <vt:variant>
        <vt:i4>1</vt:i4>
      </vt:variant>
    </vt:vector>
  </HeadingPairs>
  <TitlesOfParts>
    <vt:vector size="1" baseType="lpstr">
      <vt:lpstr>Report of activities in ITU-T (from January to August 2020)</vt:lpstr>
    </vt:vector>
  </TitlesOfParts>
  <Manager>ITU-T</Manager>
  <Company>International Telecommunication Union (ITU)</Company>
  <LinksUpToDate>false</LinksUpToDate>
  <CharactersWithSpaces>351580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January to August 2020)</dc:title>
  <dc:subject/>
  <dc:creator>Director, TSB</dc:creator>
  <cp:keywords/>
  <dc:description>TSAG-TD778  For: E-Meeting, 21-25 September 2020_x000d_Document date: _x000d_Saved by ITU51011769 at 10:48:30 on 15/09/2020</dc:description>
  <cp:lastModifiedBy>Al-Mnini, Lara</cp:lastModifiedBy>
  <cp:revision>3</cp:revision>
  <cp:lastPrinted>2018-10-11T00:17:00Z</cp:lastPrinted>
  <dcterms:created xsi:type="dcterms:W3CDTF">2020-09-18T12:48:00Z</dcterms:created>
  <dcterms:modified xsi:type="dcterms:W3CDTF">2020-09-18T12:50:00Z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TSAG-TD778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21-25 September 2020</vt:lpwstr>
  </property>
  <property fmtid="{D5CDD505-2E9C-101B-9397-08002B2CF9AE}" pid="7" name="Docauthor">
    <vt:lpwstr>Director, TSB</vt:lpwstr>
  </property>
  <property fmtid="{D5CDD505-2E9C-101B-9397-08002B2CF9AE}" pid="8" name="ContentTypeId">
    <vt:lpwstr>0x010100714706B5C8C0E7438BEF2951889CCA4F</vt:lpwstr>
  </property>
</Properties>
</file>