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C44FDC" w:rsidRPr="00C44FDC" w14:paraId="70A563D1" w14:textId="77777777" w:rsidTr="003F6975">
        <w:trPr>
          <w:cantSplit/>
        </w:trPr>
        <w:tc>
          <w:tcPr>
            <w:tcW w:w="1191" w:type="dxa"/>
            <w:vMerge w:val="restart"/>
          </w:tcPr>
          <w:p w14:paraId="7A918AF6" w14:textId="77777777" w:rsidR="00C44FDC" w:rsidRPr="00C44FDC" w:rsidRDefault="00C44FDC" w:rsidP="00C44FDC">
            <w:pPr>
              <w:rPr>
                <w:sz w:val="20"/>
              </w:rPr>
            </w:pPr>
            <w:bookmarkStart w:id="0" w:name="_GoBack"/>
            <w:bookmarkStart w:id="1" w:name="dnum" w:colFirst="2" w:colLast="2"/>
            <w:bookmarkStart w:id="2" w:name="dtableau"/>
            <w:bookmarkEnd w:id="0"/>
            <w:r w:rsidRPr="00C44FDC">
              <w:rPr>
                <w:noProof/>
                <w:sz w:val="20"/>
              </w:rPr>
              <w:drawing>
                <wp:inline distT="0" distB="0" distL="0" distR="0" wp14:anchorId="3A00C389" wp14:editId="4A5A222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8CF049" w14:textId="77777777" w:rsidR="00C44FDC" w:rsidRPr="00C44FDC" w:rsidRDefault="00C44FDC" w:rsidP="00C44FDC">
            <w:pPr>
              <w:rPr>
                <w:sz w:val="16"/>
                <w:szCs w:val="16"/>
              </w:rPr>
            </w:pPr>
            <w:r w:rsidRPr="00C44FDC">
              <w:rPr>
                <w:sz w:val="16"/>
                <w:szCs w:val="16"/>
              </w:rPr>
              <w:t>INTERNATIONAL TELECOMMUNICATION UNION</w:t>
            </w:r>
          </w:p>
          <w:p w14:paraId="05EAF02C" w14:textId="77777777" w:rsidR="00C44FDC" w:rsidRPr="00C44FDC" w:rsidRDefault="00C44FDC" w:rsidP="00C44FDC">
            <w:pPr>
              <w:rPr>
                <w:b/>
                <w:bCs/>
                <w:sz w:val="26"/>
                <w:szCs w:val="26"/>
              </w:rPr>
            </w:pPr>
            <w:r w:rsidRPr="00C44FDC">
              <w:rPr>
                <w:b/>
                <w:bCs/>
                <w:sz w:val="26"/>
                <w:szCs w:val="26"/>
              </w:rPr>
              <w:t>TELECOMMUNICATION</w:t>
            </w:r>
            <w:r w:rsidRPr="00C44FDC">
              <w:rPr>
                <w:b/>
                <w:bCs/>
                <w:sz w:val="26"/>
                <w:szCs w:val="26"/>
              </w:rPr>
              <w:br/>
              <w:t>STANDARDIZATION SECTOR</w:t>
            </w:r>
          </w:p>
          <w:p w14:paraId="210C7EAF" w14:textId="77777777" w:rsidR="00C44FDC" w:rsidRPr="00C44FDC" w:rsidRDefault="00C44FDC" w:rsidP="00C44FDC">
            <w:pPr>
              <w:rPr>
                <w:sz w:val="20"/>
              </w:rPr>
            </w:pPr>
            <w:r w:rsidRPr="00C44FDC">
              <w:rPr>
                <w:sz w:val="20"/>
              </w:rPr>
              <w:t xml:space="preserve">STUDY PERIOD </w:t>
            </w:r>
            <w:bookmarkStart w:id="3" w:name="dstudyperiod"/>
            <w:r w:rsidRPr="00C44FDC">
              <w:rPr>
                <w:sz w:val="20"/>
              </w:rPr>
              <w:t>2017-2020</w:t>
            </w:r>
            <w:bookmarkEnd w:id="3"/>
          </w:p>
        </w:tc>
        <w:tc>
          <w:tcPr>
            <w:tcW w:w="4681" w:type="dxa"/>
            <w:vAlign w:val="center"/>
          </w:tcPr>
          <w:p w14:paraId="7764C9FA" w14:textId="08DE63B3" w:rsidR="00C44FDC" w:rsidRPr="00C44FDC" w:rsidRDefault="00C44FDC" w:rsidP="00C44FDC">
            <w:pPr>
              <w:pStyle w:val="Docnumber"/>
            </w:pPr>
            <w:r>
              <w:t>TSAG-TD788</w:t>
            </w:r>
          </w:p>
        </w:tc>
      </w:tr>
      <w:tr w:rsidR="00C44FDC" w:rsidRPr="00C44FDC" w14:paraId="516BA773" w14:textId="77777777" w:rsidTr="003F6975">
        <w:trPr>
          <w:cantSplit/>
        </w:trPr>
        <w:tc>
          <w:tcPr>
            <w:tcW w:w="1191" w:type="dxa"/>
            <w:vMerge/>
          </w:tcPr>
          <w:p w14:paraId="13F34DA0" w14:textId="77777777" w:rsidR="00C44FDC" w:rsidRPr="00C44FDC" w:rsidRDefault="00C44FDC" w:rsidP="00C44FDC">
            <w:pPr>
              <w:rPr>
                <w:smallCaps/>
                <w:sz w:val="20"/>
              </w:rPr>
            </w:pPr>
            <w:bookmarkStart w:id="4" w:name="dsg" w:colFirst="2" w:colLast="2"/>
            <w:bookmarkEnd w:id="1"/>
          </w:p>
        </w:tc>
        <w:tc>
          <w:tcPr>
            <w:tcW w:w="4051" w:type="dxa"/>
            <w:gridSpan w:val="3"/>
            <w:vMerge/>
          </w:tcPr>
          <w:p w14:paraId="77F5C0F9" w14:textId="77777777" w:rsidR="00C44FDC" w:rsidRPr="00C44FDC" w:rsidRDefault="00C44FDC" w:rsidP="00C44FDC">
            <w:pPr>
              <w:rPr>
                <w:smallCaps/>
                <w:sz w:val="20"/>
              </w:rPr>
            </w:pPr>
          </w:p>
        </w:tc>
        <w:tc>
          <w:tcPr>
            <w:tcW w:w="4681" w:type="dxa"/>
          </w:tcPr>
          <w:p w14:paraId="29F90619" w14:textId="08B00595" w:rsidR="00C44FDC" w:rsidRPr="00C44FDC" w:rsidRDefault="00C44FDC" w:rsidP="00C44FDC">
            <w:pPr>
              <w:jc w:val="right"/>
              <w:rPr>
                <w:b/>
                <w:bCs/>
                <w:smallCaps/>
                <w:sz w:val="28"/>
                <w:szCs w:val="28"/>
              </w:rPr>
            </w:pPr>
            <w:r>
              <w:rPr>
                <w:b/>
                <w:bCs/>
                <w:smallCaps/>
                <w:sz w:val="28"/>
                <w:szCs w:val="28"/>
              </w:rPr>
              <w:t>TSAG</w:t>
            </w:r>
          </w:p>
        </w:tc>
      </w:tr>
      <w:bookmarkEnd w:id="4"/>
      <w:tr w:rsidR="00C44FDC" w:rsidRPr="00C44FDC" w14:paraId="09F95265" w14:textId="77777777" w:rsidTr="003F6975">
        <w:trPr>
          <w:cantSplit/>
        </w:trPr>
        <w:tc>
          <w:tcPr>
            <w:tcW w:w="1191" w:type="dxa"/>
            <w:vMerge/>
            <w:tcBorders>
              <w:bottom w:val="single" w:sz="12" w:space="0" w:color="auto"/>
            </w:tcBorders>
          </w:tcPr>
          <w:p w14:paraId="2A03D3BA" w14:textId="77777777" w:rsidR="00C44FDC" w:rsidRPr="00C44FDC" w:rsidRDefault="00C44FDC" w:rsidP="00C44FDC">
            <w:pPr>
              <w:rPr>
                <w:b/>
                <w:bCs/>
                <w:sz w:val="26"/>
              </w:rPr>
            </w:pPr>
          </w:p>
        </w:tc>
        <w:tc>
          <w:tcPr>
            <w:tcW w:w="4051" w:type="dxa"/>
            <w:gridSpan w:val="3"/>
            <w:vMerge/>
            <w:tcBorders>
              <w:bottom w:val="single" w:sz="12" w:space="0" w:color="auto"/>
            </w:tcBorders>
          </w:tcPr>
          <w:p w14:paraId="6FDE3E17" w14:textId="77777777" w:rsidR="00C44FDC" w:rsidRPr="00C44FDC" w:rsidRDefault="00C44FDC" w:rsidP="00C44FDC">
            <w:pPr>
              <w:rPr>
                <w:b/>
                <w:bCs/>
                <w:sz w:val="26"/>
              </w:rPr>
            </w:pPr>
          </w:p>
        </w:tc>
        <w:tc>
          <w:tcPr>
            <w:tcW w:w="4681" w:type="dxa"/>
            <w:tcBorders>
              <w:bottom w:val="single" w:sz="12" w:space="0" w:color="auto"/>
            </w:tcBorders>
            <w:vAlign w:val="center"/>
          </w:tcPr>
          <w:p w14:paraId="3C00E90C" w14:textId="77777777" w:rsidR="00C44FDC" w:rsidRPr="00C44FDC" w:rsidRDefault="00C44FDC" w:rsidP="00C44FDC">
            <w:pPr>
              <w:jc w:val="right"/>
              <w:rPr>
                <w:b/>
                <w:bCs/>
                <w:sz w:val="28"/>
                <w:szCs w:val="28"/>
              </w:rPr>
            </w:pPr>
            <w:r w:rsidRPr="00C44FDC">
              <w:rPr>
                <w:b/>
                <w:bCs/>
                <w:sz w:val="28"/>
                <w:szCs w:val="28"/>
              </w:rPr>
              <w:t>Original: English</w:t>
            </w:r>
          </w:p>
        </w:tc>
      </w:tr>
      <w:tr w:rsidR="00C44FDC" w:rsidRPr="00C44FDC" w14:paraId="564CFBC2" w14:textId="77777777" w:rsidTr="003F6975">
        <w:trPr>
          <w:cantSplit/>
        </w:trPr>
        <w:tc>
          <w:tcPr>
            <w:tcW w:w="1617" w:type="dxa"/>
            <w:gridSpan w:val="3"/>
          </w:tcPr>
          <w:p w14:paraId="3CDAA8C9" w14:textId="77777777" w:rsidR="00C44FDC" w:rsidRPr="00C44FDC" w:rsidRDefault="00C44FDC" w:rsidP="00C44FDC">
            <w:pPr>
              <w:rPr>
                <w:b/>
                <w:bCs/>
                <w:szCs w:val="24"/>
              </w:rPr>
            </w:pPr>
            <w:bookmarkStart w:id="5" w:name="dbluepink" w:colFirst="1" w:colLast="1"/>
            <w:bookmarkStart w:id="6" w:name="dmeeting" w:colFirst="2" w:colLast="2"/>
            <w:r w:rsidRPr="00C44FDC">
              <w:rPr>
                <w:b/>
                <w:bCs/>
                <w:szCs w:val="24"/>
              </w:rPr>
              <w:t>Question(s):</w:t>
            </w:r>
          </w:p>
        </w:tc>
        <w:tc>
          <w:tcPr>
            <w:tcW w:w="3625" w:type="dxa"/>
          </w:tcPr>
          <w:p w14:paraId="2B89F46C" w14:textId="2B08E144" w:rsidR="00C44FDC" w:rsidRPr="00C44FDC" w:rsidRDefault="00C44FDC" w:rsidP="00C44FDC">
            <w:pPr>
              <w:rPr>
                <w:szCs w:val="24"/>
              </w:rPr>
            </w:pPr>
            <w:r w:rsidRPr="00C44FDC">
              <w:rPr>
                <w:szCs w:val="24"/>
              </w:rPr>
              <w:t>N/A</w:t>
            </w:r>
          </w:p>
        </w:tc>
        <w:tc>
          <w:tcPr>
            <w:tcW w:w="4681" w:type="dxa"/>
          </w:tcPr>
          <w:p w14:paraId="66729F0F" w14:textId="0EB6BD48" w:rsidR="00C44FDC" w:rsidRPr="00C44FDC" w:rsidRDefault="00C44FDC" w:rsidP="00C44FDC">
            <w:pPr>
              <w:jc w:val="right"/>
              <w:rPr>
                <w:szCs w:val="24"/>
              </w:rPr>
            </w:pPr>
            <w:r w:rsidRPr="00C44FDC">
              <w:rPr>
                <w:szCs w:val="24"/>
              </w:rPr>
              <w:t>E-Meeting, 21-25 September 2020</w:t>
            </w:r>
          </w:p>
        </w:tc>
      </w:tr>
      <w:tr w:rsidR="00C44FDC" w:rsidRPr="00C44FDC" w14:paraId="0F8BDF0F" w14:textId="77777777" w:rsidTr="003F6975">
        <w:trPr>
          <w:cantSplit/>
        </w:trPr>
        <w:tc>
          <w:tcPr>
            <w:tcW w:w="9923" w:type="dxa"/>
            <w:gridSpan w:val="5"/>
          </w:tcPr>
          <w:p w14:paraId="62631E3C" w14:textId="5AD2FB5C" w:rsidR="00C44FDC" w:rsidRPr="00C44FDC" w:rsidRDefault="00C44FDC" w:rsidP="00C44FDC">
            <w:pPr>
              <w:jc w:val="center"/>
              <w:rPr>
                <w:b/>
                <w:bCs/>
                <w:szCs w:val="24"/>
              </w:rPr>
            </w:pPr>
            <w:bookmarkStart w:id="7" w:name="ddoctype" w:colFirst="0" w:colLast="0"/>
            <w:bookmarkEnd w:id="5"/>
            <w:bookmarkEnd w:id="6"/>
            <w:r w:rsidRPr="00C44FDC">
              <w:rPr>
                <w:b/>
                <w:bCs/>
                <w:szCs w:val="24"/>
              </w:rPr>
              <w:t>TD</w:t>
            </w:r>
          </w:p>
        </w:tc>
      </w:tr>
      <w:tr w:rsidR="00C44FDC" w:rsidRPr="00C44FDC" w14:paraId="005C0239" w14:textId="77777777" w:rsidTr="003F6975">
        <w:trPr>
          <w:cantSplit/>
        </w:trPr>
        <w:tc>
          <w:tcPr>
            <w:tcW w:w="1617" w:type="dxa"/>
            <w:gridSpan w:val="3"/>
          </w:tcPr>
          <w:p w14:paraId="03F8EE36" w14:textId="77777777" w:rsidR="00C44FDC" w:rsidRPr="00C44FDC" w:rsidRDefault="00C44FDC" w:rsidP="00C44FDC">
            <w:pPr>
              <w:rPr>
                <w:b/>
                <w:bCs/>
                <w:szCs w:val="24"/>
              </w:rPr>
            </w:pPr>
            <w:bookmarkStart w:id="8" w:name="dsource" w:colFirst="1" w:colLast="1"/>
            <w:bookmarkEnd w:id="7"/>
            <w:r w:rsidRPr="00C44FDC">
              <w:rPr>
                <w:b/>
                <w:bCs/>
                <w:szCs w:val="24"/>
              </w:rPr>
              <w:t>Source:</w:t>
            </w:r>
          </w:p>
        </w:tc>
        <w:tc>
          <w:tcPr>
            <w:tcW w:w="8306" w:type="dxa"/>
            <w:gridSpan w:val="2"/>
          </w:tcPr>
          <w:p w14:paraId="7FD74416" w14:textId="138822E3" w:rsidR="00C44FDC" w:rsidRPr="00C44FDC" w:rsidRDefault="00C44FDC" w:rsidP="00C44FDC">
            <w:pPr>
              <w:rPr>
                <w:szCs w:val="24"/>
              </w:rPr>
            </w:pPr>
            <w:r w:rsidRPr="00C44FDC">
              <w:rPr>
                <w:szCs w:val="24"/>
              </w:rPr>
              <w:t>Director, TSB</w:t>
            </w:r>
          </w:p>
        </w:tc>
      </w:tr>
      <w:tr w:rsidR="00C44FDC" w:rsidRPr="00C44FDC" w14:paraId="6EEFA437" w14:textId="77777777" w:rsidTr="003F6975">
        <w:trPr>
          <w:cantSplit/>
        </w:trPr>
        <w:tc>
          <w:tcPr>
            <w:tcW w:w="1617" w:type="dxa"/>
            <w:gridSpan w:val="3"/>
          </w:tcPr>
          <w:p w14:paraId="64CDEC7E" w14:textId="77777777" w:rsidR="00C44FDC" w:rsidRPr="00C44FDC" w:rsidRDefault="00C44FDC" w:rsidP="00C44FDC">
            <w:pPr>
              <w:rPr>
                <w:szCs w:val="24"/>
              </w:rPr>
            </w:pPr>
            <w:bookmarkStart w:id="9" w:name="dtitle1" w:colFirst="1" w:colLast="1"/>
            <w:bookmarkEnd w:id="8"/>
            <w:r w:rsidRPr="00C44FDC">
              <w:rPr>
                <w:b/>
                <w:bCs/>
                <w:szCs w:val="24"/>
              </w:rPr>
              <w:t>Title:</w:t>
            </w:r>
          </w:p>
        </w:tc>
        <w:tc>
          <w:tcPr>
            <w:tcW w:w="8306" w:type="dxa"/>
            <w:gridSpan w:val="2"/>
          </w:tcPr>
          <w:p w14:paraId="4AF688EC" w14:textId="68AF2CFD" w:rsidR="00C44FDC" w:rsidRPr="00C44FDC" w:rsidRDefault="00C44FDC" w:rsidP="00C44FDC">
            <w:pPr>
              <w:rPr>
                <w:szCs w:val="24"/>
              </w:rPr>
            </w:pPr>
            <w:r w:rsidRPr="00C44FDC">
              <w:rPr>
                <w:szCs w:val="24"/>
              </w:rPr>
              <w:t>Report of activities in ITU-T (from January to August 2020)</w:t>
            </w:r>
          </w:p>
        </w:tc>
      </w:tr>
      <w:tr w:rsidR="00C44FDC" w:rsidRPr="00C44FDC" w14:paraId="6C2A9E1E" w14:textId="77777777" w:rsidTr="003F6975">
        <w:trPr>
          <w:cantSplit/>
        </w:trPr>
        <w:tc>
          <w:tcPr>
            <w:tcW w:w="1617" w:type="dxa"/>
            <w:gridSpan w:val="3"/>
            <w:tcBorders>
              <w:bottom w:val="single" w:sz="8" w:space="0" w:color="auto"/>
            </w:tcBorders>
          </w:tcPr>
          <w:p w14:paraId="7A7BD40E" w14:textId="77777777" w:rsidR="00C44FDC" w:rsidRPr="00C44FDC" w:rsidRDefault="00C44FDC" w:rsidP="00C44FDC">
            <w:pPr>
              <w:rPr>
                <w:b/>
                <w:bCs/>
                <w:szCs w:val="24"/>
              </w:rPr>
            </w:pPr>
            <w:bookmarkStart w:id="10" w:name="dpurpose" w:colFirst="1" w:colLast="1"/>
            <w:bookmarkEnd w:id="9"/>
            <w:r w:rsidRPr="00C44FDC">
              <w:rPr>
                <w:b/>
                <w:bCs/>
                <w:szCs w:val="24"/>
              </w:rPr>
              <w:t>Purpose:</w:t>
            </w:r>
          </w:p>
        </w:tc>
        <w:tc>
          <w:tcPr>
            <w:tcW w:w="8306" w:type="dxa"/>
            <w:gridSpan w:val="2"/>
            <w:tcBorders>
              <w:bottom w:val="single" w:sz="8" w:space="0" w:color="auto"/>
            </w:tcBorders>
          </w:tcPr>
          <w:p w14:paraId="7B830382" w14:textId="235DCD8A" w:rsidR="00C44FDC" w:rsidRPr="00C44FDC" w:rsidRDefault="00C44FDC" w:rsidP="00C44FDC">
            <w:pPr>
              <w:rPr>
                <w:szCs w:val="24"/>
              </w:rPr>
            </w:pPr>
            <w:r w:rsidRPr="00C44FDC">
              <w:rPr>
                <w:szCs w:val="24"/>
              </w:rPr>
              <w:t>Information</w:t>
            </w:r>
          </w:p>
        </w:tc>
      </w:tr>
      <w:bookmarkEnd w:id="2"/>
      <w:bookmarkEnd w:id="10"/>
      <w:tr w:rsidR="006944F8" w:rsidRPr="00C44FDC" w14:paraId="7D7943CD" w14:textId="77777777" w:rsidTr="5F2B6CF0">
        <w:trPr>
          <w:cantSplit/>
        </w:trPr>
        <w:tc>
          <w:tcPr>
            <w:tcW w:w="1607"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4EF73A02" w14:textId="2C625872" w:rsidR="006944F8" w:rsidRPr="007F20DF" w:rsidRDefault="006944F8" w:rsidP="00C44FDC">
            <w:pPr>
              <w:spacing w:after="40"/>
              <w:rPr>
                <w:rFonts w:eastAsiaTheme="minorEastAsia"/>
                <w:lang w:val="it-IT"/>
              </w:rPr>
            </w:pPr>
            <w:r w:rsidRPr="007F20DF">
              <w:rPr>
                <w:rFonts w:eastAsiaTheme="minorEastAsia"/>
                <w:lang w:val="it-IT"/>
              </w:rPr>
              <w:t xml:space="preserve">E-mail: </w:t>
            </w:r>
            <w:r w:rsidR="00C44FDC">
              <w:rPr>
                <w:rFonts w:eastAsiaTheme="minorEastAsia"/>
                <w:lang w:val="it-IT"/>
              </w:rPr>
              <w:fldChar w:fldCharType="begin"/>
            </w:r>
            <w:r w:rsidR="00C44FDC">
              <w:rPr>
                <w:rFonts w:eastAsiaTheme="minorEastAsia"/>
                <w:lang w:val="it-IT"/>
              </w:rPr>
              <w:instrText xml:space="preserve"> HYPERLINK "mailto:</w:instrText>
            </w:r>
            <w:r w:rsidR="00C44FDC" w:rsidRPr="002014D8">
              <w:rPr>
                <w:rFonts w:eastAsiaTheme="minorEastAsia"/>
                <w:lang w:val="it-IT"/>
              </w:rPr>
              <w:instrText>tsbtsag@itu.int</w:instrText>
            </w:r>
            <w:r w:rsidR="00C44FDC">
              <w:rPr>
                <w:rFonts w:eastAsiaTheme="minorEastAsia"/>
                <w:lang w:val="it-IT"/>
              </w:rPr>
              <w:instrText xml:space="preserve">" </w:instrText>
            </w:r>
            <w:r w:rsidR="00C44FDC">
              <w:rPr>
                <w:rFonts w:eastAsiaTheme="minorEastAsia"/>
                <w:lang w:val="it-IT"/>
              </w:rPr>
              <w:fldChar w:fldCharType="separate"/>
            </w:r>
            <w:r w:rsidR="00C44FDC" w:rsidRPr="003E35EF">
              <w:rPr>
                <w:rStyle w:val="Hyperlink"/>
                <w:rFonts w:eastAsiaTheme="minorEastAsia"/>
                <w:lang w:val="it-IT"/>
              </w:rPr>
              <w:t>tsbtsag@itu.int</w:t>
            </w:r>
            <w:r w:rsidR="00C44FDC">
              <w:rPr>
                <w:rFonts w:eastAsiaTheme="minorEastAsia"/>
                <w:lang w:val="it-IT"/>
              </w:rPr>
              <w:fldChar w:fldCharType="end"/>
            </w:r>
            <w:r w:rsidR="00C44FDC">
              <w:rPr>
                <w:rFonts w:eastAsiaTheme="minorEastAsia"/>
                <w:lang w:val="it-IT"/>
              </w:rPr>
              <w:t xml:space="preserve"> </w:t>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13D1A91E"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A21866">
                  <w:rPr>
                    <w:lang w:val="en-GB"/>
                  </w:rPr>
                  <w:t>January</w:t>
                </w:r>
                <w:r w:rsidR="00754A77" w:rsidRPr="00754A77">
                  <w:rPr>
                    <w:lang w:val="en-GB"/>
                  </w:rPr>
                  <w:t xml:space="preserve"> </w:t>
                </w:r>
                <w:r w:rsidRPr="00754A77" w:rsidDel="0033393D">
                  <w:rPr>
                    <w:lang w:val="en-GB"/>
                  </w:rPr>
                  <w:t xml:space="preserve">to </w:t>
                </w:r>
                <w:r w:rsidR="00A21866">
                  <w:rPr>
                    <w:lang w:val="en-GB"/>
                  </w:rPr>
                  <w:t xml:space="preserve">August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5B7D36C9" w14:textId="0E9894B8" w:rsidR="001C37A8" w:rsidRDefault="00AE16FE" w:rsidP="0007275C">
      <w:pPr>
        <w:rPr>
          <w:highlight w:val="yellow"/>
          <w:lang w:val="en-GB"/>
        </w:rPr>
      </w:pPr>
      <w:r>
        <w:rPr>
          <w:highlight w:val="yellow"/>
          <w:lang w:val="en-GB"/>
        </w:rPr>
        <w:t xml:space="preserve">Status: </w:t>
      </w:r>
      <w:r w:rsidR="004F44CF">
        <w:rPr>
          <w:highlight w:val="yellow"/>
          <w:lang w:val="en-GB"/>
        </w:rPr>
        <w:t>1</w:t>
      </w:r>
      <w:r w:rsidR="006D4E6C">
        <w:rPr>
          <w:highlight w:val="yellow"/>
          <w:lang w:val="en-GB"/>
        </w:rPr>
        <w:t>5</w:t>
      </w:r>
      <w:r w:rsidR="008B6776">
        <w:rPr>
          <w:highlight w:val="yellow"/>
          <w:lang w:val="en-GB"/>
        </w:rPr>
        <w:t xml:space="preserve"> September</w:t>
      </w:r>
      <w:r w:rsidR="00CE77C5">
        <w:rPr>
          <w:highlight w:val="yellow"/>
          <w:lang w:val="en-GB"/>
        </w:rPr>
        <w:t xml:space="preserve"> </w:t>
      </w:r>
      <w:r w:rsidR="00955DF9">
        <w:rPr>
          <w:highlight w:val="yellow"/>
          <w:lang w:val="en-GB"/>
        </w:rPr>
        <w:t>20</w:t>
      </w:r>
      <w:r w:rsidR="008043FA">
        <w:rPr>
          <w:highlight w:val="yellow"/>
          <w:lang w:val="en-GB"/>
        </w:rPr>
        <w:t>20</w:t>
      </w:r>
      <w:r w:rsidR="00955DF9">
        <w:rPr>
          <w:highlight w:val="yellow"/>
          <w:lang w:val="en-GB"/>
        </w:rPr>
        <w:t>.</w:t>
      </w:r>
    </w:p>
    <w:p w14:paraId="28DD5614" w14:textId="77777777" w:rsidR="00136E7B" w:rsidRPr="00AF01F0" w:rsidRDefault="00136E7B" w:rsidP="00136E7B">
      <w:pPr>
        <w:pageBreakBefore/>
        <w:jc w:val="center"/>
        <w:rPr>
          <w:lang w:val="en-GB"/>
        </w:rPr>
      </w:pPr>
      <w:bookmarkStart w:id="11" w:name="_Toc480527885"/>
      <w:bookmarkStart w:id="12" w:name="_Toc27414121"/>
      <w:bookmarkStart w:id="13" w:name="_Toc261186391"/>
      <w:r w:rsidRPr="00AF01F0">
        <w:rPr>
          <w:lang w:val="en-GB"/>
        </w:rPr>
        <w:lastRenderedPageBreak/>
        <w:t>CONTENTS</w:t>
      </w:r>
    </w:p>
    <w:p w14:paraId="4E3C0413" w14:textId="61F9DBBC" w:rsidR="00136E7B" w:rsidRPr="00AF01F0" w:rsidRDefault="00136E7B" w:rsidP="00136E7B">
      <w:pPr>
        <w:ind w:right="567"/>
        <w:jc w:val="right"/>
        <w:rPr>
          <w:lang w:val="en-GB"/>
        </w:rPr>
      </w:pPr>
      <w:r w:rsidRPr="00AF01F0">
        <w:rPr>
          <w:lang w:val="en-GB"/>
        </w:rPr>
        <w:t>Page</w:t>
      </w:r>
    </w:p>
    <w:p w14:paraId="37F40718" w14:textId="5731BF3E" w:rsidR="006D4E6C" w:rsidRDefault="00136E7B">
      <w:pPr>
        <w:pStyle w:val="TOC1"/>
        <w:rPr>
          <w:rFonts w:asciiTheme="minorHAnsi" w:eastAsiaTheme="minorEastAsia" w:hAnsiTheme="minorHAnsi" w:cstheme="minorBidi"/>
          <w:noProof/>
          <w:sz w:val="22"/>
          <w:szCs w:val="22"/>
          <w:lang w:val="en-GB" w:eastAsia="en-GB"/>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51042247" w:history="1">
        <w:r w:rsidR="006D4E6C" w:rsidRPr="002F0763">
          <w:rPr>
            <w:rStyle w:val="Hyperlink"/>
            <w:noProof/>
          </w:rPr>
          <w:t>Executive Summary</w:t>
        </w:r>
        <w:r w:rsidR="006D4E6C">
          <w:rPr>
            <w:noProof/>
            <w:webHidden/>
          </w:rPr>
          <w:tab/>
        </w:r>
        <w:r w:rsidR="006D4E6C">
          <w:rPr>
            <w:noProof/>
            <w:webHidden/>
          </w:rPr>
          <w:fldChar w:fldCharType="begin"/>
        </w:r>
        <w:r w:rsidR="006D4E6C">
          <w:rPr>
            <w:noProof/>
            <w:webHidden/>
          </w:rPr>
          <w:instrText xml:space="preserve"> PAGEREF _Toc51042247 \h </w:instrText>
        </w:r>
        <w:r w:rsidR="006D4E6C">
          <w:rPr>
            <w:noProof/>
            <w:webHidden/>
          </w:rPr>
        </w:r>
        <w:r w:rsidR="006D4E6C">
          <w:rPr>
            <w:noProof/>
            <w:webHidden/>
          </w:rPr>
          <w:fldChar w:fldCharType="separate"/>
        </w:r>
        <w:r w:rsidR="006D4E6C">
          <w:rPr>
            <w:noProof/>
            <w:webHidden/>
          </w:rPr>
          <w:t>4</w:t>
        </w:r>
        <w:r w:rsidR="006D4E6C">
          <w:rPr>
            <w:noProof/>
            <w:webHidden/>
          </w:rPr>
          <w:fldChar w:fldCharType="end"/>
        </w:r>
      </w:hyperlink>
    </w:p>
    <w:p w14:paraId="27C0F159" w14:textId="4170A6AA" w:rsidR="006D4E6C" w:rsidRDefault="00C44FDC">
      <w:pPr>
        <w:pStyle w:val="TOC1"/>
        <w:rPr>
          <w:rFonts w:asciiTheme="minorHAnsi" w:eastAsiaTheme="minorEastAsia" w:hAnsiTheme="minorHAnsi" w:cstheme="minorBidi"/>
          <w:noProof/>
          <w:sz w:val="22"/>
          <w:szCs w:val="22"/>
          <w:lang w:val="en-GB" w:eastAsia="en-GB"/>
        </w:rPr>
      </w:pPr>
      <w:hyperlink w:anchor="_Toc51042248" w:history="1">
        <w:r w:rsidR="006D4E6C" w:rsidRPr="002F0763">
          <w:rPr>
            <w:rStyle w:val="Hyperlink"/>
            <w:noProof/>
          </w:rPr>
          <w:t>Annex – Full Report of activities in ITU-T (from January to August 2020)</w:t>
        </w:r>
        <w:r w:rsidR="006D4E6C">
          <w:rPr>
            <w:noProof/>
            <w:webHidden/>
          </w:rPr>
          <w:tab/>
        </w:r>
        <w:r w:rsidR="006D4E6C">
          <w:rPr>
            <w:noProof/>
            <w:webHidden/>
          </w:rPr>
          <w:fldChar w:fldCharType="begin"/>
        </w:r>
        <w:r w:rsidR="006D4E6C">
          <w:rPr>
            <w:noProof/>
            <w:webHidden/>
          </w:rPr>
          <w:instrText xml:space="preserve"> PAGEREF _Toc51042248 \h </w:instrText>
        </w:r>
        <w:r w:rsidR="006D4E6C">
          <w:rPr>
            <w:noProof/>
            <w:webHidden/>
          </w:rPr>
        </w:r>
        <w:r w:rsidR="006D4E6C">
          <w:rPr>
            <w:noProof/>
            <w:webHidden/>
          </w:rPr>
          <w:fldChar w:fldCharType="separate"/>
        </w:r>
        <w:r w:rsidR="006D4E6C">
          <w:rPr>
            <w:noProof/>
            <w:webHidden/>
          </w:rPr>
          <w:t>9</w:t>
        </w:r>
        <w:r w:rsidR="006D4E6C">
          <w:rPr>
            <w:noProof/>
            <w:webHidden/>
          </w:rPr>
          <w:fldChar w:fldCharType="end"/>
        </w:r>
      </w:hyperlink>
    </w:p>
    <w:p w14:paraId="2FF79DB4" w14:textId="01B6E08B" w:rsidR="006D4E6C" w:rsidRDefault="00C44FDC">
      <w:pPr>
        <w:pStyle w:val="TOC1"/>
        <w:rPr>
          <w:rFonts w:asciiTheme="minorHAnsi" w:eastAsiaTheme="minorEastAsia" w:hAnsiTheme="minorHAnsi" w:cstheme="minorBidi"/>
          <w:noProof/>
          <w:sz w:val="22"/>
          <w:szCs w:val="22"/>
          <w:lang w:val="en-GB" w:eastAsia="en-GB"/>
        </w:rPr>
      </w:pPr>
      <w:hyperlink w:anchor="_Toc51042249" w:history="1">
        <w:r w:rsidR="006D4E6C" w:rsidRPr="002F0763">
          <w:rPr>
            <w:rStyle w:val="Hyperlink"/>
            <w:noProof/>
          </w:rPr>
          <w:t>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Selection of achievements in ITU-T standardization</w:t>
        </w:r>
        <w:r w:rsidR="006D4E6C">
          <w:rPr>
            <w:noProof/>
            <w:webHidden/>
          </w:rPr>
          <w:tab/>
        </w:r>
        <w:r w:rsidR="006D4E6C">
          <w:rPr>
            <w:noProof/>
            <w:webHidden/>
          </w:rPr>
          <w:fldChar w:fldCharType="begin"/>
        </w:r>
        <w:r w:rsidR="006D4E6C">
          <w:rPr>
            <w:noProof/>
            <w:webHidden/>
          </w:rPr>
          <w:instrText xml:space="preserve"> PAGEREF _Toc51042249 \h </w:instrText>
        </w:r>
        <w:r w:rsidR="006D4E6C">
          <w:rPr>
            <w:noProof/>
            <w:webHidden/>
          </w:rPr>
        </w:r>
        <w:r w:rsidR="006D4E6C">
          <w:rPr>
            <w:noProof/>
            <w:webHidden/>
          </w:rPr>
          <w:fldChar w:fldCharType="separate"/>
        </w:r>
        <w:r w:rsidR="006D4E6C">
          <w:rPr>
            <w:noProof/>
            <w:webHidden/>
          </w:rPr>
          <w:t>9</w:t>
        </w:r>
        <w:r w:rsidR="006D4E6C">
          <w:rPr>
            <w:noProof/>
            <w:webHidden/>
          </w:rPr>
          <w:fldChar w:fldCharType="end"/>
        </w:r>
      </w:hyperlink>
    </w:p>
    <w:p w14:paraId="4969C8F9" w14:textId="1DCE7775" w:rsidR="006D4E6C" w:rsidRDefault="00C44FDC">
      <w:pPr>
        <w:pStyle w:val="TOC1"/>
        <w:rPr>
          <w:rFonts w:asciiTheme="minorHAnsi" w:eastAsiaTheme="minorEastAsia" w:hAnsiTheme="minorHAnsi" w:cstheme="minorBidi"/>
          <w:noProof/>
          <w:sz w:val="22"/>
          <w:szCs w:val="22"/>
          <w:lang w:val="en-GB" w:eastAsia="en-GB"/>
        </w:rPr>
      </w:pPr>
      <w:hyperlink w:anchor="_Toc51042250" w:history="1">
        <w:r w:rsidR="006D4E6C" w:rsidRPr="002F0763">
          <w:rPr>
            <w:rStyle w:val="Hyperlink"/>
            <w:noProof/>
          </w:rPr>
          <w:t>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under COVID-19</w:t>
        </w:r>
        <w:r w:rsidR="006D4E6C">
          <w:rPr>
            <w:noProof/>
            <w:webHidden/>
          </w:rPr>
          <w:tab/>
        </w:r>
        <w:r w:rsidR="006D4E6C">
          <w:rPr>
            <w:noProof/>
            <w:webHidden/>
          </w:rPr>
          <w:fldChar w:fldCharType="begin"/>
        </w:r>
        <w:r w:rsidR="006D4E6C">
          <w:rPr>
            <w:noProof/>
            <w:webHidden/>
          </w:rPr>
          <w:instrText xml:space="preserve"> PAGEREF _Toc51042250 \h </w:instrText>
        </w:r>
        <w:r w:rsidR="006D4E6C">
          <w:rPr>
            <w:noProof/>
            <w:webHidden/>
          </w:rPr>
        </w:r>
        <w:r w:rsidR="006D4E6C">
          <w:rPr>
            <w:noProof/>
            <w:webHidden/>
          </w:rPr>
          <w:fldChar w:fldCharType="separate"/>
        </w:r>
        <w:r w:rsidR="006D4E6C">
          <w:rPr>
            <w:noProof/>
            <w:webHidden/>
          </w:rPr>
          <w:t>12</w:t>
        </w:r>
        <w:r w:rsidR="006D4E6C">
          <w:rPr>
            <w:noProof/>
            <w:webHidden/>
          </w:rPr>
          <w:fldChar w:fldCharType="end"/>
        </w:r>
      </w:hyperlink>
    </w:p>
    <w:p w14:paraId="7A4FD657" w14:textId="517A9CB7" w:rsidR="006D4E6C" w:rsidRDefault="00C44FDC">
      <w:pPr>
        <w:pStyle w:val="TOC1"/>
        <w:rPr>
          <w:rFonts w:asciiTheme="minorHAnsi" w:eastAsiaTheme="minorEastAsia" w:hAnsiTheme="minorHAnsi" w:cstheme="minorBidi"/>
          <w:noProof/>
          <w:sz w:val="22"/>
          <w:szCs w:val="22"/>
          <w:lang w:val="en-GB" w:eastAsia="en-GB"/>
        </w:rPr>
      </w:pPr>
      <w:hyperlink w:anchor="_Toc51042251" w:history="1">
        <w:r w:rsidR="006D4E6C" w:rsidRPr="002F0763">
          <w:rPr>
            <w:rStyle w:val="Hyperlink"/>
            <w:noProof/>
          </w:rPr>
          <w:t>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Conformity, interoperability and testing</w:t>
        </w:r>
        <w:r w:rsidR="006D4E6C">
          <w:rPr>
            <w:noProof/>
            <w:webHidden/>
          </w:rPr>
          <w:tab/>
        </w:r>
        <w:r w:rsidR="006D4E6C">
          <w:rPr>
            <w:noProof/>
            <w:webHidden/>
          </w:rPr>
          <w:fldChar w:fldCharType="begin"/>
        </w:r>
        <w:r w:rsidR="006D4E6C">
          <w:rPr>
            <w:noProof/>
            <w:webHidden/>
          </w:rPr>
          <w:instrText xml:space="preserve"> PAGEREF _Toc51042251 \h </w:instrText>
        </w:r>
        <w:r w:rsidR="006D4E6C">
          <w:rPr>
            <w:noProof/>
            <w:webHidden/>
          </w:rPr>
        </w:r>
        <w:r w:rsidR="006D4E6C">
          <w:rPr>
            <w:noProof/>
            <w:webHidden/>
          </w:rPr>
          <w:fldChar w:fldCharType="separate"/>
        </w:r>
        <w:r w:rsidR="006D4E6C">
          <w:rPr>
            <w:noProof/>
            <w:webHidden/>
          </w:rPr>
          <w:t>15</w:t>
        </w:r>
        <w:r w:rsidR="006D4E6C">
          <w:rPr>
            <w:noProof/>
            <w:webHidden/>
          </w:rPr>
          <w:fldChar w:fldCharType="end"/>
        </w:r>
      </w:hyperlink>
    </w:p>
    <w:p w14:paraId="63DEB84C" w14:textId="548B676E" w:rsidR="006D4E6C" w:rsidRDefault="00C44FDC">
      <w:pPr>
        <w:pStyle w:val="TOC2"/>
        <w:rPr>
          <w:rFonts w:asciiTheme="minorHAnsi" w:eastAsiaTheme="minorEastAsia" w:hAnsiTheme="minorHAnsi" w:cstheme="minorBidi"/>
          <w:noProof/>
          <w:sz w:val="22"/>
          <w:szCs w:val="22"/>
          <w:lang w:val="en-GB" w:eastAsia="en-GB"/>
        </w:rPr>
      </w:pPr>
      <w:hyperlink w:anchor="_Toc51042252" w:history="1">
        <w:r w:rsidR="006D4E6C" w:rsidRPr="002F0763">
          <w:rPr>
            <w:rStyle w:val="Hyperlink"/>
            <w:noProof/>
          </w:rPr>
          <w:t>3.1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Conformity Assessment Steering Committee (CASC)</w:t>
        </w:r>
        <w:r w:rsidR="006D4E6C">
          <w:rPr>
            <w:noProof/>
            <w:webHidden/>
          </w:rPr>
          <w:tab/>
        </w:r>
        <w:r w:rsidR="006D4E6C">
          <w:rPr>
            <w:noProof/>
            <w:webHidden/>
          </w:rPr>
          <w:fldChar w:fldCharType="begin"/>
        </w:r>
        <w:r w:rsidR="006D4E6C">
          <w:rPr>
            <w:noProof/>
            <w:webHidden/>
          </w:rPr>
          <w:instrText xml:space="preserve"> PAGEREF _Toc51042252 \h </w:instrText>
        </w:r>
        <w:r w:rsidR="006D4E6C">
          <w:rPr>
            <w:noProof/>
            <w:webHidden/>
          </w:rPr>
        </w:r>
        <w:r w:rsidR="006D4E6C">
          <w:rPr>
            <w:noProof/>
            <w:webHidden/>
          </w:rPr>
          <w:fldChar w:fldCharType="separate"/>
        </w:r>
        <w:r w:rsidR="006D4E6C">
          <w:rPr>
            <w:noProof/>
            <w:webHidden/>
          </w:rPr>
          <w:t>15</w:t>
        </w:r>
        <w:r w:rsidR="006D4E6C">
          <w:rPr>
            <w:noProof/>
            <w:webHidden/>
          </w:rPr>
          <w:fldChar w:fldCharType="end"/>
        </w:r>
      </w:hyperlink>
    </w:p>
    <w:p w14:paraId="72511CA4" w14:textId="2AC76110" w:rsidR="006D4E6C" w:rsidRDefault="00C44FDC">
      <w:pPr>
        <w:pStyle w:val="TOC2"/>
        <w:rPr>
          <w:rFonts w:asciiTheme="minorHAnsi" w:eastAsiaTheme="minorEastAsia" w:hAnsiTheme="minorHAnsi" w:cstheme="minorBidi"/>
          <w:noProof/>
          <w:sz w:val="22"/>
          <w:szCs w:val="22"/>
          <w:lang w:val="en-GB" w:eastAsia="en-GB"/>
        </w:rPr>
      </w:pPr>
      <w:hyperlink w:anchor="_Toc51042253" w:history="1">
        <w:r w:rsidR="006D4E6C" w:rsidRPr="002F0763">
          <w:rPr>
            <w:rStyle w:val="Hyperlink"/>
            <w:noProof/>
          </w:rPr>
          <w:t>3.2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ICT product conformity database</w:t>
        </w:r>
        <w:r w:rsidR="006D4E6C">
          <w:rPr>
            <w:noProof/>
            <w:webHidden/>
          </w:rPr>
          <w:tab/>
        </w:r>
        <w:r w:rsidR="006D4E6C">
          <w:rPr>
            <w:noProof/>
            <w:webHidden/>
          </w:rPr>
          <w:fldChar w:fldCharType="begin"/>
        </w:r>
        <w:r w:rsidR="006D4E6C">
          <w:rPr>
            <w:noProof/>
            <w:webHidden/>
          </w:rPr>
          <w:instrText xml:space="preserve"> PAGEREF _Toc51042253 \h </w:instrText>
        </w:r>
        <w:r w:rsidR="006D4E6C">
          <w:rPr>
            <w:noProof/>
            <w:webHidden/>
          </w:rPr>
        </w:r>
        <w:r w:rsidR="006D4E6C">
          <w:rPr>
            <w:noProof/>
            <w:webHidden/>
          </w:rPr>
          <w:fldChar w:fldCharType="separate"/>
        </w:r>
        <w:r w:rsidR="006D4E6C">
          <w:rPr>
            <w:noProof/>
            <w:webHidden/>
          </w:rPr>
          <w:t>15</w:t>
        </w:r>
        <w:r w:rsidR="006D4E6C">
          <w:rPr>
            <w:noProof/>
            <w:webHidden/>
          </w:rPr>
          <w:fldChar w:fldCharType="end"/>
        </w:r>
      </w:hyperlink>
    </w:p>
    <w:p w14:paraId="2CC4A209" w14:textId="083B26E2" w:rsidR="006D4E6C" w:rsidRDefault="00C44FDC">
      <w:pPr>
        <w:pStyle w:val="TOC1"/>
        <w:rPr>
          <w:rFonts w:asciiTheme="minorHAnsi" w:eastAsiaTheme="minorEastAsia" w:hAnsiTheme="minorHAnsi" w:cstheme="minorBidi"/>
          <w:noProof/>
          <w:sz w:val="22"/>
          <w:szCs w:val="22"/>
          <w:lang w:val="en-GB" w:eastAsia="en-GB"/>
        </w:rPr>
      </w:pPr>
      <w:hyperlink w:anchor="_Toc51042254" w:history="1">
        <w:r w:rsidR="006D4E6C" w:rsidRPr="002F0763">
          <w:rPr>
            <w:rStyle w:val="Hyperlink"/>
            <w:noProof/>
          </w:rPr>
          <w:t>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Accessible ITU-T meetings</w:t>
        </w:r>
        <w:r w:rsidR="006D4E6C">
          <w:rPr>
            <w:noProof/>
            <w:webHidden/>
          </w:rPr>
          <w:tab/>
        </w:r>
        <w:r w:rsidR="006D4E6C">
          <w:rPr>
            <w:noProof/>
            <w:webHidden/>
          </w:rPr>
          <w:fldChar w:fldCharType="begin"/>
        </w:r>
        <w:r w:rsidR="006D4E6C">
          <w:rPr>
            <w:noProof/>
            <w:webHidden/>
          </w:rPr>
          <w:instrText xml:space="preserve"> PAGEREF _Toc51042254 \h </w:instrText>
        </w:r>
        <w:r w:rsidR="006D4E6C">
          <w:rPr>
            <w:noProof/>
            <w:webHidden/>
          </w:rPr>
        </w:r>
        <w:r w:rsidR="006D4E6C">
          <w:rPr>
            <w:noProof/>
            <w:webHidden/>
          </w:rPr>
          <w:fldChar w:fldCharType="separate"/>
        </w:r>
        <w:r w:rsidR="006D4E6C">
          <w:rPr>
            <w:noProof/>
            <w:webHidden/>
          </w:rPr>
          <w:t>16</w:t>
        </w:r>
        <w:r w:rsidR="006D4E6C">
          <w:rPr>
            <w:noProof/>
            <w:webHidden/>
          </w:rPr>
          <w:fldChar w:fldCharType="end"/>
        </w:r>
      </w:hyperlink>
    </w:p>
    <w:p w14:paraId="0E8900D3" w14:textId="07FFD311" w:rsidR="006D4E6C" w:rsidRDefault="00C44FDC">
      <w:pPr>
        <w:pStyle w:val="TOC1"/>
        <w:rPr>
          <w:rFonts w:asciiTheme="minorHAnsi" w:eastAsiaTheme="minorEastAsia" w:hAnsiTheme="minorHAnsi" w:cstheme="minorBidi"/>
          <w:noProof/>
          <w:sz w:val="22"/>
          <w:szCs w:val="22"/>
          <w:lang w:val="en-GB" w:eastAsia="en-GB"/>
        </w:rPr>
      </w:pPr>
      <w:hyperlink w:anchor="_Toc51042255" w:history="1">
        <w:r w:rsidR="006D4E6C" w:rsidRPr="002F0763">
          <w:rPr>
            <w:rStyle w:val="Hyperlink"/>
            <w:noProof/>
          </w:rPr>
          <w:t>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Intellectual property rights</w:t>
        </w:r>
        <w:r w:rsidR="006D4E6C">
          <w:rPr>
            <w:noProof/>
            <w:webHidden/>
          </w:rPr>
          <w:tab/>
        </w:r>
        <w:r w:rsidR="006D4E6C">
          <w:rPr>
            <w:noProof/>
            <w:webHidden/>
          </w:rPr>
          <w:fldChar w:fldCharType="begin"/>
        </w:r>
        <w:r w:rsidR="006D4E6C">
          <w:rPr>
            <w:noProof/>
            <w:webHidden/>
          </w:rPr>
          <w:instrText xml:space="preserve"> PAGEREF _Toc51042255 \h </w:instrText>
        </w:r>
        <w:r w:rsidR="006D4E6C">
          <w:rPr>
            <w:noProof/>
            <w:webHidden/>
          </w:rPr>
        </w:r>
        <w:r w:rsidR="006D4E6C">
          <w:rPr>
            <w:noProof/>
            <w:webHidden/>
          </w:rPr>
          <w:fldChar w:fldCharType="separate"/>
        </w:r>
        <w:r w:rsidR="006D4E6C">
          <w:rPr>
            <w:noProof/>
            <w:webHidden/>
          </w:rPr>
          <w:t>16</w:t>
        </w:r>
        <w:r w:rsidR="006D4E6C">
          <w:rPr>
            <w:noProof/>
            <w:webHidden/>
          </w:rPr>
          <w:fldChar w:fldCharType="end"/>
        </w:r>
      </w:hyperlink>
    </w:p>
    <w:p w14:paraId="38F1520E" w14:textId="4DB1A204" w:rsidR="006D4E6C" w:rsidRDefault="00C44FDC">
      <w:pPr>
        <w:pStyle w:val="TOC1"/>
        <w:rPr>
          <w:rFonts w:asciiTheme="minorHAnsi" w:eastAsiaTheme="minorEastAsia" w:hAnsiTheme="minorHAnsi" w:cstheme="minorBidi"/>
          <w:noProof/>
          <w:sz w:val="22"/>
          <w:szCs w:val="22"/>
          <w:lang w:val="en-GB" w:eastAsia="en-GB"/>
        </w:rPr>
      </w:pPr>
      <w:hyperlink w:anchor="_Toc51042256" w:history="1">
        <w:r w:rsidR="006D4E6C" w:rsidRPr="002F0763">
          <w:rPr>
            <w:rStyle w:val="Hyperlink"/>
            <w:noProof/>
          </w:rPr>
          <w:t>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Focus Groups: Exploring new directions in ITU standardization</w:t>
        </w:r>
        <w:r w:rsidR="006D4E6C">
          <w:rPr>
            <w:noProof/>
            <w:webHidden/>
          </w:rPr>
          <w:tab/>
        </w:r>
        <w:r w:rsidR="006D4E6C">
          <w:rPr>
            <w:noProof/>
            <w:webHidden/>
          </w:rPr>
          <w:fldChar w:fldCharType="begin"/>
        </w:r>
        <w:r w:rsidR="006D4E6C">
          <w:rPr>
            <w:noProof/>
            <w:webHidden/>
          </w:rPr>
          <w:instrText xml:space="preserve"> PAGEREF _Toc51042256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1CE5ADCB" w14:textId="15889DAA" w:rsidR="006D4E6C" w:rsidRDefault="00C44FDC">
      <w:pPr>
        <w:pStyle w:val="TOC2"/>
        <w:rPr>
          <w:rFonts w:asciiTheme="minorHAnsi" w:eastAsiaTheme="minorEastAsia" w:hAnsiTheme="minorHAnsi" w:cstheme="minorBidi"/>
          <w:noProof/>
          <w:sz w:val="22"/>
          <w:szCs w:val="22"/>
          <w:lang w:val="en-GB" w:eastAsia="en-GB"/>
        </w:rPr>
      </w:pPr>
      <w:hyperlink w:anchor="_Toc51042257" w:history="1">
        <w:r w:rsidR="006D4E6C" w:rsidRPr="002F0763">
          <w:rPr>
            <w:rStyle w:val="Hyperlink"/>
            <w:noProof/>
          </w:rPr>
          <w:t>6.1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Quantum Information Technologies for Networks</w:t>
        </w:r>
        <w:r w:rsidR="006D4E6C">
          <w:rPr>
            <w:noProof/>
            <w:webHidden/>
          </w:rPr>
          <w:tab/>
        </w:r>
        <w:r w:rsidR="006D4E6C">
          <w:rPr>
            <w:noProof/>
            <w:webHidden/>
          </w:rPr>
          <w:fldChar w:fldCharType="begin"/>
        </w:r>
        <w:r w:rsidR="006D4E6C">
          <w:rPr>
            <w:noProof/>
            <w:webHidden/>
          </w:rPr>
          <w:instrText xml:space="preserve"> PAGEREF _Toc51042257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3248FBE5" w14:textId="0486EE49" w:rsidR="006D4E6C" w:rsidRDefault="00C44FDC">
      <w:pPr>
        <w:pStyle w:val="TOC2"/>
        <w:rPr>
          <w:rFonts w:asciiTheme="minorHAnsi" w:eastAsiaTheme="minorEastAsia" w:hAnsiTheme="minorHAnsi" w:cstheme="minorBidi"/>
          <w:noProof/>
          <w:sz w:val="22"/>
          <w:szCs w:val="22"/>
          <w:lang w:val="en-GB" w:eastAsia="en-GB"/>
        </w:rPr>
      </w:pPr>
      <w:hyperlink w:anchor="_Toc51042258" w:history="1">
        <w:r w:rsidR="006D4E6C" w:rsidRPr="002F0763">
          <w:rPr>
            <w:rStyle w:val="Hyperlink"/>
            <w:noProof/>
          </w:rPr>
          <w:t>6.2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Machine Learning for Future Networks including 5G</w:t>
        </w:r>
        <w:r w:rsidR="006D4E6C">
          <w:rPr>
            <w:noProof/>
            <w:webHidden/>
          </w:rPr>
          <w:tab/>
        </w:r>
        <w:r w:rsidR="006D4E6C">
          <w:rPr>
            <w:noProof/>
            <w:webHidden/>
          </w:rPr>
          <w:fldChar w:fldCharType="begin"/>
        </w:r>
        <w:r w:rsidR="006D4E6C">
          <w:rPr>
            <w:noProof/>
            <w:webHidden/>
          </w:rPr>
          <w:instrText xml:space="preserve"> PAGEREF _Toc51042258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34F44E0B" w14:textId="6F751C79" w:rsidR="006D4E6C" w:rsidRDefault="00C44FDC">
      <w:pPr>
        <w:pStyle w:val="TOC2"/>
        <w:rPr>
          <w:rFonts w:asciiTheme="minorHAnsi" w:eastAsiaTheme="minorEastAsia" w:hAnsiTheme="minorHAnsi" w:cstheme="minorBidi"/>
          <w:noProof/>
          <w:sz w:val="22"/>
          <w:szCs w:val="22"/>
          <w:lang w:val="en-GB" w:eastAsia="en-GB"/>
        </w:rPr>
      </w:pPr>
      <w:hyperlink w:anchor="_Toc51042259" w:history="1">
        <w:r w:rsidR="006D4E6C" w:rsidRPr="002F0763">
          <w:rPr>
            <w:rStyle w:val="Hyperlink"/>
            <w:noProof/>
          </w:rPr>
          <w:t>6.3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Technologies for Network 2030</w:t>
        </w:r>
        <w:r w:rsidR="006D4E6C">
          <w:rPr>
            <w:noProof/>
            <w:webHidden/>
          </w:rPr>
          <w:tab/>
        </w:r>
        <w:r w:rsidR="006D4E6C">
          <w:rPr>
            <w:noProof/>
            <w:webHidden/>
          </w:rPr>
          <w:fldChar w:fldCharType="begin"/>
        </w:r>
        <w:r w:rsidR="006D4E6C">
          <w:rPr>
            <w:noProof/>
            <w:webHidden/>
          </w:rPr>
          <w:instrText xml:space="preserve"> PAGEREF _Toc51042259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1B62CB46" w14:textId="3D5083FD" w:rsidR="006D4E6C" w:rsidRDefault="00C44FDC">
      <w:pPr>
        <w:pStyle w:val="TOC2"/>
        <w:rPr>
          <w:rFonts w:asciiTheme="minorHAnsi" w:eastAsiaTheme="minorEastAsia" w:hAnsiTheme="minorHAnsi" w:cstheme="minorBidi"/>
          <w:noProof/>
          <w:sz w:val="22"/>
          <w:szCs w:val="22"/>
          <w:lang w:val="en-GB" w:eastAsia="en-GB"/>
        </w:rPr>
      </w:pPr>
      <w:hyperlink w:anchor="_Toc51042260" w:history="1">
        <w:r w:rsidR="006D4E6C" w:rsidRPr="002F0763">
          <w:rPr>
            <w:rStyle w:val="Hyperlink"/>
            <w:noProof/>
          </w:rPr>
          <w:t>6.4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AI for Health</w:t>
        </w:r>
        <w:r w:rsidR="006D4E6C">
          <w:rPr>
            <w:noProof/>
            <w:webHidden/>
          </w:rPr>
          <w:tab/>
        </w:r>
        <w:r w:rsidR="006D4E6C">
          <w:rPr>
            <w:noProof/>
            <w:webHidden/>
          </w:rPr>
          <w:fldChar w:fldCharType="begin"/>
        </w:r>
        <w:r w:rsidR="006D4E6C">
          <w:rPr>
            <w:noProof/>
            <w:webHidden/>
          </w:rPr>
          <w:instrText xml:space="preserve"> PAGEREF _Toc51042260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381CF6A6" w14:textId="0E335334" w:rsidR="006D4E6C" w:rsidRDefault="00C44FDC">
      <w:pPr>
        <w:pStyle w:val="TOC2"/>
        <w:rPr>
          <w:rFonts w:asciiTheme="minorHAnsi" w:eastAsiaTheme="minorEastAsia" w:hAnsiTheme="minorHAnsi" w:cstheme="minorBidi"/>
          <w:noProof/>
          <w:sz w:val="22"/>
          <w:szCs w:val="22"/>
          <w:lang w:val="en-GB" w:eastAsia="en-GB"/>
        </w:rPr>
      </w:pPr>
      <w:hyperlink w:anchor="_Toc51042261" w:history="1">
        <w:r w:rsidR="006D4E6C" w:rsidRPr="002F0763">
          <w:rPr>
            <w:rStyle w:val="Hyperlink"/>
            <w:noProof/>
          </w:rPr>
          <w:t>6.5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Vehicular Multimedia</w:t>
        </w:r>
        <w:r w:rsidR="006D4E6C">
          <w:rPr>
            <w:noProof/>
            <w:webHidden/>
          </w:rPr>
          <w:tab/>
        </w:r>
        <w:r w:rsidR="006D4E6C">
          <w:rPr>
            <w:noProof/>
            <w:webHidden/>
          </w:rPr>
          <w:fldChar w:fldCharType="begin"/>
        </w:r>
        <w:r w:rsidR="006D4E6C">
          <w:rPr>
            <w:noProof/>
            <w:webHidden/>
          </w:rPr>
          <w:instrText xml:space="preserve"> PAGEREF _Toc51042261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4A2F1D50" w14:textId="6FBEACCF" w:rsidR="006D4E6C" w:rsidRDefault="00C44FDC">
      <w:pPr>
        <w:pStyle w:val="TOC2"/>
        <w:rPr>
          <w:rFonts w:asciiTheme="minorHAnsi" w:eastAsiaTheme="minorEastAsia" w:hAnsiTheme="minorHAnsi" w:cstheme="minorBidi"/>
          <w:noProof/>
          <w:sz w:val="22"/>
          <w:szCs w:val="22"/>
          <w:lang w:val="en-GB" w:eastAsia="en-GB"/>
        </w:rPr>
      </w:pPr>
      <w:hyperlink w:anchor="_Toc51042262" w:history="1">
        <w:r w:rsidR="006D4E6C" w:rsidRPr="002F0763">
          <w:rPr>
            <w:rStyle w:val="Hyperlink"/>
            <w:noProof/>
          </w:rPr>
          <w:t>6.6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AI for Autonomous and Assisted driving</w:t>
        </w:r>
        <w:r w:rsidR="006D4E6C">
          <w:rPr>
            <w:noProof/>
            <w:webHidden/>
          </w:rPr>
          <w:tab/>
        </w:r>
        <w:r w:rsidR="006D4E6C">
          <w:rPr>
            <w:noProof/>
            <w:webHidden/>
          </w:rPr>
          <w:fldChar w:fldCharType="begin"/>
        </w:r>
        <w:r w:rsidR="006D4E6C">
          <w:rPr>
            <w:noProof/>
            <w:webHidden/>
          </w:rPr>
          <w:instrText xml:space="preserve"> PAGEREF _Toc51042262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0C846C31" w14:textId="2591342E" w:rsidR="006D4E6C" w:rsidRDefault="00C44FDC">
      <w:pPr>
        <w:pStyle w:val="TOC2"/>
        <w:rPr>
          <w:rFonts w:asciiTheme="minorHAnsi" w:eastAsiaTheme="minorEastAsia" w:hAnsiTheme="minorHAnsi" w:cstheme="minorBidi"/>
          <w:noProof/>
          <w:sz w:val="22"/>
          <w:szCs w:val="22"/>
          <w:lang w:val="en-GB" w:eastAsia="en-GB"/>
        </w:rPr>
      </w:pPr>
      <w:hyperlink w:anchor="_Toc51042263" w:history="1">
        <w:r w:rsidR="006D4E6C" w:rsidRPr="002F0763">
          <w:rPr>
            <w:rStyle w:val="Hyperlink"/>
            <w:noProof/>
          </w:rPr>
          <w:t>6.7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Environmental Efficiency for AI and other Emerging Technologies</w:t>
        </w:r>
        <w:r w:rsidR="006D4E6C">
          <w:rPr>
            <w:noProof/>
            <w:webHidden/>
          </w:rPr>
          <w:tab/>
        </w:r>
        <w:r w:rsidR="006D4E6C">
          <w:rPr>
            <w:noProof/>
            <w:webHidden/>
          </w:rPr>
          <w:fldChar w:fldCharType="begin"/>
        </w:r>
        <w:r w:rsidR="006D4E6C">
          <w:rPr>
            <w:noProof/>
            <w:webHidden/>
          </w:rPr>
          <w:instrText xml:space="preserve"> PAGEREF _Toc51042263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4F375D61" w14:textId="4DBE5584" w:rsidR="006D4E6C" w:rsidRDefault="00C44FDC">
      <w:pPr>
        <w:pStyle w:val="TOC1"/>
        <w:rPr>
          <w:rFonts w:asciiTheme="minorHAnsi" w:eastAsiaTheme="minorEastAsia" w:hAnsiTheme="minorHAnsi" w:cstheme="minorBidi"/>
          <w:noProof/>
          <w:sz w:val="22"/>
          <w:szCs w:val="22"/>
          <w:lang w:val="en-GB" w:eastAsia="en-GB"/>
        </w:rPr>
      </w:pPr>
      <w:hyperlink w:anchor="_Toc51042264" w:history="1">
        <w:r w:rsidR="006D4E6C" w:rsidRPr="002F0763">
          <w:rPr>
            <w:rStyle w:val="Hyperlink"/>
            <w:noProof/>
          </w:rPr>
          <w:t>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Collaboration in standardization</w:t>
        </w:r>
        <w:r w:rsidR="006D4E6C">
          <w:rPr>
            <w:noProof/>
            <w:webHidden/>
          </w:rPr>
          <w:tab/>
        </w:r>
        <w:r w:rsidR="006D4E6C">
          <w:rPr>
            <w:noProof/>
            <w:webHidden/>
          </w:rPr>
          <w:fldChar w:fldCharType="begin"/>
        </w:r>
        <w:r w:rsidR="006D4E6C">
          <w:rPr>
            <w:noProof/>
            <w:webHidden/>
          </w:rPr>
          <w:instrText xml:space="preserve"> PAGEREF _Toc51042264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1A063A51" w14:textId="3A286275" w:rsidR="006D4E6C" w:rsidRDefault="00C44FDC">
      <w:pPr>
        <w:pStyle w:val="TOC2"/>
        <w:rPr>
          <w:rFonts w:asciiTheme="minorHAnsi" w:eastAsiaTheme="minorEastAsia" w:hAnsiTheme="minorHAnsi" w:cstheme="minorBidi"/>
          <w:noProof/>
          <w:sz w:val="22"/>
          <w:szCs w:val="22"/>
          <w:lang w:val="en-GB" w:eastAsia="en-GB"/>
        </w:rPr>
      </w:pPr>
      <w:hyperlink w:anchor="_Toc51042265" w:history="1">
        <w:r w:rsidR="006D4E6C" w:rsidRPr="002F0763">
          <w:rPr>
            <w:rStyle w:val="Hyperlink"/>
            <w:noProof/>
          </w:rPr>
          <w:t>7.1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Coordination and cooperation among ITU Sectors</w:t>
        </w:r>
        <w:r w:rsidR="006D4E6C">
          <w:rPr>
            <w:noProof/>
            <w:webHidden/>
          </w:rPr>
          <w:tab/>
        </w:r>
        <w:r w:rsidR="006D4E6C">
          <w:rPr>
            <w:noProof/>
            <w:webHidden/>
          </w:rPr>
          <w:fldChar w:fldCharType="begin"/>
        </w:r>
        <w:r w:rsidR="006D4E6C">
          <w:rPr>
            <w:noProof/>
            <w:webHidden/>
          </w:rPr>
          <w:instrText xml:space="preserve"> PAGEREF _Toc51042265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7BF7F45D" w14:textId="11E658D5" w:rsidR="006D4E6C" w:rsidRDefault="00C44FDC">
      <w:pPr>
        <w:pStyle w:val="TOC2"/>
        <w:rPr>
          <w:rFonts w:asciiTheme="minorHAnsi" w:eastAsiaTheme="minorEastAsia" w:hAnsiTheme="minorHAnsi" w:cstheme="minorBidi"/>
          <w:noProof/>
          <w:sz w:val="22"/>
          <w:szCs w:val="22"/>
          <w:lang w:val="en-GB" w:eastAsia="en-GB"/>
        </w:rPr>
      </w:pPr>
      <w:hyperlink w:anchor="_Toc51042266" w:history="1">
        <w:r w:rsidR="006D4E6C" w:rsidRPr="002F0763">
          <w:rPr>
            <w:rStyle w:val="Hyperlink"/>
            <w:noProof/>
          </w:rPr>
          <w:t>7.2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Coordination and cooperation with the Regions and the Regional Offices</w:t>
        </w:r>
        <w:r w:rsidR="006D4E6C">
          <w:rPr>
            <w:noProof/>
            <w:webHidden/>
          </w:rPr>
          <w:tab/>
        </w:r>
        <w:r w:rsidR="006D4E6C">
          <w:rPr>
            <w:noProof/>
            <w:webHidden/>
          </w:rPr>
          <w:fldChar w:fldCharType="begin"/>
        </w:r>
        <w:r w:rsidR="006D4E6C">
          <w:rPr>
            <w:noProof/>
            <w:webHidden/>
          </w:rPr>
          <w:instrText xml:space="preserve"> PAGEREF _Toc51042266 \h </w:instrText>
        </w:r>
        <w:r w:rsidR="006D4E6C">
          <w:rPr>
            <w:noProof/>
            <w:webHidden/>
          </w:rPr>
        </w:r>
        <w:r w:rsidR="006D4E6C">
          <w:rPr>
            <w:noProof/>
            <w:webHidden/>
          </w:rPr>
          <w:fldChar w:fldCharType="separate"/>
        </w:r>
        <w:r w:rsidR="006D4E6C">
          <w:rPr>
            <w:noProof/>
            <w:webHidden/>
          </w:rPr>
          <w:t>19</w:t>
        </w:r>
        <w:r w:rsidR="006D4E6C">
          <w:rPr>
            <w:noProof/>
            <w:webHidden/>
          </w:rPr>
          <w:fldChar w:fldCharType="end"/>
        </w:r>
      </w:hyperlink>
    </w:p>
    <w:p w14:paraId="726683CD" w14:textId="308074D3" w:rsidR="006D4E6C" w:rsidRDefault="00C44FDC">
      <w:pPr>
        <w:pStyle w:val="TOC2"/>
        <w:rPr>
          <w:rFonts w:asciiTheme="minorHAnsi" w:eastAsiaTheme="minorEastAsia" w:hAnsiTheme="minorHAnsi" w:cstheme="minorBidi"/>
          <w:noProof/>
          <w:sz w:val="22"/>
          <w:szCs w:val="22"/>
          <w:lang w:val="en-GB" w:eastAsia="en-GB"/>
        </w:rPr>
      </w:pPr>
      <w:hyperlink w:anchor="_Toc51042267" w:history="1">
        <w:r w:rsidR="006D4E6C" w:rsidRPr="002F0763">
          <w:rPr>
            <w:rStyle w:val="Hyperlink"/>
            <w:noProof/>
          </w:rPr>
          <w:t>7.3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General assistance and cooperation</w:t>
        </w:r>
        <w:r w:rsidR="006D4E6C">
          <w:rPr>
            <w:noProof/>
            <w:webHidden/>
          </w:rPr>
          <w:tab/>
        </w:r>
        <w:r w:rsidR="006D4E6C">
          <w:rPr>
            <w:noProof/>
            <w:webHidden/>
          </w:rPr>
          <w:fldChar w:fldCharType="begin"/>
        </w:r>
        <w:r w:rsidR="006D4E6C">
          <w:rPr>
            <w:noProof/>
            <w:webHidden/>
          </w:rPr>
          <w:instrText xml:space="preserve"> PAGEREF _Toc51042267 \h </w:instrText>
        </w:r>
        <w:r w:rsidR="006D4E6C">
          <w:rPr>
            <w:noProof/>
            <w:webHidden/>
          </w:rPr>
        </w:r>
        <w:r w:rsidR="006D4E6C">
          <w:rPr>
            <w:noProof/>
            <w:webHidden/>
          </w:rPr>
          <w:fldChar w:fldCharType="separate"/>
        </w:r>
        <w:r w:rsidR="006D4E6C">
          <w:rPr>
            <w:noProof/>
            <w:webHidden/>
          </w:rPr>
          <w:t>19</w:t>
        </w:r>
        <w:r w:rsidR="006D4E6C">
          <w:rPr>
            <w:noProof/>
            <w:webHidden/>
          </w:rPr>
          <w:fldChar w:fldCharType="end"/>
        </w:r>
      </w:hyperlink>
    </w:p>
    <w:p w14:paraId="61DB3E97" w14:textId="13BF6E90" w:rsidR="006D4E6C" w:rsidRDefault="00C44FDC">
      <w:pPr>
        <w:pStyle w:val="TOC2"/>
        <w:rPr>
          <w:rFonts w:asciiTheme="minorHAnsi" w:eastAsiaTheme="minorEastAsia" w:hAnsiTheme="minorHAnsi" w:cstheme="minorBidi"/>
          <w:noProof/>
          <w:sz w:val="22"/>
          <w:szCs w:val="22"/>
          <w:lang w:val="en-GB" w:eastAsia="en-GB"/>
        </w:rPr>
      </w:pPr>
      <w:hyperlink w:anchor="_Toc51042268" w:history="1">
        <w:r w:rsidR="006D4E6C" w:rsidRPr="002F0763">
          <w:rPr>
            <w:rStyle w:val="Hyperlink"/>
            <w:noProof/>
          </w:rPr>
          <w:t>7.4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Cooperation with national and regional standardization organizations</w:t>
        </w:r>
        <w:r w:rsidR="006D4E6C">
          <w:rPr>
            <w:noProof/>
            <w:webHidden/>
          </w:rPr>
          <w:tab/>
        </w:r>
        <w:r w:rsidR="006D4E6C">
          <w:rPr>
            <w:noProof/>
            <w:webHidden/>
          </w:rPr>
          <w:fldChar w:fldCharType="begin"/>
        </w:r>
        <w:r w:rsidR="006D4E6C">
          <w:rPr>
            <w:noProof/>
            <w:webHidden/>
          </w:rPr>
          <w:instrText xml:space="preserve"> PAGEREF _Toc51042268 \h </w:instrText>
        </w:r>
        <w:r w:rsidR="006D4E6C">
          <w:rPr>
            <w:noProof/>
            <w:webHidden/>
          </w:rPr>
        </w:r>
        <w:r w:rsidR="006D4E6C">
          <w:rPr>
            <w:noProof/>
            <w:webHidden/>
          </w:rPr>
          <w:fldChar w:fldCharType="separate"/>
        </w:r>
        <w:r w:rsidR="006D4E6C">
          <w:rPr>
            <w:noProof/>
            <w:webHidden/>
          </w:rPr>
          <w:t>22</w:t>
        </w:r>
        <w:r w:rsidR="006D4E6C">
          <w:rPr>
            <w:noProof/>
            <w:webHidden/>
          </w:rPr>
          <w:fldChar w:fldCharType="end"/>
        </w:r>
      </w:hyperlink>
    </w:p>
    <w:p w14:paraId="32FD0F15" w14:textId="6B34A622" w:rsidR="006D4E6C" w:rsidRDefault="00C44FDC">
      <w:pPr>
        <w:pStyle w:val="TOC1"/>
        <w:rPr>
          <w:rFonts w:asciiTheme="minorHAnsi" w:eastAsiaTheme="minorEastAsia" w:hAnsiTheme="minorHAnsi" w:cstheme="minorBidi"/>
          <w:noProof/>
          <w:sz w:val="22"/>
          <w:szCs w:val="22"/>
          <w:lang w:val="en-GB" w:eastAsia="en-GB"/>
        </w:rPr>
      </w:pPr>
      <w:hyperlink w:anchor="_Toc51042269" w:history="1">
        <w:r w:rsidR="006D4E6C" w:rsidRPr="002F0763">
          <w:rPr>
            <w:rStyle w:val="Hyperlink"/>
            <w:noProof/>
          </w:rPr>
          <w:t>8</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Bridging the standardization gap</w:t>
        </w:r>
        <w:r w:rsidR="006D4E6C">
          <w:rPr>
            <w:noProof/>
            <w:webHidden/>
          </w:rPr>
          <w:tab/>
        </w:r>
        <w:r w:rsidR="006D4E6C">
          <w:rPr>
            <w:noProof/>
            <w:webHidden/>
          </w:rPr>
          <w:fldChar w:fldCharType="begin"/>
        </w:r>
        <w:r w:rsidR="006D4E6C">
          <w:rPr>
            <w:noProof/>
            <w:webHidden/>
          </w:rPr>
          <w:instrText xml:space="preserve"> PAGEREF _Toc51042269 \h </w:instrText>
        </w:r>
        <w:r w:rsidR="006D4E6C">
          <w:rPr>
            <w:noProof/>
            <w:webHidden/>
          </w:rPr>
        </w:r>
        <w:r w:rsidR="006D4E6C">
          <w:rPr>
            <w:noProof/>
            <w:webHidden/>
          </w:rPr>
          <w:fldChar w:fldCharType="separate"/>
        </w:r>
        <w:r w:rsidR="006D4E6C">
          <w:rPr>
            <w:noProof/>
            <w:webHidden/>
          </w:rPr>
          <w:t>22</w:t>
        </w:r>
        <w:r w:rsidR="006D4E6C">
          <w:rPr>
            <w:noProof/>
            <w:webHidden/>
          </w:rPr>
          <w:fldChar w:fldCharType="end"/>
        </w:r>
      </w:hyperlink>
    </w:p>
    <w:p w14:paraId="31386582" w14:textId="38220EE9" w:rsidR="006D4E6C" w:rsidRDefault="00C44FDC">
      <w:pPr>
        <w:pStyle w:val="TOC2"/>
        <w:rPr>
          <w:rFonts w:asciiTheme="minorHAnsi" w:eastAsiaTheme="minorEastAsia" w:hAnsiTheme="minorHAnsi" w:cstheme="minorBidi"/>
          <w:noProof/>
          <w:sz w:val="22"/>
          <w:szCs w:val="22"/>
          <w:lang w:val="en-GB" w:eastAsia="en-GB"/>
        </w:rPr>
      </w:pPr>
      <w:hyperlink w:anchor="_Toc51042270" w:history="1">
        <w:r w:rsidR="006D4E6C" w:rsidRPr="002F0763">
          <w:rPr>
            <w:rStyle w:val="Hyperlink"/>
            <w:noProof/>
          </w:rPr>
          <w:t>8.1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BSG hands-on training sessions</w:t>
        </w:r>
        <w:r w:rsidR="006D4E6C">
          <w:rPr>
            <w:noProof/>
            <w:webHidden/>
          </w:rPr>
          <w:tab/>
        </w:r>
        <w:r w:rsidR="006D4E6C">
          <w:rPr>
            <w:noProof/>
            <w:webHidden/>
          </w:rPr>
          <w:fldChar w:fldCharType="begin"/>
        </w:r>
        <w:r w:rsidR="006D4E6C">
          <w:rPr>
            <w:noProof/>
            <w:webHidden/>
          </w:rPr>
          <w:instrText xml:space="preserve"> PAGEREF _Toc51042270 \h </w:instrText>
        </w:r>
        <w:r w:rsidR="006D4E6C">
          <w:rPr>
            <w:noProof/>
            <w:webHidden/>
          </w:rPr>
        </w:r>
        <w:r w:rsidR="006D4E6C">
          <w:rPr>
            <w:noProof/>
            <w:webHidden/>
          </w:rPr>
          <w:fldChar w:fldCharType="separate"/>
        </w:r>
        <w:r w:rsidR="006D4E6C">
          <w:rPr>
            <w:noProof/>
            <w:webHidden/>
          </w:rPr>
          <w:t>23</w:t>
        </w:r>
        <w:r w:rsidR="006D4E6C">
          <w:rPr>
            <w:noProof/>
            <w:webHidden/>
          </w:rPr>
          <w:fldChar w:fldCharType="end"/>
        </w:r>
      </w:hyperlink>
    </w:p>
    <w:p w14:paraId="5B9AEDA3" w14:textId="6A7EE72E" w:rsidR="006D4E6C" w:rsidRDefault="00C44FDC">
      <w:pPr>
        <w:pStyle w:val="TOC2"/>
        <w:rPr>
          <w:rFonts w:asciiTheme="minorHAnsi" w:eastAsiaTheme="minorEastAsia" w:hAnsiTheme="minorHAnsi" w:cstheme="minorBidi"/>
          <w:noProof/>
          <w:sz w:val="22"/>
          <w:szCs w:val="22"/>
          <w:lang w:val="en-GB" w:eastAsia="en-GB"/>
        </w:rPr>
      </w:pPr>
      <w:hyperlink w:anchor="_Toc51042271" w:history="1">
        <w:r w:rsidR="006D4E6C" w:rsidRPr="002F0763">
          <w:rPr>
            <w:rStyle w:val="Hyperlink"/>
            <w:noProof/>
          </w:rPr>
          <w:t>8.2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Regional Groups</w:t>
        </w:r>
        <w:r w:rsidR="006D4E6C">
          <w:rPr>
            <w:noProof/>
            <w:webHidden/>
          </w:rPr>
          <w:tab/>
        </w:r>
        <w:r w:rsidR="006D4E6C">
          <w:rPr>
            <w:noProof/>
            <w:webHidden/>
          </w:rPr>
          <w:fldChar w:fldCharType="begin"/>
        </w:r>
        <w:r w:rsidR="006D4E6C">
          <w:rPr>
            <w:noProof/>
            <w:webHidden/>
          </w:rPr>
          <w:instrText xml:space="preserve"> PAGEREF _Toc51042271 \h </w:instrText>
        </w:r>
        <w:r w:rsidR="006D4E6C">
          <w:rPr>
            <w:noProof/>
            <w:webHidden/>
          </w:rPr>
        </w:r>
        <w:r w:rsidR="006D4E6C">
          <w:rPr>
            <w:noProof/>
            <w:webHidden/>
          </w:rPr>
          <w:fldChar w:fldCharType="separate"/>
        </w:r>
        <w:r w:rsidR="006D4E6C">
          <w:rPr>
            <w:noProof/>
            <w:webHidden/>
          </w:rPr>
          <w:t>24</w:t>
        </w:r>
        <w:r w:rsidR="006D4E6C">
          <w:rPr>
            <w:noProof/>
            <w:webHidden/>
          </w:rPr>
          <w:fldChar w:fldCharType="end"/>
        </w:r>
      </w:hyperlink>
    </w:p>
    <w:p w14:paraId="619B7602" w14:textId="00EA8BFB" w:rsidR="006D4E6C" w:rsidRDefault="00C44FDC">
      <w:pPr>
        <w:pStyle w:val="TOC2"/>
        <w:rPr>
          <w:rFonts w:asciiTheme="minorHAnsi" w:eastAsiaTheme="minorEastAsia" w:hAnsiTheme="minorHAnsi" w:cstheme="minorBidi"/>
          <w:noProof/>
          <w:sz w:val="22"/>
          <w:szCs w:val="22"/>
          <w:lang w:val="en-GB" w:eastAsia="en-GB"/>
        </w:rPr>
      </w:pPr>
      <w:hyperlink w:anchor="_Toc51042272" w:history="1">
        <w:r w:rsidR="006D4E6C" w:rsidRPr="002F0763">
          <w:rPr>
            <w:rStyle w:val="Hyperlink"/>
            <w:noProof/>
          </w:rPr>
          <w:t>8.3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Regional Standardization Forums</w:t>
        </w:r>
        <w:r w:rsidR="006D4E6C">
          <w:rPr>
            <w:noProof/>
            <w:webHidden/>
          </w:rPr>
          <w:tab/>
        </w:r>
        <w:r w:rsidR="006D4E6C">
          <w:rPr>
            <w:noProof/>
            <w:webHidden/>
          </w:rPr>
          <w:fldChar w:fldCharType="begin"/>
        </w:r>
        <w:r w:rsidR="006D4E6C">
          <w:rPr>
            <w:noProof/>
            <w:webHidden/>
          </w:rPr>
          <w:instrText xml:space="preserve"> PAGEREF _Toc51042272 \h </w:instrText>
        </w:r>
        <w:r w:rsidR="006D4E6C">
          <w:rPr>
            <w:noProof/>
            <w:webHidden/>
          </w:rPr>
        </w:r>
        <w:r w:rsidR="006D4E6C">
          <w:rPr>
            <w:noProof/>
            <w:webHidden/>
          </w:rPr>
          <w:fldChar w:fldCharType="separate"/>
        </w:r>
        <w:r w:rsidR="006D4E6C">
          <w:rPr>
            <w:noProof/>
            <w:webHidden/>
          </w:rPr>
          <w:t>24</w:t>
        </w:r>
        <w:r w:rsidR="006D4E6C">
          <w:rPr>
            <w:noProof/>
            <w:webHidden/>
          </w:rPr>
          <w:fldChar w:fldCharType="end"/>
        </w:r>
      </w:hyperlink>
    </w:p>
    <w:p w14:paraId="240B04DE" w14:textId="6F5D2030" w:rsidR="006D4E6C" w:rsidRDefault="00C44FDC">
      <w:pPr>
        <w:pStyle w:val="TOC2"/>
        <w:rPr>
          <w:rFonts w:asciiTheme="minorHAnsi" w:eastAsiaTheme="minorEastAsia" w:hAnsiTheme="minorHAnsi" w:cstheme="minorBidi"/>
          <w:noProof/>
          <w:sz w:val="22"/>
          <w:szCs w:val="22"/>
          <w:lang w:val="en-GB" w:eastAsia="en-GB"/>
        </w:rPr>
      </w:pPr>
      <w:hyperlink w:anchor="_Toc51042273" w:history="1">
        <w:r w:rsidR="006D4E6C" w:rsidRPr="002F0763">
          <w:rPr>
            <w:rStyle w:val="Hyperlink"/>
            <w:noProof/>
          </w:rPr>
          <w:t>8.4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National Standardization Secretariats</w:t>
        </w:r>
        <w:r w:rsidR="006D4E6C">
          <w:rPr>
            <w:noProof/>
            <w:webHidden/>
          </w:rPr>
          <w:tab/>
        </w:r>
        <w:r w:rsidR="006D4E6C">
          <w:rPr>
            <w:noProof/>
            <w:webHidden/>
          </w:rPr>
          <w:fldChar w:fldCharType="begin"/>
        </w:r>
        <w:r w:rsidR="006D4E6C">
          <w:rPr>
            <w:noProof/>
            <w:webHidden/>
          </w:rPr>
          <w:instrText xml:space="preserve"> PAGEREF _Toc51042273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55C67FD4" w14:textId="2CCF1D88" w:rsidR="006D4E6C" w:rsidRDefault="00C44FDC">
      <w:pPr>
        <w:pStyle w:val="TOC2"/>
        <w:rPr>
          <w:rFonts w:asciiTheme="minorHAnsi" w:eastAsiaTheme="minorEastAsia" w:hAnsiTheme="minorHAnsi" w:cstheme="minorBidi"/>
          <w:noProof/>
          <w:sz w:val="22"/>
          <w:szCs w:val="22"/>
          <w:lang w:val="en-GB" w:eastAsia="en-GB"/>
        </w:rPr>
      </w:pPr>
      <w:hyperlink w:anchor="_Toc51042274" w:history="1">
        <w:r w:rsidR="006D4E6C" w:rsidRPr="002F0763">
          <w:rPr>
            <w:rStyle w:val="Hyperlink"/>
            <w:noProof/>
          </w:rPr>
          <w:t>8.5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e-Learning courses</w:t>
        </w:r>
        <w:r w:rsidR="006D4E6C">
          <w:rPr>
            <w:noProof/>
            <w:webHidden/>
          </w:rPr>
          <w:tab/>
        </w:r>
        <w:r w:rsidR="006D4E6C">
          <w:rPr>
            <w:noProof/>
            <w:webHidden/>
          </w:rPr>
          <w:fldChar w:fldCharType="begin"/>
        </w:r>
        <w:r w:rsidR="006D4E6C">
          <w:rPr>
            <w:noProof/>
            <w:webHidden/>
          </w:rPr>
          <w:instrText xml:space="preserve"> PAGEREF _Toc51042274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3B22D749" w14:textId="6E020608" w:rsidR="006D4E6C" w:rsidRDefault="00C44FDC">
      <w:pPr>
        <w:pStyle w:val="TOC2"/>
        <w:rPr>
          <w:rFonts w:asciiTheme="minorHAnsi" w:eastAsiaTheme="minorEastAsia" w:hAnsiTheme="minorHAnsi" w:cstheme="minorBidi"/>
          <w:noProof/>
          <w:sz w:val="22"/>
          <w:szCs w:val="22"/>
          <w:lang w:val="en-GB" w:eastAsia="en-GB"/>
        </w:rPr>
      </w:pPr>
      <w:hyperlink w:anchor="_Toc51042275" w:history="1">
        <w:r w:rsidR="006D4E6C" w:rsidRPr="002F0763">
          <w:rPr>
            <w:rStyle w:val="Hyperlink"/>
            <w:noProof/>
          </w:rPr>
          <w:t>8.6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SG Mentoring Programme</w:t>
        </w:r>
        <w:r w:rsidR="006D4E6C">
          <w:rPr>
            <w:noProof/>
            <w:webHidden/>
          </w:rPr>
          <w:tab/>
        </w:r>
        <w:r w:rsidR="006D4E6C">
          <w:rPr>
            <w:noProof/>
            <w:webHidden/>
          </w:rPr>
          <w:fldChar w:fldCharType="begin"/>
        </w:r>
        <w:r w:rsidR="006D4E6C">
          <w:rPr>
            <w:noProof/>
            <w:webHidden/>
          </w:rPr>
          <w:instrText xml:space="preserve"> PAGEREF _Toc51042275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42A9DB3E" w14:textId="7C62ACE0" w:rsidR="006D4E6C" w:rsidRDefault="00C44FDC">
      <w:pPr>
        <w:pStyle w:val="TOC2"/>
        <w:rPr>
          <w:rFonts w:asciiTheme="minorHAnsi" w:eastAsiaTheme="minorEastAsia" w:hAnsiTheme="minorHAnsi" w:cstheme="minorBidi"/>
          <w:noProof/>
          <w:sz w:val="22"/>
          <w:szCs w:val="22"/>
          <w:lang w:val="en-GB" w:eastAsia="en-GB"/>
        </w:rPr>
      </w:pPr>
      <w:hyperlink w:anchor="_Toc51042276" w:history="1">
        <w:r w:rsidR="006D4E6C" w:rsidRPr="002F0763">
          <w:rPr>
            <w:rStyle w:val="Hyperlink"/>
            <w:noProof/>
          </w:rPr>
          <w:t>8.7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Technical Papers</w:t>
        </w:r>
        <w:r w:rsidR="006D4E6C">
          <w:rPr>
            <w:noProof/>
            <w:webHidden/>
          </w:rPr>
          <w:tab/>
        </w:r>
        <w:r w:rsidR="006D4E6C">
          <w:rPr>
            <w:noProof/>
            <w:webHidden/>
          </w:rPr>
          <w:fldChar w:fldCharType="begin"/>
        </w:r>
        <w:r w:rsidR="006D4E6C">
          <w:rPr>
            <w:noProof/>
            <w:webHidden/>
          </w:rPr>
          <w:instrText xml:space="preserve"> PAGEREF _Toc51042276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094CBD8E" w14:textId="5C35406F" w:rsidR="006D4E6C" w:rsidRDefault="00C44FDC">
      <w:pPr>
        <w:pStyle w:val="TOC2"/>
        <w:rPr>
          <w:rFonts w:asciiTheme="minorHAnsi" w:eastAsiaTheme="minorEastAsia" w:hAnsiTheme="minorHAnsi" w:cstheme="minorBidi"/>
          <w:noProof/>
          <w:sz w:val="22"/>
          <w:szCs w:val="22"/>
          <w:lang w:val="en-GB" w:eastAsia="en-GB"/>
        </w:rPr>
      </w:pPr>
      <w:hyperlink w:anchor="_Toc51042277" w:history="1">
        <w:r w:rsidR="006D4E6C" w:rsidRPr="002F0763">
          <w:rPr>
            <w:rStyle w:val="Hyperlink"/>
            <w:noProof/>
          </w:rPr>
          <w:t>8.8</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Fellowships</w:t>
        </w:r>
        <w:r w:rsidR="006D4E6C">
          <w:rPr>
            <w:noProof/>
            <w:webHidden/>
          </w:rPr>
          <w:tab/>
        </w:r>
        <w:r w:rsidR="006D4E6C">
          <w:rPr>
            <w:noProof/>
            <w:webHidden/>
          </w:rPr>
          <w:fldChar w:fldCharType="begin"/>
        </w:r>
        <w:r w:rsidR="006D4E6C">
          <w:rPr>
            <w:noProof/>
            <w:webHidden/>
          </w:rPr>
          <w:instrText xml:space="preserve"> PAGEREF _Toc51042277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6010B6DE" w14:textId="267E404E" w:rsidR="006D4E6C" w:rsidRDefault="00C44FDC">
      <w:pPr>
        <w:pStyle w:val="TOC1"/>
        <w:rPr>
          <w:rFonts w:asciiTheme="minorHAnsi" w:eastAsiaTheme="minorEastAsia" w:hAnsiTheme="minorHAnsi" w:cstheme="minorBidi"/>
          <w:noProof/>
          <w:sz w:val="22"/>
          <w:szCs w:val="22"/>
          <w:lang w:val="en-GB" w:eastAsia="en-GB"/>
        </w:rPr>
      </w:pPr>
      <w:hyperlink w:anchor="_Toc51042278" w:history="1">
        <w:r w:rsidR="006D4E6C" w:rsidRPr="002F0763">
          <w:rPr>
            <w:rStyle w:val="Hyperlink"/>
            <w:noProof/>
          </w:rPr>
          <w:t>9</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Using ICTs to bridge the financial inclusion gap</w:t>
        </w:r>
        <w:r w:rsidR="006D4E6C">
          <w:rPr>
            <w:noProof/>
            <w:webHidden/>
          </w:rPr>
          <w:tab/>
        </w:r>
        <w:r w:rsidR="006D4E6C">
          <w:rPr>
            <w:noProof/>
            <w:webHidden/>
          </w:rPr>
          <w:fldChar w:fldCharType="begin"/>
        </w:r>
        <w:r w:rsidR="006D4E6C">
          <w:rPr>
            <w:noProof/>
            <w:webHidden/>
          </w:rPr>
          <w:instrText xml:space="preserve"> PAGEREF _Toc51042278 \h </w:instrText>
        </w:r>
        <w:r w:rsidR="006D4E6C">
          <w:rPr>
            <w:noProof/>
            <w:webHidden/>
          </w:rPr>
        </w:r>
        <w:r w:rsidR="006D4E6C">
          <w:rPr>
            <w:noProof/>
            <w:webHidden/>
          </w:rPr>
          <w:fldChar w:fldCharType="separate"/>
        </w:r>
        <w:r w:rsidR="006D4E6C">
          <w:rPr>
            <w:noProof/>
            <w:webHidden/>
          </w:rPr>
          <w:t>26</w:t>
        </w:r>
        <w:r w:rsidR="006D4E6C">
          <w:rPr>
            <w:noProof/>
            <w:webHidden/>
          </w:rPr>
          <w:fldChar w:fldCharType="end"/>
        </w:r>
      </w:hyperlink>
    </w:p>
    <w:p w14:paraId="7C444B05" w14:textId="7C526380" w:rsidR="006D4E6C" w:rsidRDefault="00C44FDC">
      <w:pPr>
        <w:pStyle w:val="TOC2"/>
        <w:rPr>
          <w:rFonts w:asciiTheme="minorHAnsi" w:eastAsiaTheme="minorEastAsia" w:hAnsiTheme="minorHAnsi" w:cstheme="minorBidi"/>
          <w:noProof/>
          <w:sz w:val="22"/>
          <w:szCs w:val="22"/>
          <w:lang w:val="en-GB" w:eastAsia="en-GB"/>
        </w:rPr>
      </w:pPr>
      <w:hyperlink w:anchor="_Toc51042279" w:history="1">
        <w:r w:rsidR="006D4E6C" w:rsidRPr="002F0763">
          <w:rPr>
            <w:rStyle w:val="Hyperlink"/>
            <w:noProof/>
          </w:rPr>
          <w:t>9.1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Financial Inclusion Global Initiative (FIGI)</w:t>
        </w:r>
        <w:r w:rsidR="006D4E6C">
          <w:rPr>
            <w:noProof/>
            <w:webHidden/>
          </w:rPr>
          <w:tab/>
        </w:r>
        <w:r w:rsidR="006D4E6C">
          <w:rPr>
            <w:noProof/>
            <w:webHidden/>
          </w:rPr>
          <w:fldChar w:fldCharType="begin"/>
        </w:r>
        <w:r w:rsidR="006D4E6C">
          <w:rPr>
            <w:noProof/>
            <w:webHidden/>
          </w:rPr>
          <w:instrText xml:space="preserve"> PAGEREF _Toc51042279 \h </w:instrText>
        </w:r>
        <w:r w:rsidR="006D4E6C">
          <w:rPr>
            <w:noProof/>
            <w:webHidden/>
          </w:rPr>
        </w:r>
        <w:r w:rsidR="006D4E6C">
          <w:rPr>
            <w:noProof/>
            <w:webHidden/>
          </w:rPr>
          <w:fldChar w:fldCharType="separate"/>
        </w:r>
        <w:r w:rsidR="006D4E6C">
          <w:rPr>
            <w:noProof/>
            <w:webHidden/>
          </w:rPr>
          <w:t>26</w:t>
        </w:r>
        <w:r w:rsidR="006D4E6C">
          <w:rPr>
            <w:noProof/>
            <w:webHidden/>
          </w:rPr>
          <w:fldChar w:fldCharType="end"/>
        </w:r>
      </w:hyperlink>
    </w:p>
    <w:p w14:paraId="62FEFFFE" w14:textId="2622181B" w:rsidR="006D4E6C" w:rsidRDefault="00C44FDC">
      <w:pPr>
        <w:pStyle w:val="TOC2"/>
        <w:rPr>
          <w:rFonts w:asciiTheme="minorHAnsi" w:eastAsiaTheme="minorEastAsia" w:hAnsiTheme="minorHAnsi" w:cstheme="minorBidi"/>
          <w:noProof/>
          <w:sz w:val="22"/>
          <w:szCs w:val="22"/>
          <w:lang w:val="en-GB" w:eastAsia="en-GB"/>
        </w:rPr>
      </w:pPr>
      <w:hyperlink w:anchor="_Toc51042280" w:history="1">
        <w:r w:rsidR="006D4E6C" w:rsidRPr="002F0763">
          <w:rPr>
            <w:rStyle w:val="Hyperlink"/>
            <w:noProof/>
          </w:rPr>
          <w:t>9.2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Standardization Activities in ITU-T Study Groups</w:t>
        </w:r>
        <w:r w:rsidR="006D4E6C">
          <w:rPr>
            <w:noProof/>
            <w:webHidden/>
          </w:rPr>
          <w:tab/>
        </w:r>
        <w:r w:rsidR="006D4E6C">
          <w:rPr>
            <w:noProof/>
            <w:webHidden/>
          </w:rPr>
          <w:fldChar w:fldCharType="begin"/>
        </w:r>
        <w:r w:rsidR="006D4E6C">
          <w:rPr>
            <w:noProof/>
            <w:webHidden/>
          </w:rPr>
          <w:instrText xml:space="preserve"> PAGEREF _Toc51042280 \h </w:instrText>
        </w:r>
        <w:r w:rsidR="006D4E6C">
          <w:rPr>
            <w:noProof/>
            <w:webHidden/>
          </w:rPr>
        </w:r>
        <w:r w:rsidR="006D4E6C">
          <w:rPr>
            <w:noProof/>
            <w:webHidden/>
          </w:rPr>
          <w:fldChar w:fldCharType="separate"/>
        </w:r>
        <w:r w:rsidR="006D4E6C">
          <w:rPr>
            <w:noProof/>
            <w:webHidden/>
          </w:rPr>
          <w:t>26</w:t>
        </w:r>
        <w:r w:rsidR="006D4E6C">
          <w:rPr>
            <w:noProof/>
            <w:webHidden/>
          </w:rPr>
          <w:fldChar w:fldCharType="end"/>
        </w:r>
      </w:hyperlink>
    </w:p>
    <w:p w14:paraId="6BAF92CE" w14:textId="7D07CFBA" w:rsidR="006D4E6C" w:rsidRDefault="00C44FDC">
      <w:pPr>
        <w:pStyle w:val="TOC2"/>
        <w:rPr>
          <w:rFonts w:asciiTheme="minorHAnsi" w:eastAsiaTheme="minorEastAsia" w:hAnsiTheme="minorHAnsi" w:cstheme="minorBidi"/>
          <w:noProof/>
          <w:sz w:val="22"/>
          <w:szCs w:val="22"/>
          <w:lang w:val="en-GB" w:eastAsia="en-GB"/>
        </w:rPr>
      </w:pPr>
      <w:hyperlink w:anchor="_Toc51042281" w:history="1">
        <w:r w:rsidR="006D4E6C" w:rsidRPr="002F0763">
          <w:rPr>
            <w:rStyle w:val="Hyperlink"/>
            <w:noProof/>
          </w:rPr>
          <w:t>9.3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DFS webinar series during COVID-19</w:t>
        </w:r>
        <w:r w:rsidR="006D4E6C">
          <w:rPr>
            <w:noProof/>
            <w:webHidden/>
          </w:rPr>
          <w:tab/>
        </w:r>
        <w:r w:rsidR="006D4E6C">
          <w:rPr>
            <w:noProof/>
            <w:webHidden/>
          </w:rPr>
          <w:fldChar w:fldCharType="begin"/>
        </w:r>
        <w:r w:rsidR="006D4E6C">
          <w:rPr>
            <w:noProof/>
            <w:webHidden/>
          </w:rPr>
          <w:instrText xml:space="preserve"> PAGEREF _Toc51042281 \h </w:instrText>
        </w:r>
        <w:r w:rsidR="006D4E6C">
          <w:rPr>
            <w:noProof/>
            <w:webHidden/>
          </w:rPr>
        </w:r>
        <w:r w:rsidR="006D4E6C">
          <w:rPr>
            <w:noProof/>
            <w:webHidden/>
          </w:rPr>
          <w:fldChar w:fldCharType="separate"/>
        </w:r>
        <w:r w:rsidR="006D4E6C">
          <w:rPr>
            <w:noProof/>
            <w:webHidden/>
          </w:rPr>
          <w:t>28</w:t>
        </w:r>
        <w:r w:rsidR="006D4E6C">
          <w:rPr>
            <w:noProof/>
            <w:webHidden/>
          </w:rPr>
          <w:fldChar w:fldCharType="end"/>
        </w:r>
      </w:hyperlink>
    </w:p>
    <w:p w14:paraId="499FD961" w14:textId="268F1632" w:rsidR="006D4E6C" w:rsidRDefault="00C44FDC">
      <w:pPr>
        <w:pStyle w:val="TOC2"/>
        <w:rPr>
          <w:rFonts w:asciiTheme="minorHAnsi" w:eastAsiaTheme="minorEastAsia" w:hAnsiTheme="minorHAnsi" w:cstheme="minorBidi"/>
          <w:noProof/>
          <w:sz w:val="22"/>
          <w:szCs w:val="22"/>
          <w:lang w:val="en-GB" w:eastAsia="en-GB"/>
        </w:rPr>
      </w:pPr>
      <w:hyperlink w:anchor="_Toc51042282" w:history="1">
        <w:r w:rsidR="006D4E6C" w:rsidRPr="002F0763">
          <w:rPr>
            <w:rStyle w:val="Hyperlink"/>
            <w:noProof/>
          </w:rPr>
          <w:t>9.4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Digital Currency Global Initiative</w:t>
        </w:r>
        <w:r w:rsidR="006D4E6C">
          <w:rPr>
            <w:noProof/>
            <w:webHidden/>
          </w:rPr>
          <w:tab/>
        </w:r>
        <w:r w:rsidR="006D4E6C">
          <w:rPr>
            <w:noProof/>
            <w:webHidden/>
          </w:rPr>
          <w:fldChar w:fldCharType="begin"/>
        </w:r>
        <w:r w:rsidR="006D4E6C">
          <w:rPr>
            <w:noProof/>
            <w:webHidden/>
          </w:rPr>
          <w:instrText xml:space="preserve"> PAGEREF _Toc51042282 \h </w:instrText>
        </w:r>
        <w:r w:rsidR="006D4E6C">
          <w:rPr>
            <w:noProof/>
            <w:webHidden/>
          </w:rPr>
        </w:r>
        <w:r w:rsidR="006D4E6C">
          <w:rPr>
            <w:noProof/>
            <w:webHidden/>
          </w:rPr>
          <w:fldChar w:fldCharType="separate"/>
        </w:r>
        <w:r w:rsidR="006D4E6C">
          <w:rPr>
            <w:noProof/>
            <w:webHidden/>
          </w:rPr>
          <w:t>28</w:t>
        </w:r>
        <w:r w:rsidR="006D4E6C">
          <w:rPr>
            <w:noProof/>
            <w:webHidden/>
          </w:rPr>
          <w:fldChar w:fldCharType="end"/>
        </w:r>
      </w:hyperlink>
    </w:p>
    <w:p w14:paraId="1463317D" w14:textId="31563DC7" w:rsidR="006D4E6C" w:rsidRDefault="00C44FDC">
      <w:pPr>
        <w:pStyle w:val="TOC1"/>
        <w:rPr>
          <w:rFonts w:asciiTheme="minorHAnsi" w:eastAsiaTheme="minorEastAsia" w:hAnsiTheme="minorHAnsi" w:cstheme="minorBidi"/>
          <w:noProof/>
          <w:sz w:val="22"/>
          <w:szCs w:val="22"/>
          <w:lang w:val="en-GB" w:eastAsia="en-GB"/>
        </w:rPr>
      </w:pPr>
      <w:hyperlink w:anchor="_Toc51042283" w:history="1">
        <w:r w:rsidR="006D4E6C" w:rsidRPr="002F0763">
          <w:rPr>
            <w:rStyle w:val="Hyperlink"/>
            <w:noProof/>
          </w:rPr>
          <w:t>10</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Membership</w:t>
        </w:r>
        <w:r w:rsidR="006D4E6C">
          <w:rPr>
            <w:noProof/>
            <w:webHidden/>
          </w:rPr>
          <w:tab/>
        </w:r>
        <w:r w:rsidR="006D4E6C">
          <w:rPr>
            <w:noProof/>
            <w:webHidden/>
          </w:rPr>
          <w:fldChar w:fldCharType="begin"/>
        </w:r>
        <w:r w:rsidR="006D4E6C">
          <w:rPr>
            <w:noProof/>
            <w:webHidden/>
          </w:rPr>
          <w:instrText xml:space="preserve"> PAGEREF _Toc51042283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3C6E3452" w14:textId="67F35236" w:rsidR="006D4E6C" w:rsidRDefault="00C44FDC">
      <w:pPr>
        <w:pStyle w:val="TOC2"/>
        <w:rPr>
          <w:rFonts w:asciiTheme="minorHAnsi" w:eastAsiaTheme="minorEastAsia" w:hAnsiTheme="minorHAnsi" w:cstheme="minorBidi"/>
          <w:noProof/>
          <w:sz w:val="22"/>
          <w:szCs w:val="22"/>
          <w:lang w:val="en-GB" w:eastAsia="en-GB"/>
        </w:rPr>
      </w:pPr>
      <w:hyperlink w:anchor="_Toc51042284" w:history="1">
        <w:r w:rsidR="006D4E6C" w:rsidRPr="002F0763">
          <w:rPr>
            <w:rStyle w:val="Hyperlink"/>
            <w:noProof/>
          </w:rPr>
          <w:t>10.1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Snapshot of ITU-T membership in 2020</w:t>
        </w:r>
        <w:r w:rsidR="006D4E6C">
          <w:rPr>
            <w:noProof/>
            <w:webHidden/>
          </w:rPr>
          <w:tab/>
        </w:r>
        <w:r w:rsidR="006D4E6C">
          <w:rPr>
            <w:noProof/>
            <w:webHidden/>
          </w:rPr>
          <w:fldChar w:fldCharType="begin"/>
        </w:r>
        <w:r w:rsidR="006D4E6C">
          <w:rPr>
            <w:noProof/>
            <w:webHidden/>
          </w:rPr>
          <w:instrText xml:space="preserve"> PAGEREF _Toc51042284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6AD9F232" w14:textId="6EBB0BAC" w:rsidR="006D4E6C" w:rsidRDefault="00C44FDC">
      <w:pPr>
        <w:pStyle w:val="TOC2"/>
        <w:rPr>
          <w:rFonts w:asciiTheme="minorHAnsi" w:eastAsiaTheme="minorEastAsia" w:hAnsiTheme="minorHAnsi" w:cstheme="minorBidi"/>
          <w:noProof/>
          <w:sz w:val="22"/>
          <w:szCs w:val="22"/>
          <w:lang w:val="en-GB" w:eastAsia="en-GB"/>
        </w:rPr>
      </w:pPr>
      <w:hyperlink w:anchor="_Toc51042285" w:history="1">
        <w:r w:rsidR="006D4E6C" w:rsidRPr="002F0763">
          <w:rPr>
            <w:rStyle w:val="Hyperlink"/>
            <w:noProof/>
          </w:rPr>
          <w:t>10.2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news moves to MyITU</w:t>
        </w:r>
        <w:r w:rsidR="006D4E6C">
          <w:rPr>
            <w:noProof/>
            <w:webHidden/>
          </w:rPr>
          <w:tab/>
        </w:r>
        <w:r w:rsidR="006D4E6C">
          <w:rPr>
            <w:noProof/>
            <w:webHidden/>
          </w:rPr>
          <w:fldChar w:fldCharType="begin"/>
        </w:r>
        <w:r w:rsidR="006D4E6C">
          <w:rPr>
            <w:noProof/>
            <w:webHidden/>
          </w:rPr>
          <w:instrText xml:space="preserve"> PAGEREF _Toc51042285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462D6226" w14:textId="7B38C56A" w:rsidR="006D4E6C" w:rsidRDefault="00C44FDC">
      <w:pPr>
        <w:pStyle w:val="TOC2"/>
        <w:rPr>
          <w:rFonts w:asciiTheme="minorHAnsi" w:eastAsiaTheme="minorEastAsia" w:hAnsiTheme="minorHAnsi" w:cstheme="minorBidi"/>
          <w:noProof/>
          <w:sz w:val="22"/>
          <w:szCs w:val="22"/>
          <w:lang w:val="en-GB" w:eastAsia="en-GB"/>
        </w:rPr>
      </w:pPr>
      <w:hyperlink w:anchor="_Toc51042286" w:history="1">
        <w:r w:rsidR="006D4E6C" w:rsidRPr="002F0763">
          <w:rPr>
            <w:rStyle w:val="Hyperlink"/>
            <w:noProof/>
          </w:rPr>
          <w:t>10.3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Evolution of ITU-T membership</w:t>
        </w:r>
        <w:r w:rsidR="006D4E6C">
          <w:rPr>
            <w:noProof/>
            <w:webHidden/>
          </w:rPr>
          <w:tab/>
        </w:r>
        <w:r w:rsidR="006D4E6C">
          <w:rPr>
            <w:noProof/>
            <w:webHidden/>
          </w:rPr>
          <w:fldChar w:fldCharType="begin"/>
        </w:r>
        <w:r w:rsidR="006D4E6C">
          <w:rPr>
            <w:noProof/>
            <w:webHidden/>
          </w:rPr>
          <w:instrText xml:space="preserve"> PAGEREF _Toc51042286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561B1A8E" w14:textId="34AFFA01" w:rsidR="006D4E6C" w:rsidRDefault="00C44FDC">
      <w:pPr>
        <w:pStyle w:val="TOC2"/>
        <w:rPr>
          <w:rFonts w:asciiTheme="minorHAnsi" w:eastAsiaTheme="minorEastAsia" w:hAnsiTheme="minorHAnsi" w:cstheme="minorBidi"/>
          <w:noProof/>
          <w:sz w:val="22"/>
          <w:szCs w:val="22"/>
          <w:lang w:val="en-GB" w:eastAsia="en-GB"/>
        </w:rPr>
      </w:pPr>
      <w:hyperlink w:anchor="_Toc51042287" w:history="1">
        <w:r w:rsidR="006D4E6C" w:rsidRPr="002F0763">
          <w:rPr>
            <w:rStyle w:val="Hyperlink"/>
            <w:noProof/>
          </w:rPr>
          <w:t>10.2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Conclusion of SME Pilot Project and implementation of a reduced Associate fee structure for SMEs</w:t>
        </w:r>
        <w:r w:rsidR="006D4E6C">
          <w:rPr>
            <w:noProof/>
            <w:webHidden/>
          </w:rPr>
          <w:tab/>
        </w:r>
        <w:r w:rsidR="006D4E6C">
          <w:rPr>
            <w:noProof/>
            <w:webHidden/>
          </w:rPr>
          <w:fldChar w:fldCharType="begin"/>
        </w:r>
        <w:r w:rsidR="006D4E6C">
          <w:rPr>
            <w:noProof/>
            <w:webHidden/>
          </w:rPr>
          <w:instrText xml:space="preserve"> PAGEREF _Toc51042287 \h </w:instrText>
        </w:r>
        <w:r w:rsidR="006D4E6C">
          <w:rPr>
            <w:noProof/>
            <w:webHidden/>
          </w:rPr>
        </w:r>
        <w:r w:rsidR="006D4E6C">
          <w:rPr>
            <w:noProof/>
            <w:webHidden/>
          </w:rPr>
          <w:fldChar w:fldCharType="separate"/>
        </w:r>
        <w:r w:rsidR="006D4E6C">
          <w:rPr>
            <w:noProof/>
            <w:webHidden/>
          </w:rPr>
          <w:t>31</w:t>
        </w:r>
        <w:r w:rsidR="006D4E6C">
          <w:rPr>
            <w:noProof/>
            <w:webHidden/>
          </w:rPr>
          <w:fldChar w:fldCharType="end"/>
        </w:r>
      </w:hyperlink>
    </w:p>
    <w:p w14:paraId="68D68FC0" w14:textId="2D5EF692" w:rsidR="006D4E6C" w:rsidRDefault="00C44FDC">
      <w:pPr>
        <w:pStyle w:val="TOC1"/>
        <w:rPr>
          <w:rFonts w:asciiTheme="minorHAnsi" w:eastAsiaTheme="minorEastAsia" w:hAnsiTheme="minorHAnsi" w:cstheme="minorBidi"/>
          <w:noProof/>
          <w:sz w:val="22"/>
          <w:szCs w:val="22"/>
          <w:lang w:val="en-GB" w:eastAsia="en-GB"/>
        </w:rPr>
      </w:pPr>
      <w:hyperlink w:anchor="_Toc51042288" w:history="1">
        <w:r w:rsidR="006D4E6C" w:rsidRPr="002F0763">
          <w:rPr>
            <w:rStyle w:val="Hyperlink"/>
            <w:noProof/>
          </w:rPr>
          <w:t>11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Gender</w:t>
        </w:r>
        <w:r w:rsidR="006D4E6C">
          <w:rPr>
            <w:noProof/>
            <w:webHidden/>
          </w:rPr>
          <w:tab/>
        </w:r>
        <w:r w:rsidR="006D4E6C">
          <w:rPr>
            <w:noProof/>
            <w:webHidden/>
          </w:rPr>
          <w:fldChar w:fldCharType="begin"/>
        </w:r>
        <w:r w:rsidR="006D4E6C">
          <w:rPr>
            <w:noProof/>
            <w:webHidden/>
          </w:rPr>
          <w:instrText xml:space="preserve"> PAGEREF _Toc51042288 \h </w:instrText>
        </w:r>
        <w:r w:rsidR="006D4E6C">
          <w:rPr>
            <w:noProof/>
            <w:webHidden/>
          </w:rPr>
        </w:r>
        <w:r w:rsidR="006D4E6C">
          <w:rPr>
            <w:noProof/>
            <w:webHidden/>
          </w:rPr>
          <w:fldChar w:fldCharType="separate"/>
        </w:r>
        <w:r w:rsidR="006D4E6C">
          <w:rPr>
            <w:noProof/>
            <w:webHidden/>
          </w:rPr>
          <w:t>31</w:t>
        </w:r>
        <w:r w:rsidR="006D4E6C">
          <w:rPr>
            <w:noProof/>
            <w:webHidden/>
          </w:rPr>
          <w:fldChar w:fldCharType="end"/>
        </w:r>
      </w:hyperlink>
    </w:p>
    <w:p w14:paraId="0A55B49C" w14:textId="7E9DCBE6" w:rsidR="006D4E6C" w:rsidRDefault="00C44FDC">
      <w:pPr>
        <w:pStyle w:val="TOC1"/>
        <w:rPr>
          <w:rFonts w:asciiTheme="minorHAnsi" w:eastAsiaTheme="minorEastAsia" w:hAnsiTheme="minorHAnsi" w:cstheme="minorBidi"/>
          <w:noProof/>
          <w:sz w:val="22"/>
          <w:szCs w:val="22"/>
          <w:lang w:val="en-GB" w:eastAsia="en-GB"/>
        </w:rPr>
      </w:pPr>
      <w:hyperlink w:anchor="_Toc51042289" w:history="1">
        <w:r w:rsidR="006D4E6C" w:rsidRPr="002F0763">
          <w:rPr>
            <w:rStyle w:val="Hyperlink"/>
            <w:noProof/>
          </w:rPr>
          <w:t>12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Academia</w:t>
        </w:r>
        <w:r w:rsidR="006D4E6C">
          <w:rPr>
            <w:noProof/>
            <w:webHidden/>
          </w:rPr>
          <w:tab/>
        </w:r>
        <w:r w:rsidR="006D4E6C">
          <w:rPr>
            <w:noProof/>
            <w:webHidden/>
          </w:rPr>
          <w:fldChar w:fldCharType="begin"/>
        </w:r>
        <w:r w:rsidR="006D4E6C">
          <w:rPr>
            <w:noProof/>
            <w:webHidden/>
          </w:rPr>
          <w:instrText xml:space="preserve"> PAGEREF _Toc51042289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14FE81D1" w14:textId="707603CE" w:rsidR="006D4E6C" w:rsidRDefault="00C44FDC">
      <w:pPr>
        <w:pStyle w:val="TOC2"/>
        <w:rPr>
          <w:rFonts w:asciiTheme="minorHAnsi" w:eastAsiaTheme="minorEastAsia" w:hAnsiTheme="minorHAnsi" w:cstheme="minorBidi"/>
          <w:noProof/>
          <w:sz w:val="22"/>
          <w:szCs w:val="22"/>
          <w:lang w:val="en-GB" w:eastAsia="en-GB"/>
        </w:rPr>
      </w:pPr>
      <w:hyperlink w:anchor="_Toc51042290" w:history="1">
        <w:r w:rsidR="006D4E6C" w:rsidRPr="002F0763">
          <w:rPr>
            <w:rStyle w:val="Hyperlink"/>
            <w:noProof/>
          </w:rPr>
          <w:t>12.1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 Kaleidoscope academic conferences</w:t>
        </w:r>
        <w:r w:rsidR="006D4E6C">
          <w:rPr>
            <w:noProof/>
            <w:webHidden/>
          </w:rPr>
          <w:tab/>
        </w:r>
        <w:r w:rsidR="006D4E6C">
          <w:rPr>
            <w:noProof/>
            <w:webHidden/>
          </w:rPr>
          <w:fldChar w:fldCharType="begin"/>
        </w:r>
        <w:r w:rsidR="006D4E6C">
          <w:rPr>
            <w:noProof/>
            <w:webHidden/>
          </w:rPr>
          <w:instrText xml:space="preserve"> PAGEREF _Toc51042290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02C6EACC" w14:textId="0526AF65" w:rsidR="006D4E6C" w:rsidRDefault="00C44FDC">
      <w:pPr>
        <w:pStyle w:val="TOC2"/>
        <w:rPr>
          <w:rFonts w:asciiTheme="minorHAnsi" w:eastAsiaTheme="minorEastAsia" w:hAnsiTheme="minorHAnsi" w:cstheme="minorBidi"/>
          <w:noProof/>
          <w:sz w:val="22"/>
          <w:szCs w:val="22"/>
          <w:lang w:val="en-GB" w:eastAsia="en-GB"/>
        </w:rPr>
      </w:pPr>
      <w:hyperlink w:anchor="_Toc51042291" w:history="1">
        <w:r w:rsidR="006D4E6C" w:rsidRPr="002F0763">
          <w:rPr>
            <w:rStyle w:val="Hyperlink"/>
            <w:noProof/>
          </w:rPr>
          <w:t>12.2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 Journal</w:t>
        </w:r>
        <w:r w:rsidR="006D4E6C">
          <w:rPr>
            <w:noProof/>
            <w:webHidden/>
          </w:rPr>
          <w:tab/>
        </w:r>
        <w:r w:rsidR="006D4E6C">
          <w:rPr>
            <w:noProof/>
            <w:webHidden/>
          </w:rPr>
          <w:fldChar w:fldCharType="begin"/>
        </w:r>
        <w:r w:rsidR="006D4E6C">
          <w:rPr>
            <w:noProof/>
            <w:webHidden/>
          </w:rPr>
          <w:instrText xml:space="preserve"> PAGEREF _Toc51042291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242A4C9B" w14:textId="0CA2601E" w:rsidR="006D4E6C" w:rsidRDefault="00C44FDC">
      <w:pPr>
        <w:pStyle w:val="TOC2"/>
        <w:rPr>
          <w:rFonts w:asciiTheme="minorHAnsi" w:eastAsiaTheme="minorEastAsia" w:hAnsiTheme="minorHAnsi" w:cstheme="minorBidi"/>
          <w:noProof/>
          <w:sz w:val="22"/>
          <w:szCs w:val="22"/>
          <w:lang w:val="en-GB" w:eastAsia="en-GB"/>
        </w:rPr>
      </w:pPr>
      <w:hyperlink w:anchor="_Toc51042292" w:history="1">
        <w:r w:rsidR="006D4E6C" w:rsidRPr="002F0763">
          <w:rPr>
            <w:rStyle w:val="Hyperlink"/>
            <w:noProof/>
          </w:rPr>
          <w:t>12.3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World Standards Cooperation and Academia</w:t>
        </w:r>
        <w:r w:rsidR="006D4E6C">
          <w:rPr>
            <w:noProof/>
            <w:webHidden/>
          </w:rPr>
          <w:tab/>
        </w:r>
        <w:r w:rsidR="006D4E6C">
          <w:rPr>
            <w:noProof/>
            <w:webHidden/>
          </w:rPr>
          <w:fldChar w:fldCharType="begin"/>
        </w:r>
        <w:r w:rsidR="006D4E6C">
          <w:rPr>
            <w:noProof/>
            <w:webHidden/>
          </w:rPr>
          <w:instrText xml:space="preserve"> PAGEREF _Toc51042292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05C9AE81" w14:textId="60EE76B0" w:rsidR="006D4E6C" w:rsidRDefault="00C44FDC">
      <w:pPr>
        <w:pStyle w:val="TOC1"/>
        <w:rPr>
          <w:rFonts w:asciiTheme="minorHAnsi" w:eastAsiaTheme="minorEastAsia" w:hAnsiTheme="minorHAnsi" w:cstheme="minorBidi"/>
          <w:noProof/>
          <w:sz w:val="22"/>
          <w:szCs w:val="22"/>
          <w:lang w:val="en-GB" w:eastAsia="en-GB"/>
        </w:rPr>
      </w:pPr>
      <w:hyperlink w:anchor="_Toc51042293" w:history="1">
        <w:r w:rsidR="006D4E6C" w:rsidRPr="002F0763">
          <w:rPr>
            <w:rStyle w:val="Hyperlink"/>
            <w:noProof/>
          </w:rPr>
          <w:t>13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Publications</w:t>
        </w:r>
        <w:r w:rsidR="006D4E6C">
          <w:rPr>
            <w:noProof/>
            <w:webHidden/>
          </w:rPr>
          <w:tab/>
        </w:r>
        <w:r w:rsidR="006D4E6C">
          <w:rPr>
            <w:noProof/>
            <w:webHidden/>
          </w:rPr>
          <w:fldChar w:fldCharType="begin"/>
        </w:r>
        <w:r w:rsidR="006D4E6C">
          <w:rPr>
            <w:noProof/>
            <w:webHidden/>
          </w:rPr>
          <w:instrText xml:space="preserve"> PAGEREF _Toc51042293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25384D54" w14:textId="1F1053FE" w:rsidR="006D4E6C" w:rsidRDefault="00C44FDC">
      <w:pPr>
        <w:pStyle w:val="TOC1"/>
        <w:rPr>
          <w:rFonts w:asciiTheme="minorHAnsi" w:eastAsiaTheme="minorEastAsia" w:hAnsiTheme="minorHAnsi" w:cstheme="minorBidi"/>
          <w:noProof/>
          <w:sz w:val="22"/>
          <w:szCs w:val="22"/>
          <w:lang w:val="en-GB" w:eastAsia="en-GB"/>
        </w:rPr>
      </w:pPr>
      <w:hyperlink w:anchor="_Toc51042294" w:history="1">
        <w:r w:rsidR="006D4E6C" w:rsidRPr="002F0763">
          <w:rPr>
            <w:rStyle w:val="Hyperlink"/>
            <w:noProof/>
          </w:rPr>
          <w:t>15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Services and tools</w:t>
        </w:r>
        <w:r w:rsidR="006D4E6C">
          <w:rPr>
            <w:noProof/>
            <w:webHidden/>
          </w:rPr>
          <w:tab/>
        </w:r>
        <w:r w:rsidR="006D4E6C">
          <w:rPr>
            <w:noProof/>
            <w:webHidden/>
          </w:rPr>
          <w:fldChar w:fldCharType="begin"/>
        </w:r>
        <w:r w:rsidR="006D4E6C">
          <w:rPr>
            <w:noProof/>
            <w:webHidden/>
          </w:rPr>
          <w:instrText xml:space="preserve"> PAGEREF _Toc51042294 \h </w:instrText>
        </w:r>
        <w:r w:rsidR="006D4E6C">
          <w:rPr>
            <w:noProof/>
            <w:webHidden/>
          </w:rPr>
        </w:r>
        <w:r w:rsidR="006D4E6C">
          <w:rPr>
            <w:noProof/>
            <w:webHidden/>
          </w:rPr>
          <w:fldChar w:fldCharType="separate"/>
        </w:r>
        <w:r w:rsidR="006D4E6C">
          <w:rPr>
            <w:noProof/>
            <w:webHidden/>
          </w:rPr>
          <w:t>33</w:t>
        </w:r>
        <w:r w:rsidR="006D4E6C">
          <w:rPr>
            <w:noProof/>
            <w:webHidden/>
          </w:rPr>
          <w:fldChar w:fldCharType="end"/>
        </w:r>
      </w:hyperlink>
    </w:p>
    <w:p w14:paraId="7BFB4769" w14:textId="28F76EC7" w:rsidR="006D4E6C" w:rsidRDefault="00C44FDC">
      <w:pPr>
        <w:pStyle w:val="TOC2"/>
        <w:rPr>
          <w:rFonts w:asciiTheme="minorHAnsi" w:eastAsiaTheme="minorEastAsia" w:hAnsiTheme="minorHAnsi" w:cstheme="minorBidi"/>
          <w:noProof/>
          <w:sz w:val="22"/>
          <w:szCs w:val="22"/>
          <w:lang w:val="en-GB" w:eastAsia="en-GB"/>
        </w:rPr>
      </w:pPr>
      <w:hyperlink w:anchor="_Toc51042295" w:history="1">
        <w:r w:rsidR="006D4E6C" w:rsidRPr="002F0763">
          <w:rPr>
            <w:rStyle w:val="Hyperlink"/>
            <w:noProof/>
          </w:rPr>
          <w:t>15.1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databases</w:t>
        </w:r>
        <w:r w:rsidR="006D4E6C">
          <w:rPr>
            <w:noProof/>
            <w:webHidden/>
          </w:rPr>
          <w:tab/>
        </w:r>
        <w:r w:rsidR="006D4E6C">
          <w:rPr>
            <w:noProof/>
            <w:webHidden/>
          </w:rPr>
          <w:fldChar w:fldCharType="begin"/>
        </w:r>
        <w:r w:rsidR="006D4E6C">
          <w:rPr>
            <w:noProof/>
            <w:webHidden/>
          </w:rPr>
          <w:instrText xml:space="preserve"> PAGEREF _Toc51042295 \h </w:instrText>
        </w:r>
        <w:r w:rsidR="006D4E6C">
          <w:rPr>
            <w:noProof/>
            <w:webHidden/>
          </w:rPr>
        </w:r>
        <w:r w:rsidR="006D4E6C">
          <w:rPr>
            <w:noProof/>
            <w:webHidden/>
          </w:rPr>
          <w:fldChar w:fldCharType="separate"/>
        </w:r>
        <w:r w:rsidR="006D4E6C">
          <w:rPr>
            <w:noProof/>
            <w:webHidden/>
          </w:rPr>
          <w:t>33</w:t>
        </w:r>
        <w:r w:rsidR="006D4E6C">
          <w:rPr>
            <w:noProof/>
            <w:webHidden/>
          </w:rPr>
          <w:fldChar w:fldCharType="end"/>
        </w:r>
      </w:hyperlink>
    </w:p>
    <w:p w14:paraId="71EF7450" w14:textId="480669AC" w:rsidR="006D4E6C" w:rsidRDefault="00C44FDC">
      <w:pPr>
        <w:pStyle w:val="TOC2"/>
        <w:rPr>
          <w:rFonts w:asciiTheme="minorHAnsi" w:eastAsiaTheme="minorEastAsia" w:hAnsiTheme="minorHAnsi" w:cstheme="minorBidi"/>
          <w:noProof/>
          <w:sz w:val="22"/>
          <w:szCs w:val="22"/>
          <w:lang w:val="en-GB" w:eastAsia="en-GB"/>
        </w:rPr>
      </w:pPr>
      <w:hyperlink w:anchor="_Toc51042296" w:history="1">
        <w:r w:rsidR="006D4E6C" w:rsidRPr="002F0763">
          <w:rPr>
            <w:rStyle w:val="Hyperlink"/>
            <w:noProof/>
          </w:rPr>
          <w:t>15.2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MyWorkspace</w:t>
        </w:r>
        <w:r w:rsidR="006D4E6C">
          <w:rPr>
            <w:noProof/>
            <w:webHidden/>
          </w:rPr>
          <w:tab/>
        </w:r>
        <w:r w:rsidR="006D4E6C">
          <w:rPr>
            <w:noProof/>
            <w:webHidden/>
          </w:rPr>
          <w:fldChar w:fldCharType="begin"/>
        </w:r>
        <w:r w:rsidR="006D4E6C">
          <w:rPr>
            <w:noProof/>
            <w:webHidden/>
          </w:rPr>
          <w:instrText xml:space="preserve"> PAGEREF _Toc51042296 \h </w:instrText>
        </w:r>
        <w:r w:rsidR="006D4E6C">
          <w:rPr>
            <w:noProof/>
            <w:webHidden/>
          </w:rPr>
        </w:r>
        <w:r w:rsidR="006D4E6C">
          <w:rPr>
            <w:noProof/>
            <w:webHidden/>
          </w:rPr>
          <w:fldChar w:fldCharType="separate"/>
        </w:r>
        <w:r w:rsidR="006D4E6C">
          <w:rPr>
            <w:noProof/>
            <w:webHidden/>
          </w:rPr>
          <w:t>34</w:t>
        </w:r>
        <w:r w:rsidR="006D4E6C">
          <w:rPr>
            <w:noProof/>
            <w:webHidden/>
          </w:rPr>
          <w:fldChar w:fldCharType="end"/>
        </w:r>
      </w:hyperlink>
    </w:p>
    <w:p w14:paraId="0A4E13EE" w14:textId="2A02338B" w:rsidR="006D4E6C" w:rsidRDefault="00C44FDC">
      <w:pPr>
        <w:pStyle w:val="TOC2"/>
        <w:rPr>
          <w:rFonts w:asciiTheme="minorHAnsi" w:eastAsiaTheme="minorEastAsia" w:hAnsiTheme="minorHAnsi" w:cstheme="minorBidi"/>
          <w:noProof/>
          <w:sz w:val="22"/>
          <w:szCs w:val="22"/>
          <w:lang w:val="en-GB" w:eastAsia="en-GB"/>
        </w:rPr>
      </w:pPr>
      <w:hyperlink w:anchor="_Toc51042297" w:history="1">
        <w:r w:rsidR="006D4E6C" w:rsidRPr="002F0763">
          <w:rPr>
            <w:rStyle w:val="Hyperlink"/>
            <w:noProof/>
          </w:rPr>
          <w:t>15.3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ITUSearch</w:t>
        </w:r>
        <w:r w:rsidR="006D4E6C">
          <w:rPr>
            <w:noProof/>
            <w:webHidden/>
          </w:rPr>
          <w:tab/>
        </w:r>
        <w:r w:rsidR="006D4E6C">
          <w:rPr>
            <w:noProof/>
            <w:webHidden/>
          </w:rPr>
          <w:fldChar w:fldCharType="begin"/>
        </w:r>
        <w:r w:rsidR="006D4E6C">
          <w:rPr>
            <w:noProof/>
            <w:webHidden/>
          </w:rPr>
          <w:instrText xml:space="preserve"> PAGEREF _Toc51042297 \h </w:instrText>
        </w:r>
        <w:r w:rsidR="006D4E6C">
          <w:rPr>
            <w:noProof/>
            <w:webHidden/>
          </w:rPr>
        </w:r>
        <w:r w:rsidR="006D4E6C">
          <w:rPr>
            <w:noProof/>
            <w:webHidden/>
          </w:rPr>
          <w:fldChar w:fldCharType="separate"/>
        </w:r>
        <w:r w:rsidR="006D4E6C">
          <w:rPr>
            <w:noProof/>
            <w:webHidden/>
          </w:rPr>
          <w:t>34</w:t>
        </w:r>
        <w:r w:rsidR="006D4E6C">
          <w:rPr>
            <w:noProof/>
            <w:webHidden/>
          </w:rPr>
          <w:fldChar w:fldCharType="end"/>
        </w:r>
      </w:hyperlink>
    </w:p>
    <w:p w14:paraId="705F5678" w14:textId="35AB5B7B" w:rsidR="006D4E6C" w:rsidRDefault="00C44FDC">
      <w:pPr>
        <w:pStyle w:val="TOC2"/>
        <w:rPr>
          <w:rFonts w:asciiTheme="minorHAnsi" w:eastAsiaTheme="minorEastAsia" w:hAnsiTheme="minorHAnsi" w:cstheme="minorBidi"/>
          <w:noProof/>
          <w:sz w:val="22"/>
          <w:szCs w:val="22"/>
          <w:lang w:val="en-GB" w:eastAsia="en-GB"/>
        </w:rPr>
      </w:pPr>
      <w:hyperlink w:anchor="_Toc51042298" w:history="1">
        <w:r w:rsidR="006D4E6C" w:rsidRPr="002F0763">
          <w:rPr>
            <w:rStyle w:val="Hyperlink"/>
            <w:noProof/>
          </w:rPr>
          <w:t>15.4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services &amp; tools announcements</w:t>
        </w:r>
        <w:r w:rsidR="006D4E6C">
          <w:rPr>
            <w:noProof/>
            <w:webHidden/>
          </w:rPr>
          <w:tab/>
        </w:r>
        <w:r w:rsidR="006D4E6C">
          <w:rPr>
            <w:noProof/>
            <w:webHidden/>
          </w:rPr>
          <w:fldChar w:fldCharType="begin"/>
        </w:r>
        <w:r w:rsidR="006D4E6C">
          <w:rPr>
            <w:noProof/>
            <w:webHidden/>
          </w:rPr>
          <w:instrText xml:space="preserve"> PAGEREF _Toc51042298 \h </w:instrText>
        </w:r>
        <w:r w:rsidR="006D4E6C">
          <w:rPr>
            <w:noProof/>
            <w:webHidden/>
          </w:rPr>
        </w:r>
        <w:r w:rsidR="006D4E6C">
          <w:rPr>
            <w:noProof/>
            <w:webHidden/>
          </w:rPr>
          <w:fldChar w:fldCharType="separate"/>
        </w:r>
        <w:r w:rsidR="006D4E6C">
          <w:rPr>
            <w:noProof/>
            <w:webHidden/>
          </w:rPr>
          <w:t>34</w:t>
        </w:r>
        <w:r w:rsidR="006D4E6C">
          <w:rPr>
            <w:noProof/>
            <w:webHidden/>
          </w:rPr>
          <w:fldChar w:fldCharType="end"/>
        </w:r>
      </w:hyperlink>
    </w:p>
    <w:p w14:paraId="14851E9A" w14:textId="3C47D9F7" w:rsidR="006D4E6C" w:rsidRDefault="00C44FDC">
      <w:pPr>
        <w:pStyle w:val="TOC2"/>
        <w:rPr>
          <w:rFonts w:asciiTheme="minorHAnsi" w:eastAsiaTheme="minorEastAsia" w:hAnsiTheme="minorHAnsi" w:cstheme="minorBidi"/>
          <w:noProof/>
          <w:sz w:val="22"/>
          <w:szCs w:val="22"/>
          <w:lang w:val="en-GB" w:eastAsia="en-GB"/>
        </w:rPr>
      </w:pPr>
      <w:hyperlink w:anchor="_Toc51042299" w:history="1">
        <w:r w:rsidR="006D4E6C" w:rsidRPr="002F0763">
          <w:rPr>
            <w:rStyle w:val="Hyperlink"/>
            <w:noProof/>
          </w:rPr>
          <w:t>15.5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Document Management System for Rapporteur Groups</w:t>
        </w:r>
        <w:r w:rsidR="006D4E6C">
          <w:rPr>
            <w:noProof/>
            <w:webHidden/>
          </w:rPr>
          <w:tab/>
        </w:r>
        <w:r w:rsidR="006D4E6C">
          <w:rPr>
            <w:noProof/>
            <w:webHidden/>
          </w:rPr>
          <w:fldChar w:fldCharType="begin"/>
        </w:r>
        <w:r w:rsidR="006D4E6C">
          <w:rPr>
            <w:noProof/>
            <w:webHidden/>
          </w:rPr>
          <w:instrText xml:space="preserve"> PAGEREF _Toc51042299 \h </w:instrText>
        </w:r>
        <w:r w:rsidR="006D4E6C">
          <w:rPr>
            <w:noProof/>
            <w:webHidden/>
          </w:rPr>
        </w:r>
        <w:r w:rsidR="006D4E6C">
          <w:rPr>
            <w:noProof/>
            <w:webHidden/>
          </w:rPr>
          <w:fldChar w:fldCharType="separate"/>
        </w:r>
        <w:r w:rsidR="006D4E6C">
          <w:rPr>
            <w:noProof/>
            <w:webHidden/>
          </w:rPr>
          <w:t>35</w:t>
        </w:r>
        <w:r w:rsidR="006D4E6C">
          <w:rPr>
            <w:noProof/>
            <w:webHidden/>
          </w:rPr>
          <w:fldChar w:fldCharType="end"/>
        </w:r>
      </w:hyperlink>
    </w:p>
    <w:p w14:paraId="51F3A7BA" w14:textId="104AF98D" w:rsidR="006D4E6C" w:rsidRDefault="00C44FDC">
      <w:pPr>
        <w:pStyle w:val="TOC2"/>
        <w:rPr>
          <w:rFonts w:asciiTheme="minorHAnsi" w:eastAsiaTheme="minorEastAsia" w:hAnsiTheme="minorHAnsi" w:cstheme="minorBidi"/>
          <w:noProof/>
          <w:sz w:val="22"/>
          <w:szCs w:val="22"/>
          <w:lang w:val="en-GB" w:eastAsia="en-GB"/>
        </w:rPr>
      </w:pPr>
      <w:hyperlink w:anchor="_Toc51042300" w:history="1">
        <w:r w:rsidR="006D4E6C" w:rsidRPr="002F0763">
          <w:rPr>
            <w:rStyle w:val="Hyperlink"/>
            <w:noProof/>
          </w:rPr>
          <w:t>15.6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International Numbering Resources (INRs)</w:t>
        </w:r>
        <w:r w:rsidR="006D4E6C">
          <w:rPr>
            <w:noProof/>
            <w:webHidden/>
          </w:rPr>
          <w:tab/>
        </w:r>
        <w:r w:rsidR="006D4E6C">
          <w:rPr>
            <w:noProof/>
            <w:webHidden/>
          </w:rPr>
          <w:fldChar w:fldCharType="begin"/>
        </w:r>
        <w:r w:rsidR="006D4E6C">
          <w:rPr>
            <w:noProof/>
            <w:webHidden/>
          </w:rPr>
          <w:instrText xml:space="preserve"> PAGEREF _Toc51042300 \h </w:instrText>
        </w:r>
        <w:r w:rsidR="006D4E6C">
          <w:rPr>
            <w:noProof/>
            <w:webHidden/>
          </w:rPr>
        </w:r>
        <w:r w:rsidR="006D4E6C">
          <w:rPr>
            <w:noProof/>
            <w:webHidden/>
          </w:rPr>
          <w:fldChar w:fldCharType="separate"/>
        </w:r>
        <w:r w:rsidR="006D4E6C">
          <w:rPr>
            <w:noProof/>
            <w:webHidden/>
          </w:rPr>
          <w:t>35</w:t>
        </w:r>
        <w:r w:rsidR="006D4E6C">
          <w:rPr>
            <w:noProof/>
            <w:webHidden/>
          </w:rPr>
          <w:fldChar w:fldCharType="end"/>
        </w:r>
      </w:hyperlink>
    </w:p>
    <w:p w14:paraId="0B7663BD" w14:textId="43564EB8" w:rsidR="006D4E6C" w:rsidRDefault="00C44FDC">
      <w:pPr>
        <w:pStyle w:val="TOC2"/>
        <w:rPr>
          <w:rFonts w:asciiTheme="minorHAnsi" w:eastAsiaTheme="minorEastAsia" w:hAnsiTheme="minorHAnsi" w:cstheme="minorBidi"/>
          <w:noProof/>
          <w:sz w:val="22"/>
          <w:szCs w:val="22"/>
          <w:lang w:val="en-GB" w:eastAsia="en-GB"/>
        </w:rPr>
      </w:pPr>
      <w:hyperlink w:anchor="_Toc51042301" w:history="1">
        <w:r w:rsidR="006D4E6C" w:rsidRPr="002F0763">
          <w:rPr>
            <w:rStyle w:val="Hyperlink"/>
            <w:noProof/>
          </w:rPr>
          <w:t>15.7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SharePoint collaboration sites</w:t>
        </w:r>
        <w:r w:rsidR="006D4E6C">
          <w:rPr>
            <w:noProof/>
            <w:webHidden/>
          </w:rPr>
          <w:tab/>
        </w:r>
        <w:r w:rsidR="006D4E6C">
          <w:rPr>
            <w:noProof/>
            <w:webHidden/>
          </w:rPr>
          <w:fldChar w:fldCharType="begin"/>
        </w:r>
        <w:r w:rsidR="006D4E6C">
          <w:rPr>
            <w:noProof/>
            <w:webHidden/>
          </w:rPr>
          <w:instrText xml:space="preserve"> PAGEREF _Toc51042301 \h </w:instrText>
        </w:r>
        <w:r w:rsidR="006D4E6C">
          <w:rPr>
            <w:noProof/>
            <w:webHidden/>
          </w:rPr>
        </w:r>
        <w:r w:rsidR="006D4E6C">
          <w:rPr>
            <w:noProof/>
            <w:webHidden/>
          </w:rPr>
          <w:fldChar w:fldCharType="separate"/>
        </w:r>
        <w:r w:rsidR="006D4E6C">
          <w:rPr>
            <w:noProof/>
            <w:webHidden/>
          </w:rPr>
          <w:t>36</w:t>
        </w:r>
        <w:r w:rsidR="006D4E6C">
          <w:rPr>
            <w:noProof/>
            <w:webHidden/>
          </w:rPr>
          <w:fldChar w:fldCharType="end"/>
        </w:r>
      </w:hyperlink>
    </w:p>
    <w:p w14:paraId="57DD02FB" w14:textId="4F45EA5E" w:rsidR="006D4E6C" w:rsidRDefault="00C44FDC">
      <w:pPr>
        <w:pStyle w:val="TOC2"/>
        <w:rPr>
          <w:rFonts w:asciiTheme="minorHAnsi" w:eastAsiaTheme="minorEastAsia" w:hAnsiTheme="minorHAnsi" w:cstheme="minorBidi"/>
          <w:noProof/>
          <w:sz w:val="22"/>
          <w:szCs w:val="22"/>
          <w:lang w:val="en-GB" w:eastAsia="en-GB"/>
        </w:rPr>
      </w:pPr>
      <w:hyperlink w:anchor="_Toc51042302" w:history="1">
        <w:r w:rsidR="006D4E6C" w:rsidRPr="002F0763">
          <w:rPr>
            <w:rStyle w:val="Hyperlink"/>
            <w:noProof/>
          </w:rPr>
          <w:t>15.8</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Meeting Documents Sync Application</w:t>
        </w:r>
        <w:r w:rsidR="006D4E6C">
          <w:rPr>
            <w:noProof/>
            <w:webHidden/>
          </w:rPr>
          <w:tab/>
        </w:r>
        <w:r w:rsidR="006D4E6C">
          <w:rPr>
            <w:noProof/>
            <w:webHidden/>
          </w:rPr>
          <w:fldChar w:fldCharType="begin"/>
        </w:r>
        <w:r w:rsidR="006D4E6C">
          <w:rPr>
            <w:noProof/>
            <w:webHidden/>
          </w:rPr>
          <w:instrText xml:space="preserve"> PAGEREF _Toc51042302 \h </w:instrText>
        </w:r>
        <w:r w:rsidR="006D4E6C">
          <w:rPr>
            <w:noProof/>
            <w:webHidden/>
          </w:rPr>
        </w:r>
        <w:r w:rsidR="006D4E6C">
          <w:rPr>
            <w:noProof/>
            <w:webHidden/>
          </w:rPr>
          <w:fldChar w:fldCharType="separate"/>
        </w:r>
        <w:r w:rsidR="006D4E6C">
          <w:rPr>
            <w:noProof/>
            <w:webHidden/>
          </w:rPr>
          <w:t>37</w:t>
        </w:r>
        <w:r w:rsidR="006D4E6C">
          <w:rPr>
            <w:noProof/>
            <w:webHidden/>
          </w:rPr>
          <w:fldChar w:fldCharType="end"/>
        </w:r>
      </w:hyperlink>
    </w:p>
    <w:p w14:paraId="54C82F4C" w14:textId="75500B34" w:rsidR="006D4E6C" w:rsidRDefault="00C44FDC">
      <w:pPr>
        <w:pStyle w:val="TOC2"/>
        <w:rPr>
          <w:rFonts w:asciiTheme="minorHAnsi" w:eastAsiaTheme="minorEastAsia" w:hAnsiTheme="minorHAnsi" w:cstheme="minorBidi"/>
          <w:noProof/>
          <w:sz w:val="22"/>
          <w:szCs w:val="22"/>
          <w:lang w:val="en-GB" w:eastAsia="en-GB"/>
        </w:rPr>
      </w:pPr>
      <w:hyperlink w:anchor="_Toc51042303" w:history="1">
        <w:r w:rsidR="006D4E6C" w:rsidRPr="002F0763">
          <w:rPr>
            <w:rStyle w:val="Hyperlink"/>
            <w:noProof/>
          </w:rPr>
          <w:t>15.9</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Electronic meetings</w:t>
        </w:r>
        <w:r w:rsidR="006D4E6C">
          <w:rPr>
            <w:noProof/>
            <w:webHidden/>
          </w:rPr>
          <w:tab/>
        </w:r>
        <w:r w:rsidR="006D4E6C">
          <w:rPr>
            <w:noProof/>
            <w:webHidden/>
          </w:rPr>
          <w:fldChar w:fldCharType="begin"/>
        </w:r>
        <w:r w:rsidR="006D4E6C">
          <w:rPr>
            <w:noProof/>
            <w:webHidden/>
          </w:rPr>
          <w:instrText xml:space="preserve"> PAGEREF _Toc51042303 \h </w:instrText>
        </w:r>
        <w:r w:rsidR="006D4E6C">
          <w:rPr>
            <w:noProof/>
            <w:webHidden/>
          </w:rPr>
        </w:r>
        <w:r w:rsidR="006D4E6C">
          <w:rPr>
            <w:noProof/>
            <w:webHidden/>
          </w:rPr>
          <w:fldChar w:fldCharType="separate"/>
        </w:r>
        <w:r w:rsidR="006D4E6C">
          <w:rPr>
            <w:noProof/>
            <w:webHidden/>
          </w:rPr>
          <w:t>38</w:t>
        </w:r>
        <w:r w:rsidR="006D4E6C">
          <w:rPr>
            <w:noProof/>
            <w:webHidden/>
          </w:rPr>
          <w:fldChar w:fldCharType="end"/>
        </w:r>
      </w:hyperlink>
    </w:p>
    <w:p w14:paraId="1ECB67D4" w14:textId="6BC7AE2F" w:rsidR="006D4E6C" w:rsidRDefault="00C44FDC">
      <w:pPr>
        <w:pStyle w:val="TOC2"/>
        <w:rPr>
          <w:rFonts w:asciiTheme="minorHAnsi" w:eastAsiaTheme="minorEastAsia" w:hAnsiTheme="minorHAnsi" w:cstheme="minorBidi"/>
          <w:noProof/>
          <w:sz w:val="22"/>
          <w:szCs w:val="22"/>
          <w:lang w:val="en-GB" w:eastAsia="en-GB"/>
        </w:rPr>
      </w:pPr>
      <w:hyperlink w:anchor="_Toc51042304" w:history="1">
        <w:r w:rsidR="006D4E6C" w:rsidRPr="002F0763">
          <w:rPr>
            <w:rStyle w:val="Hyperlink"/>
            <w:noProof/>
          </w:rPr>
          <w:t>15.10</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Use in the ITU-T of the official languages of the Union on an equal footing</w:t>
        </w:r>
        <w:r w:rsidR="006D4E6C">
          <w:rPr>
            <w:noProof/>
            <w:webHidden/>
          </w:rPr>
          <w:tab/>
        </w:r>
        <w:r w:rsidR="006D4E6C">
          <w:rPr>
            <w:noProof/>
            <w:webHidden/>
          </w:rPr>
          <w:fldChar w:fldCharType="begin"/>
        </w:r>
        <w:r w:rsidR="006D4E6C">
          <w:rPr>
            <w:noProof/>
            <w:webHidden/>
          </w:rPr>
          <w:instrText xml:space="preserve"> PAGEREF _Toc51042304 \h </w:instrText>
        </w:r>
        <w:r w:rsidR="006D4E6C">
          <w:rPr>
            <w:noProof/>
            <w:webHidden/>
          </w:rPr>
        </w:r>
        <w:r w:rsidR="006D4E6C">
          <w:rPr>
            <w:noProof/>
            <w:webHidden/>
          </w:rPr>
          <w:fldChar w:fldCharType="separate"/>
        </w:r>
        <w:r w:rsidR="006D4E6C">
          <w:rPr>
            <w:noProof/>
            <w:webHidden/>
          </w:rPr>
          <w:t>38</w:t>
        </w:r>
        <w:r w:rsidR="006D4E6C">
          <w:rPr>
            <w:noProof/>
            <w:webHidden/>
          </w:rPr>
          <w:fldChar w:fldCharType="end"/>
        </w:r>
      </w:hyperlink>
    </w:p>
    <w:p w14:paraId="7C5AF519" w14:textId="46687539" w:rsidR="006D4E6C" w:rsidRDefault="00C44FDC">
      <w:pPr>
        <w:pStyle w:val="TOC2"/>
        <w:rPr>
          <w:rFonts w:asciiTheme="minorHAnsi" w:eastAsiaTheme="minorEastAsia" w:hAnsiTheme="minorHAnsi" w:cstheme="minorBidi"/>
          <w:noProof/>
          <w:sz w:val="22"/>
          <w:szCs w:val="22"/>
          <w:lang w:val="en-GB" w:eastAsia="en-GB"/>
        </w:rPr>
      </w:pPr>
      <w:hyperlink w:anchor="_Toc51042305" w:history="1">
        <w:r w:rsidR="006D4E6C" w:rsidRPr="002F0763">
          <w:rPr>
            <w:rStyle w:val="Hyperlink"/>
            <w:noProof/>
          </w:rPr>
          <w:t>15.11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Workshops and symposia</w:t>
        </w:r>
        <w:r w:rsidR="006D4E6C">
          <w:rPr>
            <w:noProof/>
            <w:webHidden/>
          </w:rPr>
          <w:tab/>
        </w:r>
        <w:r w:rsidR="006D4E6C">
          <w:rPr>
            <w:noProof/>
            <w:webHidden/>
          </w:rPr>
          <w:fldChar w:fldCharType="begin"/>
        </w:r>
        <w:r w:rsidR="006D4E6C">
          <w:rPr>
            <w:noProof/>
            <w:webHidden/>
          </w:rPr>
          <w:instrText xml:space="preserve"> PAGEREF _Toc51042305 \h </w:instrText>
        </w:r>
        <w:r w:rsidR="006D4E6C">
          <w:rPr>
            <w:noProof/>
            <w:webHidden/>
          </w:rPr>
        </w:r>
        <w:r w:rsidR="006D4E6C">
          <w:rPr>
            <w:noProof/>
            <w:webHidden/>
          </w:rPr>
          <w:fldChar w:fldCharType="separate"/>
        </w:r>
        <w:r w:rsidR="006D4E6C">
          <w:rPr>
            <w:noProof/>
            <w:webHidden/>
          </w:rPr>
          <w:t>38</w:t>
        </w:r>
        <w:r w:rsidR="006D4E6C">
          <w:rPr>
            <w:noProof/>
            <w:webHidden/>
          </w:rPr>
          <w:fldChar w:fldCharType="end"/>
        </w:r>
      </w:hyperlink>
    </w:p>
    <w:p w14:paraId="4879AC0E" w14:textId="6167746C" w:rsidR="006D4E6C" w:rsidRDefault="00C44FDC">
      <w:pPr>
        <w:pStyle w:val="TOC1"/>
        <w:rPr>
          <w:rFonts w:asciiTheme="minorHAnsi" w:eastAsiaTheme="minorEastAsia" w:hAnsiTheme="minorHAnsi" w:cstheme="minorBidi"/>
          <w:noProof/>
          <w:sz w:val="22"/>
          <w:szCs w:val="22"/>
          <w:lang w:val="en-GB" w:eastAsia="en-GB"/>
        </w:rPr>
      </w:pPr>
      <w:hyperlink w:anchor="_Toc51042306" w:history="1">
        <w:r w:rsidR="006D4E6C" w:rsidRPr="002F0763">
          <w:rPr>
            <w:rStyle w:val="Hyperlink"/>
            <w:noProof/>
          </w:rPr>
          <w:t>16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Implementation of WTSA Resolutions and A-series ITU-T Recommendations</w:t>
        </w:r>
        <w:r w:rsidR="006D4E6C">
          <w:rPr>
            <w:noProof/>
            <w:webHidden/>
          </w:rPr>
          <w:tab/>
        </w:r>
        <w:r w:rsidR="006D4E6C">
          <w:rPr>
            <w:noProof/>
            <w:webHidden/>
          </w:rPr>
          <w:fldChar w:fldCharType="begin"/>
        </w:r>
        <w:r w:rsidR="006D4E6C">
          <w:rPr>
            <w:noProof/>
            <w:webHidden/>
          </w:rPr>
          <w:instrText xml:space="preserve"> PAGEREF _Toc51042306 \h </w:instrText>
        </w:r>
        <w:r w:rsidR="006D4E6C">
          <w:rPr>
            <w:noProof/>
            <w:webHidden/>
          </w:rPr>
        </w:r>
        <w:r w:rsidR="006D4E6C">
          <w:rPr>
            <w:noProof/>
            <w:webHidden/>
          </w:rPr>
          <w:fldChar w:fldCharType="separate"/>
        </w:r>
        <w:r w:rsidR="006D4E6C">
          <w:rPr>
            <w:noProof/>
            <w:webHidden/>
          </w:rPr>
          <w:t>40</w:t>
        </w:r>
        <w:r w:rsidR="006D4E6C">
          <w:rPr>
            <w:noProof/>
            <w:webHidden/>
          </w:rPr>
          <w:fldChar w:fldCharType="end"/>
        </w:r>
      </w:hyperlink>
    </w:p>
    <w:p w14:paraId="7ECA652E" w14:textId="620A7CA4" w:rsidR="006D4E6C" w:rsidRDefault="00C44FDC">
      <w:pPr>
        <w:pStyle w:val="TOC1"/>
        <w:rPr>
          <w:rFonts w:asciiTheme="minorHAnsi" w:eastAsiaTheme="minorEastAsia" w:hAnsiTheme="minorHAnsi" w:cstheme="minorBidi"/>
          <w:noProof/>
          <w:sz w:val="22"/>
          <w:szCs w:val="22"/>
          <w:lang w:val="en-GB" w:eastAsia="en-GB"/>
        </w:rPr>
      </w:pPr>
      <w:hyperlink w:anchor="_Toc51042307" w:history="1">
        <w:r w:rsidR="006D4E6C" w:rsidRPr="002F0763">
          <w:rPr>
            <w:rStyle w:val="Hyperlink"/>
            <w:noProof/>
          </w:rPr>
          <w:t>17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ITU-T's activities in the implementation of WSIS and the Sustainable Development Goals</w:t>
        </w:r>
        <w:r w:rsidR="006D4E6C">
          <w:rPr>
            <w:noProof/>
            <w:webHidden/>
          </w:rPr>
          <w:tab/>
        </w:r>
        <w:r w:rsidR="006D4E6C">
          <w:rPr>
            <w:noProof/>
            <w:webHidden/>
          </w:rPr>
          <w:fldChar w:fldCharType="begin"/>
        </w:r>
        <w:r w:rsidR="006D4E6C">
          <w:rPr>
            <w:noProof/>
            <w:webHidden/>
          </w:rPr>
          <w:instrText xml:space="preserve"> PAGEREF _Toc51042307 \h </w:instrText>
        </w:r>
        <w:r w:rsidR="006D4E6C">
          <w:rPr>
            <w:noProof/>
            <w:webHidden/>
          </w:rPr>
        </w:r>
        <w:r w:rsidR="006D4E6C">
          <w:rPr>
            <w:noProof/>
            <w:webHidden/>
          </w:rPr>
          <w:fldChar w:fldCharType="separate"/>
        </w:r>
        <w:r w:rsidR="006D4E6C">
          <w:rPr>
            <w:noProof/>
            <w:webHidden/>
          </w:rPr>
          <w:t>40</w:t>
        </w:r>
        <w:r w:rsidR="006D4E6C">
          <w:rPr>
            <w:noProof/>
            <w:webHidden/>
          </w:rPr>
          <w:fldChar w:fldCharType="end"/>
        </w:r>
      </w:hyperlink>
    </w:p>
    <w:p w14:paraId="35989C95" w14:textId="2DB4EE77" w:rsidR="006D4E6C" w:rsidRDefault="00C44FDC">
      <w:pPr>
        <w:pStyle w:val="TOC1"/>
        <w:rPr>
          <w:rFonts w:asciiTheme="minorHAnsi" w:eastAsiaTheme="minorEastAsia" w:hAnsiTheme="minorHAnsi" w:cstheme="minorBidi"/>
          <w:noProof/>
          <w:sz w:val="22"/>
          <w:szCs w:val="22"/>
          <w:lang w:val="en-GB" w:eastAsia="en-GB"/>
        </w:rPr>
      </w:pPr>
      <w:hyperlink w:anchor="_Toc51042308" w:history="1">
        <w:r w:rsidR="006D4E6C" w:rsidRPr="002F0763">
          <w:rPr>
            <w:rStyle w:val="Hyperlink"/>
            <w:noProof/>
          </w:rPr>
          <w:t>Appendix I – List of approved Recommendations and other approved texts</w:t>
        </w:r>
        <w:r w:rsidR="006D4E6C">
          <w:rPr>
            <w:noProof/>
            <w:webHidden/>
          </w:rPr>
          <w:tab/>
        </w:r>
        <w:r w:rsidR="006D4E6C">
          <w:rPr>
            <w:noProof/>
            <w:webHidden/>
          </w:rPr>
          <w:fldChar w:fldCharType="begin"/>
        </w:r>
        <w:r w:rsidR="006D4E6C">
          <w:rPr>
            <w:noProof/>
            <w:webHidden/>
          </w:rPr>
          <w:instrText xml:space="preserve"> PAGEREF _Toc51042308 \h </w:instrText>
        </w:r>
        <w:r w:rsidR="006D4E6C">
          <w:rPr>
            <w:noProof/>
            <w:webHidden/>
          </w:rPr>
        </w:r>
        <w:r w:rsidR="006D4E6C">
          <w:rPr>
            <w:noProof/>
            <w:webHidden/>
          </w:rPr>
          <w:fldChar w:fldCharType="separate"/>
        </w:r>
        <w:r w:rsidR="006D4E6C">
          <w:rPr>
            <w:noProof/>
            <w:webHidden/>
          </w:rPr>
          <w:t>41</w:t>
        </w:r>
        <w:r w:rsidR="006D4E6C">
          <w:rPr>
            <w:noProof/>
            <w:webHidden/>
          </w:rPr>
          <w:fldChar w:fldCharType="end"/>
        </w:r>
      </w:hyperlink>
    </w:p>
    <w:p w14:paraId="79602B41" w14:textId="3ABBD82C" w:rsidR="00136E7B" w:rsidRPr="00656355" w:rsidRDefault="00136E7B" w:rsidP="00136E7B">
      <w:pPr>
        <w:rPr>
          <w:highlight w:val="yellow"/>
          <w:lang w:val="en-GB"/>
        </w:rPr>
      </w:pPr>
      <w:r w:rsidRPr="00656355">
        <w:rPr>
          <w:rFonts w:eastAsia="Malgun Gothic"/>
          <w:color w:val="2B579A"/>
          <w:highlight w:val="yellow"/>
          <w:shd w:val="clear" w:color="auto" w:fill="E6E6E6"/>
          <w:lang w:val="en-GB" w:eastAsia="ko-KR"/>
        </w:rPr>
        <w:fldChar w:fldCharType="end"/>
      </w:r>
    </w:p>
    <w:p w14:paraId="79685B9D" w14:textId="77777777" w:rsidR="00136E7B" w:rsidRPr="00754A77" w:rsidRDefault="00136E7B" w:rsidP="00136E7B">
      <w:pPr>
        <w:pStyle w:val="Heading1"/>
        <w:pageBreakBefore/>
        <w:jc w:val="center"/>
      </w:pPr>
      <w:bookmarkStart w:id="14" w:name="_Toc480527764"/>
      <w:bookmarkStart w:id="15" w:name="_Toc51042247"/>
      <w:r w:rsidRPr="00754A77">
        <w:lastRenderedPageBreak/>
        <w:t>Executive Summary</w:t>
      </w:r>
      <w:bookmarkEnd w:id="14"/>
      <w:bookmarkEnd w:id="15"/>
    </w:p>
    <w:p w14:paraId="338F91BE" w14:textId="77777777" w:rsidR="00136E7B" w:rsidRPr="00662764" w:rsidRDefault="00136E7B" w:rsidP="00136E7B">
      <w:pPr>
        <w:pStyle w:val="Headingb"/>
        <w:rPr>
          <w:i/>
          <w:iCs/>
          <w:sz w:val="28"/>
          <w:szCs w:val="28"/>
        </w:rPr>
      </w:pPr>
      <w:r w:rsidRPr="00662764">
        <w:rPr>
          <w:i/>
          <w:iCs/>
          <w:sz w:val="28"/>
          <w:szCs w:val="28"/>
        </w:rPr>
        <w:t>Selection of achievements in ITU-T standardization</w:t>
      </w:r>
    </w:p>
    <w:p w14:paraId="25D6FBAB" w14:textId="12113614" w:rsidR="00136E7B" w:rsidRPr="00F82D4C" w:rsidRDefault="00136E7B" w:rsidP="00136E7B">
      <w:pPr>
        <w:rPr>
          <w:lang w:val="en-GB"/>
        </w:rPr>
      </w:pPr>
      <w:r w:rsidRPr="0064501E">
        <w:rPr>
          <w:lang w:val="en-GB"/>
        </w:rPr>
        <w:t xml:space="preserve">ITU approved more than </w:t>
      </w:r>
      <w:r w:rsidR="00DE70FF" w:rsidRPr="00DE70FF">
        <w:rPr>
          <w:lang w:val="en-GB"/>
        </w:rPr>
        <w:t>2</w:t>
      </w:r>
      <w:r w:rsidR="003521CC">
        <w:rPr>
          <w:lang w:val="en-GB"/>
        </w:rPr>
        <w:t>4</w:t>
      </w:r>
      <w:r w:rsidR="00DE70FF" w:rsidRPr="00DE70FF">
        <w:rPr>
          <w:lang w:val="en-GB"/>
        </w:rPr>
        <w:t>0</w:t>
      </w:r>
      <w:r w:rsidRPr="00DE70FF">
        <w:rPr>
          <w:lang w:val="en-GB"/>
        </w:rPr>
        <w:t xml:space="preserve"> new</w:t>
      </w:r>
      <w:r w:rsidRPr="0064501E">
        <w:rPr>
          <w:lang w:val="en-GB"/>
        </w:rPr>
        <w:t xml:space="preserve"> and revised ITU-T Recommendations from </w:t>
      </w:r>
      <w:r w:rsidR="00DE70FF" w:rsidRPr="00DE70FF">
        <w:rPr>
          <w:lang w:val="en-GB"/>
        </w:rPr>
        <w:t xml:space="preserve">January </w:t>
      </w:r>
      <w:r w:rsidRPr="00DE70FF">
        <w:rPr>
          <w:lang w:val="en-GB"/>
        </w:rPr>
        <w:t xml:space="preserve">to </w:t>
      </w:r>
      <w:r w:rsidR="00555207">
        <w:rPr>
          <w:lang w:val="en-GB"/>
        </w:rPr>
        <w:t xml:space="preserve">August </w:t>
      </w:r>
      <w:r w:rsidR="00DE70FF" w:rsidRPr="00DE70FF">
        <w:rPr>
          <w:lang w:val="en-GB"/>
        </w:rPr>
        <w:t>2020</w:t>
      </w:r>
      <w:r w:rsidRPr="00DE70FF">
        <w:rPr>
          <w:lang w:val="en-GB"/>
        </w:rPr>
        <w:t>. A</w:t>
      </w:r>
      <w:r w:rsidRPr="00F82D4C">
        <w:rPr>
          <w:lang w:val="en-GB"/>
        </w:rPr>
        <w:t>ppendix I lists these ITU-T Recommendations and related texts and summarizes their contents.</w:t>
      </w:r>
    </w:p>
    <w:p w14:paraId="4C379919" w14:textId="77777777" w:rsidR="00555207" w:rsidRDefault="00555207" w:rsidP="00555207">
      <w:r w:rsidRPr="00A85401">
        <w:rPr>
          <w:b/>
          <w:bCs/>
        </w:rPr>
        <w:t>IMT-2020/5G:</w:t>
      </w:r>
      <w:r>
        <w:t xml:space="preserve"> New ITU standards describe characteristics of transport networks to support 5G (G.8300), resource pooling for scalable 5G network slice service management and orchestration (Y.3154), and energy-efficient device-to-device communication for 5G (Q.5022). A new Supplement aims to build awareness on use cases and migration aspects of 5G (Y.Suppl.34). </w:t>
      </w:r>
    </w:p>
    <w:p w14:paraId="0BF92B4D" w14:textId="77777777" w:rsidR="00555207" w:rsidRDefault="00555207" w:rsidP="00555207">
      <w:r w:rsidRPr="00A85401">
        <w:rPr>
          <w:b/>
          <w:bCs/>
        </w:rPr>
        <w:t>Machine learning for IMT-2020/5G:</w:t>
      </w:r>
      <w:r>
        <w:t xml:space="preserve"> New ITU standards provide a functional architecture of machine learning-based QoS assurance for 5G (Y.3175), a framework for evaluating intelligence levels across 5G and future networks (Y.3173), and a framework for data handling to enable machine learning in 5G and future networks (Y.3174). </w:t>
      </w:r>
    </w:p>
    <w:p w14:paraId="70FEECEE" w14:textId="77777777" w:rsidR="00555207" w:rsidRDefault="00555207" w:rsidP="00555207">
      <w:r w:rsidRPr="00A85401">
        <w:rPr>
          <w:b/>
          <w:bCs/>
        </w:rPr>
        <w:t>Video coding:</w:t>
      </w:r>
      <w:r>
        <w:t xml:space="preserve"> Approved in August 2020, the new “Versatile Video Coding” (VVC, H.266) standard advances the state of the art of video compression and has unprecedented application versatility. Developed by the Joint Video Experts Team with MPEG, VVC will halve the bitrate needed to stream videos, for the same quality level, relative to “High Efficiency Video Coding” (H.265), and a quarter relative to “Advanced Video Coding” (H.264).</w:t>
      </w:r>
    </w:p>
    <w:p w14:paraId="7ED45CFE" w14:textId="77777777" w:rsidR="00555207" w:rsidRDefault="00555207" w:rsidP="00555207">
      <w:r w:rsidRPr="00A85401">
        <w:rPr>
          <w:b/>
          <w:bCs/>
        </w:rPr>
        <w:t>Transport, access and home:</w:t>
      </w:r>
      <w:r>
        <w:t xml:space="preserve"> The 50 texts approved in the reporting period include new ITU standards providing characteristics of transport networks to support IMT-2020/5G (G.8300) and the generic functional architecture of the optical media network (G.807). New Technical Reports provide considerations on the use of GNSS as a primary time reference in telecommunications (GSTR-GNSS) and the use of G.hn in industrial applications (GSTP-HNIA).</w:t>
      </w:r>
    </w:p>
    <w:p w14:paraId="34008A43" w14:textId="77777777" w:rsidR="00555207" w:rsidRDefault="00555207" w:rsidP="00555207">
      <w:r w:rsidRPr="00A85401">
        <w:rPr>
          <w:b/>
          <w:bCs/>
        </w:rPr>
        <w:t>Numbering misuse:</w:t>
      </w:r>
      <w:r>
        <w:t xml:space="preserve"> Revised guidelines for ITU-T action on reported misuse of E.164 number resources (E.156) describe new cases of misuse and more efficient means of combating misuse.  The revised E.156 better reflects the differences between directly assigned resources, so-called “global numbers” under the responsibility of the TSB Director, and indirectly assigned resources under the responsibility of Member States. It aims to improve reporting on the misuse of indirectly assigned resources, recommending the use of email notifications to a pre-determined mailing list rather than the registration of the report of misuse for action by TSB.</w:t>
      </w:r>
    </w:p>
    <w:p w14:paraId="13C50E46" w14:textId="77777777" w:rsidR="00555207" w:rsidRDefault="00555207" w:rsidP="00555207">
      <w:r w:rsidRPr="00A85401">
        <w:rPr>
          <w:b/>
          <w:bCs/>
        </w:rPr>
        <w:t>Digital financial services:</w:t>
      </w:r>
      <w:r>
        <w:t xml:space="preserve"> New ITU standards introduce QoS and </w:t>
      </w:r>
      <w:proofErr w:type="spellStart"/>
      <w:r>
        <w:t>QoE</w:t>
      </w:r>
      <w:proofErr w:type="spellEnd"/>
      <w:r>
        <w:t xml:space="preserve"> aspects of digital financial services (G.1033), a methodology to test the </w:t>
      </w:r>
      <w:proofErr w:type="spellStart"/>
      <w:r>
        <w:t>QoE</w:t>
      </w:r>
      <w:proofErr w:type="spellEnd"/>
      <w:r>
        <w:t xml:space="preserve"> of digital financial services (P.1502), and security requirements FinTech services built on open platform architectures (X.1149). </w:t>
      </w:r>
    </w:p>
    <w:p w14:paraId="09C1566B" w14:textId="77777777" w:rsidR="00555207" w:rsidRPr="00833403" w:rsidRDefault="00555207" w:rsidP="00555207">
      <w:r w:rsidRPr="00A85401">
        <w:rPr>
          <w:b/>
          <w:bCs/>
        </w:rPr>
        <w:t>Network 2030:</w:t>
      </w:r>
      <w:r>
        <w:t xml:space="preserve"> New Supplements provide describe capabilities, </w:t>
      </w:r>
      <w:proofErr w:type="gramStart"/>
      <w:r>
        <w:t>performance</w:t>
      </w:r>
      <w:proofErr w:type="gramEnd"/>
      <w:r>
        <w:t xml:space="preserve"> and design of new communications services for Network 2030 applications (Y.Suppl.66) and representative use cases and key network requirements for Network 2030 (Y.Suppl.67). A related Technical Report describes the driving forces and vision towards Network 2030.</w:t>
      </w:r>
    </w:p>
    <w:p w14:paraId="591D092E" w14:textId="77777777" w:rsidR="00555207" w:rsidRDefault="00555207" w:rsidP="00555207">
      <w:r w:rsidRPr="00A85401">
        <w:rPr>
          <w:b/>
          <w:bCs/>
        </w:rPr>
        <w:t>IP performance measurement:</w:t>
      </w:r>
      <w:r>
        <w:t xml:space="preserve"> A new Supplement (Y.Suppl.60) provides guidance the interpretation of measurements taken with the ITU standard for IP service performance assessment (Y.1540). The 2019 revision of Y.1540 defines IP-layer capacity parameters in ways that cater to performance </w:t>
      </w:r>
      <w:proofErr w:type="gramStart"/>
      <w:r>
        <w:t>assessment, and</w:t>
      </w:r>
      <w:proofErr w:type="gramEnd"/>
      <w:r>
        <w:t xml:space="preserve"> provides requirements for methods of measurement of IP-layer capacity.</w:t>
      </w:r>
    </w:p>
    <w:p w14:paraId="49F62066" w14:textId="77777777" w:rsidR="00555207" w:rsidRDefault="00555207" w:rsidP="00555207">
      <w:r w:rsidRPr="00A85401">
        <w:rPr>
          <w:b/>
          <w:bCs/>
        </w:rPr>
        <w:t>Intelligent QoS:</w:t>
      </w:r>
      <w:r>
        <w:t xml:space="preserve"> New ITU standards address intelligent network analytics and diagnostics (E.475) and the creation and performance testing of machine learning-based models to assess the impact of the transmission network on speech quality for 4G voice services (P.565).  </w:t>
      </w:r>
    </w:p>
    <w:p w14:paraId="0245B81C" w14:textId="77777777" w:rsidR="00555207" w:rsidRDefault="00555207" w:rsidP="00555207">
      <w:r w:rsidRPr="00A85401">
        <w:rPr>
          <w:b/>
          <w:bCs/>
        </w:rPr>
        <w:lastRenderedPageBreak/>
        <w:t>Crowdsourcing QoS:</w:t>
      </w:r>
      <w:r>
        <w:t xml:space="preserve"> A new ITU standard details the crowdsourcing approach to the assessment of end-to-end QoS in fixed and mobile broadband networks (E.812). Work on E.812 was initiated by national regulatory authorities and developed collaboratively with representatives of network operators, vendors, analytics companies, and academia.</w:t>
      </w:r>
    </w:p>
    <w:p w14:paraId="47B4AF7C" w14:textId="308062E4" w:rsidR="00555207" w:rsidRDefault="00555207" w:rsidP="00555207">
      <w:r w:rsidRPr="00A85401">
        <w:rPr>
          <w:b/>
          <w:bCs/>
        </w:rPr>
        <w:t xml:space="preserve">Virtual </w:t>
      </w:r>
      <w:r>
        <w:rPr>
          <w:b/>
          <w:bCs/>
        </w:rPr>
        <w:t>r</w:t>
      </w:r>
      <w:r w:rsidRPr="00A85401">
        <w:rPr>
          <w:b/>
          <w:bCs/>
        </w:rPr>
        <w:t>eality and cloud gaming</w:t>
      </w:r>
      <w:r>
        <w:t xml:space="preserve">: New ITU standards introduce the factors influencing </w:t>
      </w:r>
      <w:proofErr w:type="spellStart"/>
      <w:r>
        <w:t>QoE</w:t>
      </w:r>
      <w:proofErr w:type="spellEnd"/>
      <w:r>
        <w:t xml:space="preserve"> for virtual reality services (G.1035), an opinion model predicting </w:t>
      </w:r>
      <w:proofErr w:type="spellStart"/>
      <w:r>
        <w:t>QoE</w:t>
      </w:r>
      <w:proofErr w:type="spellEnd"/>
      <w:r>
        <w:t xml:space="preserve"> for cloud gaming services (G.1072), and dimension-based subjective quality evaluation for video content considering five perceptual dimensions (P.918).</w:t>
      </w:r>
    </w:p>
    <w:p w14:paraId="79BD136B" w14:textId="77777777" w:rsidR="00555207" w:rsidRDefault="00555207" w:rsidP="00555207">
      <w:r w:rsidRPr="00A85401">
        <w:rPr>
          <w:b/>
          <w:bCs/>
        </w:rPr>
        <w:t>Intelligent transport systems:</w:t>
      </w:r>
      <w:r>
        <w:t xml:space="preserve"> New ITU standards describe security threats to connected vehicles (X.1371) and provide security guidelines for V2X (vehicle-to-everything) communication (X.1372), </w:t>
      </w:r>
      <w:proofErr w:type="spellStart"/>
      <w:r>
        <w:t>QoE</w:t>
      </w:r>
      <w:proofErr w:type="spellEnd"/>
      <w:r>
        <w:t xml:space="preserve"> metrics for mobile telephony communication during rail travel (G.1034), an in-car communication audio specification for </w:t>
      </w:r>
      <w:proofErr w:type="spellStart"/>
      <w:r>
        <w:t>travellers’</w:t>
      </w:r>
      <w:proofErr w:type="spellEnd"/>
      <w:r>
        <w:t xml:space="preserve"> safety (P.1150), and use cases and requirements for vehicular multimedia networks (F.749.3).</w:t>
      </w:r>
    </w:p>
    <w:p w14:paraId="4F90C4FA" w14:textId="37D61D42" w:rsidR="00ED1666" w:rsidRDefault="00555207" w:rsidP="00555207">
      <w:r w:rsidRPr="00A85401">
        <w:rPr>
          <w:b/>
          <w:bCs/>
        </w:rPr>
        <w:t>Quantum information technology:</w:t>
      </w:r>
      <w:r>
        <w:t xml:space="preserve"> </w:t>
      </w:r>
      <w:r w:rsidR="00ED1666">
        <w:t>N</w:t>
      </w:r>
      <w:r>
        <w:t>ew ITU standard</w:t>
      </w:r>
      <w:r w:rsidR="00ED1666">
        <w:t>s</w:t>
      </w:r>
      <w:r>
        <w:t xml:space="preserve"> </w:t>
      </w:r>
      <w:r w:rsidR="00ED1666" w:rsidRPr="5124B126">
        <w:rPr>
          <w:lang w:val="en-GB"/>
        </w:rPr>
        <w:t xml:space="preserve">continue to refine </w:t>
      </w:r>
      <w:r w:rsidR="00AA6649">
        <w:rPr>
          <w:lang w:val="en-GB"/>
        </w:rPr>
        <w:t xml:space="preserve">aspects of </w:t>
      </w:r>
      <w:r w:rsidR="00ED1666" w:rsidRPr="5124B126">
        <w:rPr>
          <w:lang w:val="en-GB"/>
        </w:rPr>
        <w:t xml:space="preserve">quantum key distribution </w:t>
      </w:r>
      <w:r w:rsidR="003441D5">
        <w:rPr>
          <w:lang w:val="en-GB"/>
        </w:rPr>
        <w:t xml:space="preserve">(QKD) </w:t>
      </w:r>
      <w:r w:rsidR="00ED1666" w:rsidRPr="5124B126">
        <w:rPr>
          <w:lang w:val="en-GB"/>
        </w:rPr>
        <w:t>network</w:t>
      </w:r>
      <w:r w:rsidR="00AA6649">
        <w:rPr>
          <w:lang w:val="en-GB"/>
        </w:rPr>
        <w:t>s,</w:t>
      </w:r>
      <w:r w:rsidR="00ED1666" w:rsidRPr="5124B126">
        <w:rPr>
          <w:lang w:val="en-GB"/>
        </w:rPr>
        <w:t xml:space="preserve"> such as with </w:t>
      </w:r>
      <w:r>
        <w:t>functional requirements for</w:t>
      </w:r>
      <w:r w:rsidR="003441D5">
        <w:t xml:space="preserve"> </w:t>
      </w:r>
      <w:r>
        <w:t>QKD networks (</w:t>
      </w:r>
      <w:r w:rsidR="003441D5">
        <w:t>Y.3801</w:t>
      </w:r>
      <w:r>
        <w:t>)</w:t>
      </w:r>
      <w:r w:rsidR="00ED1666">
        <w:t>,</w:t>
      </w:r>
      <w:r w:rsidR="00ED1666" w:rsidRPr="00ED1666">
        <w:rPr>
          <w:lang w:val="en-GB"/>
        </w:rPr>
        <w:t xml:space="preserve"> </w:t>
      </w:r>
      <w:r w:rsidR="00ED1666" w:rsidRPr="5124B126">
        <w:rPr>
          <w:lang w:val="en-GB"/>
        </w:rPr>
        <w:t>a functional architecture (Y.3802), key management (Y.3803), and control and management (</w:t>
      </w:r>
      <w:r w:rsidR="003441D5">
        <w:t>Y.3804</w:t>
      </w:r>
      <w:r w:rsidR="00ED1666" w:rsidRPr="5124B126">
        <w:rPr>
          <w:lang w:val="en-GB"/>
        </w:rPr>
        <w:t>)</w:t>
      </w:r>
      <w:r w:rsidR="003441D5">
        <w:rPr>
          <w:lang w:val="en-GB"/>
        </w:rPr>
        <w:t>.</w:t>
      </w:r>
      <w:r>
        <w:t xml:space="preserve"> </w:t>
      </w:r>
      <w:r w:rsidR="003441D5">
        <w:t>A</w:t>
      </w:r>
      <w:r>
        <w:t xml:space="preserve"> new Technical Report highlights security considerations for QKD networks (</w:t>
      </w:r>
      <w:proofErr w:type="spellStart"/>
      <w:r>
        <w:t>TR.sec-qkd</w:t>
      </w:r>
      <w:proofErr w:type="spellEnd"/>
      <w:r>
        <w:t>).</w:t>
      </w:r>
    </w:p>
    <w:p w14:paraId="1CCBE1E5" w14:textId="77777777" w:rsidR="00555207" w:rsidRDefault="00555207" w:rsidP="00555207">
      <w:r w:rsidRPr="00A85401">
        <w:rPr>
          <w:b/>
          <w:bCs/>
        </w:rPr>
        <w:t>Personal data protection:</w:t>
      </w:r>
      <w:r>
        <w:t xml:space="preserve"> A new ITU standard provides the technical framework of handling systems for personally identifiable information in IoT environments (X.1363). </w:t>
      </w:r>
    </w:p>
    <w:p w14:paraId="54A5C8C9" w14:textId="77777777" w:rsidR="00555207" w:rsidRDefault="00555207" w:rsidP="00555207">
      <w:r w:rsidRPr="00A85401">
        <w:rPr>
          <w:b/>
          <w:bCs/>
        </w:rPr>
        <w:t>Cloud computing security:</w:t>
      </w:r>
      <w:r>
        <w:t xml:space="preserve"> New ITU standards address the security of network as a service (X.1604) and public infrastructure as a service (X.1605).</w:t>
      </w:r>
    </w:p>
    <w:p w14:paraId="7714A281" w14:textId="77777777" w:rsidR="00555207" w:rsidRDefault="00555207" w:rsidP="00555207">
      <w:r w:rsidRPr="00A85401">
        <w:rPr>
          <w:b/>
          <w:bCs/>
        </w:rPr>
        <w:t xml:space="preserve">Identifiers for unmanned aerial vehicles: </w:t>
      </w:r>
      <w:r>
        <w:t xml:space="preserve">A new ITU standard provides an identification mechanism for unmanned aerial vehicles using object identifiers (X.677).  </w:t>
      </w:r>
    </w:p>
    <w:p w14:paraId="6DAB26BF" w14:textId="692EFB55" w:rsidR="00555207" w:rsidRDefault="00555207" w:rsidP="00555207">
      <w:r>
        <w:rPr>
          <w:b/>
          <w:bCs/>
        </w:rPr>
        <w:t>D</w:t>
      </w:r>
      <w:r w:rsidRPr="00A85401">
        <w:rPr>
          <w:b/>
          <w:bCs/>
        </w:rPr>
        <w:t>istributed ledger technology (DLT):</w:t>
      </w:r>
      <w:r>
        <w:t xml:space="preserve"> New ITU standards provide requirements for distributed ledger systems (F.751.0), assessment criteria for DLT platforms (F.751.1), a reference framework for DLTs (F.751.2), a security framework for DLT (X.1402), and security guidelines for using DLT for decentralized identity management (X.1403)</w:t>
      </w:r>
      <w:r w:rsidR="00322645">
        <w:t>, and</w:t>
      </w:r>
      <w:r>
        <w:t xml:space="preserve"> </w:t>
      </w:r>
      <w:r w:rsidR="00322645" w:rsidRPr="0083EB5B">
        <w:rPr>
          <w:lang w:val="en-GB"/>
        </w:rPr>
        <w:t>in cloud computing context blockchain as a service (Y.3530)</w:t>
      </w:r>
      <w:r w:rsidR="00322645">
        <w:rPr>
          <w:lang w:val="en-GB"/>
        </w:rPr>
        <w:t>.</w:t>
      </w:r>
    </w:p>
    <w:p w14:paraId="59FA5F34" w14:textId="77777777" w:rsidR="00555207" w:rsidRDefault="00555207" w:rsidP="00555207">
      <w:r>
        <w:rPr>
          <w:b/>
          <w:bCs/>
        </w:rPr>
        <w:t xml:space="preserve">DLT </w:t>
      </w:r>
      <w:r w:rsidRPr="00A85401">
        <w:rPr>
          <w:b/>
          <w:bCs/>
        </w:rPr>
        <w:t>for cities:</w:t>
      </w:r>
      <w:r>
        <w:t xml:space="preserve"> New ITU standards address blockchain of things as a decentralized service platform (Y.4464), blockchain-based data exchange and sharing (Y.4560) and blockchain-based data management (Y.4561), and blockchain-based unified Key Performance Indicator data management (Y.4907). A new Supplement data processing and management aspects of </w:t>
      </w:r>
      <w:r w:rsidRPr="00D46955">
        <w:t xml:space="preserve">blockchain for </w:t>
      </w:r>
      <w:r>
        <w:t xml:space="preserve">IoT </w:t>
      </w:r>
      <w:r w:rsidRPr="00D46955">
        <w:t xml:space="preserve">and smart cities </w:t>
      </w:r>
      <w:r>
        <w:t xml:space="preserve">(Y.Suppl.62). </w:t>
      </w:r>
    </w:p>
    <w:p w14:paraId="7523246E" w14:textId="77777777" w:rsidR="00555207" w:rsidRDefault="00555207" w:rsidP="00555207">
      <w:r w:rsidRPr="00A85401">
        <w:rPr>
          <w:b/>
          <w:bCs/>
        </w:rPr>
        <w:t>Environment and circular economy:</w:t>
      </w:r>
      <w:r>
        <w:t xml:space="preserve"> New ITU standards provide an assessment method for circular scoring (L.1023) and provide for the assessment and scoring of the sustainability performance of office buildings (L.1371). </w:t>
      </w:r>
    </w:p>
    <w:p w14:paraId="6039884B" w14:textId="77777777" w:rsidR="00555207" w:rsidRDefault="00555207" w:rsidP="00555207">
      <w:r w:rsidRPr="00A85401">
        <w:rPr>
          <w:b/>
          <w:bCs/>
        </w:rPr>
        <w:t>Energy efficiency:</w:t>
      </w:r>
      <w:r>
        <w:t xml:space="preserve"> New ITU standards address smart energy management for </w:t>
      </w:r>
      <w:proofErr w:type="spellStart"/>
      <w:r>
        <w:t>datacentres</w:t>
      </w:r>
      <w:proofErr w:type="spellEnd"/>
      <w:r>
        <w:t xml:space="preserve"> (ITU-T L.1381) and telecommunication rooms (ITU-T L.1382).</w:t>
      </w:r>
    </w:p>
    <w:p w14:paraId="1A2E9AA9" w14:textId="0132CABF" w:rsidR="00555207" w:rsidRDefault="00555207" w:rsidP="00555207">
      <w:r w:rsidRPr="00A85401">
        <w:rPr>
          <w:b/>
          <w:bCs/>
        </w:rPr>
        <w:t>Climate change:</w:t>
      </w:r>
      <w:r>
        <w:t xml:space="preserve"> A new Supplement (ITU-T L.Suppl.37) provides guidance to operators of mobile networks, fixed networks and </w:t>
      </w:r>
      <w:proofErr w:type="spellStart"/>
      <w:r>
        <w:t>datacentres</w:t>
      </w:r>
      <w:proofErr w:type="spellEnd"/>
      <w:r>
        <w:t xml:space="preserve"> on setting 1.5°C-aligned targets compliant with L.1470. L.1470)</w:t>
      </w:r>
      <w:r w:rsidR="00D07B25">
        <w:t xml:space="preserve"> </w:t>
      </w:r>
      <w:r>
        <w:t>highlights that compliance with the UNFCCC Paris Agreement will require the ICT industry to reduce GHG emissions by 45 per cent from 2020 to 2030. The recommended emission-reduction targets are the first targets specific to the ICT industry to be approved by the Science Based Target Initiative (SBTi).</w:t>
      </w:r>
    </w:p>
    <w:p w14:paraId="08F01113" w14:textId="77777777" w:rsidR="00555207" w:rsidRDefault="00555207" w:rsidP="00555207">
      <w:r w:rsidRPr="00A85401">
        <w:rPr>
          <w:b/>
          <w:bCs/>
        </w:rPr>
        <w:lastRenderedPageBreak/>
        <w:t>Internet of Things:</w:t>
      </w:r>
      <w:r>
        <w:t xml:space="preserve"> New ITU standards address IoT requirements for the support of edge computing (Y.4208), universal communication modules of mobile IoT devices (Y.4210), digital entity architecture for IoT interoperability (Y.4459) and combatting counterfeiting in IoT (Y.4808), open IoT identity correlation service (Y.4462), delegation services for IoT devices (Y.4463), IoT services based on Visible Light Communications (Y.4465 and Y.4474), spare computational capability exposure of IoT devices for smart homes (Y.4469), </w:t>
      </w:r>
      <w:proofErr w:type="spellStart"/>
      <w:r>
        <w:t>SensorThings</w:t>
      </w:r>
      <w:proofErr w:type="spellEnd"/>
      <w:r>
        <w:t xml:space="preserve"> API – Sensing (Y.4473), lightweight intelligent software for IoT devices (Y.4475), agility by design for ICT systems security used in IoT (Y.4807), security for narrowband IoT (X.1364), security for smart metering services in smart grids (X.1332), and identity-based cryptography in support of IoT services (X.1365).</w:t>
      </w:r>
    </w:p>
    <w:p w14:paraId="7CCBCAE8" w14:textId="77777777" w:rsidR="00555207" w:rsidRDefault="00555207" w:rsidP="00555207">
      <w:r w:rsidRPr="00A85401">
        <w:rPr>
          <w:b/>
          <w:bCs/>
        </w:rPr>
        <w:t>Smart sustainable cities:</w:t>
      </w:r>
      <w:r>
        <w:t xml:space="preserve"> New ITU standards address the interoperation of smart ports with smart cities (Y.4209), open data in smart cities (ITU-T Y.4461), smart greenhouse services (Y.4466), data structure and data transfer protocol for automotive emergency response systems (Y.4467 and Y.4468), AI service exposure for smart cities (Y.4470), and smart fire smoke detection services (Y.4558),</w:t>
      </w:r>
    </w:p>
    <w:p w14:paraId="313431A6" w14:textId="77777777" w:rsidR="00555207" w:rsidRDefault="00555207" w:rsidP="00555207">
      <w:r w:rsidRPr="00A85401">
        <w:rPr>
          <w:b/>
          <w:bCs/>
        </w:rPr>
        <w:t>ICT device theft:</w:t>
      </w:r>
      <w:r>
        <w:t xml:space="preserve"> A new ITU standard provides a framework for combating the use of stolen mobile devices (Q.5051) and a new Technical Report considers the reliability of IMEI (</w:t>
      </w:r>
      <w:r w:rsidRPr="00833403">
        <w:t>QTR-RLB-IMEI</w:t>
      </w:r>
      <w:r>
        <w:t xml:space="preserve">). </w:t>
      </w:r>
    </w:p>
    <w:p w14:paraId="3A618173" w14:textId="77777777" w:rsidR="00555207" w:rsidRDefault="00555207" w:rsidP="00555207">
      <w:r w:rsidRPr="00A85401">
        <w:rPr>
          <w:b/>
          <w:bCs/>
        </w:rPr>
        <w:t>Big data:</w:t>
      </w:r>
      <w:r>
        <w:t xml:space="preserve"> New ITU standards provide the requirements of big data driven networking (Y.3652) and data preservation (Y.3604). A new Supplement assesses the status of big data adoption in developing countries following a survey of ITU-T members (Y.Suppl.65) </w:t>
      </w:r>
    </w:p>
    <w:p w14:paraId="49AFF1F1" w14:textId="14DDF1E2" w:rsidR="00555207" w:rsidRDefault="00555207" w:rsidP="00555207">
      <w:r w:rsidRPr="00A85401">
        <w:rPr>
          <w:b/>
          <w:bCs/>
        </w:rPr>
        <w:t>Accessibility:</w:t>
      </w:r>
      <w:r>
        <w:t xml:space="preserve"> A revised ITU standard provides accessibil</w:t>
      </w:r>
      <w:r w:rsidR="0085423D">
        <w:t>i</w:t>
      </w:r>
      <w:r>
        <w:t xml:space="preserve">ty profiles for IPTV systems (H.702 (V2)) and new ITU standards address annotation methods for </w:t>
      </w:r>
      <w:proofErr w:type="spellStart"/>
      <w:r>
        <w:t>biosignal</w:t>
      </w:r>
      <w:proofErr w:type="spellEnd"/>
      <w:r>
        <w:t xml:space="preserve"> data (H.862.2), voice management interfaces for human-care services (H.862.3), and information service systems for visually impaired persons (F.922). New Technical Papers provide a guideline on web-based remote sign language interpretation (FSTP.ACC-</w:t>
      </w:r>
      <w:proofErr w:type="spellStart"/>
      <w:r>
        <w:t>WebVRI</w:t>
      </w:r>
      <w:proofErr w:type="spellEnd"/>
      <w:r>
        <w:t xml:space="preserve">) and an overview of assistive listening systems (FSTP-ACC-ALD).  </w:t>
      </w:r>
    </w:p>
    <w:p w14:paraId="7DE18A3B" w14:textId="77777777" w:rsidR="00555207" w:rsidRDefault="00555207" w:rsidP="00555207">
      <w:r w:rsidRPr="00A85401">
        <w:rPr>
          <w:b/>
          <w:bCs/>
        </w:rPr>
        <w:t>Telecoms management:</w:t>
      </w:r>
      <w:r>
        <w:t xml:space="preserve"> New ITU standards provide requirements for telecommunication anti-fraud management in the TMN (M.3362), data management in the TMN (M.3363) and on-site telecommunication smart maintenance management function (M.3364). New ITU standards also provide a generic information model for on-site telecommunication smart maintenance (M.3164) and framework of smart operation, </w:t>
      </w:r>
      <w:proofErr w:type="gramStart"/>
      <w:r>
        <w:t>management</w:t>
      </w:r>
      <w:proofErr w:type="gramEnd"/>
      <w:r>
        <w:t xml:space="preserve"> and maintenance (M.3041).</w:t>
      </w:r>
    </w:p>
    <w:p w14:paraId="5080F7E9" w14:textId="77777777" w:rsidR="00555207" w:rsidRDefault="00555207" w:rsidP="00555207">
      <w:r w:rsidRPr="00A85401">
        <w:rPr>
          <w:b/>
          <w:bCs/>
        </w:rPr>
        <w:t>Numbering resources for trials:</w:t>
      </w:r>
      <w:r>
        <w:t xml:space="preserve"> Revised ITU standards provide criteria and procedures for temporary allocations of E.164 numbering resources (E.164.2) and temporary allocations of MNCs within the shared MCC 991 (E.212 Amd.2) for international non-commercial trials.</w:t>
      </w:r>
    </w:p>
    <w:p w14:paraId="7EB396DC" w14:textId="77777777" w:rsidR="00555207" w:rsidRDefault="00555207" w:rsidP="00555207">
      <w:r w:rsidRPr="00A85401">
        <w:rPr>
          <w:b/>
          <w:bCs/>
        </w:rPr>
        <w:t>Codes for M2M/IoT and emergency services:</w:t>
      </w:r>
      <w:r>
        <w:t xml:space="preserve"> A new Supplement defines criteria for assigning E.164 identification codes and E.212 Mobile Network Codes under shared MCCs for M2M/IoT services (E.Suppl.11). A new Technical report provides an overview of a technical solution for identifying the call location in support of emergency services (TR.CLE).</w:t>
      </w:r>
    </w:p>
    <w:p w14:paraId="4AAF615E" w14:textId="77777777" w:rsidR="00555207" w:rsidRDefault="00555207" w:rsidP="00555207">
      <w:r w:rsidRPr="00A85401">
        <w:rPr>
          <w:b/>
          <w:bCs/>
        </w:rPr>
        <w:t>Economic and policy issues:</w:t>
      </w:r>
      <w:r>
        <w:t xml:space="preserve"> New ITU standards describe shared uses of telecommunication infrastructure as possible methods for enhancing the efficiency of telecommunications (D.264), optimizing terrestrial cable utilization across multiple countries to boost regional and international connectivity (D.265), an enabling environment for voluntary commercial arrangements between telecommunications network operators and over-the-top application providers (D.266), and a policy framework including principles for digital identity infrastructure (D.267/X.1261). A new Supplement describes principles for increased adoption and use of mobile financial services through effective consumer protection mechanisms (D.Suppl.4).</w:t>
      </w:r>
    </w:p>
    <w:p w14:paraId="45373F45" w14:textId="77777777" w:rsidR="00555207" w:rsidRDefault="00555207" w:rsidP="00555207">
      <w:r w:rsidRPr="00A85401">
        <w:rPr>
          <w:b/>
          <w:bCs/>
        </w:rPr>
        <w:lastRenderedPageBreak/>
        <w:t>Broadband cable and TV:</w:t>
      </w:r>
      <w:r>
        <w:t xml:space="preserve"> New ITU standards address IP cable modems with the fourth and fifth generations of transmission systems for interactive cable television services (J.225 and J.224), embedded common interface for exchangeable conditional access / digital rights management solutions (J.112, J.113, J.114, J.115 and J.115.1), downloadable conditional access system for bidirectional networks (J.1031, J.1032 and J.1033), smart TV operating systems (J.1203 and J.1204), the remote management of cable set-top boxes by auto configuration server (J.299), and IP video broadcast for CATV networks (J.1211).</w:t>
      </w:r>
    </w:p>
    <w:p w14:paraId="73831806" w14:textId="77777777" w:rsidR="00555207" w:rsidRDefault="00555207" w:rsidP="00555207">
      <w:r w:rsidRPr="00A85401">
        <w:rPr>
          <w:b/>
          <w:bCs/>
        </w:rPr>
        <w:t>Protocols and test specs:</w:t>
      </w:r>
      <w:r>
        <w:t xml:space="preserve"> A new ITU standard addresses </w:t>
      </w:r>
      <w:proofErr w:type="spellStart"/>
      <w:r>
        <w:t>signalling</w:t>
      </w:r>
      <w:proofErr w:type="spellEnd"/>
      <w:r>
        <w:t xml:space="preserve"> for distributed infrastructure ENUM networking for IMS (Q.3643) and a new Supplement addresses </w:t>
      </w:r>
      <w:proofErr w:type="spellStart"/>
      <w:r>
        <w:t>signalling</w:t>
      </w:r>
      <w:proofErr w:type="spellEnd"/>
      <w:r>
        <w:t xml:space="preserve"> for IMS emergency telecommunications (Q.Suppl.72). New ITU standards also address interconnection between trustable network entities (Q.3057), energy-efficient device-to-device communication for 5G (Q.5022), time constraint IoT-based applications over SDN (Q.3745), managed P2P communications (Q.609.5), and the compatibility testing of SDN-based equipment using OpenFlow protocol (Q.3963).</w:t>
      </w:r>
    </w:p>
    <w:p w14:paraId="115FB7CC" w14:textId="77777777" w:rsidR="00136E7B" w:rsidRPr="00E91A7E" w:rsidRDefault="00136E7B" w:rsidP="00136E7B">
      <w:pPr>
        <w:rPr>
          <w:b/>
          <w:i/>
          <w:sz w:val="28"/>
          <w:szCs w:val="28"/>
          <w:lang w:val="en-GB"/>
        </w:rPr>
      </w:pPr>
      <w:r w:rsidRPr="00E91A7E">
        <w:rPr>
          <w:b/>
          <w:i/>
          <w:sz w:val="28"/>
          <w:szCs w:val="28"/>
          <w:lang w:val="en-GB"/>
        </w:rPr>
        <w:t>Supporting collaboration</w:t>
      </w:r>
    </w:p>
    <w:p w14:paraId="0047CEEF" w14:textId="31560FFA" w:rsidR="00555207" w:rsidRDefault="00555207" w:rsidP="2B30A600">
      <w:pPr>
        <w:rPr>
          <w:rFonts w:cstheme="minorHAnsi"/>
        </w:rPr>
      </w:pPr>
      <w:r>
        <w:rPr>
          <w:rFonts w:cstheme="minorHAnsi"/>
        </w:rPr>
        <w:t xml:space="preserve">Open platforms such as </w:t>
      </w:r>
      <w:hyperlink r:id="rId12" w:history="1">
        <w:r w:rsidRPr="00555207">
          <w:rPr>
            <w:rStyle w:val="Hyperlink"/>
            <w:rFonts w:cstheme="minorHAnsi"/>
          </w:rPr>
          <w:t>ITU-T focus groups</w:t>
        </w:r>
      </w:hyperlink>
      <w:r>
        <w:rPr>
          <w:rFonts w:cstheme="minorHAnsi"/>
        </w:rPr>
        <w:t xml:space="preserve"> and collaboration initiatives like the </w:t>
      </w:r>
      <w:hyperlink r:id="rId13" w:history="1">
        <w:r w:rsidRPr="00555207">
          <w:rPr>
            <w:rStyle w:val="Hyperlink"/>
            <w:rFonts w:cstheme="minorHAnsi"/>
          </w:rPr>
          <w:t>AI for Good Global Summit</w:t>
        </w:r>
      </w:hyperlink>
      <w:r>
        <w:rPr>
          <w:rFonts w:cstheme="minorHAnsi"/>
        </w:rPr>
        <w:t>,</w:t>
      </w:r>
      <w:r w:rsidR="00D94185">
        <w:rPr>
          <w:rFonts w:cstheme="minorHAnsi"/>
        </w:rPr>
        <w:t xml:space="preserve"> the </w:t>
      </w:r>
      <w:proofErr w:type="spellStart"/>
      <w:r w:rsidR="00956305" w:rsidRPr="00956305">
        <w:rPr>
          <w:rFonts w:cstheme="minorHAnsi"/>
        </w:rPr>
        <w:t>the</w:t>
      </w:r>
      <w:proofErr w:type="spellEnd"/>
      <w:r w:rsidR="00956305" w:rsidRPr="00956305">
        <w:rPr>
          <w:rFonts w:cstheme="minorHAnsi"/>
        </w:rPr>
        <w:t> </w:t>
      </w:r>
      <w:hyperlink r:id="rId14" w:history="1">
        <w:r w:rsidR="00956305" w:rsidRPr="00956305">
          <w:rPr>
            <w:rStyle w:val="Hyperlink"/>
            <w:rFonts w:cstheme="minorHAnsi"/>
          </w:rPr>
          <w:t>ITU Challenge on AI and Machine Learning in 5G</w:t>
        </w:r>
      </w:hyperlink>
      <w:r w:rsidR="00956305">
        <w:rPr>
          <w:rFonts w:cstheme="minorHAnsi"/>
        </w:rPr>
        <w:t xml:space="preserve">, the </w:t>
      </w:r>
      <w:hyperlink r:id="rId15" w:history="1">
        <w:r w:rsidRPr="00555207">
          <w:rPr>
            <w:rStyle w:val="Hyperlink"/>
            <w:rFonts w:cstheme="minorHAnsi"/>
          </w:rPr>
          <w:t xml:space="preserve">United for Smart Sustainable Cities </w:t>
        </w:r>
        <w:r w:rsidR="00BD3540">
          <w:rPr>
            <w:rStyle w:val="Hyperlink"/>
            <w:rFonts w:cstheme="minorHAnsi"/>
          </w:rPr>
          <w:t xml:space="preserve">(U4SSC) </w:t>
        </w:r>
        <w:r w:rsidRPr="00555207">
          <w:rPr>
            <w:rStyle w:val="Hyperlink"/>
            <w:rFonts w:cstheme="minorHAnsi"/>
          </w:rPr>
          <w:t>Initiative</w:t>
        </w:r>
      </w:hyperlink>
      <w:r>
        <w:rPr>
          <w:rFonts w:cstheme="minorHAnsi"/>
        </w:rPr>
        <w:t xml:space="preserve">, the </w:t>
      </w:r>
      <w:hyperlink r:id="rId16" w:history="1">
        <w:r w:rsidRPr="00555207">
          <w:rPr>
            <w:rStyle w:val="Hyperlink"/>
            <w:rFonts w:cstheme="minorHAnsi"/>
          </w:rPr>
          <w:t>Financial Inclusion Global Initiativ</w:t>
        </w:r>
        <w:r w:rsidR="00BD3540">
          <w:rPr>
            <w:rStyle w:val="Hyperlink"/>
            <w:rFonts w:cstheme="minorHAnsi"/>
          </w:rPr>
          <w:t>e (FIGI)</w:t>
        </w:r>
      </w:hyperlink>
      <w:r>
        <w:rPr>
          <w:rFonts w:cstheme="minorHAnsi"/>
        </w:rPr>
        <w:t xml:space="preserve"> and the </w:t>
      </w:r>
      <w:r w:rsidR="00774D8A">
        <w:rPr>
          <w:rFonts w:cstheme="minorHAnsi"/>
        </w:rPr>
        <w:t xml:space="preserve">new </w:t>
      </w:r>
      <w:hyperlink r:id="rId17" w:history="1">
        <w:r w:rsidRPr="00555207">
          <w:rPr>
            <w:rStyle w:val="Hyperlink"/>
            <w:rFonts w:cstheme="minorHAnsi"/>
          </w:rPr>
          <w:t>Digital Currency Global Initiative</w:t>
        </w:r>
      </w:hyperlink>
      <w:r>
        <w:rPr>
          <w:rFonts w:cstheme="minorHAnsi"/>
        </w:rPr>
        <w:t xml:space="preserve"> support the development of new partnerships in emerging fields of ICT innovation. These platforms assist in clarifying the contributions expected of various stakeholders, including the contribution expected of ITU standardization.</w:t>
      </w:r>
    </w:p>
    <w:p w14:paraId="70A9F44F" w14:textId="495A5A4B" w:rsidR="00D94185" w:rsidRDefault="00774D8A" w:rsidP="2B30A600">
      <w:pPr>
        <w:rPr>
          <w:rFonts w:eastAsia="Calibri"/>
          <w:color w:val="201F1E"/>
          <w:szCs w:val="24"/>
          <w:lang w:val="en-GB"/>
        </w:rPr>
      </w:pPr>
      <w:r w:rsidRPr="00FB1893">
        <w:rPr>
          <w:lang w:val="en-GB"/>
        </w:rPr>
        <w:t xml:space="preserve">The </w:t>
      </w:r>
      <w:r>
        <w:rPr>
          <w:lang w:val="en-GB"/>
        </w:rPr>
        <w:t xml:space="preserve">new </w:t>
      </w:r>
      <w:hyperlink r:id="rId18" w:history="1">
        <w:r w:rsidRPr="00555207">
          <w:rPr>
            <w:rStyle w:val="Hyperlink"/>
            <w:rFonts w:cstheme="minorHAnsi"/>
          </w:rPr>
          <w:t>Digital Currency Global Initiative</w:t>
        </w:r>
      </w:hyperlink>
      <w:r>
        <w:rPr>
          <w:rFonts w:cstheme="minorHAnsi"/>
        </w:rPr>
        <w:t xml:space="preserve"> </w:t>
      </w:r>
      <w:r w:rsidRPr="00FB1893">
        <w:rPr>
          <w:lang w:val="en-GB"/>
        </w:rPr>
        <w:t xml:space="preserve">is a collaboration between ITU and Stanford University </w:t>
      </w:r>
      <w:r>
        <w:rPr>
          <w:lang w:val="en-GB"/>
        </w:rPr>
        <w:t xml:space="preserve">established </w:t>
      </w:r>
      <w:r w:rsidRPr="00FB1893">
        <w:rPr>
          <w:lang w:val="en-GB"/>
        </w:rPr>
        <w:t>in July 2020. The Initiative will continue the</w:t>
      </w:r>
      <w:r w:rsidRPr="00FB1893">
        <w:rPr>
          <w:rFonts w:eastAsia="Calibri"/>
          <w:color w:val="201F1E"/>
          <w:szCs w:val="24"/>
          <w:lang w:val="en-GB"/>
        </w:rPr>
        <w:t xml:space="preserve"> dialogue and research initiated by the ITU-T Focus Group on Digital Currency including Digital Fiat Currency on pilot implementations of digital currency, their use cases, applications and developing specifications for technical standards that will foster adoption, universal access, and ultimately financial inclusion.</w:t>
      </w:r>
    </w:p>
    <w:p w14:paraId="2A46D154" w14:textId="49BB5815" w:rsidR="00956305" w:rsidRPr="00956305" w:rsidRDefault="00956305" w:rsidP="2B30A600">
      <w:pPr>
        <w:rPr>
          <w:szCs w:val="24"/>
          <w:lang w:val="en-GB"/>
        </w:rPr>
      </w:pPr>
      <w:r>
        <w:rPr>
          <w:szCs w:val="24"/>
        </w:rPr>
        <w:t>Over 500 co</w:t>
      </w:r>
      <w:r w:rsidRPr="00ED66C1">
        <w:rPr>
          <w:szCs w:val="24"/>
        </w:rPr>
        <w:t>mpetitors from over 50 countries have entered the </w:t>
      </w:r>
      <w:hyperlink r:id="rId19" w:history="1">
        <w:r w:rsidRPr="00ED66C1">
          <w:rPr>
            <w:rStyle w:val="Hyperlink"/>
            <w:szCs w:val="24"/>
          </w:rPr>
          <w:t>ITU Challenge on AI and Machine Learning in 5G</w:t>
        </w:r>
      </w:hyperlink>
      <w:r w:rsidRPr="00ED66C1">
        <w:rPr>
          <w:szCs w:val="24"/>
        </w:rPr>
        <w:t> to showcase their talent</w:t>
      </w:r>
      <w:r>
        <w:rPr>
          <w:szCs w:val="24"/>
        </w:rPr>
        <w:t xml:space="preserve"> and </w:t>
      </w:r>
      <w:r w:rsidRPr="00ED66C1">
        <w:rPr>
          <w:szCs w:val="24"/>
        </w:rPr>
        <w:t>test their concepts on real data and real-world problems.</w:t>
      </w:r>
      <w:r>
        <w:rPr>
          <w:szCs w:val="24"/>
        </w:rPr>
        <w:t xml:space="preserve"> Applying ITU standards, competitors </w:t>
      </w:r>
      <w:r w:rsidRPr="006C3199">
        <w:rPr>
          <w:szCs w:val="24"/>
        </w:rPr>
        <w:t>are enabl</w:t>
      </w:r>
      <w:r>
        <w:rPr>
          <w:szCs w:val="24"/>
        </w:rPr>
        <w:t>ing</w:t>
      </w:r>
      <w:r w:rsidRPr="006C3199">
        <w:rPr>
          <w:szCs w:val="24"/>
        </w:rPr>
        <w:t>, creat</w:t>
      </w:r>
      <w:r>
        <w:rPr>
          <w:szCs w:val="24"/>
        </w:rPr>
        <w:t>ing</w:t>
      </w:r>
      <w:r w:rsidRPr="006C3199">
        <w:rPr>
          <w:szCs w:val="24"/>
        </w:rPr>
        <w:t xml:space="preserve">, </w:t>
      </w:r>
      <w:proofErr w:type="gramStart"/>
      <w:r w:rsidRPr="006C3199">
        <w:rPr>
          <w:szCs w:val="24"/>
        </w:rPr>
        <w:t>train</w:t>
      </w:r>
      <w:r>
        <w:rPr>
          <w:szCs w:val="24"/>
        </w:rPr>
        <w:t>ing</w:t>
      </w:r>
      <w:proofErr w:type="gramEnd"/>
      <w:r w:rsidRPr="006C3199">
        <w:rPr>
          <w:szCs w:val="24"/>
        </w:rPr>
        <w:t xml:space="preserve"> and deploy</w:t>
      </w:r>
      <w:r>
        <w:rPr>
          <w:szCs w:val="24"/>
        </w:rPr>
        <w:t>ing</w:t>
      </w:r>
      <w:r w:rsidRPr="006C3199">
        <w:rPr>
          <w:szCs w:val="24"/>
        </w:rPr>
        <w:t xml:space="preserve"> </w:t>
      </w:r>
      <w:r>
        <w:rPr>
          <w:szCs w:val="24"/>
        </w:rPr>
        <w:t>machine learning</w:t>
      </w:r>
      <w:r w:rsidRPr="006C3199">
        <w:rPr>
          <w:szCs w:val="24"/>
        </w:rPr>
        <w:t xml:space="preserve"> models </w:t>
      </w:r>
      <w:r>
        <w:rPr>
          <w:szCs w:val="24"/>
        </w:rPr>
        <w:t xml:space="preserve">and gaining </w:t>
      </w:r>
      <w:r w:rsidRPr="006C3199">
        <w:rPr>
          <w:szCs w:val="24"/>
        </w:rPr>
        <w:t xml:space="preserve">hands-on experience </w:t>
      </w:r>
      <w:r>
        <w:rPr>
          <w:szCs w:val="24"/>
        </w:rPr>
        <w:t xml:space="preserve">with </w:t>
      </w:r>
      <w:r w:rsidRPr="006C3199">
        <w:rPr>
          <w:szCs w:val="24"/>
        </w:rPr>
        <w:t>AI</w:t>
      </w:r>
      <w:r>
        <w:rPr>
          <w:szCs w:val="24"/>
        </w:rPr>
        <w:t xml:space="preserve"> and machine learning </w:t>
      </w:r>
      <w:r w:rsidRPr="006C3199">
        <w:rPr>
          <w:szCs w:val="24"/>
        </w:rPr>
        <w:t xml:space="preserve">in areas relevant to communication networks. The Challenge will culminate </w:t>
      </w:r>
      <w:r>
        <w:rPr>
          <w:szCs w:val="24"/>
        </w:rPr>
        <w:t xml:space="preserve">with </w:t>
      </w:r>
      <w:r w:rsidRPr="006C3199">
        <w:rPr>
          <w:szCs w:val="24"/>
        </w:rPr>
        <w:t>the Grand Challenge Finale</w:t>
      </w:r>
      <w:r>
        <w:rPr>
          <w:szCs w:val="24"/>
        </w:rPr>
        <w:t xml:space="preserve"> to be held virtually from </w:t>
      </w:r>
      <w:r w:rsidRPr="006C3199">
        <w:rPr>
          <w:szCs w:val="24"/>
        </w:rPr>
        <w:t>15 to 17 December 2020</w:t>
      </w:r>
      <w:r>
        <w:rPr>
          <w:rStyle w:val="Hyperlink"/>
          <w:color w:val="auto"/>
          <w:szCs w:val="24"/>
          <w:u w:val="none"/>
        </w:rPr>
        <w:t>. T</w:t>
      </w:r>
      <w:r w:rsidRPr="001204FF">
        <w:rPr>
          <w:rStyle w:val="Hyperlink"/>
          <w:color w:val="auto"/>
          <w:szCs w:val="24"/>
          <w:u w:val="none"/>
        </w:rPr>
        <w:t>he Challenge is kindly</w:t>
      </w:r>
      <w:r w:rsidRPr="00956305">
        <w:rPr>
          <w:rStyle w:val="Hyperlink"/>
          <w:color w:val="auto"/>
          <w:szCs w:val="24"/>
          <w:u w:val="none"/>
        </w:rPr>
        <w:t xml:space="preserve"> </w:t>
      </w:r>
      <w:r>
        <w:t>s</w:t>
      </w:r>
      <w:r w:rsidRPr="006C3199">
        <w:t>ponsor</w:t>
      </w:r>
      <w:r>
        <w:t>ed the</w:t>
      </w:r>
      <w:r w:rsidRPr="006C3199">
        <w:t xml:space="preserve"> Telecommunications Regulatory Authority</w:t>
      </w:r>
      <w:r>
        <w:t xml:space="preserve"> of the United Arab Emirates</w:t>
      </w:r>
      <w:r w:rsidRPr="006C3199">
        <w:t xml:space="preserve"> (Gold Sponsor)</w:t>
      </w:r>
      <w:r>
        <w:t xml:space="preserve"> and </w:t>
      </w:r>
      <w:r w:rsidRPr="006C3199">
        <w:t>Cisco and ZTE (Bronze Sponsors)</w:t>
      </w:r>
      <w:r>
        <w:t xml:space="preserve">. </w:t>
      </w:r>
    </w:p>
    <w:p w14:paraId="0DCC1C81" w14:textId="55E3B5DF" w:rsidR="00136E7B" w:rsidRDefault="00136E7B" w:rsidP="2B30A600">
      <w:pPr>
        <w:rPr>
          <w:lang w:val="en-GB"/>
        </w:rPr>
      </w:pPr>
      <w:r w:rsidRPr="2B30A600">
        <w:rPr>
          <w:lang w:val="en-GB"/>
        </w:rPr>
        <w:t xml:space="preserve">More than 100 cities worldwide are </w:t>
      </w:r>
      <w:r w:rsidR="00D54EFE">
        <w:rPr>
          <w:lang w:val="en-GB"/>
        </w:rPr>
        <w:t xml:space="preserve">evaluating </w:t>
      </w:r>
      <w:r w:rsidRPr="2B30A600">
        <w:rPr>
          <w:lang w:val="en-GB"/>
        </w:rPr>
        <w:t xml:space="preserve">their progress </w:t>
      </w:r>
      <w:r w:rsidR="00774D8A">
        <w:rPr>
          <w:lang w:val="en-GB"/>
        </w:rPr>
        <w:t>towards the SDGs with</w:t>
      </w:r>
      <w:r w:rsidRPr="2B30A600">
        <w:rPr>
          <w:lang w:val="en-GB"/>
        </w:rPr>
        <w:t xml:space="preserve"> </w:t>
      </w:r>
      <w:r w:rsidR="00417BF9">
        <w:rPr>
          <w:lang w:val="en-GB"/>
        </w:rPr>
        <w:t>“</w:t>
      </w:r>
      <w:hyperlink r:id="rId20" w:history="1">
        <w:r w:rsidRPr="2B30A600">
          <w:rPr>
            <w:rStyle w:val="Hyperlink"/>
            <w:lang w:val="en-GB"/>
          </w:rPr>
          <w:t>Key Performance Indicators for Smart Sustainable Cities</w:t>
        </w:r>
      </w:hyperlink>
      <w:r w:rsidR="00417BF9">
        <w:rPr>
          <w:lang w:val="en-GB"/>
        </w:rPr>
        <w:t>”</w:t>
      </w:r>
      <w:r w:rsidRPr="2B30A600">
        <w:rPr>
          <w:lang w:val="en-GB"/>
        </w:rPr>
        <w:t xml:space="preserve"> based on ITU standards, indicators promoted by </w:t>
      </w:r>
      <w:r w:rsidR="00774D8A">
        <w:rPr>
          <w:lang w:val="en-GB"/>
        </w:rPr>
        <w:t>U4SSC</w:t>
      </w:r>
      <w:r w:rsidRPr="2B30A600">
        <w:rPr>
          <w:lang w:val="en-GB"/>
        </w:rPr>
        <w:t xml:space="preserve">. </w:t>
      </w:r>
      <w:r w:rsidR="00AA6649">
        <w:rPr>
          <w:rFonts w:cstheme="minorHAnsi"/>
        </w:rPr>
        <w:t xml:space="preserve">The </w:t>
      </w:r>
      <w:hyperlink r:id="rId21" w:history="1">
        <w:r w:rsidR="00AA6649">
          <w:rPr>
            <w:rStyle w:val="Hyperlink"/>
            <w:rFonts w:cstheme="minorHAnsi"/>
          </w:rPr>
          <w:t>U4SSC implementation programme</w:t>
        </w:r>
      </w:hyperlink>
      <w:r w:rsidR="00AA6649">
        <w:rPr>
          <w:rFonts w:cstheme="minorHAnsi"/>
        </w:rPr>
        <w:t xml:space="preserve"> is supporting cities’ pursuit of the SDGs by w</w:t>
      </w:r>
      <w:r w:rsidR="00AA6649" w:rsidRPr="00AA6649">
        <w:rPr>
          <w:rFonts w:cstheme="minorHAnsi"/>
        </w:rPr>
        <w:t>orking together with national administrations and city leaders</w:t>
      </w:r>
      <w:r w:rsidR="00AA6649">
        <w:rPr>
          <w:rFonts w:cstheme="minorHAnsi"/>
        </w:rPr>
        <w:t xml:space="preserve"> to </w:t>
      </w:r>
      <w:r w:rsidR="00AA6649" w:rsidRPr="00AA6649">
        <w:rPr>
          <w:rFonts w:cstheme="minorHAnsi"/>
        </w:rPr>
        <w:t xml:space="preserve">building a comprehensive approach to smart city development, looking at both KPI evaluations and wider national contexts for planning and action. </w:t>
      </w:r>
      <w:r w:rsidR="1638A12D" w:rsidRPr="2B30A600">
        <w:rPr>
          <w:lang w:val="en-GB"/>
        </w:rPr>
        <w:t xml:space="preserve">New U4SSC reports </w:t>
      </w:r>
      <w:r w:rsidRPr="2B30A600">
        <w:rPr>
          <w:lang w:val="en-GB"/>
        </w:rPr>
        <w:t xml:space="preserve">include </w:t>
      </w:r>
      <w:r w:rsidR="50FD9463" w:rsidRPr="2B30A600">
        <w:rPr>
          <w:lang w:val="en-GB"/>
        </w:rPr>
        <w:t>“</w:t>
      </w:r>
      <w:hyperlink r:id="rId22">
        <w:r w:rsidR="50FD9463" w:rsidRPr="2B30A600">
          <w:rPr>
            <w:rStyle w:val="Hyperlink"/>
            <w:lang w:val="en-GB"/>
          </w:rPr>
          <w:t>A Guide to Circular Cities</w:t>
        </w:r>
      </w:hyperlink>
      <w:r w:rsidR="50FD9463" w:rsidRPr="2B30A600">
        <w:rPr>
          <w:lang w:val="en-GB"/>
        </w:rPr>
        <w:t>”</w:t>
      </w:r>
      <w:r w:rsidRPr="2B30A600">
        <w:rPr>
          <w:lang w:val="en-GB"/>
        </w:rPr>
        <w:t xml:space="preserve"> and </w:t>
      </w:r>
      <w:hyperlink r:id="rId23" w:history="1">
        <w:r w:rsidRPr="2B30A600">
          <w:rPr>
            <w:lang w:val="en-GB"/>
          </w:rPr>
          <w:t xml:space="preserve">eight associated </w:t>
        </w:r>
        <w:r w:rsidRPr="2B30A600">
          <w:rPr>
            <w:rStyle w:val="Hyperlink"/>
            <w:lang w:val="en-GB"/>
          </w:rPr>
          <w:t>case studies</w:t>
        </w:r>
      </w:hyperlink>
      <w:r w:rsidRPr="2B30A600">
        <w:rPr>
          <w:lang w:val="en-GB"/>
        </w:rPr>
        <w:t>, as well</w:t>
      </w:r>
      <w:r w:rsidR="00774D8A">
        <w:rPr>
          <w:lang w:val="en-GB"/>
        </w:rPr>
        <w:t xml:space="preserve"> </w:t>
      </w:r>
      <w:r w:rsidR="00774D8A" w:rsidRPr="2B30A600">
        <w:rPr>
          <w:lang w:val="en-GB"/>
        </w:rPr>
        <w:t xml:space="preserve">as </w:t>
      </w:r>
      <w:r w:rsidR="00774D8A">
        <w:rPr>
          <w:lang w:val="en-GB"/>
        </w:rPr>
        <w:t xml:space="preserve">a range of </w:t>
      </w:r>
      <w:hyperlink r:id="rId24" w:history="1">
        <w:r w:rsidR="00774D8A" w:rsidRPr="2B30A600">
          <w:rPr>
            <w:rStyle w:val="Hyperlink"/>
            <w:lang w:val="en-GB"/>
          </w:rPr>
          <w:t>city snapshot</w:t>
        </w:r>
        <w:r w:rsidR="00774D8A">
          <w:rPr>
            <w:rStyle w:val="Hyperlink"/>
            <w:lang w:val="en-GB"/>
          </w:rPr>
          <w:t>s, factsheets and verification reports</w:t>
        </w:r>
      </w:hyperlink>
      <w:r w:rsidR="00774D8A">
        <w:rPr>
          <w:lang w:val="en-GB"/>
        </w:rPr>
        <w:t xml:space="preserve"> </w:t>
      </w:r>
      <w:r w:rsidR="00417BF9">
        <w:rPr>
          <w:lang w:val="en-GB"/>
        </w:rPr>
        <w:t xml:space="preserve">sharing </w:t>
      </w:r>
      <w:r w:rsidR="00774D8A">
        <w:rPr>
          <w:lang w:val="en-GB"/>
        </w:rPr>
        <w:t>the results of the latest KPI evaluations</w:t>
      </w:r>
      <w:r w:rsidR="00497B60">
        <w:rPr>
          <w:lang w:val="en-GB"/>
        </w:rPr>
        <w:t>.</w:t>
      </w:r>
      <w:r w:rsidR="00ED519D">
        <w:rPr>
          <w:lang w:val="en-GB"/>
        </w:rPr>
        <w:t xml:space="preserve"> </w:t>
      </w:r>
    </w:p>
    <w:p w14:paraId="329E66D0" w14:textId="078152FF" w:rsidR="00BD3540" w:rsidRPr="00ED519D" w:rsidRDefault="00BD3540" w:rsidP="2B30A600">
      <w:pPr>
        <w:rPr>
          <w:rFonts w:cstheme="minorHAnsi"/>
        </w:rPr>
      </w:pPr>
      <w:r>
        <w:rPr>
          <w:rFonts w:cstheme="minorHAnsi"/>
        </w:rPr>
        <w:t xml:space="preserve">ITU has seen renewed emphasis on all areas of ITU work capable of contributing to epidemic preparedness, with AI, smart cities, digital financial services and quality of service (QoS) forming prime examples in ITU-T. Pandemics are the focus of a “breakthrough track” within the </w:t>
      </w:r>
      <w:hyperlink r:id="rId25" w:history="1">
        <w:r w:rsidRPr="00ED519D">
          <w:rPr>
            <w:rStyle w:val="Hyperlink"/>
            <w:rFonts w:cstheme="minorHAnsi"/>
          </w:rPr>
          <w:t>AI for Good Global Summit</w:t>
        </w:r>
      </w:hyperlink>
      <w:r>
        <w:rPr>
          <w:rFonts w:cstheme="minorHAnsi"/>
        </w:rPr>
        <w:t xml:space="preserve">. The </w:t>
      </w:r>
      <w:hyperlink r:id="rId26" w:history="1">
        <w:r>
          <w:rPr>
            <w:rStyle w:val="Hyperlink"/>
            <w:rFonts w:cstheme="minorHAnsi"/>
          </w:rPr>
          <w:t>U4SSC implementation programme</w:t>
        </w:r>
      </w:hyperlink>
      <w:r>
        <w:rPr>
          <w:rFonts w:cstheme="minorHAnsi"/>
        </w:rPr>
        <w:t xml:space="preserve"> includes a workstream dedicated to capturing the best practices established by cities’ response to COVID-19. </w:t>
      </w:r>
      <w:r w:rsidRPr="00BD3540">
        <w:rPr>
          <w:rFonts w:cstheme="minorHAnsi"/>
        </w:rPr>
        <w:t>A </w:t>
      </w:r>
      <w:r>
        <w:rPr>
          <w:rFonts w:cstheme="minorHAnsi"/>
        </w:rPr>
        <w:t xml:space="preserve">new ad-hoc </w:t>
      </w:r>
      <w:proofErr w:type="spellStart"/>
      <w:r>
        <w:rPr>
          <w:rFonts w:cstheme="minorHAnsi"/>
        </w:rPr>
        <w:t>goup</w:t>
      </w:r>
      <w:proofErr w:type="spellEnd"/>
      <w:r w:rsidRPr="00BD3540">
        <w:rPr>
          <w:rFonts w:cstheme="minorHAnsi"/>
        </w:rPr>
        <w:t xml:space="preserve"> </w:t>
      </w:r>
      <w:r w:rsidRPr="00BD3540">
        <w:rPr>
          <w:rFonts w:cstheme="minorHAnsi"/>
        </w:rPr>
        <w:lastRenderedPageBreak/>
        <w:t>within the </w:t>
      </w:r>
      <w:hyperlink r:id="rId27" w:tgtFrame="_blank" w:history="1">
        <w:r w:rsidRPr="00BD3540">
          <w:rPr>
            <w:rStyle w:val="Hyperlink"/>
            <w:rFonts w:cstheme="minorHAnsi"/>
          </w:rPr>
          <w:t>ITU-WHO Focus Group on Artificial Intelligence for Health</w:t>
        </w:r>
      </w:hyperlink>
      <w:r w:rsidRPr="00BD3540">
        <w:rPr>
          <w:rFonts w:cstheme="minorHAnsi"/>
        </w:rPr>
        <w:t> aims to establish best practices in the use of AI at each lifecycle of a public health emergency.</w:t>
      </w:r>
      <w:r>
        <w:rPr>
          <w:rFonts w:cstheme="minorHAnsi"/>
        </w:rPr>
        <w:t xml:space="preserve"> In a </w:t>
      </w:r>
      <w:hyperlink r:id="rId28" w:history="1">
        <w:r w:rsidRPr="00ED519D">
          <w:rPr>
            <w:rStyle w:val="Hyperlink"/>
            <w:rFonts w:cstheme="minorHAnsi"/>
          </w:rPr>
          <w:t>series of webinars</w:t>
        </w:r>
      </w:hyperlink>
      <w:r>
        <w:rPr>
          <w:rFonts w:cstheme="minorHAnsi"/>
        </w:rPr>
        <w:t xml:space="preserve">, the FIGI community </w:t>
      </w:r>
      <w:r w:rsidR="00ED519D">
        <w:rPr>
          <w:rFonts w:cstheme="minorHAnsi"/>
        </w:rPr>
        <w:t xml:space="preserve">has </w:t>
      </w:r>
      <w:r>
        <w:rPr>
          <w:rFonts w:cstheme="minorHAnsi"/>
        </w:rPr>
        <w:t>shared insight into the role played by telecoms services, digital payments and fintech in preparing for and responding to pandemics.</w:t>
      </w:r>
      <w:r w:rsidR="00ED519D">
        <w:rPr>
          <w:rFonts w:cstheme="minorHAnsi"/>
        </w:rPr>
        <w:t xml:space="preserve"> The Quality of Service Development Group </w:t>
      </w:r>
      <w:r w:rsidR="00B866DD">
        <w:rPr>
          <w:rFonts w:cstheme="minorHAnsi"/>
        </w:rPr>
        <w:t xml:space="preserve">has transformed its </w:t>
      </w:r>
      <w:r w:rsidR="00B866DD">
        <w:rPr>
          <w:szCs w:val="24"/>
        </w:rPr>
        <w:t xml:space="preserve">annual face-to-face meeting into a series of </w:t>
      </w:r>
      <w:hyperlink r:id="rId29">
        <w:r w:rsidR="00B866DD" w:rsidRPr="5FCACBF6">
          <w:rPr>
            <w:rStyle w:val="Hyperlink"/>
            <w:szCs w:val="24"/>
          </w:rPr>
          <w:t>QoS-themed webinars</w:t>
        </w:r>
      </w:hyperlink>
      <w:r w:rsidR="00ED519D">
        <w:rPr>
          <w:rFonts w:cstheme="minorHAnsi"/>
        </w:rPr>
        <w:t xml:space="preserve"> considering the importance of </w:t>
      </w:r>
      <w:r w:rsidR="00B866DD">
        <w:rPr>
          <w:rFonts w:cstheme="minorHAnsi"/>
        </w:rPr>
        <w:t xml:space="preserve">high-quality </w:t>
      </w:r>
      <w:r w:rsidR="00ED519D">
        <w:rPr>
          <w:rFonts w:cstheme="minorHAnsi"/>
        </w:rPr>
        <w:t xml:space="preserve">ICT </w:t>
      </w:r>
      <w:r w:rsidR="00B866DD">
        <w:rPr>
          <w:rFonts w:cstheme="minorHAnsi"/>
        </w:rPr>
        <w:t>services</w:t>
      </w:r>
      <w:r w:rsidR="00ED519D">
        <w:rPr>
          <w:rFonts w:cstheme="minorHAnsi"/>
        </w:rPr>
        <w:t xml:space="preserve"> to pandemic preparedness and response. </w:t>
      </w:r>
      <w:r>
        <w:rPr>
          <w:rFonts w:cstheme="minorHAnsi"/>
        </w:rPr>
        <w:t xml:space="preserve"> </w:t>
      </w:r>
    </w:p>
    <w:p w14:paraId="1F20E8BD" w14:textId="0FF6560E" w:rsidR="00AD60B4" w:rsidRPr="004A71B8" w:rsidRDefault="00AD60B4" w:rsidP="00136E7B">
      <w:r w:rsidRPr="004A71B8">
        <w:rPr>
          <w:szCs w:val="24"/>
          <w:lang w:val="en-GB"/>
        </w:rPr>
        <w:t xml:space="preserve">The </w:t>
      </w:r>
      <w:r w:rsidR="00497B60" w:rsidRPr="004A71B8">
        <w:rPr>
          <w:szCs w:val="24"/>
          <w:lang w:val="en-GB"/>
        </w:rPr>
        <w:t xml:space="preserve">twelfth </w:t>
      </w:r>
      <w:r w:rsidRPr="004A71B8">
        <w:rPr>
          <w:szCs w:val="24"/>
          <w:lang w:val="en-GB"/>
        </w:rPr>
        <w:t xml:space="preserve">edition of the ITU Kaleidoscope conference will take place from </w:t>
      </w:r>
      <w:r w:rsidR="00497B60" w:rsidRPr="004A71B8">
        <w:rPr>
          <w:szCs w:val="24"/>
          <w:lang w:val="en-GB"/>
        </w:rPr>
        <w:t>7 to 11</w:t>
      </w:r>
      <w:r w:rsidRPr="004A71B8">
        <w:rPr>
          <w:szCs w:val="24"/>
          <w:lang w:val="en-GB"/>
        </w:rPr>
        <w:t xml:space="preserve"> December 2020 on the topic of </w:t>
      </w:r>
      <w:hyperlink r:id="rId30" w:history="1">
        <w:r w:rsidRPr="004A71B8">
          <w:rPr>
            <w:rStyle w:val="Hyperlink"/>
            <w:szCs w:val="24"/>
            <w:lang w:val="en-GB"/>
          </w:rPr>
          <w:t>Industry-driven digital transformation</w:t>
        </w:r>
      </w:hyperlink>
      <w:r w:rsidR="00497B60" w:rsidRPr="004A71B8">
        <w:rPr>
          <w:rStyle w:val="Hyperlink"/>
          <w:szCs w:val="24"/>
          <w:lang w:val="en-GB"/>
        </w:rPr>
        <w:t xml:space="preserve">. </w:t>
      </w:r>
      <w:r w:rsidR="00497B60" w:rsidRPr="004A71B8">
        <w:rPr>
          <w:rStyle w:val="Hyperlink"/>
          <w:color w:val="auto"/>
          <w:szCs w:val="24"/>
          <w:u w:val="none"/>
          <w:lang w:val="en-GB"/>
        </w:rPr>
        <w:t xml:space="preserve">A virtual conference by design, </w:t>
      </w:r>
      <w:r w:rsidR="006B4EC0">
        <w:rPr>
          <w:rStyle w:val="Hyperlink"/>
          <w:color w:val="auto"/>
          <w:szCs w:val="24"/>
          <w:u w:val="none"/>
          <w:lang w:val="en-GB"/>
        </w:rPr>
        <w:t>Kaleidoscope</w:t>
      </w:r>
      <w:r w:rsidR="00497B60" w:rsidRPr="004A71B8">
        <w:rPr>
          <w:rStyle w:val="Hyperlink"/>
          <w:color w:val="auto"/>
          <w:szCs w:val="24"/>
          <w:u w:val="none"/>
          <w:lang w:val="en-GB"/>
        </w:rPr>
        <w:t xml:space="preserve"> </w:t>
      </w:r>
      <w:r w:rsidR="006B4EC0">
        <w:rPr>
          <w:rStyle w:val="Hyperlink"/>
          <w:color w:val="auto"/>
          <w:szCs w:val="24"/>
          <w:u w:val="none"/>
          <w:lang w:val="en-GB"/>
        </w:rPr>
        <w:t xml:space="preserve">2020 </w:t>
      </w:r>
      <w:r w:rsidR="00497B60" w:rsidRPr="004A71B8">
        <w:rPr>
          <w:rStyle w:val="Hyperlink"/>
          <w:color w:val="auto"/>
          <w:szCs w:val="24"/>
          <w:u w:val="none"/>
          <w:lang w:val="en-GB"/>
        </w:rPr>
        <w:t xml:space="preserve">will feature a global representation of expert views and demos. </w:t>
      </w:r>
      <w:r w:rsidR="00497B60" w:rsidRPr="004A71B8">
        <w:rPr>
          <w:shd w:val="clear" w:color="auto" w:fill="FFFFFF"/>
        </w:rPr>
        <w:t xml:space="preserve">From early research prototypes to production-ready systems, </w:t>
      </w:r>
      <w:r w:rsidR="006B4EC0">
        <w:rPr>
          <w:shd w:val="clear" w:color="auto" w:fill="FFFFFF"/>
        </w:rPr>
        <w:t xml:space="preserve">a </w:t>
      </w:r>
      <w:hyperlink r:id="rId31" w:history="1">
        <w:r w:rsidR="006B4EC0" w:rsidRPr="006B4EC0">
          <w:rPr>
            <w:rStyle w:val="Hyperlink"/>
            <w:shd w:val="clear" w:color="auto" w:fill="FFFFFF"/>
          </w:rPr>
          <w:t>Call for D</w:t>
        </w:r>
        <w:r w:rsidR="00497B60" w:rsidRPr="006B4EC0">
          <w:rPr>
            <w:rStyle w:val="Hyperlink"/>
            <w:shd w:val="clear" w:color="auto" w:fill="FFFFFF"/>
          </w:rPr>
          <w:t>emos</w:t>
        </w:r>
      </w:hyperlink>
      <w:r w:rsidR="00497B60" w:rsidRPr="004A71B8">
        <w:rPr>
          <w:shd w:val="clear" w:color="auto" w:fill="FFFFFF"/>
        </w:rPr>
        <w:t xml:space="preserve"> </w:t>
      </w:r>
      <w:r w:rsidR="006B4EC0">
        <w:rPr>
          <w:shd w:val="clear" w:color="auto" w:fill="FFFFFF"/>
        </w:rPr>
        <w:t xml:space="preserve">is welcoming </w:t>
      </w:r>
      <w:r w:rsidR="00497B60" w:rsidRPr="004A71B8">
        <w:rPr>
          <w:shd w:val="clear" w:color="auto" w:fill="FFFFFF"/>
        </w:rPr>
        <w:t>emerging concepts in applied research as well as concepts already seeing application in industry.</w:t>
      </w:r>
    </w:p>
    <w:p w14:paraId="7C47830B" w14:textId="77777777" w:rsidR="00710D5D" w:rsidRDefault="00AD60B4" w:rsidP="00AD60B4">
      <w:pPr>
        <w:rPr>
          <w:szCs w:val="24"/>
          <w:lang w:val="en-GB"/>
        </w:rPr>
      </w:pPr>
      <w:r w:rsidRPr="004A71B8">
        <w:rPr>
          <w:szCs w:val="24"/>
          <w:lang w:val="en-GB"/>
        </w:rPr>
        <w:t xml:space="preserve">The ITU Journal: </w:t>
      </w:r>
      <w:r w:rsidRPr="004A71B8">
        <w:rPr>
          <w:i/>
          <w:iCs/>
          <w:szCs w:val="24"/>
          <w:lang w:val="en-GB"/>
        </w:rPr>
        <w:t>ICT Discoveries</w:t>
      </w:r>
      <w:r w:rsidRPr="004A71B8">
        <w:rPr>
          <w:szCs w:val="24"/>
          <w:lang w:val="en-GB"/>
        </w:rPr>
        <w:t xml:space="preserve"> published its final special issue </w:t>
      </w:r>
      <w:r w:rsidR="00497B60" w:rsidRPr="004A71B8">
        <w:rPr>
          <w:szCs w:val="24"/>
          <w:lang w:val="en-GB"/>
        </w:rPr>
        <w:t>on “</w:t>
      </w:r>
      <w:hyperlink r:id="rId32" w:history="1">
        <w:r w:rsidRPr="004A71B8">
          <w:rPr>
            <w:rStyle w:val="Hyperlink"/>
            <w:color w:val="0563C1"/>
            <w:szCs w:val="24"/>
            <w:lang w:val="en-GB"/>
          </w:rPr>
          <w:t>The future of video and immersive media</w:t>
        </w:r>
      </w:hyperlink>
      <w:r w:rsidR="00497B60" w:rsidRPr="004A71B8">
        <w:rPr>
          <w:rStyle w:val="Hyperlink"/>
          <w:color w:val="0563C1"/>
          <w:szCs w:val="24"/>
          <w:lang w:val="en-GB"/>
        </w:rPr>
        <w:t>”</w:t>
      </w:r>
      <w:r w:rsidRPr="004A71B8">
        <w:rPr>
          <w:szCs w:val="24"/>
          <w:lang w:val="en-GB"/>
        </w:rPr>
        <w:t xml:space="preserve">. This complete issue was published in July 2020 and includes </w:t>
      </w:r>
      <w:r w:rsidR="00497B60" w:rsidRPr="004A71B8">
        <w:rPr>
          <w:szCs w:val="24"/>
          <w:lang w:val="en-GB"/>
        </w:rPr>
        <w:t>twelve</w:t>
      </w:r>
      <w:r w:rsidRPr="004A71B8">
        <w:rPr>
          <w:szCs w:val="24"/>
          <w:lang w:val="en-GB"/>
        </w:rPr>
        <w:t xml:space="preserve"> original research papers explor</w:t>
      </w:r>
      <w:r w:rsidR="00497B60" w:rsidRPr="004A71B8">
        <w:rPr>
          <w:szCs w:val="24"/>
          <w:lang w:val="en-GB"/>
        </w:rPr>
        <w:t xml:space="preserve">ing </w:t>
      </w:r>
      <w:r w:rsidRPr="004A71B8">
        <w:rPr>
          <w:szCs w:val="24"/>
          <w:lang w:val="en-GB"/>
        </w:rPr>
        <w:t>the state of the art in multimedia a</w:t>
      </w:r>
      <w:r w:rsidR="00497B60" w:rsidRPr="004A71B8">
        <w:rPr>
          <w:szCs w:val="24"/>
          <w:lang w:val="en-GB"/>
        </w:rPr>
        <w:t>s well as</w:t>
      </w:r>
      <w:r w:rsidRPr="004A71B8">
        <w:rPr>
          <w:szCs w:val="24"/>
          <w:lang w:val="en-GB"/>
        </w:rPr>
        <w:t xml:space="preserve"> history review article on the </w:t>
      </w:r>
      <w:r w:rsidR="00BD3540" w:rsidRPr="004A71B8">
        <w:rPr>
          <w:szCs w:val="24"/>
          <w:lang w:val="en-GB"/>
        </w:rPr>
        <w:t xml:space="preserve">Emmy-winning </w:t>
      </w:r>
      <w:r w:rsidRPr="004A71B8">
        <w:rPr>
          <w:szCs w:val="24"/>
          <w:lang w:val="en-GB"/>
        </w:rPr>
        <w:t>development of the</w:t>
      </w:r>
      <w:r w:rsidR="00497B60" w:rsidRPr="004A71B8">
        <w:rPr>
          <w:szCs w:val="24"/>
          <w:lang w:val="en-GB"/>
        </w:rPr>
        <w:t xml:space="preserve"> first edition of the </w:t>
      </w:r>
      <w:r w:rsidRPr="004A71B8">
        <w:rPr>
          <w:szCs w:val="24"/>
          <w:lang w:val="en-GB"/>
        </w:rPr>
        <w:t xml:space="preserve">JPEG </w:t>
      </w:r>
      <w:r w:rsidR="00497B60" w:rsidRPr="004A71B8">
        <w:rPr>
          <w:szCs w:val="24"/>
          <w:lang w:val="en-GB"/>
        </w:rPr>
        <w:t xml:space="preserve">image compression </w:t>
      </w:r>
      <w:r w:rsidRPr="004A71B8">
        <w:rPr>
          <w:szCs w:val="24"/>
          <w:lang w:val="en-GB"/>
        </w:rPr>
        <w:t>standard</w:t>
      </w:r>
      <w:r w:rsidR="00497B60" w:rsidRPr="004A71B8">
        <w:rPr>
          <w:szCs w:val="24"/>
          <w:lang w:val="en-GB"/>
        </w:rPr>
        <w:t>.</w:t>
      </w:r>
      <w:r w:rsidR="00BD3540" w:rsidRPr="004A71B8">
        <w:rPr>
          <w:szCs w:val="24"/>
          <w:lang w:val="en-GB"/>
        </w:rPr>
        <w:t xml:space="preserve"> </w:t>
      </w:r>
    </w:p>
    <w:p w14:paraId="587F2AA6" w14:textId="2B97DEB5" w:rsidR="00AD60B4" w:rsidRPr="004A71B8" w:rsidRDefault="00AD60B4" w:rsidP="00AD60B4">
      <w:pPr>
        <w:rPr>
          <w:szCs w:val="24"/>
          <w:lang w:val="en-GB"/>
        </w:rPr>
      </w:pPr>
      <w:r w:rsidRPr="004A71B8">
        <w:rPr>
          <w:szCs w:val="24"/>
          <w:lang w:val="en-GB"/>
        </w:rPr>
        <w:t xml:space="preserve">The ITU Journal </w:t>
      </w:r>
      <w:r w:rsidR="004F44CF" w:rsidRPr="004A71B8">
        <w:rPr>
          <w:szCs w:val="24"/>
          <w:lang w:val="en-GB"/>
        </w:rPr>
        <w:t xml:space="preserve">has </w:t>
      </w:r>
      <w:r w:rsidR="00BD3540" w:rsidRPr="004A71B8">
        <w:rPr>
          <w:szCs w:val="24"/>
          <w:lang w:val="en-GB"/>
        </w:rPr>
        <w:t xml:space="preserve">since </w:t>
      </w:r>
      <w:r w:rsidR="004F44CF" w:rsidRPr="004A71B8">
        <w:rPr>
          <w:szCs w:val="24"/>
          <w:lang w:val="en-GB"/>
        </w:rPr>
        <w:t>renewed its title to renew its focus on the future. Launched in August 2020 w</w:t>
      </w:r>
      <w:r w:rsidRPr="004A71B8">
        <w:rPr>
          <w:szCs w:val="24"/>
          <w:lang w:val="en-GB"/>
        </w:rPr>
        <w:t xml:space="preserve">ith a new </w:t>
      </w:r>
      <w:hyperlink r:id="rId33" w:history="1">
        <w:r w:rsidRPr="004A71B8">
          <w:rPr>
            <w:rStyle w:val="Hyperlink"/>
            <w:color w:val="0563C1"/>
            <w:szCs w:val="24"/>
            <w:lang w:val="en-GB"/>
          </w:rPr>
          <w:t>Editor-in-Chief</w:t>
        </w:r>
      </w:hyperlink>
      <w:r w:rsidRPr="004A71B8">
        <w:rPr>
          <w:szCs w:val="24"/>
          <w:lang w:val="en-GB"/>
        </w:rPr>
        <w:t xml:space="preserve">, the </w:t>
      </w:r>
      <w:hyperlink r:id="rId34" w:history="1">
        <w:r w:rsidRPr="004A71B8">
          <w:rPr>
            <w:rStyle w:val="Hyperlink"/>
            <w:color w:val="0563C1"/>
            <w:szCs w:val="24"/>
            <w:lang w:val="en-GB"/>
          </w:rPr>
          <w:t>ITU Journal on Future and Evolving Technologies</w:t>
        </w:r>
      </w:hyperlink>
      <w:r w:rsidRPr="004A71B8">
        <w:rPr>
          <w:szCs w:val="24"/>
          <w:lang w:val="en-GB"/>
        </w:rPr>
        <w:t xml:space="preserve"> </w:t>
      </w:r>
      <w:r w:rsidR="004F44CF" w:rsidRPr="004A71B8">
        <w:rPr>
          <w:szCs w:val="24"/>
          <w:lang w:val="en-GB"/>
        </w:rPr>
        <w:t xml:space="preserve">– free of charge for both readers and authors – will provide </w:t>
      </w:r>
      <w:r w:rsidRPr="004A71B8">
        <w:rPr>
          <w:szCs w:val="24"/>
          <w:lang w:val="en-GB"/>
        </w:rPr>
        <w:t>complete coverage of all communications and networking paradigms.</w:t>
      </w:r>
    </w:p>
    <w:p w14:paraId="219411CD" w14:textId="58CCCB56" w:rsidR="00AD60B4" w:rsidRPr="004A71B8" w:rsidRDefault="00AD60B4" w:rsidP="00AD60B4">
      <w:pPr>
        <w:rPr>
          <w:color w:val="000000" w:themeColor="text1"/>
          <w:szCs w:val="24"/>
          <w:lang w:val="en-GB"/>
        </w:rPr>
      </w:pPr>
      <w:r w:rsidRPr="004A71B8">
        <w:rPr>
          <w:color w:val="000000" w:themeColor="text1"/>
          <w:szCs w:val="24"/>
          <w:lang w:val="en-GB"/>
        </w:rPr>
        <w:t xml:space="preserve">In line with the co-publishing agreement signed between ITU and Tsinghua University Press Ltd. in 2019, the new joint </w:t>
      </w:r>
      <w:r w:rsidR="00BD3540" w:rsidRPr="004A71B8">
        <w:rPr>
          <w:color w:val="000000" w:themeColor="text1"/>
          <w:szCs w:val="24"/>
          <w:lang w:val="en-GB"/>
        </w:rPr>
        <w:t xml:space="preserve">ITU-Tsinghua </w:t>
      </w:r>
      <w:r w:rsidRPr="004A71B8">
        <w:rPr>
          <w:color w:val="000000" w:themeColor="text1"/>
          <w:szCs w:val="24"/>
          <w:lang w:val="en-GB"/>
        </w:rPr>
        <w:t xml:space="preserve">journal on </w:t>
      </w:r>
      <w:hyperlink r:id="rId35" w:history="1">
        <w:r w:rsidRPr="004A71B8">
          <w:rPr>
            <w:rStyle w:val="Hyperlink"/>
            <w:color w:val="0070C0"/>
            <w:szCs w:val="24"/>
            <w:lang w:val="en-GB"/>
          </w:rPr>
          <w:t>Intelligent and Converged Networks</w:t>
        </w:r>
      </w:hyperlink>
      <w:r w:rsidRPr="004A71B8">
        <w:rPr>
          <w:color w:val="000000" w:themeColor="text1"/>
          <w:szCs w:val="24"/>
          <w:lang w:val="en-GB"/>
        </w:rPr>
        <w:t xml:space="preserve"> published its first issue in June 2020.</w:t>
      </w:r>
    </w:p>
    <w:p w14:paraId="4A325B79" w14:textId="77777777" w:rsidR="00136E7B" w:rsidRPr="00AD60B4" w:rsidRDefault="00136E7B" w:rsidP="00136E7B">
      <w:pPr>
        <w:pStyle w:val="Headingib"/>
        <w:rPr>
          <w:sz w:val="28"/>
          <w:szCs w:val="28"/>
        </w:rPr>
      </w:pPr>
      <w:r w:rsidRPr="00AD60B4">
        <w:rPr>
          <w:sz w:val="28"/>
          <w:szCs w:val="28"/>
        </w:rPr>
        <w:t>ITU standardization platform</w:t>
      </w:r>
    </w:p>
    <w:p w14:paraId="19B86E2E" w14:textId="6D40F62F" w:rsidR="004571F7" w:rsidRPr="008E7489" w:rsidRDefault="004571F7" w:rsidP="004571F7">
      <w:pPr>
        <w:rPr>
          <w:rFonts w:eastAsia="Calibri"/>
          <w:lang w:val="en-GB"/>
        </w:rPr>
      </w:pPr>
      <w:r w:rsidRPr="008E7489">
        <w:rPr>
          <w:rFonts w:eastAsia="Calibri"/>
          <w:lang w:val="en-GB"/>
        </w:rPr>
        <w:t>ITU-T membership has maintained</w:t>
      </w:r>
      <w:r>
        <w:rPr>
          <w:rFonts w:eastAsia="Calibri"/>
          <w:lang w:val="en-GB"/>
        </w:rPr>
        <w:t xml:space="preserve"> </w:t>
      </w:r>
      <w:r w:rsidRPr="008E7489">
        <w:rPr>
          <w:rFonts w:eastAsia="Calibri"/>
          <w:lang w:val="en-GB"/>
        </w:rPr>
        <w:t>growth in 2020 despite the impact of C</w:t>
      </w:r>
      <w:r w:rsidR="00B44203">
        <w:rPr>
          <w:rFonts w:eastAsia="Calibri"/>
          <w:lang w:val="en-GB"/>
        </w:rPr>
        <w:t>OVID</w:t>
      </w:r>
      <w:r w:rsidRPr="008E7489">
        <w:rPr>
          <w:rFonts w:eastAsia="Calibri"/>
          <w:lang w:val="en-GB"/>
        </w:rPr>
        <w:t>-19.</w:t>
      </w:r>
      <w:r>
        <w:rPr>
          <w:rFonts w:eastAsia="Calibri"/>
          <w:lang w:val="en-GB"/>
        </w:rPr>
        <w:t xml:space="preserve"> </w:t>
      </w:r>
      <w:r w:rsidR="00B44203">
        <w:rPr>
          <w:rFonts w:eastAsia="Calibri"/>
          <w:lang w:val="en-GB"/>
        </w:rPr>
        <w:t>E</w:t>
      </w:r>
      <w:r>
        <w:rPr>
          <w:rFonts w:eastAsia="Calibri"/>
          <w:lang w:val="en-GB"/>
        </w:rPr>
        <w:t>ight</w:t>
      </w:r>
      <w:r w:rsidRPr="008E7489">
        <w:rPr>
          <w:rFonts w:eastAsia="Calibri"/>
          <w:lang w:val="en-GB"/>
        </w:rPr>
        <w:t xml:space="preserve"> Sector Members and 22 Associates joined ITU-T</w:t>
      </w:r>
      <w:r w:rsidR="00B44203">
        <w:rPr>
          <w:rFonts w:eastAsia="Calibri"/>
          <w:lang w:val="en-GB"/>
        </w:rPr>
        <w:t xml:space="preserve"> in the reporting period</w:t>
      </w:r>
      <w:r w:rsidRPr="008E7489">
        <w:rPr>
          <w:rFonts w:eastAsia="Calibri"/>
          <w:lang w:val="en-GB"/>
        </w:rPr>
        <w:t xml:space="preserve">, amounting to a total of 30 new members. </w:t>
      </w:r>
      <w:r w:rsidR="00B44203">
        <w:rPr>
          <w:rFonts w:eastAsia="Calibri"/>
          <w:lang w:val="en-GB"/>
        </w:rPr>
        <w:t>This translates into a net increase of 18 ITU</w:t>
      </w:r>
      <w:r w:rsidRPr="008E7489">
        <w:rPr>
          <w:rFonts w:eastAsia="Calibri"/>
          <w:lang w:val="en-GB"/>
        </w:rPr>
        <w:t xml:space="preserve">-T </w:t>
      </w:r>
      <w:r w:rsidR="00B44203">
        <w:rPr>
          <w:rFonts w:eastAsia="Calibri"/>
          <w:lang w:val="en-GB"/>
        </w:rPr>
        <w:t>members</w:t>
      </w:r>
      <w:r w:rsidRPr="008E7489">
        <w:rPr>
          <w:rFonts w:eastAsia="Calibri"/>
          <w:lang w:val="en-GB"/>
        </w:rPr>
        <w:t xml:space="preserve"> in 2020 (not including Academia). In addition, 17 new Academia members joined ITU</w:t>
      </w:r>
      <w:r w:rsidR="00B44203">
        <w:rPr>
          <w:rFonts w:eastAsia="Calibri"/>
          <w:lang w:val="en-GB"/>
        </w:rPr>
        <w:t xml:space="preserve"> in the reporting period</w:t>
      </w:r>
      <w:r w:rsidRPr="008E7489">
        <w:rPr>
          <w:rFonts w:eastAsia="Calibri"/>
          <w:lang w:val="en-GB"/>
        </w:rPr>
        <w:t>.</w:t>
      </w:r>
    </w:p>
    <w:p w14:paraId="5367898A" w14:textId="14B5C4EF" w:rsidR="004571F7" w:rsidRDefault="004571F7" w:rsidP="004571F7">
      <w:pPr>
        <w:rPr>
          <w:rFonts w:eastAsia="Calibri"/>
          <w:lang w:val="en-GB"/>
        </w:rPr>
      </w:pPr>
      <w:r w:rsidRPr="008E7489">
        <w:rPr>
          <w:rFonts w:eastAsia="Calibri"/>
          <w:lang w:val="en-GB"/>
        </w:rPr>
        <w:t xml:space="preserve">New ITU-T members include companies in cloud applications, cybersecurity, IoT/M2M connectivity, distributed ledger technologies, </w:t>
      </w:r>
      <w:r w:rsidR="00007C13">
        <w:rPr>
          <w:rFonts w:eastAsia="Calibri"/>
          <w:lang w:val="en-GB"/>
        </w:rPr>
        <w:t>AI and machine learning</w:t>
      </w:r>
      <w:r w:rsidRPr="008E7489">
        <w:rPr>
          <w:rFonts w:eastAsia="Calibri"/>
          <w:lang w:val="en-GB"/>
        </w:rPr>
        <w:t>, autonomous network</w:t>
      </w:r>
      <w:r w:rsidR="00B44203">
        <w:rPr>
          <w:rFonts w:eastAsia="Calibri"/>
          <w:lang w:val="en-GB"/>
        </w:rPr>
        <w:t>ing</w:t>
      </w:r>
      <w:r w:rsidRPr="008E7489">
        <w:rPr>
          <w:rFonts w:eastAsia="Calibri"/>
          <w:lang w:val="en-GB"/>
        </w:rPr>
        <w:t xml:space="preserve">, micro optical switch semiconductors, </w:t>
      </w:r>
      <w:r w:rsidR="00B44203">
        <w:rPr>
          <w:rFonts w:eastAsia="Calibri"/>
          <w:lang w:val="en-GB"/>
        </w:rPr>
        <w:t xml:space="preserve">cable </w:t>
      </w:r>
      <w:r w:rsidRPr="008E7489">
        <w:rPr>
          <w:rFonts w:eastAsia="Calibri"/>
          <w:lang w:val="en-GB"/>
        </w:rPr>
        <w:t>television, video technologies, test equipment for</w:t>
      </w:r>
      <w:r w:rsidR="00B44203">
        <w:rPr>
          <w:rFonts w:eastAsia="Calibri"/>
          <w:lang w:val="en-GB"/>
        </w:rPr>
        <w:t xml:space="preserve"> electromagnetic field</w:t>
      </w:r>
      <w:r w:rsidRPr="008E7489">
        <w:rPr>
          <w:rFonts w:eastAsia="Calibri"/>
          <w:lang w:val="en-GB"/>
        </w:rPr>
        <w:t xml:space="preserve"> assessment, smart city solutions, I</w:t>
      </w:r>
      <w:r w:rsidR="00007C13">
        <w:rPr>
          <w:rFonts w:eastAsia="Calibri"/>
          <w:lang w:val="en-GB"/>
        </w:rPr>
        <w:t xml:space="preserve">P performance </w:t>
      </w:r>
      <w:r w:rsidRPr="008E7489">
        <w:rPr>
          <w:rFonts w:eastAsia="Calibri"/>
          <w:lang w:val="en-GB"/>
        </w:rPr>
        <w:t>measurement</w:t>
      </w:r>
      <w:r w:rsidR="00007C13">
        <w:rPr>
          <w:rFonts w:eastAsia="Calibri"/>
          <w:lang w:val="en-GB"/>
        </w:rPr>
        <w:t>,</w:t>
      </w:r>
      <w:r w:rsidRPr="008E7489">
        <w:rPr>
          <w:rFonts w:eastAsia="Calibri"/>
          <w:lang w:val="en-GB"/>
        </w:rPr>
        <w:t xml:space="preserve"> and </w:t>
      </w:r>
      <w:r w:rsidR="00007C13">
        <w:rPr>
          <w:rFonts w:eastAsia="Calibri"/>
          <w:lang w:val="en-GB"/>
        </w:rPr>
        <w:t>e</w:t>
      </w:r>
      <w:r w:rsidRPr="008E7489">
        <w:rPr>
          <w:rFonts w:eastAsia="Calibri"/>
          <w:lang w:val="en-GB"/>
        </w:rPr>
        <w:t>sports.</w:t>
      </w:r>
    </w:p>
    <w:p w14:paraId="397FFC65" w14:textId="13E036D7" w:rsidR="001A6E88" w:rsidRDefault="001A6E88" w:rsidP="001A6E88">
      <w:pPr>
        <w:spacing w:after="120"/>
      </w:pPr>
      <w:r w:rsidRPr="00710D5D">
        <w:rPr>
          <w:lang w:val="en-GB"/>
        </w:rPr>
        <w:t xml:space="preserve">The ITU Council SME Pilot Project </w:t>
      </w:r>
      <w:r w:rsidR="004F44CF" w:rsidRPr="00710D5D">
        <w:rPr>
          <w:lang w:val="en-GB"/>
        </w:rPr>
        <w:t xml:space="preserve">has </w:t>
      </w:r>
      <w:r w:rsidRPr="00710D5D">
        <w:rPr>
          <w:lang w:val="en-GB"/>
        </w:rPr>
        <w:t>transitioned into the new SME fee structure a</w:t>
      </w:r>
      <w:r w:rsidR="004F44CF" w:rsidRPr="00710D5D">
        <w:rPr>
          <w:lang w:val="en-GB"/>
        </w:rPr>
        <w:t>vailable to</w:t>
      </w:r>
      <w:r w:rsidRPr="00710D5D">
        <w:rPr>
          <w:lang w:val="en-GB"/>
        </w:rPr>
        <w:t xml:space="preserve"> Associates</w:t>
      </w:r>
      <w:r w:rsidR="004F44CF" w:rsidRPr="00710D5D">
        <w:rPr>
          <w:lang w:val="en-GB"/>
        </w:rPr>
        <w:t xml:space="preserve"> meeting certain eligibility criteria</w:t>
      </w:r>
      <w:r w:rsidRPr="00710D5D">
        <w:rPr>
          <w:lang w:val="en-GB"/>
        </w:rPr>
        <w:t xml:space="preserve">. Currently, 13 organizations </w:t>
      </w:r>
      <w:r w:rsidR="00007C13" w:rsidRPr="00710D5D">
        <w:rPr>
          <w:lang w:val="en-GB"/>
        </w:rPr>
        <w:t xml:space="preserve">enjoy this modality of participation in </w:t>
      </w:r>
      <w:r w:rsidRPr="00710D5D">
        <w:rPr>
          <w:lang w:val="en-GB"/>
        </w:rPr>
        <w:t>ITU-T study groups</w:t>
      </w:r>
      <w:r w:rsidRPr="00710D5D">
        <w:t>.</w:t>
      </w:r>
    </w:p>
    <w:p w14:paraId="1BA49486" w14:textId="0DD2B82A" w:rsidR="00634DB6" w:rsidRPr="008E7489" w:rsidRDefault="00634DB6" w:rsidP="001A6E88">
      <w:pPr>
        <w:spacing w:after="120"/>
        <w:rPr>
          <w:rFonts w:eastAsia="Calibri"/>
          <w:lang w:val="en-GB"/>
        </w:rPr>
      </w:pPr>
      <w:r>
        <w:rPr>
          <w:lang w:val="en-GB"/>
        </w:rPr>
        <w:t xml:space="preserve">ITU’s communications and membership divisions continue to strengthen joint processes for outreach to stakeholders in ITU-T standardization. </w:t>
      </w:r>
      <w:r w:rsidRPr="004E5B45">
        <w:rPr>
          <w:lang w:val="en-GB"/>
        </w:rPr>
        <w:t xml:space="preserve">ITU-T news </w:t>
      </w:r>
      <w:r>
        <w:rPr>
          <w:lang w:val="en-GB"/>
        </w:rPr>
        <w:t xml:space="preserve">is now </w:t>
      </w:r>
      <w:r w:rsidRPr="004E5B45">
        <w:rPr>
          <w:lang w:val="en-GB"/>
        </w:rPr>
        <w:t xml:space="preserve">published on </w:t>
      </w:r>
      <w:hyperlink r:id="rId36" w:history="1">
        <w:proofErr w:type="spellStart"/>
        <w:r>
          <w:rPr>
            <w:rStyle w:val="Hyperlink"/>
            <w:lang w:val="en-GB"/>
          </w:rPr>
          <w:t>MyITU</w:t>
        </w:r>
        <w:proofErr w:type="spellEnd"/>
        <w:r w:rsidRPr="004E5B45">
          <w:rPr>
            <w:rStyle w:val="Hyperlink"/>
            <w:lang w:val="en-GB"/>
          </w:rPr>
          <w:t xml:space="preserve"> News</w:t>
        </w:r>
      </w:hyperlink>
      <w:r w:rsidRPr="004E5B45">
        <w:rPr>
          <w:lang w:val="en-GB"/>
        </w:rPr>
        <w:t>,</w:t>
      </w:r>
      <w:r>
        <w:rPr>
          <w:lang w:val="en-GB"/>
        </w:rPr>
        <w:t xml:space="preserve"> </w:t>
      </w:r>
      <w:r w:rsidRPr="004E5B45">
        <w:rPr>
          <w:lang w:val="en-GB"/>
        </w:rPr>
        <w:t xml:space="preserve">a </w:t>
      </w:r>
      <w:r>
        <w:rPr>
          <w:lang w:val="en-GB"/>
        </w:rPr>
        <w:t xml:space="preserve">new </w:t>
      </w:r>
      <w:r w:rsidRPr="004E5B45">
        <w:rPr>
          <w:lang w:val="en-GB"/>
        </w:rPr>
        <w:t xml:space="preserve">platform </w:t>
      </w:r>
      <w:r>
        <w:rPr>
          <w:lang w:val="en-GB"/>
        </w:rPr>
        <w:t>designed to guide readers to news, publications and events customized to their interests.</w:t>
      </w:r>
    </w:p>
    <w:p w14:paraId="60FFB5F2" w14:textId="77777777" w:rsidR="00136E7B" w:rsidRPr="001A6E88" w:rsidRDefault="00136E7B" w:rsidP="00136E7B">
      <w:pPr>
        <w:rPr>
          <w:lang w:val="en-GB"/>
        </w:rPr>
      </w:pPr>
      <w:r w:rsidRPr="001A6E88">
        <w:rPr>
          <w:lang w:val="en-GB"/>
        </w:rPr>
        <w:t xml:space="preserve">The </w:t>
      </w:r>
      <w:hyperlink r:id="rId37" w:history="1">
        <w:r w:rsidRPr="001A6E88">
          <w:rPr>
            <w:rStyle w:val="Hyperlink"/>
            <w:rFonts w:eastAsiaTheme="majorEastAsia"/>
            <w:lang w:val="en-GB"/>
          </w:rPr>
          <w:t>ICT product conformity database</w:t>
        </w:r>
      </w:hyperlink>
      <w:r w:rsidRPr="001A6E88">
        <w:rPr>
          <w:lang w:val="en-GB"/>
        </w:rPr>
        <w:t xml:space="preserve"> enables industry to publicize the conformance of ICT products and services to ITU-T Recommendations, assisting users in their efforts to select standards-compliant products. The database includes products for e-health, mobile phones compatible with vehicle hands-free terminals, Ethernet, IPTV, and mobile number portability.</w:t>
      </w:r>
    </w:p>
    <w:p w14:paraId="4CF3EEB6" w14:textId="1E92F780" w:rsidR="00136E7B" w:rsidRPr="001A6E88" w:rsidRDefault="00136E7B" w:rsidP="00136E7B">
      <w:pPr>
        <w:rPr>
          <w:lang w:val="en-GB"/>
        </w:rPr>
      </w:pPr>
      <w:r w:rsidRPr="001A6E88">
        <w:rPr>
          <w:lang w:val="en-GB"/>
        </w:rPr>
        <w:t xml:space="preserve">Diversity of staff, gender equality and the empowerment of women continue to be among TSB's priorities. </w:t>
      </w:r>
      <w:r w:rsidRPr="001A6E88">
        <w:rPr>
          <w:rFonts w:eastAsia="SimSun"/>
          <w:szCs w:val="24"/>
          <w:lang w:val="en-GB"/>
        </w:rPr>
        <w:t>TSB has endorsed the “Gender Responsive Standards” initiative</w:t>
      </w:r>
      <w:r w:rsidR="00007C13">
        <w:rPr>
          <w:rFonts w:eastAsia="SimSun"/>
          <w:szCs w:val="24"/>
          <w:lang w:val="en-GB"/>
        </w:rPr>
        <w:t xml:space="preserve"> of</w:t>
      </w:r>
      <w:r w:rsidRPr="001A6E88">
        <w:rPr>
          <w:rFonts w:eastAsia="SimSun"/>
          <w:szCs w:val="24"/>
          <w:lang w:val="en-GB"/>
        </w:rPr>
        <w:t xml:space="preserve"> UNECE which aims </w:t>
      </w:r>
      <w:r w:rsidRPr="001A6E88">
        <w:rPr>
          <w:rFonts w:eastAsia="SimSun"/>
          <w:szCs w:val="24"/>
          <w:lang w:val="en-GB"/>
        </w:rPr>
        <w:lastRenderedPageBreak/>
        <w:t>to improve gender balance in standards development and ensure that the content and impacts of standards are gender responsive</w:t>
      </w:r>
      <w:r w:rsidRPr="001A6E88">
        <w:rPr>
          <w:lang w:val="en-GB"/>
        </w:rPr>
        <w:t>.</w:t>
      </w:r>
    </w:p>
    <w:p w14:paraId="04580A20" w14:textId="600B8F54" w:rsidR="00136E7B" w:rsidRDefault="00136E7B" w:rsidP="00136E7B">
      <w:pPr>
        <w:rPr>
          <w:lang w:val="en-GB"/>
        </w:rPr>
      </w:pPr>
      <w:r w:rsidRPr="008D5D0E">
        <w:rPr>
          <w:lang w:val="en-GB"/>
        </w:rPr>
        <w:t xml:space="preserve">TSB supports the achievement </w:t>
      </w:r>
      <w:r w:rsidR="20BAD833" w:rsidRPr="7C7BE26A">
        <w:rPr>
          <w:lang w:val="en-GB"/>
        </w:rPr>
        <w:t>and the implementation</w:t>
      </w:r>
      <w:r w:rsidRPr="7C7BE26A">
        <w:rPr>
          <w:lang w:val="en-GB"/>
        </w:rPr>
        <w:t xml:space="preserve"> </w:t>
      </w:r>
      <w:r w:rsidRPr="008D5D0E">
        <w:rPr>
          <w:lang w:val="en-GB"/>
        </w:rPr>
        <w:t>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w:t>
      </w:r>
    </w:p>
    <w:p w14:paraId="49DA8A90" w14:textId="36A4AE49" w:rsidR="00A669AD" w:rsidRPr="00A669AD" w:rsidRDefault="00A669AD" w:rsidP="00136E7B">
      <w:r w:rsidRPr="00A669AD">
        <w:t>2020 has 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Telecommun</w:t>
      </w:r>
      <w:r w:rsidR="0085423D">
        <w:t>i</w:t>
      </w:r>
      <w:r w:rsidRPr="00A669AD">
        <w:t xml:space="preserve">cation Standardization Assembly (WTSA-20) are making optimal use of the personalized </w:t>
      </w:r>
      <w:hyperlink r:id="rId38" w:history="1">
        <w:proofErr w:type="spellStart"/>
        <w:r w:rsidRPr="00A669AD">
          <w:rPr>
            <w:rStyle w:val="Hyperlink"/>
            <w:lang w:val="en-GB"/>
          </w:rPr>
          <w:t>MyWorkspace</w:t>
        </w:r>
        <w:proofErr w:type="spellEnd"/>
      </w:hyperlink>
      <w:r w:rsidRPr="00A669AD">
        <w:rPr>
          <w:lang w:val="en-GB"/>
        </w:rPr>
        <w:t xml:space="preserve"> </w:t>
      </w:r>
      <w:r w:rsidRPr="00A669AD">
        <w:t>platform and associated TSB services and tools such as MyMeetings.</w:t>
      </w:r>
    </w:p>
    <w:p w14:paraId="668002DC" w14:textId="7A161468" w:rsidR="00136E7B" w:rsidRPr="00596FCE" w:rsidRDefault="00136E7B" w:rsidP="00136E7B">
      <w:pPr>
        <w:rPr>
          <w:lang w:val="en-GB"/>
        </w:rPr>
      </w:pPr>
      <w:r w:rsidRPr="00100CD7">
        <w:rPr>
          <w:lang w:val="en-GB"/>
        </w:rPr>
        <w:t xml:space="preserve">Over </w:t>
      </w:r>
      <w:r w:rsidR="00100CD7" w:rsidRPr="00100CD7">
        <w:rPr>
          <w:lang w:val="en-GB"/>
        </w:rPr>
        <w:t>12,500</w:t>
      </w:r>
      <w:r w:rsidRPr="00100CD7">
        <w:rPr>
          <w:lang w:val="en-GB"/>
        </w:rPr>
        <w:t xml:space="preserve"> pages of ITU-T Recommendations and Supplements were published between </w:t>
      </w:r>
      <w:r w:rsidR="00100CD7" w:rsidRPr="00100CD7">
        <w:rPr>
          <w:lang w:val="en-GB"/>
        </w:rPr>
        <w:t>January</w:t>
      </w:r>
      <w:r w:rsidRPr="00100CD7">
        <w:rPr>
          <w:lang w:val="en-GB"/>
        </w:rPr>
        <w:t xml:space="preserve"> and </w:t>
      </w:r>
      <w:r w:rsidR="00100CD7" w:rsidRPr="00100CD7">
        <w:rPr>
          <w:lang w:val="en-GB"/>
        </w:rPr>
        <w:t xml:space="preserve">August </w:t>
      </w:r>
      <w:r w:rsidR="00100CD7" w:rsidRPr="00596FCE">
        <w:rPr>
          <w:lang w:val="en-GB"/>
        </w:rPr>
        <w:t>2020</w:t>
      </w:r>
      <w:r w:rsidRPr="00596FCE">
        <w:rPr>
          <w:lang w:val="en-GB"/>
        </w:rPr>
        <w:t xml:space="preserve">. Main versions of Recommendations and Supplements are being published in reflowable </w:t>
      </w:r>
      <w:proofErr w:type="spellStart"/>
      <w:r w:rsidRPr="00596FCE">
        <w:rPr>
          <w:lang w:val="en-GB"/>
        </w:rPr>
        <w:t>ePub</w:t>
      </w:r>
      <w:proofErr w:type="spellEnd"/>
      <w:r w:rsidRPr="00596FCE">
        <w:rPr>
          <w:lang w:val="en-GB"/>
        </w:rPr>
        <w:t xml:space="preserve"> format (i.e., the document can adapt its presentation to the output device) in addition to the usual PDF format. The ITU product "ITU-T Recommendations and selected Handbooks" continues to be distributed on a quarterly basis as a USB key.</w:t>
      </w:r>
    </w:p>
    <w:p w14:paraId="57FA94C0" w14:textId="1D324FB2" w:rsidR="00136E7B" w:rsidRPr="000A566E" w:rsidRDefault="00136E7B" w:rsidP="00136E7B">
      <w:pPr>
        <w:rPr>
          <w:lang w:val="en-GB"/>
        </w:rPr>
      </w:pPr>
      <w:r w:rsidRPr="000A566E">
        <w:rPr>
          <w:lang w:val="en-GB"/>
        </w:rPr>
        <w:t xml:space="preserve">TSB continues to translate Recommendations approved under the traditional approval process (TAP), as well as all TSAG reports in all the languages of the Union. TSB translated </w:t>
      </w:r>
      <w:r w:rsidR="000A566E" w:rsidRPr="000A566E">
        <w:rPr>
          <w:lang w:val="en-GB"/>
        </w:rPr>
        <w:t>11</w:t>
      </w:r>
      <w:r w:rsidRPr="000A566E">
        <w:rPr>
          <w:lang w:val="en-GB"/>
        </w:rPr>
        <w:t xml:space="preserve"> AAP Recommendations between January and </w:t>
      </w:r>
      <w:r w:rsidR="000A566E" w:rsidRPr="000A566E">
        <w:rPr>
          <w:lang w:val="en-GB"/>
        </w:rPr>
        <w:t>August 2020</w:t>
      </w:r>
      <w:r w:rsidRPr="000A566E">
        <w:rPr>
          <w:lang w:val="en-GB"/>
        </w:rPr>
        <w:t>, in accordance with requests previously received from the ITU-T SGs and linguistic groups, and within the allocated translation budget.</w:t>
      </w:r>
    </w:p>
    <w:p w14:paraId="6B0279D0" w14:textId="50B2EF35" w:rsidR="00D363D7" w:rsidRPr="00A21866" w:rsidRDefault="00136E7B" w:rsidP="00136E7B">
      <w:pPr>
        <w:rPr>
          <w:highlight w:val="yellow"/>
          <w:lang w:val="en-GB"/>
        </w:rPr>
      </w:pPr>
      <w:r w:rsidRPr="00D363D7">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r w:rsidR="00D363D7">
        <w:rPr>
          <w:lang w:val="en-GB"/>
        </w:rPr>
        <w:t xml:space="preserve">Participation in ITU workshops and symposia has </w:t>
      </w:r>
      <w:r w:rsidR="00D363D7" w:rsidRPr="222B8D80">
        <w:rPr>
          <w:lang w:val="en-GB"/>
        </w:rPr>
        <w:t xml:space="preserve">increased </w:t>
      </w:r>
      <w:r w:rsidR="00007C13">
        <w:rPr>
          <w:lang w:val="en-GB"/>
        </w:rPr>
        <w:t xml:space="preserve">as a result of </w:t>
      </w:r>
      <w:r w:rsidR="00D363D7" w:rsidRPr="222B8D80">
        <w:rPr>
          <w:lang w:val="en-GB"/>
        </w:rPr>
        <w:t>COVID-19</w:t>
      </w:r>
      <w:r w:rsidR="00007C13">
        <w:rPr>
          <w:lang w:val="en-GB"/>
        </w:rPr>
        <w:t>. With</w:t>
      </w:r>
      <w:r w:rsidR="00D363D7" w:rsidRPr="222B8D80">
        <w:rPr>
          <w:lang w:val="en-GB"/>
        </w:rPr>
        <w:t xml:space="preserve"> all ITU-T workshops and symposia</w:t>
      </w:r>
      <w:r w:rsidR="00007C13">
        <w:rPr>
          <w:lang w:val="en-GB"/>
        </w:rPr>
        <w:t xml:space="preserve"> held virtually with </w:t>
      </w:r>
      <w:r w:rsidR="00D363D7" w:rsidRPr="00A669AD">
        <w:rPr>
          <w:lang w:val="en-GB"/>
        </w:rPr>
        <w:t>MyMeeting</w:t>
      </w:r>
      <w:r w:rsidR="00007C13" w:rsidRPr="00A669AD">
        <w:rPr>
          <w:lang w:val="en-GB"/>
        </w:rPr>
        <w:t>s</w:t>
      </w:r>
      <w:r w:rsidR="00007C13">
        <w:rPr>
          <w:lang w:val="en-GB"/>
        </w:rPr>
        <w:t xml:space="preserve">, workshops and symposia are welcoming a greater number and diversity of </w:t>
      </w:r>
      <w:proofErr w:type="spellStart"/>
      <w:r w:rsidR="00007C13">
        <w:rPr>
          <w:lang w:val="en-GB"/>
        </w:rPr>
        <w:t>particpants</w:t>
      </w:r>
      <w:proofErr w:type="spellEnd"/>
      <w:r w:rsidR="00007C13">
        <w:rPr>
          <w:lang w:val="en-GB"/>
        </w:rPr>
        <w:t xml:space="preserve">. </w:t>
      </w:r>
    </w:p>
    <w:p w14:paraId="2939E2DC" w14:textId="0A8B09D8" w:rsidR="00136E7B" w:rsidRPr="000D60C1" w:rsidRDefault="5EE8545A" w:rsidP="222B8D80">
      <w:pPr>
        <w:pStyle w:val="Heading1"/>
        <w:jc w:val="center"/>
      </w:pPr>
      <w:bookmarkStart w:id="16" w:name="_Toc480527765"/>
      <w:bookmarkStart w:id="17" w:name="_Toc51042248"/>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r>
        <w:t xml:space="preserve">Annex – Full Report of activities in ITU-T (from </w:t>
      </w:r>
      <w:r w:rsidR="54057FD7">
        <w:t>January</w:t>
      </w:r>
      <w:r w:rsidR="146BB71C">
        <w:t xml:space="preserve"> </w:t>
      </w:r>
      <w:r>
        <w:t xml:space="preserve">to </w:t>
      </w:r>
      <w:r w:rsidR="0093446E">
        <w:t xml:space="preserve">August </w:t>
      </w:r>
      <w:r w:rsidR="22A87754">
        <w:t>2020</w:t>
      </w:r>
      <w:r>
        <w:t>)</w:t>
      </w:r>
      <w:bookmarkEnd w:id="16"/>
      <w:bookmarkEnd w:id="17"/>
    </w:p>
    <w:p w14:paraId="2CC0E6BE" w14:textId="77777777" w:rsidR="00136E7B" w:rsidRPr="000D60C1" w:rsidRDefault="00136E7B" w:rsidP="00136E7B">
      <w:pPr>
        <w:pStyle w:val="Heading1"/>
      </w:pPr>
      <w:bookmarkStart w:id="27" w:name="_Toc51042249"/>
      <w:bookmarkStart w:id="28" w:name="_Toc480527766"/>
      <w:r w:rsidRPr="000D60C1">
        <w:t>1</w:t>
      </w:r>
      <w:r w:rsidRPr="000D60C1">
        <w:tab/>
        <w:t>Selection of achievements in ITU-T standardization</w:t>
      </w:r>
      <w:bookmarkEnd w:id="27"/>
    </w:p>
    <w:p w14:paraId="7F60D22C" w14:textId="77777777" w:rsidR="00136E7B" w:rsidRPr="00691C90" w:rsidRDefault="00136E7B" w:rsidP="00136E7B">
      <w:pPr>
        <w:rPr>
          <w:lang w:val="en-GB"/>
        </w:rPr>
      </w:pPr>
      <w:r w:rsidRPr="00691C90">
        <w:rPr>
          <w:lang w:val="en-GB"/>
        </w:rPr>
        <w:t xml:space="preserve">Executive summaries for the various ITU-T SG meetings can be found on the homepages of </w:t>
      </w:r>
      <w:hyperlink r:id="rId39" w:history="1">
        <w:r w:rsidRPr="00691C90">
          <w:rPr>
            <w:rStyle w:val="Hyperlink"/>
            <w:lang w:val="en-GB"/>
          </w:rPr>
          <w:t>ITU-T SGs</w:t>
        </w:r>
      </w:hyperlink>
      <w:r w:rsidRPr="00691C90">
        <w:rPr>
          <w:lang w:val="en-GB"/>
        </w:rPr>
        <w:t>.</w:t>
      </w:r>
    </w:p>
    <w:p w14:paraId="406BE94E" w14:textId="1498A85A" w:rsidR="00136E7B" w:rsidRDefault="00136E7B" w:rsidP="00136E7B">
      <w:pPr>
        <w:rPr>
          <w:lang w:val="en-GB"/>
        </w:rPr>
      </w:pPr>
      <w:r w:rsidRPr="0064501E">
        <w:rPr>
          <w:lang w:val="en-GB"/>
        </w:rPr>
        <w:t xml:space="preserve">ITU approved more than </w:t>
      </w:r>
      <w:r w:rsidR="00B63EDA" w:rsidRPr="00DE70FF">
        <w:rPr>
          <w:lang w:val="en-GB"/>
        </w:rPr>
        <w:t>2</w:t>
      </w:r>
      <w:r w:rsidR="003521CC">
        <w:rPr>
          <w:lang w:val="en-GB"/>
        </w:rPr>
        <w:t>4</w:t>
      </w:r>
      <w:r w:rsidR="00B63EDA" w:rsidRPr="00DE70FF">
        <w:rPr>
          <w:lang w:val="en-GB"/>
        </w:rPr>
        <w:t>0</w:t>
      </w:r>
      <w:r w:rsidRPr="00DE70FF">
        <w:rPr>
          <w:lang w:val="en-GB"/>
        </w:rPr>
        <w:t xml:space="preserve"> new</w:t>
      </w:r>
      <w:r w:rsidRPr="0064501E">
        <w:rPr>
          <w:lang w:val="en-GB"/>
        </w:rPr>
        <w:t xml:space="preserve"> and revised ITU-T Recommendations from </w:t>
      </w:r>
      <w:r w:rsidR="00B63EDA" w:rsidRPr="00DE70FF">
        <w:rPr>
          <w:lang w:val="en-GB"/>
        </w:rPr>
        <w:t xml:space="preserve">January to </w:t>
      </w:r>
      <w:r w:rsidR="0093446E">
        <w:rPr>
          <w:lang w:val="en-GB"/>
        </w:rPr>
        <w:t xml:space="preserve">August </w:t>
      </w:r>
      <w:r w:rsidR="00B63EDA" w:rsidRPr="00DE70FF">
        <w:rPr>
          <w:lang w:val="en-GB"/>
        </w:rPr>
        <w:t>2020.</w:t>
      </w:r>
      <w:r w:rsidRPr="00B63EDA">
        <w:rPr>
          <w:lang w:val="en-GB"/>
        </w:rPr>
        <w:t xml:space="preserve"> A</w:t>
      </w:r>
      <w:r w:rsidRPr="000A2A15">
        <w:rPr>
          <w:lang w:val="en-GB"/>
        </w:rPr>
        <w:t xml:space="preserve">ppendix I lists these ITU-T Recommendations and related texts and summarizes their contents. A selection of ITU standards </w:t>
      </w:r>
      <w:r w:rsidR="00A85401">
        <w:rPr>
          <w:lang w:val="en-GB"/>
        </w:rPr>
        <w:t xml:space="preserve">and related texts </w:t>
      </w:r>
      <w:r w:rsidR="001D6919">
        <w:rPr>
          <w:lang w:val="en-GB"/>
        </w:rPr>
        <w:t xml:space="preserve">approved </w:t>
      </w:r>
      <w:r w:rsidRPr="000A2A15">
        <w:rPr>
          <w:lang w:val="en-GB"/>
        </w:rPr>
        <w:t xml:space="preserve">from </w:t>
      </w:r>
      <w:r w:rsidR="000A2A15" w:rsidRPr="000A2A15">
        <w:rPr>
          <w:lang w:val="en-GB"/>
        </w:rPr>
        <w:t>January</w:t>
      </w:r>
      <w:r w:rsidRPr="000A2A15">
        <w:rPr>
          <w:lang w:val="en-GB"/>
        </w:rPr>
        <w:t xml:space="preserve"> to </w:t>
      </w:r>
      <w:r w:rsidR="000A2A15" w:rsidRPr="000A2A15">
        <w:rPr>
          <w:lang w:val="en-GB"/>
        </w:rPr>
        <w:t>August</w:t>
      </w:r>
      <w:r w:rsidRPr="000A2A15">
        <w:rPr>
          <w:lang w:val="en-GB"/>
        </w:rPr>
        <w:t xml:space="preserve"> 20</w:t>
      </w:r>
      <w:r w:rsidR="000A2A15" w:rsidRPr="000A2A15">
        <w:rPr>
          <w:lang w:val="en-GB"/>
        </w:rPr>
        <w:t>20</w:t>
      </w:r>
      <w:r w:rsidRPr="000A2A15">
        <w:rPr>
          <w:lang w:val="en-GB"/>
        </w:rPr>
        <w:t xml:space="preserve"> is provided below.</w:t>
      </w:r>
    </w:p>
    <w:p w14:paraId="16787437" w14:textId="77777777" w:rsidR="00A669AD" w:rsidRDefault="00A669AD" w:rsidP="00A669AD">
      <w:r w:rsidRPr="00A85401">
        <w:rPr>
          <w:b/>
          <w:bCs/>
        </w:rPr>
        <w:t>IMT-2020/5G:</w:t>
      </w:r>
      <w:r>
        <w:t xml:space="preserve"> New ITU standards describe characteristics of transport networks to support 5G (G.8300), resource pooling for scalable 5G network slice service management and orchestration (Y.3154), and energy-efficient device-to-device communication for 5G (Q.5022). A new Supplement aims to build awareness on use cases and migration aspects of 5G (Y.Suppl.34). </w:t>
      </w:r>
    </w:p>
    <w:p w14:paraId="260F2FFC" w14:textId="77777777" w:rsidR="00A669AD" w:rsidRDefault="00A669AD" w:rsidP="00A669AD">
      <w:r w:rsidRPr="00A85401">
        <w:rPr>
          <w:b/>
          <w:bCs/>
        </w:rPr>
        <w:t>Machine learning for IMT-2020/5G:</w:t>
      </w:r>
      <w:r>
        <w:t xml:space="preserve"> New ITU standards provide a functional architecture of machine learning-based QoS assurance for 5G (Y.3175), a framework for evaluating intelligence levels across 5G and future networks (Y.3173), and a framework for data handling to enable machine learning in 5G and future networks (Y.3174). </w:t>
      </w:r>
    </w:p>
    <w:p w14:paraId="2FB08D65" w14:textId="77777777" w:rsidR="00A669AD" w:rsidRDefault="00A669AD" w:rsidP="00A669AD">
      <w:r w:rsidRPr="00A85401">
        <w:rPr>
          <w:b/>
          <w:bCs/>
        </w:rPr>
        <w:lastRenderedPageBreak/>
        <w:t>Video coding:</w:t>
      </w:r>
      <w:r>
        <w:t xml:space="preserve"> Approved in August 2020, the new “Versatile Video Coding” (VVC, H.266) standard advances the state of the art of video compression and has unprecedented application versatility. Developed by the Joint Video Experts Team with MPEG, VVC will halve the bitrate needed to stream videos, for the same quality level, relative to “High Efficiency Video Coding” (H.265), and a quarter relative to “Advanced Video Coding” (H.264).</w:t>
      </w:r>
    </w:p>
    <w:p w14:paraId="232D3409" w14:textId="77777777" w:rsidR="00A669AD" w:rsidRDefault="00A669AD" w:rsidP="00A669AD">
      <w:r w:rsidRPr="00A85401">
        <w:rPr>
          <w:b/>
          <w:bCs/>
        </w:rPr>
        <w:t>Transport, access and home:</w:t>
      </w:r>
      <w:r>
        <w:t xml:space="preserve"> The 50 texts approved in the reporting period include new ITU standards providing characteristics of transport networks to support IMT-2020/5G (G.8300) and the generic functional architecture of the optical media network (G.807). New Technical Reports provide considerations on the use of GNSS as a primary time reference in telecommunications (GSTR-GNSS) and the use of G.hn in industrial applications (GSTP-HNIA).</w:t>
      </w:r>
    </w:p>
    <w:p w14:paraId="1831F6AB" w14:textId="77777777" w:rsidR="00A669AD" w:rsidRDefault="00A669AD" w:rsidP="00A669AD">
      <w:r w:rsidRPr="00A85401">
        <w:rPr>
          <w:b/>
          <w:bCs/>
        </w:rPr>
        <w:t>Numbering misuse:</w:t>
      </w:r>
      <w:r>
        <w:t xml:space="preserve"> Revised guidelines for ITU-T action on reported misuse of E.164 number resources (E.156) describe new cases of misuse and more efficient means of combating misuse.  The revised E.156 better reflects the differences between directly assigned resources, so-called “global numbers” under the responsibility of the TSB Director, and indirectly assigned resources under the responsibility of Member States. It aims to improve reporting on the misuse of indirectly assigned resources, recommending the use of email notifications to a pre-determined mailing list rather than the registration of the report of misuse for action by TSB.</w:t>
      </w:r>
    </w:p>
    <w:p w14:paraId="4FD0B6D7" w14:textId="77777777" w:rsidR="00A669AD" w:rsidRDefault="00A669AD" w:rsidP="00A669AD">
      <w:r w:rsidRPr="00A85401">
        <w:rPr>
          <w:b/>
          <w:bCs/>
        </w:rPr>
        <w:t>Digital financial services:</w:t>
      </w:r>
      <w:r>
        <w:t xml:space="preserve"> New ITU standards introduce QoS and </w:t>
      </w:r>
      <w:proofErr w:type="spellStart"/>
      <w:r>
        <w:t>QoE</w:t>
      </w:r>
      <w:proofErr w:type="spellEnd"/>
      <w:r>
        <w:t xml:space="preserve"> aspects of digital financial services (G.1033), a methodology to test the </w:t>
      </w:r>
      <w:proofErr w:type="spellStart"/>
      <w:r>
        <w:t>QoE</w:t>
      </w:r>
      <w:proofErr w:type="spellEnd"/>
      <w:r>
        <w:t xml:space="preserve"> of digital financial services (P.1502), and security requirements FinTech services built on open platform architectures (X.1149). </w:t>
      </w:r>
    </w:p>
    <w:p w14:paraId="15034334" w14:textId="77777777" w:rsidR="00A669AD" w:rsidRPr="00833403" w:rsidRDefault="00A669AD" w:rsidP="00A669AD">
      <w:r w:rsidRPr="00A85401">
        <w:rPr>
          <w:b/>
          <w:bCs/>
        </w:rPr>
        <w:t>Network 2030:</w:t>
      </w:r>
      <w:r>
        <w:t xml:space="preserve"> New Supplements provide describe capabilities, </w:t>
      </w:r>
      <w:proofErr w:type="gramStart"/>
      <w:r>
        <w:t>performance</w:t>
      </w:r>
      <w:proofErr w:type="gramEnd"/>
      <w:r>
        <w:t xml:space="preserve"> and design of new communications services for Network 2030 applications (Y.Suppl.66) and representative use cases and key network requirements for Network 2030 (Y.Suppl.67). A related Technical Report describes the driving forces and vision towards Network 2030.</w:t>
      </w:r>
    </w:p>
    <w:p w14:paraId="3935E75A" w14:textId="77777777" w:rsidR="00A669AD" w:rsidRDefault="00A669AD" w:rsidP="00A669AD">
      <w:r w:rsidRPr="00A85401">
        <w:rPr>
          <w:b/>
          <w:bCs/>
        </w:rPr>
        <w:t>IP performance measurement:</w:t>
      </w:r>
      <w:r>
        <w:t xml:space="preserve"> A new Supplement (Y.Suppl.60) provides guidance the interpretation of measurements taken with the ITU standard for IP service performance assessment (Y.1540). The 2019 revision of Y.1540 defines IP-layer capacity parameters in ways that cater to performance </w:t>
      </w:r>
      <w:proofErr w:type="gramStart"/>
      <w:r>
        <w:t>assessment, and</w:t>
      </w:r>
      <w:proofErr w:type="gramEnd"/>
      <w:r>
        <w:t xml:space="preserve"> provides requirements for methods of measurement of IP-layer capacity.</w:t>
      </w:r>
    </w:p>
    <w:p w14:paraId="63F929C8" w14:textId="77777777" w:rsidR="00A669AD" w:rsidRDefault="00A669AD" w:rsidP="00A669AD">
      <w:r w:rsidRPr="00A85401">
        <w:rPr>
          <w:b/>
          <w:bCs/>
        </w:rPr>
        <w:t>Intelligent QoS:</w:t>
      </w:r>
      <w:r>
        <w:t xml:space="preserve"> New ITU standards address intelligent network analytics and diagnostics (E.475) and the creation and performance testing of machine learning-based models to assess the impact of the transmission network on speech quality for 4G voice services (P.565).  </w:t>
      </w:r>
    </w:p>
    <w:p w14:paraId="68C4BF6F" w14:textId="77777777" w:rsidR="00A669AD" w:rsidRDefault="00A669AD" w:rsidP="00A669AD">
      <w:r w:rsidRPr="00A85401">
        <w:rPr>
          <w:b/>
          <w:bCs/>
        </w:rPr>
        <w:t>Crowdsourcing QoS:</w:t>
      </w:r>
      <w:r>
        <w:t xml:space="preserve"> A new ITU standard details the crowdsourcing approach to the assessment of end-to-end QoS in fixed and mobile broadband networks (E.812). Work on E.812 was initiated by national regulatory authorities and developed collaboratively with representatives of network operators, vendors, analytics companies, and academia.</w:t>
      </w:r>
    </w:p>
    <w:p w14:paraId="5EF10719" w14:textId="4B158877" w:rsidR="00A669AD" w:rsidRDefault="00A669AD" w:rsidP="00A669AD">
      <w:r w:rsidRPr="00A85401">
        <w:rPr>
          <w:b/>
          <w:bCs/>
        </w:rPr>
        <w:t xml:space="preserve">Virtual </w:t>
      </w:r>
      <w:r>
        <w:rPr>
          <w:b/>
          <w:bCs/>
        </w:rPr>
        <w:t>r</w:t>
      </w:r>
      <w:r w:rsidRPr="00A85401">
        <w:rPr>
          <w:b/>
          <w:bCs/>
        </w:rPr>
        <w:t>eality and cloud gaming</w:t>
      </w:r>
      <w:r>
        <w:t xml:space="preserve">: New ITU standards introduce the factors influencing </w:t>
      </w:r>
      <w:proofErr w:type="spellStart"/>
      <w:r>
        <w:t>QoE</w:t>
      </w:r>
      <w:proofErr w:type="spellEnd"/>
      <w:r>
        <w:t xml:space="preserve"> for virtual reality services (G.1035), an opinion model predicting </w:t>
      </w:r>
      <w:proofErr w:type="spellStart"/>
      <w:r>
        <w:t>QoE</w:t>
      </w:r>
      <w:proofErr w:type="spellEnd"/>
      <w:r>
        <w:t xml:space="preserve"> for cloud gaming services (G.1072), and dimension-based subjective quality evaluation for video content considering five perceptual dimensions (P.918).</w:t>
      </w:r>
    </w:p>
    <w:p w14:paraId="5FAA3AFF" w14:textId="77777777" w:rsidR="00A669AD" w:rsidRDefault="00A669AD" w:rsidP="00A669AD">
      <w:r w:rsidRPr="00A85401">
        <w:rPr>
          <w:b/>
          <w:bCs/>
        </w:rPr>
        <w:t>Intelligent transport systems:</w:t>
      </w:r>
      <w:r>
        <w:t xml:space="preserve"> New ITU standards describe security threats to connected vehicles (X.1371) and provide security guidelines for V2X (vehicle-to-everything) communication (X.1372), </w:t>
      </w:r>
      <w:proofErr w:type="spellStart"/>
      <w:r>
        <w:t>QoE</w:t>
      </w:r>
      <w:proofErr w:type="spellEnd"/>
      <w:r>
        <w:t xml:space="preserve"> metrics for mobile telephony communication during rail travel (G.1034), an in-car communication audio specification for </w:t>
      </w:r>
      <w:proofErr w:type="spellStart"/>
      <w:r>
        <w:t>travellers’</w:t>
      </w:r>
      <w:proofErr w:type="spellEnd"/>
      <w:r>
        <w:t xml:space="preserve"> safety (P.1150), and use cases and requirements for vehicular multimedia networks (F.749.3).</w:t>
      </w:r>
    </w:p>
    <w:p w14:paraId="20A63E93" w14:textId="77777777" w:rsidR="00A669AD" w:rsidRDefault="00A669AD" w:rsidP="00A669AD">
      <w:r w:rsidRPr="00A85401">
        <w:rPr>
          <w:b/>
          <w:bCs/>
        </w:rPr>
        <w:lastRenderedPageBreak/>
        <w:t>Quantum information technology:</w:t>
      </w:r>
      <w:r>
        <w:t xml:space="preserve"> A new ITU standard provides functional requirements for quantum key distribution (QKD) networks (Y.3801) and a new Technical Report highlights security considerations for QKD networks (</w:t>
      </w:r>
      <w:proofErr w:type="spellStart"/>
      <w:r>
        <w:t>TR.sec-qkd</w:t>
      </w:r>
      <w:proofErr w:type="spellEnd"/>
      <w:r>
        <w:t>).</w:t>
      </w:r>
    </w:p>
    <w:p w14:paraId="24BB637F" w14:textId="77777777" w:rsidR="00A669AD" w:rsidRDefault="00A669AD" w:rsidP="00A669AD">
      <w:r w:rsidRPr="00A85401">
        <w:rPr>
          <w:b/>
          <w:bCs/>
        </w:rPr>
        <w:t>Personal data protection:</w:t>
      </w:r>
      <w:r>
        <w:t xml:space="preserve"> A new ITU standard provides the technical framework of handling systems for personally identifiable information in IoT environments (X.1363). </w:t>
      </w:r>
    </w:p>
    <w:p w14:paraId="43E4CDA9" w14:textId="77777777" w:rsidR="00A669AD" w:rsidRDefault="00A669AD" w:rsidP="00A669AD">
      <w:r w:rsidRPr="00A85401">
        <w:rPr>
          <w:b/>
          <w:bCs/>
        </w:rPr>
        <w:t>Cloud computing security:</w:t>
      </w:r>
      <w:r>
        <w:t xml:space="preserve"> New ITU standards address the security of network as a service (X.1604) and public infrastructure as a service (X.1605).</w:t>
      </w:r>
    </w:p>
    <w:p w14:paraId="3BB2B405" w14:textId="77777777" w:rsidR="00A669AD" w:rsidRDefault="00A669AD" w:rsidP="00A669AD">
      <w:r w:rsidRPr="00A85401">
        <w:rPr>
          <w:b/>
          <w:bCs/>
        </w:rPr>
        <w:t xml:space="preserve">Identifiers for unmanned aerial vehicles: </w:t>
      </w:r>
      <w:r>
        <w:t xml:space="preserve">A new ITU standard provides an identification mechanism for unmanned aerial vehicles using object identifiers (X.677).  </w:t>
      </w:r>
    </w:p>
    <w:p w14:paraId="51B105AC" w14:textId="734394C2" w:rsidR="00A669AD" w:rsidRDefault="00A669AD" w:rsidP="00A669AD">
      <w:r>
        <w:rPr>
          <w:b/>
          <w:bCs/>
        </w:rPr>
        <w:t>D</w:t>
      </w:r>
      <w:r w:rsidRPr="00A85401">
        <w:rPr>
          <w:b/>
          <w:bCs/>
        </w:rPr>
        <w:t>istributed ledger technology (DLT):</w:t>
      </w:r>
      <w:r>
        <w:t xml:space="preserve"> New ITU standards provide requirements for distributed ledger systems (F.751.0), assessment criteria for DLT platforms (F.751.1), a reference framework for DLTs (F.751.2), a security framework for DLT (X.1402), and security guidelines for using DLT for decentralized identity management (X.1403)</w:t>
      </w:r>
      <w:r w:rsidR="004632C0">
        <w:t xml:space="preserve">, and </w:t>
      </w:r>
      <w:r w:rsidR="004632C0" w:rsidRPr="0083EB5B">
        <w:rPr>
          <w:lang w:val="en-GB"/>
        </w:rPr>
        <w:t>in cloud computing context blockchain as a service (Y.3530)</w:t>
      </w:r>
      <w:r>
        <w:t xml:space="preserve">. </w:t>
      </w:r>
    </w:p>
    <w:p w14:paraId="0F3379DE" w14:textId="77777777" w:rsidR="00A669AD" w:rsidRDefault="00A669AD" w:rsidP="00A669AD">
      <w:r>
        <w:rPr>
          <w:b/>
          <w:bCs/>
        </w:rPr>
        <w:t xml:space="preserve">DLT </w:t>
      </w:r>
      <w:r w:rsidRPr="00A85401">
        <w:rPr>
          <w:b/>
          <w:bCs/>
        </w:rPr>
        <w:t>for cities:</w:t>
      </w:r>
      <w:r>
        <w:t xml:space="preserve"> New ITU standards address blockchain of things as a decentralized service platform (Y.4464), blockchain-based data exchange and sharing (Y.4560) and blockchain-based data management (Y.4561), and blockchain-based unified Key Performance Indicator data management (Y.4907). A new Supplement data processing and management aspects of </w:t>
      </w:r>
      <w:r w:rsidRPr="00D46955">
        <w:t xml:space="preserve">blockchain for </w:t>
      </w:r>
      <w:r>
        <w:t xml:space="preserve">IoT </w:t>
      </w:r>
      <w:r w:rsidRPr="00D46955">
        <w:t xml:space="preserve">and smart cities </w:t>
      </w:r>
      <w:r>
        <w:t xml:space="preserve">(Y.Suppl.62). </w:t>
      </w:r>
    </w:p>
    <w:p w14:paraId="44D70015" w14:textId="77777777" w:rsidR="00A669AD" w:rsidRDefault="00A669AD" w:rsidP="00A669AD">
      <w:r w:rsidRPr="00A85401">
        <w:rPr>
          <w:b/>
          <w:bCs/>
        </w:rPr>
        <w:t>Environment and circular economy:</w:t>
      </w:r>
      <w:r>
        <w:t xml:space="preserve"> New ITU standards provide an assessment method for circular scoring (L.1023) and provide for the assessment and scoring of the sustainability performance of office buildings (L.1371). </w:t>
      </w:r>
    </w:p>
    <w:p w14:paraId="072AF595" w14:textId="77777777" w:rsidR="00A669AD" w:rsidRDefault="00A669AD" w:rsidP="00A669AD">
      <w:r w:rsidRPr="00A85401">
        <w:rPr>
          <w:b/>
          <w:bCs/>
        </w:rPr>
        <w:t>Energy efficiency:</w:t>
      </w:r>
      <w:r>
        <w:t xml:space="preserve"> New ITU standards address smart energy management for </w:t>
      </w:r>
      <w:proofErr w:type="spellStart"/>
      <w:r>
        <w:t>datacentres</w:t>
      </w:r>
      <w:proofErr w:type="spellEnd"/>
      <w:r>
        <w:t xml:space="preserve"> (ITU-T L.1381) and telecommunication rooms (ITU-T L.1382).</w:t>
      </w:r>
    </w:p>
    <w:p w14:paraId="161C0157" w14:textId="3F7F498E" w:rsidR="00A669AD" w:rsidRDefault="00A669AD" w:rsidP="00A669AD">
      <w:r w:rsidRPr="00A85401">
        <w:rPr>
          <w:b/>
          <w:bCs/>
        </w:rPr>
        <w:t>Climate change:</w:t>
      </w:r>
      <w:r>
        <w:t xml:space="preserve"> A new Supplement (ITU-T L.Suppl.37) provides guidance to operators of mobile networks, fixed networks and </w:t>
      </w:r>
      <w:proofErr w:type="spellStart"/>
      <w:r>
        <w:t>datacentres</w:t>
      </w:r>
      <w:proofErr w:type="spellEnd"/>
      <w:r>
        <w:t xml:space="preserve"> on setting 1.5°C-aligned targets compliant with L.1470. L.1470)</w:t>
      </w:r>
      <w:r w:rsidR="00D07B25">
        <w:t xml:space="preserve"> </w:t>
      </w:r>
      <w:r>
        <w:t>highlights that compliance with the UNFCCC Paris Agreement will require the ICT industry to reduce GHG emissions by 45 per cent from 2020 to 2030. The recommended emission-reduction targets are the first targets specific to the ICT industry to be approved by the Science Based Target Initiative (SBTi).</w:t>
      </w:r>
    </w:p>
    <w:p w14:paraId="4B6C2086" w14:textId="77777777" w:rsidR="00A669AD" w:rsidRDefault="00A669AD" w:rsidP="00A669AD">
      <w:r w:rsidRPr="00A85401">
        <w:rPr>
          <w:b/>
          <w:bCs/>
        </w:rPr>
        <w:t>Internet of Things:</w:t>
      </w:r>
      <w:r>
        <w:t xml:space="preserve"> New ITU standards address IoT requirements for the support of edge computing (Y.4208), universal communication modules of mobile IoT devices (Y.4210), digital entity architecture for IoT interoperability (Y.4459) and combatting counterfeiting in IoT (Y.4808), open IoT identity correlation service (Y.4462), delegation services for IoT devices (Y.4463), IoT services based on Visible Light Communications (Y.4465 and Y.4474), spare computational capability exposure of IoT devices for smart homes (Y.4469), </w:t>
      </w:r>
      <w:proofErr w:type="spellStart"/>
      <w:r>
        <w:t>SensorThings</w:t>
      </w:r>
      <w:proofErr w:type="spellEnd"/>
      <w:r>
        <w:t xml:space="preserve"> API – Sensing (Y.4473), lightweight intelligent software for IoT devices (Y.4475), agility by design for ICT systems security used in IoT (Y.4807), security for narrowband IoT (X.1364), security for smart metering services in smart grids (X.1332), and identity-based cryptography in support of IoT services (X.1365).</w:t>
      </w:r>
    </w:p>
    <w:p w14:paraId="0E289E2F" w14:textId="77777777" w:rsidR="00A669AD" w:rsidRDefault="00A669AD" w:rsidP="00A669AD">
      <w:r w:rsidRPr="00A85401">
        <w:rPr>
          <w:b/>
          <w:bCs/>
        </w:rPr>
        <w:t>Smart sustainable cities:</w:t>
      </w:r>
      <w:r>
        <w:t xml:space="preserve"> New ITU standards address the interoperation of smart ports with smart cities (Y.4209), open data in smart cities (ITU-T Y.4461), smart greenhouse services (Y.4466), data structure and data transfer protocol for automotive emergency response systems (Y.4467 and Y.4468), AI service exposure for smart cities (Y.4470), and smart fire smoke detection services (Y.4558),</w:t>
      </w:r>
    </w:p>
    <w:p w14:paraId="47491AF6" w14:textId="77777777" w:rsidR="00A669AD" w:rsidRDefault="00A669AD" w:rsidP="00A669AD">
      <w:r w:rsidRPr="00A85401">
        <w:rPr>
          <w:b/>
          <w:bCs/>
        </w:rPr>
        <w:lastRenderedPageBreak/>
        <w:t>ICT device theft:</w:t>
      </w:r>
      <w:r>
        <w:t xml:space="preserve"> A new ITU standard provides a framework for combating the use of stolen mobile devices (Q.5051) and a new Technical Report considers the reliability of IMEI (</w:t>
      </w:r>
      <w:r w:rsidRPr="00833403">
        <w:t>QTR-RLB-IMEI</w:t>
      </w:r>
      <w:r>
        <w:t xml:space="preserve">). </w:t>
      </w:r>
    </w:p>
    <w:p w14:paraId="5A9C1772" w14:textId="1135AF28" w:rsidR="00A669AD" w:rsidRDefault="00A669AD" w:rsidP="00A669AD">
      <w:r w:rsidRPr="00A85401">
        <w:rPr>
          <w:b/>
          <w:bCs/>
        </w:rPr>
        <w:t>Big data:</w:t>
      </w:r>
      <w:r>
        <w:t xml:space="preserve"> New ITU standards provide the requirements of big data driven networking (Y.3652) and data preservation (Y.3604). A new Supplement assesses the status of big data adoption in developing countries following a survey of ITU-T members (Y.Suppl.65)</w:t>
      </w:r>
      <w:r w:rsidR="00CD62D3">
        <w:t>.</w:t>
      </w:r>
    </w:p>
    <w:p w14:paraId="313C6694" w14:textId="56BE2B69" w:rsidR="00A669AD" w:rsidRDefault="00A669AD" w:rsidP="00A669AD">
      <w:r w:rsidRPr="00A85401">
        <w:rPr>
          <w:b/>
          <w:bCs/>
        </w:rPr>
        <w:t>Accessibility:</w:t>
      </w:r>
      <w:r>
        <w:t xml:space="preserve"> A revised ITU standard provides accessibil</w:t>
      </w:r>
      <w:r w:rsidR="0085423D">
        <w:t>i</w:t>
      </w:r>
      <w:r>
        <w:t xml:space="preserve">ty profiles for IPTV systems (H.702 (V2)) and new ITU standards address annotation methods for </w:t>
      </w:r>
      <w:proofErr w:type="spellStart"/>
      <w:r>
        <w:t>biosignal</w:t>
      </w:r>
      <w:proofErr w:type="spellEnd"/>
      <w:r>
        <w:t xml:space="preserve"> data (H.862.2), voice management interfaces for human-care services (H.862.3), and information service systems for visually impaired persons (F.922). New Technical Papers provide a guideline on web-based remote sign language interpretation (FSTP.ACC-</w:t>
      </w:r>
      <w:proofErr w:type="spellStart"/>
      <w:r>
        <w:t>WebVRI</w:t>
      </w:r>
      <w:proofErr w:type="spellEnd"/>
      <w:r>
        <w:t xml:space="preserve">) and an overview of assistive listening systems (FSTP-ACC-ALD).  </w:t>
      </w:r>
    </w:p>
    <w:p w14:paraId="75380066" w14:textId="77777777" w:rsidR="00A669AD" w:rsidRDefault="00A669AD" w:rsidP="00A669AD">
      <w:r w:rsidRPr="00A85401">
        <w:rPr>
          <w:b/>
          <w:bCs/>
        </w:rPr>
        <w:t>Telecoms management:</w:t>
      </w:r>
      <w:r>
        <w:t xml:space="preserve"> New ITU standards provide requirements for telecommunication anti-fraud management in the TMN (M.3362), data management in the TMN (M.3363) and on-site telecommunication smart maintenance management function (M.3364). New ITU standards also provide a generic information model for on-site telecommunication smart maintenance (M.3164) and framework of smart operation, </w:t>
      </w:r>
      <w:proofErr w:type="gramStart"/>
      <w:r>
        <w:t>management</w:t>
      </w:r>
      <w:proofErr w:type="gramEnd"/>
      <w:r>
        <w:t xml:space="preserve"> and maintenance (M.3041).</w:t>
      </w:r>
    </w:p>
    <w:p w14:paraId="00743195" w14:textId="77777777" w:rsidR="00A669AD" w:rsidRDefault="00A669AD" w:rsidP="00A669AD">
      <w:r w:rsidRPr="00A85401">
        <w:rPr>
          <w:b/>
          <w:bCs/>
        </w:rPr>
        <w:t>Numbering resources for trials:</w:t>
      </w:r>
      <w:r>
        <w:t xml:space="preserve"> Revised ITU standards provide criteria and procedures for temporary allocations of E.164 numbering resources (E.164.2) and temporary allocations of MNCs within the shared MCC 991 (E.212 Amd.2) for international non-commercial trials.</w:t>
      </w:r>
    </w:p>
    <w:p w14:paraId="049EE398" w14:textId="77777777" w:rsidR="00A669AD" w:rsidRDefault="00A669AD" w:rsidP="00A669AD">
      <w:r w:rsidRPr="00A85401">
        <w:rPr>
          <w:b/>
          <w:bCs/>
        </w:rPr>
        <w:t>Codes for M2M/IoT and emergency services:</w:t>
      </w:r>
      <w:r>
        <w:t xml:space="preserve"> A new Supplement defines criteria for assigning E.164 identification codes and E.212 Mobile Network Codes under shared MCCs for M2M/IoT services (E.Suppl.11). A new Technical report provides an overview of a technical solution for identifying the call location in support of emergency services (TR.CLE).</w:t>
      </w:r>
    </w:p>
    <w:p w14:paraId="5E8DF61D" w14:textId="77777777" w:rsidR="00A669AD" w:rsidRDefault="00A669AD" w:rsidP="00A669AD">
      <w:r w:rsidRPr="00A85401">
        <w:rPr>
          <w:b/>
          <w:bCs/>
        </w:rPr>
        <w:t>Economic and policy issues:</w:t>
      </w:r>
      <w:r>
        <w:t xml:space="preserve"> New ITU standards describe shared uses of telecommunication infrastructure as possible methods for enhancing the efficiency of telecommunications (D.264), optimizing terrestrial cable utilization across multiple countries to boost regional and international connectivity (D.265), an enabling environment for voluntary commercial arrangements between telecommunications network operators and over-the-top application providers (D.266), and a policy framework including principles for digital identity infrastructure (D.267/X.1261). A new Supplement describes principles for increased adoption and use of mobile financial services through effective consumer protection mechanisms (D.Suppl.4).</w:t>
      </w:r>
    </w:p>
    <w:p w14:paraId="0727AF35" w14:textId="77777777" w:rsidR="00A669AD" w:rsidRDefault="00A669AD" w:rsidP="00A669AD">
      <w:r w:rsidRPr="00A85401">
        <w:rPr>
          <w:b/>
          <w:bCs/>
        </w:rPr>
        <w:t>Broadband cable and TV:</w:t>
      </w:r>
      <w:r>
        <w:t xml:space="preserve"> New ITU standards address IP cable modems with the fourth and fifth generations of transmission systems for interactive cable television services (J.225 and J.224), embedded common interface for exchangeable conditional access / digital rights management solutions (J.112, J.113, J.114, J.115 and J.115.1), downloadable conditional access system for bidirectional networks (J.1031, J.1032 and J.1033), smart TV operating systems (J.1203 and J.1204), the remote management of cable set-top boxes by auto configuration server (J.299), and IP video broadcast for CATV networks (J.1211).</w:t>
      </w:r>
    </w:p>
    <w:p w14:paraId="1879315D" w14:textId="77777777" w:rsidR="00A669AD" w:rsidRDefault="00A669AD" w:rsidP="00A669AD">
      <w:r w:rsidRPr="00A85401">
        <w:rPr>
          <w:b/>
          <w:bCs/>
        </w:rPr>
        <w:t>Protocols and test specs:</w:t>
      </w:r>
      <w:r>
        <w:t xml:space="preserve"> A new ITU standard addresses </w:t>
      </w:r>
      <w:proofErr w:type="spellStart"/>
      <w:r>
        <w:t>signalling</w:t>
      </w:r>
      <w:proofErr w:type="spellEnd"/>
      <w:r>
        <w:t xml:space="preserve"> for distributed infrastructure ENUM networking for IMS (Q.3643) and a new Supplement addresses </w:t>
      </w:r>
      <w:proofErr w:type="spellStart"/>
      <w:r>
        <w:t>signalling</w:t>
      </w:r>
      <w:proofErr w:type="spellEnd"/>
      <w:r>
        <w:t xml:space="preserve"> for IMS emergency telecommunications (Q.Suppl.72). New ITU standards also address interconnection between trustable network entities (Q.3057), energy-efficient device-to-device communication for 5G (Q.5022), time constraint IoT-based applications over SDN (Q.3745), managed P2P communications (Q.609.5), and the compatibility testing of SDN-based equipment using OpenFlow protocol (Q.3963).</w:t>
      </w:r>
    </w:p>
    <w:p w14:paraId="528C7A13" w14:textId="445E3A82" w:rsidR="00136E7B" w:rsidRPr="00B80F73" w:rsidRDefault="00136E7B" w:rsidP="00136E7B">
      <w:pPr>
        <w:rPr>
          <w:lang w:val="fr-FR"/>
        </w:rPr>
      </w:pPr>
      <w:r w:rsidRPr="00B80F73">
        <w:rPr>
          <w:lang w:val="fr-FR"/>
        </w:rPr>
        <w:lastRenderedPageBreak/>
        <w:t>Active ITU-T Focus Groups (</w:t>
      </w:r>
      <w:proofErr w:type="spellStart"/>
      <w:r w:rsidRPr="00B80F73">
        <w:rPr>
          <w:lang w:val="fr-FR"/>
        </w:rPr>
        <w:t>see</w:t>
      </w:r>
      <w:proofErr w:type="spellEnd"/>
      <w:r w:rsidRPr="00B80F73">
        <w:rPr>
          <w:lang w:val="fr-FR"/>
        </w:rPr>
        <w:t xml:space="preserve"> section </w:t>
      </w:r>
      <w:r w:rsidR="00937DD0" w:rsidRPr="00B80F73">
        <w:rPr>
          <w:lang w:val="fr-FR"/>
        </w:rPr>
        <w:t>6</w:t>
      </w:r>
      <w:proofErr w:type="gramStart"/>
      <w:r w:rsidRPr="00B80F73">
        <w:rPr>
          <w:lang w:val="fr-FR"/>
        </w:rPr>
        <w:t>):</w:t>
      </w:r>
      <w:proofErr w:type="gramEnd"/>
    </w:p>
    <w:p w14:paraId="723400EB" w14:textId="77777777" w:rsidR="00136E7B" w:rsidRPr="00B80F73" w:rsidRDefault="00C44FDC" w:rsidP="0063096B">
      <w:pPr>
        <w:numPr>
          <w:ilvl w:val="0"/>
          <w:numId w:val="30"/>
        </w:numPr>
        <w:rPr>
          <w:lang w:val="en-GB"/>
        </w:rPr>
      </w:pPr>
      <w:hyperlink r:id="rId40" w:history="1">
        <w:r w:rsidR="00136E7B" w:rsidRPr="00B80F73">
          <w:rPr>
            <w:rStyle w:val="Hyperlink"/>
            <w:lang w:val="en-GB"/>
          </w:rPr>
          <w:t>AI for Health</w:t>
        </w:r>
      </w:hyperlink>
    </w:p>
    <w:p w14:paraId="2FE773B5" w14:textId="77777777" w:rsidR="00136E7B" w:rsidRPr="00B80F73" w:rsidRDefault="00C44FDC" w:rsidP="0063096B">
      <w:pPr>
        <w:numPr>
          <w:ilvl w:val="0"/>
          <w:numId w:val="30"/>
        </w:numPr>
        <w:rPr>
          <w:lang w:val="en-GB"/>
        </w:rPr>
      </w:pPr>
      <w:hyperlink r:id="rId41" w:history="1">
        <w:r w:rsidR="00136E7B" w:rsidRPr="00B80F73">
          <w:rPr>
            <w:rStyle w:val="Hyperlink"/>
            <w:lang w:val="en-GB"/>
          </w:rPr>
          <w:t>Vehicular Multimedia</w:t>
        </w:r>
      </w:hyperlink>
    </w:p>
    <w:p w14:paraId="2DB021E3" w14:textId="77777777" w:rsidR="00136E7B" w:rsidRPr="00B80F73" w:rsidRDefault="00C44FDC" w:rsidP="0063096B">
      <w:pPr>
        <w:numPr>
          <w:ilvl w:val="0"/>
          <w:numId w:val="30"/>
        </w:numPr>
        <w:rPr>
          <w:rStyle w:val="Hyperlink"/>
          <w:color w:val="auto"/>
          <w:u w:val="none"/>
          <w:lang w:val="en-GB"/>
        </w:rPr>
      </w:pPr>
      <w:hyperlink r:id="rId42" w:history="1">
        <w:r w:rsidR="00136E7B" w:rsidRPr="00B80F73">
          <w:rPr>
            <w:rStyle w:val="Hyperlink"/>
            <w:lang w:val="en-GB"/>
          </w:rPr>
          <w:t>Environmental Efficiency for AI and other Emerging Technologies</w:t>
        </w:r>
      </w:hyperlink>
    </w:p>
    <w:p w14:paraId="5910DCE0" w14:textId="77777777" w:rsidR="00136E7B" w:rsidRPr="00B80F73" w:rsidRDefault="00C44FDC" w:rsidP="0063096B">
      <w:pPr>
        <w:numPr>
          <w:ilvl w:val="0"/>
          <w:numId w:val="30"/>
        </w:numPr>
        <w:rPr>
          <w:rStyle w:val="Strong"/>
          <w:b w:val="0"/>
          <w:lang w:val="en-GB"/>
        </w:rPr>
      </w:pPr>
      <w:hyperlink r:id="rId43" w:history="1">
        <w:r w:rsidR="00136E7B" w:rsidRPr="00B80F73">
          <w:rPr>
            <w:rStyle w:val="Hyperlink"/>
          </w:rPr>
          <w:t>AI for Autonomous and Assisted Driving</w:t>
        </w:r>
      </w:hyperlink>
    </w:p>
    <w:p w14:paraId="76F66E4A" w14:textId="77777777" w:rsidR="00136E7B" w:rsidRPr="00B80F73" w:rsidRDefault="00C44FDC" w:rsidP="0063096B">
      <w:pPr>
        <w:numPr>
          <w:ilvl w:val="0"/>
          <w:numId w:val="30"/>
        </w:numPr>
        <w:rPr>
          <w:lang w:val="en-GB"/>
        </w:rPr>
      </w:pPr>
      <w:hyperlink r:id="rId44" w:history="1">
        <w:r w:rsidR="00136E7B" w:rsidRPr="00B80F73">
          <w:rPr>
            <w:rStyle w:val="Hyperlink"/>
          </w:rPr>
          <w:t>Quantum Information Technology for Networks</w:t>
        </w:r>
      </w:hyperlink>
    </w:p>
    <w:p w14:paraId="7EDD09E5" w14:textId="3E29572A" w:rsidR="00BA3326" w:rsidRDefault="00BA3326" w:rsidP="00136E7B">
      <w:pPr>
        <w:pStyle w:val="Heading1"/>
        <w:rPr>
          <w:rFonts w:eastAsiaTheme="minorEastAsia"/>
        </w:rPr>
      </w:pPr>
      <w:bookmarkStart w:id="29" w:name="_2.8_IPTV_and"/>
      <w:bookmarkStart w:id="30" w:name="a353677d2-7347-4cd3-8301-15d8ee365aeb"/>
      <w:bookmarkStart w:id="31" w:name="_3.4_e-Health"/>
      <w:bookmarkStart w:id="32" w:name="_3.6_Aviation_applications"/>
      <w:bookmarkStart w:id="33" w:name="_Toc51042250"/>
      <w:bookmarkStart w:id="34" w:name="_Toc416161352"/>
      <w:bookmarkStart w:id="35" w:name="_Toc438553972"/>
      <w:bookmarkStart w:id="36" w:name="_Toc453929091"/>
      <w:bookmarkStart w:id="37" w:name="_Toc453932962"/>
      <w:bookmarkStart w:id="38" w:name="_Toc454295868"/>
      <w:bookmarkStart w:id="39" w:name="_Toc462664223"/>
      <w:bookmarkStart w:id="40" w:name="_Toc480527817"/>
      <w:bookmarkEnd w:id="18"/>
      <w:bookmarkEnd w:id="19"/>
      <w:bookmarkEnd w:id="20"/>
      <w:bookmarkEnd w:id="21"/>
      <w:bookmarkEnd w:id="22"/>
      <w:bookmarkEnd w:id="23"/>
      <w:bookmarkEnd w:id="24"/>
      <w:bookmarkEnd w:id="25"/>
      <w:bookmarkEnd w:id="26"/>
      <w:bookmarkEnd w:id="28"/>
      <w:bookmarkEnd w:id="29"/>
      <w:bookmarkEnd w:id="30"/>
      <w:bookmarkEnd w:id="31"/>
      <w:bookmarkEnd w:id="32"/>
      <w:r>
        <w:rPr>
          <w:rFonts w:eastAsiaTheme="minorEastAsia"/>
        </w:rPr>
        <w:t>2</w:t>
      </w:r>
      <w:r>
        <w:rPr>
          <w:rFonts w:eastAsiaTheme="minorEastAsia"/>
        </w:rPr>
        <w:tab/>
        <w:t>ITU-T under COVID-19</w:t>
      </w:r>
      <w:bookmarkEnd w:id="33"/>
    </w:p>
    <w:p w14:paraId="1047CD4F" w14:textId="77777777" w:rsidR="00A669AD" w:rsidRDefault="0093446E" w:rsidP="00A669AD">
      <w:pPr>
        <w:spacing w:after="240"/>
        <w:ind w:left="-425" w:right="-471"/>
        <w:rPr>
          <w:rFonts w:eastAsia="SimSun"/>
          <w:lang w:eastAsia="ja-JP"/>
        </w:rPr>
      </w:pPr>
      <w:r w:rsidRPr="0093446E">
        <w:rPr>
          <w:rFonts w:eastAsia="SimSun"/>
          <w:lang w:eastAsia="ja-JP"/>
        </w:rPr>
        <w:t xml:space="preserve">2020 has highlighted the value of ITU-T’s electronic working environment. </w:t>
      </w:r>
    </w:p>
    <w:p w14:paraId="59E4C911" w14:textId="517BAA79" w:rsidR="0093446E" w:rsidRDefault="0093446E" w:rsidP="00A669AD">
      <w:pPr>
        <w:spacing w:after="240"/>
        <w:ind w:left="-425" w:right="-471"/>
        <w:rPr>
          <w:rFonts w:eastAsia="SimSun"/>
          <w:lang w:eastAsia="ja-JP"/>
        </w:rPr>
      </w:pPr>
      <w:r w:rsidRPr="0093446E">
        <w:rPr>
          <w:rFonts w:eastAsia="SimSun"/>
          <w:lang w:eastAsia="ja-JP"/>
        </w:rPr>
        <w:t xml:space="preserve">Virtual meetings and electronic working methods have come to form the principal platform for ITU standardization work as part of the global response to COVID-19. ITU members engaged in standards development and preparations for the ITU World </w:t>
      </w:r>
      <w:proofErr w:type="spellStart"/>
      <w:r w:rsidRPr="0093446E">
        <w:rPr>
          <w:rFonts w:eastAsia="SimSun"/>
          <w:lang w:eastAsia="ja-JP"/>
        </w:rPr>
        <w:t>Telecommuncation</w:t>
      </w:r>
      <w:proofErr w:type="spellEnd"/>
      <w:r w:rsidRPr="0093446E">
        <w:rPr>
          <w:rFonts w:eastAsia="SimSun"/>
          <w:lang w:eastAsia="ja-JP"/>
        </w:rPr>
        <w:t xml:space="preserve"> Standardization Assembly (WTSA-20) are making optimal use of the personalized </w:t>
      </w:r>
      <w:hyperlink r:id="rId45" w:history="1">
        <w:proofErr w:type="spellStart"/>
        <w:r w:rsidRPr="0093446E">
          <w:rPr>
            <w:rStyle w:val="Hyperlink"/>
            <w:rFonts w:eastAsia="SimSun"/>
            <w:lang w:val="en-GB" w:eastAsia="ja-JP"/>
          </w:rPr>
          <w:t>MyWorkspace</w:t>
        </w:r>
        <w:proofErr w:type="spellEnd"/>
      </w:hyperlink>
      <w:r w:rsidRPr="0093446E">
        <w:rPr>
          <w:rFonts w:eastAsia="SimSun"/>
          <w:lang w:val="en-GB" w:eastAsia="ja-JP"/>
        </w:rPr>
        <w:t xml:space="preserve"> </w:t>
      </w:r>
      <w:r w:rsidRPr="0093446E">
        <w:rPr>
          <w:rFonts w:eastAsia="SimSun"/>
          <w:lang w:eastAsia="ja-JP"/>
        </w:rPr>
        <w:t>platform and associated TSB services and tools</w:t>
      </w:r>
      <w:r w:rsidR="00BD2669">
        <w:rPr>
          <w:rFonts w:eastAsia="SimSun"/>
          <w:lang w:eastAsia="ja-JP"/>
        </w:rPr>
        <w:t xml:space="preserve"> such as MyMeetings</w:t>
      </w:r>
      <w:r w:rsidRPr="0093446E">
        <w:rPr>
          <w:rFonts w:eastAsia="SimSun"/>
          <w:lang w:eastAsia="ja-JP"/>
        </w:rPr>
        <w:t>.</w:t>
      </w:r>
    </w:p>
    <w:p w14:paraId="10ECE9D8" w14:textId="4B679EDD" w:rsidR="0077193A" w:rsidRPr="00740215" w:rsidRDefault="00A355CE" w:rsidP="78644C3F">
      <w:pPr>
        <w:spacing w:after="240"/>
        <w:ind w:left="-425" w:right="-471"/>
        <w:rPr>
          <w:rFonts w:eastAsia="SimSun"/>
          <w:lang w:eastAsia="ja-JP"/>
        </w:rPr>
      </w:pPr>
      <w:r w:rsidRPr="78644C3F">
        <w:rPr>
          <w:rFonts w:eastAsia="SimSun"/>
          <w:lang w:eastAsia="ja-JP"/>
        </w:rPr>
        <w:t>With the continu</w:t>
      </w:r>
      <w:r w:rsidR="00BD2669">
        <w:rPr>
          <w:rFonts w:eastAsia="SimSun"/>
          <w:lang w:eastAsia="ja-JP"/>
        </w:rPr>
        <w:t>ed</w:t>
      </w:r>
      <w:r w:rsidRPr="78644C3F">
        <w:rPr>
          <w:rFonts w:eastAsia="SimSun"/>
          <w:lang w:eastAsia="ja-JP"/>
        </w:rPr>
        <w:t xml:space="preserve"> </w:t>
      </w:r>
      <w:r w:rsidR="00043952" w:rsidRPr="78644C3F">
        <w:rPr>
          <w:rFonts w:eastAsia="SimSun"/>
          <w:lang w:eastAsia="ja-JP"/>
        </w:rPr>
        <w:t xml:space="preserve">and evolving </w:t>
      </w:r>
      <w:r w:rsidRPr="78644C3F">
        <w:rPr>
          <w:rFonts w:eastAsia="SimSun"/>
          <w:lang w:eastAsia="ja-JP"/>
        </w:rPr>
        <w:t>threat of COVID-19 since mid</w:t>
      </w:r>
      <w:r w:rsidR="00BD2669">
        <w:rPr>
          <w:rFonts w:eastAsia="SimSun"/>
          <w:lang w:eastAsia="ja-JP"/>
        </w:rPr>
        <w:t>-</w:t>
      </w:r>
      <w:r w:rsidRPr="78644C3F">
        <w:rPr>
          <w:rFonts w:eastAsia="SimSun"/>
          <w:lang w:eastAsia="ja-JP"/>
        </w:rPr>
        <w:t>January 2020, ITU-T meetings</w:t>
      </w:r>
      <w:r w:rsidR="00043952" w:rsidRPr="78644C3F">
        <w:rPr>
          <w:rFonts w:eastAsia="SimSun"/>
          <w:lang w:eastAsia="ja-JP"/>
        </w:rPr>
        <w:t xml:space="preserve"> first provided </w:t>
      </w:r>
      <w:r w:rsidR="611CD39F" w:rsidRPr="78644C3F">
        <w:rPr>
          <w:rFonts w:eastAsia="SimSun"/>
          <w:lang w:eastAsia="ja-JP"/>
        </w:rPr>
        <w:t>facilities</w:t>
      </w:r>
      <w:r w:rsidR="00043952" w:rsidRPr="78644C3F">
        <w:rPr>
          <w:rFonts w:eastAsia="SimSun"/>
          <w:lang w:eastAsia="ja-JP"/>
        </w:rPr>
        <w:t xml:space="preserve"> for remote participation in addition to physical attendance</w:t>
      </w:r>
      <w:r w:rsidR="00BD2669">
        <w:rPr>
          <w:rFonts w:eastAsia="SimSun"/>
          <w:lang w:eastAsia="ja-JP"/>
        </w:rPr>
        <w:t>. W</w:t>
      </w:r>
      <w:r w:rsidR="00043952" w:rsidRPr="78644C3F">
        <w:rPr>
          <w:rFonts w:eastAsia="SimSun"/>
          <w:lang w:eastAsia="ja-JP"/>
        </w:rPr>
        <w:t xml:space="preserve">ith </w:t>
      </w:r>
      <w:r w:rsidR="0077193A" w:rsidRPr="78644C3F">
        <w:rPr>
          <w:rFonts w:eastAsia="SimSun"/>
          <w:lang w:eastAsia="ja-JP"/>
        </w:rPr>
        <w:t>the “force majeure” of COVID-19 in Switzerland and around the world</w:t>
      </w:r>
      <w:r w:rsidR="00B866DD">
        <w:rPr>
          <w:rFonts w:eastAsia="SimSun"/>
          <w:lang w:eastAsia="ja-JP"/>
        </w:rPr>
        <w:t>,</w:t>
      </w:r>
      <w:r w:rsidR="00BD2669">
        <w:rPr>
          <w:rFonts w:eastAsia="SimSun"/>
          <w:lang w:eastAsia="ja-JP"/>
        </w:rPr>
        <w:t xml:space="preserve"> </w:t>
      </w:r>
      <w:r w:rsidR="0077193A" w:rsidRPr="78644C3F">
        <w:rPr>
          <w:rFonts w:eastAsia="SimSun"/>
          <w:lang w:eastAsia="ja-JP"/>
        </w:rPr>
        <w:t xml:space="preserve">and </w:t>
      </w:r>
      <w:r w:rsidR="00BD2669">
        <w:rPr>
          <w:rFonts w:eastAsia="SimSun"/>
          <w:lang w:eastAsia="ja-JP"/>
        </w:rPr>
        <w:t xml:space="preserve">the introduction of associated </w:t>
      </w:r>
      <w:r w:rsidR="0077193A" w:rsidRPr="78644C3F">
        <w:rPr>
          <w:rFonts w:eastAsia="SimSun"/>
          <w:lang w:eastAsia="ja-JP"/>
        </w:rPr>
        <w:t xml:space="preserve">measures to control the </w:t>
      </w:r>
      <w:r w:rsidR="148B1A31" w:rsidRPr="7C7BE26A">
        <w:rPr>
          <w:rFonts w:eastAsia="SimSun"/>
          <w:lang w:eastAsia="ja-JP"/>
        </w:rPr>
        <w:t>pandemi</w:t>
      </w:r>
      <w:r w:rsidR="00B866DD">
        <w:rPr>
          <w:rFonts w:eastAsia="SimSun"/>
          <w:lang w:eastAsia="ja-JP"/>
        </w:rPr>
        <w:t xml:space="preserve">c </w:t>
      </w:r>
      <w:r w:rsidR="00BD2669">
        <w:rPr>
          <w:rFonts w:eastAsia="SimSun"/>
          <w:lang w:eastAsia="ja-JP"/>
        </w:rPr>
        <w:t xml:space="preserve">beginning </w:t>
      </w:r>
      <w:r w:rsidR="00BD2669" w:rsidRPr="78644C3F">
        <w:rPr>
          <w:rFonts w:eastAsia="SimSun"/>
          <w:lang w:eastAsia="ja-JP"/>
        </w:rPr>
        <w:t>12 March 2020</w:t>
      </w:r>
      <w:r w:rsidR="00B866DD">
        <w:rPr>
          <w:rFonts w:eastAsia="SimSun"/>
          <w:lang w:eastAsia="ja-JP"/>
        </w:rPr>
        <w:t>,</w:t>
      </w:r>
      <w:r w:rsidR="00BD2669" w:rsidRPr="78644C3F">
        <w:rPr>
          <w:rFonts w:eastAsia="SimSun"/>
          <w:lang w:eastAsia="ja-JP"/>
        </w:rPr>
        <w:t xml:space="preserve"> </w:t>
      </w:r>
      <w:r w:rsidR="00043952" w:rsidRPr="78644C3F">
        <w:rPr>
          <w:rFonts w:eastAsia="SimSun"/>
          <w:lang w:eastAsia="ja-JP"/>
        </w:rPr>
        <w:t>ITU-T meetings</w:t>
      </w:r>
      <w:r w:rsidR="0077193A" w:rsidRPr="78644C3F">
        <w:rPr>
          <w:rFonts w:eastAsia="SimSun"/>
          <w:lang w:eastAsia="ja-JP"/>
        </w:rPr>
        <w:t xml:space="preserve"> became </w:t>
      </w:r>
      <w:r w:rsidR="0077193A" w:rsidRPr="00B866DD">
        <w:rPr>
          <w:rFonts w:eastAsia="SimSun"/>
          <w:lang w:eastAsia="ja-JP"/>
        </w:rPr>
        <w:t>fully virtual</w:t>
      </w:r>
      <w:r w:rsidR="0077193A" w:rsidRPr="78644C3F">
        <w:rPr>
          <w:rFonts w:eastAsia="SimSun"/>
          <w:b/>
          <w:bCs/>
          <w:lang w:eastAsia="ja-JP"/>
        </w:rPr>
        <w:t xml:space="preserve"> </w:t>
      </w:r>
      <w:r w:rsidR="0077193A" w:rsidRPr="78644C3F">
        <w:rPr>
          <w:rFonts w:eastAsia="SimSun"/>
          <w:lang w:eastAsia="ja-JP"/>
        </w:rPr>
        <w:t xml:space="preserve">(no physical presence allowed in ITU HQ in Geneva), fellowships </w:t>
      </w:r>
      <w:r w:rsidR="00043952" w:rsidRPr="78644C3F">
        <w:rPr>
          <w:rFonts w:eastAsia="SimSun"/>
          <w:lang w:eastAsia="ja-JP"/>
        </w:rPr>
        <w:t>were</w:t>
      </w:r>
      <w:r w:rsidR="00BD2669">
        <w:rPr>
          <w:rFonts w:eastAsia="SimSun"/>
          <w:lang w:eastAsia="ja-JP"/>
        </w:rPr>
        <w:t xml:space="preserve"> suspended</w:t>
      </w:r>
      <w:r w:rsidR="0077193A" w:rsidRPr="78644C3F">
        <w:rPr>
          <w:rFonts w:eastAsia="SimSun"/>
          <w:lang w:eastAsia="ja-JP"/>
        </w:rPr>
        <w:t xml:space="preserve">, and </w:t>
      </w:r>
      <w:r w:rsidR="0064445B">
        <w:rPr>
          <w:rFonts w:eastAsia="SimSun"/>
          <w:lang w:eastAsia="ja-JP"/>
        </w:rPr>
        <w:t xml:space="preserve">several </w:t>
      </w:r>
      <w:r w:rsidR="00BD2669">
        <w:rPr>
          <w:rFonts w:eastAsia="SimSun"/>
          <w:lang w:eastAsia="ja-JP"/>
        </w:rPr>
        <w:t xml:space="preserve">virtual </w:t>
      </w:r>
      <w:r w:rsidR="0064445B">
        <w:rPr>
          <w:rFonts w:eastAsia="SimSun"/>
          <w:lang w:eastAsia="ja-JP"/>
        </w:rPr>
        <w:t>ITU-T study group meetings</w:t>
      </w:r>
      <w:r w:rsidR="00BD2669">
        <w:rPr>
          <w:rFonts w:eastAsia="SimSun"/>
          <w:lang w:eastAsia="ja-JP"/>
        </w:rPr>
        <w:t xml:space="preserve"> have since operated in English without interpretation.</w:t>
      </w:r>
    </w:p>
    <w:tbl>
      <w:tblPr>
        <w:tblStyle w:val="TableGrid"/>
        <w:tblW w:w="0" w:type="auto"/>
        <w:tblLook w:val="04A0" w:firstRow="1" w:lastRow="0" w:firstColumn="1" w:lastColumn="0" w:noHBand="0" w:noVBand="1"/>
      </w:tblPr>
      <w:tblGrid>
        <w:gridCol w:w="2977"/>
        <w:gridCol w:w="1456"/>
        <w:gridCol w:w="1134"/>
        <w:gridCol w:w="3822"/>
      </w:tblGrid>
      <w:tr w:rsidR="00CD4B5F" w14:paraId="3CF7814E" w14:textId="77777777" w:rsidTr="52AFA42C">
        <w:tc>
          <w:tcPr>
            <w:tcW w:w="2977" w:type="dxa"/>
          </w:tcPr>
          <w:p w14:paraId="6C23F9B1" w14:textId="3D26A39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t>Place, Dates</w:t>
            </w:r>
          </w:p>
        </w:tc>
        <w:tc>
          <w:tcPr>
            <w:tcW w:w="1455" w:type="dxa"/>
          </w:tcPr>
          <w:p w14:paraId="7AAC979A" w14:textId="3F7DAB4F" w:rsidR="007C6998" w:rsidRPr="009541AB" w:rsidRDefault="007C6998" w:rsidP="007C6998">
            <w:pPr>
              <w:keepNext/>
              <w:keepLines/>
              <w:jc w:val="center"/>
              <w:rPr>
                <w:rFonts w:eastAsiaTheme="minorEastAsia"/>
                <w:b/>
                <w:bCs/>
                <w:lang w:val="en-GB" w:eastAsia="en-US"/>
              </w:rPr>
            </w:pPr>
            <w:r w:rsidRPr="009541AB">
              <w:rPr>
                <w:rFonts w:eastAsiaTheme="minorEastAsia"/>
                <w:b/>
                <w:bCs/>
                <w:lang w:val="en-GB" w:eastAsia="en-US"/>
              </w:rPr>
              <w:t>Meeting</w:t>
            </w:r>
          </w:p>
        </w:tc>
        <w:tc>
          <w:tcPr>
            <w:tcW w:w="1134" w:type="dxa"/>
          </w:tcPr>
          <w:p w14:paraId="3B2EE566" w14:textId="416EB43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t>Physical, virtual</w:t>
            </w:r>
          </w:p>
        </w:tc>
        <w:tc>
          <w:tcPr>
            <w:tcW w:w="3822" w:type="dxa"/>
          </w:tcPr>
          <w:p w14:paraId="14813C6B" w14:textId="43E40B6D" w:rsidR="00CD4B5F" w:rsidRPr="00CD4B5F" w:rsidRDefault="00CD4B5F" w:rsidP="009B1798">
            <w:pPr>
              <w:keepNext/>
              <w:keepLines/>
              <w:jc w:val="center"/>
              <w:rPr>
                <w:rFonts w:eastAsiaTheme="minorEastAsia"/>
                <w:b/>
                <w:bCs/>
                <w:lang w:val="en-GB" w:eastAsia="en-US"/>
              </w:rPr>
            </w:pPr>
            <w:r w:rsidRPr="00CD4B5F">
              <w:rPr>
                <w:rFonts w:eastAsiaTheme="minorEastAsia"/>
                <w:b/>
                <w:bCs/>
                <w:lang w:val="en-GB" w:eastAsia="en-US"/>
              </w:rPr>
              <w:t>Remarks</w:t>
            </w:r>
          </w:p>
        </w:tc>
      </w:tr>
      <w:tr w:rsidR="00CD4B5F" w14:paraId="40F8D483" w14:textId="77777777" w:rsidTr="52AFA42C">
        <w:tc>
          <w:tcPr>
            <w:tcW w:w="2977" w:type="dxa"/>
          </w:tcPr>
          <w:p w14:paraId="6D646E07" w14:textId="0A6B0C32" w:rsidR="00CD4B5F" w:rsidRDefault="00CD4B5F" w:rsidP="009B1798">
            <w:pPr>
              <w:keepNext/>
              <w:keepLines/>
              <w:rPr>
                <w:rFonts w:eastAsiaTheme="minorEastAsia"/>
                <w:lang w:val="en-GB" w:eastAsia="en-US"/>
              </w:rPr>
            </w:pPr>
            <w:r w:rsidRPr="009541AB">
              <w:rPr>
                <w:rFonts w:eastAsiaTheme="minorEastAsia"/>
                <w:lang w:val="en-GB" w:eastAsia="en-US"/>
              </w:rPr>
              <w:t>Geneva,</w:t>
            </w:r>
            <w:r w:rsidR="00434F49">
              <w:rPr>
                <w:rFonts w:eastAsiaTheme="minorEastAsia"/>
                <w:lang w:val="en-GB" w:eastAsia="en-US"/>
              </w:rPr>
              <w:t xml:space="preserve"> </w:t>
            </w:r>
            <w:r w:rsidRPr="009541AB">
              <w:rPr>
                <w:rFonts w:eastAsiaTheme="minorEastAsia"/>
                <w:lang w:val="en-GB" w:eastAsia="en-US"/>
              </w:rPr>
              <w:t>27 January - 7 February 2020</w:t>
            </w:r>
          </w:p>
        </w:tc>
        <w:tc>
          <w:tcPr>
            <w:tcW w:w="1455" w:type="dxa"/>
          </w:tcPr>
          <w:p w14:paraId="584BA9B6" w14:textId="5321D4B5" w:rsidR="007C6998" w:rsidRDefault="007C6998" w:rsidP="007C6998">
            <w:pPr>
              <w:keepNext/>
              <w:keepLines/>
              <w:rPr>
                <w:rFonts w:eastAsiaTheme="minorEastAsia"/>
                <w:lang w:val="en-GB" w:eastAsia="en-US"/>
              </w:rPr>
            </w:pPr>
            <w:r>
              <w:rPr>
                <w:rFonts w:eastAsiaTheme="minorEastAsia"/>
                <w:lang w:val="en-GB" w:eastAsia="en-US"/>
              </w:rPr>
              <w:t>ITU-T SG15</w:t>
            </w:r>
          </w:p>
        </w:tc>
        <w:tc>
          <w:tcPr>
            <w:tcW w:w="1134" w:type="dxa"/>
          </w:tcPr>
          <w:p w14:paraId="40DDFA5B" w14:textId="7181ABFD" w:rsidR="00CD4B5F" w:rsidRDefault="00CD4B5F" w:rsidP="009B1798">
            <w:pPr>
              <w:keepNext/>
              <w:keepLines/>
              <w:rPr>
                <w:rFonts w:eastAsiaTheme="minorEastAsia"/>
                <w:lang w:val="en-GB" w:eastAsia="en-US"/>
              </w:rPr>
            </w:pPr>
            <w:r>
              <w:rPr>
                <w:rFonts w:eastAsiaTheme="minorEastAsia"/>
                <w:lang w:val="en-GB" w:eastAsia="en-US"/>
              </w:rPr>
              <w:t>Physical</w:t>
            </w:r>
          </w:p>
        </w:tc>
        <w:tc>
          <w:tcPr>
            <w:tcW w:w="3822" w:type="dxa"/>
          </w:tcPr>
          <w:p w14:paraId="34E143F5" w14:textId="690FB16C" w:rsidR="00CD4B5F" w:rsidRDefault="00767586" w:rsidP="009B1798">
            <w:pPr>
              <w:keepNext/>
              <w:keepLines/>
              <w:rPr>
                <w:rFonts w:eastAsiaTheme="minorEastAsia"/>
                <w:lang w:val="en-GB" w:eastAsia="en-US"/>
              </w:rPr>
            </w:pPr>
            <w:r>
              <w:t>E</w:t>
            </w:r>
            <w:r w:rsidR="00CD4B5F">
              <w:t>xceptional arrangements to provide remote observation or participation for delegates unable to travel</w:t>
            </w:r>
            <w:r w:rsidR="007C6998">
              <w:t>.</w:t>
            </w:r>
          </w:p>
        </w:tc>
      </w:tr>
      <w:tr w:rsidR="007E13B1" w14:paraId="7FC6FFE6" w14:textId="77777777" w:rsidTr="52AFA42C">
        <w:tc>
          <w:tcPr>
            <w:tcW w:w="2977" w:type="dxa"/>
          </w:tcPr>
          <w:p w14:paraId="420CF8B8" w14:textId="30EA16CB" w:rsidR="007E13B1" w:rsidRPr="009541AB" w:rsidRDefault="007E13B1" w:rsidP="00BA3326">
            <w:pPr>
              <w:rPr>
                <w:rFonts w:eastAsiaTheme="minorEastAsia"/>
                <w:lang w:val="en-GB" w:eastAsia="en-US"/>
              </w:rPr>
            </w:pPr>
            <w:r w:rsidRPr="007E13B1">
              <w:rPr>
                <w:rFonts w:eastAsiaTheme="minorEastAsia"/>
                <w:lang w:val="en-GB" w:eastAsia="en-US"/>
              </w:rPr>
              <w:t>Geneva, 10-14 February 2020</w:t>
            </w:r>
          </w:p>
        </w:tc>
        <w:tc>
          <w:tcPr>
            <w:tcW w:w="1455" w:type="dxa"/>
          </w:tcPr>
          <w:p w14:paraId="1C0AEA9A" w14:textId="53EA09E1"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06AE82E3" w14:textId="083D0901" w:rsidR="007E13B1" w:rsidRDefault="007E13B1" w:rsidP="00BA3326">
            <w:pPr>
              <w:rPr>
                <w:rFonts w:eastAsiaTheme="minorEastAsia"/>
                <w:lang w:val="en-GB" w:eastAsia="en-US"/>
              </w:rPr>
            </w:pPr>
            <w:r>
              <w:rPr>
                <w:rFonts w:eastAsiaTheme="minorEastAsia"/>
                <w:lang w:val="en-GB" w:eastAsia="en-US"/>
              </w:rPr>
              <w:t>Physical</w:t>
            </w:r>
          </w:p>
        </w:tc>
        <w:tc>
          <w:tcPr>
            <w:tcW w:w="3822" w:type="dxa"/>
          </w:tcPr>
          <w:p w14:paraId="6FE00259" w14:textId="40C543B0" w:rsidR="007E13B1" w:rsidRDefault="007E13B1" w:rsidP="00BA3326">
            <w:r w:rsidRPr="007E13B1">
              <w:t>Real-time captioning</w:t>
            </w:r>
            <w:r w:rsidR="00BD2669">
              <w:t>;</w:t>
            </w:r>
            <w:r w:rsidRPr="007E13B1">
              <w:t xml:space="preserve"> interpretation in six languages</w:t>
            </w:r>
            <w:r w:rsidR="00BD2669">
              <w:t>; and</w:t>
            </w:r>
            <w:r w:rsidRPr="007E13B1">
              <w:t xml:space="preserve"> remote participation using</w:t>
            </w:r>
            <w:r w:rsidR="00BD2669">
              <w:t xml:space="preserve"> </w:t>
            </w:r>
            <w:r w:rsidRPr="007E13B1">
              <w:t xml:space="preserve">new tool </w:t>
            </w:r>
            <w:proofErr w:type="spellStart"/>
            <w:r w:rsidRPr="007E13B1">
              <w:t>Interprefy</w:t>
            </w:r>
            <w:proofErr w:type="spellEnd"/>
            <w:r w:rsidRPr="007E13B1">
              <w:t xml:space="preserve"> </w:t>
            </w:r>
            <w:r w:rsidR="00BD2669">
              <w:t xml:space="preserve">as well as a </w:t>
            </w:r>
            <w:r w:rsidRPr="007E13B1">
              <w:t>webcast</w:t>
            </w:r>
            <w:r w:rsidR="00BD2669">
              <w:t>.</w:t>
            </w:r>
          </w:p>
        </w:tc>
      </w:tr>
      <w:tr w:rsidR="00434F49" w14:paraId="385590EA" w14:textId="77777777" w:rsidTr="52AFA42C">
        <w:tc>
          <w:tcPr>
            <w:tcW w:w="2977" w:type="dxa"/>
          </w:tcPr>
          <w:p w14:paraId="62DBB1F2" w14:textId="73F55652" w:rsidR="00434F49" w:rsidRPr="009541AB" w:rsidRDefault="00434F49" w:rsidP="00BA3326">
            <w:pPr>
              <w:rPr>
                <w:rFonts w:eastAsiaTheme="minorEastAsia"/>
                <w:lang w:val="en-GB" w:eastAsia="en-US"/>
              </w:rPr>
            </w:pPr>
            <w:r w:rsidRPr="00434F49">
              <w:rPr>
                <w:rFonts w:eastAsiaTheme="minorEastAsia"/>
                <w:lang w:val="en-GB" w:eastAsia="en-US"/>
              </w:rPr>
              <w:t>Geneva, 4-13 March 2020</w:t>
            </w:r>
          </w:p>
        </w:tc>
        <w:tc>
          <w:tcPr>
            <w:tcW w:w="1455" w:type="dxa"/>
          </w:tcPr>
          <w:p w14:paraId="7CE45631" w14:textId="5489ECAE"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14671F3" w14:textId="07333D9A" w:rsidR="00434F49" w:rsidRDefault="00434F49" w:rsidP="00BA3326">
            <w:pPr>
              <w:rPr>
                <w:rFonts w:eastAsiaTheme="minorEastAsia"/>
                <w:lang w:val="en-GB" w:eastAsia="en-US"/>
              </w:rPr>
            </w:pPr>
            <w:r>
              <w:rPr>
                <w:rFonts w:eastAsiaTheme="minorEastAsia"/>
                <w:lang w:val="en-GB" w:eastAsia="en-US"/>
              </w:rPr>
              <w:t>Physical</w:t>
            </w:r>
          </w:p>
        </w:tc>
        <w:tc>
          <w:tcPr>
            <w:tcW w:w="3822" w:type="dxa"/>
          </w:tcPr>
          <w:p w14:paraId="268E335F" w14:textId="3C99A312" w:rsidR="00434F49" w:rsidRDefault="007C6998" w:rsidP="00BA3326">
            <w:r>
              <w:t>I</w:t>
            </w:r>
            <w:r w:rsidRPr="00160475">
              <w:t>nteractive</w:t>
            </w:r>
            <w:r w:rsidR="00160475" w:rsidRPr="00160475">
              <w:t xml:space="preserve"> remote participation for all sessions during the entire SG11 meeting, including decision</w:t>
            </w:r>
            <w:r w:rsidR="00BD2669">
              <w:t>-</w:t>
            </w:r>
            <w:r w:rsidR="00160475" w:rsidRPr="00160475">
              <w:t>making sessions</w:t>
            </w:r>
            <w:r w:rsidR="00BD2669">
              <w:t>, using</w:t>
            </w:r>
            <w:r w:rsidR="00A94F6B">
              <w:t xml:space="preserve"> </w:t>
            </w:r>
            <w:proofErr w:type="spellStart"/>
            <w:r w:rsidR="00A94F6B" w:rsidRPr="00A94F6B">
              <w:t>Interprefy</w:t>
            </w:r>
            <w:proofErr w:type="spellEnd"/>
            <w:r w:rsidR="00BD2669">
              <w:t xml:space="preserve"> for the </w:t>
            </w:r>
            <w:r w:rsidR="00A94F6B" w:rsidRPr="00A94F6B">
              <w:t>opening and closing plenaries</w:t>
            </w:r>
            <w:r>
              <w:t>.</w:t>
            </w:r>
          </w:p>
        </w:tc>
      </w:tr>
      <w:tr w:rsidR="0007033F" w14:paraId="7E5E9600" w14:textId="77777777" w:rsidTr="52AFA42C">
        <w:tc>
          <w:tcPr>
            <w:tcW w:w="2977" w:type="dxa"/>
          </w:tcPr>
          <w:p w14:paraId="6673993F" w14:textId="3EFDE498" w:rsidR="0007033F" w:rsidRPr="00434F49" w:rsidRDefault="0007033F" w:rsidP="00BA3326">
            <w:pPr>
              <w:rPr>
                <w:rFonts w:eastAsiaTheme="minorEastAsia"/>
                <w:lang w:val="en-GB" w:eastAsia="en-US"/>
              </w:rPr>
            </w:pPr>
            <w:r w:rsidRPr="0007033F">
              <w:rPr>
                <w:rFonts w:eastAsiaTheme="minorEastAsia"/>
                <w:lang w:val="en-GB" w:eastAsia="en-US"/>
              </w:rPr>
              <w:t>Geneva, 13 March 2020</w:t>
            </w:r>
          </w:p>
        </w:tc>
        <w:tc>
          <w:tcPr>
            <w:tcW w:w="1455" w:type="dxa"/>
          </w:tcPr>
          <w:p w14:paraId="1322E6DE" w14:textId="4A49B749"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7BCAE69E" w14:textId="45B4B98D" w:rsidR="0007033F" w:rsidRDefault="0007033F" w:rsidP="00BA3326">
            <w:pPr>
              <w:rPr>
                <w:rFonts w:eastAsiaTheme="minorEastAsia"/>
                <w:lang w:val="en-GB" w:eastAsia="en-US"/>
              </w:rPr>
            </w:pPr>
            <w:r>
              <w:rPr>
                <w:rFonts w:eastAsiaTheme="minorEastAsia"/>
                <w:lang w:val="en-GB" w:eastAsia="en-US"/>
              </w:rPr>
              <w:t>Physical</w:t>
            </w:r>
          </w:p>
        </w:tc>
        <w:tc>
          <w:tcPr>
            <w:tcW w:w="3822" w:type="dxa"/>
          </w:tcPr>
          <w:p w14:paraId="31FE2858" w14:textId="13BA63B2" w:rsidR="0007033F" w:rsidRPr="00160475" w:rsidRDefault="00BD2669" w:rsidP="00BA3326">
            <w:r>
              <w:t>R</w:t>
            </w:r>
            <w:r w:rsidR="0087619A" w:rsidRPr="0087619A">
              <w:t xml:space="preserve">emote participants </w:t>
            </w:r>
            <w:r>
              <w:t>able to</w:t>
            </w:r>
            <w:r w:rsidR="0087619A" w:rsidRPr="0087619A">
              <w:t xml:space="preserve"> in decision-making </w:t>
            </w:r>
            <w:r>
              <w:t>sessions</w:t>
            </w:r>
            <w:r w:rsidR="007C6998">
              <w:t>.</w:t>
            </w:r>
          </w:p>
        </w:tc>
      </w:tr>
      <w:tr w:rsidR="00767586" w14:paraId="55AC57C0" w14:textId="77777777" w:rsidTr="52AFA42C">
        <w:tc>
          <w:tcPr>
            <w:tcW w:w="2977" w:type="dxa"/>
          </w:tcPr>
          <w:p w14:paraId="3095BF2A" w14:textId="5DDF9606" w:rsidR="00767586" w:rsidRPr="009541AB" w:rsidRDefault="00767586" w:rsidP="00BA3326">
            <w:pPr>
              <w:rPr>
                <w:rFonts w:eastAsiaTheme="minorEastAsia"/>
                <w:lang w:val="en-GB" w:eastAsia="en-US"/>
              </w:rPr>
            </w:pPr>
            <w:r w:rsidRPr="00767586">
              <w:rPr>
                <w:rFonts w:eastAsiaTheme="minorEastAsia"/>
                <w:lang w:val="en-GB" w:eastAsia="en-US"/>
              </w:rPr>
              <w:t>Virtual, 17-26 March 2020</w:t>
            </w:r>
          </w:p>
        </w:tc>
        <w:tc>
          <w:tcPr>
            <w:tcW w:w="1455" w:type="dxa"/>
          </w:tcPr>
          <w:p w14:paraId="03F05E57" w14:textId="090950D4"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7BD38AB7" w14:textId="6FD7ECAC" w:rsidR="00767586" w:rsidRDefault="00454EC8" w:rsidP="00BA3326">
            <w:pPr>
              <w:rPr>
                <w:rFonts w:eastAsiaTheme="minorEastAsia"/>
                <w:lang w:val="en-GB" w:eastAsia="en-US"/>
              </w:rPr>
            </w:pPr>
            <w:r>
              <w:rPr>
                <w:rFonts w:eastAsiaTheme="minorEastAsia"/>
                <w:lang w:val="en-GB" w:eastAsia="en-US"/>
              </w:rPr>
              <w:t>Fully v</w:t>
            </w:r>
            <w:r w:rsidR="00767586">
              <w:rPr>
                <w:rFonts w:eastAsiaTheme="minorEastAsia"/>
                <w:lang w:val="en-GB" w:eastAsia="en-US"/>
              </w:rPr>
              <w:t>irtual</w:t>
            </w:r>
          </w:p>
        </w:tc>
        <w:tc>
          <w:tcPr>
            <w:tcW w:w="3822" w:type="dxa"/>
          </w:tcPr>
          <w:p w14:paraId="7D7D9439" w14:textId="54D4AEFE" w:rsidR="00767586" w:rsidRDefault="000A37A2" w:rsidP="00BA3326">
            <w:r>
              <w:t xml:space="preserve">First fully virtual ITU-T </w:t>
            </w:r>
            <w:r w:rsidR="00BD2669">
              <w:t>s</w:t>
            </w:r>
            <w:r>
              <w:t xml:space="preserve">tudy </w:t>
            </w:r>
            <w:r w:rsidR="00BD2669">
              <w:t>g</w:t>
            </w:r>
            <w:r>
              <w:t>roup meeting</w:t>
            </w:r>
            <w:r w:rsidR="00BD2669">
              <w:t>, with a</w:t>
            </w:r>
            <w:r w:rsidR="00905CBC">
              <w:t xml:space="preserve"> closing e-plenary in English only.</w:t>
            </w:r>
          </w:p>
        </w:tc>
      </w:tr>
      <w:tr w:rsidR="00FA6249" w14:paraId="24406172" w14:textId="77777777" w:rsidTr="52AFA42C">
        <w:tc>
          <w:tcPr>
            <w:tcW w:w="2977" w:type="dxa"/>
          </w:tcPr>
          <w:p w14:paraId="42D31EC5" w14:textId="23DACDA9" w:rsidR="00FA6249" w:rsidRPr="00767586" w:rsidRDefault="00CD3226" w:rsidP="00BA3326">
            <w:pPr>
              <w:rPr>
                <w:rFonts w:eastAsiaTheme="minorEastAsia"/>
                <w:lang w:val="en-GB" w:eastAsia="en-US"/>
              </w:rPr>
            </w:pPr>
            <w:r>
              <w:rPr>
                <w:rFonts w:eastAsiaTheme="minorEastAsia"/>
                <w:lang w:val="en-GB" w:eastAsia="en-US"/>
              </w:rPr>
              <w:t>V</w:t>
            </w:r>
            <w:r w:rsidR="00FA6249" w:rsidRPr="00FA6249">
              <w:rPr>
                <w:rFonts w:eastAsiaTheme="minorEastAsia"/>
                <w:lang w:val="en-GB" w:eastAsia="en-US"/>
              </w:rPr>
              <w:t>irtual, 31 March - 9 April 2020</w:t>
            </w:r>
          </w:p>
        </w:tc>
        <w:tc>
          <w:tcPr>
            <w:tcW w:w="1455" w:type="dxa"/>
          </w:tcPr>
          <w:p w14:paraId="4006A76B" w14:textId="456E784F"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850548B" w14:textId="53EAD5FB" w:rsidR="00FA6249" w:rsidRDefault="00FA6249" w:rsidP="00BA3326">
            <w:pPr>
              <w:rPr>
                <w:rFonts w:eastAsiaTheme="minorEastAsia"/>
                <w:lang w:val="en-GB" w:eastAsia="en-US"/>
              </w:rPr>
            </w:pPr>
            <w:r>
              <w:rPr>
                <w:rFonts w:eastAsiaTheme="minorEastAsia"/>
                <w:lang w:val="en-GB" w:eastAsia="en-US"/>
              </w:rPr>
              <w:t>Fully virtual</w:t>
            </w:r>
          </w:p>
        </w:tc>
        <w:tc>
          <w:tcPr>
            <w:tcW w:w="3822" w:type="dxa"/>
          </w:tcPr>
          <w:p w14:paraId="7CC81E53" w14:textId="264421A9" w:rsidR="00FA6249" w:rsidRDefault="00FA6249" w:rsidP="00BA3326">
            <w:r>
              <w:t>English only</w:t>
            </w:r>
            <w:r w:rsidR="002B35E9">
              <w:t xml:space="preserve">; </w:t>
            </w:r>
            <w:r w:rsidR="00631FC6">
              <w:t>automat</w:t>
            </w:r>
            <w:r w:rsidR="00370E4F">
              <w:t>ed AI</w:t>
            </w:r>
            <w:r w:rsidR="00631FC6">
              <w:t xml:space="preserve"> translation of </w:t>
            </w:r>
            <w:r w:rsidR="00370E4F">
              <w:t xml:space="preserve">meeting documents </w:t>
            </w:r>
            <w:r w:rsidR="00370E4F">
              <w:lastRenderedPageBreak/>
              <w:t xml:space="preserve">with </w:t>
            </w:r>
            <w:r w:rsidR="00631FC6">
              <w:t xml:space="preserve">TSB AI tool; </w:t>
            </w:r>
            <w:r w:rsidR="00BD2669">
              <w:t xml:space="preserve">and </w:t>
            </w:r>
            <w:r w:rsidR="002B35E9" w:rsidRPr="002B35E9">
              <w:t>remote participants able to express their views in decision-making sessions</w:t>
            </w:r>
            <w:r w:rsidR="007C6998">
              <w:t>.</w:t>
            </w:r>
          </w:p>
        </w:tc>
      </w:tr>
      <w:tr w:rsidR="00E96C02" w14:paraId="7D6C353B" w14:textId="77777777" w:rsidTr="52AFA42C">
        <w:tc>
          <w:tcPr>
            <w:tcW w:w="2977" w:type="dxa"/>
          </w:tcPr>
          <w:p w14:paraId="144E64E9" w14:textId="3FEF60B8" w:rsidR="00E96C02" w:rsidRPr="00FA6249" w:rsidRDefault="00CD3226" w:rsidP="00BA3326">
            <w:pPr>
              <w:rPr>
                <w:rFonts w:eastAsiaTheme="minorEastAsia"/>
                <w:lang w:val="en-GB" w:eastAsia="en-US"/>
              </w:rPr>
            </w:pPr>
            <w:r>
              <w:rPr>
                <w:rFonts w:eastAsiaTheme="minorEastAsia"/>
                <w:lang w:val="en-GB" w:eastAsia="en-US"/>
              </w:rPr>
              <w:lastRenderedPageBreak/>
              <w:t>V</w:t>
            </w:r>
            <w:r w:rsidR="00E96C02" w:rsidRPr="00FA6249">
              <w:rPr>
                <w:rFonts w:eastAsiaTheme="minorEastAsia"/>
                <w:lang w:val="en-GB" w:eastAsia="en-US"/>
              </w:rPr>
              <w:t xml:space="preserve">irtual, </w:t>
            </w:r>
            <w:r w:rsidR="00E96C02" w:rsidRPr="00E96C02">
              <w:rPr>
                <w:rFonts w:eastAsiaTheme="minorEastAsia"/>
                <w:lang w:val="en-GB" w:eastAsia="en-US"/>
              </w:rPr>
              <w:t>15-24 April 2020</w:t>
            </w:r>
          </w:p>
        </w:tc>
        <w:tc>
          <w:tcPr>
            <w:tcW w:w="1455" w:type="dxa"/>
          </w:tcPr>
          <w:p w14:paraId="1C387775" w14:textId="3A0A3761"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1E81FC63" w14:textId="32FD5C42" w:rsidR="00E96C02" w:rsidRDefault="00E96C02" w:rsidP="00BA3326">
            <w:pPr>
              <w:rPr>
                <w:rFonts w:eastAsiaTheme="minorEastAsia"/>
                <w:lang w:val="en-GB" w:eastAsia="en-US"/>
              </w:rPr>
            </w:pPr>
            <w:r>
              <w:rPr>
                <w:rFonts w:eastAsiaTheme="minorEastAsia"/>
                <w:lang w:val="en-GB" w:eastAsia="en-US"/>
              </w:rPr>
              <w:t>Fully virtual</w:t>
            </w:r>
          </w:p>
        </w:tc>
        <w:tc>
          <w:tcPr>
            <w:tcW w:w="3822" w:type="dxa"/>
          </w:tcPr>
          <w:p w14:paraId="7BBC2F36" w14:textId="784558B8" w:rsidR="00E96C02" w:rsidRDefault="009708AB" w:rsidP="00BA3326">
            <w:r>
              <w:t>C</w:t>
            </w:r>
            <w:r w:rsidRPr="009708AB">
              <w:t>losing e-plenary in English only</w:t>
            </w:r>
            <w:r>
              <w:t>.</w:t>
            </w:r>
          </w:p>
        </w:tc>
      </w:tr>
      <w:tr w:rsidR="00992FEE" w14:paraId="7D77C44C" w14:textId="77777777" w:rsidTr="52AFA42C">
        <w:tc>
          <w:tcPr>
            <w:tcW w:w="2977" w:type="dxa"/>
          </w:tcPr>
          <w:p w14:paraId="7A805E67" w14:textId="4E39E079" w:rsidR="00992FEE" w:rsidRPr="00FA6249" w:rsidRDefault="00CD2B14" w:rsidP="00BA3326">
            <w:pPr>
              <w:rPr>
                <w:rFonts w:eastAsiaTheme="minorEastAsia"/>
                <w:lang w:val="en-GB" w:eastAsia="en-US"/>
              </w:rPr>
            </w:pPr>
            <w:r>
              <w:rPr>
                <w:rFonts w:eastAsiaTheme="minorEastAsia"/>
                <w:lang w:val="en-GB" w:eastAsia="en-US"/>
              </w:rPr>
              <w:t xml:space="preserve">Virtual, </w:t>
            </w:r>
            <w:r w:rsidR="00992FEE" w:rsidRPr="00992FEE">
              <w:rPr>
                <w:rFonts w:eastAsiaTheme="minorEastAsia"/>
                <w:lang w:val="en-GB" w:eastAsia="en-US"/>
              </w:rPr>
              <w:t>16-23 April 2020</w:t>
            </w:r>
          </w:p>
        </w:tc>
        <w:tc>
          <w:tcPr>
            <w:tcW w:w="1455" w:type="dxa"/>
          </w:tcPr>
          <w:p w14:paraId="7C904890" w14:textId="34FB656C" w:rsidR="007C6998" w:rsidRDefault="007C6998" w:rsidP="007C6998">
            <w:pPr>
              <w:rPr>
                <w:rFonts w:eastAsiaTheme="minorEastAsia"/>
                <w:lang w:val="en-GB" w:eastAsia="en-US"/>
              </w:rPr>
            </w:pPr>
            <w:r>
              <w:rPr>
                <w:rFonts w:eastAsiaTheme="minorEastAsia"/>
                <w:lang w:val="en-GB" w:eastAsia="en-US"/>
              </w:rPr>
              <w:t>ITU-T SG9</w:t>
            </w:r>
          </w:p>
        </w:tc>
        <w:tc>
          <w:tcPr>
            <w:tcW w:w="1134" w:type="dxa"/>
          </w:tcPr>
          <w:p w14:paraId="29B27C5F" w14:textId="1E8CADB0" w:rsidR="00992FEE" w:rsidRDefault="00992FEE" w:rsidP="00BA3326">
            <w:pPr>
              <w:rPr>
                <w:rFonts w:eastAsiaTheme="minorEastAsia"/>
                <w:lang w:val="en-GB" w:eastAsia="en-US"/>
              </w:rPr>
            </w:pPr>
            <w:r>
              <w:rPr>
                <w:rFonts w:eastAsiaTheme="minorEastAsia"/>
                <w:lang w:val="en-GB" w:eastAsia="en-US"/>
              </w:rPr>
              <w:t>Fully virtual</w:t>
            </w:r>
          </w:p>
        </w:tc>
        <w:tc>
          <w:tcPr>
            <w:tcW w:w="3822" w:type="dxa"/>
          </w:tcPr>
          <w:p w14:paraId="3F5A122B" w14:textId="1ECC1E2C" w:rsidR="00992FEE" w:rsidRDefault="007C6998" w:rsidP="00BA3326">
            <w:r>
              <w:t>R</w:t>
            </w:r>
            <w:r w:rsidRPr="002B35E9">
              <w:t>emote</w:t>
            </w:r>
            <w:r w:rsidR="00A20823" w:rsidRPr="002B35E9">
              <w:t xml:space="preserve"> participants able to express their views in decision-making sessions</w:t>
            </w:r>
            <w:r>
              <w:t>.</w:t>
            </w:r>
          </w:p>
        </w:tc>
      </w:tr>
      <w:tr w:rsidR="001F2C8D" w14:paraId="348ABDB5" w14:textId="77777777" w:rsidTr="52AFA42C">
        <w:tc>
          <w:tcPr>
            <w:tcW w:w="2977" w:type="dxa"/>
          </w:tcPr>
          <w:p w14:paraId="2FDC3BC9" w14:textId="424AE4D7" w:rsidR="001F2C8D" w:rsidRPr="00FA6249" w:rsidRDefault="00CD2B14" w:rsidP="00BA3326">
            <w:pPr>
              <w:rPr>
                <w:rFonts w:eastAsiaTheme="minorEastAsia"/>
                <w:lang w:val="en-GB" w:eastAsia="en-US"/>
              </w:rPr>
            </w:pPr>
            <w:r>
              <w:rPr>
                <w:rFonts w:eastAsiaTheme="minorEastAsia"/>
                <w:lang w:val="en-GB" w:eastAsia="en-US"/>
              </w:rPr>
              <w:t xml:space="preserve">Virtual, </w:t>
            </w:r>
            <w:r w:rsidR="001F2C8D" w:rsidRPr="001F2C8D">
              <w:rPr>
                <w:rFonts w:eastAsiaTheme="minorEastAsia"/>
                <w:lang w:val="en-GB" w:eastAsia="en-US"/>
              </w:rPr>
              <w:t>11-20 May 2020</w:t>
            </w:r>
          </w:p>
        </w:tc>
        <w:tc>
          <w:tcPr>
            <w:tcW w:w="1455" w:type="dxa"/>
          </w:tcPr>
          <w:p w14:paraId="0BE849F9" w14:textId="2B6EAA44" w:rsidR="007C6998" w:rsidRDefault="007C6998" w:rsidP="007C6998">
            <w:pPr>
              <w:rPr>
                <w:rFonts w:eastAsiaTheme="minorEastAsia"/>
                <w:lang w:val="en-GB" w:eastAsia="en-US"/>
              </w:rPr>
            </w:pPr>
            <w:r>
              <w:rPr>
                <w:rFonts w:eastAsiaTheme="minorEastAsia"/>
                <w:lang w:val="en-GB" w:eastAsia="en-US"/>
              </w:rPr>
              <w:t>ITU-T SG5</w:t>
            </w:r>
          </w:p>
        </w:tc>
        <w:tc>
          <w:tcPr>
            <w:tcW w:w="1134" w:type="dxa"/>
          </w:tcPr>
          <w:p w14:paraId="2EEE4FCF" w14:textId="02F43D78" w:rsidR="001F2C8D" w:rsidRDefault="001F2C8D" w:rsidP="00BA3326">
            <w:pPr>
              <w:rPr>
                <w:rFonts w:eastAsiaTheme="minorEastAsia"/>
                <w:lang w:val="en-GB" w:eastAsia="en-US"/>
              </w:rPr>
            </w:pPr>
            <w:r>
              <w:rPr>
                <w:rFonts w:eastAsiaTheme="minorEastAsia"/>
                <w:lang w:val="en-GB" w:eastAsia="en-US"/>
              </w:rPr>
              <w:t>Fully virtual</w:t>
            </w:r>
          </w:p>
        </w:tc>
        <w:tc>
          <w:tcPr>
            <w:tcW w:w="3822" w:type="dxa"/>
          </w:tcPr>
          <w:p w14:paraId="07787E1C" w14:textId="5FE9FA06" w:rsidR="001F2C8D" w:rsidRDefault="00E80E8D" w:rsidP="00BA3326">
            <w:r>
              <w:t>C</w:t>
            </w:r>
            <w:r w:rsidRPr="009708AB">
              <w:t>losing e-plenary in English only</w:t>
            </w:r>
            <w:r>
              <w:t>.</w:t>
            </w:r>
          </w:p>
        </w:tc>
      </w:tr>
      <w:tr w:rsidR="00D1465B" w14:paraId="49E30BB3" w14:textId="77777777" w:rsidTr="52AFA42C">
        <w:tc>
          <w:tcPr>
            <w:tcW w:w="2977" w:type="dxa"/>
          </w:tcPr>
          <w:p w14:paraId="3C6CD8A9" w14:textId="265FFB61" w:rsidR="00D1465B" w:rsidRPr="00767586" w:rsidRDefault="00D1465B" w:rsidP="00BA3326">
            <w:pPr>
              <w:rPr>
                <w:rFonts w:eastAsiaTheme="minorEastAsia"/>
                <w:lang w:val="en-GB" w:eastAsia="en-US"/>
              </w:rPr>
            </w:pPr>
            <w:r w:rsidRPr="00D1465B">
              <w:rPr>
                <w:rFonts w:eastAsiaTheme="minorEastAsia"/>
                <w:lang w:val="en-GB" w:eastAsia="en-US"/>
              </w:rPr>
              <w:t>Virtual, 27 May - 5 June 2020</w:t>
            </w:r>
          </w:p>
        </w:tc>
        <w:tc>
          <w:tcPr>
            <w:tcW w:w="1455" w:type="dxa"/>
          </w:tcPr>
          <w:p w14:paraId="66CA1415" w14:textId="4F86B7DC"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36C09DE4" w14:textId="6F286DB1" w:rsidR="00D1465B" w:rsidRDefault="00D1465B" w:rsidP="00BA3326">
            <w:pPr>
              <w:rPr>
                <w:rFonts w:eastAsiaTheme="minorEastAsia"/>
                <w:lang w:val="en-GB" w:eastAsia="en-US"/>
              </w:rPr>
            </w:pPr>
            <w:r>
              <w:rPr>
                <w:rFonts w:eastAsiaTheme="minorEastAsia"/>
                <w:lang w:val="en-GB" w:eastAsia="en-US"/>
              </w:rPr>
              <w:t>Fully virtual</w:t>
            </w:r>
          </w:p>
        </w:tc>
        <w:tc>
          <w:tcPr>
            <w:tcW w:w="3822" w:type="dxa"/>
          </w:tcPr>
          <w:p w14:paraId="16760D25" w14:textId="43693B7D" w:rsidR="00D1465B" w:rsidRDefault="6AF36642" w:rsidP="00BA3326">
            <w:r>
              <w:t>English only</w:t>
            </w:r>
            <w:r w:rsidR="00BD2669">
              <w:t xml:space="preserve">; </w:t>
            </w:r>
            <w:r w:rsidR="00370E4F">
              <w:t xml:space="preserve">automated AI translation of meeting documents with TSB AI tool; </w:t>
            </w:r>
            <w:r w:rsidR="00BD2669">
              <w:t xml:space="preserve">and </w:t>
            </w:r>
            <w:r>
              <w:t>captioning for selected sessions.</w:t>
            </w:r>
          </w:p>
        </w:tc>
      </w:tr>
      <w:tr w:rsidR="000B39C4" w14:paraId="6118261B" w14:textId="77777777" w:rsidTr="52AFA42C">
        <w:tc>
          <w:tcPr>
            <w:tcW w:w="2977" w:type="dxa"/>
          </w:tcPr>
          <w:p w14:paraId="44D0F838" w14:textId="7F55AC62" w:rsidR="000B39C4" w:rsidRPr="00767586" w:rsidRDefault="000B39C4" w:rsidP="000B39C4">
            <w:pPr>
              <w:rPr>
                <w:rFonts w:eastAsiaTheme="minorEastAsia"/>
                <w:lang w:val="en-GB" w:eastAsia="en-US"/>
              </w:rPr>
            </w:pPr>
            <w:r w:rsidRPr="000B39C4">
              <w:rPr>
                <w:rFonts w:eastAsiaTheme="minorEastAsia"/>
                <w:lang w:val="en-GB" w:eastAsia="en-US"/>
              </w:rPr>
              <w:t>Virtual, 29 May 2020</w:t>
            </w:r>
          </w:p>
        </w:tc>
        <w:tc>
          <w:tcPr>
            <w:tcW w:w="1455" w:type="dxa"/>
          </w:tcPr>
          <w:p w14:paraId="5CEF2592" w14:textId="7E4865D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1FCF5AC1" w14:textId="435C728D" w:rsidR="000B39C4" w:rsidRDefault="000B39C4" w:rsidP="000B39C4">
            <w:pPr>
              <w:rPr>
                <w:rFonts w:eastAsiaTheme="minorEastAsia"/>
                <w:lang w:val="en-GB" w:eastAsia="en-US"/>
              </w:rPr>
            </w:pPr>
            <w:r>
              <w:rPr>
                <w:rFonts w:eastAsiaTheme="minorEastAsia"/>
                <w:lang w:val="en-GB" w:eastAsia="en-US"/>
              </w:rPr>
              <w:t>Fully virtual</w:t>
            </w:r>
          </w:p>
        </w:tc>
        <w:tc>
          <w:tcPr>
            <w:tcW w:w="3822" w:type="dxa"/>
          </w:tcPr>
          <w:p w14:paraId="70D972DB" w14:textId="2B991D46" w:rsidR="000B39C4" w:rsidRDefault="007C6998" w:rsidP="000B39C4">
            <w:r>
              <w:rPr>
                <w:rFonts w:eastAsiaTheme="minorEastAsia"/>
                <w:lang w:val="en-GB" w:eastAsia="en-US"/>
              </w:rPr>
              <w:t>S</w:t>
            </w:r>
            <w:r w:rsidRPr="000B39C4">
              <w:rPr>
                <w:rFonts w:eastAsiaTheme="minorEastAsia"/>
                <w:lang w:val="en-GB" w:eastAsia="en-US"/>
              </w:rPr>
              <w:t>pecial</w:t>
            </w:r>
            <w:r w:rsidR="000B39C4" w:rsidRPr="000B39C4">
              <w:rPr>
                <w:rFonts w:eastAsiaTheme="minorEastAsia"/>
                <w:lang w:val="en-GB" w:eastAsia="en-US"/>
              </w:rPr>
              <w:t xml:space="preserve"> e-plenary session of </w:t>
            </w:r>
            <w:r w:rsidR="00370E4F">
              <w:rPr>
                <w:rFonts w:eastAsiaTheme="minorEastAsia"/>
                <w:lang w:val="en-GB" w:eastAsia="en-US"/>
              </w:rPr>
              <w:t xml:space="preserve">SG17 </w:t>
            </w:r>
            <w:r w:rsidR="00BD2669">
              <w:rPr>
                <w:rFonts w:eastAsiaTheme="minorEastAsia"/>
                <w:lang w:val="en-GB" w:eastAsia="en-US"/>
              </w:rPr>
              <w:t>in</w:t>
            </w:r>
            <w:r w:rsidR="00147721">
              <w:rPr>
                <w:rFonts w:eastAsiaTheme="minorEastAsia"/>
                <w:lang w:val="en-GB" w:eastAsia="en-US"/>
              </w:rPr>
              <w:t xml:space="preserve"> English only</w:t>
            </w:r>
            <w:r>
              <w:rPr>
                <w:rFonts w:eastAsiaTheme="minorEastAsia"/>
                <w:lang w:val="en-GB" w:eastAsia="en-US"/>
              </w:rPr>
              <w:t>.</w:t>
            </w:r>
          </w:p>
        </w:tc>
      </w:tr>
      <w:tr w:rsidR="00455386" w14:paraId="44837B67" w14:textId="77777777" w:rsidTr="52AFA42C">
        <w:tc>
          <w:tcPr>
            <w:tcW w:w="2977" w:type="dxa"/>
          </w:tcPr>
          <w:p w14:paraId="7687340C" w14:textId="43BDA047" w:rsidR="00455386" w:rsidRPr="000B39C4" w:rsidRDefault="00455386" w:rsidP="000B39C4">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47C1C6B3" w14:textId="3A789B30" w:rsidR="007C6998" w:rsidRDefault="007C6998" w:rsidP="007C6998">
            <w:pPr>
              <w:rPr>
                <w:rFonts w:eastAsiaTheme="minorEastAsia"/>
                <w:lang w:val="en-GB" w:eastAsia="en-US"/>
              </w:rPr>
            </w:pPr>
            <w:r>
              <w:rPr>
                <w:rFonts w:eastAsiaTheme="minorEastAsia"/>
                <w:lang w:val="en-GB" w:eastAsia="en-US"/>
              </w:rPr>
              <w:t>ITU-T WP</w:t>
            </w:r>
            <w:r w:rsidRPr="00455386">
              <w:rPr>
                <w:rFonts w:eastAsiaTheme="minorEastAsia"/>
                <w:lang w:val="en-GB" w:eastAsia="en-US"/>
              </w:rPr>
              <w:t>1/9</w:t>
            </w:r>
          </w:p>
        </w:tc>
        <w:tc>
          <w:tcPr>
            <w:tcW w:w="1134" w:type="dxa"/>
          </w:tcPr>
          <w:p w14:paraId="3BE4A04E" w14:textId="78E3F763" w:rsidR="00455386" w:rsidRDefault="00455386" w:rsidP="000B39C4">
            <w:pPr>
              <w:rPr>
                <w:rFonts w:eastAsiaTheme="minorEastAsia"/>
                <w:lang w:val="en-GB" w:eastAsia="en-US"/>
              </w:rPr>
            </w:pPr>
            <w:r>
              <w:rPr>
                <w:rFonts w:eastAsiaTheme="minorEastAsia"/>
                <w:lang w:val="en-GB" w:eastAsia="en-US"/>
              </w:rPr>
              <w:t>Fully virtual</w:t>
            </w:r>
          </w:p>
        </w:tc>
        <w:tc>
          <w:tcPr>
            <w:tcW w:w="3822" w:type="dxa"/>
          </w:tcPr>
          <w:p w14:paraId="4CE69233" w14:textId="6BA2B125" w:rsidR="00455386" w:rsidRPr="000B39C4" w:rsidRDefault="007C6998" w:rsidP="000B39C4">
            <w:pPr>
              <w:rPr>
                <w:rFonts w:eastAsiaTheme="minorEastAsia"/>
                <w:lang w:val="en-GB" w:eastAsia="en-US"/>
              </w:rPr>
            </w:pPr>
            <w:r>
              <w:t>Closing e-plenary in English only.</w:t>
            </w:r>
          </w:p>
        </w:tc>
      </w:tr>
      <w:tr w:rsidR="009B1FF3" w14:paraId="18ED2BEA" w14:textId="77777777" w:rsidTr="52AFA42C">
        <w:tc>
          <w:tcPr>
            <w:tcW w:w="2977" w:type="dxa"/>
          </w:tcPr>
          <w:p w14:paraId="71696D23" w14:textId="6B71AE8D" w:rsidR="009B1FF3" w:rsidRDefault="009B1FF3" w:rsidP="009B1FF3">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7FE6E103" w14:textId="3FE65A6D" w:rsidR="007C6998" w:rsidRDefault="007C6998" w:rsidP="007C6998">
            <w:pPr>
              <w:rPr>
                <w:rFonts w:eastAsiaTheme="minorEastAsia"/>
                <w:lang w:val="en-GB" w:eastAsia="en-US"/>
              </w:rPr>
            </w:pPr>
            <w:r>
              <w:rPr>
                <w:rFonts w:eastAsiaTheme="minorEastAsia"/>
                <w:lang w:val="en-GB" w:eastAsia="en-US"/>
              </w:rPr>
              <w:t>ITU-T WP2</w:t>
            </w:r>
            <w:r w:rsidRPr="00455386">
              <w:rPr>
                <w:rFonts w:eastAsiaTheme="minorEastAsia"/>
                <w:lang w:val="en-GB" w:eastAsia="en-US"/>
              </w:rPr>
              <w:t>/9</w:t>
            </w:r>
          </w:p>
        </w:tc>
        <w:tc>
          <w:tcPr>
            <w:tcW w:w="1134" w:type="dxa"/>
          </w:tcPr>
          <w:p w14:paraId="748CD37E" w14:textId="034251F6" w:rsidR="009B1FF3" w:rsidRDefault="009B1FF3" w:rsidP="009B1FF3">
            <w:pPr>
              <w:rPr>
                <w:rFonts w:eastAsiaTheme="minorEastAsia"/>
                <w:lang w:val="en-GB" w:eastAsia="en-US"/>
              </w:rPr>
            </w:pPr>
            <w:r>
              <w:rPr>
                <w:rFonts w:eastAsiaTheme="minorEastAsia"/>
                <w:lang w:val="en-GB" w:eastAsia="en-US"/>
              </w:rPr>
              <w:t>Fully virtual</w:t>
            </w:r>
          </w:p>
        </w:tc>
        <w:tc>
          <w:tcPr>
            <w:tcW w:w="3822" w:type="dxa"/>
          </w:tcPr>
          <w:p w14:paraId="599A8BAC" w14:textId="7EB6AE2D" w:rsidR="009B1FF3" w:rsidRPr="000B39C4" w:rsidRDefault="007C6998" w:rsidP="009B1FF3">
            <w:pPr>
              <w:rPr>
                <w:rFonts w:eastAsiaTheme="minorEastAsia"/>
                <w:lang w:val="en-GB" w:eastAsia="en-US"/>
              </w:rPr>
            </w:pPr>
            <w:r>
              <w:t>Closing e-plenary in English only.</w:t>
            </w:r>
          </w:p>
        </w:tc>
      </w:tr>
      <w:tr w:rsidR="005B6ADA" w14:paraId="7F81A84B" w14:textId="77777777" w:rsidTr="52AFA42C">
        <w:tc>
          <w:tcPr>
            <w:tcW w:w="2977" w:type="dxa"/>
          </w:tcPr>
          <w:p w14:paraId="1BC6190A" w14:textId="22A4A5EF" w:rsidR="005B6ADA" w:rsidRDefault="005B6ADA" w:rsidP="009B1FF3">
            <w:pPr>
              <w:rPr>
                <w:rFonts w:eastAsiaTheme="minorEastAsia"/>
                <w:lang w:val="en-GB" w:eastAsia="en-US"/>
              </w:rPr>
            </w:pPr>
            <w:r>
              <w:rPr>
                <w:rFonts w:eastAsiaTheme="minorEastAsia"/>
                <w:lang w:val="en-GB" w:eastAsia="en-US"/>
              </w:rPr>
              <w:t xml:space="preserve">Virtual, </w:t>
            </w:r>
            <w:r w:rsidRPr="005B6ADA">
              <w:rPr>
                <w:rFonts w:eastAsiaTheme="minorEastAsia"/>
                <w:lang w:val="en-GB" w:eastAsia="en-US"/>
              </w:rPr>
              <w:t>20-31 July 2020</w:t>
            </w:r>
          </w:p>
        </w:tc>
        <w:tc>
          <w:tcPr>
            <w:tcW w:w="1455" w:type="dxa"/>
          </w:tcPr>
          <w:p w14:paraId="5B2D0B13" w14:textId="0327E736"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19BB4C9B" w14:textId="10C656C4" w:rsidR="005B6ADA" w:rsidRDefault="005B6ADA" w:rsidP="009B1FF3">
            <w:pPr>
              <w:rPr>
                <w:rFonts w:eastAsiaTheme="minorEastAsia"/>
                <w:lang w:val="en-GB" w:eastAsia="en-US"/>
              </w:rPr>
            </w:pPr>
            <w:r>
              <w:rPr>
                <w:rFonts w:eastAsiaTheme="minorEastAsia"/>
                <w:lang w:val="en-GB" w:eastAsia="en-US"/>
              </w:rPr>
              <w:t>Fully virtual</w:t>
            </w:r>
          </w:p>
        </w:tc>
        <w:tc>
          <w:tcPr>
            <w:tcW w:w="3822" w:type="dxa"/>
          </w:tcPr>
          <w:p w14:paraId="4176A416" w14:textId="4144F97F" w:rsidR="005B6ADA" w:rsidRPr="000B39C4" w:rsidRDefault="007C6998" w:rsidP="009B1FF3">
            <w:pPr>
              <w:rPr>
                <w:rFonts w:eastAsiaTheme="minorEastAsia"/>
                <w:lang w:val="en-GB" w:eastAsia="en-US"/>
              </w:rPr>
            </w:pPr>
            <w:r>
              <w:t>Closing e-plenary in English only.</w:t>
            </w:r>
          </w:p>
        </w:tc>
      </w:tr>
      <w:tr w:rsidR="00B601AE" w14:paraId="134E9AC6" w14:textId="77777777" w:rsidTr="52AFA42C">
        <w:tc>
          <w:tcPr>
            <w:tcW w:w="2977" w:type="dxa"/>
          </w:tcPr>
          <w:p w14:paraId="203EF762" w14:textId="1D00979F" w:rsidR="00B601AE" w:rsidRDefault="00CD2B14" w:rsidP="009B1FF3">
            <w:pPr>
              <w:rPr>
                <w:rFonts w:eastAsiaTheme="minorEastAsia"/>
                <w:lang w:val="en-GB" w:eastAsia="en-US"/>
              </w:rPr>
            </w:pPr>
            <w:r>
              <w:rPr>
                <w:rFonts w:eastAsiaTheme="minorEastAsia"/>
                <w:lang w:val="en-GB" w:eastAsia="en-US"/>
              </w:rPr>
              <w:t xml:space="preserve">Virtual, </w:t>
            </w:r>
            <w:r w:rsidR="00B601AE" w:rsidRPr="00B601AE">
              <w:rPr>
                <w:rFonts w:eastAsiaTheme="minorEastAsia"/>
                <w:lang w:val="en-GB" w:eastAsia="en-US"/>
              </w:rPr>
              <w:t>22-31 July 2020</w:t>
            </w:r>
          </w:p>
        </w:tc>
        <w:tc>
          <w:tcPr>
            <w:tcW w:w="1455" w:type="dxa"/>
          </w:tcPr>
          <w:p w14:paraId="08003706" w14:textId="2CDDAD67"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AA5262C" w14:textId="6CAF3895" w:rsidR="00B601AE" w:rsidRDefault="00B601AE" w:rsidP="009B1FF3">
            <w:pPr>
              <w:rPr>
                <w:rFonts w:eastAsiaTheme="minorEastAsia"/>
                <w:lang w:val="en-GB" w:eastAsia="en-US"/>
              </w:rPr>
            </w:pPr>
            <w:r>
              <w:rPr>
                <w:rFonts w:eastAsiaTheme="minorEastAsia"/>
                <w:lang w:val="en-GB" w:eastAsia="en-US"/>
              </w:rPr>
              <w:t>Fully virtual</w:t>
            </w:r>
          </w:p>
        </w:tc>
        <w:tc>
          <w:tcPr>
            <w:tcW w:w="3822" w:type="dxa"/>
          </w:tcPr>
          <w:p w14:paraId="1CB628F9" w14:textId="4D038374" w:rsidR="00B601AE" w:rsidRPr="000B39C4" w:rsidRDefault="007C6998" w:rsidP="009B1FF3">
            <w:pPr>
              <w:rPr>
                <w:rFonts w:eastAsiaTheme="minorEastAsia"/>
                <w:lang w:val="en-GB" w:eastAsia="en-US"/>
              </w:rPr>
            </w:pPr>
            <w:r>
              <w:rPr>
                <w:rFonts w:eastAsiaTheme="minorEastAsia"/>
                <w:lang w:val="en-GB" w:eastAsia="en-US"/>
              </w:rPr>
              <w:t>English-</w:t>
            </w:r>
            <w:r w:rsidRPr="001E5002">
              <w:rPr>
                <w:rFonts w:eastAsiaTheme="minorEastAsia"/>
                <w:lang w:val="en-GB" w:eastAsia="en-US"/>
              </w:rPr>
              <w:t>Russian interpretation</w:t>
            </w:r>
            <w:r>
              <w:rPr>
                <w:rFonts w:eastAsiaTheme="minorEastAsia"/>
                <w:lang w:val="en-GB" w:eastAsia="en-US"/>
              </w:rPr>
              <w:t xml:space="preserve"> on MyMeetings</w:t>
            </w:r>
            <w:r w:rsidRPr="001E5002">
              <w:rPr>
                <w:rFonts w:eastAsiaTheme="minorEastAsia"/>
                <w:lang w:val="en-GB" w:eastAsia="en-US"/>
              </w:rPr>
              <w:t xml:space="preserve"> at the closing plenary</w:t>
            </w:r>
            <w:r>
              <w:rPr>
                <w:rFonts w:eastAsiaTheme="minorEastAsia"/>
                <w:lang w:val="en-GB" w:eastAsia="en-US"/>
              </w:rPr>
              <w:t>.</w:t>
            </w:r>
          </w:p>
        </w:tc>
      </w:tr>
      <w:tr w:rsidR="000B39C4" w14:paraId="503B1B54" w14:textId="77777777" w:rsidTr="52AFA42C">
        <w:tc>
          <w:tcPr>
            <w:tcW w:w="2977" w:type="dxa"/>
          </w:tcPr>
          <w:p w14:paraId="4BD3CB6F" w14:textId="23016DAC" w:rsidR="000B39C4" w:rsidRPr="009541AB" w:rsidRDefault="000B39C4" w:rsidP="000B39C4">
            <w:pPr>
              <w:rPr>
                <w:rFonts w:eastAsiaTheme="minorEastAsia"/>
                <w:lang w:val="en-GB" w:eastAsia="en-US"/>
              </w:rPr>
            </w:pPr>
            <w:r w:rsidRPr="00767586">
              <w:rPr>
                <w:rFonts w:eastAsiaTheme="minorEastAsia"/>
                <w:lang w:val="en-GB" w:eastAsia="en-US"/>
              </w:rPr>
              <w:t>Virtual, 22 June - 3 July 2020</w:t>
            </w:r>
          </w:p>
        </w:tc>
        <w:tc>
          <w:tcPr>
            <w:tcW w:w="1455" w:type="dxa"/>
          </w:tcPr>
          <w:p w14:paraId="5D6FEFF8" w14:textId="4F521765" w:rsidR="007C6998" w:rsidRDefault="007C6998" w:rsidP="007C6998">
            <w:pPr>
              <w:rPr>
                <w:rFonts w:eastAsiaTheme="minorEastAsia"/>
                <w:lang w:val="en-GB" w:eastAsia="en-US"/>
              </w:rPr>
            </w:pPr>
            <w:r>
              <w:rPr>
                <w:rFonts w:eastAsiaTheme="minorEastAsia"/>
                <w:lang w:val="en-GB" w:eastAsia="en-US"/>
              </w:rPr>
              <w:t>ITU-T SG16</w:t>
            </w:r>
          </w:p>
        </w:tc>
        <w:tc>
          <w:tcPr>
            <w:tcW w:w="1134" w:type="dxa"/>
          </w:tcPr>
          <w:p w14:paraId="17302E81" w14:textId="6EAB3272"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E74C1CA" w14:textId="7A60C4F7" w:rsidR="000B39C4" w:rsidRDefault="634F06E7" w:rsidP="000B39C4">
            <w:r>
              <w:t>Interpretation trial in MyMeetings in Chinese for part of the closing plenary.</w:t>
            </w:r>
          </w:p>
        </w:tc>
      </w:tr>
      <w:tr w:rsidR="004C18CA" w14:paraId="7D791D24" w14:textId="77777777" w:rsidTr="52AFA42C">
        <w:tc>
          <w:tcPr>
            <w:tcW w:w="2977" w:type="dxa"/>
          </w:tcPr>
          <w:p w14:paraId="062D1B71" w14:textId="05AA32B3" w:rsidR="004C18CA" w:rsidRPr="00767586" w:rsidRDefault="004C18CA" w:rsidP="000B39C4">
            <w:pPr>
              <w:rPr>
                <w:rFonts w:eastAsiaTheme="minorEastAsia"/>
                <w:lang w:val="en-GB" w:eastAsia="en-US"/>
              </w:rPr>
            </w:pPr>
            <w:r w:rsidRPr="004C18CA">
              <w:rPr>
                <w:rFonts w:eastAsiaTheme="minorEastAsia"/>
                <w:lang w:val="en-GB" w:eastAsia="en-US"/>
              </w:rPr>
              <w:t>Virtual, 6-16 July 2020</w:t>
            </w:r>
          </w:p>
        </w:tc>
        <w:tc>
          <w:tcPr>
            <w:tcW w:w="1455" w:type="dxa"/>
          </w:tcPr>
          <w:p w14:paraId="743C037B" w14:textId="1B585968" w:rsidR="007C6998" w:rsidRDefault="007C6998" w:rsidP="007C6998">
            <w:pPr>
              <w:rPr>
                <w:rFonts w:eastAsiaTheme="minorEastAsia"/>
                <w:lang w:val="en-GB" w:eastAsia="en-US"/>
              </w:rPr>
            </w:pPr>
            <w:r>
              <w:rPr>
                <w:rFonts w:eastAsiaTheme="minorEastAsia"/>
                <w:lang w:val="en-GB" w:eastAsia="en-US"/>
              </w:rPr>
              <w:t>ITU-T SG20</w:t>
            </w:r>
          </w:p>
        </w:tc>
        <w:tc>
          <w:tcPr>
            <w:tcW w:w="1134" w:type="dxa"/>
          </w:tcPr>
          <w:p w14:paraId="0B8281CA" w14:textId="0C60950D" w:rsidR="004C18CA" w:rsidRPr="00517FB2" w:rsidRDefault="004C18CA" w:rsidP="000B39C4">
            <w:pPr>
              <w:rPr>
                <w:rFonts w:eastAsiaTheme="minorEastAsia"/>
                <w:lang w:val="en-GB" w:eastAsia="en-US"/>
              </w:rPr>
            </w:pPr>
            <w:r w:rsidRPr="00517FB2">
              <w:rPr>
                <w:rFonts w:eastAsiaTheme="minorEastAsia"/>
                <w:lang w:val="en-GB" w:eastAsia="en-US"/>
              </w:rPr>
              <w:t>Fully virtual</w:t>
            </w:r>
          </w:p>
        </w:tc>
        <w:tc>
          <w:tcPr>
            <w:tcW w:w="3822" w:type="dxa"/>
          </w:tcPr>
          <w:p w14:paraId="28B9DDA7" w14:textId="7143AD0F" w:rsidR="004C18CA" w:rsidRDefault="007C6998" w:rsidP="000B39C4">
            <w:r>
              <w:t>Closing e-plenary in English only.</w:t>
            </w:r>
          </w:p>
        </w:tc>
      </w:tr>
      <w:tr w:rsidR="00644CC4" w14:paraId="7C1A7D25" w14:textId="77777777" w:rsidTr="52AFA42C">
        <w:tc>
          <w:tcPr>
            <w:tcW w:w="2977" w:type="dxa"/>
          </w:tcPr>
          <w:p w14:paraId="464DEC63" w14:textId="3AC5689B" w:rsidR="00644CC4" w:rsidRPr="004C18CA" w:rsidRDefault="00CD2B14" w:rsidP="000B39C4">
            <w:pPr>
              <w:rPr>
                <w:rFonts w:eastAsiaTheme="minorEastAsia"/>
                <w:lang w:val="en-GB" w:eastAsia="en-US"/>
              </w:rPr>
            </w:pPr>
            <w:r>
              <w:rPr>
                <w:rFonts w:eastAsiaTheme="minorEastAsia"/>
                <w:lang w:val="en-GB" w:eastAsia="en-US"/>
              </w:rPr>
              <w:t xml:space="preserve">Virtual, </w:t>
            </w:r>
            <w:r w:rsidR="00644CC4" w:rsidRPr="00644CC4">
              <w:rPr>
                <w:rFonts w:eastAsiaTheme="minorEastAsia"/>
                <w:lang w:val="en-GB" w:eastAsia="en-US"/>
              </w:rPr>
              <w:t>24-28 August 2020</w:t>
            </w:r>
          </w:p>
        </w:tc>
        <w:tc>
          <w:tcPr>
            <w:tcW w:w="1455" w:type="dxa"/>
          </w:tcPr>
          <w:p w14:paraId="4E0305CB" w14:textId="276AAAD9"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6726AC1" w14:textId="58B6143C" w:rsidR="00644CC4" w:rsidRPr="00517FB2" w:rsidRDefault="00644CC4" w:rsidP="000B39C4">
            <w:pPr>
              <w:rPr>
                <w:rFonts w:eastAsiaTheme="minorEastAsia"/>
                <w:lang w:val="en-GB" w:eastAsia="en-US"/>
              </w:rPr>
            </w:pPr>
            <w:r w:rsidRPr="00517FB2">
              <w:rPr>
                <w:rFonts w:eastAsiaTheme="minorEastAsia"/>
                <w:lang w:val="en-GB" w:eastAsia="en-US"/>
              </w:rPr>
              <w:t>Fully virtual</w:t>
            </w:r>
          </w:p>
        </w:tc>
        <w:tc>
          <w:tcPr>
            <w:tcW w:w="3822" w:type="dxa"/>
          </w:tcPr>
          <w:p w14:paraId="5E765151" w14:textId="3D29A3C6" w:rsidR="00644CC4" w:rsidRDefault="001958F6" w:rsidP="000B39C4">
            <w:r>
              <w:t>French-English interpretation on MyMeetings</w:t>
            </w:r>
            <w:r w:rsidR="007C6998">
              <w:t>.</w:t>
            </w:r>
          </w:p>
        </w:tc>
      </w:tr>
      <w:tr w:rsidR="000B39C4" w14:paraId="57141445" w14:textId="77777777" w:rsidTr="52AFA42C">
        <w:tc>
          <w:tcPr>
            <w:tcW w:w="2977" w:type="dxa"/>
          </w:tcPr>
          <w:p w14:paraId="26259D29" w14:textId="3180EAB1" w:rsidR="000B39C4" w:rsidRPr="00767586" w:rsidRDefault="000B39C4" w:rsidP="000B39C4">
            <w:pPr>
              <w:rPr>
                <w:rFonts w:eastAsiaTheme="minorEastAsia"/>
                <w:lang w:val="en-GB" w:eastAsia="en-US"/>
              </w:rPr>
            </w:pPr>
            <w:r w:rsidRPr="00767586">
              <w:rPr>
                <w:rFonts w:eastAsiaTheme="minorEastAsia"/>
                <w:lang w:val="en-GB" w:eastAsia="en-US"/>
              </w:rPr>
              <w:t>Virtual, 24 August - 3 September 2020</w:t>
            </w:r>
          </w:p>
        </w:tc>
        <w:tc>
          <w:tcPr>
            <w:tcW w:w="1455" w:type="dxa"/>
          </w:tcPr>
          <w:p w14:paraId="340275B1" w14:textId="422905E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0C0AF561" w14:textId="0195CCCF"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1B7448A8" w14:textId="62B2E3E1" w:rsidR="000B39C4" w:rsidRDefault="007C6998" w:rsidP="000B39C4">
            <w:r>
              <w:t>Closing e-plenary in English only.</w:t>
            </w:r>
          </w:p>
        </w:tc>
      </w:tr>
      <w:tr w:rsidR="00C0406D" w14:paraId="6D1F2C0A" w14:textId="77777777" w:rsidTr="52AFA42C">
        <w:tc>
          <w:tcPr>
            <w:tcW w:w="2977" w:type="dxa"/>
          </w:tcPr>
          <w:p w14:paraId="3D7EB47A" w14:textId="1775EDEF" w:rsidR="00C0406D" w:rsidRPr="00767586" w:rsidRDefault="00C0406D" w:rsidP="000B39C4">
            <w:pPr>
              <w:rPr>
                <w:rFonts w:eastAsiaTheme="minorEastAsia"/>
                <w:lang w:val="en-GB" w:eastAsia="en-US"/>
              </w:rPr>
            </w:pPr>
            <w:r w:rsidRPr="00C0406D">
              <w:rPr>
                <w:rFonts w:eastAsiaTheme="minorEastAsia"/>
                <w:lang w:val="en-GB" w:eastAsia="en-US"/>
              </w:rPr>
              <w:t>Virtual, 7-8 September 2020</w:t>
            </w:r>
          </w:p>
        </w:tc>
        <w:tc>
          <w:tcPr>
            <w:tcW w:w="1455" w:type="dxa"/>
          </w:tcPr>
          <w:p w14:paraId="1E82711A" w14:textId="3AD50654"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40DE78AD" w14:textId="3D47D279" w:rsidR="00C0406D" w:rsidRPr="00517FB2" w:rsidRDefault="00C0406D" w:rsidP="000B39C4">
            <w:pPr>
              <w:rPr>
                <w:rFonts w:eastAsiaTheme="minorEastAsia"/>
                <w:lang w:val="en-GB" w:eastAsia="en-US"/>
              </w:rPr>
            </w:pPr>
            <w:r w:rsidRPr="00517FB2">
              <w:rPr>
                <w:rFonts w:eastAsiaTheme="minorEastAsia"/>
                <w:lang w:val="en-GB" w:eastAsia="en-US"/>
              </w:rPr>
              <w:t>Fully virtual</w:t>
            </w:r>
          </w:p>
        </w:tc>
        <w:tc>
          <w:tcPr>
            <w:tcW w:w="3822" w:type="dxa"/>
          </w:tcPr>
          <w:p w14:paraId="31C852D9" w14:textId="115781BF" w:rsidR="00C0406D" w:rsidRDefault="081EC3E3" w:rsidP="000B39C4">
            <w:r>
              <w:t xml:space="preserve">English only, </w:t>
            </w:r>
            <w:r w:rsidR="00370E4F">
              <w:t xml:space="preserve">with </w:t>
            </w:r>
            <w:r>
              <w:t>captioning for all sessions.</w:t>
            </w:r>
          </w:p>
        </w:tc>
      </w:tr>
      <w:tr w:rsidR="00F45485" w14:paraId="260DBD12" w14:textId="77777777" w:rsidTr="52AFA42C">
        <w:tc>
          <w:tcPr>
            <w:tcW w:w="2977" w:type="dxa"/>
          </w:tcPr>
          <w:p w14:paraId="73F9B875" w14:textId="0DBFC821" w:rsidR="00F45485" w:rsidRPr="00C0406D" w:rsidRDefault="00F45485" w:rsidP="00F45485">
            <w:pPr>
              <w:rPr>
                <w:rFonts w:eastAsiaTheme="minorEastAsia"/>
                <w:lang w:val="en-GB" w:eastAsia="en-US"/>
              </w:rPr>
            </w:pPr>
            <w:r w:rsidRPr="00C0406D">
              <w:rPr>
                <w:rFonts w:eastAsiaTheme="minorEastAsia"/>
                <w:lang w:val="en-GB" w:eastAsia="en-US"/>
              </w:rPr>
              <w:t xml:space="preserve">Virtual, </w:t>
            </w:r>
            <w:r w:rsidRPr="00F45485">
              <w:rPr>
                <w:rFonts w:eastAsiaTheme="minorEastAsia"/>
                <w:lang w:val="en-GB" w:eastAsia="en-US"/>
              </w:rPr>
              <w:t>7-11 September 2020</w:t>
            </w:r>
          </w:p>
        </w:tc>
        <w:tc>
          <w:tcPr>
            <w:tcW w:w="1455" w:type="dxa"/>
          </w:tcPr>
          <w:p w14:paraId="3B0A1470" w14:textId="196084F5"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4E26522B" w14:textId="45A00551" w:rsidR="00F45485" w:rsidRPr="00517FB2" w:rsidRDefault="00F45485" w:rsidP="00F45485">
            <w:pPr>
              <w:rPr>
                <w:rFonts w:eastAsiaTheme="minorEastAsia"/>
                <w:lang w:val="en-GB" w:eastAsia="en-US"/>
              </w:rPr>
            </w:pPr>
            <w:r w:rsidRPr="00517FB2">
              <w:rPr>
                <w:rFonts w:eastAsiaTheme="minorEastAsia"/>
                <w:lang w:val="en-GB" w:eastAsia="en-US"/>
              </w:rPr>
              <w:t>Fully virtual</w:t>
            </w:r>
          </w:p>
        </w:tc>
        <w:tc>
          <w:tcPr>
            <w:tcW w:w="3822" w:type="dxa"/>
          </w:tcPr>
          <w:p w14:paraId="2F2B2A97" w14:textId="76522CF8" w:rsidR="00F45485" w:rsidRDefault="006A2C34" w:rsidP="00F45485">
            <w:r>
              <w:t>Closing e-plenary in English only</w:t>
            </w:r>
            <w:r w:rsidR="007C6998">
              <w:t>.</w:t>
            </w:r>
          </w:p>
        </w:tc>
      </w:tr>
      <w:tr w:rsidR="000B39C4" w14:paraId="2955F8B0" w14:textId="77777777" w:rsidTr="52AFA42C">
        <w:tc>
          <w:tcPr>
            <w:tcW w:w="2977" w:type="dxa"/>
          </w:tcPr>
          <w:p w14:paraId="11343E6F" w14:textId="6AA3E8C9" w:rsidR="000B39C4" w:rsidRPr="009541AB" w:rsidRDefault="000B39C4" w:rsidP="000B39C4">
            <w:pPr>
              <w:rPr>
                <w:rFonts w:eastAsiaTheme="minorEastAsia"/>
                <w:lang w:val="en-GB" w:eastAsia="en-US"/>
              </w:rPr>
            </w:pPr>
            <w:r>
              <w:rPr>
                <w:rFonts w:eastAsiaTheme="minorEastAsia"/>
                <w:lang w:val="en-GB" w:eastAsia="en-US"/>
              </w:rPr>
              <w:t xml:space="preserve">Virtual, </w:t>
            </w:r>
            <w:r w:rsidRPr="00767586">
              <w:rPr>
                <w:rFonts w:eastAsiaTheme="minorEastAsia"/>
                <w:lang w:val="en-GB" w:eastAsia="en-US"/>
              </w:rPr>
              <w:t>7-18 September 2020</w:t>
            </w:r>
          </w:p>
        </w:tc>
        <w:tc>
          <w:tcPr>
            <w:tcW w:w="1455" w:type="dxa"/>
          </w:tcPr>
          <w:p w14:paraId="46E28870" w14:textId="26D96693" w:rsidR="007C6998" w:rsidRDefault="007C6998" w:rsidP="007C6998">
            <w:pPr>
              <w:rPr>
                <w:rFonts w:eastAsiaTheme="minorEastAsia"/>
                <w:lang w:val="en-GB" w:eastAsia="en-US"/>
              </w:rPr>
            </w:pPr>
            <w:r>
              <w:rPr>
                <w:rFonts w:eastAsiaTheme="minorEastAsia"/>
                <w:lang w:val="en-GB" w:eastAsia="en-US"/>
              </w:rPr>
              <w:t>ITU-T SG15</w:t>
            </w:r>
          </w:p>
        </w:tc>
        <w:tc>
          <w:tcPr>
            <w:tcW w:w="1134" w:type="dxa"/>
          </w:tcPr>
          <w:p w14:paraId="1C4BD5BC" w14:textId="0104E8DD"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453439F" w14:textId="3D0448E4" w:rsidR="000B39C4" w:rsidRDefault="007C6998" w:rsidP="000B39C4">
            <w:r>
              <w:t>Planned</w:t>
            </w:r>
            <w:r w:rsidR="00370E4F">
              <w:t>.</w:t>
            </w:r>
            <w:r>
              <w:t xml:space="preserve"> </w:t>
            </w:r>
            <w:r w:rsidR="00370E4F">
              <w:t>C</w:t>
            </w:r>
            <w:r w:rsidRPr="009D7F47">
              <w:t>losing e-plenary in English only</w:t>
            </w:r>
            <w:r>
              <w:t>.</w:t>
            </w:r>
          </w:p>
        </w:tc>
      </w:tr>
      <w:tr w:rsidR="00254C2C" w14:paraId="1C19A126" w14:textId="77777777" w:rsidTr="52AFA42C">
        <w:tc>
          <w:tcPr>
            <w:tcW w:w="2977" w:type="dxa"/>
          </w:tcPr>
          <w:p w14:paraId="2C0529B8" w14:textId="02070FEA" w:rsidR="00254C2C" w:rsidRDefault="00254C2C" w:rsidP="00254C2C">
            <w:pPr>
              <w:rPr>
                <w:rFonts w:eastAsiaTheme="minorEastAsia"/>
                <w:lang w:val="en-GB" w:eastAsia="en-US"/>
              </w:rPr>
            </w:pPr>
            <w:r>
              <w:rPr>
                <w:rFonts w:eastAsiaTheme="minorEastAsia"/>
                <w:lang w:val="en-GB" w:eastAsia="en-US"/>
              </w:rPr>
              <w:t>V</w:t>
            </w:r>
            <w:r w:rsidRPr="00254C2C">
              <w:rPr>
                <w:rFonts w:eastAsiaTheme="minorEastAsia"/>
                <w:lang w:val="en-GB" w:eastAsia="en-US"/>
              </w:rPr>
              <w:t>irtual, 18 September 2020</w:t>
            </w:r>
          </w:p>
        </w:tc>
        <w:tc>
          <w:tcPr>
            <w:tcW w:w="1455" w:type="dxa"/>
          </w:tcPr>
          <w:p w14:paraId="5C0897D4" w14:textId="7D40D863" w:rsidR="007C6998" w:rsidRPr="00254C2C" w:rsidRDefault="007C6998" w:rsidP="007C6998">
            <w:pPr>
              <w:rPr>
                <w:rFonts w:eastAsiaTheme="minorEastAsia"/>
                <w:lang w:val="en-GB" w:eastAsia="en-US"/>
              </w:rPr>
            </w:pPr>
            <w:r w:rsidRPr="00254C2C">
              <w:rPr>
                <w:rFonts w:eastAsiaTheme="minorEastAsia"/>
                <w:lang w:val="en-GB" w:eastAsia="en-US"/>
              </w:rPr>
              <w:t xml:space="preserve">Interregional </w:t>
            </w:r>
            <w:r>
              <w:rPr>
                <w:rFonts w:eastAsiaTheme="minorEastAsia"/>
                <w:lang w:val="en-GB" w:eastAsia="en-US"/>
              </w:rPr>
              <w:t>m</w:t>
            </w:r>
            <w:r w:rsidRPr="00254C2C">
              <w:rPr>
                <w:rFonts w:eastAsiaTheme="minorEastAsia"/>
                <w:lang w:val="en-GB" w:eastAsia="en-US"/>
              </w:rPr>
              <w:t xml:space="preserve">eeting for </w:t>
            </w:r>
            <w:r>
              <w:rPr>
                <w:rFonts w:eastAsiaTheme="minorEastAsia"/>
                <w:lang w:val="en-GB" w:eastAsia="en-US"/>
              </w:rPr>
              <w:t>p</w:t>
            </w:r>
            <w:r w:rsidRPr="00254C2C">
              <w:rPr>
                <w:rFonts w:eastAsiaTheme="minorEastAsia"/>
                <w:lang w:val="en-GB" w:eastAsia="en-US"/>
              </w:rPr>
              <w:t xml:space="preserve">reparation </w:t>
            </w:r>
            <w:r w:rsidRPr="00254C2C">
              <w:rPr>
                <w:rFonts w:eastAsiaTheme="minorEastAsia"/>
                <w:lang w:val="en-GB" w:eastAsia="en-US"/>
              </w:rPr>
              <w:lastRenderedPageBreak/>
              <w:t>of WTSA-20</w:t>
            </w:r>
          </w:p>
        </w:tc>
        <w:tc>
          <w:tcPr>
            <w:tcW w:w="1134" w:type="dxa"/>
          </w:tcPr>
          <w:p w14:paraId="5D1E477E" w14:textId="3ECC9D84" w:rsidR="00254C2C" w:rsidRPr="00517FB2" w:rsidRDefault="00254C2C" w:rsidP="00254C2C">
            <w:pPr>
              <w:rPr>
                <w:rFonts w:eastAsiaTheme="minorEastAsia"/>
                <w:lang w:val="en-GB" w:eastAsia="en-US"/>
              </w:rPr>
            </w:pPr>
            <w:r w:rsidRPr="00517FB2">
              <w:rPr>
                <w:rFonts w:eastAsiaTheme="minorEastAsia"/>
                <w:lang w:val="en-GB" w:eastAsia="en-US"/>
              </w:rPr>
              <w:lastRenderedPageBreak/>
              <w:t>Fully virtual</w:t>
            </w:r>
          </w:p>
        </w:tc>
        <w:tc>
          <w:tcPr>
            <w:tcW w:w="3822" w:type="dxa"/>
          </w:tcPr>
          <w:p w14:paraId="6DA989D5" w14:textId="411D995C" w:rsidR="00254C2C" w:rsidRDefault="5DA91D45" w:rsidP="00254C2C">
            <w:r>
              <w:t>P</w:t>
            </w:r>
            <w:r w:rsidR="0E0B9657">
              <w:t>lanned</w:t>
            </w:r>
            <w:r w:rsidR="00370E4F">
              <w:t>.</w:t>
            </w:r>
            <w:r>
              <w:t xml:space="preserve"> </w:t>
            </w:r>
            <w:r w:rsidR="00370E4F">
              <w:t>I</w:t>
            </w:r>
            <w:r>
              <w:t xml:space="preserve">nterpretation </w:t>
            </w:r>
            <w:r w:rsidR="50A6ABE4">
              <w:t>in all offic</w:t>
            </w:r>
            <w:r w:rsidR="6F547FD6">
              <w:t>i</w:t>
            </w:r>
            <w:r w:rsidR="50A6ABE4">
              <w:t xml:space="preserve">al ITU languages </w:t>
            </w:r>
            <w:r>
              <w:t>on MyMeetings</w:t>
            </w:r>
            <w:r w:rsidR="007C6998">
              <w:t>.</w:t>
            </w:r>
          </w:p>
        </w:tc>
      </w:tr>
      <w:tr w:rsidR="00254C2C" w14:paraId="1A508049" w14:textId="77777777" w:rsidTr="52AFA42C">
        <w:tc>
          <w:tcPr>
            <w:tcW w:w="2977" w:type="dxa"/>
          </w:tcPr>
          <w:p w14:paraId="12CC28AF" w14:textId="63624DAA" w:rsidR="00254C2C" w:rsidRDefault="00254C2C" w:rsidP="00254C2C">
            <w:pPr>
              <w:rPr>
                <w:rFonts w:eastAsiaTheme="minorEastAsia"/>
                <w:lang w:val="en-GB" w:eastAsia="en-US"/>
              </w:rPr>
            </w:pPr>
            <w:r>
              <w:rPr>
                <w:rFonts w:eastAsiaTheme="minorEastAsia"/>
                <w:lang w:val="en-GB" w:eastAsia="en-US"/>
              </w:rPr>
              <w:t xml:space="preserve">Virtual, </w:t>
            </w:r>
            <w:r w:rsidR="002F17E4" w:rsidRPr="002F17E4">
              <w:rPr>
                <w:rFonts w:eastAsiaTheme="minorEastAsia"/>
                <w:lang w:val="en-GB" w:eastAsia="en-US"/>
              </w:rPr>
              <w:t>21-25 September 2020</w:t>
            </w:r>
          </w:p>
        </w:tc>
        <w:tc>
          <w:tcPr>
            <w:tcW w:w="1455" w:type="dxa"/>
          </w:tcPr>
          <w:p w14:paraId="5D7DA325" w14:textId="3BBA36A4"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3D41743A" w14:textId="460D87C3" w:rsidR="00254C2C" w:rsidRPr="00517FB2" w:rsidRDefault="00254C2C" w:rsidP="00254C2C">
            <w:pPr>
              <w:rPr>
                <w:rFonts w:eastAsiaTheme="minorEastAsia"/>
                <w:lang w:val="en-GB" w:eastAsia="en-US"/>
              </w:rPr>
            </w:pPr>
            <w:r w:rsidRPr="00517FB2">
              <w:rPr>
                <w:rFonts w:eastAsiaTheme="minorEastAsia"/>
                <w:lang w:val="en-GB" w:eastAsia="en-US"/>
              </w:rPr>
              <w:t>Fully virtual</w:t>
            </w:r>
          </w:p>
        </w:tc>
        <w:tc>
          <w:tcPr>
            <w:tcW w:w="3822" w:type="dxa"/>
          </w:tcPr>
          <w:p w14:paraId="1314A6D2" w14:textId="093F32FB" w:rsidR="00254C2C" w:rsidRDefault="5DA91D45" w:rsidP="00254C2C">
            <w:r>
              <w:t>P</w:t>
            </w:r>
            <w:r w:rsidR="0E0B9657">
              <w:t>lanned</w:t>
            </w:r>
            <w:r w:rsidR="00370E4F">
              <w:t>.</w:t>
            </w:r>
            <w:r>
              <w:t xml:space="preserve"> </w:t>
            </w:r>
            <w:r w:rsidR="00370E4F">
              <w:t>I</w:t>
            </w:r>
            <w:r>
              <w:t xml:space="preserve">nterpretation </w:t>
            </w:r>
            <w:r w:rsidR="5F1ABE8B">
              <w:t>in all offic</w:t>
            </w:r>
            <w:r w:rsidR="27759516">
              <w:t>i</w:t>
            </w:r>
            <w:r w:rsidR="5F1ABE8B">
              <w:t xml:space="preserve">al ITU languages </w:t>
            </w:r>
            <w:r>
              <w:t>on MyMeetings</w:t>
            </w:r>
            <w:r w:rsidR="007C6998">
              <w:t>.</w:t>
            </w:r>
          </w:p>
        </w:tc>
      </w:tr>
      <w:tr w:rsidR="0A47BC55" w14:paraId="2CA4EF0A" w14:textId="77777777" w:rsidTr="52AFA42C">
        <w:tc>
          <w:tcPr>
            <w:tcW w:w="2977" w:type="dxa"/>
          </w:tcPr>
          <w:p w14:paraId="029DD37E" w14:textId="24254C04" w:rsidR="36F365F0" w:rsidRDefault="36F365F0" w:rsidP="0A47BC55">
            <w:pPr>
              <w:rPr>
                <w:rFonts w:eastAsiaTheme="minorEastAsia"/>
                <w:lang w:val="en-GB" w:eastAsia="en-US"/>
              </w:rPr>
            </w:pPr>
            <w:r w:rsidRPr="0A47BC55">
              <w:rPr>
                <w:rFonts w:eastAsiaTheme="minorEastAsia"/>
                <w:lang w:val="en-GB" w:eastAsia="en-US"/>
              </w:rPr>
              <w:t>Virtual 29-30 September 2020</w:t>
            </w:r>
          </w:p>
        </w:tc>
        <w:tc>
          <w:tcPr>
            <w:tcW w:w="1455" w:type="dxa"/>
          </w:tcPr>
          <w:p w14:paraId="488F3FBF" w14:textId="22493588" w:rsidR="36F365F0" w:rsidRDefault="36F365F0" w:rsidP="0A47BC55">
            <w:pPr>
              <w:rPr>
                <w:rFonts w:eastAsiaTheme="minorEastAsia"/>
                <w:lang w:val="en-GB" w:eastAsia="en-US"/>
              </w:rPr>
            </w:pPr>
            <w:r w:rsidRPr="0A47BC55">
              <w:rPr>
                <w:rFonts w:eastAsiaTheme="minorEastAsia"/>
                <w:lang w:val="en-GB" w:eastAsia="en-US"/>
              </w:rPr>
              <w:t>ITU-T SG5RG-AP</w:t>
            </w:r>
          </w:p>
        </w:tc>
        <w:tc>
          <w:tcPr>
            <w:tcW w:w="1134" w:type="dxa"/>
          </w:tcPr>
          <w:p w14:paraId="3A68E8D9" w14:textId="068EBB24" w:rsidR="36F365F0" w:rsidRDefault="36F365F0" w:rsidP="0A47BC55">
            <w:pPr>
              <w:rPr>
                <w:rFonts w:eastAsiaTheme="minorEastAsia"/>
                <w:lang w:val="en-GB" w:eastAsia="en-US"/>
              </w:rPr>
            </w:pPr>
            <w:r w:rsidRPr="0A47BC55">
              <w:rPr>
                <w:rFonts w:eastAsiaTheme="minorEastAsia"/>
                <w:lang w:val="en-GB" w:eastAsia="en-US"/>
              </w:rPr>
              <w:t>Fully virtual</w:t>
            </w:r>
          </w:p>
        </w:tc>
        <w:tc>
          <w:tcPr>
            <w:tcW w:w="3822" w:type="dxa"/>
          </w:tcPr>
          <w:p w14:paraId="4C149990" w14:textId="2D932E88" w:rsidR="36F365F0" w:rsidRDefault="36F365F0" w:rsidP="0A47BC55">
            <w:r>
              <w:t>Planned</w:t>
            </w:r>
            <w:r w:rsidR="00370E4F">
              <w:t>.</w:t>
            </w:r>
            <w:r>
              <w:t xml:space="preserve"> English only.</w:t>
            </w:r>
          </w:p>
        </w:tc>
      </w:tr>
      <w:tr w:rsidR="0A47BC55" w14:paraId="59F02B93" w14:textId="77777777" w:rsidTr="52AFA42C">
        <w:tc>
          <w:tcPr>
            <w:tcW w:w="2977" w:type="dxa"/>
          </w:tcPr>
          <w:p w14:paraId="55FBDC5B" w14:textId="65A6A618" w:rsidR="2BA70078" w:rsidRDefault="2BA70078" w:rsidP="0A47BC55">
            <w:pPr>
              <w:rPr>
                <w:rFonts w:eastAsiaTheme="minorEastAsia"/>
                <w:lang w:val="en-GB" w:eastAsia="en-US"/>
              </w:rPr>
            </w:pPr>
            <w:r w:rsidRPr="0A47BC55">
              <w:rPr>
                <w:rFonts w:eastAsiaTheme="minorEastAsia"/>
                <w:lang w:val="en-GB" w:eastAsia="en-US"/>
              </w:rPr>
              <w:t>Virtual, 19-23 October 2020</w:t>
            </w:r>
          </w:p>
        </w:tc>
        <w:tc>
          <w:tcPr>
            <w:tcW w:w="1455" w:type="dxa"/>
          </w:tcPr>
          <w:p w14:paraId="6DD49DB6" w14:textId="02F0D961" w:rsidR="2BA70078" w:rsidRDefault="2BA70078" w:rsidP="0A47BC55">
            <w:pPr>
              <w:rPr>
                <w:rFonts w:eastAsiaTheme="minorEastAsia"/>
                <w:lang w:val="en-GB" w:eastAsia="en-US"/>
              </w:rPr>
            </w:pPr>
            <w:r w:rsidRPr="0A47BC55">
              <w:rPr>
                <w:rFonts w:eastAsiaTheme="minorEastAsia"/>
                <w:lang w:val="en-GB" w:eastAsia="en-US"/>
              </w:rPr>
              <w:t>SG5</w:t>
            </w:r>
          </w:p>
        </w:tc>
        <w:tc>
          <w:tcPr>
            <w:tcW w:w="1134" w:type="dxa"/>
          </w:tcPr>
          <w:p w14:paraId="011C1DA3" w14:textId="66928135" w:rsidR="2BA70078" w:rsidRDefault="2BA70078" w:rsidP="0A47BC55">
            <w:pPr>
              <w:rPr>
                <w:rFonts w:eastAsiaTheme="minorEastAsia"/>
                <w:lang w:val="en-GB" w:eastAsia="en-US"/>
              </w:rPr>
            </w:pPr>
            <w:r w:rsidRPr="0A47BC55">
              <w:rPr>
                <w:rFonts w:eastAsiaTheme="minorEastAsia"/>
                <w:lang w:val="en-GB" w:eastAsia="en-US"/>
              </w:rPr>
              <w:t>Fully virtual</w:t>
            </w:r>
          </w:p>
        </w:tc>
        <w:tc>
          <w:tcPr>
            <w:tcW w:w="3822" w:type="dxa"/>
          </w:tcPr>
          <w:p w14:paraId="2F8F4C22" w14:textId="7E2CF806" w:rsidR="2BA70078" w:rsidRDefault="2BA70078" w:rsidP="0A47BC55">
            <w:r>
              <w:t>Planned</w:t>
            </w:r>
            <w:r w:rsidR="00370E4F">
              <w:t>. C</w:t>
            </w:r>
            <w:r>
              <w:t>losing e-plenary in English only.</w:t>
            </w:r>
          </w:p>
        </w:tc>
      </w:tr>
    </w:tbl>
    <w:p w14:paraId="340E990D" w14:textId="34AC412C" w:rsidR="00B866DD" w:rsidRDefault="00360441" w:rsidP="00B866DD">
      <w:pPr>
        <w:rPr>
          <w:lang w:val="en-GB"/>
        </w:rPr>
      </w:pPr>
      <w:r w:rsidRPr="00710D5D">
        <w:rPr>
          <w:szCs w:val="24"/>
        </w:rPr>
        <w:t>In c</w:t>
      </w:r>
      <w:r w:rsidR="00B866DD" w:rsidRPr="00B866DD">
        <w:rPr>
          <w:szCs w:val="24"/>
        </w:rPr>
        <w:t>onjunction</w:t>
      </w:r>
      <w:r w:rsidRPr="00710D5D">
        <w:rPr>
          <w:szCs w:val="24"/>
        </w:rPr>
        <w:t xml:space="preserve"> with virtual </w:t>
      </w:r>
      <w:r w:rsidR="00B866DD" w:rsidRPr="00B866DD">
        <w:rPr>
          <w:szCs w:val="24"/>
        </w:rPr>
        <w:t>ITU-T s</w:t>
      </w:r>
      <w:r w:rsidRPr="00710D5D">
        <w:rPr>
          <w:szCs w:val="24"/>
        </w:rPr>
        <w:t xml:space="preserve">tudy </w:t>
      </w:r>
      <w:r w:rsidR="00B866DD" w:rsidRPr="00B866DD">
        <w:rPr>
          <w:szCs w:val="24"/>
        </w:rPr>
        <w:t>g</w:t>
      </w:r>
      <w:r w:rsidRPr="00710D5D">
        <w:rPr>
          <w:szCs w:val="24"/>
        </w:rPr>
        <w:t xml:space="preserve">roup meetings, </w:t>
      </w:r>
      <w:r w:rsidR="00B84810" w:rsidRPr="00710D5D">
        <w:rPr>
          <w:szCs w:val="24"/>
        </w:rPr>
        <w:t xml:space="preserve">four </w:t>
      </w:r>
      <w:r w:rsidR="00B866DD" w:rsidRPr="00E50A91">
        <w:rPr>
          <w:lang w:val="en-GB"/>
        </w:rPr>
        <w:t xml:space="preserve">'BSG Hands-On </w:t>
      </w:r>
      <w:r w:rsidR="00B866DD">
        <w:rPr>
          <w:lang w:val="en-GB"/>
        </w:rPr>
        <w:t>SG</w:t>
      </w:r>
      <w:r w:rsidR="00B866DD" w:rsidRPr="00E50A91">
        <w:rPr>
          <w:lang w:val="en-GB"/>
        </w:rPr>
        <w:t xml:space="preserve"> effectiveness training' </w:t>
      </w:r>
      <w:r w:rsidR="00B866DD">
        <w:rPr>
          <w:lang w:val="en-GB"/>
        </w:rPr>
        <w:t xml:space="preserve">sessions were carried out virtually. </w:t>
      </w:r>
      <w:r w:rsidR="00B866DD" w:rsidRPr="00E50A91">
        <w:rPr>
          <w:lang w:val="en-GB"/>
        </w:rPr>
        <w:t xml:space="preserve">The training focuses on the development of practical skills to maximize the effectiveness of developing countries' participation in the ITU-T standardization process, covering topics including strategies for participation in </w:t>
      </w:r>
      <w:r w:rsidR="00B866DD">
        <w:rPr>
          <w:lang w:val="en-GB"/>
        </w:rPr>
        <w:t>ITU-T study groups</w:t>
      </w:r>
      <w:r w:rsidR="00B866DD" w:rsidRPr="00E50A91">
        <w:rPr>
          <w:lang w:val="en-GB"/>
        </w:rPr>
        <w:t>, drafting contributions to meetings, presenting proposals, collaborative working methods and building consensus.</w:t>
      </w:r>
    </w:p>
    <w:p w14:paraId="54E1BED1" w14:textId="6D8647AF" w:rsidR="0041063B" w:rsidRPr="004E7FC7" w:rsidRDefault="00214CD0" w:rsidP="000C4D41">
      <w:pPr>
        <w:pStyle w:val="xmsonormal"/>
        <w:spacing w:before="240"/>
        <w:rPr>
          <w:rFonts w:ascii="Times New Roman" w:hAnsi="Times New Roman" w:cs="Times New Roman"/>
          <w:sz w:val="24"/>
          <w:szCs w:val="24"/>
        </w:rPr>
      </w:pPr>
      <w:r>
        <w:rPr>
          <w:rFonts w:ascii="Times New Roman" w:hAnsi="Times New Roman" w:cs="Times New Roman"/>
          <w:sz w:val="24"/>
          <w:szCs w:val="24"/>
        </w:rPr>
        <w:t xml:space="preserve">May </w:t>
      </w:r>
      <w:r w:rsidR="00B866DD">
        <w:rPr>
          <w:rFonts w:ascii="Times New Roman" w:hAnsi="Times New Roman" w:cs="Times New Roman"/>
          <w:sz w:val="24"/>
          <w:szCs w:val="24"/>
        </w:rPr>
        <w:t>to</w:t>
      </w:r>
      <w:r>
        <w:rPr>
          <w:rFonts w:ascii="Times New Roman" w:hAnsi="Times New Roman" w:cs="Times New Roman"/>
          <w:sz w:val="24"/>
          <w:szCs w:val="24"/>
        </w:rPr>
        <w:t xml:space="preserve"> July 2020</w:t>
      </w:r>
      <w:r w:rsidR="00B866DD">
        <w:rPr>
          <w:rFonts w:ascii="Times New Roman" w:hAnsi="Times New Roman" w:cs="Times New Roman"/>
          <w:sz w:val="24"/>
          <w:szCs w:val="24"/>
        </w:rPr>
        <w:t xml:space="preserve"> hosted a series of </w:t>
      </w:r>
      <w:r w:rsidR="004E7FC7" w:rsidRPr="004E7FC7">
        <w:rPr>
          <w:rFonts w:ascii="Times New Roman" w:hAnsi="Times New Roman" w:cs="Times New Roman"/>
          <w:sz w:val="24"/>
          <w:szCs w:val="24"/>
        </w:rPr>
        <w:t xml:space="preserve">webinars on </w:t>
      </w:r>
      <w:hyperlink r:id="rId46">
        <w:r w:rsidR="004E7FC7" w:rsidRPr="5FCACBF6">
          <w:rPr>
            <w:rStyle w:val="Hyperlink"/>
            <w:rFonts w:ascii="Times New Roman" w:hAnsi="Times New Roman"/>
            <w:sz w:val="24"/>
            <w:szCs w:val="24"/>
          </w:rPr>
          <w:t>Insights on Digital Financial Services during COVID-19</w:t>
        </w:r>
      </w:hyperlink>
      <w:r w:rsidR="00DA2FA8" w:rsidRPr="5FCACBF6">
        <w:rPr>
          <w:rFonts w:ascii="Times New Roman" w:hAnsi="Times New Roman" w:cs="Times New Roman"/>
          <w:sz w:val="24"/>
          <w:szCs w:val="24"/>
        </w:rPr>
        <w:t>.</w:t>
      </w:r>
      <w:r w:rsidR="00DA2FA8">
        <w:rPr>
          <w:rFonts w:ascii="Times New Roman" w:hAnsi="Times New Roman" w:cs="Times New Roman"/>
          <w:sz w:val="24"/>
          <w:szCs w:val="24"/>
        </w:rPr>
        <w:t xml:space="preserve"> </w:t>
      </w:r>
      <w:r w:rsidR="00B866DD">
        <w:rPr>
          <w:rFonts w:ascii="Times New Roman" w:hAnsi="Times New Roman" w:cs="Times New Roman"/>
          <w:sz w:val="24"/>
          <w:szCs w:val="24"/>
        </w:rPr>
        <w:t>T</w:t>
      </w:r>
      <w:r w:rsidR="00323FBE">
        <w:rPr>
          <w:rFonts w:ascii="Times New Roman" w:hAnsi="Times New Roman" w:cs="Times New Roman"/>
          <w:sz w:val="24"/>
          <w:szCs w:val="24"/>
        </w:rPr>
        <w:t>he Quality of Service De</w:t>
      </w:r>
      <w:r w:rsidR="00DC7721">
        <w:rPr>
          <w:rFonts w:ascii="Times New Roman" w:hAnsi="Times New Roman" w:cs="Times New Roman"/>
          <w:sz w:val="24"/>
          <w:szCs w:val="24"/>
        </w:rPr>
        <w:t>v</w:t>
      </w:r>
      <w:r w:rsidR="00323FBE">
        <w:rPr>
          <w:rFonts w:ascii="Times New Roman" w:hAnsi="Times New Roman" w:cs="Times New Roman"/>
          <w:sz w:val="24"/>
          <w:szCs w:val="24"/>
        </w:rPr>
        <w:t>elopment Group</w:t>
      </w:r>
      <w:r w:rsidR="00B866DD">
        <w:rPr>
          <w:rFonts w:ascii="Times New Roman" w:hAnsi="Times New Roman" w:cs="Times New Roman"/>
          <w:sz w:val="24"/>
          <w:szCs w:val="24"/>
        </w:rPr>
        <w:t xml:space="preserve"> has </w:t>
      </w:r>
      <w:r w:rsidR="00DC7721">
        <w:rPr>
          <w:rFonts w:ascii="Times New Roman" w:hAnsi="Times New Roman" w:cs="Times New Roman"/>
          <w:sz w:val="24"/>
          <w:szCs w:val="24"/>
        </w:rPr>
        <w:t xml:space="preserve">transformed its annual face-to-face meeting into </w:t>
      </w:r>
      <w:r w:rsidR="00247704">
        <w:rPr>
          <w:rFonts w:ascii="Times New Roman" w:hAnsi="Times New Roman" w:cs="Times New Roman"/>
          <w:sz w:val="24"/>
          <w:szCs w:val="24"/>
        </w:rPr>
        <w:t xml:space="preserve">a series of </w:t>
      </w:r>
      <w:hyperlink r:id="rId47">
        <w:r w:rsidR="00247704" w:rsidRPr="5FCACBF6">
          <w:rPr>
            <w:rStyle w:val="Hyperlink"/>
            <w:rFonts w:ascii="Times New Roman" w:hAnsi="Times New Roman"/>
            <w:sz w:val="24"/>
            <w:szCs w:val="24"/>
          </w:rPr>
          <w:t>QoS-themed webinars</w:t>
        </w:r>
      </w:hyperlink>
      <w:r w:rsidR="00247704" w:rsidRPr="5FCACBF6">
        <w:rPr>
          <w:rFonts w:ascii="Times New Roman" w:hAnsi="Times New Roman" w:cs="Times New Roman"/>
          <w:sz w:val="24"/>
          <w:szCs w:val="24"/>
        </w:rPr>
        <w:t>.</w:t>
      </w:r>
      <w:r w:rsidR="00247704">
        <w:rPr>
          <w:rFonts w:ascii="Times New Roman" w:hAnsi="Times New Roman" w:cs="Times New Roman"/>
          <w:sz w:val="24"/>
          <w:szCs w:val="24"/>
        </w:rPr>
        <w:t xml:space="preserve"> </w:t>
      </w:r>
      <w:r w:rsidR="00FA6272">
        <w:rPr>
          <w:rFonts w:ascii="Times New Roman" w:hAnsi="Times New Roman" w:cs="Times New Roman"/>
          <w:sz w:val="24"/>
          <w:szCs w:val="24"/>
        </w:rPr>
        <w:t>In addition, s</w:t>
      </w:r>
      <w:r w:rsidR="00DA2FA8">
        <w:rPr>
          <w:rFonts w:ascii="Times New Roman" w:hAnsi="Times New Roman" w:cs="Times New Roman"/>
          <w:sz w:val="24"/>
          <w:szCs w:val="24"/>
        </w:rPr>
        <w:t>everal ITU workshops were turned into electronic webinars; through some planned (joint) workshops had to be cancelled or be postponed.</w:t>
      </w:r>
    </w:p>
    <w:p w14:paraId="18CE5A1E" w14:textId="7A25B20A" w:rsidR="00DA2FA8" w:rsidRDefault="0068621C" w:rsidP="004E7FC7">
      <w:pPr>
        <w:rPr>
          <w:rFonts w:eastAsiaTheme="minorEastAsia"/>
          <w:szCs w:val="24"/>
          <w:lang w:val="en-GB" w:eastAsia="en-US"/>
        </w:rPr>
      </w:pPr>
      <w:r w:rsidRPr="0068621C">
        <w:rPr>
          <w:rFonts w:eastAsiaTheme="minorEastAsia"/>
          <w:szCs w:val="24"/>
          <w:lang w:val="en-GB" w:eastAsia="en-US"/>
        </w:rPr>
        <w:t xml:space="preserve">The </w:t>
      </w:r>
      <w:hyperlink r:id="rId48" w:history="1">
        <w:r w:rsidRPr="0068621C">
          <w:rPr>
            <w:rStyle w:val="Hyperlink"/>
            <w:rFonts w:eastAsiaTheme="minorEastAsia"/>
            <w:szCs w:val="24"/>
            <w:lang w:val="en-GB" w:eastAsia="en-US"/>
          </w:rPr>
          <w:t>AI for Good Global Summit</w:t>
        </w:r>
      </w:hyperlink>
      <w:r w:rsidRPr="0068621C">
        <w:rPr>
          <w:rFonts w:eastAsiaTheme="minorEastAsia"/>
          <w:szCs w:val="24"/>
          <w:lang w:val="en-GB" w:eastAsia="en-US"/>
        </w:rPr>
        <w:t xml:space="preserve"> </w:t>
      </w:r>
      <w:r w:rsidR="00370E4F">
        <w:rPr>
          <w:rFonts w:eastAsiaTheme="minorEastAsia"/>
          <w:szCs w:val="24"/>
          <w:lang w:val="en-GB" w:eastAsia="en-US"/>
        </w:rPr>
        <w:t>will remain online, all year, over 2020 and 202</w:t>
      </w:r>
      <w:r w:rsidR="00B866DD">
        <w:rPr>
          <w:rFonts w:eastAsiaTheme="minorEastAsia"/>
          <w:szCs w:val="24"/>
          <w:lang w:val="en-GB" w:eastAsia="en-US"/>
        </w:rPr>
        <w:t>1</w:t>
      </w:r>
      <w:r w:rsidR="00370E4F">
        <w:rPr>
          <w:rFonts w:eastAsiaTheme="minorEastAsia"/>
          <w:szCs w:val="24"/>
          <w:lang w:val="en-GB" w:eastAsia="en-US"/>
        </w:rPr>
        <w:t xml:space="preserve">, featuring </w:t>
      </w:r>
      <w:r w:rsidRPr="0068621C">
        <w:rPr>
          <w:rFonts w:eastAsiaTheme="minorEastAsia"/>
          <w:szCs w:val="24"/>
          <w:lang w:val="en-GB" w:eastAsia="en-US"/>
        </w:rPr>
        <w:t>weekly programming across multiple formats, platforms and time-zones, including keynotes, expert webinars, project pitches, Q&amp;As, performances, demos, interviews, networking and more.</w:t>
      </w:r>
      <w:r w:rsidR="00370E4F">
        <w:rPr>
          <w:rFonts w:eastAsiaTheme="minorEastAsia"/>
          <w:szCs w:val="24"/>
          <w:lang w:val="en-GB" w:eastAsia="en-US"/>
        </w:rPr>
        <w:t xml:space="preserve"> AI for Good ‘Breakthrough tracks’ on food, gender and pandemics will present the latest developments in their work from 21-30 September 2020. </w:t>
      </w:r>
    </w:p>
    <w:p w14:paraId="66F202D1" w14:textId="3BED556B" w:rsidR="00136E7B" w:rsidRPr="001615CC" w:rsidRDefault="00BA3326" w:rsidP="00136E7B">
      <w:pPr>
        <w:pStyle w:val="Heading1"/>
        <w:rPr>
          <w:rFonts w:eastAsiaTheme="minorEastAsia"/>
        </w:rPr>
      </w:pPr>
      <w:bookmarkStart w:id="41" w:name="_Toc51042251"/>
      <w:r>
        <w:rPr>
          <w:rFonts w:eastAsiaTheme="minorEastAsia"/>
        </w:rPr>
        <w:t>3</w:t>
      </w:r>
      <w:r w:rsidR="00136E7B" w:rsidRPr="001615CC">
        <w:rPr>
          <w:rFonts w:eastAsiaTheme="minorEastAsia"/>
        </w:rPr>
        <w:tab/>
        <w:t xml:space="preserve">Conformity, </w:t>
      </w:r>
      <w:proofErr w:type="gramStart"/>
      <w:r w:rsidR="00136E7B" w:rsidRPr="001615CC">
        <w:rPr>
          <w:rFonts w:eastAsiaTheme="minorEastAsia"/>
        </w:rPr>
        <w:t>interoperability</w:t>
      </w:r>
      <w:bookmarkEnd w:id="34"/>
      <w:proofErr w:type="gramEnd"/>
      <w:r w:rsidR="00136E7B" w:rsidRPr="001615CC">
        <w:rPr>
          <w:rFonts w:eastAsiaTheme="minorEastAsia"/>
        </w:rPr>
        <w:t xml:space="preserve"> and testing</w:t>
      </w:r>
      <w:bookmarkEnd w:id="35"/>
      <w:bookmarkEnd w:id="36"/>
      <w:bookmarkEnd w:id="37"/>
      <w:bookmarkEnd w:id="38"/>
      <w:bookmarkEnd w:id="39"/>
      <w:bookmarkEnd w:id="40"/>
      <w:bookmarkEnd w:id="41"/>
    </w:p>
    <w:p w14:paraId="6D630887" w14:textId="6F82D0B8" w:rsidR="00136E7B" w:rsidRPr="001615CC" w:rsidRDefault="00BA3326" w:rsidP="00136E7B">
      <w:pPr>
        <w:pStyle w:val="Heading2"/>
      </w:pPr>
      <w:bookmarkStart w:id="42" w:name="_Toc462664224"/>
      <w:bookmarkStart w:id="43" w:name="_Toc480527818"/>
      <w:bookmarkStart w:id="44" w:name="_Toc51042252"/>
      <w:bookmarkStart w:id="45" w:name="_Toc453929092"/>
      <w:bookmarkStart w:id="46" w:name="_Toc453932963"/>
      <w:bookmarkStart w:id="47" w:name="_Toc454295869"/>
      <w:r>
        <w:t>3</w:t>
      </w:r>
      <w:r w:rsidR="00136E7B" w:rsidRPr="001615CC">
        <w:t>.1</w:t>
      </w:r>
      <w:r w:rsidR="00136E7B" w:rsidRPr="001615CC">
        <w:tab/>
        <w:t>Conformity Assessment Steering Committee (CASC)</w:t>
      </w:r>
      <w:bookmarkEnd w:id="42"/>
      <w:bookmarkEnd w:id="43"/>
      <w:bookmarkEnd w:id="44"/>
    </w:p>
    <w:p w14:paraId="0B4B25DF" w14:textId="77777777" w:rsidR="00136E7B" w:rsidRPr="002C5EC2" w:rsidRDefault="00136E7B" w:rsidP="00136E7B">
      <w:pPr>
        <w:snapToGrid w:val="0"/>
        <w:rPr>
          <w:lang w:val="en-GB"/>
        </w:rPr>
      </w:pPr>
      <w:r w:rsidRPr="002C5EC2">
        <w:rPr>
          <w:lang w:val="en-GB"/>
        </w:rPr>
        <w:t xml:space="preserve">The main objective of ITU-T CASC is to set up criteria, </w:t>
      </w:r>
      <w:proofErr w:type="gramStart"/>
      <w:r w:rsidRPr="002C5EC2">
        <w:rPr>
          <w:lang w:val="en-GB"/>
        </w:rPr>
        <w:t>rules</w:t>
      </w:r>
      <w:proofErr w:type="gramEnd"/>
      <w:r w:rsidRPr="002C5EC2">
        <w:rPr>
          <w:lang w:val="en-GB"/>
        </w:rPr>
        <w:t xml:space="preserve"> and procedures to recognize Test Laboratories (TLs) with competence in ITU-T Recommendation(s) and register these TLs in a list of ITU-recognized TLs. This effort is supported by a guideline "Testing laboratories recognition procedure" agreed by ITU-T SG11 in 2015.</w:t>
      </w:r>
    </w:p>
    <w:p w14:paraId="57400C82" w14:textId="1B861446" w:rsidR="00E43855" w:rsidRPr="003F4488" w:rsidRDefault="00E43855" w:rsidP="00E43855">
      <w:r>
        <w:rPr>
          <w:lang w:val="en-GB"/>
        </w:rPr>
        <w:t xml:space="preserve">CASC conducted two meetings (March and July 2020). During its meeting in July, </w:t>
      </w:r>
      <w:r w:rsidRPr="003F4488">
        <w:t xml:space="preserve">IEC </w:t>
      </w:r>
      <w:r>
        <w:t xml:space="preserve">presented </w:t>
      </w:r>
      <w:r w:rsidRPr="003F4488">
        <w:t xml:space="preserve">the roles and requirements for Testing Laboratories and Certification Bodies </w:t>
      </w:r>
      <w:r w:rsidR="002901BE">
        <w:t xml:space="preserve">in relation to the potential </w:t>
      </w:r>
      <w:r w:rsidR="002901BE">
        <w:rPr>
          <w:lang w:val="en-GB"/>
        </w:rPr>
        <w:t xml:space="preserve">joint </w:t>
      </w:r>
      <w:r w:rsidR="002901BE" w:rsidRPr="004B3096">
        <w:rPr>
          <w:lang w:val="en-GB"/>
        </w:rPr>
        <w:t>peer-assessment laboratory service (joint ITU/IEC TL recognition procedure) and joint conformity assessment programme (joint ITU/IEC certification schemes)</w:t>
      </w:r>
      <w:r w:rsidRPr="003F4488">
        <w:t>. It was indicated that</w:t>
      </w:r>
      <w:r w:rsidR="00A07A4E">
        <w:t>,</w:t>
      </w:r>
      <w:r w:rsidRPr="003F4488">
        <w:t xml:space="preserve"> as a non-profit organization, there </w:t>
      </w:r>
      <w:r>
        <w:t>is</w:t>
      </w:r>
      <w:r w:rsidRPr="003F4488">
        <w:t xml:space="preserve"> a need to cover IECEE cost of operations </w:t>
      </w:r>
      <w:r w:rsidR="00A07A4E">
        <w:t xml:space="preserve">to implement the </w:t>
      </w:r>
      <w:r w:rsidRPr="003F4488">
        <w:t>IECEE Operational Document (OD-2026)</w:t>
      </w:r>
      <w:r w:rsidR="00A07A4E">
        <w:t xml:space="preserve"> </w:t>
      </w:r>
      <w:r w:rsidRPr="003F4488">
        <w:t>specif</w:t>
      </w:r>
      <w:r w:rsidR="00A07A4E">
        <w:t>ying</w:t>
      </w:r>
      <w:r w:rsidRPr="003F4488">
        <w:t xml:space="preserve"> the requirements </w:t>
      </w:r>
      <w:r w:rsidR="00A07A4E">
        <w:t>of the</w:t>
      </w:r>
      <w:r w:rsidRPr="003F4488">
        <w:t xml:space="preserve"> TL recognition process </w:t>
      </w:r>
      <w:r w:rsidR="00A07A4E">
        <w:t xml:space="preserve">for </w:t>
      </w:r>
      <w:r w:rsidRPr="003F4488">
        <w:t>ITU. Th</w:t>
      </w:r>
      <w:r w:rsidR="00A07A4E">
        <w:t>e financial implications of the</w:t>
      </w:r>
      <w:r w:rsidRPr="003F4488">
        <w:t xml:space="preserve"> IECEE programme with ITU</w:t>
      </w:r>
      <w:r w:rsidR="00A07A4E">
        <w:t xml:space="preserve"> are therefore</w:t>
      </w:r>
      <w:r w:rsidRPr="003F4488">
        <w:t xml:space="preserve"> as follows:</w:t>
      </w:r>
    </w:p>
    <w:p w14:paraId="4F2CCC0A" w14:textId="630E73FC" w:rsidR="00E43855" w:rsidRPr="003F4488" w:rsidRDefault="00E43855" w:rsidP="0063096B">
      <w:pPr>
        <w:numPr>
          <w:ilvl w:val="0"/>
          <w:numId w:val="36"/>
        </w:numPr>
      </w:pPr>
      <w:r w:rsidRPr="003F4488">
        <w:t>TL</w:t>
      </w:r>
      <w:r w:rsidR="00A07A4E">
        <w:t>s</w:t>
      </w:r>
      <w:r w:rsidRPr="003F4488">
        <w:t xml:space="preserve"> shall pay around 14</w:t>
      </w:r>
      <w:r w:rsidR="00A07A4E">
        <w:t>,</w:t>
      </w:r>
      <w:r w:rsidRPr="003F4488">
        <w:t xml:space="preserve">000 Swiss </w:t>
      </w:r>
      <w:r w:rsidR="00A07A4E">
        <w:t>f</w:t>
      </w:r>
      <w:r w:rsidRPr="003F4488">
        <w:t xml:space="preserve">rancs for the TL recognition </w:t>
      </w:r>
      <w:proofErr w:type="gramStart"/>
      <w:r w:rsidRPr="003F4488">
        <w:t>assessment;</w:t>
      </w:r>
      <w:proofErr w:type="gramEnd"/>
    </w:p>
    <w:p w14:paraId="049C7C4B" w14:textId="435C65CC" w:rsidR="00E43855" w:rsidRPr="003F4488" w:rsidRDefault="00E43855" w:rsidP="0063096B">
      <w:pPr>
        <w:numPr>
          <w:ilvl w:val="0"/>
          <w:numId w:val="36"/>
        </w:numPr>
      </w:pPr>
      <w:r w:rsidRPr="003F4488">
        <w:t>ITU shall also pay 45</w:t>
      </w:r>
      <w:r w:rsidR="00A07A4E">
        <w:t>,</w:t>
      </w:r>
      <w:r w:rsidRPr="003F4488">
        <w:t xml:space="preserve">000 Swiss </w:t>
      </w:r>
      <w:r w:rsidR="00A07A4E">
        <w:t>f</w:t>
      </w:r>
      <w:r w:rsidRPr="003F4488">
        <w:t xml:space="preserve">rancs annually to IEC to maintain </w:t>
      </w:r>
      <w:r w:rsidR="00A07A4E">
        <w:t xml:space="preserve">the </w:t>
      </w:r>
      <w:r w:rsidRPr="003F4488">
        <w:t>new scheme.</w:t>
      </w:r>
    </w:p>
    <w:p w14:paraId="53DD916B" w14:textId="0B6312C7" w:rsidR="00E43855" w:rsidRDefault="00A07A4E" w:rsidP="00BB3ED7">
      <w:r>
        <w:t xml:space="preserve">The </w:t>
      </w:r>
      <w:r w:rsidR="00E43855" w:rsidRPr="003F4488">
        <w:t>discussion</w:t>
      </w:r>
      <w:r>
        <w:t xml:space="preserve">s of the July </w:t>
      </w:r>
      <w:r w:rsidR="002901BE">
        <w:t xml:space="preserve">IEC </w:t>
      </w:r>
      <w:r>
        <w:t xml:space="preserve">meeting </w:t>
      </w:r>
      <w:r w:rsidR="00E43855" w:rsidRPr="003F4488">
        <w:t>highlighted that</w:t>
      </w:r>
      <w:r w:rsidR="00BB3ED7">
        <w:t xml:space="preserve"> </w:t>
      </w:r>
      <w:r w:rsidR="00E43855" w:rsidRPr="003F4488">
        <w:t>CASC</w:t>
      </w:r>
      <w:r>
        <w:t>’s</w:t>
      </w:r>
      <w:r w:rsidR="00E43855" w:rsidRPr="003F4488">
        <w:t xml:space="preserve"> plan is to implement a simple and transparent procedure that allows TL</w:t>
      </w:r>
      <w:r>
        <w:t>s</w:t>
      </w:r>
      <w:r w:rsidR="00E43855" w:rsidRPr="003F4488">
        <w:t xml:space="preserve"> to be recognized by ITU in order to populate</w:t>
      </w:r>
      <w:r>
        <w:t xml:space="preserve"> the</w:t>
      </w:r>
      <w:r w:rsidR="00E43855" w:rsidRPr="003F4488">
        <w:t xml:space="preserve"> ITU Product Conformity Database</w:t>
      </w:r>
      <w:r>
        <w:t>, following the</w:t>
      </w:r>
      <w:r w:rsidR="00E43855" w:rsidRPr="003F4488">
        <w:t xml:space="preserve"> </w:t>
      </w:r>
      <w:r>
        <w:t xml:space="preserve">request of </w:t>
      </w:r>
      <w:r w:rsidR="00E43855" w:rsidRPr="003F4488">
        <w:t xml:space="preserve">WTSA-16 </w:t>
      </w:r>
      <w:r>
        <w:t xml:space="preserve">that </w:t>
      </w:r>
      <w:r w:rsidR="00E43855" w:rsidRPr="003F4488">
        <w:t xml:space="preserve">ITU collaborate with IECEE and </w:t>
      </w:r>
      <w:r w:rsidR="00E43855" w:rsidRPr="003F4488">
        <w:lastRenderedPageBreak/>
        <w:t xml:space="preserve">ILAC </w:t>
      </w:r>
      <w:r>
        <w:t>in this regard.</w:t>
      </w:r>
      <w:r w:rsidR="00BB3ED7">
        <w:t xml:space="preserve"> It also highlighted that </w:t>
      </w:r>
      <w:r w:rsidR="00E43855" w:rsidRPr="003F4488">
        <w:t xml:space="preserve">ITU </w:t>
      </w:r>
      <w:r w:rsidR="00BB3ED7">
        <w:t xml:space="preserve">has </w:t>
      </w:r>
      <w:r w:rsidR="00E43855" w:rsidRPr="003F4488">
        <w:t xml:space="preserve">received several requests from TLs wishing to be recognized </w:t>
      </w:r>
      <w:r>
        <w:t xml:space="preserve">by ITU, </w:t>
      </w:r>
      <w:r w:rsidR="00E43855" w:rsidRPr="003F4488">
        <w:t>asking CASC to provide guidance on the way forward</w:t>
      </w:r>
      <w:r>
        <w:t>.</w:t>
      </w:r>
    </w:p>
    <w:p w14:paraId="48284D0A" w14:textId="4BB3CDF8" w:rsidR="002901BE" w:rsidRPr="00B866DD" w:rsidRDefault="002901BE" w:rsidP="00710D5D">
      <w:pPr>
        <w:rPr>
          <w:lang w:val="en-GB"/>
        </w:rPr>
      </w:pPr>
      <w:r>
        <w:rPr>
          <w:lang w:val="en-GB"/>
        </w:rPr>
        <w:t>The July IEC meeting also discussed the</w:t>
      </w:r>
      <w:r w:rsidR="00B866DD">
        <w:rPr>
          <w:lang w:val="en-GB"/>
        </w:rPr>
        <w:t xml:space="preserve"> largely positive responses received from a </w:t>
      </w:r>
      <w:r>
        <w:rPr>
          <w:lang w:val="en-GB"/>
        </w:rPr>
        <w:t xml:space="preserve">questionnaire </w:t>
      </w:r>
      <w:r w:rsidRPr="009975C6">
        <w:rPr>
          <w:lang w:val="en-GB"/>
        </w:rPr>
        <w:t>evaluat</w:t>
      </w:r>
      <w:r>
        <w:rPr>
          <w:lang w:val="en-GB"/>
        </w:rPr>
        <w:t>ing</w:t>
      </w:r>
      <w:r w:rsidRPr="009975C6">
        <w:rPr>
          <w:lang w:val="en-GB"/>
        </w:rPr>
        <w:t xml:space="preserve"> market need for </w:t>
      </w:r>
      <w:r>
        <w:rPr>
          <w:lang w:val="en-GB"/>
        </w:rPr>
        <w:t xml:space="preserve">a </w:t>
      </w:r>
      <w:r w:rsidRPr="009975C6">
        <w:rPr>
          <w:lang w:val="en-GB"/>
        </w:rPr>
        <w:t xml:space="preserve">joint ITU/IEC TL recognition procedure and certification scheme </w:t>
      </w:r>
      <w:r>
        <w:rPr>
          <w:lang w:val="en-GB"/>
        </w:rPr>
        <w:t xml:space="preserve">for </w:t>
      </w:r>
      <w:r w:rsidRPr="009975C6">
        <w:rPr>
          <w:lang w:val="en-GB"/>
        </w:rPr>
        <w:t>ITU-T Recommendations</w:t>
      </w:r>
      <w:r>
        <w:rPr>
          <w:lang w:val="en-GB"/>
        </w:rPr>
        <w:t xml:space="preserve">, a questionnaire distributed by ITU-T CASC at the </w:t>
      </w:r>
      <w:r w:rsidRPr="009975C6">
        <w:rPr>
          <w:lang w:val="en-GB"/>
        </w:rPr>
        <w:t xml:space="preserve">request </w:t>
      </w:r>
      <w:r>
        <w:rPr>
          <w:lang w:val="en-GB"/>
        </w:rPr>
        <w:t>of IECEE Certification Management Committee Working Group 33 ‘ITU requirements’ (</w:t>
      </w:r>
      <w:r w:rsidRPr="009975C6">
        <w:rPr>
          <w:lang w:val="en-GB"/>
        </w:rPr>
        <w:t>IECEE CMC WG33</w:t>
      </w:r>
      <w:r>
        <w:rPr>
          <w:lang w:val="en-GB"/>
        </w:rPr>
        <w:t>).</w:t>
      </w:r>
      <w:r w:rsidRPr="009975C6">
        <w:rPr>
          <w:lang w:val="en-GB"/>
        </w:rPr>
        <w:t xml:space="preserve"> </w:t>
      </w:r>
    </w:p>
    <w:p w14:paraId="313B1B8D" w14:textId="323B1244" w:rsidR="00E43855" w:rsidRPr="003F4488" w:rsidRDefault="00B866DD" w:rsidP="00E43855">
      <w:r>
        <w:t xml:space="preserve">Considering the unanticipated costs to be incurred by TLs, a </w:t>
      </w:r>
      <w:r w:rsidR="00E43855" w:rsidRPr="003F4488">
        <w:t>CASC meeting</w:t>
      </w:r>
      <w:r>
        <w:t xml:space="preserve"> following</w:t>
      </w:r>
      <w:r w:rsidR="002901BE">
        <w:t xml:space="preserve"> in July </w:t>
      </w:r>
      <w:r w:rsidR="00E43855" w:rsidRPr="003F4488">
        <w:t xml:space="preserve">decided </w:t>
      </w:r>
      <w:r w:rsidR="002901BE">
        <w:t xml:space="preserve">against </w:t>
      </w:r>
      <w:r>
        <w:t xml:space="preserve">the continued development of the </w:t>
      </w:r>
      <w:r w:rsidR="00B02E4C">
        <w:t>proposed</w:t>
      </w:r>
      <w:r>
        <w:t xml:space="preserve"> </w:t>
      </w:r>
      <w:r w:rsidR="00B02E4C">
        <w:t xml:space="preserve">joint </w:t>
      </w:r>
      <w:r w:rsidR="00E43855" w:rsidRPr="003F4488">
        <w:t>TL recognition procedure</w:t>
      </w:r>
      <w:r>
        <w:t xml:space="preserve">. </w:t>
      </w:r>
      <w:r w:rsidR="00E43855" w:rsidRPr="003F4488">
        <w:t>CASC</w:t>
      </w:r>
      <w:r w:rsidR="00B02E4C">
        <w:t xml:space="preserve"> also</w:t>
      </w:r>
      <w:r w:rsidR="00E43855" w:rsidRPr="003F4488">
        <w:t xml:space="preserve"> decided to </w:t>
      </w:r>
      <w:r w:rsidR="00B02E4C">
        <w:t>suspend the continued developed of the proposed joint certification scheme to provide ITU</w:t>
      </w:r>
      <w:r w:rsidR="00E43855" w:rsidRPr="003F4488">
        <w:t>-T</w:t>
      </w:r>
      <w:r w:rsidR="00B02E4C">
        <w:t xml:space="preserve"> study groups the opportunity </w:t>
      </w:r>
      <w:r w:rsidR="00E43855" w:rsidRPr="003F4488">
        <w:t>to</w:t>
      </w:r>
      <w:r w:rsidR="00B02E4C">
        <w:t xml:space="preserve"> </w:t>
      </w:r>
      <w:r w:rsidR="00E43855" w:rsidRPr="003F4488">
        <w:t xml:space="preserve">provide CASC feedback </w:t>
      </w:r>
      <w:r w:rsidR="00B02E4C">
        <w:t xml:space="preserve">on </w:t>
      </w:r>
      <w:r w:rsidR="00E43855" w:rsidRPr="003F4488">
        <w:t xml:space="preserve">whether </w:t>
      </w:r>
      <w:r w:rsidR="00B02E4C">
        <w:t xml:space="preserve">or not </w:t>
      </w:r>
      <w:r w:rsidR="00E43855" w:rsidRPr="003F4488">
        <w:t xml:space="preserve">such joint certification scheme </w:t>
      </w:r>
      <w:r w:rsidR="00B02E4C">
        <w:t>would be of</w:t>
      </w:r>
      <w:r w:rsidR="00E43855" w:rsidRPr="003F4488">
        <w:t xml:space="preserve"> interest</w:t>
      </w:r>
      <w:r w:rsidR="00B02E4C">
        <w:t xml:space="preserve"> to ITU-T study groups</w:t>
      </w:r>
      <w:r w:rsidR="00E43855" w:rsidRPr="003F4488">
        <w:t xml:space="preserve">, taking into consideration </w:t>
      </w:r>
      <w:r w:rsidR="00B02E4C">
        <w:t xml:space="preserve">all </w:t>
      </w:r>
      <w:r w:rsidR="00E43855" w:rsidRPr="003F4488">
        <w:t xml:space="preserve">financial implications. The relevant LSs </w:t>
      </w:r>
      <w:r w:rsidR="00B02E4C">
        <w:t>have been</w:t>
      </w:r>
      <w:r w:rsidR="00E43855" w:rsidRPr="003F4488">
        <w:t xml:space="preserve"> sent to ITU-T</w:t>
      </w:r>
      <w:r w:rsidR="00B02E4C">
        <w:t xml:space="preserve"> study groups and</w:t>
      </w:r>
      <w:r w:rsidR="00E43855" w:rsidRPr="003F4488">
        <w:t xml:space="preserve"> IECE</w:t>
      </w:r>
      <w:r w:rsidR="00B02E4C">
        <w:t>E</w:t>
      </w:r>
      <w:r w:rsidR="00E43855" w:rsidRPr="003F4488">
        <w:t>.</w:t>
      </w:r>
    </w:p>
    <w:p w14:paraId="71D08073" w14:textId="4C5D5D20" w:rsidR="00136E7B" w:rsidRPr="003660E9" w:rsidRDefault="00B02E4C" w:rsidP="00136E7B">
      <w:proofErr w:type="gramStart"/>
      <w:r>
        <w:t>Also</w:t>
      </w:r>
      <w:proofErr w:type="gramEnd"/>
      <w:r>
        <w:t xml:space="preserve"> d</w:t>
      </w:r>
      <w:r w:rsidR="00E43855" w:rsidRPr="003F4488">
        <w:t>uring</w:t>
      </w:r>
      <w:r>
        <w:t xml:space="preserve"> July </w:t>
      </w:r>
      <w:r w:rsidR="00E43855" w:rsidRPr="003F4488">
        <w:t xml:space="preserve">CASC meeting, ILAC presented outcomes of </w:t>
      </w:r>
      <w:r>
        <w:t xml:space="preserve">and </w:t>
      </w:r>
      <w:r w:rsidR="00E43855" w:rsidRPr="003F4488">
        <w:t>ILAC survey to identify T</w:t>
      </w:r>
      <w:r>
        <w:t xml:space="preserve">Ls </w:t>
      </w:r>
      <w:r w:rsidR="00E43855" w:rsidRPr="003F4488">
        <w:t>accredited to perform testing in accordance with ITU-T Recommendations. The response rate was reasonable at 68</w:t>
      </w:r>
      <w:r>
        <w:t xml:space="preserve"> per cent. </w:t>
      </w:r>
      <w:r w:rsidR="00E43855" w:rsidRPr="003F4488">
        <w:t xml:space="preserve">CASC encouraged ILAC to propose procedures on further collaboration at the next CASC meeting. It is assumed that these procedures </w:t>
      </w:r>
      <w:r>
        <w:t xml:space="preserve">could </w:t>
      </w:r>
      <w:r w:rsidR="00E43855" w:rsidRPr="003F4488">
        <w:t xml:space="preserve">allow CASC to recognize TLs provided by ILAC, without additional assessment. The relevant LS </w:t>
      </w:r>
      <w:r>
        <w:t>has been</w:t>
      </w:r>
      <w:r w:rsidR="00E43855" w:rsidRPr="003F4488">
        <w:t xml:space="preserve"> sent to ILAC.</w:t>
      </w:r>
    </w:p>
    <w:p w14:paraId="66DCAECA" w14:textId="0558AF14" w:rsidR="00136E7B" w:rsidRPr="001615CC" w:rsidRDefault="7B3A17EB" w:rsidP="00136E7B">
      <w:pPr>
        <w:pStyle w:val="Heading2"/>
      </w:pPr>
      <w:bookmarkStart w:id="48" w:name="_Toc462664225"/>
      <w:bookmarkStart w:id="49" w:name="_Toc480527819"/>
      <w:bookmarkStart w:id="50" w:name="_Toc51042253"/>
      <w:bookmarkStart w:id="51" w:name="_Toc453932965"/>
      <w:bookmarkStart w:id="52" w:name="_Toc438553975"/>
      <w:bookmarkStart w:id="53" w:name="_Toc453929094"/>
      <w:bookmarkStart w:id="54" w:name="_Toc454295871"/>
      <w:r>
        <w:t>3</w:t>
      </w:r>
      <w:r w:rsidR="5EE8545A" w:rsidRPr="001615CC">
        <w:t>.2</w:t>
      </w:r>
      <w:r w:rsidR="00136E7B" w:rsidRPr="001615CC">
        <w:tab/>
      </w:r>
      <w:r w:rsidR="5EE8545A" w:rsidRPr="001615CC">
        <w:t>ICT product conformity database</w:t>
      </w:r>
      <w:bookmarkEnd w:id="48"/>
      <w:bookmarkEnd w:id="49"/>
      <w:bookmarkEnd w:id="50"/>
    </w:p>
    <w:p w14:paraId="3B2A74B1" w14:textId="77777777" w:rsidR="00136E7B" w:rsidRPr="00FB647D" w:rsidRDefault="00136E7B" w:rsidP="00136E7B">
      <w:pPr>
        <w:rPr>
          <w:lang w:val="en-GB"/>
        </w:rPr>
      </w:pPr>
      <w:r w:rsidRPr="00FB647D">
        <w:rPr>
          <w:lang w:val="en-GB"/>
        </w:rPr>
        <w:t xml:space="preserve">The </w:t>
      </w:r>
      <w:hyperlink r:id="rId49" w:history="1">
        <w:r w:rsidRPr="00FB647D">
          <w:rPr>
            <w:rStyle w:val="Hyperlink"/>
            <w:rFonts w:eastAsiaTheme="majorEastAsia"/>
            <w:lang w:val="en-GB"/>
          </w:rPr>
          <w:t>ICT product conformity database</w:t>
        </w:r>
      </w:hyperlink>
      <w:r w:rsidRPr="00FB647D">
        <w:rPr>
          <w:lang w:val="en-GB"/>
        </w:rPr>
        <w:t xml:space="preserve"> enables industry to publicize the conformance of ICT products and services to ITU-T Recommendations, assisting users in their efforts to select standards-compliant products. </w:t>
      </w:r>
      <w:r w:rsidRPr="00FB647D">
        <w:rPr>
          <w:szCs w:val="22"/>
          <w:lang w:val="en-GB"/>
        </w:rPr>
        <w:t xml:space="preserve">The database currently contains more than 500 entries. </w:t>
      </w:r>
      <w:r w:rsidRPr="00FB647D">
        <w:rPr>
          <w:lang w:val="en-GB"/>
        </w:rPr>
        <w:t>Five categories of products and services have been submitted to the database:</w:t>
      </w:r>
    </w:p>
    <w:p w14:paraId="66CB870F" w14:textId="77777777" w:rsidR="00136E7B" w:rsidRPr="00FB647D" w:rsidRDefault="00136E7B" w:rsidP="0063096B">
      <w:pPr>
        <w:numPr>
          <w:ilvl w:val="0"/>
          <w:numId w:val="10"/>
        </w:numPr>
        <w:rPr>
          <w:i/>
          <w:lang w:val="en-GB"/>
        </w:rPr>
      </w:pPr>
      <w:r w:rsidRPr="00FB647D">
        <w:rPr>
          <w:b/>
          <w:lang w:val="en-GB"/>
        </w:rPr>
        <w:t>e-Health</w:t>
      </w:r>
      <w:r w:rsidRPr="00FB647D">
        <w:rPr>
          <w:lang w:val="en-GB"/>
        </w:rPr>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290945B5" w14:textId="77777777" w:rsidR="00136E7B" w:rsidRPr="00E43855" w:rsidRDefault="00136E7B" w:rsidP="0063096B">
      <w:pPr>
        <w:numPr>
          <w:ilvl w:val="0"/>
          <w:numId w:val="10"/>
        </w:numPr>
        <w:rPr>
          <w:lang w:val="en-GB"/>
        </w:rPr>
      </w:pPr>
      <w:r w:rsidRPr="00E43855">
        <w:rPr>
          <w:b/>
          <w:lang w:val="en-GB"/>
        </w:rPr>
        <w:t>Mobile phones</w:t>
      </w:r>
      <w:r w:rsidRPr="00E4385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w:t>
      </w:r>
    </w:p>
    <w:p w14:paraId="63C402E0" w14:textId="77777777" w:rsidR="00136E7B" w:rsidRPr="00E43855" w:rsidRDefault="00136E7B" w:rsidP="0063096B">
      <w:pPr>
        <w:numPr>
          <w:ilvl w:val="0"/>
          <w:numId w:val="10"/>
        </w:numPr>
        <w:rPr>
          <w:lang w:val="en-GB"/>
        </w:rPr>
      </w:pPr>
      <w:r w:rsidRPr="00E43855">
        <w:rPr>
          <w:b/>
          <w:lang w:val="en-GB"/>
        </w:rPr>
        <w:t xml:space="preserve">Ethernet </w:t>
      </w:r>
      <w:r w:rsidRPr="00E43855">
        <w:rPr>
          <w:lang w:val="en-GB"/>
        </w:rPr>
        <w:t>products complying with ITU-T G.8011/Y.1307 "Ethernet Services Characteristics". This standard as well as the corresponding tests are based on the work of MEF (formerly called Metro Ethernet Forum).</w:t>
      </w:r>
    </w:p>
    <w:p w14:paraId="71AF2835" w14:textId="77777777" w:rsidR="00136E7B" w:rsidRPr="00E43855" w:rsidRDefault="00136E7B" w:rsidP="0063096B">
      <w:pPr>
        <w:numPr>
          <w:ilvl w:val="0"/>
          <w:numId w:val="10"/>
        </w:numPr>
        <w:rPr>
          <w:lang w:val="en-GB"/>
        </w:rPr>
      </w:pPr>
      <w:r w:rsidRPr="00E43855">
        <w:rPr>
          <w:b/>
          <w:szCs w:val="22"/>
          <w:lang w:val="en-GB"/>
        </w:rPr>
        <w:t>IPTV systems</w:t>
      </w:r>
      <w:r w:rsidRPr="00E43855">
        <w:rPr>
          <w:szCs w:val="22"/>
          <w:lang w:val="en-GB"/>
        </w:rPr>
        <w:t xml:space="preserve"> compatible with ITU-T H.721 "IPTV terminal devices: Basic model" and ITU-T H.702 "Accessibility profiles for IPTV systems", </w:t>
      </w:r>
      <w:r w:rsidRPr="00E43855">
        <w:rPr>
          <w:lang w:val="en-GB"/>
        </w:rPr>
        <w:t xml:space="preserve">tested to </w:t>
      </w:r>
      <w:hyperlink r:id="rId50" w:history="1">
        <w:r w:rsidRPr="00E43855">
          <w:rPr>
            <w:rStyle w:val="Hyperlink"/>
            <w:rFonts w:asciiTheme="majorBidi" w:eastAsia="Batang" w:hAnsiTheme="majorBidi" w:cstheme="majorBidi"/>
            <w:lang w:val="en-GB"/>
          </w:rPr>
          <w:t>HSTP-CONF-H721</w:t>
        </w:r>
      </w:hyperlink>
      <w:r w:rsidRPr="00E43855">
        <w:rPr>
          <w:rFonts w:asciiTheme="majorBidi" w:hAnsiTheme="majorBidi" w:cstheme="majorBidi"/>
          <w:lang w:val="en-GB"/>
        </w:rPr>
        <w:t xml:space="preserve"> </w:t>
      </w:r>
      <w:r w:rsidRPr="00E43855">
        <w:rPr>
          <w:rFonts w:asciiTheme="majorBidi" w:hAnsiTheme="majorBidi" w:cstheme="majorBidi"/>
          <w:szCs w:val="24"/>
          <w:lang w:val="en-GB"/>
        </w:rPr>
        <w:t xml:space="preserve">and </w:t>
      </w:r>
      <w:hyperlink r:id="rId51" w:history="1">
        <w:r w:rsidRPr="00E43855">
          <w:rPr>
            <w:rStyle w:val="Hyperlink"/>
            <w:rFonts w:asciiTheme="majorBidi" w:eastAsia="Batang" w:hAnsiTheme="majorBidi" w:cstheme="majorBidi"/>
            <w:szCs w:val="24"/>
            <w:lang w:val="en-GB"/>
          </w:rPr>
          <w:t>HSTP-CONF-H702</w:t>
        </w:r>
      </w:hyperlink>
      <w:r w:rsidRPr="00E43855">
        <w:rPr>
          <w:rStyle w:val="Hyperlink"/>
          <w:rFonts w:asciiTheme="majorBidi" w:eastAsia="Batang" w:hAnsiTheme="majorBidi" w:cstheme="majorBidi"/>
          <w:szCs w:val="24"/>
          <w:lang w:val="en-GB"/>
        </w:rPr>
        <w:t>.</w:t>
      </w:r>
    </w:p>
    <w:p w14:paraId="67A67B7A" w14:textId="174736F1" w:rsidR="00136E7B" w:rsidRPr="00E43855" w:rsidRDefault="00136E7B" w:rsidP="0063096B">
      <w:pPr>
        <w:numPr>
          <w:ilvl w:val="0"/>
          <w:numId w:val="10"/>
        </w:numPr>
        <w:rPr>
          <w:lang w:val="en-GB"/>
        </w:rPr>
      </w:pPr>
      <w:r w:rsidRPr="376C6823">
        <w:rPr>
          <w:b/>
          <w:lang w:val="en-GB"/>
        </w:rPr>
        <w:t>Mobile Number Portability (MNP)</w:t>
      </w:r>
      <w:r w:rsidRPr="376C6823">
        <w:rPr>
          <w:lang w:val="en-GB"/>
        </w:rPr>
        <w:t xml:space="preserve"> systems compatible with ITU-T Q</w:t>
      </w:r>
      <w:r w:rsidR="377C7DEE" w:rsidRPr="376C6823">
        <w:rPr>
          <w:lang w:val="en-GB"/>
        </w:rPr>
        <w:t>-</w:t>
      </w:r>
      <w:r w:rsidR="07B322A9" w:rsidRPr="376C6823">
        <w:rPr>
          <w:lang w:val="en-GB"/>
        </w:rPr>
        <w:t>s</w:t>
      </w:r>
      <w:r w:rsidR="3BDB91E6" w:rsidRPr="376C6823">
        <w:rPr>
          <w:lang w:val="en-GB"/>
        </w:rPr>
        <w:t xml:space="preserve">eries </w:t>
      </w:r>
      <w:r w:rsidRPr="376C6823">
        <w:rPr>
          <w:lang w:val="en-GB"/>
        </w:rPr>
        <w:t xml:space="preserve">Supplement 4 "Number portability – Capability set 1 </w:t>
      </w:r>
      <w:proofErr w:type="gramStart"/>
      <w:r w:rsidRPr="376C6823">
        <w:rPr>
          <w:lang w:val="en-GB"/>
        </w:rPr>
        <w:t>requirements</w:t>
      </w:r>
      <w:proofErr w:type="gramEnd"/>
      <w:r w:rsidRPr="376C6823">
        <w:rPr>
          <w:lang w:val="en-GB"/>
        </w:rPr>
        <w:t xml:space="preserve"> for service provider portability (All call query and Onward routing)", tested to ITU-T Q.3905.</w:t>
      </w:r>
    </w:p>
    <w:p w14:paraId="78DBEBD5" w14:textId="7EC496B9" w:rsidR="00136E7B" w:rsidRPr="001615CC" w:rsidRDefault="00BA3326" w:rsidP="00136E7B">
      <w:pPr>
        <w:pStyle w:val="Heading1"/>
      </w:pPr>
      <w:bookmarkStart w:id="55" w:name="_Toc438553988"/>
      <w:bookmarkStart w:id="56" w:name="_Toc453929112"/>
      <w:bookmarkStart w:id="57" w:name="_Toc453932983"/>
      <w:bookmarkStart w:id="58" w:name="_Toc454295889"/>
      <w:bookmarkStart w:id="59" w:name="_Toc462664270"/>
      <w:bookmarkStart w:id="60" w:name="_Toc480527824"/>
      <w:bookmarkStart w:id="61" w:name="_Toc51042254"/>
      <w:bookmarkStart w:id="62" w:name="_Toc416161354"/>
      <w:bookmarkStart w:id="63" w:name="_Toc438553977"/>
      <w:bookmarkStart w:id="64" w:name="_Toc453929096"/>
      <w:bookmarkStart w:id="65" w:name="_Toc453932967"/>
      <w:bookmarkStart w:id="66" w:name="_Toc454295873"/>
      <w:bookmarkStart w:id="67" w:name="_Toc462664237"/>
      <w:bookmarkEnd w:id="45"/>
      <w:bookmarkEnd w:id="46"/>
      <w:bookmarkEnd w:id="47"/>
      <w:bookmarkEnd w:id="51"/>
      <w:bookmarkEnd w:id="52"/>
      <w:bookmarkEnd w:id="53"/>
      <w:bookmarkEnd w:id="54"/>
      <w:r>
        <w:rPr>
          <w:rFonts w:eastAsiaTheme="minorEastAsia"/>
        </w:rPr>
        <w:t>4</w:t>
      </w:r>
      <w:r w:rsidR="00136E7B" w:rsidRPr="001615CC">
        <w:rPr>
          <w:rFonts w:eastAsiaTheme="minorEastAsia"/>
        </w:rPr>
        <w:tab/>
        <w:t>Accessible ITU-T meetings</w:t>
      </w:r>
      <w:bookmarkEnd w:id="55"/>
      <w:bookmarkEnd w:id="56"/>
      <w:bookmarkEnd w:id="57"/>
      <w:bookmarkEnd w:id="58"/>
      <w:bookmarkEnd w:id="59"/>
      <w:bookmarkEnd w:id="60"/>
      <w:bookmarkEnd w:id="61"/>
    </w:p>
    <w:p w14:paraId="27F33587" w14:textId="27ED7ED6" w:rsidR="00136E7B" w:rsidRPr="009E62D1" w:rsidRDefault="00136E7B" w:rsidP="00136E7B">
      <w:pPr>
        <w:rPr>
          <w:lang w:val="en-GB"/>
        </w:rPr>
      </w:pPr>
      <w:r w:rsidRPr="009E62D1">
        <w:rPr>
          <w:lang w:val="en-GB"/>
        </w:rPr>
        <w:t xml:space="preserve">ITU-T provides </w:t>
      </w:r>
      <w:r w:rsidR="064CE41D" w:rsidRPr="00858200">
        <w:rPr>
          <w:lang w:val="en-GB"/>
        </w:rPr>
        <w:t>accessibility</w:t>
      </w:r>
      <w:r w:rsidRPr="00858200">
        <w:rPr>
          <w:lang w:val="en-GB"/>
        </w:rPr>
        <w:t xml:space="preserve"> </w:t>
      </w:r>
      <w:r w:rsidRPr="009E62D1">
        <w:rPr>
          <w:lang w:val="en-GB"/>
        </w:rPr>
        <w:t>services such as sign-language interpretation and captioning, and financial support in some cases, to engage persons with disabilities in the ITU-T standardization process.</w:t>
      </w:r>
    </w:p>
    <w:p w14:paraId="5333EEF2" w14:textId="4C31F060" w:rsidR="00136E7B" w:rsidRPr="00B02E4C" w:rsidRDefault="1289EEDE" w:rsidP="00858200">
      <w:pPr>
        <w:rPr>
          <w:szCs w:val="24"/>
          <w:lang w:val="en-GB"/>
        </w:rPr>
      </w:pPr>
      <w:r w:rsidRPr="00858200">
        <w:rPr>
          <w:lang w:val="en-GB"/>
        </w:rPr>
        <w:lastRenderedPageBreak/>
        <w:t xml:space="preserve">American Sign Language (ASL), </w:t>
      </w:r>
      <w:r w:rsidR="00136E7B" w:rsidRPr="009E62D1">
        <w:rPr>
          <w:lang w:val="en-GB"/>
        </w:rPr>
        <w:t xml:space="preserve">British Sign Language (BSL) and real-time captioning were </w:t>
      </w:r>
      <w:r w:rsidR="00136E7B" w:rsidRPr="00B02E4C">
        <w:rPr>
          <w:szCs w:val="24"/>
          <w:lang w:val="en-GB"/>
        </w:rPr>
        <w:t>provided for</w:t>
      </w:r>
      <w:r w:rsidR="3D115EDF" w:rsidRPr="00B02E4C">
        <w:rPr>
          <w:szCs w:val="24"/>
          <w:lang w:val="en-GB"/>
        </w:rPr>
        <w:t>:</w:t>
      </w:r>
    </w:p>
    <w:p w14:paraId="6D841ECB" w14:textId="129F0EB2"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Q26/16 </w:t>
      </w:r>
      <w:r w:rsidR="2821A3EB" w:rsidRPr="00B02E4C">
        <w:rPr>
          <w:rFonts w:ascii="Times New Roman" w:hAnsi="Times New Roman"/>
          <w:sz w:val="24"/>
          <w:szCs w:val="24"/>
          <w:lang w:val="en-GB"/>
        </w:rPr>
        <w:t>Rapporteur meeting (</w:t>
      </w:r>
      <w:r w:rsidR="26FDF5E2" w:rsidRPr="00B02E4C">
        <w:rPr>
          <w:rFonts w:ascii="Times New Roman" w:hAnsi="Times New Roman"/>
          <w:sz w:val="24"/>
          <w:szCs w:val="24"/>
          <w:lang w:val="en-GB"/>
        </w:rPr>
        <w:t>18, 20-21 May 2020), Q26/16 meeting</w:t>
      </w:r>
      <w:r w:rsidRPr="00B02E4C">
        <w:rPr>
          <w:rFonts w:ascii="Times New Roman" w:hAnsi="Times New Roman"/>
          <w:sz w:val="24"/>
          <w:szCs w:val="24"/>
          <w:lang w:val="en-GB"/>
        </w:rPr>
        <w:t xml:space="preserve"> during the ITU-T SG16 meeting in </w:t>
      </w:r>
      <w:r w:rsidR="26965E81" w:rsidRPr="00B02E4C">
        <w:rPr>
          <w:rFonts w:ascii="Times New Roman" w:hAnsi="Times New Roman"/>
          <w:sz w:val="24"/>
          <w:szCs w:val="24"/>
          <w:lang w:val="en-GB"/>
        </w:rPr>
        <w:t>June-July 2020</w:t>
      </w:r>
      <w:r w:rsidR="009E62D1" w:rsidRPr="00B02E4C">
        <w:rPr>
          <w:rFonts w:ascii="Times New Roman" w:hAnsi="Times New Roman"/>
          <w:sz w:val="24"/>
          <w:szCs w:val="24"/>
          <w:lang w:val="en-GB"/>
        </w:rPr>
        <w:t>.</w:t>
      </w:r>
    </w:p>
    <w:p w14:paraId="0F617E46" w14:textId="3D2ACA08" w:rsidR="00136E7B" w:rsidRPr="00B02E4C" w:rsidRDefault="26965E81"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JCA-AHF meetings on </w:t>
      </w:r>
      <w:r w:rsidR="0E6EF009" w:rsidRPr="00B02E4C">
        <w:rPr>
          <w:rFonts w:ascii="Times New Roman" w:hAnsi="Times New Roman"/>
          <w:sz w:val="24"/>
          <w:szCs w:val="24"/>
          <w:lang w:val="en-GB"/>
        </w:rPr>
        <w:t>21 May 2020 and on 1 July 2020</w:t>
      </w:r>
      <w:r w:rsidR="009E62D1" w:rsidRPr="00B02E4C">
        <w:rPr>
          <w:rFonts w:ascii="Times New Roman" w:hAnsi="Times New Roman"/>
          <w:sz w:val="24"/>
          <w:szCs w:val="24"/>
          <w:lang w:val="en-GB"/>
        </w:rPr>
        <w:t>.</w:t>
      </w:r>
    </w:p>
    <w:p w14:paraId="2BB69FC8" w14:textId="4D3C6FA2" w:rsidR="00136E7B" w:rsidRPr="00B02E4C" w:rsidRDefault="0E6EF009"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Captioning was provided for</w:t>
      </w:r>
      <w:r w:rsidR="009E62D1" w:rsidRPr="00B02E4C">
        <w:rPr>
          <w:rFonts w:ascii="Times New Roman" w:hAnsi="Times New Roman"/>
          <w:sz w:val="24"/>
          <w:szCs w:val="24"/>
          <w:lang w:val="en-GB"/>
        </w:rPr>
        <w:t>:</w:t>
      </w:r>
    </w:p>
    <w:p w14:paraId="38594C4B" w14:textId="394C8AAC"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w:t>
      </w:r>
      <w:hyperlink r:id="rId52">
        <w:r w:rsidRPr="00B02E4C">
          <w:rPr>
            <w:rStyle w:val="Hyperlink"/>
            <w:rFonts w:ascii="Times New Roman" w:hAnsi="Times New Roman"/>
            <w:sz w:val="24"/>
            <w:szCs w:val="24"/>
            <w:lang w:val="en-GB"/>
          </w:rPr>
          <w:t>IRG-AVA</w:t>
        </w:r>
      </w:hyperlink>
      <w:r w:rsidRPr="00B02E4C">
        <w:rPr>
          <w:rFonts w:ascii="Times New Roman" w:hAnsi="Times New Roman"/>
          <w:sz w:val="24"/>
          <w:szCs w:val="24"/>
          <w:lang w:val="en-GB"/>
        </w:rPr>
        <w:t xml:space="preserve"> meeting on </w:t>
      </w:r>
      <w:r w:rsidR="0F4BF079" w:rsidRPr="00B02E4C">
        <w:rPr>
          <w:rFonts w:ascii="Times New Roman" w:hAnsi="Times New Roman"/>
          <w:sz w:val="24"/>
          <w:szCs w:val="24"/>
          <w:lang w:val="en-GB"/>
        </w:rPr>
        <w:t>14 February 2020 and on 25 June 2020</w:t>
      </w:r>
      <w:r w:rsidRPr="00B02E4C">
        <w:rPr>
          <w:rFonts w:ascii="Times New Roman" w:hAnsi="Times New Roman"/>
          <w:sz w:val="24"/>
          <w:szCs w:val="24"/>
          <w:lang w:val="en-GB"/>
        </w:rPr>
        <w:t>.</w:t>
      </w:r>
    </w:p>
    <w:p w14:paraId="7602DBED" w14:textId="50A3C19D" w:rsidR="2C86715E" w:rsidRDefault="2C86715E">
      <w:r w:rsidRPr="3F228FE5">
        <w:rPr>
          <w:lang w:val="en-GB"/>
        </w:rPr>
        <w:t>Webinar sessions on accessibility were organized during WSIS Forum 2020:</w:t>
      </w:r>
    </w:p>
    <w:p w14:paraId="43F1D036" w14:textId="6C6A8137" w:rsidR="2C86715E" w:rsidRPr="00F02681" w:rsidRDefault="00C44FDC" w:rsidP="00CC5384">
      <w:pPr>
        <w:pStyle w:val="ListParagraph"/>
        <w:numPr>
          <w:ilvl w:val="0"/>
          <w:numId w:val="39"/>
        </w:numPr>
        <w:spacing w:before="120"/>
        <w:contextualSpacing w:val="0"/>
        <w:rPr>
          <w:rFonts w:ascii="Times New Roman" w:hAnsi="Times New Roman"/>
          <w:color w:val="0000FF"/>
          <w:sz w:val="24"/>
          <w:szCs w:val="24"/>
          <w:lang w:val="en-GB"/>
        </w:rPr>
      </w:pPr>
      <w:hyperlink r:id="rId53">
        <w:r w:rsidR="388E4F37" w:rsidRPr="52AFA42C">
          <w:rPr>
            <w:rStyle w:val="Hyperlink"/>
            <w:rFonts w:ascii="Times New Roman" w:hAnsi="Times New Roman"/>
            <w:sz w:val="24"/>
            <w:szCs w:val="24"/>
            <w:lang w:val="en-GB"/>
          </w:rPr>
          <w:t>Make Listening Safe and create the world where nobody's hearing is put in danger due to unsafe listening</w:t>
        </w:r>
      </w:hyperlink>
      <w:r w:rsidR="388E4F37" w:rsidRPr="52AFA42C">
        <w:rPr>
          <w:rFonts w:ascii="Times New Roman" w:hAnsi="Times New Roman"/>
          <w:sz w:val="24"/>
          <w:szCs w:val="24"/>
          <w:lang w:val="en-GB"/>
        </w:rPr>
        <w:t xml:space="preserve"> by ITU-T and WHO on 13 July 2020</w:t>
      </w:r>
    </w:p>
    <w:p w14:paraId="0F1988C9" w14:textId="534C5961" w:rsidR="2C86715E" w:rsidRPr="00F02681" w:rsidRDefault="00C44FDC" w:rsidP="00CC5384">
      <w:pPr>
        <w:pStyle w:val="ListParagraph"/>
        <w:numPr>
          <w:ilvl w:val="0"/>
          <w:numId w:val="39"/>
        </w:numPr>
        <w:spacing w:before="120"/>
        <w:contextualSpacing w:val="0"/>
        <w:rPr>
          <w:rFonts w:ascii="Times New Roman" w:hAnsi="Times New Roman"/>
          <w:color w:val="3789BD"/>
          <w:sz w:val="24"/>
          <w:szCs w:val="24"/>
          <w:lang w:val="en-GB"/>
        </w:rPr>
      </w:pPr>
      <w:hyperlink r:id="rId54">
        <w:r w:rsidR="388E4F37" w:rsidRPr="52AFA42C">
          <w:rPr>
            <w:rStyle w:val="Hyperlink"/>
            <w:rFonts w:ascii="Times New Roman" w:hAnsi="Times New Roman"/>
            <w:color w:val="3789BD"/>
            <w:sz w:val="24"/>
            <w:szCs w:val="24"/>
            <w:lang w:val="en-GB"/>
          </w:rPr>
          <w:t>How to engage the whole audience:</w:t>
        </w:r>
        <w:r w:rsidR="0085423D">
          <w:rPr>
            <w:rStyle w:val="Hyperlink"/>
            <w:rFonts w:ascii="Times New Roman" w:hAnsi="Times New Roman"/>
            <w:color w:val="3789BD"/>
            <w:sz w:val="24"/>
            <w:szCs w:val="24"/>
            <w:lang w:val="en-GB"/>
          </w:rPr>
          <w:t xml:space="preserve"> </w:t>
        </w:r>
        <w:r w:rsidR="388E4F37" w:rsidRPr="52AFA42C">
          <w:rPr>
            <w:rStyle w:val="Hyperlink"/>
            <w:rFonts w:ascii="Times New Roman" w:hAnsi="Times New Roman"/>
            <w:color w:val="3789BD"/>
            <w:sz w:val="24"/>
            <w:szCs w:val="24"/>
            <w:lang w:val="en-GB"/>
          </w:rPr>
          <w:t>Innovation in media accessibility</w:t>
        </w:r>
      </w:hyperlink>
      <w:r w:rsidR="388E4F37" w:rsidRPr="52AFA42C">
        <w:rPr>
          <w:rFonts w:ascii="Times New Roman" w:hAnsi="Times New Roman"/>
          <w:sz w:val="24"/>
          <w:szCs w:val="24"/>
          <w:lang w:val="en-GB"/>
        </w:rPr>
        <w:t xml:space="preserve"> by the IRG-AVA on 15 July 2020</w:t>
      </w:r>
      <w:r w:rsidR="449C4A7B" w:rsidRPr="52AFA42C">
        <w:rPr>
          <w:rFonts w:ascii="Times New Roman" w:hAnsi="Times New Roman"/>
          <w:sz w:val="24"/>
          <w:szCs w:val="24"/>
          <w:lang w:val="en-GB"/>
        </w:rPr>
        <w:t>.</w:t>
      </w:r>
    </w:p>
    <w:p w14:paraId="772B6B61" w14:textId="041517E3" w:rsidR="2C86715E" w:rsidRPr="00F02681" w:rsidRDefault="00C44FDC" w:rsidP="00CC5384">
      <w:pPr>
        <w:pStyle w:val="ListParagraph"/>
        <w:numPr>
          <w:ilvl w:val="0"/>
          <w:numId w:val="39"/>
        </w:numPr>
        <w:spacing w:before="120"/>
        <w:contextualSpacing w:val="0"/>
        <w:rPr>
          <w:rFonts w:ascii="Times New Roman" w:hAnsi="Times New Roman"/>
          <w:color w:val="3789BD"/>
          <w:sz w:val="24"/>
          <w:szCs w:val="24"/>
          <w:lang w:val="en-GB"/>
        </w:rPr>
      </w:pPr>
      <w:hyperlink r:id="rId55">
        <w:r w:rsidR="388E4F37" w:rsidRPr="00F02681">
          <w:rPr>
            <w:rStyle w:val="Hyperlink"/>
            <w:rFonts w:ascii="Times New Roman" w:hAnsi="Times New Roman"/>
            <w:color w:val="3789BD"/>
            <w:sz w:val="24"/>
            <w:szCs w:val="24"/>
            <w:lang w:val="en-GB"/>
          </w:rPr>
          <w:t xml:space="preserve">ICTs and Accessibility: Leaving Nobody Behind in the age of Smart Cities and Advances in Technology </w:t>
        </w:r>
      </w:hyperlink>
      <w:r w:rsidR="388E4F37" w:rsidRPr="00F02681">
        <w:rPr>
          <w:rFonts w:ascii="Times New Roman" w:hAnsi="Times New Roman"/>
          <w:sz w:val="24"/>
          <w:szCs w:val="24"/>
          <w:lang w:val="en-GB"/>
        </w:rPr>
        <w:t>by the JCA-AHF on 17 July 2020</w:t>
      </w:r>
      <w:r w:rsidR="00F02681">
        <w:rPr>
          <w:rFonts w:ascii="Times New Roman" w:hAnsi="Times New Roman"/>
          <w:sz w:val="24"/>
          <w:szCs w:val="24"/>
          <w:lang w:val="en-GB"/>
        </w:rPr>
        <w:t>.</w:t>
      </w:r>
    </w:p>
    <w:p w14:paraId="2B1B6F4F" w14:textId="6887AB84" w:rsidR="46B97C9B" w:rsidRDefault="2C86715E" w:rsidP="46B97C9B">
      <w:pPr>
        <w:rPr>
          <w:lang w:val="en-GB"/>
        </w:rPr>
      </w:pPr>
      <w:r w:rsidRPr="12E40F99">
        <w:rPr>
          <w:lang w:val="en-GB"/>
        </w:rPr>
        <w:t xml:space="preserve">TSB </w:t>
      </w:r>
      <w:r w:rsidRPr="0E7E610C">
        <w:rPr>
          <w:lang w:val="en-GB"/>
        </w:rPr>
        <w:t>contr</w:t>
      </w:r>
      <w:r w:rsidR="04D1CC34" w:rsidRPr="0E7E610C">
        <w:rPr>
          <w:lang w:val="en-GB"/>
        </w:rPr>
        <w:t>ibuted to</w:t>
      </w:r>
      <w:r w:rsidRPr="52AFA42C">
        <w:rPr>
          <w:lang w:val="en-GB"/>
        </w:rPr>
        <w:t xml:space="preserve"> the following ITU events:</w:t>
      </w:r>
    </w:p>
    <w:p w14:paraId="56F83963" w14:textId="712D8922" w:rsidR="2C86715E" w:rsidRPr="000D6C39" w:rsidRDefault="00C44FDC" w:rsidP="00CC5384">
      <w:pPr>
        <w:pStyle w:val="ListParagraph"/>
        <w:numPr>
          <w:ilvl w:val="0"/>
          <w:numId w:val="40"/>
        </w:numPr>
        <w:spacing w:before="120"/>
        <w:contextualSpacing w:val="0"/>
        <w:rPr>
          <w:rFonts w:ascii="Times New Roman" w:hAnsi="Times New Roman"/>
          <w:color w:val="0000FF"/>
          <w:sz w:val="24"/>
          <w:szCs w:val="24"/>
          <w:lang w:val="en-GB"/>
        </w:rPr>
      </w:pPr>
      <w:hyperlink r:id="rId56">
        <w:r w:rsidR="388E4F37" w:rsidRPr="000D6C39">
          <w:rPr>
            <w:rStyle w:val="Hyperlink"/>
            <w:rFonts w:ascii="Times New Roman" w:hAnsi="Times New Roman"/>
            <w:sz w:val="24"/>
            <w:szCs w:val="24"/>
            <w:lang w:val="en-GB"/>
          </w:rPr>
          <w:t>Accessible Americas 2019</w:t>
        </w:r>
      </w:hyperlink>
      <w:r w:rsidR="388E4F37" w:rsidRPr="000D6C39">
        <w:rPr>
          <w:rFonts w:ascii="Times New Roman" w:hAnsi="Times New Roman"/>
          <w:sz w:val="24"/>
          <w:szCs w:val="24"/>
          <w:lang w:val="en-GB"/>
        </w:rPr>
        <w:t xml:space="preserve"> (Quito, 20-22 November 2019)</w:t>
      </w:r>
    </w:p>
    <w:p w14:paraId="18B51B21" w14:textId="12E4F1D6" w:rsidR="2C86715E" w:rsidRPr="000D6C39" w:rsidRDefault="00C44FDC" w:rsidP="00CC5384">
      <w:pPr>
        <w:pStyle w:val="ListParagraph"/>
        <w:numPr>
          <w:ilvl w:val="0"/>
          <w:numId w:val="40"/>
        </w:numPr>
        <w:spacing w:before="120"/>
        <w:contextualSpacing w:val="0"/>
        <w:rPr>
          <w:rFonts w:ascii="Times New Roman" w:hAnsi="Times New Roman"/>
          <w:color w:val="0000FF"/>
          <w:sz w:val="24"/>
          <w:szCs w:val="24"/>
          <w:lang w:val="en-GB"/>
        </w:rPr>
      </w:pPr>
      <w:hyperlink r:id="rId57">
        <w:r w:rsidR="388E4F37" w:rsidRPr="000D6C39">
          <w:rPr>
            <w:rStyle w:val="Hyperlink"/>
            <w:rFonts w:ascii="Times New Roman" w:hAnsi="Times New Roman"/>
            <w:sz w:val="24"/>
            <w:szCs w:val="24"/>
            <w:lang w:val="en-GB"/>
          </w:rPr>
          <w:t>Accessible Europe 2019</w:t>
        </w:r>
      </w:hyperlink>
      <w:r w:rsidR="388E4F37" w:rsidRPr="000D6C39">
        <w:rPr>
          <w:rFonts w:ascii="Times New Roman" w:hAnsi="Times New Roman"/>
          <w:sz w:val="24"/>
          <w:szCs w:val="24"/>
          <w:lang w:val="en-GB"/>
        </w:rPr>
        <w:t xml:space="preserve"> (Malta, 4-6 December 2019)</w:t>
      </w:r>
      <w:r w:rsidR="00F02681" w:rsidRPr="000D6C39">
        <w:rPr>
          <w:rFonts w:ascii="Times New Roman" w:hAnsi="Times New Roman"/>
          <w:sz w:val="24"/>
          <w:szCs w:val="24"/>
          <w:lang w:val="en-GB"/>
        </w:rPr>
        <w:t>.</w:t>
      </w:r>
    </w:p>
    <w:p w14:paraId="62C9E350" w14:textId="163C8DF0" w:rsidR="00136E7B" w:rsidRPr="001615CC" w:rsidRDefault="00BA3326" w:rsidP="00136E7B">
      <w:pPr>
        <w:pStyle w:val="Heading1"/>
        <w:rPr>
          <w:rFonts w:eastAsiaTheme="minorEastAsia"/>
        </w:rPr>
      </w:pPr>
      <w:bookmarkStart w:id="68" w:name="_Toc480527828"/>
      <w:bookmarkStart w:id="69" w:name="_Toc51042255"/>
      <w:r>
        <w:rPr>
          <w:rFonts w:eastAsiaTheme="minorEastAsia"/>
        </w:rPr>
        <w:t>5</w:t>
      </w:r>
      <w:r w:rsidR="00136E7B" w:rsidRPr="001615CC">
        <w:rPr>
          <w:rFonts w:eastAsiaTheme="minorEastAsia"/>
        </w:rPr>
        <w:tab/>
        <w:t>Intellectual property rights</w:t>
      </w:r>
      <w:bookmarkEnd w:id="62"/>
      <w:bookmarkEnd w:id="63"/>
      <w:bookmarkEnd w:id="64"/>
      <w:bookmarkEnd w:id="65"/>
      <w:bookmarkEnd w:id="66"/>
      <w:bookmarkEnd w:id="67"/>
      <w:bookmarkEnd w:id="68"/>
      <w:bookmarkEnd w:id="69"/>
    </w:p>
    <w:p w14:paraId="76225F0F" w14:textId="41C876DB" w:rsidR="00136E7B" w:rsidRPr="00E10D83" w:rsidRDefault="00136E7B" w:rsidP="00136E7B">
      <w:pPr>
        <w:rPr>
          <w:lang w:val="en-GB"/>
        </w:rPr>
      </w:pPr>
      <w:r w:rsidRPr="000954CE">
        <w:rPr>
          <w:lang w:val="en-GB"/>
        </w:rPr>
        <w:t xml:space="preserve">The </w:t>
      </w:r>
      <w:hyperlink r:id="rId58" w:history="1">
        <w:r w:rsidRPr="000954CE">
          <w:rPr>
            <w:rStyle w:val="Hyperlink"/>
            <w:rFonts w:asciiTheme="majorBidi" w:hAnsiTheme="majorBidi" w:cstheme="majorBidi"/>
            <w:lang w:val="en-GB"/>
          </w:rPr>
          <w:t>TSB Director's Ad Hoc Group on Intellectual Property Rights (IPR AHG)</w:t>
        </w:r>
      </w:hyperlink>
      <w:r w:rsidRPr="000954CE">
        <w:rPr>
          <w:lang w:val="en-GB"/>
        </w:rPr>
        <w:t xml:space="preserve"> continues its work to protect the integrity of the standards-development process by clarifying aspects of the </w:t>
      </w:r>
      <w:hyperlink r:id="rId59" w:history="1">
        <w:r w:rsidRPr="000954CE">
          <w:rPr>
            <w:rStyle w:val="Hyperlink"/>
            <w:rFonts w:asciiTheme="majorBidi" w:hAnsiTheme="majorBidi" w:cstheme="majorBidi"/>
            <w:lang w:val="en-GB"/>
          </w:rPr>
          <w:t>ITU-R/ITU-T/ISO/IEC Patent Policy and related Guidelines</w:t>
        </w:r>
      </w:hyperlink>
      <w:r w:rsidRPr="000954CE">
        <w:rPr>
          <w:lang w:val="en-GB"/>
        </w:rPr>
        <w:t xml:space="preserve"> – the Union's main tool to manage the challenges associated with the incorporation of patents in </w:t>
      </w:r>
      <w:hyperlink r:id="rId60" w:history="1">
        <w:r w:rsidRPr="000954CE">
          <w:rPr>
            <w:rStyle w:val="Hyperlink"/>
            <w:rFonts w:asciiTheme="majorBidi" w:hAnsiTheme="majorBidi" w:cstheme="majorBidi"/>
            <w:lang w:val="en-GB"/>
          </w:rPr>
          <w:t>ITU-T and ITU-R Recommendations</w:t>
        </w:r>
      </w:hyperlink>
      <w:bookmarkStart w:id="70" w:name="_10.1_TSB_Director's"/>
      <w:bookmarkEnd w:id="70"/>
      <w:r w:rsidRPr="000954CE">
        <w:rPr>
          <w:lang w:val="en-GB"/>
        </w:rPr>
        <w:t xml:space="preserve">. </w:t>
      </w:r>
      <w:r w:rsidRPr="00E10D83">
        <w:rPr>
          <w:lang w:val="en-GB"/>
        </w:rPr>
        <w:t xml:space="preserve">All meeting reports can be found on the IPR AHG website at </w:t>
      </w:r>
      <w:hyperlink r:id="rId61" w:history="1">
        <w:r w:rsidRPr="00E10D83">
          <w:rPr>
            <w:rStyle w:val="Hyperlink"/>
            <w:lang w:val="en-GB"/>
          </w:rPr>
          <w:t>https://itu.int/en/ITU-T/ipr/Pages/adhoc.aspx</w:t>
        </w:r>
      </w:hyperlink>
      <w:r w:rsidRPr="00E10D83">
        <w:rPr>
          <w:lang w:val="en-GB"/>
        </w:rPr>
        <w:t>.</w:t>
      </w:r>
    </w:p>
    <w:p w14:paraId="1FA5AAFA" w14:textId="10A86E76" w:rsidR="00136E7B" w:rsidRPr="001615CC" w:rsidRDefault="00BA3326" w:rsidP="00136E7B">
      <w:pPr>
        <w:pStyle w:val="Heading1"/>
      </w:pPr>
      <w:bookmarkStart w:id="71" w:name="_Toc480527831"/>
      <w:bookmarkStart w:id="72" w:name="_Toc51042256"/>
      <w:bookmarkStart w:id="73" w:name="_Toc438553939"/>
      <w:bookmarkStart w:id="74" w:name="_Toc453929065"/>
      <w:bookmarkStart w:id="75" w:name="_Toc453932937"/>
      <w:bookmarkStart w:id="76" w:name="_Toc454295841"/>
      <w:r>
        <w:rPr>
          <w:rFonts w:eastAsiaTheme="minorEastAsia"/>
        </w:rPr>
        <w:t>6</w:t>
      </w:r>
      <w:r w:rsidR="00136E7B" w:rsidRPr="001615CC">
        <w:rPr>
          <w:rFonts w:eastAsiaTheme="minorEastAsia"/>
        </w:rPr>
        <w:tab/>
      </w:r>
      <w:r w:rsidR="00136E7B" w:rsidRPr="001615CC">
        <w:t>ITU-T Focus Groups: Exploring new directions in ITU standardization</w:t>
      </w:r>
      <w:bookmarkEnd w:id="71"/>
      <w:bookmarkEnd w:id="72"/>
    </w:p>
    <w:p w14:paraId="319CFB48" w14:textId="77777777" w:rsidR="00136E7B" w:rsidRPr="00777CB4" w:rsidRDefault="00136E7B" w:rsidP="00136E7B">
      <w:pPr>
        <w:rPr>
          <w:lang w:val="en-GB"/>
        </w:rPr>
      </w:pPr>
      <w:r w:rsidRPr="002B1581">
        <w:rPr>
          <w:lang w:val="en-GB"/>
        </w:rPr>
        <w:t>Focus Groups are formed in response to immediate ICT standardization demands, tasked with establishing the basis for subsequent standardization work in ITU-T SGs. These groups are the place to explore new directions in ITU standardization. Focus Groups are open to ITU members as well as organizations outside ITU's membership. These groups are afforded great flexibility in their chosen deliverables and working methods.</w:t>
      </w:r>
    </w:p>
    <w:p w14:paraId="6E60D76A" w14:textId="77045B0F" w:rsidR="00136E7B" w:rsidRPr="001615CC" w:rsidRDefault="00BA3326" w:rsidP="00136E7B">
      <w:pPr>
        <w:pStyle w:val="Heading2"/>
      </w:pPr>
      <w:bookmarkStart w:id="77" w:name="_Toc51042257"/>
      <w:bookmarkStart w:id="78" w:name="_Toc480527833"/>
      <w:bookmarkEnd w:id="73"/>
      <w:bookmarkEnd w:id="74"/>
      <w:bookmarkEnd w:id="75"/>
      <w:bookmarkEnd w:id="76"/>
      <w:r>
        <w:t>6</w:t>
      </w:r>
      <w:r w:rsidR="00136E7B" w:rsidRPr="001615CC">
        <w:t>.1</w:t>
      </w:r>
      <w:r w:rsidR="00136E7B" w:rsidRPr="001615CC">
        <w:tab/>
        <w:t>Quantum Information Technologies for Networks</w:t>
      </w:r>
      <w:bookmarkEnd w:id="77"/>
    </w:p>
    <w:p w14:paraId="1150ADB3" w14:textId="588F6A95" w:rsidR="00B02E4C" w:rsidRDefault="00136E7B" w:rsidP="6171A8C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lang w:val="en-GB" w:eastAsia="en-GB"/>
        </w:rPr>
        <w:t xml:space="preserve">The </w:t>
      </w:r>
      <w:hyperlink r:id="rId62">
        <w:r w:rsidRPr="5525749A">
          <w:rPr>
            <w:rStyle w:val="Hyperlink"/>
          </w:rPr>
          <w:t>ITU-T Focus Group on Quantum Information Technology for Networks (FG-QIT4N)</w:t>
        </w:r>
      </w:hyperlink>
      <w:r w:rsidRPr="5525749A">
        <w:rPr>
          <w:rStyle w:val="Strong"/>
          <w:b w:val="0"/>
        </w:rPr>
        <w:t xml:space="preserve"> is studying the evolution of quantum information technologies in view of their foreseen applications in ICT networks. It is leading exploratory ‘pre-standardization’ studies to identify emerging standardization demands and anticipate demands to arise in future</w:t>
      </w:r>
      <w:r w:rsidR="648A5311" w:rsidRPr="5525749A">
        <w:rPr>
          <w:rStyle w:val="Strong"/>
          <w:b w:val="0"/>
          <w:bCs w:val="0"/>
        </w:rPr>
        <w:t xml:space="preserve"> on topics related to quantum key distribution networks (QKDN) and the network aspects of quantum information technologies </w:t>
      </w:r>
      <w:r w:rsidR="00B02E4C">
        <w:rPr>
          <w:rStyle w:val="Strong"/>
          <w:b w:val="0"/>
          <w:bCs w:val="0"/>
        </w:rPr>
        <w:t xml:space="preserve">(QITs) </w:t>
      </w:r>
      <w:r w:rsidR="648A5311" w:rsidRPr="5525749A">
        <w:rPr>
          <w:rStyle w:val="Strong"/>
          <w:b w:val="0"/>
          <w:bCs w:val="0"/>
        </w:rPr>
        <w:t>beyond QKDN</w:t>
      </w:r>
      <w:r w:rsidRPr="5525749A">
        <w:rPr>
          <w:rStyle w:val="Strong"/>
          <w:b w:val="0"/>
          <w:bCs w:val="0"/>
        </w:rPr>
        <w:t xml:space="preserve">. </w:t>
      </w:r>
    </w:p>
    <w:p w14:paraId="1434EAAE" w14:textId="3E94D234" w:rsidR="00136E7B" w:rsidRPr="00B02E4C" w:rsidRDefault="00136E7B" w:rsidP="006C319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rStyle w:val="Strong"/>
          <w:b w:val="0"/>
        </w:rPr>
        <w:t xml:space="preserve">Chief among its list of priorities is the analysis of high-potential use cases of </w:t>
      </w:r>
      <w:r w:rsidR="00B02E4C">
        <w:rPr>
          <w:rStyle w:val="Strong"/>
          <w:b w:val="0"/>
        </w:rPr>
        <w:t xml:space="preserve">QITs </w:t>
      </w:r>
      <w:r w:rsidRPr="5525749A">
        <w:rPr>
          <w:rStyle w:val="Strong"/>
          <w:b w:val="0"/>
        </w:rPr>
        <w:t>in ICT networks and the harmonization of associated terminology.</w:t>
      </w:r>
      <w:r w:rsidR="5C594279" w:rsidRPr="6171A8C9">
        <w:rPr>
          <w:rStyle w:val="Strong"/>
          <w:b w:val="0"/>
          <w:bCs w:val="0"/>
        </w:rPr>
        <w:t xml:space="preserve"> This analysis will conclude with the delivery of Technical Reports</w:t>
      </w:r>
      <w:r w:rsidR="00B02E4C">
        <w:rPr>
          <w:rStyle w:val="Strong"/>
          <w:b w:val="0"/>
          <w:bCs w:val="0"/>
        </w:rPr>
        <w:t xml:space="preserve"> </w:t>
      </w:r>
      <w:r w:rsidR="5C594279" w:rsidRPr="6171A8C9">
        <w:rPr>
          <w:rStyle w:val="Strong"/>
          <w:b w:val="0"/>
          <w:bCs w:val="0"/>
        </w:rPr>
        <w:t>on terminology and use cases related to QKDN and QIT beyond QKDN.</w:t>
      </w:r>
      <w:r w:rsidR="16691D06" w:rsidRPr="6171A8C9">
        <w:rPr>
          <w:rStyle w:val="Strong"/>
          <w:b w:val="0"/>
          <w:bCs w:val="0"/>
        </w:rPr>
        <w:t xml:space="preserve"> Additionally, </w:t>
      </w:r>
      <w:r w:rsidR="00B02E4C">
        <w:rPr>
          <w:rStyle w:val="Strong"/>
          <w:b w:val="0"/>
          <w:bCs w:val="0"/>
        </w:rPr>
        <w:t xml:space="preserve">the group </w:t>
      </w:r>
      <w:r w:rsidR="16691D06" w:rsidRPr="6171A8C9">
        <w:rPr>
          <w:rStyle w:val="Strong"/>
          <w:b w:val="0"/>
          <w:bCs w:val="0"/>
        </w:rPr>
        <w:t>will also inform the ‘pre-standardization’ aspects</w:t>
      </w:r>
      <w:r w:rsidR="1E3D80A7" w:rsidRPr="6171A8C9">
        <w:rPr>
          <w:rStyle w:val="Strong"/>
          <w:b w:val="0"/>
          <w:bCs w:val="0"/>
        </w:rPr>
        <w:t xml:space="preserve"> with the production</w:t>
      </w:r>
      <w:r w:rsidR="16691D06" w:rsidRPr="6171A8C9">
        <w:rPr>
          <w:rStyle w:val="Strong"/>
          <w:b w:val="0"/>
          <w:bCs w:val="0"/>
        </w:rPr>
        <w:t xml:space="preserve"> of </w:t>
      </w:r>
      <w:r w:rsidR="74910649" w:rsidRPr="6171A8C9">
        <w:rPr>
          <w:rStyle w:val="Strong"/>
          <w:b w:val="0"/>
          <w:bCs w:val="0"/>
        </w:rPr>
        <w:t xml:space="preserve">Technical Reports on </w:t>
      </w:r>
      <w:r w:rsidR="16691D06" w:rsidRPr="6171A8C9">
        <w:rPr>
          <w:rStyle w:val="Strong"/>
          <w:b w:val="0"/>
          <w:bCs w:val="0"/>
        </w:rPr>
        <w:t>QKDN transport technologies</w:t>
      </w:r>
      <w:r w:rsidR="1CB68510" w:rsidRPr="6171A8C9">
        <w:rPr>
          <w:rStyle w:val="Strong"/>
          <w:b w:val="0"/>
          <w:bCs w:val="0"/>
        </w:rPr>
        <w:t xml:space="preserve"> and </w:t>
      </w:r>
      <w:r w:rsidR="16691D06" w:rsidRPr="6171A8C9">
        <w:rPr>
          <w:rStyle w:val="Strong"/>
          <w:b w:val="0"/>
          <w:bCs w:val="0"/>
        </w:rPr>
        <w:t xml:space="preserve">protocols and </w:t>
      </w:r>
      <w:r w:rsidR="63B67E4F" w:rsidRPr="6171A8C9">
        <w:rPr>
          <w:rStyle w:val="Strong"/>
          <w:b w:val="0"/>
          <w:bCs w:val="0"/>
        </w:rPr>
        <w:t xml:space="preserve">a survey of the </w:t>
      </w:r>
      <w:r w:rsidR="16691D06" w:rsidRPr="6171A8C9">
        <w:rPr>
          <w:rStyle w:val="Strong"/>
          <w:b w:val="0"/>
          <w:bCs w:val="0"/>
        </w:rPr>
        <w:t xml:space="preserve">implications </w:t>
      </w:r>
      <w:r w:rsidR="16691D06" w:rsidRPr="6171A8C9">
        <w:rPr>
          <w:rStyle w:val="Strong"/>
          <w:b w:val="0"/>
          <w:bCs w:val="0"/>
        </w:rPr>
        <w:lastRenderedPageBreak/>
        <w:t>of QITs on networks.</w:t>
      </w:r>
      <w:r w:rsidR="4D47364B" w:rsidRPr="6171A8C9">
        <w:rPr>
          <w:rStyle w:val="Strong"/>
          <w:b w:val="0"/>
          <w:bCs w:val="0"/>
        </w:rPr>
        <w:t xml:space="preserve"> </w:t>
      </w:r>
      <w:r w:rsidR="00B02E4C">
        <w:rPr>
          <w:rStyle w:val="Strong"/>
          <w:b w:val="0"/>
          <w:bCs w:val="0"/>
        </w:rPr>
        <w:t xml:space="preserve">The group’s </w:t>
      </w:r>
      <w:r w:rsidR="4EBDABBB" w:rsidRPr="6171A8C9">
        <w:rPr>
          <w:rStyle w:val="Strong"/>
          <w:b w:val="0"/>
          <w:bCs w:val="0"/>
        </w:rPr>
        <w:t>‘pre</w:t>
      </w:r>
      <w:r w:rsidR="4D47364B" w:rsidRPr="6171A8C9">
        <w:rPr>
          <w:rStyle w:val="Strong"/>
          <w:b w:val="0"/>
          <w:bCs w:val="0"/>
        </w:rPr>
        <w:t xml:space="preserve">-standardization' study </w:t>
      </w:r>
      <w:r w:rsidR="414B263D" w:rsidRPr="6171A8C9">
        <w:rPr>
          <w:rStyle w:val="Strong"/>
          <w:b w:val="0"/>
          <w:bCs w:val="0"/>
        </w:rPr>
        <w:t xml:space="preserve">on </w:t>
      </w:r>
      <w:r w:rsidR="4D47364B" w:rsidRPr="6171A8C9">
        <w:rPr>
          <w:rStyle w:val="Strong"/>
          <w:b w:val="0"/>
          <w:bCs w:val="0"/>
        </w:rPr>
        <w:t>will culminate</w:t>
      </w:r>
      <w:r w:rsidR="00B02E4C">
        <w:rPr>
          <w:rStyle w:val="Strong"/>
          <w:b w:val="0"/>
          <w:bCs w:val="0"/>
        </w:rPr>
        <w:t xml:space="preserve"> </w:t>
      </w:r>
      <w:r w:rsidR="4D47364B" w:rsidRPr="6171A8C9">
        <w:rPr>
          <w:rStyle w:val="Strong"/>
          <w:b w:val="0"/>
          <w:bCs w:val="0"/>
        </w:rPr>
        <w:t>with the delivery of the standardization landscape and outlook o</w:t>
      </w:r>
      <w:r w:rsidR="4B70C39F" w:rsidRPr="6171A8C9">
        <w:rPr>
          <w:rStyle w:val="Strong"/>
          <w:b w:val="0"/>
          <w:bCs w:val="0"/>
        </w:rPr>
        <w:t>n</w:t>
      </w:r>
      <w:r w:rsidR="00ED66C1">
        <w:rPr>
          <w:rStyle w:val="Strong"/>
          <w:b w:val="0"/>
          <w:bCs w:val="0"/>
        </w:rPr>
        <w:t xml:space="preserve"> QITs</w:t>
      </w:r>
      <w:r w:rsidR="00B02E4C">
        <w:rPr>
          <w:rStyle w:val="Strong"/>
          <w:b w:val="0"/>
          <w:bCs w:val="0"/>
        </w:rPr>
        <w:t xml:space="preserve">, </w:t>
      </w:r>
      <w:r w:rsidR="4D47364B" w:rsidRPr="6171A8C9">
        <w:rPr>
          <w:rStyle w:val="Strong"/>
          <w:b w:val="0"/>
          <w:bCs w:val="0"/>
        </w:rPr>
        <w:t>analyzing the challenges to standardization and identif</w:t>
      </w:r>
      <w:r w:rsidR="00ED66C1">
        <w:rPr>
          <w:rStyle w:val="Strong"/>
          <w:b w:val="0"/>
          <w:bCs w:val="0"/>
        </w:rPr>
        <w:t>ying</w:t>
      </w:r>
      <w:r w:rsidR="4D47364B" w:rsidRPr="6171A8C9">
        <w:rPr>
          <w:rStyle w:val="Strong"/>
          <w:b w:val="0"/>
          <w:bCs w:val="0"/>
        </w:rPr>
        <w:t xml:space="preserve"> validated standardization needs.</w:t>
      </w:r>
    </w:p>
    <w:p w14:paraId="4D1BE1B6" w14:textId="429E433D" w:rsidR="00136E7B" w:rsidRPr="001615CC" w:rsidRDefault="00BA3326" w:rsidP="00136E7B">
      <w:pPr>
        <w:pStyle w:val="Heading2"/>
      </w:pPr>
      <w:bookmarkStart w:id="79" w:name="_Toc51042258"/>
      <w:r>
        <w:t>6</w:t>
      </w:r>
      <w:r w:rsidR="00136E7B" w:rsidRPr="001615CC">
        <w:t>.</w:t>
      </w:r>
      <w:r w:rsidR="00136E7B">
        <w:t>2</w:t>
      </w:r>
      <w:r w:rsidR="00136E7B" w:rsidRPr="001615CC">
        <w:tab/>
        <w:t>Machine Learning for Future Networks including 5G</w:t>
      </w:r>
      <w:bookmarkEnd w:id="79"/>
    </w:p>
    <w:p w14:paraId="4AF148AD" w14:textId="6F33DCCF" w:rsidR="00ED66C1" w:rsidRDefault="4A45FA0C" w:rsidP="00ED66C1">
      <w:pPr>
        <w:rPr>
          <w:szCs w:val="24"/>
          <w:lang w:val="en-GB"/>
        </w:rPr>
      </w:pPr>
      <w:r w:rsidRPr="00500815">
        <w:rPr>
          <w:szCs w:val="24"/>
          <w:lang w:val="en-GB"/>
        </w:rPr>
        <w:t>T</w:t>
      </w:r>
      <w:r w:rsidR="301A42DA" w:rsidRPr="00500815">
        <w:rPr>
          <w:szCs w:val="24"/>
          <w:lang w:val="en-GB"/>
        </w:rPr>
        <w:t xml:space="preserve">he </w:t>
      </w:r>
      <w:hyperlink r:id="rId63" w:history="1">
        <w:r w:rsidR="301A42DA" w:rsidRPr="00500815">
          <w:rPr>
            <w:rStyle w:val="Hyperlink"/>
            <w:rFonts w:eastAsia="Calibri"/>
            <w:color w:val="0563C1"/>
            <w:szCs w:val="24"/>
            <w:lang w:val="en-GB"/>
          </w:rPr>
          <w:t>ITU</w:t>
        </w:r>
        <w:r w:rsidR="00500815" w:rsidRPr="00500815">
          <w:rPr>
            <w:rStyle w:val="Hyperlink"/>
            <w:rFonts w:eastAsia="Calibri"/>
            <w:color w:val="0563C1"/>
            <w:szCs w:val="24"/>
            <w:lang w:val="en-GB"/>
          </w:rPr>
          <w:t>-T</w:t>
        </w:r>
        <w:r w:rsidR="301A42DA" w:rsidRPr="00500815">
          <w:rPr>
            <w:rStyle w:val="Hyperlink"/>
            <w:rFonts w:eastAsia="Calibri"/>
            <w:color w:val="0563C1"/>
            <w:szCs w:val="24"/>
            <w:lang w:val="en-GB"/>
          </w:rPr>
          <w:t xml:space="preserve"> Focus Group on Machine Learning for Future Networks including 5G (FG-ML5G</w:t>
        </w:r>
      </w:hyperlink>
      <w:r w:rsidR="301A42DA" w:rsidRPr="00500815">
        <w:rPr>
          <w:szCs w:val="24"/>
          <w:lang w:val="en-GB"/>
        </w:rPr>
        <w:t>) has concluded a Machine Learning toolset for communication networks comprising ten technical specifications,</w:t>
      </w:r>
      <w:r w:rsidR="00ED66C1">
        <w:rPr>
          <w:szCs w:val="24"/>
          <w:lang w:val="en-GB"/>
        </w:rPr>
        <w:t xml:space="preserve"> with about half of this toolset </w:t>
      </w:r>
      <w:r w:rsidR="301A42DA" w:rsidRPr="00500815">
        <w:rPr>
          <w:szCs w:val="24"/>
          <w:lang w:val="en-GB"/>
        </w:rPr>
        <w:t xml:space="preserve">already </w:t>
      </w:r>
      <w:r w:rsidR="00ED66C1">
        <w:rPr>
          <w:szCs w:val="24"/>
          <w:lang w:val="en-GB"/>
        </w:rPr>
        <w:t xml:space="preserve">published as </w:t>
      </w:r>
      <w:r w:rsidR="301A42DA" w:rsidRPr="00500815">
        <w:rPr>
          <w:szCs w:val="24"/>
          <w:lang w:val="en-GB"/>
        </w:rPr>
        <w:t>ITU</w:t>
      </w:r>
      <w:r w:rsidR="00956305">
        <w:rPr>
          <w:szCs w:val="24"/>
          <w:lang w:val="en-GB"/>
        </w:rPr>
        <w:t xml:space="preserve"> standards</w:t>
      </w:r>
      <w:r w:rsidR="301A42DA" w:rsidRPr="00500815">
        <w:rPr>
          <w:szCs w:val="24"/>
          <w:lang w:val="en-GB"/>
        </w:rPr>
        <w:t xml:space="preserve">. The key standard of this toolset </w:t>
      </w:r>
      <w:r w:rsidR="00ED66C1" w:rsidRPr="00ED66C1">
        <w:rPr>
          <w:rFonts w:eastAsia="Calibri"/>
          <w:szCs w:val="24"/>
          <w:lang w:val="en-GB"/>
        </w:rPr>
        <w:t>(</w:t>
      </w:r>
      <w:r w:rsidR="301A42DA" w:rsidRPr="00ED66C1">
        <w:rPr>
          <w:rFonts w:eastAsia="Calibri"/>
          <w:szCs w:val="24"/>
          <w:lang w:val="en-GB"/>
        </w:rPr>
        <w:t>Y.3172</w:t>
      </w:r>
      <w:r w:rsidR="00ED66C1">
        <w:rPr>
          <w:szCs w:val="24"/>
          <w:lang w:val="en-GB"/>
        </w:rPr>
        <w:t xml:space="preserve">) </w:t>
      </w:r>
      <w:r w:rsidR="301A42DA" w:rsidRPr="00500815">
        <w:rPr>
          <w:szCs w:val="24"/>
          <w:lang w:val="en-GB"/>
        </w:rPr>
        <w:t>describes an architectural framework for networks to accommodate current as well as future use cases of Machine Learning.</w:t>
      </w:r>
    </w:p>
    <w:p w14:paraId="2E915C2F" w14:textId="7141B1A5" w:rsidR="00956305" w:rsidRPr="00ED66C1" w:rsidRDefault="00956305" w:rsidP="00ED66C1">
      <w:pPr>
        <w:rPr>
          <w:szCs w:val="24"/>
          <w:lang w:val="en-GB"/>
        </w:rPr>
      </w:pPr>
      <w:r>
        <w:rPr>
          <w:szCs w:val="24"/>
        </w:rPr>
        <w:t>Over 500 co</w:t>
      </w:r>
      <w:r w:rsidRPr="00ED66C1">
        <w:rPr>
          <w:szCs w:val="24"/>
        </w:rPr>
        <w:t>mpetitors from over 50 countries have entered the </w:t>
      </w:r>
      <w:hyperlink r:id="rId64" w:history="1">
        <w:r w:rsidRPr="00ED66C1">
          <w:rPr>
            <w:rStyle w:val="Hyperlink"/>
            <w:szCs w:val="24"/>
          </w:rPr>
          <w:t>ITU Challenge on AI and Machine Learning in 5G</w:t>
        </w:r>
      </w:hyperlink>
      <w:r w:rsidRPr="00ED66C1">
        <w:rPr>
          <w:szCs w:val="24"/>
        </w:rPr>
        <w:t> to showcase their talent</w:t>
      </w:r>
      <w:r>
        <w:rPr>
          <w:szCs w:val="24"/>
        </w:rPr>
        <w:t xml:space="preserve"> and </w:t>
      </w:r>
      <w:r w:rsidRPr="00ED66C1">
        <w:rPr>
          <w:szCs w:val="24"/>
        </w:rPr>
        <w:t>test their concepts on real data and real-world problems.</w:t>
      </w:r>
      <w:r>
        <w:rPr>
          <w:szCs w:val="24"/>
        </w:rPr>
        <w:t xml:space="preserve"> Applying ITU standards such as Y.3172, competitors </w:t>
      </w:r>
      <w:r w:rsidRPr="006C3199">
        <w:rPr>
          <w:szCs w:val="24"/>
        </w:rPr>
        <w:t>are enabl</w:t>
      </w:r>
      <w:r>
        <w:rPr>
          <w:szCs w:val="24"/>
        </w:rPr>
        <w:t>ing</w:t>
      </w:r>
      <w:r w:rsidRPr="006C3199">
        <w:rPr>
          <w:szCs w:val="24"/>
        </w:rPr>
        <w:t>, creat</w:t>
      </w:r>
      <w:r>
        <w:rPr>
          <w:szCs w:val="24"/>
        </w:rPr>
        <w:t>ing</w:t>
      </w:r>
      <w:r w:rsidRPr="006C3199">
        <w:rPr>
          <w:szCs w:val="24"/>
        </w:rPr>
        <w:t xml:space="preserve">, </w:t>
      </w:r>
      <w:proofErr w:type="gramStart"/>
      <w:r w:rsidRPr="006C3199">
        <w:rPr>
          <w:szCs w:val="24"/>
        </w:rPr>
        <w:t>train</w:t>
      </w:r>
      <w:r>
        <w:rPr>
          <w:szCs w:val="24"/>
        </w:rPr>
        <w:t>ing</w:t>
      </w:r>
      <w:proofErr w:type="gramEnd"/>
      <w:r w:rsidRPr="006C3199">
        <w:rPr>
          <w:szCs w:val="24"/>
        </w:rPr>
        <w:t xml:space="preserve"> and deploy</w:t>
      </w:r>
      <w:r>
        <w:rPr>
          <w:szCs w:val="24"/>
        </w:rPr>
        <w:t>ing</w:t>
      </w:r>
      <w:r w:rsidRPr="006C3199">
        <w:rPr>
          <w:szCs w:val="24"/>
        </w:rPr>
        <w:t xml:space="preserve"> </w:t>
      </w:r>
      <w:r>
        <w:rPr>
          <w:szCs w:val="24"/>
        </w:rPr>
        <w:t>machine learning</w:t>
      </w:r>
      <w:r w:rsidRPr="006C3199">
        <w:rPr>
          <w:szCs w:val="24"/>
        </w:rPr>
        <w:t xml:space="preserve"> models </w:t>
      </w:r>
      <w:r>
        <w:rPr>
          <w:szCs w:val="24"/>
        </w:rPr>
        <w:t xml:space="preserve">and gaining </w:t>
      </w:r>
      <w:r w:rsidRPr="006C3199">
        <w:rPr>
          <w:szCs w:val="24"/>
        </w:rPr>
        <w:t xml:space="preserve">hands-on experience </w:t>
      </w:r>
      <w:r>
        <w:rPr>
          <w:szCs w:val="24"/>
        </w:rPr>
        <w:t xml:space="preserve">with </w:t>
      </w:r>
      <w:r w:rsidRPr="006C3199">
        <w:rPr>
          <w:szCs w:val="24"/>
        </w:rPr>
        <w:t>AI</w:t>
      </w:r>
      <w:r>
        <w:rPr>
          <w:szCs w:val="24"/>
        </w:rPr>
        <w:t xml:space="preserve"> and machine learning </w:t>
      </w:r>
      <w:r w:rsidRPr="006C3199">
        <w:rPr>
          <w:szCs w:val="24"/>
        </w:rPr>
        <w:t xml:space="preserve">in areas relevant to communication networks. The Challenge will culminate </w:t>
      </w:r>
      <w:r>
        <w:rPr>
          <w:szCs w:val="24"/>
        </w:rPr>
        <w:t xml:space="preserve">with </w:t>
      </w:r>
      <w:r w:rsidRPr="006C3199">
        <w:rPr>
          <w:szCs w:val="24"/>
        </w:rPr>
        <w:t>the Grand Challenge Finale</w:t>
      </w:r>
      <w:r>
        <w:rPr>
          <w:szCs w:val="24"/>
        </w:rPr>
        <w:t xml:space="preserve"> to be held virtually from </w:t>
      </w:r>
      <w:r w:rsidRPr="006C3199">
        <w:rPr>
          <w:szCs w:val="24"/>
        </w:rPr>
        <w:t>15 to 17 December 2020</w:t>
      </w:r>
      <w:r>
        <w:rPr>
          <w:rStyle w:val="Hyperlink"/>
          <w:color w:val="auto"/>
          <w:szCs w:val="24"/>
          <w:u w:val="none"/>
        </w:rPr>
        <w:t>. T</w:t>
      </w:r>
      <w:r w:rsidRPr="001204FF">
        <w:rPr>
          <w:rStyle w:val="Hyperlink"/>
          <w:color w:val="auto"/>
          <w:szCs w:val="24"/>
          <w:u w:val="none"/>
        </w:rPr>
        <w:t>he Challenge is kindly</w:t>
      </w:r>
      <w:r w:rsidRPr="00956305">
        <w:rPr>
          <w:rStyle w:val="Hyperlink"/>
          <w:color w:val="auto"/>
          <w:szCs w:val="24"/>
          <w:u w:val="none"/>
        </w:rPr>
        <w:t xml:space="preserve"> </w:t>
      </w:r>
      <w:r>
        <w:t>s</w:t>
      </w:r>
      <w:r w:rsidRPr="006C3199">
        <w:t>ponsor</w:t>
      </w:r>
      <w:r>
        <w:t>ed the</w:t>
      </w:r>
      <w:r w:rsidRPr="006C3199">
        <w:t xml:space="preserve"> Telecommunications Regulatory Authority</w:t>
      </w:r>
      <w:r>
        <w:t xml:space="preserve"> of the United Arab Emirates</w:t>
      </w:r>
      <w:r w:rsidRPr="006C3199">
        <w:t xml:space="preserve"> (Gold Sponsor)</w:t>
      </w:r>
      <w:r>
        <w:t xml:space="preserve"> and </w:t>
      </w:r>
      <w:r w:rsidRPr="006C3199">
        <w:t>Cisco and ZTE (Bronze Sponsors)</w:t>
      </w:r>
      <w:r>
        <w:t xml:space="preserve">. </w:t>
      </w:r>
    </w:p>
    <w:p w14:paraId="03224AC4" w14:textId="00E561B4" w:rsidR="00136E7B" w:rsidRPr="001615CC" w:rsidRDefault="00BA3326" w:rsidP="006C3199">
      <w:pPr>
        <w:pStyle w:val="Heading2"/>
        <w:ind w:left="0" w:firstLine="0"/>
      </w:pPr>
      <w:bookmarkStart w:id="80" w:name="_Toc51042259"/>
      <w:r>
        <w:t>6</w:t>
      </w:r>
      <w:r w:rsidR="00136E7B" w:rsidRPr="001615CC">
        <w:t>.</w:t>
      </w:r>
      <w:r w:rsidR="00136E7B">
        <w:t>3</w:t>
      </w:r>
      <w:r w:rsidR="00136E7B" w:rsidRPr="001615CC">
        <w:tab/>
        <w:t>Technologies for Network 2030</w:t>
      </w:r>
      <w:bookmarkEnd w:id="80"/>
    </w:p>
    <w:p w14:paraId="559AF3C7" w14:textId="70AC66B9" w:rsidR="00136E7B" w:rsidRPr="003D60E6" w:rsidRDefault="00136E7B" w:rsidP="00136E7B">
      <w:pPr>
        <w:rPr>
          <w:lang w:val="en-GB"/>
        </w:rPr>
      </w:pPr>
      <w:r w:rsidRPr="003D60E6">
        <w:rPr>
          <w:lang w:val="en-GB"/>
        </w:rPr>
        <w:t xml:space="preserve">The </w:t>
      </w:r>
      <w:hyperlink r:id="rId65" w:history="1">
        <w:r w:rsidRPr="003D60E6">
          <w:rPr>
            <w:rStyle w:val="Hyperlink"/>
            <w:lang w:val="en-GB"/>
          </w:rPr>
          <w:t>ITU-T Focus Group on Technologies for Network 2030 (FG NET-2030)</w:t>
        </w:r>
      </w:hyperlink>
      <w:r w:rsidRPr="003D60E6">
        <w:rPr>
          <w:lang w:val="en-GB"/>
        </w:rPr>
        <w:t xml:space="preserve"> </w:t>
      </w:r>
      <w:r w:rsidR="001204FF" w:rsidRPr="003D60E6">
        <w:rPr>
          <w:lang w:val="en-GB"/>
        </w:rPr>
        <w:t xml:space="preserve">FG NET-2030 has concluded its activities and submitted eight deliverables to its parent </w:t>
      </w:r>
      <w:r w:rsidR="001204FF">
        <w:rPr>
          <w:lang w:val="en-GB"/>
        </w:rPr>
        <w:t xml:space="preserve">ITU-T </w:t>
      </w:r>
      <w:r w:rsidR="001204FF" w:rsidRPr="00C44FDC">
        <w:rPr>
          <w:lang w:val="en-GB"/>
        </w:rPr>
        <w:t>Study Group</w:t>
      </w:r>
      <w:r w:rsidR="001204FF" w:rsidRPr="003D60E6">
        <w:rPr>
          <w:lang w:val="en-GB"/>
        </w:rPr>
        <w:t xml:space="preserve"> 13</w:t>
      </w:r>
      <w:r w:rsidR="007814C5">
        <w:rPr>
          <w:lang w:val="en-GB"/>
        </w:rPr>
        <w:t>;</w:t>
      </w:r>
      <w:r w:rsidR="007814C5" w:rsidRPr="007814C5">
        <w:rPr>
          <w:lang w:val="en-GB"/>
        </w:rPr>
        <w:t xml:space="preserve"> </w:t>
      </w:r>
      <w:r w:rsidR="007814C5" w:rsidRPr="5124B126">
        <w:rPr>
          <w:lang w:val="en-GB"/>
        </w:rPr>
        <w:t xml:space="preserve">among those are four technical reports, three technical specifications, and one white paper dealing with vision for Network 2030. Two of the above listed deliverables were approved for publication as Supplements 66 and 67 to </w:t>
      </w:r>
      <w:r w:rsidR="007814C5">
        <w:rPr>
          <w:lang w:val="en-GB"/>
        </w:rPr>
        <w:t xml:space="preserve">the ITU-T </w:t>
      </w:r>
      <w:r w:rsidR="007814C5" w:rsidRPr="5124B126">
        <w:rPr>
          <w:lang w:val="en-GB"/>
        </w:rPr>
        <w:t xml:space="preserve">Y.3000-series of ITU-T Recommendations. They deal with Network 2030 services and selected use cases and key </w:t>
      </w:r>
      <w:r w:rsidR="0085423D">
        <w:rPr>
          <w:lang w:val="en-GB"/>
        </w:rPr>
        <w:t>n</w:t>
      </w:r>
      <w:r w:rsidR="007814C5" w:rsidRPr="5124B126">
        <w:rPr>
          <w:lang w:val="en-GB"/>
        </w:rPr>
        <w:t>e</w:t>
      </w:r>
      <w:r w:rsidR="0085423D">
        <w:rPr>
          <w:lang w:val="en-GB"/>
        </w:rPr>
        <w:t>t</w:t>
      </w:r>
      <w:r w:rsidR="007814C5" w:rsidRPr="5124B126">
        <w:rPr>
          <w:lang w:val="en-GB"/>
        </w:rPr>
        <w:t>work require</w:t>
      </w:r>
      <w:r w:rsidR="0085423D">
        <w:rPr>
          <w:lang w:val="en-GB"/>
        </w:rPr>
        <w:t>me</w:t>
      </w:r>
      <w:r w:rsidR="007814C5" w:rsidRPr="5124B126">
        <w:rPr>
          <w:lang w:val="en-GB"/>
        </w:rPr>
        <w:t>nts for Network 2030</w:t>
      </w:r>
      <w:r w:rsidR="001204FF">
        <w:rPr>
          <w:lang w:val="en-GB"/>
        </w:rPr>
        <w:t xml:space="preserve">. The group </w:t>
      </w:r>
      <w:r w:rsidRPr="003D60E6">
        <w:rPr>
          <w:lang w:val="en-GB"/>
        </w:rPr>
        <w:t>examin</w:t>
      </w:r>
      <w:r w:rsidR="001204FF">
        <w:rPr>
          <w:lang w:val="en-GB"/>
        </w:rPr>
        <w:t>ed</w:t>
      </w:r>
      <w:r w:rsidRPr="003D60E6">
        <w:rPr>
          <w:lang w:val="en-GB"/>
        </w:rPr>
        <w:t xml:space="preserve"> how emerging technologies can enhance network capabilities to meet the demands of 5G systems and future innovations. The group stud</w:t>
      </w:r>
      <w:r w:rsidR="001204FF">
        <w:rPr>
          <w:lang w:val="en-GB"/>
        </w:rPr>
        <w:t>ied</w:t>
      </w:r>
      <w:r w:rsidRPr="003D60E6">
        <w:rPr>
          <w:lang w:val="en-GB"/>
        </w:rPr>
        <w:t xml:space="preserve"> new media, </w:t>
      </w:r>
      <w:proofErr w:type="gramStart"/>
      <w:r w:rsidRPr="003D60E6">
        <w:rPr>
          <w:lang w:val="en-GB"/>
        </w:rPr>
        <w:t>services</w:t>
      </w:r>
      <w:proofErr w:type="gramEnd"/>
      <w:r w:rsidRPr="003D60E6">
        <w:rPr>
          <w:lang w:val="en-GB"/>
        </w:rPr>
        <w:t xml:space="preserve"> and architectures to identify communication needs and use cases for the year 2030 and beyond. In focus </w:t>
      </w:r>
      <w:r w:rsidR="001204FF">
        <w:rPr>
          <w:lang w:val="en-GB"/>
        </w:rPr>
        <w:t xml:space="preserve">were </w:t>
      </w:r>
      <w:r w:rsidRPr="003D60E6">
        <w:rPr>
          <w:lang w:val="en-GB"/>
        </w:rPr>
        <w:t>applications including augmented and virtual reality and holograms, and time-sensitive applications in fields such as telemedicine and industrial automation.</w:t>
      </w:r>
      <w:r w:rsidR="003D60E6" w:rsidRPr="003D60E6">
        <w:rPr>
          <w:lang w:val="en-GB"/>
        </w:rPr>
        <w:t xml:space="preserve"> </w:t>
      </w:r>
    </w:p>
    <w:p w14:paraId="3BA83FCE" w14:textId="395FDD6A" w:rsidR="00136E7B" w:rsidRPr="001615CC" w:rsidRDefault="00BA3326" w:rsidP="00136E7B">
      <w:pPr>
        <w:pStyle w:val="Heading2"/>
      </w:pPr>
      <w:bookmarkStart w:id="81" w:name="_Toc51042260"/>
      <w:r>
        <w:t>6</w:t>
      </w:r>
      <w:r w:rsidR="00136E7B" w:rsidRPr="001615CC">
        <w:t>.</w:t>
      </w:r>
      <w:r w:rsidR="00136E7B">
        <w:t>4</w:t>
      </w:r>
      <w:r w:rsidR="00136E7B" w:rsidRPr="001615CC">
        <w:tab/>
        <w:t>A</w:t>
      </w:r>
      <w:r w:rsidR="00136E7B">
        <w:t>I</w:t>
      </w:r>
      <w:r w:rsidR="00136E7B" w:rsidRPr="001615CC">
        <w:t xml:space="preserve"> for Health</w:t>
      </w:r>
      <w:bookmarkEnd w:id="81"/>
    </w:p>
    <w:p w14:paraId="40A4A8DD" w14:textId="511ADBA9" w:rsidR="00136E7B" w:rsidRPr="00DC4015" w:rsidRDefault="5EE8545A" w:rsidP="00136E7B">
      <w:pPr>
        <w:rPr>
          <w:lang w:val="en-GB"/>
        </w:rPr>
      </w:pPr>
      <w:r w:rsidRPr="00DC4015">
        <w:rPr>
          <w:lang w:val="en-GB"/>
        </w:rPr>
        <w:t xml:space="preserve">The </w:t>
      </w:r>
      <w:hyperlink r:id="rId66">
        <w:r w:rsidRPr="00DC4015">
          <w:rPr>
            <w:rStyle w:val="Hyperlink"/>
            <w:lang w:val="en-GB"/>
          </w:rPr>
          <w:t>ITU-T Focus Group on AI for Health (FG AI4H)</w:t>
        </w:r>
      </w:hyperlink>
      <w:r w:rsidRPr="00DC4015">
        <w:rPr>
          <w:lang w:val="en-GB"/>
        </w:rPr>
        <w:t xml:space="preserve">, driven in close collaboration by ITU and WHO, is working towards the establishment of a framework and associated processes for the performance benchmarking of ‘AI for Health’ algorithms. The group is currently working on </w:t>
      </w:r>
      <w:r w:rsidR="72FB7EE5" w:rsidRPr="00DC4015">
        <w:rPr>
          <w:lang w:val="en-GB"/>
        </w:rPr>
        <w:t>20</w:t>
      </w:r>
      <w:r w:rsidRPr="00DC4015">
        <w:rPr>
          <w:lang w:val="en-GB"/>
        </w:rPr>
        <w:t xml:space="preserve"> topic areas ("use cases"),</w:t>
      </w:r>
      <w:r w:rsidRPr="00DC4015">
        <w:rPr>
          <w:rFonts w:ascii="Calibri" w:hAnsi="Calibri" w:cs="Calibri"/>
          <w:color w:val="000000" w:themeColor="text1"/>
        </w:rPr>
        <w:t xml:space="preserve"> </w:t>
      </w:r>
      <w:r w:rsidRPr="00DC4015">
        <w:rPr>
          <w:lang w:val="en-GB"/>
        </w:rPr>
        <w:t>addressing health issues including breast cancer, neurodegenerative diseases, vision loss, skin lesions, cardiovascular diseases, and venomous snakebites.</w:t>
      </w:r>
      <w:r w:rsidR="09FCC17C" w:rsidRPr="00DC4015">
        <w:rPr>
          <w:lang w:val="en-GB"/>
        </w:rPr>
        <w:t xml:space="preserve"> </w:t>
      </w:r>
      <w:r w:rsidR="23CA5FC0" w:rsidRPr="00DC4015">
        <w:rPr>
          <w:lang w:val="en-GB"/>
        </w:rPr>
        <w:t xml:space="preserve">The topic areas </w:t>
      </w:r>
      <w:proofErr w:type="gramStart"/>
      <w:r w:rsidR="23CA5FC0" w:rsidRPr="00DC4015">
        <w:rPr>
          <w:lang w:val="en-GB"/>
        </w:rPr>
        <w:t>is</w:t>
      </w:r>
      <w:proofErr w:type="gramEnd"/>
      <w:r w:rsidR="23CA5FC0" w:rsidRPr="00DC4015">
        <w:rPr>
          <w:lang w:val="en-GB"/>
        </w:rPr>
        <w:t xml:space="preserve"> supported by various working groups covering a range of “horizontal” topics, such as regulatory considerations, ethics, data </w:t>
      </w:r>
      <w:r w:rsidR="4BE7BD75" w:rsidRPr="00DC4015">
        <w:rPr>
          <w:lang w:val="en-GB"/>
        </w:rPr>
        <w:t xml:space="preserve">quality, data assessment, and clinical evaluation. </w:t>
      </w:r>
      <w:r w:rsidR="09FCC17C" w:rsidRPr="00DC4015">
        <w:rPr>
          <w:lang w:val="en-GB"/>
        </w:rPr>
        <w:t xml:space="preserve">It has also established an ad hoc group </w:t>
      </w:r>
      <w:r w:rsidR="2A8A1CF3" w:rsidRPr="00DC4015">
        <w:rPr>
          <w:lang w:val="en-GB"/>
        </w:rPr>
        <w:t xml:space="preserve">that is </w:t>
      </w:r>
      <w:r w:rsidR="09FCC17C" w:rsidRPr="00DC4015">
        <w:rPr>
          <w:lang w:val="en-GB"/>
        </w:rPr>
        <w:t xml:space="preserve">collecting best practice information on the use of AI and other digital technologies for health emergency responses, using COVID-19 as an </w:t>
      </w:r>
      <w:r w:rsidR="6831096F" w:rsidRPr="00DC4015">
        <w:rPr>
          <w:lang w:val="en-GB"/>
        </w:rPr>
        <w:t>initial template.</w:t>
      </w:r>
    </w:p>
    <w:p w14:paraId="757D4D76" w14:textId="6CD4A507" w:rsidR="00136E7B" w:rsidRPr="001615CC" w:rsidRDefault="00BA3326" w:rsidP="00136E7B">
      <w:pPr>
        <w:pStyle w:val="Heading2"/>
      </w:pPr>
      <w:bookmarkStart w:id="82" w:name="_Toc51042261"/>
      <w:r>
        <w:t>6</w:t>
      </w:r>
      <w:r w:rsidR="00136E7B" w:rsidRPr="001615CC">
        <w:t>.</w:t>
      </w:r>
      <w:r w:rsidR="00136E7B">
        <w:t>5</w:t>
      </w:r>
      <w:r w:rsidR="00136E7B" w:rsidRPr="001615CC">
        <w:tab/>
        <w:t>Vehicular Multimedia</w:t>
      </w:r>
      <w:bookmarkEnd w:id="82"/>
    </w:p>
    <w:p w14:paraId="631191AA" w14:textId="4054F67D" w:rsidR="00136E7B" w:rsidRPr="007F20DF" w:rsidRDefault="5EE8545A" w:rsidP="0083EB5B">
      <w:pPr>
        <w:rPr>
          <w:lang w:val="en-GB"/>
        </w:rPr>
      </w:pPr>
      <w:r w:rsidRPr="00FA4D48">
        <w:rPr>
          <w:lang w:val="en-GB"/>
        </w:rPr>
        <w:t xml:space="preserve">The </w:t>
      </w:r>
      <w:hyperlink r:id="rId67">
        <w:r w:rsidRPr="00FA4D48">
          <w:rPr>
            <w:rStyle w:val="Hyperlink"/>
            <w:lang w:val="en-GB"/>
          </w:rPr>
          <w:t>ITU-T Focus Group on Vehicular Multimedia (FG VM</w:t>
        </w:r>
      </w:hyperlink>
      <w:r w:rsidRPr="00FA4D48">
        <w:rPr>
          <w:lang w:val="en-GB"/>
        </w:rPr>
        <w:t xml:space="preserve">) 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w:t>
      </w:r>
      <w:hyperlink r:id="rId68">
        <w:r w:rsidRPr="00FA4D48">
          <w:rPr>
            <w:rStyle w:val="Hyperlink"/>
          </w:rPr>
          <w:t>“Use cases and requirements for the vehicular multimedia”</w:t>
        </w:r>
      </w:hyperlink>
      <w:r w:rsidRPr="00FA4D48">
        <w:rPr>
          <w:lang w:val="en-GB"/>
        </w:rPr>
        <w:t xml:space="preserve">. In the second </w:t>
      </w:r>
      <w:r w:rsidRPr="00FA4D48">
        <w:rPr>
          <w:lang w:val="en-GB"/>
        </w:rPr>
        <w:lastRenderedPageBreak/>
        <w:t xml:space="preserve">phase of its work, the group will study the architecture, </w:t>
      </w:r>
      <w:proofErr w:type="gramStart"/>
      <w:r w:rsidRPr="00FA4D48">
        <w:rPr>
          <w:lang w:val="en-GB"/>
        </w:rPr>
        <w:t>interfaces</w:t>
      </w:r>
      <w:proofErr w:type="gramEnd"/>
      <w:r w:rsidRPr="00FA4D48">
        <w:rPr>
          <w:lang w:val="en-GB"/>
        </w:rPr>
        <w:t xml:space="preserve"> and protocols of the vehicular multimedia network.</w:t>
      </w:r>
      <w:r w:rsidR="3F1046EF" w:rsidRPr="00FA4D48">
        <w:rPr>
          <w:lang w:val="en-GB"/>
        </w:rPr>
        <w:t xml:space="preserve"> </w:t>
      </w:r>
      <w:r w:rsidR="001204FF">
        <w:rPr>
          <w:lang w:val="en-GB"/>
        </w:rPr>
        <w:t xml:space="preserve">This first deliverable has been approved as an ITU standard (F.749.3) during the reporting period as part of the work of its parent ITU-T </w:t>
      </w:r>
      <w:r w:rsidR="3F1046EF" w:rsidRPr="00FA4D48">
        <w:rPr>
          <w:lang w:val="en-GB"/>
        </w:rPr>
        <w:t>S</w:t>
      </w:r>
      <w:r w:rsidR="001204FF">
        <w:rPr>
          <w:lang w:val="en-GB"/>
        </w:rPr>
        <w:t>tudy Group 1</w:t>
      </w:r>
      <w:r w:rsidR="3F1046EF" w:rsidRPr="00FA4D48">
        <w:rPr>
          <w:lang w:val="en-GB"/>
        </w:rPr>
        <w:t>6</w:t>
      </w:r>
      <w:r w:rsidR="001204FF">
        <w:rPr>
          <w:lang w:val="en-GB"/>
        </w:rPr>
        <w:t xml:space="preserve">. </w:t>
      </w:r>
    </w:p>
    <w:p w14:paraId="340E12E1" w14:textId="10B2BB7C" w:rsidR="00136E7B" w:rsidRDefault="00BA3326" w:rsidP="00136E7B">
      <w:pPr>
        <w:pStyle w:val="Heading2"/>
      </w:pPr>
      <w:bookmarkStart w:id="83" w:name="_Toc51042262"/>
      <w:r>
        <w:t>6</w:t>
      </w:r>
      <w:r w:rsidR="00136E7B" w:rsidRPr="001615CC">
        <w:t>.</w:t>
      </w:r>
      <w:r w:rsidR="00136E7B">
        <w:t>6</w:t>
      </w:r>
      <w:r w:rsidR="00136E7B" w:rsidRPr="001615CC">
        <w:tab/>
      </w:r>
      <w:r w:rsidR="00136E7B" w:rsidRPr="00CC20C0">
        <w:t xml:space="preserve">AI for </w:t>
      </w:r>
      <w:r w:rsidR="00136E7B">
        <w:t>A</w:t>
      </w:r>
      <w:r w:rsidR="00136E7B" w:rsidRPr="00CC20C0">
        <w:t xml:space="preserve">utonomous and </w:t>
      </w:r>
      <w:r w:rsidR="00136E7B">
        <w:t>A</w:t>
      </w:r>
      <w:r w:rsidR="00136E7B" w:rsidRPr="00CC20C0">
        <w:t>ssisted driving</w:t>
      </w:r>
      <w:bookmarkEnd w:id="83"/>
    </w:p>
    <w:p w14:paraId="1AF71FB3" w14:textId="5DC18FEE" w:rsidR="00136E7B" w:rsidRDefault="5EE8545A" w:rsidP="00136E7B">
      <w:r w:rsidRPr="00283DF3">
        <w:rPr>
          <w:lang w:val="en-GB" w:eastAsia="en-US"/>
        </w:rPr>
        <w:t xml:space="preserve">The </w:t>
      </w:r>
      <w:hyperlink r:id="rId69">
        <w:r w:rsidRPr="00283DF3">
          <w:rPr>
            <w:rStyle w:val="Hyperlink"/>
            <w:lang w:val="en-GB" w:eastAsia="en-US"/>
          </w:rPr>
          <w:t>ITU-T Focus Group on AI for Autonomous and Assisted Driving (FG-AI4AD)</w:t>
        </w:r>
      </w:hyperlink>
      <w:r w:rsidRPr="00283DF3">
        <w:rPr>
          <w:lang w:val="en-GB" w:eastAsia="en-US"/>
        </w:rPr>
        <w:t xml:space="preserve"> is working towards the establishment of international standards to monitor and assess the performance of the AI ‘drivers’ in control of automated vehicles. The group aims to devise a ‘Driving Test’ for AI drivers. The proposed test could become the basis for an International Driving Permit for AI. The right to hold this permit would be assessed continuously, based on the AI driver’s behavioural performance on the road. </w:t>
      </w:r>
      <w:r w:rsidR="001204FF">
        <w:t xml:space="preserve">The group’s </w:t>
      </w:r>
      <w:r w:rsidRPr="00283DF3">
        <w:t xml:space="preserve">deliverables will focus on the </w:t>
      </w:r>
      <w:r w:rsidRPr="00283DF3">
        <w:rPr>
          <w:lang w:val="en-GB" w:eastAsia="en-US"/>
        </w:rPr>
        <w:t xml:space="preserve">behavioural </w:t>
      </w:r>
      <w:r w:rsidRPr="00283DF3">
        <w:t>evaluation of AI responsible for the dynamic driving task in accordance with the 1949 and 1968 United Nations Conventions on Road Traffic.</w:t>
      </w:r>
    </w:p>
    <w:p w14:paraId="1587E754" w14:textId="308BF61A" w:rsidR="00136E7B" w:rsidRPr="001615CC" w:rsidRDefault="00BA3326" w:rsidP="00136E7B">
      <w:pPr>
        <w:pStyle w:val="Heading2"/>
        <w:ind w:left="0" w:firstLine="0"/>
      </w:pPr>
      <w:bookmarkStart w:id="84" w:name="_Toc51042263"/>
      <w:r>
        <w:t>6</w:t>
      </w:r>
      <w:r w:rsidR="00136E7B">
        <w:t>.7</w:t>
      </w:r>
      <w:r w:rsidR="00136E7B">
        <w:tab/>
      </w:r>
      <w:r w:rsidR="00136E7B" w:rsidRPr="001615CC">
        <w:t xml:space="preserve">Environmental Efficiency for </w:t>
      </w:r>
      <w:r w:rsidR="00136E7B">
        <w:t xml:space="preserve">AI </w:t>
      </w:r>
      <w:r w:rsidR="00136E7B" w:rsidRPr="001615CC">
        <w:t>and other Emerging Technologies</w:t>
      </w:r>
      <w:bookmarkEnd w:id="84"/>
    </w:p>
    <w:p w14:paraId="19C23811" w14:textId="2A3DB5DE" w:rsidR="00136E7B" w:rsidRPr="008137C7" w:rsidRDefault="00136E7B" w:rsidP="00136E7B">
      <w:pPr>
        <w:rPr>
          <w:highlight w:val="yellow"/>
          <w:lang w:val="en-GB"/>
        </w:rPr>
      </w:pPr>
      <w:r w:rsidRPr="00AE65F6">
        <w:rPr>
          <w:lang w:val="en-GB"/>
        </w:rPr>
        <w:t xml:space="preserve">The </w:t>
      </w:r>
      <w:hyperlink r:id="rId70" w:history="1">
        <w:r w:rsidRPr="00437210">
          <w:rPr>
            <w:rStyle w:val="Hyperlink"/>
            <w:lang w:val="en-GB"/>
          </w:rPr>
          <w:t>ITU-T Focus Group on Environmental Efficiency for AI and other Emerging Technologies (FG AI4EE)</w:t>
        </w:r>
      </w:hyperlink>
      <w:r w:rsidRPr="00AE65F6">
        <w:rPr>
          <w:lang w:val="en-GB"/>
        </w:rPr>
        <w:t xml:space="preserve"> is studying environmental efficiency in the age of AI, increasing automation, and smart manufacturing. </w:t>
      </w:r>
      <w:r w:rsidR="00F06CD1" w:rsidRPr="00AE65F6">
        <w:rPr>
          <w:lang w:val="en-GB"/>
        </w:rPr>
        <w:t>The F</w:t>
      </w:r>
      <w:r w:rsidR="00F06CD1" w:rsidRPr="00437210">
        <w:rPr>
          <w:lang w:val="en-GB"/>
        </w:rPr>
        <w:t xml:space="preserve">ocus Group is </w:t>
      </w:r>
      <w:r w:rsidR="001204FF">
        <w:rPr>
          <w:lang w:val="en-GB"/>
        </w:rPr>
        <w:t>studying r</w:t>
      </w:r>
      <w:r w:rsidR="00B34216" w:rsidRPr="00B34216">
        <w:rPr>
          <w:lang w:val="en-GB"/>
        </w:rPr>
        <w:t xml:space="preserve">equirements of AI and other </w:t>
      </w:r>
      <w:r w:rsidR="001204FF">
        <w:rPr>
          <w:lang w:val="en-GB"/>
        </w:rPr>
        <w:t>e</w:t>
      </w:r>
      <w:r w:rsidR="00B34216" w:rsidRPr="00B34216">
        <w:rPr>
          <w:lang w:val="en-GB"/>
        </w:rPr>
        <w:t xml:space="preserve">merging </w:t>
      </w:r>
      <w:r w:rsidR="001204FF">
        <w:rPr>
          <w:lang w:val="en-GB"/>
        </w:rPr>
        <w:t>t</w:t>
      </w:r>
      <w:r w:rsidR="00B34216" w:rsidRPr="00B34216">
        <w:rPr>
          <w:lang w:val="en-GB"/>
        </w:rPr>
        <w:t>echnologies to</w:t>
      </w:r>
      <w:r w:rsidR="001204FF">
        <w:rPr>
          <w:lang w:val="en-GB"/>
        </w:rPr>
        <w:t xml:space="preserve"> e</w:t>
      </w:r>
      <w:r w:rsidR="00B34216" w:rsidRPr="00B34216">
        <w:rPr>
          <w:lang w:val="en-GB"/>
        </w:rPr>
        <w:t xml:space="preserve">nsure </w:t>
      </w:r>
      <w:r w:rsidR="001204FF">
        <w:rPr>
          <w:lang w:val="en-GB"/>
        </w:rPr>
        <w:t>en</w:t>
      </w:r>
      <w:r w:rsidR="00B34216" w:rsidRPr="00B34216">
        <w:rPr>
          <w:lang w:val="en-GB"/>
        </w:rPr>
        <w:t xml:space="preserve">vironmental </w:t>
      </w:r>
      <w:r w:rsidR="001204FF">
        <w:rPr>
          <w:lang w:val="en-GB"/>
        </w:rPr>
        <w:t>e</w:t>
      </w:r>
      <w:r w:rsidR="00B34216" w:rsidRPr="00B34216">
        <w:rPr>
          <w:lang w:val="en-GB"/>
        </w:rPr>
        <w:t>fficiency</w:t>
      </w:r>
      <w:r w:rsidR="001204FF">
        <w:rPr>
          <w:lang w:val="en-GB"/>
        </w:rPr>
        <w:t xml:space="preserve"> and related strategies for implementation, </w:t>
      </w:r>
      <w:proofErr w:type="gramStart"/>
      <w:r w:rsidR="001204FF">
        <w:rPr>
          <w:lang w:val="en-GB"/>
        </w:rPr>
        <w:t>a</w:t>
      </w:r>
      <w:r w:rsidR="00B34216" w:rsidRPr="00B34216">
        <w:rPr>
          <w:lang w:val="en-GB"/>
        </w:rPr>
        <w:t>ssessment</w:t>
      </w:r>
      <w:proofErr w:type="gramEnd"/>
      <w:r w:rsidR="00B34216" w:rsidRPr="00B34216">
        <w:rPr>
          <w:lang w:val="en-GB"/>
        </w:rPr>
        <w:t xml:space="preserve"> and </w:t>
      </w:r>
      <w:r w:rsidR="001204FF">
        <w:rPr>
          <w:lang w:val="en-GB"/>
        </w:rPr>
        <w:t>m</w:t>
      </w:r>
      <w:r w:rsidR="00B34216" w:rsidRPr="00B34216">
        <w:rPr>
          <w:lang w:val="en-GB"/>
        </w:rPr>
        <w:t>easurement</w:t>
      </w:r>
      <w:r w:rsidR="00737645">
        <w:rPr>
          <w:lang w:val="en-GB"/>
        </w:rPr>
        <w:t xml:space="preserve">. </w:t>
      </w:r>
      <w:r w:rsidRPr="00AE65F6">
        <w:rPr>
          <w:lang w:val="en-GB"/>
        </w:rPr>
        <w:t>The group’s work also support</w:t>
      </w:r>
      <w:r w:rsidR="005201CE" w:rsidRPr="00AE65F6">
        <w:rPr>
          <w:lang w:val="en-GB"/>
        </w:rPr>
        <w:t>s</w:t>
      </w:r>
      <w:r w:rsidRPr="00AE65F6">
        <w:rPr>
          <w:lang w:val="en-GB"/>
        </w:rPr>
        <w:t xml:space="preserve"> ITU’s ongoing studies of the environmental requirements of 5G systems. It</w:t>
      </w:r>
      <w:r w:rsidR="001204FF">
        <w:rPr>
          <w:lang w:val="en-GB"/>
        </w:rPr>
        <w:t xml:space="preserve">s work </w:t>
      </w:r>
      <w:r w:rsidRPr="00AE65F6">
        <w:rPr>
          <w:lang w:val="en-GB"/>
        </w:rPr>
        <w:t>will conclude with the delivery of Technical Reports and specifications to benchmark best practices and describe pathways towards a standardized framework to assess environmental aspects of the adoption of emerging technologies.</w:t>
      </w:r>
    </w:p>
    <w:p w14:paraId="4AEDA0A4" w14:textId="66FB42DB" w:rsidR="00136E7B" w:rsidRPr="001615CC" w:rsidRDefault="00BA3326" w:rsidP="00136E7B">
      <w:pPr>
        <w:pStyle w:val="Heading1"/>
      </w:pPr>
      <w:bookmarkStart w:id="85" w:name="_Toc416161369"/>
      <w:bookmarkStart w:id="86" w:name="_Toc438553990"/>
      <w:bookmarkStart w:id="87" w:name="_Toc453929114"/>
      <w:bookmarkStart w:id="88" w:name="_Toc453932985"/>
      <w:bookmarkStart w:id="89" w:name="_Toc454295891"/>
      <w:bookmarkStart w:id="90" w:name="_Toc462664250"/>
      <w:bookmarkStart w:id="91" w:name="_Toc480527836"/>
      <w:bookmarkStart w:id="92" w:name="_Toc51042264"/>
      <w:bookmarkEnd w:id="78"/>
      <w:r>
        <w:t>7</w:t>
      </w:r>
      <w:r w:rsidR="00136E7B" w:rsidRPr="001615CC">
        <w:tab/>
        <w:t xml:space="preserve">Collaboration </w:t>
      </w:r>
      <w:bookmarkEnd w:id="85"/>
      <w:bookmarkEnd w:id="86"/>
      <w:bookmarkEnd w:id="87"/>
      <w:bookmarkEnd w:id="88"/>
      <w:bookmarkEnd w:id="89"/>
      <w:r w:rsidR="00136E7B" w:rsidRPr="001615CC">
        <w:t>in standardization</w:t>
      </w:r>
      <w:bookmarkEnd w:id="90"/>
      <w:bookmarkEnd w:id="91"/>
      <w:bookmarkEnd w:id="92"/>
    </w:p>
    <w:p w14:paraId="17F89675" w14:textId="28DE92CB" w:rsidR="00136E7B" w:rsidRPr="001615CC" w:rsidRDefault="00BA3326" w:rsidP="00136E7B">
      <w:pPr>
        <w:pStyle w:val="Heading2"/>
      </w:pPr>
      <w:bookmarkStart w:id="93" w:name="_Toc480527837"/>
      <w:bookmarkStart w:id="94" w:name="_Toc51042265"/>
      <w:bookmarkStart w:id="95" w:name="_Toc462664251"/>
      <w:r>
        <w:t>7</w:t>
      </w:r>
      <w:r w:rsidR="00136E7B">
        <w:t>.</w:t>
      </w:r>
      <w:r w:rsidR="008137C7">
        <w:t>1</w:t>
      </w:r>
      <w:r w:rsidR="00136E7B">
        <w:tab/>
      </w:r>
      <w:r w:rsidR="00136E7B" w:rsidRPr="001615CC">
        <w:t>Coordination and cooperation among ITU Sectors</w:t>
      </w:r>
      <w:bookmarkEnd w:id="93"/>
      <w:bookmarkEnd w:id="94"/>
    </w:p>
    <w:p w14:paraId="36B0C9A4" w14:textId="77777777" w:rsidR="00136E7B" w:rsidRPr="00D95934" w:rsidRDefault="00136E7B" w:rsidP="00136E7B">
      <w:pPr>
        <w:rPr>
          <w:lang w:val="en-GB"/>
        </w:rPr>
      </w:pPr>
      <w:r w:rsidRPr="00D95934">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373468D4" w14:textId="77777777" w:rsidR="00136E7B" w:rsidRPr="00D95934" w:rsidRDefault="00136E7B" w:rsidP="00136E7B">
      <w:pPr>
        <w:rPr>
          <w:lang w:val="en-GB"/>
        </w:rPr>
      </w:pPr>
      <w:r w:rsidRPr="00D95934">
        <w:rPr>
          <w:lang w:val="en-GB"/>
        </w:rPr>
        <w:t>TSAG maintains a close relationship with RAG and TDAG in order to develop synergies with the objective of strengthening coordination and cooperation among the three ITU Sectors on matters of mutual interest.</w:t>
      </w:r>
      <w:bookmarkStart w:id="96" w:name="Item18_01"/>
      <w:bookmarkEnd w:id="96"/>
    </w:p>
    <w:p w14:paraId="70A65518" w14:textId="77777777" w:rsidR="00136E7B" w:rsidRPr="00D95934" w:rsidRDefault="00136E7B" w:rsidP="00136E7B">
      <w:pPr>
        <w:rPr>
          <w:lang w:val="en-GB"/>
        </w:rPr>
      </w:pPr>
      <w:r w:rsidRPr="00D95934">
        <w:rPr>
          <w:lang w:val="en-GB"/>
        </w:rPr>
        <w:t>Three Inter-Sector Rapporteur groups (IRGs) work on items of interest to various ITU-T and ITU-R SGs.</w:t>
      </w:r>
    </w:p>
    <w:p w14:paraId="381B6FE2" w14:textId="77777777" w:rsidR="00136E7B" w:rsidRPr="00D95934" w:rsidRDefault="00C44FDC" w:rsidP="0063096B">
      <w:pPr>
        <w:numPr>
          <w:ilvl w:val="0"/>
          <w:numId w:val="29"/>
        </w:numPr>
        <w:rPr>
          <w:lang w:val="en-GB"/>
        </w:rPr>
      </w:pPr>
      <w:hyperlink r:id="rId71" w:history="1">
        <w:r w:rsidR="5EE8545A" w:rsidRPr="0083EB5B">
          <w:rPr>
            <w:rStyle w:val="Hyperlink"/>
            <w:lang w:val="en-GB"/>
          </w:rPr>
          <w:t>IRG-AVA</w:t>
        </w:r>
      </w:hyperlink>
      <w:r w:rsidR="5EE8545A" w:rsidRPr="0083EB5B">
        <w:rPr>
          <w:lang w:val="en-GB"/>
        </w:rPr>
        <w:t xml:space="preserve">: </w:t>
      </w:r>
      <w:proofErr w:type="spellStart"/>
      <w:r w:rsidR="5EE8545A" w:rsidRPr="0083EB5B">
        <w:rPr>
          <w:lang w:val="en-GB"/>
        </w:rPr>
        <w:t>Intersector</w:t>
      </w:r>
      <w:proofErr w:type="spellEnd"/>
      <w:r w:rsidR="5EE8545A" w:rsidRPr="0083EB5B">
        <w:rPr>
          <w:lang w:val="en-GB"/>
        </w:rPr>
        <w:t xml:space="preserve"> Rapporteur Group on </w:t>
      </w:r>
      <w:proofErr w:type="spellStart"/>
      <w:r w:rsidR="5EE8545A" w:rsidRPr="0083EB5B">
        <w:rPr>
          <w:lang w:val="en-GB"/>
        </w:rPr>
        <w:t>Audiovisual</w:t>
      </w:r>
      <w:proofErr w:type="spellEnd"/>
      <w:r w:rsidR="5EE8545A" w:rsidRPr="0083EB5B">
        <w:rPr>
          <w:lang w:val="en-GB"/>
        </w:rPr>
        <w:t xml:space="preserve"> Media Accessibility, among ITU-T SG9, ITU-T SG16 and ITU-R SG6.</w:t>
      </w:r>
    </w:p>
    <w:p w14:paraId="0F9FF5D0" w14:textId="398E4B4F" w:rsidR="00136E7B" w:rsidRPr="00D95934" w:rsidRDefault="00C44FDC" w:rsidP="0063096B">
      <w:pPr>
        <w:numPr>
          <w:ilvl w:val="0"/>
          <w:numId w:val="29"/>
        </w:numPr>
        <w:rPr>
          <w:lang w:val="en-GB"/>
        </w:rPr>
      </w:pPr>
      <w:hyperlink r:id="rId72" w:history="1">
        <w:r w:rsidR="5EE8545A" w:rsidRPr="00287F3C">
          <w:rPr>
            <w:rStyle w:val="Hyperlink"/>
            <w:lang w:val="en-GB"/>
          </w:rPr>
          <w:t>I</w:t>
        </w:r>
        <w:r w:rsidR="7E0C3728" w:rsidRPr="00287F3C">
          <w:rPr>
            <w:rStyle w:val="Hyperlink"/>
            <w:lang w:val="en-GB"/>
          </w:rPr>
          <w:t>RG-AVQ</w:t>
        </w:r>
        <w:r w:rsidR="7E0C3728" w:rsidRPr="0083EB5B">
          <w:rPr>
            <w:rStyle w:val="Hyperlink"/>
            <w:lang w:val="en-GB"/>
          </w:rPr>
          <w:t>A</w:t>
        </w:r>
      </w:hyperlink>
      <w:r w:rsidR="5EE8545A" w:rsidRPr="0083EB5B">
        <w:rPr>
          <w:lang w:val="en-GB"/>
        </w:rPr>
        <w:t xml:space="preserve">: </w:t>
      </w:r>
      <w:proofErr w:type="spellStart"/>
      <w:r w:rsidR="5EE8545A" w:rsidRPr="0083EB5B">
        <w:rPr>
          <w:lang w:val="en-GB"/>
        </w:rPr>
        <w:t>Intersector</w:t>
      </w:r>
      <w:proofErr w:type="spellEnd"/>
      <w:r w:rsidR="5EE8545A" w:rsidRPr="0083EB5B">
        <w:rPr>
          <w:lang w:val="en-GB"/>
        </w:rPr>
        <w:t xml:space="preserve"> Rapporteur Group on </w:t>
      </w:r>
      <w:proofErr w:type="spellStart"/>
      <w:r w:rsidR="5EE8545A" w:rsidRPr="0083EB5B">
        <w:rPr>
          <w:lang w:val="en-GB"/>
        </w:rPr>
        <w:t>Audiovisual</w:t>
      </w:r>
      <w:proofErr w:type="spellEnd"/>
      <w:r w:rsidR="5EE8545A" w:rsidRPr="0083EB5B">
        <w:rPr>
          <w:lang w:val="en-GB"/>
        </w:rPr>
        <w:t xml:space="preserve"> Quality Assessment, among ITU-T SG12 and ITU-R SG6. </w:t>
      </w:r>
      <w:r w:rsidR="18F0BBEA" w:rsidRPr="0083EB5B">
        <w:rPr>
          <w:lang w:val="en-GB"/>
        </w:rPr>
        <w:t xml:space="preserve">A virtual </w:t>
      </w:r>
      <w:r w:rsidR="5EE8545A" w:rsidRPr="0083EB5B">
        <w:rPr>
          <w:lang w:val="en-GB"/>
        </w:rPr>
        <w:t xml:space="preserve">meeting </w:t>
      </w:r>
      <w:r w:rsidR="5BADCDAC" w:rsidRPr="0083EB5B">
        <w:rPr>
          <w:lang w:val="en-GB"/>
        </w:rPr>
        <w:t xml:space="preserve">was held in </w:t>
      </w:r>
      <w:r w:rsidR="5EE8545A" w:rsidRPr="0083EB5B">
        <w:rPr>
          <w:lang w:val="en-GB"/>
        </w:rPr>
        <w:t>March 2020, in conjunction with the Video Quality Expert Group (VQEG).</w:t>
      </w:r>
      <w:r w:rsidR="770E71FE" w:rsidRPr="0083EB5B">
        <w:rPr>
          <w:lang w:val="en-GB"/>
        </w:rPr>
        <w:t xml:space="preserve"> The same setup is planned for later this year.</w:t>
      </w:r>
    </w:p>
    <w:p w14:paraId="06A5F5B2" w14:textId="77777777" w:rsidR="00136E7B" w:rsidRPr="00D95934" w:rsidRDefault="00C44FDC" w:rsidP="0063096B">
      <w:pPr>
        <w:numPr>
          <w:ilvl w:val="0"/>
          <w:numId w:val="29"/>
        </w:numPr>
        <w:rPr>
          <w:lang w:val="en-GB"/>
        </w:rPr>
      </w:pPr>
      <w:hyperlink r:id="rId73" w:history="1">
        <w:r w:rsidR="5EE8545A" w:rsidRPr="0083EB5B">
          <w:rPr>
            <w:rStyle w:val="Hyperlink"/>
            <w:lang w:val="en-GB"/>
          </w:rPr>
          <w:t>IRG-IBB</w:t>
        </w:r>
      </w:hyperlink>
      <w:r w:rsidR="5EE8545A" w:rsidRPr="0083EB5B">
        <w:rPr>
          <w:lang w:val="en-GB"/>
        </w:rPr>
        <w:t xml:space="preserve">: </w:t>
      </w:r>
      <w:proofErr w:type="spellStart"/>
      <w:r w:rsidR="5EE8545A" w:rsidRPr="0083EB5B">
        <w:rPr>
          <w:lang w:val="en-GB"/>
        </w:rPr>
        <w:t>Intersector</w:t>
      </w:r>
      <w:proofErr w:type="spellEnd"/>
      <w:r w:rsidR="5EE8545A" w:rsidRPr="0083EB5B">
        <w:rPr>
          <w:lang w:val="en-GB"/>
        </w:rPr>
        <w:t xml:space="preserve"> Rapporteur Group on Integrated Broadcast-Broadband, among ITU-T SG9, ITU-T SG16 and ITU-R WP 6B.</w:t>
      </w:r>
    </w:p>
    <w:p w14:paraId="27CF6BEE" w14:textId="77777777" w:rsidR="00136E7B" w:rsidRPr="00D95934" w:rsidRDefault="00136E7B" w:rsidP="00136E7B">
      <w:pPr>
        <w:rPr>
          <w:lang w:val="en-GB"/>
        </w:rPr>
      </w:pPr>
      <w:r w:rsidRPr="00D95934">
        <w:rPr>
          <w:lang w:val="en-GB"/>
        </w:rPr>
        <w:t xml:space="preserve">The Inter-Sector Coordination Team (ISCT) is composed of representatives of all three advisory groups, working to identify </w:t>
      </w:r>
      <w:proofErr w:type="gramStart"/>
      <w:r w:rsidRPr="00D95934">
        <w:rPr>
          <w:lang w:val="en-GB"/>
        </w:rPr>
        <w:t>subjects</w:t>
      </w:r>
      <w:proofErr w:type="gramEnd"/>
      <w:r w:rsidRPr="00D95934">
        <w:rPr>
          <w:lang w:val="en-GB"/>
        </w:rPr>
        <w:t xml:space="preserve"> common interest to the three Sectors. It also seeks to identify the mechanisms necessary to strengthen cooperation and joint activities among the three Sectors, </w:t>
      </w:r>
      <w:r w:rsidRPr="00D95934">
        <w:rPr>
          <w:lang w:val="en-GB"/>
        </w:rPr>
        <w:lastRenderedPageBreak/>
        <w:t>with particular emphasis on the interests of developing countries. In addition, the ITU Inter-Sectoral Coordination Task Force (ISC-TF) is coordinating activities among the three Bureaux.</w:t>
      </w:r>
      <w:bookmarkStart w:id="97" w:name="Item57_02"/>
      <w:bookmarkEnd w:id="97"/>
    </w:p>
    <w:p w14:paraId="61B13E39" w14:textId="3AC6D4A2" w:rsidR="00136E7B" w:rsidRPr="00F57FAD" w:rsidRDefault="00BA3326" w:rsidP="00136E7B">
      <w:pPr>
        <w:pStyle w:val="Heading2"/>
      </w:pPr>
      <w:bookmarkStart w:id="98" w:name="_Toc51042266"/>
      <w:r>
        <w:t>7</w:t>
      </w:r>
      <w:r w:rsidR="00136E7B" w:rsidRPr="00F57FAD">
        <w:t>.</w:t>
      </w:r>
      <w:r w:rsidR="008137C7">
        <w:t>2</w:t>
      </w:r>
      <w:r w:rsidR="00136E7B" w:rsidRPr="00F57FAD">
        <w:tab/>
        <w:t>Coordination and cooperation with the Regions and the Regional Offices</w:t>
      </w:r>
      <w:bookmarkEnd w:id="98"/>
    </w:p>
    <w:p w14:paraId="2BBE864A" w14:textId="6AA94202" w:rsidR="00136E7B" w:rsidRDefault="00577B3C" w:rsidP="00136E7B">
      <w:pPr>
        <w:rPr>
          <w:lang w:val="en-GB"/>
        </w:rPr>
      </w:pPr>
      <w:r w:rsidRPr="7C7BE26A">
        <w:rPr>
          <w:lang w:val="en-GB"/>
        </w:rPr>
        <w:t>TSB organizes conference calls and face-to-face meetings</w:t>
      </w:r>
      <w:r>
        <w:rPr>
          <w:lang w:val="en-GB"/>
        </w:rPr>
        <w:t xml:space="preserve"> with </w:t>
      </w:r>
      <w:r w:rsidRPr="7C7BE26A">
        <w:rPr>
          <w:lang w:val="en-GB"/>
        </w:rPr>
        <w:t xml:space="preserve">ITU’s Regional Offices on a regular basis </w:t>
      </w:r>
      <w:r>
        <w:rPr>
          <w:lang w:val="en-GB"/>
        </w:rPr>
        <w:t>a</w:t>
      </w:r>
      <w:r w:rsidR="2393BB70" w:rsidRPr="7C7BE26A">
        <w:rPr>
          <w:lang w:val="en-GB"/>
        </w:rPr>
        <w:t>t the initiative of the TSB Director</w:t>
      </w:r>
      <w:r>
        <w:rPr>
          <w:lang w:val="en-GB"/>
        </w:rPr>
        <w:t>,</w:t>
      </w:r>
      <w:r w:rsidR="2393BB70" w:rsidRPr="7C7BE26A">
        <w:rPr>
          <w:lang w:val="en-GB"/>
        </w:rPr>
        <w:t xml:space="preserve"> </w:t>
      </w:r>
      <w:r w:rsidR="55E4F632" w:rsidRPr="7C7BE26A">
        <w:rPr>
          <w:lang w:val="en-GB"/>
        </w:rPr>
        <w:t>w</w:t>
      </w:r>
      <w:r w:rsidR="00136E7B" w:rsidRPr="7C7BE26A">
        <w:rPr>
          <w:lang w:val="en-GB"/>
        </w:rPr>
        <w:t xml:space="preserve">ith the </w:t>
      </w:r>
      <w:r w:rsidR="51A05A22" w:rsidRPr="7C7BE26A">
        <w:rPr>
          <w:lang w:val="en-GB"/>
        </w:rPr>
        <w:t xml:space="preserve">objective </w:t>
      </w:r>
      <w:r w:rsidR="00136E7B" w:rsidRPr="7C7BE26A">
        <w:rPr>
          <w:lang w:val="en-GB"/>
        </w:rPr>
        <w:t xml:space="preserve">of improving coordination and increasing the efficiency of the overall operations, events and activities of </w:t>
      </w:r>
      <w:r>
        <w:rPr>
          <w:lang w:val="en-GB"/>
        </w:rPr>
        <w:t xml:space="preserve">ITU-T </w:t>
      </w:r>
      <w:r w:rsidR="00136E7B" w:rsidRPr="7C7BE26A">
        <w:rPr>
          <w:lang w:val="en-GB"/>
        </w:rPr>
        <w:t>and</w:t>
      </w:r>
      <w:r>
        <w:rPr>
          <w:lang w:val="en-GB"/>
        </w:rPr>
        <w:t xml:space="preserve"> TSB</w:t>
      </w:r>
      <w:r w:rsidR="00136E7B" w:rsidRPr="7C7BE26A">
        <w:rPr>
          <w:lang w:val="en-GB"/>
        </w:rPr>
        <w:t>.</w:t>
      </w:r>
      <w:r w:rsidR="1B4A13E8" w:rsidRPr="7C7BE26A">
        <w:rPr>
          <w:lang w:val="en-GB"/>
        </w:rPr>
        <w:t xml:space="preserve"> </w:t>
      </w:r>
      <w:r>
        <w:rPr>
          <w:lang w:val="en-GB"/>
        </w:rPr>
        <w:t>This activity has grown in importance as part of the</w:t>
      </w:r>
      <w:r w:rsidR="1B4A13E8" w:rsidRPr="7C7BE26A">
        <w:rPr>
          <w:lang w:val="en-GB"/>
        </w:rPr>
        <w:t xml:space="preserve"> approach WTSA-20</w:t>
      </w:r>
      <w:r>
        <w:rPr>
          <w:lang w:val="en-GB"/>
        </w:rPr>
        <w:t xml:space="preserve">, with regional preparations for WTSA led </w:t>
      </w:r>
      <w:r w:rsidR="748E1DB1" w:rsidRPr="7C7BE26A">
        <w:rPr>
          <w:lang w:val="en-GB"/>
        </w:rPr>
        <w:t>the Regional Organizations</w:t>
      </w:r>
      <w:r w:rsidR="1B4A13E8" w:rsidRPr="7C7BE26A">
        <w:rPr>
          <w:lang w:val="en-GB"/>
        </w:rPr>
        <w:t xml:space="preserve"> </w:t>
      </w:r>
      <w:r w:rsidR="6515DC66" w:rsidRPr="7C7BE26A">
        <w:rPr>
          <w:lang w:val="en-GB"/>
        </w:rPr>
        <w:t xml:space="preserve">(APT, ATU, CEPT, </w:t>
      </w:r>
      <w:r w:rsidR="4F6A5413" w:rsidRPr="7C7BE26A">
        <w:rPr>
          <w:lang w:val="en-GB"/>
        </w:rPr>
        <w:t xml:space="preserve">CITEL, </w:t>
      </w:r>
      <w:r w:rsidR="6515DC66" w:rsidRPr="7C7BE26A">
        <w:rPr>
          <w:lang w:val="en-GB"/>
        </w:rPr>
        <w:t xml:space="preserve">League of Arab States, </w:t>
      </w:r>
      <w:r>
        <w:rPr>
          <w:lang w:val="en-GB"/>
        </w:rPr>
        <w:t xml:space="preserve">and </w:t>
      </w:r>
      <w:r w:rsidR="6515DC66" w:rsidRPr="7C7BE26A">
        <w:rPr>
          <w:lang w:val="en-GB"/>
        </w:rPr>
        <w:t>RCC</w:t>
      </w:r>
      <w:r w:rsidR="46C5797F" w:rsidRPr="7C7BE26A">
        <w:rPr>
          <w:lang w:val="en-GB"/>
        </w:rPr>
        <w:t>).</w:t>
      </w:r>
      <w:r>
        <w:rPr>
          <w:lang w:val="en-GB"/>
        </w:rPr>
        <w:t xml:space="preserve"> </w:t>
      </w:r>
      <w:r w:rsidR="00136E7B" w:rsidRPr="008D5D0E">
        <w:rPr>
          <w:lang w:val="en-GB"/>
        </w:rPr>
        <w:t xml:space="preserve">This activity has led to significant improvements in the overall coordination of </w:t>
      </w:r>
      <w:r>
        <w:rPr>
          <w:lang w:val="en-GB"/>
        </w:rPr>
        <w:t xml:space="preserve">ITU-T/TSB </w:t>
      </w:r>
      <w:r w:rsidR="00136E7B" w:rsidRPr="008D5D0E">
        <w:rPr>
          <w:lang w:val="en-GB"/>
        </w:rPr>
        <w:t>operations, events and activities taking place in the Regions</w:t>
      </w:r>
      <w:r>
        <w:rPr>
          <w:lang w:val="en-GB"/>
        </w:rPr>
        <w:t xml:space="preserve"> and </w:t>
      </w:r>
      <w:r w:rsidR="00136E7B" w:rsidRPr="008D5D0E">
        <w:rPr>
          <w:lang w:val="en-GB"/>
        </w:rPr>
        <w:t>has contributed to greater awareness of ITU-T standardization activities in each Region.</w:t>
      </w:r>
      <w:r>
        <w:rPr>
          <w:lang w:val="en-GB"/>
        </w:rPr>
        <w:t xml:space="preserve"> </w:t>
      </w:r>
      <w:r w:rsidR="00136E7B" w:rsidRPr="008D5D0E">
        <w:rPr>
          <w:lang w:val="en-GB"/>
        </w:rPr>
        <w:t xml:space="preserve">TSB will continue to </w:t>
      </w:r>
      <w:r>
        <w:rPr>
          <w:lang w:val="en-GB"/>
        </w:rPr>
        <w:t xml:space="preserve">enhance </w:t>
      </w:r>
      <w:r w:rsidR="3F09BF41" w:rsidRPr="7C7BE26A">
        <w:rPr>
          <w:lang w:val="en-GB"/>
        </w:rPr>
        <w:t>the collaboration and the</w:t>
      </w:r>
      <w:r w:rsidR="00136E7B" w:rsidRPr="7C7BE26A">
        <w:rPr>
          <w:lang w:val="en-GB"/>
        </w:rPr>
        <w:t xml:space="preserve"> </w:t>
      </w:r>
      <w:r w:rsidR="00136E7B" w:rsidRPr="008D5D0E">
        <w:rPr>
          <w:lang w:val="en-GB"/>
        </w:rPr>
        <w:t>cooperation with the ITU Regional Offices, as well as with relevant regional and other international organizations dealing with standards</w:t>
      </w:r>
      <w:r w:rsidR="3309C53C" w:rsidRPr="7C7BE26A">
        <w:rPr>
          <w:lang w:val="en-GB"/>
        </w:rPr>
        <w:t xml:space="preserve"> and ICTs</w:t>
      </w:r>
      <w:r w:rsidR="00136E7B" w:rsidRPr="008D5D0E">
        <w:rPr>
          <w:lang w:val="en-GB"/>
        </w:rPr>
        <w:t>.</w:t>
      </w:r>
    </w:p>
    <w:p w14:paraId="47327EF4" w14:textId="15FBF7E0" w:rsidR="00136E7B" w:rsidRPr="00F57FAD" w:rsidRDefault="00BA3326" w:rsidP="00136E7B">
      <w:pPr>
        <w:pStyle w:val="Heading2"/>
      </w:pPr>
      <w:bookmarkStart w:id="99" w:name="_Toc51042267"/>
      <w:r>
        <w:t>7</w:t>
      </w:r>
      <w:r w:rsidR="00136E7B" w:rsidRPr="00F57FAD">
        <w:t>.</w:t>
      </w:r>
      <w:r w:rsidR="008137C7">
        <w:t>3</w:t>
      </w:r>
      <w:r w:rsidR="00136E7B" w:rsidRPr="00F57FAD">
        <w:tab/>
        <w:t>General assistance and cooperation</w:t>
      </w:r>
      <w:bookmarkEnd w:id="99"/>
    </w:p>
    <w:p w14:paraId="773D27B6" w14:textId="77777777" w:rsidR="00136E7B" w:rsidRPr="005170F0" w:rsidRDefault="00136E7B" w:rsidP="00136E7B">
      <w:pPr>
        <w:rPr>
          <w:lang w:val="en-GB"/>
        </w:rPr>
      </w:pPr>
      <w:bookmarkStart w:id="100" w:name="_6.5_Focus_Group"/>
      <w:bookmarkStart w:id="101" w:name="_7.5_Focus_Group"/>
      <w:bookmarkStart w:id="102" w:name="_7.2_TSB_Director’s"/>
      <w:bookmarkStart w:id="103" w:name="_13_Chief_Technology"/>
      <w:bookmarkStart w:id="104" w:name="_8.1_ITU-UNECE_event"/>
      <w:bookmarkStart w:id="105" w:name="_8.3_3rd_ITU"/>
      <w:bookmarkStart w:id="106" w:name="_8.5_Standards_collaboration,"/>
      <w:bookmarkStart w:id="107" w:name="_8.6_Montevideo_forum"/>
      <w:bookmarkStart w:id="108" w:name="_8.8_Accessible_Inclusion"/>
      <w:bookmarkStart w:id="109" w:name="_10_Chief_Technology"/>
      <w:bookmarkEnd w:id="95"/>
      <w:bookmarkEnd w:id="100"/>
      <w:bookmarkEnd w:id="101"/>
      <w:bookmarkEnd w:id="102"/>
      <w:bookmarkEnd w:id="103"/>
      <w:bookmarkEnd w:id="104"/>
      <w:bookmarkEnd w:id="105"/>
      <w:bookmarkEnd w:id="106"/>
      <w:bookmarkEnd w:id="107"/>
      <w:bookmarkEnd w:id="108"/>
      <w:bookmarkEnd w:id="109"/>
      <w:r w:rsidRPr="005170F0">
        <w:rPr>
          <w:lang w:val="en-GB"/>
        </w:rPr>
        <w:t xml:space="preserve">ITU continues to provide leadership in </w:t>
      </w:r>
      <w:r w:rsidRPr="005170F0">
        <w:rPr>
          <w:bCs/>
          <w:lang w:val="en-GB"/>
        </w:rPr>
        <w:t>building cooperation</w:t>
      </w:r>
      <w:r w:rsidRPr="005170F0">
        <w:rPr>
          <w:lang w:val="en-GB"/>
        </w:rPr>
        <w:t xml:space="preserve"> among the many interests served by ICT standardization.</w:t>
      </w:r>
    </w:p>
    <w:p w14:paraId="00295F7E" w14:textId="0C4E4591" w:rsidR="00136E7B" w:rsidRPr="009A2D34" w:rsidRDefault="00136E7B" w:rsidP="00136E7B">
      <w:pPr>
        <w:rPr>
          <w:lang w:val="en-GB"/>
        </w:rPr>
      </w:pPr>
      <w:r w:rsidRPr="005170F0">
        <w:rPr>
          <w:lang w:val="en-GB"/>
        </w:rPr>
        <w:t xml:space="preserve">The </w:t>
      </w:r>
      <w:r w:rsidRPr="005170F0">
        <w:rPr>
          <w:b/>
          <w:lang w:val="en-GB"/>
        </w:rPr>
        <w:t xml:space="preserve">World </w:t>
      </w:r>
      <w:r w:rsidRPr="005170F0">
        <w:rPr>
          <w:b/>
          <w:bCs/>
          <w:lang w:val="en-GB"/>
        </w:rPr>
        <w:t>Standards Cooperation</w:t>
      </w:r>
      <w:r w:rsidRPr="005170F0">
        <w:rPr>
          <w:lang w:val="en-GB"/>
        </w:rPr>
        <w:t xml:space="preserve"> is a partnership of ITU, ISO and IEC to promote international standards. The World Standards Cooperation leads the celebration of World Standards Day, 14 October. The theme of World Standards Day 20</w:t>
      </w:r>
      <w:r w:rsidR="009A2D34">
        <w:rPr>
          <w:lang w:val="en-GB"/>
        </w:rPr>
        <w:t>20</w:t>
      </w:r>
      <w:r w:rsidRPr="005170F0">
        <w:rPr>
          <w:lang w:val="en-GB"/>
        </w:rPr>
        <w:t xml:space="preserve"> w</w:t>
      </w:r>
      <w:r w:rsidR="005170F0" w:rsidRPr="005170F0">
        <w:rPr>
          <w:lang w:val="en-GB"/>
        </w:rPr>
        <w:t xml:space="preserve">ill </w:t>
      </w:r>
      <w:r w:rsidR="005170F0" w:rsidRPr="009A2D34">
        <w:rPr>
          <w:lang w:val="en-GB"/>
        </w:rPr>
        <w:t>be</w:t>
      </w:r>
      <w:r w:rsidRPr="009A2D34">
        <w:rPr>
          <w:lang w:val="en-GB"/>
        </w:rPr>
        <w:t xml:space="preserve"> “</w:t>
      </w:r>
      <w:r w:rsidR="009A2D34" w:rsidRPr="009A2D34">
        <w:rPr>
          <w:lang w:val="en-GB"/>
        </w:rPr>
        <w:t>Protecting the planet with standards</w:t>
      </w:r>
      <w:r w:rsidRPr="009A2D34">
        <w:rPr>
          <w:lang w:val="en-GB"/>
        </w:rPr>
        <w:t>”.</w:t>
      </w:r>
    </w:p>
    <w:p w14:paraId="4E410751" w14:textId="77777777" w:rsidR="00136E7B" w:rsidRPr="00DB5569" w:rsidRDefault="00136E7B" w:rsidP="00136E7B">
      <w:pPr>
        <w:rPr>
          <w:lang w:val="en-GB"/>
        </w:rPr>
      </w:pPr>
      <w:r w:rsidRPr="00DB5569">
        <w:rPr>
          <w:b/>
          <w:lang w:val="en-GB"/>
        </w:rPr>
        <w:t>IEC, ISO and ITU</w:t>
      </w:r>
      <w:r w:rsidRPr="00DB5569">
        <w:rPr>
          <w:lang w:val="en-GB"/>
        </w:rPr>
        <w:t xml:space="preserve"> cooperate in standardization to the degree that 10 per cent of all ITU standards are common or aligned texts with the ISO/IEC Joint Technical Committee 1 on Information Technology (ISO/IEC JTC1).</w:t>
      </w:r>
    </w:p>
    <w:p w14:paraId="2FC27E27" w14:textId="77777777" w:rsidR="00136E7B" w:rsidRPr="00DB5569" w:rsidRDefault="00136E7B" w:rsidP="00136E7B">
      <w:pPr>
        <w:rPr>
          <w:lang w:val="en-GB"/>
        </w:rPr>
      </w:pPr>
      <w:r w:rsidRPr="00DB5569">
        <w:rPr>
          <w:lang w:val="en-GB"/>
        </w:rPr>
        <w:t xml:space="preserve">The </w:t>
      </w:r>
      <w:r w:rsidRPr="00DB5569">
        <w:rPr>
          <w:b/>
          <w:lang w:val="en-GB"/>
        </w:rPr>
        <w:t>Global Standards Collaboration</w:t>
      </w:r>
      <w:r w:rsidRPr="00DB5569">
        <w:rPr>
          <w:lang w:val="en-GB"/>
        </w:rPr>
        <w:t xml:space="preserve"> </w:t>
      </w:r>
      <w:r w:rsidRPr="00DB5569">
        <w:rPr>
          <w:b/>
          <w:bCs/>
          <w:lang w:val="en-GB"/>
        </w:rPr>
        <w:t>(GSC)</w:t>
      </w:r>
      <w:r w:rsidRPr="00DB5569">
        <w:rPr>
          <w:lang w:val="en-GB"/>
        </w:rPr>
        <w:t xml:space="preserve"> assists regional and international SDOs in coordinating their contributions to fields of mutual interest. ITU hosts the </w:t>
      </w:r>
      <w:hyperlink r:id="rId74" w:history="1">
        <w:r w:rsidRPr="00DB5569">
          <w:rPr>
            <w:rStyle w:val="Hyperlink"/>
            <w:rFonts w:eastAsiaTheme="majorEastAsia"/>
            <w:lang w:val="en-GB"/>
          </w:rPr>
          <w:t>repository</w:t>
        </w:r>
      </w:hyperlink>
      <w:r w:rsidRPr="00DB5569">
        <w:rPr>
          <w:lang w:val="en-GB"/>
        </w:rPr>
        <w:t xml:space="preserve"> of GSC documents from past meetings. See </w:t>
      </w:r>
      <w:hyperlink r:id="rId75" w:history="1">
        <w:r w:rsidRPr="00DB5569">
          <w:rPr>
            <w:rStyle w:val="Hyperlink"/>
            <w:rFonts w:eastAsiaTheme="majorEastAsia"/>
            <w:lang w:val="en-GB"/>
          </w:rPr>
          <w:t>GSC website</w:t>
        </w:r>
      </w:hyperlink>
      <w:r w:rsidRPr="00DB5569">
        <w:rPr>
          <w:lang w:val="en-GB"/>
        </w:rPr>
        <w:t>.</w:t>
      </w:r>
    </w:p>
    <w:p w14:paraId="536E6A38" w14:textId="77777777" w:rsidR="00136E7B" w:rsidRPr="00DB5569" w:rsidRDefault="00136E7B" w:rsidP="00136E7B">
      <w:pPr>
        <w:rPr>
          <w:lang w:val="en-GB"/>
        </w:rPr>
      </w:pPr>
      <w:r w:rsidRPr="00DB5569">
        <w:rPr>
          <w:lang w:val="en-GB"/>
        </w:rPr>
        <w:t xml:space="preserve">The </w:t>
      </w:r>
      <w:r w:rsidRPr="00DB5569">
        <w:rPr>
          <w:b/>
          <w:bCs/>
          <w:lang w:val="en-GB"/>
        </w:rPr>
        <w:t xml:space="preserve">European Commission Multi-Stakeholder Platform on ICT Standardization </w:t>
      </w:r>
      <w:r w:rsidRPr="00DB5569">
        <w:rPr>
          <w:bCs/>
          <w:lang w:val="en-GB"/>
        </w:rPr>
        <w:t xml:space="preserve">supports the coordination of the </w:t>
      </w:r>
      <w:r w:rsidRPr="00DB5569">
        <w:rPr>
          <w:lang w:val="en-GB"/>
        </w:rPr>
        <w:t xml:space="preserve">activities of the European Commission, European Standardization Organizations and ITU. ITU also contributes to the </w:t>
      </w:r>
      <w:hyperlink r:id="rId76" w:history="1">
        <w:r w:rsidRPr="00DB5569">
          <w:rPr>
            <w:rStyle w:val="Hyperlink"/>
            <w:lang w:val="en-GB"/>
          </w:rPr>
          <w:t>EC Rolling Plan on ICT Standardization</w:t>
        </w:r>
      </w:hyperlink>
      <w:r w:rsidRPr="00DB5569">
        <w:rPr>
          <w:lang w:val="en-GB"/>
        </w:rPr>
        <w:t>.</w:t>
      </w:r>
    </w:p>
    <w:p w14:paraId="4DEDCE32" w14:textId="77777777" w:rsidR="00136E7B" w:rsidRPr="00DB5569" w:rsidRDefault="00136E7B" w:rsidP="00136E7B">
      <w:pPr>
        <w:rPr>
          <w:lang w:val="en-GB"/>
        </w:rPr>
      </w:pPr>
      <w:r w:rsidRPr="00DB5569">
        <w:rPr>
          <w:b/>
          <w:bCs/>
          <w:lang w:val="en-GB"/>
        </w:rPr>
        <w:t>ITU is a strong advocate of "Universal Design"</w:t>
      </w:r>
      <w:r w:rsidRPr="00DB5569">
        <w:rPr>
          <w:lang w:val="en-GB"/>
        </w:rPr>
        <w:t xml:space="preserve"> and has standardization guidelines to produce solutions that are inherently accessible to persons with and without disabilities.</w:t>
      </w:r>
    </w:p>
    <w:p w14:paraId="370C2490" w14:textId="77777777" w:rsidR="00136E7B" w:rsidRPr="00DB5569" w:rsidRDefault="00136E7B" w:rsidP="00136E7B">
      <w:pPr>
        <w:rPr>
          <w:bCs/>
          <w:lang w:val="en-GB"/>
        </w:rPr>
      </w:pPr>
      <w:r w:rsidRPr="00DB5569">
        <w:rPr>
          <w:b/>
          <w:bCs/>
          <w:lang w:val="en-GB"/>
        </w:rPr>
        <w:t>ITU's Bridging the Standardization Gap (BSG) programme</w:t>
      </w:r>
      <w:r w:rsidRPr="00DB5569">
        <w:rPr>
          <w:lang w:val="en-GB"/>
        </w:rPr>
        <w:t xml:space="preserve"> improves the capacity</w:t>
      </w:r>
      <w:r w:rsidRPr="00DB5569">
        <w:rPr>
          <w:bCs/>
          <w:lang w:val="en-GB"/>
        </w:rPr>
        <w:t xml:space="preserve"> of developing countries to participate in the development and implementation of international ICT standards.</w:t>
      </w:r>
    </w:p>
    <w:p w14:paraId="67E37E54" w14:textId="77777777" w:rsidR="00136E7B" w:rsidRPr="00DB5569" w:rsidRDefault="00136E7B" w:rsidP="00136E7B">
      <w:pPr>
        <w:rPr>
          <w:bCs/>
          <w:lang w:val="en-GB"/>
        </w:rPr>
      </w:pPr>
      <w:r w:rsidRPr="00DB5569">
        <w:rPr>
          <w:b/>
          <w:lang w:val="en-GB"/>
        </w:rPr>
        <w:t>ITU's conformity and interoperability (C&amp;I) programme</w:t>
      </w:r>
      <w:r w:rsidRPr="00DB5569">
        <w:rPr>
          <w:bCs/>
          <w:lang w:val="en-GB"/>
        </w:rPr>
        <w:t xml:space="preserve"> is of particular value to developing countries in their efforts to enhance conformity and interoperability of ICT products implementing ITU Recommendations or part thereof.</w:t>
      </w:r>
    </w:p>
    <w:p w14:paraId="1D724A70" w14:textId="4381097F" w:rsidR="00136E7B" w:rsidRPr="008137C7" w:rsidRDefault="00136E7B" w:rsidP="00136E7B">
      <w:pPr>
        <w:rPr>
          <w:bCs/>
          <w:highlight w:val="yellow"/>
          <w:lang w:val="en-GB"/>
        </w:rPr>
      </w:pPr>
      <w:r w:rsidRPr="00DB5569">
        <w:rPr>
          <w:b/>
          <w:lang w:val="en-GB"/>
        </w:rPr>
        <w:t>Chief Technology Officer meetings</w:t>
      </w:r>
      <w:r w:rsidRPr="00DB5569">
        <w:rPr>
          <w:bCs/>
          <w:lang w:val="en-GB"/>
        </w:rPr>
        <w:t xml:space="preserve">: </w:t>
      </w:r>
      <w:hyperlink r:id="rId77" w:history="1">
        <w:r w:rsidRPr="00DB5569">
          <w:rPr>
            <w:rStyle w:val="Hyperlink"/>
            <w:rFonts w:eastAsiaTheme="majorEastAsia"/>
            <w:bCs/>
            <w:lang w:val="en-GB"/>
          </w:rPr>
          <w:t xml:space="preserve">CTO and </w:t>
        </w:r>
        <w:proofErr w:type="spellStart"/>
        <w:r w:rsidRPr="00DB5569">
          <w:rPr>
            <w:rStyle w:val="Hyperlink"/>
            <w:rFonts w:eastAsiaTheme="majorEastAsia"/>
            <w:bCs/>
            <w:lang w:val="en-GB"/>
          </w:rPr>
          <w:t>CxO</w:t>
        </w:r>
        <w:proofErr w:type="spellEnd"/>
        <w:r w:rsidRPr="00DB5569">
          <w:rPr>
            <w:rStyle w:val="Hyperlink"/>
            <w:rFonts w:eastAsiaTheme="majorEastAsia"/>
            <w:bCs/>
            <w:lang w:val="en-GB"/>
          </w:rPr>
          <w:t xml:space="preserve"> meetings</w:t>
        </w:r>
      </w:hyperlink>
      <w:r w:rsidRPr="00DB5569">
        <w:rPr>
          <w:bCs/>
          <w:lang w:val="en-GB"/>
        </w:rPr>
        <w:t xml:space="preserve"> bring together industry executives to highlight their business priorities and supporting standardization strategies.</w:t>
      </w:r>
      <w:r w:rsidR="00467270">
        <w:rPr>
          <w:bCs/>
          <w:lang w:val="en-GB"/>
        </w:rPr>
        <w:t xml:space="preserve"> No CTO/</w:t>
      </w:r>
      <w:proofErr w:type="spellStart"/>
      <w:r w:rsidR="00467270">
        <w:rPr>
          <w:bCs/>
          <w:lang w:val="en-GB"/>
        </w:rPr>
        <w:t>Cx</w:t>
      </w:r>
      <w:r w:rsidR="008F7C0C">
        <w:rPr>
          <w:bCs/>
          <w:lang w:val="en-GB"/>
        </w:rPr>
        <w:t>O</w:t>
      </w:r>
      <w:proofErr w:type="spellEnd"/>
      <w:r w:rsidR="00467270">
        <w:rPr>
          <w:bCs/>
          <w:lang w:val="en-GB"/>
        </w:rPr>
        <w:t xml:space="preserve"> meetings have been taking place since January 2020.</w:t>
      </w:r>
    </w:p>
    <w:p w14:paraId="449E7012" w14:textId="77777777" w:rsidR="00136E7B" w:rsidRPr="00057F8C" w:rsidRDefault="00136E7B" w:rsidP="00136E7B">
      <w:pPr>
        <w:rPr>
          <w:lang w:val="en-GB"/>
        </w:rPr>
      </w:pPr>
      <w:r w:rsidRPr="00057F8C">
        <w:rPr>
          <w:b/>
          <w:lang w:val="en-GB"/>
        </w:rPr>
        <w:t>e-Health</w:t>
      </w:r>
      <w:r w:rsidRPr="00057F8C">
        <w:rPr>
          <w:bCs/>
          <w:lang w:val="en-GB"/>
        </w:rPr>
        <w:t xml:space="preserve">: ITU-T continues its longstanding collaboration with bodies active in the healthcare field, supporting the development of medical-grade e-health devices. Participating organizations include UN bodies, standards bodies, academic and research institutes, and industry associations. </w:t>
      </w:r>
      <w:r w:rsidRPr="00057F8C">
        <w:rPr>
          <w:lang w:val="en-GB"/>
        </w:rPr>
        <w:t>ITU-T continues to collaborate with WHO, with notable recent initiatives on safe listening devices/systems and AI for health.</w:t>
      </w:r>
    </w:p>
    <w:p w14:paraId="0D3E4406" w14:textId="77777777" w:rsidR="00136E7B" w:rsidRPr="00057F8C" w:rsidRDefault="00136E7B" w:rsidP="00136E7B">
      <w:pPr>
        <w:rPr>
          <w:bCs/>
          <w:lang w:val="en-GB"/>
        </w:rPr>
      </w:pPr>
      <w:r w:rsidRPr="00057F8C">
        <w:rPr>
          <w:b/>
          <w:lang w:val="en-GB"/>
        </w:rPr>
        <w:lastRenderedPageBreak/>
        <w:t>Intelligent transport systems (ITS)</w:t>
      </w:r>
      <w:r w:rsidRPr="00057F8C">
        <w:rPr>
          <w:bCs/>
          <w:lang w:val="en-GB"/>
        </w:rPr>
        <w:t xml:space="preserve">: The </w:t>
      </w:r>
      <w:hyperlink r:id="rId78" w:history="1">
        <w:r w:rsidRPr="00057F8C">
          <w:rPr>
            <w:rStyle w:val="Hyperlink"/>
            <w:rFonts w:eastAsiaTheme="majorEastAsia"/>
            <w:bCs/>
            <w:lang w:val="en-GB"/>
          </w:rPr>
          <w:t>Collaboration on ITS Communication Standards</w:t>
        </w:r>
      </w:hyperlink>
      <w:r w:rsidRPr="00057F8C">
        <w:rPr>
          <w:bCs/>
          <w:lang w:val="en-GB"/>
        </w:rPr>
        <w:t xml:space="preserve"> is a body responsible for the coordination of technical standardization work to encourage the offer of interoperable ITS products. CITS meetings are held back-to-back with ITU workshops on intelligent transport systems. CITS has established a </w:t>
      </w:r>
      <w:hyperlink r:id="rId79" w:anchor="?topic=0.131&amp;workgroup=1&amp;searchValue=&amp;page=1&amp;sort=Revelance" w:history="1">
        <w:r w:rsidRPr="00057F8C">
          <w:rPr>
            <w:rStyle w:val="Hyperlink"/>
            <w:bCs/>
            <w:lang w:val="en-GB"/>
          </w:rPr>
          <w:t>standards database</w:t>
        </w:r>
      </w:hyperlink>
      <w:r w:rsidRPr="00057F8C">
        <w:rPr>
          <w:bCs/>
          <w:lang w:val="en-GB"/>
        </w:rPr>
        <w:t xml:space="preserve"> to assist the harmonization of ITS standards. The database includes ITS standards developed by all relevant standards bodies.</w:t>
      </w:r>
    </w:p>
    <w:p w14:paraId="28C459B8" w14:textId="77777777" w:rsidR="00136E7B" w:rsidRPr="00057F8C" w:rsidRDefault="00136E7B" w:rsidP="00136E7B">
      <w:pPr>
        <w:rPr>
          <w:lang w:val="en-GB"/>
        </w:rPr>
      </w:pPr>
      <w:r w:rsidRPr="00057F8C">
        <w:rPr>
          <w:b/>
          <w:lang w:val="en-GB"/>
        </w:rPr>
        <w:t xml:space="preserve">ITU/WMO/UNESCO-IOC Joint Task Force (JTF) on SMART Cable Systems: </w:t>
      </w:r>
      <w:r w:rsidRPr="00057F8C">
        <w:rPr>
          <w:bCs/>
          <w:lang w:val="en-GB"/>
        </w:rPr>
        <w:t xml:space="preserve">The JTF </w:t>
      </w:r>
      <w:r w:rsidRPr="00057F8C">
        <w:rPr>
          <w:lang w:val="en-GB"/>
        </w:rPr>
        <w:t xml:space="preserve">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w:t>
      </w:r>
      <w:proofErr w:type="gramStart"/>
      <w:r w:rsidRPr="00057F8C">
        <w:rPr>
          <w:lang w:val="en-GB"/>
        </w:rPr>
        <w:t>field-proven</w:t>
      </w:r>
      <w:proofErr w:type="gramEnd"/>
      <w:r w:rsidRPr="00057F8C">
        <w:rPr>
          <w:lang w:val="en-GB"/>
        </w:rPr>
        <w:t xml:space="preserve"> via ongoing demonstrations and proposed pilot systems in The Americas, Antarctica, Asia and Europe. A detailed peer-reviewed article on the project can be found in the journal “Frontiers in Marine Science”: </w:t>
      </w:r>
      <w:hyperlink r:id="rId80" w:history="1">
        <w:r w:rsidRPr="00057F8C">
          <w:rPr>
            <w:rStyle w:val="Hyperlink"/>
            <w:lang w:val="en-GB"/>
          </w:rPr>
          <w:t>“SMART Cables for Observing the Global Ocean: Science and Implementation”</w:t>
        </w:r>
      </w:hyperlink>
      <w:r w:rsidRPr="00057F8C">
        <w:rPr>
          <w:lang w:val="en-GB"/>
        </w:rPr>
        <w:t>.</w:t>
      </w:r>
    </w:p>
    <w:p w14:paraId="0FB2C2E3" w14:textId="50D7E6F4" w:rsidR="00136E7B" w:rsidRPr="00057F8C" w:rsidRDefault="00136E7B" w:rsidP="00136E7B">
      <w:pPr>
        <w:rPr>
          <w:bCs/>
          <w:lang w:val="en-GB"/>
        </w:rPr>
      </w:pPr>
      <w:r w:rsidRPr="00057F8C">
        <w:rPr>
          <w:b/>
          <w:lang w:val="en-GB"/>
        </w:rPr>
        <w:t xml:space="preserve">ICT, </w:t>
      </w:r>
      <w:proofErr w:type="gramStart"/>
      <w:r w:rsidRPr="00057F8C">
        <w:rPr>
          <w:b/>
          <w:lang w:val="en-GB"/>
        </w:rPr>
        <w:t>environment</w:t>
      </w:r>
      <w:proofErr w:type="gramEnd"/>
      <w:r w:rsidRPr="00057F8C">
        <w:rPr>
          <w:b/>
          <w:lang w:val="en-GB"/>
        </w:rPr>
        <w:t xml:space="preserve"> and climate change</w:t>
      </w:r>
      <w:r w:rsidRPr="00057F8C">
        <w:rPr>
          <w:bCs/>
          <w:lang w:val="en-GB"/>
        </w:rPr>
        <w:t xml:space="preserve">: ITU-T maintains cooperation with a wide range of bodies active in environmental sustainability, including UN bodies, standards bodies, regional organizations, academia, and industry associations. </w:t>
      </w:r>
      <w:r w:rsidRPr="0A47BC55">
        <w:rPr>
          <w:lang w:val="en-GB"/>
        </w:rPr>
        <w:t>ITU</w:t>
      </w:r>
      <w:r w:rsidRPr="0A47BC55" w:rsidDel="00136E7B">
        <w:rPr>
          <w:lang w:val="en-GB"/>
        </w:rPr>
        <w:t xml:space="preserve"> </w:t>
      </w:r>
      <w:r w:rsidRPr="0A47BC55">
        <w:rPr>
          <w:lang w:val="en-GB"/>
        </w:rPr>
        <w:t>together with nine other UN bodies develop</w:t>
      </w:r>
      <w:r w:rsidR="700715BA" w:rsidRPr="0A47BC55">
        <w:rPr>
          <w:lang w:val="en-GB"/>
        </w:rPr>
        <w:t>ed</w:t>
      </w:r>
      <w:r w:rsidRPr="0A47BC55">
        <w:rPr>
          <w:lang w:val="en-GB"/>
        </w:rPr>
        <w:t xml:space="preserve"> a report on “</w:t>
      </w:r>
      <w:hyperlink r:id="rId81" w:history="1">
        <w:r w:rsidRPr="0A47BC55">
          <w:rPr>
            <w:rStyle w:val="Hyperlink"/>
            <w:lang w:val="en-GB"/>
          </w:rPr>
          <w:t>frontier technologies to protect the environment and tackle climate change</w:t>
        </w:r>
      </w:hyperlink>
      <w:r w:rsidRPr="0A47BC55">
        <w:rPr>
          <w:lang w:val="en-GB"/>
        </w:rPr>
        <w:t>”.</w:t>
      </w:r>
      <w:r w:rsidR="00577B3C">
        <w:rPr>
          <w:lang w:val="en-GB"/>
        </w:rPr>
        <w:t xml:space="preserve"> </w:t>
      </w:r>
      <w:r w:rsidR="14D61DA4" w:rsidRPr="0A47BC55">
        <w:rPr>
          <w:lang w:val="en-GB"/>
        </w:rPr>
        <w:t>Additionally, ITU is one of the partners of the Circular Economy Partnership and is co-leading</w:t>
      </w:r>
      <w:r w:rsidR="00577B3C">
        <w:rPr>
          <w:lang w:val="en-GB"/>
        </w:rPr>
        <w:t xml:space="preserve"> </w:t>
      </w:r>
      <w:r w:rsidR="14D61DA4" w:rsidRPr="0A47BC55">
        <w:rPr>
          <w:lang w:val="en-GB"/>
        </w:rPr>
        <w:t xml:space="preserve">the </w:t>
      </w:r>
      <w:r w:rsidR="00577B3C">
        <w:rPr>
          <w:lang w:val="en-GB"/>
        </w:rPr>
        <w:t xml:space="preserve">partnership’s </w:t>
      </w:r>
      <w:r w:rsidR="14D61DA4" w:rsidRPr="0A47BC55">
        <w:rPr>
          <w:lang w:val="en-GB"/>
        </w:rPr>
        <w:t>working group on Circular Design and Takeaw</w:t>
      </w:r>
      <w:r w:rsidR="0616129B" w:rsidRPr="0A47BC55">
        <w:rPr>
          <w:lang w:val="en-GB"/>
        </w:rPr>
        <w:t>ay &amp; Collection.</w:t>
      </w:r>
    </w:p>
    <w:p w14:paraId="7BBE86C5" w14:textId="77777777" w:rsidR="005D6E14" w:rsidRDefault="00136E7B" w:rsidP="00D54EFE">
      <w:pPr>
        <w:rPr>
          <w:lang w:val="en-GB"/>
        </w:rPr>
      </w:pPr>
      <w:r w:rsidRPr="6171A8C9">
        <w:rPr>
          <w:b/>
          <w:bCs/>
          <w:lang w:val="en-GB"/>
        </w:rPr>
        <w:t>Smart Sustainable Cities</w:t>
      </w:r>
      <w:r w:rsidRPr="6171A8C9">
        <w:rPr>
          <w:lang w:val="en-GB"/>
        </w:rPr>
        <w:t xml:space="preserve">: The </w:t>
      </w:r>
      <w:hyperlink r:id="rId82">
        <w:r w:rsidRPr="6171A8C9">
          <w:rPr>
            <w:rStyle w:val="Hyperlink"/>
            <w:rFonts w:eastAsiaTheme="majorEastAsia"/>
            <w:lang w:val="en-GB"/>
          </w:rPr>
          <w:t>United for Smart Sustainable Cities (U4SSC)</w:t>
        </w:r>
      </w:hyperlink>
      <w:r w:rsidRPr="6171A8C9">
        <w:rPr>
          <w:rFonts w:eastAsiaTheme="majorEastAsia"/>
          <w:lang w:val="en-GB"/>
        </w:rPr>
        <w:t xml:space="preserve"> initiative</w:t>
      </w:r>
      <w:r w:rsidRPr="6171A8C9">
        <w:rPr>
          <w:lang w:val="en-GB"/>
        </w:rPr>
        <w:t>, supported by 1</w:t>
      </w:r>
      <w:r w:rsidR="51BF51A8" w:rsidRPr="6171A8C9">
        <w:rPr>
          <w:lang w:val="en-GB"/>
        </w:rPr>
        <w:t xml:space="preserve">7 </w:t>
      </w:r>
      <w:r w:rsidRPr="6171A8C9">
        <w:rPr>
          <w:lang w:val="en-GB"/>
        </w:rPr>
        <w:t>UN bodies, advocates for public policy to ensure that ICTs – and ICT standards in particular – play a definitive role in the transition to smart cities.</w:t>
      </w:r>
      <w:r w:rsidR="00CC0325">
        <w:rPr>
          <w:lang w:val="en-GB"/>
        </w:rPr>
        <w:t xml:space="preserve"> </w:t>
      </w:r>
    </w:p>
    <w:p w14:paraId="56C56A5A" w14:textId="3183FB36" w:rsidR="005D6E14" w:rsidRDefault="00136E7B" w:rsidP="00D54EFE">
      <w:pPr>
        <w:rPr>
          <w:szCs w:val="24"/>
          <w:lang w:val="en-GB"/>
        </w:rPr>
      </w:pPr>
      <w:r w:rsidRPr="00D54EFE">
        <w:rPr>
          <w:szCs w:val="24"/>
          <w:lang w:val="en-GB"/>
        </w:rPr>
        <w:t xml:space="preserve">More than 100 cities worldwide are </w:t>
      </w:r>
      <w:r w:rsidR="00D54EFE" w:rsidRPr="00D54EFE">
        <w:rPr>
          <w:szCs w:val="24"/>
          <w:lang w:val="en-GB"/>
        </w:rPr>
        <w:t xml:space="preserve">evaluating </w:t>
      </w:r>
      <w:r w:rsidRPr="00D54EFE">
        <w:rPr>
          <w:szCs w:val="24"/>
          <w:lang w:val="en-GB"/>
        </w:rPr>
        <w:t xml:space="preserve">their progress </w:t>
      </w:r>
      <w:r w:rsidR="00774D8A">
        <w:rPr>
          <w:szCs w:val="24"/>
          <w:lang w:val="en-GB"/>
        </w:rPr>
        <w:t>towards the SDGs with</w:t>
      </w:r>
      <w:r w:rsidRPr="00D54EFE">
        <w:rPr>
          <w:szCs w:val="24"/>
          <w:lang w:val="en-GB"/>
        </w:rPr>
        <w:t xml:space="preserve"> </w:t>
      </w:r>
      <w:r w:rsidR="00417BF9">
        <w:rPr>
          <w:lang w:val="en-GB"/>
        </w:rPr>
        <w:t>“</w:t>
      </w:r>
      <w:hyperlink r:id="rId83" w:history="1">
        <w:r w:rsidR="00417BF9" w:rsidRPr="2B30A600">
          <w:rPr>
            <w:rStyle w:val="Hyperlink"/>
            <w:lang w:val="en-GB"/>
          </w:rPr>
          <w:t>Key Performance Indicators for Smart Sustainable Cities</w:t>
        </w:r>
      </w:hyperlink>
      <w:r w:rsidR="00417BF9">
        <w:rPr>
          <w:lang w:val="en-GB"/>
        </w:rPr>
        <w:t>”</w:t>
      </w:r>
      <w:r w:rsidR="00417BF9" w:rsidRPr="2B30A600">
        <w:rPr>
          <w:lang w:val="en-GB"/>
        </w:rPr>
        <w:t xml:space="preserve"> </w:t>
      </w:r>
      <w:r w:rsidRPr="00D54EFE">
        <w:rPr>
          <w:szCs w:val="24"/>
          <w:lang w:val="en-GB"/>
        </w:rPr>
        <w:t>based on ITU standards, indicators promoted by U4SSC.</w:t>
      </w:r>
      <w:r w:rsidR="005D6E14">
        <w:rPr>
          <w:szCs w:val="24"/>
          <w:lang w:val="en-GB"/>
        </w:rPr>
        <w:t xml:space="preserve"> U4SSC is also developing a</w:t>
      </w:r>
      <w:r w:rsidR="005D6E14" w:rsidRPr="005D6E14">
        <w:rPr>
          <w:szCs w:val="24"/>
          <w:lang w:val="en-GB"/>
        </w:rPr>
        <w:t xml:space="preserve"> ‘</w:t>
      </w:r>
      <w:hyperlink r:id="rId84" w:history="1">
        <w:r w:rsidR="005D6E14" w:rsidRPr="005D6E14">
          <w:rPr>
            <w:rStyle w:val="Hyperlink"/>
            <w:szCs w:val="24"/>
            <w:lang w:val="en-GB"/>
          </w:rPr>
          <w:t>Global Smart Sustainable City Index</w:t>
        </w:r>
      </w:hyperlink>
      <w:r w:rsidR="005D6E14" w:rsidRPr="005D6E14">
        <w:rPr>
          <w:szCs w:val="24"/>
          <w:lang w:val="en-GB"/>
        </w:rPr>
        <w:t>’ derived from the</w:t>
      </w:r>
      <w:r w:rsidR="005D6E14">
        <w:rPr>
          <w:szCs w:val="24"/>
          <w:lang w:val="en-GB"/>
        </w:rPr>
        <w:t>se</w:t>
      </w:r>
      <w:r w:rsidR="005D6E14" w:rsidRPr="005D6E14">
        <w:rPr>
          <w:szCs w:val="24"/>
          <w:lang w:val="en-GB"/>
        </w:rPr>
        <w:t xml:space="preserve"> KPIs</w:t>
      </w:r>
      <w:r w:rsidR="005D6E14">
        <w:rPr>
          <w:szCs w:val="24"/>
          <w:lang w:val="en-GB"/>
        </w:rPr>
        <w:t xml:space="preserve">. </w:t>
      </w:r>
      <w:r w:rsidR="005D6E14" w:rsidRPr="00F23E47">
        <w:rPr>
          <w:lang w:val="en-GB"/>
        </w:rPr>
        <w:t xml:space="preserve">New U4SSC reports </w:t>
      </w:r>
      <w:r w:rsidR="005D6E14" w:rsidRPr="00E91A7E">
        <w:rPr>
          <w:lang w:val="en-GB"/>
        </w:rPr>
        <w:t>include “</w:t>
      </w:r>
      <w:hyperlink r:id="rId85" w:history="1">
        <w:r w:rsidR="005D6E14" w:rsidRPr="00E91A7E">
          <w:rPr>
            <w:rStyle w:val="Hyperlink"/>
            <w:lang w:val="en-GB"/>
          </w:rPr>
          <w:t>A Guide to Circular Cities</w:t>
        </w:r>
      </w:hyperlink>
      <w:r w:rsidR="005D6E14" w:rsidRPr="00E91A7E">
        <w:rPr>
          <w:lang w:val="en-GB"/>
        </w:rPr>
        <w:t xml:space="preserve">” and </w:t>
      </w:r>
      <w:hyperlink r:id="rId86" w:history="1">
        <w:r w:rsidR="005D6E14" w:rsidRPr="2B30A600">
          <w:rPr>
            <w:lang w:val="en-GB"/>
          </w:rPr>
          <w:t xml:space="preserve">eight associated </w:t>
        </w:r>
        <w:r w:rsidR="005D6E14" w:rsidRPr="2B30A600">
          <w:rPr>
            <w:rStyle w:val="Hyperlink"/>
            <w:lang w:val="en-GB"/>
          </w:rPr>
          <w:t>case studies</w:t>
        </w:r>
      </w:hyperlink>
      <w:r w:rsidR="005D6E14" w:rsidRPr="2B30A600">
        <w:rPr>
          <w:lang w:val="en-GB"/>
        </w:rPr>
        <w:t xml:space="preserve">, as well as </w:t>
      </w:r>
      <w:r w:rsidR="005D6E14">
        <w:rPr>
          <w:lang w:val="en-GB"/>
        </w:rPr>
        <w:t xml:space="preserve">a range of </w:t>
      </w:r>
      <w:hyperlink r:id="rId87" w:history="1">
        <w:r w:rsidR="005D6E14" w:rsidRPr="2B30A600">
          <w:rPr>
            <w:rStyle w:val="Hyperlink"/>
            <w:lang w:val="en-GB"/>
          </w:rPr>
          <w:t>city snapshot</w:t>
        </w:r>
        <w:r w:rsidR="005D6E14">
          <w:rPr>
            <w:rStyle w:val="Hyperlink"/>
            <w:lang w:val="en-GB"/>
          </w:rPr>
          <w:t>s, factsheets and verification reports</w:t>
        </w:r>
      </w:hyperlink>
      <w:r w:rsidR="005D6E14">
        <w:rPr>
          <w:lang w:val="en-GB"/>
        </w:rPr>
        <w:t xml:space="preserve"> </w:t>
      </w:r>
      <w:r w:rsidR="00417BF9">
        <w:rPr>
          <w:lang w:val="en-GB"/>
        </w:rPr>
        <w:t>sharing</w:t>
      </w:r>
      <w:r w:rsidR="005D6E14">
        <w:rPr>
          <w:lang w:val="en-GB"/>
        </w:rPr>
        <w:t xml:space="preserve"> the results of the latest KPI evaluations. </w:t>
      </w:r>
      <w:r w:rsidR="005D6E14">
        <w:rPr>
          <w:szCs w:val="24"/>
          <w:lang w:val="en-GB"/>
        </w:rPr>
        <w:t xml:space="preserve"> </w:t>
      </w:r>
    </w:p>
    <w:p w14:paraId="5C12522F" w14:textId="77777777" w:rsidR="005D6E14" w:rsidRDefault="00AA6649" w:rsidP="00D54EFE">
      <w:pPr>
        <w:rPr>
          <w:szCs w:val="24"/>
        </w:rPr>
      </w:pPr>
      <w:r w:rsidRPr="00D54EFE">
        <w:rPr>
          <w:szCs w:val="24"/>
        </w:rPr>
        <w:t xml:space="preserve">The </w:t>
      </w:r>
      <w:hyperlink r:id="rId88" w:history="1">
        <w:r w:rsidRPr="00D54EFE">
          <w:rPr>
            <w:rStyle w:val="Hyperlink"/>
            <w:szCs w:val="24"/>
          </w:rPr>
          <w:t>U4SSC implementation programme</w:t>
        </w:r>
      </w:hyperlink>
      <w:r w:rsidRPr="00D54EFE">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r w:rsidR="00D54EFE">
        <w:rPr>
          <w:szCs w:val="24"/>
        </w:rPr>
        <w:t xml:space="preserve"> </w:t>
      </w:r>
    </w:p>
    <w:p w14:paraId="6C9E7D6B" w14:textId="0BF1F360" w:rsidR="00D54EFE" w:rsidRPr="00D54EFE" w:rsidRDefault="00D54EFE" w:rsidP="00D54EFE">
      <w:pPr>
        <w:rPr>
          <w:lang w:val="en-GB"/>
        </w:rPr>
      </w:pPr>
      <w:r>
        <w:rPr>
          <w:szCs w:val="24"/>
        </w:rPr>
        <w:t>U4SSC</w:t>
      </w:r>
      <w:r w:rsidR="005D6E14">
        <w:rPr>
          <w:szCs w:val="24"/>
        </w:rPr>
        <w:t xml:space="preserve"> is developing expert guidance on topics including</w:t>
      </w:r>
      <w:r>
        <w:rPr>
          <w:szCs w:val="24"/>
        </w:rPr>
        <w:t xml:space="preserve">: </w:t>
      </w:r>
      <w:r w:rsidRPr="00D54EFE">
        <w:rPr>
          <w:szCs w:val="24"/>
        </w:rPr>
        <w:t xml:space="preserve"> </w:t>
      </w:r>
    </w:p>
    <w:p w14:paraId="65DFCCEC" w14:textId="61FDCE08" w:rsidR="00D54EFE" w:rsidRPr="005D6E14"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5D6E14">
        <w:rPr>
          <w:rFonts w:ascii="Times New Roman" w:hAnsi="Times New Roman"/>
          <w:sz w:val="24"/>
          <w:szCs w:val="24"/>
          <w:lang w:val="en-GB"/>
        </w:rPr>
        <w:t xml:space="preserve">ractitioner guides for the measuring and monitoring of smart city progress. </w:t>
      </w:r>
    </w:p>
    <w:p w14:paraId="55C557C5" w14:textId="5DCE51BF" w:rsidR="00D54EFE" w:rsidRPr="00D54EFE" w:rsidRDefault="00D54EFE" w:rsidP="00CC5384">
      <w:pPr>
        <w:pStyle w:val="ListParagraph"/>
        <w:numPr>
          <w:ilvl w:val="0"/>
          <w:numId w:val="41"/>
        </w:numPr>
        <w:rPr>
          <w:rFonts w:ascii="Times New Roman" w:hAnsi="Times New Roman"/>
          <w:sz w:val="24"/>
          <w:szCs w:val="24"/>
          <w:lang w:val="en-GB"/>
        </w:rPr>
      </w:pPr>
      <w:r w:rsidRPr="00D54EFE">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C</w:t>
      </w:r>
      <w:r w:rsidR="00D54EFE" w:rsidRPr="00D54EFE">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D54EFE">
        <w:rPr>
          <w:rFonts w:ascii="Times New Roman" w:hAnsi="Times New Roman"/>
          <w:sz w:val="24"/>
          <w:szCs w:val="24"/>
          <w:lang w:val="en-GB"/>
        </w:rPr>
        <w:t>ublic procurement in the digital age</w:t>
      </w:r>
      <w:r>
        <w:rPr>
          <w:rFonts w:ascii="Times New Roman" w:hAnsi="Times New Roman"/>
          <w:sz w:val="24"/>
          <w:szCs w:val="24"/>
          <w:lang w:val="en-GB"/>
        </w:rPr>
        <w:t xml:space="preserve"> to </w:t>
      </w:r>
      <w:r w:rsidR="00D54EFE" w:rsidRPr="00D54EFE">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T</w:t>
      </w:r>
      <w:r w:rsidR="00D54EFE" w:rsidRPr="00D54EFE">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 xml:space="preserve">The </w:t>
      </w:r>
      <w:r w:rsidR="00D54EFE" w:rsidRPr="00D54EFE">
        <w:rPr>
          <w:rFonts w:ascii="Times New Roman" w:hAnsi="Times New Roman"/>
          <w:sz w:val="24"/>
          <w:szCs w:val="24"/>
          <w:lang w:val="en-GB"/>
        </w:rPr>
        <w:t>potential for frontier technologies to contribute to smart city innovation,</w:t>
      </w:r>
      <w:r>
        <w:rPr>
          <w:rFonts w:ascii="Times New Roman" w:hAnsi="Times New Roman"/>
          <w:sz w:val="24"/>
          <w:szCs w:val="24"/>
          <w:lang w:val="en-GB"/>
        </w:rPr>
        <w:t xml:space="preserve"> looking at</w:t>
      </w:r>
      <w:r w:rsidR="00D54EFE" w:rsidRPr="00D54EFE">
        <w:rPr>
          <w:rFonts w:ascii="Times New Roman" w:hAnsi="Times New Roman"/>
          <w:sz w:val="24"/>
          <w:szCs w:val="24"/>
          <w:lang w:val="en-GB"/>
        </w:rPr>
        <w:t xml:space="preserve"> </w:t>
      </w:r>
      <w:proofErr w:type="gramStart"/>
      <w:r w:rsidR="00D54EFE" w:rsidRPr="00D54EFE">
        <w:rPr>
          <w:rFonts w:ascii="Times New Roman" w:hAnsi="Times New Roman"/>
          <w:sz w:val="24"/>
          <w:szCs w:val="24"/>
          <w:lang w:val="en-GB"/>
        </w:rPr>
        <w:t>smart-city</w:t>
      </w:r>
      <w:proofErr w:type="gramEnd"/>
      <w:r w:rsidR="00D54EFE" w:rsidRPr="00D54EFE">
        <w:rPr>
          <w:rFonts w:ascii="Times New Roman" w:hAnsi="Times New Roman"/>
          <w:sz w:val="24"/>
          <w:szCs w:val="24"/>
          <w:lang w:val="en-GB"/>
        </w:rPr>
        <w:t xml:space="preserve"> use cases of technologies in fields such as Artificial Intelligence and blockchain.</w:t>
      </w:r>
    </w:p>
    <w:p w14:paraId="25B2EADB" w14:textId="140D8A5E"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L</w:t>
      </w:r>
      <w:r w:rsidR="00D54EFE" w:rsidRPr="00D54EFE">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063A9792" w14:textId="6F362E13" w:rsidR="00774D8A" w:rsidRDefault="005D6E14" w:rsidP="00FB1893">
      <w:pPr>
        <w:rPr>
          <w:lang w:val="en-GB"/>
        </w:rPr>
      </w:pPr>
      <w:r w:rsidRPr="005D6E14">
        <w:rPr>
          <w:b/>
          <w:bCs/>
          <w:szCs w:val="24"/>
        </w:rPr>
        <w:lastRenderedPageBreak/>
        <w:t>Digital financ</w:t>
      </w:r>
      <w:r w:rsidR="008B453D">
        <w:rPr>
          <w:b/>
          <w:bCs/>
          <w:szCs w:val="24"/>
        </w:rPr>
        <w:t>ial inclusion</w:t>
      </w:r>
      <w:r w:rsidR="00774D8A">
        <w:rPr>
          <w:b/>
          <w:bCs/>
          <w:szCs w:val="24"/>
        </w:rPr>
        <w:t xml:space="preserve"> (see more in Section 9)</w:t>
      </w:r>
      <w:r w:rsidRPr="005D6E14">
        <w:rPr>
          <w:b/>
          <w:bCs/>
          <w:szCs w:val="24"/>
        </w:rPr>
        <w:t>:</w:t>
      </w:r>
      <w:r>
        <w:rPr>
          <w:b/>
          <w:bCs/>
          <w:szCs w:val="24"/>
        </w:rPr>
        <w:t xml:space="preserve"> </w:t>
      </w:r>
      <w:r w:rsidR="00136E7B" w:rsidRPr="00FB1893">
        <w:rPr>
          <w:lang w:val="en-GB"/>
        </w:rPr>
        <w:t>The</w:t>
      </w:r>
      <w:r w:rsidR="00136E7B" w:rsidRPr="00FB1893">
        <w:rPr>
          <w:b/>
          <w:lang w:val="en-GB"/>
        </w:rPr>
        <w:t xml:space="preserve"> </w:t>
      </w:r>
      <w:hyperlink r:id="rId89" w:history="1">
        <w:r w:rsidRPr="00555207">
          <w:rPr>
            <w:rStyle w:val="Hyperlink"/>
            <w:rFonts w:cstheme="minorHAnsi"/>
          </w:rPr>
          <w:t>Financial Inclusion Global Initiativ</w:t>
        </w:r>
        <w:r>
          <w:rPr>
            <w:rStyle w:val="Hyperlink"/>
            <w:rFonts w:cstheme="minorHAnsi"/>
          </w:rPr>
          <w:t>e (FIGI)</w:t>
        </w:r>
      </w:hyperlink>
      <w:r>
        <w:rPr>
          <w:rFonts w:cstheme="minorHAnsi"/>
        </w:rPr>
        <w:t xml:space="preserve"> </w:t>
      </w:r>
      <w:r w:rsidR="00136E7B" w:rsidRPr="00FB1893">
        <w:rPr>
          <w:lang w:val="en-GB"/>
        </w:rPr>
        <w:t xml:space="preserve">is a three-year programme of collective action led by ITU, the World Bank Group and the Committee on Payments and Market Infrastructures, with support from the Bill &amp; Melinda Gates Foundation. </w:t>
      </w:r>
    </w:p>
    <w:p w14:paraId="2BC6441E" w14:textId="26E31EB0" w:rsidR="00774D8A" w:rsidRDefault="00774D8A" w:rsidP="00FB1893">
      <w:pPr>
        <w:rPr>
          <w:b/>
          <w:bCs/>
          <w:szCs w:val="24"/>
        </w:rPr>
      </w:pPr>
      <w:r>
        <w:rPr>
          <w:lang w:val="en-GB"/>
        </w:rPr>
        <w:t xml:space="preserve">FIGI </w:t>
      </w:r>
      <w:r w:rsidR="00136E7B" w:rsidRPr="00FB1893">
        <w:rPr>
          <w:lang w:val="en-GB"/>
        </w:rPr>
        <w:t xml:space="preserve">is designed to advance research in digital finance and accelerate digital financial inclusion in developing countries. </w:t>
      </w:r>
      <w:r w:rsidR="1BAC1ABC" w:rsidRPr="00FB1893">
        <w:rPr>
          <w:lang w:val="en-GB"/>
        </w:rPr>
        <w:t xml:space="preserve">The FIGI Security, Infrastructure and Trust Working Group led by ITU </w:t>
      </w:r>
      <w:r w:rsidR="308E86AD" w:rsidRPr="00FB1893">
        <w:rPr>
          <w:lang w:val="en-GB"/>
        </w:rPr>
        <w:t>developed an additional four reports in 202</w:t>
      </w:r>
      <w:r>
        <w:rPr>
          <w:lang w:val="en-GB"/>
        </w:rPr>
        <w:t xml:space="preserve">0. </w:t>
      </w:r>
      <w:r w:rsidR="157D6F2A" w:rsidRPr="00FB1893">
        <w:rPr>
          <w:lang w:val="en-GB"/>
        </w:rPr>
        <w:t xml:space="preserve">The FIGI Symposium which was planned in June 2020 was moved to June 2021 due to the </w:t>
      </w:r>
      <w:r w:rsidR="00364DC6">
        <w:rPr>
          <w:lang w:val="en-GB"/>
        </w:rPr>
        <w:t xml:space="preserve">COVID-19 </w:t>
      </w:r>
      <w:r w:rsidR="157D6F2A" w:rsidRPr="00FB1893">
        <w:rPr>
          <w:lang w:val="en-GB"/>
        </w:rPr>
        <w:t>pandemic</w:t>
      </w:r>
      <w:r w:rsidR="37B4DE45" w:rsidRPr="00FB1893">
        <w:rPr>
          <w:lang w:val="en-GB"/>
        </w:rPr>
        <w:t>.</w:t>
      </w:r>
      <w:r>
        <w:rPr>
          <w:b/>
          <w:bCs/>
          <w:szCs w:val="24"/>
        </w:rPr>
        <w:t xml:space="preserve"> </w:t>
      </w:r>
    </w:p>
    <w:p w14:paraId="0E78B163" w14:textId="02951153" w:rsidR="00774D8A" w:rsidRDefault="32377A4B" w:rsidP="00FB1893">
      <w:pPr>
        <w:rPr>
          <w:rFonts w:eastAsia="Calibri"/>
          <w:color w:val="201F1E"/>
          <w:szCs w:val="24"/>
          <w:lang w:val="en-GB"/>
        </w:rPr>
      </w:pPr>
      <w:r w:rsidRPr="00FB1893">
        <w:rPr>
          <w:lang w:val="en-GB"/>
        </w:rPr>
        <w:t>The</w:t>
      </w:r>
      <w:r w:rsidR="118C62CB" w:rsidRPr="00FB1893">
        <w:rPr>
          <w:lang w:val="en-GB"/>
        </w:rPr>
        <w:t xml:space="preserve"> </w:t>
      </w:r>
      <w:r w:rsidR="005D6E14">
        <w:rPr>
          <w:lang w:val="en-GB"/>
        </w:rPr>
        <w:t xml:space="preserve">new </w:t>
      </w:r>
      <w:hyperlink r:id="rId90" w:history="1">
        <w:r w:rsidR="005D6E14" w:rsidRPr="00555207">
          <w:rPr>
            <w:rStyle w:val="Hyperlink"/>
            <w:rFonts w:cstheme="minorHAnsi"/>
          </w:rPr>
          <w:t>Digital Currency Global Initiative</w:t>
        </w:r>
      </w:hyperlink>
      <w:r w:rsidR="005D6E14">
        <w:rPr>
          <w:rFonts w:cstheme="minorHAnsi"/>
        </w:rPr>
        <w:t xml:space="preserve"> </w:t>
      </w:r>
      <w:r w:rsidR="60221281" w:rsidRPr="00FB1893">
        <w:rPr>
          <w:lang w:val="en-GB"/>
        </w:rPr>
        <w:t xml:space="preserve">is a collaboration between ITU and Stanford University </w:t>
      </w:r>
      <w:r w:rsidR="00577B3C">
        <w:rPr>
          <w:lang w:val="en-GB"/>
        </w:rPr>
        <w:t xml:space="preserve">established </w:t>
      </w:r>
      <w:r w:rsidR="60221281" w:rsidRPr="00FB1893">
        <w:rPr>
          <w:lang w:val="en-GB"/>
        </w:rPr>
        <w:t>in</w:t>
      </w:r>
      <w:r w:rsidR="118C62CB" w:rsidRPr="00FB1893">
        <w:rPr>
          <w:lang w:val="en-GB"/>
        </w:rPr>
        <w:t xml:space="preserve"> July 2020</w:t>
      </w:r>
      <w:r w:rsidR="7A216B80" w:rsidRPr="00FB1893">
        <w:rPr>
          <w:lang w:val="en-GB"/>
        </w:rPr>
        <w:t xml:space="preserve">. The Initiative will </w:t>
      </w:r>
      <w:r w:rsidR="262F5C6B" w:rsidRPr="00FB1893">
        <w:rPr>
          <w:lang w:val="en-GB"/>
        </w:rPr>
        <w:t>continue the</w:t>
      </w:r>
      <w:r w:rsidR="262F5C6B" w:rsidRPr="00FB1893">
        <w:rPr>
          <w:rFonts w:eastAsia="Calibri"/>
          <w:color w:val="201F1E"/>
          <w:szCs w:val="24"/>
          <w:lang w:val="en-GB"/>
        </w:rPr>
        <w:t xml:space="preserve"> dialogue and research initiated by the ITU-T Focus Group on Digital Currency including Digital Fiat Currency on pilot implementations</w:t>
      </w:r>
      <w:r w:rsidR="2DF422E1" w:rsidRPr="00FB1893">
        <w:rPr>
          <w:rFonts w:eastAsia="Calibri"/>
          <w:color w:val="201F1E"/>
          <w:szCs w:val="24"/>
          <w:lang w:val="en-GB"/>
        </w:rPr>
        <w:t xml:space="preserve"> of digital currency, their</w:t>
      </w:r>
      <w:r w:rsidR="262F5C6B" w:rsidRPr="00FB1893">
        <w:rPr>
          <w:rFonts w:eastAsia="Calibri"/>
          <w:color w:val="201F1E"/>
          <w:szCs w:val="24"/>
          <w:lang w:val="en-GB"/>
        </w:rPr>
        <w:t xml:space="preserve"> use cases, applications and developing specifications for technical standards that will foster adoption, universal access, and ultimately financial inclusion.</w:t>
      </w:r>
      <w:r w:rsidR="00774D8A">
        <w:rPr>
          <w:rFonts w:eastAsia="Calibri"/>
          <w:color w:val="201F1E"/>
          <w:szCs w:val="24"/>
          <w:lang w:val="en-GB"/>
        </w:rPr>
        <w:t xml:space="preserve"> See more in section 9. </w:t>
      </w:r>
    </w:p>
    <w:p w14:paraId="55733942" w14:textId="0DF5D8B0" w:rsidR="00774D8A" w:rsidRPr="003D2F11" w:rsidRDefault="00774D8A" w:rsidP="00774D8A">
      <w:pPr>
        <w:rPr>
          <w:szCs w:val="24"/>
        </w:rPr>
      </w:pPr>
      <w:r w:rsidRPr="00774D8A">
        <w:rPr>
          <w:b/>
          <w:bCs/>
          <w:szCs w:val="24"/>
        </w:rPr>
        <w:t>AI for Good:</w:t>
      </w:r>
      <w:r>
        <w:rPr>
          <w:szCs w:val="24"/>
        </w:rPr>
        <w:t xml:space="preserve"> The </w:t>
      </w:r>
      <w:hyperlink r:id="rId91" w:history="1">
        <w:r w:rsidRPr="00774D8A">
          <w:rPr>
            <w:rStyle w:val="Hyperlink"/>
            <w:szCs w:val="24"/>
          </w:rPr>
          <w:t>AI for Good Global Summit</w:t>
        </w:r>
      </w:hyperlink>
      <w:r w:rsidRPr="003D2F11">
        <w:rPr>
          <w:szCs w:val="24"/>
        </w:rPr>
        <w:t xml:space="preserve"> series identifies practical applications of AI with the potential to accelerate progress towards the</w:t>
      </w:r>
      <w:r>
        <w:rPr>
          <w:szCs w:val="24"/>
        </w:rPr>
        <w:t xml:space="preserve"> SDGs</w:t>
      </w:r>
      <w:r w:rsidRPr="003D2F11">
        <w:rPr>
          <w:szCs w:val="24"/>
        </w:rPr>
        <w:t xml:space="preserve">. Close to 40 UN organizations are partners of the AI for Good Global Summit. Now in its fourth edition, this year’s AI for Good Global Summit is being held online all year, and will continue to connect AI innovators with public and private-sector decision-makers in the interests of stimulating the discovery and delivery of “AI for Good” solutions for all. </w:t>
      </w:r>
      <w:r>
        <w:rPr>
          <w:szCs w:val="24"/>
        </w:rPr>
        <w:t xml:space="preserve">The AI for Good series has been </w:t>
      </w:r>
      <w:r w:rsidRPr="003D2F11">
        <w:rPr>
          <w:szCs w:val="24"/>
        </w:rPr>
        <w:t>arranged into three streams (Build, Learn, Experience) with the following service offerings:</w:t>
      </w:r>
    </w:p>
    <w:p w14:paraId="406882B3" w14:textId="77777777" w:rsidR="00774D8A" w:rsidRPr="00417BF9" w:rsidRDefault="00774D8A" w:rsidP="00417BF9">
      <w:pPr>
        <w:rPr>
          <w:szCs w:val="24"/>
        </w:rPr>
      </w:pPr>
      <w:r w:rsidRPr="00417BF9">
        <w:rPr>
          <w:szCs w:val="24"/>
        </w:rPr>
        <w:t>Build:</w:t>
      </w:r>
    </w:p>
    <w:p w14:paraId="046AF22F" w14:textId="0269CEC4" w:rsidR="00774D8A" w:rsidRPr="008B453D" w:rsidRDefault="00774D8A" w:rsidP="00CC5384">
      <w:pPr>
        <w:pStyle w:val="ListParagraph"/>
        <w:numPr>
          <w:ilvl w:val="0"/>
          <w:numId w:val="42"/>
        </w:numPr>
        <w:rPr>
          <w:rFonts w:ascii="Times New Roman" w:hAnsi="Times New Roman"/>
          <w:sz w:val="24"/>
          <w:szCs w:val="24"/>
        </w:rPr>
      </w:pPr>
      <w:r w:rsidRPr="008B453D">
        <w:rPr>
          <w:rFonts w:ascii="Times New Roman" w:hAnsi="Times New Roman"/>
          <w:sz w:val="24"/>
          <w:szCs w:val="24"/>
        </w:rPr>
        <w:t>AI for Good Breakthroughs</w:t>
      </w:r>
    </w:p>
    <w:p w14:paraId="15D9B0CC" w14:textId="1DDD6B5C"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Innovation Factory</w:t>
      </w:r>
    </w:p>
    <w:p w14:paraId="5B602CAB" w14:textId="708032E8"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Machine Learning 5G Challenge</w:t>
      </w:r>
    </w:p>
    <w:p w14:paraId="139E7C8F" w14:textId="3B002699"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Repository</w:t>
      </w:r>
    </w:p>
    <w:p w14:paraId="421D24A9" w14:textId="77777777" w:rsidR="00774D8A" w:rsidRPr="00417BF9" w:rsidRDefault="00774D8A" w:rsidP="00417BF9">
      <w:pPr>
        <w:rPr>
          <w:szCs w:val="24"/>
        </w:rPr>
      </w:pPr>
      <w:r w:rsidRPr="00417BF9">
        <w:rPr>
          <w:szCs w:val="24"/>
        </w:rPr>
        <w:t>Learn:</w:t>
      </w:r>
    </w:p>
    <w:p w14:paraId="73142F66" w14:textId="295A9E5E" w:rsidR="00774D8A" w:rsidRPr="008B453D" w:rsidRDefault="00774D8A" w:rsidP="00CC5384">
      <w:pPr>
        <w:pStyle w:val="ListParagraph"/>
        <w:numPr>
          <w:ilvl w:val="0"/>
          <w:numId w:val="43"/>
        </w:numPr>
        <w:rPr>
          <w:rFonts w:ascii="Times New Roman" w:hAnsi="Times New Roman"/>
          <w:sz w:val="24"/>
          <w:szCs w:val="24"/>
        </w:rPr>
      </w:pPr>
      <w:r w:rsidRPr="008B453D">
        <w:rPr>
          <w:rFonts w:ascii="Times New Roman" w:hAnsi="Times New Roman"/>
          <w:sz w:val="24"/>
          <w:szCs w:val="24"/>
        </w:rPr>
        <w:t>AI for Good Keynotes</w:t>
      </w:r>
    </w:p>
    <w:p w14:paraId="686B4B3F" w14:textId="78DAA2C1"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Webinars</w:t>
      </w:r>
    </w:p>
    <w:p w14:paraId="77329F01" w14:textId="77FFBAD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Perspectives</w:t>
      </w:r>
    </w:p>
    <w:p w14:paraId="6C0AD183" w14:textId="07E4E75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 xml:space="preserve">AI for Good </w:t>
      </w:r>
      <w:proofErr w:type="gramStart"/>
      <w:r w:rsidRPr="008B453D">
        <w:rPr>
          <w:rFonts w:ascii="Times New Roman" w:hAnsi="Times New Roman"/>
          <w:sz w:val="24"/>
          <w:szCs w:val="24"/>
        </w:rPr>
        <w:t>On</w:t>
      </w:r>
      <w:proofErr w:type="gramEnd"/>
      <w:r w:rsidRPr="008B453D">
        <w:rPr>
          <w:rFonts w:ascii="Times New Roman" w:hAnsi="Times New Roman"/>
          <w:sz w:val="24"/>
          <w:szCs w:val="24"/>
        </w:rPr>
        <w:t xml:space="preserve"> the Go!</w:t>
      </w:r>
    </w:p>
    <w:p w14:paraId="76147B02" w14:textId="77777777" w:rsidR="00774D8A" w:rsidRPr="00417BF9" w:rsidRDefault="00774D8A" w:rsidP="00417BF9">
      <w:pPr>
        <w:rPr>
          <w:szCs w:val="24"/>
        </w:rPr>
      </w:pPr>
      <w:r w:rsidRPr="00417BF9">
        <w:rPr>
          <w:szCs w:val="24"/>
        </w:rPr>
        <w:t>Experience:</w:t>
      </w:r>
    </w:p>
    <w:p w14:paraId="0ABFF5A3" w14:textId="5F5DE665" w:rsidR="00774D8A" w:rsidRPr="008B453D" w:rsidRDefault="00774D8A" w:rsidP="00CC5384">
      <w:pPr>
        <w:pStyle w:val="ListParagraph"/>
        <w:numPr>
          <w:ilvl w:val="0"/>
          <w:numId w:val="44"/>
        </w:numPr>
        <w:rPr>
          <w:rFonts w:ascii="Times New Roman" w:hAnsi="Times New Roman"/>
          <w:sz w:val="24"/>
          <w:szCs w:val="24"/>
        </w:rPr>
      </w:pPr>
      <w:r w:rsidRPr="008B453D">
        <w:rPr>
          <w:rFonts w:ascii="Times New Roman" w:hAnsi="Times New Roman"/>
          <w:sz w:val="24"/>
          <w:szCs w:val="24"/>
        </w:rPr>
        <w:t>AI for Good Artistic Intelligence</w:t>
      </w:r>
    </w:p>
    <w:p w14:paraId="013F3613" w14:textId="106A54F9" w:rsidR="00774D8A" w:rsidRPr="008B453D" w:rsidRDefault="00774D8A" w:rsidP="00CC5384">
      <w:pPr>
        <w:pStyle w:val="ListParagraph"/>
        <w:numPr>
          <w:ilvl w:val="0"/>
          <w:numId w:val="44"/>
        </w:numPr>
        <w:jc w:val="both"/>
        <w:rPr>
          <w:rFonts w:ascii="Times New Roman" w:hAnsi="Times New Roman"/>
          <w:sz w:val="24"/>
          <w:szCs w:val="24"/>
        </w:rPr>
      </w:pPr>
      <w:r w:rsidRPr="008B453D">
        <w:rPr>
          <w:rFonts w:ascii="Times New Roman" w:hAnsi="Times New Roman"/>
          <w:sz w:val="24"/>
          <w:szCs w:val="24"/>
        </w:rPr>
        <w:t>AI for Good Demos</w:t>
      </w:r>
    </w:p>
    <w:p w14:paraId="710A31CB" w14:textId="56637754" w:rsidR="00774D8A" w:rsidRPr="009E4F25" w:rsidRDefault="00774D8A" w:rsidP="00774D8A">
      <w:pPr>
        <w:jc w:val="both"/>
        <w:rPr>
          <w:szCs w:val="24"/>
        </w:rPr>
      </w:pPr>
      <w:r>
        <w:t xml:space="preserve">Following TSAG discussions on the matter in September 2019 (see </w:t>
      </w:r>
      <w:hyperlink r:id="rId92">
        <w:r w:rsidRPr="65A54C5D">
          <w:rPr>
            <w:rStyle w:val="Hyperlink"/>
          </w:rPr>
          <w:t>TSAG-R8</w:t>
        </w:r>
      </w:hyperlink>
      <w:r>
        <w:t xml:space="preserve">), a </w:t>
      </w:r>
      <w:hyperlink r:id="rId93">
        <w:r w:rsidRPr="65A54C5D">
          <w:rPr>
            <w:rStyle w:val="Hyperlink"/>
          </w:rPr>
          <w:t>roundtable</w:t>
        </w:r>
      </w:hyperlink>
      <w:r>
        <w:t xml:space="preserve"> was convened at ITU headquarters on 30-31 January 2020 to discuss the mission and composition of a Global Initiative to support the implementation of beneficial AI-based solutions to accelerate progress towards the SDGs.</w:t>
      </w:r>
    </w:p>
    <w:p w14:paraId="2F25301C" w14:textId="77777777" w:rsidR="00774D8A" w:rsidRPr="009E4F25" w:rsidRDefault="00774D8A" w:rsidP="00774D8A">
      <w:pPr>
        <w:rPr>
          <w:szCs w:val="24"/>
        </w:rPr>
      </w:pPr>
      <w:r w:rsidRPr="009E4F25">
        <w:rPr>
          <w:szCs w:val="24"/>
        </w:rPr>
        <w:t>Attended by around 100 participants (including AI specialists, data owners, and infrastructure providers from the private sector, academia, governments, UN agencies and standards bodies), the roundtable highlighted the need for the Global Initiative to maximize collaboration in order to:</w:t>
      </w:r>
    </w:p>
    <w:p w14:paraId="40B36ED3" w14:textId="750F24B1"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Match problem owners with providers of solutions using AI and data</w:t>
      </w:r>
    </w:p>
    <w:p w14:paraId="3EAF6786" w14:textId="45CFB96C"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Scale and sustain AI-based projects</w:t>
      </w:r>
    </w:p>
    <w:p w14:paraId="6A235578" w14:textId="468E4B63"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 xml:space="preserve">Make available and accessible capabilities, resources, datasets, know-how, guidelines, </w:t>
      </w:r>
      <w:proofErr w:type="gramStart"/>
      <w:r w:rsidRPr="009E4F25">
        <w:rPr>
          <w:rFonts w:ascii="Times New Roman" w:hAnsi="Times New Roman"/>
          <w:sz w:val="24"/>
          <w:szCs w:val="24"/>
        </w:rPr>
        <w:t>frameworks</w:t>
      </w:r>
      <w:proofErr w:type="gramEnd"/>
      <w:r w:rsidR="00417BF9">
        <w:rPr>
          <w:rFonts w:ascii="Times New Roman" w:hAnsi="Times New Roman"/>
          <w:sz w:val="24"/>
          <w:szCs w:val="24"/>
        </w:rPr>
        <w:t xml:space="preserve"> and </w:t>
      </w:r>
      <w:r w:rsidRPr="009E4F25">
        <w:rPr>
          <w:rFonts w:ascii="Times New Roman" w:hAnsi="Times New Roman"/>
          <w:sz w:val="24"/>
          <w:szCs w:val="24"/>
        </w:rPr>
        <w:t>standards as a common good</w:t>
      </w:r>
    </w:p>
    <w:p w14:paraId="6892DBF8" w14:textId="77777777" w:rsidR="00774D8A" w:rsidRPr="009E4F25" w:rsidRDefault="00774D8A" w:rsidP="00774D8A">
      <w:pPr>
        <w:rPr>
          <w:szCs w:val="24"/>
        </w:rPr>
      </w:pPr>
      <w:r w:rsidRPr="009E4F25">
        <w:rPr>
          <w:szCs w:val="24"/>
        </w:rPr>
        <w:lastRenderedPageBreak/>
        <w:t xml:space="preserve">At the roundtable, two working groups (on repositories and on marketplaces) were established and one project was identified (Global AI services platform, initially introduced at an AI for Good Global Summit) to progress toward achieving the mission of the Global Initiative, summarized </w:t>
      </w:r>
      <w:hyperlink r:id="rId94" w:history="1">
        <w:r w:rsidRPr="009E4F25">
          <w:rPr>
            <w:rStyle w:val="Hyperlink"/>
            <w:szCs w:val="24"/>
          </w:rPr>
          <w:t>here</w:t>
        </w:r>
      </w:hyperlink>
      <w:r w:rsidRPr="009E4F25">
        <w:rPr>
          <w:szCs w:val="24"/>
        </w:rPr>
        <w:t>.</w:t>
      </w:r>
    </w:p>
    <w:p w14:paraId="02597447" w14:textId="2D2554D8" w:rsidR="32377A4B" w:rsidRPr="00774D8A" w:rsidRDefault="00774D8A" w:rsidP="00FB1893">
      <w:r>
        <w:t xml:space="preserve">On 16 July 2020, as part of the AI for Good webinar series, the Global Initiative launched the </w:t>
      </w:r>
      <w:hyperlink r:id="rId95">
        <w:r w:rsidRPr="65A54C5D">
          <w:rPr>
            <w:rStyle w:val="Hyperlink"/>
          </w:rPr>
          <w:t>Global Data Pledge project</w:t>
        </w:r>
      </w:hyperlink>
      <w:r>
        <w:t xml:space="preserve"> to help identify, support and make available data as a common global resource.</w:t>
      </w:r>
    </w:p>
    <w:p w14:paraId="36DD24CF" w14:textId="698C2824" w:rsidR="00136E7B" w:rsidRPr="00510575" w:rsidRDefault="00BA3326" w:rsidP="00136E7B">
      <w:pPr>
        <w:pStyle w:val="Heading2"/>
      </w:pPr>
      <w:bookmarkStart w:id="110" w:name="_Toc51042268"/>
      <w:r>
        <w:t>7</w:t>
      </w:r>
      <w:r w:rsidR="00136E7B" w:rsidRPr="00510575">
        <w:t>.</w:t>
      </w:r>
      <w:r w:rsidR="008137C7">
        <w:t>4</w:t>
      </w:r>
      <w:r w:rsidR="00136E7B" w:rsidRPr="00510575">
        <w:tab/>
        <w:t>Cooperation with national and regional standardization organizations</w:t>
      </w:r>
      <w:bookmarkEnd w:id="110"/>
    </w:p>
    <w:p w14:paraId="5CD9E088" w14:textId="046F1C68" w:rsidR="00136E7B" w:rsidRPr="00E12930" w:rsidRDefault="00136E7B" w:rsidP="00136E7B">
      <w:pPr>
        <w:rPr>
          <w:szCs w:val="24"/>
          <w:lang w:val="en-GB"/>
        </w:rPr>
      </w:pPr>
      <w:r w:rsidRPr="7C7BE26A">
        <w:rPr>
          <w:lang w:val="en-GB"/>
        </w:rPr>
        <w:t xml:space="preserve">TSB </w:t>
      </w:r>
      <w:r w:rsidRPr="00E12930">
        <w:rPr>
          <w:szCs w:val="24"/>
          <w:lang w:val="en-GB"/>
        </w:rPr>
        <w:t>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w:t>
      </w:r>
      <w:r w:rsidR="22C7357C" w:rsidRPr="003F5E46">
        <w:rPr>
          <w:szCs w:val="24"/>
          <w:lang w:val="en-GB"/>
        </w:rPr>
        <w:t>,</w:t>
      </w:r>
      <w:r w:rsidRPr="00E12930">
        <w:rPr>
          <w:szCs w:val="24"/>
          <w:lang w:val="en-GB"/>
        </w:rPr>
        <w:t xml:space="preserve"> have strengthened the exchange of information between ITU-T and national and regional standards, supporting closer cooperation and collaboration.</w:t>
      </w:r>
    </w:p>
    <w:p w14:paraId="6CB15B38" w14:textId="78D8CD5A" w:rsidR="00136E7B" w:rsidRPr="00E12930" w:rsidRDefault="00136E7B" w:rsidP="00136E7B">
      <w:pPr>
        <w:rPr>
          <w:color w:val="000000"/>
          <w:szCs w:val="24"/>
          <w:lang w:val="en-GB"/>
        </w:rPr>
      </w:pPr>
      <w:r w:rsidRPr="00E12930">
        <w:rPr>
          <w:color w:val="000000"/>
          <w:szCs w:val="24"/>
          <w:lang w:val="en-GB"/>
        </w:rPr>
        <w:t>For all Memoranda of Understanding and Cooperation Agreement</w:t>
      </w:r>
      <w:r w:rsidR="00577B3C">
        <w:rPr>
          <w:color w:val="000000"/>
          <w:szCs w:val="24"/>
          <w:lang w:val="en-GB"/>
        </w:rPr>
        <w:t>s,</w:t>
      </w:r>
      <w:r w:rsidRPr="00E12930">
        <w:rPr>
          <w:color w:val="000000"/>
          <w:szCs w:val="24"/>
          <w:lang w:val="en-GB"/>
        </w:rPr>
        <w:t xml:space="preserve"> see relevant </w:t>
      </w:r>
      <w:hyperlink r:id="rId96" w:history="1">
        <w:r w:rsidRPr="00E12930">
          <w:rPr>
            <w:rStyle w:val="Hyperlink"/>
            <w:szCs w:val="24"/>
            <w:lang w:val="en-GB"/>
          </w:rPr>
          <w:t>web page</w:t>
        </w:r>
      </w:hyperlink>
      <w:r w:rsidRPr="00E12930">
        <w:rPr>
          <w:color w:val="000000"/>
          <w:szCs w:val="24"/>
          <w:lang w:val="en-GB"/>
        </w:rPr>
        <w:t>.</w:t>
      </w:r>
    </w:p>
    <w:p w14:paraId="2ECF38E6" w14:textId="1FAFB779" w:rsidR="2AE2B8B3" w:rsidRPr="00577B3C" w:rsidRDefault="00136E7B" w:rsidP="0A47BC55">
      <w:pPr>
        <w:rPr>
          <w:iCs/>
          <w:color w:val="000000"/>
          <w:szCs w:val="24"/>
        </w:rPr>
      </w:pPr>
      <w:r w:rsidRPr="00E12930">
        <w:rPr>
          <w:szCs w:val="24"/>
          <w:lang w:val="en-GB"/>
        </w:rPr>
        <w:t xml:space="preserve">Other standardization bodies with which </w:t>
      </w:r>
      <w:r w:rsidRPr="003F5E46">
        <w:rPr>
          <w:color w:val="000000" w:themeColor="text1"/>
          <w:szCs w:val="24"/>
          <w:lang w:val="en-GB"/>
        </w:rPr>
        <w:t xml:space="preserve">TSB </w:t>
      </w:r>
      <w:r w:rsidR="00577B3C">
        <w:rPr>
          <w:color w:val="000000" w:themeColor="text1"/>
          <w:szCs w:val="24"/>
          <w:lang w:val="en-GB"/>
        </w:rPr>
        <w:t>is expanding cooperation</w:t>
      </w:r>
      <w:r w:rsidRPr="003F5E46">
        <w:rPr>
          <w:color w:val="000000" w:themeColor="text1"/>
          <w:szCs w:val="24"/>
          <w:lang w:val="en-GB"/>
        </w:rPr>
        <w:t xml:space="preserve"> include the </w:t>
      </w:r>
      <w:r w:rsidRPr="00E12930">
        <w:rPr>
          <w:bCs/>
          <w:szCs w:val="24"/>
          <w:lang w:val="en-GB"/>
        </w:rPr>
        <w:t>Pan American Standards Commission, the Pacific Area Standards Congress</w:t>
      </w:r>
      <w:r w:rsidRPr="003F5E46">
        <w:rPr>
          <w:color w:val="000000" w:themeColor="text1"/>
          <w:szCs w:val="24"/>
          <w:lang w:val="en-GB"/>
        </w:rPr>
        <w:t xml:space="preserve">, and the </w:t>
      </w:r>
      <w:r w:rsidRPr="003F5E46">
        <w:rPr>
          <w:color w:val="000000" w:themeColor="text1"/>
          <w:szCs w:val="24"/>
        </w:rPr>
        <w:t>South Asian Regional Standards Organization.</w:t>
      </w:r>
      <w:r w:rsidR="00577B3C">
        <w:rPr>
          <w:iCs/>
          <w:color w:val="000000"/>
          <w:szCs w:val="24"/>
        </w:rPr>
        <w:t xml:space="preserve"> </w:t>
      </w:r>
      <w:r w:rsidR="00577B3C">
        <w:rPr>
          <w:color w:val="000000" w:themeColor="text1"/>
        </w:rPr>
        <w:t xml:space="preserve">A brief </w:t>
      </w:r>
      <w:r w:rsidR="66431B47" w:rsidRPr="0A47BC55">
        <w:rPr>
          <w:color w:val="000000" w:themeColor="text1"/>
        </w:rPr>
        <w:t xml:space="preserve">overview </w:t>
      </w:r>
      <w:r w:rsidR="00577B3C">
        <w:rPr>
          <w:color w:val="000000" w:themeColor="text1"/>
        </w:rPr>
        <w:t xml:space="preserve">of related engagements in 2020 </w:t>
      </w:r>
      <w:r w:rsidR="66431B47" w:rsidRPr="0A47BC55">
        <w:rPr>
          <w:color w:val="000000" w:themeColor="text1"/>
        </w:rPr>
        <w:t>can be found below.</w:t>
      </w:r>
    </w:p>
    <w:p w14:paraId="26116E5C" w14:textId="73129CBB" w:rsidR="66431B47" w:rsidRPr="008B453D" w:rsidRDefault="66431B47" w:rsidP="7C7BE26A">
      <w:pPr>
        <w:rPr>
          <w:b/>
          <w:bCs/>
          <w:color w:val="000000" w:themeColor="text1"/>
          <w:szCs w:val="24"/>
        </w:rPr>
      </w:pPr>
      <w:r w:rsidRPr="00C95AD0">
        <w:rPr>
          <w:b/>
          <w:bCs/>
          <w:color w:val="000000" w:themeColor="text1"/>
          <w:szCs w:val="24"/>
        </w:rPr>
        <w:t xml:space="preserve">African </w:t>
      </w:r>
      <w:r w:rsidR="00417BF9">
        <w:rPr>
          <w:b/>
          <w:bCs/>
          <w:color w:val="000000" w:themeColor="text1"/>
          <w:szCs w:val="24"/>
        </w:rPr>
        <w:t xml:space="preserve">Regional </w:t>
      </w:r>
      <w:r w:rsidRPr="00C95AD0">
        <w:rPr>
          <w:b/>
          <w:bCs/>
          <w:color w:val="000000" w:themeColor="text1"/>
          <w:szCs w:val="24"/>
        </w:rPr>
        <w:t>Organization</w:t>
      </w:r>
      <w:r w:rsidR="00417BF9">
        <w:rPr>
          <w:b/>
          <w:bCs/>
          <w:color w:val="000000" w:themeColor="text1"/>
          <w:szCs w:val="24"/>
        </w:rPr>
        <w:t xml:space="preserve"> for </w:t>
      </w:r>
      <w:proofErr w:type="spellStart"/>
      <w:r w:rsidR="00417BF9">
        <w:rPr>
          <w:b/>
          <w:bCs/>
          <w:color w:val="000000" w:themeColor="text1"/>
          <w:szCs w:val="24"/>
        </w:rPr>
        <w:t>Standardisation</w:t>
      </w:r>
      <w:proofErr w:type="spellEnd"/>
      <w:r w:rsidRPr="00C95AD0">
        <w:rPr>
          <w:b/>
          <w:bCs/>
          <w:color w:val="000000" w:themeColor="text1"/>
          <w:szCs w:val="24"/>
        </w:rPr>
        <w:t xml:space="preserve"> </w:t>
      </w:r>
      <w:r w:rsidR="00417BF9">
        <w:rPr>
          <w:b/>
          <w:bCs/>
          <w:color w:val="000000" w:themeColor="text1"/>
          <w:szCs w:val="24"/>
        </w:rPr>
        <w:t>(</w:t>
      </w:r>
      <w:r w:rsidRPr="00C95AD0">
        <w:rPr>
          <w:b/>
          <w:bCs/>
          <w:color w:val="000000" w:themeColor="text1"/>
          <w:szCs w:val="24"/>
        </w:rPr>
        <w:t>ARS</w:t>
      </w:r>
      <w:r w:rsidR="00417BF9">
        <w:rPr>
          <w:b/>
          <w:bCs/>
          <w:color w:val="000000" w:themeColor="text1"/>
          <w:szCs w:val="24"/>
        </w:rPr>
        <w:t>O)</w:t>
      </w:r>
      <w:r w:rsidR="008B453D">
        <w:rPr>
          <w:b/>
          <w:bCs/>
          <w:color w:val="000000" w:themeColor="text1"/>
          <w:szCs w:val="24"/>
        </w:rPr>
        <w:t xml:space="preserve">: </w:t>
      </w:r>
      <w:r w:rsidRPr="003F5E46">
        <w:rPr>
          <w:color w:val="000000" w:themeColor="text1"/>
          <w:szCs w:val="24"/>
        </w:rPr>
        <w:t xml:space="preserve">TSB participated </w:t>
      </w:r>
      <w:r w:rsidR="00CE32C3">
        <w:rPr>
          <w:color w:val="000000" w:themeColor="text1"/>
          <w:szCs w:val="24"/>
        </w:rPr>
        <w:t>in</w:t>
      </w:r>
      <w:r w:rsidRPr="003F5E46">
        <w:rPr>
          <w:color w:val="000000" w:themeColor="text1"/>
          <w:szCs w:val="24"/>
        </w:rPr>
        <w:t xml:space="preserve"> the </w:t>
      </w:r>
      <w:r w:rsidR="1CD3B161" w:rsidRPr="003F5E46">
        <w:rPr>
          <w:szCs w:val="24"/>
        </w:rPr>
        <w:t xml:space="preserve">"Webinar: COVID-19 Interventions - The </w:t>
      </w:r>
      <w:proofErr w:type="spellStart"/>
      <w:r w:rsidR="1CD3B161" w:rsidRPr="003F5E46">
        <w:rPr>
          <w:szCs w:val="24"/>
        </w:rPr>
        <w:t>Standardisation</w:t>
      </w:r>
      <w:proofErr w:type="spellEnd"/>
      <w:r w:rsidR="1CD3B161" w:rsidRPr="003F5E46">
        <w:rPr>
          <w:szCs w:val="24"/>
        </w:rPr>
        <w:t xml:space="preserve"> Solution", 30 June 2020.</w:t>
      </w:r>
    </w:p>
    <w:p w14:paraId="1AAF9C42" w14:textId="5A035B98" w:rsidR="43197E4B" w:rsidRPr="008B453D" w:rsidRDefault="5DD89889" w:rsidP="7C7BE26A">
      <w:pPr>
        <w:rPr>
          <w:b/>
          <w:bCs/>
          <w:color w:val="000000" w:themeColor="text1"/>
          <w:szCs w:val="24"/>
        </w:rPr>
      </w:pPr>
      <w:r w:rsidRPr="00C95AD0">
        <w:rPr>
          <w:b/>
          <w:bCs/>
          <w:color w:val="000000" w:themeColor="text1"/>
          <w:szCs w:val="24"/>
        </w:rPr>
        <w:t>P</w:t>
      </w:r>
      <w:r w:rsidR="43197E4B" w:rsidRPr="00C95AD0">
        <w:rPr>
          <w:b/>
          <w:bCs/>
          <w:color w:val="000000" w:themeColor="text1"/>
          <w:szCs w:val="24"/>
        </w:rPr>
        <w:t>acific Area Standards Congress (PASC</w:t>
      </w:r>
      <w:r w:rsidR="008B453D">
        <w:rPr>
          <w:b/>
          <w:bCs/>
          <w:color w:val="000000" w:themeColor="text1"/>
          <w:szCs w:val="24"/>
        </w:rPr>
        <w:t xml:space="preserve">): </w:t>
      </w:r>
      <w:r w:rsidR="00577B3C">
        <w:rPr>
          <w:color w:val="000000" w:themeColor="text1"/>
          <w:szCs w:val="24"/>
        </w:rPr>
        <w:t xml:space="preserve">The </w:t>
      </w:r>
      <w:r w:rsidR="43197E4B" w:rsidRPr="003F5E46">
        <w:rPr>
          <w:color w:val="000000" w:themeColor="text1"/>
          <w:szCs w:val="24"/>
        </w:rPr>
        <w:t xml:space="preserve">TSB Director participated </w:t>
      </w:r>
      <w:r w:rsidR="00417BF9">
        <w:rPr>
          <w:color w:val="000000" w:themeColor="text1"/>
          <w:szCs w:val="24"/>
        </w:rPr>
        <w:t>in</w:t>
      </w:r>
      <w:r w:rsidR="43197E4B" w:rsidRPr="003F5E46">
        <w:rPr>
          <w:color w:val="000000" w:themeColor="text1"/>
          <w:szCs w:val="24"/>
        </w:rPr>
        <w:t xml:space="preserve"> the </w:t>
      </w:r>
      <w:r w:rsidR="4C72794A" w:rsidRPr="003F5E46">
        <w:rPr>
          <w:color w:val="000000" w:themeColor="text1"/>
          <w:szCs w:val="24"/>
        </w:rPr>
        <w:t xml:space="preserve">PASC </w:t>
      </w:r>
      <w:r w:rsidR="00CE32C3">
        <w:rPr>
          <w:color w:val="000000" w:themeColor="text1"/>
          <w:szCs w:val="24"/>
        </w:rPr>
        <w:t xml:space="preserve">virtual </w:t>
      </w:r>
      <w:r w:rsidR="4C72794A" w:rsidRPr="003F5E46">
        <w:rPr>
          <w:color w:val="000000" w:themeColor="text1"/>
          <w:szCs w:val="24"/>
        </w:rPr>
        <w:t xml:space="preserve">meeting session with ISO, IEC and ITU, </w:t>
      </w:r>
      <w:r w:rsidR="1B11E9BA" w:rsidRPr="003F5E46">
        <w:rPr>
          <w:color w:val="000000" w:themeColor="text1"/>
          <w:szCs w:val="24"/>
        </w:rPr>
        <w:t xml:space="preserve">20 May 2020, </w:t>
      </w:r>
      <w:r w:rsidR="7779D8BF" w:rsidRPr="003F5E46">
        <w:rPr>
          <w:color w:val="000000" w:themeColor="text1"/>
          <w:szCs w:val="24"/>
        </w:rPr>
        <w:t xml:space="preserve">organized by the PASC Secretariat which is this year held by the </w:t>
      </w:r>
      <w:r w:rsidR="51EFAC20" w:rsidRPr="003F5E46">
        <w:rPr>
          <w:color w:val="000000" w:themeColor="text1"/>
          <w:szCs w:val="24"/>
        </w:rPr>
        <w:t xml:space="preserve">National Standardization Agency of Indonesia (BSN). </w:t>
      </w:r>
    </w:p>
    <w:p w14:paraId="6481F8B4" w14:textId="4A4255A1" w:rsidR="2C69FB25" w:rsidRPr="008B453D" w:rsidRDefault="5DD89889" w:rsidP="7C7BE26A">
      <w:pPr>
        <w:rPr>
          <w:b/>
          <w:bCs/>
          <w:color w:val="000000" w:themeColor="text1"/>
          <w:szCs w:val="24"/>
        </w:rPr>
      </w:pPr>
      <w:r w:rsidRPr="00C95AD0">
        <w:rPr>
          <w:b/>
          <w:bCs/>
          <w:color w:val="000000" w:themeColor="text1"/>
          <w:szCs w:val="24"/>
        </w:rPr>
        <w:t>Standards Australia</w:t>
      </w:r>
      <w:r w:rsidR="008B453D">
        <w:rPr>
          <w:b/>
          <w:bCs/>
          <w:color w:val="000000" w:themeColor="text1"/>
          <w:szCs w:val="24"/>
        </w:rPr>
        <w:t xml:space="preserve">: </w:t>
      </w:r>
      <w:r w:rsidR="00577B3C">
        <w:rPr>
          <w:szCs w:val="24"/>
        </w:rPr>
        <w:t>TSB partic</w:t>
      </w:r>
      <w:r w:rsidR="00CE32C3">
        <w:rPr>
          <w:szCs w:val="24"/>
        </w:rPr>
        <w:t>ipated in a virtual training session</w:t>
      </w:r>
      <w:r w:rsidR="2C69FB25" w:rsidRPr="003F5E46">
        <w:rPr>
          <w:szCs w:val="24"/>
        </w:rPr>
        <w:t xml:space="preserve"> organized by </w:t>
      </w:r>
      <w:r w:rsidRPr="003F5E46">
        <w:rPr>
          <w:szCs w:val="24"/>
        </w:rPr>
        <w:t>Standards Australia</w:t>
      </w:r>
      <w:r w:rsidR="00CE32C3">
        <w:rPr>
          <w:szCs w:val="24"/>
        </w:rPr>
        <w:t xml:space="preserve"> on </w:t>
      </w:r>
      <w:r w:rsidR="61BCD067" w:rsidRPr="003F5E46">
        <w:rPr>
          <w:szCs w:val="24"/>
        </w:rPr>
        <w:t>“</w:t>
      </w:r>
      <w:r w:rsidRPr="003F5E46">
        <w:rPr>
          <w:szCs w:val="24"/>
        </w:rPr>
        <w:t xml:space="preserve">Indo Pacific Digital Trade </w:t>
      </w:r>
      <w:proofErr w:type="spellStart"/>
      <w:r w:rsidRPr="003F5E46">
        <w:rPr>
          <w:szCs w:val="24"/>
        </w:rPr>
        <w:t>Standardisation</w:t>
      </w:r>
      <w:proofErr w:type="spellEnd"/>
      <w:r w:rsidRPr="003F5E46">
        <w:rPr>
          <w:szCs w:val="24"/>
        </w:rPr>
        <w:t xml:space="preserve"> Initiative - training on international participati</w:t>
      </w:r>
      <w:r w:rsidR="31C9F3BB" w:rsidRPr="003F5E46">
        <w:rPr>
          <w:szCs w:val="24"/>
        </w:rPr>
        <w:t xml:space="preserve">on”, </w:t>
      </w:r>
      <w:r w:rsidR="29EB8A50" w:rsidRPr="003F5E46">
        <w:rPr>
          <w:szCs w:val="24"/>
        </w:rPr>
        <w:t>25 May 2020</w:t>
      </w:r>
      <w:r w:rsidR="003F5E46">
        <w:rPr>
          <w:szCs w:val="24"/>
        </w:rPr>
        <w:t>.</w:t>
      </w:r>
    </w:p>
    <w:p w14:paraId="46B3A722" w14:textId="0CF37D31" w:rsidR="00136E7B" w:rsidRPr="00F57FAD" w:rsidRDefault="00BA3326" w:rsidP="00136E7B">
      <w:pPr>
        <w:pStyle w:val="Heading1"/>
      </w:pPr>
      <w:bookmarkStart w:id="111" w:name="_Toc416161356"/>
      <w:bookmarkStart w:id="112" w:name="_Toc438553979"/>
      <w:bookmarkStart w:id="113" w:name="_Toc453929098"/>
      <w:bookmarkStart w:id="114" w:name="_Toc453932969"/>
      <w:bookmarkStart w:id="115" w:name="_Toc454295875"/>
      <w:bookmarkStart w:id="116" w:name="_Toc480527846"/>
      <w:bookmarkStart w:id="117" w:name="_Toc51042269"/>
      <w:r>
        <w:rPr>
          <w:rFonts w:eastAsiaTheme="minorEastAsia"/>
        </w:rPr>
        <w:t>8</w:t>
      </w:r>
      <w:r w:rsidR="00136E7B">
        <w:rPr>
          <w:rFonts w:eastAsiaTheme="minorEastAsia"/>
        </w:rPr>
        <w:tab/>
      </w:r>
      <w:r w:rsidR="00136E7B" w:rsidRPr="00F57FAD">
        <w:t>Bridging the standardization gap</w:t>
      </w:r>
      <w:bookmarkStart w:id="118" w:name="_Toc328209623"/>
      <w:bookmarkStart w:id="119" w:name="_Toc337476742"/>
      <w:bookmarkStart w:id="120" w:name="_Toc416161362"/>
      <w:bookmarkStart w:id="121" w:name="_Toc438553985"/>
      <w:bookmarkStart w:id="122" w:name="_Toc453929107"/>
      <w:bookmarkStart w:id="123" w:name="_Toc453932978"/>
      <w:bookmarkStart w:id="124" w:name="_Toc454295884"/>
      <w:bookmarkEnd w:id="111"/>
      <w:bookmarkEnd w:id="112"/>
      <w:bookmarkEnd w:id="113"/>
      <w:bookmarkEnd w:id="114"/>
      <w:bookmarkEnd w:id="115"/>
      <w:bookmarkEnd w:id="116"/>
      <w:bookmarkEnd w:id="117"/>
    </w:p>
    <w:p w14:paraId="751F977E" w14:textId="77777777" w:rsidR="00136E7B" w:rsidRPr="00E12930" w:rsidRDefault="00136E7B" w:rsidP="00136E7B">
      <w:pPr>
        <w:rPr>
          <w:lang w:val="en-GB"/>
        </w:rPr>
      </w:pPr>
      <w:r w:rsidRPr="00E12930">
        <w:rPr>
          <w:lang w:val="en-GB"/>
        </w:rPr>
        <w:t>ITU's Bridging the Standardization Gap (BSG) programme improves the capacity of developing countries to participate in the development and implementation of international ICT standards.</w:t>
      </w:r>
    </w:p>
    <w:p w14:paraId="5803BC4D" w14:textId="77777777" w:rsidR="00136E7B" w:rsidRPr="00E12930" w:rsidRDefault="00136E7B" w:rsidP="00136E7B">
      <w:pPr>
        <w:rPr>
          <w:lang w:val="en-GB"/>
        </w:rPr>
      </w:pPr>
      <w:r w:rsidRPr="00E12930">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225BB5CF" w14:textId="3A1B2F92" w:rsidR="00136E7B" w:rsidRPr="00E12930" w:rsidRDefault="00136E7B" w:rsidP="00136E7B">
      <w:pPr>
        <w:rPr>
          <w:lang w:val="en-GB"/>
        </w:rPr>
      </w:pPr>
      <w:r w:rsidRPr="00E12930">
        <w:rPr>
          <w:lang w:val="en-GB"/>
        </w:rPr>
        <w:t>The revamped BSG Programme is structured around five pillars, responding to WTSA Resolution 44. The five pillars of the BSG programme</w:t>
      </w:r>
      <w:r w:rsidR="00AA6FF3">
        <w:rPr>
          <w:lang w:val="en-GB"/>
        </w:rPr>
        <w:t xml:space="preserve"> </w:t>
      </w:r>
      <w:r w:rsidR="00787710">
        <w:rPr>
          <w:lang w:val="en-GB"/>
        </w:rPr>
        <w:t>include</w:t>
      </w:r>
      <w:r w:rsidRPr="00E12930">
        <w:rPr>
          <w:lang w:val="en-GB"/>
        </w:rPr>
        <w:t>: Engagement, know-how, community, awareness, and partnering:</w:t>
      </w:r>
    </w:p>
    <w:p w14:paraId="335A85E4" w14:textId="77777777" w:rsidR="00136E7B" w:rsidRPr="00E12930" w:rsidRDefault="00136E7B" w:rsidP="0063096B">
      <w:pPr>
        <w:numPr>
          <w:ilvl w:val="0"/>
          <w:numId w:val="28"/>
        </w:numPr>
        <w:rPr>
          <w:lang w:val="en-GB"/>
        </w:rPr>
      </w:pPr>
      <w:r w:rsidRPr="00E12930">
        <w:rPr>
          <w:b/>
          <w:bCs/>
          <w:lang w:val="en-GB"/>
        </w:rPr>
        <w:t>Engagement</w:t>
      </w:r>
      <w:r w:rsidRPr="00E12930">
        <w:rPr>
          <w:lang w:val="en-GB"/>
        </w:rPr>
        <w:t xml:space="preserve"> is about facilitating participation in standards development. This includes fellowship and mentorship programmes and tools for remote participation.</w:t>
      </w:r>
    </w:p>
    <w:p w14:paraId="32CF3E71" w14:textId="77777777" w:rsidR="00136E7B" w:rsidRPr="00E12930" w:rsidRDefault="00136E7B" w:rsidP="0063096B">
      <w:pPr>
        <w:numPr>
          <w:ilvl w:val="0"/>
          <w:numId w:val="28"/>
        </w:numPr>
        <w:rPr>
          <w:lang w:val="en-GB"/>
        </w:rPr>
      </w:pPr>
      <w:r w:rsidRPr="00E12930">
        <w:rPr>
          <w:b/>
          <w:bCs/>
          <w:lang w:val="en-GB"/>
        </w:rPr>
        <w:t>Know-how</w:t>
      </w:r>
      <w:r w:rsidRPr="00E12930">
        <w:rPr>
          <w:lang w:val="en-GB"/>
        </w:rPr>
        <w:t xml:space="preserve"> covers the development of skills and capabilities for standards-making. This includes standards-making effectiveness sessions, video tutorials and e-learning courses.</w:t>
      </w:r>
    </w:p>
    <w:p w14:paraId="539B3AE2" w14:textId="77777777" w:rsidR="00136E7B" w:rsidRPr="00E12930" w:rsidRDefault="00136E7B" w:rsidP="0063096B">
      <w:pPr>
        <w:numPr>
          <w:ilvl w:val="0"/>
          <w:numId w:val="28"/>
        </w:numPr>
        <w:rPr>
          <w:lang w:val="en-GB"/>
        </w:rPr>
      </w:pPr>
      <w:r w:rsidRPr="00E12930">
        <w:rPr>
          <w:b/>
          <w:bCs/>
          <w:lang w:val="en-GB"/>
        </w:rPr>
        <w:t>Community</w:t>
      </w:r>
      <w:r w:rsidRPr="00E12930">
        <w:rPr>
          <w:lang w:val="en-GB"/>
        </w:rPr>
        <w:t xml:space="preserve"> focused on empowerment at regional and national levels. Regional Groups within ITU-T SGs are a prime example, ensuring that standards-making is inclusive of the needs of all regions.</w:t>
      </w:r>
    </w:p>
    <w:p w14:paraId="052ED509" w14:textId="77777777" w:rsidR="00136E7B" w:rsidRPr="00E12930" w:rsidRDefault="00136E7B" w:rsidP="0063096B">
      <w:pPr>
        <w:numPr>
          <w:ilvl w:val="0"/>
          <w:numId w:val="28"/>
        </w:numPr>
        <w:rPr>
          <w:lang w:val="en-GB"/>
        </w:rPr>
      </w:pPr>
      <w:r w:rsidRPr="00E12930">
        <w:rPr>
          <w:b/>
          <w:bCs/>
          <w:lang w:val="en-GB"/>
        </w:rPr>
        <w:lastRenderedPageBreak/>
        <w:t>Awareness</w:t>
      </w:r>
      <w:r w:rsidRPr="00E12930">
        <w:rPr>
          <w:lang w:val="en-GB"/>
        </w:rPr>
        <w:t xml:space="preserve"> covers information sharing, using ITU-T publications on a wide range of topics as well as Regional and Inter-Regional standardization forums.</w:t>
      </w:r>
    </w:p>
    <w:p w14:paraId="70AF6114" w14:textId="77777777" w:rsidR="00136E7B" w:rsidRPr="00E12930" w:rsidRDefault="00136E7B" w:rsidP="0063096B">
      <w:pPr>
        <w:numPr>
          <w:ilvl w:val="0"/>
          <w:numId w:val="28"/>
        </w:numPr>
        <w:rPr>
          <w:lang w:val="en-GB"/>
        </w:rPr>
      </w:pPr>
      <w:r w:rsidRPr="00E12930">
        <w:rPr>
          <w:b/>
          <w:bCs/>
          <w:lang w:val="en-GB"/>
        </w:rPr>
        <w:t>Partnering</w:t>
      </w:r>
      <w:r w:rsidRPr="00E12930">
        <w:rPr>
          <w:lang w:val="en-GB"/>
        </w:rPr>
        <w:t xml:space="preserve"> is about mobilizing resources and fostering collaboration.</w:t>
      </w:r>
    </w:p>
    <w:p w14:paraId="132C3FEB" w14:textId="77777777" w:rsidR="00136E7B" w:rsidRPr="00656355" w:rsidRDefault="00136E7B" w:rsidP="00136E7B">
      <w:pPr>
        <w:keepNext/>
        <w:jc w:val="center"/>
        <w:rPr>
          <w:highlight w:val="yellow"/>
          <w:lang w:val="en-GB"/>
        </w:rPr>
      </w:pPr>
      <w:r>
        <w:rPr>
          <w:noProof/>
        </w:rPr>
        <w:drawing>
          <wp:inline distT="0" distB="0" distL="0" distR="0" wp14:anchorId="0702D172" wp14:editId="6A54F73A">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97">
                      <a:extLst>
                        <a:ext uri="{28A0092B-C50C-407E-A947-70E740481C1C}">
                          <a14:useLocalDpi xmlns:a14="http://schemas.microsoft.com/office/drawing/2010/main" val="0"/>
                        </a:ext>
                      </a:extLst>
                    </a:blip>
                    <a:stretch>
                      <a:fillRect/>
                    </a:stretch>
                  </pic:blipFill>
                  <pic:spPr>
                    <a:xfrm>
                      <a:off x="0" y="0"/>
                      <a:ext cx="3642970" cy="2162954"/>
                    </a:xfrm>
                    <a:prstGeom prst="rect">
                      <a:avLst/>
                    </a:prstGeom>
                  </pic:spPr>
                </pic:pic>
              </a:graphicData>
            </a:graphic>
          </wp:inline>
        </w:drawing>
      </w:r>
    </w:p>
    <w:p w14:paraId="239CD365" w14:textId="77777777" w:rsidR="00136E7B" w:rsidRPr="00C00477" w:rsidRDefault="00136E7B" w:rsidP="00136E7B">
      <w:pPr>
        <w:pStyle w:val="Caption"/>
        <w:rPr>
          <w:lang w:val="en-GB"/>
        </w:rPr>
      </w:pPr>
      <w:r w:rsidRPr="00C00477">
        <w:rPr>
          <w:lang w:val="en-GB"/>
        </w:rPr>
        <w:t xml:space="preserve">Figure </w:t>
      </w:r>
      <w:r w:rsidRPr="00C00477">
        <w:rPr>
          <w:color w:val="2B579A"/>
          <w:shd w:val="clear" w:color="auto" w:fill="E6E6E6"/>
          <w:lang w:val="en-GB"/>
        </w:rPr>
        <w:fldChar w:fldCharType="begin"/>
      </w:r>
      <w:r w:rsidRPr="00C00477">
        <w:rPr>
          <w:lang w:val="en-GB"/>
        </w:rPr>
        <w:instrText xml:space="preserve"> SEQ Figure \* ARABIC </w:instrText>
      </w:r>
      <w:r w:rsidRPr="00C00477">
        <w:rPr>
          <w:color w:val="2B579A"/>
          <w:shd w:val="clear" w:color="auto" w:fill="E6E6E6"/>
          <w:lang w:val="en-GB"/>
        </w:rPr>
        <w:fldChar w:fldCharType="separate"/>
      </w:r>
      <w:r w:rsidRPr="00C00477">
        <w:rPr>
          <w:lang w:val="en-GB"/>
        </w:rPr>
        <w:t>1</w:t>
      </w:r>
      <w:r w:rsidRPr="00C00477">
        <w:rPr>
          <w:color w:val="2B579A"/>
          <w:shd w:val="clear" w:color="auto" w:fill="E6E6E6"/>
          <w:lang w:val="en-GB"/>
        </w:rPr>
        <w:fldChar w:fldCharType="end"/>
      </w:r>
      <w:r w:rsidRPr="00C00477">
        <w:rPr>
          <w:lang w:val="en-GB"/>
        </w:rPr>
        <w:t xml:space="preserve"> - Five pillars of the BSG Programme</w:t>
      </w:r>
    </w:p>
    <w:p w14:paraId="526685EF" w14:textId="71FA47BC" w:rsidR="00136E7B" w:rsidRPr="00E57B9C" w:rsidRDefault="00BA3326" w:rsidP="00136E7B">
      <w:pPr>
        <w:pStyle w:val="Heading2"/>
      </w:pPr>
      <w:bookmarkStart w:id="125" w:name="_Toc462664261"/>
      <w:bookmarkStart w:id="126" w:name="_Toc480527847"/>
      <w:bookmarkStart w:id="127" w:name="_Toc51042270"/>
      <w:r w:rsidRPr="00E57B9C">
        <w:t>8</w:t>
      </w:r>
      <w:r w:rsidR="00136E7B" w:rsidRPr="00E57B9C">
        <w:t>.1</w:t>
      </w:r>
      <w:r w:rsidR="00136E7B" w:rsidRPr="00E57B9C">
        <w:tab/>
      </w:r>
      <w:bookmarkEnd w:id="125"/>
      <w:r w:rsidR="00136E7B" w:rsidRPr="00E57B9C">
        <w:t>BSG hands-on training sessions</w:t>
      </w:r>
      <w:bookmarkEnd w:id="126"/>
      <w:bookmarkEnd w:id="127"/>
    </w:p>
    <w:p w14:paraId="422CFD29" w14:textId="094876F8" w:rsidR="00136E7B" w:rsidRDefault="00136E7B" w:rsidP="00094AFA">
      <w:pPr>
        <w:spacing w:after="120"/>
        <w:rPr>
          <w:lang w:val="en-GB"/>
        </w:rPr>
      </w:pPr>
      <w:r w:rsidRPr="004E5B45">
        <w:rPr>
          <w:lang w:val="en-GB"/>
        </w:rPr>
        <w:t xml:space="preserve">ITU-T </w:t>
      </w:r>
      <w:r w:rsidR="00A81060">
        <w:rPr>
          <w:lang w:val="en-GB"/>
        </w:rPr>
        <w:t xml:space="preserve">regularly carries out </w:t>
      </w:r>
      <w:r w:rsidRPr="004E5B45">
        <w:rPr>
          <w:lang w:val="en-GB"/>
        </w:rPr>
        <w:t>'BSG Hands-On SG effectiveness training' in response to WTSA Resolution 44. The</w:t>
      </w:r>
      <w:r w:rsidR="00EF133F">
        <w:rPr>
          <w:lang w:val="en-GB"/>
        </w:rPr>
        <w:t>se</w:t>
      </w:r>
      <w:r w:rsidRPr="004E5B45">
        <w:rPr>
          <w:lang w:val="en-GB"/>
        </w:rPr>
        <w:t xml:space="preserve"> training</w:t>
      </w:r>
      <w:r w:rsidR="00EF133F">
        <w:rPr>
          <w:lang w:val="en-GB"/>
        </w:rPr>
        <w:t>s</w:t>
      </w:r>
      <w:r w:rsidRPr="004E5B45">
        <w:rPr>
          <w:lang w:val="en-GB"/>
        </w:rPr>
        <w:t xml:space="preserve">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w:t>
      </w:r>
      <w:r w:rsidR="00500266">
        <w:rPr>
          <w:lang w:val="en-GB"/>
        </w:rPr>
        <w:t xml:space="preserve">, </w:t>
      </w:r>
      <w:r w:rsidRPr="004E5B45">
        <w:rPr>
          <w:lang w:val="en-GB"/>
        </w:rPr>
        <w:t>building consensus</w:t>
      </w:r>
      <w:r w:rsidR="00500266">
        <w:rPr>
          <w:lang w:val="en-GB"/>
        </w:rPr>
        <w:t xml:space="preserve"> and utilization of TSB tools and services</w:t>
      </w:r>
      <w:r w:rsidRPr="004E5B45">
        <w:rPr>
          <w:lang w:val="en-GB"/>
        </w:rPr>
        <w:t>.</w:t>
      </w:r>
    </w:p>
    <w:p w14:paraId="7B30364F" w14:textId="47F73B59" w:rsidR="00462D1E" w:rsidRDefault="00CE32C3" w:rsidP="00094AFA">
      <w:pPr>
        <w:spacing w:after="120"/>
        <w:rPr>
          <w:lang w:val="en-GB"/>
        </w:rPr>
      </w:pPr>
      <w:r>
        <w:rPr>
          <w:lang w:val="en-GB"/>
        </w:rPr>
        <w:t xml:space="preserve">These BSG training sessions have welcomed </w:t>
      </w:r>
      <w:r w:rsidR="00F37C75">
        <w:rPr>
          <w:lang w:val="en-GB"/>
        </w:rPr>
        <w:t>150 delegates</w:t>
      </w:r>
      <w:r>
        <w:rPr>
          <w:lang w:val="en-GB"/>
        </w:rPr>
        <w:t xml:space="preserve"> in 2020</w:t>
      </w:r>
      <w:r w:rsidR="008354B1">
        <w:rPr>
          <w:lang w:val="en-GB"/>
        </w:rPr>
        <w:t>.</w:t>
      </w:r>
    </w:p>
    <w:p w14:paraId="05069E13" w14:textId="5BCB2E5F" w:rsidR="007A0B0C" w:rsidRDefault="00CE32C3" w:rsidP="009560ED">
      <w:pPr>
        <w:spacing w:after="120"/>
        <w:rPr>
          <w:bCs/>
          <w:noProof/>
        </w:rPr>
      </w:pPr>
      <w:r>
        <w:rPr>
          <w:lang w:val="en-GB"/>
        </w:rPr>
        <w:t xml:space="preserve">A </w:t>
      </w:r>
      <w:r w:rsidR="00B45BB8">
        <w:rPr>
          <w:lang w:val="en-GB"/>
        </w:rPr>
        <w:t xml:space="preserve">BSG training session was organized </w:t>
      </w:r>
      <w:r w:rsidR="005C46CA">
        <w:rPr>
          <w:lang w:val="en-GB"/>
        </w:rPr>
        <w:t xml:space="preserve">in collocation with SG11 and SG13 </w:t>
      </w:r>
      <w:r w:rsidR="002F7EBA">
        <w:rPr>
          <w:lang w:val="en-GB"/>
        </w:rPr>
        <w:t>i</w:t>
      </w:r>
      <w:r w:rsidR="005C46CA">
        <w:rPr>
          <w:lang w:val="en-GB"/>
        </w:rPr>
        <w:t>n March 2020</w:t>
      </w:r>
      <w:r w:rsidR="002F7EBA">
        <w:rPr>
          <w:lang w:val="en-GB"/>
        </w:rPr>
        <w:t>.</w:t>
      </w:r>
      <w:r w:rsidR="00462D1E">
        <w:rPr>
          <w:lang w:val="en-GB"/>
        </w:rPr>
        <w:br/>
      </w:r>
      <w:r w:rsidR="00846355">
        <w:rPr>
          <w:bCs/>
          <w:noProof/>
        </w:rPr>
        <w:t xml:space="preserve">A BSG session was </w:t>
      </w:r>
      <w:r w:rsidR="00B628B5">
        <w:rPr>
          <w:bCs/>
          <w:noProof/>
        </w:rPr>
        <w:t xml:space="preserve">delivered </w:t>
      </w:r>
      <w:r w:rsidR="00846355">
        <w:rPr>
          <w:bCs/>
          <w:noProof/>
        </w:rPr>
        <w:t xml:space="preserve">during the </w:t>
      </w:r>
      <w:r w:rsidR="00846355" w:rsidRPr="008D0B9E">
        <w:rPr>
          <w:bCs/>
          <w:noProof/>
        </w:rPr>
        <w:t>SG13-RGAFR</w:t>
      </w:r>
      <w:r w:rsidR="00846355">
        <w:rPr>
          <w:bCs/>
          <w:noProof/>
        </w:rPr>
        <w:t xml:space="preserve"> meeting</w:t>
      </w:r>
      <w:r>
        <w:rPr>
          <w:bCs/>
          <w:noProof/>
        </w:rPr>
        <w:t xml:space="preserve"> in </w:t>
      </w:r>
      <w:r w:rsidR="00846355" w:rsidRPr="008D0B9E">
        <w:rPr>
          <w:bCs/>
          <w:noProof/>
        </w:rPr>
        <w:t>Abuja, Nigeria, 5-6 February 2020</w:t>
      </w:r>
      <w:r w:rsidR="00846355">
        <w:rPr>
          <w:bCs/>
          <w:noProof/>
        </w:rPr>
        <w:t>.</w:t>
      </w:r>
      <w:r>
        <w:rPr>
          <w:bCs/>
          <w:noProof/>
        </w:rPr>
        <w:t xml:space="preserve"> </w:t>
      </w:r>
      <w:r w:rsidR="007A0B0C">
        <w:rPr>
          <w:bCs/>
          <w:noProof/>
        </w:rPr>
        <w:t xml:space="preserve">A </w:t>
      </w:r>
      <w:r w:rsidR="007A0B0C" w:rsidRPr="000925F9">
        <w:rPr>
          <w:bCs/>
          <w:noProof/>
        </w:rPr>
        <w:t>BSG-related session on ITU-T Approval Processes on regional Recommendations</w:t>
      </w:r>
      <w:r w:rsidR="007A0B0C">
        <w:rPr>
          <w:bCs/>
          <w:noProof/>
        </w:rPr>
        <w:t xml:space="preserve"> </w:t>
      </w:r>
      <w:r w:rsidR="007A0B0C" w:rsidRPr="000925F9">
        <w:rPr>
          <w:bCs/>
          <w:noProof/>
        </w:rPr>
        <w:t xml:space="preserve">and </w:t>
      </w:r>
      <w:r w:rsidR="007A0B0C">
        <w:rPr>
          <w:bCs/>
          <w:noProof/>
        </w:rPr>
        <w:t xml:space="preserve">on the </w:t>
      </w:r>
      <w:r w:rsidR="007A0B0C" w:rsidRPr="000925F9">
        <w:rPr>
          <w:bCs/>
          <w:noProof/>
        </w:rPr>
        <w:t xml:space="preserve">ITU-T A.5 </w:t>
      </w:r>
      <w:r w:rsidR="007A0B0C">
        <w:rPr>
          <w:bCs/>
          <w:noProof/>
        </w:rPr>
        <w:t>q</w:t>
      </w:r>
      <w:r w:rsidR="007A0B0C" w:rsidRPr="000925F9">
        <w:rPr>
          <w:bCs/>
          <w:noProof/>
        </w:rPr>
        <w:t xml:space="preserve">ualification and </w:t>
      </w:r>
      <w:r w:rsidR="007A0B0C">
        <w:rPr>
          <w:bCs/>
          <w:noProof/>
        </w:rPr>
        <w:t>j</w:t>
      </w:r>
      <w:r w:rsidR="007A0B0C" w:rsidRPr="000925F9">
        <w:rPr>
          <w:bCs/>
          <w:noProof/>
        </w:rPr>
        <w:t xml:space="preserve">ustification </w:t>
      </w:r>
      <w:r w:rsidR="007A0B0C">
        <w:rPr>
          <w:bCs/>
          <w:noProof/>
        </w:rPr>
        <w:t>p</w:t>
      </w:r>
      <w:r w:rsidR="007A0B0C" w:rsidRPr="000925F9">
        <w:rPr>
          <w:bCs/>
          <w:noProof/>
        </w:rPr>
        <w:t xml:space="preserve">rocess </w:t>
      </w:r>
      <w:r w:rsidR="007A0B0C">
        <w:rPr>
          <w:bCs/>
          <w:noProof/>
        </w:rPr>
        <w:t xml:space="preserve">was given during the </w:t>
      </w:r>
      <w:r w:rsidR="007A0B0C" w:rsidRPr="007A0B0C">
        <w:rPr>
          <w:bCs/>
          <w:noProof/>
        </w:rPr>
        <w:t>SG3RG-AFR virtual</w:t>
      </w:r>
      <w:r w:rsidR="007A0B0C">
        <w:rPr>
          <w:bCs/>
          <w:noProof/>
        </w:rPr>
        <w:t xml:space="preserve"> meeting</w:t>
      </w:r>
      <w:r>
        <w:rPr>
          <w:bCs/>
          <w:noProof/>
        </w:rPr>
        <w:t>,</w:t>
      </w:r>
      <w:r w:rsidR="007A0B0C" w:rsidRPr="007A0B0C">
        <w:rPr>
          <w:bCs/>
          <w:noProof/>
        </w:rPr>
        <w:t xml:space="preserve"> 6-10 July 2020</w:t>
      </w:r>
      <w:r w:rsidR="007A0B0C" w:rsidRPr="000925F9">
        <w:rPr>
          <w:bCs/>
          <w:noProof/>
        </w:rPr>
        <w:t>.</w:t>
      </w:r>
    </w:p>
    <w:p w14:paraId="68B738B1" w14:textId="192AF8DD" w:rsidR="008D0B9E" w:rsidRPr="004E5B45" w:rsidRDefault="00CE32C3" w:rsidP="0061624D">
      <w:pPr>
        <w:spacing w:after="120"/>
        <w:rPr>
          <w:lang w:val="en-GB"/>
        </w:rPr>
      </w:pPr>
      <w:r>
        <w:rPr>
          <w:lang w:val="en-GB"/>
        </w:rPr>
        <w:t>Considering the shift to fully virtual ITU-T meetings in response to</w:t>
      </w:r>
      <w:r w:rsidR="00846355" w:rsidRPr="003D42B8">
        <w:rPr>
          <w:lang w:val="en-GB"/>
        </w:rPr>
        <w:t xml:space="preserve"> COVID-19, four virtual BSG training sessions have been organized since May 2020</w:t>
      </w:r>
      <w:r>
        <w:rPr>
          <w:lang w:val="en-GB"/>
        </w:rPr>
        <w:t xml:space="preserve"> and a</w:t>
      </w:r>
      <w:r w:rsidR="007C7909">
        <w:rPr>
          <w:lang w:val="en-GB"/>
        </w:rPr>
        <w:t xml:space="preserve">dditional </w:t>
      </w:r>
      <w:r w:rsidR="005C55CF">
        <w:rPr>
          <w:lang w:val="en-GB"/>
        </w:rPr>
        <w:t>trainings are</w:t>
      </w:r>
      <w:r w:rsidR="00733541">
        <w:rPr>
          <w:lang w:val="en-GB"/>
        </w:rPr>
        <w:t xml:space="preserve"> </w:t>
      </w:r>
      <w:r w:rsidR="008D2C1C">
        <w:rPr>
          <w:lang w:val="en-GB"/>
        </w:rPr>
        <w:t xml:space="preserve">being </w:t>
      </w:r>
      <w:r w:rsidR="00733541">
        <w:rPr>
          <w:lang w:val="en-GB"/>
        </w:rPr>
        <w:t>planned for the remaining quarter</w:t>
      </w:r>
      <w:r>
        <w:rPr>
          <w:lang w:val="en-GB"/>
        </w:rPr>
        <w:t xml:space="preserve"> of 2020 </w:t>
      </w:r>
    </w:p>
    <w:p w14:paraId="3448ED2A" w14:textId="501157B3" w:rsidR="00136E7B" w:rsidRPr="006E014F" w:rsidRDefault="00BA3326" w:rsidP="00136E7B">
      <w:pPr>
        <w:rPr>
          <w:b/>
          <w:lang w:val="en-GB"/>
        </w:rPr>
      </w:pPr>
      <w:r w:rsidRPr="006E014F">
        <w:rPr>
          <w:b/>
          <w:lang w:val="en-GB"/>
        </w:rPr>
        <w:t>8</w:t>
      </w:r>
      <w:r w:rsidR="00136E7B" w:rsidRPr="006E014F">
        <w:rPr>
          <w:b/>
          <w:lang w:val="en-GB"/>
        </w:rPr>
        <w:t>.1.1</w:t>
      </w:r>
      <w:r w:rsidR="00136E7B" w:rsidRPr="006E014F">
        <w:rPr>
          <w:b/>
          <w:lang w:val="en-GB"/>
        </w:rPr>
        <w:tab/>
        <w:t>BSG training on services and tools</w:t>
      </w:r>
    </w:p>
    <w:p w14:paraId="7F1FFDDD" w14:textId="38601B40" w:rsidR="00136E7B" w:rsidRPr="004E5B45" w:rsidRDefault="00602E78" w:rsidP="00136E7B">
      <w:pPr>
        <w:rPr>
          <w:lang w:val="en-GB"/>
        </w:rPr>
      </w:pPr>
      <w:r>
        <w:rPr>
          <w:lang w:val="en-GB"/>
        </w:rPr>
        <w:t xml:space="preserve">On occasion, </w:t>
      </w:r>
      <w:r w:rsidR="00136E7B" w:rsidRPr="004E5B45">
        <w:rPr>
          <w:lang w:val="en-GB"/>
        </w:rPr>
        <w:t xml:space="preserve">TSB </w:t>
      </w:r>
      <w:r w:rsidR="00ED0B09">
        <w:rPr>
          <w:lang w:val="en-GB"/>
        </w:rPr>
        <w:t xml:space="preserve">also </w:t>
      </w:r>
      <w:r w:rsidR="00136E7B" w:rsidRPr="004E5B45">
        <w:rPr>
          <w:lang w:val="en-GB"/>
        </w:rPr>
        <w:t>offer</w:t>
      </w:r>
      <w:r w:rsidR="00ED0B09">
        <w:rPr>
          <w:lang w:val="en-GB"/>
        </w:rPr>
        <w:t>s</w:t>
      </w:r>
      <w:r w:rsidR="00136E7B" w:rsidRPr="004E5B45">
        <w:rPr>
          <w:lang w:val="en-GB"/>
        </w:rPr>
        <w:t xml:space="preserve"> training</w:t>
      </w:r>
      <w:r w:rsidR="00ED0B09">
        <w:rPr>
          <w:lang w:val="en-GB"/>
        </w:rPr>
        <w:t>s</w:t>
      </w:r>
      <w:r w:rsidR="00136E7B" w:rsidRPr="004E5B45">
        <w:rPr>
          <w:lang w:val="en-GB"/>
        </w:rPr>
        <w:t xml:space="preserve"> on the use of TSB services and tools.</w:t>
      </w:r>
      <w:r w:rsidR="00CE32C3">
        <w:rPr>
          <w:lang w:val="en-GB"/>
        </w:rPr>
        <w:t xml:space="preserve"> </w:t>
      </w:r>
      <w:r>
        <w:rPr>
          <w:lang w:val="en-GB"/>
        </w:rPr>
        <w:t xml:space="preserve">These trainings </w:t>
      </w:r>
      <w:r w:rsidR="00136E7B" w:rsidRPr="004E5B45">
        <w:rPr>
          <w:lang w:val="en-GB"/>
        </w:rPr>
        <w:t>introduc</w:t>
      </w:r>
      <w:r>
        <w:rPr>
          <w:lang w:val="en-GB"/>
        </w:rPr>
        <w:t>e</w:t>
      </w:r>
      <w:r w:rsidR="00136E7B" w:rsidRPr="004E5B45">
        <w:rPr>
          <w:lang w:val="en-GB"/>
        </w:rPr>
        <w:t xml:space="preserve"> services and tools including remote participation, </w:t>
      </w:r>
      <w:proofErr w:type="spellStart"/>
      <w:r w:rsidR="00136E7B" w:rsidRPr="004E5B45">
        <w:rPr>
          <w:lang w:val="en-GB"/>
        </w:rPr>
        <w:t>MyWorkspace</w:t>
      </w:r>
      <w:proofErr w:type="spellEnd"/>
      <w:r w:rsidR="00136E7B" w:rsidRPr="004E5B45">
        <w:rPr>
          <w:lang w:val="en-GB"/>
        </w:rPr>
        <w:t xml:space="preserve"> and publications. </w:t>
      </w:r>
      <w:r w:rsidR="0041563B">
        <w:rPr>
          <w:lang w:val="en-GB"/>
        </w:rPr>
        <w:t xml:space="preserve">Such BSG trainings </w:t>
      </w:r>
      <w:r w:rsidR="00761C5A">
        <w:rPr>
          <w:lang w:val="en-GB"/>
        </w:rPr>
        <w:t>facilitate</w:t>
      </w:r>
      <w:r w:rsidR="00136E7B" w:rsidRPr="004E5B45">
        <w:rPr>
          <w:lang w:val="en-GB"/>
        </w:rPr>
        <w:t xml:space="preserve"> more active and efficient participation in ITU-T work, particularly in view of the upcoming WTSA-20. For more on TSB services and tools, see section 1</w:t>
      </w:r>
      <w:r w:rsidR="009C158E">
        <w:rPr>
          <w:lang w:val="en-GB"/>
        </w:rPr>
        <w:t>5</w:t>
      </w:r>
      <w:r w:rsidR="00136E7B" w:rsidRPr="004E5B45">
        <w:rPr>
          <w:lang w:val="en-GB"/>
        </w:rPr>
        <w:t>.</w:t>
      </w:r>
    </w:p>
    <w:p w14:paraId="095B0398" w14:textId="6ED58E61" w:rsidR="00136E7B" w:rsidRPr="00E12930" w:rsidRDefault="00BA3326" w:rsidP="00136E7B">
      <w:pPr>
        <w:pStyle w:val="Heading2"/>
      </w:pPr>
      <w:bookmarkStart w:id="128" w:name="_Toc480527848"/>
      <w:bookmarkStart w:id="129" w:name="_Toc51042271"/>
      <w:r w:rsidRPr="00E12930">
        <w:t>8</w:t>
      </w:r>
      <w:r w:rsidR="00136E7B" w:rsidRPr="00E12930">
        <w:t>.2</w:t>
      </w:r>
      <w:r w:rsidR="00136E7B" w:rsidRPr="00E12930">
        <w:tab/>
        <w:t>Regional Groups</w:t>
      </w:r>
      <w:bookmarkEnd w:id="128"/>
      <w:bookmarkEnd w:id="129"/>
    </w:p>
    <w:p w14:paraId="03A59EE3" w14:textId="310DB9E7" w:rsidR="00136E7B" w:rsidRPr="00A71EEB" w:rsidRDefault="00136E7B" w:rsidP="00136E7B">
      <w:pPr>
        <w:rPr>
          <w:szCs w:val="24"/>
          <w:lang w:val="en-GB"/>
        </w:rPr>
      </w:pPr>
      <w:bookmarkStart w:id="130" w:name="_Toc480527849"/>
      <w:r w:rsidRPr="00E12930">
        <w:rPr>
          <w:lang w:val="en-GB"/>
        </w:rPr>
        <w:t xml:space="preserve">Regional Groups within ITU-T SGs have proven effective mechanisms to coordinate regional contributions to ITU and increase the number and quality of technical contributions from developing </w:t>
      </w:r>
      <w:r w:rsidRPr="00A71EEB">
        <w:rPr>
          <w:lang w:val="en-GB"/>
        </w:rPr>
        <w:t xml:space="preserve">countries. </w:t>
      </w:r>
      <w:r w:rsidR="00A71EEB" w:rsidRPr="00A71EEB">
        <w:rPr>
          <w:lang w:val="en-GB"/>
        </w:rPr>
        <w:t>About</w:t>
      </w:r>
      <w:r w:rsidRPr="00A71EEB">
        <w:rPr>
          <w:lang w:val="en-GB"/>
        </w:rPr>
        <w:t xml:space="preserve"> 3</w:t>
      </w:r>
      <w:r w:rsidR="00A71EEB" w:rsidRPr="00A71EEB">
        <w:rPr>
          <w:lang w:val="en-GB"/>
        </w:rPr>
        <w:t>0</w:t>
      </w:r>
      <w:r w:rsidRPr="00A71EEB">
        <w:rPr>
          <w:lang w:val="en-GB"/>
        </w:rPr>
        <w:t xml:space="preserve">0 participants attended the </w:t>
      </w:r>
      <w:r w:rsidR="00E55740" w:rsidRPr="00A71EEB">
        <w:rPr>
          <w:lang w:val="en-GB"/>
        </w:rPr>
        <w:t>eight</w:t>
      </w:r>
      <w:r w:rsidRPr="00A71EEB">
        <w:rPr>
          <w:szCs w:val="24"/>
          <w:lang w:val="en-GB"/>
        </w:rPr>
        <w:t xml:space="preserve"> Regional Group meetings held since </w:t>
      </w:r>
      <w:r w:rsidR="00523CEE" w:rsidRPr="00A71EEB">
        <w:rPr>
          <w:szCs w:val="24"/>
          <w:lang w:val="en-GB"/>
        </w:rPr>
        <w:t>January 2020</w:t>
      </w:r>
      <w:r w:rsidRPr="00A71EEB">
        <w:rPr>
          <w:szCs w:val="24"/>
          <w:lang w:val="en-GB"/>
        </w:rPr>
        <w:t>:</w:t>
      </w:r>
    </w:p>
    <w:p w14:paraId="03CD1494" w14:textId="73CD932A" w:rsidR="00136E7B" w:rsidRPr="00D75A2A" w:rsidRDefault="00D75A2A" w:rsidP="0063096B">
      <w:pPr>
        <w:numPr>
          <w:ilvl w:val="0"/>
          <w:numId w:val="23"/>
        </w:numPr>
        <w:rPr>
          <w:lang w:val="en-GB"/>
        </w:rPr>
      </w:pPr>
      <w:r w:rsidRPr="00D75A2A">
        <w:rPr>
          <w:lang w:val="en-GB"/>
        </w:rPr>
        <w:t>Three</w:t>
      </w:r>
      <w:r w:rsidR="00136E7B" w:rsidRPr="00D75A2A">
        <w:rPr>
          <w:lang w:val="en-GB"/>
        </w:rPr>
        <w:t xml:space="preserve"> in Africa (SGs </w:t>
      </w:r>
      <w:r w:rsidR="00CF3CA7" w:rsidRPr="00D75A2A">
        <w:rPr>
          <w:lang w:val="en-GB"/>
        </w:rPr>
        <w:t xml:space="preserve">3, </w:t>
      </w:r>
      <w:r w:rsidR="00136E7B" w:rsidRPr="00D75A2A">
        <w:rPr>
          <w:lang w:val="en-GB"/>
        </w:rPr>
        <w:t>1</w:t>
      </w:r>
      <w:r w:rsidR="00D31928" w:rsidRPr="00D75A2A">
        <w:rPr>
          <w:lang w:val="en-GB"/>
        </w:rPr>
        <w:t>2</w:t>
      </w:r>
      <w:r w:rsidR="00136E7B" w:rsidRPr="00D75A2A">
        <w:rPr>
          <w:lang w:val="en-GB"/>
        </w:rPr>
        <w:t xml:space="preserve"> and </w:t>
      </w:r>
      <w:r w:rsidRPr="00D75A2A">
        <w:rPr>
          <w:lang w:val="en-GB"/>
        </w:rPr>
        <w:t>13</w:t>
      </w:r>
      <w:r w:rsidR="00136E7B" w:rsidRPr="00D75A2A">
        <w:rPr>
          <w:lang w:val="en-GB"/>
        </w:rPr>
        <w:t>)</w:t>
      </w:r>
    </w:p>
    <w:p w14:paraId="1D65C8DE" w14:textId="4960DEB2" w:rsidR="006D5AF7" w:rsidRDefault="00136E7B" w:rsidP="0063096B">
      <w:pPr>
        <w:numPr>
          <w:ilvl w:val="0"/>
          <w:numId w:val="27"/>
        </w:numPr>
      </w:pPr>
      <w:r w:rsidRPr="00CF3CA7">
        <w:lastRenderedPageBreak/>
        <w:t>SG</w:t>
      </w:r>
      <w:r w:rsidR="007A0B0C">
        <w:t>3</w:t>
      </w:r>
      <w:r w:rsidR="00FD44F8">
        <w:t>-</w:t>
      </w:r>
      <w:r w:rsidRPr="00CF3CA7">
        <w:t>RG-AFR:</w:t>
      </w:r>
      <w:r w:rsidRPr="00CF3CA7">
        <w:rPr>
          <w:bCs/>
          <w:lang w:val="en-GB"/>
        </w:rPr>
        <w:t xml:space="preserve"> </w:t>
      </w:r>
      <w:r w:rsidR="00984B81" w:rsidRPr="00CF3CA7">
        <w:t>virtual</w:t>
      </w:r>
      <w:r w:rsidRPr="00CF3CA7">
        <w:t xml:space="preserve">, </w:t>
      </w:r>
      <w:r w:rsidR="00984B81" w:rsidRPr="00CF3CA7">
        <w:t>6-10 July 2020</w:t>
      </w:r>
      <w:r w:rsidRPr="00CF3CA7">
        <w:t xml:space="preserve">: </w:t>
      </w:r>
      <w:r w:rsidR="00CF3CA7" w:rsidRPr="00CF3CA7">
        <w:t>34</w:t>
      </w:r>
      <w:r w:rsidRPr="00CF3CA7">
        <w:t xml:space="preserve"> participants</w:t>
      </w:r>
      <w:r w:rsidR="006D5AF7">
        <w:t>.</w:t>
      </w:r>
    </w:p>
    <w:p w14:paraId="05F2EFF7" w14:textId="17D4C399" w:rsidR="00136E7B" w:rsidRPr="002B4C51" w:rsidRDefault="00136E7B" w:rsidP="0063096B">
      <w:pPr>
        <w:numPr>
          <w:ilvl w:val="0"/>
          <w:numId w:val="27"/>
        </w:numPr>
        <w:rPr>
          <w:lang w:val="en-GB"/>
        </w:rPr>
      </w:pPr>
      <w:r w:rsidRPr="00D31B99">
        <w:rPr>
          <w:bCs/>
          <w:lang w:val="en-GB"/>
        </w:rPr>
        <w:t>SG1</w:t>
      </w:r>
      <w:r w:rsidR="00D31B99" w:rsidRPr="00D31B99">
        <w:rPr>
          <w:bCs/>
          <w:lang w:val="en-GB"/>
        </w:rPr>
        <w:t>2</w:t>
      </w:r>
      <w:r w:rsidRPr="00D31B99">
        <w:rPr>
          <w:bCs/>
          <w:lang w:val="en-GB"/>
        </w:rPr>
        <w:t>-RG</w:t>
      </w:r>
      <w:r w:rsidR="00FD44F8">
        <w:rPr>
          <w:bCs/>
          <w:lang w:val="en-GB"/>
        </w:rPr>
        <w:t>-</w:t>
      </w:r>
      <w:r w:rsidRPr="00D31B99">
        <w:rPr>
          <w:bCs/>
          <w:lang w:val="en-GB"/>
        </w:rPr>
        <w:t xml:space="preserve">AFR: </w:t>
      </w:r>
      <w:r w:rsidR="00D31B99" w:rsidRPr="00D31B99">
        <w:rPr>
          <w:bCs/>
          <w:lang w:val="en-GB"/>
        </w:rPr>
        <w:t xml:space="preserve">N'Djamena, Chad, 4-5 March </w:t>
      </w:r>
      <w:r w:rsidR="00D31B99" w:rsidRPr="002B4C51">
        <w:rPr>
          <w:bCs/>
          <w:lang w:val="en-GB"/>
        </w:rPr>
        <w:t>2020</w:t>
      </w:r>
      <w:r w:rsidRPr="002B4C51">
        <w:rPr>
          <w:bCs/>
          <w:lang w:val="en-GB"/>
        </w:rPr>
        <w:t xml:space="preserve">: </w:t>
      </w:r>
      <w:r w:rsidR="002B4C51" w:rsidRPr="002B4C51">
        <w:rPr>
          <w:bCs/>
          <w:lang w:val="en-GB"/>
        </w:rPr>
        <w:t>50</w:t>
      </w:r>
      <w:r w:rsidRPr="002B4C51">
        <w:rPr>
          <w:bCs/>
          <w:lang w:val="en-GB"/>
        </w:rPr>
        <w:t xml:space="preserve"> participants.</w:t>
      </w:r>
    </w:p>
    <w:p w14:paraId="53EC8E67" w14:textId="28639773" w:rsidR="00136E7B" w:rsidRPr="00BF38B0" w:rsidRDefault="00136E7B" w:rsidP="0063096B">
      <w:pPr>
        <w:numPr>
          <w:ilvl w:val="0"/>
          <w:numId w:val="27"/>
        </w:numPr>
        <w:rPr>
          <w:lang w:val="en-GB"/>
        </w:rPr>
      </w:pPr>
      <w:r w:rsidRPr="00BF38B0">
        <w:rPr>
          <w:bCs/>
          <w:lang w:val="en-GB"/>
        </w:rPr>
        <w:t>SG</w:t>
      </w:r>
      <w:r w:rsidR="00BF38B0" w:rsidRPr="00BF38B0">
        <w:rPr>
          <w:bCs/>
          <w:lang w:val="en-GB"/>
        </w:rPr>
        <w:t>13</w:t>
      </w:r>
      <w:r w:rsidRPr="00BF38B0">
        <w:rPr>
          <w:bCs/>
          <w:lang w:val="en-GB"/>
        </w:rPr>
        <w:t>-RG</w:t>
      </w:r>
      <w:r w:rsidR="00FD44F8">
        <w:rPr>
          <w:bCs/>
          <w:lang w:val="en-GB"/>
        </w:rPr>
        <w:t>-</w:t>
      </w:r>
      <w:r w:rsidRPr="00BF38B0">
        <w:rPr>
          <w:bCs/>
          <w:lang w:val="en-GB"/>
        </w:rPr>
        <w:t xml:space="preserve">AFR: Abuja, Nigeria, </w:t>
      </w:r>
      <w:r w:rsidR="00BF38B0" w:rsidRPr="00BF38B0">
        <w:rPr>
          <w:bCs/>
          <w:lang w:val="en-GB"/>
        </w:rPr>
        <w:t xml:space="preserve">5-6 February </w:t>
      </w:r>
      <w:r w:rsidR="00BF38B0" w:rsidRPr="00322BA8">
        <w:rPr>
          <w:bCs/>
          <w:lang w:val="en-GB"/>
        </w:rPr>
        <w:t>2020</w:t>
      </w:r>
      <w:r w:rsidRPr="00322BA8">
        <w:rPr>
          <w:bCs/>
          <w:lang w:val="en-GB"/>
        </w:rPr>
        <w:t xml:space="preserve">: </w:t>
      </w:r>
      <w:r w:rsidR="00322BA8" w:rsidRPr="00322BA8">
        <w:rPr>
          <w:bCs/>
          <w:lang w:val="en-GB"/>
        </w:rPr>
        <w:t>115</w:t>
      </w:r>
      <w:r w:rsidRPr="00322BA8">
        <w:rPr>
          <w:bCs/>
          <w:lang w:val="en-GB"/>
        </w:rPr>
        <w:t xml:space="preserve"> participants</w:t>
      </w:r>
      <w:r w:rsidRPr="00BF38B0">
        <w:rPr>
          <w:bCs/>
          <w:lang w:val="en-GB"/>
        </w:rPr>
        <w:t>.</w:t>
      </w:r>
    </w:p>
    <w:p w14:paraId="351FDDAF" w14:textId="7FF5488C" w:rsidR="00136E7B" w:rsidRPr="00FE1D2C" w:rsidRDefault="00136E7B" w:rsidP="0063096B">
      <w:pPr>
        <w:numPr>
          <w:ilvl w:val="0"/>
          <w:numId w:val="24"/>
        </w:numPr>
        <w:rPr>
          <w:lang w:val="en-GB"/>
        </w:rPr>
      </w:pPr>
      <w:r w:rsidRPr="00FE1D2C">
        <w:rPr>
          <w:lang w:val="en-GB"/>
        </w:rPr>
        <w:t>One for the Americas (SG</w:t>
      </w:r>
      <w:r w:rsidR="00FE1D2C" w:rsidRPr="00FE1D2C">
        <w:rPr>
          <w:lang w:val="en-GB"/>
        </w:rPr>
        <w:t>3</w:t>
      </w:r>
      <w:r w:rsidRPr="00FE1D2C">
        <w:rPr>
          <w:lang w:val="en-GB"/>
        </w:rPr>
        <w:t>)</w:t>
      </w:r>
    </w:p>
    <w:p w14:paraId="0599DE21" w14:textId="187C215D" w:rsidR="00DD24CB" w:rsidRPr="00B234C5" w:rsidRDefault="00DD24CB" w:rsidP="0063096B">
      <w:pPr>
        <w:numPr>
          <w:ilvl w:val="1"/>
          <w:numId w:val="25"/>
        </w:numPr>
        <w:rPr>
          <w:rStyle w:val="Strong"/>
          <w:b w:val="0"/>
          <w:bCs w:val="0"/>
          <w:lang w:val="es-ES"/>
        </w:rPr>
      </w:pPr>
      <w:r w:rsidRPr="00B234C5">
        <w:rPr>
          <w:rStyle w:val="Strong"/>
          <w:b w:val="0"/>
          <w:bCs w:val="0"/>
          <w:lang w:val="es-ES"/>
        </w:rPr>
        <w:t>SG3</w:t>
      </w:r>
      <w:r w:rsidR="00FD44F8">
        <w:rPr>
          <w:rStyle w:val="Strong"/>
          <w:b w:val="0"/>
          <w:bCs w:val="0"/>
          <w:lang w:val="es-ES"/>
        </w:rPr>
        <w:t>-</w:t>
      </w:r>
      <w:r w:rsidRPr="00B234C5">
        <w:rPr>
          <w:rStyle w:val="Strong"/>
          <w:b w:val="0"/>
          <w:bCs w:val="0"/>
          <w:lang w:val="es-ES"/>
        </w:rPr>
        <w:t xml:space="preserve">RG-LAC: virtual, 15-17 </w:t>
      </w:r>
      <w:proofErr w:type="spellStart"/>
      <w:r w:rsidRPr="00B234C5">
        <w:rPr>
          <w:rStyle w:val="Strong"/>
          <w:b w:val="0"/>
          <w:bCs w:val="0"/>
          <w:lang w:val="es-ES"/>
        </w:rPr>
        <w:t>July</w:t>
      </w:r>
      <w:proofErr w:type="spellEnd"/>
      <w:r w:rsidRPr="00B234C5">
        <w:rPr>
          <w:rStyle w:val="Strong"/>
          <w:b w:val="0"/>
          <w:bCs w:val="0"/>
          <w:lang w:val="es-ES"/>
        </w:rPr>
        <w:t xml:space="preserve"> 2020: </w:t>
      </w:r>
      <w:r w:rsidR="00B234C5" w:rsidRPr="00B234C5">
        <w:rPr>
          <w:rStyle w:val="Strong"/>
          <w:b w:val="0"/>
          <w:bCs w:val="0"/>
          <w:lang w:val="es-ES"/>
        </w:rPr>
        <w:t xml:space="preserve">23 </w:t>
      </w:r>
      <w:proofErr w:type="spellStart"/>
      <w:r w:rsidRPr="00B234C5">
        <w:rPr>
          <w:rStyle w:val="Strong"/>
          <w:b w:val="0"/>
          <w:bCs w:val="0"/>
          <w:lang w:val="es-ES"/>
        </w:rPr>
        <w:t>participants</w:t>
      </w:r>
      <w:proofErr w:type="spellEnd"/>
      <w:r w:rsidRPr="00B234C5">
        <w:rPr>
          <w:rStyle w:val="Strong"/>
          <w:b w:val="0"/>
          <w:bCs w:val="0"/>
          <w:lang w:val="es-ES"/>
        </w:rPr>
        <w:t>.</w:t>
      </w:r>
    </w:p>
    <w:p w14:paraId="6425E1FD" w14:textId="6F87750E" w:rsidR="00136E7B" w:rsidRPr="009D233E" w:rsidRDefault="009D233E" w:rsidP="0063096B">
      <w:pPr>
        <w:numPr>
          <w:ilvl w:val="0"/>
          <w:numId w:val="24"/>
        </w:numPr>
        <w:rPr>
          <w:lang w:val="en-GB"/>
        </w:rPr>
      </w:pPr>
      <w:r w:rsidRPr="009D233E">
        <w:rPr>
          <w:lang w:val="en-GB"/>
        </w:rPr>
        <w:t>One</w:t>
      </w:r>
      <w:r w:rsidR="00136E7B" w:rsidRPr="009D233E">
        <w:rPr>
          <w:lang w:val="en-GB"/>
        </w:rPr>
        <w:t xml:space="preserve"> for the Arab States (SG3)</w:t>
      </w:r>
    </w:p>
    <w:p w14:paraId="003B76D6" w14:textId="1BF394B3" w:rsidR="00136E7B" w:rsidRPr="008F40E1" w:rsidRDefault="00136E7B" w:rsidP="0063096B">
      <w:pPr>
        <w:numPr>
          <w:ilvl w:val="0"/>
          <w:numId w:val="26"/>
        </w:numPr>
        <w:rPr>
          <w:lang w:val="en-GB"/>
        </w:rPr>
      </w:pPr>
      <w:r w:rsidRPr="008F40E1">
        <w:rPr>
          <w:lang w:val="en-GB"/>
        </w:rPr>
        <w:t>SG3-RG</w:t>
      </w:r>
      <w:r w:rsidR="00FD44F8">
        <w:rPr>
          <w:lang w:val="en-GB"/>
        </w:rPr>
        <w:t>-</w:t>
      </w:r>
      <w:r w:rsidRPr="008F40E1">
        <w:rPr>
          <w:lang w:val="en-GB"/>
        </w:rPr>
        <w:t>ARB</w:t>
      </w:r>
      <w:r w:rsidR="008F40E1" w:rsidRPr="008F40E1">
        <w:t xml:space="preserve">: </w:t>
      </w:r>
      <w:r w:rsidR="008F40E1" w:rsidRPr="008F40E1">
        <w:rPr>
          <w:lang w:val="en-GB"/>
        </w:rPr>
        <w:t>virtual, 28 July 2020</w:t>
      </w:r>
      <w:r w:rsidRPr="008F40E1">
        <w:rPr>
          <w:lang w:val="en-GB"/>
        </w:rPr>
        <w:t xml:space="preserve">: </w:t>
      </w:r>
      <w:r w:rsidR="008F40E1" w:rsidRPr="008F40E1">
        <w:rPr>
          <w:lang w:val="en-GB"/>
        </w:rPr>
        <w:t>12</w:t>
      </w:r>
      <w:r w:rsidRPr="008F40E1">
        <w:rPr>
          <w:lang w:val="en-GB"/>
        </w:rPr>
        <w:t xml:space="preserve"> participants.</w:t>
      </w:r>
    </w:p>
    <w:p w14:paraId="3DEBB273" w14:textId="77777777" w:rsidR="00136E7B" w:rsidRPr="00081F76" w:rsidRDefault="00136E7B" w:rsidP="0063096B">
      <w:pPr>
        <w:numPr>
          <w:ilvl w:val="0"/>
          <w:numId w:val="24"/>
        </w:numPr>
        <w:rPr>
          <w:lang w:val="en-GB"/>
        </w:rPr>
      </w:pPr>
      <w:r w:rsidRPr="00081F76">
        <w:rPr>
          <w:lang w:val="en-GB"/>
        </w:rPr>
        <w:t>One for Asia and Oceania (SG3).</w:t>
      </w:r>
    </w:p>
    <w:p w14:paraId="1629BACF" w14:textId="7742BE22" w:rsidR="00136E7B" w:rsidRDefault="00136E7B" w:rsidP="0063096B">
      <w:pPr>
        <w:numPr>
          <w:ilvl w:val="0"/>
          <w:numId w:val="31"/>
        </w:numPr>
        <w:rPr>
          <w:lang w:val="it-IT"/>
        </w:rPr>
      </w:pPr>
      <w:r w:rsidRPr="00AC51D1">
        <w:rPr>
          <w:lang w:val="it-IT"/>
        </w:rPr>
        <w:t>SG3-RG</w:t>
      </w:r>
      <w:r w:rsidR="00FD44F8">
        <w:rPr>
          <w:lang w:val="it-IT"/>
        </w:rPr>
        <w:t>-</w:t>
      </w:r>
      <w:r w:rsidRPr="00AC51D1">
        <w:rPr>
          <w:lang w:val="it-IT"/>
        </w:rPr>
        <w:t xml:space="preserve">AO: </w:t>
      </w:r>
      <w:r w:rsidR="00AC51D1" w:rsidRPr="00AC51D1">
        <w:rPr>
          <w:lang w:val="it-IT"/>
        </w:rPr>
        <w:t>virtual, 15-17 July 2020</w:t>
      </w:r>
      <w:r w:rsidRPr="00AC51D1">
        <w:rPr>
          <w:lang w:val="it-IT"/>
        </w:rPr>
        <w:t xml:space="preserve">: </w:t>
      </w:r>
      <w:r w:rsidR="00AC51D1" w:rsidRPr="00AC51D1">
        <w:rPr>
          <w:lang w:val="it-IT"/>
        </w:rPr>
        <w:t>23</w:t>
      </w:r>
      <w:r w:rsidRPr="00AC51D1">
        <w:rPr>
          <w:lang w:val="it-IT"/>
        </w:rPr>
        <w:t xml:space="preserve"> participants</w:t>
      </w:r>
      <w:r w:rsidR="00966671">
        <w:rPr>
          <w:lang w:val="it-IT"/>
        </w:rPr>
        <w:t xml:space="preserve">, </w:t>
      </w:r>
      <w:r w:rsidR="00966671">
        <w:t xml:space="preserve">followed by ad-hoc </w:t>
      </w:r>
      <w:r w:rsidR="00966671" w:rsidRPr="00CF3CA7">
        <w:t>SG</w:t>
      </w:r>
      <w:r w:rsidR="00966671">
        <w:t>3</w:t>
      </w:r>
      <w:r w:rsidR="00966671" w:rsidRPr="00CF3CA7">
        <w:t>RG-AFR</w:t>
      </w:r>
      <w:r w:rsidR="00966671">
        <w:t xml:space="preserve"> e-meeting on </w:t>
      </w:r>
      <w:r w:rsidR="00966671" w:rsidRPr="006D5AF7">
        <w:t>15 July 2020</w:t>
      </w:r>
      <w:r w:rsidRPr="00AC51D1">
        <w:rPr>
          <w:lang w:val="it-IT"/>
        </w:rPr>
        <w:t>.</w:t>
      </w:r>
    </w:p>
    <w:p w14:paraId="25BCEE97" w14:textId="36B13034" w:rsidR="00AA7E94" w:rsidRPr="00081F76" w:rsidRDefault="00257963" w:rsidP="0063096B">
      <w:pPr>
        <w:numPr>
          <w:ilvl w:val="0"/>
          <w:numId w:val="24"/>
        </w:numPr>
        <w:rPr>
          <w:lang w:val="en-GB"/>
        </w:rPr>
      </w:pPr>
      <w:r>
        <w:rPr>
          <w:lang w:val="en-GB"/>
        </w:rPr>
        <w:t>Two</w:t>
      </w:r>
      <w:r w:rsidR="00AA7E94" w:rsidRPr="00081F76">
        <w:rPr>
          <w:lang w:val="en-GB"/>
        </w:rPr>
        <w:t xml:space="preserve"> for </w:t>
      </w:r>
      <w:r w:rsidR="00AA7E94" w:rsidRPr="00AA7E94">
        <w:rPr>
          <w:lang w:val="en-GB"/>
        </w:rPr>
        <w:t xml:space="preserve">Eastern Europe, Central </w:t>
      </w:r>
      <w:proofErr w:type="gramStart"/>
      <w:r w:rsidR="00AA7E94" w:rsidRPr="00AA7E94">
        <w:rPr>
          <w:lang w:val="en-GB"/>
        </w:rPr>
        <w:t>Asia</w:t>
      </w:r>
      <w:proofErr w:type="gramEnd"/>
      <w:r w:rsidR="00AA7E94" w:rsidRPr="00AA7E94">
        <w:rPr>
          <w:lang w:val="en-GB"/>
        </w:rPr>
        <w:t xml:space="preserve"> and Transcaucasia </w:t>
      </w:r>
      <w:r w:rsidR="00AA7E94" w:rsidRPr="00081F76">
        <w:rPr>
          <w:lang w:val="en-GB"/>
        </w:rPr>
        <w:t>(SG3</w:t>
      </w:r>
      <w:r>
        <w:rPr>
          <w:lang w:val="en-GB"/>
        </w:rPr>
        <w:t>, SG20</w:t>
      </w:r>
      <w:r w:rsidR="00AA7E94" w:rsidRPr="00081F76">
        <w:rPr>
          <w:lang w:val="en-GB"/>
        </w:rPr>
        <w:t>).</w:t>
      </w:r>
    </w:p>
    <w:p w14:paraId="3EAA1872" w14:textId="4C9E925E" w:rsidR="00AA7E94" w:rsidRDefault="00AA7E94" w:rsidP="0063096B">
      <w:pPr>
        <w:numPr>
          <w:ilvl w:val="0"/>
          <w:numId w:val="34"/>
        </w:numPr>
        <w:rPr>
          <w:lang w:val="it-IT"/>
        </w:rPr>
      </w:pPr>
      <w:r w:rsidRPr="00AA7E94">
        <w:rPr>
          <w:lang w:val="it-IT"/>
        </w:rPr>
        <w:t>SG3</w:t>
      </w:r>
      <w:r w:rsidR="00FD44F8">
        <w:rPr>
          <w:lang w:val="it-IT"/>
        </w:rPr>
        <w:t>-</w:t>
      </w:r>
      <w:r w:rsidRPr="00AA7E94">
        <w:rPr>
          <w:lang w:val="it-IT"/>
        </w:rPr>
        <w:t>RG-EECAT</w:t>
      </w:r>
      <w:r>
        <w:rPr>
          <w:lang w:val="it-IT"/>
        </w:rPr>
        <w:t xml:space="preserve">: </w:t>
      </w:r>
      <w:r w:rsidRPr="00AA7E94">
        <w:rPr>
          <w:lang w:val="it-IT"/>
        </w:rPr>
        <w:t>Minsk, Belarus, 4 March 2020</w:t>
      </w:r>
      <w:r>
        <w:rPr>
          <w:lang w:val="it-IT"/>
        </w:rPr>
        <w:t xml:space="preserve">: </w:t>
      </w:r>
      <w:r w:rsidR="009507FC">
        <w:rPr>
          <w:lang w:val="it-IT"/>
        </w:rPr>
        <w:t xml:space="preserve">18 </w:t>
      </w:r>
      <w:r>
        <w:rPr>
          <w:lang w:val="it-IT"/>
        </w:rPr>
        <w:t>participants.</w:t>
      </w:r>
    </w:p>
    <w:p w14:paraId="1B381B66" w14:textId="11CC46A2" w:rsidR="00BF58A4" w:rsidRPr="00AC51D1" w:rsidRDefault="00BF58A4" w:rsidP="0063096B">
      <w:pPr>
        <w:numPr>
          <w:ilvl w:val="0"/>
          <w:numId w:val="34"/>
        </w:numPr>
        <w:rPr>
          <w:lang w:val="it-IT"/>
        </w:rPr>
      </w:pPr>
      <w:r w:rsidRPr="00BF58A4">
        <w:rPr>
          <w:lang w:val="it-IT"/>
        </w:rPr>
        <w:t>SG20</w:t>
      </w:r>
      <w:r w:rsidR="00FD44F8">
        <w:rPr>
          <w:lang w:val="it-IT"/>
        </w:rPr>
        <w:t>-</w:t>
      </w:r>
      <w:r w:rsidRPr="00BF58A4">
        <w:rPr>
          <w:lang w:val="it-IT"/>
        </w:rPr>
        <w:t>RG-EECAT</w:t>
      </w:r>
      <w:r>
        <w:rPr>
          <w:lang w:val="it-IT"/>
        </w:rPr>
        <w:t xml:space="preserve">: </w:t>
      </w:r>
      <w:r w:rsidRPr="00BF58A4">
        <w:rPr>
          <w:lang w:val="it-IT"/>
        </w:rPr>
        <w:t>Minsk, Belarus</w:t>
      </w:r>
      <w:r>
        <w:rPr>
          <w:lang w:val="it-IT"/>
        </w:rPr>
        <w:t xml:space="preserve">, </w:t>
      </w:r>
      <w:r w:rsidRPr="00BF58A4">
        <w:rPr>
          <w:lang w:val="it-IT"/>
        </w:rPr>
        <w:t>5 March 2020</w:t>
      </w:r>
      <w:r>
        <w:rPr>
          <w:lang w:val="it-IT"/>
        </w:rPr>
        <w:t xml:space="preserve">: </w:t>
      </w:r>
      <w:r w:rsidR="000047E6">
        <w:rPr>
          <w:lang w:val="it-IT"/>
        </w:rPr>
        <w:t xml:space="preserve">20 </w:t>
      </w:r>
      <w:r>
        <w:rPr>
          <w:lang w:val="it-IT"/>
        </w:rPr>
        <w:t>particpants.</w:t>
      </w:r>
    </w:p>
    <w:p w14:paraId="59F06067" w14:textId="2B086E75" w:rsidR="00136E7B" w:rsidRPr="00F57FAD" w:rsidRDefault="00BA3326" w:rsidP="00136E7B">
      <w:pPr>
        <w:pStyle w:val="Heading2"/>
      </w:pPr>
      <w:bookmarkStart w:id="131" w:name="_Toc51042272"/>
      <w:r>
        <w:t>8</w:t>
      </w:r>
      <w:r w:rsidR="00136E7B" w:rsidRPr="00F57FAD">
        <w:t>.3</w:t>
      </w:r>
      <w:r w:rsidR="00136E7B" w:rsidRPr="00F57FAD">
        <w:tab/>
        <w:t>Regional Standardization Forums</w:t>
      </w:r>
      <w:bookmarkEnd w:id="130"/>
      <w:bookmarkEnd w:id="131"/>
    </w:p>
    <w:p w14:paraId="75AF3B03" w14:textId="77777777" w:rsidR="00136E7B" w:rsidRPr="004E5B45" w:rsidRDefault="00136E7B" w:rsidP="00136E7B">
      <w:pPr>
        <w:rPr>
          <w:lang w:val="en-GB"/>
        </w:rPr>
      </w:pPr>
      <w:r w:rsidRPr="004E5B45">
        <w:rPr>
          <w:lang w:val="en-GB"/>
        </w:rPr>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5E77DBFF" w14:textId="772C341E" w:rsidR="00136E7B" w:rsidRDefault="00136E7B" w:rsidP="00136E7B">
      <w:pPr>
        <w:spacing w:after="120"/>
        <w:rPr>
          <w:lang w:val="en-GB"/>
        </w:rPr>
      </w:pPr>
      <w:r w:rsidRPr="004E5B45">
        <w:rPr>
          <w:lang w:val="en-GB"/>
        </w:rPr>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75D84940" w14:textId="7D5E549A" w:rsidR="00CB05DE" w:rsidRDefault="00CB05DE" w:rsidP="00136E7B">
      <w:pPr>
        <w:spacing w:after="120"/>
        <w:rPr>
          <w:lang w:val="en-GB"/>
        </w:rPr>
      </w:pPr>
      <w:r>
        <w:rPr>
          <w:lang w:val="en-GB"/>
        </w:rPr>
        <w:t xml:space="preserve">One </w:t>
      </w:r>
      <w:hyperlink r:id="rId98" w:history="1">
        <w:r w:rsidRPr="00B90DE7">
          <w:rPr>
            <w:rStyle w:val="Hyperlink"/>
          </w:rPr>
          <w:t>ITU Regional Standardization Forum (RSF)</w:t>
        </w:r>
      </w:hyperlink>
      <w:r w:rsidRPr="00B90DE7">
        <w:t xml:space="preserve"> </w:t>
      </w:r>
      <w:r>
        <w:rPr>
          <w:lang w:val="en-GB"/>
        </w:rPr>
        <w:t xml:space="preserve">and one regional ITU workshop took place during </w:t>
      </w:r>
      <w:r w:rsidR="00CE32C3">
        <w:rPr>
          <w:lang w:val="en-GB"/>
        </w:rPr>
        <w:t>the reporting period</w:t>
      </w:r>
      <w:r>
        <w:rPr>
          <w:lang w:val="en-GB"/>
        </w:rPr>
        <w:t>:</w:t>
      </w:r>
    </w:p>
    <w:p w14:paraId="48A1A61F" w14:textId="3D3A39F4" w:rsidR="00B90DE7" w:rsidRPr="00CB05DE" w:rsidRDefault="00C44FDC" w:rsidP="0063096B">
      <w:pPr>
        <w:pStyle w:val="ListParagraph"/>
        <w:numPr>
          <w:ilvl w:val="0"/>
          <w:numId w:val="32"/>
        </w:numPr>
        <w:spacing w:after="120"/>
        <w:ind w:left="714" w:hanging="357"/>
        <w:contextualSpacing w:val="0"/>
        <w:rPr>
          <w:rFonts w:ascii="Times New Roman" w:hAnsi="Times New Roman"/>
          <w:sz w:val="24"/>
          <w:szCs w:val="24"/>
        </w:rPr>
      </w:pPr>
      <w:hyperlink r:id="rId99" w:history="1">
        <w:r w:rsidR="00B90DE7" w:rsidRPr="00CB05DE">
          <w:rPr>
            <w:rStyle w:val="Hyperlink"/>
            <w:rFonts w:ascii="Times New Roman" w:hAnsi="Times New Roman"/>
            <w:sz w:val="24"/>
            <w:szCs w:val="24"/>
          </w:rPr>
          <w:t>ITU Regional Standardization Forum (RSF)</w:t>
        </w:r>
      </w:hyperlink>
      <w:r w:rsidR="00B90DE7" w:rsidRPr="00CB05DE">
        <w:rPr>
          <w:rFonts w:ascii="Times New Roman" w:hAnsi="Times New Roman"/>
          <w:sz w:val="24"/>
          <w:szCs w:val="24"/>
        </w:rPr>
        <w:t xml:space="preserve"> on </w:t>
      </w:r>
      <w:hyperlink r:id="rId100" w:history="1">
        <w:r w:rsidR="00B90DE7" w:rsidRPr="00CB05DE">
          <w:rPr>
            <w:rStyle w:val="Hyperlink"/>
            <w:rFonts w:ascii="Times New Roman" w:hAnsi="Times New Roman"/>
            <w:bCs/>
            <w:sz w:val="24"/>
            <w:szCs w:val="24"/>
          </w:rPr>
          <w:t>“Smart sustainable cities: from concept to implementation”</w:t>
        </w:r>
      </w:hyperlink>
      <w:r w:rsidR="00B90DE7" w:rsidRPr="00CB05DE">
        <w:rPr>
          <w:rFonts w:ascii="Times New Roman" w:hAnsi="Times New Roman"/>
          <w:sz w:val="24"/>
          <w:szCs w:val="24"/>
        </w:rPr>
        <w:t>, Minsk, Belarus, 3 to 5 March 2020.</w:t>
      </w:r>
    </w:p>
    <w:p w14:paraId="7DCE0999" w14:textId="4013E6C4" w:rsidR="00855BA2" w:rsidRPr="00CB05DE" w:rsidRDefault="00C44FDC" w:rsidP="0063096B">
      <w:pPr>
        <w:pStyle w:val="ListParagraph"/>
        <w:numPr>
          <w:ilvl w:val="0"/>
          <w:numId w:val="32"/>
        </w:numPr>
        <w:spacing w:after="120"/>
        <w:ind w:left="714" w:hanging="357"/>
        <w:contextualSpacing w:val="0"/>
        <w:rPr>
          <w:rFonts w:ascii="Times New Roman" w:hAnsi="Times New Roman"/>
          <w:sz w:val="24"/>
          <w:szCs w:val="24"/>
        </w:rPr>
      </w:pPr>
      <w:hyperlink r:id="rId101" w:history="1">
        <w:r w:rsidR="00855BA2" w:rsidRPr="00DC0B84">
          <w:rPr>
            <w:rStyle w:val="Hyperlink"/>
            <w:rFonts w:ascii="Times New Roman" w:hAnsi="Times New Roman"/>
            <w:sz w:val="24"/>
            <w:szCs w:val="24"/>
          </w:rPr>
          <w:t xml:space="preserve">7th SG13 Regional Workshop on "Standardization of future networks towards Building a </w:t>
        </w:r>
        <w:proofErr w:type="gramStart"/>
        <w:r w:rsidR="00855BA2" w:rsidRPr="00DC0B84">
          <w:rPr>
            <w:rStyle w:val="Hyperlink"/>
            <w:rFonts w:ascii="Times New Roman" w:hAnsi="Times New Roman"/>
            <w:sz w:val="24"/>
            <w:szCs w:val="24"/>
          </w:rPr>
          <w:t>better connected</w:t>
        </w:r>
        <w:proofErr w:type="gramEnd"/>
        <w:r w:rsidR="00855BA2" w:rsidRPr="00DC0B84">
          <w:rPr>
            <w:rStyle w:val="Hyperlink"/>
            <w:rFonts w:ascii="Times New Roman" w:hAnsi="Times New Roman"/>
            <w:sz w:val="24"/>
            <w:szCs w:val="24"/>
          </w:rPr>
          <w:t xml:space="preserve"> Africa"</w:t>
        </w:r>
      </w:hyperlink>
      <w:r w:rsidR="00855BA2" w:rsidRPr="00DC0B84">
        <w:rPr>
          <w:rStyle w:val="Hyperlink"/>
        </w:rPr>
        <w:t>,</w:t>
      </w:r>
      <w:r w:rsidR="00855BA2" w:rsidRPr="00CB05DE">
        <w:rPr>
          <w:rFonts w:ascii="Times New Roman" w:hAnsi="Times New Roman"/>
          <w:sz w:val="24"/>
          <w:szCs w:val="24"/>
        </w:rPr>
        <w:t xml:space="preserve"> </w:t>
      </w:r>
      <w:r w:rsidR="00855BA2" w:rsidRPr="00514BA4">
        <w:rPr>
          <w:rFonts w:ascii="Times New Roman" w:hAnsi="Times New Roman"/>
          <w:sz w:val="24"/>
          <w:szCs w:val="24"/>
          <w:shd w:val="clear" w:color="auto" w:fill="FFFFFF"/>
        </w:rPr>
        <w:t>3-4 February 2020, Abuja, Nigeria.</w:t>
      </w:r>
    </w:p>
    <w:p w14:paraId="385C57ED" w14:textId="0BF71FFB" w:rsidR="00136E7B" w:rsidRPr="00F57FAD" w:rsidRDefault="00BA3326" w:rsidP="00136E7B">
      <w:pPr>
        <w:pStyle w:val="Heading2"/>
      </w:pPr>
      <w:bookmarkStart w:id="132" w:name="_Toc475354525"/>
      <w:bookmarkStart w:id="133" w:name="_Toc480527850"/>
      <w:bookmarkStart w:id="134" w:name="_Toc51042273"/>
      <w:r>
        <w:t>8</w:t>
      </w:r>
      <w:r w:rsidR="00136E7B" w:rsidRPr="00F57FAD">
        <w:t>.4</w:t>
      </w:r>
      <w:r w:rsidR="00136E7B" w:rsidRPr="00F57FAD">
        <w:tab/>
      </w:r>
      <w:bookmarkStart w:id="135" w:name="_Toc475354527"/>
      <w:bookmarkStart w:id="136" w:name="_Toc480527852"/>
      <w:bookmarkEnd w:id="132"/>
      <w:bookmarkEnd w:id="133"/>
      <w:r w:rsidR="00136E7B" w:rsidRPr="00F57FAD">
        <w:t>National Standardization Secretariats</w:t>
      </w:r>
      <w:bookmarkEnd w:id="134"/>
    </w:p>
    <w:p w14:paraId="49A5E023" w14:textId="77777777" w:rsidR="00136E7B" w:rsidRPr="004E5B45" w:rsidRDefault="00136E7B" w:rsidP="00136E7B">
      <w:pPr>
        <w:keepNext/>
        <w:keepLines/>
        <w:rPr>
          <w:lang w:val="en-GB"/>
        </w:rPr>
      </w:pPr>
      <w:r w:rsidRPr="004E5B45">
        <w:rPr>
          <w:lang w:val="en-GB"/>
        </w:rPr>
        <w:t xml:space="preserve">ITU-T’s </w:t>
      </w:r>
      <w:hyperlink r:id="rId102" w:history="1">
        <w:r w:rsidRPr="004E5B45">
          <w:rPr>
            <w:rStyle w:val="Hyperlink"/>
            <w:lang w:val="en-GB"/>
          </w:rPr>
          <w:t>new Guidelines for National Standardization Secretariats (NSS)</w:t>
        </w:r>
      </w:hyperlink>
      <w:r w:rsidRPr="004E5B45">
        <w:rPr>
          <w:lang w:val="en-GB"/>
        </w:rPr>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7B946BAA" w14:textId="77777777" w:rsidR="00136E7B" w:rsidRPr="00662764" w:rsidRDefault="00136E7B" w:rsidP="00136E7B">
      <w:pPr>
        <w:rPr>
          <w:lang w:val="en-GB"/>
        </w:rPr>
      </w:pPr>
      <w:r w:rsidRPr="004E5B45">
        <w:rPr>
          <w:lang w:val="en-GB"/>
        </w:rPr>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07F34781" w14:textId="6DAD3B40" w:rsidR="00136E7B" w:rsidRPr="00F57FAD" w:rsidRDefault="00BA3326" w:rsidP="00136E7B">
      <w:pPr>
        <w:pStyle w:val="Heading2"/>
        <w:keepNext w:val="0"/>
        <w:keepLines w:val="0"/>
      </w:pPr>
      <w:bookmarkStart w:id="137" w:name="_Toc51042274"/>
      <w:r>
        <w:lastRenderedPageBreak/>
        <w:t>8</w:t>
      </w:r>
      <w:r w:rsidR="00136E7B" w:rsidRPr="00F57FAD">
        <w:t>.5</w:t>
      </w:r>
      <w:r w:rsidR="00136E7B" w:rsidRPr="00F57FAD">
        <w:tab/>
        <w:t>e-Learning courses</w:t>
      </w:r>
      <w:bookmarkEnd w:id="135"/>
      <w:bookmarkEnd w:id="136"/>
      <w:bookmarkEnd w:id="137"/>
    </w:p>
    <w:p w14:paraId="1B0AE553" w14:textId="77777777" w:rsidR="00136E7B" w:rsidRPr="004E5B45" w:rsidRDefault="00136E7B" w:rsidP="00136E7B">
      <w:pPr>
        <w:rPr>
          <w:lang w:val="en-GB"/>
        </w:rPr>
      </w:pPr>
      <w:r w:rsidRPr="004E5B45">
        <w:rPr>
          <w:rFonts w:eastAsia="SimSun"/>
          <w:lang w:val="en-GB"/>
        </w:rPr>
        <w:t>One of the BSG measures adopted under WTSA Resolution 44 calls for the exploration of e-learning channels for training on ITU-T Recommendations. These training courses are available on the ITU Academy website at</w:t>
      </w:r>
      <w:r w:rsidRPr="004E5B45">
        <w:rPr>
          <w:lang w:val="en-GB"/>
        </w:rPr>
        <w:t xml:space="preserve"> </w:t>
      </w:r>
      <w:hyperlink r:id="rId103" w:history="1">
        <w:r w:rsidRPr="004E5B45">
          <w:rPr>
            <w:rStyle w:val="Hyperlink"/>
            <w:rFonts w:cstheme="majorBidi"/>
            <w:szCs w:val="24"/>
            <w:lang w:val="en-GB"/>
          </w:rPr>
          <w:t>http://academy.itu.int</w:t>
        </w:r>
      </w:hyperlink>
      <w:r w:rsidRPr="004E5B45">
        <w:rPr>
          <w:lang w:val="en-GB"/>
        </w:rPr>
        <w:t>.</w:t>
      </w:r>
    </w:p>
    <w:p w14:paraId="0C0C633E" w14:textId="48F8509E" w:rsidR="00136E7B" w:rsidRPr="00966747" w:rsidRDefault="5EE8545A" w:rsidP="00136E7B">
      <w:pPr>
        <w:rPr>
          <w:rFonts w:eastAsia="SimSun"/>
          <w:lang w:val="en-GB"/>
        </w:rPr>
      </w:pPr>
      <w:r w:rsidRPr="001E7181">
        <w:rPr>
          <w:rFonts w:eastAsia="SimSun"/>
          <w:lang w:val="en-GB"/>
        </w:rPr>
        <w:t xml:space="preserve">The most recent addition to the </w:t>
      </w:r>
      <w:hyperlink r:id="rId104" w:history="1">
        <w:r w:rsidRPr="00C24099">
          <w:rPr>
            <w:rStyle w:val="Hyperlink"/>
            <w:rFonts w:eastAsia="SimSun"/>
            <w:lang w:val="en-GB"/>
          </w:rPr>
          <w:t>IT</w:t>
        </w:r>
        <w:r w:rsidRPr="005C46CA">
          <w:rPr>
            <w:rStyle w:val="Hyperlink"/>
            <w:rFonts w:eastAsia="SimSun"/>
            <w:lang w:val="en-GB"/>
          </w:rPr>
          <w:t>U Academia platform</w:t>
        </w:r>
      </w:hyperlink>
      <w:r w:rsidRPr="001E7181">
        <w:rPr>
          <w:rFonts w:eastAsia="SimSun"/>
          <w:lang w:val="en-GB"/>
        </w:rPr>
        <w:t xml:space="preserve"> trains developers of systems compliant with ITU-T F.921 “Audio-based indoor and outdoor network navigation system for persons with vision impairment”. The course was developed by </w:t>
      </w:r>
      <w:proofErr w:type="spellStart"/>
      <w:r w:rsidRPr="001E7181">
        <w:rPr>
          <w:rFonts w:eastAsia="SimSun"/>
          <w:lang w:val="en-GB"/>
        </w:rPr>
        <w:t>Wayfindr</w:t>
      </w:r>
      <w:proofErr w:type="spellEnd"/>
      <w:r w:rsidRPr="001E7181">
        <w:rPr>
          <w:rFonts w:eastAsia="SimSun"/>
          <w:lang w:val="en-GB"/>
        </w:rPr>
        <w:t>, in collaboration with TSB and BDT.</w:t>
      </w:r>
    </w:p>
    <w:p w14:paraId="5247FCF1" w14:textId="5371E056" w:rsidR="00136E7B" w:rsidRPr="00F57FAD" w:rsidRDefault="00BA3326" w:rsidP="00136E7B">
      <w:pPr>
        <w:pStyle w:val="Heading2"/>
      </w:pPr>
      <w:bookmarkStart w:id="138" w:name="_Toc475354528"/>
      <w:bookmarkStart w:id="139" w:name="_Toc480527853"/>
      <w:bookmarkStart w:id="140" w:name="_Toc51042275"/>
      <w:r>
        <w:t>8</w:t>
      </w:r>
      <w:r w:rsidR="00136E7B" w:rsidRPr="00F57FAD">
        <w:t>.6</w:t>
      </w:r>
      <w:r w:rsidR="00136E7B" w:rsidRPr="00F57FAD">
        <w:tab/>
      </w:r>
      <w:r w:rsidR="00136E7B">
        <w:t>SG</w:t>
      </w:r>
      <w:r w:rsidR="00136E7B" w:rsidRPr="00F57FAD">
        <w:t xml:space="preserve"> Mentoring Programme</w:t>
      </w:r>
      <w:bookmarkEnd w:id="138"/>
      <w:bookmarkEnd w:id="139"/>
      <w:bookmarkEnd w:id="140"/>
    </w:p>
    <w:p w14:paraId="2EBF84F7" w14:textId="77777777" w:rsidR="00136E7B" w:rsidRPr="00F4004F" w:rsidRDefault="00136E7B" w:rsidP="00136E7B">
      <w:pPr>
        <w:rPr>
          <w:lang w:val="en-GB"/>
        </w:rPr>
      </w:pPr>
      <w:r w:rsidRPr="004E5B45">
        <w:rPr>
          <w:lang w:val="en-GB"/>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045CC24A" w14:textId="7B912830" w:rsidR="00136E7B" w:rsidRPr="00F57FAD" w:rsidRDefault="00BA3326" w:rsidP="00136E7B">
      <w:pPr>
        <w:pStyle w:val="Heading2"/>
      </w:pPr>
      <w:bookmarkStart w:id="141" w:name="_Toc480527855"/>
      <w:bookmarkStart w:id="142" w:name="_Toc51042276"/>
      <w:r>
        <w:t>8</w:t>
      </w:r>
      <w:r w:rsidR="00136E7B" w:rsidRPr="00F57FAD">
        <w:t>.7</w:t>
      </w:r>
      <w:r w:rsidR="00136E7B" w:rsidRPr="00F57FAD">
        <w:tab/>
        <w:t>Technical Papers</w:t>
      </w:r>
      <w:bookmarkEnd w:id="141"/>
      <w:bookmarkEnd w:id="142"/>
    </w:p>
    <w:p w14:paraId="75963A17" w14:textId="38997A36" w:rsidR="00136E7B" w:rsidRPr="00F4004F" w:rsidRDefault="00136E7B" w:rsidP="00136E7B">
      <w:pPr>
        <w:rPr>
          <w:lang w:val="en-GB"/>
        </w:rPr>
      </w:pPr>
      <w:r w:rsidRPr="004E5B45">
        <w:rPr>
          <w:lang w:val="en-GB"/>
        </w:rPr>
        <w:t xml:space="preserve">A series of Technical Reports provide additional information for developing countries on best practices in implementing ITU-T Recommendations. See the Technical Reports </w:t>
      </w:r>
      <w:hyperlink r:id="rId105" w:history="1">
        <w:r w:rsidRPr="004E5B45">
          <w:rPr>
            <w:rStyle w:val="Hyperlink"/>
            <w:rFonts w:asciiTheme="majorBidi" w:hAnsiTheme="majorBidi" w:cstheme="majorBidi"/>
            <w:lang w:val="en-GB"/>
          </w:rPr>
          <w:t>web page</w:t>
        </w:r>
      </w:hyperlink>
      <w:r w:rsidRPr="004E5B45">
        <w:rPr>
          <w:lang w:val="en-GB"/>
        </w:rPr>
        <w:t>.</w:t>
      </w:r>
    </w:p>
    <w:p w14:paraId="72F230DF" w14:textId="6CF1F2F8" w:rsidR="0066307D" w:rsidRPr="00F4004F" w:rsidRDefault="0066307D" w:rsidP="00136E7B">
      <w:pPr>
        <w:rPr>
          <w:lang w:val="en-GB"/>
        </w:rPr>
      </w:pPr>
      <w:r w:rsidRPr="65A54C5D">
        <w:t xml:space="preserve">SG13 recently </w:t>
      </w:r>
      <w:r w:rsidRPr="65A54C5D">
        <w:rPr>
          <w:rFonts w:asciiTheme="majorBidi" w:hAnsiTheme="majorBidi" w:cstheme="majorBidi"/>
        </w:rPr>
        <w:t>agreed</w:t>
      </w:r>
      <w:r w:rsidRPr="65A54C5D">
        <w:t xml:space="preserve"> an </w:t>
      </w:r>
      <w:hyperlink r:id="rId106" w:history="1">
        <w:r w:rsidRPr="00CE32C3">
          <w:rPr>
            <w:rStyle w:val="Hyperlink"/>
            <w:lang w:eastAsia="en-US"/>
          </w:rPr>
          <w:t xml:space="preserve">ITU-T Technical </w:t>
        </w:r>
        <w:r w:rsidR="00CE32C3" w:rsidRPr="00CE32C3">
          <w:rPr>
            <w:rStyle w:val="Hyperlink"/>
            <w:lang w:eastAsia="en-US"/>
          </w:rPr>
          <w:t>Report on the “</w:t>
        </w:r>
        <w:r w:rsidRPr="00CE32C3">
          <w:rPr>
            <w:rStyle w:val="Hyperlink"/>
            <w:lang w:eastAsia="en-US"/>
          </w:rPr>
          <w:t>Use of ITU-T Recommendations by Developing Countries”</w:t>
        </w:r>
      </w:hyperlink>
      <w:r w:rsidRPr="65A54C5D">
        <w:rPr>
          <w:lang w:eastAsia="en-US"/>
        </w:rPr>
        <w:t xml:space="preserve"> </w:t>
      </w:r>
      <w:r w:rsidR="00017936" w:rsidRPr="65A54C5D">
        <w:rPr>
          <w:lang w:eastAsia="en-US"/>
        </w:rPr>
        <w:t xml:space="preserve">which presents the analysis and interpretation of the results of </w:t>
      </w:r>
      <w:r w:rsidR="00D23716" w:rsidRPr="65A54C5D">
        <w:rPr>
          <w:lang w:eastAsia="en-US"/>
        </w:rPr>
        <w:t>a</w:t>
      </w:r>
      <w:r w:rsidR="00017936" w:rsidRPr="65A54C5D">
        <w:rPr>
          <w:lang w:eastAsia="en-US"/>
        </w:rPr>
        <w:t xml:space="preserve"> questionnaire on use of ITU-T Recommendations in </w:t>
      </w:r>
      <w:r w:rsidR="00075613" w:rsidRPr="65A54C5D">
        <w:rPr>
          <w:lang w:eastAsia="en-US"/>
        </w:rPr>
        <w:t>d</w:t>
      </w:r>
      <w:r w:rsidR="00017936" w:rsidRPr="65A54C5D">
        <w:rPr>
          <w:lang w:eastAsia="en-US"/>
        </w:rPr>
        <w:t xml:space="preserve">eveloping </w:t>
      </w:r>
      <w:r w:rsidR="00075613" w:rsidRPr="65A54C5D">
        <w:rPr>
          <w:lang w:eastAsia="en-US"/>
        </w:rPr>
        <w:t>c</w:t>
      </w:r>
      <w:r w:rsidR="00017936" w:rsidRPr="65A54C5D">
        <w:rPr>
          <w:lang w:eastAsia="en-US"/>
        </w:rPr>
        <w:t>ountries.</w:t>
      </w:r>
    </w:p>
    <w:p w14:paraId="1F3F80D0" w14:textId="759E18A3" w:rsidR="00136E7B" w:rsidRPr="00F57FAD" w:rsidRDefault="00BA3326" w:rsidP="00136E7B">
      <w:pPr>
        <w:pStyle w:val="Heading2"/>
      </w:pPr>
      <w:bookmarkStart w:id="143" w:name="_Toc480527856"/>
      <w:bookmarkStart w:id="144" w:name="_Toc51042277"/>
      <w:r>
        <w:t>8</w:t>
      </w:r>
      <w:r w:rsidR="00136E7B" w:rsidRPr="00F57FAD">
        <w:t>.8</w:t>
      </w:r>
      <w:r w:rsidR="00136E7B" w:rsidRPr="00F57FAD">
        <w:tab/>
        <w:t>Fellowships</w:t>
      </w:r>
      <w:bookmarkEnd w:id="143"/>
      <w:bookmarkEnd w:id="144"/>
    </w:p>
    <w:p w14:paraId="623D7A29" w14:textId="00890982" w:rsidR="00136E7B" w:rsidRPr="001260C0" w:rsidRDefault="00136E7B" w:rsidP="00136E7B">
      <w:pPr>
        <w:spacing w:after="120"/>
        <w:rPr>
          <w:lang w:val="en-GB"/>
        </w:rPr>
      </w:pPr>
      <w:bookmarkStart w:id="145" w:name="_Toc462664265"/>
      <w:bookmarkStart w:id="146" w:name="_Toc462665590"/>
      <w:bookmarkStart w:id="147" w:name="_Toc462669176"/>
      <w:r w:rsidRPr="004E5B45">
        <w:rPr>
          <w:lang w:val="en-GB"/>
        </w:rPr>
        <w:t xml:space="preserve">The table below shows the fellowships awarded during the period from </w:t>
      </w:r>
      <w:r w:rsidR="004E5B45" w:rsidRPr="004E5B45">
        <w:rPr>
          <w:lang w:val="en-GB"/>
        </w:rPr>
        <w:t xml:space="preserve">January to </w:t>
      </w:r>
      <w:r w:rsidRPr="004E5B45">
        <w:rPr>
          <w:lang w:val="en-GB"/>
        </w:rPr>
        <w:t>August 20</w:t>
      </w:r>
      <w:r w:rsidR="004E5B45" w:rsidRPr="004E5B45">
        <w:rPr>
          <w:lang w:val="en-GB"/>
        </w:rPr>
        <w:t>20</w:t>
      </w:r>
      <w:r w:rsidRPr="004E5B45">
        <w:rPr>
          <w:lang w:val="en-GB"/>
        </w:rPr>
        <w:t xml:space="preserve">. </w:t>
      </w:r>
      <w:r w:rsidR="087AD5D6" w:rsidRPr="7EC87BF3">
        <w:rPr>
          <w:color w:val="000000" w:themeColor="text1"/>
          <w:lang w:val="en-GB"/>
        </w:rPr>
        <w:t>40</w:t>
      </w:r>
      <w:r w:rsidRPr="7EC87BF3">
        <w:rPr>
          <w:color w:val="000000" w:themeColor="text1"/>
          <w:lang w:val="en-GB"/>
        </w:rPr>
        <w:t xml:space="preserve"> fellowships were requested</w:t>
      </w:r>
      <w:r w:rsidR="087AD5D6" w:rsidRPr="7EC87BF3">
        <w:rPr>
          <w:color w:val="000000" w:themeColor="text1"/>
          <w:lang w:val="en-GB"/>
        </w:rPr>
        <w:t>,</w:t>
      </w:r>
      <w:r w:rsidRPr="7EC87BF3">
        <w:rPr>
          <w:color w:val="000000" w:themeColor="text1"/>
          <w:lang w:val="en-GB"/>
        </w:rPr>
        <w:t xml:space="preserve"> and </w:t>
      </w:r>
      <w:r w:rsidR="087AD5D6" w:rsidRPr="7EC87BF3">
        <w:rPr>
          <w:color w:val="000000" w:themeColor="text1"/>
          <w:lang w:val="en-GB"/>
        </w:rPr>
        <w:t>33</w:t>
      </w:r>
      <w:r w:rsidRPr="7EC87BF3">
        <w:rPr>
          <w:color w:val="000000" w:themeColor="text1"/>
          <w:lang w:val="en-GB"/>
        </w:rPr>
        <w:t xml:space="preserve"> fellowships were awarded. Of the </w:t>
      </w:r>
      <w:r w:rsidR="087AD5D6" w:rsidRPr="7EC87BF3">
        <w:rPr>
          <w:color w:val="000000" w:themeColor="text1"/>
          <w:lang w:val="en-GB"/>
        </w:rPr>
        <w:t>33</w:t>
      </w:r>
      <w:r w:rsidRPr="7EC87BF3">
        <w:rPr>
          <w:color w:val="000000" w:themeColor="text1"/>
          <w:lang w:val="en-GB"/>
        </w:rPr>
        <w:t xml:space="preserve"> fellowships awarded, </w:t>
      </w:r>
      <w:r w:rsidR="087AD5D6" w:rsidRPr="7EC87BF3">
        <w:rPr>
          <w:color w:val="000000" w:themeColor="text1"/>
          <w:lang w:val="en-GB"/>
        </w:rPr>
        <w:t>30</w:t>
      </w:r>
      <w:r w:rsidRPr="7EC87BF3">
        <w:rPr>
          <w:color w:val="000000" w:themeColor="text1"/>
          <w:lang w:val="en-GB"/>
        </w:rPr>
        <w:t xml:space="preserve"> fellowships were used and </w:t>
      </w:r>
      <w:r w:rsidR="087AD5D6" w:rsidRPr="7EC87BF3">
        <w:rPr>
          <w:color w:val="000000" w:themeColor="text1"/>
          <w:lang w:val="en-GB"/>
        </w:rPr>
        <w:t>3</w:t>
      </w:r>
      <w:r w:rsidRPr="7EC87BF3">
        <w:rPr>
          <w:color w:val="000000" w:themeColor="text1"/>
          <w:lang w:val="en-GB"/>
        </w:rPr>
        <w:t xml:space="preserve">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B366DC" w:rsidRPr="008137C7" w14:paraId="3B5F574F" w14:textId="77777777" w:rsidTr="00176002">
        <w:trPr>
          <w:cantSplit/>
          <w:tblHeader/>
        </w:trPr>
        <w:tc>
          <w:tcPr>
            <w:tcW w:w="3828" w:type="dxa"/>
            <w:vMerge w:val="restart"/>
            <w:shd w:val="clear" w:color="auto" w:fill="B8CCE4" w:themeFill="accent1" w:themeFillTint="66"/>
            <w:vAlign w:val="center"/>
          </w:tcPr>
          <w:p w14:paraId="6B84657D" w14:textId="77777777" w:rsidR="00136E7B" w:rsidRPr="004E5B45" w:rsidRDefault="00136E7B" w:rsidP="00176002">
            <w:pPr>
              <w:pStyle w:val="Tablehead"/>
              <w:rPr>
                <w:lang w:val="en-GB"/>
              </w:rPr>
            </w:pPr>
            <w:r w:rsidRPr="004E5B45">
              <w:rPr>
                <w:lang w:val="en-GB"/>
              </w:rPr>
              <w:t>Meeting</w:t>
            </w:r>
          </w:p>
        </w:tc>
        <w:tc>
          <w:tcPr>
            <w:tcW w:w="3260" w:type="dxa"/>
            <w:gridSpan w:val="2"/>
            <w:shd w:val="clear" w:color="auto" w:fill="B8CCE4" w:themeFill="accent1" w:themeFillTint="66"/>
            <w:vAlign w:val="center"/>
          </w:tcPr>
          <w:p w14:paraId="51364A25" w14:textId="77777777" w:rsidR="00136E7B" w:rsidRPr="004E5B45" w:rsidRDefault="00136E7B" w:rsidP="00176002">
            <w:pPr>
              <w:pStyle w:val="Tablehead"/>
              <w:rPr>
                <w:lang w:val="en-GB"/>
              </w:rPr>
            </w:pPr>
            <w:r w:rsidRPr="004E5B45">
              <w:rPr>
                <w:lang w:val="en-GB"/>
              </w:rPr>
              <w:t>Fellows</w:t>
            </w:r>
          </w:p>
        </w:tc>
        <w:tc>
          <w:tcPr>
            <w:tcW w:w="2551" w:type="dxa"/>
            <w:vMerge w:val="restart"/>
            <w:shd w:val="clear" w:color="auto" w:fill="B8CCE4" w:themeFill="accent1" w:themeFillTint="66"/>
            <w:vAlign w:val="center"/>
          </w:tcPr>
          <w:p w14:paraId="2AC75046" w14:textId="77777777" w:rsidR="00136E7B" w:rsidRPr="004E5B45" w:rsidRDefault="00136E7B" w:rsidP="00176002">
            <w:pPr>
              <w:pStyle w:val="Tablehead"/>
              <w:rPr>
                <w:lang w:val="en-GB"/>
              </w:rPr>
            </w:pPr>
            <w:r w:rsidRPr="004E5B45">
              <w:rPr>
                <w:lang w:val="en-GB"/>
              </w:rPr>
              <w:t>Total</w:t>
            </w:r>
          </w:p>
        </w:tc>
      </w:tr>
      <w:tr w:rsidR="008D743A" w:rsidRPr="008137C7" w14:paraId="5D5590CF" w14:textId="77777777" w:rsidTr="00176002">
        <w:trPr>
          <w:cantSplit/>
          <w:tblHeader/>
        </w:trPr>
        <w:tc>
          <w:tcPr>
            <w:tcW w:w="3828" w:type="dxa"/>
            <w:vMerge/>
            <w:shd w:val="clear" w:color="auto" w:fill="B8CCE4" w:themeFill="accent1" w:themeFillTint="66"/>
            <w:vAlign w:val="center"/>
          </w:tcPr>
          <w:p w14:paraId="53A54F49" w14:textId="77777777" w:rsidR="00136E7B" w:rsidRPr="004E5B45" w:rsidRDefault="00136E7B" w:rsidP="00176002">
            <w:pPr>
              <w:pStyle w:val="Tablehead"/>
              <w:rPr>
                <w:lang w:val="en-GB"/>
              </w:rPr>
            </w:pPr>
          </w:p>
        </w:tc>
        <w:tc>
          <w:tcPr>
            <w:tcW w:w="1701" w:type="dxa"/>
            <w:shd w:val="clear" w:color="auto" w:fill="B8CCE4" w:themeFill="accent1" w:themeFillTint="66"/>
            <w:vAlign w:val="center"/>
          </w:tcPr>
          <w:p w14:paraId="07DF7858" w14:textId="77777777" w:rsidR="00136E7B" w:rsidRPr="004E5B45" w:rsidRDefault="00136E7B" w:rsidP="00176002">
            <w:pPr>
              <w:pStyle w:val="Tablehead"/>
              <w:rPr>
                <w:lang w:val="en-GB"/>
              </w:rPr>
            </w:pPr>
            <w:r w:rsidRPr="004E5B45">
              <w:rPr>
                <w:lang w:val="en-GB"/>
              </w:rPr>
              <w:t>Female</w:t>
            </w:r>
          </w:p>
        </w:tc>
        <w:tc>
          <w:tcPr>
            <w:tcW w:w="1559" w:type="dxa"/>
            <w:shd w:val="clear" w:color="auto" w:fill="B8CCE4" w:themeFill="accent1" w:themeFillTint="66"/>
            <w:vAlign w:val="center"/>
          </w:tcPr>
          <w:p w14:paraId="23186CC3" w14:textId="77777777" w:rsidR="00136E7B" w:rsidRPr="004E5B45" w:rsidRDefault="00136E7B" w:rsidP="00176002">
            <w:pPr>
              <w:pStyle w:val="Tablehead"/>
              <w:rPr>
                <w:lang w:val="en-GB"/>
              </w:rPr>
            </w:pPr>
            <w:r w:rsidRPr="004E5B45">
              <w:rPr>
                <w:lang w:val="en-GB"/>
              </w:rPr>
              <w:t>Male</w:t>
            </w:r>
          </w:p>
        </w:tc>
        <w:tc>
          <w:tcPr>
            <w:tcW w:w="2551" w:type="dxa"/>
            <w:vMerge/>
            <w:shd w:val="clear" w:color="auto" w:fill="B8CCE4" w:themeFill="accent1" w:themeFillTint="66"/>
            <w:vAlign w:val="center"/>
          </w:tcPr>
          <w:p w14:paraId="7B112F6E" w14:textId="77777777" w:rsidR="00136E7B" w:rsidRPr="001260C0" w:rsidRDefault="00136E7B" w:rsidP="00176002">
            <w:pPr>
              <w:pStyle w:val="Tablehead"/>
              <w:rPr>
                <w:lang w:val="en-GB"/>
              </w:rPr>
            </w:pPr>
          </w:p>
        </w:tc>
      </w:tr>
      <w:tr w:rsidR="00A8410A" w:rsidRPr="008137C7" w14:paraId="52AAEE33" w14:textId="77777777" w:rsidTr="00176002">
        <w:tc>
          <w:tcPr>
            <w:tcW w:w="3828" w:type="dxa"/>
          </w:tcPr>
          <w:p w14:paraId="36A14D29" w14:textId="6D8EB23A" w:rsidR="00136E7B" w:rsidRPr="001260C0" w:rsidRDefault="00136E7B" w:rsidP="00176002">
            <w:pPr>
              <w:pStyle w:val="TableText0"/>
              <w:rPr>
                <w:lang w:val="en-GB"/>
              </w:rPr>
            </w:pPr>
            <w:r w:rsidRPr="001260C0">
              <w:rPr>
                <w:color w:val="000000" w:themeColor="text1"/>
                <w:szCs w:val="22"/>
              </w:rPr>
              <w:t xml:space="preserve">ITU-T </w:t>
            </w:r>
            <w:r w:rsidR="26C7AD86" w:rsidRPr="001260C0">
              <w:rPr>
                <w:color w:val="000000" w:themeColor="text1"/>
                <w:szCs w:val="22"/>
              </w:rPr>
              <w:t>SG15</w:t>
            </w:r>
            <w:r w:rsidRPr="001260C0">
              <w:rPr>
                <w:color w:val="000000" w:themeColor="text1"/>
                <w:szCs w:val="22"/>
              </w:rPr>
              <w:t xml:space="preserve">, Geneva, 27 </w:t>
            </w:r>
            <w:r w:rsidR="26C7AD86" w:rsidRPr="001260C0">
              <w:rPr>
                <w:color w:val="000000" w:themeColor="text1"/>
                <w:szCs w:val="22"/>
              </w:rPr>
              <w:t>January – 7 February 2020</w:t>
            </w:r>
          </w:p>
        </w:tc>
        <w:tc>
          <w:tcPr>
            <w:tcW w:w="1701" w:type="dxa"/>
          </w:tcPr>
          <w:p w14:paraId="6519F050" w14:textId="08E40303" w:rsidR="00136E7B" w:rsidRPr="001260C0" w:rsidRDefault="56EB5FA3" w:rsidP="00176002">
            <w:pPr>
              <w:pStyle w:val="TableText0"/>
              <w:jc w:val="center"/>
              <w:rPr>
                <w:color w:val="000000" w:themeColor="text1"/>
                <w:szCs w:val="22"/>
              </w:rPr>
            </w:pPr>
            <w:r w:rsidRPr="001260C0">
              <w:rPr>
                <w:color w:val="000000" w:themeColor="text1"/>
                <w:szCs w:val="22"/>
              </w:rPr>
              <w:t>0</w:t>
            </w:r>
          </w:p>
        </w:tc>
        <w:tc>
          <w:tcPr>
            <w:tcW w:w="1559" w:type="dxa"/>
          </w:tcPr>
          <w:p w14:paraId="2F2525C6" w14:textId="3F5876AB" w:rsidR="00136E7B" w:rsidRPr="001260C0" w:rsidRDefault="53FE4A44" w:rsidP="00176002">
            <w:pPr>
              <w:pStyle w:val="TableText0"/>
              <w:jc w:val="center"/>
              <w:rPr>
                <w:szCs w:val="22"/>
              </w:rPr>
            </w:pPr>
            <w:r w:rsidRPr="001260C0">
              <w:rPr>
                <w:color w:val="000000" w:themeColor="text1"/>
                <w:szCs w:val="22"/>
              </w:rPr>
              <w:t>6</w:t>
            </w:r>
            <w:r w:rsidR="00136E7B" w:rsidRPr="001260C0">
              <w:rPr>
                <w:color w:val="000000" w:themeColor="text1"/>
                <w:szCs w:val="22"/>
              </w:rPr>
              <w:t xml:space="preserve"> (1 cancelled)</w:t>
            </w:r>
          </w:p>
        </w:tc>
        <w:tc>
          <w:tcPr>
            <w:tcW w:w="2551" w:type="dxa"/>
          </w:tcPr>
          <w:p w14:paraId="3F26E84F" w14:textId="165843AC" w:rsidR="00136E7B" w:rsidRPr="001260C0" w:rsidRDefault="00136E7B" w:rsidP="00176002">
            <w:pPr>
              <w:pStyle w:val="TableText0"/>
              <w:rPr>
                <w:szCs w:val="22"/>
              </w:rPr>
            </w:pPr>
            <w:r w:rsidRPr="001260C0">
              <w:rPr>
                <w:color w:val="000000" w:themeColor="text1"/>
                <w:szCs w:val="22"/>
              </w:rPr>
              <w:t xml:space="preserve">6 fellowships awarded, </w:t>
            </w:r>
            <w:r w:rsidR="16F1F692" w:rsidRPr="001260C0">
              <w:rPr>
                <w:color w:val="000000" w:themeColor="text1"/>
                <w:szCs w:val="22"/>
              </w:rPr>
              <w:t>5</w:t>
            </w:r>
            <w:r w:rsidRPr="001260C0">
              <w:rPr>
                <w:color w:val="000000" w:themeColor="text1"/>
                <w:szCs w:val="22"/>
              </w:rPr>
              <w:t xml:space="preserve"> participants</w:t>
            </w:r>
          </w:p>
        </w:tc>
      </w:tr>
      <w:tr w:rsidR="00A8410A" w:rsidRPr="008137C7" w14:paraId="6847CBF8" w14:textId="77777777" w:rsidTr="00176002">
        <w:tc>
          <w:tcPr>
            <w:tcW w:w="3828" w:type="dxa"/>
          </w:tcPr>
          <w:p w14:paraId="0280E9A8" w14:textId="6173F40F" w:rsidR="00136E7B" w:rsidRPr="001260C0" w:rsidRDefault="00136E7B" w:rsidP="00176002">
            <w:pPr>
              <w:pStyle w:val="TableText0"/>
              <w:rPr>
                <w:color w:val="000000" w:themeColor="text1"/>
                <w:szCs w:val="22"/>
              </w:rPr>
            </w:pPr>
            <w:r w:rsidRPr="001260C0">
              <w:rPr>
                <w:color w:val="000000" w:themeColor="text1"/>
                <w:szCs w:val="22"/>
              </w:rPr>
              <w:t xml:space="preserve">ITU-T </w:t>
            </w:r>
            <w:r w:rsidR="5023493B" w:rsidRPr="001260C0">
              <w:rPr>
                <w:color w:val="000000" w:themeColor="text1"/>
                <w:szCs w:val="22"/>
              </w:rPr>
              <w:t>SG13RG</w:t>
            </w:r>
            <w:r w:rsidRPr="001260C0">
              <w:rPr>
                <w:color w:val="000000" w:themeColor="text1"/>
                <w:szCs w:val="22"/>
              </w:rPr>
              <w:t xml:space="preserve">-AFR and </w:t>
            </w:r>
            <w:r w:rsidR="5023493B" w:rsidRPr="001260C0">
              <w:rPr>
                <w:color w:val="000000" w:themeColor="text1"/>
                <w:szCs w:val="22"/>
              </w:rPr>
              <w:t>Regional Workshop</w:t>
            </w:r>
            <w:r w:rsidRPr="001260C0">
              <w:rPr>
                <w:color w:val="000000" w:themeColor="text1"/>
                <w:szCs w:val="22"/>
              </w:rPr>
              <w:t xml:space="preserve">, Abuja, Nigeria, </w:t>
            </w:r>
            <w:r w:rsidR="5023493B" w:rsidRPr="001260C0">
              <w:rPr>
                <w:color w:val="000000" w:themeColor="text1"/>
                <w:szCs w:val="22"/>
              </w:rPr>
              <w:t>3-6 February 2020</w:t>
            </w:r>
          </w:p>
        </w:tc>
        <w:tc>
          <w:tcPr>
            <w:tcW w:w="1701" w:type="dxa"/>
          </w:tcPr>
          <w:p w14:paraId="26907E51" w14:textId="58BA949C" w:rsidR="00136E7B" w:rsidRPr="001260C0" w:rsidRDefault="05ED9562" w:rsidP="00176002">
            <w:pPr>
              <w:pStyle w:val="TableText0"/>
              <w:jc w:val="center"/>
              <w:rPr>
                <w:color w:val="000000" w:themeColor="text1"/>
                <w:szCs w:val="22"/>
              </w:rPr>
            </w:pPr>
            <w:r w:rsidRPr="001260C0">
              <w:rPr>
                <w:color w:val="000000" w:themeColor="text1"/>
                <w:szCs w:val="22"/>
              </w:rPr>
              <w:t>0</w:t>
            </w:r>
          </w:p>
        </w:tc>
        <w:tc>
          <w:tcPr>
            <w:tcW w:w="1559" w:type="dxa"/>
          </w:tcPr>
          <w:p w14:paraId="104AAA52" w14:textId="3FCD5C4E" w:rsidR="00136E7B" w:rsidRPr="001260C0" w:rsidRDefault="794A3A65" w:rsidP="00176002">
            <w:pPr>
              <w:pStyle w:val="TableText0"/>
              <w:jc w:val="center"/>
              <w:rPr>
                <w:szCs w:val="22"/>
              </w:rPr>
            </w:pPr>
            <w:r w:rsidRPr="001260C0">
              <w:rPr>
                <w:color w:val="000000" w:themeColor="text1"/>
                <w:szCs w:val="22"/>
              </w:rPr>
              <w:t>4 (1</w:t>
            </w:r>
            <w:r w:rsidR="00136E7B" w:rsidRPr="001260C0">
              <w:rPr>
                <w:color w:val="000000" w:themeColor="text1"/>
                <w:szCs w:val="22"/>
              </w:rPr>
              <w:t xml:space="preserve"> cancelled)</w:t>
            </w:r>
          </w:p>
        </w:tc>
        <w:tc>
          <w:tcPr>
            <w:tcW w:w="2551" w:type="dxa"/>
          </w:tcPr>
          <w:p w14:paraId="1B74BB72" w14:textId="5328E6D7" w:rsidR="00136E7B" w:rsidRPr="001260C0" w:rsidRDefault="7815A2BF" w:rsidP="00176002">
            <w:pPr>
              <w:pStyle w:val="TableText0"/>
              <w:rPr>
                <w:szCs w:val="22"/>
              </w:rPr>
            </w:pPr>
            <w:r w:rsidRPr="001260C0">
              <w:rPr>
                <w:color w:val="000000" w:themeColor="text1"/>
                <w:szCs w:val="22"/>
              </w:rPr>
              <w:t>4</w:t>
            </w:r>
            <w:r w:rsidR="00136E7B" w:rsidRPr="001260C0">
              <w:rPr>
                <w:color w:val="000000" w:themeColor="text1"/>
                <w:szCs w:val="22"/>
              </w:rPr>
              <w:t xml:space="preserve"> fellowships awarded, </w:t>
            </w:r>
            <w:r w:rsidRPr="001260C0">
              <w:rPr>
                <w:color w:val="000000" w:themeColor="text1"/>
                <w:szCs w:val="22"/>
              </w:rPr>
              <w:t>3</w:t>
            </w:r>
            <w:r w:rsidR="00136E7B" w:rsidRPr="001260C0">
              <w:rPr>
                <w:color w:val="000000" w:themeColor="text1"/>
                <w:szCs w:val="22"/>
              </w:rPr>
              <w:t xml:space="preserve"> participants</w:t>
            </w:r>
          </w:p>
        </w:tc>
      </w:tr>
      <w:tr w:rsidR="00A8410A" w:rsidRPr="008137C7" w14:paraId="3ED2AE02" w14:textId="77777777" w:rsidTr="00176002">
        <w:tc>
          <w:tcPr>
            <w:tcW w:w="3828" w:type="dxa"/>
          </w:tcPr>
          <w:p w14:paraId="2568D4D8" w14:textId="3866DC02" w:rsidR="00136E7B" w:rsidRPr="001260C0" w:rsidRDefault="1D8578DA" w:rsidP="00176002">
            <w:pPr>
              <w:pStyle w:val="TableText0"/>
              <w:rPr>
                <w:szCs w:val="22"/>
              </w:rPr>
            </w:pPr>
            <w:r w:rsidRPr="001260C0">
              <w:rPr>
                <w:color w:val="000000" w:themeColor="text1"/>
                <w:szCs w:val="22"/>
              </w:rPr>
              <w:t>TSAG, Geneva, 10-14 February 2020</w:t>
            </w:r>
          </w:p>
        </w:tc>
        <w:tc>
          <w:tcPr>
            <w:tcW w:w="1701" w:type="dxa"/>
          </w:tcPr>
          <w:p w14:paraId="41BA1D96" w14:textId="42CD75B4" w:rsidR="00136E7B" w:rsidRPr="001260C0" w:rsidRDefault="7DDABA2E" w:rsidP="00176002">
            <w:pPr>
              <w:pStyle w:val="TableText0"/>
              <w:jc w:val="center"/>
              <w:rPr>
                <w:color w:val="000000" w:themeColor="text1"/>
                <w:szCs w:val="22"/>
              </w:rPr>
            </w:pPr>
            <w:r w:rsidRPr="001260C0">
              <w:rPr>
                <w:color w:val="000000" w:themeColor="text1"/>
                <w:szCs w:val="22"/>
              </w:rPr>
              <w:t>2</w:t>
            </w:r>
          </w:p>
        </w:tc>
        <w:tc>
          <w:tcPr>
            <w:tcW w:w="1559" w:type="dxa"/>
          </w:tcPr>
          <w:p w14:paraId="1C0DE966" w14:textId="445B028A" w:rsidR="00136E7B" w:rsidRPr="001260C0" w:rsidRDefault="3024E958" w:rsidP="00176002">
            <w:pPr>
              <w:pStyle w:val="TableText0"/>
              <w:jc w:val="center"/>
              <w:rPr>
                <w:szCs w:val="22"/>
              </w:rPr>
            </w:pPr>
            <w:r w:rsidRPr="001260C0">
              <w:rPr>
                <w:color w:val="000000" w:themeColor="text1"/>
                <w:szCs w:val="22"/>
              </w:rPr>
              <w:t>7</w:t>
            </w:r>
            <w:r w:rsidR="00136E7B" w:rsidRPr="001260C0">
              <w:rPr>
                <w:color w:val="000000" w:themeColor="text1"/>
                <w:szCs w:val="22"/>
              </w:rPr>
              <w:t xml:space="preserve"> (1 cancelled)</w:t>
            </w:r>
          </w:p>
        </w:tc>
        <w:tc>
          <w:tcPr>
            <w:tcW w:w="2551" w:type="dxa"/>
          </w:tcPr>
          <w:p w14:paraId="5CBFA2BA" w14:textId="632C9946" w:rsidR="00136E7B" w:rsidRPr="001260C0" w:rsidRDefault="00BFB9B7" w:rsidP="00176002">
            <w:pPr>
              <w:pStyle w:val="TableText0"/>
              <w:rPr>
                <w:szCs w:val="22"/>
              </w:rPr>
            </w:pPr>
            <w:r w:rsidRPr="001260C0">
              <w:rPr>
                <w:color w:val="000000" w:themeColor="text1"/>
                <w:szCs w:val="22"/>
              </w:rPr>
              <w:t>9</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r w:rsidR="00A8410A" w:rsidRPr="008137C7" w14:paraId="6ABC50FF" w14:textId="77777777" w:rsidTr="00176002">
        <w:tc>
          <w:tcPr>
            <w:tcW w:w="3828" w:type="dxa"/>
          </w:tcPr>
          <w:p w14:paraId="336A66E8" w14:textId="5D131C88" w:rsidR="00136E7B" w:rsidRPr="001260C0" w:rsidRDefault="21A5FF91" w:rsidP="00176002">
            <w:pPr>
              <w:pStyle w:val="TableText0"/>
              <w:rPr>
                <w:color w:val="000000" w:themeColor="text1"/>
                <w:szCs w:val="22"/>
              </w:rPr>
            </w:pPr>
            <w:r w:rsidRPr="001260C0">
              <w:rPr>
                <w:color w:val="000000" w:themeColor="text1"/>
                <w:szCs w:val="22"/>
              </w:rPr>
              <w:t>SG12RG-AFR N’Djamena, Chad, 4-5 March 2020</w:t>
            </w:r>
          </w:p>
        </w:tc>
        <w:tc>
          <w:tcPr>
            <w:tcW w:w="1701" w:type="dxa"/>
          </w:tcPr>
          <w:p w14:paraId="13FAA681" w14:textId="48F44F2A" w:rsidR="00136E7B" w:rsidRPr="001260C0" w:rsidRDefault="737CE61F" w:rsidP="00176002">
            <w:pPr>
              <w:pStyle w:val="TableText0"/>
              <w:jc w:val="center"/>
              <w:rPr>
                <w:color w:val="000000" w:themeColor="text1"/>
                <w:szCs w:val="22"/>
              </w:rPr>
            </w:pPr>
            <w:r w:rsidRPr="001260C0">
              <w:rPr>
                <w:color w:val="000000" w:themeColor="text1"/>
                <w:szCs w:val="22"/>
              </w:rPr>
              <w:t>0</w:t>
            </w:r>
          </w:p>
        </w:tc>
        <w:tc>
          <w:tcPr>
            <w:tcW w:w="1559" w:type="dxa"/>
          </w:tcPr>
          <w:p w14:paraId="11D25CA3" w14:textId="727D38AE" w:rsidR="00136E7B" w:rsidRPr="001260C0" w:rsidRDefault="639D0AF6" w:rsidP="00176002">
            <w:pPr>
              <w:pStyle w:val="TableText0"/>
              <w:jc w:val="center"/>
              <w:rPr>
                <w:color w:val="000000" w:themeColor="text1"/>
                <w:szCs w:val="22"/>
              </w:rPr>
            </w:pPr>
            <w:r w:rsidRPr="001260C0">
              <w:rPr>
                <w:color w:val="000000" w:themeColor="text1"/>
                <w:szCs w:val="22"/>
              </w:rPr>
              <w:t>6</w:t>
            </w:r>
          </w:p>
        </w:tc>
        <w:tc>
          <w:tcPr>
            <w:tcW w:w="2551" w:type="dxa"/>
          </w:tcPr>
          <w:p w14:paraId="4E388E6A" w14:textId="41010419" w:rsidR="00136E7B" w:rsidRPr="001260C0" w:rsidRDefault="52625171" w:rsidP="00176002">
            <w:pPr>
              <w:pStyle w:val="TableText0"/>
              <w:rPr>
                <w:szCs w:val="22"/>
              </w:rPr>
            </w:pPr>
            <w:r w:rsidRPr="001260C0">
              <w:rPr>
                <w:color w:val="000000" w:themeColor="text1"/>
                <w:szCs w:val="22"/>
              </w:rPr>
              <w:t>6</w:t>
            </w:r>
            <w:r w:rsidR="00136E7B" w:rsidRPr="001260C0">
              <w:rPr>
                <w:color w:val="000000" w:themeColor="text1"/>
                <w:szCs w:val="22"/>
              </w:rPr>
              <w:t xml:space="preserve"> fellowships awarded, </w:t>
            </w:r>
            <w:r w:rsidRPr="001260C0">
              <w:rPr>
                <w:color w:val="000000" w:themeColor="text1"/>
                <w:szCs w:val="22"/>
              </w:rPr>
              <w:t>6</w:t>
            </w:r>
            <w:r w:rsidR="00136E7B" w:rsidRPr="001260C0">
              <w:rPr>
                <w:color w:val="000000" w:themeColor="text1"/>
                <w:szCs w:val="22"/>
              </w:rPr>
              <w:t xml:space="preserve"> participants</w:t>
            </w:r>
          </w:p>
        </w:tc>
      </w:tr>
      <w:tr w:rsidR="00A8410A" w:rsidRPr="008137C7" w14:paraId="747AD915" w14:textId="77777777" w:rsidTr="00176002">
        <w:tc>
          <w:tcPr>
            <w:tcW w:w="3828" w:type="dxa"/>
          </w:tcPr>
          <w:p w14:paraId="557C3455" w14:textId="2DDA902A" w:rsidR="00136E7B" w:rsidRPr="001260C0" w:rsidRDefault="4E4AE9AC" w:rsidP="00176002">
            <w:pPr>
              <w:pStyle w:val="TableText0"/>
              <w:rPr>
                <w:color w:val="000000" w:themeColor="text1"/>
                <w:szCs w:val="22"/>
              </w:rPr>
            </w:pPr>
            <w:r w:rsidRPr="001260C0">
              <w:rPr>
                <w:color w:val="000000" w:themeColor="text1"/>
                <w:szCs w:val="22"/>
              </w:rPr>
              <w:t>ITU-T SG11, Geneva, 4–13 March 2020</w:t>
            </w:r>
            <w:r w:rsidR="00BA3B68">
              <w:rPr>
                <w:color w:val="000000" w:themeColor="text1"/>
                <w:szCs w:val="22"/>
              </w:rPr>
              <w:t xml:space="preserve"> </w:t>
            </w:r>
          </w:p>
        </w:tc>
        <w:tc>
          <w:tcPr>
            <w:tcW w:w="1701" w:type="dxa"/>
          </w:tcPr>
          <w:p w14:paraId="18F077B9" w14:textId="0286CA81" w:rsidR="00136E7B" w:rsidRPr="001260C0" w:rsidRDefault="112AD6DC" w:rsidP="00176002">
            <w:pPr>
              <w:pStyle w:val="TableText0"/>
              <w:jc w:val="center"/>
              <w:rPr>
                <w:color w:val="000000" w:themeColor="text1"/>
                <w:szCs w:val="22"/>
              </w:rPr>
            </w:pPr>
            <w:r w:rsidRPr="001260C0">
              <w:rPr>
                <w:color w:val="000000" w:themeColor="text1"/>
                <w:szCs w:val="22"/>
              </w:rPr>
              <w:t>1</w:t>
            </w:r>
          </w:p>
        </w:tc>
        <w:tc>
          <w:tcPr>
            <w:tcW w:w="1559" w:type="dxa"/>
          </w:tcPr>
          <w:p w14:paraId="5C2DBBB0" w14:textId="0813726F" w:rsidR="00136E7B" w:rsidRPr="001260C0" w:rsidRDefault="29871DD9" w:rsidP="00176002">
            <w:pPr>
              <w:pStyle w:val="TableText0"/>
              <w:jc w:val="center"/>
              <w:rPr>
                <w:color w:val="000000" w:themeColor="text1"/>
                <w:szCs w:val="22"/>
              </w:rPr>
            </w:pPr>
            <w:r w:rsidRPr="001260C0">
              <w:rPr>
                <w:color w:val="000000" w:themeColor="text1"/>
                <w:szCs w:val="22"/>
              </w:rPr>
              <w:t>7</w:t>
            </w:r>
          </w:p>
        </w:tc>
        <w:tc>
          <w:tcPr>
            <w:tcW w:w="2551" w:type="dxa"/>
          </w:tcPr>
          <w:p w14:paraId="618633B7" w14:textId="5F06FB9C" w:rsidR="00136E7B" w:rsidRPr="008137C7" w:rsidRDefault="36AE7B4A" w:rsidP="00176002">
            <w:pPr>
              <w:pStyle w:val="TableText0"/>
              <w:rPr>
                <w:szCs w:val="22"/>
              </w:rPr>
            </w:pPr>
            <w:r w:rsidRPr="001260C0">
              <w:rPr>
                <w:color w:val="000000" w:themeColor="text1"/>
                <w:szCs w:val="22"/>
              </w:rPr>
              <w:t>8</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bl>
    <w:p w14:paraId="2927E440" w14:textId="57E7F796" w:rsidR="00AA4DB9" w:rsidRDefault="00BA3326" w:rsidP="00136E7B">
      <w:pPr>
        <w:pStyle w:val="Heading1"/>
      </w:pPr>
      <w:bookmarkStart w:id="148" w:name="_Toc51042278"/>
      <w:bookmarkStart w:id="149" w:name="_Toc480527858"/>
      <w:r>
        <w:t>9</w:t>
      </w:r>
      <w:r w:rsidR="00136E7B" w:rsidRPr="00F57FAD">
        <w:tab/>
      </w:r>
      <w:r w:rsidR="00AA4DB9" w:rsidRPr="00AA4DB9">
        <w:t>Using ICTs to bridge the financial inclusion gap</w:t>
      </w:r>
      <w:bookmarkEnd w:id="148"/>
    </w:p>
    <w:p w14:paraId="19529AFA" w14:textId="2CCADB7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Pursuant to WTSA-16</w:t>
      </w:r>
      <w:r w:rsidR="00427FC5">
        <w:rPr>
          <w:szCs w:val="24"/>
          <w:lang w:val="en-GB" w:eastAsia="en-GB"/>
        </w:rPr>
        <w:t xml:space="preserve"> </w:t>
      </w:r>
      <w:hyperlink r:id="rId107" w:tgtFrame="_blank" w:history="1">
        <w:r w:rsidRPr="00330F15">
          <w:rPr>
            <w:color w:val="0000FF"/>
            <w:szCs w:val="24"/>
            <w:u w:val="single"/>
            <w:lang w:val="en-GB" w:eastAsia="en-GB"/>
          </w:rPr>
          <w:t>Resolution 89</w:t>
        </w:r>
      </w:hyperlink>
      <w:r w:rsidRPr="00330F15">
        <w:rPr>
          <w:szCs w:val="24"/>
          <w:lang w:val="en-GB" w:eastAsia="en-GB"/>
        </w:rPr>
        <w:t>, TSB has implemented a number of activities aimed at enhancing the use of ICTs in bridging the financial inclusion gap through the following:</w:t>
      </w:r>
    </w:p>
    <w:p w14:paraId="09289D80"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The Financial Inclusion Global Initiative (FIGI)</w:t>
      </w:r>
    </w:p>
    <w:p w14:paraId="531F23BA"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Standardization activities in ITU-T Study Groups</w:t>
      </w:r>
    </w:p>
    <w:p w14:paraId="6EE630B2"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DFS Webinar Series during COVID-19</w:t>
      </w:r>
    </w:p>
    <w:p w14:paraId="3FE01A86" w14:textId="72923AC9" w:rsidR="00330F15"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lastRenderedPageBreak/>
        <w:t>Digital Currency Global Initiative</w:t>
      </w:r>
    </w:p>
    <w:p w14:paraId="1366567B" w14:textId="5B16A0DB" w:rsidR="00330F15" w:rsidRPr="00C7499A" w:rsidRDefault="00C7499A" w:rsidP="00C7499A">
      <w:pPr>
        <w:pStyle w:val="Heading2"/>
      </w:pPr>
      <w:bookmarkStart w:id="150" w:name="_Toc51042279"/>
      <w:r>
        <w:t>9.1</w:t>
      </w:r>
      <w:r>
        <w:tab/>
      </w:r>
      <w:r w:rsidR="00330F15" w:rsidRPr="00C7499A">
        <w:t>Financial Inclusion Global Initiative (FIGI)</w:t>
      </w:r>
      <w:bookmarkEnd w:id="150"/>
    </w:p>
    <w:p w14:paraId="58107151" w14:textId="533BAE49"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FIGI was established in 2017 as a three-year programme of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funds national implementations in three countries, namely China, Egypt and Mexico, and has three Working Groups: (1) Electronic Payment Acceptance, (2) Digital ID Working Group led by the World Bank, and (3) Security, Infrastructure and Trust Working Group (SIT WG) led by ITU.</w:t>
      </w:r>
    </w:p>
    <w:p w14:paraId="09D818F4" w14:textId="10A7C9F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Security, Infrastructure, and Trust (SIT) Working Group held</w:t>
      </w:r>
      <w:r w:rsidR="00C7499A">
        <w:rPr>
          <w:szCs w:val="24"/>
          <w:lang w:val="en-GB" w:eastAsia="en-GB"/>
        </w:rPr>
        <w:t xml:space="preserve"> </w:t>
      </w:r>
      <w:r w:rsidRPr="00330F15">
        <w:rPr>
          <w:szCs w:val="24"/>
          <w:lang w:val="en-GB" w:eastAsia="en-GB"/>
        </w:rPr>
        <w:t>eight</w:t>
      </w:r>
      <w:r w:rsidR="00C7499A">
        <w:rPr>
          <w:szCs w:val="24"/>
          <w:lang w:val="en-GB" w:eastAsia="en-GB"/>
        </w:rPr>
        <w:t xml:space="preserve"> </w:t>
      </w:r>
      <w:proofErr w:type="spellStart"/>
      <w:r w:rsidRPr="00330F15">
        <w:rPr>
          <w:szCs w:val="24"/>
          <w:lang w:val="en-GB" w:eastAsia="en-GB"/>
        </w:rPr>
        <w:t>e-meetings</w:t>
      </w:r>
      <w:proofErr w:type="spellEnd"/>
      <w:r w:rsidR="00C7499A">
        <w:rPr>
          <w:szCs w:val="24"/>
          <w:lang w:val="en-GB" w:eastAsia="en-GB"/>
        </w:rPr>
        <w:t xml:space="preserve"> </w:t>
      </w:r>
      <w:r w:rsidRPr="00330F15">
        <w:rPr>
          <w:szCs w:val="24"/>
          <w:lang w:val="en-GB" w:eastAsia="en-GB"/>
        </w:rPr>
        <w:t xml:space="preserve">in 2020. Following the eight technical reports developed in 2019, three technical reports </w:t>
      </w:r>
      <w:r w:rsidR="00ED2099">
        <w:rPr>
          <w:szCs w:val="24"/>
          <w:lang w:val="en-GB" w:eastAsia="en-GB"/>
        </w:rPr>
        <w:t>were</w:t>
      </w:r>
      <w:r w:rsidRPr="00330F15">
        <w:rPr>
          <w:szCs w:val="24"/>
          <w:lang w:val="en-GB" w:eastAsia="en-GB"/>
        </w:rPr>
        <w:t xml:space="preserve"> developed by the SIT Working Group </w:t>
      </w:r>
      <w:r w:rsidR="00ED2099">
        <w:rPr>
          <w:szCs w:val="24"/>
          <w:lang w:val="en-GB" w:eastAsia="en-GB"/>
        </w:rPr>
        <w:t>in the reporting period</w:t>
      </w:r>
      <w:r w:rsidRPr="00330F15">
        <w:rPr>
          <w:szCs w:val="24"/>
          <w:lang w:val="en-GB" w:eastAsia="en-GB"/>
        </w:rPr>
        <w:t>:</w:t>
      </w:r>
    </w:p>
    <w:p w14:paraId="42420B07" w14:textId="2F0DBF7D"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Best practices for mitigating vulnerabilities of DFS applications operating in USSD and STK environments</w:t>
      </w:r>
    </w:p>
    <w:p w14:paraId="7AADE2D5" w14:textId="08426BF6"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Methodology for measurement of </w:t>
      </w:r>
      <w:r w:rsidR="00ED2099">
        <w:rPr>
          <w:szCs w:val="24"/>
          <w:lang w:val="en-GB" w:eastAsia="en-GB"/>
        </w:rPr>
        <w:t xml:space="preserve">QoS </w:t>
      </w:r>
      <w:r w:rsidRPr="00330F15">
        <w:rPr>
          <w:szCs w:val="24"/>
          <w:lang w:val="en-GB" w:eastAsia="en-GB"/>
        </w:rPr>
        <w:t>parameters for interoperability and cross</w:t>
      </w:r>
      <w:r w:rsidR="00ED2099">
        <w:rPr>
          <w:szCs w:val="24"/>
          <w:lang w:val="en-GB" w:eastAsia="en-GB"/>
        </w:rPr>
        <w:t>-</w:t>
      </w:r>
      <w:r w:rsidRPr="00330F15">
        <w:rPr>
          <w:szCs w:val="24"/>
          <w:lang w:val="en-GB" w:eastAsia="en-GB"/>
        </w:rPr>
        <w:t>border mobile money payment use cases</w:t>
      </w:r>
    </w:p>
    <w:p w14:paraId="7BE3F6AB" w14:textId="2D367D49"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DFS </w:t>
      </w:r>
      <w:r w:rsidR="00ED2099">
        <w:rPr>
          <w:szCs w:val="24"/>
          <w:lang w:val="en-GB" w:eastAsia="en-GB"/>
        </w:rPr>
        <w:t>c</w:t>
      </w:r>
      <w:r w:rsidRPr="00330F15">
        <w:rPr>
          <w:szCs w:val="24"/>
          <w:lang w:val="en-GB" w:eastAsia="en-GB"/>
        </w:rPr>
        <w:t xml:space="preserve">onsumer </w:t>
      </w:r>
      <w:r w:rsidR="00ED2099">
        <w:rPr>
          <w:szCs w:val="24"/>
          <w:lang w:val="en-GB" w:eastAsia="en-GB"/>
        </w:rPr>
        <w:t>c</w:t>
      </w:r>
      <w:r w:rsidRPr="00330F15">
        <w:rPr>
          <w:szCs w:val="24"/>
          <w:lang w:val="en-GB" w:eastAsia="en-GB"/>
        </w:rPr>
        <w:t xml:space="preserve">ompetency </w:t>
      </w:r>
      <w:r w:rsidR="00ED2099">
        <w:rPr>
          <w:szCs w:val="24"/>
          <w:lang w:val="en-GB" w:eastAsia="en-GB"/>
        </w:rPr>
        <w:t>f</w:t>
      </w:r>
      <w:r w:rsidRPr="00330F15">
        <w:rPr>
          <w:szCs w:val="24"/>
          <w:lang w:val="en-GB" w:eastAsia="en-GB"/>
        </w:rPr>
        <w:t>ramework</w:t>
      </w:r>
    </w:p>
    <w:p w14:paraId="737AF089" w14:textId="2055392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Four</w:t>
      </w:r>
      <w:r w:rsidR="00C7499A">
        <w:rPr>
          <w:szCs w:val="24"/>
          <w:lang w:val="en-GB" w:eastAsia="en-GB"/>
        </w:rPr>
        <w:t xml:space="preserve"> </w:t>
      </w:r>
      <w:r w:rsidRPr="00330F15">
        <w:rPr>
          <w:szCs w:val="24"/>
          <w:lang w:val="en-GB" w:eastAsia="en-GB"/>
        </w:rPr>
        <w:t>additional</w:t>
      </w:r>
      <w:r w:rsidR="00C7499A">
        <w:rPr>
          <w:szCs w:val="24"/>
          <w:lang w:val="en-GB" w:eastAsia="en-GB"/>
        </w:rPr>
        <w:t xml:space="preserve"> </w:t>
      </w:r>
      <w:r w:rsidRPr="00330F15">
        <w:rPr>
          <w:szCs w:val="24"/>
          <w:lang w:val="en-GB" w:eastAsia="en-GB"/>
        </w:rPr>
        <w:t>reports</w:t>
      </w:r>
      <w:r w:rsidR="00C7499A">
        <w:rPr>
          <w:szCs w:val="24"/>
          <w:lang w:val="en-GB" w:eastAsia="en-GB"/>
        </w:rPr>
        <w:t xml:space="preserve"> </w:t>
      </w:r>
      <w:r w:rsidRPr="00330F15">
        <w:rPr>
          <w:szCs w:val="24"/>
          <w:lang w:val="en-GB" w:eastAsia="en-GB"/>
        </w:rPr>
        <w:t>are</w:t>
      </w:r>
      <w:r w:rsidR="00C7499A">
        <w:rPr>
          <w:szCs w:val="24"/>
          <w:lang w:val="en-GB" w:eastAsia="en-GB"/>
        </w:rPr>
        <w:t xml:space="preserve"> </w:t>
      </w:r>
      <w:r w:rsidRPr="00330F15">
        <w:rPr>
          <w:szCs w:val="24"/>
          <w:lang w:val="en-GB" w:eastAsia="en-GB"/>
        </w:rPr>
        <w:t>expected</w:t>
      </w:r>
      <w:r w:rsidR="00C7499A">
        <w:rPr>
          <w:szCs w:val="24"/>
          <w:lang w:val="en-GB" w:eastAsia="en-GB"/>
        </w:rPr>
        <w:t xml:space="preserve"> </w:t>
      </w:r>
      <w:r w:rsidRPr="00330F15">
        <w:rPr>
          <w:szCs w:val="24"/>
          <w:lang w:val="en-GB" w:eastAsia="en-GB"/>
        </w:rPr>
        <w:t>to</w:t>
      </w:r>
      <w:r w:rsidR="00C7499A">
        <w:rPr>
          <w:szCs w:val="24"/>
          <w:lang w:val="en-GB" w:eastAsia="en-GB"/>
        </w:rPr>
        <w:t xml:space="preserve"> </w:t>
      </w:r>
      <w:r w:rsidRPr="00330F15">
        <w:rPr>
          <w:szCs w:val="24"/>
          <w:lang w:val="en-GB" w:eastAsia="en-GB"/>
        </w:rPr>
        <w:t>be completed</w:t>
      </w:r>
      <w:r w:rsidR="00C7499A">
        <w:rPr>
          <w:szCs w:val="24"/>
          <w:lang w:val="en-GB" w:eastAsia="en-GB"/>
        </w:rPr>
        <w:t xml:space="preserve"> </w:t>
      </w:r>
      <w:r w:rsidRPr="00330F15">
        <w:rPr>
          <w:szCs w:val="24"/>
          <w:lang w:val="en-GB" w:eastAsia="en-GB"/>
        </w:rPr>
        <w:t>in</w:t>
      </w:r>
      <w:r w:rsidR="00C7499A">
        <w:rPr>
          <w:szCs w:val="24"/>
          <w:lang w:val="en-GB" w:eastAsia="en-GB"/>
        </w:rPr>
        <w:t xml:space="preserve"> </w:t>
      </w:r>
      <w:r w:rsidRPr="00330F15">
        <w:rPr>
          <w:szCs w:val="24"/>
          <w:lang w:val="en-GB" w:eastAsia="en-GB"/>
        </w:rPr>
        <w:t>2020:</w:t>
      </w:r>
    </w:p>
    <w:p w14:paraId="4E6A9FB2" w14:textId="3642A21B"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Security </w:t>
      </w:r>
      <w:r w:rsidR="00ED2099">
        <w:rPr>
          <w:szCs w:val="24"/>
          <w:lang w:val="en-GB" w:eastAsia="en-GB"/>
        </w:rPr>
        <w:t>a</w:t>
      </w:r>
      <w:r w:rsidRPr="00330F15">
        <w:rPr>
          <w:szCs w:val="24"/>
          <w:lang w:val="en-GB" w:eastAsia="en-GB"/>
        </w:rPr>
        <w:t>udit of DFS applications under Android</w:t>
      </w:r>
    </w:p>
    <w:p w14:paraId="6B7D471A" w14:textId="5AAD7AB7"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Legal aspects of </w:t>
      </w:r>
      <w:r w:rsidR="00330F15" w:rsidRPr="00330F15">
        <w:rPr>
          <w:szCs w:val="24"/>
          <w:lang w:val="en-GB" w:eastAsia="en-GB"/>
        </w:rPr>
        <w:t xml:space="preserve">Distributed Ledger Technologies (DLT) </w:t>
      </w:r>
    </w:p>
    <w:p w14:paraId="401DAFAD" w14:textId="0228F87A"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Use of telecom data</w:t>
      </w:r>
    </w:p>
    <w:p w14:paraId="4DE943CF" w14:textId="0787623C"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Application Programming Interfaces in d</w:t>
      </w:r>
      <w:r w:rsidR="00330F15" w:rsidRPr="00330F15">
        <w:rPr>
          <w:szCs w:val="24"/>
          <w:lang w:val="en-GB" w:eastAsia="en-GB"/>
        </w:rPr>
        <w:t xml:space="preserve">igital </w:t>
      </w:r>
      <w:r>
        <w:rPr>
          <w:szCs w:val="24"/>
          <w:lang w:val="en-GB" w:eastAsia="en-GB"/>
        </w:rPr>
        <w:t>f</w:t>
      </w:r>
      <w:r w:rsidR="00330F15" w:rsidRPr="00330F15">
        <w:rPr>
          <w:szCs w:val="24"/>
          <w:lang w:val="en-GB" w:eastAsia="en-GB"/>
        </w:rPr>
        <w:t>inanc</w:t>
      </w:r>
      <w:r>
        <w:rPr>
          <w:szCs w:val="24"/>
          <w:lang w:val="en-GB" w:eastAsia="en-GB"/>
        </w:rPr>
        <w:t>e</w:t>
      </w:r>
    </w:p>
    <w:p w14:paraId="08DB2C60" w14:textId="20D60BBD" w:rsidR="00330F15" w:rsidRPr="00330F15" w:rsidRDefault="00330F15" w:rsidP="00330F15">
      <w:pPr>
        <w:tabs>
          <w:tab w:val="clear" w:pos="794"/>
          <w:tab w:val="clear" w:pos="1191"/>
          <w:tab w:val="clear" w:pos="1588"/>
          <w:tab w:val="clear" w:pos="1985"/>
        </w:tabs>
        <w:overflowPunct/>
        <w:autoSpaceDE/>
        <w:autoSpaceDN/>
        <w:adjustRightInd/>
        <w:jc w:val="both"/>
        <w:rPr>
          <w:szCs w:val="24"/>
          <w:lang w:val="en-GB" w:eastAsia="en-GB"/>
        </w:rPr>
      </w:pPr>
      <w:r w:rsidRPr="00330F15">
        <w:rPr>
          <w:szCs w:val="24"/>
          <w:lang w:val="en-GB" w:eastAsia="en-GB"/>
        </w:rPr>
        <w:t xml:space="preserve">The </w:t>
      </w:r>
      <w:r w:rsidR="00ED2099">
        <w:rPr>
          <w:szCs w:val="24"/>
          <w:lang w:val="en-GB" w:eastAsia="en-GB"/>
        </w:rPr>
        <w:t xml:space="preserve">next </w:t>
      </w:r>
      <w:r w:rsidRPr="00330F15">
        <w:rPr>
          <w:szCs w:val="24"/>
          <w:lang w:val="en-GB" w:eastAsia="en-GB"/>
        </w:rPr>
        <w:t xml:space="preserve">FIGI Symposium, initially planned </w:t>
      </w:r>
      <w:r w:rsidR="00ED2099">
        <w:rPr>
          <w:szCs w:val="24"/>
          <w:lang w:val="en-GB" w:eastAsia="en-GB"/>
        </w:rPr>
        <w:t>for</w:t>
      </w:r>
      <w:r w:rsidRPr="00330F15">
        <w:rPr>
          <w:szCs w:val="24"/>
          <w:lang w:val="en-GB" w:eastAsia="en-GB"/>
        </w:rPr>
        <w:t xml:space="preserve"> June 2020, has been</w:t>
      </w:r>
      <w:r w:rsidR="00C7499A">
        <w:rPr>
          <w:szCs w:val="24"/>
          <w:lang w:val="en-GB" w:eastAsia="en-GB"/>
        </w:rPr>
        <w:t xml:space="preserve"> </w:t>
      </w:r>
      <w:r w:rsidR="00ED2099">
        <w:rPr>
          <w:szCs w:val="24"/>
          <w:lang w:val="en-GB" w:eastAsia="en-GB"/>
        </w:rPr>
        <w:t xml:space="preserve">rescheduled to </w:t>
      </w:r>
      <w:r w:rsidRPr="00330F15">
        <w:rPr>
          <w:szCs w:val="24"/>
          <w:lang w:val="en-GB" w:eastAsia="en-GB"/>
        </w:rPr>
        <w:t>June 2021.</w:t>
      </w:r>
    </w:p>
    <w:p w14:paraId="5B421FFD" w14:textId="138C1519" w:rsidR="00330F15" w:rsidRPr="00C7499A" w:rsidRDefault="00C7499A" w:rsidP="00C7499A">
      <w:pPr>
        <w:pStyle w:val="Heading2"/>
      </w:pPr>
      <w:bookmarkStart w:id="151" w:name="_Toc51042280"/>
      <w:r>
        <w:t>9.2</w:t>
      </w:r>
      <w:r>
        <w:tab/>
      </w:r>
      <w:r w:rsidR="00330F15" w:rsidRPr="00C7499A">
        <w:t>Standardization Activities in ITU-T Study Groups</w:t>
      </w:r>
      <w:bookmarkEnd w:id="151"/>
    </w:p>
    <w:p w14:paraId="12D200D5" w14:textId="5D4196D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11</w:t>
      </w:r>
    </w:p>
    <w:p w14:paraId="1D76AFA4" w14:textId="7D9D987E"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Question 2/11 “Signalling requirements and protocols for services and applications in emerging telecommunication environments” studies the vulnerabilities of different protocols and their impact on different industries including digital financial services.</w:t>
      </w:r>
    </w:p>
    <w:p w14:paraId="6D3CEC42" w14:textId="7C1C5A74"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 October 2019,</w:t>
      </w:r>
      <w:r w:rsidR="00C7499A">
        <w:rPr>
          <w:szCs w:val="24"/>
          <w:lang w:val="en-GB" w:eastAsia="en-GB"/>
        </w:rPr>
        <w:t xml:space="preserve"> </w:t>
      </w:r>
      <w:r w:rsidRPr="00330F15">
        <w:rPr>
          <w:szCs w:val="24"/>
          <w:lang w:val="en-GB" w:eastAsia="en-GB"/>
        </w:rPr>
        <w:t>SG11 organized a “Brainstorming session on SS7 vulnerabilities and the impact on different industries including digital financial services”</w:t>
      </w:r>
      <w:r w:rsidR="00C7499A">
        <w:rPr>
          <w:szCs w:val="24"/>
          <w:lang w:val="en-GB" w:eastAsia="en-GB"/>
        </w:rPr>
        <w:t xml:space="preserve"> </w:t>
      </w:r>
      <w:r w:rsidRPr="00330F15">
        <w:rPr>
          <w:szCs w:val="24"/>
          <w:lang w:val="en-GB" w:eastAsia="en-GB"/>
        </w:rPr>
        <w:t xml:space="preserve">which </w:t>
      </w:r>
      <w:r w:rsidR="00ED2099">
        <w:rPr>
          <w:szCs w:val="24"/>
          <w:lang w:val="en-GB" w:eastAsia="en-GB"/>
        </w:rPr>
        <w:t xml:space="preserve">discussed means </w:t>
      </w:r>
      <w:r w:rsidRPr="00330F15">
        <w:rPr>
          <w:szCs w:val="24"/>
          <w:lang w:val="en-GB" w:eastAsia="en-GB"/>
        </w:rPr>
        <w:t>to enhance the security mechanisms of existing protocols</w:t>
      </w:r>
      <w:r w:rsidR="00A94529">
        <w:rPr>
          <w:szCs w:val="24"/>
          <w:lang w:val="en-GB" w:eastAsia="en-GB"/>
        </w:rPr>
        <w:t xml:space="preserve">. </w:t>
      </w:r>
      <w:r w:rsidRPr="00330F15">
        <w:rPr>
          <w:szCs w:val="24"/>
          <w:lang w:val="en-GB" w:eastAsia="en-GB"/>
        </w:rPr>
        <w:t>In October 2019,</w:t>
      </w:r>
      <w:r w:rsidR="00C7499A">
        <w:rPr>
          <w:szCs w:val="24"/>
          <w:lang w:val="en-GB" w:eastAsia="en-GB"/>
        </w:rPr>
        <w:t xml:space="preserve"> </w:t>
      </w:r>
      <w:r w:rsidRPr="00330F15">
        <w:rPr>
          <w:szCs w:val="24"/>
          <w:lang w:val="en-GB" w:eastAsia="en-GB"/>
        </w:rPr>
        <w:t xml:space="preserve">SG11 agreed the Technical </w:t>
      </w:r>
      <w:r w:rsidR="00C7499A">
        <w:rPr>
          <w:szCs w:val="24"/>
          <w:lang w:val="en-GB" w:eastAsia="en-GB"/>
        </w:rPr>
        <w:t>R</w:t>
      </w:r>
      <w:r w:rsidRPr="00330F15">
        <w:rPr>
          <w:szCs w:val="24"/>
          <w:lang w:val="en-GB" w:eastAsia="en-GB"/>
        </w:rPr>
        <w:t>eport ITU-T TR-SS7-DFS “SS7 vulnerabilities and mitigation measures for digital financial services transactions”.</w:t>
      </w:r>
    </w:p>
    <w:p w14:paraId="55409D55" w14:textId="76EBBFAA"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w:t>
      </w:r>
      <w:r w:rsidR="00C7499A">
        <w:rPr>
          <w:szCs w:val="24"/>
          <w:lang w:val="en-GB" w:eastAsia="en-GB"/>
        </w:rPr>
        <w:t xml:space="preserve"> </w:t>
      </w:r>
      <w:r w:rsidRPr="00330F15">
        <w:rPr>
          <w:szCs w:val="24"/>
          <w:lang w:val="en-GB" w:eastAsia="en-GB"/>
        </w:rPr>
        <w:t>April</w:t>
      </w:r>
      <w:r w:rsidR="00C7499A">
        <w:rPr>
          <w:szCs w:val="24"/>
          <w:lang w:val="en-GB" w:eastAsia="en-GB"/>
        </w:rPr>
        <w:t xml:space="preserve"> </w:t>
      </w:r>
      <w:r w:rsidRPr="00330F15">
        <w:rPr>
          <w:szCs w:val="24"/>
          <w:lang w:val="en-GB" w:eastAsia="en-GB"/>
        </w:rPr>
        <w:t>2020, SG11</w:t>
      </w:r>
      <w:r w:rsidR="00C7499A">
        <w:rPr>
          <w:szCs w:val="24"/>
          <w:lang w:val="en-GB" w:eastAsia="en-GB"/>
        </w:rPr>
        <w:t xml:space="preserve"> </w:t>
      </w:r>
      <w:r w:rsidRPr="00330F15">
        <w:rPr>
          <w:szCs w:val="24"/>
          <w:lang w:val="en-GB" w:eastAsia="en-GB"/>
        </w:rPr>
        <w:t>approved</w:t>
      </w:r>
      <w:r w:rsidR="00C7499A">
        <w:rPr>
          <w:szCs w:val="24"/>
          <w:lang w:val="en-GB" w:eastAsia="en-GB"/>
        </w:rPr>
        <w:t xml:space="preserve"> </w:t>
      </w:r>
      <w:r w:rsidRPr="00330F15">
        <w:rPr>
          <w:szCs w:val="24"/>
          <w:lang w:val="en-GB" w:eastAsia="en-GB"/>
        </w:rPr>
        <w:t>the</w:t>
      </w:r>
      <w:r w:rsidR="00C7499A">
        <w:rPr>
          <w:szCs w:val="24"/>
          <w:lang w:val="en-GB" w:eastAsia="en-GB"/>
        </w:rPr>
        <w:t xml:space="preserve"> </w:t>
      </w:r>
      <w:r w:rsidRPr="00330F15">
        <w:rPr>
          <w:szCs w:val="24"/>
          <w:lang w:val="en-GB" w:eastAsia="en-GB"/>
        </w:rPr>
        <w:t xml:space="preserve">new </w:t>
      </w:r>
      <w:r w:rsidR="00A94529">
        <w:rPr>
          <w:szCs w:val="24"/>
          <w:lang w:val="en-GB" w:eastAsia="en-GB"/>
        </w:rPr>
        <w:t xml:space="preserve">ITU standard </w:t>
      </w:r>
      <w:r w:rsidRPr="00330F15">
        <w:rPr>
          <w:szCs w:val="24"/>
          <w:lang w:val="en-GB" w:eastAsia="en-GB"/>
        </w:rPr>
        <w:t>Q.3057 “Signalling requirements and architecture for interconnection between trustable network entities”</w:t>
      </w:r>
      <w:r w:rsidR="00C7499A">
        <w:rPr>
          <w:szCs w:val="24"/>
          <w:lang w:val="en-GB" w:eastAsia="en-GB"/>
        </w:rPr>
        <w:t xml:space="preserve"> </w:t>
      </w:r>
      <w:r w:rsidRPr="00330F15">
        <w:rPr>
          <w:szCs w:val="24"/>
          <w:lang w:val="en-GB" w:eastAsia="en-GB"/>
        </w:rPr>
        <w:t>in support of existing and emerging networks</w:t>
      </w:r>
      <w:r w:rsidR="00A94529">
        <w:rPr>
          <w:szCs w:val="24"/>
          <w:lang w:val="en-GB" w:eastAsia="en-GB"/>
        </w:rPr>
        <w:t>, considering that t</w:t>
      </w:r>
      <w:r w:rsidRPr="00C7499A">
        <w:rPr>
          <w:szCs w:val="24"/>
          <w:lang w:val="en-GB" w:eastAsia="en-GB"/>
        </w:rPr>
        <w:t>he</w:t>
      </w:r>
      <w:r w:rsidR="00A55C37">
        <w:rPr>
          <w:szCs w:val="24"/>
          <w:lang w:val="en-GB" w:eastAsia="en-GB"/>
        </w:rPr>
        <w:t xml:space="preserve"> </w:t>
      </w:r>
      <w:r w:rsidRPr="00C7499A">
        <w:rPr>
          <w:szCs w:val="24"/>
          <w:lang w:val="en-GB" w:eastAsia="en-GB"/>
        </w:rPr>
        <w:t>security of existing signalling protocols</w:t>
      </w:r>
      <w:r w:rsidR="00C7499A" w:rsidRPr="00C7499A">
        <w:rPr>
          <w:szCs w:val="24"/>
          <w:lang w:val="en-GB" w:eastAsia="en-GB"/>
        </w:rPr>
        <w:t xml:space="preserve"> </w:t>
      </w:r>
      <w:r w:rsidRPr="00C7499A">
        <w:rPr>
          <w:szCs w:val="24"/>
          <w:lang w:val="en-GB" w:eastAsia="en-GB"/>
        </w:rPr>
        <w:t>is the</w:t>
      </w:r>
      <w:r w:rsidR="00C7499A" w:rsidRPr="00C7499A">
        <w:rPr>
          <w:szCs w:val="24"/>
          <w:lang w:val="en-GB" w:eastAsia="en-GB"/>
        </w:rPr>
        <w:t xml:space="preserve"> </w:t>
      </w:r>
      <w:r w:rsidRPr="00C7499A">
        <w:rPr>
          <w:szCs w:val="24"/>
          <w:lang w:val="en-GB" w:eastAsia="en-GB"/>
        </w:rPr>
        <w:t>cornerstone of</w:t>
      </w:r>
      <w:r w:rsidR="00C7499A" w:rsidRPr="00C7499A">
        <w:rPr>
          <w:szCs w:val="24"/>
          <w:lang w:val="en-GB" w:eastAsia="en-GB"/>
        </w:rPr>
        <w:t xml:space="preserve"> </w:t>
      </w:r>
      <w:r w:rsidRPr="00C7499A">
        <w:rPr>
          <w:szCs w:val="24"/>
          <w:lang w:val="en-GB" w:eastAsia="en-GB"/>
        </w:rPr>
        <w:t>the</w:t>
      </w:r>
      <w:r w:rsidR="00C7499A" w:rsidRPr="00C7499A">
        <w:rPr>
          <w:szCs w:val="24"/>
          <w:lang w:val="en-GB" w:eastAsia="en-GB"/>
        </w:rPr>
        <w:t xml:space="preserve"> </w:t>
      </w:r>
      <w:r w:rsidRPr="00C7499A">
        <w:rPr>
          <w:szCs w:val="24"/>
          <w:lang w:val="en-GB" w:eastAsia="en-GB"/>
        </w:rPr>
        <w:t xml:space="preserve">trust </w:t>
      </w:r>
      <w:r w:rsidR="00A94529">
        <w:rPr>
          <w:szCs w:val="24"/>
          <w:lang w:val="en-GB" w:eastAsia="en-GB"/>
        </w:rPr>
        <w:t xml:space="preserve">relationship </w:t>
      </w:r>
      <w:r w:rsidRPr="00C7499A">
        <w:rPr>
          <w:szCs w:val="24"/>
          <w:lang w:val="en-GB" w:eastAsia="en-GB"/>
        </w:rPr>
        <w:t xml:space="preserve">between </w:t>
      </w:r>
      <w:r w:rsidR="00A94529">
        <w:rPr>
          <w:szCs w:val="24"/>
          <w:lang w:val="en-GB" w:eastAsia="en-GB"/>
        </w:rPr>
        <w:t>DFS provides and their</w:t>
      </w:r>
      <w:r w:rsidRPr="00C7499A">
        <w:rPr>
          <w:szCs w:val="24"/>
          <w:lang w:val="en-GB" w:eastAsia="en-GB"/>
        </w:rPr>
        <w:t xml:space="preserve"> customer</w:t>
      </w:r>
      <w:r w:rsidR="00A94529">
        <w:rPr>
          <w:szCs w:val="24"/>
          <w:lang w:val="en-GB" w:eastAsia="en-GB"/>
        </w:rPr>
        <w:t>s</w:t>
      </w:r>
      <w:r w:rsidRPr="00C7499A">
        <w:rPr>
          <w:szCs w:val="24"/>
          <w:lang w:val="en-GB" w:eastAsia="en-GB"/>
        </w:rPr>
        <w:t>.</w:t>
      </w:r>
    </w:p>
    <w:p w14:paraId="05B56F05" w14:textId="218A4AA3" w:rsidR="00330F15" w:rsidRPr="00330F15" w:rsidRDefault="00330F15" w:rsidP="008F104D">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ITU-T SG11</w:t>
      </w:r>
      <w:r w:rsidR="008F104D">
        <w:rPr>
          <w:szCs w:val="24"/>
          <w:lang w:val="en-GB" w:eastAsia="en-GB"/>
        </w:rPr>
        <w:t xml:space="preserve"> </w:t>
      </w:r>
      <w:r w:rsidRPr="00330F15">
        <w:rPr>
          <w:szCs w:val="24"/>
          <w:lang w:val="en-GB" w:eastAsia="en-GB"/>
        </w:rPr>
        <w:t xml:space="preserve">is </w:t>
      </w:r>
      <w:r w:rsidR="00A94529">
        <w:rPr>
          <w:szCs w:val="24"/>
          <w:lang w:val="en-GB" w:eastAsia="en-GB"/>
        </w:rPr>
        <w:t xml:space="preserve">also in the process of </w:t>
      </w:r>
      <w:r w:rsidRPr="00330F15">
        <w:rPr>
          <w:szCs w:val="24"/>
          <w:lang w:val="en-GB" w:eastAsia="en-GB"/>
        </w:rPr>
        <w:t>developing</w:t>
      </w:r>
      <w:r w:rsidR="008F104D">
        <w:rPr>
          <w:szCs w:val="24"/>
          <w:lang w:val="en-GB" w:eastAsia="en-GB"/>
        </w:rPr>
        <w:t xml:space="preserve"> </w:t>
      </w:r>
      <w:r w:rsidR="00A94529">
        <w:rPr>
          <w:szCs w:val="24"/>
          <w:lang w:val="en-GB" w:eastAsia="en-GB"/>
        </w:rPr>
        <w:t>a T</w:t>
      </w:r>
      <w:r w:rsidRPr="00330F15">
        <w:rPr>
          <w:szCs w:val="24"/>
          <w:lang w:val="en-GB" w:eastAsia="en-GB"/>
        </w:rPr>
        <w:t>echnical</w:t>
      </w:r>
      <w:r w:rsidR="00A94529">
        <w:rPr>
          <w:szCs w:val="24"/>
          <w:lang w:val="en-GB" w:eastAsia="en-GB"/>
        </w:rPr>
        <w:t xml:space="preserve"> R</w:t>
      </w:r>
      <w:r w:rsidRPr="00330F15">
        <w:rPr>
          <w:szCs w:val="24"/>
          <w:lang w:val="en-GB" w:eastAsia="en-GB"/>
        </w:rPr>
        <w:t xml:space="preserve">eport on </w:t>
      </w:r>
      <w:r w:rsidR="00A94529">
        <w:rPr>
          <w:szCs w:val="24"/>
          <w:lang w:val="en-GB" w:eastAsia="en-GB"/>
        </w:rPr>
        <w:t>l</w:t>
      </w:r>
      <w:r w:rsidRPr="00330F15">
        <w:rPr>
          <w:szCs w:val="24"/>
          <w:lang w:val="en-GB" w:eastAsia="en-GB"/>
        </w:rPr>
        <w:t>ow resource requirement, quantum</w:t>
      </w:r>
      <w:r w:rsidR="00A94529">
        <w:rPr>
          <w:szCs w:val="24"/>
          <w:lang w:val="en-GB" w:eastAsia="en-GB"/>
        </w:rPr>
        <w:t>-</w:t>
      </w:r>
      <w:r w:rsidRPr="00330F15">
        <w:rPr>
          <w:szCs w:val="24"/>
          <w:lang w:val="en-GB" w:eastAsia="en-GB"/>
        </w:rPr>
        <w:t>resistant,</w:t>
      </w:r>
      <w:r w:rsidR="00A94529">
        <w:rPr>
          <w:szCs w:val="24"/>
          <w:lang w:val="en-GB" w:eastAsia="en-GB"/>
        </w:rPr>
        <w:t xml:space="preserve"> resource-efficient</w:t>
      </w:r>
      <w:r w:rsidRPr="00330F15">
        <w:rPr>
          <w:szCs w:val="24"/>
          <w:lang w:val="en-GB" w:eastAsia="en-GB"/>
        </w:rPr>
        <w:t xml:space="preserve"> encryption of USSD messages for use in</w:t>
      </w:r>
      <w:r w:rsidR="00A94529">
        <w:rPr>
          <w:szCs w:val="24"/>
          <w:lang w:val="en-GB" w:eastAsia="en-GB"/>
        </w:rPr>
        <w:t xml:space="preserve"> digital</w:t>
      </w:r>
      <w:r w:rsidRPr="00330F15">
        <w:rPr>
          <w:szCs w:val="24"/>
          <w:lang w:val="en-GB" w:eastAsia="en-GB"/>
        </w:rPr>
        <w:t xml:space="preserve"> financial services</w:t>
      </w:r>
      <w:r w:rsidR="00A94529">
        <w:rPr>
          <w:szCs w:val="24"/>
          <w:lang w:val="en-GB" w:eastAsia="en-GB"/>
        </w:rPr>
        <w:t xml:space="preserve">. This work is examining new </w:t>
      </w:r>
      <w:r w:rsidRPr="00330F15">
        <w:rPr>
          <w:szCs w:val="24"/>
          <w:lang w:val="en-GB" w:eastAsia="en-GB"/>
        </w:rPr>
        <w:t xml:space="preserve">technologies for </w:t>
      </w:r>
      <w:r w:rsidR="00A94529">
        <w:rPr>
          <w:szCs w:val="24"/>
          <w:lang w:val="en-GB" w:eastAsia="en-GB"/>
        </w:rPr>
        <w:t xml:space="preserve">end-to-end USSD </w:t>
      </w:r>
      <w:r w:rsidRPr="00330F15">
        <w:rPr>
          <w:szCs w:val="24"/>
          <w:lang w:val="en-GB" w:eastAsia="en-GB"/>
        </w:rPr>
        <w:t xml:space="preserve">encryption </w:t>
      </w:r>
      <w:r w:rsidR="00A94529">
        <w:rPr>
          <w:szCs w:val="24"/>
          <w:lang w:val="en-GB" w:eastAsia="en-GB"/>
        </w:rPr>
        <w:t xml:space="preserve">and assessing </w:t>
      </w:r>
      <w:r w:rsidR="00A94529">
        <w:rPr>
          <w:szCs w:val="24"/>
          <w:lang w:val="en-GB" w:eastAsia="en-GB"/>
        </w:rPr>
        <w:lastRenderedPageBreak/>
        <w:t xml:space="preserve">the potential to integrate such technologies </w:t>
      </w:r>
      <w:r w:rsidRPr="00330F15">
        <w:rPr>
          <w:szCs w:val="24"/>
          <w:lang w:val="en-GB" w:eastAsia="en-GB"/>
        </w:rPr>
        <w:t>into existing USSD technology</w:t>
      </w:r>
      <w:r w:rsidR="00A94529">
        <w:rPr>
          <w:szCs w:val="24"/>
          <w:lang w:val="en-GB" w:eastAsia="en-GB"/>
        </w:rPr>
        <w:t xml:space="preserve"> and </w:t>
      </w:r>
      <w:r w:rsidRPr="00330F15">
        <w:rPr>
          <w:szCs w:val="24"/>
          <w:lang w:val="en-GB" w:eastAsia="en-GB"/>
        </w:rPr>
        <w:t>reference architecture.</w:t>
      </w:r>
    </w:p>
    <w:p w14:paraId="1C70CEB0" w14:textId="654A27B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12</w:t>
      </w:r>
    </w:p>
    <w:p w14:paraId="156C9842" w14:textId="5D8BF19A" w:rsidR="00330F15" w:rsidRPr="00330F15" w:rsidRDefault="00A94529" w:rsidP="00330F15">
      <w:pPr>
        <w:tabs>
          <w:tab w:val="clear" w:pos="794"/>
          <w:tab w:val="clear" w:pos="1191"/>
          <w:tab w:val="clear" w:pos="1588"/>
          <w:tab w:val="clear" w:pos="1985"/>
        </w:tabs>
        <w:overflowPunct/>
        <w:autoSpaceDE/>
        <w:autoSpaceDN/>
        <w:adjustRightInd/>
        <w:rPr>
          <w:szCs w:val="24"/>
          <w:lang w:val="en-GB" w:eastAsia="en-GB"/>
        </w:rPr>
      </w:pPr>
      <w:r>
        <w:t xml:space="preserve">New ITU standards introduce QoS and </w:t>
      </w:r>
      <w:proofErr w:type="spellStart"/>
      <w:r>
        <w:t>QoE</w:t>
      </w:r>
      <w:proofErr w:type="spellEnd"/>
      <w:r>
        <w:t xml:space="preserve"> aspects of digital financial services (G.1033), a methodology to test the </w:t>
      </w:r>
      <w:proofErr w:type="spellStart"/>
      <w:r>
        <w:t>QoE</w:t>
      </w:r>
      <w:proofErr w:type="spellEnd"/>
      <w:r>
        <w:t xml:space="preserve"> of digital financial services (P.1502). </w:t>
      </w:r>
      <w:r w:rsidR="00330F15" w:rsidRPr="00330F15">
        <w:rPr>
          <w:szCs w:val="24"/>
          <w:lang w:val="en-GB" w:eastAsia="en-GB"/>
        </w:rPr>
        <w:t xml:space="preserve">The </w:t>
      </w:r>
      <w:r>
        <w:rPr>
          <w:szCs w:val="24"/>
          <w:lang w:val="en-GB" w:eastAsia="en-GB"/>
        </w:rPr>
        <w:t>sta</w:t>
      </w:r>
      <w:r w:rsidR="00BF27D7">
        <w:rPr>
          <w:szCs w:val="24"/>
          <w:lang w:val="en-GB" w:eastAsia="en-GB"/>
        </w:rPr>
        <w:t>n</w:t>
      </w:r>
      <w:r>
        <w:rPr>
          <w:szCs w:val="24"/>
          <w:lang w:val="en-GB" w:eastAsia="en-GB"/>
        </w:rPr>
        <w:t xml:space="preserve">dards </w:t>
      </w:r>
      <w:r w:rsidR="00330F15" w:rsidRPr="00330F15">
        <w:rPr>
          <w:szCs w:val="24"/>
          <w:lang w:val="en-GB" w:eastAsia="en-GB"/>
        </w:rPr>
        <w:t>are based on the results of the ITU-T Focus Group on Digital Financial Services and the FIGI Security, Infrastructure and Trust Working Group, and were developed under Question 13/12, responsible for multimedia</w:t>
      </w:r>
      <w:r w:rsidR="008F104D">
        <w:rPr>
          <w:szCs w:val="24"/>
          <w:lang w:val="en-GB" w:eastAsia="en-GB"/>
        </w:rPr>
        <w:t xml:space="preserve"> </w:t>
      </w:r>
      <w:r w:rsidR="00330F15" w:rsidRPr="00330F15">
        <w:rPr>
          <w:szCs w:val="24"/>
          <w:lang w:val="en-GB" w:eastAsia="en-GB"/>
        </w:rPr>
        <w:t>QoS and</w:t>
      </w:r>
      <w:r w:rsidR="008F104D">
        <w:rPr>
          <w:szCs w:val="24"/>
          <w:lang w:val="en-GB" w:eastAsia="en-GB"/>
        </w:rPr>
        <w:t xml:space="preserve"> </w:t>
      </w:r>
      <w:proofErr w:type="spellStart"/>
      <w:r w:rsidR="00330F15" w:rsidRPr="00330F15">
        <w:rPr>
          <w:szCs w:val="24"/>
          <w:lang w:val="en-GB" w:eastAsia="en-GB"/>
        </w:rPr>
        <w:t>QoE</w:t>
      </w:r>
      <w:proofErr w:type="spellEnd"/>
      <w:r w:rsidR="008F104D">
        <w:rPr>
          <w:szCs w:val="24"/>
          <w:lang w:val="en-GB" w:eastAsia="en-GB"/>
        </w:rPr>
        <w:t xml:space="preserve"> </w:t>
      </w:r>
      <w:r w:rsidR="00330F15" w:rsidRPr="00330F15">
        <w:rPr>
          <w:szCs w:val="24"/>
          <w:lang w:val="en-GB" w:eastAsia="en-GB"/>
        </w:rPr>
        <w:t>issues.</w:t>
      </w:r>
    </w:p>
    <w:p w14:paraId="0219E1F7" w14:textId="5F7C62FF"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eastAsia="en-GB"/>
        </w:rPr>
        <w:t>In its submissions to WTSA-20, SG12 included one new</w:t>
      </w:r>
      <w:r w:rsidR="008F104D">
        <w:rPr>
          <w:szCs w:val="24"/>
          <w:lang w:eastAsia="en-GB"/>
        </w:rPr>
        <w:t xml:space="preserve"> </w:t>
      </w:r>
      <w:r w:rsidR="00BF27D7">
        <w:rPr>
          <w:szCs w:val="24"/>
          <w:lang w:eastAsia="en-GB"/>
        </w:rPr>
        <w:t xml:space="preserve">Question </w:t>
      </w:r>
      <w:r w:rsidRPr="00330F15">
        <w:rPr>
          <w:szCs w:val="24"/>
          <w:lang w:eastAsia="en-GB"/>
        </w:rPr>
        <w:t>dedicated</w:t>
      </w:r>
      <w:r w:rsidR="008F104D">
        <w:rPr>
          <w:szCs w:val="24"/>
          <w:lang w:eastAsia="en-GB"/>
        </w:rPr>
        <w:t xml:space="preserve"> </w:t>
      </w:r>
      <w:r w:rsidRPr="00330F15">
        <w:rPr>
          <w:szCs w:val="24"/>
          <w:lang w:eastAsia="en-GB"/>
        </w:rPr>
        <w:t xml:space="preserve">to </w:t>
      </w:r>
      <w:r w:rsidR="00BF27D7">
        <w:rPr>
          <w:szCs w:val="24"/>
          <w:lang w:eastAsia="en-GB"/>
        </w:rPr>
        <w:t xml:space="preserve">the </w:t>
      </w:r>
      <w:r w:rsidRPr="00330F15">
        <w:rPr>
          <w:szCs w:val="24"/>
          <w:lang w:eastAsia="en-GB"/>
        </w:rPr>
        <w:t>study</w:t>
      </w:r>
      <w:r w:rsidR="00BF27D7">
        <w:rPr>
          <w:szCs w:val="24"/>
          <w:lang w:eastAsia="en-GB"/>
        </w:rPr>
        <w:t xml:space="preserve"> of</w:t>
      </w:r>
      <w:r w:rsidR="008F104D">
        <w:rPr>
          <w:szCs w:val="24"/>
          <w:lang w:eastAsia="en-GB"/>
        </w:rPr>
        <w:t xml:space="preserve"> </w:t>
      </w:r>
      <w:r w:rsidRPr="00330F15">
        <w:rPr>
          <w:szCs w:val="24"/>
          <w:lang w:eastAsia="en-GB"/>
        </w:rPr>
        <w:t>perceptual and field assessment principles for QoS and</w:t>
      </w:r>
      <w:r w:rsidR="008F104D">
        <w:rPr>
          <w:szCs w:val="24"/>
          <w:lang w:eastAsia="en-GB"/>
        </w:rPr>
        <w:t xml:space="preserve"> </w:t>
      </w:r>
      <w:proofErr w:type="spellStart"/>
      <w:r w:rsidRPr="00330F15">
        <w:rPr>
          <w:szCs w:val="24"/>
          <w:lang w:eastAsia="en-GB"/>
        </w:rPr>
        <w:t>QoE</w:t>
      </w:r>
      <w:proofErr w:type="spellEnd"/>
      <w:r w:rsidR="008F104D">
        <w:rPr>
          <w:szCs w:val="24"/>
          <w:lang w:eastAsia="en-GB"/>
        </w:rPr>
        <w:t xml:space="preserve"> </w:t>
      </w:r>
      <w:r w:rsidRPr="00330F15">
        <w:rPr>
          <w:szCs w:val="24"/>
          <w:lang w:eastAsia="en-GB"/>
        </w:rPr>
        <w:t xml:space="preserve">of </w:t>
      </w:r>
      <w:r w:rsidR="00BF27D7">
        <w:rPr>
          <w:szCs w:val="24"/>
          <w:lang w:eastAsia="en-GB"/>
        </w:rPr>
        <w:t>digital financial services</w:t>
      </w:r>
      <w:r w:rsidRPr="00330F15">
        <w:rPr>
          <w:szCs w:val="24"/>
          <w:lang w:eastAsia="en-GB"/>
        </w:rPr>
        <w:t>.</w:t>
      </w:r>
    </w:p>
    <w:p w14:paraId="35FE66DF" w14:textId="5D21BCB4" w:rsidR="00330F15" w:rsidRPr="00330F15" w:rsidRDefault="00330F15" w:rsidP="00886911">
      <w:pPr>
        <w:keepNext/>
        <w:keepLines/>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16</w:t>
      </w:r>
    </w:p>
    <w:p w14:paraId="7BBD3DF2" w14:textId="24E8FBA2" w:rsidR="00330F15" w:rsidRPr="00330F15" w:rsidRDefault="00330F15" w:rsidP="00886911">
      <w:pPr>
        <w:keepNext/>
        <w:keepLines/>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new</w:t>
      </w:r>
      <w:r w:rsidR="008F104D">
        <w:rPr>
          <w:szCs w:val="24"/>
          <w:lang w:val="en-GB" w:eastAsia="en-GB"/>
        </w:rPr>
        <w:t xml:space="preserve"> </w:t>
      </w:r>
      <w:r w:rsidRPr="00BF27D7">
        <w:rPr>
          <w:szCs w:val="24"/>
          <w:lang w:val="en-GB" w:eastAsia="en-GB"/>
        </w:rPr>
        <w:t>Question 22/16</w:t>
      </w:r>
      <w:r w:rsidR="008F104D" w:rsidRPr="00BF27D7">
        <w:rPr>
          <w:szCs w:val="24"/>
          <w:lang w:val="en-GB" w:eastAsia="en-GB"/>
        </w:rPr>
        <w:t xml:space="preserve"> </w:t>
      </w:r>
      <w:r w:rsidRPr="00330F15">
        <w:rPr>
          <w:szCs w:val="24"/>
          <w:lang w:val="en-GB" w:eastAsia="en-GB"/>
        </w:rPr>
        <w:t>on Distributed ledger technologies (DLT) and e-services continues part of the work of the now closed</w:t>
      </w:r>
      <w:r w:rsidR="008F104D">
        <w:rPr>
          <w:szCs w:val="24"/>
          <w:lang w:val="en-GB" w:eastAsia="en-GB"/>
        </w:rPr>
        <w:t xml:space="preserve"> </w:t>
      </w:r>
      <w:hyperlink r:id="rId108" w:tgtFrame="_blank" w:history="1">
        <w:r w:rsidRPr="00330F15">
          <w:rPr>
            <w:color w:val="0000FF"/>
            <w:szCs w:val="24"/>
            <w:u w:val="single"/>
            <w:lang w:val="en-GB" w:eastAsia="en-GB"/>
          </w:rPr>
          <w:t xml:space="preserve">ITU-T Focus Group on </w:t>
        </w:r>
        <w:r w:rsidR="00BF27D7">
          <w:rPr>
            <w:color w:val="0000FF"/>
            <w:szCs w:val="24"/>
            <w:u w:val="single"/>
            <w:lang w:val="en-GB" w:eastAsia="en-GB"/>
          </w:rPr>
          <w:t>the Application of D</w:t>
        </w:r>
        <w:r w:rsidRPr="00330F15">
          <w:rPr>
            <w:color w:val="0000FF"/>
            <w:szCs w:val="24"/>
            <w:u w:val="single"/>
            <w:lang w:val="en-GB" w:eastAsia="en-GB"/>
          </w:rPr>
          <w:t xml:space="preserve">istributed </w:t>
        </w:r>
        <w:r w:rsidR="00BF27D7">
          <w:rPr>
            <w:color w:val="0000FF"/>
            <w:szCs w:val="24"/>
            <w:u w:val="single"/>
            <w:lang w:val="en-GB" w:eastAsia="en-GB"/>
          </w:rPr>
          <w:t>Le</w:t>
        </w:r>
        <w:r w:rsidRPr="00330F15">
          <w:rPr>
            <w:color w:val="0000FF"/>
            <w:szCs w:val="24"/>
            <w:u w:val="single"/>
            <w:lang w:val="en-GB" w:eastAsia="en-GB"/>
          </w:rPr>
          <w:t>dger technolog</w:t>
        </w:r>
        <w:r w:rsidR="00BF27D7">
          <w:rPr>
            <w:color w:val="0000FF"/>
            <w:szCs w:val="24"/>
            <w:u w:val="single"/>
            <w:lang w:val="en-GB" w:eastAsia="en-GB"/>
          </w:rPr>
          <w:t>y</w:t>
        </w:r>
      </w:hyperlink>
      <w:r w:rsidRPr="00330F15">
        <w:rPr>
          <w:szCs w:val="24"/>
          <w:lang w:val="en-GB" w:eastAsia="en-GB"/>
        </w:rPr>
        <w:t>.</w:t>
      </w:r>
    </w:p>
    <w:p w14:paraId="25FE61F4" w14:textId="1C4F1F5B"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DLT</w:t>
      </w:r>
      <w:r w:rsidR="00BF27D7">
        <w:rPr>
          <w:szCs w:val="24"/>
          <w:lang w:val="en-GB" w:eastAsia="en-GB"/>
        </w:rPr>
        <w:t>s</w:t>
      </w:r>
      <w:r w:rsidRPr="00330F15">
        <w:rPr>
          <w:szCs w:val="24"/>
          <w:lang w:val="en-GB" w:eastAsia="en-GB"/>
        </w:rPr>
        <w:t xml:space="preserve"> are building blocks to many verticals, includ</w:t>
      </w:r>
      <w:r w:rsidR="00BF27D7">
        <w:rPr>
          <w:szCs w:val="24"/>
          <w:lang w:val="en-GB" w:eastAsia="en-GB"/>
        </w:rPr>
        <w:t>ing</w:t>
      </w:r>
      <w:r w:rsidRPr="00330F15">
        <w:rPr>
          <w:szCs w:val="24"/>
          <w:lang w:val="en-GB" w:eastAsia="en-GB"/>
        </w:rPr>
        <w:t xml:space="preserve"> digital financial services,</w:t>
      </w:r>
      <w:r w:rsidR="008F104D">
        <w:rPr>
          <w:szCs w:val="24"/>
          <w:lang w:val="en-GB" w:eastAsia="en-GB"/>
        </w:rPr>
        <w:t xml:space="preserve"> </w:t>
      </w:r>
      <w:r w:rsidRPr="00330F15">
        <w:rPr>
          <w:szCs w:val="24"/>
          <w:lang w:val="en-GB" w:eastAsia="en-GB"/>
        </w:rPr>
        <w:t>in particular when a trusted third party is not involved. Topics of interest for DFS being studied by Q22/16 include digital evidence services, digital</w:t>
      </w:r>
      <w:r w:rsidR="008F104D">
        <w:rPr>
          <w:szCs w:val="24"/>
          <w:lang w:val="en-GB" w:eastAsia="en-GB"/>
        </w:rPr>
        <w:t xml:space="preserve"> </w:t>
      </w:r>
      <w:proofErr w:type="gramStart"/>
      <w:r w:rsidRPr="00330F15">
        <w:rPr>
          <w:szCs w:val="24"/>
          <w:lang w:val="en-GB" w:eastAsia="en-GB"/>
        </w:rPr>
        <w:t>invoices</w:t>
      </w:r>
      <w:proofErr w:type="gramEnd"/>
      <w:r w:rsidR="008F104D">
        <w:rPr>
          <w:szCs w:val="24"/>
          <w:lang w:val="en-GB" w:eastAsia="en-GB"/>
        </w:rPr>
        <w:t xml:space="preserve"> </w:t>
      </w:r>
      <w:r w:rsidRPr="00330F15">
        <w:rPr>
          <w:szCs w:val="24"/>
          <w:lang w:val="en-GB" w:eastAsia="en-GB"/>
        </w:rPr>
        <w:t>and smart contracts.</w:t>
      </w:r>
    </w:p>
    <w:p w14:paraId="2B009CFE" w14:textId="4A16CD8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Two </w:t>
      </w:r>
      <w:r w:rsidR="008F104D">
        <w:rPr>
          <w:szCs w:val="24"/>
          <w:lang w:val="en-GB" w:eastAsia="en-GB"/>
        </w:rPr>
        <w:t>T</w:t>
      </w:r>
      <w:r w:rsidRPr="00330F15">
        <w:rPr>
          <w:szCs w:val="24"/>
          <w:lang w:val="en-GB" w:eastAsia="en-GB"/>
        </w:rPr>
        <w:t xml:space="preserve">echnical </w:t>
      </w:r>
      <w:r w:rsidR="008F104D">
        <w:rPr>
          <w:szCs w:val="24"/>
          <w:lang w:val="en-GB" w:eastAsia="en-GB"/>
        </w:rPr>
        <w:t>P</w:t>
      </w:r>
      <w:r w:rsidRPr="00330F15">
        <w:rPr>
          <w:szCs w:val="24"/>
          <w:lang w:val="en-GB" w:eastAsia="en-GB"/>
        </w:rPr>
        <w:t>apers</w:t>
      </w:r>
      <w:r w:rsidR="008F104D">
        <w:rPr>
          <w:szCs w:val="24"/>
          <w:lang w:val="en-GB" w:eastAsia="en-GB"/>
        </w:rPr>
        <w:t xml:space="preserve"> </w:t>
      </w:r>
      <w:r w:rsidRPr="00330F15">
        <w:rPr>
          <w:szCs w:val="24"/>
          <w:lang w:val="en-GB" w:eastAsia="en-GB"/>
        </w:rPr>
        <w:t>and three</w:t>
      </w:r>
      <w:r w:rsidR="008F104D">
        <w:rPr>
          <w:szCs w:val="24"/>
          <w:lang w:val="en-GB" w:eastAsia="en-GB"/>
        </w:rPr>
        <w:t xml:space="preserve"> </w:t>
      </w:r>
      <w:r w:rsidRPr="00330F15">
        <w:rPr>
          <w:szCs w:val="24"/>
          <w:lang w:val="en-GB" w:eastAsia="en-GB"/>
        </w:rPr>
        <w:t>ITU</w:t>
      </w:r>
      <w:r w:rsidR="00BF27D7">
        <w:rPr>
          <w:szCs w:val="24"/>
          <w:lang w:val="en-GB" w:eastAsia="en-GB"/>
        </w:rPr>
        <w:t xml:space="preserve"> standards</w:t>
      </w:r>
      <w:r w:rsidR="008F104D">
        <w:rPr>
          <w:szCs w:val="24"/>
          <w:lang w:val="en-GB" w:eastAsia="en-GB"/>
        </w:rPr>
        <w:t xml:space="preserve"> </w:t>
      </w:r>
      <w:r w:rsidRPr="00330F15">
        <w:rPr>
          <w:szCs w:val="24"/>
          <w:lang w:val="en-GB" w:eastAsia="en-GB"/>
        </w:rPr>
        <w:t>have been approved:</w:t>
      </w:r>
    </w:p>
    <w:p w14:paraId="51937D76" w14:textId="01056BFC" w:rsidR="00330F15" w:rsidRPr="00330F15"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09" w:tgtFrame="_blank" w:history="1">
        <w:r w:rsidR="00330F15" w:rsidRPr="00330F15">
          <w:rPr>
            <w:color w:val="0000FF"/>
            <w:szCs w:val="24"/>
            <w:u w:val="single"/>
            <w:lang w:val="en-GB" w:eastAsia="en-GB"/>
          </w:rPr>
          <w:t>HSTP.DLT-UC</w:t>
        </w:r>
      </w:hyperlink>
      <w:r w:rsidR="00330F15" w:rsidRPr="00330F15">
        <w:rPr>
          <w:szCs w:val="24"/>
          <w:lang w:val="en-GB" w:eastAsia="en-GB"/>
        </w:rPr>
        <w:t>: Distributed ledger technologies: Use cases</w:t>
      </w:r>
    </w:p>
    <w:p w14:paraId="2240F2C2" w14:textId="30660CFA" w:rsidR="00330F15" w:rsidRPr="00330F15"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0" w:tgtFrame="_blank" w:history="1">
        <w:r w:rsidR="00330F15" w:rsidRPr="00330F15">
          <w:rPr>
            <w:color w:val="0000FF"/>
            <w:szCs w:val="24"/>
            <w:u w:val="single"/>
            <w:lang w:val="en-GB" w:eastAsia="en-GB"/>
          </w:rPr>
          <w:t>HSTP.DLT-RF</w:t>
        </w:r>
      </w:hyperlink>
      <w:r w:rsidR="00330F15" w:rsidRPr="00330F15">
        <w:rPr>
          <w:szCs w:val="24"/>
          <w:lang w:val="en-GB" w:eastAsia="en-GB"/>
        </w:rPr>
        <w:t>: Distributed ledger technology: Regulatory framework</w:t>
      </w:r>
    </w:p>
    <w:p w14:paraId="30ADBC9E" w14:textId="768368EC" w:rsidR="00330F15" w:rsidRPr="00330F15"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1" w:tgtFrame="_blank" w:history="1">
        <w:r w:rsidR="00330F15" w:rsidRPr="00330F15">
          <w:rPr>
            <w:color w:val="0000FF"/>
            <w:szCs w:val="24"/>
            <w:u w:val="single"/>
            <w:lang w:val="en-GB" w:eastAsia="en-GB"/>
          </w:rPr>
          <w:t>F.751.0</w:t>
        </w:r>
      </w:hyperlink>
      <w:r w:rsidR="00330F15" w:rsidRPr="00330F15">
        <w:rPr>
          <w:szCs w:val="24"/>
          <w:lang w:val="en-GB" w:eastAsia="en-GB"/>
        </w:rPr>
        <w:t>: Requirements for distributed ledger systems</w:t>
      </w:r>
    </w:p>
    <w:p w14:paraId="1429BF76" w14:textId="2EE43231" w:rsidR="00330F15" w:rsidRPr="00330F15"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2" w:tgtFrame="_blank" w:history="1">
        <w:r w:rsidR="00330F15" w:rsidRPr="00330F15">
          <w:rPr>
            <w:color w:val="0000FF"/>
            <w:szCs w:val="24"/>
            <w:u w:val="single"/>
            <w:lang w:val="en-GB" w:eastAsia="en-GB"/>
          </w:rPr>
          <w:t>F.751.1</w:t>
        </w:r>
      </w:hyperlink>
      <w:r w:rsidR="00330F15" w:rsidRPr="00330F15">
        <w:rPr>
          <w:szCs w:val="24"/>
          <w:lang w:val="en-GB" w:eastAsia="en-GB"/>
        </w:rPr>
        <w:t>: Assessment criteria for distributed ledger technology (DLT) platforms</w:t>
      </w:r>
    </w:p>
    <w:p w14:paraId="503F991A" w14:textId="5026610C" w:rsid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3" w:tgtFrame="_blank" w:history="1">
        <w:r w:rsidR="00330F15" w:rsidRPr="00330F15">
          <w:rPr>
            <w:color w:val="0000FF"/>
            <w:szCs w:val="24"/>
            <w:u w:val="single"/>
            <w:lang w:val="en-GB" w:eastAsia="en-GB"/>
          </w:rPr>
          <w:t>F.751.2</w:t>
        </w:r>
      </w:hyperlink>
      <w:r w:rsidR="00330F15" w:rsidRPr="00330F15">
        <w:rPr>
          <w:szCs w:val="24"/>
          <w:lang w:val="en-GB" w:eastAsia="en-GB"/>
        </w:rPr>
        <w:t>: Reference framework for distributed ledger technologies</w:t>
      </w:r>
      <w:r w:rsidR="008F104D">
        <w:rPr>
          <w:szCs w:val="24"/>
          <w:lang w:val="en-GB" w:eastAsia="en-GB"/>
        </w:rPr>
        <w:t>.</w:t>
      </w:r>
    </w:p>
    <w:p w14:paraId="7CE63C61" w14:textId="1F217ECF" w:rsidR="00BF27D7" w:rsidRDefault="00BF27D7" w:rsidP="00BF27D7">
      <w:pPr>
        <w:tabs>
          <w:tab w:val="clear" w:pos="794"/>
          <w:tab w:val="clear" w:pos="1191"/>
          <w:tab w:val="clear" w:pos="1588"/>
          <w:tab w:val="clear" w:pos="1985"/>
        </w:tabs>
        <w:overflowPunct/>
        <w:autoSpaceDE/>
        <w:autoSpaceDN/>
        <w:adjustRightInd/>
        <w:rPr>
          <w:szCs w:val="24"/>
          <w:lang w:val="en-GB" w:eastAsia="en-GB"/>
        </w:rPr>
      </w:pPr>
      <w:r w:rsidRPr="00BF27D7">
        <w:rPr>
          <w:szCs w:val="24"/>
          <w:lang w:val="en-GB" w:eastAsia="en-GB"/>
        </w:rPr>
        <w:t xml:space="preserve">The following work items </w:t>
      </w:r>
      <w:r>
        <w:rPr>
          <w:szCs w:val="24"/>
          <w:lang w:val="en-GB" w:eastAsia="en-GB"/>
        </w:rPr>
        <w:t xml:space="preserve">are under </w:t>
      </w:r>
      <w:r w:rsidRPr="00BF27D7">
        <w:rPr>
          <w:szCs w:val="24"/>
          <w:lang w:val="en-GB" w:eastAsia="en-GB"/>
        </w:rPr>
        <w:t>develop</w:t>
      </w:r>
      <w:r>
        <w:rPr>
          <w:szCs w:val="24"/>
          <w:lang w:val="en-GB" w:eastAsia="en-GB"/>
        </w:rPr>
        <w:t>ment</w:t>
      </w:r>
      <w:r w:rsidRPr="00BF27D7">
        <w:rPr>
          <w:szCs w:val="24"/>
          <w:lang w:val="en-GB" w:eastAsia="en-GB"/>
        </w:rPr>
        <w:t>:</w:t>
      </w:r>
    </w:p>
    <w:p w14:paraId="6AB9B27A" w14:textId="77777777" w:rsid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4" w:tgtFrame="_blank" w:history="1">
        <w:r w:rsidR="00330F15" w:rsidRPr="00BF27D7">
          <w:rPr>
            <w:color w:val="0000FF"/>
            <w:szCs w:val="24"/>
            <w:u w:val="single"/>
            <w:lang w:val="en-GB" w:eastAsia="en-GB"/>
          </w:rPr>
          <w:t>F.DLT-FIN</w:t>
        </w:r>
      </w:hyperlink>
      <w:r w:rsidR="00330F15" w:rsidRPr="00BF27D7">
        <w:rPr>
          <w:szCs w:val="24"/>
          <w:lang w:val="en-GB" w:eastAsia="en-GB"/>
        </w:rPr>
        <w:t>: Financial distributed ledger technology application guideline</w:t>
      </w:r>
    </w:p>
    <w:p w14:paraId="60FB3965" w14:textId="77777777" w:rsid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5" w:tgtFrame="_blank" w:history="1">
        <w:r w:rsidR="00330F15" w:rsidRPr="00BF27D7">
          <w:rPr>
            <w:color w:val="0000FF"/>
            <w:szCs w:val="24"/>
            <w:u w:val="single"/>
            <w:lang w:val="en-GB" w:eastAsia="en-GB"/>
          </w:rPr>
          <w:t>H.DLT-DE</w:t>
        </w:r>
      </w:hyperlink>
      <w:r w:rsidR="00330F15" w:rsidRPr="00BF27D7">
        <w:rPr>
          <w:szCs w:val="24"/>
          <w:lang w:val="en-GB" w:eastAsia="en-GB"/>
        </w:rPr>
        <w:t>: Digital evidence services based on distributed ledger technologies</w:t>
      </w:r>
    </w:p>
    <w:p w14:paraId="235460A1" w14:textId="77777777" w:rsid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6" w:tgtFrame="_blank" w:history="1">
        <w:r w:rsidR="00330F15" w:rsidRPr="00BF27D7">
          <w:rPr>
            <w:color w:val="0000FF"/>
            <w:szCs w:val="24"/>
            <w:u w:val="single"/>
            <w:lang w:val="en-GB" w:eastAsia="en-GB"/>
          </w:rPr>
          <w:t>H.DLT-GTI</w:t>
        </w:r>
      </w:hyperlink>
      <w:r w:rsidR="00330F15" w:rsidRPr="00BF27D7">
        <w:rPr>
          <w:szCs w:val="24"/>
          <w:lang w:val="en-GB" w:eastAsia="en-GB"/>
        </w:rPr>
        <w:t>: DLT governance and technical interoperability framework</w:t>
      </w:r>
    </w:p>
    <w:p w14:paraId="6E5F00FC" w14:textId="77777777" w:rsid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7" w:tgtFrame="_blank" w:history="1">
        <w:r w:rsidR="00330F15" w:rsidRPr="00BF27D7">
          <w:rPr>
            <w:color w:val="0000FF"/>
            <w:szCs w:val="24"/>
            <w:u w:val="single"/>
            <w:lang w:val="en-GB" w:eastAsia="en-GB"/>
          </w:rPr>
          <w:t>H.DLT-INV</w:t>
        </w:r>
      </w:hyperlink>
      <w:r w:rsidR="00330F15" w:rsidRPr="00BF27D7">
        <w:rPr>
          <w:szCs w:val="24"/>
          <w:lang w:val="en-GB" w:eastAsia="en-GB"/>
        </w:rPr>
        <w:t>: General framework of DLT-based invoices</w:t>
      </w:r>
    </w:p>
    <w:p w14:paraId="5003931C" w14:textId="77777777" w:rsid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8" w:tgtFrame="_blank" w:history="1">
        <w:r w:rsidR="00330F15" w:rsidRPr="00BF27D7">
          <w:rPr>
            <w:color w:val="0000FF"/>
            <w:szCs w:val="24"/>
            <w:u w:val="single"/>
            <w:lang w:val="en-GB" w:eastAsia="en-GB"/>
          </w:rPr>
          <w:t>H.DLT-TFR</w:t>
        </w:r>
      </w:hyperlink>
      <w:r w:rsidR="00330F15" w:rsidRPr="00BF27D7">
        <w:rPr>
          <w:szCs w:val="24"/>
          <w:lang w:val="en-GB" w:eastAsia="en-GB"/>
        </w:rPr>
        <w:t>: Technical framework for DLT regulation</w:t>
      </w:r>
    </w:p>
    <w:p w14:paraId="7A0B074F" w14:textId="77777777" w:rsid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9" w:tgtFrame="_blank" w:history="1">
        <w:r w:rsidR="00330F15" w:rsidRPr="00BF27D7">
          <w:rPr>
            <w:color w:val="0000FF"/>
            <w:szCs w:val="24"/>
            <w:u w:val="single"/>
            <w:lang w:val="en-GB" w:eastAsia="en-GB"/>
          </w:rPr>
          <w:t>H.DLT-VERI</w:t>
        </w:r>
      </w:hyperlink>
      <w:r w:rsidR="00330F15" w:rsidRPr="00BF27D7">
        <w:rPr>
          <w:szCs w:val="24"/>
          <w:lang w:val="en-GB" w:eastAsia="en-GB"/>
        </w:rPr>
        <w:t>: Formal verification framework for smart contract</w:t>
      </w:r>
    </w:p>
    <w:p w14:paraId="7E4BAB51" w14:textId="590A4522" w:rsidR="00330F15" w:rsidRPr="00BF27D7" w:rsidRDefault="00C44FDC"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0" w:tgtFrame="_blank" w:history="1">
        <w:r w:rsidR="00330F15" w:rsidRPr="00BF27D7">
          <w:rPr>
            <w:color w:val="0000FF"/>
            <w:szCs w:val="24"/>
            <w:u w:val="single"/>
            <w:lang w:val="en-GB" w:eastAsia="en-GB"/>
          </w:rPr>
          <w:t>HSTP.DLT-Risk</w:t>
        </w:r>
      </w:hyperlink>
      <w:r w:rsidR="00330F15" w:rsidRPr="00BF27D7">
        <w:rPr>
          <w:szCs w:val="24"/>
          <w:lang w:val="en-GB" w:eastAsia="en-GB"/>
        </w:rPr>
        <w:t>: DLT-based application development risks and their mitigations</w:t>
      </w:r>
      <w:r w:rsidR="008F104D" w:rsidRPr="00BF27D7">
        <w:rPr>
          <w:szCs w:val="24"/>
          <w:lang w:val="en-GB" w:eastAsia="en-GB"/>
        </w:rPr>
        <w:t>.</w:t>
      </w:r>
    </w:p>
    <w:p w14:paraId="37F84F24" w14:textId="0EE72522" w:rsidR="00330F15" w:rsidRPr="00330F15" w:rsidRDefault="00642324"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The latest</w:t>
      </w:r>
      <w:r w:rsidR="00330F15" w:rsidRPr="00330F15">
        <w:rPr>
          <w:szCs w:val="24"/>
          <w:lang w:val="en-GB" w:eastAsia="en-GB"/>
        </w:rPr>
        <w:t xml:space="preserve"> information can be found at:</w:t>
      </w:r>
      <w:r>
        <w:rPr>
          <w:szCs w:val="24"/>
          <w:lang w:val="en-GB" w:eastAsia="en-GB"/>
        </w:rPr>
        <w:t xml:space="preserve"> </w:t>
      </w:r>
      <w:hyperlink r:id="rId121" w:history="1">
        <w:r w:rsidRPr="00982390">
          <w:rPr>
            <w:rStyle w:val="Hyperlink"/>
            <w:szCs w:val="24"/>
            <w:lang w:val="en-GB" w:eastAsia="en-GB"/>
          </w:rPr>
          <w:t>https://itu.int/ITU-T/workprog/wp_search.aspx?sg=16&amp;q=22</w:t>
        </w:r>
      </w:hyperlink>
      <w:r w:rsidR="00330F15" w:rsidRPr="00330F15">
        <w:rPr>
          <w:szCs w:val="24"/>
          <w:lang w:val="en-GB" w:eastAsia="en-GB"/>
        </w:rPr>
        <w:t>.</w:t>
      </w:r>
    </w:p>
    <w:p w14:paraId="4C00F6B6" w14:textId="7C3E1DC4"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17</w:t>
      </w:r>
    </w:p>
    <w:p w14:paraId="5C058DC4" w14:textId="3BCD9D42" w:rsidR="00330F15" w:rsidRPr="00330F15" w:rsidRDefault="00BF27D7"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As FinTech </w:t>
      </w:r>
      <w:r w:rsidR="00330F15" w:rsidRPr="00330F15">
        <w:rPr>
          <w:szCs w:val="24"/>
          <w:lang w:val="en-GB" w:eastAsia="en-GB"/>
        </w:rPr>
        <w:t>change</w:t>
      </w:r>
      <w:r>
        <w:rPr>
          <w:szCs w:val="24"/>
          <w:lang w:val="en-GB" w:eastAsia="en-GB"/>
        </w:rPr>
        <w:t>s</w:t>
      </w:r>
      <w:r w:rsidR="00330F15" w:rsidRPr="00330F15">
        <w:rPr>
          <w:szCs w:val="24"/>
          <w:lang w:val="en-GB" w:eastAsia="en-GB"/>
        </w:rPr>
        <w:t xml:space="preserve"> the way consumers access financial products and services</w:t>
      </w:r>
      <w:r>
        <w:rPr>
          <w:szCs w:val="24"/>
          <w:lang w:val="en-GB" w:eastAsia="en-GB"/>
        </w:rPr>
        <w:t>,</w:t>
      </w:r>
      <w:r w:rsidR="00330F15" w:rsidRPr="00330F15">
        <w:rPr>
          <w:szCs w:val="24"/>
          <w:lang w:val="en-GB" w:eastAsia="en-GB"/>
        </w:rPr>
        <w:t xml:space="preserve"> </w:t>
      </w:r>
      <w:r>
        <w:rPr>
          <w:szCs w:val="24"/>
          <w:lang w:val="en-GB" w:eastAsia="en-GB"/>
        </w:rPr>
        <w:t>i</w:t>
      </w:r>
      <w:r w:rsidR="00330F15" w:rsidRPr="00330F15">
        <w:rPr>
          <w:szCs w:val="24"/>
          <w:lang w:val="en-GB" w:eastAsia="en-GB"/>
        </w:rPr>
        <w:t xml:space="preserve">nterfaces between FinTech start-ups and traditional providers </w:t>
      </w:r>
      <w:r>
        <w:rPr>
          <w:szCs w:val="24"/>
          <w:lang w:val="en-GB" w:eastAsia="en-GB"/>
        </w:rPr>
        <w:t xml:space="preserve">have become </w:t>
      </w:r>
      <w:r w:rsidR="00330F15" w:rsidRPr="00330F15">
        <w:rPr>
          <w:szCs w:val="24"/>
          <w:lang w:val="en-GB" w:eastAsia="en-GB"/>
        </w:rPr>
        <w:t xml:space="preserve">a common source of cyber vulnerabilities. ITU-T SG17 is developing technical and procedural specifications to ensure </w:t>
      </w:r>
      <w:r>
        <w:rPr>
          <w:szCs w:val="24"/>
          <w:lang w:val="en-GB" w:eastAsia="en-GB"/>
        </w:rPr>
        <w:t xml:space="preserve">that </w:t>
      </w:r>
      <w:r w:rsidR="00330F15" w:rsidRPr="00330F15">
        <w:rPr>
          <w:szCs w:val="24"/>
          <w:lang w:val="en-GB" w:eastAsia="en-GB"/>
        </w:rPr>
        <w:t xml:space="preserve">risk-based security management </w:t>
      </w:r>
      <w:r>
        <w:rPr>
          <w:szCs w:val="24"/>
          <w:lang w:val="en-GB" w:eastAsia="en-GB"/>
        </w:rPr>
        <w:t xml:space="preserve">is </w:t>
      </w:r>
      <w:r w:rsidR="00330F15" w:rsidRPr="00330F15">
        <w:rPr>
          <w:szCs w:val="24"/>
          <w:lang w:val="en-GB" w:eastAsia="en-GB"/>
        </w:rPr>
        <w:t xml:space="preserve">implemented </w:t>
      </w:r>
      <w:r w:rsidR="00642324">
        <w:rPr>
          <w:szCs w:val="24"/>
          <w:lang w:val="en-GB" w:eastAsia="en-GB"/>
        </w:rPr>
        <w:t>at</w:t>
      </w:r>
      <w:r w:rsidR="00330F15" w:rsidRPr="00330F15">
        <w:rPr>
          <w:szCs w:val="24"/>
          <w:lang w:val="en-GB" w:eastAsia="en-GB"/>
        </w:rPr>
        <w:t xml:space="preserve"> every lifecycle stage</w:t>
      </w:r>
      <w:r>
        <w:rPr>
          <w:szCs w:val="24"/>
          <w:lang w:val="en-GB" w:eastAsia="en-GB"/>
        </w:rPr>
        <w:t>. C</w:t>
      </w:r>
      <w:r w:rsidR="00330F15" w:rsidRPr="00330F15">
        <w:rPr>
          <w:szCs w:val="24"/>
          <w:lang w:val="en-GB" w:eastAsia="en-GB"/>
        </w:rPr>
        <w:t xml:space="preserve">omponent and interface </w:t>
      </w:r>
      <w:r>
        <w:rPr>
          <w:szCs w:val="24"/>
          <w:lang w:val="en-GB" w:eastAsia="en-GB"/>
        </w:rPr>
        <w:t xml:space="preserve">aspects of </w:t>
      </w:r>
      <w:r w:rsidR="00330F15" w:rsidRPr="00330F15">
        <w:rPr>
          <w:szCs w:val="24"/>
          <w:lang w:val="en-GB" w:eastAsia="en-GB"/>
        </w:rPr>
        <w:t>FinTech systems and services</w:t>
      </w:r>
      <w:r w:rsidR="008F104D">
        <w:rPr>
          <w:szCs w:val="24"/>
          <w:lang w:val="en-GB" w:eastAsia="en-GB"/>
        </w:rPr>
        <w:t xml:space="preserve"> </w:t>
      </w:r>
      <w:r>
        <w:rPr>
          <w:szCs w:val="24"/>
          <w:lang w:val="en-GB" w:eastAsia="en-GB"/>
        </w:rPr>
        <w:t xml:space="preserve">are under study in </w:t>
      </w:r>
      <w:r w:rsidR="00330F15" w:rsidRPr="00F87EB8">
        <w:rPr>
          <w:szCs w:val="24"/>
          <w:lang w:val="en-GB" w:eastAsia="en-GB"/>
        </w:rPr>
        <w:t>Q</w:t>
      </w:r>
      <w:r w:rsidR="00642324">
        <w:rPr>
          <w:szCs w:val="24"/>
          <w:lang w:val="en-GB" w:eastAsia="en-GB"/>
        </w:rPr>
        <w:t xml:space="preserve">uestion </w:t>
      </w:r>
      <w:r w:rsidR="00330F15" w:rsidRPr="00F87EB8">
        <w:rPr>
          <w:szCs w:val="24"/>
          <w:lang w:val="en-GB" w:eastAsia="en-GB"/>
        </w:rPr>
        <w:t xml:space="preserve">7/17 </w:t>
      </w:r>
      <w:r w:rsidR="00642324">
        <w:rPr>
          <w:szCs w:val="24"/>
          <w:lang w:val="en-GB" w:eastAsia="en-GB"/>
        </w:rPr>
        <w:t>“</w:t>
      </w:r>
      <w:r w:rsidR="00330F15" w:rsidRPr="00F87EB8">
        <w:rPr>
          <w:szCs w:val="24"/>
          <w:lang w:val="en-GB" w:eastAsia="en-GB"/>
        </w:rPr>
        <w:t>Secure application services</w:t>
      </w:r>
      <w:r w:rsidR="00642324">
        <w:rPr>
          <w:szCs w:val="24"/>
          <w:lang w:val="en-GB" w:eastAsia="en-GB"/>
        </w:rPr>
        <w:t xml:space="preserve">” </w:t>
      </w:r>
      <w:r w:rsidR="00330F15" w:rsidRPr="00F87EB8">
        <w:rPr>
          <w:szCs w:val="24"/>
          <w:lang w:val="en-GB" w:eastAsia="en-GB"/>
        </w:rPr>
        <w:t>and Q</w:t>
      </w:r>
      <w:r w:rsidR="00642324">
        <w:rPr>
          <w:szCs w:val="24"/>
          <w:lang w:val="en-GB" w:eastAsia="en-GB"/>
        </w:rPr>
        <w:t xml:space="preserve">uestion </w:t>
      </w:r>
      <w:r w:rsidR="00330F15" w:rsidRPr="00F87EB8">
        <w:rPr>
          <w:szCs w:val="24"/>
          <w:lang w:val="en-GB" w:eastAsia="en-GB"/>
        </w:rPr>
        <w:t xml:space="preserve">14/17 </w:t>
      </w:r>
      <w:r w:rsidR="00642324">
        <w:rPr>
          <w:szCs w:val="24"/>
          <w:lang w:val="en-GB" w:eastAsia="en-GB"/>
        </w:rPr>
        <w:t>“</w:t>
      </w:r>
      <w:r w:rsidR="00330F15" w:rsidRPr="00F87EB8">
        <w:rPr>
          <w:szCs w:val="24"/>
          <w:lang w:val="en-GB" w:eastAsia="en-GB"/>
        </w:rPr>
        <w:t>Distributed ledger technology security</w:t>
      </w:r>
      <w:r w:rsidR="00642324">
        <w:rPr>
          <w:szCs w:val="24"/>
          <w:lang w:val="en-GB" w:eastAsia="en-GB"/>
        </w:rPr>
        <w:t>”</w:t>
      </w:r>
      <w:r w:rsidR="00330F15" w:rsidRPr="00330F15">
        <w:rPr>
          <w:szCs w:val="24"/>
          <w:lang w:val="en-GB" w:eastAsia="en-GB"/>
        </w:rPr>
        <w:t>.</w:t>
      </w:r>
    </w:p>
    <w:p w14:paraId="0A3A7810" w14:textId="0715ADDD" w:rsidR="00330F15" w:rsidRPr="00330F15" w:rsidRDefault="00642324" w:rsidP="00642324">
      <w:pPr>
        <w:tabs>
          <w:tab w:val="clear" w:pos="794"/>
          <w:tab w:val="clear" w:pos="1191"/>
          <w:tab w:val="clear" w:pos="1588"/>
          <w:tab w:val="clear" w:pos="1985"/>
        </w:tabs>
        <w:overflowPunct/>
        <w:autoSpaceDE/>
        <w:autoSpaceDN/>
        <w:adjustRightInd/>
        <w:rPr>
          <w:szCs w:val="24"/>
          <w:lang w:val="en-GB" w:eastAsia="en-GB"/>
        </w:rPr>
      </w:pPr>
      <w:r>
        <w:lastRenderedPageBreak/>
        <w:t>A new ITU standard describes security requirements FinTech services built on open platform architectures (</w:t>
      </w:r>
      <w:hyperlink r:id="rId122" w:history="1">
        <w:r>
          <w:rPr>
            <w:rStyle w:val="Hyperlink"/>
            <w:lang w:val="en-GB" w:eastAsia="en-GB"/>
          </w:rPr>
          <w:t>X.1</w:t>
        </w:r>
        <w:r w:rsidRPr="2B30A600">
          <w:rPr>
            <w:rStyle w:val="Hyperlink"/>
            <w:lang w:val="en-GB" w:eastAsia="en-GB"/>
          </w:rPr>
          <w:t>149</w:t>
        </w:r>
      </w:hyperlink>
      <w:r>
        <w:t>).</w:t>
      </w:r>
      <w:r>
        <w:rPr>
          <w:szCs w:val="24"/>
          <w:lang w:val="en-GB" w:eastAsia="en-GB"/>
        </w:rPr>
        <w:t xml:space="preserve"> Work is underway on the work item </w:t>
      </w:r>
      <w:hyperlink r:id="rId123" w:tgtFrame="_blank" w:history="1">
        <w:proofErr w:type="spellStart"/>
        <w:r w:rsidR="00330F15" w:rsidRPr="00330F15">
          <w:rPr>
            <w:color w:val="0000FF"/>
            <w:szCs w:val="24"/>
            <w:u w:val="single"/>
            <w:lang w:val="en-GB" w:eastAsia="en-GB"/>
          </w:rPr>
          <w:t>X.str-dlt</w:t>
        </w:r>
        <w:proofErr w:type="spellEnd"/>
      </w:hyperlink>
      <w:r>
        <w:rPr>
          <w:szCs w:val="24"/>
          <w:lang w:val="en-GB" w:eastAsia="en-GB"/>
        </w:rPr>
        <w:t xml:space="preserve"> to describe s</w:t>
      </w:r>
      <w:r w:rsidR="00330F15" w:rsidRPr="00330F15">
        <w:rPr>
          <w:szCs w:val="24"/>
          <w:lang w:val="en-GB" w:eastAsia="en-GB"/>
        </w:rPr>
        <w:t>ecurity requirements for digital payment services using distributed ledger technology</w:t>
      </w:r>
      <w:r w:rsidR="00F87EB8">
        <w:rPr>
          <w:szCs w:val="24"/>
          <w:lang w:val="en-GB" w:eastAsia="en-GB"/>
        </w:rPr>
        <w:t>.</w:t>
      </w:r>
    </w:p>
    <w:p w14:paraId="001CBB42" w14:textId="503AF8F8" w:rsidR="00330F15" w:rsidRPr="00A55C37" w:rsidRDefault="00A55C37" w:rsidP="00A55C37">
      <w:pPr>
        <w:pStyle w:val="Heading2"/>
      </w:pPr>
      <w:bookmarkStart w:id="152" w:name="_Toc51042281"/>
      <w:r>
        <w:t>9.3</w:t>
      </w:r>
      <w:r>
        <w:tab/>
      </w:r>
      <w:r w:rsidR="00330F15" w:rsidRPr="00A55C37">
        <w:t xml:space="preserve">DFS </w:t>
      </w:r>
      <w:r>
        <w:t>w</w:t>
      </w:r>
      <w:r w:rsidR="00330F15" w:rsidRPr="00A55C37">
        <w:t xml:space="preserve">ebinar </w:t>
      </w:r>
      <w:r>
        <w:t>s</w:t>
      </w:r>
      <w:r w:rsidR="00330F15" w:rsidRPr="00A55C37">
        <w:t>eries during COVID-19</w:t>
      </w:r>
      <w:bookmarkEnd w:id="152"/>
    </w:p>
    <w:p w14:paraId="6948845A" w14:textId="27F1737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TSB organi</w:t>
      </w:r>
      <w:r w:rsidR="003D2B95">
        <w:rPr>
          <w:szCs w:val="24"/>
          <w:lang w:val="en-GB" w:eastAsia="en-GB"/>
        </w:rPr>
        <w:t>z</w:t>
      </w:r>
      <w:r w:rsidRPr="00330F15">
        <w:rPr>
          <w:szCs w:val="24"/>
          <w:lang w:val="en-GB" w:eastAsia="en-GB"/>
        </w:rPr>
        <w:t>ed</w:t>
      </w:r>
      <w:r w:rsidR="00A55C37">
        <w:rPr>
          <w:szCs w:val="24"/>
          <w:lang w:val="en-GB" w:eastAsia="en-GB"/>
        </w:rPr>
        <w:t xml:space="preserve"> </w:t>
      </w:r>
      <w:r w:rsidRPr="00330F15">
        <w:rPr>
          <w:szCs w:val="24"/>
          <w:lang w:val="en-GB" w:eastAsia="en-GB"/>
        </w:rPr>
        <w:t>the</w:t>
      </w:r>
      <w:r w:rsidR="00A55C37">
        <w:rPr>
          <w:szCs w:val="24"/>
          <w:lang w:val="en-GB" w:eastAsia="en-GB"/>
        </w:rPr>
        <w:t xml:space="preserve"> </w:t>
      </w:r>
      <w:hyperlink r:id="rId124" w:tgtFrame="_blank" w:history="1">
        <w:r w:rsidRPr="00330F15">
          <w:rPr>
            <w:color w:val="0000FF"/>
            <w:szCs w:val="24"/>
            <w:u w:val="single"/>
            <w:lang w:val="en-GB" w:eastAsia="en-GB"/>
          </w:rPr>
          <w:t>Insights on DFS</w:t>
        </w:r>
        <w:r w:rsidR="00A55C37">
          <w:rPr>
            <w:color w:val="0000FF"/>
            <w:szCs w:val="24"/>
            <w:u w:val="single"/>
            <w:lang w:val="en-GB" w:eastAsia="en-GB"/>
          </w:rPr>
          <w:t xml:space="preserve"> </w:t>
        </w:r>
        <w:r w:rsidRPr="00330F15">
          <w:rPr>
            <w:color w:val="0000FF"/>
            <w:szCs w:val="24"/>
            <w:u w:val="single"/>
            <w:lang w:val="en-GB" w:eastAsia="en-GB"/>
          </w:rPr>
          <w:t>webinar</w:t>
        </w:r>
        <w:r w:rsidR="00A55C37">
          <w:rPr>
            <w:color w:val="0000FF"/>
            <w:szCs w:val="24"/>
            <w:u w:val="single"/>
            <w:lang w:val="en-GB" w:eastAsia="en-GB"/>
          </w:rPr>
          <w:t xml:space="preserve"> </w:t>
        </w:r>
        <w:r w:rsidRPr="00330F15">
          <w:rPr>
            <w:color w:val="0000FF"/>
            <w:szCs w:val="24"/>
            <w:u w:val="single"/>
            <w:lang w:val="en-GB" w:eastAsia="en-GB"/>
          </w:rPr>
          <w:t>series</w:t>
        </w:r>
      </w:hyperlink>
      <w:r w:rsidR="00A55C37">
        <w:rPr>
          <w:szCs w:val="24"/>
          <w:lang w:val="en-GB" w:eastAsia="en-GB"/>
        </w:rPr>
        <w:t xml:space="preserve"> </w:t>
      </w:r>
      <w:r w:rsidRPr="00330F15">
        <w:rPr>
          <w:szCs w:val="24"/>
          <w:lang w:val="en-GB" w:eastAsia="en-GB"/>
        </w:rPr>
        <w:t>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w:t>
      </w:r>
      <w:r w:rsidR="00A55C37">
        <w:rPr>
          <w:szCs w:val="24"/>
          <w:lang w:val="en-GB" w:eastAsia="en-GB"/>
        </w:rPr>
        <w:t xml:space="preserve"> </w:t>
      </w:r>
      <w:r w:rsidRPr="00330F15">
        <w:rPr>
          <w:szCs w:val="24"/>
          <w:lang w:val="en-GB" w:eastAsia="en-GB"/>
        </w:rPr>
        <w:t>870</w:t>
      </w:r>
      <w:r w:rsidR="00A55C37">
        <w:rPr>
          <w:szCs w:val="24"/>
          <w:lang w:val="en-GB" w:eastAsia="en-GB"/>
        </w:rPr>
        <w:t xml:space="preserve"> </w:t>
      </w:r>
      <w:r w:rsidRPr="00330F15">
        <w:rPr>
          <w:szCs w:val="24"/>
          <w:lang w:val="en-GB" w:eastAsia="en-GB"/>
        </w:rPr>
        <w:t>unique</w:t>
      </w:r>
      <w:r w:rsidR="00A55C37">
        <w:rPr>
          <w:szCs w:val="24"/>
          <w:lang w:val="en-GB" w:eastAsia="en-GB"/>
        </w:rPr>
        <w:t xml:space="preserve"> </w:t>
      </w:r>
      <w:r w:rsidRPr="00330F15">
        <w:rPr>
          <w:szCs w:val="24"/>
          <w:lang w:val="en-GB" w:eastAsia="en-GB"/>
        </w:rPr>
        <w:t>participants from 105 countries. The webinars focused on topics such as digital identity, strong authentication technologies, security of digital financial transactions, handling fraud and scams, digital credit technologies and central bank digital currency.</w:t>
      </w:r>
    </w:p>
    <w:p w14:paraId="1E0A6570" w14:textId="572B4654" w:rsidR="00330F15" w:rsidRPr="00E455C8" w:rsidRDefault="00E455C8" w:rsidP="00E455C8">
      <w:pPr>
        <w:pStyle w:val="Heading2"/>
      </w:pPr>
      <w:bookmarkStart w:id="153" w:name="_Toc51042282"/>
      <w:r>
        <w:t>9.4</w:t>
      </w:r>
      <w:r>
        <w:tab/>
      </w:r>
      <w:r w:rsidR="00330F15" w:rsidRPr="00E455C8">
        <w:t>Digital Currency Global Initiative</w:t>
      </w:r>
      <w:bookmarkEnd w:id="153"/>
    </w:p>
    <w:p w14:paraId="0FE23B67" w14:textId="32CD3410"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BE1043">
        <w:rPr>
          <w:szCs w:val="24"/>
          <w:lang w:val="en-GB" w:eastAsia="en-GB"/>
        </w:rPr>
        <w:t xml:space="preserve"> </w:t>
      </w:r>
      <w:hyperlink r:id="rId125" w:tgtFrame="_blank" w:history="1">
        <w:r w:rsidRPr="005150C3">
          <w:rPr>
            <w:color w:val="0000FF"/>
            <w:szCs w:val="24"/>
            <w:u w:val="single"/>
            <w:lang w:val="en-GB" w:eastAsia="en-GB"/>
          </w:rPr>
          <w:t>Digital Currency Global Initiative</w:t>
        </w:r>
      </w:hyperlink>
      <w:r w:rsidR="005150C3">
        <w:rPr>
          <w:szCs w:val="24"/>
          <w:lang w:val="en-GB" w:eastAsia="en-GB"/>
        </w:rPr>
        <w:t xml:space="preserve"> </w:t>
      </w:r>
      <w:r w:rsidRPr="00330F15">
        <w:rPr>
          <w:szCs w:val="24"/>
          <w:lang w:val="en-GB" w:eastAsia="en-GB"/>
        </w:rPr>
        <w:t>is a collaboration between ITU and Stanford University</w:t>
      </w:r>
      <w:r w:rsidR="005150C3">
        <w:rPr>
          <w:szCs w:val="24"/>
          <w:lang w:val="en-GB" w:eastAsia="en-GB"/>
        </w:rPr>
        <w:t xml:space="preserve"> </w:t>
      </w:r>
      <w:r w:rsidRPr="00330F15">
        <w:rPr>
          <w:szCs w:val="24"/>
          <w:lang w:val="en-GB" w:eastAsia="en-GB"/>
        </w:rPr>
        <w:t>and its main objectives are:</w:t>
      </w:r>
    </w:p>
    <w:p w14:paraId="750D9D5B" w14:textId="70959B45"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 xml:space="preserve">Conduct further research on technical architecture, security, the technical implications and challenges in deployment caused by regulatory and policy requirements for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entral </w:t>
      </w:r>
      <w:r w:rsidR="00D5587B" w:rsidRPr="00642324">
        <w:rPr>
          <w:rFonts w:ascii="Times New Roman" w:hAnsi="Times New Roman"/>
          <w:sz w:val="24"/>
          <w:szCs w:val="24"/>
          <w:lang w:val="en-GB" w:eastAsia="en-GB"/>
        </w:rPr>
        <w:t>b</w:t>
      </w:r>
      <w:r w:rsidRPr="00642324">
        <w:rPr>
          <w:rFonts w:ascii="Times New Roman" w:hAnsi="Times New Roman"/>
          <w:sz w:val="24"/>
          <w:szCs w:val="24"/>
          <w:lang w:val="en-GB" w:eastAsia="en-GB"/>
        </w:rPr>
        <w:t xml:space="preserve">ank </w:t>
      </w:r>
      <w:r w:rsidR="00D5587B" w:rsidRPr="00642324">
        <w:rPr>
          <w:rFonts w:ascii="Times New Roman" w:hAnsi="Times New Roman"/>
          <w:sz w:val="24"/>
          <w:szCs w:val="24"/>
          <w:lang w:val="en-GB" w:eastAsia="en-GB"/>
        </w:rPr>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urrency and other </w:t>
      </w:r>
      <w:r w:rsidR="00D5587B" w:rsidRPr="00642324">
        <w:rPr>
          <w:rFonts w:ascii="Times New Roman" w:hAnsi="Times New Roman"/>
          <w:sz w:val="24"/>
          <w:szCs w:val="24"/>
          <w:lang w:val="en-GB" w:eastAsia="en-GB"/>
        </w:rPr>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urrencies, technology trends in digital currency and the use cases related to financial inclusion, operational efficiency and interoperability;</w:t>
      </w:r>
    </w:p>
    <w:p w14:paraId="265A9C14" w14:textId="372FF183"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Develop a set of metrics by which to evaluate the robustness of various digital currency technologies against the requirements set by various stakeholders.</w:t>
      </w:r>
    </w:p>
    <w:p w14:paraId="7D227405" w14:textId="1E4E32DE"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Identify areas for standardization to enable implementation of digital</w:t>
      </w:r>
      <w:r w:rsidR="005150C3" w:rsidRPr="00642324">
        <w:rPr>
          <w:rFonts w:ascii="Times New Roman" w:hAnsi="Times New Roman"/>
          <w:sz w:val="24"/>
          <w:szCs w:val="24"/>
          <w:lang w:val="en-GB" w:eastAsia="en-GB"/>
        </w:rPr>
        <w:t xml:space="preserve"> </w:t>
      </w:r>
      <w:proofErr w:type="gramStart"/>
      <w:r w:rsidRPr="00642324">
        <w:rPr>
          <w:rFonts w:ascii="Times New Roman" w:hAnsi="Times New Roman"/>
          <w:sz w:val="24"/>
          <w:szCs w:val="24"/>
          <w:lang w:val="en-GB" w:eastAsia="en-GB"/>
        </w:rPr>
        <w:t>currency;</w:t>
      </w:r>
      <w:proofErr w:type="gramEnd"/>
    </w:p>
    <w:p w14:paraId="2DC9CBF8" w14:textId="76D223E9"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Organize a conference on an annual basis to share information on best practices, technical standards and lessons learned on digital currency implementation.</w:t>
      </w:r>
    </w:p>
    <w:p w14:paraId="11E1CADA" w14:textId="62161D66" w:rsidR="00642324" w:rsidRDefault="00330F15" w:rsidP="00D5587B">
      <w:pPr>
        <w:tabs>
          <w:tab w:val="clear" w:pos="794"/>
          <w:tab w:val="clear" w:pos="1191"/>
          <w:tab w:val="clear" w:pos="1588"/>
          <w:tab w:val="clear" w:pos="1985"/>
        </w:tabs>
        <w:overflowPunct/>
        <w:autoSpaceDE/>
        <w:autoSpaceDN/>
        <w:adjustRightInd/>
        <w:rPr>
          <w:color w:val="201F1E"/>
          <w:szCs w:val="24"/>
          <w:lang w:val="en-GB" w:eastAsia="en-GB"/>
        </w:rPr>
      </w:pPr>
      <w:r w:rsidRPr="00330F15">
        <w:rPr>
          <w:color w:val="201F1E"/>
          <w:szCs w:val="24"/>
          <w:lang w:val="en-GB" w:eastAsia="en-GB"/>
        </w:rPr>
        <w:t xml:space="preserve">The </w:t>
      </w:r>
      <w:r w:rsidR="00642324">
        <w:rPr>
          <w:color w:val="201F1E"/>
          <w:szCs w:val="24"/>
          <w:lang w:val="en-GB" w:eastAsia="en-GB"/>
        </w:rPr>
        <w:t xml:space="preserve">Digital Currency Global </w:t>
      </w:r>
      <w:r w:rsidRPr="00330F15">
        <w:rPr>
          <w:color w:val="201F1E"/>
          <w:szCs w:val="24"/>
          <w:lang w:val="en-GB" w:eastAsia="en-GB"/>
        </w:rPr>
        <w:t>Initiative will continue the dialogue and research initiated by the</w:t>
      </w:r>
      <w:r w:rsidR="005150C3">
        <w:rPr>
          <w:color w:val="201F1E"/>
          <w:szCs w:val="24"/>
          <w:lang w:val="en-GB" w:eastAsia="en-GB"/>
        </w:rPr>
        <w:t xml:space="preserve"> </w:t>
      </w:r>
      <w:r w:rsidRPr="00330F15">
        <w:rPr>
          <w:color w:val="201F1E"/>
          <w:szCs w:val="24"/>
          <w:lang w:val="en-GB" w:eastAsia="en-GB"/>
        </w:rPr>
        <w:t>ITU</w:t>
      </w:r>
      <w:r w:rsidR="00642324">
        <w:rPr>
          <w:color w:val="201F1E"/>
          <w:szCs w:val="24"/>
          <w:lang w:val="en-GB" w:eastAsia="en-GB"/>
        </w:rPr>
        <w:t>-T</w:t>
      </w:r>
      <w:r w:rsidRPr="00330F15">
        <w:rPr>
          <w:color w:val="201F1E"/>
          <w:szCs w:val="24"/>
          <w:lang w:val="en-GB" w:eastAsia="en-GB"/>
        </w:rPr>
        <w:t xml:space="preserve"> Focus Group on Digital Currency including Digital Fiat Currency</w:t>
      </w:r>
      <w:r w:rsidR="00D5587B">
        <w:rPr>
          <w:color w:val="201F1E"/>
          <w:szCs w:val="24"/>
          <w:lang w:val="en-GB" w:eastAsia="en-GB"/>
        </w:rPr>
        <w:t xml:space="preserve"> </w:t>
      </w:r>
      <w:r w:rsidRPr="00330F15">
        <w:rPr>
          <w:color w:val="201F1E"/>
          <w:szCs w:val="24"/>
          <w:lang w:val="en-GB" w:eastAsia="en-GB"/>
        </w:rPr>
        <w:t>on pilot implementations, use cases, applications and developing specifications for technical standards that will foster adoption, universal access, and ultimately financial inclusion.</w:t>
      </w:r>
      <w:r w:rsidR="00D5587B">
        <w:rPr>
          <w:color w:val="201F1E"/>
          <w:szCs w:val="24"/>
          <w:lang w:val="en-GB" w:eastAsia="en-GB"/>
        </w:rPr>
        <w:t xml:space="preserve"> </w:t>
      </w:r>
    </w:p>
    <w:p w14:paraId="31A2AF27" w14:textId="54FB7B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Participation is open </w:t>
      </w:r>
      <w:r w:rsidR="00642324">
        <w:rPr>
          <w:szCs w:val="24"/>
          <w:lang w:val="en-GB" w:eastAsia="en-GB"/>
        </w:rPr>
        <w:t xml:space="preserve">to all interested parties. </w:t>
      </w:r>
    </w:p>
    <w:p w14:paraId="49263EA3" w14:textId="025FB8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first e-meeting of the Digital Currency Global Initiative was held 22-23 July 2020 and some</w:t>
      </w:r>
      <w:r w:rsidR="00D5587B">
        <w:rPr>
          <w:szCs w:val="24"/>
          <w:lang w:val="en-GB" w:eastAsia="en-GB"/>
        </w:rPr>
        <w:t xml:space="preserve"> </w:t>
      </w:r>
      <w:r w:rsidRPr="00330F15">
        <w:rPr>
          <w:szCs w:val="24"/>
          <w:lang w:val="en-GB" w:eastAsia="en-GB"/>
        </w:rPr>
        <w:t>157 participants</w:t>
      </w:r>
      <w:r w:rsidR="00D5587B">
        <w:rPr>
          <w:szCs w:val="24"/>
          <w:lang w:val="en-GB" w:eastAsia="en-GB"/>
        </w:rPr>
        <w:t xml:space="preserve"> </w:t>
      </w:r>
      <w:r w:rsidRPr="00330F15">
        <w:rPr>
          <w:szCs w:val="24"/>
          <w:lang w:val="en-GB" w:eastAsia="en-GB"/>
        </w:rPr>
        <w:t>from 40 countries participated in the event.</w:t>
      </w:r>
      <w:r w:rsidR="00D5587B">
        <w:rPr>
          <w:szCs w:val="24"/>
          <w:lang w:val="en-GB" w:eastAsia="en-GB"/>
        </w:rPr>
        <w:t xml:space="preserve"> </w:t>
      </w:r>
      <w:r w:rsidRPr="00330F15">
        <w:rPr>
          <w:szCs w:val="24"/>
          <w:lang w:val="en-GB" w:eastAsia="en-GB"/>
        </w:rPr>
        <w:t>The</w:t>
      </w:r>
      <w:r w:rsidR="00D5587B">
        <w:rPr>
          <w:szCs w:val="24"/>
          <w:lang w:val="en-GB" w:eastAsia="en-GB"/>
        </w:rPr>
        <w:t xml:space="preserve"> </w:t>
      </w:r>
      <w:r w:rsidRPr="00330F15">
        <w:rPr>
          <w:szCs w:val="24"/>
          <w:lang w:val="en-GB" w:eastAsia="en-GB"/>
        </w:rPr>
        <w:t>participants include Central Banks, digital currency platform providers, fintech companies,</w:t>
      </w:r>
      <w:r w:rsidR="00D5587B">
        <w:rPr>
          <w:szCs w:val="24"/>
          <w:lang w:val="en-GB" w:eastAsia="en-GB"/>
        </w:rPr>
        <w:t xml:space="preserve"> </w:t>
      </w:r>
      <w:r w:rsidRPr="00330F15">
        <w:rPr>
          <w:szCs w:val="24"/>
          <w:lang w:val="en-GB" w:eastAsia="en-GB"/>
        </w:rPr>
        <w:t>payment service providers,</w:t>
      </w:r>
      <w:r w:rsidR="00D5587B">
        <w:rPr>
          <w:szCs w:val="24"/>
          <w:lang w:val="en-GB" w:eastAsia="en-GB"/>
        </w:rPr>
        <w:t xml:space="preserve"> </w:t>
      </w:r>
      <w:proofErr w:type="gramStart"/>
      <w:r w:rsidRPr="00330F15">
        <w:rPr>
          <w:szCs w:val="24"/>
          <w:lang w:val="en-GB" w:eastAsia="en-GB"/>
        </w:rPr>
        <w:t>academia</w:t>
      </w:r>
      <w:proofErr w:type="gramEnd"/>
      <w:r w:rsidR="00D5587B">
        <w:rPr>
          <w:szCs w:val="24"/>
          <w:lang w:val="en-GB" w:eastAsia="en-GB"/>
        </w:rPr>
        <w:t xml:space="preserve"> </w:t>
      </w:r>
      <w:r w:rsidRPr="00330F15">
        <w:rPr>
          <w:szCs w:val="24"/>
          <w:lang w:val="en-GB" w:eastAsia="en-GB"/>
        </w:rPr>
        <w:t>and</w:t>
      </w:r>
      <w:r w:rsidR="00D5587B">
        <w:rPr>
          <w:szCs w:val="24"/>
          <w:lang w:val="en-GB" w:eastAsia="en-GB"/>
        </w:rPr>
        <w:t xml:space="preserve"> </w:t>
      </w:r>
      <w:r w:rsidRPr="00330F15">
        <w:rPr>
          <w:szCs w:val="24"/>
          <w:lang w:val="en-GB" w:eastAsia="en-GB"/>
        </w:rPr>
        <w:t>international organizations.</w:t>
      </w:r>
    </w:p>
    <w:p w14:paraId="5B3DDA64" w14:textId="309CCAA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D5587B">
        <w:rPr>
          <w:szCs w:val="24"/>
          <w:lang w:val="en-GB" w:eastAsia="en-GB"/>
        </w:rPr>
        <w:t xml:space="preserve"> </w:t>
      </w:r>
      <w:r w:rsidRPr="00330F15">
        <w:rPr>
          <w:szCs w:val="24"/>
          <w:lang w:val="en-GB" w:eastAsia="en-GB"/>
        </w:rPr>
        <w:t>activities of the Digital Currency Global Initiative are focused around three main pillars:</w:t>
      </w:r>
      <w:r w:rsidR="00D5587B">
        <w:rPr>
          <w:szCs w:val="24"/>
          <w:lang w:val="en-GB" w:eastAsia="en-GB"/>
        </w:rPr>
        <w:t xml:space="preserve"> </w:t>
      </w:r>
      <w:r w:rsidRPr="00330F15">
        <w:rPr>
          <w:szCs w:val="24"/>
          <w:lang w:val="en-GB" w:eastAsia="en-GB"/>
        </w:rPr>
        <w:t>engagement, innovative</w:t>
      </w:r>
      <w:r w:rsidR="00D5587B">
        <w:rPr>
          <w:szCs w:val="24"/>
          <w:lang w:val="en-GB" w:eastAsia="en-GB"/>
        </w:rPr>
        <w:t xml:space="preserve"> </w:t>
      </w:r>
      <w:proofErr w:type="gramStart"/>
      <w:r w:rsidRPr="00330F15">
        <w:rPr>
          <w:szCs w:val="24"/>
          <w:lang w:val="en-GB" w:eastAsia="en-GB"/>
        </w:rPr>
        <w:t>use</w:t>
      </w:r>
      <w:proofErr w:type="gramEnd"/>
      <w:r w:rsidR="00D5587B">
        <w:rPr>
          <w:szCs w:val="24"/>
          <w:lang w:val="en-GB" w:eastAsia="en-GB"/>
        </w:rPr>
        <w:t xml:space="preserve"> </w:t>
      </w:r>
      <w:r w:rsidRPr="00330F15">
        <w:rPr>
          <w:szCs w:val="24"/>
          <w:lang w:val="en-GB" w:eastAsia="en-GB"/>
        </w:rPr>
        <w:t>and standardization.</w:t>
      </w:r>
      <w:r w:rsidR="00D5587B">
        <w:rPr>
          <w:szCs w:val="24"/>
          <w:lang w:val="en-GB" w:eastAsia="en-GB"/>
        </w:rPr>
        <w:t xml:space="preserve"> </w:t>
      </w:r>
      <w:r w:rsidRPr="00330F15">
        <w:rPr>
          <w:szCs w:val="24"/>
          <w:lang w:val="en-GB" w:eastAsia="en-GB"/>
        </w:rPr>
        <w:t>Three working groups were set up under the Standardization pillar during the first meeting:</w:t>
      </w:r>
    </w:p>
    <w:p w14:paraId="6EF00CBC" w14:textId="6A565192"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Architecture, Interoperability Requirements and Use Cases (AIRU)</w:t>
      </w:r>
    </w:p>
    <w:p w14:paraId="0A258368" w14:textId="4F0C2960"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Policy and Governance (PG)</w:t>
      </w:r>
    </w:p>
    <w:p w14:paraId="0FE1F8AF" w14:textId="0E2BA96B"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Security and Assurance (SA)</w:t>
      </w:r>
    </w:p>
    <w:p w14:paraId="7912171F" w14:textId="594766CA" w:rsidR="00AA4DB9" w:rsidRPr="00AA4DB9" w:rsidRDefault="00330F15" w:rsidP="00D5587B">
      <w:pPr>
        <w:tabs>
          <w:tab w:val="clear" w:pos="794"/>
          <w:tab w:val="clear" w:pos="1191"/>
          <w:tab w:val="clear" w:pos="1588"/>
          <w:tab w:val="clear" w:pos="1985"/>
        </w:tabs>
        <w:overflowPunct/>
        <w:autoSpaceDE/>
        <w:autoSpaceDN/>
        <w:adjustRightInd/>
        <w:rPr>
          <w:lang w:val="en-GB" w:eastAsia="en-US"/>
        </w:rPr>
      </w:pPr>
      <w:r w:rsidRPr="00330F15">
        <w:rPr>
          <w:szCs w:val="24"/>
          <w:lang w:val="en-GB" w:eastAsia="en-GB"/>
        </w:rPr>
        <w:t>The main objectives of the Innovative Use pillar will be to study pilot implementations of digital currencies and to develop the appropriate benchmarking and evaluation frameworks through the Digital Currency Lab to be set up by Stanford University.</w:t>
      </w:r>
      <w:r w:rsidR="00D5587B">
        <w:rPr>
          <w:szCs w:val="24"/>
          <w:lang w:val="en-GB" w:eastAsia="en-GB"/>
        </w:rPr>
        <w:t xml:space="preserve"> </w:t>
      </w:r>
      <w:r w:rsidRPr="00330F15">
        <w:rPr>
          <w:szCs w:val="24"/>
          <w:lang w:val="en-GB" w:eastAsia="en-GB"/>
        </w:rPr>
        <w:t>Under the Engagement pillar</w:t>
      </w:r>
      <w:r w:rsidR="00D5587B">
        <w:rPr>
          <w:szCs w:val="24"/>
          <w:lang w:val="en-GB" w:eastAsia="en-GB"/>
        </w:rPr>
        <w:t xml:space="preserve"> </w:t>
      </w:r>
      <w:r w:rsidRPr="00330F15">
        <w:rPr>
          <w:szCs w:val="24"/>
          <w:lang w:val="en-GB" w:eastAsia="en-GB"/>
        </w:rPr>
        <w:t>the objective will be to</w:t>
      </w:r>
      <w:r w:rsidR="00D5587B">
        <w:rPr>
          <w:szCs w:val="24"/>
          <w:lang w:val="en-GB" w:eastAsia="en-GB"/>
        </w:rPr>
        <w:t xml:space="preserve"> </w:t>
      </w:r>
      <w:r w:rsidRPr="00330F15">
        <w:rPr>
          <w:szCs w:val="24"/>
          <w:lang w:val="en-GB" w:eastAsia="en-GB"/>
        </w:rPr>
        <w:t>provide a platform for sharing lessons learned on digital currency projects and organise an annual conference to</w:t>
      </w:r>
      <w:r w:rsidR="00D5587B">
        <w:rPr>
          <w:szCs w:val="24"/>
          <w:lang w:val="en-GB" w:eastAsia="en-GB"/>
        </w:rPr>
        <w:t xml:space="preserve"> </w:t>
      </w:r>
      <w:r w:rsidRPr="00330F15">
        <w:rPr>
          <w:szCs w:val="24"/>
          <w:lang w:val="en-GB" w:eastAsia="en-GB"/>
        </w:rPr>
        <w:t>disseminate</w:t>
      </w:r>
      <w:r w:rsidR="00D5587B">
        <w:rPr>
          <w:szCs w:val="24"/>
          <w:lang w:val="en-GB" w:eastAsia="en-GB"/>
        </w:rPr>
        <w:t xml:space="preserve"> </w:t>
      </w:r>
      <w:r w:rsidRPr="00330F15">
        <w:rPr>
          <w:szCs w:val="24"/>
          <w:lang w:val="en-GB" w:eastAsia="en-GB"/>
        </w:rPr>
        <w:t>the findings of</w:t>
      </w:r>
      <w:r w:rsidR="00D5587B">
        <w:rPr>
          <w:szCs w:val="24"/>
          <w:lang w:val="en-GB" w:eastAsia="en-GB"/>
        </w:rPr>
        <w:t xml:space="preserve"> </w:t>
      </w:r>
      <w:r w:rsidRPr="00330F15">
        <w:rPr>
          <w:szCs w:val="24"/>
          <w:lang w:val="en-GB" w:eastAsia="en-GB"/>
        </w:rPr>
        <w:t>the working groups</w:t>
      </w:r>
      <w:r w:rsidR="00D5587B">
        <w:rPr>
          <w:szCs w:val="24"/>
          <w:lang w:val="en-GB" w:eastAsia="en-GB"/>
        </w:rPr>
        <w:t xml:space="preserve"> </w:t>
      </w:r>
      <w:r w:rsidRPr="00330F15">
        <w:rPr>
          <w:szCs w:val="24"/>
          <w:lang w:val="en-GB" w:eastAsia="en-GB"/>
        </w:rPr>
        <w:t xml:space="preserve">and the </w:t>
      </w:r>
      <w:r w:rsidR="00642324">
        <w:rPr>
          <w:szCs w:val="24"/>
          <w:lang w:val="en-GB" w:eastAsia="en-GB"/>
        </w:rPr>
        <w:t>D</w:t>
      </w:r>
      <w:r w:rsidRPr="00330F15">
        <w:rPr>
          <w:szCs w:val="24"/>
          <w:lang w:val="en-GB" w:eastAsia="en-GB"/>
        </w:rPr>
        <w:t xml:space="preserve">igital </w:t>
      </w:r>
      <w:r w:rsidR="00642324">
        <w:rPr>
          <w:szCs w:val="24"/>
          <w:lang w:val="en-GB" w:eastAsia="en-GB"/>
        </w:rPr>
        <w:t>C</w:t>
      </w:r>
      <w:r w:rsidRPr="00330F15">
        <w:rPr>
          <w:szCs w:val="24"/>
          <w:lang w:val="en-GB" w:eastAsia="en-GB"/>
        </w:rPr>
        <w:t xml:space="preserve">urrency </w:t>
      </w:r>
      <w:r w:rsidR="00642324">
        <w:rPr>
          <w:szCs w:val="24"/>
          <w:lang w:val="en-GB" w:eastAsia="en-GB"/>
        </w:rPr>
        <w:t>L</w:t>
      </w:r>
      <w:r w:rsidRPr="00330F15">
        <w:rPr>
          <w:szCs w:val="24"/>
          <w:lang w:val="en-GB" w:eastAsia="en-GB"/>
        </w:rPr>
        <w:t>ab.</w:t>
      </w:r>
    </w:p>
    <w:p w14:paraId="09E14D47" w14:textId="5E1CEC09" w:rsidR="00136E7B" w:rsidRPr="00F57FAD" w:rsidRDefault="00CB641D" w:rsidP="00136E7B">
      <w:pPr>
        <w:pStyle w:val="Heading1"/>
      </w:pPr>
      <w:bookmarkStart w:id="154" w:name="_Toc51042283"/>
      <w:r>
        <w:lastRenderedPageBreak/>
        <w:t>10</w:t>
      </w:r>
      <w:r w:rsidR="00AA4DB9">
        <w:tab/>
      </w:r>
      <w:r w:rsidR="00136E7B" w:rsidRPr="00F57FAD">
        <w:t>Membership</w:t>
      </w:r>
      <w:bookmarkEnd w:id="118"/>
      <w:bookmarkEnd w:id="119"/>
      <w:bookmarkEnd w:id="120"/>
      <w:bookmarkEnd w:id="121"/>
      <w:bookmarkEnd w:id="122"/>
      <w:bookmarkEnd w:id="123"/>
      <w:bookmarkEnd w:id="124"/>
      <w:bookmarkEnd w:id="145"/>
      <w:bookmarkEnd w:id="146"/>
      <w:bookmarkEnd w:id="147"/>
      <w:bookmarkEnd w:id="149"/>
      <w:bookmarkEnd w:id="154"/>
    </w:p>
    <w:p w14:paraId="235E621B" w14:textId="34E5D54D" w:rsidR="00136E7B" w:rsidRPr="00F57FAD" w:rsidRDefault="00CB641D" w:rsidP="00136E7B">
      <w:pPr>
        <w:pStyle w:val="Heading2"/>
      </w:pPr>
      <w:bookmarkStart w:id="155" w:name="_Toc462664266"/>
      <w:bookmarkStart w:id="156" w:name="_Toc480527859"/>
      <w:bookmarkStart w:id="157" w:name="_Toc51042284"/>
      <w:r>
        <w:t>10</w:t>
      </w:r>
      <w:r w:rsidR="00136E7B" w:rsidRPr="00F57FAD">
        <w:t>.1</w:t>
      </w:r>
      <w:r w:rsidR="00136E7B" w:rsidRPr="00F57FAD">
        <w:tab/>
      </w:r>
      <w:r w:rsidR="003E1653">
        <w:t>Snapshot of</w:t>
      </w:r>
      <w:r w:rsidR="00CA0F67">
        <w:t xml:space="preserve"> </w:t>
      </w:r>
      <w:r w:rsidR="00136E7B" w:rsidRPr="00F57FAD">
        <w:t>ITU-T membership</w:t>
      </w:r>
      <w:bookmarkEnd w:id="155"/>
      <w:bookmarkEnd w:id="156"/>
      <w:r w:rsidR="003E1653">
        <w:t xml:space="preserve"> in 2020</w:t>
      </w:r>
      <w:bookmarkEnd w:id="157"/>
    </w:p>
    <w:p w14:paraId="649CC019" w14:textId="77777777" w:rsidR="004A71B8" w:rsidRPr="008E7489" w:rsidRDefault="004A71B8" w:rsidP="004A71B8">
      <w:pPr>
        <w:rPr>
          <w:rFonts w:eastAsia="Calibri"/>
          <w:lang w:val="en-GB"/>
        </w:rPr>
      </w:pPr>
      <w:r w:rsidRPr="008E7489">
        <w:rPr>
          <w:rFonts w:eastAsia="Calibri"/>
          <w:lang w:val="en-GB"/>
        </w:rPr>
        <w:t>ITU-T membership has maintained</w:t>
      </w:r>
      <w:r>
        <w:rPr>
          <w:rFonts w:eastAsia="Calibri"/>
          <w:lang w:val="en-GB"/>
        </w:rPr>
        <w:t xml:space="preserve"> </w:t>
      </w:r>
      <w:r w:rsidRPr="008E7489">
        <w:rPr>
          <w:rFonts w:eastAsia="Calibri"/>
          <w:lang w:val="en-GB"/>
        </w:rPr>
        <w:t>growth in 2020 despite the impact of C</w:t>
      </w:r>
      <w:r>
        <w:rPr>
          <w:rFonts w:eastAsia="Calibri"/>
          <w:lang w:val="en-GB"/>
        </w:rPr>
        <w:t>OVID</w:t>
      </w:r>
      <w:r w:rsidRPr="008E7489">
        <w:rPr>
          <w:rFonts w:eastAsia="Calibri"/>
          <w:lang w:val="en-GB"/>
        </w:rPr>
        <w:t>-19.</w:t>
      </w:r>
      <w:r>
        <w:rPr>
          <w:rFonts w:eastAsia="Calibri"/>
          <w:lang w:val="en-GB"/>
        </w:rPr>
        <w:t xml:space="preserve"> Eight</w:t>
      </w:r>
      <w:r w:rsidRPr="008E7489">
        <w:rPr>
          <w:rFonts w:eastAsia="Calibri"/>
          <w:lang w:val="en-GB"/>
        </w:rPr>
        <w:t xml:space="preserve"> Sector Members and 22 Associates joined ITU-T</w:t>
      </w:r>
      <w:r>
        <w:rPr>
          <w:rFonts w:eastAsia="Calibri"/>
          <w:lang w:val="en-GB"/>
        </w:rPr>
        <w:t xml:space="preserve"> in the reporting period</w:t>
      </w:r>
      <w:r w:rsidRPr="008E7489">
        <w:rPr>
          <w:rFonts w:eastAsia="Calibri"/>
          <w:lang w:val="en-GB"/>
        </w:rPr>
        <w:t xml:space="preserve">, amounting to a total of 30 new members. </w:t>
      </w:r>
      <w:r>
        <w:rPr>
          <w:rFonts w:eastAsia="Calibri"/>
          <w:lang w:val="en-GB"/>
        </w:rPr>
        <w:t>This translates into a net increase of 18 ITU</w:t>
      </w:r>
      <w:r w:rsidRPr="008E7489">
        <w:rPr>
          <w:rFonts w:eastAsia="Calibri"/>
          <w:lang w:val="en-GB"/>
        </w:rPr>
        <w:t xml:space="preserve">-T </w:t>
      </w:r>
      <w:r>
        <w:rPr>
          <w:rFonts w:eastAsia="Calibri"/>
          <w:lang w:val="en-GB"/>
        </w:rPr>
        <w:t>members</w:t>
      </w:r>
      <w:r w:rsidRPr="008E7489">
        <w:rPr>
          <w:rFonts w:eastAsia="Calibri"/>
          <w:lang w:val="en-GB"/>
        </w:rPr>
        <w:t xml:space="preserve"> in 2020 (not including Academia). In addition, 17 new Academia members joined ITU</w:t>
      </w:r>
      <w:r>
        <w:rPr>
          <w:rFonts w:eastAsia="Calibri"/>
          <w:lang w:val="en-GB"/>
        </w:rPr>
        <w:t xml:space="preserve"> in the reporting period</w:t>
      </w:r>
      <w:r w:rsidRPr="008E7489">
        <w:rPr>
          <w:rFonts w:eastAsia="Calibri"/>
          <w:lang w:val="en-GB"/>
        </w:rPr>
        <w:t>.</w:t>
      </w:r>
    </w:p>
    <w:p w14:paraId="4C3B317D" w14:textId="1E304228" w:rsidR="0085423D" w:rsidRDefault="0085423D" w:rsidP="5F2B6CF0">
      <w:pPr>
        <w:rPr>
          <w:rFonts w:eastAsia="Calibri"/>
          <w:lang w:val="en-GB"/>
        </w:rPr>
      </w:pPr>
      <w:r w:rsidRPr="008E7489">
        <w:rPr>
          <w:rFonts w:eastAsia="Calibri"/>
          <w:lang w:val="en-GB"/>
        </w:rPr>
        <w:t xml:space="preserve">New ITU-T members include companies in cloud applications, cybersecurity, IoT/M2M connectivity, distributed ledger technologies, </w:t>
      </w:r>
      <w:r>
        <w:rPr>
          <w:rFonts w:eastAsia="Calibri"/>
          <w:lang w:val="en-GB"/>
        </w:rPr>
        <w:t>AI and machine learning</w:t>
      </w:r>
      <w:r w:rsidRPr="008E7489">
        <w:rPr>
          <w:rFonts w:eastAsia="Calibri"/>
          <w:lang w:val="en-GB"/>
        </w:rPr>
        <w:t>, autonomous network</w:t>
      </w:r>
      <w:r>
        <w:rPr>
          <w:rFonts w:eastAsia="Calibri"/>
          <w:lang w:val="en-GB"/>
        </w:rPr>
        <w:t>ing</w:t>
      </w:r>
      <w:r w:rsidRPr="008E7489">
        <w:rPr>
          <w:rFonts w:eastAsia="Calibri"/>
          <w:lang w:val="en-GB"/>
        </w:rPr>
        <w:t xml:space="preserve">, micro optical switch semiconductors, </w:t>
      </w:r>
      <w:r>
        <w:rPr>
          <w:rFonts w:eastAsia="Calibri"/>
          <w:lang w:val="en-GB"/>
        </w:rPr>
        <w:t xml:space="preserve">cable </w:t>
      </w:r>
      <w:r w:rsidRPr="008E7489">
        <w:rPr>
          <w:rFonts w:eastAsia="Calibri"/>
          <w:lang w:val="en-GB"/>
        </w:rPr>
        <w:t>television, video technologies, test equipment for</w:t>
      </w:r>
      <w:r>
        <w:rPr>
          <w:rFonts w:eastAsia="Calibri"/>
          <w:lang w:val="en-GB"/>
        </w:rPr>
        <w:t xml:space="preserve"> electromagnetic field</w:t>
      </w:r>
      <w:r w:rsidRPr="008E7489">
        <w:rPr>
          <w:rFonts w:eastAsia="Calibri"/>
          <w:lang w:val="en-GB"/>
        </w:rPr>
        <w:t xml:space="preserve"> assessment, smart city solutions, I</w:t>
      </w:r>
      <w:r>
        <w:rPr>
          <w:rFonts w:eastAsia="Calibri"/>
          <w:lang w:val="en-GB"/>
        </w:rPr>
        <w:t xml:space="preserve">P performance </w:t>
      </w:r>
      <w:r w:rsidRPr="008E7489">
        <w:rPr>
          <w:rFonts w:eastAsia="Calibri"/>
          <w:lang w:val="en-GB"/>
        </w:rPr>
        <w:t>measurement</w:t>
      </w:r>
      <w:r>
        <w:rPr>
          <w:rFonts w:eastAsia="Calibri"/>
          <w:lang w:val="en-GB"/>
        </w:rPr>
        <w:t>,</w:t>
      </w:r>
      <w:r w:rsidRPr="008E7489">
        <w:rPr>
          <w:rFonts w:eastAsia="Calibri"/>
          <w:lang w:val="en-GB"/>
        </w:rPr>
        <w:t xml:space="preserve"> and </w:t>
      </w:r>
      <w:r>
        <w:rPr>
          <w:rFonts w:eastAsia="Calibri"/>
          <w:lang w:val="en-GB"/>
        </w:rPr>
        <w:t>e</w:t>
      </w:r>
      <w:r w:rsidRPr="008E7489">
        <w:rPr>
          <w:rFonts w:eastAsia="Calibri"/>
          <w:lang w:val="en-GB"/>
        </w:rPr>
        <w:t>sports.</w:t>
      </w:r>
    </w:p>
    <w:p w14:paraId="0BC82B5B" w14:textId="23DB4987" w:rsidR="003044EF" w:rsidRDefault="003044EF" w:rsidP="5F2B6CF0">
      <w:pPr>
        <w:rPr>
          <w:rFonts w:eastAsia="Calibri"/>
          <w:lang w:val="en-GB"/>
        </w:rPr>
      </w:pPr>
      <w:r w:rsidRPr="008E7489">
        <w:rPr>
          <w:rFonts w:eastAsia="Calibri"/>
          <w:lang w:val="en-GB"/>
        </w:rPr>
        <w:t>TSB continues to p</w:t>
      </w:r>
      <w:r>
        <w:rPr>
          <w:rFonts w:eastAsia="Calibri"/>
          <w:lang w:val="en-GB"/>
        </w:rPr>
        <w:t xml:space="preserve">lace </w:t>
      </w:r>
      <w:r w:rsidRPr="008E7489">
        <w:rPr>
          <w:rFonts w:eastAsia="Calibri"/>
          <w:lang w:val="en-GB"/>
        </w:rPr>
        <w:t>increased emphasis on tailored outreach to membership prospects while also enhancing the level of account management offered to ITU-T’s existing membership.</w:t>
      </w:r>
      <w:r w:rsidR="003E1653">
        <w:rPr>
          <w:rFonts w:eastAsia="Calibri"/>
          <w:lang w:val="en-GB"/>
        </w:rPr>
        <w:t xml:space="preserve"> </w:t>
      </w:r>
      <w:r w:rsidR="00136E7B" w:rsidRPr="008E7489">
        <w:rPr>
          <w:rFonts w:eastAsia="Calibri"/>
          <w:lang w:val="en-GB"/>
        </w:rPr>
        <w:t xml:space="preserve">Targeted outreach, </w:t>
      </w:r>
      <w:proofErr w:type="gramStart"/>
      <w:r w:rsidR="00136E7B" w:rsidRPr="008E7489">
        <w:rPr>
          <w:rFonts w:eastAsia="Calibri"/>
          <w:lang w:val="en-GB"/>
        </w:rPr>
        <w:t>campaigns</w:t>
      </w:r>
      <w:proofErr w:type="gramEnd"/>
      <w:r w:rsidR="00136E7B" w:rsidRPr="008E7489">
        <w:rPr>
          <w:rFonts w:eastAsia="Calibri"/>
          <w:lang w:val="en-GB"/>
        </w:rPr>
        <w:t xml:space="preserve"> and </w:t>
      </w:r>
      <w:r w:rsidR="166DE57D" w:rsidRPr="008E7489">
        <w:rPr>
          <w:rFonts w:eastAsia="Calibri"/>
          <w:lang w:val="en-GB"/>
        </w:rPr>
        <w:t xml:space="preserve">participation at </w:t>
      </w:r>
      <w:r w:rsidR="00136E7B" w:rsidRPr="008E7489">
        <w:rPr>
          <w:rFonts w:eastAsia="Calibri"/>
          <w:lang w:val="en-GB"/>
        </w:rPr>
        <w:t>events</w:t>
      </w:r>
      <w:r w:rsidR="22AE903E" w:rsidRPr="008E7489">
        <w:rPr>
          <w:rFonts w:eastAsia="Calibri"/>
          <w:lang w:val="en-GB"/>
        </w:rPr>
        <w:t xml:space="preserve"> (currently virtual)</w:t>
      </w:r>
      <w:r>
        <w:rPr>
          <w:rFonts w:eastAsia="Calibri"/>
          <w:lang w:val="en-GB"/>
        </w:rPr>
        <w:t xml:space="preserve"> </w:t>
      </w:r>
      <w:r w:rsidR="003E1653">
        <w:rPr>
          <w:rFonts w:eastAsia="Calibri"/>
          <w:lang w:val="en-GB"/>
        </w:rPr>
        <w:t xml:space="preserve">are </w:t>
      </w:r>
      <w:r>
        <w:rPr>
          <w:rFonts w:eastAsia="Calibri"/>
          <w:lang w:val="en-GB"/>
        </w:rPr>
        <w:t>supported by the TSB</w:t>
      </w:r>
      <w:r w:rsidR="00F30670">
        <w:rPr>
          <w:rFonts w:eastAsia="Calibri"/>
          <w:lang w:val="en-GB"/>
        </w:rPr>
        <w:t xml:space="preserve"> study groups department </w:t>
      </w:r>
      <w:r>
        <w:rPr>
          <w:rFonts w:eastAsia="Calibri"/>
          <w:lang w:val="en-GB"/>
        </w:rPr>
        <w:t xml:space="preserve">together with ITU’s </w:t>
      </w:r>
      <w:r w:rsidR="00F30670">
        <w:rPr>
          <w:rFonts w:eastAsia="Calibri"/>
          <w:lang w:val="en-GB"/>
        </w:rPr>
        <w:t>membership</w:t>
      </w:r>
      <w:r>
        <w:rPr>
          <w:rFonts w:eastAsia="Calibri"/>
          <w:lang w:val="en-GB"/>
        </w:rPr>
        <w:t xml:space="preserve"> and communications</w:t>
      </w:r>
      <w:r w:rsidR="00F30670">
        <w:rPr>
          <w:rFonts w:eastAsia="Calibri"/>
          <w:lang w:val="en-GB"/>
        </w:rPr>
        <w:t xml:space="preserve"> divisions</w:t>
      </w:r>
      <w:r w:rsidR="00136E7B" w:rsidRPr="008E7489">
        <w:rPr>
          <w:rFonts w:eastAsia="Calibri"/>
          <w:lang w:val="en-GB"/>
        </w:rPr>
        <w:t>.</w:t>
      </w:r>
    </w:p>
    <w:p w14:paraId="309672DB" w14:textId="6E4A6A5C" w:rsidR="003044EF" w:rsidRPr="00F57FAD" w:rsidRDefault="003044EF" w:rsidP="003044EF">
      <w:pPr>
        <w:pStyle w:val="Heading2"/>
      </w:pPr>
      <w:bookmarkStart w:id="158" w:name="_Toc51042285"/>
      <w:r>
        <w:t>10</w:t>
      </w:r>
      <w:r w:rsidRPr="00F57FAD">
        <w:t>.</w:t>
      </w:r>
      <w:r>
        <w:t>2</w:t>
      </w:r>
      <w:r w:rsidRPr="00F57FAD">
        <w:tab/>
        <w:t xml:space="preserve">ITU-T </w:t>
      </w:r>
      <w:r w:rsidR="00CA0F67">
        <w:t xml:space="preserve">news moves to </w:t>
      </w:r>
      <w:proofErr w:type="spellStart"/>
      <w:r w:rsidR="00CA0F67">
        <w:t>MyITU</w:t>
      </w:r>
      <w:bookmarkEnd w:id="158"/>
      <w:proofErr w:type="spellEnd"/>
    </w:p>
    <w:p w14:paraId="2B8C4548" w14:textId="72090D4E" w:rsidR="00136E7B" w:rsidRDefault="003044EF" w:rsidP="5F2B6CF0">
      <w:pPr>
        <w:rPr>
          <w:lang w:val="en-GB"/>
        </w:rPr>
      </w:pPr>
      <w:r>
        <w:rPr>
          <w:lang w:val="en-GB"/>
        </w:rPr>
        <w:t>ITU’s communications and membership divisions continue to strengthen joint processes for outreach to stakeholders in ITU</w:t>
      </w:r>
      <w:r w:rsidR="00CA0F67">
        <w:rPr>
          <w:lang w:val="en-GB"/>
        </w:rPr>
        <w:t>-T</w:t>
      </w:r>
      <w:r>
        <w:rPr>
          <w:lang w:val="en-GB"/>
        </w:rPr>
        <w:t xml:space="preserve"> standardization. </w:t>
      </w:r>
      <w:r w:rsidRPr="004E5B45">
        <w:rPr>
          <w:lang w:val="en-GB"/>
        </w:rPr>
        <w:t xml:space="preserve">ITU-T news </w:t>
      </w:r>
      <w:r>
        <w:rPr>
          <w:lang w:val="en-GB"/>
        </w:rPr>
        <w:t xml:space="preserve">is now </w:t>
      </w:r>
      <w:r w:rsidRPr="004E5B45">
        <w:rPr>
          <w:lang w:val="en-GB"/>
        </w:rPr>
        <w:t xml:space="preserve">published on </w:t>
      </w:r>
      <w:hyperlink r:id="rId126" w:history="1">
        <w:proofErr w:type="spellStart"/>
        <w:r>
          <w:rPr>
            <w:rStyle w:val="Hyperlink"/>
            <w:lang w:val="en-GB"/>
          </w:rPr>
          <w:t>MyITU</w:t>
        </w:r>
        <w:proofErr w:type="spellEnd"/>
        <w:r w:rsidRPr="004E5B45">
          <w:rPr>
            <w:rStyle w:val="Hyperlink"/>
            <w:lang w:val="en-GB"/>
          </w:rPr>
          <w:t xml:space="preserve"> News</w:t>
        </w:r>
      </w:hyperlink>
      <w:r w:rsidRPr="004E5B45">
        <w:rPr>
          <w:lang w:val="en-GB"/>
        </w:rPr>
        <w:t>,</w:t>
      </w:r>
      <w:r w:rsidR="00CA0F67">
        <w:rPr>
          <w:lang w:val="en-GB"/>
        </w:rPr>
        <w:t xml:space="preserve"> </w:t>
      </w:r>
      <w:r w:rsidRPr="004E5B45">
        <w:rPr>
          <w:lang w:val="en-GB"/>
        </w:rPr>
        <w:t xml:space="preserve">a </w:t>
      </w:r>
      <w:r>
        <w:rPr>
          <w:lang w:val="en-GB"/>
        </w:rPr>
        <w:t xml:space="preserve">new </w:t>
      </w:r>
      <w:r w:rsidRPr="004E5B45">
        <w:rPr>
          <w:lang w:val="en-GB"/>
        </w:rPr>
        <w:t xml:space="preserve">platform </w:t>
      </w:r>
      <w:r>
        <w:rPr>
          <w:lang w:val="en-GB"/>
        </w:rPr>
        <w:t>designed to guide readers to news, publications and events customized to their interests. With the support of a</w:t>
      </w:r>
      <w:r w:rsidR="00CA0F67">
        <w:rPr>
          <w:lang w:val="en-GB"/>
        </w:rPr>
        <w:t xml:space="preserve"> coordinated</w:t>
      </w:r>
      <w:r>
        <w:rPr>
          <w:lang w:val="en-GB"/>
        </w:rPr>
        <w:t xml:space="preserve"> social media strategy led by the ITU General Secretariat, ITU-T news</w:t>
      </w:r>
      <w:r w:rsidRPr="004E5B45">
        <w:rPr>
          <w:lang w:val="en-GB"/>
        </w:rPr>
        <w:t xml:space="preserve"> </w:t>
      </w:r>
      <w:r>
        <w:rPr>
          <w:lang w:val="en-GB"/>
        </w:rPr>
        <w:t xml:space="preserve">consistently </w:t>
      </w:r>
      <w:r w:rsidRPr="004E5B45">
        <w:rPr>
          <w:lang w:val="en-GB"/>
        </w:rPr>
        <w:t>feature</w:t>
      </w:r>
      <w:r>
        <w:rPr>
          <w:lang w:val="en-GB"/>
        </w:rPr>
        <w:t>s</w:t>
      </w:r>
      <w:r w:rsidRPr="004E5B45">
        <w:rPr>
          <w:lang w:val="en-GB"/>
        </w:rPr>
        <w:t xml:space="preserve"> among the most popular ITU content each year</w:t>
      </w:r>
      <w:r w:rsidR="00CA0F67">
        <w:rPr>
          <w:lang w:val="en-GB"/>
        </w:rPr>
        <w:t xml:space="preserve">. </w:t>
      </w:r>
      <w:r>
        <w:rPr>
          <w:lang w:val="en-GB"/>
        </w:rPr>
        <w:t xml:space="preserve">ITU-T news articles are increasingly supported by video, </w:t>
      </w:r>
      <w:proofErr w:type="gramStart"/>
      <w:r>
        <w:rPr>
          <w:lang w:val="en-GB"/>
        </w:rPr>
        <w:t>animations</w:t>
      </w:r>
      <w:proofErr w:type="gramEnd"/>
      <w:r>
        <w:rPr>
          <w:lang w:val="en-GB"/>
        </w:rPr>
        <w:t xml:space="preserve"> and i</w:t>
      </w:r>
      <w:r w:rsidRPr="004E5B45">
        <w:rPr>
          <w:lang w:val="en-GB"/>
        </w:rPr>
        <w:t>nfographics</w:t>
      </w:r>
      <w:r w:rsidR="003E1653">
        <w:rPr>
          <w:lang w:val="en-GB"/>
        </w:rPr>
        <w:t xml:space="preserve">. </w:t>
      </w:r>
      <w:r w:rsidR="00CA0F67">
        <w:rPr>
          <w:lang w:val="en-GB"/>
        </w:rPr>
        <w:t xml:space="preserve"> </w:t>
      </w:r>
    </w:p>
    <w:p w14:paraId="6611DC3A" w14:textId="1D5C369A" w:rsidR="00CA0F67" w:rsidRPr="00CA0F67" w:rsidRDefault="00CA0F67" w:rsidP="00CA0F67">
      <w:pPr>
        <w:pStyle w:val="Heading2"/>
      </w:pPr>
      <w:bookmarkStart w:id="159" w:name="_Toc51042286"/>
      <w:r>
        <w:t>10</w:t>
      </w:r>
      <w:r w:rsidRPr="00F57FAD">
        <w:t>.</w:t>
      </w:r>
      <w:r>
        <w:t>3</w:t>
      </w:r>
      <w:r w:rsidRPr="00F57FAD">
        <w:tab/>
      </w:r>
      <w:r>
        <w:t>Evolution of ITU-T membership</w:t>
      </w:r>
      <w:bookmarkEnd w:id="159"/>
    </w:p>
    <w:p w14:paraId="3F4AB3CC" w14:textId="0E968E7A" w:rsidR="00136E7B" w:rsidRPr="004571F7" w:rsidRDefault="00136E7B" w:rsidP="5F2B6CF0">
      <w:pPr>
        <w:rPr>
          <w:rFonts w:eastAsia="Calibri"/>
          <w:b/>
          <w:bCs/>
          <w:lang w:val="en-GB"/>
        </w:rPr>
      </w:pPr>
      <w:r w:rsidRPr="004571F7">
        <w:rPr>
          <w:rFonts w:eastAsia="Calibri"/>
          <w:b/>
          <w:bCs/>
          <w:lang w:val="en-GB"/>
        </w:rPr>
        <w:t>New Sector Members in 20</w:t>
      </w:r>
      <w:r w:rsidR="71F610C8" w:rsidRPr="004571F7">
        <w:rPr>
          <w:rFonts w:eastAsia="Calibri"/>
          <w:b/>
          <w:bCs/>
          <w:lang w:val="en-GB"/>
        </w:rPr>
        <w:t>20</w:t>
      </w:r>
      <w:r w:rsidRPr="004571F7">
        <w:rPr>
          <w:rFonts w:eastAsia="Calibri"/>
          <w:b/>
          <w:bCs/>
          <w:lang w:val="en-GB"/>
        </w:rPr>
        <w:t>:</w:t>
      </w:r>
    </w:p>
    <w:p w14:paraId="5F4FB419" w14:textId="4A176638" w:rsidR="63672484" w:rsidRPr="008E7489" w:rsidRDefault="63672484" w:rsidP="2B30A600">
      <w:pPr>
        <w:rPr>
          <w:rFonts w:eastAsia="Times"/>
          <w:szCs w:val="24"/>
        </w:rPr>
      </w:pPr>
      <w:r w:rsidRPr="00281B31">
        <w:rPr>
          <w:rFonts w:eastAsia="Times"/>
          <w:szCs w:val="24"/>
          <w:lang w:val="en-GB"/>
        </w:rPr>
        <w:t>IBM;</w:t>
      </w:r>
      <w:r w:rsidRPr="001A6E88">
        <w:rPr>
          <w:rFonts w:eastAsia="Times"/>
          <w:szCs w:val="24"/>
          <w:lang w:val="en-GB"/>
        </w:rPr>
        <w:t xml:space="preserve"> </w:t>
      </w:r>
      <w:r w:rsidR="217BDC58" w:rsidRPr="008E7489">
        <w:rPr>
          <w:rFonts w:eastAsia="Times"/>
          <w:szCs w:val="24"/>
        </w:rPr>
        <w:t xml:space="preserve">Zhejiang Dahua Technology Co. Ltd.; </w:t>
      </w:r>
      <w:r w:rsidR="296B152C" w:rsidRPr="008E7489">
        <w:rPr>
          <w:rFonts w:eastAsia="Times"/>
          <w:szCs w:val="24"/>
        </w:rPr>
        <w:t xml:space="preserve">Cox Communications; </w:t>
      </w:r>
      <w:r w:rsidR="45F7CB3D" w:rsidRPr="008E7489">
        <w:rPr>
          <w:rFonts w:eastAsia="Times"/>
          <w:szCs w:val="24"/>
        </w:rPr>
        <w:t xml:space="preserve">Huawei Technologies Switzerland AG; </w:t>
      </w:r>
      <w:proofErr w:type="spellStart"/>
      <w:r w:rsidR="058B1530" w:rsidRPr="008E7489">
        <w:rPr>
          <w:rFonts w:eastAsia="Times"/>
          <w:szCs w:val="24"/>
        </w:rPr>
        <w:t>Asiainfo</w:t>
      </w:r>
      <w:proofErr w:type="spellEnd"/>
      <w:r w:rsidR="058B1530" w:rsidRPr="008E7489">
        <w:rPr>
          <w:rFonts w:eastAsia="Times"/>
          <w:szCs w:val="24"/>
        </w:rPr>
        <w:t xml:space="preserve"> Technologies (China), Inc.; </w:t>
      </w:r>
      <w:proofErr w:type="spellStart"/>
      <w:r w:rsidR="058B1530" w:rsidRPr="008E7489">
        <w:rPr>
          <w:rFonts w:eastAsia="Times"/>
          <w:szCs w:val="24"/>
        </w:rPr>
        <w:t>InterDigital</w:t>
      </w:r>
      <w:proofErr w:type="spellEnd"/>
      <w:r w:rsidR="058B1530" w:rsidRPr="008E7489">
        <w:rPr>
          <w:rFonts w:eastAsia="Times"/>
          <w:szCs w:val="24"/>
        </w:rPr>
        <w:t xml:space="preserve"> Canada </w:t>
      </w:r>
      <w:proofErr w:type="spellStart"/>
      <w:r w:rsidR="058B1530" w:rsidRPr="008E7489">
        <w:rPr>
          <w:rFonts w:eastAsia="Times"/>
          <w:szCs w:val="24"/>
        </w:rPr>
        <w:t>Ltee</w:t>
      </w:r>
      <w:proofErr w:type="spellEnd"/>
      <w:r w:rsidR="6AC89497" w:rsidRPr="008E7489">
        <w:rPr>
          <w:rFonts w:eastAsia="Times"/>
          <w:szCs w:val="24"/>
        </w:rPr>
        <w:t>; Rakuten Mobile, Inc; Global Esports Federation</w:t>
      </w:r>
      <w:r w:rsidR="00281B31">
        <w:rPr>
          <w:rFonts w:eastAsia="Times"/>
          <w:szCs w:val="24"/>
        </w:rPr>
        <w:t>.</w:t>
      </w:r>
    </w:p>
    <w:p w14:paraId="4FF74DD6" w14:textId="2E9CCEC0" w:rsidR="00136E7B" w:rsidRPr="004571F7" w:rsidRDefault="00136E7B" w:rsidP="5F2B6CF0">
      <w:pPr>
        <w:rPr>
          <w:rFonts w:ascii="Times" w:eastAsia="Times" w:hAnsi="Times" w:cs="Times"/>
          <w:b/>
          <w:bCs/>
          <w:lang w:val="en-GB"/>
        </w:rPr>
      </w:pPr>
      <w:r w:rsidRPr="004571F7">
        <w:rPr>
          <w:rFonts w:ascii="Times" w:eastAsia="Times" w:hAnsi="Times" w:cs="Times"/>
          <w:b/>
          <w:bCs/>
          <w:lang w:val="en-GB"/>
        </w:rPr>
        <w:t>New Associates in 20</w:t>
      </w:r>
      <w:r w:rsidR="1D7844A1" w:rsidRPr="004571F7">
        <w:rPr>
          <w:rFonts w:ascii="Times" w:eastAsia="Times" w:hAnsi="Times" w:cs="Times"/>
          <w:b/>
          <w:bCs/>
          <w:lang w:val="en-GB"/>
        </w:rPr>
        <w:t>20</w:t>
      </w:r>
      <w:r w:rsidR="004571F7">
        <w:rPr>
          <w:rFonts w:ascii="Times" w:eastAsia="Times" w:hAnsi="Times" w:cs="Times"/>
          <w:b/>
          <w:bCs/>
          <w:lang w:val="en-GB"/>
        </w:rPr>
        <w:t>:</w:t>
      </w:r>
    </w:p>
    <w:p w14:paraId="6FEB1C8E" w14:textId="72E50DAB" w:rsidR="29858283" w:rsidRPr="008E7489" w:rsidRDefault="29858283" w:rsidP="2B30A600">
      <w:pPr>
        <w:rPr>
          <w:rFonts w:eastAsia="Times"/>
          <w:szCs w:val="24"/>
        </w:rPr>
      </w:pPr>
      <w:proofErr w:type="spellStart"/>
      <w:r w:rsidRPr="008E7489">
        <w:rPr>
          <w:rFonts w:eastAsia="Times"/>
          <w:szCs w:val="24"/>
          <w:lang w:val="en-GB"/>
        </w:rPr>
        <w:t>Tampnet</w:t>
      </w:r>
      <w:proofErr w:type="spellEnd"/>
      <w:r w:rsidRPr="008E7489">
        <w:rPr>
          <w:rFonts w:eastAsia="Times"/>
          <w:szCs w:val="24"/>
          <w:lang w:val="en-GB"/>
        </w:rPr>
        <w:t xml:space="preserve"> (SG2)</w:t>
      </w:r>
      <w:r w:rsidR="1D733723" w:rsidRPr="008E7489">
        <w:rPr>
          <w:rFonts w:eastAsia="Times"/>
          <w:szCs w:val="24"/>
          <w:lang w:val="en-GB"/>
        </w:rPr>
        <w:t>;</w:t>
      </w:r>
      <w:r w:rsidRPr="008E7489">
        <w:rPr>
          <w:rFonts w:eastAsia="Times"/>
          <w:szCs w:val="24"/>
          <w:lang w:val="en-GB"/>
        </w:rPr>
        <w:t xml:space="preserve"> </w:t>
      </w:r>
      <w:proofErr w:type="spellStart"/>
      <w:r w:rsidR="31906146" w:rsidRPr="008E7489">
        <w:rPr>
          <w:rFonts w:eastAsia="Times"/>
          <w:szCs w:val="24"/>
          <w:lang w:val="en-GB"/>
        </w:rPr>
        <w:t>Podsystem</w:t>
      </w:r>
      <w:proofErr w:type="spellEnd"/>
      <w:r w:rsidR="31906146" w:rsidRPr="008E7489">
        <w:rPr>
          <w:rFonts w:eastAsia="Times"/>
          <w:szCs w:val="24"/>
          <w:lang w:val="en-GB"/>
        </w:rPr>
        <w:t xml:space="preserve"> Ltd. (SG2)</w:t>
      </w:r>
      <w:r w:rsidR="370C17C8" w:rsidRPr="008E7489">
        <w:rPr>
          <w:rFonts w:eastAsia="Times"/>
          <w:szCs w:val="24"/>
          <w:lang w:val="en-GB"/>
        </w:rPr>
        <w:t>;</w:t>
      </w:r>
      <w:r w:rsidR="02BCD24A" w:rsidRPr="008E7489">
        <w:rPr>
          <w:rFonts w:eastAsia="Times"/>
          <w:szCs w:val="24"/>
        </w:rPr>
        <w:t xml:space="preserve"> Inspur </w:t>
      </w:r>
      <w:proofErr w:type="spellStart"/>
      <w:r w:rsidR="02BCD24A" w:rsidRPr="008E7489">
        <w:rPr>
          <w:rFonts w:eastAsia="Times"/>
          <w:szCs w:val="24"/>
        </w:rPr>
        <w:t>Tianyuan</w:t>
      </w:r>
      <w:proofErr w:type="spellEnd"/>
      <w:r w:rsidR="02BCD24A" w:rsidRPr="008E7489">
        <w:rPr>
          <w:rFonts w:eastAsia="Times"/>
          <w:szCs w:val="24"/>
        </w:rPr>
        <w:t xml:space="preserve"> Communication Information System Co., Ltd.(SG2)</w:t>
      </w:r>
      <w:r w:rsidR="02BCD24A" w:rsidRPr="008E7489">
        <w:rPr>
          <w:rFonts w:eastAsia="Times"/>
          <w:szCs w:val="24"/>
          <w:lang w:val="en-GB"/>
        </w:rPr>
        <w:t>;</w:t>
      </w:r>
      <w:r w:rsidR="370C17C8" w:rsidRPr="008E7489">
        <w:rPr>
          <w:rFonts w:eastAsia="Times"/>
          <w:szCs w:val="24"/>
          <w:lang w:val="en-GB"/>
        </w:rPr>
        <w:t xml:space="preserve"> </w:t>
      </w:r>
      <w:proofErr w:type="spellStart"/>
      <w:r w:rsidR="31906146" w:rsidRPr="008E7489">
        <w:rPr>
          <w:rFonts w:eastAsia="Times"/>
          <w:szCs w:val="24"/>
          <w:lang w:val="en-GB"/>
        </w:rPr>
        <w:t>Wavecontrol</w:t>
      </w:r>
      <w:proofErr w:type="spellEnd"/>
      <w:r w:rsidR="31906146" w:rsidRPr="008E7489">
        <w:rPr>
          <w:rFonts w:eastAsia="Times"/>
          <w:szCs w:val="24"/>
          <w:lang w:val="en-GB"/>
        </w:rPr>
        <w:t>, S.L. (</w:t>
      </w:r>
      <w:r w:rsidR="76216ADD" w:rsidRPr="008E7489">
        <w:rPr>
          <w:rFonts w:eastAsia="Times"/>
          <w:szCs w:val="24"/>
          <w:lang w:val="en-GB"/>
        </w:rPr>
        <w:t>SG5)</w:t>
      </w:r>
      <w:r w:rsidR="273B01F1" w:rsidRPr="008E7489">
        <w:rPr>
          <w:rFonts w:eastAsia="Times"/>
          <w:szCs w:val="24"/>
          <w:lang w:val="en-GB"/>
        </w:rPr>
        <w:t>;</w:t>
      </w:r>
      <w:r w:rsidR="273B01F1" w:rsidRPr="008E7489">
        <w:rPr>
          <w:rFonts w:eastAsia="Times"/>
          <w:szCs w:val="24"/>
          <w:u w:val="single"/>
          <w:lang w:val="en-GB"/>
        </w:rPr>
        <w:t xml:space="preserve"> </w:t>
      </w:r>
      <w:r w:rsidR="5FEF60D7" w:rsidRPr="008E7489">
        <w:rPr>
          <w:rFonts w:eastAsia="Times"/>
          <w:szCs w:val="24"/>
        </w:rPr>
        <w:t>Sky Group</w:t>
      </w:r>
      <w:r w:rsidR="5FEF60D7" w:rsidRPr="008E7489">
        <w:rPr>
          <w:rFonts w:eastAsia="Times"/>
          <w:szCs w:val="24"/>
          <w:lang w:val="en-GB"/>
        </w:rPr>
        <w:t xml:space="preserve"> (SG9); </w:t>
      </w:r>
      <w:proofErr w:type="spellStart"/>
      <w:r w:rsidR="71F3611F" w:rsidRPr="008E7489">
        <w:rPr>
          <w:rFonts w:eastAsia="Times"/>
          <w:szCs w:val="24"/>
          <w:lang w:val="en-GB"/>
        </w:rPr>
        <w:t>Vaulto</w:t>
      </w:r>
      <w:proofErr w:type="spellEnd"/>
      <w:r w:rsidR="71F3611F" w:rsidRPr="008E7489">
        <w:rPr>
          <w:rFonts w:eastAsia="Times"/>
          <w:szCs w:val="24"/>
          <w:lang w:val="en-GB"/>
        </w:rPr>
        <w:t xml:space="preserve"> Communication Technologies Ltd. (SG1</w:t>
      </w:r>
      <w:r w:rsidR="4617C977" w:rsidRPr="008E7489">
        <w:rPr>
          <w:rFonts w:eastAsia="Times"/>
          <w:szCs w:val="24"/>
          <w:lang w:val="en-GB"/>
        </w:rPr>
        <w:t>1</w:t>
      </w:r>
      <w:r w:rsidR="71F3611F" w:rsidRPr="008E7489">
        <w:rPr>
          <w:rFonts w:eastAsia="Times"/>
          <w:szCs w:val="24"/>
          <w:lang w:val="en-GB"/>
        </w:rPr>
        <w:t>)</w:t>
      </w:r>
      <w:r w:rsidR="39D01110" w:rsidRPr="008E7489">
        <w:rPr>
          <w:rFonts w:eastAsia="Times"/>
          <w:szCs w:val="24"/>
          <w:lang w:val="en-GB"/>
        </w:rPr>
        <w:t>;</w:t>
      </w:r>
      <w:r w:rsidR="1D3E1503" w:rsidRPr="008E7489">
        <w:rPr>
          <w:rFonts w:eastAsia="Times"/>
          <w:szCs w:val="24"/>
          <w:lang w:val="en-GB"/>
        </w:rPr>
        <w:t xml:space="preserve"> </w:t>
      </w:r>
      <w:proofErr w:type="spellStart"/>
      <w:r w:rsidR="1D3E1503" w:rsidRPr="008E7489">
        <w:rPr>
          <w:rFonts w:eastAsia="Times"/>
          <w:szCs w:val="24"/>
        </w:rPr>
        <w:t>Speedchecker</w:t>
      </w:r>
      <w:proofErr w:type="spellEnd"/>
      <w:r w:rsidR="1D3E1503" w:rsidRPr="008E7489">
        <w:rPr>
          <w:rFonts w:eastAsia="Times"/>
          <w:szCs w:val="24"/>
        </w:rPr>
        <w:t xml:space="preserve"> Ltd. (SG12)</w:t>
      </w:r>
      <w:r w:rsidR="40C0380E" w:rsidRPr="008E7489">
        <w:rPr>
          <w:rFonts w:eastAsia="Times"/>
          <w:szCs w:val="24"/>
        </w:rPr>
        <w:t xml:space="preserve"> Wuhan </w:t>
      </w:r>
      <w:proofErr w:type="spellStart"/>
      <w:r w:rsidR="40C0380E" w:rsidRPr="008E7489">
        <w:rPr>
          <w:rFonts w:eastAsia="Times"/>
          <w:szCs w:val="24"/>
        </w:rPr>
        <w:t>Rayton</w:t>
      </w:r>
      <w:proofErr w:type="spellEnd"/>
      <w:r w:rsidR="40C0380E" w:rsidRPr="008E7489">
        <w:rPr>
          <w:rFonts w:eastAsia="Times"/>
          <w:szCs w:val="24"/>
        </w:rPr>
        <w:t xml:space="preserve"> Network Technology Co., Ltd (SG13);</w:t>
      </w:r>
      <w:r w:rsidR="37297E88" w:rsidRPr="008E7489">
        <w:rPr>
          <w:rFonts w:eastAsia="Times"/>
          <w:szCs w:val="24"/>
        </w:rPr>
        <w:t xml:space="preserve"> Jiangsu </w:t>
      </w:r>
      <w:proofErr w:type="spellStart"/>
      <w:r w:rsidR="37297E88" w:rsidRPr="008E7489">
        <w:rPr>
          <w:rFonts w:eastAsia="Times"/>
          <w:szCs w:val="24"/>
        </w:rPr>
        <w:t>Zhongtian</w:t>
      </w:r>
      <w:proofErr w:type="spellEnd"/>
      <w:r w:rsidR="37297E88" w:rsidRPr="008E7489">
        <w:rPr>
          <w:rFonts w:eastAsia="Times"/>
          <w:szCs w:val="24"/>
        </w:rPr>
        <w:t xml:space="preserve"> Technology Co., Ltd.(SG15);</w:t>
      </w:r>
      <w:r w:rsidR="30CB53B6" w:rsidRPr="008E7489">
        <w:rPr>
          <w:rFonts w:eastAsia="Times"/>
          <w:szCs w:val="24"/>
        </w:rPr>
        <w:t xml:space="preserve"> Idea Electronic Systems (SG15);</w:t>
      </w:r>
      <w:r w:rsidR="32EDF98C" w:rsidRPr="008E7489">
        <w:rPr>
          <w:rFonts w:eastAsia="Times"/>
          <w:szCs w:val="24"/>
        </w:rPr>
        <w:t xml:space="preserve"> AEPONYX </w:t>
      </w:r>
      <w:proofErr w:type="spellStart"/>
      <w:r w:rsidR="32EDF98C" w:rsidRPr="008E7489">
        <w:rPr>
          <w:rFonts w:eastAsia="Times"/>
          <w:szCs w:val="24"/>
        </w:rPr>
        <w:t>inc</w:t>
      </w:r>
      <w:proofErr w:type="spellEnd"/>
      <w:r w:rsidR="32EDF98C" w:rsidRPr="008E7489">
        <w:rPr>
          <w:rFonts w:eastAsia="Times"/>
          <w:szCs w:val="24"/>
        </w:rPr>
        <w:t xml:space="preserve"> (SG15);</w:t>
      </w:r>
      <w:r w:rsidR="71F3611F" w:rsidRPr="008E7489">
        <w:rPr>
          <w:rFonts w:eastAsia="Times"/>
          <w:szCs w:val="24"/>
          <w:lang w:val="en-GB"/>
        </w:rPr>
        <w:t xml:space="preserve"> </w:t>
      </w:r>
      <w:proofErr w:type="spellStart"/>
      <w:r w:rsidR="71F3611F" w:rsidRPr="008E7489">
        <w:rPr>
          <w:rFonts w:eastAsia="Times"/>
          <w:szCs w:val="24"/>
        </w:rPr>
        <w:t>Onchain</w:t>
      </w:r>
      <w:proofErr w:type="spellEnd"/>
      <w:r w:rsidR="71F3611F" w:rsidRPr="008E7489">
        <w:rPr>
          <w:rFonts w:eastAsia="Times"/>
          <w:szCs w:val="24"/>
        </w:rPr>
        <w:t xml:space="preserve"> Solutions (Shanghai Distributed Technology Co., Ltd.) (SG1</w:t>
      </w:r>
      <w:r w:rsidR="1B37F3C8" w:rsidRPr="008E7489">
        <w:rPr>
          <w:rFonts w:eastAsia="Times"/>
          <w:szCs w:val="24"/>
        </w:rPr>
        <w:t>6)</w:t>
      </w:r>
      <w:r w:rsidR="12A5F594" w:rsidRPr="008E7489">
        <w:rPr>
          <w:rFonts w:eastAsia="Times"/>
          <w:szCs w:val="24"/>
        </w:rPr>
        <w:t>;</w:t>
      </w:r>
      <w:r w:rsidR="4AEBFF20" w:rsidRPr="008E7489">
        <w:rPr>
          <w:rFonts w:eastAsia="Times"/>
          <w:szCs w:val="24"/>
        </w:rPr>
        <w:t xml:space="preserve"> Hangzhou </w:t>
      </w:r>
      <w:proofErr w:type="spellStart"/>
      <w:r w:rsidR="4AEBFF20" w:rsidRPr="008E7489">
        <w:rPr>
          <w:rFonts w:eastAsia="Times"/>
          <w:szCs w:val="24"/>
        </w:rPr>
        <w:t>Qulian</w:t>
      </w:r>
      <w:proofErr w:type="spellEnd"/>
      <w:r w:rsidR="4AEBFF20" w:rsidRPr="008E7489">
        <w:rPr>
          <w:rFonts w:eastAsia="Times"/>
          <w:szCs w:val="24"/>
        </w:rPr>
        <w:t xml:space="preserve"> Technology Co., Ltd.(SG16); Beijing </w:t>
      </w:r>
      <w:proofErr w:type="spellStart"/>
      <w:r w:rsidR="4AEBFF20" w:rsidRPr="008E7489">
        <w:rPr>
          <w:rFonts w:eastAsia="Times"/>
          <w:szCs w:val="24"/>
        </w:rPr>
        <w:t>Zhongdun</w:t>
      </w:r>
      <w:proofErr w:type="spellEnd"/>
      <w:r w:rsidR="4AEBFF20" w:rsidRPr="008E7489">
        <w:rPr>
          <w:rFonts w:eastAsia="Times"/>
          <w:szCs w:val="24"/>
        </w:rPr>
        <w:t xml:space="preserve"> Security Technology Development Co.(SG16);</w:t>
      </w:r>
      <w:r w:rsidR="01EB8463" w:rsidRPr="008E7489">
        <w:rPr>
          <w:rFonts w:eastAsia="Times"/>
          <w:szCs w:val="24"/>
        </w:rPr>
        <w:t xml:space="preserve"> PwC UK (SG16);</w:t>
      </w:r>
      <w:r w:rsidR="0052EDD6" w:rsidRPr="008E7489">
        <w:rPr>
          <w:rFonts w:eastAsia="Times"/>
          <w:szCs w:val="24"/>
        </w:rPr>
        <w:t xml:space="preserve"> Shenzhen </w:t>
      </w:r>
      <w:proofErr w:type="spellStart"/>
      <w:r w:rsidR="0052EDD6" w:rsidRPr="008E7489">
        <w:rPr>
          <w:rFonts w:eastAsia="Times"/>
          <w:szCs w:val="24"/>
        </w:rPr>
        <w:t>Transsion</w:t>
      </w:r>
      <w:proofErr w:type="spellEnd"/>
      <w:r w:rsidR="0052EDD6" w:rsidRPr="008E7489">
        <w:rPr>
          <w:rFonts w:eastAsia="Times"/>
          <w:szCs w:val="24"/>
        </w:rPr>
        <w:t xml:space="preserve"> Holdings Co. Limited (SG16</w:t>
      </w:r>
      <w:r w:rsidR="3C589A83" w:rsidRPr="008E7489">
        <w:rPr>
          <w:rFonts w:eastAsia="Times"/>
          <w:szCs w:val="24"/>
        </w:rPr>
        <w:t>)</w:t>
      </w:r>
      <w:r w:rsidR="0052EDD6" w:rsidRPr="008E7489">
        <w:rPr>
          <w:rFonts w:eastAsia="Times"/>
          <w:szCs w:val="24"/>
        </w:rPr>
        <w:t>;</w:t>
      </w:r>
      <w:r w:rsidR="0D3FE6EC" w:rsidRPr="008E7489">
        <w:rPr>
          <w:rFonts w:eastAsia="Times"/>
          <w:szCs w:val="24"/>
        </w:rPr>
        <w:t xml:space="preserve"> </w:t>
      </w:r>
      <w:proofErr w:type="spellStart"/>
      <w:r w:rsidR="0D3FE6EC" w:rsidRPr="008E7489">
        <w:rPr>
          <w:rFonts w:eastAsia="Times"/>
          <w:szCs w:val="24"/>
        </w:rPr>
        <w:t>ePaiLive</w:t>
      </w:r>
      <w:proofErr w:type="spellEnd"/>
      <w:r w:rsidR="0D3FE6EC" w:rsidRPr="008E7489">
        <w:rPr>
          <w:rFonts w:eastAsia="Times"/>
          <w:szCs w:val="24"/>
        </w:rPr>
        <w:t xml:space="preserve"> Auction (Beijing) Co., Ltd.(SG16);</w:t>
      </w:r>
      <w:r w:rsidR="68628D7A" w:rsidRPr="008E7489">
        <w:rPr>
          <w:rFonts w:eastAsia="Times"/>
          <w:szCs w:val="24"/>
        </w:rPr>
        <w:t xml:space="preserve"> </w:t>
      </w:r>
      <w:proofErr w:type="spellStart"/>
      <w:r w:rsidR="68628D7A" w:rsidRPr="008E7489">
        <w:rPr>
          <w:rFonts w:eastAsia="Times"/>
          <w:szCs w:val="24"/>
        </w:rPr>
        <w:t>Multiledgers</w:t>
      </w:r>
      <w:proofErr w:type="spellEnd"/>
      <w:r w:rsidR="68628D7A" w:rsidRPr="008E7489">
        <w:rPr>
          <w:rFonts w:eastAsia="Times"/>
          <w:szCs w:val="24"/>
        </w:rPr>
        <w:t xml:space="preserve"> (SG16);</w:t>
      </w:r>
      <w:r w:rsidR="01EB8463" w:rsidRPr="008E7489">
        <w:rPr>
          <w:rFonts w:eastAsia="Times"/>
          <w:szCs w:val="24"/>
        </w:rPr>
        <w:t xml:space="preserve"> </w:t>
      </w:r>
      <w:proofErr w:type="spellStart"/>
      <w:r w:rsidR="01EB8463" w:rsidRPr="008E7489">
        <w:rPr>
          <w:rFonts w:eastAsia="Times"/>
          <w:szCs w:val="24"/>
        </w:rPr>
        <w:t>Zennous</w:t>
      </w:r>
      <w:proofErr w:type="spellEnd"/>
      <w:r w:rsidR="01EB8463" w:rsidRPr="008E7489">
        <w:rPr>
          <w:rFonts w:eastAsia="Times"/>
          <w:szCs w:val="24"/>
        </w:rPr>
        <w:t xml:space="preserve"> SA (SG20);</w:t>
      </w:r>
      <w:r w:rsidR="1661339A" w:rsidRPr="008E7489">
        <w:rPr>
          <w:rFonts w:eastAsia="Times"/>
          <w:szCs w:val="24"/>
        </w:rPr>
        <w:t xml:space="preserve"> </w:t>
      </w:r>
      <w:proofErr w:type="spellStart"/>
      <w:r w:rsidR="1661339A" w:rsidRPr="008E7489">
        <w:rPr>
          <w:rFonts w:eastAsia="Times"/>
          <w:szCs w:val="24"/>
        </w:rPr>
        <w:t>Innov</w:t>
      </w:r>
      <w:proofErr w:type="spellEnd"/>
      <w:r w:rsidR="1661339A" w:rsidRPr="008E7489">
        <w:rPr>
          <w:rFonts w:eastAsia="Times"/>
          <w:szCs w:val="24"/>
        </w:rPr>
        <w:t>-Alliance-Tech (SG20)</w:t>
      </w:r>
      <w:r w:rsidR="6913A104" w:rsidRPr="008E7489">
        <w:rPr>
          <w:rFonts w:eastAsia="Times"/>
          <w:szCs w:val="24"/>
        </w:rPr>
        <w:t>; ITRI International Inc. (SG20);</w:t>
      </w:r>
      <w:r w:rsidR="12A3DFDB" w:rsidRPr="008E7489">
        <w:rPr>
          <w:rFonts w:eastAsia="Times"/>
          <w:szCs w:val="24"/>
        </w:rPr>
        <w:t xml:space="preserve"> </w:t>
      </w:r>
      <w:proofErr w:type="spellStart"/>
      <w:r w:rsidR="12A3DFDB" w:rsidRPr="008E7489">
        <w:rPr>
          <w:rFonts w:eastAsia="Times"/>
          <w:szCs w:val="24"/>
        </w:rPr>
        <w:t>BigchainDB</w:t>
      </w:r>
      <w:proofErr w:type="spellEnd"/>
      <w:r w:rsidR="12A3DFDB" w:rsidRPr="008E7489">
        <w:rPr>
          <w:rFonts w:eastAsia="Times"/>
          <w:szCs w:val="24"/>
        </w:rPr>
        <w:t xml:space="preserve"> GmbH (SG20)</w:t>
      </w:r>
      <w:r w:rsidR="00281B31">
        <w:rPr>
          <w:rFonts w:eastAsia="Times"/>
          <w:szCs w:val="24"/>
        </w:rPr>
        <w:t>.</w:t>
      </w:r>
    </w:p>
    <w:p w14:paraId="787735F9" w14:textId="77B921A2" w:rsidR="00136E7B" w:rsidRPr="004571F7" w:rsidRDefault="00136E7B" w:rsidP="5F2B6CF0">
      <w:pPr>
        <w:rPr>
          <w:rFonts w:eastAsia="Calibri"/>
          <w:b/>
          <w:bCs/>
          <w:lang w:val="en-GB"/>
        </w:rPr>
      </w:pPr>
      <w:r w:rsidRPr="004571F7">
        <w:rPr>
          <w:rFonts w:eastAsia="Calibri"/>
          <w:b/>
          <w:bCs/>
          <w:lang w:val="en-GB"/>
        </w:rPr>
        <w:t>New Academia in 20</w:t>
      </w:r>
      <w:r w:rsidR="4AEAC1BE" w:rsidRPr="004571F7">
        <w:rPr>
          <w:rFonts w:eastAsia="Calibri"/>
          <w:b/>
          <w:bCs/>
          <w:lang w:val="en-GB"/>
        </w:rPr>
        <w:t>20</w:t>
      </w:r>
      <w:r w:rsidRPr="004571F7">
        <w:rPr>
          <w:rFonts w:eastAsia="Calibri"/>
          <w:b/>
          <w:bCs/>
          <w:lang w:val="en-GB"/>
        </w:rPr>
        <w:t>:</w:t>
      </w:r>
    </w:p>
    <w:p w14:paraId="4CB29914" w14:textId="64F505F5" w:rsidR="64A0D0A3" w:rsidRPr="008E7489" w:rsidRDefault="64A0D0A3" w:rsidP="5F2B6CF0">
      <w:pPr>
        <w:rPr>
          <w:rFonts w:eastAsia="Calibri"/>
          <w:lang w:val="en-GB"/>
        </w:rPr>
      </w:pPr>
      <w:proofErr w:type="spellStart"/>
      <w:r w:rsidRPr="008E7489">
        <w:rPr>
          <w:rFonts w:eastAsia="Calibri"/>
          <w:lang w:val="en-GB"/>
        </w:rPr>
        <w:t>Szechenyi</w:t>
      </w:r>
      <w:proofErr w:type="spellEnd"/>
      <w:r w:rsidRPr="008E7489">
        <w:rPr>
          <w:rFonts w:eastAsia="Calibri"/>
          <w:lang w:val="en-GB"/>
        </w:rPr>
        <w:t xml:space="preserve"> Istvan University; King Abdullah</w:t>
      </w:r>
      <w:r w:rsidR="437EBF35" w:rsidRPr="008E7489">
        <w:rPr>
          <w:rFonts w:eastAsia="Calibri"/>
          <w:lang w:val="en-GB"/>
        </w:rPr>
        <w:t xml:space="preserve"> University of Science and Technology;</w:t>
      </w:r>
      <w:r w:rsidR="1D40D701" w:rsidRPr="008E7489">
        <w:rPr>
          <w:rFonts w:eastAsia="Calibri"/>
          <w:lang w:val="en-GB"/>
        </w:rPr>
        <w:t xml:space="preserve"> George Washington University; Council for Scientific and Industrial Research; </w:t>
      </w:r>
      <w:r w:rsidR="37860280" w:rsidRPr="008E7489">
        <w:rPr>
          <w:rFonts w:eastAsia="Calibri"/>
          <w:lang w:val="en-GB"/>
        </w:rPr>
        <w:t>Big Data Academy of the Institute of Computing Technology Chinese Academy of Sciences; Harbin Institute of Technology;</w:t>
      </w:r>
      <w:r w:rsidR="5ED333B3" w:rsidRPr="008E7489">
        <w:rPr>
          <w:rFonts w:eastAsia="Calibri"/>
          <w:lang w:val="en-GB"/>
        </w:rPr>
        <w:t xml:space="preserve"> Stanford University;</w:t>
      </w:r>
      <w:r w:rsidR="53D8DAEA" w:rsidRPr="008E7489">
        <w:rPr>
          <w:rFonts w:eastAsia="Calibri"/>
          <w:lang w:val="en-GB"/>
        </w:rPr>
        <w:t xml:space="preserve"> Nanjing Research Institute of Next-generation Artificial Intelligence; Shenyang Institute of Automation Chinese Academy of Sciences;</w:t>
      </w:r>
      <w:r w:rsidR="2ECE8AFF" w:rsidRPr="008E7489">
        <w:rPr>
          <w:rFonts w:eastAsia="Calibri"/>
          <w:lang w:val="en-GB"/>
        </w:rPr>
        <w:t xml:space="preserve"> Universidad Nacional</w:t>
      </w:r>
      <w:r w:rsidR="3FF74917" w:rsidRPr="008E7489">
        <w:rPr>
          <w:rFonts w:eastAsia="Calibri"/>
          <w:lang w:val="en-GB"/>
        </w:rPr>
        <w:t xml:space="preserve"> </w:t>
      </w:r>
      <w:r w:rsidR="2ECE8AFF" w:rsidRPr="008E7489">
        <w:rPr>
          <w:rFonts w:eastAsia="Calibri"/>
          <w:lang w:val="en-GB"/>
        </w:rPr>
        <w:t>de Córdoba; Universidad Rio Cuarto; Universidad Nacional de San Luis; Universidad Nacional</w:t>
      </w:r>
      <w:r w:rsidR="63400821" w:rsidRPr="008E7489">
        <w:rPr>
          <w:rFonts w:eastAsia="Calibri"/>
          <w:lang w:val="en-GB"/>
        </w:rPr>
        <w:t xml:space="preserve"> </w:t>
      </w:r>
      <w:r w:rsidR="2ECE8AFF" w:rsidRPr="008E7489">
        <w:rPr>
          <w:rFonts w:eastAsia="Calibri"/>
          <w:lang w:val="en-GB"/>
        </w:rPr>
        <w:t xml:space="preserve">de </w:t>
      </w:r>
      <w:r w:rsidR="2ECE8AFF" w:rsidRPr="008E7489">
        <w:rPr>
          <w:rFonts w:eastAsia="Calibri"/>
          <w:lang w:val="en-GB"/>
        </w:rPr>
        <w:lastRenderedPageBreak/>
        <w:t>Tucumán</w:t>
      </w:r>
      <w:r w:rsidR="5F4EE132" w:rsidRPr="008E7489">
        <w:rPr>
          <w:rFonts w:eastAsia="Calibri"/>
          <w:lang w:val="en-GB"/>
        </w:rPr>
        <w:t xml:space="preserve">; Wuhan University; </w:t>
      </w:r>
      <w:proofErr w:type="spellStart"/>
      <w:r w:rsidR="451600C8" w:rsidRPr="008E7489">
        <w:rPr>
          <w:rFonts w:eastAsia="Calibri"/>
          <w:lang w:val="en-GB"/>
        </w:rPr>
        <w:t>Northwestern</w:t>
      </w:r>
      <w:proofErr w:type="spellEnd"/>
      <w:r w:rsidR="451600C8" w:rsidRPr="008E7489">
        <w:rPr>
          <w:rFonts w:eastAsia="Calibri"/>
          <w:lang w:val="en-GB"/>
        </w:rPr>
        <w:t xml:space="preserve"> Polytechnical University; State Grid</w:t>
      </w:r>
      <w:r w:rsidR="1FF2832C" w:rsidRPr="008E7489">
        <w:rPr>
          <w:rFonts w:eastAsia="Calibri"/>
          <w:lang w:val="en-GB"/>
        </w:rPr>
        <w:t xml:space="preserve"> </w:t>
      </w:r>
      <w:r w:rsidR="451600C8" w:rsidRPr="008E7489">
        <w:rPr>
          <w:rFonts w:eastAsia="Calibri"/>
          <w:lang w:val="en-GB"/>
        </w:rPr>
        <w:t>Hubei Electric Power Research Institute; Tongji University; Private Institution Kostanay Engineering and Economics University</w:t>
      </w:r>
      <w:r w:rsidR="3BC98044" w:rsidRPr="008E7489">
        <w:rPr>
          <w:rFonts w:eastAsia="Calibri"/>
          <w:lang w:val="en-GB"/>
        </w:rPr>
        <w:t>;</w:t>
      </w:r>
    </w:p>
    <w:p w14:paraId="185CE2D4" w14:textId="08F7E696" w:rsidR="00136E7B" w:rsidRPr="008E7489" w:rsidRDefault="00136E7B" w:rsidP="5F2B6CF0">
      <w:pPr>
        <w:rPr>
          <w:rFonts w:eastAsia="Calibri"/>
          <w:b/>
          <w:bCs/>
          <w:lang w:val="en-GB"/>
        </w:rPr>
      </w:pPr>
      <w:r w:rsidRPr="008E7489">
        <w:rPr>
          <w:rFonts w:eastAsia="Calibri"/>
          <w:b/>
          <w:bCs/>
          <w:lang w:val="en-GB"/>
        </w:rPr>
        <w:t>Total ITU-T Sector Members, Associates and Academia (31 December 200</w:t>
      </w:r>
      <w:r w:rsidR="35528E80" w:rsidRPr="008E7489">
        <w:rPr>
          <w:rFonts w:eastAsia="Calibri"/>
          <w:b/>
          <w:bCs/>
          <w:lang w:val="en-GB"/>
        </w:rPr>
        <w:t>9</w:t>
      </w:r>
      <w:r w:rsidRPr="008E7489">
        <w:rPr>
          <w:rFonts w:eastAsia="Calibri"/>
          <w:b/>
          <w:bCs/>
          <w:lang w:val="en-GB"/>
        </w:rPr>
        <w:t xml:space="preserve"> – 31 </w:t>
      </w:r>
      <w:r w:rsidR="004A71B8">
        <w:rPr>
          <w:rFonts w:eastAsia="Calibri"/>
          <w:b/>
          <w:bCs/>
          <w:lang w:val="en-GB"/>
        </w:rPr>
        <w:t>August</w:t>
      </w:r>
      <w:r w:rsidRPr="008E7489">
        <w:rPr>
          <w:rFonts w:eastAsia="Calibri"/>
          <w:b/>
          <w:bCs/>
          <w:lang w:val="en-GB"/>
        </w:rPr>
        <w:t xml:space="preserve"> 20</w:t>
      </w:r>
      <w:r w:rsidR="42D00CCD" w:rsidRPr="008E7489">
        <w:rPr>
          <w:rFonts w:eastAsia="Calibri"/>
          <w:b/>
          <w:bCs/>
          <w:lang w:val="en-GB"/>
        </w:rPr>
        <w:t>20</w:t>
      </w:r>
      <w:r w:rsidRPr="008E7489">
        <w:rPr>
          <w:rFonts w:eastAsia="Calibri"/>
          <w:b/>
          <w:bCs/>
          <w:lang w:val="en-GB"/>
        </w:rPr>
        <w:t>):</w:t>
      </w:r>
    </w:p>
    <w:p w14:paraId="3E76A84C" w14:textId="4A8BA811" w:rsidR="00136E7B" w:rsidRPr="008E7489" w:rsidRDefault="00136E7B" w:rsidP="5F2B6CF0">
      <w:pPr>
        <w:rPr>
          <w:rFonts w:eastAsia="Calibri"/>
          <w:lang w:val="en-GB"/>
        </w:rPr>
      </w:pPr>
      <w:r w:rsidRPr="008E7489">
        <w:rPr>
          <w:rFonts w:eastAsia="Calibri"/>
          <w:lang w:val="en-GB"/>
        </w:rPr>
        <w:t>The following table and figure illustrate the evolution of ITU-T membership from 31 December 200</w:t>
      </w:r>
      <w:r w:rsidR="62A49B75" w:rsidRPr="008E7489">
        <w:rPr>
          <w:rFonts w:eastAsia="Calibri"/>
          <w:lang w:val="en-GB"/>
        </w:rPr>
        <w:t>9</w:t>
      </w:r>
      <w:r w:rsidRPr="008E7489">
        <w:rPr>
          <w:rFonts w:eastAsia="Calibri"/>
          <w:lang w:val="en-GB"/>
        </w:rPr>
        <w:t xml:space="preserve"> to 31 </w:t>
      </w:r>
      <w:r w:rsidR="6709AEAC" w:rsidRPr="008E7489">
        <w:rPr>
          <w:rFonts w:eastAsia="Calibri"/>
          <w:lang w:val="en-GB"/>
        </w:rPr>
        <w:t>August</w:t>
      </w:r>
      <w:r w:rsidRPr="008E7489">
        <w:rPr>
          <w:rFonts w:eastAsia="Calibri"/>
          <w:lang w:val="en-GB"/>
        </w:rPr>
        <w:t xml:space="preserve"> 20</w:t>
      </w:r>
      <w:r w:rsidR="589E8768" w:rsidRPr="008E7489">
        <w:rPr>
          <w:rFonts w:eastAsia="Calibri"/>
          <w:lang w:val="en-GB"/>
        </w:rPr>
        <w:t>20</w:t>
      </w:r>
      <w:r w:rsidRPr="008E7489">
        <w:rPr>
          <w:rFonts w:eastAsia="Calibri"/>
          <w:lang w:val="en-GB"/>
        </w:rPr>
        <w:t xml:space="preserve"> (noting that the Academia membership category opened in 2011).</w:t>
      </w:r>
    </w:p>
    <w:p w14:paraId="692337CF" w14:textId="700E4C3B" w:rsidR="00136E7B" w:rsidRPr="008E7489" w:rsidRDefault="00136E7B" w:rsidP="5F2B6CF0">
      <w:pPr>
        <w:rPr>
          <w:rFonts w:eastAsia="Calibri"/>
          <w:b/>
          <w:bCs/>
          <w:lang w:val="en-GB"/>
        </w:rPr>
      </w:pPr>
      <w:r w:rsidRPr="008E7489">
        <w:rPr>
          <w:rFonts w:eastAsia="Calibri"/>
          <w:b/>
          <w:bCs/>
          <w:lang w:val="en-GB"/>
        </w:rPr>
        <w:t>Table 1: Evolution of ITU-T membership from 31 December 200</w:t>
      </w:r>
      <w:r w:rsidR="663EE720" w:rsidRPr="008E7489">
        <w:rPr>
          <w:rFonts w:eastAsia="Calibri"/>
          <w:b/>
          <w:bCs/>
          <w:lang w:val="en-GB"/>
        </w:rPr>
        <w:t>9</w:t>
      </w:r>
      <w:r w:rsidRPr="008E7489">
        <w:rPr>
          <w:rFonts w:eastAsia="Calibri"/>
          <w:b/>
          <w:bCs/>
          <w:lang w:val="en-GB"/>
        </w:rPr>
        <w:t xml:space="preserve"> to 31 </w:t>
      </w:r>
      <w:r w:rsidR="455E95FE" w:rsidRPr="008E7489">
        <w:rPr>
          <w:rFonts w:eastAsia="Calibri"/>
          <w:b/>
          <w:bCs/>
          <w:lang w:val="en-GB"/>
        </w:rPr>
        <w:t xml:space="preserve">August </w:t>
      </w:r>
      <w:r w:rsidRPr="008E7489">
        <w:rPr>
          <w:rFonts w:eastAsia="Calibri"/>
          <w:b/>
          <w:bCs/>
          <w:lang w:val="en-GB"/>
        </w:rPr>
        <w:t>20</w:t>
      </w:r>
      <w:r w:rsidR="5201CB1B" w:rsidRPr="008E7489">
        <w:rPr>
          <w:rFonts w:eastAsia="Calibri"/>
          <w:b/>
          <w:bCs/>
          <w:lang w:val="en-GB"/>
        </w:rPr>
        <w:t>20</w:t>
      </w:r>
    </w:p>
    <w:p w14:paraId="0720F5FE" w14:textId="77777777" w:rsidR="00136E7B" w:rsidRPr="008E7489" w:rsidRDefault="00136E7B" w:rsidP="5F2B6CF0">
      <w:pPr>
        <w:rPr>
          <w:rFonts w:eastAsia="Calibri"/>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F256BD" w:rsidRPr="008137C7" w14:paraId="582E25B5" w14:textId="77777777" w:rsidTr="00281B31">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689B312" w14:textId="77777777" w:rsidR="00136E7B" w:rsidRPr="008E7489" w:rsidRDefault="00136E7B" w:rsidP="5F2B6CF0">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0B0A45D" w14:textId="77777777" w:rsidR="00136E7B" w:rsidRPr="008E7489" w:rsidRDefault="00136E7B" w:rsidP="5F2B6CF0">
            <w:pPr>
              <w:rPr>
                <w:rFonts w:eastAsia="Calibri"/>
                <w:b/>
                <w:bCs/>
                <w:lang w:val="en-GB"/>
              </w:rPr>
            </w:pPr>
            <w:r w:rsidRPr="008E7489">
              <w:rPr>
                <w:rFonts w:eastAsia="Calibri"/>
                <w:b/>
                <w:bCs/>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9E6CD6" w14:textId="77777777" w:rsidR="00136E7B" w:rsidRPr="008E7489" w:rsidRDefault="00136E7B" w:rsidP="5F2B6CF0">
            <w:pPr>
              <w:rPr>
                <w:rFonts w:eastAsia="Calibri"/>
                <w:b/>
                <w:bCs/>
                <w:lang w:val="en-GB"/>
              </w:rPr>
            </w:pPr>
            <w:r w:rsidRPr="008E7489">
              <w:rPr>
                <w:rFonts w:eastAsia="Calibri"/>
                <w:b/>
                <w:bCs/>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C21A8C" w14:textId="77777777" w:rsidR="00136E7B" w:rsidRPr="008E7489" w:rsidRDefault="00136E7B" w:rsidP="5F2B6CF0">
            <w:pPr>
              <w:rPr>
                <w:rFonts w:eastAsia="Calibri"/>
                <w:b/>
                <w:bCs/>
                <w:lang w:val="en-GB"/>
              </w:rPr>
            </w:pPr>
            <w:r w:rsidRPr="008E7489">
              <w:rPr>
                <w:rFonts w:eastAsia="Calibri"/>
                <w:b/>
                <w:bCs/>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481274E" w14:textId="77777777" w:rsidR="00136E7B" w:rsidRPr="008E7489" w:rsidRDefault="00136E7B" w:rsidP="5F2B6CF0">
            <w:pPr>
              <w:rPr>
                <w:rFonts w:eastAsia="Calibri"/>
                <w:b/>
                <w:bCs/>
                <w:lang w:val="en-GB"/>
              </w:rPr>
            </w:pPr>
            <w:r w:rsidRPr="008E7489">
              <w:rPr>
                <w:rFonts w:eastAsia="Calibri"/>
                <w:b/>
                <w:bCs/>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CDA8E4" w14:textId="77777777" w:rsidR="00136E7B" w:rsidRPr="008E7489" w:rsidRDefault="00136E7B" w:rsidP="5F2B6CF0">
            <w:pPr>
              <w:rPr>
                <w:rFonts w:eastAsia="Calibri"/>
                <w:b/>
                <w:bCs/>
                <w:lang w:val="en-GB"/>
              </w:rPr>
            </w:pPr>
            <w:r w:rsidRPr="008E7489">
              <w:rPr>
                <w:rFonts w:eastAsia="Calibri"/>
                <w:b/>
                <w:bCs/>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1D4E63B" w14:textId="77777777" w:rsidR="00136E7B" w:rsidRPr="008E7489" w:rsidRDefault="00136E7B" w:rsidP="5F2B6CF0">
            <w:pPr>
              <w:rPr>
                <w:rFonts w:eastAsia="Calibri"/>
                <w:b/>
                <w:bCs/>
                <w:lang w:val="en-GB"/>
              </w:rPr>
            </w:pPr>
            <w:r w:rsidRPr="008E7489">
              <w:rPr>
                <w:rFonts w:eastAsia="Calibri"/>
                <w:b/>
                <w:bCs/>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913023" w14:textId="77777777" w:rsidR="00136E7B" w:rsidRPr="008E7489" w:rsidRDefault="00136E7B" w:rsidP="5F2B6CF0">
            <w:pPr>
              <w:rPr>
                <w:rFonts w:eastAsia="Calibri"/>
                <w:b/>
                <w:bCs/>
                <w:lang w:val="en-GB"/>
              </w:rPr>
            </w:pPr>
            <w:r w:rsidRPr="008E7489">
              <w:rPr>
                <w:rFonts w:eastAsia="Calibri"/>
                <w:b/>
                <w:bCs/>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F08C3B" w14:textId="77777777" w:rsidR="00136E7B" w:rsidRPr="008E7489" w:rsidRDefault="00136E7B" w:rsidP="5F2B6CF0">
            <w:pPr>
              <w:rPr>
                <w:rFonts w:eastAsia="Calibri"/>
                <w:b/>
                <w:bCs/>
                <w:lang w:val="en-GB"/>
              </w:rPr>
            </w:pPr>
            <w:r w:rsidRPr="008E7489">
              <w:rPr>
                <w:rFonts w:eastAsia="Calibri"/>
                <w:b/>
                <w:bCs/>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1A405AEC" w14:textId="77777777" w:rsidR="00136E7B" w:rsidRPr="008E7489" w:rsidRDefault="00136E7B" w:rsidP="5F2B6CF0">
            <w:pPr>
              <w:rPr>
                <w:rFonts w:eastAsia="Calibri"/>
                <w:b/>
                <w:bCs/>
                <w:lang w:val="en-GB"/>
              </w:rPr>
            </w:pPr>
            <w:r w:rsidRPr="008E7489">
              <w:rPr>
                <w:rFonts w:eastAsia="Calibri"/>
                <w:b/>
                <w:bCs/>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31ECDF02" w14:textId="77777777" w:rsidR="00136E7B" w:rsidRPr="008E7489" w:rsidRDefault="00136E7B" w:rsidP="5F2B6CF0">
            <w:pPr>
              <w:rPr>
                <w:rFonts w:eastAsia="Calibri"/>
                <w:b/>
                <w:bCs/>
                <w:lang w:val="en-GB"/>
              </w:rPr>
            </w:pPr>
            <w:r w:rsidRPr="008E7489">
              <w:rPr>
                <w:rFonts w:eastAsia="Calibri"/>
                <w:b/>
                <w:bCs/>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734304F" w14:textId="77777777" w:rsidR="00136E7B" w:rsidRPr="008E7489" w:rsidRDefault="00136E7B" w:rsidP="5F2B6CF0">
            <w:pPr>
              <w:rPr>
                <w:rFonts w:eastAsia="Calibri"/>
                <w:b/>
                <w:bCs/>
                <w:lang w:val="en-GB"/>
              </w:rPr>
            </w:pPr>
            <w:r w:rsidRPr="008E7489">
              <w:rPr>
                <w:rFonts w:eastAsia="Calibri"/>
                <w:b/>
                <w:bCs/>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043ECC4" w14:textId="5FF1D28A" w:rsidR="7A075A1F" w:rsidRPr="008E7489" w:rsidRDefault="01B18FC1" w:rsidP="5F2B6CF0">
            <w:pPr>
              <w:rPr>
                <w:rFonts w:eastAsia="Calibri"/>
                <w:b/>
                <w:bCs/>
                <w:lang w:val="en-GB"/>
              </w:rPr>
            </w:pPr>
            <w:r w:rsidRPr="008E7489">
              <w:rPr>
                <w:rFonts w:eastAsia="Calibri"/>
                <w:b/>
                <w:bCs/>
                <w:lang w:val="en-GB"/>
              </w:rPr>
              <w:t>2020</w:t>
            </w:r>
          </w:p>
        </w:tc>
      </w:tr>
      <w:tr w:rsidR="00F256BD" w:rsidRPr="008137C7" w14:paraId="63268304"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D6976E1" w14:textId="77777777" w:rsidR="00136E7B" w:rsidRPr="008E7489" w:rsidRDefault="00136E7B" w:rsidP="5F2B6CF0">
            <w:pPr>
              <w:rPr>
                <w:rFonts w:eastAsia="Calibri"/>
                <w:lang w:val="en-GB"/>
              </w:rPr>
            </w:pPr>
            <w:r w:rsidRPr="008E7489">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7DE4916" w14:textId="1165D4CA" w:rsidR="00136E7B" w:rsidRPr="008E7489" w:rsidRDefault="00136E7B" w:rsidP="5F2B6CF0">
            <w:pPr>
              <w:rPr>
                <w:rFonts w:eastAsia="Calibri"/>
                <w:lang w:val="en-GB"/>
              </w:rPr>
            </w:pPr>
            <w:r w:rsidRPr="008E7489">
              <w:rPr>
                <w:rFonts w:eastAsia="Calibri"/>
                <w:lang w:val="en-GB"/>
              </w:rPr>
              <w:t>29</w:t>
            </w:r>
            <w:r w:rsidR="6F883B1A" w:rsidRPr="008E7489">
              <w:rPr>
                <w:rFonts w:eastAsia="Calibri"/>
                <w:lang w:val="en-GB"/>
              </w:rPr>
              <w:t>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5A6C0C9" w14:textId="18B18850" w:rsidR="00136E7B" w:rsidRPr="008E7489" w:rsidRDefault="00136E7B" w:rsidP="5F2B6CF0">
            <w:pPr>
              <w:rPr>
                <w:rFonts w:eastAsia="Calibri"/>
                <w:lang w:val="en-GB"/>
              </w:rPr>
            </w:pPr>
            <w:r w:rsidRPr="008E7489">
              <w:rPr>
                <w:rFonts w:eastAsia="Calibri"/>
                <w:lang w:val="en-GB"/>
              </w:rPr>
              <w:t>2</w:t>
            </w:r>
            <w:r w:rsidR="0D548F34" w:rsidRPr="008E7489">
              <w:rPr>
                <w:rFonts w:eastAsia="Calibri"/>
                <w:lang w:val="en-GB"/>
              </w:rPr>
              <w:t>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3EB928" w14:textId="6229A3C2" w:rsidR="00136E7B" w:rsidRPr="008E7489" w:rsidRDefault="00136E7B" w:rsidP="5F2B6CF0">
            <w:pPr>
              <w:rPr>
                <w:rFonts w:eastAsia="Calibri"/>
                <w:lang w:val="en-GB"/>
              </w:rPr>
            </w:pPr>
            <w:r w:rsidRPr="008E7489">
              <w:rPr>
                <w:rFonts w:eastAsia="Calibri"/>
                <w:lang w:val="en-GB"/>
              </w:rPr>
              <w:t>2</w:t>
            </w:r>
            <w:r w:rsidR="524D8FD6" w:rsidRPr="008E7489">
              <w:rPr>
                <w:rFonts w:eastAsia="Calibri"/>
                <w:lang w:val="en-GB"/>
              </w:rPr>
              <w:t>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6522113" w14:textId="7E733298" w:rsidR="00136E7B" w:rsidRPr="008E7489" w:rsidRDefault="00136E7B" w:rsidP="5F2B6CF0">
            <w:pPr>
              <w:rPr>
                <w:rFonts w:eastAsia="Calibri"/>
                <w:lang w:val="en-GB"/>
              </w:rPr>
            </w:pPr>
            <w:r w:rsidRPr="008E7489">
              <w:rPr>
                <w:rFonts w:eastAsia="Calibri"/>
                <w:lang w:val="en-GB"/>
              </w:rPr>
              <w:t>2</w:t>
            </w:r>
            <w:r w:rsidR="29BE7DC2" w:rsidRPr="008E7489">
              <w:rPr>
                <w:rFonts w:eastAsia="Calibri"/>
                <w:lang w:val="en-GB"/>
              </w:rPr>
              <w:t>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7CBC552" w14:textId="1FC33715" w:rsidR="00136E7B" w:rsidRPr="008E7489" w:rsidRDefault="00136E7B" w:rsidP="5F2B6CF0">
            <w:pPr>
              <w:rPr>
                <w:rFonts w:eastAsia="Calibri"/>
                <w:lang w:val="en-GB"/>
              </w:rPr>
            </w:pPr>
            <w:r w:rsidRPr="008E7489">
              <w:rPr>
                <w:rFonts w:eastAsia="Calibri"/>
                <w:lang w:val="en-GB"/>
              </w:rPr>
              <w:t>2</w:t>
            </w:r>
            <w:r w:rsidR="5EFFF4C5" w:rsidRPr="008E7489">
              <w:rPr>
                <w:rFonts w:eastAsia="Calibri"/>
                <w:lang w:val="en-GB"/>
              </w:rPr>
              <w:t>7</w:t>
            </w:r>
            <w:r w:rsidRPr="008E7489">
              <w:rPr>
                <w:rFonts w:eastAsia="Calibri"/>
                <w:lang w:val="en-GB"/>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F5DB886" w14:textId="348893E5" w:rsidR="00136E7B" w:rsidRPr="008E7489" w:rsidRDefault="00136E7B" w:rsidP="5F2B6CF0">
            <w:pPr>
              <w:rPr>
                <w:rFonts w:eastAsia="Calibri"/>
                <w:lang w:val="en-GB"/>
              </w:rPr>
            </w:pPr>
            <w:r w:rsidRPr="008E7489">
              <w:rPr>
                <w:rFonts w:eastAsia="Calibri"/>
                <w:lang w:val="en-GB"/>
              </w:rPr>
              <w:t>27</w:t>
            </w:r>
            <w:r w:rsidR="52626C23"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7CCF6F" w14:textId="482EB912" w:rsidR="00136E7B" w:rsidRPr="008E7489" w:rsidRDefault="00136E7B" w:rsidP="5F2B6CF0">
            <w:pPr>
              <w:rPr>
                <w:rFonts w:eastAsia="Calibri"/>
                <w:lang w:val="en-GB"/>
              </w:rPr>
            </w:pPr>
            <w:r w:rsidRPr="008E7489">
              <w:rPr>
                <w:rFonts w:eastAsia="Calibri"/>
                <w:lang w:val="en-GB"/>
              </w:rPr>
              <w:t>26</w:t>
            </w:r>
            <w:r w:rsidR="089EF13B" w:rsidRPr="008E7489">
              <w:rPr>
                <w:rFonts w:eastAsia="Calibri"/>
                <w:lang w:val="en-GB"/>
              </w:rPr>
              <w:t>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2EBEC0" w14:textId="234790F2" w:rsidR="00136E7B" w:rsidRPr="008E7489" w:rsidRDefault="00136E7B" w:rsidP="5F2B6CF0">
            <w:pPr>
              <w:rPr>
                <w:rFonts w:eastAsia="Calibri"/>
                <w:lang w:val="en-GB"/>
              </w:rPr>
            </w:pPr>
            <w:r w:rsidRPr="008E7489">
              <w:rPr>
                <w:rFonts w:eastAsia="Calibri"/>
                <w:lang w:val="en-GB"/>
              </w:rPr>
              <w:t>25</w:t>
            </w:r>
            <w:r w:rsidR="24BFA4FC" w:rsidRPr="008E7489">
              <w:rPr>
                <w:rFonts w:eastAsia="Calibri"/>
                <w:lang w:val="en-GB"/>
              </w:rPr>
              <w:t>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058951B" w14:textId="2C5B8175" w:rsidR="00136E7B" w:rsidRPr="008E7489" w:rsidRDefault="00136E7B" w:rsidP="5F2B6CF0">
            <w:pPr>
              <w:jc w:val="center"/>
              <w:rPr>
                <w:rFonts w:eastAsia="Calibri"/>
                <w:lang w:val="en-GB"/>
              </w:rPr>
            </w:pPr>
            <w:r w:rsidRPr="008E7489">
              <w:rPr>
                <w:rFonts w:eastAsia="Calibri"/>
                <w:lang w:val="en-GB"/>
              </w:rPr>
              <w:t>25</w:t>
            </w:r>
            <w:r w:rsidR="0B7FAC08"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715CFFFA" w14:textId="77777777" w:rsidR="00136E7B" w:rsidRPr="008E7489" w:rsidRDefault="00136E7B" w:rsidP="5F2B6CF0">
            <w:pPr>
              <w:jc w:val="center"/>
              <w:rPr>
                <w:rFonts w:eastAsia="Calibri"/>
                <w:lang w:val="en-GB"/>
              </w:rPr>
            </w:pPr>
            <w:r w:rsidRPr="008E7489">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17D50B7D" w14:textId="77777777" w:rsidR="00136E7B" w:rsidRPr="008E7489" w:rsidRDefault="00136E7B" w:rsidP="5F2B6CF0">
            <w:pPr>
              <w:jc w:val="center"/>
              <w:rPr>
                <w:rFonts w:eastAsia="Calibri"/>
                <w:lang w:val="en-GB"/>
              </w:rPr>
            </w:pPr>
            <w:r w:rsidRPr="008E7489">
              <w:rPr>
                <w:rFonts w:eastAsia="Calibri"/>
                <w:lang w:val="en-GB"/>
              </w:rPr>
              <w:t>268</w:t>
            </w:r>
          </w:p>
        </w:tc>
        <w:tc>
          <w:tcPr>
            <w:tcW w:w="630" w:type="dxa"/>
            <w:tcBorders>
              <w:top w:val="nil"/>
              <w:left w:val="single" w:sz="4" w:space="0" w:color="auto"/>
              <w:bottom w:val="single" w:sz="8" w:space="0" w:color="auto"/>
              <w:right w:val="single" w:sz="12" w:space="0" w:color="auto"/>
            </w:tcBorders>
          </w:tcPr>
          <w:p w14:paraId="50ED7D01" w14:textId="575CB858" w:rsidR="13C8D3E6" w:rsidRPr="008E7489" w:rsidRDefault="1EC0CB84" w:rsidP="5F2B6CF0">
            <w:pPr>
              <w:jc w:val="center"/>
              <w:rPr>
                <w:rFonts w:eastAsia="Calibri"/>
                <w:lang w:val="en-GB"/>
              </w:rPr>
            </w:pPr>
            <w:r w:rsidRPr="008E7489">
              <w:rPr>
                <w:rFonts w:eastAsia="Calibri"/>
                <w:lang w:val="en-GB"/>
              </w:rPr>
              <w:t>271</w:t>
            </w:r>
          </w:p>
        </w:tc>
      </w:tr>
      <w:tr w:rsidR="00F256BD" w:rsidRPr="008137C7" w14:paraId="2E5551FD"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77D0AAA" w14:textId="77777777" w:rsidR="00136E7B" w:rsidRPr="008E7489" w:rsidRDefault="00136E7B" w:rsidP="5F2B6CF0">
            <w:pPr>
              <w:rPr>
                <w:rFonts w:eastAsia="Calibri"/>
                <w:lang w:val="en-GB"/>
              </w:rPr>
            </w:pPr>
            <w:r w:rsidRPr="008E7489">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97D783" w14:textId="42188A9C" w:rsidR="00136E7B" w:rsidRPr="008E7489" w:rsidRDefault="00136E7B" w:rsidP="5F2B6CF0">
            <w:pPr>
              <w:rPr>
                <w:rFonts w:eastAsia="Calibri"/>
                <w:lang w:val="en-GB"/>
              </w:rPr>
            </w:pPr>
            <w:r w:rsidRPr="008E7489">
              <w:rPr>
                <w:rFonts w:eastAsia="Calibri"/>
                <w:lang w:val="en-GB"/>
              </w:rPr>
              <w:t>1</w:t>
            </w:r>
            <w:r w:rsidR="441D6DF1" w:rsidRPr="008E7489">
              <w:rPr>
                <w:rFonts w:eastAsia="Calibri"/>
                <w:lang w:val="en-GB"/>
              </w:rPr>
              <w:t>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033B2C2" w14:textId="5A7D79D2" w:rsidR="00136E7B" w:rsidRPr="008E7489" w:rsidRDefault="00136E7B" w:rsidP="5F2B6CF0">
            <w:pPr>
              <w:rPr>
                <w:rFonts w:eastAsia="Calibri"/>
                <w:lang w:val="en-GB"/>
              </w:rPr>
            </w:pPr>
            <w:r w:rsidRPr="008E7489">
              <w:rPr>
                <w:rFonts w:eastAsia="Calibri"/>
                <w:lang w:val="en-GB"/>
              </w:rPr>
              <w:t>1</w:t>
            </w:r>
            <w:r w:rsidR="13B431FD" w:rsidRPr="008E7489">
              <w:rPr>
                <w:rFonts w:eastAsia="Calibri"/>
                <w:lang w:val="en-GB"/>
              </w:rPr>
              <w:t>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A5D5AD2" w14:textId="73CA082A" w:rsidR="00136E7B" w:rsidRPr="008E7489" w:rsidRDefault="00136E7B" w:rsidP="5F2B6CF0">
            <w:pPr>
              <w:rPr>
                <w:rFonts w:eastAsia="Calibri"/>
                <w:lang w:val="en-GB"/>
              </w:rPr>
            </w:pPr>
            <w:r w:rsidRPr="008E7489">
              <w:rPr>
                <w:rFonts w:eastAsia="Calibri"/>
                <w:lang w:val="en-GB"/>
              </w:rPr>
              <w:t>1</w:t>
            </w:r>
            <w:r w:rsidR="774D66D6" w:rsidRPr="008E7489">
              <w:rPr>
                <w:rFonts w:eastAsia="Calibri"/>
                <w:lang w:val="en-GB"/>
              </w:rPr>
              <w:t>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A7219C9" w14:textId="34423F62" w:rsidR="00136E7B" w:rsidRPr="008E7489" w:rsidRDefault="00136E7B" w:rsidP="5F2B6CF0">
            <w:pPr>
              <w:rPr>
                <w:rFonts w:eastAsia="Calibri"/>
                <w:lang w:val="en-GB"/>
              </w:rPr>
            </w:pPr>
            <w:r w:rsidRPr="008E7489">
              <w:rPr>
                <w:rFonts w:eastAsia="Calibri"/>
                <w:lang w:val="en-GB"/>
              </w:rPr>
              <w:t>1</w:t>
            </w:r>
            <w:r w:rsidR="1DD5C693" w:rsidRPr="008E7489">
              <w:rPr>
                <w:rFonts w:eastAsia="Calibri"/>
                <w:lang w:val="en-GB"/>
              </w:rPr>
              <w:t>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65400AD" w14:textId="2C1299E5" w:rsidR="00136E7B" w:rsidRPr="008E7489" w:rsidRDefault="00136E7B" w:rsidP="5F2B6CF0">
            <w:pPr>
              <w:rPr>
                <w:rFonts w:eastAsia="Calibri"/>
                <w:lang w:val="en-GB"/>
              </w:rPr>
            </w:pPr>
            <w:r w:rsidRPr="008E7489">
              <w:rPr>
                <w:rFonts w:eastAsia="Calibri"/>
                <w:lang w:val="en-GB"/>
              </w:rPr>
              <w:t>13</w:t>
            </w:r>
            <w:r w:rsidR="686B6970" w:rsidRPr="008E7489">
              <w:rPr>
                <w:rFonts w:eastAsia="Calibri"/>
                <w:lang w:val="en-GB"/>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FAA995B" w14:textId="35808E66" w:rsidR="00136E7B" w:rsidRPr="008E7489" w:rsidRDefault="00136E7B" w:rsidP="5F2B6CF0">
            <w:pPr>
              <w:rPr>
                <w:rFonts w:eastAsia="Calibri"/>
                <w:lang w:val="en-GB"/>
              </w:rPr>
            </w:pPr>
            <w:r w:rsidRPr="008E7489">
              <w:rPr>
                <w:rFonts w:eastAsia="Calibri"/>
                <w:lang w:val="en-GB"/>
              </w:rPr>
              <w:t>13</w:t>
            </w:r>
            <w:r w:rsidR="14060AAA"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ECA0DDA" w14:textId="52E38E23" w:rsidR="00136E7B" w:rsidRPr="008E7489" w:rsidRDefault="00136E7B" w:rsidP="5F2B6CF0">
            <w:pPr>
              <w:rPr>
                <w:rFonts w:eastAsia="Calibri"/>
                <w:lang w:val="en-GB"/>
              </w:rPr>
            </w:pPr>
            <w:r w:rsidRPr="008E7489">
              <w:rPr>
                <w:rFonts w:eastAsia="Calibri"/>
                <w:lang w:val="en-GB"/>
              </w:rPr>
              <w:t>1</w:t>
            </w:r>
            <w:r w:rsidR="67D3935D" w:rsidRPr="008E7489">
              <w:rPr>
                <w:rFonts w:eastAsia="Calibri"/>
                <w:lang w:val="en-GB"/>
              </w:rPr>
              <w:t>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8823D35" w14:textId="2EDB1809" w:rsidR="00136E7B" w:rsidRPr="008E7489" w:rsidRDefault="00136E7B" w:rsidP="5F2B6CF0">
            <w:pPr>
              <w:rPr>
                <w:rFonts w:eastAsia="Calibri"/>
                <w:lang w:val="en-GB"/>
              </w:rPr>
            </w:pPr>
            <w:r w:rsidRPr="008E7489">
              <w:rPr>
                <w:rFonts w:eastAsia="Calibri"/>
                <w:lang w:val="en-GB"/>
              </w:rPr>
              <w:t>1</w:t>
            </w:r>
            <w:r w:rsidR="217AC98B" w:rsidRPr="008E7489">
              <w:rPr>
                <w:rFonts w:eastAsia="Calibri"/>
                <w:lang w:val="en-GB"/>
              </w:rPr>
              <w:t>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773125D" w14:textId="38D5A8DF" w:rsidR="00136E7B" w:rsidRPr="008E7489" w:rsidRDefault="00136E7B" w:rsidP="5F2B6CF0">
            <w:pPr>
              <w:jc w:val="center"/>
              <w:rPr>
                <w:rFonts w:eastAsia="Calibri"/>
                <w:lang w:val="en-GB"/>
              </w:rPr>
            </w:pPr>
            <w:r w:rsidRPr="008E7489">
              <w:rPr>
                <w:rFonts w:eastAsia="Calibri"/>
                <w:lang w:val="en-GB"/>
              </w:rPr>
              <w:t>13</w:t>
            </w:r>
            <w:r w:rsidR="38B5055B"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44945A25" w14:textId="77777777" w:rsidR="00136E7B" w:rsidRPr="008E7489" w:rsidRDefault="00136E7B" w:rsidP="5F2B6CF0">
            <w:pPr>
              <w:jc w:val="center"/>
              <w:rPr>
                <w:rFonts w:eastAsia="Calibri"/>
                <w:lang w:val="en-GB"/>
              </w:rPr>
            </w:pPr>
            <w:r w:rsidRPr="008E7489">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0A53078D" w14:textId="77777777" w:rsidR="00136E7B" w:rsidRPr="008E7489" w:rsidRDefault="00136E7B" w:rsidP="5F2B6CF0">
            <w:pPr>
              <w:jc w:val="center"/>
              <w:rPr>
                <w:rFonts w:eastAsia="Calibri"/>
                <w:lang w:val="en-GB"/>
              </w:rPr>
            </w:pPr>
            <w:r w:rsidRPr="008E7489">
              <w:rPr>
                <w:rFonts w:eastAsia="Calibri"/>
                <w:lang w:val="en-GB"/>
              </w:rPr>
              <w:t>184</w:t>
            </w:r>
          </w:p>
        </w:tc>
        <w:tc>
          <w:tcPr>
            <w:tcW w:w="630" w:type="dxa"/>
            <w:tcBorders>
              <w:top w:val="nil"/>
              <w:left w:val="single" w:sz="4" w:space="0" w:color="auto"/>
              <w:bottom w:val="single" w:sz="8" w:space="0" w:color="auto"/>
              <w:right w:val="single" w:sz="12" w:space="0" w:color="auto"/>
            </w:tcBorders>
          </w:tcPr>
          <w:p w14:paraId="6179A301" w14:textId="4E46ACB4" w:rsidR="433D511A" w:rsidRPr="008E7489" w:rsidRDefault="5D2DAE72" w:rsidP="5F2B6CF0">
            <w:pPr>
              <w:jc w:val="center"/>
              <w:rPr>
                <w:rFonts w:eastAsia="Calibri"/>
                <w:lang w:val="en-GB"/>
              </w:rPr>
            </w:pPr>
            <w:r w:rsidRPr="008E7489">
              <w:rPr>
                <w:rFonts w:eastAsia="Calibri"/>
                <w:lang w:val="en-GB"/>
              </w:rPr>
              <w:t>199</w:t>
            </w:r>
          </w:p>
        </w:tc>
      </w:tr>
      <w:tr w:rsidR="00F256BD" w:rsidRPr="008137C7" w14:paraId="3F0CEBAC"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A371F5E" w14:textId="77777777" w:rsidR="00136E7B" w:rsidRPr="008E7489" w:rsidRDefault="00136E7B" w:rsidP="5F2B6CF0">
            <w:pPr>
              <w:rPr>
                <w:rFonts w:eastAsia="Calibri"/>
                <w:lang w:val="en-GB"/>
              </w:rPr>
            </w:pPr>
            <w:r w:rsidRPr="008E7489">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3D2DD8" w14:textId="77777777" w:rsidR="00136E7B" w:rsidRPr="00281B31" w:rsidRDefault="00136E7B" w:rsidP="5F2B6CF0">
            <w:pPr>
              <w:rPr>
                <w:rFonts w:eastAsia="Calibri"/>
                <w:lang w:val="en-GB"/>
              </w:rPr>
            </w:pPr>
            <w:r w:rsidRPr="00281B31">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147475" w14:textId="77777777" w:rsidR="00136E7B" w:rsidRPr="00281B31" w:rsidRDefault="00136E7B" w:rsidP="5F2B6CF0">
            <w:pPr>
              <w:rPr>
                <w:rFonts w:eastAsia="Calibri"/>
                <w:lang w:val="en-GB"/>
              </w:rPr>
            </w:pPr>
            <w:r w:rsidRPr="00281B31">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BC4A729" w14:textId="75C53A71" w:rsidR="00136E7B" w:rsidRPr="008E7489" w:rsidRDefault="00136E7B" w:rsidP="5F2B6CF0">
            <w:pPr>
              <w:rPr>
                <w:rFonts w:eastAsia="Calibri"/>
                <w:lang w:val="en-GB"/>
              </w:rPr>
            </w:pPr>
            <w:r w:rsidRPr="008E7489">
              <w:rPr>
                <w:rFonts w:eastAsia="Calibri"/>
                <w:lang w:val="en-GB"/>
              </w:rPr>
              <w:t>2</w:t>
            </w:r>
            <w:r w:rsidR="20DAD7DE" w:rsidRPr="008E7489">
              <w:rPr>
                <w:rFonts w:eastAsia="Calibri"/>
                <w:lang w:val="en-GB"/>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4DB713" w14:textId="3ECFDDE6" w:rsidR="00136E7B" w:rsidRPr="008E7489" w:rsidRDefault="572C8EDC" w:rsidP="5F2B6CF0">
            <w:pPr>
              <w:rPr>
                <w:rFonts w:eastAsia="Calibri"/>
                <w:lang w:val="en-GB"/>
              </w:rPr>
            </w:pPr>
            <w:r w:rsidRPr="008E7489">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A750BF4" w14:textId="1F6AA648" w:rsidR="00136E7B" w:rsidRPr="008E7489" w:rsidRDefault="62273516" w:rsidP="5F2B6CF0">
            <w:pPr>
              <w:rPr>
                <w:rFonts w:eastAsia="Calibri"/>
                <w:lang w:val="en-GB"/>
              </w:rPr>
            </w:pPr>
            <w:r w:rsidRPr="008E7489">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583E06" w14:textId="570E284C" w:rsidR="00136E7B" w:rsidRPr="008E7489" w:rsidRDefault="1800C95A" w:rsidP="5F2B6CF0">
            <w:pPr>
              <w:rPr>
                <w:rFonts w:eastAsia="Calibri"/>
                <w:lang w:val="en-GB"/>
              </w:rPr>
            </w:pPr>
            <w:r w:rsidRPr="008E7489">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F50305E" w14:textId="78EBE272" w:rsidR="00136E7B" w:rsidRPr="008E7489" w:rsidRDefault="19438A62" w:rsidP="5F2B6CF0">
            <w:pPr>
              <w:rPr>
                <w:rFonts w:eastAsia="Calibri"/>
                <w:lang w:val="en-GB"/>
              </w:rPr>
            </w:pPr>
            <w:r w:rsidRPr="008E7489">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5C44DD" w14:textId="77777777" w:rsidR="00136E7B" w:rsidRPr="008E7489" w:rsidRDefault="00136E7B" w:rsidP="5F2B6CF0">
            <w:pPr>
              <w:rPr>
                <w:rFonts w:eastAsia="Calibri"/>
                <w:lang w:val="en-GB"/>
              </w:rPr>
            </w:pPr>
            <w:r w:rsidRPr="008E7489">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8CAAD67" w14:textId="6A47F6AF" w:rsidR="00136E7B" w:rsidRPr="008E7489" w:rsidRDefault="00136E7B" w:rsidP="5F2B6CF0">
            <w:pPr>
              <w:jc w:val="center"/>
              <w:rPr>
                <w:rFonts w:eastAsia="Calibri"/>
                <w:lang w:val="en-GB"/>
              </w:rPr>
            </w:pPr>
            <w:r w:rsidRPr="008E7489">
              <w:rPr>
                <w:rFonts w:eastAsia="Calibri"/>
                <w:lang w:val="en-GB"/>
              </w:rPr>
              <w:t>12</w:t>
            </w:r>
            <w:r w:rsidR="1BA137C6" w:rsidRPr="008E7489">
              <w:rPr>
                <w:rFonts w:eastAsia="Calibri"/>
                <w:lang w:val="en-GB"/>
              </w:rPr>
              <w:t>4</w:t>
            </w:r>
          </w:p>
        </w:tc>
        <w:tc>
          <w:tcPr>
            <w:tcW w:w="600" w:type="dxa"/>
            <w:tcBorders>
              <w:top w:val="nil"/>
              <w:left w:val="single" w:sz="4" w:space="0" w:color="auto"/>
              <w:bottom w:val="single" w:sz="8" w:space="0" w:color="auto"/>
              <w:right w:val="single" w:sz="4" w:space="0" w:color="auto"/>
            </w:tcBorders>
            <w:hideMark/>
          </w:tcPr>
          <w:p w14:paraId="326AF719" w14:textId="7CC33652" w:rsidR="00136E7B" w:rsidRPr="008E7489" w:rsidRDefault="00136E7B" w:rsidP="5F2B6CF0">
            <w:pPr>
              <w:jc w:val="center"/>
              <w:rPr>
                <w:rFonts w:eastAsia="Calibri"/>
                <w:lang w:val="en-GB"/>
              </w:rPr>
            </w:pPr>
            <w:r w:rsidRPr="008E7489">
              <w:rPr>
                <w:rFonts w:eastAsia="Calibri"/>
                <w:lang w:val="en-GB"/>
              </w:rPr>
              <w:t>15</w:t>
            </w:r>
            <w:r w:rsidR="7B8A6965" w:rsidRPr="008E7489">
              <w:rPr>
                <w:rFonts w:eastAsia="Calibri"/>
                <w:lang w:val="en-GB"/>
              </w:rPr>
              <w:t>3</w:t>
            </w:r>
          </w:p>
        </w:tc>
        <w:tc>
          <w:tcPr>
            <w:tcW w:w="645" w:type="dxa"/>
            <w:tcBorders>
              <w:top w:val="nil"/>
              <w:left w:val="single" w:sz="4" w:space="0" w:color="auto"/>
              <w:bottom w:val="single" w:sz="8" w:space="0" w:color="auto"/>
              <w:right w:val="single" w:sz="4" w:space="0" w:color="auto"/>
            </w:tcBorders>
            <w:hideMark/>
          </w:tcPr>
          <w:p w14:paraId="4C965A24" w14:textId="77777777" w:rsidR="00136E7B" w:rsidRPr="008E7489" w:rsidRDefault="00136E7B" w:rsidP="5F2B6CF0">
            <w:pPr>
              <w:jc w:val="center"/>
              <w:rPr>
                <w:rFonts w:eastAsia="Calibri"/>
                <w:lang w:val="en-GB"/>
              </w:rPr>
            </w:pPr>
            <w:r w:rsidRPr="008E7489">
              <w:rPr>
                <w:rFonts w:eastAsia="Calibri"/>
                <w:lang w:val="en-GB"/>
              </w:rPr>
              <w:t>163</w:t>
            </w:r>
          </w:p>
        </w:tc>
        <w:tc>
          <w:tcPr>
            <w:tcW w:w="630" w:type="dxa"/>
            <w:tcBorders>
              <w:top w:val="nil"/>
              <w:left w:val="single" w:sz="4" w:space="0" w:color="auto"/>
              <w:bottom w:val="single" w:sz="8" w:space="0" w:color="auto"/>
              <w:right w:val="single" w:sz="12" w:space="0" w:color="auto"/>
            </w:tcBorders>
          </w:tcPr>
          <w:p w14:paraId="05EED167" w14:textId="5AA0DCAC" w:rsidR="654F2C5A" w:rsidRPr="008E7489" w:rsidRDefault="5DFD58E8" w:rsidP="5F2B6CF0">
            <w:pPr>
              <w:jc w:val="center"/>
              <w:rPr>
                <w:rFonts w:eastAsia="Calibri"/>
                <w:lang w:val="en-GB"/>
              </w:rPr>
            </w:pPr>
            <w:r w:rsidRPr="008E7489">
              <w:rPr>
                <w:rFonts w:eastAsia="Calibri"/>
                <w:lang w:val="en-GB"/>
              </w:rPr>
              <w:t>162</w:t>
            </w:r>
          </w:p>
        </w:tc>
      </w:tr>
      <w:tr w:rsidR="00F256BD" w:rsidRPr="008137C7" w14:paraId="33465576" w14:textId="77777777" w:rsidTr="00281B31">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BA0218" w14:textId="0F64F204" w:rsidR="00136E7B" w:rsidRPr="00F256BD" w:rsidRDefault="00136E7B" w:rsidP="5F2B6CF0">
            <w:pPr>
              <w:rPr>
                <w:rFonts w:eastAsia="Calibri"/>
                <w:lang w:val="en-GB"/>
              </w:rPr>
            </w:pPr>
            <w:r w:rsidRPr="00F256BD">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4DB101" w14:textId="60973562" w:rsidR="00136E7B" w:rsidRPr="00F256BD" w:rsidRDefault="6688B6EC" w:rsidP="5F2B6CF0">
            <w:pPr>
              <w:rPr>
                <w:rFonts w:eastAsia="Calibri"/>
                <w:lang w:val="en-GB"/>
              </w:rPr>
            </w:pPr>
            <w:r w:rsidRPr="00F256BD">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218C4496" w14:textId="09051AE1" w:rsidR="00136E7B" w:rsidRPr="00F256BD" w:rsidRDefault="00136E7B" w:rsidP="5F2B6CF0">
            <w:pPr>
              <w:rPr>
                <w:rFonts w:eastAsia="Calibri"/>
                <w:lang w:val="en-GB"/>
              </w:rPr>
            </w:pPr>
            <w:r w:rsidRPr="00F256BD">
              <w:rPr>
                <w:rFonts w:eastAsia="Calibri"/>
                <w:lang w:val="en-GB"/>
              </w:rPr>
              <w:t>3</w:t>
            </w:r>
            <w:r w:rsidR="482D85F1" w:rsidRPr="00F256BD">
              <w:rPr>
                <w:rFonts w:eastAsia="Calibri"/>
                <w:lang w:val="en-GB"/>
              </w:rPr>
              <w:t>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D300470" w14:textId="4E04601F" w:rsidR="00136E7B" w:rsidRPr="00F256BD" w:rsidRDefault="00136E7B" w:rsidP="5F2B6CF0">
            <w:pPr>
              <w:rPr>
                <w:rFonts w:eastAsia="Calibri"/>
                <w:lang w:val="en-GB"/>
              </w:rPr>
            </w:pPr>
            <w:r w:rsidRPr="00F256BD">
              <w:rPr>
                <w:rFonts w:eastAsia="Calibri"/>
                <w:lang w:val="en-GB"/>
              </w:rPr>
              <w:t>4</w:t>
            </w:r>
            <w:r w:rsidR="36082AB4" w:rsidRPr="00F256BD">
              <w:rPr>
                <w:rFonts w:eastAsia="Calibri"/>
                <w:lang w:val="en-GB"/>
              </w:rPr>
              <w:t>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626FD46" w14:textId="6B1E375C" w:rsidR="00136E7B" w:rsidRPr="00F256BD" w:rsidRDefault="00136E7B" w:rsidP="5F2B6CF0">
            <w:pPr>
              <w:rPr>
                <w:rFonts w:eastAsia="Calibri"/>
                <w:lang w:val="en-GB"/>
              </w:rPr>
            </w:pPr>
            <w:r w:rsidRPr="00F256BD">
              <w:rPr>
                <w:rFonts w:eastAsia="Calibri"/>
                <w:lang w:val="en-GB"/>
              </w:rPr>
              <w:t>4</w:t>
            </w:r>
            <w:r w:rsidR="148E6F85" w:rsidRPr="00F256BD">
              <w:rPr>
                <w:rFonts w:eastAsia="Calibri"/>
                <w:lang w:val="en-GB"/>
              </w:rPr>
              <w:t>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30CF564D" w14:textId="73E57018" w:rsidR="00136E7B" w:rsidRPr="00F256BD" w:rsidRDefault="7E400061" w:rsidP="5F2B6CF0">
            <w:pPr>
              <w:rPr>
                <w:rFonts w:eastAsia="Calibri"/>
                <w:lang w:val="en-GB"/>
              </w:rPr>
            </w:pPr>
            <w:r w:rsidRPr="00F256BD">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D2E82B8" w14:textId="6E188F8B" w:rsidR="00136E7B" w:rsidRPr="00F256BD" w:rsidRDefault="4ACE4CA2" w:rsidP="5F2B6CF0">
            <w:pPr>
              <w:rPr>
                <w:rFonts w:eastAsia="Calibri"/>
                <w:lang w:val="en-GB"/>
              </w:rPr>
            </w:pPr>
            <w:r w:rsidRPr="00F256BD">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C598FE8" w14:textId="7D2BC127" w:rsidR="00136E7B" w:rsidRPr="00F256BD" w:rsidRDefault="4ACE4CA2" w:rsidP="5F2B6CF0">
            <w:pPr>
              <w:rPr>
                <w:rFonts w:eastAsia="Calibri"/>
                <w:lang w:val="en-GB"/>
              </w:rPr>
            </w:pPr>
            <w:r w:rsidRPr="00F256BD">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2F28090" w14:textId="57EE6778" w:rsidR="00136E7B" w:rsidRPr="00F256BD" w:rsidRDefault="00136E7B" w:rsidP="5F2B6CF0">
            <w:pPr>
              <w:rPr>
                <w:rFonts w:eastAsia="Calibri"/>
                <w:lang w:val="en-GB"/>
              </w:rPr>
            </w:pPr>
            <w:r w:rsidRPr="00F256BD">
              <w:rPr>
                <w:rFonts w:eastAsia="Calibri"/>
                <w:lang w:val="en-GB"/>
              </w:rPr>
              <w:t>4</w:t>
            </w:r>
            <w:r w:rsidR="1C33A6BA" w:rsidRPr="00F256BD">
              <w:rPr>
                <w:rFonts w:eastAsia="Calibri"/>
                <w:lang w:val="en-GB"/>
              </w:rPr>
              <w:t>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C3AE084" w14:textId="359188D0" w:rsidR="00136E7B" w:rsidRPr="00F256BD" w:rsidRDefault="00136E7B" w:rsidP="5F2B6CF0">
            <w:pPr>
              <w:jc w:val="center"/>
              <w:rPr>
                <w:rFonts w:eastAsia="Calibri"/>
                <w:lang w:val="en-GB"/>
              </w:rPr>
            </w:pPr>
            <w:r w:rsidRPr="00F256BD">
              <w:rPr>
                <w:rFonts w:eastAsia="Calibri"/>
                <w:lang w:val="en-GB"/>
              </w:rPr>
              <w:t>5</w:t>
            </w:r>
            <w:r w:rsidR="229EECD7" w:rsidRPr="00F256BD">
              <w:rPr>
                <w:rFonts w:eastAsia="Calibri"/>
                <w:lang w:val="en-GB"/>
              </w:rPr>
              <w:t>1</w:t>
            </w:r>
            <w:r w:rsidR="2ED8E249" w:rsidRPr="00F256BD">
              <w:rPr>
                <w:rFonts w:eastAsia="Calibri"/>
                <w:lang w:val="en-GB"/>
              </w:rPr>
              <w:t>8</w:t>
            </w:r>
          </w:p>
        </w:tc>
        <w:tc>
          <w:tcPr>
            <w:tcW w:w="600" w:type="dxa"/>
            <w:tcBorders>
              <w:top w:val="nil"/>
              <w:left w:val="single" w:sz="4" w:space="0" w:color="auto"/>
              <w:bottom w:val="single" w:sz="12" w:space="0" w:color="auto"/>
              <w:right w:val="single" w:sz="4" w:space="0" w:color="auto"/>
            </w:tcBorders>
            <w:hideMark/>
          </w:tcPr>
          <w:p w14:paraId="19C3F761" w14:textId="2129F8E0" w:rsidR="00136E7B" w:rsidRPr="00F256BD" w:rsidRDefault="00136E7B" w:rsidP="5F2B6CF0">
            <w:pPr>
              <w:jc w:val="center"/>
              <w:rPr>
                <w:rFonts w:eastAsia="Calibri"/>
                <w:lang w:val="en-GB"/>
              </w:rPr>
            </w:pPr>
            <w:r w:rsidRPr="00F256BD">
              <w:rPr>
                <w:rFonts w:eastAsia="Calibri"/>
                <w:lang w:val="en-GB"/>
              </w:rPr>
              <w:t>56</w:t>
            </w:r>
            <w:r w:rsidR="1CE7F1E7" w:rsidRPr="00F256BD">
              <w:rPr>
                <w:rFonts w:eastAsia="Calibri"/>
                <w:lang w:val="en-GB"/>
              </w:rPr>
              <w:t>7</w:t>
            </w:r>
          </w:p>
        </w:tc>
        <w:tc>
          <w:tcPr>
            <w:tcW w:w="645" w:type="dxa"/>
            <w:tcBorders>
              <w:top w:val="nil"/>
              <w:left w:val="single" w:sz="4" w:space="0" w:color="auto"/>
              <w:bottom w:val="single" w:sz="12" w:space="0" w:color="auto"/>
              <w:right w:val="single" w:sz="4" w:space="0" w:color="auto"/>
            </w:tcBorders>
            <w:hideMark/>
          </w:tcPr>
          <w:p w14:paraId="0DF60C66" w14:textId="77777777" w:rsidR="00136E7B" w:rsidRPr="00F256BD" w:rsidRDefault="00136E7B" w:rsidP="5F2B6CF0">
            <w:pPr>
              <w:jc w:val="center"/>
              <w:rPr>
                <w:rFonts w:eastAsia="Calibri"/>
                <w:lang w:val="en-GB"/>
              </w:rPr>
            </w:pPr>
            <w:r w:rsidRPr="00F256BD">
              <w:rPr>
                <w:rFonts w:eastAsia="Calibri"/>
                <w:lang w:val="en-GB"/>
              </w:rPr>
              <w:t>615</w:t>
            </w:r>
          </w:p>
        </w:tc>
        <w:tc>
          <w:tcPr>
            <w:tcW w:w="630" w:type="dxa"/>
            <w:tcBorders>
              <w:top w:val="nil"/>
              <w:left w:val="single" w:sz="4" w:space="0" w:color="auto"/>
              <w:bottom w:val="single" w:sz="12" w:space="0" w:color="auto"/>
              <w:right w:val="single" w:sz="12" w:space="0" w:color="auto"/>
            </w:tcBorders>
          </w:tcPr>
          <w:p w14:paraId="428DE1E8" w14:textId="37B1FFDB" w:rsidR="478E0C16" w:rsidRPr="00F256BD" w:rsidRDefault="7B48A806" w:rsidP="5F2B6CF0">
            <w:pPr>
              <w:jc w:val="center"/>
              <w:rPr>
                <w:rFonts w:eastAsia="Calibri"/>
                <w:lang w:val="en-GB"/>
              </w:rPr>
            </w:pPr>
            <w:r w:rsidRPr="00F256BD">
              <w:rPr>
                <w:rFonts w:eastAsia="Calibri"/>
                <w:lang w:val="en-GB"/>
              </w:rPr>
              <w:t>632</w:t>
            </w:r>
          </w:p>
        </w:tc>
      </w:tr>
    </w:tbl>
    <w:p w14:paraId="2C495062" w14:textId="77777777" w:rsidR="00136E7B" w:rsidRPr="00F256BD" w:rsidRDefault="00136E7B" w:rsidP="5F2B6CF0">
      <w:pPr>
        <w:rPr>
          <w:rFonts w:eastAsia="Calibri"/>
          <w:lang w:val="en-GB"/>
        </w:rPr>
      </w:pPr>
      <w:r w:rsidRPr="00F256BD">
        <w:rPr>
          <w:rFonts w:eastAsia="Calibri"/>
          <w:lang w:val="en-GB"/>
        </w:rPr>
        <w:t>NOTE – Some of the figures in the table above have been subject to retroactive changes</w:t>
      </w:r>
    </w:p>
    <w:p w14:paraId="139D8224" w14:textId="77777777" w:rsidR="00136E7B" w:rsidRPr="00F256BD" w:rsidRDefault="00136E7B" w:rsidP="5F2B6CF0">
      <w:pPr>
        <w:rPr>
          <w:rFonts w:eastAsia="Calibri"/>
          <w:lang w:val="en-GB"/>
        </w:rPr>
      </w:pPr>
    </w:p>
    <w:p w14:paraId="1C965DF2" w14:textId="129F1C2B" w:rsidR="00136E7B" w:rsidRPr="00F256BD" w:rsidRDefault="00136E7B" w:rsidP="5F2B6CF0">
      <w:pPr>
        <w:jc w:val="center"/>
        <w:rPr>
          <w:rFonts w:eastAsia="Calibri"/>
          <w:b/>
          <w:bCs/>
          <w:lang w:val="en-GB"/>
        </w:rPr>
      </w:pPr>
      <w:r w:rsidRPr="00F256BD">
        <w:rPr>
          <w:rFonts w:eastAsia="Calibri"/>
          <w:b/>
          <w:bCs/>
          <w:lang w:val="en-GB"/>
        </w:rPr>
        <w:t>Figure 3 – Evolution of ITU-T membership from 31 December 200</w:t>
      </w:r>
      <w:r w:rsidR="17E83D2A" w:rsidRPr="00F256BD">
        <w:rPr>
          <w:rFonts w:eastAsia="Calibri"/>
          <w:b/>
          <w:bCs/>
          <w:lang w:val="en-GB"/>
        </w:rPr>
        <w:t>9</w:t>
      </w:r>
      <w:r w:rsidRPr="00F256BD">
        <w:rPr>
          <w:rFonts w:eastAsia="Calibri"/>
          <w:b/>
          <w:bCs/>
          <w:lang w:val="en-GB"/>
        </w:rPr>
        <w:t xml:space="preserve"> to 31 </w:t>
      </w:r>
      <w:r w:rsidR="2C8CFF9D" w:rsidRPr="00F256BD">
        <w:rPr>
          <w:rFonts w:eastAsia="Calibri"/>
          <w:b/>
          <w:bCs/>
          <w:lang w:val="en-GB"/>
        </w:rPr>
        <w:t>August 2020</w:t>
      </w:r>
    </w:p>
    <w:p w14:paraId="16F5167E" w14:textId="0844F1D9" w:rsidR="130B18DC" w:rsidRDefault="33B95C73" w:rsidP="00F256BD">
      <w:pPr>
        <w:spacing w:line="259" w:lineRule="auto"/>
        <w:jc w:val="center"/>
      </w:pPr>
      <w:r>
        <w:rPr>
          <w:noProof/>
        </w:rPr>
        <w:drawing>
          <wp:inline distT="0" distB="0" distL="0" distR="0" wp14:anchorId="40AAD33A" wp14:editId="3ABABC08">
            <wp:extent cx="4533900" cy="2873925"/>
            <wp:effectExtent l="0" t="0" r="0" b="0"/>
            <wp:docPr id="934338933" name="Picture 9343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extLst>
                        <a:ext uri="{28A0092B-C50C-407E-A947-70E740481C1C}">
                          <a14:useLocalDpi xmlns:a14="http://schemas.microsoft.com/office/drawing/2010/main" val="0"/>
                        </a:ext>
                      </a:extLst>
                    </a:blip>
                    <a:stretch>
                      <a:fillRect/>
                    </a:stretch>
                  </pic:blipFill>
                  <pic:spPr>
                    <a:xfrm>
                      <a:off x="0" y="0"/>
                      <a:ext cx="4533900" cy="2873925"/>
                    </a:xfrm>
                    <a:prstGeom prst="rect">
                      <a:avLst/>
                    </a:prstGeom>
                  </pic:spPr>
                </pic:pic>
              </a:graphicData>
            </a:graphic>
          </wp:inline>
        </w:drawing>
      </w:r>
    </w:p>
    <w:p w14:paraId="1A8F13C0" w14:textId="77777777" w:rsidR="00136E7B" w:rsidRPr="00662764" w:rsidRDefault="00136E7B" w:rsidP="00136E7B">
      <w:pPr>
        <w:rPr>
          <w:rFonts w:eastAsia="Calibri"/>
          <w:szCs w:val="24"/>
          <w:lang w:val="en-GB"/>
        </w:rPr>
      </w:pPr>
      <w:r w:rsidRPr="004E5B45">
        <w:rPr>
          <w:rFonts w:eastAsia="Calibri"/>
          <w:szCs w:val="24"/>
          <w:lang w:val="en-GB"/>
        </w:rPr>
        <w:t>NOTE – The Academia category was created in 2011.</w:t>
      </w:r>
    </w:p>
    <w:p w14:paraId="2A12E231" w14:textId="53A68118" w:rsidR="004A71B8" w:rsidRPr="004A71B8" w:rsidRDefault="00CB641D" w:rsidP="004A71B8">
      <w:pPr>
        <w:pStyle w:val="Heading2"/>
      </w:pPr>
      <w:bookmarkStart w:id="160" w:name="_Toc51042287"/>
      <w:r>
        <w:t>10</w:t>
      </w:r>
      <w:r w:rsidR="00136E7B" w:rsidRPr="00F57FAD">
        <w:t>.2</w:t>
      </w:r>
      <w:r w:rsidR="00136E7B" w:rsidRPr="00F57FAD">
        <w:tab/>
      </w:r>
      <w:r w:rsidR="004A71B8">
        <w:t xml:space="preserve">Conclusion </w:t>
      </w:r>
      <w:r w:rsidR="00136E7B" w:rsidRPr="00F57FAD">
        <w:t>of SME Pilot Project</w:t>
      </w:r>
      <w:r w:rsidR="004A71B8">
        <w:t xml:space="preserve"> and implementation of a reduced Associate fee structure for SMEs</w:t>
      </w:r>
      <w:bookmarkEnd w:id="160"/>
    </w:p>
    <w:p w14:paraId="01873D57" w14:textId="6517604E" w:rsidR="00136E7B" w:rsidRPr="004A71B8" w:rsidRDefault="004A71B8" w:rsidP="00E20273">
      <w:pPr>
        <w:spacing w:after="120"/>
        <w:rPr>
          <w:lang w:val="en-GB"/>
        </w:rPr>
      </w:pPr>
      <w:r w:rsidRPr="00710D5D">
        <w:rPr>
          <w:lang w:val="en-GB"/>
        </w:rPr>
        <w:t xml:space="preserve">The ITU Council SME Pilot Project has transitioned into the new SME fee structure available to Associates meeting certain eligibility criteria. </w:t>
      </w:r>
      <w:r w:rsidR="00E20273" w:rsidRPr="00E20273">
        <w:rPr>
          <w:lang w:val="en-GB"/>
        </w:rPr>
        <w:t>Currently, the following organizations enjoy this modality of participation:</w:t>
      </w:r>
    </w:p>
    <w:tbl>
      <w:tblPr>
        <w:tblStyle w:val="TableGrid"/>
        <w:tblW w:w="9639" w:type="dxa"/>
        <w:tblLayout w:type="fixed"/>
        <w:tblLook w:val="06A0" w:firstRow="1" w:lastRow="0" w:firstColumn="1" w:lastColumn="0" w:noHBand="1" w:noVBand="1"/>
      </w:tblPr>
      <w:tblGrid>
        <w:gridCol w:w="3681"/>
        <w:gridCol w:w="1417"/>
        <w:gridCol w:w="4541"/>
      </w:tblGrid>
      <w:tr w:rsidR="00E20273" w:rsidRPr="00E305AD" w14:paraId="39B34AFC" w14:textId="77777777" w:rsidTr="00C278FD">
        <w:tc>
          <w:tcPr>
            <w:tcW w:w="3681" w:type="dxa"/>
            <w:vAlign w:val="center"/>
          </w:tcPr>
          <w:p w14:paraId="38D1E8BD" w14:textId="4926B04D" w:rsidR="04FED12F" w:rsidRPr="00E305AD" w:rsidRDefault="04FED12F" w:rsidP="2B30A600">
            <w:pPr>
              <w:rPr>
                <w:rFonts w:eastAsia="Times"/>
                <w:b/>
                <w:bCs/>
                <w:szCs w:val="24"/>
                <w:lang w:val="en-GB"/>
              </w:rPr>
            </w:pPr>
            <w:r w:rsidRPr="00E305AD">
              <w:rPr>
                <w:rFonts w:eastAsia="Times"/>
                <w:b/>
                <w:bCs/>
                <w:szCs w:val="24"/>
                <w:lang w:val="en-GB"/>
              </w:rPr>
              <w:lastRenderedPageBreak/>
              <w:t>Organization</w:t>
            </w:r>
          </w:p>
        </w:tc>
        <w:tc>
          <w:tcPr>
            <w:tcW w:w="1417" w:type="dxa"/>
            <w:vAlign w:val="center"/>
          </w:tcPr>
          <w:p w14:paraId="3D7D28B4" w14:textId="6CFB0A46" w:rsidR="04FED12F" w:rsidRPr="00E305AD" w:rsidRDefault="04FED12F" w:rsidP="2B30A600">
            <w:pPr>
              <w:rPr>
                <w:rFonts w:eastAsia="Times"/>
                <w:b/>
                <w:bCs/>
                <w:szCs w:val="24"/>
                <w:lang w:val="en-GB"/>
              </w:rPr>
            </w:pPr>
            <w:r w:rsidRPr="00E305AD">
              <w:rPr>
                <w:rFonts w:eastAsia="Times"/>
                <w:b/>
                <w:bCs/>
                <w:szCs w:val="24"/>
                <w:lang w:val="en-GB"/>
              </w:rPr>
              <w:t>Study Group</w:t>
            </w:r>
          </w:p>
        </w:tc>
        <w:tc>
          <w:tcPr>
            <w:tcW w:w="4541" w:type="dxa"/>
            <w:vAlign w:val="center"/>
          </w:tcPr>
          <w:p w14:paraId="3E32531D" w14:textId="67E8B051" w:rsidR="2B30A600" w:rsidRPr="00E305AD" w:rsidRDefault="638A8A37" w:rsidP="5F2B6CF0">
            <w:pPr>
              <w:rPr>
                <w:rFonts w:eastAsia="Times"/>
                <w:b/>
                <w:bCs/>
                <w:szCs w:val="24"/>
                <w:lang w:val="en-GB"/>
              </w:rPr>
            </w:pPr>
            <w:r w:rsidRPr="00E305AD">
              <w:rPr>
                <w:rFonts w:eastAsia="Times"/>
                <w:b/>
                <w:bCs/>
                <w:szCs w:val="24"/>
                <w:lang w:val="en-GB"/>
              </w:rPr>
              <w:t>Area of Interest</w:t>
            </w:r>
          </w:p>
        </w:tc>
      </w:tr>
      <w:tr w:rsidR="00E20273" w:rsidRPr="00E305AD" w14:paraId="6E89F78E" w14:textId="77777777" w:rsidTr="00BE09F8">
        <w:tc>
          <w:tcPr>
            <w:tcW w:w="3681" w:type="dxa"/>
          </w:tcPr>
          <w:p w14:paraId="4DF169C0" w14:textId="024BE906" w:rsidR="603CBAA4" w:rsidRPr="00E305AD" w:rsidRDefault="603CBAA4" w:rsidP="2B30A600">
            <w:pPr>
              <w:rPr>
                <w:rFonts w:eastAsia="Times"/>
                <w:sz w:val="22"/>
                <w:szCs w:val="22"/>
                <w:lang w:val="en-GB"/>
              </w:rPr>
            </w:pPr>
            <w:proofErr w:type="spellStart"/>
            <w:r w:rsidRPr="00E305AD">
              <w:rPr>
                <w:rFonts w:eastAsia="Times"/>
                <w:sz w:val="22"/>
                <w:szCs w:val="22"/>
                <w:lang w:val="en-GB"/>
              </w:rPr>
              <w:t>Wave</w:t>
            </w:r>
            <w:r w:rsidR="002CB1E2" w:rsidRPr="00E305AD">
              <w:rPr>
                <w:rFonts w:eastAsia="Times"/>
                <w:sz w:val="22"/>
                <w:szCs w:val="22"/>
                <w:lang w:val="en-GB"/>
              </w:rPr>
              <w:t>control</w:t>
            </w:r>
            <w:proofErr w:type="spellEnd"/>
            <w:r w:rsidR="002CB1E2" w:rsidRPr="00E305AD">
              <w:rPr>
                <w:rFonts w:eastAsia="Times"/>
                <w:sz w:val="22"/>
                <w:szCs w:val="22"/>
                <w:lang w:val="en-GB"/>
              </w:rPr>
              <w:t>, S.L.</w:t>
            </w:r>
          </w:p>
        </w:tc>
        <w:tc>
          <w:tcPr>
            <w:tcW w:w="1417" w:type="dxa"/>
          </w:tcPr>
          <w:p w14:paraId="71F90DAE" w14:textId="7F729DCD" w:rsidR="25BA1832" w:rsidRPr="00E305AD" w:rsidRDefault="25BA1832" w:rsidP="00E20273">
            <w:pPr>
              <w:jc w:val="center"/>
              <w:rPr>
                <w:rFonts w:eastAsia="Times"/>
                <w:sz w:val="22"/>
                <w:szCs w:val="22"/>
                <w:lang w:val="en-GB"/>
              </w:rPr>
            </w:pPr>
            <w:r w:rsidRPr="00E305AD">
              <w:rPr>
                <w:rFonts w:eastAsia="Times"/>
                <w:sz w:val="22"/>
                <w:szCs w:val="22"/>
                <w:lang w:val="en-GB"/>
              </w:rPr>
              <w:t>SG</w:t>
            </w:r>
            <w:r w:rsidR="51F44500" w:rsidRPr="00E305AD">
              <w:rPr>
                <w:rFonts w:eastAsia="Times"/>
                <w:sz w:val="22"/>
                <w:szCs w:val="22"/>
                <w:lang w:val="en-GB"/>
              </w:rPr>
              <w:t>5</w:t>
            </w:r>
          </w:p>
        </w:tc>
        <w:tc>
          <w:tcPr>
            <w:tcW w:w="4541" w:type="dxa"/>
          </w:tcPr>
          <w:p w14:paraId="1BB34FC0" w14:textId="3703A0DF" w:rsidR="60DF6B45" w:rsidRPr="00E305AD" w:rsidRDefault="60DF6B45" w:rsidP="2B30A600">
            <w:pPr>
              <w:rPr>
                <w:rFonts w:eastAsia="Times"/>
                <w:sz w:val="22"/>
                <w:szCs w:val="22"/>
                <w:lang w:val="en-GB"/>
              </w:rPr>
            </w:pPr>
            <w:r w:rsidRPr="00E305AD">
              <w:rPr>
                <w:rFonts w:eastAsia="Times"/>
                <w:sz w:val="22"/>
                <w:szCs w:val="22"/>
                <w:lang w:val="en-GB"/>
              </w:rPr>
              <w:t>EMF monitoring procedures</w:t>
            </w:r>
          </w:p>
        </w:tc>
      </w:tr>
      <w:tr w:rsidR="00E20273" w:rsidRPr="00E305AD" w14:paraId="7A66D94F" w14:textId="77777777" w:rsidTr="00BE09F8">
        <w:tc>
          <w:tcPr>
            <w:tcW w:w="3681" w:type="dxa"/>
          </w:tcPr>
          <w:p w14:paraId="5DBDC85D" w14:textId="111FECB1" w:rsidR="10733615" w:rsidRPr="00E305AD" w:rsidRDefault="10733615" w:rsidP="2B30A600">
            <w:pPr>
              <w:rPr>
                <w:rFonts w:eastAsia="Times"/>
                <w:sz w:val="22"/>
                <w:szCs w:val="22"/>
                <w:lang w:val="en-GB"/>
              </w:rPr>
            </w:pPr>
            <w:proofErr w:type="spellStart"/>
            <w:r w:rsidRPr="00E305AD">
              <w:rPr>
                <w:rFonts w:eastAsia="Times"/>
                <w:sz w:val="22"/>
                <w:szCs w:val="22"/>
                <w:lang w:val="en-GB"/>
              </w:rPr>
              <w:t>Vaulto</w:t>
            </w:r>
            <w:proofErr w:type="spellEnd"/>
            <w:r w:rsidRPr="00E305AD">
              <w:rPr>
                <w:rFonts w:eastAsia="Times"/>
                <w:sz w:val="22"/>
                <w:szCs w:val="22"/>
                <w:lang w:val="en-GB"/>
              </w:rPr>
              <w:t xml:space="preserve"> Communication Technologies</w:t>
            </w:r>
          </w:p>
        </w:tc>
        <w:tc>
          <w:tcPr>
            <w:tcW w:w="1417" w:type="dxa"/>
          </w:tcPr>
          <w:p w14:paraId="199FCCBF" w14:textId="18389C34" w:rsidR="10733615" w:rsidRPr="00E305AD" w:rsidRDefault="10733615" w:rsidP="00E20273">
            <w:pPr>
              <w:jc w:val="center"/>
              <w:rPr>
                <w:rFonts w:eastAsia="Times"/>
                <w:sz w:val="22"/>
                <w:szCs w:val="22"/>
                <w:lang w:val="en-GB"/>
              </w:rPr>
            </w:pPr>
            <w:r w:rsidRPr="00E305AD">
              <w:rPr>
                <w:rFonts w:eastAsia="Times"/>
                <w:sz w:val="22"/>
                <w:szCs w:val="22"/>
                <w:lang w:val="en-GB"/>
              </w:rPr>
              <w:t>SG11</w:t>
            </w:r>
          </w:p>
        </w:tc>
        <w:tc>
          <w:tcPr>
            <w:tcW w:w="4541" w:type="dxa"/>
          </w:tcPr>
          <w:p w14:paraId="719D3F6B" w14:textId="5143B0EC" w:rsidR="79A0392F" w:rsidRPr="00E305AD" w:rsidRDefault="79A0392F" w:rsidP="2B30A600">
            <w:pPr>
              <w:rPr>
                <w:rFonts w:eastAsia="Times"/>
                <w:sz w:val="22"/>
                <w:szCs w:val="22"/>
                <w:lang w:val="en-GB"/>
              </w:rPr>
            </w:pPr>
            <w:r w:rsidRPr="00E305AD">
              <w:rPr>
                <w:rFonts w:eastAsia="Times"/>
                <w:sz w:val="22"/>
                <w:szCs w:val="22"/>
                <w:lang w:val="en-GB"/>
              </w:rPr>
              <w:t>Abuse of SS7 vulnerabilities to commit financial fraud</w:t>
            </w:r>
          </w:p>
        </w:tc>
      </w:tr>
      <w:tr w:rsidR="00E20273" w:rsidRPr="00E305AD" w14:paraId="7070D5C9" w14:textId="77777777" w:rsidTr="00BE09F8">
        <w:tc>
          <w:tcPr>
            <w:tcW w:w="3681" w:type="dxa"/>
          </w:tcPr>
          <w:p w14:paraId="38ECE3A2" w14:textId="63870401" w:rsidR="10733615" w:rsidRPr="00E305AD" w:rsidRDefault="10733615" w:rsidP="2B30A600">
            <w:pPr>
              <w:rPr>
                <w:rFonts w:eastAsia="Times"/>
                <w:sz w:val="22"/>
                <w:szCs w:val="22"/>
                <w:lang w:val="en-GB"/>
              </w:rPr>
            </w:pPr>
            <w:proofErr w:type="spellStart"/>
            <w:r w:rsidRPr="00E305AD">
              <w:rPr>
                <w:rFonts w:eastAsia="Times"/>
                <w:sz w:val="22"/>
                <w:szCs w:val="22"/>
                <w:lang w:val="en-GB"/>
              </w:rPr>
              <w:t>Speedchecker</w:t>
            </w:r>
            <w:proofErr w:type="spellEnd"/>
          </w:p>
        </w:tc>
        <w:tc>
          <w:tcPr>
            <w:tcW w:w="1417" w:type="dxa"/>
          </w:tcPr>
          <w:p w14:paraId="3AACC6E8" w14:textId="616FCFC4" w:rsidR="10733615" w:rsidRPr="00E305AD" w:rsidRDefault="10733615" w:rsidP="00E20273">
            <w:pPr>
              <w:jc w:val="center"/>
              <w:rPr>
                <w:rFonts w:eastAsia="Times"/>
                <w:sz w:val="22"/>
                <w:szCs w:val="22"/>
                <w:lang w:val="en-GB"/>
              </w:rPr>
            </w:pPr>
            <w:r w:rsidRPr="00E305AD">
              <w:rPr>
                <w:rFonts w:eastAsia="Times"/>
                <w:sz w:val="22"/>
                <w:szCs w:val="22"/>
                <w:lang w:val="en-GB"/>
              </w:rPr>
              <w:t>SG12</w:t>
            </w:r>
          </w:p>
        </w:tc>
        <w:tc>
          <w:tcPr>
            <w:tcW w:w="4541" w:type="dxa"/>
          </w:tcPr>
          <w:p w14:paraId="3A1F9C71" w14:textId="3179FF72" w:rsidR="0DBC1658" w:rsidRPr="00E305AD" w:rsidRDefault="0DBC1658" w:rsidP="2B30A600">
            <w:pPr>
              <w:rPr>
                <w:rStyle w:val="Hyperlink"/>
                <w:rFonts w:eastAsia="Times"/>
                <w:color w:val="auto"/>
                <w:sz w:val="22"/>
                <w:szCs w:val="22"/>
                <w:u w:val="none"/>
                <w:lang w:val="en-GB"/>
              </w:rPr>
            </w:pPr>
            <w:r w:rsidRPr="00E305AD">
              <w:rPr>
                <w:rStyle w:val="Hyperlink"/>
                <w:rFonts w:eastAsia="Times"/>
                <w:color w:val="auto"/>
                <w:sz w:val="22"/>
                <w:szCs w:val="22"/>
                <w:u w:val="none"/>
                <w:lang w:val="en-GB"/>
              </w:rPr>
              <w:t xml:space="preserve">Crowdsourcing </w:t>
            </w:r>
            <w:r w:rsidR="1805FE30" w:rsidRPr="00E305AD">
              <w:rPr>
                <w:rStyle w:val="Hyperlink"/>
                <w:rFonts w:eastAsia="Times"/>
                <w:color w:val="auto"/>
                <w:sz w:val="22"/>
                <w:szCs w:val="22"/>
                <w:u w:val="none"/>
                <w:lang w:val="en-GB"/>
              </w:rPr>
              <w:t>approach for the assessment of end-to-end quality of service in fixed and mobile broadband networks</w:t>
            </w:r>
          </w:p>
        </w:tc>
      </w:tr>
      <w:tr w:rsidR="00E20273" w:rsidRPr="00E305AD" w14:paraId="75A688FF" w14:textId="77777777" w:rsidTr="00BE09F8">
        <w:tc>
          <w:tcPr>
            <w:tcW w:w="3681" w:type="dxa"/>
          </w:tcPr>
          <w:p w14:paraId="63819FC6" w14:textId="0249E078" w:rsidR="61E54594" w:rsidRPr="00E305AD" w:rsidRDefault="61E54594" w:rsidP="2B30A600">
            <w:pPr>
              <w:rPr>
                <w:rFonts w:eastAsia="Times"/>
                <w:sz w:val="22"/>
                <w:szCs w:val="22"/>
                <w:lang w:val="en-GB"/>
              </w:rPr>
            </w:pPr>
            <w:r w:rsidRPr="00E305AD">
              <w:rPr>
                <w:rFonts w:eastAsia="Times"/>
                <w:sz w:val="22"/>
                <w:szCs w:val="22"/>
                <w:lang w:val="en-GB"/>
              </w:rPr>
              <w:t xml:space="preserve">Focus Infocom </w:t>
            </w:r>
            <w:proofErr w:type="spellStart"/>
            <w:r w:rsidRPr="00E305AD">
              <w:rPr>
                <w:rFonts w:eastAsia="Times"/>
                <w:sz w:val="22"/>
                <w:szCs w:val="22"/>
                <w:lang w:val="en-GB"/>
              </w:rPr>
              <w:t>Ges</w:t>
            </w:r>
            <w:proofErr w:type="spellEnd"/>
            <w:r w:rsidRPr="00E305AD">
              <w:rPr>
                <w:rFonts w:eastAsia="Times"/>
                <w:sz w:val="22"/>
                <w:szCs w:val="22"/>
                <w:lang w:val="en-GB"/>
              </w:rPr>
              <w:t xml:space="preserve">. F. </w:t>
            </w:r>
            <w:proofErr w:type="spellStart"/>
            <w:r w:rsidRPr="00E305AD">
              <w:rPr>
                <w:rFonts w:eastAsia="Times"/>
                <w:sz w:val="22"/>
                <w:szCs w:val="22"/>
                <w:lang w:val="en-GB"/>
              </w:rPr>
              <w:t>Informatik</w:t>
            </w:r>
            <w:proofErr w:type="spellEnd"/>
            <w:r w:rsidRPr="00E305AD">
              <w:rPr>
                <w:rFonts w:eastAsia="Times"/>
                <w:sz w:val="22"/>
                <w:szCs w:val="22"/>
                <w:lang w:val="en-GB"/>
              </w:rPr>
              <w:t xml:space="preserve"> u. </w:t>
            </w:r>
            <w:proofErr w:type="spellStart"/>
            <w:r w:rsidRPr="00E305AD">
              <w:rPr>
                <w:rFonts w:eastAsia="Times"/>
                <w:sz w:val="22"/>
                <w:szCs w:val="22"/>
                <w:lang w:val="en-GB"/>
              </w:rPr>
              <w:t>Telekomm</w:t>
            </w:r>
            <w:proofErr w:type="spellEnd"/>
            <w:r w:rsidRPr="00E305AD">
              <w:rPr>
                <w:rFonts w:eastAsia="Times"/>
                <w:sz w:val="22"/>
                <w:szCs w:val="22"/>
                <w:lang w:val="en-GB"/>
              </w:rPr>
              <w:t xml:space="preserve">. </w:t>
            </w:r>
            <w:proofErr w:type="spellStart"/>
            <w:r w:rsidRPr="00E305AD">
              <w:rPr>
                <w:rFonts w:eastAsia="Times"/>
                <w:sz w:val="22"/>
                <w:szCs w:val="22"/>
                <w:lang w:val="en-GB"/>
              </w:rPr>
              <w:t>mbH</w:t>
            </w:r>
            <w:proofErr w:type="spellEnd"/>
          </w:p>
        </w:tc>
        <w:tc>
          <w:tcPr>
            <w:tcW w:w="1417" w:type="dxa"/>
          </w:tcPr>
          <w:p w14:paraId="3FDE79CD" w14:textId="356E969D"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5ECADE05" w14:textId="4406EBD8" w:rsidR="0E11FDD2" w:rsidRPr="00E305AD" w:rsidRDefault="0E11FDD2" w:rsidP="2B30A600">
            <w:pPr>
              <w:rPr>
                <w:rFonts w:eastAsia="Times"/>
                <w:sz w:val="22"/>
                <w:szCs w:val="22"/>
                <w:lang w:val="en-GB"/>
              </w:rPr>
            </w:pPr>
            <w:r w:rsidRPr="00E305AD">
              <w:rPr>
                <w:rFonts w:eastAsia="Times"/>
                <w:sz w:val="22"/>
                <w:szCs w:val="22"/>
                <w:lang w:val="en-GB"/>
              </w:rPr>
              <w:t>Operational aspects of telecommunication network service quality</w:t>
            </w:r>
          </w:p>
        </w:tc>
      </w:tr>
      <w:tr w:rsidR="00E20273" w:rsidRPr="00E305AD" w14:paraId="6EC2AED6" w14:textId="77777777" w:rsidTr="00BE09F8">
        <w:tc>
          <w:tcPr>
            <w:tcW w:w="3681" w:type="dxa"/>
          </w:tcPr>
          <w:p w14:paraId="6024F902" w14:textId="5580FA56" w:rsidR="61E54594" w:rsidRPr="00E305AD" w:rsidRDefault="61E54594" w:rsidP="2B30A600">
            <w:pPr>
              <w:rPr>
                <w:rFonts w:eastAsia="Times"/>
                <w:sz w:val="22"/>
                <w:szCs w:val="22"/>
                <w:lang w:val="en-GB"/>
              </w:rPr>
            </w:pPr>
            <w:r w:rsidRPr="00E305AD">
              <w:rPr>
                <w:rFonts w:eastAsia="Times"/>
                <w:sz w:val="22"/>
                <w:szCs w:val="22"/>
                <w:lang w:val="en-GB"/>
              </w:rPr>
              <w:t xml:space="preserve">OPTICOM Dipl.-Ing. M. </w:t>
            </w:r>
            <w:proofErr w:type="spellStart"/>
            <w:r w:rsidRPr="00E305AD">
              <w:rPr>
                <w:rFonts w:eastAsia="Times"/>
                <w:sz w:val="22"/>
                <w:szCs w:val="22"/>
                <w:lang w:val="en-GB"/>
              </w:rPr>
              <w:t>Keyhl</w:t>
            </w:r>
            <w:proofErr w:type="spellEnd"/>
            <w:r w:rsidRPr="00E305AD">
              <w:rPr>
                <w:rFonts w:eastAsia="Times"/>
                <w:sz w:val="22"/>
                <w:szCs w:val="22"/>
                <w:lang w:val="en-GB"/>
              </w:rPr>
              <w:t xml:space="preserve"> GmbH</w:t>
            </w:r>
          </w:p>
        </w:tc>
        <w:tc>
          <w:tcPr>
            <w:tcW w:w="1417" w:type="dxa"/>
          </w:tcPr>
          <w:p w14:paraId="2DEF6526" w14:textId="65655F48"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2E65B7C7" w14:textId="62EB7454" w:rsidR="055D37DD" w:rsidRPr="00E305AD" w:rsidRDefault="055D37DD" w:rsidP="2B30A600">
            <w:pPr>
              <w:rPr>
                <w:rFonts w:eastAsia="Times"/>
                <w:sz w:val="22"/>
                <w:szCs w:val="22"/>
              </w:rPr>
            </w:pPr>
            <w:r w:rsidRPr="00E305AD">
              <w:rPr>
                <w:rFonts w:eastAsia="Times"/>
                <w:sz w:val="22"/>
                <w:szCs w:val="22"/>
                <w:lang w:val="en-GB"/>
              </w:rPr>
              <w:t>Next-Generation Mobile voice quality testing</w:t>
            </w:r>
          </w:p>
        </w:tc>
      </w:tr>
      <w:tr w:rsidR="00E20273" w:rsidRPr="00E305AD" w14:paraId="1704EE19" w14:textId="77777777" w:rsidTr="00BE09F8">
        <w:tc>
          <w:tcPr>
            <w:tcW w:w="3681" w:type="dxa"/>
          </w:tcPr>
          <w:p w14:paraId="3C01BE7F" w14:textId="6D75A426" w:rsidR="2B54285E" w:rsidRPr="00E305AD" w:rsidRDefault="2B54285E" w:rsidP="2B30A600">
            <w:pPr>
              <w:rPr>
                <w:rFonts w:eastAsia="Times"/>
                <w:sz w:val="22"/>
                <w:szCs w:val="22"/>
                <w:lang w:val="en-GB"/>
              </w:rPr>
            </w:pPr>
            <w:proofErr w:type="spellStart"/>
            <w:r w:rsidRPr="00E305AD">
              <w:rPr>
                <w:rFonts w:eastAsia="Times"/>
                <w:sz w:val="22"/>
                <w:szCs w:val="22"/>
                <w:lang w:val="en-GB"/>
              </w:rPr>
              <w:t>Opensignal</w:t>
            </w:r>
            <w:proofErr w:type="spellEnd"/>
          </w:p>
        </w:tc>
        <w:tc>
          <w:tcPr>
            <w:tcW w:w="1417" w:type="dxa"/>
          </w:tcPr>
          <w:p w14:paraId="30FD9645" w14:textId="2F00241B" w:rsidR="2B54285E" w:rsidRPr="00E305AD" w:rsidRDefault="2B54285E" w:rsidP="00E20273">
            <w:pPr>
              <w:jc w:val="center"/>
              <w:rPr>
                <w:rFonts w:eastAsia="Times"/>
                <w:sz w:val="22"/>
                <w:szCs w:val="22"/>
                <w:lang w:val="en-GB"/>
              </w:rPr>
            </w:pPr>
            <w:r w:rsidRPr="00E305AD">
              <w:rPr>
                <w:rFonts w:eastAsia="Times"/>
                <w:sz w:val="22"/>
                <w:szCs w:val="22"/>
                <w:lang w:val="en-GB"/>
              </w:rPr>
              <w:t>SG12</w:t>
            </w:r>
          </w:p>
        </w:tc>
        <w:tc>
          <w:tcPr>
            <w:tcW w:w="4541" w:type="dxa"/>
          </w:tcPr>
          <w:p w14:paraId="057FB513" w14:textId="2284C86D" w:rsidR="2B30A600" w:rsidRPr="00E305AD" w:rsidRDefault="067BE3DF" w:rsidP="2B30A600">
            <w:pPr>
              <w:rPr>
                <w:rFonts w:eastAsia="Times"/>
                <w:sz w:val="22"/>
                <w:szCs w:val="22"/>
                <w:lang w:val="en-GB"/>
              </w:rPr>
            </w:pPr>
            <w:r w:rsidRPr="00E305AD">
              <w:rPr>
                <w:rStyle w:val="Hyperlink"/>
                <w:rFonts w:eastAsia="Times"/>
                <w:color w:val="auto"/>
                <w:sz w:val="22"/>
                <w:szCs w:val="22"/>
                <w:u w:val="none"/>
                <w:lang w:val="en-GB"/>
              </w:rPr>
              <w:t>Crowdsourcing approach for the assessment of end-to-end quality of service in fixed and mobile broadband networks</w:t>
            </w:r>
          </w:p>
        </w:tc>
      </w:tr>
      <w:tr w:rsidR="00E20273" w:rsidRPr="00E305AD" w14:paraId="41033BE7" w14:textId="77777777" w:rsidTr="00BE09F8">
        <w:tc>
          <w:tcPr>
            <w:tcW w:w="3681" w:type="dxa"/>
          </w:tcPr>
          <w:p w14:paraId="1B087C0D" w14:textId="356A19E7" w:rsidR="13D3A643" w:rsidRPr="00E305AD" w:rsidRDefault="13D3A643" w:rsidP="2B30A600">
            <w:pPr>
              <w:rPr>
                <w:rFonts w:eastAsia="Times"/>
                <w:sz w:val="22"/>
                <w:szCs w:val="22"/>
              </w:rPr>
            </w:pPr>
            <w:r w:rsidRPr="00E305AD">
              <w:rPr>
                <w:rFonts w:eastAsia="Times"/>
                <w:sz w:val="22"/>
                <w:szCs w:val="22"/>
              </w:rPr>
              <w:t xml:space="preserve">AEPONYX </w:t>
            </w:r>
            <w:proofErr w:type="spellStart"/>
            <w:r w:rsidRPr="00E305AD">
              <w:rPr>
                <w:rFonts w:eastAsia="Times"/>
                <w:sz w:val="22"/>
                <w:szCs w:val="22"/>
              </w:rPr>
              <w:t>inc</w:t>
            </w:r>
            <w:proofErr w:type="spellEnd"/>
          </w:p>
        </w:tc>
        <w:tc>
          <w:tcPr>
            <w:tcW w:w="1417" w:type="dxa"/>
          </w:tcPr>
          <w:p w14:paraId="792B6F19" w14:textId="7181A487" w:rsidR="13D3A643" w:rsidRPr="00E305AD" w:rsidRDefault="13D3A643" w:rsidP="00E20273">
            <w:pPr>
              <w:jc w:val="center"/>
              <w:rPr>
                <w:rFonts w:eastAsia="Times"/>
                <w:sz w:val="22"/>
                <w:szCs w:val="22"/>
                <w:lang w:val="en-GB"/>
              </w:rPr>
            </w:pPr>
            <w:r w:rsidRPr="00E305AD">
              <w:rPr>
                <w:rFonts w:eastAsia="Times"/>
                <w:sz w:val="22"/>
                <w:szCs w:val="22"/>
                <w:lang w:val="en-GB"/>
              </w:rPr>
              <w:t>SG15</w:t>
            </w:r>
          </w:p>
        </w:tc>
        <w:tc>
          <w:tcPr>
            <w:tcW w:w="4541" w:type="dxa"/>
          </w:tcPr>
          <w:p w14:paraId="0F906EEA" w14:textId="57218196" w:rsidR="25962946" w:rsidRPr="00E305AD" w:rsidRDefault="25962946" w:rsidP="2B30A600">
            <w:pPr>
              <w:rPr>
                <w:rFonts w:eastAsia="Times"/>
                <w:sz w:val="22"/>
                <w:szCs w:val="22"/>
                <w:lang w:val="en-GB"/>
              </w:rPr>
            </w:pPr>
            <w:r w:rsidRPr="00E305AD">
              <w:rPr>
                <w:rFonts w:eastAsia="Times"/>
                <w:sz w:val="22"/>
                <w:szCs w:val="22"/>
                <w:lang w:val="en-GB"/>
              </w:rPr>
              <w:t>Next-generation PON systems to enable a higher data transmission capacity through multiple frequency channels</w:t>
            </w:r>
          </w:p>
        </w:tc>
      </w:tr>
      <w:tr w:rsidR="00E20273" w:rsidRPr="00E305AD" w14:paraId="49A7BF61" w14:textId="77777777" w:rsidTr="00BE09F8">
        <w:tc>
          <w:tcPr>
            <w:tcW w:w="3681" w:type="dxa"/>
          </w:tcPr>
          <w:p w14:paraId="2CD7C733" w14:textId="261C0B6A" w:rsidR="4294C30D" w:rsidRPr="00E305AD" w:rsidRDefault="4294C30D" w:rsidP="2B30A600">
            <w:pPr>
              <w:rPr>
                <w:rFonts w:eastAsia="Times"/>
                <w:sz w:val="22"/>
                <w:szCs w:val="22"/>
                <w:lang w:val="en-GB"/>
              </w:rPr>
            </w:pPr>
            <w:r w:rsidRPr="00E305AD">
              <w:rPr>
                <w:rFonts w:eastAsia="Times"/>
                <w:sz w:val="22"/>
                <w:szCs w:val="22"/>
                <w:lang w:val="en-GB"/>
              </w:rPr>
              <w:t xml:space="preserve">Hangzhou </w:t>
            </w:r>
            <w:proofErr w:type="spellStart"/>
            <w:r w:rsidRPr="00E305AD">
              <w:rPr>
                <w:rFonts w:eastAsia="Times"/>
                <w:sz w:val="22"/>
                <w:szCs w:val="22"/>
                <w:lang w:val="en-GB"/>
              </w:rPr>
              <w:t>Qulian</w:t>
            </w:r>
            <w:proofErr w:type="spellEnd"/>
            <w:r w:rsidRPr="00E305AD">
              <w:rPr>
                <w:rFonts w:eastAsia="Times"/>
                <w:sz w:val="22"/>
                <w:szCs w:val="22"/>
                <w:lang w:val="en-GB"/>
              </w:rPr>
              <w:t xml:space="preserve"> Technology Co., Ltd.</w:t>
            </w:r>
          </w:p>
        </w:tc>
        <w:tc>
          <w:tcPr>
            <w:tcW w:w="1417" w:type="dxa"/>
          </w:tcPr>
          <w:p w14:paraId="0F74644E" w14:textId="655C8667"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18E24977" w14:textId="4C2A9E68" w:rsidR="1FF113BC" w:rsidRPr="00E305AD" w:rsidRDefault="1FF113BC"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27A6A1F2" w14:textId="77777777" w:rsidTr="00BE09F8">
        <w:tc>
          <w:tcPr>
            <w:tcW w:w="3681" w:type="dxa"/>
          </w:tcPr>
          <w:p w14:paraId="0DB66B35" w14:textId="0E67BF71" w:rsidR="4294C30D" w:rsidRPr="00E305AD" w:rsidRDefault="4294C30D" w:rsidP="2B30A600">
            <w:pPr>
              <w:rPr>
                <w:rFonts w:eastAsia="Times"/>
                <w:sz w:val="22"/>
                <w:szCs w:val="22"/>
              </w:rPr>
            </w:pPr>
            <w:proofErr w:type="spellStart"/>
            <w:r w:rsidRPr="00E305AD">
              <w:rPr>
                <w:rFonts w:eastAsia="Times"/>
                <w:sz w:val="22"/>
                <w:szCs w:val="22"/>
              </w:rPr>
              <w:t>Onchain</w:t>
            </w:r>
            <w:proofErr w:type="spellEnd"/>
            <w:r w:rsidRPr="00E305AD">
              <w:rPr>
                <w:rFonts w:eastAsia="Times"/>
                <w:sz w:val="22"/>
                <w:szCs w:val="22"/>
              </w:rPr>
              <w:t xml:space="preserve"> Solutions (Shanghai Distributed Technology Co., Ltd.)</w:t>
            </w:r>
          </w:p>
        </w:tc>
        <w:tc>
          <w:tcPr>
            <w:tcW w:w="1417" w:type="dxa"/>
          </w:tcPr>
          <w:p w14:paraId="287F697B" w14:textId="4E53AE81"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5BC0B9FC" w14:textId="232E2B0B" w:rsidR="2CE855EA" w:rsidRPr="00E305AD" w:rsidRDefault="2CE855EA"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0AD567CA" w14:textId="77777777" w:rsidTr="00BE09F8">
        <w:tc>
          <w:tcPr>
            <w:tcW w:w="3681" w:type="dxa"/>
          </w:tcPr>
          <w:p w14:paraId="454A056E" w14:textId="268BC95F" w:rsidR="3AD97454" w:rsidRPr="00E305AD" w:rsidRDefault="3AD97454" w:rsidP="2B30A600">
            <w:pPr>
              <w:rPr>
                <w:rFonts w:eastAsia="Times"/>
                <w:sz w:val="22"/>
                <w:szCs w:val="22"/>
                <w:lang w:val="en-GB"/>
              </w:rPr>
            </w:pPr>
            <w:proofErr w:type="spellStart"/>
            <w:r w:rsidRPr="00E305AD">
              <w:rPr>
                <w:rFonts w:eastAsia="Times"/>
                <w:sz w:val="22"/>
                <w:szCs w:val="22"/>
                <w:lang w:val="en-GB"/>
              </w:rPr>
              <w:t>Multiledgers</w:t>
            </w:r>
            <w:proofErr w:type="spellEnd"/>
          </w:p>
        </w:tc>
        <w:tc>
          <w:tcPr>
            <w:tcW w:w="1417" w:type="dxa"/>
          </w:tcPr>
          <w:p w14:paraId="2BCCE76B" w14:textId="5D975D04" w:rsidR="3AD97454" w:rsidRPr="00E305AD" w:rsidRDefault="3AD97454" w:rsidP="00E20273">
            <w:pPr>
              <w:jc w:val="center"/>
              <w:rPr>
                <w:rFonts w:eastAsia="Times"/>
                <w:sz w:val="22"/>
                <w:szCs w:val="22"/>
                <w:lang w:val="en-GB"/>
              </w:rPr>
            </w:pPr>
            <w:r w:rsidRPr="00E305AD">
              <w:rPr>
                <w:rFonts w:eastAsia="Times"/>
                <w:sz w:val="22"/>
                <w:szCs w:val="22"/>
                <w:lang w:val="en-GB"/>
              </w:rPr>
              <w:t>SG16</w:t>
            </w:r>
          </w:p>
        </w:tc>
        <w:tc>
          <w:tcPr>
            <w:tcW w:w="4541" w:type="dxa"/>
          </w:tcPr>
          <w:p w14:paraId="26666292" w14:textId="089272A0" w:rsidR="0A3041C1" w:rsidRPr="00E305AD" w:rsidRDefault="0A3041C1"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43B04DDD" w14:textId="77777777" w:rsidTr="00BE09F8">
        <w:tc>
          <w:tcPr>
            <w:tcW w:w="3681" w:type="dxa"/>
          </w:tcPr>
          <w:p w14:paraId="7DE5A5E0" w14:textId="5CF4AEFE" w:rsidR="3AD97454" w:rsidRPr="00E305AD" w:rsidRDefault="3AD97454" w:rsidP="2B30A600">
            <w:pPr>
              <w:rPr>
                <w:rFonts w:eastAsia="Times"/>
                <w:sz w:val="22"/>
                <w:szCs w:val="22"/>
                <w:lang w:val="en-GB"/>
              </w:rPr>
            </w:pPr>
            <w:proofErr w:type="spellStart"/>
            <w:r w:rsidRPr="00E305AD">
              <w:rPr>
                <w:rFonts w:eastAsia="Times"/>
                <w:sz w:val="22"/>
                <w:szCs w:val="22"/>
                <w:lang w:val="en-GB"/>
              </w:rPr>
              <w:t>Innov</w:t>
            </w:r>
            <w:proofErr w:type="spellEnd"/>
            <w:r w:rsidRPr="00E305AD">
              <w:rPr>
                <w:rFonts w:eastAsia="Times"/>
                <w:sz w:val="22"/>
                <w:szCs w:val="22"/>
                <w:lang w:val="en-GB"/>
              </w:rPr>
              <w:t>-Alliance-Tech</w:t>
            </w:r>
          </w:p>
        </w:tc>
        <w:tc>
          <w:tcPr>
            <w:tcW w:w="1417" w:type="dxa"/>
          </w:tcPr>
          <w:p w14:paraId="241A04FF" w14:textId="402ED21F"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04F37FBB" w14:textId="11B7A98E" w:rsidR="5BC807DC" w:rsidRPr="00E305AD" w:rsidRDefault="5BC807DC" w:rsidP="2B30A600">
            <w:pPr>
              <w:rPr>
                <w:rFonts w:eastAsia="Times"/>
                <w:sz w:val="22"/>
                <w:szCs w:val="22"/>
                <w:lang w:val="en-GB"/>
              </w:rPr>
            </w:pPr>
            <w:r w:rsidRPr="00E305AD">
              <w:rPr>
                <w:rFonts w:eastAsia="Times"/>
                <w:sz w:val="22"/>
                <w:szCs w:val="22"/>
                <w:lang w:val="en-GB"/>
              </w:rPr>
              <w:t xml:space="preserve">Sensors, </w:t>
            </w:r>
            <w:proofErr w:type="gramStart"/>
            <w:r w:rsidRPr="00E305AD">
              <w:rPr>
                <w:rFonts w:eastAsia="Times"/>
                <w:sz w:val="22"/>
                <w:szCs w:val="22"/>
                <w:lang w:val="en-GB"/>
              </w:rPr>
              <w:t>management</w:t>
            </w:r>
            <w:proofErr w:type="gramEnd"/>
            <w:r w:rsidRPr="00E305AD">
              <w:rPr>
                <w:rFonts w:eastAsia="Times"/>
                <w:sz w:val="22"/>
                <w:szCs w:val="22"/>
                <w:lang w:val="en-GB"/>
              </w:rPr>
              <w:t xml:space="preserve"> and monitoring software</w:t>
            </w:r>
          </w:p>
        </w:tc>
      </w:tr>
      <w:tr w:rsidR="00E20273" w:rsidRPr="00E305AD" w14:paraId="00B0B994" w14:textId="77777777" w:rsidTr="00BE09F8">
        <w:tc>
          <w:tcPr>
            <w:tcW w:w="3681" w:type="dxa"/>
          </w:tcPr>
          <w:p w14:paraId="56BCD4EC" w14:textId="7517F7FC" w:rsidR="3AD97454" w:rsidRPr="00E305AD" w:rsidRDefault="3AD97454" w:rsidP="2B30A600">
            <w:pPr>
              <w:rPr>
                <w:rFonts w:eastAsia="Times"/>
                <w:sz w:val="22"/>
                <w:szCs w:val="22"/>
                <w:lang w:val="en-GB"/>
              </w:rPr>
            </w:pPr>
            <w:proofErr w:type="spellStart"/>
            <w:r w:rsidRPr="00E305AD">
              <w:rPr>
                <w:rFonts w:eastAsia="Times"/>
                <w:sz w:val="22"/>
                <w:szCs w:val="22"/>
                <w:lang w:val="en-GB"/>
              </w:rPr>
              <w:t>BigchainDB</w:t>
            </w:r>
            <w:proofErr w:type="spellEnd"/>
            <w:r w:rsidRPr="00E305AD">
              <w:rPr>
                <w:rFonts w:eastAsia="Times"/>
                <w:sz w:val="22"/>
                <w:szCs w:val="22"/>
                <w:lang w:val="en-GB"/>
              </w:rPr>
              <w:t xml:space="preserve"> GmbH</w:t>
            </w:r>
          </w:p>
        </w:tc>
        <w:tc>
          <w:tcPr>
            <w:tcW w:w="1417" w:type="dxa"/>
          </w:tcPr>
          <w:p w14:paraId="72C6EC41" w14:textId="19B9DEF3"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592D45FA" w14:textId="0CD5288E" w:rsidR="6B638C1E" w:rsidRPr="00E305AD" w:rsidRDefault="6B638C1E" w:rsidP="2B30A600">
            <w:pPr>
              <w:rPr>
                <w:rFonts w:eastAsia="Times"/>
                <w:sz w:val="22"/>
                <w:szCs w:val="22"/>
                <w:lang w:val="en-GB"/>
              </w:rPr>
            </w:pPr>
            <w:r w:rsidRPr="00E305AD">
              <w:rPr>
                <w:rFonts w:eastAsia="Times"/>
                <w:sz w:val="22"/>
                <w:szCs w:val="22"/>
                <w:lang w:val="en-GB"/>
              </w:rPr>
              <w:t>General interest</w:t>
            </w:r>
            <w:r w:rsidR="7EA3C3C4" w:rsidRPr="00E305AD">
              <w:rPr>
                <w:rFonts w:eastAsia="Times"/>
                <w:sz w:val="22"/>
                <w:szCs w:val="22"/>
                <w:lang w:val="en-GB"/>
              </w:rPr>
              <w:t xml:space="preserve"> with a focus on AI related work items</w:t>
            </w:r>
          </w:p>
        </w:tc>
      </w:tr>
      <w:tr w:rsidR="00E20273" w:rsidRPr="00E305AD" w14:paraId="4C17DB1E" w14:textId="77777777" w:rsidTr="00BE09F8">
        <w:tc>
          <w:tcPr>
            <w:tcW w:w="3681" w:type="dxa"/>
          </w:tcPr>
          <w:p w14:paraId="74C4E3BE" w14:textId="17B83833" w:rsidR="3AD97454" w:rsidRPr="00E305AD" w:rsidRDefault="3AD97454" w:rsidP="2B30A600">
            <w:pPr>
              <w:rPr>
                <w:rFonts w:eastAsia="Times"/>
                <w:sz w:val="22"/>
                <w:szCs w:val="22"/>
                <w:lang w:val="en-GB"/>
              </w:rPr>
            </w:pPr>
            <w:proofErr w:type="spellStart"/>
            <w:r w:rsidRPr="00E305AD">
              <w:rPr>
                <w:rFonts w:eastAsia="Times"/>
                <w:sz w:val="22"/>
                <w:szCs w:val="22"/>
                <w:lang w:val="en-GB"/>
              </w:rPr>
              <w:t>Zennous</w:t>
            </w:r>
            <w:proofErr w:type="spellEnd"/>
            <w:r w:rsidRPr="00E305AD">
              <w:rPr>
                <w:rFonts w:eastAsia="Times"/>
                <w:sz w:val="22"/>
                <w:szCs w:val="22"/>
                <w:lang w:val="en-GB"/>
              </w:rPr>
              <w:t xml:space="preserve"> SA</w:t>
            </w:r>
          </w:p>
        </w:tc>
        <w:tc>
          <w:tcPr>
            <w:tcW w:w="1417" w:type="dxa"/>
          </w:tcPr>
          <w:p w14:paraId="2BC3170C" w14:textId="613F7111"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73010F58" w14:textId="1C21430B" w:rsidR="34FBC99C" w:rsidRPr="00E305AD" w:rsidRDefault="34FBC99C" w:rsidP="2B30A600">
            <w:pPr>
              <w:rPr>
                <w:rFonts w:eastAsia="Times"/>
                <w:sz w:val="22"/>
                <w:szCs w:val="22"/>
                <w:lang w:val="en-GB"/>
              </w:rPr>
            </w:pPr>
            <w:r w:rsidRPr="00E305AD">
              <w:rPr>
                <w:rFonts w:eastAsia="Times"/>
                <w:sz w:val="22"/>
                <w:szCs w:val="22"/>
                <w:lang w:val="en-GB"/>
              </w:rPr>
              <w:t xml:space="preserve">Next Generation Urban Measurement Methodology </w:t>
            </w:r>
          </w:p>
        </w:tc>
      </w:tr>
    </w:tbl>
    <w:p w14:paraId="5BDB0CEB" w14:textId="7E2A0B78" w:rsidR="00136E7B" w:rsidRPr="00F57FAD" w:rsidRDefault="00BA3326" w:rsidP="00136E7B">
      <w:pPr>
        <w:pStyle w:val="Heading1"/>
      </w:pPr>
      <w:bookmarkStart w:id="161" w:name="_Toc51042288"/>
      <w:bookmarkStart w:id="162" w:name="_Toc438553987"/>
      <w:bookmarkStart w:id="163" w:name="_Toc453929111"/>
      <w:bookmarkStart w:id="164" w:name="_Toc453932982"/>
      <w:bookmarkStart w:id="165" w:name="_Toc454295888"/>
      <w:bookmarkStart w:id="166" w:name="_Toc462664268"/>
      <w:bookmarkStart w:id="167" w:name="_Toc480527861"/>
      <w:r>
        <w:t>1</w:t>
      </w:r>
      <w:r w:rsidR="00CB641D">
        <w:t>1</w:t>
      </w:r>
      <w:r w:rsidR="00136E7B" w:rsidRPr="00F57FAD">
        <w:tab/>
        <w:t>Gender</w:t>
      </w:r>
      <w:bookmarkEnd w:id="161"/>
    </w:p>
    <w:p w14:paraId="7D8B7440" w14:textId="13F00427" w:rsidR="00136E7B" w:rsidRPr="007C0A96" w:rsidRDefault="00136E7B" w:rsidP="00136E7B">
      <w:pPr>
        <w:rPr>
          <w:lang w:val="en-GB"/>
        </w:rPr>
      </w:pPr>
      <w:r w:rsidRPr="004E5B45">
        <w:rPr>
          <w:lang w:val="en-GB"/>
        </w:rPr>
        <w:t xml:space="preserve">In alignment with </w:t>
      </w:r>
      <w:r w:rsidRPr="004E5B45">
        <w:rPr>
          <w:rFonts w:eastAsia="SimSun"/>
          <w:szCs w:val="24"/>
          <w:lang w:val="en-GB"/>
        </w:rPr>
        <w:t xml:space="preserve">ITU-T Resolution 55 (Rev. </w:t>
      </w:r>
      <w:proofErr w:type="spellStart"/>
      <w:r w:rsidRPr="004E5B45">
        <w:rPr>
          <w:rFonts w:eastAsia="SimSun"/>
          <w:szCs w:val="24"/>
          <w:lang w:val="en-GB"/>
        </w:rPr>
        <w:t>Hammamet</w:t>
      </w:r>
      <w:proofErr w:type="spellEnd"/>
      <w:r w:rsidRPr="004E5B45">
        <w:rPr>
          <w:rFonts w:eastAsia="SimSun"/>
          <w:szCs w:val="24"/>
          <w:lang w:val="en-GB"/>
        </w:rPr>
        <w:t xml:space="preserve">, 2016), </w:t>
      </w:r>
      <w:r w:rsidRPr="004E5B45">
        <w:rPr>
          <w:lang w:val="en-GB"/>
        </w:rPr>
        <w:t xml:space="preserve">TSB continues to undertake actions to improve gender equality in TSB and ITU-T. </w:t>
      </w:r>
      <w:r w:rsidRPr="004E5B45">
        <w:rPr>
          <w:rFonts w:eastAsia="SimSun"/>
          <w:szCs w:val="24"/>
          <w:lang w:val="en-GB"/>
        </w:rPr>
        <w:t xml:space="preserve">TSB has endorsed the “Gender Responsive Standards” initiative </w:t>
      </w:r>
      <w:r w:rsidR="004A71B8">
        <w:rPr>
          <w:rFonts w:eastAsia="SimSun"/>
          <w:szCs w:val="24"/>
          <w:lang w:val="en-GB"/>
        </w:rPr>
        <w:t xml:space="preserve">of </w:t>
      </w:r>
      <w:r w:rsidRPr="004E5B45">
        <w:rPr>
          <w:rFonts w:eastAsia="SimSun"/>
          <w:szCs w:val="24"/>
          <w:lang w:val="en-GB"/>
        </w:rPr>
        <w:t>UNECE which aims to improve gender balance in standards development and ensure that the content and impacts of standards are gender responsive.</w:t>
      </w:r>
      <w:r w:rsidRPr="004E5B45">
        <w:rPr>
          <w:lang w:val="en-GB"/>
        </w:rPr>
        <w:t xml:space="preserve"> Diversity of staff, gender equality and the empowerment of women continue to be among TSB's priorities.</w:t>
      </w:r>
    </w:p>
    <w:p w14:paraId="69F7B621" w14:textId="0A7C363F" w:rsidR="00136E7B" w:rsidRPr="00F57FAD" w:rsidRDefault="00136E7B" w:rsidP="00136E7B">
      <w:pPr>
        <w:pStyle w:val="Heading1"/>
      </w:pPr>
      <w:bookmarkStart w:id="168" w:name="_Toc51042289"/>
      <w:r w:rsidRPr="00F57FAD">
        <w:t>1</w:t>
      </w:r>
      <w:r w:rsidR="00CB641D">
        <w:t>2</w:t>
      </w:r>
      <w:r w:rsidRPr="00F57FAD">
        <w:tab/>
        <w:t>Academia</w:t>
      </w:r>
      <w:bookmarkEnd w:id="162"/>
      <w:bookmarkEnd w:id="163"/>
      <w:bookmarkEnd w:id="164"/>
      <w:bookmarkEnd w:id="165"/>
      <w:bookmarkEnd w:id="166"/>
      <w:bookmarkEnd w:id="167"/>
      <w:bookmarkEnd w:id="168"/>
    </w:p>
    <w:p w14:paraId="5F130BFE" w14:textId="1E467DFF" w:rsidR="00136E7B" w:rsidRPr="00F57FAD" w:rsidRDefault="00136E7B" w:rsidP="00136E7B">
      <w:pPr>
        <w:pStyle w:val="Heading2"/>
      </w:pPr>
      <w:bookmarkStart w:id="169" w:name="_Toc51042290"/>
      <w:r w:rsidRPr="00F57FAD">
        <w:t>1</w:t>
      </w:r>
      <w:r w:rsidR="00CB641D">
        <w:t>2</w:t>
      </w:r>
      <w:r w:rsidRPr="00F57FAD">
        <w:t>.1</w:t>
      </w:r>
      <w:r w:rsidRPr="00F57FAD">
        <w:tab/>
        <w:t>ITU Kaleidoscope academic conferences</w:t>
      </w:r>
      <w:bookmarkEnd w:id="169"/>
    </w:p>
    <w:p w14:paraId="78C000B6" w14:textId="0E30FDA2" w:rsidR="00136E7B" w:rsidRPr="004E5B45" w:rsidRDefault="00136E7B" w:rsidP="00136E7B">
      <w:pPr>
        <w:rPr>
          <w:lang w:val="en-GB"/>
        </w:rPr>
      </w:pPr>
      <w:r w:rsidRPr="004E5B45">
        <w:rPr>
          <w:lang w:val="en-GB"/>
        </w:rPr>
        <w:t xml:space="preserve">The ITU Kaleidoscope series of peer-reviewed academic conferences – technically co-sponsored by the IEEE Communications Society (IEEE </w:t>
      </w:r>
      <w:proofErr w:type="spellStart"/>
      <w:r w:rsidRPr="004E5B45">
        <w:rPr>
          <w:lang w:val="en-GB"/>
        </w:rPr>
        <w:t>ComSoc</w:t>
      </w:r>
      <w:proofErr w:type="spellEnd"/>
      <w:r w:rsidRPr="004E5B45">
        <w:rPr>
          <w:lang w:val="en-GB"/>
        </w:rPr>
        <w:t xml:space="preserve">) – calls for original research on </w:t>
      </w:r>
      <w:r w:rsidR="004A71B8">
        <w:rPr>
          <w:lang w:val="en-GB"/>
        </w:rPr>
        <w:t xml:space="preserve">topics of growing strategic relevance to ITU membership. </w:t>
      </w:r>
    </w:p>
    <w:p w14:paraId="20398B41" w14:textId="4AA0D40E" w:rsidR="0F0A21E7" w:rsidRDefault="0F0A21E7">
      <w:pPr>
        <w:rPr>
          <w:szCs w:val="24"/>
          <w:lang w:val="en-GB"/>
        </w:rPr>
      </w:pPr>
      <w:r w:rsidRPr="7EC87BF3">
        <w:rPr>
          <w:szCs w:val="24"/>
          <w:lang w:val="en-GB"/>
        </w:rPr>
        <w:t xml:space="preserve">The </w:t>
      </w:r>
      <w:r w:rsidR="004A71B8">
        <w:rPr>
          <w:szCs w:val="24"/>
          <w:lang w:val="en-GB"/>
        </w:rPr>
        <w:t>twelfth</w:t>
      </w:r>
      <w:r w:rsidRPr="7EC87BF3">
        <w:rPr>
          <w:szCs w:val="24"/>
          <w:lang w:val="en-GB"/>
        </w:rPr>
        <w:t xml:space="preserve"> edition of the ITU Kaleidoscope conference will take place</w:t>
      </w:r>
      <w:r w:rsidR="004A71B8">
        <w:rPr>
          <w:szCs w:val="24"/>
          <w:lang w:val="en-GB"/>
        </w:rPr>
        <w:t xml:space="preserve"> virtually</w:t>
      </w:r>
      <w:r w:rsidRPr="7EC87BF3">
        <w:rPr>
          <w:szCs w:val="24"/>
          <w:lang w:val="en-GB"/>
        </w:rPr>
        <w:t xml:space="preserve"> from 7</w:t>
      </w:r>
      <w:r w:rsidR="004A71B8">
        <w:rPr>
          <w:szCs w:val="24"/>
          <w:lang w:val="en-GB"/>
        </w:rPr>
        <w:t xml:space="preserve"> to </w:t>
      </w:r>
      <w:r w:rsidRPr="7EC87BF3">
        <w:rPr>
          <w:szCs w:val="24"/>
          <w:lang w:val="en-GB"/>
        </w:rPr>
        <w:t xml:space="preserve">11 December 2020 on the topic of </w:t>
      </w:r>
      <w:hyperlink r:id="rId128" w:history="1">
        <w:r w:rsidRPr="7EC87BF3">
          <w:rPr>
            <w:rStyle w:val="Hyperlink"/>
            <w:szCs w:val="24"/>
            <w:lang w:val="en-GB"/>
          </w:rPr>
          <w:t>Industry-driven digital transformation</w:t>
        </w:r>
      </w:hyperlink>
      <w:r w:rsidRPr="7EC87BF3">
        <w:rPr>
          <w:szCs w:val="24"/>
          <w:lang w:val="en-GB"/>
        </w:rPr>
        <w:t xml:space="preserve">. This year the conference continues to be technically co-sponsored by the IEEE Communications Society (IEEE </w:t>
      </w:r>
      <w:proofErr w:type="spellStart"/>
      <w:r w:rsidRPr="7EC87BF3">
        <w:rPr>
          <w:szCs w:val="24"/>
          <w:lang w:val="en-GB"/>
        </w:rPr>
        <w:t>ComSoc</w:t>
      </w:r>
      <w:proofErr w:type="spellEnd"/>
      <w:r w:rsidRPr="7EC87BF3">
        <w:rPr>
          <w:szCs w:val="24"/>
          <w:lang w:val="en-GB"/>
        </w:rPr>
        <w:t xml:space="preserve">) </w:t>
      </w:r>
      <w:r w:rsidRPr="7EC87BF3">
        <w:rPr>
          <w:szCs w:val="24"/>
          <w:lang w:val="en-GB"/>
        </w:rPr>
        <w:lastRenderedPageBreak/>
        <w:t xml:space="preserve">and is also supported by the IEEE Technology and Engineering Management Society (IEEE TEMS). Initially intended to take place in Ha </w:t>
      </w:r>
      <w:proofErr w:type="spellStart"/>
      <w:r w:rsidRPr="7EC87BF3">
        <w:rPr>
          <w:szCs w:val="24"/>
          <w:lang w:val="en-GB"/>
        </w:rPr>
        <w:t>Noi</w:t>
      </w:r>
      <w:proofErr w:type="spellEnd"/>
      <w:r w:rsidRPr="7EC87BF3">
        <w:rPr>
          <w:szCs w:val="24"/>
          <w:lang w:val="en-GB"/>
        </w:rPr>
        <w:t>, Vietnam, the academic conference will now be held as a fully online conference.</w:t>
      </w:r>
    </w:p>
    <w:p w14:paraId="16F3E971" w14:textId="64F7A4A4" w:rsidR="006B4EC0" w:rsidRDefault="006B4EC0">
      <w:r w:rsidRPr="006B4EC0">
        <w:rPr>
          <w:lang w:val="en-GB"/>
        </w:rPr>
        <w:t xml:space="preserve">Kaleidoscope 2020 will feature a global representation of expert views and demos. </w:t>
      </w:r>
      <w:r w:rsidRPr="006B4EC0">
        <w:t xml:space="preserve">From early research prototypes to production-ready systems, a </w:t>
      </w:r>
      <w:hyperlink r:id="rId129" w:history="1">
        <w:r w:rsidRPr="006B4EC0">
          <w:rPr>
            <w:rStyle w:val="Hyperlink"/>
          </w:rPr>
          <w:t>Call for Demos</w:t>
        </w:r>
      </w:hyperlink>
      <w:r w:rsidRPr="006B4EC0">
        <w:t xml:space="preserve"> is welcoming emerging concepts in applied research as well as concepts already seeing application in industry.</w:t>
      </w:r>
    </w:p>
    <w:p w14:paraId="6C55357A" w14:textId="44ABB394" w:rsidR="00136E7B" w:rsidRPr="0098310A" w:rsidRDefault="00136E7B" w:rsidP="0098310A">
      <w:pPr>
        <w:pStyle w:val="Heading2"/>
      </w:pPr>
      <w:bookmarkStart w:id="170" w:name="_Toc51042291"/>
      <w:r w:rsidRPr="00F57FAD">
        <w:t>1</w:t>
      </w:r>
      <w:r w:rsidR="00CB641D">
        <w:t>2</w:t>
      </w:r>
      <w:r w:rsidRPr="00F57FAD">
        <w:t>.2</w:t>
      </w:r>
      <w:r w:rsidRPr="00F57FAD">
        <w:tab/>
        <w:t>ITU Journal</w:t>
      </w:r>
      <w:bookmarkEnd w:id="170"/>
    </w:p>
    <w:p w14:paraId="3C55C201" w14:textId="77777777" w:rsidR="004A71B8" w:rsidRDefault="004A71B8" w:rsidP="004A71B8">
      <w:pPr>
        <w:rPr>
          <w:szCs w:val="24"/>
          <w:lang w:val="en-GB"/>
        </w:rPr>
      </w:pPr>
      <w:r w:rsidRPr="004A71B8">
        <w:rPr>
          <w:szCs w:val="24"/>
          <w:lang w:val="en-GB"/>
        </w:rPr>
        <w:t xml:space="preserve">The ITU Journal: </w:t>
      </w:r>
      <w:r w:rsidRPr="004A71B8">
        <w:rPr>
          <w:i/>
          <w:iCs/>
          <w:szCs w:val="24"/>
          <w:lang w:val="en-GB"/>
        </w:rPr>
        <w:t>ICT Discoveries</w:t>
      </w:r>
      <w:r w:rsidRPr="004A71B8">
        <w:rPr>
          <w:szCs w:val="24"/>
          <w:lang w:val="en-GB"/>
        </w:rPr>
        <w:t xml:space="preserve"> published its final special issue on “</w:t>
      </w:r>
      <w:hyperlink r:id="rId130" w:history="1">
        <w:r w:rsidRPr="004A71B8">
          <w:rPr>
            <w:rStyle w:val="Hyperlink"/>
            <w:color w:val="0563C1"/>
            <w:szCs w:val="24"/>
            <w:lang w:val="en-GB"/>
          </w:rPr>
          <w:t>The future of video and immersive media</w:t>
        </w:r>
      </w:hyperlink>
      <w:r w:rsidRPr="004A71B8">
        <w:rPr>
          <w:rStyle w:val="Hyperlink"/>
          <w:color w:val="0563C1"/>
          <w:szCs w:val="24"/>
          <w:lang w:val="en-GB"/>
        </w:rPr>
        <w:t>”</w:t>
      </w:r>
      <w:r w:rsidRPr="004A71B8">
        <w:rPr>
          <w:szCs w:val="24"/>
          <w:lang w:val="en-GB"/>
        </w:rPr>
        <w:t xml:space="preserve">. This complete issue was published in July 2020 and includes twelve original research papers exploring the state of the art in multimedia as well as history review article on the Emmy-winning development of the first edition of the JPEG image compression standard. </w:t>
      </w:r>
    </w:p>
    <w:p w14:paraId="2C0082A3" w14:textId="7D5191B2" w:rsidR="004A71B8" w:rsidRPr="004A71B8" w:rsidRDefault="004A71B8" w:rsidP="004A71B8">
      <w:pPr>
        <w:rPr>
          <w:szCs w:val="24"/>
          <w:lang w:val="en-GB"/>
        </w:rPr>
      </w:pPr>
      <w:r w:rsidRPr="004A71B8">
        <w:rPr>
          <w:szCs w:val="24"/>
          <w:lang w:val="en-GB"/>
        </w:rPr>
        <w:t xml:space="preserve">The ITU Journal has since renewed its title to renew its focus on the future. Launched in August 2020 with a new </w:t>
      </w:r>
      <w:hyperlink r:id="rId131" w:history="1">
        <w:r w:rsidRPr="004A71B8">
          <w:rPr>
            <w:rStyle w:val="Hyperlink"/>
            <w:color w:val="0563C1"/>
            <w:szCs w:val="24"/>
            <w:lang w:val="en-GB"/>
          </w:rPr>
          <w:t>Editor-in-Chief</w:t>
        </w:r>
      </w:hyperlink>
      <w:r w:rsidRPr="004A71B8">
        <w:rPr>
          <w:szCs w:val="24"/>
          <w:lang w:val="en-GB"/>
        </w:rPr>
        <w:t xml:space="preserve">, the </w:t>
      </w:r>
      <w:hyperlink r:id="rId132" w:history="1">
        <w:r w:rsidRPr="004A71B8">
          <w:rPr>
            <w:rStyle w:val="Hyperlink"/>
            <w:color w:val="0563C1"/>
            <w:szCs w:val="24"/>
            <w:lang w:val="en-GB"/>
          </w:rPr>
          <w:t>ITU Journal on Future and Evolving Technologies</w:t>
        </w:r>
      </w:hyperlink>
      <w:r w:rsidRPr="004A71B8">
        <w:rPr>
          <w:szCs w:val="24"/>
          <w:lang w:val="en-GB"/>
        </w:rPr>
        <w:t xml:space="preserve"> – free of charge for both readers and authors – will provide complete coverage of all communications and networking paradigms.</w:t>
      </w:r>
    </w:p>
    <w:p w14:paraId="7F75F2BD" w14:textId="3BD4F22A" w:rsidR="004A71B8" w:rsidRPr="004A71B8" w:rsidRDefault="004A71B8" w:rsidP="7EC87BF3">
      <w:pPr>
        <w:rPr>
          <w:color w:val="000000" w:themeColor="text1"/>
          <w:szCs w:val="24"/>
          <w:lang w:val="en-GB"/>
        </w:rPr>
      </w:pPr>
      <w:r w:rsidRPr="004A71B8">
        <w:rPr>
          <w:color w:val="000000" w:themeColor="text1"/>
          <w:szCs w:val="24"/>
          <w:lang w:val="en-GB"/>
        </w:rPr>
        <w:t xml:space="preserve">In line with the co-publishing agreement signed between ITU and Tsinghua University Press Ltd. in 2019, the new joint ITU-Tsinghua journal on </w:t>
      </w:r>
      <w:hyperlink r:id="rId133" w:history="1">
        <w:r w:rsidRPr="004A71B8">
          <w:rPr>
            <w:rStyle w:val="Hyperlink"/>
            <w:color w:val="0070C0"/>
            <w:szCs w:val="24"/>
            <w:lang w:val="en-GB"/>
          </w:rPr>
          <w:t>Intelligent and Converged Networks</w:t>
        </w:r>
      </w:hyperlink>
      <w:r w:rsidRPr="004A71B8">
        <w:rPr>
          <w:color w:val="000000" w:themeColor="text1"/>
          <w:szCs w:val="24"/>
          <w:lang w:val="en-GB"/>
        </w:rPr>
        <w:t xml:space="preserve"> published its first issue in June 2020.</w:t>
      </w:r>
    </w:p>
    <w:p w14:paraId="17E5DD17" w14:textId="21E0CD7E" w:rsidR="00136E7B" w:rsidRPr="00F57FAD" w:rsidRDefault="00136E7B" w:rsidP="00136E7B">
      <w:pPr>
        <w:pStyle w:val="Heading2"/>
      </w:pPr>
      <w:bookmarkStart w:id="171" w:name="_Toc51042292"/>
      <w:r w:rsidRPr="00F57FAD">
        <w:t>1</w:t>
      </w:r>
      <w:r w:rsidR="00CB641D">
        <w:t>2</w:t>
      </w:r>
      <w:r w:rsidRPr="00F57FAD">
        <w:t>.3</w:t>
      </w:r>
      <w:r w:rsidRPr="00F57FAD">
        <w:tab/>
        <w:t>World Standards Cooperation and Academia</w:t>
      </w:r>
      <w:bookmarkEnd w:id="171"/>
    </w:p>
    <w:p w14:paraId="685F7EF0" w14:textId="77777777" w:rsidR="00136E7B" w:rsidRPr="004E5B45" w:rsidRDefault="00136E7B" w:rsidP="00136E7B">
      <w:pPr>
        <w:rPr>
          <w:lang w:val="en-GB"/>
        </w:rPr>
      </w:pPr>
      <w:r w:rsidRPr="004E5B45">
        <w:rPr>
          <w:lang w:val="en-GB"/>
        </w:rPr>
        <w:t xml:space="preserve">IEC, ISO and ITU organize academic events under the banner of the World Standards Cooperation to discuss the role played by academia in the standards-development process. See relevant </w:t>
      </w:r>
      <w:hyperlink r:id="rId134" w:history="1">
        <w:r w:rsidRPr="004E5B45">
          <w:rPr>
            <w:rStyle w:val="Hyperlink"/>
            <w:lang w:val="en-GB"/>
          </w:rPr>
          <w:t>web page</w:t>
        </w:r>
      </w:hyperlink>
      <w:r w:rsidRPr="004E5B45">
        <w:rPr>
          <w:lang w:val="en-GB"/>
        </w:rPr>
        <w:t>.</w:t>
      </w:r>
    </w:p>
    <w:p w14:paraId="3295B73F" w14:textId="4E5B1011" w:rsidR="00136E7B" w:rsidRPr="00036FD7" w:rsidRDefault="00136E7B" w:rsidP="00136E7B">
      <w:pPr>
        <w:rPr>
          <w:lang w:val="en-GB"/>
        </w:rPr>
      </w:pPr>
      <w:r w:rsidRPr="00036FD7">
        <w:rPr>
          <w:lang w:val="en-GB"/>
        </w:rPr>
        <w:t>WSC Academic Days took place in China (2011), Indonesia (2012), France (2013), Canada (2014), Korea (2015), Germany (2016), the U.S. (2017)</w:t>
      </w:r>
      <w:r w:rsidR="1F71E6C7" w:rsidRPr="00036FD7">
        <w:rPr>
          <w:lang w:val="en-GB"/>
        </w:rPr>
        <w:t>,</w:t>
      </w:r>
      <w:r w:rsidR="004A71B8">
        <w:rPr>
          <w:lang w:val="en-GB"/>
        </w:rPr>
        <w:t xml:space="preserve"> </w:t>
      </w:r>
      <w:r w:rsidRPr="00036FD7">
        <w:rPr>
          <w:lang w:val="en-GB"/>
        </w:rPr>
        <w:t>Indonesia (2018)</w:t>
      </w:r>
      <w:r w:rsidR="5127AE58" w:rsidRPr="00036FD7">
        <w:rPr>
          <w:lang w:val="en-GB"/>
        </w:rPr>
        <w:t xml:space="preserve"> and Serbia (2019)</w:t>
      </w:r>
      <w:r w:rsidRPr="00036FD7">
        <w:rPr>
          <w:lang w:val="en-GB"/>
        </w:rPr>
        <w:t>. These events are held in conjunction with the annual International Cooperation for Education about Standardization (ICES) conferences.</w:t>
      </w:r>
    </w:p>
    <w:p w14:paraId="0947295C" w14:textId="132E06D5" w:rsidR="00136E7B" w:rsidRPr="00F57FAD" w:rsidRDefault="00136E7B" w:rsidP="00136E7B">
      <w:pPr>
        <w:pStyle w:val="Heading1"/>
      </w:pPr>
      <w:bookmarkStart w:id="172" w:name="_Toc462664274"/>
      <w:bookmarkStart w:id="173" w:name="_Toc480527863"/>
      <w:bookmarkStart w:id="174" w:name="_Toc51042293"/>
      <w:bookmarkStart w:id="175" w:name="_Toc453929120"/>
      <w:bookmarkStart w:id="176" w:name="_Toc453932991"/>
      <w:bookmarkStart w:id="177" w:name="_Toc454295897"/>
      <w:bookmarkStart w:id="178" w:name="_Toc387390042"/>
      <w:bookmarkStart w:id="179" w:name="_Toc416161372"/>
      <w:bookmarkStart w:id="180" w:name="_Toc438553998"/>
      <w:r w:rsidRPr="00F57FAD">
        <w:t>1</w:t>
      </w:r>
      <w:r w:rsidR="00CB641D">
        <w:t>3</w:t>
      </w:r>
      <w:r w:rsidRPr="00F57FAD">
        <w:tab/>
        <w:t>Publications</w:t>
      </w:r>
      <w:bookmarkEnd w:id="172"/>
      <w:bookmarkEnd w:id="173"/>
      <w:bookmarkEnd w:id="174"/>
    </w:p>
    <w:p w14:paraId="0A0A5DEE" w14:textId="4678424D" w:rsidR="00136E7B" w:rsidRPr="00CD5204" w:rsidRDefault="00136E7B" w:rsidP="00136E7B">
      <w:pPr>
        <w:rPr>
          <w:lang w:val="en-GB"/>
        </w:rPr>
      </w:pPr>
      <w:r w:rsidRPr="00CD5204">
        <w:rPr>
          <w:lang w:val="en-GB"/>
        </w:rPr>
        <w:t xml:space="preserve">Over </w:t>
      </w:r>
      <w:r w:rsidR="21DBE819" w:rsidRPr="00CD5204">
        <w:rPr>
          <w:lang w:val="en-GB"/>
        </w:rPr>
        <w:t>12</w:t>
      </w:r>
      <w:r w:rsidRPr="00CD5204">
        <w:rPr>
          <w:lang w:val="en-GB"/>
        </w:rPr>
        <w:t>,</w:t>
      </w:r>
      <w:r w:rsidR="425CC246" w:rsidRPr="00CD5204">
        <w:rPr>
          <w:lang w:val="en-GB"/>
        </w:rPr>
        <w:t>5</w:t>
      </w:r>
      <w:r w:rsidRPr="00CD5204">
        <w:rPr>
          <w:lang w:val="en-GB"/>
        </w:rPr>
        <w:t xml:space="preserve">00 pages of ITU-T Recommendations and Supplements were published between </w:t>
      </w:r>
      <w:r w:rsidR="329AD0D3" w:rsidRPr="00CD5204">
        <w:rPr>
          <w:lang w:val="en-GB"/>
        </w:rPr>
        <w:t>January</w:t>
      </w:r>
      <w:r w:rsidRPr="00CD5204">
        <w:rPr>
          <w:lang w:val="en-GB"/>
        </w:rPr>
        <w:t xml:space="preserve"> and </w:t>
      </w:r>
      <w:r w:rsidR="51FA3EF3" w:rsidRPr="00CD5204">
        <w:rPr>
          <w:lang w:val="en-GB"/>
        </w:rPr>
        <w:t>August</w:t>
      </w:r>
      <w:r w:rsidRPr="00CD5204">
        <w:rPr>
          <w:lang w:val="en-GB"/>
        </w:rPr>
        <w:t xml:space="preserve"> 20</w:t>
      </w:r>
      <w:r w:rsidR="1948E4B3" w:rsidRPr="00CD5204">
        <w:rPr>
          <w:lang w:val="en-GB"/>
        </w:rPr>
        <w:t>20</w:t>
      </w:r>
      <w:r w:rsidRPr="00CD5204">
        <w:rPr>
          <w:lang w:val="en-GB"/>
        </w:rPr>
        <w:t>. Figure 4 illustrates the number of Recommendations (including Supplements) published per year since 2016, noting that 20</w:t>
      </w:r>
      <w:r w:rsidR="0F1B0CE3" w:rsidRPr="00CD5204">
        <w:rPr>
          <w:lang w:val="en-GB"/>
        </w:rPr>
        <w:t>20</w:t>
      </w:r>
      <w:r w:rsidRPr="00CD5204">
        <w:rPr>
          <w:lang w:val="en-GB"/>
        </w:rPr>
        <w:t xml:space="preserve"> covers only until </w:t>
      </w:r>
      <w:r w:rsidR="26C416EC" w:rsidRPr="00CD5204">
        <w:rPr>
          <w:lang w:val="en-GB"/>
        </w:rPr>
        <w:t>end August</w:t>
      </w:r>
      <w:r w:rsidRPr="00CD5204">
        <w:rPr>
          <w:lang w:val="en-GB"/>
        </w:rPr>
        <w:t>.</w:t>
      </w:r>
    </w:p>
    <w:p w14:paraId="4AC22D15" w14:textId="77777777" w:rsidR="00136E7B" w:rsidRPr="00CD5204" w:rsidRDefault="00136E7B" w:rsidP="00136E7B">
      <w:pPr>
        <w:rPr>
          <w:lang w:val="en-GB"/>
        </w:rPr>
      </w:pPr>
      <w:r w:rsidRPr="00CD5204">
        <w:rPr>
          <w:lang w:val="en-GB"/>
        </w:rPr>
        <w:t xml:space="preserve">All major editions of ITU-T Recommendations are now also being converted to the reflowable </w:t>
      </w:r>
      <w:proofErr w:type="spellStart"/>
      <w:r w:rsidRPr="00CD5204">
        <w:rPr>
          <w:lang w:val="en-GB"/>
        </w:rPr>
        <w:t>ePub</w:t>
      </w:r>
      <w:proofErr w:type="spellEnd"/>
      <w:r w:rsidRPr="00CD5204">
        <w:rPr>
          <w:lang w:val="en-GB"/>
        </w:rPr>
        <w:t xml:space="preserve"> </w:t>
      </w:r>
      <w:proofErr w:type="gramStart"/>
      <w:r w:rsidRPr="00CD5204">
        <w:rPr>
          <w:lang w:val="en-GB"/>
        </w:rPr>
        <w:t>format, and</w:t>
      </w:r>
      <w:proofErr w:type="gramEnd"/>
      <w:r w:rsidRPr="00CD5204">
        <w:rPr>
          <w:lang w:val="en-GB"/>
        </w:rPr>
        <w:t xml:space="preserve"> are published for free download alongside the usual PDF format. The </w:t>
      </w:r>
      <w:proofErr w:type="spellStart"/>
      <w:r w:rsidRPr="00CD5204">
        <w:rPr>
          <w:lang w:val="en-GB"/>
        </w:rPr>
        <w:t>ePub</w:t>
      </w:r>
      <w:proofErr w:type="spellEnd"/>
      <w:r w:rsidRPr="00CD5204">
        <w:rPr>
          <w:lang w:val="en-GB"/>
        </w:rPr>
        <w:t xml:space="preserve"> format allows users to read the Recommendations on devices of different screen sizes, and also to apply functions such as bookmarks, </w:t>
      </w:r>
      <w:proofErr w:type="gramStart"/>
      <w:r w:rsidRPr="00CD5204">
        <w:rPr>
          <w:lang w:val="en-GB"/>
        </w:rPr>
        <w:t>notes</w:t>
      </w:r>
      <w:proofErr w:type="gramEnd"/>
      <w:r w:rsidRPr="00CD5204">
        <w:rPr>
          <w:lang w:val="en-GB"/>
        </w:rPr>
        <w:t xml:space="preserve"> and highlights.</w:t>
      </w:r>
    </w:p>
    <w:p w14:paraId="16484C42" w14:textId="029BFCA8" w:rsidR="00136E7B" w:rsidRPr="00CD5204" w:rsidRDefault="00136E7B" w:rsidP="00136E7B">
      <w:pPr>
        <w:rPr>
          <w:lang w:val="en-GB"/>
        </w:rPr>
      </w:pPr>
      <w:r w:rsidRPr="00CD5204">
        <w:rPr>
          <w:lang w:val="en-GB"/>
        </w:rPr>
        <w:t>As approved by TSAG, most corrigenda and amendments to ITU-T Recommendations are now integrated into the main edition. The changes introduced by the amendment or corrigendum are shown in revision marks.</w:t>
      </w:r>
    </w:p>
    <w:p w14:paraId="6EA23A58" w14:textId="77777777" w:rsidR="00136E7B" w:rsidRPr="00CD5204" w:rsidRDefault="00136E7B" w:rsidP="00136E7B">
      <w:pPr>
        <w:rPr>
          <w:lang w:val="en-GB"/>
        </w:rPr>
      </w:pPr>
      <w:r w:rsidRPr="00CD5204">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0D559B3E" w:rsidR="00136E7B" w:rsidRPr="00A4066E" w:rsidRDefault="00136E7B" w:rsidP="00136E7B">
      <w:pPr>
        <w:jc w:val="center"/>
        <w:rPr>
          <w:lang w:val="en-GB"/>
        </w:rPr>
      </w:pPr>
      <w:r w:rsidRPr="5F2B6CF0">
        <w:rPr>
          <w:lang w:val="en-GB" w:eastAsia="en-GB"/>
        </w:rPr>
        <w:lastRenderedPageBreak/>
        <w:t xml:space="preserve"> </w:t>
      </w:r>
      <w:r w:rsidR="4778500E">
        <w:rPr>
          <w:noProof/>
        </w:rPr>
        <w:drawing>
          <wp:inline distT="0" distB="0" distL="0" distR="0" wp14:anchorId="48FDF757" wp14:editId="40491204">
            <wp:extent cx="4972050" cy="2628900"/>
            <wp:effectExtent l="0" t="0" r="0" b="0"/>
            <wp:docPr id="520275553" name="Picture 5202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275553"/>
                    <pic:cNvPicPr/>
                  </pic:nvPicPr>
                  <pic:blipFill>
                    <a:blip r:embed="rId135">
                      <a:extLst>
                        <a:ext uri="{28A0092B-C50C-407E-A947-70E740481C1C}">
                          <a14:useLocalDpi xmlns:a14="http://schemas.microsoft.com/office/drawing/2010/main" val="0"/>
                        </a:ext>
                      </a:extLst>
                    </a:blip>
                    <a:stretch>
                      <a:fillRect/>
                    </a:stretch>
                  </pic:blipFill>
                  <pic:spPr>
                    <a:xfrm>
                      <a:off x="0" y="0"/>
                      <a:ext cx="4972050" cy="2628900"/>
                    </a:xfrm>
                    <a:prstGeom prst="rect">
                      <a:avLst/>
                    </a:prstGeom>
                  </pic:spPr>
                </pic:pic>
              </a:graphicData>
            </a:graphic>
          </wp:inline>
        </w:drawing>
      </w:r>
    </w:p>
    <w:p w14:paraId="3C05A50B" w14:textId="77777777" w:rsidR="00136E7B" w:rsidRPr="001759E6" w:rsidRDefault="00136E7B" w:rsidP="00136E7B">
      <w:pPr>
        <w:jc w:val="center"/>
        <w:rPr>
          <w:rFonts w:eastAsia="MS Mincho"/>
          <w:b/>
          <w:lang w:val="en-GB"/>
        </w:rPr>
      </w:pPr>
      <w:bookmarkStart w:id="181" w:name="_Toc16780647"/>
      <w:r w:rsidRPr="00CD5204">
        <w:rPr>
          <w:rFonts w:eastAsia="MS Mincho"/>
          <w:b/>
          <w:lang w:val="en-GB"/>
        </w:rPr>
        <w:t xml:space="preserve">Figure </w:t>
      </w:r>
      <w:r w:rsidRPr="00CD5204">
        <w:rPr>
          <w:rFonts w:eastAsia="MS Mincho"/>
          <w:b/>
          <w:color w:val="2B579A"/>
          <w:lang w:val="en-GB"/>
        </w:rPr>
        <w:fldChar w:fldCharType="begin"/>
      </w:r>
      <w:r w:rsidRPr="00CD5204">
        <w:rPr>
          <w:rFonts w:eastAsia="MS Mincho"/>
          <w:b/>
          <w:lang w:val="en-GB"/>
        </w:rPr>
        <w:instrText xml:space="preserve"> SEQ Figure \* ARABIC </w:instrText>
      </w:r>
      <w:r w:rsidRPr="00CD5204">
        <w:rPr>
          <w:rFonts w:eastAsia="MS Mincho"/>
          <w:b/>
          <w:color w:val="2B579A"/>
          <w:lang w:val="en-GB"/>
        </w:rPr>
        <w:fldChar w:fldCharType="separate"/>
      </w:r>
      <w:r w:rsidRPr="00CD5204">
        <w:rPr>
          <w:rFonts w:eastAsia="MS Mincho"/>
          <w:b/>
          <w:lang w:val="en-GB"/>
        </w:rPr>
        <w:t>4</w:t>
      </w:r>
      <w:r w:rsidRPr="00CD5204">
        <w:rPr>
          <w:rFonts w:eastAsia="MS Mincho"/>
          <w:b/>
          <w:color w:val="2B579A"/>
          <w:lang w:val="en-GB"/>
        </w:rPr>
        <w:fldChar w:fldCharType="end"/>
      </w:r>
      <w:r w:rsidRPr="00CD5204">
        <w:rPr>
          <w:rFonts w:eastAsia="MS Mincho"/>
          <w:b/>
          <w:lang w:val="en-GB"/>
        </w:rPr>
        <w:t xml:space="preserve"> – Number of Recommendations, </w:t>
      </w:r>
      <w:proofErr w:type="gramStart"/>
      <w:r w:rsidRPr="00CD5204">
        <w:rPr>
          <w:rFonts w:eastAsia="MS Mincho"/>
          <w:b/>
          <w:lang w:val="en-GB"/>
        </w:rPr>
        <w:t>amendments</w:t>
      </w:r>
      <w:proofErr w:type="gramEnd"/>
      <w:r w:rsidRPr="00CD5204">
        <w:rPr>
          <w:rFonts w:eastAsia="MS Mincho"/>
          <w:b/>
          <w:lang w:val="en-GB"/>
        </w:rPr>
        <w:t xml:space="preserve"> and Supplements </w:t>
      </w:r>
      <w:r>
        <w:rPr>
          <w:rFonts w:eastAsia="MS Mincho"/>
        </w:rPr>
        <w:br/>
      </w:r>
      <w:r w:rsidRPr="00CD5204">
        <w:rPr>
          <w:rFonts w:eastAsia="MS Mincho"/>
          <w:b/>
          <w:lang w:val="en-GB"/>
        </w:rPr>
        <w:t>published per year since 2016</w:t>
      </w:r>
      <w:bookmarkEnd w:id="181"/>
    </w:p>
    <w:p w14:paraId="09867142" w14:textId="07E7BF89" w:rsidR="00136E7B" w:rsidRPr="00F57FAD" w:rsidRDefault="00136E7B" w:rsidP="00A4066E">
      <w:pPr>
        <w:pStyle w:val="Heading1"/>
        <w:spacing w:before="240"/>
      </w:pPr>
      <w:bookmarkStart w:id="182" w:name="_Toc416161374"/>
      <w:bookmarkStart w:id="183" w:name="_Toc438553999"/>
      <w:bookmarkStart w:id="184" w:name="_Toc453929121"/>
      <w:bookmarkStart w:id="185" w:name="_Toc453932992"/>
      <w:bookmarkStart w:id="186" w:name="_Toc454295898"/>
      <w:bookmarkStart w:id="187" w:name="_Toc462664276"/>
      <w:bookmarkStart w:id="188" w:name="_Toc480527868"/>
      <w:bookmarkStart w:id="189" w:name="_Ref16697318"/>
      <w:bookmarkStart w:id="190" w:name="_Toc51042294"/>
      <w:bookmarkEnd w:id="175"/>
      <w:bookmarkEnd w:id="176"/>
      <w:bookmarkEnd w:id="177"/>
      <w:bookmarkEnd w:id="178"/>
      <w:bookmarkEnd w:id="179"/>
      <w:bookmarkEnd w:id="180"/>
      <w:r w:rsidRPr="00F57FAD">
        <w:t>1</w:t>
      </w:r>
      <w:r w:rsidR="00CB641D">
        <w:t>5</w:t>
      </w:r>
      <w:r w:rsidRPr="00F57FAD">
        <w:tab/>
        <w:t>Services and tools</w:t>
      </w:r>
      <w:bookmarkEnd w:id="182"/>
      <w:bookmarkEnd w:id="183"/>
      <w:bookmarkEnd w:id="184"/>
      <w:bookmarkEnd w:id="185"/>
      <w:bookmarkEnd w:id="186"/>
      <w:bookmarkEnd w:id="187"/>
      <w:bookmarkEnd w:id="188"/>
      <w:bookmarkEnd w:id="189"/>
      <w:bookmarkEnd w:id="190"/>
    </w:p>
    <w:p w14:paraId="05B3B757" w14:textId="54DA38F3" w:rsidR="00136E7B" w:rsidRDefault="00136E7B" w:rsidP="00136E7B">
      <w:pPr>
        <w:rPr>
          <w:lang w:val="en-GB"/>
        </w:rPr>
      </w:pPr>
      <w:r w:rsidRPr="004E5B45">
        <w:rPr>
          <w:lang w:val="en-GB"/>
        </w:rPr>
        <w:t xml:space="preserve">Electronic working methods offer crucial support to members engaged in ITU-T standardization work. </w:t>
      </w:r>
      <w:r w:rsidRPr="376C6823">
        <w:rPr>
          <w:lang w:val="en-GB"/>
        </w:rPr>
        <w:t xml:space="preserve">TSB </w:t>
      </w:r>
      <w:r w:rsidR="23BCD338" w:rsidRPr="376C6823">
        <w:rPr>
          <w:lang w:val="en-GB"/>
        </w:rPr>
        <w:t xml:space="preserve">is </w:t>
      </w:r>
      <w:r w:rsidRPr="376C6823">
        <w:rPr>
          <w:lang w:val="en-GB"/>
        </w:rPr>
        <w:t>continu</w:t>
      </w:r>
      <w:r w:rsidR="0BB9C80E" w:rsidRPr="376C6823">
        <w:rPr>
          <w:lang w:val="en-GB"/>
        </w:rPr>
        <w:t>ously</w:t>
      </w:r>
      <w:r w:rsidRPr="376C6823">
        <w:rPr>
          <w:lang w:val="en-GB"/>
        </w:rPr>
        <w:t xml:space="preserve"> develop</w:t>
      </w:r>
      <w:r w:rsidR="6F5664FA" w:rsidRPr="376C6823">
        <w:rPr>
          <w:lang w:val="en-GB"/>
        </w:rPr>
        <w:t>ing</w:t>
      </w:r>
      <w:r w:rsidRPr="004E5B45">
        <w:rPr>
          <w:lang w:val="en-GB"/>
        </w:rPr>
        <w:t xml:space="preserve"> new applications and services</w:t>
      </w:r>
      <w:r w:rsidR="0965978F" w:rsidRPr="376C6823">
        <w:rPr>
          <w:lang w:val="en-GB"/>
        </w:rPr>
        <w:t>, while enhancing existing services,</w:t>
      </w:r>
      <w:r w:rsidRPr="004E5B45">
        <w:rPr>
          <w:lang w:val="en-GB"/>
        </w:rPr>
        <w:t xml:space="preserve"> to maintain and expand ITU-T's advanced electronic working environment.</w:t>
      </w:r>
    </w:p>
    <w:p w14:paraId="5A8D2739" w14:textId="550B4C0F" w:rsidR="00136E7B" w:rsidRPr="00F57FAD" w:rsidRDefault="00136E7B" w:rsidP="00136E7B">
      <w:pPr>
        <w:pStyle w:val="Heading2"/>
      </w:pPr>
      <w:bookmarkStart w:id="191" w:name="_Toc312148142"/>
      <w:bookmarkStart w:id="192" w:name="_Toc462664277"/>
      <w:bookmarkStart w:id="193" w:name="_Toc480527869"/>
      <w:bookmarkStart w:id="194" w:name="_Toc51042295"/>
      <w:r w:rsidRPr="00F57FAD">
        <w:t>1</w:t>
      </w:r>
      <w:r w:rsidR="00CB641D">
        <w:t>5</w:t>
      </w:r>
      <w:r w:rsidRPr="00F57FAD">
        <w:t>.1</w:t>
      </w:r>
      <w:r w:rsidRPr="00F57FAD">
        <w:tab/>
        <w:t>ITU-T databases</w:t>
      </w:r>
      <w:bookmarkEnd w:id="191"/>
      <w:bookmarkEnd w:id="192"/>
      <w:bookmarkEnd w:id="193"/>
      <w:bookmarkEnd w:id="194"/>
    </w:p>
    <w:p w14:paraId="74268C65" w14:textId="7699F144" w:rsidR="00136E7B" w:rsidRPr="004E5B45" w:rsidRDefault="79765E7F" w:rsidP="00136E7B">
      <w:pPr>
        <w:rPr>
          <w:lang w:val="en-GB"/>
        </w:rPr>
      </w:pPr>
      <w:r w:rsidRPr="376C6823">
        <w:rPr>
          <w:lang w:val="en-GB"/>
        </w:rPr>
        <w:t>F</w:t>
      </w:r>
      <w:r w:rsidR="00136E7B" w:rsidRPr="376C6823">
        <w:rPr>
          <w:lang w:val="en-GB"/>
        </w:rPr>
        <w:t xml:space="preserve">ollowing databases are </w:t>
      </w:r>
      <w:r w:rsidR="59F4FAA5" w:rsidRPr="376C6823">
        <w:rPr>
          <w:lang w:val="en-GB"/>
        </w:rPr>
        <w:t xml:space="preserve">made </w:t>
      </w:r>
      <w:r w:rsidR="00136E7B" w:rsidRPr="376C6823">
        <w:rPr>
          <w:lang w:val="en-GB"/>
        </w:rPr>
        <w:t xml:space="preserve">available </w:t>
      </w:r>
      <w:r w:rsidR="72FCC781" w:rsidRPr="376C6823">
        <w:rPr>
          <w:lang w:val="en-GB"/>
        </w:rPr>
        <w:t>for</w:t>
      </w:r>
      <w:r w:rsidR="00136E7B" w:rsidRPr="004E5B45">
        <w:rPr>
          <w:lang w:val="en-GB"/>
        </w:rPr>
        <w:t xml:space="preserve"> ITU-T delegates and secretariat staff:</w:t>
      </w:r>
    </w:p>
    <w:p w14:paraId="05E504F7"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36" w:history="1">
        <w:r w:rsidR="00136E7B" w:rsidRPr="00D44674">
          <w:rPr>
            <w:rStyle w:val="Hyperlink"/>
            <w:rFonts w:asciiTheme="majorBidi" w:eastAsia="SimSun" w:hAnsiTheme="majorBidi" w:cstheme="majorBidi"/>
            <w:lang w:val="en-GB"/>
          </w:rPr>
          <w:t>ITU-T Work Programme</w:t>
        </w:r>
      </w:hyperlink>
    </w:p>
    <w:p w14:paraId="3DFC3E63"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37" w:history="1">
        <w:r w:rsidR="00136E7B" w:rsidRPr="00D44674">
          <w:rPr>
            <w:rStyle w:val="Hyperlink"/>
            <w:rFonts w:asciiTheme="majorBidi" w:eastAsia="SimSun" w:hAnsiTheme="majorBidi" w:cstheme="majorBidi"/>
            <w:lang w:val="en-GB"/>
          </w:rPr>
          <w:t>ITU-T A.4, A.5 and A.6 recognized organizations</w:t>
        </w:r>
      </w:hyperlink>
    </w:p>
    <w:p w14:paraId="10F240D2"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38" w:history="1">
        <w:r w:rsidR="00136E7B" w:rsidRPr="00D44674">
          <w:rPr>
            <w:rStyle w:val="Hyperlink"/>
            <w:rFonts w:asciiTheme="majorBidi" w:hAnsiTheme="majorBidi" w:cstheme="majorBidi"/>
            <w:lang w:val="en-GB"/>
          </w:rPr>
          <w:t>ITU-T AAP</w:t>
        </w:r>
      </w:hyperlink>
      <w:r w:rsidR="00136E7B" w:rsidRPr="00D44674">
        <w:rPr>
          <w:lang w:val="en-GB"/>
        </w:rPr>
        <w:t xml:space="preserve"> &amp; </w:t>
      </w:r>
      <w:hyperlink r:id="rId139" w:history="1">
        <w:r w:rsidR="00136E7B" w:rsidRPr="00D44674">
          <w:rPr>
            <w:rStyle w:val="Hyperlink"/>
            <w:rFonts w:asciiTheme="majorBidi" w:hAnsiTheme="majorBidi" w:cstheme="majorBidi"/>
            <w:lang w:val="en-GB"/>
          </w:rPr>
          <w:t>TAP</w:t>
        </w:r>
      </w:hyperlink>
    </w:p>
    <w:p w14:paraId="38AD7E7F"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0" w:history="1">
        <w:r w:rsidR="00136E7B" w:rsidRPr="00D44674">
          <w:rPr>
            <w:rStyle w:val="Hyperlink"/>
            <w:rFonts w:asciiTheme="majorBidi" w:eastAsia="SimSun" w:hAnsiTheme="majorBidi" w:cstheme="majorBidi"/>
            <w:lang w:val="en-GB"/>
          </w:rPr>
          <w:t>ITU-T Recommendations</w:t>
        </w:r>
      </w:hyperlink>
    </w:p>
    <w:p w14:paraId="72DAAF8A"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1" w:history="1">
        <w:r w:rsidR="00136E7B" w:rsidRPr="00D44674">
          <w:rPr>
            <w:rStyle w:val="Hyperlink"/>
            <w:rFonts w:asciiTheme="majorBidi" w:eastAsia="SimSun" w:hAnsiTheme="majorBidi" w:cstheme="majorBidi"/>
            <w:lang w:val="en-GB"/>
          </w:rPr>
          <w:t>ITU-T Liaison Statements</w:t>
        </w:r>
      </w:hyperlink>
    </w:p>
    <w:p w14:paraId="4A8D466E"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2" w:history="1">
        <w:r w:rsidR="00136E7B" w:rsidRPr="00D44674">
          <w:rPr>
            <w:rStyle w:val="Hyperlink"/>
            <w:rFonts w:asciiTheme="majorBidi" w:eastAsia="SimSun" w:hAnsiTheme="majorBidi" w:cstheme="majorBidi"/>
            <w:lang w:val="en-GB"/>
          </w:rPr>
          <w:t>ITU-T Patents and Software Copyrights</w:t>
        </w:r>
      </w:hyperlink>
    </w:p>
    <w:p w14:paraId="28D3C932"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3" w:history="1">
        <w:r w:rsidR="00136E7B" w:rsidRPr="00D44674">
          <w:rPr>
            <w:rStyle w:val="Hyperlink"/>
            <w:rFonts w:asciiTheme="majorBidi" w:eastAsia="SimSun" w:hAnsiTheme="majorBidi" w:cstheme="majorBidi"/>
            <w:lang w:val="en-GB"/>
          </w:rPr>
          <w:t>ITU Product Conformity Database</w:t>
        </w:r>
      </w:hyperlink>
    </w:p>
    <w:p w14:paraId="5FDA57D5"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4" w:history="1">
        <w:r w:rsidR="00136E7B" w:rsidRPr="00D44674">
          <w:rPr>
            <w:rStyle w:val="Hyperlink"/>
            <w:rFonts w:asciiTheme="majorBidi" w:eastAsia="SimSun" w:hAnsiTheme="majorBidi" w:cstheme="majorBidi"/>
            <w:lang w:val="en-GB"/>
          </w:rPr>
          <w:t>ITU-T Formal Descriptions and Object Identifiers</w:t>
        </w:r>
      </w:hyperlink>
    </w:p>
    <w:p w14:paraId="566869F5"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5" w:history="1">
        <w:r w:rsidR="00136E7B" w:rsidRPr="00D44674">
          <w:rPr>
            <w:rStyle w:val="Hyperlink"/>
            <w:rFonts w:asciiTheme="majorBidi" w:eastAsia="SimSun" w:hAnsiTheme="majorBidi" w:cstheme="majorBidi"/>
            <w:lang w:val="en-GB"/>
          </w:rPr>
          <w:t>ITU-T Test Signals</w:t>
        </w:r>
      </w:hyperlink>
    </w:p>
    <w:p w14:paraId="7EB5C533" w14:textId="77777777"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6" w:history="1">
        <w:r w:rsidR="00136E7B" w:rsidRPr="00D44674">
          <w:rPr>
            <w:rStyle w:val="Hyperlink"/>
            <w:rFonts w:asciiTheme="majorBidi" w:eastAsia="SimSun" w:hAnsiTheme="majorBidi" w:cstheme="majorBidi"/>
            <w:lang w:val="en-GB"/>
          </w:rPr>
          <w:t>ITU-T Terms &amp; Definitions</w:t>
        </w:r>
      </w:hyperlink>
    </w:p>
    <w:p w14:paraId="6AF1A241" w14:textId="4019FAE5" w:rsidR="00136E7B" w:rsidRPr="00D44674" w:rsidRDefault="00C44FDC" w:rsidP="0063096B">
      <w:pPr>
        <w:numPr>
          <w:ilvl w:val="0"/>
          <w:numId w:val="9"/>
        </w:numPr>
        <w:tabs>
          <w:tab w:val="clear" w:pos="794"/>
          <w:tab w:val="clear" w:pos="1191"/>
          <w:tab w:val="clear" w:pos="1588"/>
          <w:tab w:val="clear" w:pos="1985"/>
        </w:tabs>
        <w:spacing w:before="0"/>
        <w:rPr>
          <w:lang w:val="en-GB"/>
        </w:rPr>
      </w:pPr>
      <w:hyperlink r:id="rId147">
        <w:r w:rsidR="00136E7B" w:rsidRPr="00D44674">
          <w:rPr>
            <w:rStyle w:val="Hyperlink"/>
            <w:rFonts w:asciiTheme="majorBidi" w:eastAsia="SimSun" w:hAnsiTheme="majorBidi" w:cstheme="majorBidi"/>
            <w:lang w:val="en-GB"/>
          </w:rPr>
          <w:t>International Numbering Resources</w:t>
        </w:r>
      </w:hyperlink>
      <w:r w:rsidR="00136E7B" w:rsidRPr="00D44674">
        <w:rPr>
          <w:lang w:val="en-GB"/>
        </w:rPr>
        <w:t xml:space="preserve"> (See section 1</w:t>
      </w:r>
      <w:r w:rsidR="054A6179" w:rsidRPr="00D44674">
        <w:rPr>
          <w:lang w:val="en-GB"/>
        </w:rPr>
        <w:t>4</w:t>
      </w:r>
      <w:r w:rsidR="00136E7B" w:rsidRPr="00D44674">
        <w:rPr>
          <w:lang w:val="en-GB"/>
        </w:rPr>
        <w:t xml:space="preserve">.6 for more </w:t>
      </w:r>
      <w:proofErr w:type="gramStart"/>
      <w:r w:rsidR="00136E7B" w:rsidRPr="00D44674">
        <w:rPr>
          <w:lang w:val="en-GB"/>
        </w:rPr>
        <w:t>details)</w:t>
      </w:r>
      <w:r w:rsidR="2A3FE1DC" w:rsidRPr="00D44674">
        <w:rPr>
          <w:lang w:val="en-GB"/>
        </w:rPr>
        <w:t>ICT</w:t>
      </w:r>
      <w:proofErr w:type="gramEnd"/>
      <w:r w:rsidR="2A3FE1DC" w:rsidRPr="00D44674">
        <w:rPr>
          <w:lang w:val="en-GB"/>
        </w:rPr>
        <w:t xml:space="preserve"> standards landscape</w:t>
      </w:r>
      <w:r w:rsidR="421D0307" w:rsidRPr="00D44674">
        <w:rPr>
          <w:lang w:val="en-GB"/>
        </w:rPr>
        <w:t>:</w:t>
      </w:r>
    </w:p>
    <w:p w14:paraId="74F14C7E" w14:textId="6A83C7FB" w:rsidR="421D0307" w:rsidRPr="00D44674" w:rsidRDefault="421D0307" w:rsidP="0063096B">
      <w:pPr>
        <w:numPr>
          <w:ilvl w:val="1"/>
          <w:numId w:val="9"/>
        </w:numPr>
        <w:spacing w:before="0"/>
        <w:rPr>
          <w:lang w:val="en-GB"/>
        </w:rPr>
      </w:pPr>
      <w:r w:rsidRPr="00D44674">
        <w:rPr>
          <w:lang w:val="en-GB"/>
        </w:rPr>
        <w:t>Access Network Transport Standar</w:t>
      </w:r>
      <w:r w:rsidR="0085423D">
        <w:rPr>
          <w:lang w:val="en-GB"/>
        </w:rPr>
        <w:t>d</w:t>
      </w:r>
      <w:r w:rsidRPr="00D44674">
        <w:rPr>
          <w:lang w:val="en-GB"/>
        </w:rPr>
        <w:t>s</w:t>
      </w:r>
    </w:p>
    <w:p w14:paraId="2AF070E6" w14:textId="232FB479" w:rsidR="421D0307" w:rsidRPr="00D44674" w:rsidRDefault="421D0307" w:rsidP="0063096B">
      <w:pPr>
        <w:numPr>
          <w:ilvl w:val="1"/>
          <w:numId w:val="9"/>
        </w:numPr>
        <w:spacing w:before="0"/>
        <w:rPr>
          <w:lang w:val="en-GB"/>
        </w:rPr>
      </w:pPr>
      <w:r w:rsidRPr="00D44674">
        <w:rPr>
          <w:lang w:val="en-GB"/>
        </w:rPr>
        <w:t>C</w:t>
      </w:r>
      <w:r w:rsidR="0085423D">
        <w:rPr>
          <w:lang w:val="en-GB"/>
        </w:rPr>
        <w:t>l</w:t>
      </w:r>
      <w:r w:rsidRPr="00D44674">
        <w:rPr>
          <w:lang w:val="en-GB"/>
        </w:rPr>
        <w:t>oud Computing</w:t>
      </w:r>
    </w:p>
    <w:p w14:paraId="07C07DCD" w14:textId="6E5E940E" w:rsidR="421D0307" w:rsidRPr="00D44674" w:rsidRDefault="421D0307" w:rsidP="0063096B">
      <w:pPr>
        <w:numPr>
          <w:ilvl w:val="1"/>
          <w:numId w:val="9"/>
        </w:numPr>
        <w:spacing w:before="0"/>
        <w:rPr>
          <w:lang w:val="en-GB"/>
        </w:rPr>
      </w:pPr>
      <w:r w:rsidRPr="00D44674">
        <w:rPr>
          <w:lang w:val="en-GB"/>
        </w:rPr>
        <w:t>Home Network Transport Standards</w:t>
      </w:r>
    </w:p>
    <w:p w14:paraId="2C63AD85" w14:textId="16C5DBD2" w:rsidR="421D0307" w:rsidRPr="00D44674" w:rsidRDefault="421D0307" w:rsidP="0063096B">
      <w:pPr>
        <w:numPr>
          <w:ilvl w:val="1"/>
          <w:numId w:val="9"/>
        </w:numPr>
        <w:spacing w:before="0"/>
        <w:rPr>
          <w:lang w:val="en-GB"/>
        </w:rPr>
      </w:pPr>
      <w:r w:rsidRPr="00D44674">
        <w:rPr>
          <w:lang w:val="en-GB"/>
        </w:rPr>
        <w:t>ICT Security Standards</w:t>
      </w:r>
    </w:p>
    <w:p w14:paraId="0ACCE1BF" w14:textId="6DE0D3CF" w:rsidR="421D0307" w:rsidRPr="00D44674" w:rsidRDefault="421D0307" w:rsidP="0063096B">
      <w:pPr>
        <w:numPr>
          <w:ilvl w:val="1"/>
          <w:numId w:val="9"/>
        </w:numPr>
        <w:spacing w:before="0"/>
        <w:rPr>
          <w:lang w:val="en-GB"/>
        </w:rPr>
      </w:pPr>
      <w:r w:rsidRPr="00D44674">
        <w:rPr>
          <w:lang w:val="en-GB"/>
        </w:rPr>
        <w:t>IMT-2020</w:t>
      </w:r>
    </w:p>
    <w:p w14:paraId="7DCE21E3" w14:textId="16527AC8" w:rsidR="421D0307" w:rsidRPr="00D44674" w:rsidRDefault="421D0307" w:rsidP="0063096B">
      <w:pPr>
        <w:numPr>
          <w:ilvl w:val="1"/>
          <w:numId w:val="9"/>
        </w:numPr>
        <w:spacing w:before="0"/>
        <w:rPr>
          <w:lang w:val="en-GB"/>
        </w:rPr>
      </w:pPr>
      <w:r w:rsidRPr="00D44674">
        <w:rPr>
          <w:lang w:val="en-GB"/>
        </w:rPr>
        <w:t>IoT &amp; Smart Sustainable Cities Standards</w:t>
      </w:r>
    </w:p>
    <w:p w14:paraId="46E00520" w14:textId="45D7338C" w:rsidR="421D0307" w:rsidRPr="00D44674" w:rsidRDefault="421D0307" w:rsidP="0063096B">
      <w:pPr>
        <w:numPr>
          <w:ilvl w:val="1"/>
          <w:numId w:val="9"/>
        </w:numPr>
        <w:spacing w:before="0"/>
        <w:rPr>
          <w:lang w:val="en-GB"/>
        </w:rPr>
      </w:pPr>
      <w:r w:rsidRPr="00D44674">
        <w:rPr>
          <w:lang w:val="en-GB"/>
        </w:rPr>
        <w:t>ITS Communication Standards</w:t>
      </w:r>
    </w:p>
    <w:p w14:paraId="52EA8C93" w14:textId="14DA2CD3" w:rsidR="00136E7B" w:rsidRPr="00F57FAD" w:rsidRDefault="00136E7B" w:rsidP="00136E7B">
      <w:pPr>
        <w:pStyle w:val="Heading2"/>
      </w:pPr>
      <w:bookmarkStart w:id="195" w:name="_Toc51042296"/>
      <w:r w:rsidRPr="00F57FAD">
        <w:t>1</w:t>
      </w:r>
      <w:r w:rsidR="00CB641D">
        <w:t>5</w:t>
      </w:r>
      <w:r w:rsidRPr="00F57FAD">
        <w:t>.2</w:t>
      </w:r>
      <w:r w:rsidRPr="00F57FAD">
        <w:tab/>
      </w:r>
      <w:proofErr w:type="spellStart"/>
      <w:r w:rsidRPr="00F57FAD">
        <w:t>MyWorkspace</w:t>
      </w:r>
      <w:bookmarkEnd w:id="195"/>
      <w:proofErr w:type="spellEnd"/>
    </w:p>
    <w:p w14:paraId="5ECAE13E" w14:textId="288E2476" w:rsidR="00136E7B" w:rsidRPr="00D44674" w:rsidRDefault="00C44FDC" w:rsidP="00136E7B">
      <w:pPr>
        <w:rPr>
          <w:lang w:val="en-GB"/>
        </w:rPr>
      </w:pPr>
      <w:hyperlink r:id="rId148">
        <w:proofErr w:type="spellStart"/>
        <w:r w:rsidR="00136E7B" w:rsidRPr="0A47BC55">
          <w:rPr>
            <w:rStyle w:val="Hyperlink"/>
            <w:lang w:val="en-GB"/>
          </w:rPr>
          <w:t>MyWorkspace</w:t>
        </w:r>
        <w:proofErr w:type="spellEnd"/>
      </w:hyperlink>
      <w:r w:rsidR="00136E7B" w:rsidRPr="0A47BC55">
        <w:rPr>
          <w:lang w:val="en-GB"/>
        </w:rPr>
        <w:t xml:space="preserve"> is a </w:t>
      </w:r>
      <w:r w:rsidR="69FD6702" w:rsidRPr="0A47BC55">
        <w:rPr>
          <w:lang w:val="en-GB"/>
        </w:rPr>
        <w:t>user</w:t>
      </w:r>
      <w:r w:rsidR="00136E7B" w:rsidRPr="0A47BC55">
        <w:rPr>
          <w:lang w:val="en-GB"/>
        </w:rPr>
        <w:t xml:space="preserve">-friendly </w:t>
      </w:r>
      <w:r w:rsidR="465F3EA4" w:rsidRPr="0A47BC55">
        <w:rPr>
          <w:lang w:val="en-GB"/>
        </w:rPr>
        <w:t xml:space="preserve">mobile platform that centralizes a set of </w:t>
      </w:r>
      <w:r w:rsidR="7AE8A3E2" w:rsidRPr="0A47BC55">
        <w:rPr>
          <w:lang w:val="en-GB"/>
        </w:rPr>
        <w:t>applications</w:t>
      </w:r>
      <w:r w:rsidR="00136E7B" w:rsidRPr="0A47BC55">
        <w:rPr>
          <w:lang w:val="en-GB"/>
        </w:rPr>
        <w:t xml:space="preserve"> and services</w:t>
      </w:r>
      <w:r w:rsidR="064BAC4B" w:rsidRPr="0A47BC55">
        <w:rPr>
          <w:lang w:val="en-GB"/>
        </w:rPr>
        <w:t xml:space="preserve"> developed to strengthen electronic working methods for the work of ITU-T,</w:t>
      </w:r>
      <w:r w:rsidR="00136E7B" w:rsidRPr="0A47BC55">
        <w:rPr>
          <w:lang w:val="en-GB"/>
        </w:rPr>
        <w:t xml:space="preserve"> </w:t>
      </w:r>
      <w:r w:rsidR="1C5A3A50" w:rsidRPr="0A47BC55">
        <w:rPr>
          <w:lang w:val="en-GB"/>
        </w:rPr>
        <w:t xml:space="preserve">as stated in </w:t>
      </w:r>
      <w:r w:rsidR="00136E7B" w:rsidRPr="0A47BC55">
        <w:rPr>
          <w:lang w:val="en-GB"/>
        </w:rPr>
        <w:t xml:space="preserve">WTSA </w:t>
      </w:r>
      <w:r w:rsidR="00136E7B" w:rsidRPr="0A47BC55">
        <w:rPr>
          <w:lang w:val="en-GB"/>
        </w:rPr>
        <w:lastRenderedPageBreak/>
        <w:t xml:space="preserve">Resolution 32. </w:t>
      </w:r>
      <w:r w:rsidR="7B6D37F8" w:rsidRPr="0A47BC55">
        <w:rPr>
          <w:lang w:val="en-GB"/>
        </w:rPr>
        <w:t>Since t</w:t>
      </w:r>
      <w:r w:rsidR="00136E7B" w:rsidRPr="0A47BC55">
        <w:rPr>
          <w:lang w:val="en-GB"/>
        </w:rPr>
        <w:t>he first version was released in 2017</w:t>
      </w:r>
      <w:r w:rsidR="3EA8485C" w:rsidRPr="0A47BC55">
        <w:rPr>
          <w:lang w:val="en-GB"/>
        </w:rPr>
        <w:t>,</w:t>
      </w:r>
      <w:r w:rsidR="00136E7B" w:rsidRPr="0A47BC55">
        <w:rPr>
          <w:lang w:val="en-GB"/>
        </w:rPr>
        <w:t xml:space="preserve"> </w:t>
      </w:r>
      <w:r w:rsidR="5257543D" w:rsidRPr="0A47BC55">
        <w:rPr>
          <w:lang w:val="en-GB"/>
        </w:rPr>
        <w:t>more than</w:t>
      </w:r>
      <w:r w:rsidR="7F9A6879" w:rsidRPr="0A47BC55">
        <w:rPr>
          <w:lang w:val="en-GB"/>
        </w:rPr>
        <w:t xml:space="preserve"> </w:t>
      </w:r>
      <w:r w:rsidR="71BE97F4" w:rsidRPr="0A47BC55">
        <w:rPr>
          <w:lang w:val="en-GB"/>
        </w:rPr>
        <w:t>4000</w:t>
      </w:r>
      <w:r w:rsidR="00136E7B" w:rsidRPr="0A47BC55">
        <w:rPr>
          <w:lang w:val="en-GB"/>
        </w:rPr>
        <w:t xml:space="preserve"> users</w:t>
      </w:r>
      <w:r w:rsidR="5B933680" w:rsidRPr="0A47BC55">
        <w:rPr>
          <w:lang w:val="en-GB"/>
        </w:rPr>
        <w:t xml:space="preserve"> have visited it</w:t>
      </w:r>
      <w:r w:rsidR="5AE79740" w:rsidRPr="0A47BC55">
        <w:rPr>
          <w:lang w:val="en-GB"/>
        </w:rPr>
        <w:t>, with</w:t>
      </w:r>
      <w:r w:rsidR="00136E7B" w:rsidRPr="0A47BC55">
        <w:rPr>
          <w:lang w:val="en-GB"/>
        </w:rPr>
        <w:t xml:space="preserve"> an average of 500 </w:t>
      </w:r>
      <w:r w:rsidR="7F4A4901" w:rsidRPr="0A47BC55">
        <w:rPr>
          <w:lang w:val="en-GB"/>
        </w:rPr>
        <w:t>visits</w:t>
      </w:r>
      <w:r w:rsidR="00136E7B" w:rsidRPr="0A47BC55">
        <w:rPr>
          <w:lang w:val="en-GB"/>
        </w:rPr>
        <w:t xml:space="preserve"> per month.</w:t>
      </w:r>
      <w:r w:rsidR="40BD9EC4" w:rsidRPr="0A47BC55">
        <w:rPr>
          <w:lang w:val="en-GB"/>
        </w:rPr>
        <w:t xml:space="preserve"> </w:t>
      </w:r>
      <w:r w:rsidR="30DA72F8" w:rsidRPr="0A47BC55">
        <w:rPr>
          <w:lang w:val="en-GB"/>
        </w:rPr>
        <w:t>The platform</w:t>
      </w:r>
      <w:r w:rsidR="00136E7B" w:rsidRPr="0A47BC55">
        <w:rPr>
          <w:lang w:val="en-GB"/>
        </w:rPr>
        <w:t xml:space="preserve"> is accessible </w:t>
      </w:r>
      <w:r w:rsidR="2D0727AB" w:rsidRPr="0A47BC55">
        <w:rPr>
          <w:lang w:val="en-GB"/>
        </w:rPr>
        <w:t xml:space="preserve">online </w:t>
      </w:r>
      <w:r w:rsidR="00136E7B" w:rsidRPr="0A47BC55">
        <w:rPr>
          <w:lang w:val="en-GB"/>
        </w:rPr>
        <w:t xml:space="preserve">and </w:t>
      </w:r>
      <w:r w:rsidR="45BA6147" w:rsidRPr="0A47BC55">
        <w:rPr>
          <w:lang w:val="en-GB"/>
        </w:rPr>
        <w:t>as</w:t>
      </w:r>
      <w:r w:rsidR="00136E7B" w:rsidRPr="0A47BC55">
        <w:rPr>
          <w:lang w:val="en-GB"/>
        </w:rPr>
        <w:t xml:space="preserve"> </w:t>
      </w:r>
      <w:r w:rsidR="21B61B8E" w:rsidRPr="0A47BC55">
        <w:rPr>
          <w:lang w:val="en-GB"/>
        </w:rPr>
        <w:t>a</w:t>
      </w:r>
      <w:r w:rsidR="00136E7B" w:rsidRPr="0A47BC55">
        <w:rPr>
          <w:lang w:val="en-GB"/>
        </w:rPr>
        <w:t xml:space="preserve"> mobile application (Android &amp; iOS). Secure access to </w:t>
      </w:r>
      <w:proofErr w:type="spellStart"/>
      <w:r w:rsidR="00136E7B" w:rsidRPr="0A47BC55">
        <w:rPr>
          <w:lang w:val="en-GB"/>
        </w:rPr>
        <w:t>MyWorkspace</w:t>
      </w:r>
      <w:proofErr w:type="spellEnd"/>
      <w:r w:rsidR="00136E7B" w:rsidRPr="0A47BC55">
        <w:rPr>
          <w:lang w:val="en-GB"/>
        </w:rPr>
        <w:t xml:space="preserve"> is enabled through ITU User Account (TIES) credentials.</w:t>
      </w:r>
    </w:p>
    <w:p w14:paraId="282FE629" w14:textId="7595E593" w:rsidR="00136E7B" w:rsidRPr="00D44674" w:rsidRDefault="00136E7B" w:rsidP="00136E7B">
      <w:pPr>
        <w:rPr>
          <w:lang w:val="en-GB"/>
        </w:rPr>
      </w:pPr>
      <w:r w:rsidRPr="20821C4C">
        <w:rPr>
          <w:lang w:val="en-GB"/>
        </w:rPr>
        <w:t xml:space="preserve">The following </w:t>
      </w:r>
      <w:r w:rsidR="41692370" w:rsidRPr="20821C4C">
        <w:rPr>
          <w:lang w:val="en-GB"/>
        </w:rPr>
        <w:t>applications and</w:t>
      </w:r>
      <w:r w:rsidRPr="20821C4C">
        <w:rPr>
          <w:lang w:val="en-GB"/>
        </w:rPr>
        <w:t xml:space="preserve"> services are available </w:t>
      </w:r>
      <w:r w:rsidR="20E74DAA" w:rsidRPr="20821C4C">
        <w:rPr>
          <w:lang w:val="en-GB"/>
        </w:rPr>
        <w:t>in</w:t>
      </w:r>
      <w:r w:rsidRPr="20821C4C">
        <w:rPr>
          <w:lang w:val="en-GB"/>
        </w:rPr>
        <w:t xml:space="preserve"> </w:t>
      </w:r>
      <w:proofErr w:type="spellStart"/>
      <w:r w:rsidR="02FDFC9C" w:rsidRPr="20821C4C">
        <w:rPr>
          <w:lang w:val="en-GB"/>
        </w:rPr>
        <w:t>MyWorkspace</w:t>
      </w:r>
      <w:proofErr w:type="spellEnd"/>
      <w:r w:rsidRPr="20821C4C">
        <w:rPr>
          <w:lang w:val="en-GB"/>
        </w:rPr>
        <w:t>:</w:t>
      </w:r>
    </w:p>
    <w:p w14:paraId="509D762E" w14:textId="48D20436" w:rsidR="00136E7B" w:rsidRPr="00D44674" w:rsidRDefault="00C44FDC" w:rsidP="0063096B">
      <w:pPr>
        <w:numPr>
          <w:ilvl w:val="0"/>
          <w:numId w:val="11"/>
        </w:numPr>
        <w:rPr>
          <w:lang w:val="en-GB"/>
        </w:rPr>
      </w:pPr>
      <w:hyperlink r:id="rId149" w:anchor="/my-workspace/remote_participation">
        <w:r w:rsidR="7FAE8A6B" w:rsidRPr="20821C4C">
          <w:rPr>
            <w:rStyle w:val="Hyperlink"/>
            <w:lang w:val="en-GB"/>
          </w:rPr>
          <w:t>MyMeetings</w:t>
        </w:r>
      </w:hyperlink>
      <w:r w:rsidR="7FAE8A6B" w:rsidRPr="20821C4C">
        <w:rPr>
          <w:lang w:val="en-GB"/>
        </w:rPr>
        <w:t xml:space="preserve">: </w:t>
      </w:r>
      <w:r w:rsidR="7FAE8A6B">
        <w:t>R</w:t>
      </w:r>
      <w:r w:rsidR="7FAE8A6B" w:rsidRPr="20821C4C">
        <w:rPr>
          <w:lang w:val="en-GB"/>
        </w:rPr>
        <w:t xml:space="preserve">emote participation service based on an open-source solution </w:t>
      </w:r>
      <w:r w:rsidR="2A89D6A6" w:rsidRPr="20821C4C">
        <w:rPr>
          <w:lang w:val="en-GB"/>
        </w:rPr>
        <w:t xml:space="preserve">and </w:t>
      </w:r>
      <w:r w:rsidR="7FAE8A6B" w:rsidRPr="20821C4C">
        <w:rPr>
          <w:lang w:val="en-GB"/>
        </w:rPr>
        <w:t>customized in-house to support requirements of both statutory and non-statutory ITU-T meetings</w:t>
      </w:r>
      <w:r w:rsidR="7FAE8A6B">
        <w:t>.</w:t>
      </w:r>
    </w:p>
    <w:p w14:paraId="7C4A245E" w14:textId="774BB8E7" w:rsidR="031D0B52" w:rsidRPr="00D44674" w:rsidRDefault="00C44FDC" w:rsidP="0063096B">
      <w:pPr>
        <w:numPr>
          <w:ilvl w:val="0"/>
          <w:numId w:val="11"/>
        </w:numPr>
        <w:spacing w:line="259" w:lineRule="auto"/>
        <w:rPr>
          <w:lang w:val="en-GB"/>
        </w:rPr>
      </w:pPr>
      <w:hyperlink r:id="rId150" w:anchor="/my-workspace/myevents">
        <w:proofErr w:type="spellStart"/>
        <w:r w:rsidR="031D0B52" w:rsidRPr="20821C4C">
          <w:rPr>
            <w:rStyle w:val="Hyperlink"/>
            <w:lang w:val="en-GB"/>
          </w:rPr>
          <w:t>MyEvents</w:t>
        </w:r>
        <w:proofErr w:type="spellEnd"/>
      </w:hyperlink>
      <w:r w:rsidR="031D0B52" w:rsidRPr="20821C4C">
        <w:rPr>
          <w:lang w:val="en-GB"/>
        </w:rPr>
        <w:t xml:space="preserve">: Events management platform, which provides real time ITU-T events agenda, list of registered participants, </w:t>
      </w:r>
      <w:proofErr w:type="gramStart"/>
      <w:r w:rsidR="031D0B52" w:rsidRPr="20821C4C">
        <w:rPr>
          <w:lang w:val="en-GB"/>
        </w:rPr>
        <w:t>speakers</w:t>
      </w:r>
      <w:proofErr w:type="gramEnd"/>
      <w:r w:rsidR="031D0B52" w:rsidRPr="20821C4C">
        <w:rPr>
          <w:lang w:val="en-GB"/>
        </w:rPr>
        <w:t xml:space="preserve"> and exhibitors, as well as a ‘matchmaking’ function to enable networking among participants.</w:t>
      </w:r>
    </w:p>
    <w:p w14:paraId="02721299" w14:textId="62194BDB" w:rsidR="031D0B52" w:rsidRPr="00D44674" w:rsidRDefault="00C44FDC" w:rsidP="0063096B">
      <w:pPr>
        <w:numPr>
          <w:ilvl w:val="0"/>
          <w:numId w:val="11"/>
        </w:numPr>
        <w:spacing w:line="259" w:lineRule="auto"/>
        <w:rPr>
          <w:lang w:val="en-GB"/>
        </w:rPr>
      </w:pPr>
      <w:hyperlink r:id="rId151" w:anchor="/my-workspace/allevent">
        <w:r w:rsidR="031D0B52" w:rsidRPr="0A47BC55">
          <w:rPr>
            <w:rStyle w:val="Hyperlink"/>
            <w:lang w:val="en-GB"/>
          </w:rPr>
          <w:t>All Events</w:t>
        </w:r>
      </w:hyperlink>
      <w:r w:rsidR="031D0B52" w:rsidRPr="0A47BC55">
        <w:rPr>
          <w:lang w:val="en-GB"/>
        </w:rPr>
        <w:t>: Simplified calendar view of events</w:t>
      </w:r>
      <w:r w:rsidR="28B6544A" w:rsidRPr="0A47BC55">
        <w:rPr>
          <w:lang w:val="en-GB"/>
        </w:rPr>
        <w:t>, with links to access</w:t>
      </w:r>
      <w:r w:rsidR="031D0B52" w:rsidRPr="0A47BC55">
        <w:rPr>
          <w:lang w:val="en-GB"/>
        </w:rPr>
        <w:t xml:space="preserve"> detail</w:t>
      </w:r>
      <w:r w:rsidR="2A7C344F" w:rsidRPr="0A47BC55">
        <w:rPr>
          <w:lang w:val="en-GB"/>
        </w:rPr>
        <w:t>ed</w:t>
      </w:r>
      <w:r w:rsidR="2E4C310C" w:rsidRPr="0A47BC55">
        <w:rPr>
          <w:lang w:val="en-GB"/>
        </w:rPr>
        <w:t xml:space="preserve"> information</w:t>
      </w:r>
      <w:r w:rsidR="031D0B52" w:rsidRPr="0A47BC55">
        <w:rPr>
          <w:lang w:val="en-GB"/>
        </w:rPr>
        <w:t>.</w:t>
      </w:r>
    </w:p>
    <w:p w14:paraId="7909E38D" w14:textId="1F07550D" w:rsidR="031D0B52" w:rsidRPr="00D44674" w:rsidRDefault="00C44FDC" w:rsidP="0063096B">
      <w:pPr>
        <w:numPr>
          <w:ilvl w:val="0"/>
          <w:numId w:val="11"/>
        </w:numPr>
        <w:spacing w:line="259" w:lineRule="auto"/>
        <w:rPr>
          <w:lang w:val="en-GB"/>
        </w:rPr>
      </w:pPr>
      <w:hyperlink r:id="rId152" w:anchor="/my-workspace/translate">
        <w:r w:rsidR="031D0B52" w:rsidRPr="0A47BC55">
          <w:rPr>
            <w:rStyle w:val="Hyperlink"/>
            <w:lang w:val="en-GB"/>
          </w:rPr>
          <w:t>ITU Translate</w:t>
        </w:r>
      </w:hyperlink>
      <w:r w:rsidR="031D0B52" w:rsidRPr="0A47BC55">
        <w:rPr>
          <w:lang w:val="en-GB"/>
        </w:rPr>
        <w:t>: Machine translation tool based on neural network</w:t>
      </w:r>
      <w:r w:rsidR="2707DD47" w:rsidRPr="0A47BC55">
        <w:rPr>
          <w:lang w:val="en-GB"/>
        </w:rPr>
        <w:t>,</w:t>
      </w:r>
      <w:r w:rsidR="031D0B52" w:rsidRPr="0A47BC55">
        <w:rPr>
          <w:lang w:val="en-GB"/>
        </w:rPr>
        <w:t xml:space="preserve"> trained in-house on ITU documents official </w:t>
      </w:r>
      <w:proofErr w:type="gramStart"/>
      <w:r w:rsidR="031D0B52" w:rsidRPr="0A47BC55">
        <w:rPr>
          <w:lang w:val="en-GB"/>
        </w:rPr>
        <w:t>translations</w:t>
      </w:r>
      <w:proofErr w:type="gramEnd"/>
      <w:r w:rsidR="0CE0F78C" w:rsidRPr="0A47BC55">
        <w:rPr>
          <w:lang w:val="en-GB"/>
        </w:rPr>
        <w:t xml:space="preserve"> and</w:t>
      </w:r>
      <w:r w:rsidR="031D0B52" w:rsidRPr="0A47BC55">
        <w:rPr>
          <w:lang w:val="en-GB"/>
        </w:rPr>
        <w:t xml:space="preserve"> supporting </w:t>
      </w:r>
      <w:r w:rsidR="0B28C90A" w:rsidRPr="0A47BC55">
        <w:rPr>
          <w:lang w:val="en-GB"/>
        </w:rPr>
        <w:t xml:space="preserve">all </w:t>
      </w:r>
      <w:r w:rsidR="031D0B52" w:rsidRPr="0A47BC55">
        <w:rPr>
          <w:lang w:val="en-GB"/>
        </w:rPr>
        <w:t xml:space="preserve">six (6) </w:t>
      </w:r>
      <w:r w:rsidR="7FCFDC26" w:rsidRPr="0A47BC55">
        <w:rPr>
          <w:lang w:val="en-GB"/>
        </w:rPr>
        <w:t>UN</w:t>
      </w:r>
      <w:r w:rsidR="031D0B52" w:rsidRPr="0A47BC55">
        <w:rPr>
          <w:lang w:val="en-GB"/>
        </w:rPr>
        <w:t xml:space="preserve"> official languages.</w:t>
      </w:r>
    </w:p>
    <w:p w14:paraId="68A3D1F9" w14:textId="599E6063" w:rsidR="031D0B52" w:rsidRPr="00D44674" w:rsidRDefault="00C44FDC" w:rsidP="0063096B">
      <w:pPr>
        <w:numPr>
          <w:ilvl w:val="0"/>
          <w:numId w:val="11"/>
        </w:numPr>
        <w:spacing w:line="259" w:lineRule="auto"/>
        <w:rPr>
          <w:lang w:val="en-GB"/>
        </w:rPr>
      </w:pPr>
      <w:hyperlink r:id="rId153">
        <w:r w:rsidR="031D0B52" w:rsidRPr="0A47BC55">
          <w:rPr>
            <w:rStyle w:val="Hyperlink"/>
            <w:lang w:val="en-GB"/>
          </w:rPr>
          <w:t>ITU-T Cloud</w:t>
        </w:r>
      </w:hyperlink>
      <w:r w:rsidR="031D0B52" w:rsidRPr="0A47BC55">
        <w:rPr>
          <w:lang w:val="en-GB"/>
        </w:rPr>
        <w:t xml:space="preserve">: ITU premises storage service allowing users to share and exchange up to 10 GB </w:t>
      </w:r>
      <w:r w:rsidR="6617F47B" w:rsidRPr="0A47BC55">
        <w:rPr>
          <w:lang w:val="en-GB"/>
        </w:rPr>
        <w:t xml:space="preserve">of files </w:t>
      </w:r>
      <w:r w:rsidR="031D0B52" w:rsidRPr="0A47BC55">
        <w:rPr>
          <w:lang w:val="en-GB"/>
        </w:rPr>
        <w:t>per user.</w:t>
      </w:r>
    </w:p>
    <w:p w14:paraId="5B408C9D" w14:textId="576BD5C1" w:rsidR="031D0B52" w:rsidRPr="00D44674" w:rsidRDefault="00C44FDC" w:rsidP="0063096B">
      <w:pPr>
        <w:numPr>
          <w:ilvl w:val="0"/>
          <w:numId w:val="11"/>
        </w:numPr>
        <w:spacing w:line="259" w:lineRule="auto"/>
        <w:rPr>
          <w:lang w:val="en-GB"/>
        </w:rPr>
      </w:pPr>
      <w:hyperlink r:id="rId154" w:anchor="/my-workspace/mails">
        <w:r w:rsidR="031D0B52" w:rsidRPr="0A47BC55">
          <w:rPr>
            <w:rStyle w:val="Hyperlink"/>
            <w:lang w:val="en-GB"/>
          </w:rPr>
          <w:t>Mailing list</w:t>
        </w:r>
      </w:hyperlink>
      <w:r w:rsidR="031D0B52" w:rsidRPr="0A47BC55">
        <w:rPr>
          <w:lang w:val="en-GB"/>
        </w:rPr>
        <w:t>: Subscription management with search function</w:t>
      </w:r>
      <w:r w:rsidR="0643EA57" w:rsidRPr="0A47BC55">
        <w:rPr>
          <w:lang w:val="en-GB"/>
        </w:rPr>
        <w:t>ality</w:t>
      </w:r>
      <w:r w:rsidR="031D0B52" w:rsidRPr="0A47BC55">
        <w:rPr>
          <w:lang w:val="en-GB"/>
        </w:rPr>
        <w:t>.</w:t>
      </w:r>
    </w:p>
    <w:p w14:paraId="08EA7172" w14:textId="7D2C3AB0" w:rsidR="031D0B52" w:rsidRPr="00D44674" w:rsidRDefault="00C44FDC" w:rsidP="0063096B">
      <w:pPr>
        <w:numPr>
          <w:ilvl w:val="0"/>
          <w:numId w:val="11"/>
        </w:numPr>
        <w:spacing w:line="259" w:lineRule="auto"/>
        <w:rPr>
          <w:szCs w:val="24"/>
          <w:lang w:val="en-GB"/>
        </w:rPr>
      </w:pPr>
      <w:hyperlink r:id="rId155" w:anchor="/my-workspace/community" w:history="1">
        <w:r w:rsidR="031D0B52" w:rsidRPr="00D44674">
          <w:rPr>
            <w:rStyle w:val="Hyperlink"/>
            <w:szCs w:val="24"/>
            <w:lang w:val="en-GB"/>
          </w:rPr>
          <w:t>Community</w:t>
        </w:r>
      </w:hyperlink>
      <w:r w:rsidR="031D0B52" w:rsidRPr="00D44674">
        <w:rPr>
          <w:szCs w:val="24"/>
          <w:lang w:val="en-GB"/>
        </w:rPr>
        <w:t xml:space="preserve">: </w:t>
      </w:r>
      <w:proofErr w:type="spellStart"/>
      <w:r w:rsidR="031D0B52" w:rsidRPr="00D44674">
        <w:rPr>
          <w:szCs w:val="24"/>
          <w:lang w:val="en-GB"/>
        </w:rPr>
        <w:t>MyWorkspace</w:t>
      </w:r>
      <w:proofErr w:type="spellEnd"/>
      <w:r w:rsidR="031D0B52" w:rsidRPr="00D44674">
        <w:rPr>
          <w:szCs w:val="24"/>
          <w:lang w:val="en-GB"/>
        </w:rPr>
        <w:t xml:space="preserve"> user’s directory.</w:t>
      </w:r>
    </w:p>
    <w:p w14:paraId="6BBAEC48" w14:textId="7033DC11" w:rsidR="00C35B17" w:rsidRDefault="7B18FB8C" w:rsidP="0063096B">
      <w:pPr>
        <w:numPr>
          <w:ilvl w:val="0"/>
          <w:numId w:val="11"/>
        </w:numPr>
        <w:spacing w:line="259" w:lineRule="auto"/>
        <w:rPr>
          <w:lang w:val="en-GB"/>
        </w:rPr>
      </w:pPr>
      <w:r w:rsidRPr="0A47BC55">
        <w:rPr>
          <w:u w:val="single"/>
          <w:lang w:val="en-GB"/>
        </w:rPr>
        <w:t>Suggested meeting documents</w:t>
      </w:r>
      <w:r w:rsidRPr="0A47BC55">
        <w:rPr>
          <w:lang w:val="en-GB"/>
        </w:rPr>
        <w:t xml:space="preserve">: </w:t>
      </w:r>
      <w:r w:rsidR="43013559" w:rsidRPr="0A47BC55">
        <w:rPr>
          <w:lang w:val="en-GB"/>
        </w:rPr>
        <w:t xml:space="preserve">A proposed </w:t>
      </w:r>
      <w:r w:rsidR="6D7E901A" w:rsidRPr="0A47BC55">
        <w:rPr>
          <w:lang w:val="en-GB"/>
        </w:rPr>
        <w:t>l</w:t>
      </w:r>
      <w:r w:rsidRPr="0A47BC55">
        <w:rPr>
          <w:lang w:val="en-GB"/>
        </w:rPr>
        <w:t>ist of documents based on pre</w:t>
      </w:r>
      <w:r w:rsidR="0085423D">
        <w:rPr>
          <w:lang w:val="en-GB"/>
        </w:rPr>
        <w:t>-</w:t>
      </w:r>
      <w:r w:rsidRPr="0A47BC55">
        <w:rPr>
          <w:lang w:val="en-GB"/>
        </w:rPr>
        <w:t xml:space="preserve">set user interests, with the option to </w:t>
      </w:r>
      <w:r w:rsidRPr="0A47BC55">
        <w:rPr>
          <w:u w:val="single"/>
          <w:lang w:val="en-GB"/>
        </w:rPr>
        <w:t>bookmark</w:t>
      </w:r>
      <w:r w:rsidRPr="0A47BC55">
        <w:rPr>
          <w:lang w:val="en-GB"/>
        </w:rPr>
        <w:t xml:space="preserve"> favourites.</w:t>
      </w:r>
    </w:p>
    <w:p w14:paraId="419BE855" w14:textId="61F9DBBC" w:rsidR="00C35B17" w:rsidRPr="00C35B17" w:rsidRDefault="00C44FDC" w:rsidP="0063096B">
      <w:pPr>
        <w:numPr>
          <w:ilvl w:val="0"/>
          <w:numId w:val="11"/>
        </w:numPr>
        <w:spacing w:line="259" w:lineRule="auto"/>
        <w:rPr>
          <w:lang w:val="en-GB"/>
        </w:rPr>
      </w:pPr>
      <w:hyperlink r:id="rId156" w:anchor="/profile">
        <w:r w:rsidR="031D0B52" w:rsidRPr="7EC87BF3">
          <w:rPr>
            <w:rStyle w:val="Hyperlink"/>
          </w:rPr>
          <w:t>Profile</w:t>
        </w:r>
      </w:hyperlink>
      <w:r w:rsidR="031D0B52">
        <w:t>:</w:t>
      </w:r>
      <w:r w:rsidR="64CC9665">
        <w:t xml:space="preserve"> User personal information and interests.</w:t>
      </w:r>
    </w:p>
    <w:p w14:paraId="202C7491" w14:textId="378A2ECB" w:rsidR="00136E7B" w:rsidRPr="00F57FAD" w:rsidRDefault="00136E7B" w:rsidP="00136E7B">
      <w:pPr>
        <w:pStyle w:val="Heading2"/>
      </w:pPr>
      <w:bookmarkStart w:id="196" w:name="_Toc51042297"/>
      <w:r w:rsidRPr="00F57FAD">
        <w:t>1</w:t>
      </w:r>
      <w:r w:rsidR="00CB641D">
        <w:t>5</w:t>
      </w:r>
      <w:r w:rsidRPr="00F57FAD">
        <w:t>.3</w:t>
      </w:r>
      <w:r w:rsidRPr="00F57FAD">
        <w:tab/>
      </w:r>
      <w:proofErr w:type="spellStart"/>
      <w:r w:rsidRPr="00F57FAD">
        <w:t>ITU</w:t>
      </w:r>
      <w:r w:rsidR="0316CE1D" w:rsidRPr="00F57FAD">
        <w:t>S</w:t>
      </w:r>
      <w:r w:rsidRPr="00F57FAD">
        <w:t>earch</w:t>
      </w:r>
      <w:bookmarkEnd w:id="196"/>
      <w:proofErr w:type="spellEnd"/>
    </w:p>
    <w:p w14:paraId="64809DD7" w14:textId="08F5C392" w:rsidR="00136E7B" w:rsidRPr="00D44674" w:rsidRDefault="00C44FDC" w:rsidP="00136E7B">
      <w:pPr>
        <w:rPr>
          <w:lang w:val="en-GB"/>
        </w:rPr>
      </w:pPr>
      <w:hyperlink r:id="rId157">
        <w:proofErr w:type="spellStart"/>
        <w:r w:rsidR="7E36B0DA" w:rsidRPr="0A47BC55">
          <w:rPr>
            <w:rStyle w:val="Hyperlink"/>
            <w:lang w:val="en-GB"/>
          </w:rPr>
          <w:t>ITUSearch</w:t>
        </w:r>
        <w:proofErr w:type="spellEnd"/>
      </w:hyperlink>
      <w:r w:rsidR="7E36B0DA" w:rsidRPr="0A47BC55">
        <w:rPr>
          <w:lang w:val="en-GB"/>
        </w:rPr>
        <w:t xml:space="preserve"> is a</w:t>
      </w:r>
      <w:r w:rsidR="00136E7B" w:rsidRPr="004E5B45">
        <w:rPr>
          <w:lang w:val="en-GB"/>
        </w:rPr>
        <w:t xml:space="preserve"> mobile-friendly </w:t>
      </w:r>
      <w:r w:rsidR="1B7B2653" w:rsidRPr="0A47BC55">
        <w:rPr>
          <w:lang w:val="en-GB"/>
        </w:rPr>
        <w:t>search engine covering all</w:t>
      </w:r>
      <w:r w:rsidR="00136E7B" w:rsidRPr="0A47BC55">
        <w:rPr>
          <w:lang w:val="en-GB"/>
        </w:rPr>
        <w:t xml:space="preserve"> ITU </w:t>
      </w:r>
      <w:r w:rsidR="00136E7B" w:rsidRPr="004E5B45">
        <w:rPr>
          <w:lang w:val="en-GB"/>
        </w:rPr>
        <w:t>documents, websites, publications</w:t>
      </w:r>
      <w:r w:rsidR="47716B42" w:rsidRPr="0A47BC55">
        <w:rPr>
          <w:lang w:val="en-GB"/>
        </w:rPr>
        <w:t>,</w:t>
      </w:r>
      <w:r w:rsidR="00136E7B" w:rsidRPr="004E5B45">
        <w:rPr>
          <w:lang w:val="en-GB"/>
        </w:rPr>
        <w:t xml:space="preserve"> and other </w:t>
      </w:r>
      <w:r w:rsidR="097A4415" w:rsidRPr="0A47BC55">
        <w:rPr>
          <w:lang w:val="en-GB"/>
        </w:rPr>
        <w:t xml:space="preserve">type of </w:t>
      </w:r>
      <w:r w:rsidR="00136E7B" w:rsidRPr="004E5B45">
        <w:rPr>
          <w:lang w:val="en-GB"/>
        </w:rPr>
        <w:t xml:space="preserve">resources. </w:t>
      </w:r>
      <w:r w:rsidR="51424C36" w:rsidRPr="0A47BC55">
        <w:rPr>
          <w:lang w:val="en-GB"/>
        </w:rPr>
        <w:t>O</w:t>
      </w:r>
      <w:r w:rsidR="00136E7B" w:rsidRPr="0A47BC55">
        <w:rPr>
          <w:lang w:val="en-GB"/>
        </w:rPr>
        <w:t>n average</w:t>
      </w:r>
      <w:r w:rsidR="364AA8AC" w:rsidRPr="0A47BC55">
        <w:rPr>
          <w:lang w:val="en-GB"/>
        </w:rPr>
        <w:t xml:space="preserve">, </w:t>
      </w:r>
      <w:r w:rsidR="41D667F0" w:rsidRPr="0A47BC55">
        <w:rPr>
          <w:lang w:val="en-GB"/>
        </w:rPr>
        <w:t>70</w:t>
      </w:r>
      <w:r w:rsidR="00136E7B" w:rsidRPr="0A47BC55">
        <w:rPr>
          <w:lang w:val="en-GB"/>
        </w:rPr>
        <w:t xml:space="preserve">,000 searches </w:t>
      </w:r>
      <w:r w:rsidR="09F11DF7" w:rsidRPr="0A47BC55">
        <w:rPr>
          <w:lang w:val="en-GB"/>
        </w:rPr>
        <w:t>are performed</w:t>
      </w:r>
      <w:r w:rsidR="00136E7B" w:rsidRPr="0A47BC55">
        <w:rPr>
          <w:lang w:val="en-GB"/>
        </w:rPr>
        <w:t xml:space="preserve"> each month</w:t>
      </w:r>
      <w:r w:rsidR="3A6EF8ED" w:rsidRPr="0A47BC55">
        <w:rPr>
          <w:lang w:val="en-GB"/>
        </w:rPr>
        <w:t xml:space="preserve"> using </w:t>
      </w:r>
      <w:proofErr w:type="spellStart"/>
      <w:r w:rsidR="3A6EF8ED" w:rsidRPr="0A47BC55">
        <w:rPr>
          <w:lang w:val="en-GB"/>
        </w:rPr>
        <w:t>ITUSearch</w:t>
      </w:r>
      <w:proofErr w:type="spellEnd"/>
      <w:r w:rsidR="00136E7B" w:rsidRPr="0A47BC55">
        <w:rPr>
          <w:lang w:val="en-GB"/>
        </w:rPr>
        <w:t>.</w:t>
      </w:r>
    </w:p>
    <w:p w14:paraId="35341FAA" w14:textId="41AF7FB8" w:rsidR="00136E7B" w:rsidRPr="00D44674" w:rsidRDefault="00136E7B" w:rsidP="00136E7B">
      <w:pPr>
        <w:rPr>
          <w:lang w:val="en-GB"/>
        </w:rPr>
      </w:pPr>
      <w:r w:rsidRPr="00D44674">
        <w:rPr>
          <w:lang w:val="en-GB"/>
        </w:rPr>
        <w:t xml:space="preserve">The latest version of the search engine released </w:t>
      </w:r>
      <w:r w:rsidR="724F123A" w:rsidRPr="00D44674">
        <w:rPr>
          <w:lang w:val="en-GB"/>
        </w:rPr>
        <w:t>last year</w:t>
      </w:r>
      <w:r w:rsidRPr="00D44674">
        <w:rPr>
          <w:lang w:val="en-GB"/>
        </w:rPr>
        <w:t xml:space="preserve"> includes</w:t>
      </w:r>
      <w:r w:rsidR="122F11CC" w:rsidRPr="00D44674">
        <w:rPr>
          <w:lang w:val="en-GB"/>
        </w:rPr>
        <w:t xml:space="preserve"> following search category</w:t>
      </w:r>
      <w:r w:rsidRPr="00D44674">
        <w:rPr>
          <w:lang w:val="en-GB"/>
        </w:rPr>
        <w:t>:</w:t>
      </w:r>
    </w:p>
    <w:p w14:paraId="609184F7" w14:textId="7121E4BE" w:rsidR="77D4D658" w:rsidRPr="00D44674" w:rsidRDefault="00C44FDC" w:rsidP="0063096B">
      <w:pPr>
        <w:numPr>
          <w:ilvl w:val="0"/>
          <w:numId w:val="12"/>
        </w:numPr>
        <w:rPr>
          <w:lang w:val="en-GB"/>
        </w:rPr>
      </w:pPr>
      <w:hyperlink r:id="rId158" w:anchor="?target=All&amp;ex=false&amp;q=TSAG&amp;fl=0">
        <w:r w:rsidR="77D4D658" w:rsidRPr="0A47BC55">
          <w:rPr>
            <w:rStyle w:val="Hyperlink"/>
            <w:lang w:val="en-GB"/>
          </w:rPr>
          <w:t>All</w:t>
        </w:r>
      </w:hyperlink>
      <w:r w:rsidR="77D4D658" w:rsidRPr="0A47BC55">
        <w:rPr>
          <w:lang w:val="en-GB"/>
        </w:rPr>
        <w:t>: Search</w:t>
      </w:r>
      <w:r w:rsidR="5C5465C6" w:rsidRPr="0A47BC55">
        <w:rPr>
          <w:lang w:val="en-GB"/>
        </w:rPr>
        <w:t>es</w:t>
      </w:r>
      <w:r w:rsidR="77D4D658" w:rsidRPr="0A47BC55">
        <w:rPr>
          <w:lang w:val="en-GB"/>
        </w:rPr>
        <w:t xml:space="preserve"> on all ITU resources with filtering features on Sectors, type</w:t>
      </w:r>
      <w:r w:rsidR="438B810A" w:rsidRPr="0A47BC55">
        <w:rPr>
          <w:lang w:val="en-GB"/>
        </w:rPr>
        <w:t>s</w:t>
      </w:r>
      <w:r w:rsidR="77D4D658" w:rsidRPr="0A47BC55">
        <w:rPr>
          <w:lang w:val="en-GB"/>
        </w:rPr>
        <w:t xml:space="preserve"> of </w:t>
      </w:r>
      <w:r w:rsidR="07707AEC" w:rsidRPr="0A47BC55">
        <w:rPr>
          <w:lang w:val="en-GB"/>
        </w:rPr>
        <w:t xml:space="preserve">content </w:t>
      </w:r>
      <w:r w:rsidR="77D4D658" w:rsidRPr="0A47BC55">
        <w:rPr>
          <w:lang w:val="en-GB"/>
        </w:rPr>
        <w:t>and languages.</w:t>
      </w:r>
    </w:p>
    <w:p w14:paraId="17943E0E" w14:textId="00AA2777" w:rsidR="5C4E5E45" w:rsidRPr="00D44674" w:rsidRDefault="00C44FDC" w:rsidP="0063096B">
      <w:pPr>
        <w:numPr>
          <w:ilvl w:val="0"/>
          <w:numId w:val="12"/>
        </w:numPr>
        <w:rPr>
          <w:lang w:val="en-GB"/>
        </w:rPr>
      </w:pPr>
      <w:hyperlink r:id="rId159" w:anchor="?target=Media&amp;ex=false&amp;q=TSAG&amp;fl=0">
        <w:r w:rsidR="5C4E5E45" w:rsidRPr="0A47BC55">
          <w:rPr>
            <w:rStyle w:val="Hyperlink"/>
            <w:lang w:val="en-GB"/>
          </w:rPr>
          <w:t>Multimedia</w:t>
        </w:r>
      </w:hyperlink>
      <w:r w:rsidR="5C4E5E45" w:rsidRPr="0A47BC55">
        <w:rPr>
          <w:lang w:val="en-GB"/>
        </w:rPr>
        <w:t>: Search</w:t>
      </w:r>
      <w:r w:rsidR="28C4060D" w:rsidRPr="0A47BC55">
        <w:rPr>
          <w:lang w:val="en-GB"/>
        </w:rPr>
        <w:t>es</w:t>
      </w:r>
      <w:r w:rsidR="5C4E5E45" w:rsidRPr="0A47BC55">
        <w:rPr>
          <w:lang w:val="en-GB"/>
        </w:rPr>
        <w:t xml:space="preserve"> on ITU Facebook and Twitter accounts posts.</w:t>
      </w:r>
    </w:p>
    <w:p w14:paraId="471859B9" w14:textId="519ECF73" w:rsidR="5C4E5E45" w:rsidRPr="00D44674" w:rsidRDefault="00C44FDC" w:rsidP="0063096B">
      <w:pPr>
        <w:numPr>
          <w:ilvl w:val="0"/>
          <w:numId w:val="12"/>
        </w:numPr>
        <w:rPr>
          <w:lang w:val="en-GB"/>
        </w:rPr>
      </w:pPr>
      <w:hyperlink r:id="rId160" w:anchor="?target=Social%20media">
        <w:r w:rsidR="5C4E5E45" w:rsidRPr="0A47BC55">
          <w:rPr>
            <w:rStyle w:val="Hyperlink"/>
            <w:lang w:val="en-GB"/>
          </w:rPr>
          <w:t>Social media</w:t>
        </w:r>
      </w:hyperlink>
      <w:r w:rsidR="5C4E5E45" w:rsidRPr="0A47BC55">
        <w:rPr>
          <w:lang w:val="en-GB"/>
        </w:rPr>
        <w:t>: Search</w:t>
      </w:r>
      <w:r w:rsidR="6A1AF7B1" w:rsidRPr="0A47BC55">
        <w:rPr>
          <w:lang w:val="en-GB"/>
        </w:rPr>
        <w:t>es</w:t>
      </w:r>
      <w:r w:rsidR="5C4E5E45" w:rsidRPr="0A47BC55">
        <w:rPr>
          <w:lang w:val="en-GB"/>
        </w:rPr>
        <w:t xml:space="preserve"> on ITU Flickr and You</w:t>
      </w:r>
      <w:r w:rsidR="0085423D">
        <w:rPr>
          <w:lang w:val="en-GB"/>
        </w:rPr>
        <w:t>T</w:t>
      </w:r>
      <w:r w:rsidR="5C4E5E45" w:rsidRPr="0A47BC55">
        <w:rPr>
          <w:lang w:val="en-GB"/>
        </w:rPr>
        <w:t>ube accounts resources.</w:t>
      </w:r>
    </w:p>
    <w:p w14:paraId="78CF700C" w14:textId="2483FD62" w:rsidR="5C4E5E45" w:rsidRPr="00D44674" w:rsidRDefault="00C44FDC" w:rsidP="0063096B">
      <w:pPr>
        <w:numPr>
          <w:ilvl w:val="0"/>
          <w:numId w:val="12"/>
        </w:numPr>
        <w:rPr>
          <w:lang w:val="en-GB"/>
        </w:rPr>
      </w:pPr>
      <w:hyperlink r:id="rId161" w:anchor="?target=Base%20text&amp;ex=false&amp;q=Resolution%2032&amp;fl=0&amp;sector=t&amp;group=all&amp;collection=General">
        <w:r w:rsidR="5C4E5E45" w:rsidRPr="0A47BC55">
          <w:rPr>
            <w:rStyle w:val="Hyperlink"/>
            <w:lang w:val="en-GB"/>
          </w:rPr>
          <w:t>Basic text</w:t>
        </w:r>
      </w:hyperlink>
      <w:r w:rsidR="5C4E5E45" w:rsidRPr="0A47BC55">
        <w:rPr>
          <w:lang w:val="en-GB"/>
        </w:rPr>
        <w:t>: Specialized full text search on latest ITU and Sectors Assemblies and C</w:t>
      </w:r>
      <w:r w:rsidR="5ECAF13A" w:rsidRPr="0A47BC55">
        <w:rPr>
          <w:lang w:val="en-GB"/>
        </w:rPr>
        <w:t>o</w:t>
      </w:r>
      <w:r w:rsidR="5C4E5E45" w:rsidRPr="0A47BC55">
        <w:rPr>
          <w:lang w:val="en-GB"/>
        </w:rPr>
        <w:t xml:space="preserve">nferences </w:t>
      </w:r>
      <w:r w:rsidR="1669A4D6" w:rsidRPr="0A47BC55">
        <w:rPr>
          <w:lang w:val="en-GB"/>
        </w:rPr>
        <w:t xml:space="preserve">in force </w:t>
      </w:r>
      <w:r w:rsidR="5C4E5E45" w:rsidRPr="0A47BC55">
        <w:rPr>
          <w:lang w:val="en-GB"/>
        </w:rPr>
        <w:t xml:space="preserve">basic texts in the </w:t>
      </w:r>
      <w:r w:rsidR="0314D243" w:rsidRPr="0A47BC55">
        <w:rPr>
          <w:lang w:val="en-GB"/>
        </w:rPr>
        <w:t>six</w:t>
      </w:r>
      <w:r w:rsidR="5C4E5E45" w:rsidRPr="0A47BC55">
        <w:rPr>
          <w:lang w:val="en-GB"/>
        </w:rPr>
        <w:t xml:space="preserve"> </w:t>
      </w:r>
      <w:r w:rsidR="77F51395" w:rsidRPr="0A47BC55">
        <w:rPr>
          <w:lang w:val="en-GB"/>
        </w:rPr>
        <w:t>(</w:t>
      </w:r>
      <w:r w:rsidR="710087AD" w:rsidRPr="0A47BC55">
        <w:rPr>
          <w:lang w:val="en-GB"/>
        </w:rPr>
        <w:t>6</w:t>
      </w:r>
      <w:r w:rsidR="77F51395" w:rsidRPr="0A47BC55">
        <w:rPr>
          <w:lang w:val="en-GB"/>
        </w:rPr>
        <w:t xml:space="preserve">) </w:t>
      </w:r>
      <w:r w:rsidR="7D1C5794" w:rsidRPr="0A47BC55">
        <w:rPr>
          <w:lang w:val="en-GB"/>
        </w:rPr>
        <w:t>UN</w:t>
      </w:r>
      <w:r w:rsidR="5C4E5E45" w:rsidRPr="0A47BC55">
        <w:rPr>
          <w:lang w:val="en-GB"/>
        </w:rPr>
        <w:t xml:space="preserve"> official languages.</w:t>
      </w:r>
    </w:p>
    <w:p w14:paraId="5BEF7358" w14:textId="00CC26E4" w:rsidR="00136E7B" w:rsidRPr="00F57FAD" w:rsidRDefault="00136E7B" w:rsidP="00136E7B">
      <w:pPr>
        <w:pStyle w:val="Heading2"/>
      </w:pPr>
      <w:bookmarkStart w:id="197" w:name="_Toc51042298"/>
      <w:r w:rsidRPr="00F57FAD">
        <w:t>1</w:t>
      </w:r>
      <w:r w:rsidR="00CB641D">
        <w:t>5</w:t>
      </w:r>
      <w:r w:rsidRPr="00F57FAD">
        <w:t>.4</w:t>
      </w:r>
      <w:r w:rsidRPr="00F57FAD">
        <w:tab/>
        <w:t>ITU-T services &amp; tools announcements</w:t>
      </w:r>
      <w:bookmarkEnd w:id="197"/>
    </w:p>
    <w:p w14:paraId="0C28D408" w14:textId="576199D6" w:rsidR="00136E7B" w:rsidRPr="008D28D9" w:rsidRDefault="00136E7B" w:rsidP="00136E7B">
      <w:pPr>
        <w:rPr>
          <w:b/>
          <w:bCs/>
          <w:lang w:val="en-GB"/>
        </w:rPr>
      </w:pPr>
      <w:r w:rsidRPr="004E5B45">
        <w:rPr>
          <w:lang w:val="en-GB"/>
        </w:rPr>
        <w:t xml:space="preserve">A service announcements </w:t>
      </w:r>
      <w:r w:rsidR="473BEC47" w:rsidRPr="0A47BC55">
        <w:rPr>
          <w:lang w:val="en-GB"/>
        </w:rPr>
        <w:t>webpage for Electronic Working Methods (EWM)</w:t>
      </w:r>
      <w:r w:rsidRPr="0A47BC55">
        <w:rPr>
          <w:lang w:val="en-GB"/>
        </w:rPr>
        <w:t xml:space="preserve"> </w:t>
      </w:r>
      <w:r w:rsidRPr="004E5B45">
        <w:rPr>
          <w:lang w:val="en-GB"/>
        </w:rPr>
        <w:t xml:space="preserve">keeps the ITU-T community up to date with the latest </w:t>
      </w:r>
      <w:r w:rsidR="62AF2A5B" w:rsidRPr="0A47BC55">
        <w:rPr>
          <w:lang w:val="en-GB"/>
        </w:rPr>
        <w:t xml:space="preserve">tools available and services enhancements provided. </w:t>
      </w:r>
    </w:p>
    <w:p w14:paraId="155B0150" w14:textId="59457DA5" w:rsidR="00136E7B" w:rsidRPr="00F57FAD" w:rsidRDefault="00136E7B" w:rsidP="00136E7B">
      <w:pPr>
        <w:pStyle w:val="Heading2"/>
      </w:pPr>
      <w:bookmarkStart w:id="198" w:name="_Toc480527871"/>
      <w:bookmarkStart w:id="199" w:name="_Toc51042299"/>
      <w:r w:rsidRPr="00F57FAD">
        <w:t>1</w:t>
      </w:r>
      <w:r w:rsidR="00CB641D">
        <w:t>5</w:t>
      </w:r>
      <w:r w:rsidRPr="00F57FAD">
        <w:t>.5</w:t>
      </w:r>
      <w:r w:rsidRPr="00F57FAD">
        <w:tab/>
        <w:t>Document Management System for Rapporteur Groups</w:t>
      </w:r>
      <w:bookmarkEnd w:id="198"/>
      <w:bookmarkEnd w:id="199"/>
    </w:p>
    <w:p w14:paraId="5F4E1BB3" w14:textId="77777777" w:rsidR="00136E7B" w:rsidRPr="004E5B45" w:rsidRDefault="00136E7B" w:rsidP="00136E7B">
      <w:pPr>
        <w:rPr>
          <w:lang w:val="en-GB"/>
        </w:rPr>
      </w:pPr>
      <w:r w:rsidRPr="004E5B45">
        <w:rPr>
          <w:szCs w:val="24"/>
          <w:lang w:val="en-GB"/>
        </w:rPr>
        <w:t>The Microsoft SharePoint-based Document Management System for ITU-T Rapporteur Group Meetings (RGMs) has been used</w:t>
      </w:r>
      <w:r w:rsidRPr="004E5B45">
        <w:rPr>
          <w:lang w:val="en-GB"/>
        </w:rPr>
        <w:t xml:space="preserve"> </w:t>
      </w:r>
      <w:r w:rsidRPr="004E5B45">
        <w:rPr>
          <w:szCs w:val="24"/>
          <w:lang w:val="en-GB"/>
        </w:rPr>
        <w:t xml:space="preserve">extensively by the majority of ITU-T SGs, notably SGs 2, 3, 9, 11, </w:t>
      </w:r>
      <w:r w:rsidRPr="004E5B45">
        <w:rPr>
          <w:szCs w:val="24"/>
          <w:lang w:val="en-GB"/>
        </w:rPr>
        <w:lastRenderedPageBreak/>
        <w:t>13, 15, 16, 17 and TSAG. Feedback from Rapporteurs drives the continuous improvement of the RGM system.</w:t>
      </w:r>
    </w:p>
    <w:p w14:paraId="5289805C" w14:textId="77777777" w:rsidR="00136E7B" w:rsidRPr="004E5B45" w:rsidRDefault="00136E7B" w:rsidP="00136E7B">
      <w:pPr>
        <w:rPr>
          <w:szCs w:val="24"/>
          <w:lang w:val="en-GB"/>
        </w:rPr>
      </w:pPr>
      <w:r w:rsidRPr="004E5B45">
        <w:rPr>
          <w:szCs w:val="24"/>
          <w:lang w:val="en-GB"/>
        </w:rPr>
        <w:t xml:space="preserve">Current and past RGM meetings can be accessed at </w:t>
      </w:r>
      <w:hyperlink r:id="rId162" w:history="1">
        <w:r w:rsidRPr="004E5B45">
          <w:rPr>
            <w:rStyle w:val="Hyperlink"/>
            <w:szCs w:val="24"/>
            <w:lang w:val="en-GB"/>
          </w:rPr>
          <w:t>http://itu.int/go/itu-t/rgm</w:t>
        </w:r>
      </w:hyperlink>
    </w:p>
    <w:p w14:paraId="000E3D91" w14:textId="77777777" w:rsidR="00136E7B" w:rsidRPr="004E5B45" w:rsidRDefault="00136E7B" w:rsidP="00136E7B">
      <w:pPr>
        <w:rPr>
          <w:szCs w:val="24"/>
          <w:lang w:val="en-GB"/>
        </w:rPr>
      </w:pPr>
      <w:r w:rsidRPr="004E5B45">
        <w:rPr>
          <w:szCs w:val="24"/>
          <w:lang w:val="en-GB"/>
        </w:rPr>
        <w:t xml:space="preserve">A comprehensive support and FAQs page offering RGM tips and best practices is available at </w:t>
      </w:r>
      <w:hyperlink r:id="rId163" w:history="1">
        <w:r w:rsidRPr="004E5B45">
          <w:rPr>
            <w:rStyle w:val="Hyperlink"/>
            <w:szCs w:val="24"/>
            <w:lang w:val="en-GB"/>
          </w:rPr>
          <w:t>http://itu.int/go/itu-t/rgm-support</w:t>
        </w:r>
      </w:hyperlink>
    </w:p>
    <w:p w14:paraId="3D5C859E" w14:textId="77777777" w:rsidR="00136E7B" w:rsidRPr="004E5B45" w:rsidRDefault="00136E7B" w:rsidP="00136E7B">
      <w:pPr>
        <w:rPr>
          <w:szCs w:val="24"/>
          <w:lang w:val="en-GB"/>
        </w:rPr>
      </w:pPr>
      <w:r w:rsidRPr="004E5B45">
        <w:rPr>
          <w:szCs w:val="24"/>
          <w:lang w:val="en-GB"/>
        </w:rPr>
        <w:t xml:space="preserve">A detailed online user guide for the RGM System, including video tutorials, is available at </w:t>
      </w:r>
      <w:hyperlink r:id="rId164" w:history="1">
        <w:r w:rsidRPr="004E5B45">
          <w:rPr>
            <w:rStyle w:val="Hyperlink"/>
            <w:szCs w:val="24"/>
            <w:lang w:val="en-GB"/>
          </w:rPr>
          <w:t>http://itu.int/go/itu-t/rgm-guide</w:t>
        </w:r>
      </w:hyperlink>
    </w:p>
    <w:p w14:paraId="217EE31B" w14:textId="77777777" w:rsidR="00136E7B" w:rsidRPr="009A0820" w:rsidRDefault="00136E7B" w:rsidP="00136E7B">
      <w:pPr>
        <w:rPr>
          <w:lang w:val="en-GB"/>
        </w:rPr>
      </w:pPr>
      <w:r w:rsidRPr="004E5B45">
        <w:rPr>
          <w:lang w:val="en-GB"/>
        </w:rPr>
        <w:t xml:space="preserve">The RGM system </w:t>
      </w:r>
      <w:r w:rsidRPr="004E5B45">
        <w:rPr>
          <w:szCs w:val="24"/>
          <w:lang w:val="en-GB"/>
        </w:rPr>
        <w:t xml:space="preserve">is one </w:t>
      </w:r>
      <w:r w:rsidRPr="004E5B45">
        <w:rPr>
          <w:lang w:val="en-GB"/>
        </w:rPr>
        <w:t>of several services available in the ITU-T SharePoint collaboration sites. These sites are restricted to ITU-T members and can be accessed using an ITU User Account (TIES).</w:t>
      </w:r>
    </w:p>
    <w:p w14:paraId="1BDB48B8" w14:textId="24512D95" w:rsidR="00136E7B" w:rsidRPr="00F57FAD" w:rsidRDefault="00136E7B" w:rsidP="00136E7B">
      <w:pPr>
        <w:pStyle w:val="Heading2"/>
      </w:pPr>
      <w:bookmarkStart w:id="200" w:name="_Toc480527873"/>
      <w:bookmarkStart w:id="201" w:name="_Toc51042300"/>
      <w:r w:rsidRPr="00F57FAD">
        <w:t>1</w:t>
      </w:r>
      <w:r w:rsidR="00CB641D">
        <w:t>5</w:t>
      </w:r>
      <w:r w:rsidRPr="00F57FAD">
        <w:t>.6</w:t>
      </w:r>
      <w:r w:rsidRPr="00F57FAD">
        <w:tab/>
        <w:t>International Numbering Resources (INRs)</w:t>
      </w:r>
      <w:bookmarkEnd w:id="200"/>
      <w:bookmarkEnd w:id="201"/>
    </w:p>
    <w:p w14:paraId="46818061" w14:textId="60173625" w:rsidR="0053504D" w:rsidRPr="0053504D" w:rsidRDefault="00136E7B" w:rsidP="0053504D">
      <w:pPr>
        <w:rPr>
          <w:lang w:val="en-GB"/>
        </w:rPr>
      </w:pPr>
      <w:r w:rsidRPr="00F012E8">
        <w:rPr>
          <w:lang w:val="en-GB"/>
        </w:rPr>
        <w:t xml:space="preserve">A prototype of a new repository of national numbering plans has been developed and is available at: </w:t>
      </w:r>
      <w:hyperlink r:id="rId165">
        <w:r w:rsidRPr="00F012E8">
          <w:rPr>
            <w:rStyle w:val="Hyperlink"/>
            <w:lang w:val="en-GB"/>
          </w:rPr>
          <w:t>https://www.itu.int/net4/itu-t/nnp</w:t>
        </w:r>
      </w:hyperlink>
      <w:r w:rsidRPr="00F012E8">
        <w:rPr>
          <w:lang w:val="en-GB"/>
        </w:rPr>
        <w:t xml:space="preserve">. The prototype responds to </w:t>
      </w:r>
      <w:r w:rsidRPr="00F012E8">
        <w:rPr>
          <w:rFonts w:eastAsia="SimSun"/>
          <w:lang w:val="en-GB"/>
        </w:rPr>
        <w:t>WTSA Resolution 91 (</w:t>
      </w:r>
      <w:proofErr w:type="spellStart"/>
      <w:r w:rsidRPr="00F012E8">
        <w:rPr>
          <w:rFonts w:eastAsia="SimSun"/>
          <w:lang w:val="en-GB"/>
        </w:rPr>
        <w:t>Hammamet</w:t>
      </w:r>
      <w:proofErr w:type="spellEnd"/>
      <w:r w:rsidRPr="00F012E8">
        <w:rPr>
          <w:rFonts w:eastAsia="SimSun"/>
          <w:lang w:val="en-GB"/>
        </w:rPr>
        <w:t>, 2016) on "Enhancing access to an electronic repository of information on numbering plans published by the ITU Telecommunication Standardization Sector".</w:t>
      </w:r>
      <w:r w:rsidRPr="00F012E8">
        <w:rPr>
          <w:lang w:val="en-GB"/>
        </w:rPr>
        <w:t xml:space="preserve"> </w:t>
      </w:r>
      <w:r w:rsidRPr="00F012E8">
        <w:rPr>
          <w:rFonts w:eastAsia="SimSun"/>
          <w:lang w:val="en-GB"/>
        </w:rPr>
        <w:t xml:space="preserve">Pursuant to the relevant ITU-T Recommendations, Member States are invited to </w:t>
      </w:r>
      <w:r w:rsidRPr="00F012E8">
        <w:rPr>
          <w:lang w:val="en-GB"/>
        </w:rPr>
        <w:t>provide information on the presentation of their national numbering plans and amendments thereto in a timely manner, so as to ensure that the electronic repository remains up to date.</w:t>
      </w:r>
    </w:p>
    <w:p w14:paraId="3019A6C4" w14:textId="7C4827CA" w:rsidR="0649A483" w:rsidRPr="00F012E8" w:rsidRDefault="19DA27F2" w:rsidP="2DECB209">
      <w:pPr>
        <w:rPr>
          <w:rFonts w:eastAsia="SimSun"/>
          <w:lang w:val="en-GB"/>
        </w:rPr>
      </w:pPr>
      <w:r w:rsidRPr="222B8D80">
        <w:rPr>
          <w:rFonts w:eastAsia="SimSun"/>
          <w:lang w:val="en-GB"/>
        </w:rPr>
        <w:t xml:space="preserve">A new </w:t>
      </w:r>
      <w:hyperlink r:id="rId166">
        <w:r w:rsidR="2EF0815D" w:rsidRPr="222B8D80">
          <w:rPr>
            <w:rStyle w:val="Hyperlink"/>
            <w:rFonts w:eastAsia="SimSun"/>
          </w:rPr>
          <w:t>Numbering Applications Monitor</w:t>
        </w:r>
      </w:hyperlink>
      <w:r w:rsidRPr="222B8D80">
        <w:rPr>
          <w:rFonts w:eastAsia="SimSun"/>
          <w:lang w:val="en-GB"/>
        </w:rPr>
        <w:t xml:space="preserve"> site is now available for ITU-T SG2 experts who wish to follow the progress of numbering resource applications in real time. The site may be accessed only using a valid ITU user account (ITU-T Members or Associates of ITU-T SG2).</w:t>
      </w:r>
    </w:p>
    <w:p w14:paraId="7126D24A" w14:textId="77777777" w:rsidR="00136E7B" w:rsidRPr="00F012E8" w:rsidRDefault="00136E7B" w:rsidP="00136E7B">
      <w:pPr>
        <w:rPr>
          <w:lang w:val="en-GB"/>
        </w:rPr>
      </w:pPr>
      <w:r w:rsidRPr="00F012E8">
        <w:rPr>
          <w:lang w:val="en-GB"/>
        </w:rPr>
        <w:t>ITU assigns about two-dozen types of International Numbering Resources (INRs), either directly or indirectly.</w:t>
      </w:r>
    </w:p>
    <w:p w14:paraId="795E64E7" w14:textId="77777777" w:rsidR="00136E7B" w:rsidRPr="00F012E8" w:rsidRDefault="00136E7B" w:rsidP="00136E7B">
      <w:pPr>
        <w:rPr>
          <w:lang w:val="en-GB"/>
        </w:rPr>
      </w:pPr>
      <w:r w:rsidRPr="00F012E8">
        <w:rPr>
          <w:lang w:val="en-GB"/>
        </w:rPr>
        <w:t xml:space="preserve">Notifications of national numbering/identification plan updates and assignments or reclamations of national numbering/identification resources are received and published in the </w:t>
      </w:r>
      <w:hyperlink r:id="rId167" w:history="1">
        <w:r w:rsidRPr="00F012E8">
          <w:rPr>
            <w:rFonts w:asciiTheme="majorBidi" w:hAnsiTheme="majorBidi" w:cstheme="majorBidi"/>
            <w:color w:val="0000FF"/>
            <w:u w:val="single" w:color="0000FF"/>
            <w:lang w:val="en-GB"/>
          </w:rPr>
          <w:t>ITU Operational Bulletin</w:t>
        </w:r>
      </w:hyperlink>
      <w:r w:rsidRPr="00F012E8">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E.164 "The international public telecommunication numbering plan"</w:t>
      </w:r>
    </w:p>
    <w:p w14:paraId="2412DD64"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E.118 "The international telecommunication charge card"</w:t>
      </w:r>
    </w:p>
    <w:p w14:paraId="02C3FF07"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E.212 "The international identification plan for public networks and subscriptions"</w:t>
      </w:r>
    </w:p>
    <w:p w14:paraId="341B5DC6"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E.218 "Management of the allocation of terrestrial trunk radio Mobile Country Codes"</w:t>
      </w:r>
    </w:p>
    <w:p w14:paraId="18E9518C"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Q.708 "Assignment procedures for international signalling point codes".</w:t>
      </w:r>
    </w:p>
    <w:p w14:paraId="49EA1F75" w14:textId="616671F3" w:rsidR="00136E7B" w:rsidRPr="00F012E8" w:rsidRDefault="00136E7B" w:rsidP="00136E7B">
      <w:r w:rsidRPr="00F012E8">
        <w:rPr>
          <w:lang w:val="en-GB"/>
        </w:rPr>
        <w:t xml:space="preserve">ITU-T E.156 "Guidelines for ITU-T action on reported misuse of E.164 number resources" </w:t>
      </w:r>
      <w:r w:rsidR="007B3684" w:rsidRPr="00F012E8">
        <w:rPr>
          <w:lang w:val="en-GB"/>
        </w:rPr>
        <w:t xml:space="preserve">was revised </w:t>
      </w:r>
      <w:r w:rsidR="00B96A2E" w:rsidRPr="00F012E8">
        <w:rPr>
          <w:lang w:val="en-GB"/>
        </w:rPr>
        <w:t xml:space="preserve">in June 2020 </w:t>
      </w:r>
      <w:r w:rsidRPr="00F012E8">
        <w:rPr>
          <w:lang w:val="en-GB"/>
        </w:rPr>
        <w:t>to include new cases of misuse and to investigate more efficient means of combating misuse.</w:t>
      </w:r>
      <w:r w:rsidR="009238C0">
        <w:rPr>
          <w:lang w:val="en-GB"/>
        </w:rPr>
        <w:t xml:space="preserve"> </w:t>
      </w:r>
      <w:r w:rsidR="009238C0" w:rsidRPr="009238C0">
        <w:rPr>
          <w:lang w:val="en-GB"/>
        </w:rPr>
        <w:t xml:space="preserve">The revised text of the Recommendation better reflects the different types of numbering resources between directly assigned resources, so called global numbers, which are the responsibility of the Director TSB, and indirectly assigned resources, numbers that are the responsibility of Member States. The </w:t>
      </w:r>
      <w:r w:rsidR="0008239C">
        <w:rPr>
          <w:lang w:val="en-GB"/>
        </w:rPr>
        <w:t xml:space="preserve">latest </w:t>
      </w:r>
      <w:r w:rsidR="00AA62E8">
        <w:rPr>
          <w:lang w:val="en-GB"/>
        </w:rPr>
        <w:t>changes</w:t>
      </w:r>
      <w:r w:rsidR="009238C0" w:rsidRPr="009238C0">
        <w:rPr>
          <w:lang w:val="en-GB"/>
        </w:rPr>
        <w:t xml:space="preserve"> make the reporting of the indirectly assigned resources more effective through email notification to a pre-determined mailing list of misuse rather </w:t>
      </w:r>
      <w:r w:rsidR="009238C0" w:rsidRPr="00956564">
        <w:rPr>
          <w:lang w:val="en-GB"/>
        </w:rPr>
        <w:t>than registration of the report of misuse for action by TSB.</w:t>
      </w:r>
    </w:p>
    <w:p w14:paraId="791D4161" w14:textId="77777777" w:rsidR="00136E7B" w:rsidRPr="00F012E8" w:rsidRDefault="00136E7B" w:rsidP="00136E7B">
      <w:pPr>
        <w:rPr>
          <w:szCs w:val="24"/>
          <w:lang w:val="en-GB"/>
        </w:rPr>
      </w:pPr>
      <w:r w:rsidRPr="00F012E8">
        <w:rPr>
          <w:szCs w:val="24"/>
          <w:lang w:val="en-GB"/>
        </w:rPr>
        <w:lastRenderedPageBreak/>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SGs" and "develop national legal and regulatory frameworks that are sufficient to ensure best practices in ITU-T E.164 telephone numbering management in order to counter telephone number misappropriation and misuse".</w:t>
      </w:r>
    </w:p>
    <w:p w14:paraId="72622F6E" w14:textId="77777777" w:rsidR="00136E7B" w:rsidRPr="00F012E8" w:rsidRDefault="00136E7B" w:rsidP="00136E7B">
      <w:pPr>
        <w:snapToGrid w:val="0"/>
        <w:rPr>
          <w:rFonts w:eastAsia="Calibri"/>
          <w:szCs w:val="24"/>
          <w:lang w:val="en-GB"/>
        </w:rPr>
      </w:pPr>
      <w:r w:rsidRPr="00F012E8">
        <w:rPr>
          <w:rFonts w:eastAsia="SimSun"/>
          <w:szCs w:val="24"/>
          <w:lang w:val="en-GB"/>
        </w:rPr>
        <w:t xml:space="preserve">Council 2017 </w:t>
      </w:r>
      <w:r w:rsidRPr="00F012E8">
        <w:rPr>
          <w:szCs w:val="24"/>
          <w:lang w:val="en-GB"/>
        </w:rPr>
        <w:t>approved the new fee structure for UIFN (Universal International Freephone Number) and IIN (Issuer Identifier Number) by approving new Decision 600 (</w:t>
      </w:r>
      <w:hyperlink r:id="rId168" w:history="1">
        <w:r w:rsidRPr="00F012E8">
          <w:rPr>
            <w:rStyle w:val="Hyperlink"/>
            <w:szCs w:val="24"/>
            <w:lang w:val="en-GB"/>
          </w:rPr>
          <w:t>C17/133</w:t>
        </w:r>
      </w:hyperlink>
      <w:r w:rsidRPr="00F012E8">
        <w:rPr>
          <w:szCs w:val="24"/>
          <w:lang w:val="en-GB"/>
        </w:rPr>
        <w:t>) and 601 (</w:t>
      </w:r>
      <w:hyperlink r:id="rId169" w:history="1">
        <w:r w:rsidRPr="00F012E8">
          <w:rPr>
            <w:rStyle w:val="Hyperlink"/>
            <w:szCs w:val="24"/>
            <w:lang w:val="en-GB"/>
          </w:rPr>
          <w:t>C17/134</w:t>
        </w:r>
      </w:hyperlink>
      <w:r w:rsidRPr="00F012E8">
        <w:rPr>
          <w:szCs w:val="24"/>
          <w:lang w:val="en-GB"/>
        </w:rPr>
        <w:t>). ITU has been in the process of implementing these Decisions.</w:t>
      </w:r>
      <w:r w:rsidRPr="00F012E8">
        <w:rPr>
          <w:lang w:val="en-GB"/>
        </w:rPr>
        <w:t xml:space="preserve"> </w:t>
      </w:r>
      <w:r w:rsidRPr="00F012E8">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F012E8">
        <w:rPr>
          <w:szCs w:val="24"/>
          <w:lang w:val="en-GB"/>
        </w:rPr>
        <w:t>Council Decision 600 encouraged operators to update their list of active UIFNs and return the unused UIFNs to ITU, and that Council Decision 601 improves the precision of the IIN records kept in the ITU database. The following recommendation was approved by ITU Council 2019:</w:t>
      </w:r>
    </w:p>
    <w:p w14:paraId="3BC27F47" w14:textId="77777777" w:rsidR="00136E7B" w:rsidRPr="00F012E8" w:rsidRDefault="00136E7B" w:rsidP="00136E7B">
      <w:pPr>
        <w:overflowPunct/>
        <w:autoSpaceDE/>
        <w:autoSpaceDN/>
        <w:adjustRightInd/>
        <w:ind w:left="567"/>
        <w:textAlignment w:val="auto"/>
        <w:rPr>
          <w:rFonts w:eastAsia="SimSun"/>
          <w:b/>
          <w:bCs/>
          <w:i/>
          <w:iCs/>
          <w:szCs w:val="24"/>
          <w:lang w:val="en-GB"/>
        </w:rPr>
      </w:pPr>
      <w:r w:rsidRPr="00F012E8">
        <w:rPr>
          <w:rFonts w:eastAsia="SimSun"/>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F99AB6C" w14:textId="77777777" w:rsidR="00136E7B" w:rsidRPr="00F012E8" w:rsidRDefault="00136E7B" w:rsidP="00136E7B">
      <w:pPr>
        <w:overflowPunct/>
        <w:autoSpaceDE/>
        <w:autoSpaceDN/>
        <w:adjustRightInd/>
        <w:ind w:left="567"/>
        <w:textAlignment w:val="auto"/>
        <w:rPr>
          <w:rFonts w:eastAsia="SimSun"/>
          <w:i/>
          <w:szCs w:val="24"/>
          <w:lang w:val="en-GB"/>
        </w:rPr>
      </w:pPr>
      <w:r w:rsidRPr="00F012E8">
        <w:rPr>
          <w:i/>
          <w:szCs w:val="24"/>
          <w:lang w:val="en-GB"/>
        </w:rPr>
        <w:t>If the invoices sent to the UIFN service providers in Annex B to Document C19/47 remain unpaid for an extended period, the secretariat will seek assistance from Member States to recover the debt.</w:t>
      </w:r>
    </w:p>
    <w:p w14:paraId="355225E7" w14:textId="77777777" w:rsidR="00136E7B" w:rsidRPr="00F012E8" w:rsidRDefault="00136E7B" w:rsidP="00136E7B">
      <w:pPr>
        <w:ind w:left="567"/>
        <w:rPr>
          <w:rFonts w:eastAsia="SimSun"/>
          <w:i/>
          <w:lang w:val="en-GB"/>
        </w:rPr>
      </w:pPr>
      <w:r w:rsidRPr="00F012E8">
        <w:rPr>
          <w:rFonts w:eastAsia="SimSun"/>
          <w:i/>
          <w:lang w:val="en-GB"/>
        </w:rPr>
        <w:t>National Administrations/regulators or</w:t>
      </w:r>
      <w:r w:rsidRPr="00F012E8">
        <w:rPr>
          <w:i/>
          <w:lang w:val="en-GB"/>
        </w:rPr>
        <w:t xml:space="preserve"> authorized agencies</w:t>
      </w:r>
      <w:r w:rsidRPr="00F012E8">
        <w:rPr>
          <w:rFonts w:eastAsia="SimSun"/>
          <w:i/>
          <w:lang w:val="en-GB"/>
        </w:rPr>
        <w:t xml:space="preserve"> are encouraged to </w:t>
      </w:r>
      <w:proofErr w:type="gramStart"/>
      <w:r w:rsidRPr="00F012E8">
        <w:rPr>
          <w:rFonts w:eastAsia="SimSun"/>
          <w:i/>
          <w:lang w:val="en-GB"/>
        </w:rPr>
        <w:t>provide assistance</w:t>
      </w:r>
      <w:proofErr w:type="gramEnd"/>
      <w:r w:rsidRPr="00F012E8">
        <w:rPr>
          <w:rFonts w:eastAsia="SimSun"/>
          <w:i/>
          <w:lang w:val="en-GB"/>
        </w:rPr>
        <w:t xml:space="preserve"> in identifying the up-to-date contact or status of the UIFN service providers (e.g., if they are no longer in business) listed in Annex C to </w:t>
      </w:r>
      <w:r w:rsidRPr="00F012E8">
        <w:rPr>
          <w:i/>
          <w:lang w:val="en-GB"/>
        </w:rPr>
        <w:t>Document C19/47</w:t>
      </w:r>
      <w:r w:rsidRPr="00F012E8">
        <w:rPr>
          <w:rFonts w:eastAsia="SimSun"/>
          <w:i/>
          <w:lang w:val="en-GB"/>
        </w:rPr>
        <w:t>.</w:t>
      </w:r>
    </w:p>
    <w:p w14:paraId="2B84D654" w14:textId="77777777" w:rsidR="00136E7B" w:rsidRPr="00F012E8" w:rsidRDefault="00136E7B" w:rsidP="00136E7B">
      <w:pPr>
        <w:ind w:left="567"/>
        <w:rPr>
          <w:rFonts w:eastAsia="SimSun"/>
          <w:i/>
          <w:lang w:val="en-GB"/>
        </w:rPr>
      </w:pPr>
      <w:r w:rsidRPr="00F012E8">
        <w:rPr>
          <w:rFonts w:eastAsia="SimSun"/>
          <w:i/>
          <w:lang w:val="en-GB"/>
        </w:rPr>
        <w:t xml:space="preserve">The list of IINs for which contact information is pending will be published on ITU website as IINs with the status "assignee not reachable" and will be announced in the ITU Operational Bulletin. National Administrations/regulators or authorized agencies are encouraged to </w:t>
      </w:r>
      <w:proofErr w:type="gramStart"/>
      <w:r w:rsidRPr="00F012E8">
        <w:rPr>
          <w:rFonts w:eastAsia="SimSun"/>
          <w:i/>
          <w:lang w:val="en-GB"/>
        </w:rPr>
        <w:t>provide assistance</w:t>
      </w:r>
      <w:proofErr w:type="gramEnd"/>
      <w:r w:rsidRPr="00F012E8">
        <w:rPr>
          <w:rFonts w:eastAsia="SimSun"/>
          <w:i/>
          <w:lang w:val="en-GB"/>
        </w:rPr>
        <w:t xml:space="preserve"> in identifying their up-to-date status and/or contact information.</w:t>
      </w:r>
    </w:p>
    <w:p w14:paraId="221F0BF7" w14:textId="77777777" w:rsidR="00136E7B" w:rsidRPr="00F012E8" w:rsidRDefault="00136E7B" w:rsidP="00136E7B">
      <w:pPr>
        <w:ind w:left="567"/>
        <w:rPr>
          <w:rFonts w:eastAsia="SimSun"/>
          <w:i/>
          <w:lang w:val="en-GB"/>
        </w:rPr>
      </w:pPr>
      <w:r w:rsidRPr="00F012E8">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1C1AC618" w14:textId="77777777" w:rsidR="00136E7B" w:rsidRPr="00C81B63" w:rsidRDefault="00136E7B" w:rsidP="00136E7B">
      <w:pPr>
        <w:snapToGrid w:val="0"/>
        <w:ind w:left="567"/>
        <w:rPr>
          <w:i/>
          <w:lang w:val="en-GB"/>
        </w:rPr>
      </w:pPr>
      <w:r w:rsidRPr="00F012E8">
        <w:rPr>
          <w:rFonts w:eastAsia="SimSun"/>
          <w:i/>
          <w:iCs/>
          <w:szCs w:val="24"/>
          <w:lang w:val="en-GB"/>
        </w:rPr>
        <w:t xml:space="preserve">UIFN service providers or IIN assignees with the status of </w:t>
      </w:r>
      <w:r w:rsidRPr="00F012E8">
        <w:rPr>
          <w:rFonts w:eastAsia="SimSun"/>
          <w:i/>
          <w:szCs w:val="24"/>
          <w:lang w:val="en-GB"/>
        </w:rPr>
        <w:t>ADMIN RELATED</w:t>
      </w:r>
      <w:r w:rsidRPr="00F012E8">
        <w:rPr>
          <w:rFonts w:eastAsia="SimSun"/>
          <w:i/>
          <w:iCs/>
          <w:szCs w:val="24"/>
          <w:lang w:val="en-GB"/>
        </w:rPr>
        <w:t xml:space="preserve"> are not subject to the annual maintenance fee.</w:t>
      </w:r>
    </w:p>
    <w:p w14:paraId="4A2E4582" w14:textId="4843306A" w:rsidR="00136E7B" w:rsidRPr="00F57FAD" w:rsidRDefault="00136E7B" w:rsidP="00136E7B">
      <w:pPr>
        <w:pStyle w:val="Heading2"/>
      </w:pPr>
      <w:bookmarkStart w:id="202" w:name="_Toc462664279"/>
      <w:bookmarkStart w:id="203" w:name="_Toc480527874"/>
      <w:bookmarkStart w:id="204" w:name="_Toc51042301"/>
      <w:r w:rsidRPr="00F57FAD">
        <w:t>1</w:t>
      </w:r>
      <w:r w:rsidR="00CB641D">
        <w:t>5</w:t>
      </w:r>
      <w:r w:rsidRPr="00F57FAD">
        <w:t>.7</w:t>
      </w:r>
      <w:r w:rsidRPr="00F57FAD">
        <w:tab/>
        <w:t>ITU-T SharePoint collaboration sites</w:t>
      </w:r>
      <w:bookmarkEnd w:id="202"/>
      <w:bookmarkEnd w:id="203"/>
      <w:bookmarkEnd w:id="204"/>
    </w:p>
    <w:p w14:paraId="6C2D6E4E" w14:textId="77777777" w:rsidR="00136E7B" w:rsidRPr="004E5B45" w:rsidRDefault="00136E7B" w:rsidP="00136E7B">
      <w:pPr>
        <w:overflowPunct/>
        <w:autoSpaceDE/>
        <w:autoSpaceDN/>
        <w:adjustRightInd/>
        <w:textAlignment w:val="auto"/>
        <w:rPr>
          <w:lang w:val="en-GB"/>
        </w:rPr>
      </w:pPr>
      <w:r w:rsidRPr="004E5B45">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4E5B45" w:rsidRDefault="00136E7B" w:rsidP="00136E7B">
      <w:pPr>
        <w:overflowPunct/>
        <w:autoSpaceDE/>
        <w:autoSpaceDN/>
        <w:adjustRightInd/>
        <w:textAlignment w:val="auto"/>
        <w:rPr>
          <w:lang w:val="en-GB"/>
        </w:rPr>
      </w:pPr>
      <w:r w:rsidRPr="004E5B45">
        <w:rPr>
          <w:lang w:val="en-GB"/>
        </w:rPr>
        <w:t xml:space="preserve">The home of ITU-T SharePoint collaboration sites can be accessed at: </w:t>
      </w:r>
      <w:hyperlink r:id="rId170" w:history="1">
        <w:r w:rsidRPr="004E5B45">
          <w:rPr>
            <w:rStyle w:val="Hyperlink"/>
            <w:rFonts w:asciiTheme="majorBidi" w:hAnsiTheme="majorBidi" w:cstheme="majorBidi"/>
            <w:szCs w:val="24"/>
            <w:lang w:val="en-GB"/>
          </w:rPr>
          <w:t>https://extranet.itu.int/sites/ITU-T/</w:t>
        </w:r>
      </w:hyperlink>
      <w:r w:rsidRPr="004E5B45">
        <w:rPr>
          <w:lang w:val="en-GB"/>
        </w:rPr>
        <w:t>.</w:t>
      </w:r>
    </w:p>
    <w:p w14:paraId="27C4BD32" w14:textId="77777777" w:rsidR="00136E7B" w:rsidRPr="004E5B45" w:rsidRDefault="00136E7B" w:rsidP="00136E7B">
      <w:pPr>
        <w:rPr>
          <w:lang w:val="en-GB"/>
        </w:rPr>
      </w:pPr>
      <w:r w:rsidRPr="004E5B45">
        <w:rPr>
          <w:lang w:val="en-GB"/>
        </w:rPr>
        <w:lastRenderedPageBreak/>
        <w:t xml:space="preserve">A selection of notable collaboration sites </w:t>
      </w:r>
      <w:proofErr w:type="gramStart"/>
      <w:r w:rsidRPr="004E5B45">
        <w:rPr>
          <w:lang w:val="en-GB"/>
        </w:rPr>
        <w:t>are</w:t>
      </w:r>
      <w:proofErr w:type="gramEnd"/>
      <w:r w:rsidRPr="004E5B45">
        <w:rPr>
          <w:lang w:val="en-GB"/>
        </w:rPr>
        <w:t xml:space="preserve"> listed below:</w:t>
      </w:r>
    </w:p>
    <w:p w14:paraId="419AF83D" w14:textId="77777777" w:rsidR="00136E7B" w:rsidRPr="004E5B45" w:rsidRDefault="00136E7B" w:rsidP="0063096B">
      <w:pPr>
        <w:numPr>
          <w:ilvl w:val="0"/>
          <w:numId w:val="13"/>
        </w:numPr>
        <w:rPr>
          <w:lang w:val="en-GB"/>
        </w:rPr>
      </w:pPr>
      <w:r w:rsidRPr="004E5B45">
        <w:rPr>
          <w:lang w:val="en-GB"/>
        </w:rPr>
        <w:t>ITU-T SGs (Study Period 2017-2020) (</w:t>
      </w:r>
      <w:hyperlink r:id="rId171" w:history="1">
        <w:r w:rsidRPr="004E5B45">
          <w:rPr>
            <w:rStyle w:val="Hyperlink"/>
            <w:rFonts w:asciiTheme="majorBidi" w:hAnsiTheme="majorBidi" w:cstheme="majorBidi"/>
            <w:lang w:val="en-GB"/>
          </w:rPr>
          <w:t>https://extranet.itu.int/sites/itu-t/studygroups/2017-2020</w:t>
        </w:r>
      </w:hyperlink>
      <w:r w:rsidRPr="004E5B45">
        <w:rPr>
          <w:lang w:val="en-GB"/>
        </w:rPr>
        <w:t>)</w:t>
      </w:r>
    </w:p>
    <w:p w14:paraId="7132042A" w14:textId="77777777" w:rsidR="00136E7B" w:rsidRPr="004E5B45" w:rsidRDefault="00136E7B" w:rsidP="0063096B">
      <w:pPr>
        <w:numPr>
          <w:ilvl w:val="0"/>
          <w:numId w:val="13"/>
        </w:numPr>
        <w:rPr>
          <w:lang w:val="en-GB"/>
        </w:rPr>
      </w:pPr>
      <w:r w:rsidRPr="004E5B45">
        <w:rPr>
          <w:lang w:val="en-GB"/>
        </w:rPr>
        <w:t>United for Smart Sustainable Cities (U4SSC) (</w:t>
      </w:r>
      <w:hyperlink r:id="rId172" w:history="1">
        <w:r w:rsidRPr="004E5B45">
          <w:rPr>
            <w:rStyle w:val="Hyperlink"/>
            <w:rFonts w:asciiTheme="majorBidi" w:hAnsiTheme="majorBidi" w:cstheme="majorBidi"/>
            <w:lang w:val="en-GB"/>
          </w:rPr>
          <w:t>https://extranet.itu.int/sites/itu-t/initiatives/U4SSC/</w:t>
        </w:r>
      </w:hyperlink>
      <w:r w:rsidRPr="004E5B45">
        <w:rPr>
          <w:lang w:val="en-GB"/>
        </w:rPr>
        <w:t>)</w:t>
      </w:r>
    </w:p>
    <w:p w14:paraId="26D6AE74" w14:textId="77777777" w:rsidR="00136E7B" w:rsidRPr="004E5B45" w:rsidRDefault="00136E7B" w:rsidP="0063096B">
      <w:pPr>
        <w:numPr>
          <w:ilvl w:val="0"/>
          <w:numId w:val="13"/>
        </w:numPr>
        <w:rPr>
          <w:lang w:val="en-GB"/>
        </w:rPr>
      </w:pPr>
      <w:r w:rsidRPr="004E5B45">
        <w:rPr>
          <w:lang w:val="en-GB"/>
        </w:rPr>
        <w:t>Security, Infrastructure and Trust Working Group (SIT WG) (</w:t>
      </w:r>
      <w:hyperlink r:id="rId173" w:history="1">
        <w:r w:rsidRPr="004E5B45">
          <w:rPr>
            <w:rStyle w:val="Hyperlink"/>
            <w:rFonts w:asciiTheme="majorBidi" w:hAnsiTheme="majorBidi" w:cstheme="majorBidi"/>
            <w:lang w:val="en-GB"/>
          </w:rPr>
          <w:t>https://extranet.itu.int/sites/itu-t/initiatives/sitwg/</w:t>
        </w:r>
      </w:hyperlink>
      <w:r w:rsidRPr="004E5B45">
        <w:rPr>
          <w:lang w:val="en-GB"/>
        </w:rPr>
        <w:t>)</w:t>
      </w:r>
    </w:p>
    <w:p w14:paraId="14EF60E6" w14:textId="77777777" w:rsidR="00136E7B" w:rsidRPr="004E5B45" w:rsidRDefault="00136E7B" w:rsidP="0063096B">
      <w:pPr>
        <w:numPr>
          <w:ilvl w:val="0"/>
          <w:numId w:val="13"/>
        </w:numPr>
        <w:rPr>
          <w:lang w:val="en-GB"/>
        </w:rPr>
      </w:pPr>
      <w:r w:rsidRPr="004E5B45">
        <w:rPr>
          <w:lang w:val="en-GB"/>
        </w:rPr>
        <w:t>FG ML5G - ITU-T Focus Group on Machine Learning for Future Networks including 5G (</w:t>
      </w:r>
      <w:hyperlink r:id="rId174" w:history="1">
        <w:r w:rsidRPr="004E5B45">
          <w:rPr>
            <w:rStyle w:val="Hyperlink"/>
            <w:rFonts w:asciiTheme="majorBidi" w:hAnsiTheme="majorBidi" w:cstheme="majorBidi"/>
            <w:lang w:val="en-GB"/>
          </w:rPr>
          <w:t>https://extranet.itu.int/sites/itu-t/focusgroups/ML5G/</w:t>
        </w:r>
      </w:hyperlink>
      <w:r w:rsidRPr="004E5B45">
        <w:rPr>
          <w:lang w:val="en-GB"/>
        </w:rPr>
        <w:t>)</w:t>
      </w:r>
    </w:p>
    <w:p w14:paraId="3E651958" w14:textId="77777777" w:rsidR="00136E7B" w:rsidRPr="004E5B45" w:rsidRDefault="00136E7B" w:rsidP="0063096B">
      <w:pPr>
        <w:numPr>
          <w:ilvl w:val="0"/>
          <w:numId w:val="13"/>
        </w:numPr>
        <w:rPr>
          <w:lang w:val="en-GB"/>
        </w:rPr>
      </w:pPr>
      <w:r w:rsidRPr="004E5B45">
        <w:rPr>
          <w:lang w:val="en-GB"/>
        </w:rPr>
        <w:t>FG NET-2030 – ITU-T Focus Group on Technologies for Network 2030 (</w:t>
      </w:r>
      <w:hyperlink r:id="rId175" w:history="1">
        <w:r w:rsidRPr="004E5B45">
          <w:rPr>
            <w:rStyle w:val="Hyperlink"/>
            <w:rFonts w:asciiTheme="majorBidi" w:hAnsiTheme="majorBidi" w:cstheme="majorBidi"/>
            <w:lang w:val="en-GB"/>
          </w:rPr>
          <w:t>https://extranet.itu.int/sites/itu-t/focusgroups/net-2030/</w:t>
        </w:r>
      </w:hyperlink>
      <w:r w:rsidRPr="004E5B45">
        <w:rPr>
          <w:lang w:val="en-GB"/>
        </w:rPr>
        <w:t>)</w:t>
      </w:r>
    </w:p>
    <w:p w14:paraId="478A0AE0" w14:textId="77777777" w:rsidR="00136E7B" w:rsidRPr="004E5B45" w:rsidRDefault="00136E7B" w:rsidP="0063096B">
      <w:pPr>
        <w:numPr>
          <w:ilvl w:val="0"/>
          <w:numId w:val="13"/>
        </w:numPr>
        <w:rPr>
          <w:lang w:val="en-GB"/>
        </w:rPr>
      </w:pPr>
      <w:r w:rsidRPr="004E5B45">
        <w:rPr>
          <w:lang w:val="en-GB"/>
        </w:rPr>
        <w:t>FG-AI4H - ITU-T Focus Group on AI for Health (</w:t>
      </w:r>
      <w:hyperlink r:id="rId176" w:history="1">
        <w:r w:rsidRPr="004E5B45">
          <w:rPr>
            <w:rStyle w:val="Hyperlink"/>
            <w:rFonts w:asciiTheme="majorBidi" w:hAnsiTheme="majorBidi" w:cstheme="majorBidi"/>
            <w:lang w:val="en-GB"/>
          </w:rPr>
          <w:t>https://extranet.itu.int/sites/itu-t/focusgroups/ai4h/</w:t>
        </w:r>
      </w:hyperlink>
      <w:r w:rsidRPr="004E5B45">
        <w:rPr>
          <w:lang w:val="en-GB"/>
        </w:rPr>
        <w:t>)</w:t>
      </w:r>
    </w:p>
    <w:p w14:paraId="15D01F46" w14:textId="77777777" w:rsidR="00136E7B" w:rsidRPr="004E5B45" w:rsidRDefault="00136E7B" w:rsidP="0063096B">
      <w:pPr>
        <w:numPr>
          <w:ilvl w:val="0"/>
          <w:numId w:val="13"/>
        </w:numPr>
        <w:rPr>
          <w:lang w:val="en-GB"/>
        </w:rPr>
      </w:pPr>
      <w:r w:rsidRPr="004E5B45">
        <w:rPr>
          <w:lang w:val="en-GB"/>
        </w:rPr>
        <w:t>FG-VM - ITU-T Focus Group on Vehicular Multimedia</w:t>
      </w:r>
      <w:r w:rsidRPr="004E5B45">
        <w:rPr>
          <w:lang w:val="en-GB"/>
        </w:rPr>
        <w:br/>
        <w:t>(</w:t>
      </w:r>
      <w:hyperlink r:id="rId177" w:history="1">
        <w:r w:rsidRPr="004E5B45">
          <w:rPr>
            <w:rStyle w:val="Hyperlink"/>
            <w:rFonts w:asciiTheme="majorBidi" w:hAnsiTheme="majorBidi" w:cstheme="majorBidi"/>
            <w:lang w:val="en-GB"/>
          </w:rPr>
          <w:t>https://extranet.itu.int/sites/itu-t/focusgroups/vm/</w:t>
        </w:r>
      </w:hyperlink>
      <w:r w:rsidRPr="004E5B45">
        <w:rPr>
          <w:lang w:val="en-GB"/>
        </w:rPr>
        <w:t>)</w:t>
      </w:r>
    </w:p>
    <w:p w14:paraId="6C4C897B" w14:textId="77777777" w:rsidR="00136E7B" w:rsidRPr="004E5B45" w:rsidRDefault="00136E7B" w:rsidP="0063096B">
      <w:pPr>
        <w:numPr>
          <w:ilvl w:val="0"/>
          <w:numId w:val="13"/>
        </w:numPr>
        <w:rPr>
          <w:lang w:val="en-GB"/>
        </w:rPr>
      </w:pPr>
      <w:r w:rsidRPr="004E5B45">
        <w:rPr>
          <w:lang w:val="en-GB"/>
        </w:rPr>
        <w:t>FG-AI4EE - Focus Group on Environmental Efficiency for AI and other Emerging Technologies</w:t>
      </w:r>
      <w:r w:rsidRPr="004E5B45">
        <w:rPr>
          <w:lang w:val="en-GB"/>
        </w:rPr>
        <w:br/>
        <w:t>(</w:t>
      </w:r>
      <w:hyperlink r:id="rId178" w:history="1">
        <w:r w:rsidRPr="004E5B45">
          <w:rPr>
            <w:rStyle w:val="Hyperlink"/>
            <w:rFonts w:asciiTheme="majorBidi" w:hAnsiTheme="majorBidi" w:cstheme="majorBidi"/>
            <w:lang w:val="en-GB"/>
          </w:rPr>
          <w:t>https://extranet.itu.int/sites/itu-t/focusgroups/ai4ee/</w:t>
        </w:r>
      </w:hyperlink>
      <w:r w:rsidRPr="004E5B45">
        <w:rPr>
          <w:lang w:val="en-GB"/>
        </w:rPr>
        <w:t>)</w:t>
      </w:r>
    </w:p>
    <w:p w14:paraId="4F4337B5" w14:textId="77777777" w:rsidR="00136E7B" w:rsidRPr="004E5B45" w:rsidRDefault="00136E7B" w:rsidP="0063096B">
      <w:pPr>
        <w:numPr>
          <w:ilvl w:val="0"/>
          <w:numId w:val="13"/>
        </w:numPr>
        <w:rPr>
          <w:lang w:val="en-GB"/>
        </w:rPr>
      </w:pPr>
      <w:r w:rsidRPr="004E5B45">
        <w:rPr>
          <w:lang w:val="en-GB"/>
        </w:rPr>
        <w:t>FG QIT4N – ITU-T Focus Group on Quantum Information Technology for Networks (</w:t>
      </w:r>
      <w:hyperlink r:id="rId179" w:history="1">
        <w:r w:rsidRPr="004E5B45">
          <w:rPr>
            <w:rStyle w:val="Hyperlink"/>
            <w:lang w:val="en-GB"/>
          </w:rPr>
          <w:t>https://extranet.itu.int/sites/itu-t/focusgroups/qit4n</w:t>
        </w:r>
      </w:hyperlink>
      <w:r w:rsidRPr="004E5B45">
        <w:rPr>
          <w:lang w:val="en-GB"/>
        </w:rPr>
        <w:t>)</w:t>
      </w:r>
    </w:p>
    <w:p w14:paraId="60BCF6B0" w14:textId="77777777" w:rsidR="00136E7B" w:rsidRPr="004E5B45" w:rsidRDefault="00136E7B" w:rsidP="0063096B">
      <w:pPr>
        <w:numPr>
          <w:ilvl w:val="0"/>
          <w:numId w:val="13"/>
        </w:numPr>
        <w:rPr>
          <w:lang w:val="en-GB"/>
        </w:rPr>
      </w:pPr>
      <w:r w:rsidRPr="004E5B45">
        <w:rPr>
          <w:lang w:val="en-GB"/>
        </w:rPr>
        <w:t>FG-AI4AD – ITU-T Focus Group on Autonomous and Assisted Driving (</w:t>
      </w:r>
      <w:hyperlink r:id="rId180" w:history="1">
        <w:r w:rsidRPr="004E5B45">
          <w:rPr>
            <w:rStyle w:val="Hyperlink"/>
            <w:lang w:val="en-GB"/>
          </w:rPr>
          <w:t>https://extranet.itu.int/sites/itu-t/focusgroups/ai4ad</w:t>
        </w:r>
      </w:hyperlink>
      <w:r w:rsidRPr="004E5B45">
        <w:rPr>
          <w:lang w:val="en-GB"/>
        </w:rPr>
        <w:t>)</w:t>
      </w:r>
    </w:p>
    <w:p w14:paraId="4C50B945" w14:textId="77777777" w:rsidR="00136E7B" w:rsidRPr="004E5B45" w:rsidRDefault="00136E7B" w:rsidP="0063096B">
      <w:pPr>
        <w:numPr>
          <w:ilvl w:val="0"/>
          <w:numId w:val="13"/>
        </w:numPr>
        <w:rPr>
          <w:lang w:val="en-GB"/>
        </w:rPr>
      </w:pPr>
      <w:r w:rsidRPr="004E5B45">
        <w:rPr>
          <w:lang w:val="en-GB"/>
        </w:rPr>
        <w:t>JVDS - ITU-T SG16 &amp; ISO TC22/SC31/WG8 Joint Project Team on Vehicle Domain Service (</w:t>
      </w:r>
      <w:hyperlink r:id="rId181" w:history="1">
        <w:r w:rsidRPr="004E5B45">
          <w:rPr>
            <w:rStyle w:val="Hyperlink"/>
          </w:rPr>
          <w:t>https://extranet.itu.int/sites/itu-t/jointgroups/jvds/</w:t>
        </w:r>
      </w:hyperlink>
      <w:r w:rsidRPr="004E5B45">
        <w:t>)</w:t>
      </w:r>
    </w:p>
    <w:p w14:paraId="4FE06528" w14:textId="77777777" w:rsidR="00136E7B" w:rsidRPr="004E5B45" w:rsidRDefault="00136E7B" w:rsidP="0063096B">
      <w:pPr>
        <w:numPr>
          <w:ilvl w:val="0"/>
          <w:numId w:val="13"/>
        </w:numPr>
        <w:rPr>
          <w:lang w:val="en-GB"/>
        </w:rPr>
      </w:pPr>
      <w:r w:rsidRPr="004E5B45">
        <w:rPr>
          <w:lang w:val="en-GB"/>
        </w:rPr>
        <w:t xml:space="preserve">IRG-AVA - </w:t>
      </w:r>
      <w:proofErr w:type="spellStart"/>
      <w:r w:rsidRPr="004E5B45">
        <w:rPr>
          <w:lang w:val="en-GB"/>
        </w:rPr>
        <w:t>Intersector</w:t>
      </w:r>
      <w:proofErr w:type="spellEnd"/>
      <w:r w:rsidRPr="004E5B45">
        <w:rPr>
          <w:lang w:val="en-GB"/>
        </w:rPr>
        <w:t xml:space="preserve"> Rapporteur Group on </w:t>
      </w:r>
      <w:proofErr w:type="spellStart"/>
      <w:r w:rsidRPr="004E5B45">
        <w:rPr>
          <w:lang w:val="en-GB"/>
        </w:rPr>
        <w:t>Audiovisual</w:t>
      </w:r>
      <w:proofErr w:type="spellEnd"/>
      <w:r w:rsidRPr="004E5B45">
        <w:rPr>
          <w:lang w:val="en-GB"/>
        </w:rPr>
        <w:t xml:space="preserve"> Media Accessibility (</w:t>
      </w:r>
      <w:hyperlink r:id="rId182" w:history="1">
        <w:r w:rsidRPr="004E5B45">
          <w:rPr>
            <w:rStyle w:val="Hyperlink"/>
          </w:rPr>
          <w:t>https://extranet.itu.int/sites/irg/ava/</w:t>
        </w:r>
      </w:hyperlink>
      <w:r w:rsidRPr="004E5B45">
        <w:t>)</w:t>
      </w:r>
    </w:p>
    <w:p w14:paraId="6E95883E" w14:textId="2B416709" w:rsidR="00136E7B" w:rsidRPr="004E5B45" w:rsidRDefault="00136E7B" w:rsidP="0063096B">
      <w:pPr>
        <w:numPr>
          <w:ilvl w:val="0"/>
          <w:numId w:val="13"/>
        </w:numPr>
        <w:rPr>
          <w:lang w:val="en-GB"/>
        </w:rPr>
      </w:pPr>
      <w:r w:rsidRPr="20821C4C">
        <w:rPr>
          <w:lang w:val="en-GB"/>
        </w:rPr>
        <w:t>CASC - ITU-T Conformity Assessment Steering Committee</w:t>
      </w:r>
      <w:r>
        <w:br/>
      </w:r>
      <w:r w:rsidRPr="20821C4C">
        <w:rPr>
          <w:lang w:val="en-GB"/>
        </w:rPr>
        <w:t>(</w:t>
      </w:r>
      <w:hyperlink r:id="rId183">
        <w:r w:rsidRPr="20821C4C">
          <w:rPr>
            <w:rStyle w:val="Hyperlink"/>
          </w:rPr>
          <w:t>https://extranet.itu.int/sites/itu-t/studygroups/2017-2020/sg11/casc/</w:t>
        </w:r>
      </w:hyperlink>
      <w:r>
        <w:t>)</w:t>
      </w:r>
    </w:p>
    <w:p w14:paraId="6426246B" w14:textId="06F54DC7" w:rsidR="4852C0E0" w:rsidRDefault="4852C0E0" w:rsidP="0063096B">
      <w:pPr>
        <w:numPr>
          <w:ilvl w:val="0"/>
          <w:numId w:val="13"/>
        </w:numPr>
        <w:rPr>
          <w:szCs w:val="24"/>
        </w:rPr>
      </w:pPr>
      <w:r>
        <w:t>Pathway #1: Circular Design (</w:t>
      </w:r>
      <w:hyperlink r:id="rId184" w:history="1">
        <w:r w:rsidRPr="20821C4C">
          <w:rPr>
            <w:rStyle w:val="Hyperlink"/>
          </w:rPr>
          <w:t>https://extranet.itu.int/sites/itu-t/initiatives/circulardesign</w:t>
        </w:r>
      </w:hyperlink>
      <w:r>
        <w:t>)</w:t>
      </w:r>
    </w:p>
    <w:p w14:paraId="0399880F" w14:textId="541087E1" w:rsidR="4852C0E0" w:rsidRDefault="4852C0E0" w:rsidP="0063096B">
      <w:pPr>
        <w:numPr>
          <w:ilvl w:val="0"/>
          <w:numId w:val="13"/>
        </w:numPr>
        <w:rPr>
          <w:szCs w:val="24"/>
        </w:rPr>
      </w:pPr>
      <w:r>
        <w:t>Digital Currency Global Initiative (</w:t>
      </w:r>
      <w:hyperlink r:id="rId185" w:history="1">
        <w:r w:rsidRPr="20821C4C">
          <w:rPr>
            <w:rStyle w:val="Hyperlink"/>
          </w:rPr>
          <w:t>https://extranet.itu.int/sites/itu-t/initiatives/dcgi</w:t>
        </w:r>
      </w:hyperlink>
      <w:r>
        <w:t>)</w:t>
      </w:r>
    </w:p>
    <w:p w14:paraId="1AB2CA14" w14:textId="3E467C82" w:rsidR="4852C0E0" w:rsidRDefault="4852C0E0" w:rsidP="0063096B">
      <w:pPr>
        <w:numPr>
          <w:ilvl w:val="0"/>
          <w:numId w:val="13"/>
        </w:numPr>
        <w:rPr>
          <w:szCs w:val="24"/>
        </w:rPr>
      </w:pPr>
      <w:r>
        <w:t>Project on E-waste (</w:t>
      </w:r>
      <w:hyperlink r:id="rId186" w:history="1">
        <w:r w:rsidRPr="20821C4C">
          <w:rPr>
            <w:rStyle w:val="Hyperlink"/>
          </w:rPr>
          <w:t>https://extranet.itu.int/sites/itu-t/initiatives/E-waste</w:t>
        </w:r>
      </w:hyperlink>
      <w:r>
        <w:t>)</w:t>
      </w:r>
    </w:p>
    <w:p w14:paraId="426FD4AA" w14:textId="6A5BE359" w:rsidR="4852C0E0" w:rsidRDefault="4852C0E0" w:rsidP="0063096B">
      <w:pPr>
        <w:numPr>
          <w:ilvl w:val="0"/>
          <w:numId w:val="13"/>
        </w:numPr>
        <w:rPr>
          <w:szCs w:val="24"/>
        </w:rPr>
      </w:pPr>
      <w:r>
        <w:t>Focal points and coordinators for WTSA-20 from regional organizations (</w:t>
      </w:r>
      <w:hyperlink r:id="rId187" w:history="1">
        <w:r w:rsidR="00214A22" w:rsidRPr="002E448E">
          <w:rPr>
            <w:rStyle w:val="Hyperlink"/>
          </w:rPr>
          <w:t>https://extranet.itu.int/sites/itu-t/wtsa-20/prepmeet/Lists/ContactSheet/DefViewContacts.aspx</w:t>
        </w:r>
      </w:hyperlink>
      <w:r>
        <w:t>)</w:t>
      </w:r>
    </w:p>
    <w:p w14:paraId="7998B51F" w14:textId="77777777" w:rsidR="00136E7B" w:rsidRPr="004E5B45" w:rsidRDefault="00136E7B" w:rsidP="00136E7B">
      <w:pPr>
        <w:rPr>
          <w:lang w:val="en-GB"/>
        </w:rPr>
      </w:pPr>
      <w:r w:rsidRPr="004E5B45">
        <w:rPr>
          <w:lang w:val="en-GB"/>
        </w:rPr>
        <w:t xml:space="preserve">A support site containing a knowledge base of FAQs and user guides on the various SharePoint services is available at: </w:t>
      </w:r>
      <w:hyperlink r:id="rId188" w:history="1">
        <w:r w:rsidRPr="004E5B45">
          <w:rPr>
            <w:rStyle w:val="Hyperlink"/>
            <w:rFonts w:asciiTheme="majorBidi" w:hAnsiTheme="majorBidi" w:cstheme="majorBidi"/>
            <w:szCs w:val="24"/>
            <w:lang w:val="en-GB"/>
          </w:rPr>
          <w:t>https://extranet.itu.int/ITU-T/support/</w:t>
        </w:r>
      </w:hyperlink>
      <w:r w:rsidRPr="004E5B45">
        <w:rPr>
          <w:lang w:val="en-GB"/>
        </w:rPr>
        <w:t>.</w:t>
      </w:r>
    </w:p>
    <w:p w14:paraId="7269572D" w14:textId="77777777" w:rsidR="00136E7B" w:rsidRPr="00C47E64" w:rsidRDefault="00136E7B" w:rsidP="00136E7B">
      <w:pPr>
        <w:rPr>
          <w:lang w:val="en-GB"/>
        </w:rPr>
      </w:pPr>
      <w:r w:rsidRPr="004E5B45">
        <w:rPr>
          <w:lang w:val="en-GB"/>
        </w:rPr>
        <w:t>Most of the collaboration sites are restricted to ITU-T members, accessed using an ITU User Account (TIES). Certain collaboration sites are open to non-members, accessed using non-member ITU User Accounts.</w:t>
      </w:r>
    </w:p>
    <w:p w14:paraId="4E424F5C" w14:textId="39ED4B32" w:rsidR="00136E7B" w:rsidRPr="00F57FAD" w:rsidRDefault="00136E7B" w:rsidP="00136E7B">
      <w:pPr>
        <w:pStyle w:val="Heading2"/>
      </w:pPr>
      <w:bookmarkStart w:id="205" w:name="_Toc462664281"/>
      <w:bookmarkStart w:id="206" w:name="_Toc480527876"/>
      <w:bookmarkStart w:id="207" w:name="_Toc51042302"/>
      <w:r w:rsidRPr="00F57FAD">
        <w:lastRenderedPageBreak/>
        <w:t>1</w:t>
      </w:r>
      <w:r w:rsidR="00CB641D">
        <w:t>5</w:t>
      </w:r>
      <w:r w:rsidRPr="00F57FAD">
        <w:t>.8</w:t>
      </w:r>
      <w:r w:rsidRPr="00F57FAD">
        <w:tab/>
        <w:t>Meeting Documents Sync Application</w:t>
      </w:r>
      <w:bookmarkEnd w:id="205"/>
      <w:bookmarkEnd w:id="206"/>
      <w:bookmarkEnd w:id="207"/>
    </w:p>
    <w:p w14:paraId="60EB598E" w14:textId="77777777" w:rsidR="00136E7B" w:rsidRPr="004E5B45" w:rsidRDefault="00136E7B" w:rsidP="00136E7B">
      <w:pPr>
        <w:rPr>
          <w:lang w:val="en-GB"/>
        </w:rPr>
      </w:pPr>
      <w:bookmarkStart w:id="208" w:name="_Toc462664282"/>
      <w:r w:rsidRPr="004E5B45">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3FD79452" w14:textId="025E410A" w:rsidR="00136E7B" w:rsidRPr="00F57FAD" w:rsidRDefault="00136E7B" w:rsidP="00136E7B">
      <w:pPr>
        <w:pStyle w:val="Heading2"/>
      </w:pPr>
      <w:bookmarkStart w:id="209" w:name="_Toc51042303"/>
      <w:r w:rsidRPr="00F57FAD">
        <w:t>1</w:t>
      </w:r>
      <w:r w:rsidR="00CB641D">
        <w:t>5</w:t>
      </w:r>
      <w:r w:rsidRPr="00F57FAD">
        <w:t>.9</w:t>
      </w:r>
      <w:r w:rsidRPr="00F57FAD">
        <w:tab/>
        <w:t>Electronic meetings</w:t>
      </w:r>
      <w:bookmarkEnd w:id="208"/>
      <w:bookmarkEnd w:id="209"/>
    </w:p>
    <w:p w14:paraId="7D33FE2E" w14:textId="2B1373CB" w:rsidR="00136E7B" w:rsidRPr="009C4488" w:rsidRDefault="6ABD0293" w:rsidP="6B63C149">
      <w:pPr>
        <w:rPr>
          <w:lang w:val="en-GB"/>
        </w:rPr>
      </w:pPr>
      <w:r w:rsidRPr="009C4488">
        <w:rPr>
          <w:lang w:val="en-GB"/>
        </w:rPr>
        <w:t xml:space="preserve">In the last few months, TSB has made some important changes and improvements to its electronic meeting facilities due to the COVID-19 pandemic. MyMeetings, the ITU-T open source solution for electronic meetings introduced in January 2019 by TSB, is now used as the main platform to organize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is also been used to host Rapporteur Group Meetings and non-statutory events, such as webinars. Other electronic meeting tools, such as Zoom, are also provided by TSB for hosting fully online (virtual) and any on-demand ad-hoc meetings. Statistics on </w:t>
      </w:r>
      <w:proofErr w:type="spellStart"/>
      <w:r w:rsidRPr="009C4488">
        <w:rPr>
          <w:lang w:val="en-GB"/>
        </w:rPr>
        <w:t>e-meetings</w:t>
      </w:r>
      <w:proofErr w:type="spellEnd"/>
      <w:r w:rsidRPr="009C4488">
        <w:rPr>
          <w:lang w:val="en-GB"/>
        </w:rPr>
        <w:t xml:space="preserve"> for the 2018, 2019 and 2020 are shown below.</w:t>
      </w:r>
    </w:p>
    <w:p w14:paraId="2535C1E5" w14:textId="4DD93538" w:rsidR="1C6920EE" w:rsidRDefault="1C6920EE" w:rsidP="00BF785D">
      <w:pPr>
        <w:jc w:val="center"/>
      </w:pPr>
      <w:r>
        <w:rPr>
          <w:noProof/>
        </w:rPr>
        <w:drawing>
          <wp:inline distT="0" distB="0" distL="0" distR="0" wp14:anchorId="0D866D6C" wp14:editId="6E7253C3">
            <wp:extent cx="5248276" cy="2990850"/>
            <wp:effectExtent l="0" t="0" r="0" b="0"/>
            <wp:docPr id="918000061" name="Picture 9180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000061"/>
                    <pic:cNvPicPr/>
                  </pic:nvPicPr>
                  <pic:blipFill>
                    <a:blip r:embed="rId189">
                      <a:extLst>
                        <a:ext uri="{28A0092B-C50C-407E-A947-70E740481C1C}">
                          <a14:useLocalDpi xmlns:a14="http://schemas.microsoft.com/office/drawing/2010/main" val="0"/>
                        </a:ext>
                      </a:extLst>
                    </a:blip>
                    <a:stretch>
                      <a:fillRect/>
                    </a:stretch>
                  </pic:blipFill>
                  <pic:spPr>
                    <a:xfrm>
                      <a:off x="0" y="0"/>
                      <a:ext cx="5248276" cy="2990850"/>
                    </a:xfrm>
                    <a:prstGeom prst="rect">
                      <a:avLst/>
                    </a:prstGeom>
                  </pic:spPr>
                </pic:pic>
              </a:graphicData>
            </a:graphic>
          </wp:inline>
        </w:drawing>
      </w:r>
    </w:p>
    <w:p w14:paraId="45AFB4A2" w14:textId="77777777" w:rsidR="00136E7B" w:rsidRPr="006937F2" w:rsidRDefault="00136E7B" w:rsidP="00136E7B">
      <w:pPr>
        <w:pStyle w:val="Caption"/>
        <w:rPr>
          <w:lang w:val="en-GB"/>
        </w:rPr>
      </w:pPr>
      <w:r w:rsidRPr="00BF785D">
        <w:rPr>
          <w:lang w:val="en-GB"/>
        </w:rPr>
        <w:t xml:space="preserve">Figure </w:t>
      </w:r>
      <w:r w:rsidRPr="00BF785D">
        <w:rPr>
          <w:color w:val="2B579A"/>
          <w:shd w:val="clear" w:color="auto" w:fill="E6E6E6"/>
          <w:lang w:val="en-GB"/>
        </w:rPr>
        <w:fldChar w:fldCharType="begin"/>
      </w:r>
      <w:r w:rsidRPr="00BF785D">
        <w:rPr>
          <w:lang w:val="en-GB"/>
        </w:rPr>
        <w:instrText xml:space="preserve"> SEQ Figure \* ARABIC </w:instrText>
      </w:r>
      <w:r w:rsidRPr="00BF785D">
        <w:rPr>
          <w:color w:val="2B579A"/>
          <w:shd w:val="clear" w:color="auto" w:fill="E6E6E6"/>
          <w:lang w:val="en-GB"/>
        </w:rPr>
        <w:fldChar w:fldCharType="separate"/>
      </w:r>
      <w:r w:rsidRPr="00BF785D">
        <w:rPr>
          <w:lang w:val="en-GB"/>
        </w:rPr>
        <w:t>5</w:t>
      </w:r>
      <w:r w:rsidRPr="00BF785D">
        <w:rPr>
          <w:color w:val="2B579A"/>
          <w:shd w:val="clear" w:color="auto" w:fill="E6E6E6"/>
          <w:lang w:val="en-GB"/>
        </w:rPr>
        <w:fldChar w:fldCharType="end"/>
      </w:r>
      <w:r w:rsidRPr="00BF785D">
        <w:rPr>
          <w:lang w:val="en-GB"/>
        </w:rPr>
        <w:t xml:space="preserve"> – Remote participation and </w:t>
      </w:r>
      <w:proofErr w:type="spellStart"/>
      <w:r w:rsidRPr="00BF785D">
        <w:rPr>
          <w:lang w:val="en-GB"/>
        </w:rPr>
        <w:t>e-meetings</w:t>
      </w:r>
      <w:proofErr w:type="spellEnd"/>
    </w:p>
    <w:p w14:paraId="00B184EB" w14:textId="1FE45D97" w:rsidR="00136E7B" w:rsidRPr="00F57FAD" w:rsidRDefault="00136E7B" w:rsidP="00136E7B">
      <w:pPr>
        <w:pStyle w:val="Heading2"/>
      </w:pPr>
      <w:bookmarkStart w:id="210" w:name="_Toc389154483"/>
      <w:bookmarkStart w:id="211" w:name="_Toc462664285"/>
      <w:bookmarkStart w:id="212" w:name="_Toc480527879"/>
      <w:bookmarkStart w:id="213" w:name="_Toc51042304"/>
      <w:r w:rsidRPr="00F57FAD">
        <w:t>1</w:t>
      </w:r>
      <w:r w:rsidR="00CB641D">
        <w:t>5</w:t>
      </w:r>
      <w:r w:rsidRPr="00F57FAD">
        <w:t>.10</w:t>
      </w:r>
      <w:r w:rsidRPr="00F57FAD">
        <w:tab/>
        <w:t>Use in the ITU-T of the official languages of the Union on an equal footing</w:t>
      </w:r>
      <w:bookmarkEnd w:id="210"/>
      <w:bookmarkEnd w:id="211"/>
      <w:bookmarkEnd w:id="212"/>
      <w:bookmarkEnd w:id="213"/>
    </w:p>
    <w:p w14:paraId="3544EB96" w14:textId="77777777" w:rsidR="00136E7B" w:rsidRPr="004E5B45" w:rsidRDefault="00136E7B" w:rsidP="00136E7B">
      <w:pPr>
        <w:rPr>
          <w:lang w:val="en-GB"/>
        </w:rPr>
      </w:pPr>
      <w:r w:rsidRPr="004E5B45">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300EA685" w14:textId="77777777" w:rsidR="00136E7B" w:rsidRPr="004E5B45" w:rsidRDefault="00136E7B" w:rsidP="00136E7B">
      <w:pPr>
        <w:rPr>
          <w:lang w:val="en-GB"/>
        </w:rPr>
      </w:pPr>
      <w:r w:rsidRPr="004E5B45">
        <w:rPr>
          <w:lang w:val="en-GB"/>
        </w:rPr>
        <w:t>TSB continues to collect all new terms and definitions proposed by ITU-T SGs, entering them into the online ITU Terms and Definitions database.</w:t>
      </w:r>
    </w:p>
    <w:p w14:paraId="3D17172B" w14:textId="77777777" w:rsidR="00136E7B" w:rsidRPr="00CD5204" w:rsidRDefault="00136E7B" w:rsidP="00136E7B">
      <w:pPr>
        <w:rPr>
          <w:lang w:val="en-GB"/>
        </w:rPr>
      </w:pPr>
      <w:r w:rsidRPr="00CD5204">
        <w:rPr>
          <w:lang w:val="en-GB"/>
        </w:rPr>
        <w:t>As requested by WTSA Resolution 67, TSB continues to translate all Recommendations approved under the Traditional Approval Process (TAP) as well as all TSAG reports.</w:t>
      </w:r>
    </w:p>
    <w:p w14:paraId="39E09C75" w14:textId="414EDDAF" w:rsidR="00136E7B" w:rsidRPr="004668BC" w:rsidRDefault="00136E7B" w:rsidP="00136E7B">
      <w:pPr>
        <w:rPr>
          <w:lang w:val="en-GB"/>
        </w:rPr>
      </w:pPr>
      <w:r w:rsidRPr="00CD5204">
        <w:rPr>
          <w:lang w:val="en-GB"/>
        </w:rPr>
        <w:t xml:space="preserve">TSB also translated </w:t>
      </w:r>
      <w:r w:rsidR="3DEE1028" w:rsidRPr="294D9109">
        <w:rPr>
          <w:lang w:val="en-GB"/>
        </w:rPr>
        <w:t>11</w:t>
      </w:r>
      <w:r>
        <w:rPr>
          <w:lang w:val="en-GB"/>
        </w:rPr>
        <w:t xml:space="preserve"> </w:t>
      </w:r>
      <w:r w:rsidRPr="00CD5204">
        <w:rPr>
          <w:lang w:val="en-GB"/>
        </w:rPr>
        <w:t xml:space="preserve">AAP Recommendations between January and </w:t>
      </w:r>
      <w:r w:rsidR="3B845FAE" w:rsidRPr="294D9109">
        <w:rPr>
          <w:lang w:val="en-GB"/>
        </w:rPr>
        <w:t xml:space="preserve">August </w:t>
      </w:r>
      <w:r w:rsidRPr="00CD5204">
        <w:rPr>
          <w:lang w:val="en-GB"/>
        </w:rPr>
        <w:t>20</w:t>
      </w:r>
      <w:r w:rsidR="329BC22B" w:rsidRPr="294D9109">
        <w:rPr>
          <w:lang w:val="en-GB"/>
        </w:rPr>
        <w:t>20</w:t>
      </w:r>
      <w:r w:rsidRPr="00CD5204">
        <w:rPr>
          <w:lang w:val="en-GB"/>
        </w:rPr>
        <w:t>, in accordance with requests received from ITU-T SGs and linguistic groups</w:t>
      </w:r>
      <w:r w:rsidR="54826E5C" w:rsidRPr="294D9109">
        <w:rPr>
          <w:lang w:val="en-GB"/>
        </w:rPr>
        <w:t>, and within the available budget</w:t>
      </w:r>
      <w:r w:rsidRPr="00CD5204">
        <w:rPr>
          <w:lang w:val="en-GB"/>
        </w:rPr>
        <w:t>.</w:t>
      </w:r>
    </w:p>
    <w:p w14:paraId="78DF0FC3" w14:textId="59F2F3A5" w:rsidR="00136E7B" w:rsidRPr="00F57FAD" w:rsidRDefault="00136E7B" w:rsidP="00136E7B">
      <w:pPr>
        <w:pStyle w:val="Heading2"/>
      </w:pPr>
      <w:bookmarkStart w:id="214" w:name="_Toc51042305"/>
      <w:r w:rsidRPr="00F57FAD">
        <w:lastRenderedPageBreak/>
        <w:t>1</w:t>
      </w:r>
      <w:r w:rsidR="00CB641D">
        <w:t>5</w:t>
      </w:r>
      <w:r w:rsidRPr="00F57FAD">
        <w:t>.11</w:t>
      </w:r>
      <w:r w:rsidRPr="00F57FAD">
        <w:tab/>
        <w:t>Workshops and symposia</w:t>
      </w:r>
      <w:bookmarkEnd w:id="214"/>
    </w:p>
    <w:p w14:paraId="430BB036" w14:textId="37EBA70C" w:rsidR="00710D5D" w:rsidRPr="00710D5D" w:rsidRDefault="00710D5D" w:rsidP="00136E7B">
      <w:pPr>
        <w:rPr>
          <w:highlight w:val="yellow"/>
          <w:lang w:val="en-GB"/>
        </w:rPr>
      </w:pPr>
      <w:r w:rsidRPr="00D363D7">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r>
        <w:rPr>
          <w:lang w:val="en-GB"/>
        </w:rPr>
        <w:t xml:space="preserve">Participation in ITU workshops and symposia has </w:t>
      </w:r>
      <w:r w:rsidRPr="222B8D80">
        <w:rPr>
          <w:lang w:val="en-GB"/>
        </w:rPr>
        <w:t xml:space="preserve">increased </w:t>
      </w:r>
      <w:r>
        <w:rPr>
          <w:lang w:val="en-GB"/>
        </w:rPr>
        <w:t xml:space="preserve">as a result of </w:t>
      </w:r>
      <w:r w:rsidRPr="222B8D80">
        <w:rPr>
          <w:lang w:val="en-GB"/>
        </w:rPr>
        <w:t>COVID-19</w:t>
      </w:r>
      <w:r>
        <w:rPr>
          <w:lang w:val="en-GB"/>
        </w:rPr>
        <w:t>. With</w:t>
      </w:r>
      <w:r w:rsidRPr="222B8D80">
        <w:rPr>
          <w:lang w:val="en-GB"/>
        </w:rPr>
        <w:t xml:space="preserve"> all ITU-T workshops and symposia</w:t>
      </w:r>
      <w:r>
        <w:rPr>
          <w:lang w:val="en-GB"/>
        </w:rPr>
        <w:t xml:space="preserve"> held virtually with </w:t>
      </w:r>
      <w:r w:rsidRPr="00A669AD">
        <w:rPr>
          <w:lang w:val="en-GB"/>
        </w:rPr>
        <w:t>MyMeetings</w:t>
      </w:r>
      <w:r>
        <w:rPr>
          <w:lang w:val="en-GB"/>
        </w:rPr>
        <w:t xml:space="preserve">, workshops and symposia are welcoming a greater number and diversity of </w:t>
      </w:r>
      <w:proofErr w:type="spellStart"/>
      <w:r>
        <w:rPr>
          <w:lang w:val="en-GB"/>
        </w:rPr>
        <w:t>particpants</w:t>
      </w:r>
      <w:proofErr w:type="spellEnd"/>
      <w:r>
        <w:rPr>
          <w:lang w:val="en-GB"/>
        </w:rPr>
        <w:t xml:space="preserve">. </w:t>
      </w:r>
    </w:p>
    <w:p w14:paraId="056FA3F8" w14:textId="66E487FB" w:rsidR="00136E7B" w:rsidRPr="00D666B5" w:rsidRDefault="00136E7B" w:rsidP="00136E7B">
      <w:pPr>
        <w:rPr>
          <w:lang w:val="en-GB"/>
        </w:rPr>
      </w:pPr>
      <w:r w:rsidRPr="222B8D80">
        <w:rPr>
          <w:lang w:val="en-GB"/>
        </w:rPr>
        <w:t>The following ITU</w:t>
      </w:r>
      <w:r w:rsidR="0F1DB58F" w:rsidRPr="222B8D80">
        <w:rPr>
          <w:lang w:val="en-GB"/>
        </w:rPr>
        <w:t>-T</w:t>
      </w:r>
      <w:r w:rsidRPr="222B8D80">
        <w:rPr>
          <w:lang w:val="en-GB"/>
        </w:rPr>
        <w:t xml:space="preserve"> workshops and symposia, arranged by venue, were organized by TSB from </w:t>
      </w:r>
      <w:r w:rsidR="00D666B5" w:rsidRPr="222B8D80">
        <w:rPr>
          <w:lang w:val="en-GB"/>
        </w:rPr>
        <w:t>January</w:t>
      </w:r>
      <w:r w:rsidRPr="222B8D80">
        <w:rPr>
          <w:lang w:val="en-GB"/>
        </w:rPr>
        <w:t xml:space="preserve"> to </w:t>
      </w:r>
      <w:r w:rsidR="00D666B5" w:rsidRPr="222B8D80">
        <w:rPr>
          <w:lang w:val="en-GB"/>
        </w:rPr>
        <w:t xml:space="preserve">August </w:t>
      </w:r>
      <w:r w:rsidRPr="222B8D80">
        <w:rPr>
          <w:lang w:val="en-GB"/>
        </w:rPr>
        <w:t>20</w:t>
      </w:r>
      <w:r w:rsidR="00D666B5" w:rsidRPr="222B8D80">
        <w:rPr>
          <w:lang w:val="en-GB"/>
        </w:rPr>
        <w:t>20</w:t>
      </w:r>
      <w:r w:rsidRPr="222B8D80">
        <w:rPr>
          <w:lang w:val="en-GB"/>
        </w:rPr>
        <w:t>:</w:t>
      </w:r>
    </w:p>
    <w:p w14:paraId="26F2170B" w14:textId="77777777" w:rsidR="00136E7B" w:rsidRPr="00F57FAD" w:rsidRDefault="00136E7B" w:rsidP="00136E7B">
      <w:pPr>
        <w:rPr>
          <w:szCs w:val="24"/>
          <w:lang w:val="en-GB"/>
        </w:rPr>
      </w:pPr>
      <w:r w:rsidRPr="00F57FAD">
        <w:rPr>
          <w:b/>
          <w:bCs/>
          <w:szCs w:val="24"/>
          <w:lang w:val="en-GB"/>
        </w:rPr>
        <w:t>ITU Headquarters, Geneva:</w:t>
      </w:r>
    </w:p>
    <w:p w14:paraId="2EA0BF48" w14:textId="23F2E6DE" w:rsidR="00064643" w:rsidRPr="00EF28A3" w:rsidRDefault="00C44FDC" w:rsidP="0063096B">
      <w:pPr>
        <w:numPr>
          <w:ilvl w:val="0"/>
          <w:numId w:val="14"/>
        </w:numPr>
        <w:rPr>
          <w:lang w:val="en-GB"/>
        </w:rPr>
      </w:pPr>
      <w:hyperlink r:id="rId190" w:history="1">
        <w:r w:rsidR="77A5CB8C" w:rsidRPr="222B8D80">
          <w:rPr>
            <w:color w:val="3789BD"/>
            <w:u w:val="single"/>
            <w:bdr w:val="none" w:sz="0" w:space="0" w:color="auto" w:frame="1"/>
            <w:shd w:val="clear" w:color="auto" w:fill="FFFFFF"/>
          </w:rPr>
          <w:t>Joint IEEE 802 and ITU-T Study Group 15 Workshop</w:t>
        </w:r>
      </w:hyperlink>
      <w:r w:rsidR="77A5CB8C" w:rsidRPr="222B8D80">
        <w:rPr>
          <w:lang w:val="en-GB"/>
        </w:rPr>
        <w:t xml:space="preserve">, </w:t>
      </w:r>
      <w:r w:rsidR="77A5CB8C" w:rsidRPr="222B8D80">
        <w:rPr>
          <w:color w:val="444444"/>
          <w:shd w:val="clear" w:color="auto" w:fill="FFFFFF"/>
        </w:rPr>
        <w:t>Geneva, Switzerland, 25 January 2020.</w:t>
      </w:r>
    </w:p>
    <w:p w14:paraId="388F9DF4" w14:textId="3B66BFB8" w:rsidR="00EF28A3" w:rsidRPr="00EF28A3" w:rsidRDefault="00C44FDC" w:rsidP="0063096B">
      <w:pPr>
        <w:numPr>
          <w:ilvl w:val="0"/>
          <w:numId w:val="14"/>
        </w:numPr>
        <w:spacing w:line="259" w:lineRule="auto"/>
        <w:rPr>
          <w:lang w:val="en-GB"/>
        </w:rPr>
      </w:pPr>
      <w:hyperlink r:id="rId191" w:history="1">
        <w:r w:rsidR="00764E75" w:rsidRPr="222B8D80">
          <w:rPr>
            <w:color w:val="3789BD"/>
            <w:u w:val="single"/>
            <w:bdr w:val="none" w:sz="0" w:space="0" w:color="auto" w:frame="1"/>
            <w:shd w:val="clear" w:color="auto" w:fill="FFFFFF"/>
          </w:rPr>
          <w:t>Future Networked Car Symposium (FNC 2020)</w:t>
        </w:r>
      </w:hyperlink>
      <w:r w:rsidR="00764E75" w:rsidRPr="222B8D80">
        <w:rPr>
          <w:color w:val="444444"/>
          <w:shd w:val="clear" w:color="auto" w:fill="FFFFFF"/>
        </w:rPr>
        <w:t xml:space="preserve">, </w:t>
      </w:r>
      <w:r w:rsidR="00764E75" w:rsidRPr="00EF28A3">
        <w:t>Geneva</w:t>
      </w:r>
      <w:r w:rsidR="00764E75" w:rsidRPr="222B8D80">
        <w:rPr>
          <w:color w:val="444444"/>
          <w:shd w:val="clear" w:color="auto" w:fill="FFFFFF"/>
        </w:rPr>
        <w:t>, Switzerland, 5 March 2020.</w:t>
      </w:r>
    </w:p>
    <w:p w14:paraId="0FB46F9B" w14:textId="77777777" w:rsidR="00136E7B" w:rsidRPr="00F57FAD" w:rsidRDefault="00136E7B" w:rsidP="00136E7B">
      <w:pPr>
        <w:rPr>
          <w:b/>
          <w:bCs/>
          <w:szCs w:val="24"/>
          <w:lang w:val="en-GB"/>
        </w:rPr>
      </w:pPr>
      <w:r w:rsidRPr="00F57FAD">
        <w:rPr>
          <w:b/>
          <w:bCs/>
          <w:szCs w:val="24"/>
          <w:lang w:val="en-GB"/>
        </w:rPr>
        <w:t>Rest of Europe (see above for Geneva):</w:t>
      </w:r>
    </w:p>
    <w:p w14:paraId="715FD344" w14:textId="7324EC75" w:rsidR="004A1789" w:rsidRDefault="00C44FDC" w:rsidP="0063096B">
      <w:pPr>
        <w:numPr>
          <w:ilvl w:val="0"/>
          <w:numId w:val="15"/>
        </w:numPr>
        <w:rPr>
          <w:szCs w:val="24"/>
          <w:lang w:val="en-GB"/>
        </w:rPr>
      </w:pPr>
      <w:hyperlink r:id="rId192" w:history="1">
        <w:r w:rsidR="004A1789" w:rsidRPr="004A1789">
          <w:rPr>
            <w:rStyle w:val="Hyperlink"/>
            <w:color w:val="3789BD"/>
            <w:szCs w:val="24"/>
            <w:bdr w:val="none" w:sz="0" w:space="0" w:color="auto" w:frame="1"/>
            <w:shd w:val="clear" w:color="auto" w:fill="FFFFFF"/>
          </w:rPr>
          <w:t>Sixth ITU Workshop on Network 2030 and Demo Day</w:t>
        </w:r>
      </w:hyperlink>
      <w:r w:rsidR="004A1789" w:rsidRPr="004A1789">
        <w:rPr>
          <w:szCs w:val="24"/>
          <w:lang w:val="en-GB"/>
        </w:rPr>
        <w:t>, Lisbon, Portugal, 13-14 January 2020</w:t>
      </w:r>
      <w:r w:rsidR="004A1789">
        <w:rPr>
          <w:szCs w:val="24"/>
          <w:lang w:val="en-GB"/>
        </w:rPr>
        <w:t>.</w:t>
      </w:r>
    </w:p>
    <w:p w14:paraId="6A9049A6" w14:textId="0098AD3D" w:rsidR="0059798C" w:rsidRPr="00B410CB" w:rsidRDefault="00C44FDC" w:rsidP="0063096B">
      <w:pPr>
        <w:numPr>
          <w:ilvl w:val="0"/>
          <w:numId w:val="15"/>
        </w:numPr>
        <w:rPr>
          <w:lang w:val="en-GB"/>
        </w:rPr>
      </w:pPr>
      <w:hyperlink r:id="rId193" w:history="1">
        <w:r w:rsidR="0059798C" w:rsidRPr="6171A8C9">
          <w:rPr>
            <w:color w:val="3789BD"/>
            <w:u w:val="single"/>
            <w:bdr w:val="none" w:sz="0" w:space="0" w:color="auto" w:frame="1"/>
            <w:shd w:val="clear" w:color="auto" w:fill="FFFFFF"/>
          </w:rPr>
          <w:t>ITU Workshop on Explainable AI (XAI) for Autonomous and Assisted Driving</w:t>
        </w:r>
      </w:hyperlink>
      <w:r w:rsidR="0059798C" w:rsidRPr="6171A8C9">
        <w:rPr>
          <w:lang w:val="en-GB"/>
        </w:rPr>
        <w:t xml:space="preserve">, </w:t>
      </w:r>
      <w:r w:rsidR="0059798C" w:rsidRPr="6171A8C9">
        <w:rPr>
          <w:color w:val="444444"/>
          <w:shd w:val="clear" w:color="auto" w:fill="FFFFFF"/>
        </w:rPr>
        <w:t>London, United Kingdom, 21 January 2020.</w:t>
      </w:r>
    </w:p>
    <w:p w14:paraId="13C82780" w14:textId="1D40DEFC" w:rsidR="30F86459" w:rsidRDefault="30F86459" w:rsidP="0063096B">
      <w:pPr>
        <w:numPr>
          <w:ilvl w:val="0"/>
          <w:numId w:val="15"/>
        </w:numPr>
        <w:rPr>
          <w:color w:val="3789BD"/>
          <w:szCs w:val="24"/>
          <w:u w:val="single"/>
        </w:rPr>
      </w:pPr>
      <w:r w:rsidRPr="6171A8C9">
        <w:rPr>
          <w:color w:val="3789BD"/>
          <w:u w:val="single"/>
        </w:rPr>
        <w:t xml:space="preserve">ITU Forum "Smart sustainable cities: from concept to implementation" </w:t>
      </w:r>
      <w:r>
        <w:br/>
      </w:r>
      <w:r w:rsidRPr="6171A8C9">
        <w:t>3-5 March 2020, Minsk, Belarus</w:t>
      </w:r>
    </w:p>
    <w:p w14:paraId="21EBDC56" w14:textId="7074D0F8" w:rsidR="00B410CB" w:rsidRPr="00B410CB" w:rsidRDefault="00C44FDC" w:rsidP="0063096B">
      <w:pPr>
        <w:numPr>
          <w:ilvl w:val="0"/>
          <w:numId w:val="15"/>
        </w:numPr>
        <w:rPr>
          <w:lang w:val="en-GB"/>
        </w:rPr>
      </w:pPr>
      <w:hyperlink r:id="rId194" w:history="1">
        <w:r w:rsidR="00B410CB" w:rsidRPr="6171A8C9">
          <w:rPr>
            <w:color w:val="3789BD"/>
            <w:u w:val="single"/>
            <w:bdr w:val="none" w:sz="0" w:space="0" w:color="auto" w:frame="1"/>
            <w:shd w:val="clear" w:color="auto" w:fill="FFFFFF"/>
          </w:rPr>
          <w:t>Joint ITU-ETSI Workshop on "Machine Learning in communication networks”</w:t>
        </w:r>
      </w:hyperlink>
      <w:r w:rsidR="00B410CB" w:rsidRPr="6171A8C9">
        <w:rPr>
          <w:color w:val="444444"/>
          <w:shd w:val="clear" w:color="auto" w:fill="FFFFFF"/>
        </w:rPr>
        <w:t>, Sophia Antipolis, France, 16 March 2020.</w:t>
      </w:r>
    </w:p>
    <w:p w14:paraId="7F2E1552" w14:textId="77777777" w:rsidR="00136E7B" w:rsidRPr="00F57FAD" w:rsidRDefault="00136E7B" w:rsidP="00136E7B">
      <w:pPr>
        <w:rPr>
          <w:b/>
          <w:bCs/>
          <w:szCs w:val="24"/>
          <w:lang w:val="en-GB"/>
        </w:rPr>
      </w:pPr>
      <w:r w:rsidRPr="00F57FAD">
        <w:rPr>
          <w:b/>
          <w:bCs/>
          <w:szCs w:val="24"/>
          <w:lang w:val="en-GB"/>
        </w:rPr>
        <w:t>Africa:</w:t>
      </w:r>
    </w:p>
    <w:p w14:paraId="50954544" w14:textId="0A7FF6C5" w:rsidR="0071270F" w:rsidRDefault="00C44FDC" w:rsidP="0063096B">
      <w:pPr>
        <w:numPr>
          <w:ilvl w:val="0"/>
          <w:numId w:val="16"/>
        </w:numPr>
        <w:rPr>
          <w:szCs w:val="24"/>
          <w:lang w:val="en-GB"/>
        </w:rPr>
      </w:pPr>
      <w:hyperlink r:id="rId195" w:history="1">
        <w:r w:rsidR="0071270F" w:rsidRPr="0071270F">
          <w:rPr>
            <w:color w:val="3789BD"/>
            <w:szCs w:val="24"/>
            <w:u w:val="single"/>
            <w:shd w:val="clear" w:color="auto" w:fill="FFFFFF"/>
          </w:rPr>
          <w:t xml:space="preserve">Seventh SG13 Regional Workshop on "Standardization of Future Networks towards Building a </w:t>
        </w:r>
        <w:proofErr w:type="gramStart"/>
        <w:r w:rsidR="0071270F" w:rsidRPr="0071270F">
          <w:rPr>
            <w:color w:val="3789BD"/>
            <w:szCs w:val="24"/>
            <w:u w:val="single"/>
            <w:shd w:val="clear" w:color="auto" w:fill="FFFFFF"/>
          </w:rPr>
          <w:t>Better Connected</w:t>
        </w:r>
        <w:proofErr w:type="gramEnd"/>
        <w:r w:rsidR="0071270F" w:rsidRPr="0071270F">
          <w:rPr>
            <w:color w:val="3789BD"/>
            <w:szCs w:val="24"/>
            <w:u w:val="single"/>
            <w:shd w:val="clear" w:color="auto" w:fill="FFFFFF"/>
          </w:rPr>
          <w:t xml:space="preserve"> Africa"</w:t>
        </w:r>
      </w:hyperlink>
      <w:r w:rsidR="0071270F" w:rsidRPr="0071270F">
        <w:rPr>
          <w:szCs w:val="24"/>
          <w:lang w:val="en-GB"/>
        </w:rPr>
        <w:t xml:space="preserve">, </w:t>
      </w:r>
      <w:r w:rsidR="0071270F" w:rsidRPr="0071270F">
        <w:rPr>
          <w:color w:val="444444"/>
          <w:szCs w:val="24"/>
          <w:shd w:val="clear" w:color="auto" w:fill="FFFFFF"/>
        </w:rPr>
        <w:t>Abuja, Nigeria, 3-4 February 2020</w:t>
      </w:r>
      <w:r w:rsidR="0071270F" w:rsidRPr="0071270F">
        <w:rPr>
          <w:szCs w:val="24"/>
          <w:lang w:val="en-GB"/>
        </w:rPr>
        <w:t>.</w:t>
      </w:r>
    </w:p>
    <w:p w14:paraId="4E2FDF27" w14:textId="1E8640DF" w:rsidR="00831C6F" w:rsidRPr="00831C6F" w:rsidRDefault="00C44FDC" w:rsidP="0063096B">
      <w:pPr>
        <w:numPr>
          <w:ilvl w:val="0"/>
          <w:numId w:val="16"/>
        </w:numPr>
        <w:rPr>
          <w:lang w:val="en-GB"/>
        </w:rPr>
      </w:pPr>
      <w:hyperlink r:id="rId196" w:history="1">
        <w:r w:rsidR="46BFD51A" w:rsidRPr="222B8D80">
          <w:rPr>
            <w:color w:val="3789BD"/>
            <w:u w:val="single"/>
            <w:shd w:val="clear" w:color="auto" w:fill="FFFFFF"/>
          </w:rPr>
          <w:t>ITU Workshop on Network Performance, Quality of Service and Quality of Experience</w:t>
        </w:r>
      </w:hyperlink>
      <w:r w:rsidR="46BFD51A" w:rsidRPr="222B8D80">
        <w:rPr>
          <w:lang w:val="en-GB"/>
        </w:rPr>
        <w:t xml:space="preserve">, </w:t>
      </w:r>
      <w:r w:rsidR="46BFD51A" w:rsidRPr="222B8D80">
        <w:rPr>
          <w:color w:val="444444"/>
          <w:shd w:val="clear" w:color="auto" w:fill="FFFFFF"/>
        </w:rPr>
        <w:t>N’Djamena, Chad</w:t>
      </w:r>
      <w:r w:rsidR="46BFD51A" w:rsidRPr="222B8D80">
        <w:rPr>
          <w:color w:val="444444"/>
          <w:bdr w:val="none" w:sz="0" w:space="0" w:color="auto" w:frame="1"/>
          <w:shd w:val="clear" w:color="auto" w:fill="FFFFFF"/>
        </w:rPr>
        <w:t xml:space="preserve">, </w:t>
      </w:r>
      <w:r w:rsidR="46BFD51A" w:rsidRPr="222B8D80">
        <w:rPr>
          <w:color w:val="444444"/>
          <w:shd w:val="clear" w:color="auto" w:fill="FFFFFF"/>
        </w:rPr>
        <w:t>2-3 March 2020</w:t>
      </w:r>
      <w:r w:rsidR="46BFD51A" w:rsidRPr="222B8D80">
        <w:rPr>
          <w:lang w:val="en-GB"/>
        </w:rPr>
        <w:t>.</w:t>
      </w:r>
    </w:p>
    <w:p w14:paraId="1D90C365" w14:textId="77777777" w:rsidR="00136E7B" w:rsidRPr="00F57FAD" w:rsidRDefault="00136E7B" w:rsidP="00136E7B">
      <w:pPr>
        <w:keepNext/>
        <w:keepLines/>
        <w:rPr>
          <w:b/>
          <w:bCs/>
          <w:szCs w:val="24"/>
          <w:lang w:val="en-GB"/>
        </w:rPr>
      </w:pPr>
      <w:r w:rsidRPr="00F57FAD">
        <w:rPr>
          <w:b/>
          <w:bCs/>
          <w:szCs w:val="24"/>
          <w:lang w:val="en-GB"/>
        </w:rPr>
        <w:t>Americas:</w:t>
      </w:r>
    </w:p>
    <w:p w14:paraId="30415264" w14:textId="521949E7" w:rsidR="00FB602D" w:rsidRPr="00FB602D" w:rsidRDefault="00C44FDC" w:rsidP="0063096B">
      <w:pPr>
        <w:numPr>
          <w:ilvl w:val="0"/>
          <w:numId w:val="17"/>
        </w:numPr>
        <w:rPr>
          <w:lang w:val="en-GB"/>
        </w:rPr>
      </w:pPr>
      <w:hyperlink r:id="rId197" w:history="1">
        <w:r w:rsidR="600AA1EC" w:rsidRPr="222B8D80">
          <w:rPr>
            <w:rStyle w:val="Hyperlink"/>
            <w:color w:val="3789BD"/>
            <w:bdr w:val="none" w:sz="0" w:space="0" w:color="auto" w:frame="1"/>
            <w:shd w:val="clear" w:color="auto" w:fill="FFFFFF"/>
          </w:rPr>
          <w:t>8th ITU/WHO Workshop on Artificial Intelligence for Health</w:t>
        </w:r>
      </w:hyperlink>
      <w:r w:rsidR="600AA1EC" w:rsidRPr="222B8D80">
        <w:rPr>
          <w:lang w:val="en-GB"/>
        </w:rPr>
        <w:t xml:space="preserve">, </w:t>
      </w:r>
      <w:r w:rsidR="600AA1EC" w:rsidRPr="222B8D80">
        <w:rPr>
          <w:color w:val="444444"/>
          <w:shd w:val="clear" w:color="auto" w:fill="FFFFFF"/>
        </w:rPr>
        <w:t>Brasilia, Brazil, 21 January 2020.</w:t>
      </w:r>
    </w:p>
    <w:p w14:paraId="2B5AAF07" w14:textId="3C42F0D3" w:rsidR="38C00F7C" w:rsidRDefault="38C00F7C" w:rsidP="6171A8C9">
      <w:pPr>
        <w:rPr>
          <w:b/>
          <w:bCs/>
          <w:lang w:val="en-GB"/>
        </w:rPr>
      </w:pPr>
      <w:r w:rsidRPr="6171A8C9">
        <w:rPr>
          <w:b/>
          <w:bCs/>
          <w:lang w:val="en-GB"/>
        </w:rPr>
        <w:t>Arab states:</w:t>
      </w:r>
    </w:p>
    <w:p w14:paraId="5387F650" w14:textId="4AFDB412" w:rsidR="38C00F7C" w:rsidRDefault="38C00F7C" w:rsidP="0063096B">
      <w:pPr>
        <w:numPr>
          <w:ilvl w:val="0"/>
          <w:numId w:val="17"/>
        </w:numPr>
        <w:rPr>
          <w:color w:val="444444"/>
          <w:szCs w:val="24"/>
        </w:rPr>
      </w:pPr>
      <w:r w:rsidRPr="6171A8C9">
        <w:rPr>
          <w:rStyle w:val="Hyperlink"/>
          <w:color w:val="3789BD"/>
          <w:szCs w:val="24"/>
        </w:rPr>
        <w:t>WUF10 Networking event on "Governing and managing smart sustainable cities"</w:t>
      </w:r>
      <w:r>
        <w:br/>
      </w:r>
      <w:r w:rsidRPr="6171A8C9">
        <w:rPr>
          <w:color w:val="444444"/>
        </w:rPr>
        <w:t>10 February 2020, Abu Dhabi, UAE</w:t>
      </w:r>
      <w:r>
        <w:br/>
      </w:r>
    </w:p>
    <w:p w14:paraId="7F4BA6F1" w14:textId="09A4F150" w:rsidR="4610CA7D" w:rsidRPr="00A82332" w:rsidRDefault="4610CA7D" w:rsidP="00A82332">
      <w:pPr>
        <w:keepNext/>
        <w:keepLines/>
        <w:rPr>
          <w:b/>
          <w:szCs w:val="24"/>
          <w:lang w:val="en-GB"/>
        </w:rPr>
      </w:pPr>
      <w:r w:rsidRPr="0A47BC55">
        <w:rPr>
          <w:b/>
          <w:bCs/>
          <w:lang w:val="en-GB"/>
        </w:rPr>
        <w:t xml:space="preserve">Fully </w:t>
      </w:r>
      <w:r w:rsidR="00FD6FE8" w:rsidRPr="0A47BC55">
        <w:rPr>
          <w:b/>
          <w:bCs/>
          <w:lang w:val="en-GB"/>
        </w:rPr>
        <w:t>v</w:t>
      </w:r>
      <w:r w:rsidRPr="0A47BC55">
        <w:rPr>
          <w:b/>
          <w:bCs/>
          <w:lang w:val="en-GB"/>
        </w:rPr>
        <w:t>irtual</w:t>
      </w:r>
      <w:r w:rsidR="2D4C055C" w:rsidRPr="0A47BC55">
        <w:rPr>
          <w:b/>
          <w:bCs/>
          <w:lang w:val="en-GB"/>
        </w:rPr>
        <w:t xml:space="preserve"> </w:t>
      </w:r>
      <w:r w:rsidR="00FD6FE8" w:rsidRPr="0A47BC55">
        <w:rPr>
          <w:b/>
          <w:bCs/>
          <w:lang w:val="en-GB"/>
        </w:rPr>
        <w:t>m</w:t>
      </w:r>
      <w:r w:rsidR="2D4C055C" w:rsidRPr="0A47BC55">
        <w:rPr>
          <w:b/>
          <w:bCs/>
          <w:lang w:val="en-GB"/>
        </w:rPr>
        <w:t>eetings</w:t>
      </w:r>
      <w:r w:rsidR="00A82332" w:rsidRPr="0A47BC55">
        <w:rPr>
          <w:b/>
          <w:bCs/>
          <w:lang w:val="en-GB"/>
        </w:rPr>
        <w:t>:</w:t>
      </w:r>
    </w:p>
    <w:p w14:paraId="099B2509" w14:textId="369275BB" w:rsidR="3BB80D42" w:rsidRDefault="00C44FDC" w:rsidP="0063096B">
      <w:pPr>
        <w:pStyle w:val="ListParagraph"/>
        <w:numPr>
          <w:ilvl w:val="0"/>
          <w:numId w:val="35"/>
        </w:numPr>
        <w:spacing w:before="120"/>
        <w:ind w:left="714" w:hanging="357"/>
        <w:rPr>
          <w:rStyle w:val="Hyperlink"/>
          <w:b/>
          <w:bCs/>
          <w:color w:val="3789BD"/>
          <w:sz w:val="18"/>
          <w:szCs w:val="18"/>
        </w:rPr>
      </w:pPr>
      <w:hyperlink r:id="rId198">
        <w:r w:rsidR="708DD1E6" w:rsidRPr="52AFA42C">
          <w:rPr>
            <w:rStyle w:val="Hyperlink"/>
            <w:rFonts w:ascii="Times New Roman" w:hAnsi="Times New Roman"/>
            <w:color w:val="3789BD"/>
            <w:sz w:val="24"/>
            <w:szCs w:val="24"/>
          </w:rPr>
          <w:t>Webinar on "</w:t>
        </w:r>
        <w:r w:rsidR="207A3C97" w:rsidRPr="52AFA42C">
          <w:rPr>
            <w:rStyle w:val="Hyperlink"/>
            <w:rFonts w:ascii="Times New Roman" w:hAnsi="Times New Roman"/>
            <w:color w:val="3789BD"/>
            <w:sz w:val="24"/>
            <w:szCs w:val="24"/>
          </w:rPr>
          <w:t>Using international standards to tackle the e-waste challenge</w:t>
        </w:r>
        <w:r w:rsidR="708DD1E6" w:rsidRPr="52AFA42C">
          <w:rPr>
            <w:rStyle w:val="Hyperlink"/>
            <w:rFonts w:ascii="Times New Roman" w:hAnsi="Times New Roman"/>
            <w:color w:val="3789BD"/>
            <w:sz w:val="24"/>
            <w:szCs w:val="24"/>
          </w:rPr>
          <w:t>"</w:t>
        </w:r>
      </w:hyperlink>
      <w:r w:rsidR="68DC9B53" w:rsidRPr="52AFA42C">
        <w:rPr>
          <w:rStyle w:val="Hyperlink"/>
          <w:rFonts w:ascii="Times New Roman" w:hAnsi="Times New Roman"/>
          <w:color w:val="3789BD"/>
          <w:sz w:val="24"/>
          <w:szCs w:val="24"/>
        </w:rPr>
        <w:t>, Virtual Meeting</w:t>
      </w:r>
      <w:r w:rsidR="2F4041B5" w:rsidRPr="52AFA42C">
        <w:rPr>
          <w:rStyle w:val="Hyperlink"/>
          <w:rFonts w:ascii="Times New Roman" w:hAnsi="Times New Roman"/>
          <w:color w:val="3789BD"/>
          <w:sz w:val="24"/>
          <w:szCs w:val="24"/>
        </w:rPr>
        <w:t>, 1 and</w:t>
      </w:r>
      <w:r w:rsidR="34CA8255" w:rsidRPr="52AFA42C">
        <w:rPr>
          <w:rStyle w:val="Hyperlink"/>
          <w:rFonts w:ascii="Times New Roman" w:hAnsi="Times New Roman"/>
          <w:color w:val="3789BD"/>
          <w:sz w:val="24"/>
          <w:szCs w:val="24"/>
        </w:rPr>
        <w:t xml:space="preserve"> 2</w:t>
      </w:r>
      <w:r w:rsidR="2F4041B5" w:rsidRPr="52AFA42C">
        <w:rPr>
          <w:rStyle w:val="Hyperlink"/>
          <w:rFonts w:ascii="Times New Roman" w:hAnsi="Times New Roman"/>
          <w:color w:val="3789BD"/>
          <w:sz w:val="24"/>
          <w:szCs w:val="24"/>
        </w:rPr>
        <w:t xml:space="preserve"> April 2020.</w:t>
      </w:r>
    </w:p>
    <w:p w14:paraId="5FED80DA" w14:textId="56579110" w:rsidR="2E7BA59E" w:rsidRDefault="00C44FDC" w:rsidP="0063096B">
      <w:pPr>
        <w:pStyle w:val="ListParagraph"/>
        <w:numPr>
          <w:ilvl w:val="0"/>
          <w:numId w:val="35"/>
        </w:numPr>
        <w:spacing w:before="120"/>
        <w:ind w:left="714" w:hanging="357"/>
        <w:rPr>
          <w:rStyle w:val="Hyperlink"/>
          <w:b/>
          <w:bCs/>
          <w:color w:val="3789BD"/>
          <w:sz w:val="18"/>
          <w:szCs w:val="18"/>
        </w:rPr>
      </w:pPr>
      <w:hyperlink r:id="rId199">
        <w:r w:rsidR="5EE9181B" w:rsidRPr="52AFA42C">
          <w:rPr>
            <w:rStyle w:val="Hyperlink"/>
            <w:rFonts w:ascii="Times New Roman" w:hAnsi="Times New Roman"/>
            <w:color w:val="3789BD"/>
            <w:sz w:val="24"/>
            <w:szCs w:val="24"/>
          </w:rPr>
          <w:t>Webinar on "Explore a c</w:t>
        </w:r>
        <w:r w:rsidR="64459AB0" w:rsidRPr="52AFA42C">
          <w:rPr>
            <w:rStyle w:val="Hyperlink"/>
            <w:rFonts w:ascii="Times New Roman" w:hAnsi="Times New Roman"/>
            <w:color w:val="3789BD"/>
            <w:sz w:val="24"/>
            <w:szCs w:val="24"/>
          </w:rPr>
          <w:t>ircular vision the ICT sector</w:t>
        </w:r>
        <w:r w:rsidR="5EE9181B" w:rsidRPr="52AFA42C">
          <w:rPr>
            <w:rStyle w:val="Hyperlink"/>
            <w:rFonts w:ascii="Times New Roman" w:hAnsi="Times New Roman"/>
            <w:color w:val="3789BD"/>
            <w:sz w:val="24"/>
            <w:szCs w:val="24"/>
          </w:rPr>
          <w:t>"</w:t>
        </w:r>
      </w:hyperlink>
      <w:r w:rsidR="0F1DD2E5" w:rsidRPr="52AFA42C">
        <w:rPr>
          <w:rStyle w:val="Hyperlink"/>
          <w:rFonts w:ascii="Times New Roman" w:hAnsi="Times New Roman"/>
          <w:color w:val="3789BD"/>
          <w:sz w:val="24"/>
          <w:szCs w:val="24"/>
        </w:rPr>
        <w:t>, Virtual Meeting, 14 and 16 April 2020</w:t>
      </w:r>
      <w:r w:rsidR="29061E6F" w:rsidRPr="52AFA42C">
        <w:rPr>
          <w:rStyle w:val="Hyperlink"/>
          <w:rFonts w:ascii="Times New Roman" w:hAnsi="Times New Roman"/>
          <w:color w:val="3789BD"/>
          <w:sz w:val="24"/>
          <w:szCs w:val="24"/>
        </w:rPr>
        <w:t>/</w:t>
      </w:r>
    </w:p>
    <w:p w14:paraId="716B915A" w14:textId="3DD49D55"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"Using digital financial services to curb the threat of the pandemic"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14 May 2020</w:t>
      </w:r>
      <w:r w:rsidR="00A82332" w:rsidRPr="00A82332">
        <w:rPr>
          <w:rFonts w:ascii="Times New Roman" w:hAnsi="Times New Roman"/>
          <w:sz w:val="24"/>
          <w:szCs w:val="24"/>
        </w:rPr>
        <w:t>.</w:t>
      </w:r>
    </w:p>
    <w:p w14:paraId="3332D7AD" w14:textId="26759A44" w:rsidR="71ED42FB" w:rsidRPr="00A82332" w:rsidRDefault="71ED42FB" w:rsidP="0063096B">
      <w:pPr>
        <w:pStyle w:val="ListParagraph"/>
        <w:numPr>
          <w:ilvl w:val="0"/>
          <w:numId w:val="35"/>
        </w:numPr>
        <w:spacing w:before="120"/>
        <w:ind w:left="714" w:hanging="357"/>
        <w:contextualSpacing w:val="0"/>
        <w:rPr>
          <w:rFonts w:ascii="Times New Roman" w:eastAsia="Tahoma" w:hAnsi="Times New Roman"/>
          <w:b/>
          <w:color w:val="3789BD"/>
          <w:sz w:val="24"/>
          <w:szCs w:val="24"/>
        </w:rPr>
      </w:pPr>
      <w:r w:rsidRPr="00A82332">
        <w:rPr>
          <w:rStyle w:val="Hyperlink"/>
          <w:rFonts w:ascii="Times New Roman" w:hAnsi="Times New Roman"/>
          <w:color w:val="3789BD"/>
          <w:sz w:val="24"/>
          <w:szCs w:val="24"/>
        </w:rPr>
        <w:lastRenderedPageBreak/>
        <w:t>Webinar on "Benefits of Digital ID to enable governments and private sector response to the pandemic- Part 1"</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20 May 2020</w:t>
      </w:r>
      <w:r w:rsidR="00A82332" w:rsidRPr="00A82332">
        <w:rPr>
          <w:rFonts w:ascii="Times New Roman" w:hAnsi="Times New Roman"/>
          <w:sz w:val="24"/>
          <w:szCs w:val="24"/>
        </w:rPr>
        <w:t>.</w:t>
      </w:r>
    </w:p>
    <w:p w14:paraId="59FA9FCC" w14:textId="711FBB9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"Benefits of Digital ID to enable governments and private sector response to the pandemic- Part 2"</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21 May 2020</w:t>
      </w:r>
      <w:r w:rsidR="00A82332" w:rsidRPr="00A82332">
        <w:rPr>
          <w:rFonts w:ascii="Times New Roman" w:hAnsi="Times New Roman"/>
          <w:sz w:val="24"/>
          <w:szCs w:val="24"/>
        </w:rPr>
        <w:t>.</w:t>
      </w:r>
    </w:p>
    <w:p w14:paraId="780FAC08" w14:textId="245F0A1F"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"Digital credit and consumer protection"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11 June 2020</w:t>
      </w:r>
      <w:r w:rsidR="00A82332" w:rsidRPr="00A82332">
        <w:rPr>
          <w:rFonts w:ascii="Times New Roman" w:hAnsi="Times New Roman"/>
          <w:sz w:val="24"/>
          <w:szCs w:val="24"/>
        </w:rPr>
        <w:t>.</w:t>
      </w:r>
    </w:p>
    <w:p w14:paraId="1AB9E4E5" w14:textId="31CBDB2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"Digital Credit Technologies and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23 June 2020</w:t>
      </w:r>
      <w:r w:rsidR="00A82332" w:rsidRPr="00A82332">
        <w:rPr>
          <w:rFonts w:ascii="Times New Roman" w:hAnsi="Times New Roman"/>
          <w:sz w:val="24"/>
          <w:szCs w:val="24"/>
        </w:rPr>
        <w:t>.</w:t>
      </w:r>
    </w:p>
    <w:p w14:paraId="08E47A1C" w14:textId="64500A83"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“Accelerating cities’ transformation through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25 June 2020</w:t>
      </w:r>
      <w:r w:rsidR="00A82332" w:rsidRPr="00A82332">
        <w:rPr>
          <w:rFonts w:ascii="Times New Roman" w:hAnsi="Times New Roman"/>
          <w:sz w:val="24"/>
          <w:szCs w:val="24"/>
        </w:rPr>
        <w:t>.</w:t>
      </w:r>
    </w:p>
    <w:p w14:paraId="1DF917F3" w14:textId="4DE01688"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Meeting of the Joint Coordination Activity on Internet of Things and Smart Cities and Communities (JCA-IoT and SC&amp;C)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75A99AD8" w14:textId="2C4D48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Central Bank Digital Currency and Digital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49C44040" w14:textId="7B1BA6CD"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"Digital currency applications and need for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29 June 2020</w:t>
      </w:r>
      <w:r w:rsidR="00A82332" w:rsidRPr="00A82332">
        <w:rPr>
          <w:rFonts w:ascii="Times New Roman" w:hAnsi="Times New Roman"/>
          <w:sz w:val="24"/>
          <w:szCs w:val="24"/>
        </w:rPr>
        <w:t>.</w:t>
      </w:r>
    </w:p>
    <w:p w14:paraId="4BFC130A" w14:textId="4FC1707A"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"Handling of Digital Finance Crimes and Scams"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30 June 2020</w:t>
      </w:r>
      <w:r w:rsidR="00A82332" w:rsidRPr="00A82332">
        <w:rPr>
          <w:rFonts w:ascii="Times New Roman" w:hAnsi="Times New Roman"/>
          <w:sz w:val="24"/>
          <w:szCs w:val="24"/>
        </w:rPr>
        <w:t>.</w:t>
      </w:r>
    </w:p>
    <w:p w14:paraId="13660B77" w14:textId="0A2F2D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"Tracking Digital Financial Crimes and Fraud"</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10 July 2020</w:t>
      </w:r>
      <w:r w:rsidR="00A82332" w:rsidRPr="00A82332">
        <w:rPr>
          <w:rFonts w:ascii="Times New Roman" w:hAnsi="Times New Roman"/>
          <w:sz w:val="24"/>
          <w:szCs w:val="24"/>
        </w:rPr>
        <w:t>.</w:t>
      </w:r>
    </w:p>
    <w:p w14:paraId="45E639B1" w14:textId="2DA36A5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Interoperability and resiliency requirements of Digital Payments System"</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27 July 2020</w:t>
      </w:r>
      <w:r w:rsidR="00A82332" w:rsidRPr="00A82332">
        <w:rPr>
          <w:rFonts w:ascii="Times New Roman" w:hAnsi="Times New Roman"/>
          <w:sz w:val="24"/>
          <w:szCs w:val="24"/>
        </w:rPr>
        <w:t>.</w:t>
      </w:r>
    </w:p>
    <w:p w14:paraId="6DD8636D" w14:textId="6A5241CD" w:rsidR="71ED42FB" w:rsidRPr="00A82332" w:rsidRDefault="71ED42FB" w:rsidP="0063096B">
      <w:pPr>
        <w:pStyle w:val="ListParagraph"/>
        <w:numPr>
          <w:ilvl w:val="0"/>
          <w:numId w:val="35"/>
        </w:numPr>
        <w:spacing w:before="120"/>
        <w:ind w:left="714" w:hanging="357"/>
        <w:contextualSpacing w:val="0"/>
        <w:rPr>
          <w:rStyle w:val="Hyperlink"/>
          <w:rFonts w:ascii="Times New Roman" w:eastAsia="Tahoma" w:hAnsi="Times New Roman"/>
          <w:color w:val="3789BD"/>
          <w:sz w:val="24"/>
          <w:szCs w:val="24"/>
        </w:rPr>
      </w:pPr>
      <w:r w:rsidRPr="00A82332">
        <w:rPr>
          <w:rStyle w:val="Hyperlink"/>
          <w:rFonts w:ascii="Times New Roman" w:hAnsi="Times New Roman"/>
          <w:color w:val="3789BD"/>
          <w:sz w:val="24"/>
          <w:szCs w:val="24"/>
        </w:rPr>
        <w:t>DLT Interoperability</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5 August 2020</w:t>
      </w:r>
      <w:r w:rsidR="00A82332" w:rsidRPr="00A82332">
        <w:rPr>
          <w:rFonts w:ascii="Times New Roman" w:hAnsi="Times New Roman"/>
          <w:sz w:val="24"/>
          <w:szCs w:val="24"/>
        </w:rPr>
        <w:t>.</w:t>
      </w:r>
    </w:p>
    <w:p w14:paraId="1FF611D8" w14:textId="04870813" w:rsidR="4610CA7D" w:rsidRDefault="4610CA7D" w:rsidP="0063096B">
      <w:pPr>
        <w:pStyle w:val="ListParagraph"/>
        <w:numPr>
          <w:ilvl w:val="0"/>
          <w:numId w:val="35"/>
        </w:numPr>
        <w:spacing w:before="120" w:after="240"/>
        <w:ind w:left="714" w:hanging="357"/>
        <w:contextualSpacing w:val="0"/>
        <w:rPr>
          <w:rFonts w:ascii="Times New Roman" w:eastAsia="Tahoma" w:hAnsi="Times New Roman"/>
          <w:sz w:val="24"/>
          <w:szCs w:val="24"/>
        </w:rPr>
      </w:pPr>
      <w:r w:rsidRPr="00A82332">
        <w:rPr>
          <w:rStyle w:val="Hyperlink"/>
          <w:rFonts w:ascii="Times New Roman" w:hAnsi="Times New Roman"/>
          <w:color w:val="3789BD"/>
          <w:sz w:val="24"/>
          <w:szCs w:val="24"/>
        </w:rPr>
        <w:t>Webinar on " Crowdsourcing for regulators – Case studies and frameworks",</w:t>
      </w:r>
      <w:r w:rsidRPr="00A82332">
        <w:rPr>
          <w:rFonts w:ascii="Times New Roman" w:hAnsi="Times New Roman"/>
          <w:color w:val="444444"/>
          <w:sz w:val="24"/>
          <w:szCs w:val="24"/>
        </w:rPr>
        <w:t xml:space="preserve"> </w:t>
      </w:r>
      <w:r w:rsidR="6AC66E02" w:rsidRPr="00A82332">
        <w:rPr>
          <w:rFonts w:ascii="Times New Roman" w:eastAsia="Tahoma" w:hAnsi="Times New Roman"/>
          <w:sz w:val="24"/>
          <w:szCs w:val="24"/>
        </w:rPr>
        <w:t>Virtual Meeting,</w:t>
      </w:r>
      <w:r w:rsidR="6AC66E02" w:rsidRPr="00A82332">
        <w:rPr>
          <w:rFonts w:ascii="Times New Roman" w:hAnsi="Times New Roman"/>
          <w:sz w:val="24"/>
          <w:szCs w:val="24"/>
        </w:rPr>
        <w:t xml:space="preserve"> </w:t>
      </w:r>
      <w:r w:rsidRPr="00A82332">
        <w:rPr>
          <w:rFonts w:ascii="Times New Roman" w:hAnsi="Times New Roman"/>
          <w:sz w:val="24"/>
          <w:szCs w:val="24"/>
        </w:rPr>
        <w:t>27 August 2020</w:t>
      </w:r>
      <w:r w:rsidR="00A82332" w:rsidRPr="00A82332">
        <w:rPr>
          <w:rFonts w:ascii="Times New Roman" w:hAnsi="Times New Roman"/>
          <w:sz w:val="24"/>
          <w:szCs w:val="24"/>
        </w:rPr>
        <w:t>.</w:t>
      </w:r>
    </w:p>
    <w:p w14:paraId="394C7B92" w14:textId="1043FB96" w:rsidR="00136E7B" w:rsidRPr="00F57FAD" w:rsidRDefault="00136E7B" w:rsidP="00136E7B">
      <w:pPr>
        <w:pStyle w:val="Heading1"/>
      </w:pPr>
      <w:bookmarkStart w:id="215" w:name="_Toc480527880"/>
      <w:bookmarkStart w:id="216" w:name="_Toc51042306"/>
      <w:bookmarkStart w:id="217" w:name="_Toc438554000"/>
      <w:bookmarkStart w:id="218" w:name="_Toc453929122"/>
      <w:bookmarkStart w:id="219" w:name="_Toc453932993"/>
      <w:bookmarkStart w:id="220" w:name="_Toc454295899"/>
      <w:bookmarkStart w:id="221" w:name="_Toc462664286"/>
      <w:r w:rsidRPr="00F57FAD">
        <w:t>1</w:t>
      </w:r>
      <w:r w:rsidR="00CB641D">
        <w:t>6</w:t>
      </w:r>
      <w:r w:rsidRPr="00F57FAD">
        <w:tab/>
        <w:t>Implementation of WTSA Resolutions</w:t>
      </w:r>
      <w:bookmarkEnd w:id="215"/>
      <w:r w:rsidRPr="00F57FAD">
        <w:t xml:space="preserve"> and A-series ITU-T Recommendations</w:t>
      </w:r>
      <w:bookmarkEnd w:id="216"/>
    </w:p>
    <w:p w14:paraId="462D6A2E" w14:textId="77777777" w:rsidR="00136E7B" w:rsidRPr="004E5B45" w:rsidRDefault="00136E7B" w:rsidP="00136E7B">
      <w:pPr>
        <w:rPr>
          <w:lang w:val="en-GB"/>
        </w:rPr>
      </w:pPr>
      <w:r w:rsidRPr="004E5B45">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574F2DE4" w14:textId="77777777" w:rsidR="00136E7B" w:rsidRPr="004E5B45" w:rsidRDefault="00136E7B" w:rsidP="00136E7B">
      <w:pPr>
        <w:rPr>
          <w:lang w:val="en-GB"/>
        </w:rPr>
      </w:pPr>
      <w:r w:rsidRPr="004E5B45">
        <w:rPr>
          <w:lang w:val="en-GB"/>
        </w:rPr>
        <w:t xml:space="preserve">WTSA Resolutions are available at </w:t>
      </w:r>
      <w:hyperlink r:id="rId200" w:history="1">
        <w:r w:rsidRPr="004E5B45">
          <w:rPr>
            <w:rStyle w:val="Hyperlink"/>
            <w:rFonts w:asciiTheme="majorBidi" w:hAnsiTheme="majorBidi" w:cstheme="majorBidi"/>
            <w:lang w:val="en-GB"/>
          </w:rPr>
          <w:t>http://www.itu.int/pub/T-RES</w:t>
        </w:r>
      </w:hyperlink>
      <w:r w:rsidRPr="004E5B45">
        <w:rPr>
          <w:lang w:val="en-GB"/>
        </w:rPr>
        <w:t>.</w:t>
      </w:r>
    </w:p>
    <w:p w14:paraId="13A0731A" w14:textId="0AADB8C8" w:rsidR="00136E7B" w:rsidRPr="00650A05" w:rsidRDefault="00136E7B" w:rsidP="00136E7B">
      <w:pPr>
        <w:rPr>
          <w:lang w:val="en-GB"/>
        </w:rPr>
      </w:pPr>
      <w:r w:rsidRPr="00650A05">
        <w:rPr>
          <w:lang w:val="en-GB"/>
        </w:rPr>
        <w:t xml:space="preserve">The updated WTSA-16 Action </w:t>
      </w:r>
      <w:r w:rsidRPr="00650A05">
        <w:rPr>
          <w:szCs w:val="24"/>
          <w:lang w:val="en-GB"/>
        </w:rPr>
        <w:t>Plan (</w:t>
      </w:r>
      <w:hyperlink r:id="rId201" w:history="1">
        <w:r w:rsidRPr="00650A05">
          <w:rPr>
            <w:rStyle w:val="Hyperlink"/>
            <w:szCs w:val="24"/>
          </w:rPr>
          <w:t>TSAG</w:t>
        </w:r>
        <w:r w:rsidR="00650A05" w:rsidRPr="00650A05">
          <w:rPr>
            <w:rStyle w:val="Hyperlink"/>
            <w:szCs w:val="24"/>
          </w:rPr>
          <w:t>-</w:t>
        </w:r>
        <w:r w:rsidRPr="00650A05">
          <w:rPr>
            <w:rStyle w:val="Hyperlink"/>
            <w:szCs w:val="24"/>
          </w:rPr>
          <w:t>TD</w:t>
        </w:r>
        <w:r w:rsidR="00650A05" w:rsidRPr="00650A05">
          <w:rPr>
            <w:rStyle w:val="Hyperlink"/>
            <w:szCs w:val="24"/>
          </w:rPr>
          <w:t>789</w:t>
        </w:r>
      </w:hyperlink>
      <w:r w:rsidRPr="00650A05">
        <w:rPr>
          <w:szCs w:val="24"/>
          <w:lang w:val="en-GB"/>
        </w:rPr>
        <w:t>) assigns</w:t>
      </w:r>
      <w:r w:rsidRPr="00650A05">
        <w:rPr>
          <w:lang w:val="en-GB"/>
        </w:rPr>
        <w:t xml:space="preserve"> action items to the operational provisions in the Resolutions and also reports information on the progress of the implementation of those action items.</w:t>
      </w:r>
    </w:p>
    <w:p w14:paraId="1024A3DE" w14:textId="25CCDB07" w:rsidR="00136E7B" w:rsidRPr="00F57FAD" w:rsidRDefault="00136E7B" w:rsidP="00136E7B">
      <w:pPr>
        <w:pStyle w:val="Heading1"/>
      </w:pPr>
      <w:bookmarkStart w:id="222" w:name="_Toc480527881"/>
      <w:bookmarkStart w:id="223" w:name="_Toc51042307"/>
      <w:r w:rsidRPr="00F57FAD">
        <w:t>1</w:t>
      </w:r>
      <w:r w:rsidR="00CB641D">
        <w:t>7</w:t>
      </w:r>
      <w:r w:rsidRPr="00F57FAD">
        <w:tab/>
        <w:t>ITU-T's activities in the implementation of WSIS</w:t>
      </w:r>
      <w:bookmarkEnd w:id="217"/>
      <w:bookmarkEnd w:id="218"/>
      <w:bookmarkEnd w:id="219"/>
      <w:bookmarkEnd w:id="220"/>
      <w:bookmarkEnd w:id="221"/>
      <w:r w:rsidRPr="00F57FAD">
        <w:t xml:space="preserve"> and the Sustainable Development Goals</w:t>
      </w:r>
      <w:bookmarkStart w:id="224" w:name="_Toc261186390"/>
      <w:bookmarkEnd w:id="222"/>
      <w:bookmarkEnd w:id="223"/>
    </w:p>
    <w:p w14:paraId="68AF41EE" w14:textId="77777777" w:rsidR="00136E7B" w:rsidRPr="0017239D" w:rsidRDefault="00136E7B" w:rsidP="00136E7B">
      <w:pPr>
        <w:rPr>
          <w:lang w:val="en-GB"/>
        </w:rPr>
      </w:pPr>
      <w:r w:rsidRPr="0017239D">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26812FD7" w14:textId="77777777" w:rsidR="00136E7B" w:rsidRPr="0017239D" w:rsidRDefault="00136E7B" w:rsidP="00136E7B">
      <w:pPr>
        <w:rPr>
          <w:lang w:val="en-GB"/>
        </w:rPr>
      </w:pPr>
      <w:r w:rsidRPr="0017239D">
        <w:rPr>
          <w:lang w:val="en-GB"/>
        </w:rPr>
        <w:lastRenderedPageBreak/>
        <w:t>ITU-T has undertaken a mapping of its activities to the UN Sustainable Development Goals (SDGs), an action highlighting the ITU-T activities most relevant to the SDGs and proposing actions for ITU-T to expand its contribution to the pursuit of the SDGs.</w:t>
      </w:r>
    </w:p>
    <w:p w14:paraId="4514FF8E" w14:textId="77777777" w:rsidR="00136E7B" w:rsidRPr="0017239D" w:rsidRDefault="00136E7B" w:rsidP="00136E7B">
      <w:pPr>
        <w:rPr>
          <w:lang w:val="en-GB"/>
        </w:rPr>
      </w:pPr>
      <w:r w:rsidRPr="0017239D">
        <w:rPr>
          <w:lang w:val="en-GB"/>
        </w:rPr>
        <w:t xml:space="preserve">This mapping of ITU-T work to the SDGs will support the WSIS process in its promotion of efforts to leverage ICTs for sustainable development (see the </w:t>
      </w:r>
      <w:hyperlink r:id="rId202" w:history="1">
        <w:r w:rsidRPr="0017239D">
          <w:rPr>
            <w:rStyle w:val="Hyperlink"/>
            <w:rFonts w:asciiTheme="majorBidi" w:hAnsiTheme="majorBidi" w:cstheme="majorBidi"/>
            <w:lang w:val="en-GB"/>
          </w:rPr>
          <w:t>WSIS-SDG Matrix</w:t>
        </w:r>
      </w:hyperlink>
      <w:r w:rsidRPr="0017239D">
        <w:rPr>
          <w:lang w:val="en-GB"/>
        </w:rPr>
        <w:t xml:space="preserve"> linking WSIS Action Lines with the SDGs), highlighting areas where these efforts will receive support from the international standards developed by ITU-T.</w:t>
      </w:r>
    </w:p>
    <w:p w14:paraId="519CCA1E" w14:textId="77777777" w:rsidR="00136E7B" w:rsidRPr="007B5B96" w:rsidRDefault="00136E7B" w:rsidP="00136E7B">
      <w:pPr>
        <w:rPr>
          <w:lang w:val="en-GB"/>
        </w:rPr>
      </w:pPr>
      <w:r w:rsidRPr="0017239D">
        <w:rPr>
          <w:lang w:val="en-GB"/>
        </w:rPr>
        <w:t>TSB continues to map ITU-T objectives, outputs and results to the SDG goals and targets and the WSIS Action Lines.</w:t>
      </w:r>
    </w:p>
    <w:p w14:paraId="4B9A346D" w14:textId="77777777" w:rsidR="006944F8" w:rsidRPr="00E562A6" w:rsidRDefault="006944F8" w:rsidP="006944F8">
      <w:pPr>
        <w:pStyle w:val="Heading1"/>
        <w:pageBreakBefore/>
        <w:jc w:val="center"/>
      </w:pPr>
      <w:bookmarkStart w:id="225" w:name="_Toc51042308"/>
      <w:bookmarkEnd w:id="224"/>
      <w:r w:rsidRPr="00E562A6">
        <w:lastRenderedPageBreak/>
        <w:t>Appendix I – List of approved Recommendations and other approved texts</w:t>
      </w:r>
      <w:bookmarkEnd w:id="11"/>
      <w:bookmarkEnd w:id="12"/>
      <w:bookmarkEnd w:id="225"/>
    </w:p>
    <w:p w14:paraId="75DA245E" w14:textId="4FFC1A2C" w:rsidR="006944F8" w:rsidRPr="00E562A6" w:rsidRDefault="001C37A8" w:rsidP="001C37A8">
      <w:pPr>
        <w:pStyle w:val="Note"/>
        <w:rPr>
          <w:lang w:val="en-GB"/>
        </w:rPr>
      </w:pPr>
      <w:r w:rsidRPr="00E562A6">
        <w:rPr>
          <w:lang w:val="en-GB"/>
        </w:rPr>
        <w:t xml:space="preserve">NOTE </w:t>
      </w:r>
      <w:r w:rsidR="006944F8" w:rsidRPr="00E562A6">
        <w:rPr>
          <w:lang w:val="en-GB"/>
        </w:rPr>
        <w:t>– Corrigenda are not listed here.</w:t>
      </w:r>
    </w:p>
    <w:p w14:paraId="1F7CC3BC" w14:textId="17A17B8E" w:rsidR="006A46AE" w:rsidRPr="00811A5D" w:rsidRDefault="006A46AE" w:rsidP="006A46AE">
      <w:pPr>
        <w:pStyle w:val="Headingb"/>
      </w:pPr>
      <w:bookmarkStart w:id="226" w:name="_Toc480527886"/>
      <w:bookmarkStart w:id="227" w:name="_Toc480527890"/>
      <w:bookmarkEnd w:id="13"/>
      <w:r w:rsidRPr="00811A5D">
        <w:t>I.</w:t>
      </w:r>
      <w:proofErr w:type="gramStart"/>
      <w:r w:rsidRPr="00811A5D">
        <w:t>1.1</w:t>
      </w:r>
      <w:r w:rsidRPr="00811A5D">
        <w:tab/>
      </w:r>
      <w:proofErr w:type="spellStart"/>
      <w:r w:rsidRPr="00811A5D">
        <w:t>G.fast</w:t>
      </w:r>
      <w:proofErr w:type="spellEnd"/>
      <w:proofErr w:type="gramEnd"/>
      <w:r w:rsidRPr="00811A5D">
        <w:t xml:space="preserve"> and DSL: Breathing new life into existing copper infrastructure</w:t>
      </w:r>
    </w:p>
    <w:p w14:paraId="384E5B5D" w14:textId="516339DB" w:rsidR="00811A5D" w:rsidRDefault="00C44FDC" w:rsidP="00811A5D">
      <w:hyperlink r:id="rId203" w:history="1">
        <w:r w:rsidR="00811A5D" w:rsidRPr="00BC0783">
          <w:rPr>
            <w:rStyle w:val="Hyperlink"/>
            <w:b/>
            <w:lang w:val="en-GB" w:eastAsia="en-US"/>
          </w:rPr>
          <w:t>ITU-T G.994.1 Amd.1 “</w:t>
        </w:r>
        <w:r w:rsidR="00811A5D" w:rsidRPr="00BC0783">
          <w:rPr>
            <w:rStyle w:val="Hyperlink"/>
            <w:b/>
          </w:rPr>
          <w:t>Handshake procedures for digital subscriber line transceivers - Amendment 1</w:t>
        </w:r>
        <w:r w:rsidR="00811A5D" w:rsidRPr="00BC0783">
          <w:rPr>
            <w:rStyle w:val="Hyperlink"/>
            <w:b/>
            <w:lang w:val="en-GB" w:eastAsia="en-US"/>
          </w:rPr>
          <w:t>”</w:t>
        </w:r>
      </w:hyperlink>
      <w:r w:rsidR="00811A5D" w:rsidRPr="009E5DFA">
        <w:rPr>
          <w:bCs/>
          <w:lang w:val="en-GB" w:eastAsia="en-US"/>
        </w:rPr>
        <w:t xml:space="preserve"> </w:t>
      </w:r>
      <w:r w:rsidR="00811A5D">
        <w:t>includes the following new technical material:</w:t>
      </w:r>
    </w:p>
    <w:p w14:paraId="602E020E" w14:textId="7B3BDAD5" w:rsidR="00811A5D" w:rsidRDefault="00811A5D" w:rsidP="00811A5D">
      <w:r>
        <w:t>–</w:t>
      </w:r>
      <w:r>
        <w:tab/>
      </w:r>
      <w:r w:rsidRPr="003D447E">
        <w:t xml:space="preserve">codepoints for support of </w:t>
      </w:r>
      <w:r>
        <w:t xml:space="preserve">ITU-T G.9701 extended range of </w:t>
      </w:r>
      <w:r w:rsidRPr="00C26E96">
        <w:rPr>
          <w:i/>
        </w:rPr>
        <w:t>T</w:t>
      </w:r>
      <w:r w:rsidRPr="00C26E96">
        <w:rPr>
          <w:i/>
          <w:vertAlign w:val="subscript"/>
        </w:rPr>
        <w:t>g1</w:t>
      </w:r>
      <w:r w:rsidR="009E5DFA">
        <w:rPr>
          <w:i/>
          <w:vertAlign w:val="subscript"/>
        </w:rPr>
        <w:t>’</w:t>
      </w:r>
      <w:r>
        <w:t>.</w:t>
      </w:r>
    </w:p>
    <w:p w14:paraId="2ABC6444" w14:textId="63F6404C" w:rsidR="005724A4" w:rsidRDefault="00C44FDC" w:rsidP="005724A4">
      <w:hyperlink r:id="rId204" w:history="1">
        <w:r w:rsidR="005724A4" w:rsidRPr="00F53F5D">
          <w:rPr>
            <w:rStyle w:val="Hyperlink"/>
            <w:b/>
          </w:rPr>
          <w:t xml:space="preserve">ITU-T G.997.2 Amd.1 “Physical layer management for </w:t>
        </w:r>
        <w:proofErr w:type="spellStart"/>
        <w:proofErr w:type="gramStart"/>
        <w:r w:rsidR="005724A4" w:rsidRPr="00F53F5D">
          <w:rPr>
            <w:rStyle w:val="Hyperlink"/>
            <w:b/>
          </w:rPr>
          <w:t>G.fast</w:t>
        </w:r>
        <w:proofErr w:type="spellEnd"/>
        <w:proofErr w:type="gramEnd"/>
        <w:r w:rsidR="005724A4" w:rsidRPr="00F53F5D">
          <w:rPr>
            <w:rStyle w:val="Hyperlink"/>
            <w:b/>
          </w:rPr>
          <w:t xml:space="preserve"> transceivers - Amendment 1”</w:t>
        </w:r>
      </w:hyperlink>
      <w:r w:rsidR="005724A4">
        <w:t xml:space="preserve"> integrates the Corrigendum 1 to ITU-T Rec G.997.2 (2019) and includes in addition:</w:t>
      </w:r>
    </w:p>
    <w:p w14:paraId="185F5062" w14:textId="77777777" w:rsidR="005724A4" w:rsidRDefault="005724A4" w:rsidP="005724A4">
      <w:r>
        <w:t>-</w:t>
      </w:r>
      <w:r>
        <w:tab/>
        <w:t>Add managed objects for the support of RMC sub-carrier masking</w:t>
      </w:r>
    </w:p>
    <w:p w14:paraId="1B9B849D" w14:textId="77777777" w:rsidR="005724A4" w:rsidRDefault="005724A4" w:rsidP="005724A4">
      <w:r>
        <w:t>-</w:t>
      </w:r>
      <w:r>
        <w:tab/>
        <w:t>Add managed objects for the support of TGVN</w:t>
      </w:r>
    </w:p>
    <w:p w14:paraId="39B1B118" w14:textId="383B39AD" w:rsidR="005724A4" w:rsidRDefault="005724A4" w:rsidP="005724A4">
      <w:pPr>
        <w:rPr>
          <w:lang w:val="en-GB" w:eastAsia="en-US"/>
        </w:rPr>
      </w:pPr>
      <w:r>
        <w:t>-</w:t>
      </w:r>
      <w:r>
        <w:tab/>
        <w:t>Add managed objects for the support of PREFNDR.</w:t>
      </w:r>
    </w:p>
    <w:p w14:paraId="66046F00" w14:textId="74405CD6" w:rsidR="0027175B" w:rsidRPr="00952FDF" w:rsidRDefault="00C44FDC" w:rsidP="0027175B">
      <w:pPr>
        <w:rPr>
          <w:highlight w:val="yellow"/>
          <w:lang w:val="en-GB"/>
        </w:rPr>
      </w:pPr>
      <w:hyperlink r:id="rId205" w:history="1">
        <w:r w:rsidR="0027175B" w:rsidRPr="00AD1C2F">
          <w:rPr>
            <w:rStyle w:val="Hyperlink"/>
            <w:b/>
            <w:lang w:val="en-GB"/>
          </w:rPr>
          <w:t>ITU-T G.9701 (2019) Amd.2 “Fast access to subscriber terminals (</w:t>
        </w:r>
        <w:proofErr w:type="spellStart"/>
        <w:r w:rsidR="0027175B" w:rsidRPr="00AD1C2F">
          <w:rPr>
            <w:rStyle w:val="Hyperlink"/>
            <w:b/>
            <w:lang w:val="en-GB"/>
          </w:rPr>
          <w:t>G.fast</w:t>
        </w:r>
        <w:proofErr w:type="spellEnd"/>
        <w:r w:rsidR="0027175B" w:rsidRPr="00AD1C2F">
          <w:rPr>
            <w:rStyle w:val="Hyperlink"/>
            <w:b/>
            <w:lang w:val="en-GB"/>
          </w:rPr>
          <w:t>) - Physical layer specification: Amendment 2”</w:t>
        </w:r>
      </w:hyperlink>
      <w:r w:rsidR="0027175B" w:rsidRPr="00BC6399">
        <w:rPr>
          <w:bCs/>
          <w:lang w:val="en-GB"/>
        </w:rPr>
        <w:t xml:space="preserve"> </w:t>
      </w:r>
      <w:r w:rsidR="0027175B" w:rsidRPr="00AD1C2F">
        <w:rPr>
          <w:lang w:val="en-GB"/>
        </w:rPr>
        <w:t>includes a new Annex on targeted generalized vectoring with non-active G.97</w:t>
      </w:r>
      <w:r w:rsidR="0027175B" w:rsidRPr="0027175B">
        <w:rPr>
          <w:lang w:val="en-GB"/>
        </w:rPr>
        <w:t>01 supporting lines (TGVN).</w:t>
      </w:r>
    </w:p>
    <w:p w14:paraId="1A042C58" w14:textId="6AB9ED5E" w:rsidR="006A46AE" w:rsidRPr="00E56653" w:rsidRDefault="00C44FDC" w:rsidP="006A46AE">
      <w:pPr>
        <w:rPr>
          <w:lang w:val="en-GB"/>
        </w:rPr>
      </w:pPr>
      <w:hyperlink r:id="rId206" w:history="1">
        <w:r w:rsidR="006A46AE" w:rsidRPr="00796D5A">
          <w:rPr>
            <w:rStyle w:val="Hyperlink"/>
            <w:b/>
            <w:bCs/>
            <w:lang w:val="en-GB"/>
          </w:rPr>
          <w:t>ITU-T G.9710 "Multi-gigabit fast access to subscriber terminals (</w:t>
        </w:r>
        <w:proofErr w:type="spellStart"/>
        <w:r w:rsidR="006A46AE" w:rsidRPr="00796D5A">
          <w:rPr>
            <w:rStyle w:val="Hyperlink"/>
            <w:b/>
            <w:bCs/>
            <w:lang w:val="en-GB"/>
          </w:rPr>
          <w:t>MGfast</w:t>
        </w:r>
        <w:proofErr w:type="spellEnd"/>
        <w:r w:rsidR="006A46AE" w:rsidRPr="00796D5A">
          <w:rPr>
            <w:rStyle w:val="Hyperlink"/>
            <w:b/>
            <w:bCs/>
            <w:lang w:val="en-GB"/>
          </w:rPr>
          <w:t>) – Power spectral density specification"</w:t>
        </w:r>
      </w:hyperlink>
      <w:r w:rsidR="006A46AE" w:rsidRPr="00E56653">
        <w:rPr>
          <w:lang w:val="en-GB"/>
        </w:rPr>
        <w:t xml:space="preserve"> </w:t>
      </w:r>
      <w:r w:rsidR="00E56653" w:rsidRPr="00E56653">
        <w:rPr>
          <w:lang w:val="en-GB"/>
        </w:rPr>
        <w:t>specifies power spectral density (PSD) mask requirements for Multi-gigabit fast access to subscriber terminals (</w:t>
      </w:r>
      <w:proofErr w:type="spellStart"/>
      <w:r w:rsidR="00E56653" w:rsidRPr="00E56653">
        <w:rPr>
          <w:lang w:val="en-GB"/>
        </w:rPr>
        <w:t>MGfast</w:t>
      </w:r>
      <w:proofErr w:type="spellEnd"/>
      <w:r w:rsidR="00E56653" w:rsidRPr="00E56653">
        <w:rPr>
          <w:lang w:val="en-GB"/>
        </w:rPr>
        <w:t>), a set of tools to support reduction of the transmit PSD mask, and a methodology for transmit PSD verification. It supports operation over both twist</w:t>
      </w:r>
      <w:r w:rsidR="00E56653">
        <w:rPr>
          <w:lang w:val="en-GB"/>
        </w:rPr>
        <w:t>ed pair and coaxial cable media</w:t>
      </w:r>
      <w:r w:rsidR="006A46AE" w:rsidRPr="00E56653">
        <w:rPr>
          <w:lang w:val="en-GB"/>
        </w:rPr>
        <w:t>.</w:t>
      </w:r>
    </w:p>
    <w:p w14:paraId="2D25F806" w14:textId="07F0D1DD" w:rsidR="006A46AE" w:rsidRPr="009A7EC5" w:rsidRDefault="006A46AE" w:rsidP="006A46AE">
      <w:pPr>
        <w:pStyle w:val="Headingb"/>
      </w:pPr>
      <w:bookmarkStart w:id="228" w:name="_Toc480527892"/>
      <w:r w:rsidRPr="009A7EC5">
        <w:t>I.1.2</w:t>
      </w:r>
      <w:r w:rsidRPr="009A7EC5">
        <w:tab/>
        <w:t>Ultra-high-speed access including NG-PON2</w:t>
      </w:r>
      <w:bookmarkEnd w:id="228"/>
    </w:p>
    <w:p w14:paraId="5C45DD90" w14:textId="3E9EA63C" w:rsidR="009A7EC5" w:rsidRPr="009A7EC5" w:rsidRDefault="00C44FDC" w:rsidP="009A7EC5">
      <w:pPr>
        <w:rPr>
          <w:lang w:val="en-GB" w:eastAsia="en-US"/>
        </w:rPr>
      </w:pPr>
      <w:hyperlink r:id="rId207" w:history="1">
        <w:r w:rsidR="009A7EC5" w:rsidRPr="00BD36EB">
          <w:rPr>
            <w:rStyle w:val="Hyperlink"/>
            <w:b/>
            <w:lang w:val="en-GB" w:eastAsia="en-US"/>
          </w:rPr>
          <w:t>ITU-T G.984.3 (2014) Amd.1 “Gigabit-capable passive optical networks (G-PON): Transmission convergence layer specification”</w:t>
        </w:r>
      </w:hyperlink>
      <w:r w:rsidR="009A7EC5" w:rsidRPr="00CB4E06">
        <w:rPr>
          <w:lang w:val="en-GB" w:eastAsia="en-US"/>
        </w:rPr>
        <w:t xml:space="preserve"> </w:t>
      </w:r>
      <w:r w:rsidR="009A7EC5" w:rsidRPr="009A7EC5">
        <w:rPr>
          <w:lang w:val="en-GB" w:eastAsia="en-US"/>
        </w:rPr>
        <w:t>describes the transmission convergence layer for gigabit-capable passive optical networks – a family of flexible access networks capable of providing a range of broadband and narrow-band services, operating at the rates of 2.48832 Gbit/s downstream and 1.24416 or 2.48832 Gbit/s upstream. This Recommendation includes the specifications of the following:</w:t>
      </w:r>
    </w:p>
    <w:p w14:paraId="7F51CB9A"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gigabit PON transmission convergence (GTC) layer </w:t>
      </w:r>
      <w:proofErr w:type="gramStart"/>
      <w:r w:rsidRPr="009A7EC5">
        <w:rPr>
          <w:lang w:val="en-GB" w:eastAsia="en-US"/>
        </w:rPr>
        <w:t>framing;</w:t>
      </w:r>
      <w:proofErr w:type="gramEnd"/>
    </w:p>
    <w:p w14:paraId="7FFCE188"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upstream time division multiple access </w:t>
      </w:r>
      <w:proofErr w:type="gramStart"/>
      <w:r w:rsidRPr="009A7EC5">
        <w:rPr>
          <w:lang w:val="en-GB" w:eastAsia="en-US"/>
        </w:rPr>
        <w:t>mechanism;</w:t>
      </w:r>
      <w:proofErr w:type="gramEnd"/>
      <w:r w:rsidRPr="009A7EC5">
        <w:rPr>
          <w:lang w:val="en-GB" w:eastAsia="en-US"/>
        </w:rPr>
        <w:t xml:space="preserve"> </w:t>
      </w:r>
    </w:p>
    <w:p w14:paraId="236511B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physical layer operation, administration and maintenance (OAM) messaging </w:t>
      </w:r>
      <w:proofErr w:type="gramStart"/>
      <w:r w:rsidRPr="009A7EC5">
        <w:rPr>
          <w:lang w:val="en-GB" w:eastAsia="en-US"/>
        </w:rPr>
        <w:t>channel;</w:t>
      </w:r>
      <w:proofErr w:type="gramEnd"/>
      <w:r w:rsidRPr="009A7EC5">
        <w:rPr>
          <w:lang w:val="en-GB" w:eastAsia="en-US"/>
        </w:rPr>
        <w:t xml:space="preserve"> </w:t>
      </w:r>
    </w:p>
    <w:p w14:paraId="7765AEA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principles and signalling mechanism of the upstream dynamic bandwidth </w:t>
      </w:r>
      <w:proofErr w:type="gramStart"/>
      <w:r w:rsidRPr="009A7EC5">
        <w:rPr>
          <w:lang w:val="en-GB" w:eastAsia="en-US"/>
        </w:rPr>
        <w:t>assignment;</w:t>
      </w:r>
      <w:proofErr w:type="gramEnd"/>
      <w:r w:rsidRPr="009A7EC5">
        <w:rPr>
          <w:lang w:val="en-GB" w:eastAsia="en-US"/>
        </w:rPr>
        <w:t xml:space="preserve"> </w:t>
      </w:r>
    </w:p>
    <w:p w14:paraId="12EA7C0A"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optical network unit (ONU) activation </w:t>
      </w:r>
      <w:proofErr w:type="gramStart"/>
      <w:r w:rsidRPr="009A7EC5">
        <w:rPr>
          <w:lang w:val="en-GB" w:eastAsia="en-US"/>
        </w:rPr>
        <w:t>method;</w:t>
      </w:r>
      <w:proofErr w:type="gramEnd"/>
      <w:r w:rsidRPr="009A7EC5">
        <w:rPr>
          <w:lang w:val="en-GB" w:eastAsia="en-US"/>
        </w:rPr>
        <w:t xml:space="preserve"> </w:t>
      </w:r>
    </w:p>
    <w:p w14:paraId="48A53BD0"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forward error </w:t>
      </w:r>
      <w:proofErr w:type="gramStart"/>
      <w:r w:rsidRPr="009A7EC5">
        <w:rPr>
          <w:lang w:val="en-GB" w:eastAsia="en-US"/>
        </w:rPr>
        <w:t>correction;</w:t>
      </w:r>
      <w:proofErr w:type="gramEnd"/>
      <w:r w:rsidRPr="009A7EC5">
        <w:rPr>
          <w:lang w:val="en-GB" w:eastAsia="en-US"/>
        </w:rPr>
        <w:t xml:space="preserve"> </w:t>
      </w:r>
    </w:p>
    <w:p w14:paraId="05F46C8A" w14:textId="77777777" w:rsidR="009A7EC5" w:rsidRPr="009A7EC5" w:rsidRDefault="009A7EC5" w:rsidP="009A7EC5">
      <w:pPr>
        <w:rPr>
          <w:lang w:val="en-GB" w:eastAsia="en-US"/>
        </w:rPr>
      </w:pPr>
      <w:r w:rsidRPr="009A7EC5">
        <w:rPr>
          <w:lang w:val="en-GB" w:eastAsia="en-US"/>
        </w:rPr>
        <w:t>•</w:t>
      </w:r>
      <w:r w:rsidRPr="009A7EC5">
        <w:rPr>
          <w:lang w:val="en-GB" w:eastAsia="en-US"/>
        </w:rPr>
        <w:tab/>
        <w:t>security.</w:t>
      </w:r>
    </w:p>
    <w:p w14:paraId="3CAFBC24" w14:textId="2BE151AB" w:rsidR="009A7EC5" w:rsidRDefault="009A7EC5" w:rsidP="009A7EC5">
      <w:pPr>
        <w:rPr>
          <w:lang w:val="en-GB" w:eastAsia="en-US"/>
        </w:rPr>
      </w:pPr>
      <w:r w:rsidRPr="009A7EC5">
        <w:rPr>
          <w:lang w:val="en-GB" w:eastAsia="en-US"/>
        </w:rPr>
        <w:t>This Recommendation forms an integral part of the G.984-series of ITU-T Recommendations that, together, specify a single coherent set of access transmission systems.</w:t>
      </w:r>
      <w:r>
        <w:rPr>
          <w:lang w:val="en-GB" w:eastAsia="en-US"/>
        </w:rPr>
        <w:t xml:space="preserve"> </w:t>
      </w:r>
      <w:r w:rsidRPr="009A7EC5">
        <w:rPr>
          <w:lang w:val="en-GB" w:eastAsia="en-US"/>
        </w:rPr>
        <w:t>The present Amendment provides necessary extensions to support Class D ODN.</w:t>
      </w:r>
    </w:p>
    <w:p w14:paraId="7E06CC0F" w14:textId="712D296A" w:rsidR="00F60D75" w:rsidRDefault="00C44FDC" w:rsidP="00F60D75">
      <w:pPr>
        <w:rPr>
          <w:lang w:val="en-GB" w:eastAsia="en-US"/>
        </w:rPr>
      </w:pPr>
      <w:hyperlink r:id="rId208" w:history="1">
        <w:r w:rsidR="00F60D75" w:rsidRPr="0071756E">
          <w:rPr>
            <w:rStyle w:val="Hyperlink"/>
            <w:b/>
            <w:lang w:val="en-GB" w:eastAsia="en-US"/>
          </w:rPr>
          <w:t>ITU-T G.987.3 (2014) Amd.1</w:t>
        </w:r>
        <w:r w:rsidR="0026023A" w:rsidRPr="0071756E">
          <w:rPr>
            <w:rStyle w:val="Hyperlink"/>
            <w:b/>
            <w:lang w:val="en-GB" w:eastAsia="en-US"/>
          </w:rPr>
          <w:t xml:space="preserve"> “10-Gigabit-capable passive optical networks (XG-PON): Transmission convergence (TC) layer specification - Amendment 1”</w:t>
        </w:r>
      </w:hyperlink>
      <w:r w:rsidR="0026023A" w:rsidRPr="00767C09">
        <w:rPr>
          <w:bCs/>
          <w:lang w:val="en-GB" w:eastAsia="en-US"/>
        </w:rPr>
        <w:t xml:space="preserve"> </w:t>
      </w:r>
      <w:r w:rsidR="00F60D75" w:rsidRPr="00F60D75">
        <w:rPr>
          <w:lang w:val="en-GB" w:eastAsia="en-US"/>
        </w:rPr>
        <w:t xml:space="preserve">describes the transmission convergence layer for 10 gigabit capable passive optical network systems – a family of flexible access network systems that operate over a point-to-multipoint optical access infrastructure at nominal data rates in the order of 10.0 Gbit/s in at least one direction, while providing a wide range </w:t>
      </w:r>
      <w:r w:rsidR="00F60D75" w:rsidRPr="00F60D75">
        <w:rPr>
          <w:lang w:val="en-GB" w:eastAsia="en-US"/>
        </w:rPr>
        <w:lastRenderedPageBreak/>
        <w:t>of broadband and narrow-band services to end-users.</w:t>
      </w:r>
      <w:r w:rsidR="0026023A">
        <w:rPr>
          <w:lang w:val="en-GB" w:eastAsia="en-US"/>
        </w:rPr>
        <w:t xml:space="preserve"> </w:t>
      </w:r>
      <w:r w:rsidR="00F60D75" w:rsidRPr="00F60D75">
        <w:rPr>
          <w:lang w:val="en-GB" w:eastAsia="en-US"/>
        </w:rPr>
        <w:t xml:space="preserve">The present Amendment extends to the G.987.3 the concept of Cooperative DBA and the general DBA framework, which have been developed in the context of G.989.3, and extends the maximum number of the burst allocation series per ONU in a </w:t>
      </w:r>
      <w:proofErr w:type="spellStart"/>
      <w:r w:rsidR="00F60D75" w:rsidRPr="00F60D75">
        <w:rPr>
          <w:lang w:val="en-GB" w:eastAsia="en-US"/>
        </w:rPr>
        <w:t>BWmap</w:t>
      </w:r>
      <w:proofErr w:type="spellEnd"/>
      <w:r w:rsidR="00F60D75" w:rsidRPr="00F60D75">
        <w:rPr>
          <w:lang w:val="en-GB" w:eastAsia="en-US"/>
        </w:rPr>
        <w:t xml:space="preserve"> to 16.</w:t>
      </w:r>
    </w:p>
    <w:p w14:paraId="2F048AA5" w14:textId="3A9BDFA3" w:rsidR="0092458C" w:rsidRPr="0092458C" w:rsidRDefault="00C44FDC" w:rsidP="0092458C">
      <w:pPr>
        <w:rPr>
          <w:lang w:val="en-GB" w:eastAsia="en-US"/>
        </w:rPr>
      </w:pPr>
      <w:hyperlink r:id="rId209" w:history="1">
        <w:r w:rsidR="0092458C" w:rsidRPr="006E58FD">
          <w:rPr>
            <w:rStyle w:val="Hyperlink"/>
            <w:b/>
            <w:lang w:val="en-GB" w:eastAsia="en-US"/>
          </w:rPr>
          <w:t>ITU-T G.988 (2017) Amd.3 “ONU management and control interface (OMCI) specification: Amendment 3”</w:t>
        </w:r>
      </w:hyperlink>
      <w:r w:rsidR="0092458C" w:rsidRPr="00723B76">
        <w:rPr>
          <w:bCs/>
          <w:lang w:val="en-GB" w:eastAsia="en-US"/>
        </w:rPr>
        <w:t xml:space="preserve"> </w:t>
      </w:r>
      <w:r w:rsidR="0092458C" w:rsidRPr="0092458C">
        <w:rPr>
          <w:lang w:val="en-GB" w:eastAsia="en-US"/>
        </w:rPr>
        <w:t>adds:</w:t>
      </w:r>
    </w:p>
    <w:p w14:paraId="5C47B721"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the discovery of Extended VLAN tagging operation configuration data ME enhanced mode through the ONU3-G ME.</w:t>
      </w:r>
    </w:p>
    <w:p w14:paraId="46494900"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Extended VLAN ME tagging operation configuration data ME enhanced mode.</w:t>
      </w:r>
    </w:p>
    <w:p w14:paraId="0FF1073D" w14:textId="06BB6BCA" w:rsidR="0092458C" w:rsidRDefault="0092458C" w:rsidP="0092458C">
      <w:pPr>
        <w:rPr>
          <w:lang w:val="en-GB" w:eastAsia="en-US"/>
        </w:rPr>
      </w:pPr>
      <w:r w:rsidRPr="0092458C">
        <w:rPr>
          <w:lang w:val="en-GB" w:eastAsia="en-US"/>
        </w:rPr>
        <w:t>•</w:t>
      </w:r>
      <w:r w:rsidRPr="0092458C">
        <w:rPr>
          <w:lang w:val="en-GB" w:eastAsia="en-US"/>
        </w:rPr>
        <w:tab/>
        <w:t>Corrections to Table 9.1.5-1 “Plug-in unit types”.</w:t>
      </w:r>
    </w:p>
    <w:p w14:paraId="5F22E74B" w14:textId="0C9792B5" w:rsidR="00D10C6A" w:rsidRPr="009A7EC5" w:rsidRDefault="00C44FDC" w:rsidP="00D10C6A">
      <w:pPr>
        <w:rPr>
          <w:lang w:val="en-GB" w:eastAsia="en-US"/>
        </w:rPr>
      </w:pPr>
      <w:hyperlink r:id="rId210" w:history="1">
        <w:r w:rsidR="00D10C6A" w:rsidRPr="00CA1CD8">
          <w:rPr>
            <w:rStyle w:val="Hyperlink"/>
            <w:b/>
            <w:lang w:val="en-GB" w:eastAsia="en-US"/>
          </w:rPr>
          <w:t>ITU-T G.989.3 (2015) Amd.3 “40-Gigabit-capable passive optical networks (NG-PON2): Transmission convergence layer specification - Amendment 3”</w:t>
        </w:r>
      </w:hyperlink>
      <w:r w:rsidR="00D10C6A" w:rsidRPr="00F16BFE">
        <w:rPr>
          <w:bCs/>
          <w:lang w:val="en-GB" w:eastAsia="en-US"/>
        </w:rPr>
        <w:t xml:space="preserve"> </w:t>
      </w:r>
      <w:r w:rsidR="00D10C6A" w:rsidRPr="00D10C6A">
        <w:rPr>
          <w:lang w:val="en-GB" w:eastAsia="en-US"/>
        </w:rPr>
        <w:t xml:space="preserve">clarifies the use of </w:t>
      </w:r>
      <w:proofErr w:type="spellStart"/>
      <w:r w:rsidR="00D10C6A" w:rsidRPr="00D10C6A">
        <w:rPr>
          <w:lang w:val="en-GB" w:eastAsia="en-US"/>
        </w:rPr>
        <w:t>SeqNo</w:t>
      </w:r>
      <w:proofErr w:type="spellEnd"/>
      <w:r w:rsidR="00D10C6A" w:rsidRPr="00D10C6A">
        <w:rPr>
          <w:lang w:val="en-GB" w:eastAsia="en-US"/>
        </w:rPr>
        <w:t xml:space="preserve"> in the upstream PLOAM messages, clarifies the distinction between Performance Monitoring counters and other Performance Monitoring parameters, and provides regular specification maintenance.</w:t>
      </w:r>
    </w:p>
    <w:p w14:paraId="37BF30C2" w14:textId="77777777" w:rsidR="006A46AE" w:rsidRPr="00187B9F" w:rsidRDefault="006A46AE" w:rsidP="006A46AE">
      <w:pPr>
        <w:pStyle w:val="Headingb"/>
      </w:pPr>
      <w:r w:rsidRPr="00187B9F">
        <w:t>I.1.3</w:t>
      </w:r>
      <w:r w:rsidRPr="00187B9F">
        <w:tab/>
        <w:t>Optical fibres</w:t>
      </w:r>
      <w:bookmarkEnd w:id="226"/>
    </w:p>
    <w:p w14:paraId="09B76005" w14:textId="68483B2B" w:rsidR="00187B9F" w:rsidRDefault="00C44FDC" w:rsidP="00187B9F">
      <w:hyperlink r:id="rId211" w:history="1">
        <w:r w:rsidR="00187B9F" w:rsidRPr="00280E5E">
          <w:rPr>
            <w:rStyle w:val="Hyperlink"/>
            <w:b/>
          </w:rPr>
          <w:t xml:space="preserve">ITU-T G.654 </w:t>
        </w:r>
        <w:r w:rsidR="003B3D46" w:rsidRPr="00280E5E">
          <w:rPr>
            <w:rStyle w:val="Hyperlink"/>
            <w:b/>
          </w:rPr>
          <w:t xml:space="preserve">(revised) </w:t>
        </w:r>
        <w:r w:rsidR="00187B9F" w:rsidRPr="00280E5E">
          <w:rPr>
            <w:rStyle w:val="Hyperlink"/>
            <w:b/>
          </w:rPr>
          <w:t xml:space="preserve">“Characteristics of a cut-off shifted single-mode optical </w:t>
        </w:r>
        <w:proofErr w:type="spellStart"/>
        <w:r w:rsidR="00187B9F" w:rsidRPr="00280E5E">
          <w:rPr>
            <w:rStyle w:val="Hyperlink"/>
            <w:b/>
          </w:rPr>
          <w:t>fibre</w:t>
        </w:r>
        <w:proofErr w:type="spellEnd"/>
        <w:r w:rsidR="00187B9F" w:rsidRPr="00280E5E">
          <w:rPr>
            <w:rStyle w:val="Hyperlink"/>
            <w:b/>
          </w:rPr>
          <w:t xml:space="preserve"> and cable”</w:t>
        </w:r>
      </w:hyperlink>
      <w:r w:rsidR="00187B9F" w:rsidRPr="001E3BC2">
        <w:rPr>
          <w:bCs/>
        </w:rPr>
        <w:t xml:space="preserve"> </w:t>
      </w:r>
      <w:r w:rsidR="00187B9F">
        <w:t xml:space="preserve">describes the geometrical, mechanical and transmission attributes of a single-mode optical </w:t>
      </w:r>
      <w:proofErr w:type="spellStart"/>
      <w:r w:rsidR="00187B9F">
        <w:t>fibre</w:t>
      </w:r>
      <w:proofErr w:type="spellEnd"/>
      <w:r w:rsidR="00187B9F">
        <w:t xml:space="preserve"> and cable which has the zero-dispersion wavelength around 1 300 nm wavelength, and which is loss-minimized and cut-off wavelength shifted at around the 1 550 nm wavelength region. This is the latest revision of this Recommendation that was first created in 1988. In this version the attenuation coefficient of G.654.E to specify a wavelength dependency for estimating optical system design has been changed. Also, in this version a note has been added for cable cut-off wavelength when G.654.E </w:t>
      </w:r>
      <w:proofErr w:type="spellStart"/>
      <w:r w:rsidR="00187B9F">
        <w:t>fibre</w:t>
      </w:r>
      <w:proofErr w:type="spellEnd"/>
      <w:r w:rsidR="00187B9F">
        <w:t xml:space="preserve"> is used at central frequencies for applications specified in Recommendation G.698.2.</w:t>
      </w:r>
    </w:p>
    <w:p w14:paraId="434A0AD1" w14:textId="7F2BEC8C" w:rsidR="00571DB0" w:rsidRDefault="00C44FDC" w:rsidP="00571DB0">
      <w:hyperlink r:id="rId212" w:history="1">
        <w:r w:rsidR="00571DB0" w:rsidRPr="00596A4C">
          <w:rPr>
            <w:rStyle w:val="Hyperlink"/>
            <w:b/>
          </w:rPr>
          <w:t xml:space="preserve">ITU-T G.9806 “Higher speed bidirectional, single </w:t>
        </w:r>
        <w:proofErr w:type="spellStart"/>
        <w:r w:rsidR="00571DB0" w:rsidRPr="00596A4C">
          <w:rPr>
            <w:rStyle w:val="Hyperlink"/>
            <w:b/>
          </w:rPr>
          <w:t>fibre</w:t>
        </w:r>
        <w:proofErr w:type="spellEnd"/>
        <w:r w:rsidR="00571DB0" w:rsidRPr="00596A4C">
          <w:rPr>
            <w:rStyle w:val="Hyperlink"/>
            <w:b/>
          </w:rPr>
          <w:t>, point-to-point optical access system (HS-</w:t>
        </w:r>
        <w:proofErr w:type="spellStart"/>
        <w:r w:rsidR="00571DB0" w:rsidRPr="00596A4C">
          <w:rPr>
            <w:rStyle w:val="Hyperlink"/>
            <w:b/>
          </w:rPr>
          <w:t>PtP</w:t>
        </w:r>
        <w:proofErr w:type="spellEnd"/>
        <w:r w:rsidR="00571DB0" w:rsidRPr="00596A4C">
          <w:rPr>
            <w:rStyle w:val="Hyperlink"/>
            <w:b/>
          </w:rPr>
          <w:t>)”</w:t>
        </w:r>
      </w:hyperlink>
      <w:r w:rsidR="00571DB0">
        <w:t xml:space="preserve"> describes a higher speed bidirectional single </w:t>
      </w:r>
      <w:proofErr w:type="spellStart"/>
      <w:r w:rsidR="00571DB0">
        <w:t>fibre</w:t>
      </w:r>
      <w:proofErr w:type="spellEnd"/>
      <w:r w:rsidR="00571DB0">
        <w:t xml:space="preserve"> point-to-point optical access system than the data rate in existing ITU-T point-to-point access systems. It supports 10 Gbit/s and above for the optical access services including the optical distribution network (ODN) specification, the physical layer specification, services requirements and the operation, </w:t>
      </w:r>
      <w:proofErr w:type="gramStart"/>
      <w:r w:rsidR="00571DB0">
        <w:t>administration</w:t>
      </w:r>
      <w:proofErr w:type="gramEnd"/>
      <w:r w:rsidR="00571DB0">
        <w:t xml:space="preserve"> and maintenance (OAM) specification.</w:t>
      </w:r>
    </w:p>
    <w:p w14:paraId="799CB81E" w14:textId="6910CFB9" w:rsidR="00700989" w:rsidRDefault="00C44FDC" w:rsidP="006A46AE">
      <w:pPr>
        <w:rPr>
          <w:lang w:val="en-GB" w:eastAsia="en-US"/>
        </w:rPr>
      </w:pPr>
      <w:hyperlink r:id="rId213" w:history="1">
        <w:r w:rsidR="00700989" w:rsidRPr="008812D9">
          <w:rPr>
            <w:rStyle w:val="Hyperlink"/>
            <w:b/>
            <w:lang w:val="en-GB" w:eastAsia="en-US"/>
          </w:rPr>
          <w:t>ITU-T L.105/L.87 Amd.1 “Optical fibre cables for drop applications Amendment 1”</w:t>
        </w:r>
      </w:hyperlink>
      <w:r w:rsidR="00700989" w:rsidRPr="009F1E80">
        <w:rPr>
          <w:bCs/>
          <w:lang w:val="en-GB" w:eastAsia="en-US"/>
        </w:rPr>
        <w:t xml:space="preserve"> </w:t>
      </w:r>
      <w:r w:rsidR="00700989" w:rsidRPr="00700989">
        <w:rPr>
          <w:lang w:val="en-GB" w:eastAsia="en-US"/>
        </w:rPr>
        <w:t>aims to provide the latest standard development and application experience of drop cables in China.</w:t>
      </w:r>
    </w:p>
    <w:p w14:paraId="55403C68" w14:textId="295A555D" w:rsidR="006118F2" w:rsidRPr="006118F2" w:rsidRDefault="00C44FDC" w:rsidP="006118F2">
      <w:pPr>
        <w:rPr>
          <w:lang w:val="en-GB" w:eastAsia="en-US"/>
        </w:rPr>
      </w:pPr>
      <w:hyperlink r:id="rId214" w:history="1">
        <w:r w:rsidR="006118F2" w:rsidRPr="005236E9">
          <w:rPr>
            <w:rStyle w:val="Hyperlink"/>
            <w:b/>
            <w:lang w:val="en-GB" w:eastAsia="en-US"/>
          </w:rPr>
          <w:t>ITU-T Technical Report LSTR-GLSR (revised) “Guide on the use of ITU-T L-series Recommendations related to optical technologies for outside plant”</w:t>
        </w:r>
      </w:hyperlink>
      <w:r w:rsidR="006118F2">
        <w:rPr>
          <w:lang w:val="en-GB" w:eastAsia="en-US"/>
        </w:rPr>
        <w:t xml:space="preserve"> </w:t>
      </w:r>
      <w:r w:rsidR="006118F2" w:rsidRPr="006118F2">
        <w:rPr>
          <w:lang w:val="en-GB" w:eastAsia="en-US"/>
        </w:rPr>
        <w:t>contains a functional grouping of the ITU-T Recommendations on:</w:t>
      </w:r>
    </w:p>
    <w:p w14:paraId="1C5A4836"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cable construction for all kinds of terrestrial application, including marinized terrestrial </w:t>
      </w:r>
      <w:proofErr w:type="gramStart"/>
      <w:r w:rsidRPr="006118F2">
        <w:rPr>
          <w:lang w:val="en-GB" w:eastAsia="en-US"/>
        </w:rPr>
        <w:t>cables;</w:t>
      </w:r>
      <w:proofErr w:type="gramEnd"/>
      <w:r w:rsidRPr="006118F2">
        <w:rPr>
          <w:lang w:val="en-GB" w:eastAsia="en-US"/>
        </w:rPr>
        <w:t xml:space="preserve"> </w:t>
      </w:r>
    </w:p>
    <w:p w14:paraId="4E90FEB5"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infrastructures, including node elements, installation techniques and network </w:t>
      </w:r>
      <w:proofErr w:type="gramStart"/>
      <w:r w:rsidRPr="006118F2">
        <w:rPr>
          <w:lang w:val="en-GB" w:eastAsia="en-US"/>
        </w:rPr>
        <w:t>design;</w:t>
      </w:r>
      <w:proofErr w:type="gramEnd"/>
      <w:r w:rsidRPr="006118F2">
        <w:rPr>
          <w:lang w:val="en-GB" w:eastAsia="en-US"/>
        </w:rPr>
        <w:t xml:space="preserve"> </w:t>
      </w:r>
    </w:p>
    <w:p w14:paraId="2B883D59"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outside plant maintenance, operation and support management, including disaster management </w:t>
      </w:r>
      <w:proofErr w:type="gramStart"/>
      <w:r w:rsidRPr="006118F2">
        <w:rPr>
          <w:lang w:val="en-GB" w:eastAsia="en-US"/>
        </w:rPr>
        <w:t>issues;</w:t>
      </w:r>
      <w:proofErr w:type="gramEnd"/>
    </w:p>
    <w:p w14:paraId="24A63FC6" w14:textId="77777777" w:rsidR="006118F2" w:rsidRPr="006118F2" w:rsidRDefault="006118F2" w:rsidP="006118F2">
      <w:pPr>
        <w:rPr>
          <w:lang w:val="en-GB" w:eastAsia="en-US"/>
        </w:rPr>
      </w:pPr>
      <w:r w:rsidRPr="006118F2">
        <w:rPr>
          <w:lang w:val="en-GB" w:eastAsia="en-US"/>
        </w:rPr>
        <w:t>-</w:t>
      </w:r>
      <w:r w:rsidRPr="006118F2">
        <w:rPr>
          <w:lang w:val="en-GB" w:eastAsia="en-US"/>
        </w:rPr>
        <w:tab/>
        <w:t>passive optical components.</w:t>
      </w:r>
    </w:p>
    <w:p w14:paraId="730B18E7" w14:textId="5DDEB166" w:rsidR="006118F2" w:rsidRPr="00700989" w:rsidRDefault="006118F2" w:rsidP="006118F2">
      <w:pPr>
        <w:rPr>
          <w:highlight w:val="yellow"/>
          <w:lang w:val="en-GB" w:eastAsia="en-US"/>
        </w:rPr>
      </w:pPr>
      <w:r w:rsidRPr="006118F2">
        <w:rPr>
          <w:lang w:val="en-GB" w:eastAsia="en-US"/>
        </w:rPr>
        <w:t xml:space="preserve">For each Recommendation, there is a short description of the purpose, content and, in many cases, the evolution of the content in the subsequent versions. The main purpose of this guide is to give to developing countries an improved capability in the application of standards, while the </w:t>
      </w:r>
      <w:r w:rsidRPr="006118F2">
        <w:rPr>
          <w:lang w:val="en-GB" w:eastAsia="en-US"/>
        </w:rPr>
        <w:lastRenderedPageBreak/>
        <w:t>telecommunication industry, particularly manufacturers and operators, could benefit from the greater involvement of developing countries in the making and application of standards.</w:t>
      </w:r>
      <w:r>
        <w:rPr>
          <w:lang w:val="en-GB" w:eastAsia="en-US"/>
        </w:rPr>
        <w:t xml:space="preserve"> </w:t>
      </w:r>
      <w:r w:rsidRPr="006118F2">
        <w:rPr>
          <w:lang w:val="en-GB" w:eastAsia="en-US"/>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25802D61" w14:textId="77777777" w:rsidR="006A46AE" w:rsidRPr="00AD6730" w:rsidRDefault="006A46AE" w:rsidP="006A46AE">
      <w:pPr>
        <w:rPr>
          <w:b/>
          <w:sz w:val="22"/>
          <w:szCs w:val="22"/>
          <w:lang w:val="en-GB"/>
        </w:rPr>
      </w:pPr>
      <w:bookmarkStart w:id="229" w:name="_Toc480527891"/>
      <w:r w:rsidRPr="00AD6730">
        <w:rPr>
          <w:b/>
          <w:sz w:val="22"/>
          <w:szCs w:val="22"/>
          <w:lang w:val="en-GB"/>
        </w:rPr>
        <w:t>I.1.4</w:t>
      </w:r>
      <w:r w:rsidRPr="00AD6730">
        <w:rPr>
          <w:b/>
          <w:sz w:val="22"/>
          <w:szCs w:val="22"/>
          <w:lang w:val="en-GB"/>
        </w:rPr>
        <w:tab/>
        <w:t>Ultra-high-speed optical core network: OTN beyond 100G</w:t>
      </w:r>
      <w:bookmarkEnd w:id="229"/>
    </w:p>
    <w:p w14:paraId="587ADE0C" w14:textId="77777777" w:rsidR="006A46AE" w:rsidRPr="00CE2DA3" w:rsidRDefault="006A46AE" w:rsidP="006A46AE">
      <w:pPr>
        <w:pStyle w:val="Headingb"/>
      </w:pPr>
      <w:bookmarkStart w:id="230" w:name="_Toc480527887"/>
      <w:r w:rsidRPr="00CE2DA3">
        <w:t>I.1.5</w:t>
      </w:r>
      <w:r w:rsidRPr="00CE2DA3">
        <w:tab/>
        <w:t>Optical transmission systems</w:t>
      </w:r>
      <w:bookmarkEnd w:id="230"/>
    </w:p>
    <w:p w14:paraId="1628E5B0" w14:textId="118FA84F" w:rsidR="00501348" w:rsidRPr="00501348" w:rsidRDefault="00C44FDC" w:rsidP="00501348">
      <w:pPr>
        <w:widowControl w:val="0"/>
      </w:pPr>
      <w:hyperlink r:id="rId215" w:history="1">
        <w:r w:rsidR="00501348" w:rsidRPr="001C500E">
          <w:rPr>
            <w:rStyle w:val="Hyperlink"/>
            <w:b/>
          </w:rPr>
          <w:t>ITU-T G.709/Y.1331 (revised) “Interfaces for the optical transport network (OTN)”</w:t>
        </w:r>
      </w:hyperlink>
      <w:r w:rsidR="00501348" w:rsidRPr="001C500E">
        <w:rPr>
          <w:bCs/>
        </w:rPr>
        <w:t xml:space="preserve"> </w:t>
      </w:r>
      <w:r w:rsidR="00501348" w:rsidRPr="00501348">
        <w:t>defines the requirements for the optical transport network (OTN) interface signals of the optical transport network, in terms of:</w:t>
      </w:r>
    </w:p>
    <w:p w14:paraId="3A005593" w14:textId="77777777" w:rsidR="00501348" w:rsidRPr="00501348" w:rsidRDefault="00501348" w:rsidP="00501348">
      <w:pPr>
        <w:widowControl w:val="0"/>
      </w:pPr>
      <w:r w:rsidRPr="00501348">
        <w:t>–</w:t>
      </w:r>
      <w:r w:rsidRPr="00501348">
        <w:tab/>
        <w:t>OTN hierarchy</w:t>
      </w:r>
    </w:p>
    <w:p w14:paraId="39DFAA91" w14:textId="77777777" w:rsidR="00501348" w:rsidRPr="00501348" w:rsidRDefault="00501348" w:rsidP="00501348">
      <w:pPr>
        <w:widowControl w:val="0"/>
      </w:pPr>
      <w:r w:rsidRPr="00501348">
        <w:t>–</w:t>
      </w:r>
      <w:r w:rsidRPr="00501348">
        <w:tab/>
        <w:t>functionality of the overhead in support of multi-wavelength optical networks</w:t>
      </w:r>
    </w:p>
    <w:p w14:paraId="549F3F10" w14:textId="77777777" w:rsidR="00501348" w:rsidRPr="00501348" w:rsidRDefault="00501348" w:rsidP="00501348">
      <w:pPr>
        <w:widowControl w:val="0"/>
      </w:pPr>
      <w:r w:rsidRPr="00501348">
        <w:t>–</w:t>
      </w:r>
      <w:r w:rsidRPr="00501348">
        <w:tab/>
        <w:t>frame structures</w:t>
      </w:r>
    </w:p>
    <w:p w14:paraId="7C43201A" w14:textId="77777777" w:rsidR="00501348" w:rsidRPr="00501348" w:rsidRDefault="00501348" w:rsidP="00501348">
      <w:pPr>
        <w:widowControl w:val="0"/>
      </w:pPr>
      <w:r w:rsidRPr="00501348">
        <w:t>–</w:t>
      </w:r>
      <w:r w:rsidRPr="00501348">
        <w:tab/>
        <w:t>bit rates</w:t>
      </w:r>
    </w:p>
    <w:p w14:paraId="363376BD" w14:textId="77777777" w:rsidR="00501348" w:rsidRPr="00501348" w:rsidRDefault="00501348" w:rsidP="00501348">
      <w:pPr>
        <w:widowControl w:val="0"/>
      </w:pPr>
      <w:r w:rsidRPr="00501348">
        <w:t>–</w:t>
      </w:r>
      <w:r w:rsidRPr="00501348">
        <w:tab/>
        <w:t>formats for mapping client signals.</w:t>
      </w:r>
    </w:p>
    <w:p w14:paraId="577D3C6A" w14:textId="6F5EFCB6" w:rsidR="00501348" w:rsidRPr="00501348" w:rsidRDefault="00501348" w:rsidP="00501348">
      <w:pPr>
        <w:widowControl w:val="0"/>
      </w:pPr>
      <w:r w:rsidRPr="00501348">
        <w:t xml:space="preserve">Edition 6.0 of this Recommendation includes the text of Amendments 1, 2, 3, Corrigendum 1 and 2 to Edition 5.0 of this Recommendation, addition of 25 and 50 Gbit/s OTU, ODU and OPU frame formats and multiplexing of lower rate </w:t>
      </w:r>
      <w:proofErr w:type="spellStart"/>
      <w:r w:rsidRPr="00501348">
        <w:t>ODUk</w:t>
      </w:r>
      <w:proofErr w:type="spellEnd"/>
      <w:r w:rsidRPr="00501348">
        <w:t xml:space="preserve">/flex signals into these two OPUs, extension of the supported </w:t>
      </w:r>
      <w:proofErr w:type="spellStart"/>
      <w:r w:rsidRPr="00501348">
        <w:t>ODUflex</w:t>
      </w:r>
      <w:proofErr w:type="spellEnd"/>
      <w:r w:rsidRPr="00501348">
        <w:t xml:space="preserve">(IMP) bit rates to any rate, specification of frequency synchronous OTU and ODU and addition of a new appendix with examples of </w:t>
      </w:r>
      <w:proofErr w:type="spellStart"/>
      <w:r w:rsidRPr="00501348">
        <w:t>ODUflex</w:t>
      </w:r>
      <w:proofErr w:type="spellEnd"/>
      <w:r w:rsidRPr="00501348">
        <w:t xml:space="preserve">(GFP) and </w:t>
      </w:r>
      <w:proofErr w:type="spellStart"/>
      <w:r w:rsidRPr="00501348">
        <w:t>ODUflex</w:t>
      </w:r>
      <w:proofErr w:type="spellEnd"/>
      <w:r w:rsidRPr="00501348">
        <w:t xml:space="preserve">(IMP) clock generation methods. Edition 6.0 furthermore clarifies that the </w:t>
      </w:r>
      <w:proofErr w:type="spellStart"/>
      <w:r w:rsidRPr="00501348">
        <w:t>ODUflex</w:t>
      </w:r>
      <w:proofErr w:type="spellEnd"/>
      <w:r w:rsidRPr="00501348">
        <w:t xml:space="preserve">(GFP) bit rate can be any rate and is not limited to the recommended bit rates, updates the OTN interface terminology, corrects the replacement signal definitions for some of the Ethernet client signals and restricts the </w:t>
      </w:r>
      <w:proofErr w:type="spellStart"/>
      <w:r w:rsidRPr="00501348">
        <w:t>FlexE</w:t>
      </w:r>
      <w:proofErr w:type="spellEnd"/>
      <w:r w:rsidRPr="00501348">
        <w:t xml:space="preserve"> aware sub-rate granularity to 25 Gbit/s.</w:t>
      </w:r>
    </w:p>
    <w:p w14:paraId="58BFB895" w14:textId="2D4FE29D" w:rsidR="00DF1CA5" w:rsidRDefault="00C44FDC" w:rsidP="00DF1CA5">
      <w:pPr>
        <w:widowControl w:val="0"/>
      </w:pPr>
      <w:hyperlink r:id="rId216" w:history="1">
        <w:r w:rsidR="00DF1CA5" w:rsidRPr="00085DB2">
          <w:rPr>
            <w:rStyle w:val="Hyperlink"/>
            <w:b/>
          </w:rPr>
          <w:t>ITU-T G.709.4 “OTU 25 and OTU 50G short reach interfaces”</w:t>
        </w:r>
      </w:hyperlink>
      <w:r w:rsidR="00DF1CA5">
        <w:t xml:space="preserve"> specifies an interface for an OTU25 and OTU50 short-reach interconnect application.</w:t>
      </w:r>
    </w:p>
    <w:p w14:paraId="23E15552" w14:textId="3E611076" w:rsidR="006A46AE" w:rsidRDefault="00C44FDC" w:rsidP="006A46AE">
      <w:pPr>
        <w:rPr>
          <w:bCs/>
          <w:szCs w:val="24"/>
          <w:lang w:val="en-GB"/>
        </w:rPr>
      </w:pPr>
      <w:hyperlink r:id="rId217" w:history="1">
        <w:r w:rsidR="006A46AE" w:rsidRPr="00271B13">
          <w:rPr>
            <w:rStyle w:val="Hyperlink"/>
            <w:b/>
            <w:bCs/>
            <w:lang w:val="en-GB"/>
          </w:rPr>
          <w:t>ITU-T G.807 "Generic functional architecture of the optica</w:t>
        </w:r>
        <w:r w:rsidR="00580181" w:rsidRPr="00271B13">
          <w:rPr>
            <w:rStyle w:val="Hyperlink"/>
            <w:b/>
            <w:bCs/>
            <w:lang w:val="en-GB"/>
          </w:rPr>
          <w:t>l media network"</w:t>
        </w:r>
      </w:hyperlink>
      <w:r w:rsidR="00580181" w:rsidRPr="00271B13">
        <w:rPr>
          <w:bCs/>
          <w:lang w:val="en-GB"/>
        </w:rPr>
        <w:t xml:space="preserve"> </w:t>
      </w:r>
      <w:r w:rsidR="006A46AE" w:rsidRPr="00580181">
        <w:rPr>
          <w:bCs/>
          <w:szCs w:val="24"/>
          <w:lang w:val="en-GB"/>
        </w:rPr>
        <w:t>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1BBECB16" w14:textId="270F33D4" w:rsidR="00E13A4B" w:rsidRPr="00CB2B4E" w:rsidRDefault="00C44FDC" w:rsidP="00E13A4B">
      <w:pPr>
        <w:rPr>
          <w:highlight w:val="yellow"/>
          <w:lang w:val="en-GB" w:eastAsia="en-US"/>
        </w:rPr>
      </w:pPr>
      <w:hyperlink r:id="rId218" w:history="1">
        <w:r w:rsidR="00E13A4B" w:rsidRPr="0044416C">
          <w:rPr>
            <w:rStyle w:val="Hyperlink"/>
            <w:b/>
            <w:bCs/>
            <w:lang w:val="en-GB" w:eastAsia="en-US"/>
          </w:rPr>
          <w:t>I</w:t>
        </w:r>
        <w:r w:rsidR="00E13A4B" w:rsidRPr="002D6A47">
          <w:rPr>
            <w:rStyle w:val="Hyperlink"/>
            <w:b/>
            <w:bCs/>
            <w:lang w:val="en-GB" w:eastAsia="en-US"/>
          </w:rPr>
          <w:t>TU-T G.875 (revised) “Optical transport network: Protocol-neutral management information model for the network element view”</w:t>
        </w:r>
      </w:hyperlink>
      <w:r w:rsidR="00E13A4B">
        <w:rPr>
          <w:lang w:val="en-GB" w:eastAsia="en-US"/>
        </w:rPr>
        <w:t xml:space="preserve"> </w:t>
      </w:r>
      <w:r w:rsidR="00E13A4B" w:rsidRPr="00CB2B4E">
        <w:rPr>
          <w:lang w:val="en-GB" w:eastAsia="en-US"/>
        </w:rPr>
        <w:t>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r w:rsidR="00E13A4B">
        <w:rPr>
          <w:lang w:val="en-GB" w:eastAsia="en-US"/>
        </w:rPr>
        <w:t xml:space="preserve"> </w:t>
      </w:r>
      <w:r w:rsidR="00E13A4B" w:rsidRPr="00CB2B4E">
        <w:rPr>
          <w:lang w:val="en-GB" w:eastAsia="en-US"/>
        </w:rPr>
        <w:t xml:space="preserve">The 2020 revision of this Recommendation up-versions the UML model tool to Papyrus v4.1.0 and the profile to v0.2.17; updates and cleans up the model for ODU, adding support for </w:t>
      </w:r>
      <w:proofErr w:type="spellStart"/>
      <w:r w:rsidR="00E13A4B" w:rsidRPr="00CB2B4E">
        <w:rPr>
          <w:lang w:val="en-GB" w:eastAsia="en-US"/>
        </w:rPr>
        <w:t>ODUCn</w:t>
      </w:r>
      <w:proofErr w:type="spellEnd"/>
      <w:r w:rsidR="00E13A4B" w:rsidRPr="00CB2B4E">
        <w:rPr>
          <w:lang w:val="en-GB" w:eastAsia="en-US"/>
        </w:rPr>
        <w:t xml:space="preserve">, ODU Delay Measurement, GCC1/2 management, ODU clients (aligning with G.709 </w:t>
      </w:r>
      <w:r w:rsidR="00E13A4B" w:rsidRPr="00CB2B4E">
        <w:rPr>
          <w:lang w:val="en-GB" w:eastAsia="en-US"/>
        </w:rPr>
        <w:lastRenderedPageBreak/>
        <w:t xml:space="preserve">v6), OTU and </w:t>
      </w:r>
      <w:proofErr w:type="spellStart"/>
      <w:r w:rsidR="00E13A4B" w:rsidRPr="00CB2B4E">
        <w:rPr>
          <w:lang w:val="en-GB" w:eastAsia="en-US"/>
        </w:rPr>
        <w:t>FlexO</w:t>
      </w:r>
      <w:proofErr w:type="spellEnd"/>
      <w:r w:rsidR="00E13A4B" w:rsidRPr="00CB2B4E">
        <w:rPr>
          <w:lang w:val="en-GB" w:eastAsia="en-US"/>
        </w:rPr>
        <w:t>; add the model for GFP management; deprecates duplicated attributes and associations; un-deprecates the OTU CTP object classes and fixes some other errors.</w:t>
      </w:r>
    </w:p>
    <w:p w14:paraId="2CC15051" w14:textId="0E4649E5" w:rsidR="00D60D86" w:rsidRPr="00D60D86" w:rsidRDefault="00C44FDC" w:rsidP="00D60D86">
      <w:pPr>
        <w:rPr>
          <w:bCs/>
          <w:lang w:val="en-GB"/>
        </w:rPr>
      </w:pPr>
      <w:hyperlink r:id="rId219" w:history="1">
        <w:r w:rsidR="00D60D86" w:rsidRPr="00524F1D">
          <w:rPr>
            <w:rStyle w:val="Hyperlink"/>
            <w:b/>
            <w:bCs/>
            <w:lang w:val="en-GB"/>
          </w:rPr>
          <w:t>ITU-T G.sup.58 (revised) “Optical transport network module framer interfaces”</w:t>
        </w:r>
      </w:hyperlink>
      <w:r w:rsidR="00D60D86" w:rsidRPr="00524F1D">
        <w:rPr>
          <w:lang w:val="en-GB"/>
        </w:rPr>
        <w:t xml:space="preserve"> </w:t>
      </w:r>
      <w:r w:rsidR="00D60D86" w:rsidRPr="00D60D86">
        <w:rPr>
          <w:bCs/>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D60D86">
        <w:rPr>
          <w:bCs/>
          <w:lang w:val="en-GB"/>
        </w:rPr>
        <w:t xml:space="preserve"> </w:t>
      </w:r>
      <w:r w:rsidR="00D60D86" w:rsidRPr="00D60D86">
        <w:rPr>
          <w:bCs/>
          <w:lang w:val="en-GB"/>
        </w:rPr>
        <w:t>Only the structure of the 11G, 28G or 56G physical lanes of the different OTN module framer interface (MFI) examples is provided in this Supplement. For their electrical characteristics, the OIF-CEI IA specifications can be used.</w:t>
      </w:r>
      <w:r w:rsidR="00D60D86">
        <w:rPr>
          <w:bCs/>
          <w:lang w:val="en-GB"/>
        </w:rPr>
        <w:t xml:space="preserve"> </w:t>
      </w:r>
      <w:r w:rsidR="00D60D86" w:rsidRPr="00D60D86">
        <w:rPr>
          <w:bCs/>
          <w:lang w:val="en-GB"/>
        </w:rPr>
        <w:t>This Supplement relates to Recommendation ITU-T G.709/Y.1331.</w:t>
      </w:r>
    </w:p>
    <w:p w14:paraId="5617F155" w14:textId="5DF74F50" w:rsidR="006A46AE" w:rsidRPr="00CB2B4E" w:rsidRDefault="006A46AE" w:rsidP="00A26B87">
      <w:pPr>
        <w:pStyle w:val="Headingb"/>
      </w:pPr>
      <w:bookmarkStart w:id="231" w:name="_Toc480527889"/>
      <w:r w:rsidRPr="00CB2B4E">
        <w:t>I.1.6</w:t>
      </w:r>
      <w:r w:rsidRPr="00CB2B4E">
        <w:tab/>
        <w:t>Transport network control aspects</w:t>
      </w:r>
      <w:bookmarkEnd w:id="231"/>
    </w:p>
    <w:p w14:paraId="6F924030" w14:textId="1FC96F20" w:rsidR="006A46AE" w:rsidRDefault="006A46AE" w:rsidP="006A46AE">
      <w:pPr>
        <w:pStyle w:val="Headingb"/>
      </w:pPr>
      <w:r w:rsidRPr="00801E7D">
        <w:t>I.1.7</w:t>
      </w:r>
      <w:r w:rsidRPr="00801E7D">
        <w:tab/>
        <w:t>Ethernet over transport networks</w:t>
      </w:r>
    </w:p>
    <w:p w14:paraId="0DB8E18A" w14:textId="443529BC" w:rsidR="00230A9B" w:rsidRPr="00230A9B" w:rsidRDefault="00C44FDC" w:rsidP="00230A9B">
      <w:pPr>
        <w:rPr>
          <w:lang w:val="en-GB" w:eastAsia="en-US"/>
        </w:rPr>
      </w:pPr>
      <w:hyperlink r:id="rId220" w:history="1">
        <w:r w:rsidR="00230A9B" w:rsidRPr="001F4712">
          <w:rPr>
            <w:rStyle w:val="Hyperlink"/>
            <w:b/>
            <w:lang w:val="en-GB" w:eastAsia="en-US"/>
          </w:rPr>
          <w:t>ITU-T G.8001 Imp (revised) “Implementers' guide for Recommendation ITU-T G.8001/Y.1354 (2020)”</w:t>
        </w:r>
      </w:hyperlink>
      <w:r w:rsidR="00230A9B">
        <w:rPr>
          <w:lang w:val="en-GB" w:eastAsia="en-US"/>
        </w:rPr>
        <w:t xml:space="preserve"> </w:t>
      </w:r>
      <w:r w:rsidR="00230A9B" w:rsidRPr="00230A9B">
        <w:rPr>
          <w:lang w:val="en-GB" w:eastAsia="en-US"/>
        </w:rPr>
        <w:t>is an Implementers' Guide for Recommendation ITU-T G.8001/Y.1354 (2016-04). This version contains all updates submitted up to and including those at Study Group 15 meeting in January/February 2020.</w:t>
      </w:r>
    </w:p>
    <w:p w14:paraId="682D617D" w14:textId="3475B804" w:rsidR="00801E7D" w:rsidRPr="00801E7D" w:rsidRDefault="00C44FDC" w:rsidP="00801E7D">
      <w:pPr>
        <w:rPr>
          <w:highlight w:val="yellow"/>
          <w:lang w:val="en-GB" w:eastAsia="en-US"/>
        </w:rPr>
      </w:pPr>
      <w:hyperlink r:id="rId221" w:history="1">
        <w:r w:rsidR="00801E7D" w:rsidRPr="002E10D8">
          <w:rPr>
            <w:rStyle w:val="Hyperlink"/>
            <w:b/>
            <w:lang w:val="en-GB" w:eastAsia="en-US"/>
          </w:rPr>
          <w:t>ITU-T G.8032/Y.1344 (revised) “Ethernet ring protection switching”</w:t>
        </w:r>
      </w:hyperlink>
      <w:r w:rsidR="00801E7D" w:rsidRPr="006E3328">
        <w:rPr>
          <w:bCs/>
          <w:lang w:val="en-GB" w:eastAsia="en-US"/>
        </w:rPr>
        <w:t xml:space="preserve"> </w:t>
      </w:r>
      <w:r w:rsidR="00801E7D" w:rsidRPr="00801E7D">
        <w:rPr>
          <w:lang w:val="en-GB" w:eastAsia="en-US"/>
        </w:rPr>
        <w:t xml:space="preserve">defines the automatic protection switching (APS) protocol and protection switching mechanisms for Ethernet layer network (ETH) ring topologies. Included are details pertaining to Ethernet ring protection characteristics, </w:t>
      </w:r>
      <w:proofErr w:type="gramStart"/>
      <w:r w:rsidR="00801E7D" w:rsidRPr="00801E7D">
        <w:rPr>
          <w:lang w:val="en-GB" w:eastAsia="en-US"/>
        </w:rPr>
        <w:t>architectures</w:t>
      </w:r>
      <w:proofErr w:type="gramEnd"/>
      <w:r w:rsidR="00801E7D" w:rsidRPr="00801E7D">
        <w:rPr>
          <w:lang w:val="en-GB" w:eastAsia="en-US"/>
        </w:rPr>
        <w:t xml:space="preserve"> and the ring APS (R-APS) protocol.</w:t>
      </w:r>
      <w:r w:rsidR="00801E7D">
        <w:rPr>
          <w:lang w:val="en-GB" w:eastAsia="en-US"/>
        </w:rPr>
        <w:t xml:space="preserve"> </w:t>
      </w:r>
      <w:r w:rsidR="00801E7D" w:rsidRPr="00801E7D">
        <w:rPr>
          <w:lang w:val="en-GB" w:eastAsia="en-US"/>
        </w:rPr>
        <w:t>This revision updates references, removes items formerly considered for further study and incorporates terms formerly defined in ITU-T Recommendation G.8001/Y.1354 (2016).</w:t>
      </w:r>
    </w:p>
    <w:p w14:paraId="58B56A5F" w14:textId="77777777" w:rsidR="006A46AE" w:rsidRPr="00A10F95" w:rsidRDefault="006A46AE" w:rsidP="006A46AE">
      <w:pPr>
        <w:pStyle w:val="Headingb"/>
      </w:pPr>
      <w:r w:rsidRPr="00A10F95">
        <w:t>I.1.8</w:t>
      </w:r>
      <w:r w:rsidRPr="00A10F95">
        <w:tab/>
        <w:t>MPLS over transport networks</w:t>
      </w:r>
    </w:p>
    <w:p w14:paraId="25E47AFD" w14:textId="2782DE8C" w:rsidR="006A46AE" w:rsidRPr="0054768A" w:rsidRDefault="006A46AE" w:rsidP="006A46AE">
      <w:pPr>
        <w:pStyle w:val="Headingb"/>
      </w:pPr>
      <w:r w:rsidRPr="0054768A">
        <w:t>I.1.9</w:t>
      </w:r>
      <w:r w:rsidRPr="0054768A">
        <w:tab/>
        <w:t>Synchronization and timing</w:t>
      </w:r>
    </w:p>
    <w:p w14:paraId="4F048AAC" w14:textId="2C73319D" w:rsidR="00DE11A6" w:rsidRPr="00DE11A6" w:rsidRDefault="00C44FDC" w:rsidP="00DE11A6">
      <w:pPr>
        <w:rPr>
          <w:bCs/>
          <w:lang w:val="en-GB" w:eastAsia="en-US"/>
        </w:rPr>
      </w:pPr>
      <w:hyperlink r:id="rId222" w:history="1">
        <w:r w:rsidR="00DE11A6" w:rsidRPr="004A1F1B">
          <w:rPr>
            <w:rStyle w:val="Hyperlink"/>
            <w:b/>
            <w:lang w:val="en-GB" w:eastAsia="en-US"/>
          </w:rPr>
          <w:t>ITU-T G.781 (revised) “Synchronization layer functions for frequency synchronization based on the physical layer”</w:t>
        </w:r>
      </w:hyperlink>
      <w:r w:rsidR="00DE11A6" w:rsidRPr="008E1514">
        <w:rPr>
          <w:bCs/>
          <w:lang w:val="en-GB" w:eastAsia="en-US"/>
        </w:rPr>
        <w:t xml:space="preserve"> </w:t>
      </w:r>
      <w:r w:rsidR="00DE11A6" w:rsidRPr="00DE11A6">
        <w:rPr>
          <w:bCs/>
          <w:lang w:val="en-GB" w:eastAsia="en-US"/>
        </w:rPr>
        <w:t>defines the atomic functions that are part of the two synchronization layers, the synchronization distribution (SD) layer and the network synchronization (NS) layer. It also defines some atomic functions, part of the transport layer, which are related to synchronization.</w:t>
      </w:r>
      <w:r w:rsidR="00DE11A6">
        <w:rPr>
          <w:bCs/>
          <w:lang w:val="en-GB" w:eastAsia="en-US"/>
        </w:rPr>
        <w:t xml:space="preserve"> </w:t>
      </w:r>
      <w:r w:rsidR="00DE11A6" w:rsidRPr="00DE11A6">
        <w:rPr>
          <w:bCs/>
          <w:lang w:val="en-GB" w:eastAsia="en-US"/>
        </w:rPr>
        <w:t>These functions describe the synchronization of SDH, Ethernet, and OTN NEs and how these NEs are involved in network synchronization.</w:t>
      </w:r>
      <w:r w:rsidR="00DE11A6">
        <w:rPr>
          <w:bCs/>
          <w:lang w:val="en-GB" w:eastAsia="en-US"/>
        </w:rPr>
        <w:t xml:space="preserve"> </w:t>
      </w:r>
      <w:r w:rsidR="00DE11A6" w:rsidRPr="00DE11A6">
        <w:rPr>
          <w:bCs/>
          <w:lang w:val="en-GB" w:eastAsia="en-US"/>
        </w:rPr>
        <w:t>The specifications in this Recommendation are the superset of functionality of three regional standards bodies. Care should be taken when selecting from this Recommendation.</w:t>
      </w:r>
      <w:r w:rsidR="00DE11A6">
        <w:rPr>
          <w:bCs/>
          <w:lang w:val="en-GB" w:eastAsia="en-US"/>
        </w:rPr>
        <w:t xml:space="preserve"> </w:t>
      </w:r>
      <w:r w:rsidR="00DE11A6" w:rsidRPr="00DE11A6">
        <w:rPr>
          <w:bCs/>
          <w:lang w:val="en-GB" w:eastAsia="en-US"/>
        </w:rPr>
        <w:t>Not every atomic function defined in this Recommendation is required for every application. Different subsets of atomic functions may be assembled in different ways according to the combination rules given in Recommendations ITU-T G.783, ITU-T G.705, ITU-T G.8021, ITU-T G.8121, and ITU T G.798 to provide a variety of different capabilities. Network operators and equipment suppliers may choose which functions must be implemented for each application.</w:t>
      </w:r>
    </w:p>
    <w:p w14:paraId="62A06CAF" w14:textId="4D97CE70" w:rsidR="0054768A" w:rsidRDefault="00C44FDC" w:rsidP="0054768A">
      <w:pPr>
        <w:rPr>
          <w:lang w:val="en-GB" w:eastAsia="en-US"/>
        </w:rPr>
      </w:pPr>
      <w:hyperlink r:id="rId223" w:history="1">
        <w:r w:rsidR="0054768A" w:rsidRPr="00C87BDB">
          <w:rPr>
            <w:rStyle w:val="Hyperlink"/>
            <w:b/>
            <w:lang w:val="en-GB" w:eastAsia="en-US"/>
          </w:rPr>
          <w:t xml:space="preserve">ITU-T G.8260 </w:t>
        </w:r>
        <w:r w:rsidR="001F1207" w:rsidRPr="00C87BDB">
          <w:rPr>
            <w:rStyle w:val="Hyperlink"/>
            <w:b/>
            <w:lang w:val="en-GB" w:eastAsia="en-US"/>
          </w:rPr>
          <w:t xml:space="preserve">(revised) </w:t>
        </w:r>
        <w:r w:rsidR="0054768A" w:rsidRPr="00C87BDB">
          <w:rPr>
            <w:rStyle w:val="Hyperlink"/>
            <w:b/>
            <w:lang w:val="en-GB" w:eastAsia="en-US"/>
          </w:rPr>
          <w:t>“Definitions and terminology for synchronization in packet networks”</w:t>
        </w:r>
      </w:hyperlink>
      <w:r w:rsidR="0054768A" w:rsidRPr="00064208">
        <w:rPr>
          <w:bCs/>
          <w:lang w:val="en-GB" w:eastAsia="en-US"/>
        </w:rPr>
        <w:t xml:space="preserve"> </w:t>
      </w:r>
      <w:r w:rsidR="0054768A" w:rsidRPr="0054768A">
        <w:rPr>
          <w:lang w:val="en-GB" w:eastAsia="en-US"/>
        </w:rPr>
        <w:t>provides the definitions, terminology and abbreviations used in ITU T Recommendations on timing and synchronization in packet networks.</w:t>
      </w:r>
    </w:p>
    <w:p w14:paraId="3B74E7EA" w14:textId="1402F4C9" w:rsidR="001F1207" w:rsidRPr="001F1207" w:rsidRDefault="00C44FDC" w:rsidP="001F1207">
      <w:pPr>
        <w:rPr>
          <w:lang w:val="en-GB" w:eastAsia="en-US"/>
        </w:rPr>
      </w:pPr>
      <w:hyperlink r:id="rId224" w:history="1">
        <w:r w:rsidR="001F1207" w:rsidRPr="00B36FE5">
          <w:rPr>
            <w:rStyle w:val="Hyperlink"/>
            <w:b/>
            <w:lang w:val="en-GB" w:eastAsia="en-US"/>
          </w:rPr>
          <w:t>ITU-T G.8261/Y.1361 (2019) Amd.1 “Timing and synchronization aspects in packet networks - Amendment 1”</w:t>
        </w:r>
      </w:hyperlink>
      <w:r w:rsidR="001F1207">
        <w:rPr>
          <w:lang w:val="en-GB" w:eastAsia="en-US"/>
        </w:rPr>
        <w:t xml:space="preserve"> </w:t>
      </w:r>
      <w:r w:rsidR="001F1207" w:rsidRPr="001F1207">
        <w:rPr>
          <w:lang w:val="en-GB" w:eastAsia="en-US"/>
        </w:rPr>
        <w:t>provides the following updates:</w:t>
      </w:r>
    </w:p>
    <w:p w14:paraId="5201A731" w14:textId="7654A5F3" w:rsidR="001F1207" w:rsidRDefault="001F1207" w:rsidP="001F1207">
      <w:pPr>
        <w:rPr>
          <w:lang w:val="en-GB" w:eastAsia="en-US"/>
        </w:rPr>
      </w:pPr>
      <w:r w:rsidRPr="001F1207">
        <w:rPr>
          <w:lang w:val="en-GB" w:eastAsia="en-US"/>
        </w:rPr>
        <w:t>−</w:t>
      </w:r>
      <w:r w:rsidRPr="001F1207">
        <w:rPr>
          <w:lang w:val="en-GB" w:eastAsia="en-US"/>
        </w:rPr>
        <w:tab/>
        <w:t>Addition of new TDEV mask to clause 9.2.1.4.</w:t>
      </w:r>
    </w:p>
    <w:p w14:paraId="63FDAF81" w14:textId="7D6BDA2D" w:rsidR="00043944" w:rsidRPr="00043944" w:rsidRDefault="00C44FDC" w:rsidP="00043944">
      <w:pPr>
        <w:rPr>
          <w:lang w:val="en-GB" w:eastAsia="en-US"/>
        </w:rPr>
      </w:pPr>
      <w:hyperlink r:id="rId225" w:history="1">
        <w:r w:rsidR="00043944" w:rsidRPr="00CE7986">
          <w:rPr>
            <w:rStyle w:val="Hyperlink"/>
            <w:b/>
            <w:lang w:val="en-GB" w:eastAsia="en-US"/>
          </w:rPr>
          <w:t>ITU-T G.8262 (2018) Amd.1 “Timing characteristics of synchronous equipment slave clock - Amendment 1”</w:t>
        </w:r>
      </w:hyperlink>
      <w:r w:rsidR="00043944">
        <w:rPr>
          <w:lang w:val="en-GB" w:eastAsia="en-US"/>
        </w:rPr>
        <w:t xml:space="preserve"> </w:t>
      </w:r>
      <w:r w:rsidR="00043944" w:rsidRPr="00043944">
        <w:rPr>
          <w:lang w:val="en-GB" w:eastAsia="en-US"/>
        </w:rPr>
        <w:t>provides the following updates:</w:t>
      </w:r>
    </w:p>
    <w:p w14:paraId="1642CE38" w14:textId="77777777" w:rsidR="00043944" w:rsidRPr="00043944" w:rsidRDefault="00043944" w:rsidP="00043944">
      <w:pPr>
        <w:rPr>
          <w:lang w:val="en-GB" w:eastAsia="en-US"/>
        </w:rPr>
      </w:pPr>
      <w:r w:rsidRPr="00043944">
        <w:rPr>
          <w:lang w:val="en-GB" w:eastAsia="en-US"/>
        </w:rPr>
        <w:t>-</w:t>
      </w:r>
      <w:r w:rsidRPr="00043944">
        <w:rPr>
          <w:lang w:val="en-GB" w:eastAsia="en-US"/>
        </w:rPr>
        <w:tab/>
        <w:t>Updates References</w:t>
      </w:r>
    </w:p>
    <w:p w14:paraId="1BEDF278" w14:textId="77777777" w:rsidR="00043944" w:rsidRPr="00043944" w:rsidRDefault="00043944" w:rsidP="00043944">
      <w:pPr>
        <w:rPr>
          <w:lang w:val="en-GB" w:eastAsia="en-US"/>
        </w:rPr>
      </w:pPr>
      <w:r w:rsidRPr="00043944">
        <w:rPr>
          <w:lang w:val="en-GB" w:eastAsia="en-US"/>
        </w:rPr>
        <w:t>-</w:t>
      </w:r>
      <w:r w:rsidRPr="00043944">
        <w:rPr>
          <w:lang w:val="en-GB" w:eastAsia="en-US"/>
        </w:rPr>
        <w:tab/>
        <w:t>Adds a note in clause 9.2.1</w:t>
      </w:r>
    </w:p>
    <w:p w14:paraId="127B9AF2" w14:textId="77777777" w:rsidR="00043944" w:rsidRPr="00043944" w:rsidRDefault="00043944" w:rsidP="00043944">
      <w:pPr>
        <w:rPr>
          <w:lang w:val="en-GB" w:eastAsia="en-US"/>
        </w:rPr>
      </w:pPr>
      <w:r w:rsidRPr="00043944">
        <w:rPr>
          <w:lang w:val="en-GB" w:eastAsia="en-US"/>
        </w:rPr>
        <w:t>-</w:t>
      </w:r>
      <w:r w:rsidRPr="00043944">
        <w:rPr>
          <w:lang w:val="en-GB" w:eastAsia="en-US"/>
        </w:rPr>
        <w:tab/>
        <w:t>Changes Figure 13 in Clause 11.2.1</w:t>
      </w:r>
    </w:p>
    <w:p w14:paraId="2AF3F5FB" w14:textId="77777777" w:rsidR="00043944" w:rsidRPr="00043944" w:rsidRDefault="00043944" w:rsidP="00043944">
      <w:pPr>
        <w:rPr>
          <w:lang w:val="en-GB" w:eastAsia="en-US"/>
        </w:rPr>
      </w:pPr>
      <w:r w:rsidRPr="00043944">
        <w:rPr>
          <w:lang w:val="en-GB" w:eastAsia="en-US"/>
        </w:rPr>
        <w:t>-</w:t>
      </w:r>
      <w:r w:rsidRPr="00043944">
        <w:rPr>
          <w:lang w:val="en-GB" w:eastAsia="en-US"/>
        </w:rPr>
        <w:tab/>
        <w:t xml:space="preserve">Adds PAM4 interfaces in Appendix III </w:t>
      </w:r>
    </w:p>
    <w:p w14:paraId="2D274A96" w14:textId="4CEE2B14" w:rsidR="005D7533" w:rsidRDefault="00043944" w:rsidP="00043944">
      <w:pPr>
        <w:rPr>
          <w:lang w:val="en-GB" w:eastAsia="en-US"/>
        </w:rPr>
      </w:pPr>
      <w:r w:rsidRPr="00043944">
        <w:rPr>
          <w:lang w:val="en-GB" w:eastAsia="en-US"/>
        </w:rPr>
        <w:t>-</w:t>
      </w:r>
      <w:r w:rsidRPr="00043944">
        <w:rPr>
          <w:lang w:val="en-GB" w:eastAsia="en-US"/>
        </w:rPr>
        <w:tab/>
        <w:t>Adds a sentence in Appendix VII.</w:t>
      </w:r>
    </w:p>
    <w:p w14:paraId="67F78D15" w14:textId="371F73BE" w:rsidR="005D7533" w:rsidRDefault="00C44FDC" w:rsidP="005D7533">
      <w:pPr>
        <w:rPr>
          <w:lang w:val="en-GB" w:eastAsia="en-US"/>
        </w:rPr>
      </w:pPr>
      <w:hyperlink r:id="rId226" w:history="1">
        <w:r w:rsidR="005D7533" w:rsidRPr="002956E2">
          <w:rPr>
            <w:rStyle w:val="Hyperlink"/>
            <w:b/>
            <w:lang w:val="en-GB" w:eastAsia="en-US"/>
          </w:rPr>
          <w:t>ITU-T G.8271 (revised) “Time and phase synchronization aspects of telecommunication networks”</w:t>
        </w:r>
      </w:hyperlink>
      <w:r w:rsidR="005D7533" w:rsidRPr="00987791">
        <w:rPr>
          <w:bCs/>
          <w:lang w:val="en-GB" w:eastAsia="en-US"/>
        </w:rPr>
        <w:t xml:space="preserve"> </w:t>
      </w:r>
      <w:r w:rsidR="005D7533" w:rsidRPr="005D7533">
        <w:rPr>
          <w:lang w:val="en-GB" w:eastAsia="en-US"/>
        </w:rPr>
        <w:t>defines time and phase synchronization aspects in packet networks. It specifies the suitable methods to distribute the reference timing signals that can be used to recover the phase synchronization and/or time synchronization according to the required quality.</w:t>
      </w:r>
      <w:r w:rsidR="005D7533">
        <w:rPr>
          <w:lang w:val="en-GB" w:eastAsia="en-US"/>
        </w:rPr>
        <w:t xml:space="preserve"> </w:t>
      </w:r>
      <w:r w:rsidR="005D7533" w:rsidRPr="005D7533">
        <w:rPr>
          <w:lang w:val="en-GB" w:eastAsia="en-US"/>
        </w:rPr>
        <w:t>The requirements for the synchronization characteristics that are specified in this Recommendation must be adhered to in order to ensure interoperability of equipment produced by different manufacturers and a satisfactory network performance.</w:t>
      </w:r>
    </w:p>
    <w:p w14:paraId="14223886" w14:textId="763F343E" w:rsidR="009F6A3F" w:rsidRDefault="00C44FDC" w:rsidP="009F6A3F">
      <w:pPr>
        <w:rPr>
          <w:lang w:val="en-GB" w:eastAsia="en-US"/>
        </w:rPr>
      </w:pPr>
      <w:hyperlink r:id="rId227" w:history="1">
        <w:r w:rsidR="009F6A3F" w:rsidRPr="009D1893">
          <w:rPr>
            <w:rStyle w:val="Hyperlink"/>
            <w:b/>
            <w:lang w:val="en-GB" w:eastAsia="en-US"/>
          </w:rPr>
          <w:t xml:space="preserve">ITU-T G.8271.1/Y.1366.1 </w:t>
        </w:r>
        <w:r w:rsidR="00ED1FF3" w:rsidRPr="009D1893">
          <w:rPr>
            <w:rStyle w:val="Hyperlink"/>
            <w:b/>
            <w:lang w:val="en-GB" w:eastAsia="en-US"/>
          </w:rPr>
          <w:t xml:space="preserve">(revised) </w:t>
        </w:r>
        <w:r w:rsidR="009F6A3F" w:rsidRPr="009D1893">
          <w:rPr>
            <w:rStyle w:val="Hyperlink"/>
            <w:b/>
            <w:lang w:val="en-GB" w:eastAsia="en-US"/>
          </w:rPr>
          <w:t>“Network limits for time synchronization in packet networks with full timing support from the network”</w:t>
        </w:r>
      </w:hyperlink>
      <w:r w:rsidR="009F6A3F" w:rsidRPr="009D1893">
        <w:rPr>
          <w:lang w:val="en-GB" w:eastAsia="en-US"/>
        </w:rPr>
        <w:t xml:space="preserve"> specifies</w:t>
      </w:r>
      <w:r w:rsidR="009F6A3F" w:rsidRPr="009F6A3F">
        <w:rPr>
          <w:lang w:val="en-GB" w:eastAsia="en-US"/>
        </w:rPr>
        <w:t xml:space="preserve">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w:t>
      </w:r>
      <w:r w:rsidR="009F6A3F">
        <w:rPr>
          <w:lang w:val="en-GB" w:eastAsia="en-US"/>
        </w:rPr>
        <w:t xml:space="preserve"> </w:t>
      </w:r>
      <w:r w:rsidR="009F6A3F" w:rsidRPr="009F6A3F">
        <w:rPr>
          <w:lang w:val="en-GB" w:eastAsia="en-US"/>
        </w:rPr>
        <w:t>This Recommendation addresses the case of time and phase distribution across a network by a packet-based method with full timing support to the protocol level from the network.</w:t>
      </w:r>
    </w:p>
    <w:p w14:paraId="1E2751B8" w14:textId="4FF284C1" w:rsidR="00ED1FF3" w:rsidRPr="00ED1FF3" w:rsidRDefault="00C44FDC" w:rsidP="00ED1FF3">
      <w:pPr>
        <w:rPr>
          <w:lang w:val="en-GB" w:eastAsia="en-US"/>
        </w:rPr>
      </w:pPr>
      <w:hyperlink r:id="rId228" w:history="1">
        <w:r w:rsidR="00ED1FF3" w:rsidRPr="00C73C31">
          <w:rPr>
            <w:rStyle w:val="Hyperlink"/>
            <w:b/>
            <w:lang w:val="en-GB" w:eastAsia="en-US"/>
          </w:rPr>
          <w:t>ITU-T G.8272 (2018) Amd.1 “Timing characteristics of primary reference time clocks - Amendment 1”</w:t>
        </w:r>
      </w:hyperlink>
      <w:r w:rsidR="00ED1FF3">
        <w:rPr>
          <w:lang w:val="en-GB" w:eastAsia="en-US"/>
        </w:rPr>
        <w:t xml:space="preserve"> </w:t>
      </w:r>
      <w:r w:rsidR="00ED1FF3" w:rsidRPr="00ED1FF3">
        <w:rPr>
          <w:lang w:val="en-GB" w:eastAsia="en-US"/>
        </w:rPr>
        <w:t>provides the following updates:</w:t>
      </w:r>
    </w:p>
    <w:p w14:paraId="6576BBC9" w14:textId="77777777" w:rsidR="00ED1FF3" w:rsidRPr="00ED1FF3" w:rsidRDefault="00ED1FF3" w:rsidP="00ED1FF3">
      <w:pPr>
        <w:rPr>
          <w:lang w:val="en-GB" w:eastAsia="en-US"/>
        </w:rPr>
      </w:pPr>
      <w:r w:rsidRPr="00ED1FF3">
        <w:rPr>
          <w:lang w:val="en-GB" w:eastAsia="en-US"/>
        </w:rPr>
        <w:t>•</w:t>
      </w:r>
      <w:r w:rsidRPr="00ED1FF3">
        <w:rPr>
          <w:lang w:val="en-GB" w:eastAsia="en-US"/>
        </w:rPr>
        <w:tab/>
        <w:t>Modified the scope.</w:t>
      </w:r>
    </w:p>
    <w:p w14:paraId="170EF3DA" w14:textId="77777777" w:rsidR="00ED1FF3" w:rsidRPr="00ED1FF3" w:rsidRDefault="00ED1FF3" w:rsidP="00ED1FF3">
      <w:pPr>
        <w:rPr>
          <w:lang w:val="en-GB" w:eastAsia="en-US"/>
        </w:rPr>
      </w:pPr>
      <w:r w:rsidRPr="00ED1FF3">
        <w:rPr>
          <w:lang w:val="en-GB" w:eastAsia="en-US"/>
        </w:rPr>
        <w:t>•</w:t>
      </w:r>
      <w:r w:rsidRPr="00ED1FF3">
        <w:rPr>
          <w:lang w:val="en-GB" w:eastAsia="en-US"/>
        </w:rPr>
        <w:tab/>
        <w:t>In clause 6, amend the final sentence (immediately before clause 6.1) to read (insertions highlighted):</w:t>
      </w:r>
    </w:p>
    <w:p w14:paraId="5221CA86" w14:textId="77777777" w:rsidR="00ED1FF3" w:rsidRDefault="00ED1FF3" w:rsidP="00ED1FF3">
      <w:pPr>
        <w:rPr>
          <w:lang w:val="en-GB" w:eastAsia="en-US"/>
        </w:rPr>
      </w:pPr>
      <w:r w:rsidRPr="00ED1FF3">
        <w:rPr>
          <w:lang w:val="en-GB" w:eastAsia="en-US"/>
        </w:rPr>
        <w:t>•</w:t>
      </w:r>
      <w:r w:rsidRPr="00ED1FF3">
        <w:rPr>
          <w:lang w:val="en-GB" w:eastAsia="en-US"/>
        </w:rPr>
        <w:tab/>
        <w:t>In clause 6.2, new sente</w:t>
      </w:r>
      <w:r>
        <w:rPr>
          <w:lang w:val="en-GB" w:eastAsia="en-US"/>
        </w:rPr>
        <w:t>nce is added.</w:t>
      </w:r>
    </w:p>
    <w:p w14:paraId="438D27D6" w14:textId="6A9B0AD5" w:rsidR="00ED1FF3" w:rsidRDefault="00ED1FF3" w:rsidP="00ED1FF3">
      <w:pPr>
        <w:rPr>
          <w:lang w:val="en-GB" w:eastAsia="en-US"/>
        </w:rPr>
      </w:pPr>
      <w:r w:rsidRPr="00ED1FF3">
        <w:rPr>
          <w:lang w:val="en-GB" w:eastAsia="en-US"/>
        </w:rPr>
        <w:t>•</w:t>
      </w:r>
      <w:r w:rsidRPr="00ED1FF3">
        <w:rPr>
          <w:lang w:val="en-GB" w:eastAsia="en-US"/>
        </w:rPr>
        <w:tab/>
        <w:t>Replace the second paragraph after Figure I.4 of clause I.3.1.</w:t>
      </w:r>
    </w:p>
    <w:p w14:paraId="7323320E" w14:textId="6D3DBC8A" w:rsidR="00712687" w:rsidRPr="00712687" w:rsidRDefault="00C44FDC" w:rsidP="00712687">
      <w:pPr>
        <w:rPr>
          <w:lang w:val="en-GB" w:eastAsia="en-US"/>
        </w:rPr>
      </w:pPr>
      <w:hyperlink r:id="rId229" w:history="1">
        <w:r w:rsidR="00712687" w:rsidRPr="00F11331">
          <w:rPr>
            <w:rStyle w:val="Hyperlink"/>
            <w:b/>
            <w:lang w:val="en-GB" w:eastAsia="en-US"/>
          </w:rPr>
          <w:t>ITU-T G.8273 (2018) Amd.1 “Framework of phase and time clocks - Amendment 1”</w:t>
        </w:r>
      </w:hyperlink>
      <w:r w:rsidR="00712687" w:rsidRPr="00E0629B">
        <w:rPr>
          <w:bCs/>
          <w:lang w:val="en-GB" w:eastAsia="en-US"/>
        </w:rPr>
        <w:t xml:space="preserve"> </w:t>
      </w:r>
      <w:r w:rsidR="00712687" w:rsidRPr="00712687">
        <w:rPr>
          <w:lang w:val="en-GB" w:eastAsia="en-US"/>
        </w:rPr>
        <w:t>provides the following updates:</w:t>
      </w:r>
    </w:p>
    <w:p w14:paraId="284427B7" w14:textId="77777777" w:rsidR="00712687" w:rsidRPr="00712687" w:rsidRDefault="00712687" w:rsidP="00712687">
      <w:pPr>
        <w:rPr>
          <w:lang w:val="en-GB" w:eastAsia="en-US"/>
        </w:rPr>
      </w:pPr>
      <w:r w:rsidRPr="00712687">
        <w:rPr>
          <w:lang w:val="en-GB" w:eastAsia="en-US"/>
        </w:rPr>
        <w:t>−</w:t>
      </w:r>
      <w:r w:rsidRPr="00712687">
        <w:rPr>
          <w:lang w:val="en-GB" w:eastAsia="en-US"/>
        </w:rPr>
        <w:tab/>
        <w:t>Updates References</w:t>
      </w:r>
    </w:p>
    <w:p w14:paraId="59B46F38" w14:textId="77777777" w:rsidR="00712687" w:rsidRPr="00712687" w:rsidRDefault="00712687" w:rsidP="00712687">
      <w:pPr>
        <w:rPr>
          <w:lang w:val="en-GB" w:eastAsia="en-US"/>
        </w:rPr>
      </w:pPr>
      <w:r w:rsidRPr="00712687">
        <w:rPr>
          <w:lang w:val="en-GB" w:eastAsia="en-US"/>
        </w:rPr>
        <w:t>−</w:t>
      </w:r>
      <w:r w:rsidRPr="00712687">
        <w:rPr>
          <w:lang w:val="en-GB" w:eastAsia="en-US"/>
        </w:rPr>
        <w:tab/>
        <w:t>Adds Appendix IV</w:t>
      </w:r>
    </w:p>
    <w:p w14:paraId="58FB71B5" w14:textId="36ED0FC3" w:rsidR="00712687" w:rsidRDefault="00712687" w:rsidP="00712687">
      <w:pPr>
        <w:rPr>
          <w:lang w:val="en-GB" w:eastAsia="en-US"/>
        </w:rPr>
      </w:pPr>
      <w:r w:rsidRPr="00712687">
        <w:rPr>
          <w:lang w:val="en-GB" w:eastAsia="en-US"/>
        </w:rPr>
        <w:t>−</w:t>
      </w:r>
      <w:r w:rsidRPr="00712687">
        <w:rPr>
          <w:lang w:val="en-GB" w:eastAsia="en-US"/>
        </w:rPr>
        <w:tab/>
        <w:t>Editorial changes in Annex B and minor edits throughout the document.</w:t>
      </w:r>
    </w:p>
    <w:p w14:paraId="3C450C3C" w14:textId="075F90C2" w:rsidR="00D83261" w:rsidRPr="00D83261" w:rsidRDefault="00C44FDC" w:rsidP="00D83261">
      <w:pPr>
        <w:rPr>
          <w:lang w:val="en-GB" w:eastAsia="en-US"/>
        </w:rPr>
      </w:pPr>
      <w:hyperlink r:id="rId230" w:history="1">
        <w:r w:rsidR="00D83261" w:rsidRPr="00430981">
          <w:rPr>
            <w:rStyle w:val="Hyperlink"/>
            <w:b/>
            <w:lang w:val="en-GB" w:eastAsia="en-US"/>
          </w:rPr>
          <w:t xml:space="preserve">ITU-T G.8273.2/Y.1368.2 Amd.1 </w:t>
        </w:r>
        <w:r w:rsidR="00F96304" w:rsidRPr="00430981">
          <w:rPr>
            <w:rStyle w:val="Hyperlink"/>
            <w:b/>
            <w:lang w:val="en-GB" w:eastAsia="en-US"/>
          </w:rPr>
          <w:t xml:space="preserve">(revised) </w:t>
        </w:r>
        <w:r w:rsidR="00D83261" w:rsidRPr="00430981">
          <w:rPr>
            <w:rStyle w:val="Hyperlink"/>
            <w:b/>
            <w:lang w:val="en-GB" w:eastAsia="en-US"/>
          </w:rPr>
          <w:t>“Timing characteristics of telecom boundary clocks and telecom time slave clocks for use with full timing support from the network - Amendment 1”</w:t>
        </w:r>
      </w:hyperlink>
      <w:r w:rsidR="00D83261" w:rsidRPr="00361960">
        <w:rPr>
          <w:lang w:val="en-GB" w:eastAsia="en-US"/>
        </w:rPr>
        <w:t xml:space="preserve"> </w:t>
      </w:r>
      <w:r w:rsidR="00D83261" w:rsidRPr="00D83261">
        <w:rPr>
          <w:lang w:val="en-GB" w:eastAsia="en-US"/>
        </w:rPr>
        <w:t>provides the following updates:</w:t>
      </w:r>
    </w:p>
    <w:p w14:paraId="3FF330CA" w14:textId="77777777" w:rsidR="00D83261" w:rsidRPr="00D83261" w:rsidRDefault="00D83261" w:rsidP="00D83261">
      <w:pPr>
        <w:rPr>
          <w:lang w:val="en-GB" w:eastAsia="en-US"/>
        </w:rPr>
      </w:pPr>
      <w:r w:rsidRPr="00D83261">
        <w:rPr>
          <w:lang w:val="en-GB" w:eastAsia="en-US"/>
        </w:rPr>
        <w:t>−</w:t>
      </w:r>
      <w:r w:rsidRPr="00D83261">
        <w:rPr>
          <w:lang w:val="en-GB" w:eastAsia="en-US"/>
        </w:rPr>
        <w:tab/>
        <w:t>Updates the title of the recommendation</w:t>
      </w:r>
    </w:p>
    <w:p w14:paraId="6FA38ACC" w14:textId="77777777" w:rsidR="00D83261" w:rsidRPr="00D83261" w:rsidRDefault="00D83261" w:rsidP="00D83261">
      <w:pPr>
        <w:rPr>
          <w:lang w:val="en-GB" w:eastAsia="en-US"/>
        </w:rPr>
      </w:pPr>
      <w:r w:rsidRPr="00D83261">
        <w:rPr>
          <w:lang w:val="en-GB" w:eastAsia="en-US"/>
        </w:rPr>
        <w:t>−</w:t>
      </w:r>
      <w:r w:rsidRPr="00D83261">
        <w:rPr>
          <w:lang w:val="en-GB" w:eastAsia="en-US"/>
        </w:rPr>
        <w:tab/>
        <w:t>Updates References</w:t>
      </w:r>
    </w:p>
    <w:p w14:paraId="7010B702" w14:textId="77777777" w:rsidR="00D83261" w:rsidRPr="00D83261" w:rsidRDefault="00D83261" w:rsidP="00D83261">
      <w:pPr>
        <w:rPr>
          <w:lang w:val="en-GB" w:eastAsia="en-US"/>
        </w:rPr>
      </w:pPr>
      <w:r w:rsidRPr="00D83261">
        <w:rPr>
          <w:lang w:val="en-GB" w:eastAsia="en-US"/>
        </w:rPr>
        <w:t>−</w:t>
      </w:r>
      <w:r w:rsidRPr="00D83261">
        <w:rPr>
          <w:lang w:val="en-GB" w:eastAsia="en-US"/>
        </w:rPr>
        <w:tab/>
        <w:t>Adds a Note in clause 7.1.1</w:t>
      </w:r>
    </w:p>
    <w:p w14:paraId="4C49AE27" w14:textId="77777777" w:rsidR="00D83261" w:rsidRPr="00D83261" w:rsidRDefault="00D83261" w:rsidP="00D83261">
      <w:pPr>
        <w:rPr>
          <w:lang w:val="en-GB" w:eastAsia="en-US"/>
        </w:rPr>
      </w:pPr>
      <w:r w:rsidRPr="00D83261">
        <w:rPr>
          <w:lang w:val="en-GB" w:eastAsia="en-US"/>
        </w:rPr>
        <w:t>−</w:t>
      </w:r>
      <w:r w:rsidRPr="00D83261">
        <w:rPr>
          <w:lang w:val="en-GB" w:eastAsia="en-US"/>
        </w:rPr>
        <w:tab/>
        <w:t>Adds a reference to [ITU-T G.8260] and a Note in clause 7.1.4</w:t>
      </w:r>
    </w:p>
    <w:p w14:paraId="41AAF3B2" w14:textId="77777777" w:rsidR="00D83261" w:rsidRPr="00D83261" w:rsidRDefault="00D83261" w:rsidP="00D83261">
      <w:pPr>
        <w:rPr>
          <w:lang w:val="en-GB" w:eastAsia="en-US"/>
        </w:rPr>
      </w:pPr>
      <w:r w:rsidRPr="00D83261">
        <w:rPr>
          <w:lang w:val="en-GB" w:eastAsia="en-US"/>
        </w:rPr>
        <w:lastRenderedPageBreak/>
        <w:t>−</w:t>
      </w:r>
      <w:r w:rsidRPr="00D83261">
        <w:rPr>
          <w:lang w:val="en-GB" w:eastAsia="en-US"/>
        </w:rPr>
        <w:tab/>
        <w:t>Adds Noise tolerance for clock class C</w:t>
      </w:r>
    </w:p>
    <w:p w14:paraId="5653D239" w14:textId="77777777" w:rsidR="00D83261" w:rsidRPr="00D83261" w:rsidRDefault="00D83261" w:rsidP="00D83261">
      <w:pPr>
        <w:rPr>
          <w:lang w:val="en-GB" w:eastAsia="en-US"/>
        </w:rPr>
      </w:pPr>
      <w:r w:rsidRPr="00D83261">
        <w:rPr>
          <w:lang w:val="en-GB" w:eastAsia="en-US"/>
        </w:rPr>
        <w:t>−</w:t>
      </w:r>
      <w:r w:rsidRPr="00D83261">
        <w:rPr>
          <w:lang w:val="en-GB" w:eastAsia="en-US"/>
        </w:rPr>
        <w:tab/>
        <w:t>Makes editorial changes and updated Appendix V for T-BC chains</w:t>
      </w:r>
    </w:p>
    <w:p w14:paraId="3F828262" w14:textId="29A7AAAD" w:rsidR="00D83261" w:rsidRDefault="00D83261" w:rsidP="00D83261">
      <w:pPr>
        <w:rPr>
          <w:lang w:val="en-GB" w:eastAsia="en-US"/>
        </w:rPr>
      </w:pPr>
      <w:r w:rsidRPr="00D83261">
        <w:rPr>
          <w:lang w:val="en-GB" w:eastAsia="en-US"/>
        </w:rPr>
        <w:t>−</w:t>
      </w:r>
      <w:r w:rsidRPr="00D83261">
        <w:rPr>
          <w:lang w:val="en-GB" w:eastAsia="en-US"/>
        </w:rPr>
        <w:tab/>
        <w:t>Changes 1 PPS to 1PPS (without space) throughout the Recommendation.</w:t>
      </w:r>
    </w:p>
    <w:p w14:paraId="204B7941" w14:textId="3A6DE78D" w:rsidR="00F96304" w:rsidRDefault="00C44FDC" w:rsidP="00F96304">
      <w:pPr>
        <w:rPr>
          <w:lang w:val="en-GB" w:eastAsia="en-US"/>
        </w:rPr>
      </w:pPr>
      <w:hyperlink r:id="rId231" w:history="1">
        <w:r w:rsidR="00F96304" w:rsidRPr="009426DB">
          <w:rPr>
            <w:rStyle w:val="Hyperlink"/>
            <w:b/>
            <w:lang w:val="en-GB" w:eastAsia="en-US"/>
          </w:rPr>
          <w:t>ITU-T G.8273.4/Y.1368.4 “Timing characteristics of telecom boundary clocks and telecom time slave clocks for use with partial timing support from the network”</w:t>
        </w:r>
      </w:hyperlink>
      <w:r w:rsidR="00F96304">
        <w:rPr>
          <w:lang w:val="en-GB" w:eastAsia="en-US"/>
        </w:rPr>
        <w:t xml:space="preserve"> </w:t>
      </w:r>
      <w:r w:rsidR="00F96304" w:rsidRPr="00F96304">
        <w:rPr>
          <w:lang w:val="en-GB" w:eastAsia="en-US"/>
        </w:rPr>
        <w:t>specifies minimum requirements for time and phase synchronization equipment used in synchronization network that operates in the assisted partial timing support (APTS) and partial timing support (PTS) architectures.</w:t>
      </w:r>
    </w:p>
    <w:p w14:paraId="6AA8F28D" w14:textId="4B07320F" w:rsidR="00971855" w:rsidRDefault="00C44FDC" w:rsidP="00971855">
      <w:pPr>
        <w:rPr>
          <w:lang w:val="en-GB" w:eastAsia="en-US"/>
        </w:rPr>
      </w:pPr>
      <w:hyperlink r:id="rId232" w:history="1">
        <w:r w:rsidR="00971855" w:rsidRPr="0084022C">
          <w:rPr>
            <w:rStyle w:val="Hyperlink"/>
            <w:b/>
            <w:lang w:val="en-GB" w:eastAsia="en-US"/>
          </w:rPr>
          <w:t xml:space="preserve">ITU-T G.8275.1/Y.1369.1 </w:t>
        </w:r>
        <w:r w:rsidR="000E4F2B" w:rsidRPr="0084022C">
          <w:rPr>
            <w:rStyle w:val="Hyperlink"/>
            <w:b/>
            <w:lang w:val="en-GB" w:eastAsia="en-US"/>
          </w:rPr>
          <w:t xml:space="preserve">(revised) </w:t>
        </w:r>
        <w:r w:rsidR="00971855" w:rsidRPr="0084022C">
          <w:rPr>
            <w:rStyle w:val="Hyperlink"/>
            <w:b/>
            <w:lang w:val="en-GB" w:eastAsia="en-US"/>
          </w:rPr>
          <w:t>“Precision time protocol telecom profile for phase/time synchronization with full timing support from the network”</w:t>
        </w:r>
      </w:hyperlink>
      <w:r w:rsidR="00971855" w:rsidRPr="0084022C">
        <w:rPr>
          <w:lang w:val="en-GB" w:eastAsia="en-US"/>
        </w:rPr>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425EA571" w14:textId="1F9DECEA" w:rsidR="000E4F2B" w:rsidRDefault="00C44FDC" w:rsidP="000E4F2B">
      <w:pPr>
        <w:rPr>
          <w:lang w:val="en-GB" w:eastAsia="en-US"/>
        </w:rPr>
      </w:pPr>
      <w:hyperlink r:id="rId233" w:history="1">
        <w:r w:rsidR="000E4F2B" w:rsidRPr="00696B8C">
          <w:rPr>
            <w:rStyle w:val="Hyperlink"/>
            <w:b/>
            <w:lang w:val="en-GB" w:eastAsia="en-US"/>
          </w:rPr>
          <w:t xml:space="preserve">ITU-T G.8275.2/Y.1369.2 </w:t>
        </w:r>
        <w:r w:rsidR="00E80E2C" w:rsidRPr="00696B8C">
          <w:rPr>
            <w:rStyle w:val="Hyperlink"/>
            <w:b/>
            <w:lang w:val="en-GB" w:eastAsia="en-US"/>
          </w:rPr>
          <w:t xml:space="preserve">(revised) </w:t>
        </w:r>
        <w:r w:rsidR="000E4F2B" w:rsidRPr="00696B8C">
          <w:rPr>
            <w:rStyle w:val="Hyperlink"/>
            <w:b/>
            <w:lang w:val="en-GB" w:eastAsia="en-US"/>
          </w:rPr>
          <w:t>“Precision time protocol telecom profile for phase/time synchronization with partial timing support from the network”</w:t>
        </w:r>
      </w:hyperlink>
      <w:r w:rsidR="000E4F2B">
        <w:rPr>
          <w:lang w:val="en-GB" w:eastAsia="en-US"/>
        </w:rPr>
        <w:t xml:space="preserve"> </w:t>
      </w:r>
      <w:r w:rsidR="000E4F2B" w:rsidRPr="000E4F2B">
        <w:rPr>
          <w:lang w:val="en-GB" w:eastAsia="en-US"/>
        </w:rPr>
        <w:t xml:space="preserve">contains the ITU-T precision time protocol (PTP) profile for phase/time distribution with partial timing support from the network (unicast mode). It provides the necessary details to utilize IEEE 1588 in a manner consistent with the architecture described </w:t>
      </w:r>
      <w:r w:rsidR="000E4F2B">
        <w:rPr>
          <w:lang w:val="en-GB" w:eastAsia="en-US"/>
        </w:rPr>
        <w:t>in Recommendation ITU-T G.</w:t>
      </w:r>
      <w:r w:rsidR="000E4F2B" w:rsidRPr="000E4F2B">
        <w:rPr>
          <w:lang w:val="en-GB" w:eastAsia="en-US"/>
        </w:rPr>
        <w:t>8275/Y.1369. This Recommendation defines the PTP profile for unicast mode only. Future editions of this Recommendation may contain a separate profile for a mixed unicast/multicast case.</w:t>
      </w:r>
    </w:p>
    <w:p w14:paraId="0640DB5C" w14:textId="2AA3032B" w:rsidR="00D1448E" w:rsidRPr="005D7533" w:rsidRDefault="00C44FDC" w:rsidP="00D1448E">
      <w:pPr>
        <w:rPr>
          <w:lang w:val="en-GB" w:eastAsia="en-US"/>
        </w:rPr>
      </w:pPr>
      <w:hyperlink r:id="rId234" w:history="1">
        <w:r w:rsidR="00D1448E" w:rsidRPr="00717ADB">
          <w:rPr>
            <w:rStyle w:val="Hyperlink"/>
            <w:b/>
            <w:lang w:val="en-GB" w:eastAsia="en-US"/>
          </w:rPr>
          <w:t xml:space="preserve">ITU-T </w:t>
        </w:r>
        <w:proofErr w:type="gramStart"/>
        <w:r w:rsidR="00D1448E" w:rsidRPr="00717ADB">
          <w:rPr>
            <w:rStyle w:val="Hyperlink"/>
            <w:b/>
            <w:lang w:val="en-GB" w:eastAsia="en-US"/>
          </w:rPr>
          <w:t>G.Sup</w:t>
        </w:r>
        <w:proofErr w:type="gramEnd"/>
        <w:r w:rsidR="00D1448E" w:rsidRPr="00717ADB">
          <w:rPr>
            <w:rStyle w:val="Hyperlink"/>
            <w:b/>
            <w:lang w:val="en-GB" w:eastAsia="en-US"/>
          </w:rPr>
          <w:t>.</w:t>
        </w:r>
        <w:r w:rsidR="00717ADB" w:rsidRPr="00717ADB">
          <w:rPr>
            <w:rStyle w:val="Hyperlink"/>
            <w:b/>
            <w:lang w:val="en-GB" w:eastAsia="en-US"/>
          </w:rPr>
          <w:t>68</w:t>
        </w:r>
        <w:r w:rsidR="00D1448E" w:rsidRPr="00717ADB">
          <w:rPr>
            <w:rStyle w:val="Hyperlink"/>
            <w:b/>
            <w:lang w:val="en-GB" w:eastAsia="en-US"/>
          </w:rPr>
          <w:t xml:space="preserve"> “Synchronization OAM requirements”</w:t>
        </w:r>
      </w:hyperlink>
      <w:r w:rsidR="00D1448E">
        <w:rPr>
          <w:lang w:val="en-GB" w:eastAsia="en-US"/>
        </w:rPr>
        <w:t xml:space="preserve"> </w:t>
      </w:r>
      <w:r w:rsidR="00D1448E" w:rsidRPr="00D1448E">
        <w:rPr>
          <w:lang w:val="en-GB" w:eastAsia="en-US"/>
        </w:rPr>
        <w:t>provides an overview of Synchronization operations, administration, maintenance (OAM), includes fault management, performance monitoring, alarms and events.</w:t>
      </w:r>
    </w:p>
    <w:p w14:paraId="5239B3A7" w14:textId="73709898" w:rsidR="00CF3F61" w:rsidRDefault="00C44FDC" w:rsidP="00CF3F61">
      <w:pPr>
        <w:rPr>
          <w:lang w:val="en-GB" w:eastAsia="en-US"/>
        </w:rPr>
      </w:pPr>
      <w:hyperlink r:id="rId235" w:history="1">
        <w:r w:rsidR="00CF3F61" w:rsidRPr="00253029">
          <w:rPr>
            <w:rStyle w:val="Hyperlink"/>
            <w:b/>
            <w:lang w:val="en-GB" w:eastAsia="en-US"/>
          </w:rPr>
          <w:t xml:space="preserve">ITU-T Technical Report GSTR-GNSS “Considerations on the </w:t>
        </w:r>
        <w:r w:rsidR="00253029" w:rsidRPr="00253029">
          <w:rPr>
            <w:rStyle w:val="Hyperlink"/>
            <w:b/>
            <w:lang w:val="en-GB" w:eastAsia="en-US"/>
          </w:rPr>
          <w:t>u</w:t>
        </w:r>
        <w:r w:rsidR="00CF3F61" w:rsidRPr="00253029">
          <w:rPr>
            <w:rStyle w:val="Hyperlink"/>
            <w:b/>
            <w:lang w:val="en-GB" w:eastAsia="en-US"/>
          </w:rPr>
          <w:t xml:space="preserve">se of GNSS as a </w:t>
        </w:r>
        <w:r w:rsidR="00253029" w:rsidRPr="00253029">
          <w:rPr>
            <w:rStyle w:val="Hyperlink"/>
            <w:b/>
            <w:lang w:val="en-GB" w:eastAsia="en-US"/>
          </w:rPr>
          <w:t>p</w:t>
        </w:r>
        <w:r w:rsidR="00CF3F61" w:rsidRPr="00253029">
          <w:rPr>
            <w:rStyle w:val="Hyperlink"/>
            <w:b/>
            <w:lang w:val="en-GB" w:eastAsia="en-US"/>
          </w:rPr>
          <w:t xml:space="preserve">rimary </w:t>
        </w:r>
        <w:r w:rsidR="00253029" w:rsidRPr="00253029">
          <w:rPr>
            <w:rStyle w:val="Hyperlink"/>
            <w:b/>
            <w:lang w:val="en-GB" w:eastAsia="en-US"/>
          </w:rPr>
          <w:t>t</w:t>
        </w:r>
        <w:r w:rsidR="00CF3F61" w:rsidRPr="00253029">
          <w:rPr>
            <w:rStyle w:val="Hyperlink"/>
            <w:b/>
            <w:lang w:val="en-GB" w:eastAsia="en-US"/>
          </w:rPr>
          <w:t xml:space="preserve">ime </w:t>
        </w:r>
        <w:r w:rsidR="00253029" w:rsidRPr="00253029">
          <w:rPr>
            <w:rStyle w:val="Hyperlink"/>
            <w:b/>
            <w:lang w:val="en-GB" w:eastAsia="en-US"/>
          </w:rPr>
          <w:t>r</w:t>
        </w:r>
        <w:r w:rsidR="00CF3F61" w:rsidRPr="00253029">
          <w:rPr>
            <w:rStyle w:val="Hyperlink"/>
            <w:b/>
            <w:lang w:val="en-GB" w:eastAsia="en-US"/>
          </w:rPr>
          <w:t xml:space="preserve">eference in </w:t>
        </w:r>
        <w:r w:rsidR="00253029" w:rsidRPr="00253029">
          <w:rPr>
            <w:rStyle w:val="Hyperlink"/>
            <w:b/>
            <w:lang w:val="en-GB" w:eastAsia="en-US"/>
          </w:rPr>
          <w:t>t</w:t>
        </w:r>
        <w:r w:rsidR="00CF3F61" w:rsidRPr="00253029">
          <w:rPr>
            <w:rStyle w:val="Hyperlink"/>
            <w:b/>
            <w:lang w:val="en-GB" w:eastAsia="en-US"/>
          </w:rPr>
          <w:t>elecommunications</w:t>
        </w:r>
        <w:r w:rsidR="00CF3F61" w:rsidRPr="00253029">
          <w:rPr>
            <w:rStyle w:val="Hyperlink"/>
            <w:lang w:val="en-GB" w:eastAsia="en-US"/>
          </w:rPr>
          <w:t>”</w:t>
        </w:r>
      </w:hyperlink>
      <w:r w:rsidR="00CF3F61">
        <w:rPr>
          <w:lang w:val="en-GB" w:eastAsia="en-US"/>
        </w:rPr>
        <w:t xml:space="preserve"> </w:t>
      </w:r>
      <w:r w:rsidR="00CF3F61" w:rsidRPr="00CF3F61">
        <w:rPr>
          <w:lang w:val="en-GB" w:eastAsia="en-US"/>
        </w:rPr>
        <w:t>provides information relevant to optimal GNSS reception in telecom applications where highly accurate time recovery is critical. Unlike commonly used GNSS navigation applications, where position is the goal, the focus in telecom is on accurate time recovery with stationary receivers, which provide accurate time to such equipment as primary reference time clocks (PRTCs) and base stations in mobile networks.</w:t>
      </w:r>
    </w:p>
    <w:p w14:paraId="3D8AFA09" w14:textId="77777777" w:rsidR="006A46AE" w:rsidRPr="001E0821" w:rsidRDefault="006A46AE" w:rsidP="006A46AE">
      <w:pPr>
        <w:pStyle w:val="Headingb"/>
      </w:pPr>
      <w:r w:rsidRPr="001E0821">
        <w:t>I.1.10</w:t>
      </w:r>
      <w:r w:rsidRPr="001E0821">
        <w:tab/>
        <w:t>Cable</w:t>
      </w:r>
      <w:bookmarkEnd w:id="227"/>
    </w:p>
    <w:p w14:paraId="0971CD41" w14:textId="3A76D47F" w:rsidR="001E0821" w:rsidRDefault="00C44FDC" w:rsidP="001E0821">
      <w:hyperlink r:id="rId236" w:history="1">
        <w:r w:rsidR="001E0821" w:rsidRPr="00223A61">
          <w:rPr>
            <w:rStyle w:val="Hyperlink"/>
            <w:b/>
            <w:bCs/>
          </w:rPr>
          <w:t>ITU-T J.1 (revised) “Terms, definitions and acronyms for television and sound transmission and integrated broadband cable networks”</w:t>
        </w:r>
      </w:hyperlink>
      <w:r w:rsidR="001E0821" w:rsidRPr="00223A61">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w:t>
      </w:r>
      <w:proofErr w:type="gramStart"/>
      <w:r w:rsidR="001E0821" w:rsidRPr="00223A61">
        <w:t>newly-approved</w:t>
      </w:r>
      <w:proofErr w:type="gramEnd"/>
      <w:r w:rsidR="001E0821" w:rsidRPr="00223A61">
        <w:t xml:space="preserve"> terms and definitions.</w:t>
      </w:r>
    </w:p>
    <w:p w14:paraId="1CCB4D4E" w14:textId="72CA3CDD" w:rsidR="00F55069" w:rsidRDefault="00C44FDC" w:rsidP="00F55069">
      <w:hyperlink r:id="rId237" w:history="1">
        <w:r w:rsidR="00F55069" w:rsidRPr="00223A61">
          <w:rPr>
            <w:rStyle w:val="Hyperlink"/>
            <w:b/>
            <w:bCs/>
          </w:rPr>
          <w:t>ITU-T J.216 (revised) “Second-generation modular headend architecture in systems for interactive cable television services - IP cable modems”</w:t>
        </w:r>
      </w:hyperlink>
      <w:r w:rsidR="00F55069">
        <w:t xml:space="preserve"> defines the second generation of headend architectures for high-speed data-over-cable systems. The second-generation of headend architecture introduces </w:t>
      </w:r>
      <w:proofErr w:type="gramStart"/>
      <w:r w:rsidR="00F55069">
        <w:t>a number of</w:t>
      </w:r>
      <w:proofErr w:type="gramEnd"/>
      <w:r w:rsidR="00F55069">
        <w:t xml:space="preserve"> new features that build upon what was present in previous Cabinet DOCSIS Recommendations ITU-T J.223.1 and ITU-T J.223.2. This Recommendation includes key new features for the CMC III device (also known as the remote-PHY device).</w:t>
      </w:r>
    </w:p>
    <w:p w14:paraId="3E61680D" w14:textId="28E3BAC5" w:rsidR="00F55069" w:rsidRDefault="00F55069" w:rsidP="00F55069">
      <w:pPr>
        <w:rPr>
          <w:sz w:val="22"/>
          <w:szCs w:val="22"/>
        </w:rPr>
      </w:pPr>
      <w:r w:rsidRPr="00F55069">
        <w:rPr>
          <w:sz w:val="22"/>
          <w:szCs w:val="22"/>
        </w:rPr>
        <w:t xml:space="preserve">NOTE – The structure and content of this Recommendation have been organized for ease of use through direct reference to the original source material, based on the recognition of </w:t>
      </w:r>
      <w:proofErr w:type="spellStart"/>
      <w:r w:rsidRPr="00F55069">
        <w:rPr>
          <w:sz w:val="22"/>
          <w:szCs w:val="22"/>
        </w:rPr>
        <w:t>CableLabs</w:t>
      </w:r>
      <w:proofErr w:type="spellEnd"/>
      <w:r w:rsidRPr="00F55069">
        <w:rPr>
          <w:sz w:val="22"/>
          <w:szCs w:val="22"/>
        </w:rPr>
        <w:t xml:space="preserve"> by ITU as an ITU-T A.5 organization (</w:t>
      </w:r>
      <w:hyperlink r:id="rId238" w:history="1">
        <w:r w:rsidR="00FB4BB2" w:rsidRPr="00127FBB">
          <w:rPr>
            <w:rStyle w:val="Hyperlink"/>
            <w:sz w:val="22"/>
            <w:szCs w:val="22"/>
          </w:rPr>
          <w:t>https://www.itu.int/en/ITU-T/extcoop/Pages/sdo.aspx</w:t>
        </w:r>
      </w:hyperlink>
      <w:r w:rsidRPr="00F55069">
        <w:rPr>
          <w:sz w:val="22"/>
          <w:szCs w:val="22"/>
        </w:rPr>
        <w:t>).</w:t>
      </w:r>
    </w:p>
    <w:p w14:paraId="279A2B5F" w14:textId="61739C65" w:rsidR="00FB4BB2" w:rsidRPr="00FB4BB2" w:rsidRDefault="00C44FDC" w:rsidP="00FB4BB2">
      <w:pPr>
        <w:rPr>
          <w:szCs w:val="24"/>
        </w:rPr>
      </w:pPr>
      <w:hyperlink r:id="rId239" w:history="1">
        <w:r w:rsidR="00FB4BB2" w:rsidRPr="00223A61">
          <w:rPr>
            <w:rStyle w:val="Hyperlink"/>
            <w:b/>
            <w:bCs/>
            <w:szCs w:val="24"/>
          </w:rPr>
          <w:t>ITU-T J.224 (revised) “Fifth-generation transmission systems for interactive cable television services - IP cable modems”</w:t>
        </w:r>
      </w:hyperlink>
      <w:r w:rsidR="00FB4BB2" w:rsidRPr="00FB4BB2">
        <w:rPr>
          <w:b/>
          <w:bCs/>
          <w:szCs w:val="24"/>
        </w:rPr>
        <w:t xml:space="preserve"> </w:t>
      </w:r>
      <w:r w:rsidR="00FB4BB2" w:rsidRPr="00FB4BB2">
        <w:rPr>
          <w:szCs w:val="24"/>
        </w:rPr>
        <w:t xml:space="preserve">defines the fifth generation of high-speed data-over-cable systems. The fifth-generation transmission systems introduce a number of new features that build upon what was present in previous ITU-T Recommendations namely ITU-T J.112, ITU-T J.122, ITU-T J.222.x-series, and ITU-T J.223.x-series. This Recommendation includes key new features for the physical (PHY) layer and defines full duplex data over cable service interface Specification (DOCSIS) mode of operation, including enhancements to the media access control (MAC) layer protocols as well as requirements for upper layer protocols such as Internet protocol (IP), dynamic host configuration protocol (DHCP), etc. The fifth-generation cable modem specifications fully incorporate the </w:t>
      </w:r>
      <w:proofErr w:type="gramStart"/>
      <w:r w:rsidR="00FB4BB2" w:rsidRPr="00FB4BB2">
        <w:rPr>
          <w:szCs w:val="24"/>
        </w:rPr>
        <w:t>fourth generation</w:t>
      </w:r>
      <w:proofErr w:type="gramEnd"/>
      <w:r w:rsidR="00FB4BB2" w:rsidRPr="00FB4BB2">
        <w:rPr>
          <w:szCs w:val="24"/>
        </w:rPr>
        <w:t xml:space="preserve"> specifications.</w:t>
      </w:r>
    </w:p>
    <w:p w14:paraId="607E96C7" w14:textId="70AE0189" w:rsidR="00FB4BB2" w:rsidRDefault="00FB4BB2" w:rsidP="00FB4BB2">
      <w:pPr>
        <w:rPr>
          <w:sz w:val="22"/>
          <w:szCs w:val="22"/>
        </w:rPr>
      </w:pPr>
      <w:r w:rsidRPr="00FB4BB2">
        <w:rPr>
          <w:sz w:val="22"/>
          <w:szCs w:val="22"/>
        </w:rPr>
        <w:t xml:space="preserve">NOTE – The structure and content of this Recommendation have been organized for ease of use through direct reference to the original source material, based on the recognition of </w:t>
      </w:r>
      <w:proofErr w:type="spellStart"/>
      <w:r w:rsidRPr="00FB4BB2">
        <w:rPr>
          <w:sz w:val="22"/>
          <w:szCs w:val="22"/>
        </w:rPr>
        <w:t>CableLabs</w:t>
      </w:r>
      <w:proofErr w:type="spellEnd"/>
      <w:r w:rsidRPr="00FB4BB2">
        <w:rPr>
          <w:sz w:val="22"/>
          <w:szCs w:val="22"/>
        </w:rPr>
        <w:t xml:space="preserve"> by ITU as an A.5 organization (</w:t>
      </w:r>
      <w:hyperlink r:id="rId240" w:history="1">
        <w:r w:rsidR="006C27B1" w:rsidRPr="00127FBB">
          <w:rPr>
            <w:rStyle w:val="Hyperlink"/>
            <w:sz w:val="22"/>
            <w:szCs w:val="22"/>
          </w:rPr>
          <w:t>https://www.itu.int/en/ITU-T/extcoop/Pages/sdo.aspx</w:t>
        </w:r>
      </w:hyperlink>
      <w:r w:rsidRPr="00FB4BB2">
        <w:rPr>
          <w:sz w:val="22"/>
          <w:szCs w:val="22"/>
        </w:rPr>
        <w:t>).</w:t>
      </w:r>
    </w:p>
    <w:p w14:paraId="6078C8D5" w14:textId="4287A251" w:rsidR="006C27B1" w:rsidRPr="006C27B1" w:rsidRDefault="00C44FDC" w:rsidP="006C27B1">
      <w:pPr>
        <w:rPr>
          <w:szCs w:val="24"/>
        </w:rPr>
      </w:pPr>
      <w:hyperlink r:id="rId241" w:history="1">
        <w:r w:rsidR="006C27B1" w:rsidRPr="008A5780">
          <w:rPr>
            <w:rStyle w:val="Hyperlink"/>
            <w:b/>
            <w:bCs/>
            <w:szCs w:val="24"/>
          </w:rPr>
          <w:t>ITU-T J.225 “Fourth-generation transmission systems for interactive cable television services - IP cable modems”</w:t>
        </w:r>
      </w:hyperlink>
      <w:r w:rsidR="006C27B1" w:rsidRPr="008A5780">
        <w:rPr>
          <w:szCs w:val="24"/>
        </w:rPr>
        <w:t xml:space="preserve"> defi</w:t>
      </w:r>
      <w:r w:rsidR="006C27B1" w:rsidRPr="006C27B1">
        <w:rPr>
          <w:szCs w:val="24"/>
        </w:rPr>
        <w:t>nes the fourth generation of high-speed data-over-cable systems. The fourth-generation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An informative Supplement [b-ITU-T J Suppl. 10] contains the correspondence between the DOCSIS versions and the ITU-T Recommendations revisions and generations.</w:t>
      </w:r>
    </w:p>
    <w:p w14:paraId="14BD8340" w14:textId="72D6240B" w:rsidR="006C27B1" w:rsidRDefault="006C27B1" w:rsidP="006C27B1">
      <w:pPr>
        <w:rPr>
          <w:sz w:val="22"/>
          <w:szCs w:val="22"/>
        </w:rPr>
      </w:pPr>
      <w:r w:rsidRPr="006C27B1">
        <w:rPr>
          <w:sz w:val="22"/>
          <w:szCs w:val="22"/>
        </w:rPr>
        <w:t xml:space="preserve">NOTE – The structure and content of this Recommendation have been organized for ease of use through direct reference to the original source material, based on the recognition of </w:t>
      </w:r>
      <w:proofErr w:type="spellStart"/>
      <w:r w:rsidRPr="006C27B1">
        <w:rPr>
          <w:sz w:val="22"/>
          <w:szCs w:val="22"/>
        </w:rPr>
        <w:t>CableLabs</w:t>
      </w:r>
      <w:proofErr w:type="spellEnd"/>
      <w:r w:rsidRPr="006C27B1">
        <w:rPr>
          <w:sz w:val="22"/>
          <w:szCs w:val="22"/>
        </w:rPr>
        <w:t xml:space="preserve"> by ITU as an A.5 organization (</w:t>
      </w:r>
      <w:hyperlink r:id="rId242" w:history="1">
        <w:r w:rsidR="00CC7A3A" w:rsidRPr="00127FBB">
          <w:rPr>
            <w:rStyle w:val="Hyperlink"/>
            <w:sz w:val="22"/>
            <w:szCs w:val="22"/>
          </w:rPr>
          <w:t>https://www.itu.int/en/ITU-T/extcoop/Pages/sdo.aspx</w:t>
        </w:r>
      </w:hyperlink>
      <w:r w:rsidRPr="006C27B1">
        <w:rPr>
          <w:sz w:val="22"/>
          <w:szCs w:val="22"/>
        </w:rPr>
        <w:t>).</w:t>
      </w:r>
    </w:p>
    <w:p w14:paraId="10AB174A" w14:textId="479D9AC6" w:rsidR="00CC7A3A" w:rsidRDefault="00C44FDC" w:rsidP="00CC7A3A">
      <w:pPr>
        <w:rPr>
          <w:szCs w:val="24"/>
        </w:rPr>
      </w:pPr>
      <w:hyperlink r:id="rId243" w:history="1">
        <w:r w:rsidR="00CC7A3A" w:rsidRPr="00143156">
          <w:rPr>
            <w:rStyle w:val="Hyperlink"/>
            <w:b/>
            <w:bCs/>
            <w:szCs w:val="24"/>
          </w:rPr>
          <w:t>ITU-T J.299 “Functional Requirements for remote management of cable STB by Auto Configuration Server (ACS)”</w:t>
        </w:r>
      </w:hyperlink>
      <w:r w:rsidR="00CC7A3A" w:rsidRPr="00CC7A3A">
        <w:rPr>
          <w:szCs w:val="24"/>
        </w:rPr>
        <w:t xml:space="preserve"> describes the functional requirements for Auto Configuration Server (ACS) and STB connected each other for remote maintenance purpose. ACS is usually used to remotely set up and maintain customer premises equipment (CPE) such as STB. The major purpose of the new Recommendation is to specify basic requirements for remote maintenance in the cable TV system.</w:t>
      </w:r>
    </w:p>
    <w:p w14:paraId="68FA4E9C" w14:textId="3D3B922C" w:rsidR="00AD0AFA" w:rsidRDefault="00C44FDC" w:rsidP="00AD0AFA">
      <w:pPr>
        <w:rPr>
          <w:szCs w:val="24"/>
        </w:rPr>
      </w:pPr>
      <w:hyperlink r:id="rId244" w:history="1">
        <w:r w:rsidR="00AD0AFA" w:rsidRPr="00C012FE">
          <w:rPr>
            <w:rStyle w:val="Hyperlink"/>
            <w:b/>
            <w:bCs/>
            <w:szCs w:val="24"/>
          </w:rPr>
          <w:t>ITU-T J.1012 “Embedded common interface for exchangeable CA/DRM solutions; CA/DRM container, loader, interfaces, revocation”</w:t>
        </w:r>
      </w:hyperlink>
      <w:r w:rsidR="00AD0AFA">
        <w:rPr>
          <w:szCs w:val="24"/>
        </w:rPr>
        <w:t xml:space="preserve"> </w:t>
      </w:r>
      <w:r w:rsidR="00AD0AFA" w:rsidRPr="00AD0AFA">
        <w:rPr>
          <w:szCs w:val="24"/>
        </w:rPr>
        <w:t>is part of a multi-part deliverable covering the conditional access/digital rights management (CA/DRM) container, loader, interfaces, revocation for the embedded common interface for exchangeable CA/DRM solutions specification.</w:t>
      </w:r>
      <w:r w:rsidR="00AD0AFA">
        <w:rPr>
          <w:szCs w:val="24"/>
        </w:rPr>
        <w:t xml:space="preserve"> </w:t>
      </w:r>
      <w:r w:rsidR="00AD0AFA" w:rsidRPr="00AD0AFA">
        <w:rPr>
          <w:szCs w:val="24"/>
        </w:rPr>
        <w:t>This ITU-T Recommendation is a transposition of the ETSI standard [b- ETSI GS ECI 001-3] and is a result of a collaboration between ITU-T SG9 and ETSI ISG ECI. Modifications have been introduced to clauses 2, 7.7.2.5.2, 9.4.4.6.2, 9.4.6.1, 9.5.2.2, 9.8.1, 9.8.2, 10.2, I-2 and to the Bibliography. Some additional editorial corrections were necessary.</w:t>
      </w:r>
    </w:p>
    <w:p w14:paraId="429A208F" w14:textId="28F7CC46" w:rsidR="00532A0B" w:rsidRDefault="00C44FDC" w:rsidP="00532A0B">
      <w:pPr>
        <w:rPr>
          <w:szCs w:val="24"/>
        </w:rPr>
      </w:pPr>
      <w:hyperlink r:id="rId245" w:history="1">
        <w:r w:rsidR="00532A0B" w:rsidRPr="008D1EC6">
          <w:rPr>
            <w:rStyle w:val="Hyperlink"/>
            <w:b/>
            <w:bCs/>
            <w:szCs w:val="24"/>
          </w:rPr>
          <w:t>ITU-T J.1013 “Embedded Common Interface (ECI) for exchangeable CA/DRM solutions; The Virtual Machine”</w:t>
        </w:r>
      </w:hyperlink>
      <w:r w:rsidR="00532A0B" w:rsidRPr="008D1EC6">
        <w:rPr>
          <w:szCs w:val="24"/>
        </w:rPr>
        <w:t xml:space="preserve"> is part of a multi-part deliverable covering the virtual machine for the embedded common interface (ECI) for exchangeable conditional access/digital rights management (CA/DRM) solutions specification. This ITU-T Recommendation is a transposition of the ETSI standard [b- ETSI GS ECI 001-4] and is a result of a collaboration between ITU-T SG9 and ETSI ISG ECI. A minor modification was done in clause 7.3.7.1.</w:t>
      </w:r>
    </w:p>
    <w:p w14:paraId="3E09A3AC" w14:textId="3840B888" w:rsidR="00F70DF7" w:rsidRDefault="00C44FDC" w:rsidP="00F70DF7">
      <w:pPr>
        <w:rPr>
          <w:szCs w:val="24"/>
        </w:rPr>
      </w:pPr>
      <w:hyperlink r:id="rId246" w:history="1">
        <w:r w:rsidR="00F70DF7" w:rsidRPr="00DB6D33">
          <w:rPr>
            <w:rStyle w:val="Hyperlink"/>
            <w:b/>
            <w:bCs/>
            <w:szCs w:val="24"/>
          </w:rPr>
          <w:t>ITU-T J.1014 “Embedded common interface for exchangeable CA/DRM solutions; Advanced Security - ECI-specific functionalities”</w:t>
        </w:r>
      </w:hyperlink>
      <w:r w:rsidR="00F70DF7">
        <w:rPr>
          <w:szCs w:val="24"/>
        </w:rPr>
        <w:t xml:space="preserve"> </w:t>
      </w:r>
      <w:r w:rsidR="00F70DF7" w:rsidRPr="00F70DF7">
        <w:rPr>
          <w:szCs w:val="24"/>
        </w:rPr>
        <w:t>is one part of a multi-part deliverable covering the ECI-</w:t>
      </w:r>
      <w:r w:rsidR="00F70DF7" w:rsidRPr="00F70DF7">
        <w:rPr>
          <w:szCs w:val="24"/>
        </w:rPr>
        <w:lastRenderedPageBreak/>
        <w:t>specific functionalities of an advanced security system for the embedded common interface (ECI) for exchangeable conditional access/digital rights management (CA/DRM) solutions specification.</w:t>
      </w:r>
      <w:r w:rsidR="00F70DF7">
        <w:rPr>
          <w:szCs w:val="24"/>
        </w:rPr>
        <w:t xml:space="preserve"> </w:t>
      </w:r>
      <w:r w:rsidR="00F70DF7" w:rsidRPr="00F70DF7">
        <w:rPr>
          <w:szCs w:val="24"/>
        </w:rPr>
        <w:t>This ITU-T Recommendation is a transposition of the ETSI standard [b- ETSI GS ECI 001-5-1] and is a result of a collaboration between ITU-T SG9 and ETSI ISG ECI. Modifications have been introduced to clauses 1, 3.2, 6.1, 6.2, 6.3 and 8.2.3 as well as editorial corrections and the substitution of the term “content processing system” by “Secure Video Path”.</w:t>
      </w:r>
    </w:p>
    <w:p w14:paraId="7042897C" w14:textId="283ADE3A" w:rsidR="00AE695D" w:rsidRDefault="00C44FDC" w:rsidP="00AE695D">
      <w:pPr>
        <w:rPr>
          <w:szCs w:val="24"/>
        </w:rPr>
      </w:pPr>
      <w:hyperlink r:id="rId247" w:history="1">
        <w:r w:rsidR="00AE695D" w:rsidRPr="00F01CD7">
          <w:rPr>
            <w:rStyle w:val="Hyperlink"/>
            <w:b/>
            <w:bCs/>
            <w:szCs w:val="24"/>
          </w:rPr>
          <w:t>ITU-T J.1015 “Embedded common interface for exchangeable CA/DRM solutions: The advanced security system – Key ladder block”</w:t>
        </w:r>
      </w:hyperlink>
      <w:r w:rsidR="00AE695D">
        <w:rPr>
          <w:szCs w:val="24"/>
        </w:rPr>
        <w:t xml:space="preserve"> </w:t>
      </w:r>
      <w:r w:rsidR="00AE695D" w:rsidRPr="00AE695D">
        <w:rPr>
          <w:szCs w:val="24"/>
        </w:rPr>
        <w:t>is part of a series covering the advanced security system key ladder block for the embedded common interface for exchangeable conditional access/digital rights management (CA/DRM) solutions specification.</w:t>
      </w:r>
      <w:r w:rsidR="00AE695D">
        <w:rPr>
          <w:szCs w:val="24"/>
        </w:rPr>
        <w:t xml:space="preserve"> </w:t>
      </w:r>
      <w:r w:rsidR="00AE695D" w:rsidRPr="00AE695D">
        <w:rPr>
          <w:szCs w:val="24"/>
        </w:rPr>
        <w:t>This ITU-T Recommendation is a transposition of the ETSI standard [b-ETSI GS ECI 001-5-2] and is a result of a collaboration between ITU-T SG9 and ETSI ISG ECI.</w:t>
      </w:r>
    </w:p>
    <w:p w14:paraId="0CCABD6C" w14:textId="40BC10D5" w:rsidR="001E2D98" w:rsidRDefault="00C44FDC" w:rsidP="001E2D98">
      <w:pPr>
        <w:rPr>
          <w:szCs w:val="24"/>
        </w:rPr>
      </w:pPr>
      <w:hyperlink r:id="rId248" w:history="1">
        <w:r w:rsidR="001E2D98" w:rsidRPr="00615EBA">
          <w:rPr>
            <w:rStyle w:val="Hyperlink"/>
            <w:b/>
            <w:bCs/>
            <w:szCs w:val="24"/>
          </w:rPr>
          <w:t>ITU-T J.1015.1 “Embedded common interface for exchangeable CA/DRM solutions: The advanced security system – Key ladder block: Authentication of control word-usage rules information and associated data”</w:t>
        </w:r>
      </w:hyperlink>
      <w:r w:rsidR="001E2D98">
        <w:rPr>
          <w:szCs w:val="24"/>
        </w:rPr>
        <w:t xml:space="preserve"> </w:t>
      </w:r>
      <w:r w:rsidR="001E2D98" w:rsidRPr="001E2D98">
        <w:rPr>
          <w:szCs w:val="24"/>
        </w:rPr>
        <w:t>is part of a series covering the advanced security system key ladder block for the embedded common interface for exchangeable conditional access/digital rights management (CA/DRM) solutions specification.</w:t>
      </w:r>
    </w:p>
    <w:p w14:paraId="58E50730" w14:textId="31716653" w:rsidR="001267B8" w:rsidRDefault="00C44FDC" w:rsidP="001267B8">
      <w:pPr>
        <w:rPr>
          <w:szCs w:val="24"/>
        </w:rPr>
      </w:pPr>
      <w:hyperlink r:id="rId249" w:history="1">
        <w:r w:rsidR="001267B8" w:rsidRPr="00143156">
          <w:rPr>
            <w:rStyle w:val="Hyperlink"/>
            <w:b/>
            <w:bCs/>
            <w:szCs w:val="24"/>
          </w:rPr>
          <w:t>ITU-T J.1031 “Downloadable Conditional Access System for Bidirectional Network; Requirements”</w:t>
        </w:r>
      </w:hyperlink>
      <w:r w:rsidR="001267B8">
        <w:rPr>
          <w:szCs w:val="24"/>
        </w:rPr>
        <w:t xml:space="preserve"> </w:t>
      </w:r>
      <w:r w:rsidR="001267B8" w:rsidRPr="001267B8">
        <w:rPr>
          <w:szCs w:val="24"/>
        </w:rPr>
        <w:t xml:space="preserve">specifies requirements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w:t>
      </w:r>
      <w:proofErr w:type="gramStart"/>
      <w:r w:rsidR="001267B8" w:rsidRPr="001267B8">
        <w:rPr>
          <w:szCs w:val="24"/>
        </w:rPr>
        <w:t>In particular, a</w:t>
      </w:r>
      <w:proofErr w:type="gramEnd"/>
      <w:r w:rsidR="001267B8" w:rsidRPr="001267B8">
        <w:rPr>
          <w:szCs w:val="24"/>
        </w:rPr>
        <w:t xml:space="preserve"> two-way DCAS can work in bidirectional cable TV networks and other bidirectional networks such as broadband cable networks.</w:t>
      </w:r>
    </w:p>
    <w:p w14:paraId="666F57EA" w14:textId="1B6EC606" w:rsidR="00F42FB1" w:rsidRDefault="00C44FDC" w:rsidP="00F42FB1">
      <w:pPr>
        <w:rPr>
          <w:szCs w:val="24"/>
        </w:rPr>
      </w:pPr>
      <w:hyperlink r:id="rId250" w:history="1">
        <w:r w:rsidR="00F42FB1" w:rsidRPr="00191644">
          <w:rPr>
            <w:rStyle w:val="Hyperlink"/>
            <w:b/>
            <w:bCs/>
            <w:szCs w:val="24"/>
          </w:rPr>
          <w:t>ITU-T J.1032 “Downloadable Conditional Access System for Bidirectional Network; System Architecture”</w:t>
        </w:r>
      </w:hyperlink>
      <w:r w:rsidR="00F42FB1">
        <w:rPr>
          <w:szCs w:val="24"/>
        </w:rPr>
        <w:t xml:space="preserve"> </w:t>
      </w:r>
      <w:r w:rsidR="00F42FB1" w:rsidRPr="00F42FB1">
        <w:rPr>
          <w:szCs w:val="24"/>
        </w:rPr>
        <w:t xml:space="preserve">specifies a system architecture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w:t>
      </w:r>
      <w:proofErr w:type="gramStart"/>
      <w:r w:rsidR="00F42FB1" w:rsidRPr="00F42FB1">
        <w:rPr>
          <w:szCs w:val="24"/>
        </w:rPr>
        <w:t>In particular, a</w:t>
      </w:r>
      <w:proofErr w:type="gramEnd"/>
      <w:r w:rsidR="00F42FB1" w:rsidRPr="00F42FB1">
        <w:rPr>
          <w:szCs w:val="24"/>
        </w:rPr>
        <w:t xml:space="preserve"> two-way DCAS can work in bidirectional cable TV networks and other bidirectional networks such as broadband cable networks.</w:t>
      </w:r>
    </w:p>
    <w:p w14:paraId="6E152872" w14:textId="78638A37" w:rsidR="00F93962" w:rsidRDefault="00C44FDC" w:rsidP="00F93962">
      <w:pPr>
        <w:rPr>
          <w:szCs w:val="24"/>
        </w:rPr>
      </w:pPr>
      <w:hyperlink r:id="rId251" w:history="1">
        <w:r w:rsidR="00F93962" w:rsidRPr="00925F91">
          <w:rPr>
            <w:rStyle w:val="Hyperlink"/>
            <w:b/>
            <w:bCs/>
            <w:szCs w:val="24"/>
          </w:rPr>
          <w:t>ITU-T J.1033 “Downloadable Conditional Access System for Bidirectional Network; The Terminal”</w:t>
        </w:r>
      </w:hyperlink>
      <w:r w:rsidR="00F93962">
        <w:rPr>
          <w:szCs w:val="24"/>
        </w:rPr>
        <w:t xml:space="preserve"> </w:t>
      </w:r>
      <w:r w:rsidR="00F93962" w:rsidRPr="00F93962">
        <w:rPr>
          <w:szCs w:val="24"/>
        </w:rPr>
        <w:t xml:space="preserve">specifies a terminal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w:t>
      </w:r>
      <w:proofErr w:type="gramStart"/>
      <w:r w:rsidR="00F93962" w:rsidRPr="00F93962">
        <w:rPr>
          <w:szCs w:val="24"/>
        </w:rPr>
        <w:t>In particular, a</w:t>
      </w:r>
      <w:proofErr w:type="gramEnd"/>
      <w:r w:rsidR="00F93962" w:rsidRPr="00F93962">
        <w:rPr>
          <w:szCs w:val="24"/>
        </w:rPr>
        <w:t xml:space="preserve"> two-way DCAS can work in bidirectional cable TV networks and other bidirectional networks such as broadband cable networks.</w:t>
      </w:r>
    </w:p>
    <w:p w14:paraId="41D87A8E" w14:textId="2A2FF81C" w:rsidR="00F948CD" w:rsidRDefault="00C44FDC" w:rsidP="00F948CD">
      <w:pPr>
        <w:rPr>
          <w:szCs w:val="24"/>
        </w:rPr>
      </w:pPr>
      <w:hyperlink r:id="rId252" w:history="1">
        <w:r w:rsidR="00F948CD" w:rsidRPr="003C2543">
          <w:rPr>
            <w:rStyle w:val="Hyperlink"/>
            <w:b/>
            <w:bCs/>
            <w:szCs w:val="24"/>
          </w:rPr>
          <w:t>ITU-T J.1203 “The specification of a smart TV operating system”</w:t>
        </w:r>
      </w:hyperlink>
      <w:r w:rsidR="00F948CD">
        <w:rPr>
          <w:szCs w:val="24"/>
        </w:rPr>
        <w:t xml:space="preserve"> </w:t>
      </w:r>
      <w:r w:rsidR="00F948CD" w:rsidRPr="00F948CD">
        <w:rPr>
          <w:szCs w:val="24"/>
        </w:rPr>
        <w:t xml:space="preserve">defines the detailed specification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w:t>
      </w:r>
      <w:r w:rsidR="00F948CD" w:rsidRPr="00F948CD">
        <w:rPr>
          <w:szCs w:val="24"/>
        </w:rPr>
        <w:lastRenderedPageBreak/>
        <w:t>interconnected with the related cable operators' platforms.</w:t>
      </w:r>
      <w:r w:rsidR="00F948CD">
        <w:rPr>
          <w:szCs w:val="24"/>
        </w:rPr>
        <w:t xml:space="preserve"> </w:t>
      </w:r>
      <w:r w:rsidR="00F948CD" w:rsidRPr="00F948CD">
        <w:rPr>
          <w:szCs w:val="24"/>
        </w:rPr>
        <w:t>Recommendation ITU-T J.1203 is developed in accordance with the requirements defined in [ITU-T J.1201] and based on the architecture defined in [ITU-T J.1202]. This Recommendation provides a specification for administrations and entities who intend to implement smart TV operating system.</w:t>
      </w:r>
    </w:p>
    <w:p w14:paraId="0D4E12A2" w14:textId="3A1C74C8" w:rsidR="00F32769" w:rsidRDefault="00C44FDC" w:rsidP="00F32769">
      <w:pPr>
        <w:rPr>
          <w:szCs w:val="24"/>
        </w:rPr>
      </w:pPr>
      <w:hyperlink r:id="rId253" w:history="1">
        <w:r w:rsidR="00F32769" w:rsidRPr="00B508FA">
          <w:rPr>
            <w:rStyle w:val="Hyperlink"/>
            <w:b/>
            <w:bCs/>
            <w:szCs w:val="24"/>
          </w:rPr>
          <w:t>ITU-T J.1204 “The security framework of a smart TV operating system”</w:t>
        </w:r>
      </w:hyperlink>
      <w:r w:rsidR="00F32769" w:rsidRPr="00B508FA">
        <w:rPr>
          <w:szCs w:val="24"/>
        </w:rPr>
        <w:t xml:space="preserve"> defines the security</w:t>
      </w:r>
      <w:r w:rsidR="00F32769" w:rsidRPr="00F32769">
        <w:rPr>
          <w:szCs w:val="24"/>
        </w:rPr>
        <w:t xml:space="preserve">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F32769">
        <w:rPr>
          <w:szCs w:val="24"/>
        </w:rPr>
        <w:t xml:space="preserve"> </w:t>
      </w:r>
      <w:r w:rsidR="00F32769" w:rsidRPr="00F32769">
        <w:rPr>
          <w:szCs w:val="24"/>
        </w:rPr>
        <w:t xml:space="preserve">Recommendation ITU-T J.1204 intends to specify the smart TV operating system security framework, which exploits the popular </w:t>
      </w:r>
      <w:proofErr w:type="gramStart"/>
      <w:r w:rsidR="00F32769" w:rsidRPr="00F32769">
        <w:rPr>
          <w:szCs w:val="24"/>
        </w:rPr>
        <w:t>hardware based</w:t>
      </w:r>
      <w:proofErr w:type="gramEnd"/>
      <w:r w:rsidR="00F32769" w:rsidRPr="00F32769">
        <w:rPr>
          <w:szCs w:val="24"/>
        </w:rPr>
        <w:t xml:space="preserve"> TEE technology and has multiple security </w:t>
      </w:r>
      <w:proofErr w:type="spellStart"/>
      <w:r w:rsidR="00F32769" w:rsidRPr="00F32769">
        <w:rPr>
          <w:szCs w:val="24"/>
        </w:rPr>
        <w:t>defence</w:t>
      </w:r>
      <w:proofErr w:type="spellEnd"/>
      <w:r w:rsidR="00F32769" w:rsidRPr="00F32769">
        <w:rPr>
          <w:szCs w:val="24"/>
        </w:rPr>
        <w:t xml:space="preserve"> capabilities.</w:t>
      </w:r>
    </w:p>
    <w:p w14:paraId="0F78430F" w14:textId="71036A22" w:rsidR="006638F3" w:rsidRPr="00CC7A3A" w:rsidRDefault="00C44FDC" w:rsidP="006638F3">
      <w:pPr>
        <w:rPr>
          <w:szCs w:val="24"/>
        </w:rPr>
      </w:pPr>
      <w:hyperlink r:id="rId254" w:history="1">
        <w:r w:rsidR="006638F3" w:rsidRPr="00D46F05">
          <w:rPr>
            <w:rStyle w:val="Hyperlink"/>
            <w:b/>
            <w:bCs/>
            <w:szCs w:val="24"/>
          </w:rPr>
          <w:t>ITU-T J.1211 “Specifications of IP Video Broadcast (IPVB) for CATV Networks”</w:t>
        </w:r>
      </w:hyperlink>
      <w:r w:rsidR="006638F3" w:rsidRPr="00D46F05">
        <w:rPr>
          <w:szCs w:val="24"/>
        </w:rPr>
        <w:t>:</w:t>
      </w:r>
      <w:r w:rsidR="006638F3">
        <w:rPr>
          <w:szCs w:val="24"/>
        </w:rPr>
        <w:t xml:space="preserve"> </w:t>
      </w:r>
      <w:r w:rsidR="006638F3" w:rsidRPr="006638F3">
        <w:rPr>
          <w:szCs w:val="24"/>
        </w:rPr>
        <w:t>In recent years, IP-based video services have been developed rapidly in CATV networks, especially the highly asymmetric IP-based services with large bandwidth, such as 4K, 8K and VR, whose single program bandwidth might easily exceed 35Mbps or even up to 100Mbps. This requires huge downlink bandwidth of transmission channels and poses challenges to the existing CATV technologies. For this scenario</w:t>
      </w:r>
      <w:r w:rsidR="006638F3">
        <w:rPr>
          <w:szCs w:val="24"/>
        </w:rPr>
        <w:t xml:space="preserve">, </w:t>
      </w:r>
      <w:r w:rsidR="006638F3" w:rsidRPr="006638F3">
        <w:rPr>
          <w:szCs w:val="24"/>
        </w:rPr>
        <w:t>it is necessary to propose a solution with low cost and low complexity for meeting the bandwidth requirements of the current asymmetric IP-based video service.</w:t>
      </w:r>
      <w:r w:rsidR="006638F3">
        <w:rPr>
          <w:szCs w:val="24"/>
        </w:rPr>
        <w:t xml:space="preserve"> </w:t>
      </w:r>
      <w:r w:rsidR="006638F3" w:rsidRPr="006638F3">
        <w:rPr>
          <w:szCs w:val="24"/>
        </w:rPr>
        <w:t xml:space="preserve">This recommendation specifies an IPVB technology, which simply adds a one-way IP-based video broadcast system to the existing low-cost bidirectional CATV networks. The IPVB can greatly increase the bandwidth of downlink programs,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w:t>
      </w:r>
      <w:proofErr w:type="gramStart"/>
      <w:r w:rsidR="006638F3" w:rsidRPr="006638F3">
        <w:rPr>
          <w:szCs w:val="24"/>
        </w:rPr>
        <w:t>is capable of providing</w:t>
      </w:r>
      <w:proofErr w:type="gramEnd"/>
      <w:r w:rsidR="006638F3" w:rsidRPr="006638F3">
        <w:rPr>
          <w:szCs w:val="24"/>
        </w:rPr>
        <w:t xml:space="preserve"> varieties of IP-based high bitrate video services in CATV networks.</w:t>
      </w:r>
    </w:p>
    <w:p w14:paraId="5C92C629" w14:textId="620600A1" w:rsidR="00A20D13" w:rsidRDefault="00C44FDC" w:rsidP="00A20D13">
      <w:pPr>
        <w:rPr>
          <w:lang w:val="en-GB"/>
        </w:rPr>
      </w:pPr>
      <w:hyperlink r:id="rId255" w:history="1">
        <w:r w:rsidR="00A20D13" w:rsidRPr="00351A87">
          <w:rPr>
            <w:rStyle w:val="Hyperlink"/>
            <w:b/>
            <w:bCs/>
            <w:lang w:val="en-GB"/>
          </w:rPr>
          <w:t>ITU-T J.Suppl.7 “Embedded Common Interface (ECI) for exchangeable CA/DRM solutions; Guidelines for the implementation of ECI (EG)”</w:t>
        </w:r>
      </w:hyperlink>
      <w:r w:rsidR="00351A87" w:rsidRPr="00351A87">
        <w:rPr>
          <w:lang w:val="en-GB"/>
        </w:rPr>
        <w:t xml:space="preserve"> </w:t>
      </w:r>
      <w:r w:rsidR="00A20D13" w:rsidRPr="00A20D13">
        <w:rPr>
          <w:lang w:val="en-GB"/>
        </w:rPr>
        <w:t>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the ETSI Group Report [b-ETSI GR ECI 004] and is a result of a collaboration between ITU-T SG9 and ETSI ISG ECI. A minor amendment was introduced with new clause 6.4.</w:t>
      </w:r>
    </w:p>
    <w:p w14:paraId="546C824A" w14:textId="46B3D328" w:rsidR="00DF0C42" w:rsidRDefault="00C44FDC" w:rsidP="00DF0C42">
      <w:pPr>
        <w:rPr>
          <w:lang w:val="en-GB"/>
        </w:rPr>
      </w:pPr>
      <w:hyperlink r:id="rId256" w:history="1">
        <w:r w:rsidR="00DF0C42" w:rsidRPr="00D31279">
          <w:rPr>
            <w:rStyle w:val="Hyperlink"/>
            <w:b/>
            <w:bCs/>
            <w:lang w:val="en-GB"/>
          </w:rPr>
          <w:t>ITU-T J.Suppl.8 “Embedded Common Interface (ECI) for exchangeable CA/DRM solutions; Trust Environment (TE)”</w:t>
        </w:r>
      </w:hyperlink>
      <w:r w:rsidR="00DF0C42" w:rsidRPr="00D31279">
        <w:rPr>
          <w:lang w:val="en-GB"/>
        </w:rPr>
        <w:t xml:space="preserve"> addresses details of a Trust Environment for the Embedded Common Interface (ECI) for exchangeable CA/DRM solutions and complements ECI-related ITU-T Recommendations covering the ECI Ecosystem. This ITU-T Supplement is a transposition of the ETSI standard [b- ETSI GS ECI 001-6] and is a result of a collaboration between ITU-T SG9 and ETSI ISG ECI.</w:t>
      </w:r>
    </w:p>
    <w:p w14:paraId="668A5EB9" w14:textId="10FEC09A" w:rsidR="00E37F03" w:rsidRDefault="00C44FDC" w:rsidP="00E37F03">
      <w:pPr>
        <w:rPr>
          <w:b/>
          <w:bCs/>
          <w:highlight w:val="red"/>
          <w:lang w:val="en-GB"/>
        </w:rPr>
      </w:pPr>
      <w:hyperlink r:id="rId257" w:history="1">
        <w:r w:rsidR="00E37F03" w:rsidRPr="001D1635">
          <w:rPr>
            <w:rStyle w:val="Hyperlink"/>
            <w:b/>
            <w:bCs/>
            <w:lang w:val="en-GB"/>
          </w:rPr>
          <w:t>ITU-T J.Suppl.</w:t>
        </w:r>
        <w:r w:rsidR="00B05AEB" w:rsidRPr="001D1635">
          <w:rPr>
            <w:rStyle w:val="Hyperlink"/>
            <w:b/>
            <w:bCs/>
            <w:lang w:val="en-GB"/>
          </w:rPr>
          <w:t>9</w:t>
        </w:r>
        <w:r w:rsidR="00E37F03" w:rsidRPr="001D1635">
          <w:rPr>
            <w:rStyle w:val="Hyperlink"/>
            <w:b/>
            <w:bCs/>
            <w:lang w:val="en-GB"/>
          </w:rPr>
          <w:t xml:space="preserve"> “Embedded Common Interface (ECI) for exchangeable CA/DRM solutions; System Validation (VAL)”</w:t>
        </w:r>
      </w:hyperlink>
      <w:r w:rsidR="00E37F03">
        <w:rPr>
          <w:lang w:val="en-GB"/>
        </w:rPr>
        <w:t xml:space="preserve"> </w:t>
      </w:r>
      <w:r w:rsidR="00E37F03" w:rsidRPr="00E37F03">
        <w:rPr>
          <w:lang w:val="en-GB"/>
        </w:rPr>
        <w:t>addresses scenarios for System Validation for the Embedded Common Interface (ECI) for exchangeable CA/DRM solutions and complements ECI-related ITU-T Recommendations covering the ECI Ecosystem.</w:t>
      </w:r>
      <w:r w:rsidR="00E37F03">
        <w:rPr>
          <w:lang w:val="en-GB"/>
        </w:rPr>
        <w:t xml:space="preserve"> </w:t>
      </w:r>
      <w:r w:rsidR="00E37F03" w:rsidRPr="00E37F03">
        <w:rPr>
          <w:lang w:val="en-GB"/>
        </w:rPr>
        <w:t>This ITU-T Supplement is a transposition of the ETSI standard [b- ETSI GS ECI 002] and is a result of a collaboration between ITU-T SG9 and ETSI ISG ECI.</w:t>
      </w:r>
    </w:p>
    <w:p w14:paraId="754AA590" w14:textId="68DFE454" w:rsidR="005F3467" w:rsidRDefault="00C44FDC" w:rsidP="005F3467">
      <w:pPr>
        <w:rPr>
          <w:lang w:val="en-GB"/>
        </w:rPr>
      </w:pPr>
      <w:hyperlink r:id="rId258" w:history="1">
        <w:r w:rsidR="005F3467" w:rsidRPr="007A0E14">
          <w:rPr>
            <w:rStyle w:val="Hyperlink"/>
            <w:b/>
            <w:bCs/>
            <w:lang w:val="en-GB"/>
          </w:rPr>
          <w:t xml:space="preserve">ITU-T J.Suppl.10 “Correspondence Between </w:t>
        </w:r>
        <w:proofErr w:type="spellStart"/>
        <w:r w:rsidR="005F3467" w:rsidRPr="007A0E14">
          <w:rPr>
            <w:rStyle w:val="Hyperlink"/>
            <w:b/>
            <w:bCs/>
            <w:lang w:val="en-GB"/>
          </w:rPr>
          <w:t>CableLabs</w:t>
        </w:r>
        <w:proofErr w:type="spellEnd"/>
        <w:r w:rsidR="005F3467" w:rsidRPr="007A0E14">
          <w:rPr>
            <w:rStyle w:val="Hyperlink"/>
            <w:b/>
            <w:bCs/>
            <w:lang w:val="en-GB"/>
          </w:rPr>
          <w:t xml:space="preserve"> DOCSIS Specifications and ITU-T J-series Recommendations”</w:t>
        </w:r>
      </w:hyperlink>
      <w:r w:rsidR="005F3467">
        <w:rPr>
          <w:lang w:val="en-GB"/>
        </w:rPr>
        <w:t xml:space="preserve"> </w:t>
      </w:r>
      <w:r w:rsidR="005F3467" w:rsidRPr="005F3467">
        <w:rPr>
          <w:lang w:val="en-GB"/>
        </w:rPr>
        <w:t xml:space="preserve">is to clarify the relationship between the multiple generations of </w:t>
      </w:r>
      <w:proofErr w:type="spellStart"/>
      <w:r w:rsidR="005F3467" w:rsidRPr="005F3467">
        <w:rPr>
          <w:lang w:val="en-GB"/>
        </w:rPr>
        <w:t>CableLabs</w:t>
      </w:r>
      <w:proofErr w:type="spellEnd"/>
      <w:r w:rsidR="005F3467" w:rsidRPr="005F3467">
        <w:rPr>
          <w:lang w:val="en-GB"/>
        </w:rPr>
        <w:t xml:space="preserve"> DOCSIS specifications and the ITU-T J-series of DOCSIS-based recommendations.</w:t>
      </w:r>
    </w:p>
    <w:p w14:paraId="48A3238E" w14:textId="79343F99" w:rsidR="00291C7C" w:rsidRDefault="00C44FDC" w:rsidP="00291C7C">
      <w:pPr>
        <w:rPr>
          <w:lang w:val="en-GB"/>
        </w:rPr>
      </w:pPr>
      <w:hyperlink r:id="rId259" w:history="1">
        <w:r w:rsidR="00291C7C" w:rsidRPr="002C3671">
          <w:rPr>
            <w:rStyle w:val="Hyperlink"/>
            <w:b/>
            <w:bCs/>
            <w:lang w:val="en-GB"/>
          </w:rPr>
          <w:t>ITU-T Technical Paper JSTP-AFDI “</w:t>
        </w:r>
        <w:r w:rsidR="002C3671" w:rsidRPr="002C3671">
          <w:rPr>
            <w:rStyle w:val="Hyperlink"/>
            <w:b/>
            <w:bCs/>
            <w:lang w:val="en-GB"/>
          </w:rPr>
          <w:t>Analysis and related solutions for full duplex interference</w:t>
        </w:r>
        <w:r w:rsidR="00291C7C" w:rsidRPr="002C3671">
          <w:rPr>
            <w:rStyle w:val="Hyperlink"/>
            <w:b/>
            <w:bCs/>
            <w:lang w:val="en-GB"/>
          </w:rPr>
          <w:t>”</w:t>
        </w:r>
      </w:hyperlink>
      <w:r w:rsidR="00291C7C" w:rsidRPr="002C3671">
        <w:rPr>
          <w:lang w:val="en-GB"/>
        </w:rPr>
        <w:t xml:space="preserve"> </w:t>
      </w:r>
      <w:r w:rsidR="00291C7C" w:rsidRPr="00291C7C">
        <w:rPr>
          <w:lang w:val="en-GB"/>
        </w:rPr>
        <w:t>describes that several primary interferences will impact the in-band full-duplex CM performance, and the interference mitigation solutions are provided.</w:t>
      </w:r>
    </w:p>
    <w:p w14:paraId="101F78AE" w14:textId="434C144E" w:rsidR="00355D7E" w:rsidRPr="00952FDF" w:rsidRDefault="00C44FDC" w:rsidP="00355D7E">
      <w:pPr>
        <w:rPr>
          <w:highlight w:val="yellow"/>
          <w:lang w:val="en-GB"/>
        </w:rPr>
      </w:pPr>
      <w:hyperlink r:id="rId260" w:history="1">
        <w:r w:rsidR="00332498" w:rsidRPr="00332498">
          <w:rPr>
            <w:rStyle w:val="Hyperlink"/>
            <w:b/>
            <w:bCs/>
            <w:szCs w:val="24"/>
          </w:rPr>
          <w:t>ITU-T Technical Paper JSTP-IBBDTV “</w:t>
        </w:r>
        <w:r w:rsidR="00332498" w:rsidRPr="00332498">
          <w:rPr>
            <w:rStyle w:val="Hyperlink"/>
            <w:b/>
            <w:bCs/>
            <w:szCs w:val="24"/>
            <w:bdr w:val="none" w:sz="0" w:space="0" w:color="auto" w:frame="1"/>
            <w:shd w:val="clear" w:color="auto" w:fill="FFFFFF"/>
          </w:rPr>
          <w:t>Integrated broadcast-broadband digital TV application cooperated with server for functional extension including functions of digital TV reception and processing</w:t>
        </w:r>
      </w:hyperlink>
      <w:r w:rsidR="00332498" w:rsidRPr="00332498">
        <w:rPr>
          <w:b/>
          <w:bCs/>
          <w:szCs w:val="24"/>
        </w:rPr>
        <w:t>”</w:t>
      </w:r>
      <w:r w:rsidR="00332498" w:rsidRPr="00C027BA">
        <w:rPr>
          <w:szCs w:val="24"/>
        </w:rPr>
        <w:t xml:space="preserve"> </w:t>
      </w:r>
      <w:r w:rsidR="00355D7E" w:rsidRPr="00355D7E">
        <w:rPr>
          <w:lang w:val="en-GB"/>
        </w:rPr>
        <w:t>describes an integrated broadcast-broadband (IBB) digital TV application cooperated with server for functional extension including functions of digital TV reception and processing. In the current CATV systems, services are dependent on functions of a set top box (STB); thus, the services that require functions beyond the capabilities of an STB cannot be introduced. This system allows for the introduction of new services that require furthering the capabilities of the existing STBs and smoothly transitioning to new STB models. The system is built on an IBB system as defined in [ITU-T J.207].</w:t>
      </w:r>
      <w:r w:rsidR="00355D7E">
        <w:rPr>
          <w:lang w:val="en-GB"/>
        </w:rPr>
        <w:t xml:space="preserve"> </w:t>
      </w:r>
      <w:r w:rsidR="00355D7E" w:rsidRPr="00355D7E">
        <w:rPr>
          <w:lang w:val="en-GB"/>
        </w:rPr>
        <w:t xml:space="preserve">This system comprises servers and STBs with the following features. The server receives a cable broadcast signal, processes the required content elements and applications, and transfers the processed outputs to STBs. The STB presents the delivered processed </w:t>
      </w:r>
      <w:proofErr w:type="gramStart"/>
      <w:r w:rsidR="00355D7E" w:rsidRPr="00355D7E">
        <w:rPr>
          <w:lang w:val="en-GB"/>
        </w:rPr>
        <w:t>outputs, and</w:t>
      </w:r>
      <w:proofErr w:type="gramEnd"/>
      <w:r w:rsidR="00355D7E" w:rsidRPr="00355D7E">
        <w:rPr>
          <w:lang w:val="en-GB"/>
        </w:rPr>
        <w:t xml:space="preserve"> provides user-interactive functions.</w:t>
      </w:r>
    </w:p>
    <w:p w14:paraId="73890609" w14:textId="77777777" w:rsidR="006A46AE" w:rsidRPr="00FB1F1B" w:rsidRDefault="006A46AE" w:rsidP="006A46AE">
      <w:pPr>
        <w:pStyle w:val="Headingb"/>
      </w:pPr>
      <w:bookmarkStart w:id="232" w:name="_Toc480527893"/>
      <w:r w:rsidRPr="00FB1F1B">
        <w:t>I.2.2</w:t>
      </w:r>
      <w:r w:rsidRPr="00FB1F1B">
        <w:tab/>
      </w:r>
      <w:bookmarkEnd w:id="232"/>
      <w:r w:rsidRPr="00FB1F1B">
        <w:t>Smart ubiquitous networks, next-generation networks evolution, and future networks</w:t>
      </w:r>
    </w:p>
    <w:p w14:paraId="067F98C8" w14:textId="5EC92E25" w:rsidR="00DA3441" w:rsidRDefault="00C44FDC" w:rsidP="00DA3441">
      <w:pPr>
        <w:rPr>
          <w:lang w:val="en-GB" w:eastAsia="en-US"/>
        </w:rPr>
      </w:pPr>
      <w:hyperlink r:id="rId261" w:history="1">
        <w:r w:rsidR="00DA3441" w:rsidRPr="00081EA9">
          <w:rPr>
            <w:rStyle w:val="Hyperlink"/>
            <w:b/>
            <w:bCs/>
            <w:lang w:val="en-GB" w:eastAsia="en-US"/>
          </w:rPr>
          <w:t>ITU-T H.644.3 “Functional architecture of multimedia content delivery networks”</w:t>
        </w:r>
      </w:hyperlink>
      <w:r w:rsidR="00DA3441" w:rsidRPr="00081EA9">
        <w:rPr>
          <w:lang w:val="en-GB" w:eastAsia="en-US"/>
        </w:rPr>
        <w:t xml:space="preserve"> specifies the common functional architecture for multi</w:t>
      </w:r>
      <w:r w:rsidR="00DA3441" w:rsidRPr="00DA3441">
        <w:rPr>
          <w:lang w:val="en-GB" w:eastAsia="en-US"/>
        </w:rPr>
        <w:t>media content delivery network. The Functions and Functional blocks within this common functional architecture and the related reference points are specified in this Recommendation for matching the requirements of various kinds of content ingestion, content distribution and content delivery within different network and platform. In addition, this Recommendation also gives some examples of the related service features, workflows, implementation guide and the security aspects in Appendixes. This Recommendation is intended to provide the references for MCDN providers to help them to build the common infrastructures of a multimedia content delivery network. With this Recommendation, it is benefit for different multimedia content providers to dispatch their content to the different types of end-users by taking advantage of a common MCDN capability.</w:t>
      </w:r>
    </w:p>
    <w:p w14:paraId="66FC2D7C" w14:textId="7771E98C" w:rsidR="0013243D" w:rsidRPr="0039167D" w:rsidRDefault="0013243D" w:rsidP="0013243D">
      <w:pPr>
        <w:rPr>
          <w:lang w:val="en-GB" w:eastAsia="en-US"/>
        </w:rPr>
      </w:pPr>
      <w:r w:rsidRPr="0039167D">
        <w:rPr>
          <w:b/>
          <w:bCs/>
          <w:lang w:val="en-GB" w:eastAsia="en-US"/>
        </w:rPr>
        <w:t xml:space="preserve">ITU-T Q.3058 “Signalling architecture of orchestration in </w:t>
      </w:r>
      <w:proofErr w:type="spellStart"/>
      <w:r w:rsidRPr="0039167D">
        <w:rPr>
          <w:b/>
          <w:bCs/>
          <w:lang w:val="en-GB" w:eastAsia="en-US"/>
        </w:rPr>
        <w:t>NGNe</w:t>
      </w:r>
      <w:proofErr w:type="spellEnd"/>
      <w:r w:rsidRPr="0039167D">
        <w:rPr>
          <w:b/>
          <w:bCs/>
          <w:lang w:val="en-GB" w:eastAsia="en-US"/>
        </w:rPr>
        <w:t>” (under approval):</w:t>
      </w:r>
      <w:r w:rsidRPr="0039167D">
        <w:rPr>
          <w:lang w:val="en-GB" w:eastAsia="en-US"/>
        </w:rPr>
        <w:t xml:space="preserve"> The orchestration in </w:t>
      </w:r>
      <w:proofErr w:type="spellStart"/>
      <w:r w:rsidRPr="0039167D">
        <w:rPr>
          <w:lang w:val="en-GB" w:eastAsia="en-US"/>
        </w:rPr>
        <w:t>NGNe</w:t>
      </w:r>
      <w:proofErr w:type="spellEnd"/>
      <w:r w:rsidRPr="0039167D">
        <w:rPr>
          <w:lang w:val="en-GB" w:eastAsia="en-US"/>
        </w:rPr>
        <w:t xml:space="preserv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w:t>
      </w:r>
      <w:proofErr w:type="spellStart"/>
      <w:proofErr w:type="gramStart"/>
      <w:r w:rsidRPr="0039167D">
        <w:rPr>
          <w:lang w:val="en-GB" w:eastAsia="en-US"/>
        </w:rPr>
        <w:t>NGNe</w:t>
      </w:r>
      <w:proofErr w:type="spellEnd"/>
      <w:r w:rsidRPr="0039167D">
        <w:rPr>
          <w:lang w:val="en-GB" w:eastAsia="en-US"/>
        </w:rPr>
        <w:t>, and</w:t>
      </w:r>
      <w:proofErr w:type="gramEnd"/>
      <w:r w:rsidRPr="0039167D">
        <w:rPr>
          <w:lang w:val="en-GB" w:eastAsia="en-US"/>
        </w:rPr>
        <w:t xml:space="preserve"> provides the signalling requirements of the interfaces and defines the protocols used for interfaces. The descriptions of the requirements, the functional </w:t>
      </w:r>
      <w:proofErr w:type="gramStart"/>
      <w:r w:rsidRPr="0039167D">
        <w:rPr>
          <w:lang w:val="en-GB" w:eastAsia="en-US"/>
        </w:rPr>
        <w:t>architecture</w:t>
      </w:r>
      <w:proofErr w:type="gramEnd"/>
      <w:r w:rsidRPr="0039167D">
        <w:rPr>
          <w:lang w:val="en-GB" w:eastAsia="en-US"/>
        </w:rPr>
        <w:t xml:space="preserve"> and the reference points of orchestration in </w:t>
      </w:r>
      <w:proofErr w:type="spellStart"/>
      <w:r w:rsidRPr="0039167D">
        <w:rPr>
          <w:lang w:val="en-GB" w:eastAsia="en-US"/>
        </w:rPr>
        <w:t>NGNe</w:t>
      </w:r>
      <w:proofErr w:type="spellEnd"/>
      <w:r w:rsidRPr="0039167D">
        <w:rPr>
          <w:lang w:val="en-GB" w:eastAsia="en-US"/>
        </w:rPr>
        <w:t xml:space="preserve"> are aligned with [ITU-T Y.2323] and [ITU-T Y.2324].</w:t>
      </w:r>
    </w:p>
    <w:p w14:paraId="68199605" w14:textId="256FDC41" w:rsidR="00C964CA" w:rsidRPr="0039167D" w:rsidRDefault="00C964CA" w:rsidP="00C964CA">
      <w:pPr>
        <w:rPr>
          <w:lang w:val="en-GB" w:eastAsia="en-US"/>
        </w:rPr>
      </w:pPr>
      <w:r w:rsidRPr="0039167D">
        <w:rPr>
          <w:b/>
          <w:bCs/>
          <w:lang w:val="en-GB" w:eastAsia="en-US"/>
        </w:rPr>
        <w:t>ITU-T Q.3059 “Signalling requirements for service function discovery” (under approval)</w:t>
      </w:r>
      <w:r w:rsidRPr="0039167D">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589DB40A" w14:textId="77777777" w:rsidR="00DE3ED4" w:rsidRPr="00DE3ED4" w:rsidRDefault="00DE3ED4" w:rsidP="00DE3ED4">
      <w:pPr>
        <w:rPr>
          <w:lang w:val="en-GB" w:eastAsia="en-US"/>
        </w:rPr>
      </w:pPr>
      <w:r w:rsidRPr="0039167D">
        <w:rPr>
          <w:b/>
          <w:bCs/>
          <w:lang w:val="en-GB" w:eastAsia="en-US"/>
        </w:rPr>
        <w:t>ITU-T Q.3060 “Signalling architecture of the fast deployment emergency telecommunication network to be used in a natural disaster” (under approval)</w:t>
      </w:r>
      <w:r w:rsidRPr="0039167D">
        <w:rPr>
          <w:lang w:val="en-GB" w:eastAsia="en-US"/>
        </w:rPr>
        <w:t>:</w:t>
      </w:r>
      <w:r w:rsidRPr="00DE3ED4">
        <w:rPr>
          <w:lang w:val="en-GB" w:eastAsia="en-US"/>
        </w:rPr>
        <w:t xml:space="preserve"> In the last decade, climate change and natural disasters affected most of the countries all over the globe. The consequence such as tropical storms, floods and droughts directly affect social and various industrial sectors including ICT.</w:t>
      </w:r>
    </w:p>
    <w:p w14:paraId="3510DBD2" w14:textId="77777777" w:rsidR="00DE3ED4" w:rsidRPr="00DE3ED4" w:rsidRDefault="00DE3ED4" w:rsidP="00DE3ED4">
      <w:pPr>
        <w:rPr>
          <w:lang w:val="en-GB" w:eastAsia="en-US"/>
        </w:rPr>
      </w:pPr>
      <w:r w:rsidRPr="00DE3ED4">
        <w:rPr>
          <w:lang w:val="en-GB" w:eastAsia="en-US"/>
        </w:rPr>
        <w:lastRenderedPageBreak/>
        <w:t>In this regard, the deployment of special emergency telecommunication network becomes a first and important aid for civilians afflicted by natural disasters. The rapid deployment of such networks is fundamental.</w:t>
      </w:r>
    </w:p>
    <w:p w14:paraId="62CDC840" w14:textId="77777777" w:rsidR="00DE3ED4" w:rsidRPr="00DE3ED4" w:rsidRDefault="00DE3ED4" w:rsidP="00DE3ED4">
      <w:pPr>
        <w:rPr>
          <w:lang w:val="en-GB" w:eastAsia="en-US"/>
        </w:rPr>
      </w:pPr>
      <w:r w:rsidRPr="00DE3ED4">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Default="00DE3ED4" w:rsidP="00DE3ED4">
      <w:pPr>
        <w:rPr>
          <w:highlight w:val="yellow"/>
          <w:lang w:val="en-GB" w:eastAsia="en-US"/>
        </w:rPr>
      </w:pPr>
      <w:r w:rsidRPr="00DE3ED4">
        <w:rPr>
          <w:lang w:val="en-GB" w:eastAsia="en-US"/>
        </w:rPr>
        <w:t xml:space="preserve">The goal of this Recommendation is to describe the functional elements, services and </w:t>
      </w:r>
      <w:proofErr w:type="spellStart"/>
      <w:r w:rsidRPr="00DE3ED4">
        <w:rPr>
          <w:lang w:val="en-GB" w:eastAsia="en-US"/>
        </w:rPr>
        <w:t>signaling</w:t>
      </w:r>
      <w:proofErr w:type="spellEnd"/>
      <w:r w:rsidRPr="00DE3ED4">
        <w:rPr>
          <w:lang w:val="en-GB" w:eastAsia="en-US"/>
        </w:rPr>
        <w:t xml:space="preserve"> architecture of emergency telecommunication network which can be rapidly deployed in a country affected by a natural disaster.</w:t>
      </w:r>
    </w:p>
    <w:p w14:paraId="5CF194F3" w14:textId="73545434" w:rsidR="00772383" w:rsidRDefault="00C44FDC" w:rsidP="00772383">
      <w:pPr>
        <w:rPr>
          <w:lang w:val="en-GB" w:eastAsia="en-US"/>
        </w:rPr>
      </w:pPr>
      <w:hyperlink r:id="rId262" w:history="1">
        <w:r w:rsidR="00772383" w:rsidRPr="003A0178">
          <w:rPr>
            <w:rStyle w:val="Hyperlink"/>
            <w:b/>
            <w:bCs/>
            <w:lang w:val="en-GB" w:eastAsia="en-US"/>
          </w:rPr>
          <w:t>ITU-T Q.3643 “Signalling architecture of distributed infrastructure ENUM networking for IMS”</w:t>
        </w:r>
      </w:hyperlink>
      <w:r w:rsidR="003A0178">
        <w:rPr>
          <w:lang w:val="en-GB" w:eastAsia="en-US"/>
        </w:rPr>
        <w:t xml:space="preserve"> d</w:t>
      </w:r>
      <w:r w:rsidR="00772383" w:rsidRPr="00772383">
        <w:rPr>
          <w:lang w:val="en-GB" w:eastAsia="en-US"/>
        </w:rPr>
        <w:t>efines the framework and signalling architecture for distributed ENUM networking in support of IMS interconnection. Based on the signalling architecture of distributed ENUM model, it specifies the signalling procedures of ENUM profile management and ENUM resolution. The signalling requirements and protocols to be applied for interfaces of distributed ENUM networking are addressed as well.</w:t>
      </w:r>
    </w:p>
    <w:p w14:paraId="052F4FD9" w14:textId="0490375F" w:rsidR="00863CE9" w:rsidRPr="0039167D" w:rsidRDefault="00863CE9" w:rsidP="00863CE9">
      <w:pPr>
        <w:rPr>
          <w:lang w:val="en-GB" w:eastAsia="en-US"/>
        </w:rPr>
      </w:pPr>
      <w:r w:rsidRPr="0039167D">
        <w:rPr>
          <w:b/>
          <w:bCs/>
          <w:lang w:val="en-GB" w:eastAsia="en-US"/>
        </w:rPr>
        <w:t>ITU-T Q.3645 “Protocol at interface between two distributed ENUM servers for IMS” (under approval)</w:t>
      </w:r>
      <w:r w:rsidRPr="0039167D">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2344C5A4" w:rsidR="00ED7F2B" w:rsidRPr="0039167D" w:rsidRDefault="00ED7F2B" w:rsidP="00ED7F2B">
      <w:pPr>
        <w:rPr>
          <w:lang w:val="en-GB" w:eastAsia="en-US"/>
        </w:rPr>
      </w:pPr>
      <w:r w:rsidRPr="0039167D">
        <w:rPr>
          <w:b/>
          <w:bCs/>
          <w:lang w:val="en-GB" w:eastAsia="en-US"/>
        </w:rPr>
        <w:t xml:space="preserve">ITU-T Q.3720 “Procedures for </w:t>
      </w:r>
      <w:proofErr w:type="spellStart"/>
      <w:r w:rsidRPr="0039167D">
        <w:rPr>
          <w:b/>
          <w:bCs/>
          <w:lang w:val="en-GB" w:eastAsia="en-US"/>
        </w:rPr>
        <w:t>vBNG</w:t>
      </w:r>
      <w:proofErr w:type="spellEnd"/>
      <w:r w:rsidRPr="0039167D">
        <w:rPr>
          <w:b/>
          <w:bCs/>
          <w:lang w:val="en-GB" w:eastAsia="en-US"/>
        </w:rPr>
        <w:t xml:space="preserve"> acceleration with programmable acceleration card” (under approval)</w:t>
      </w:r>
      <w:r w:rsidRPr="0039167D">
        <w:rPr>
          <w:lang w:val="en-GB" w:eastAsia="en-US"/>
        </w:rPr>
        <w:t xml:space="preserve"> specifies the framework, working modes, and procedures for </w:t>
      </w:r>
      <w:proofErr w:type="spellStart"/>
      <w:r w:rsidRPr="0039167D">
        <w:rPr>
          <w:lang w:val="en-GB" w:eastAsia="en-US"/>
        </w:rPr>
        <w:t>vBNG</w:t>
      </w:r>
      <w:proofErr w:type="spellEnd"/>
      <w:r w:rsidRPr="0039167D">
        <w:rPr>
          <w:lang w:val="en-GB" w:eastAsia="en-US"/>
        </w:rPr>
        <w:t xml:space="preserve"> acceleration with programmable acceleration card.</w:t>
      </w:r>
    </w:p>
    <w:p w14:paraId="205EEAF0" w14:textId="17FB2732" w:rsidR="008F7548" w:rsidRPr="0039167D" w:rsidRDefault="008F7548" w:rsidP="008F7548">
      <w:pPr>
        <w:rPr>
          <w:lang w:val="en-GB" w:eastAsia="en-US"/>
        </w:rPr>
      </w:pPr>
      <w:r w:rsidRPr="0039167D">
        <w:rPr>
          <w:b/>
          <w:bCs/>
          <w:lang w:val="en-GB" w:eastAsia="en-US"/>
        </w:rPr>
        <w:t xml:space="preserve">ITU-T Q.3915 “Set of parameters of </w:t>
      </w:r>
      <w:proofErr w:type="spellStart"/>
      <w:r w:rsidRPr="0039167D">
        <w:rPr>
          <w:b/>
          <w:bCs/>
          <w:lang w:val="en-GB" w:eastAsia="en-US"/>
        </w:rPr>
        <w:t>vBNG</w:t>
      </w:r>
      <w:proofErr w:type="spellEnd"/>
      <w:r w:rsidRPr="0039167D">
        <w:rPr>
          <w:b/>
          <w:bCs/>
          <w:lang w:val="en-GB" w:eastAsia="en-US"/>
        </w:rPr>
        <w:t xml:space="preserve"> for monitoring” (under approval):</w:t>
      </w:r>
      <w:r w:rsidRPr="0039167D">
        <w:rPr>
          <w:lang w:val="en-GB" w:eastAsia="en-US"/>
        </w:rPr>
        <w:t xml:space="preserve"> Virtual Broadband Network Gateway has been developed as an entry point for telecommunication providers to introduce network function virtualization (NFV). This draft Recommendation focuses on monitoring of virtual Broadband Network Gateway (</w:t>
      </w:r>
      <w:proofErr w:type="spellStart"/>
      <w:r w:rsidRPr="0039167D">
        <w:rPr>
          <w:lang w:val="en-GB" w:eastAsia="en-US"/>
        </w:rPr>
        <w:t>vBNG</w:t>
      </w:r>
      <w:proofErr w:type="spellEnd"/>
      <w:r w:rsidRPr="0039167D">
        <w:rPr>
          <w:lang w:val="en-GB" w:eastAsia="en-US"/>
        </w:rPr>
        <w:t xml:space="preserve">) in NFV. This Recommendation provides the set of parameters that indicate the state and event of </w:t>
      </w:r>
      <w:proofErr w:type="spellStart"/>
      <w:r w:rsidRPr="0039167D">
        <w:rPr>
          <w:lang w:val="en-GB" w:eastAsia="en-US"/>
        </w:rPr>
        <w:t>vBNG</w:t>
      </w:r>
      <w:proofErr w:type="spellEnd"/>
      <w:r w:rsidRPr="0039167D">
        <w:rPr>
          <w:lang w:val="en-GB" w:eastAsia="en-US"/>
        </w:rPr>
        <w:t>.</w:t>
      </w:r>
    </w:p>
    <w:p w14:paraId="191B5B12" w14:textId="2EFB9DB0" w:rsidR="00D2738F" w:rsidRPr="0039167D" w:rsidRDefault="00D2738F" w:rsidP="00D2738F">
      <w:pPr>
        <w:rPr>
          <w:lang w:val="en-GB" w:eastAsia="en-US"/>
        </w:rPr>
      </w:pPr>
      <w:r w:rsidRPr="0039167D">
        <w:rPr>
          <w:b/>
          <w:bCs/>
          <w:lang w:val="en-GB" w:eastAsia="en-US"/>
        </w:rPr>
        <w:t>ITU-T Q.3961 “Parameters for evaluating bottleneck of web-browsing service” (under approval)</w:t>
      </w:r>
      <w:r w:rsidRPr="0039167D">
        <w:rPr>
          <w:lang w:val="en-GB" w:eastAsia="en-US"/>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6502AC97" w:rsidR="0028227C" w:rsidRPr="0039167D" w:rsidRDefault="0028227C" w:rsidP="0028227C">
      <w:pPr>
        <w:rPr>
          <w:lang w:val="en-GB" w:eastAsia="en-US"/>
        </w:rPr>
      </w:pPr>
      <w:r w:rsidRPr="0039167D">
        <w:rPr>
          <w:b/>
          <w:bCs/>
          <w:lang w:val="en-GB" w:eastAsia="en-US"/>
        </w:rPr>
        <w:t>ITU-T Q.4064 “Interoperability testing requirements of virtual Broadband Network Gateway” (under approval)</w:t>
      </w:r>
      <w:r w:rsidRPr="0039167D">
        <w:rPr>
          <w:lang w:val="en-GB" w:eastAsia="en-US"/>
        </w:rPr>
        <w:t xml:space="preserve"> aims to specify virtual BNG (</w:t>
      </w:r>
      <w:proofErr w:type="spellStart"/>
      <w:r w:rsidRPr="0039167D">
        <w:rPr>
          <w:lang w:val="en-GB" w:eastAsia="en-US"/>
        </w:rPr>
        <w:t>vBNG</w:t>
      </w:r>
      <w:proofErr w:type="spellEnd"/>
      <w:r w:rsidRPr="0039167D">
        <w:rPr>
          <w:lang w:val="en-GB" w:eastAsia="en-US"/>
        </w:rPr>
        <w:t xml:space="preserve">) interoperability testing requirements. Firstly, as a basic background, this Recommendation introduces the overview of </w:t>
      </w:r>
      <w:proofErr w:type="spellStart"/>
      <w:r w:rsidRPr="0039167D">
        <w:rPr>
          <w:lang w:val="en-GB" w:eastAsia="en-US"/>
        </w:rPr>
        <w:t>vBNG</w:t>
      </w:r>
      <w:proofErr w:type="spellEnd"/>
      <w:r w:rsidRPr="0039167D">
        <w:rPr>
          <w:lang w:val="en-GB" w:eastAsia="en-US"/>
        </w:rPr>
        <w:t xml:space="preserve"> and interoperability testing of </w:t>
      </w:r>
      <w:proofErr w:type="spellStart"/>
      <w:r w:rsidRPr="0039167D">
        <w:rPr>
          <w:lang w:val="en-GB" w:eastAsia="en-US"/>
        </w:rPr>
        <w:t>vBNG</w:t>
      </w:r>
      <w:proofErr w:type="spellEnd"/>
      <w:r w:rsidRPr="0039167D">
        <w:rPr>
          <w:lang w:val="en-GB" w:eastAsia="en-US"/>
        </w:rPr>
        <w:t xml:space="preserve">, which includes but not limited to the definition, characteristics, general capabilities of </w:t>
      </w:r>
      <w:proofErr w:type="spellStart"/>
      <w:r w:rsidRPr="0039167D">
        <w:rPr>
          <w:lang w:val="en-GB" w:eastAsia="en-US"/>
        </w:rPr>
        <w:t>vBNG</w:t>
      </w:r>
      <w:proofErr w:type="spellEnd"/>
      <w:r w:rsidRPr="0039167D">
        <w:rPr>
          <w:lang w:val="en-GB" w:eastAsia="en-US"/>
        </w:rPr>
        <w:t xml:space="preserve"> as well as the overview of interoperability testing of </w:t>
      </w:r>
      <w:proofErr w:type="spellStart"/>
      <w:r w:rsidRPr="0039167D">
        <w:rPr>
          <w:lang w:val="en-GB" w:eastAsia="en-US"/>
        </w:rPr>
        <w:t>vBNG</w:t>
      </w:r>
      <w:proofErr w:type="spellEnd"/>
      <w:r w:rsidRPr="0039167D">
        <w:rPr>
          <w:lang w:val="en-GB" w:eastAsia="en-US"/>
        </w:rPr>
        <w:t xml:space="preserve">. The description of use cases of </w:t>
      </w:r>
      <w:proofErr w:type="spellStart"/>
      <w:r w:rsidRPr="0039167D">
        <w:rPr>
          <w:lang w:val="en-GB" w:eastAsia="en-US"/>
        </w:rPr>
        <w:t>vBNG</w:t>
      </w:r>
      <w:proofErr w:type="spellEnd"/>
      <w:r w:rsidRPr="0039167D">
        <w:rPr>
          <w:lang w:val="en-GB" w:eastAsia="en-US"/>
        </w:rPr>
        <w:t xml:space="preserve"> will be provided as appendix. Base on analysis of involved </w:t>
      </w:r>
      <w:proofErr w:type="spellStart"/>
      <w:r w:rsidRPr="0039167D">
        <w:rPr>
          <w:lang w:val="en-GB" w:eastAsia="en-US"/>
        </w:rPr>
        <w:t>vBNG</w:t>
      </w:r>
      <w:proofErr w:type="spellEnd"/>
      <w:r w:rsidRPr="0039167D">
        <w:rPr>
          <w:lang w:val="en-GB" w:eastAsia="en-US"/>
        </w:rPr>
        <w:t xml:space="preserve"> capabilities in use cases, the corresponding derived requirements of </w:t>
      </w:r>
      <w:proofErr w:type="spellStart"/>
      <w:r w:rsidRPr="0039167D">
        <w:rPr>
          <w:lang w:val="en-GB" w:eastAsia="en-US"/>
        </w:rPr>
        <w:t>vBNG’s</w:t>
      </w:r>
      <w:proofErr w:type="spellEnd"/>
      <w:r w:rsidRPr="0039167D">
        <w:rPr>
          <w:lang w:val="en-GB" w:eastAsia="en-US"/>
        </w:rPr>
        <w:t xml:space="preserve"> interoperability testing will be introduced.</w:t>
      </w:r>
    </w:p>
    <w:p w14:paraId="32A407EE" w14:textId="304AAD25" w:rsidR="0052171F" w:rsidRPr="0039167D" w:rsidRDefault="0052171F" w:rsidP="0052171F">
      <w:pPr>
        <w:rPr>
          <w:lang w:val="en-GB" w:eastAsia="en-US"/>
        </w:rPr>
      </w:pPr>
      <w:r w:rsidRPr="0039167D">
        <w:rPr>
          <w:b/>
          <w:bCs/>
          <w:lang w:val="en-GB" w:eastAsia="en-US"/>
        </w:rPr>
        <w:lastRenderedPageBreak/>
        <w:t>ITU-T Q.4066 “Testing procedures of Augmented Reality applications” (under approval)</w:t>
      </w:r>
      <w:r w:rsidRPr="0039167D">
        <w:rPr>
          <w:lang w:val="en-GB" w:eastAsia="en-US"/>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612F36FE" w:rsidR="00C9671E" w:rsidRPr="0039167D" w:rsidRDefault="00C9671E" w:rsidP="00C9671E">
      <w:pPr>
        <w:rPr>
          <w:lang w:val="en-GB" w:eastAsia="en-US"/>
        </w:rPr>
      </w:pPr>
      <w:r w:rsidRPr="0039167D">
        <w:rPr>
          <w:b/>
          <w:bCs/>
          <w:lang w:val="en-GB" w:eastAsia="en-US"/>
        </w:rPr>
        <w:t>ITU-T Q.4100 “Hybrid peer-to-peer (P2P) communications: Functional architecture” (under approval)</w:t>
      </w:r>
      <w:r w:rsidRPr="0039167D">
        <w:rPr>
          <w:lang w:val="en-GB" w:eastAsia="en-US"/>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10B2A01F" w:rsidR="001311D3" w:rsidRPr="001311D3" w:rsidRDefault="001311D3" w:rsidP="001311D3">
      <w:pPr>
        <w:rPr>
          <w:lang w:val="en-GB" w:eastAsia="en-US"/>
        </w:rPr>
      </w:pPr>
      <w:r w:rsidRPr="0039167D">
        <w:rPr>
          <w:b/>
          <w:bCs/>
          <w:lang w:val="en-GB" w:eastAsia="en-US"/>
        </w:rPr>
        <w:t xml:space="preserve">ITU-T Q.5052 “Addressing mobile devices with duplicate unique identifier” (under approval): </w:t>
      </w:r>
      <w:r w:rsidRPr="001311D3">
        <w:rPr>
          <w:lang w:val="en-GB" w:eastAsia="en-US"/>
        </w:rPr>
        <w:t>The presence and detection of duplicate unique identifiers on mobile networks and identifying the authenticity of a device are two key problems that stakeholders are looking to find solutions for.</w:t>
      </w:r>
      <w:r>
        <w:rPr>
          <w:lang w:val="en-GB" w:eastAsia="en-US"/>
        </w:rPr>
        <w:t xml:space="preserve"> </w:t>
      </w:r>
      <w:r w:rsidRPr="001311D3">
        <w:rPr>
          <w:lang w:val="en-GB" w:eastAsia="en-US"/>
        </w:rPr>
        <w:t>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w:t>
      </w:r>
      <w:r>
        <w:rPr>
          <w:lang w:val="en-GB" w:eastAsia="en-US"/>
        </w:rPr>
        <w:t xml:space="preserve"> </w:t>
      </w:r>
      <w:r w:rsidRPr="001311D3">
        <w:rPr>
          <w:lang w:val="en-GB" w:eastAsia="en-US"/>
        </w:rPr>
        <w:t>A combination of one or more methodologies described in this document can be employed at any given time. The decision regarding the methodology or methodologies to employ will determine the level of effectiveness of a country’s detection mechanism.</w:t>
      </w:r>
    </w:p>
    <w:p w14:paraId="28D422BC" w14:textId="79B528C5" w:rsidR="00742122" w:rsidRDefault="00C44FDC" w:rsidP="00742122">
      <w:pPr>
        <w:rPr>
          <w:lang w:val="en-GB" w:eastAsia="en-US"/>
        </w:rPr>
      </w:pPr>
      <w:hyperlink r:id="rId263" w:history="1">
        <w:r w:rsidR="00742122" w:rsidRPr="00670319">
          <w:rPr>
            <w:rStyle w:val="Hyperlink"/>
            <w:b/>
            <w:bCs/>
            <w:lang w:val="en-GB" w:eastAsia="en-US"/>
          </w:rPr>
          <w:t>ITU-T X.609.5 (revised) “Managed P2P communications: Overlay management protocol”</w:t>
        </w:r>
      </w:hyperlink>
      <w:r w:rsidR="00742122">
        <w:rPr>
          <w:lang w:val="en-GB" w:eastAsia="en-US"/>
        </w:rPr>
        <w:t xml:space="preserve"> </w:t>
      </w:r>
      <w:r w:rsidR="00742122" w:rsidRPr="00742122">
        <w:rPr>
          <w:lang w:val="en-GB" w:eastAsia="en-US"/>
        </w:rPr>
        <w:t>specifies a multimedia streaming overlay management protocol (MSOMP) that runs on the interface among entities of managed P2P communications. The management functionalities covered in this Recommendation include overlay network management including creation, modification, and termination and peer management including membership control and information maintenance. The protocol is applicable to various services such as multimedia streaming service and content distribution service over managed P2P communications. This Recommendation provides protocol operations and message formats.</w:t>
      </w:r>
    </w:p>
    <w:p w14:paraId="1F42479D" w14:textId="7B2908F3" w:rsidR="00E07444" w:rsidRPr="0039167D" w:rsidRDefault="00E07444" w:rsidP="00E07444">
      <w:pPr>
        <w:rPr>
          <w:lang w:val="en-GB" w:eastAsia="en-US"/>
        </w:rPr>
      </w:pPr>
      <w:r w:rsidRPr="0039167D">
        <w:rPr>
          <w:b/>
          <w:bCs/>
          <w:lang w:val="en-GB" w:eastAsia="en-US"/>
        </w:rPr>
        <w:t>ITU-T X.609.9 “Managed P2P communications: Overlay content management protocol” (under approval)</w:t>
      </w:r>
      <w:r w:rsidRPr="0039167D">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542857" w:rsidR="00CC7EF4" w:rsidRPr="0039167D" w:rsidRDefault="00CC7EF4" w:rsidP="00CC7EF4">
      <w:pPr>
        <w:rPr>
          <w:lang w:val="en-GB" w:eastAsia="en-US"/>
        </w:rPr>
      </w:pPr>
      <w:r w:rsidRPr="0039167D">
        <w:rPr>
          <w:b/>
          <w:bCs/>
          <w:lang w:val="en-GB" w:eastAsia="en-US"/>
        </w:rPr>
        <w:t>ITU-T X.609.10 “Managed P2P communications: Signalling requirements for data streaming” (under approval)</w:t>
      </w:r>
      <w:r w:rsidRPr="0039167D">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w:t>
      </w:r>
      <w:r w:rsidRPr="0039167D">
        <w:rPr>
          <w:lang w:val="en-GB" w:eastAsia="en-US"/>
        </w:rPr>
        <w:lastRenderedPageBreak/>
        <w:t>by the data source in the data streaming service can be processed independently. This Recommendation also addresses service procedures for providing data streaming services based on managed peer-to-peer networks.</w:t>
      </w:r>
    </w:p>
    <w:p w14:paraId="338DEAA6" w14:textId="1B7DE1BE" w:rsidR="00A17C46" w:rsidRDefault="00C44FDC" w:rsidP="00614A4C">
      <w:pPr>
        <w:rPr>
          <w:lang w:val="en-GB" w:eastAsia="en-US"/>
        </w:rPr>
      </w:pPr>
      <w:hyperlink r:id="rId264" w:history="1">
        <w:r w:rsidR="00A17C46" w:rsidRPr="00B13F8D">
          <w:rPr>
            <w:rStyle w:val="Hyperlink"/>
            <w:b/>
            <w:bCs/>
            <w:lang w:val="en-GB" w:eastAsia="en-US"/>
          </w:rPr>
          <w:t>ITU-T Y.2029 Amd.1 “A multi-path transmission control in multi-connection - Amendment 1</w:t>
        </w:r>
        <w:r w:rsidR="00614A4C" w:rsidRPr="00B13F8D">
          <w:rPr>
            <w:rStyle w:val="Hyperlink"/>
            <w:b/>
            <w:bCs/>
            <w:lang w:val="en-GB" w:eastAsia="en-US"/>
          </w:rPr>
          <w:t xml:space="preserve"> </w:t>
        </w:r>
        <w:r w:rsidR="00A17C46" w:rsidRPr="00B13F8D">
          <w:rPr>
            <w:rStyle w:val="Hyperlink"/>
            <w:b/>
            <w:bCs/>
            <w:lang w:val="en-GB" w:eastAsia="en-US"/>
          </w:rPr>
          <w:t>- New Annex A: Network equipment based multi-path transmission”</w:t>
        </w:r>
      </w:hyperlink>
      <w:r w:rsidR="00A17C46" w:rsidRPr="00B13F8D">
        <w:rPr>
          <w:b/>
          <w:bCs/>
          <w:lang w:val="en-GB" w:eastAsia="en-US"/>
        </w:rPr>
        <w:t xml:space="preserve"> </w:t>
      </w:r>
      <w:r w:rsidR="00614A4C" w:rsidRPr="00614A4C">
        <w:rPr>
          <w:lang w:val="en-GB" w:eastAsia="en-US"/>
        </w:rPr>
        <w:t>provides the text of network equipment based multi-path transmission including the necessity and technical considerations, capability requirements, scenarios, and information flows for supporting network equipment based multi-path transmission.</w:t>
      </w:r>
    </w:p>
    <w:p w14:paraId="4749F018" w14:textId="567BD197" w:rsidR="007A17AF" w:rsidRDefault="007A17AF" w:rsidP="007A17AF">
      <w:pPr>
        <w:rPr>
          <w:lang w:val="en-GB" w:eastAsia="en-US"/>
        </w:rPr>
      </w:pPr>
      <w:r w:rsidRPr="0039167D">
        <w:rPr>
          <w:b/>
          <w:bCs/>
          <w:lang w:val="en-GB" w:eastAsia="en-US"/>
        </w:rPr>
        <w:t>ITU-T Y.2245 “”Service model of the Agriculture Information based Convergence Service” (under approval):</w:t>
      </w:r>
      <w:r>
        <w:rPr>
          <w:lang w:val="en-GB" w:eastAsia="en-US"/>
        </w:rPr>
        <w:t xml:space="preserve"> </w:t>
      </w:r>
      <w:r w:rsidRPr="007A17AF">
        <w:rPr>
          <w:lang w:val="en-GB" w:eastAsia="en-US"/>
        </w:rPr>
        <w:t>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stage, the convergence services are provided to increase crop quality and yield and reduce farm maintenance costs. This Recommendation provides more details about the service model.</w:t>
      </w:r>
    </w:p>
    <w:p w14:paraId="67247FAB" w14:textId="51B07151" w:rsidR="00BF6971" w:rsidRDefault="00C44FDC" w:rsidP="00BF6971">
      <w:pPr>
        <w:rPr>
          <w:lang w:val="en-GB" w:eastAsia="en-US"/>
        </w:rPr>
      </w:pPr>
      <w:hyperlink r:id="rId265" w:history="1">
        <w:r w:rsidR="00BF6971" w:rsidRPr="004A245D">
          <w:rPr>
            <w:rStyle w:val="Hyperlink"/>
            <w:b/>
            <w:bCs/>
            <w:lang w:val="en-GB" w:eastAsia="en-US"/>
          </w:rPr>
          <w:t xml:space="preserve">ITU-T </w:t>
        </w:r>
        <w:r w:rsidR="004A245D" w:rsidRPr="004A245D">
          <w:rPr>
            <w:rStyle w:val="Hyperlink"/>
            <w:b/>
            <w:bCs/>
            <w:lang w:val="en-GB" w:eastAsia="en-US"/>
          </w:rPr>
          <w:t>Y.Suppl.66</w:t>
        </w:r>
        <w:r w:rsidR="00BF6971" w:rsidRPr="004A245D">
          <w:rPr>
            <w:rStyle w:val="Hyperlink"/>
            <w:b/>
            <w:bCs/>
            <w:lang w:val="en-GB" w:eastAsia="en-US"/>
          </w:rPr>
          <w:t xml:space="preserve"> “Network 2030 Services: Capabilities, performance and design of new communications services for the Network 2030 applications”</w:t>
        </w:r>
      </w:hyperlink>
      <w:r w:rsidR="00BF6971">
        <w:rPr>
          <w:lang w:val="en-GB" w:eastAsia="en-US"/>
        </w:rPr>
        <w:t xml:space="preserve"> </w:t>
      </w:r>
      <w:r w:rsidR="00BF6971" w:rsidRPr="00BF6971">
        <w:rPr>
          <w:lang w:val="en-GB" w:eastAsia="en-US"/>
        </w:rPr>
        <w:t>tries to assess the new services and capabilities required by network 2030. This Supplement includes common terminology and definitions necessary for describing new services. It also analyses gaps in existing communication technology to provide the reasoning behind the new communication services that are proposed in this document.</w:t>
      </w:r>
    </w:p>
    <w:p w14:paraId="78F8186C" w14:textId="39199164" w:rsidR="009B2EFD" w:rsidRDefault="00C44FDC" w:rsidP="009B2EFD">
      <w:pPr>
        <w:rPr>
          <w:lang w:val="en-GB" w:eastAsia="en-US"/>
        </w:rPr>
      </w:pPr>
      <w:hyperlink r:id="rId266" w:history="1">
        <w:r w:rsidR="009B2EFD" w:rsidRPr="009B2EFD">
          <w:rPr>
            <w:rStyle w:val="Hyperlink"/>
            <w:b/>
            <w:bCs/>
            <w:lang w:val="en-GB" w:eastAsia="en-US"/>
          </w:rPr>
          <w:t>ITU-T Y.Suppl.67 “Representative use cases and key network requirements for Network 2030”</w:t>
        </w:r>
      </w:hyperlink>
      <w:r w:rsidR="009B2EFD">
        <w:rPr>
          <w:lang w:val="en-GB" w:eastAsia="en-US"/>
        </w:rPr>
        <w:t xml:space="preserve"> </w:t>
      </w:r>
      <w:r w:rsidR="009B2EFD" w:rsidRPr="009B2EFD">
        <w:rPr>
          <w:lang w:val="en-GB" w:eastAsia="en-US"/>
        </w:rPr>
        <w:t>presents at first seven representative use cases for Network 2030 with their potential key network requirements: Holographic Type Communications (HTC); Tactile Internet for Remote Operations (TIRO); Intelligent Operation Network (ION); Network and Computing Convergence (NCC); Digital Twin (DT); Space-Terrestrial Integrated Network (STIN); Industrial IoT (</w:t>
      </w:r>
      <w:proofErr w:type="spellStart"/>
      <w:r w:rsidR="009B2EFD" w:rsidRPr="009B2EFD">
        <w:rPr>
          <w:lang w:val="en-GB" w:eastAsia="en-US"/>
        </w:rPr>
        <w:t>IIoT</w:t>
      </w:r>
      <w:proofErr w:type="spellEnd"/>
      <w:r w:rsidR="009B2EFD" w:rsidRPr="009B2EFD">
        <w:rPr>
          <w:lang w:val="en-GB" w:eastAsia="en-US"/>
        </w:rPr>
        <w:t>) with cloudification. Then, five overarching abstract requirement dimensions are proposed and scored relatively in order to compare the requirements of each use case, graphically. The rationale for consideration of these abstract dimensions is stated in detail, as well as an analysis of each use case from the abstract dimension perspective</w:t>
      </w:r>
      <w:r w:rsidR="0001345C">
        <w:rPr>
          <w:lang w:val="en-GB" w:eastAsia="en-US"/>
        </w:rPr>
        <w:t>.</w:t>
      </w:r>
    </w:p>
    <w:p w14:paraId="57F1C88D" w14:textId="7E910DCD" w:rsidR="005718E2" w:rsidRDefault="00C44FDC" w:rsidP="00BF1C84">
      <w:pPr>
        <w:rPr>
          <w:lang w:val="en-GB" w:eastAsia="en-US"/>
        </w:rPr>
      </w:pPr>
      <w:hyperlink r:id="rId267" w:history="1">
        <w:r w:rsidR="005718E2" w:rsidRPr="003873FF">
          <w:rPr>
            <w:rStyle w:val="Hyperlink"/>
            <w:b/>
            <w:bCs/>
            <w:lang w:val="en-GB" w:eastAsia="en-US"/>
          </w:rPr>
          <w:t xml:space="preserve">ITU-T Technical report </w:t>
        </w:r>
        <w:r w:rsidR="003873FF" w:rsidRPr="003873FF">
          <w:rPr>
            <w:rStyle w:val="Hyperlink"/>
            <w:b/>
            <w:bCs/>
            <w:lang w:val="en-GB" w:eastAsia="en-US"/>
          </w:rPr>
          <w:t xml:space="preserve">NET2030-DF </w:t>
        </w:r>
        <w:r w:rsidR="005718E2" w:rsidRPr="003873FF">
          <w:rPr>
            <w:rStyle w:val="Hyperlink"/>
            <w:b/>
            <w:bCs/>
            <w:lang w:val="en-GB" w:eastAsia="en-US"/>
          </w:rPr>
          <w:t>“Driving Forces and Vision towards Network 2030”</w:t>
        </w:r>
      </w:hyperlink>
      <w:r w:rsidR="005718E2" w:rsidRPr="005718E2">
        <w:rPr>
          <w:lang w:val="en-GB" w:eastAsia="en-US"/>
        </w:rPr>
        <w:t xml:space="preserve"> aims to provide a holistic vision for Network </w:t>
      </w:r>
      <w:proofErr w:type="gramStart"/>
      <w:r w:rsidR="005718E2" w:rsidRPr="005718E2">
        <w:rPr>
          <w:lang w:val="en-GB" w:eastAsia="en-US"/>
        </w:rPr>
        <w:t>2030, and</w:t>
      </w:r>
      <w:proofErr w:type="gramEnd"/>
      <w:r w:rsidR="005718E2" w:rsidRPr="005718E2">
        <w:rPr>
          <w:lang w:val="en-GB" w:eastAsia="en-US"/>
        </w:rPr>
        <w:t xml:space="preserve"> analyses some fundamental driving forces by presenting four new network capability driven use cases and services. Accordingly, future-oriented challenges with potential network requirements are stated as well. Overall, this report provides an overview of Network 2030, finally leading to the three pillars of Network 2030, in terms of new applications, new services and new infrastructures.</w:t>
      </w:r>
    </w:p>
    <w:p w14:paraId="5B2895CD" w14:textId="09D24411" w:rsidR="0071195B" w:rsidRPr="0071195B" w:rsidRDefault="0071195B" w:rsidP="0071195B">
      <w:pPr>
        <w:rPr>
          <w:lang w:val="en-GB" w:eastAsia="en-US"/>
        </w:rPr>
      </w:pPr>
      <w:r w:rsidRPr="0039167D">
        <w:rPr>
          <w:b/>
          <w:bCs/>
          <w:lang w:val="en-GB" w:eastAsia="en-US"/>
        </w:rPr>
        <w:t>ITU-T Technical report “Use of ITU-T Recommendations by Developing Countries” (under publication)</w:t>
      </w:r>
      <w:r w:rsidRPr="0039167D">
        <w:rPr>
          <w:lang w:val="en-GB" w:eastAsia="en-US"/>
        </w:rPr>
        <w:t>:</w:t>
      </w:r>
      <w:r>
        <w:rPr>
          <w:lang w:val="en-GB" w:eastAsia="en-US"/>
        </w:rPr>
        <w:t xml:space="preserve"> </w:t>
      </w:r>
      <w:r w:rsidRPr="0071195B">
        <w:rPr>
          <w:lang w:val="en-GB" w:eastAsia="en-US"/>
        </w:rPr>
        <w:t>A standard is defined as a document established by consensus and approved by a recognized body.</w:t>
      </w:r>
      <w:r w:rsidR="00EA0195">
        <w:rPr>
          <w:lang w:val="en-GB" w:eastAsia="en-US"/>
        </w:rPr>
        <w:t xml:space="preserve"> </w:t>
      </w:r>
      <w:r w:rsidRPr="0071195B">
        <w:rPr>
          <w:lang w:val="en-GB" w:eastAsia="en-US"/>
        </w:rPr>
        <w:t xml:space="preserve">In the UN, the ITU-T is the recognized body for Telecommunication Standardization whose output Standards are known as ITU-T Recommendations. Countries use standards to maximize compatibility, interoperability, safety, repeatability, and </w:t>
      </w:r>
      <w:proofErr w:type="gramStart"/>
      <w:r w:rsidRPr="0071195B">
        <w:rPr>
          <w:lang w:val="en-GB" w:eastAsia="en-US"/>
        </w:rPr>
        <w:t>quality</w:t>
      </w:r>
      <w:proofErr w:type="gramEnd"/>
      <w:r w:rsidRPr="0071195B">
        <w:rPr>
          <w:lang w:val="en-GB" w:eastAsia="en-US"/>
        </w:rPr>
        <w:t xml:space="preserve"> among others.</w:t>
      </w:r>
      <w:r>
        <w:rPr>
          <w:lang w:val="en-GB" w:eastAsia="en-US"/>
        </w:rPr>
        <w:t xml:space="preserve"> </w:t>
      </w:r>
      <w:r w:rsidRPr="0071195B">
        <w:rPr>
          <w:lang w:val="en-GB" w:eastAsia="en-US"/>
        </w:rPr>
        <w:t xml:space="preserve">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w:t>
      </w:r>
      <w:r w:rsidRPr="0071195B">
        <w:rPr>
          <w:lang w:val="en-GB" w:eastAsia="en-US"/>
        </w:rPr>
        <w:lastRenderedPageBreak/>
        <w:t>either side of development, to actively participate in both the production and utilization of the standards. There is however a perception that there is less utilization of the ITU-T standards by Developing Countries.</w:t>
      </w:r>
    </w:p>
    <w:p w14:paraId="1DCB6DA2" w14:textId="3F07B3D6" w:rsidR="0071195B" w:rsidRPr="00952FDF" w:rsidRDefault="0071195B" w:rsidP="0071195B">
      <w:pPr>
        <w:rPr>
          <w:highlight w:val="yellow"/>
          <w:lang w:val="en-GB" w:eastAsia="en-US"/>
        </w:rPr>
      </w:pPr>
      <w:r w:rsidRPr="0071195B">
        <w:rPr>
          <w:lang w:val="en-GB" w:eastAsia="en-US"/>
        </w:rPr>
        <w:t>This document presents the analysis and interpretation of the results of the questionnaire on use of ITU-T Recommendations in Developing Countries.</w:t>
      </w:r>
    </w:p>
    <w:p w14:paraId="472C905D" w14:textId="77777777" w:rsidR="006A46AE" w:rsidRPr="00FB1F1B" w:rsidRDefault="006A46AE" w:rsidP="006A46AE">
      <w:pPr>
        <w:pStyle w:val="Headingb"/>
      </w:pPr>
      <w:bookmarkStart w:id="233" w:name="_Hlk50422856"/>
      <w:bookmarkStart w:id="234" w:name="_Toc480527894"/>
      <w:r w:rsidRPr="00FB1F1B">
        <w:t>I.2.3</w:t>
      </w:r>
      <w:r w:rsidRPr="00FB1F1B">
        <w:tab/>
        <w:t>IMT-2020/5G networks</w:t>
      </w:r>
    </w:p>
    <w:p w14:paraId="1A251235" w14:textId="6A4AEF35" w:rsidR="008F2AED" w:rsidRDefault="00C44FDC" w:rsidP="008F2AED">
      <w:hyperlink r:id="rId268" w:history="1">
        <w:r w:rsidR="008F2AED" w:rsidRPr="00CA204F">
          <w:rPr>
            <w:rStyle w:val="Hyperlink"/>
            <w:b/>
          </w:rPr>
          <w:t>ITU-T G.8300 “Characteristics of transport networks to support IMT-2020/5G”</w:t>
        </w:r>
      </w:hyperlink>
      <w:r w:rsidR="008F2AED">
        <w:t xml:space="preserve"> defines the requirements for the layer one transport network support for the 5G fronthaul, </w:t>
      </w:r>
      <w:proofErr w:type="spellStart"/>
      <w:r w:rsidR="008F2AED">
        <w:t>midhaul</w:t>
      </w:r>
      <w:proofErr w:type="spellEnd"/>
      <w:r w:rsidR="008F2AED">
        <w:t xml:space="preserve"> and backhaul networks as defined later in this document.</w:t>
      </w:r>
    </w:p>
    <w:p w14:paraId="406739B4" w14:textId="4889ED3C" w:rsidR="00B11EA1" w:rsidRPr="00B11EA1" w:rsidRDefault="00C44FDC" w:rsidP="00B11EA1">
      <w:hyperlink r:id="rId269" w:history="1">
        <w:r w:rsidR="00B11EA1" w:rsidRPr="0066572A">
          <w:rPr>
            <w:rStyle w:val="Hyperlink"/>
            <w:b/>
            <w:bCs/>
          </w:rPr>
          <w:t>ITU-T Q.5022 “</w:t>
        </w:r>
        <w:proofErr w:type="spellStart"/>
        <w:r w:rsidR="00B11EA1" w:rsidRPr="0066572A">
          <w:rPr>
            <w:rStyle w:val="Hyperlink"/>
            <w:b/>
            <w:bCs/>
          </w:rPr>
          <w:t>Signalling</w:t>
        </w:r>
        <w:proofErr w:type="spellEnd"/>
        <w:r w:rsidR="00B11EA1" w:rsidRPr="0066572A">
          <w:rPr>
            <w:rStyle w:val="Hyperlink"/>
            <w:b/>
            <w:bCs/>
          </w:rPr>
          <w:t xml:space="preserve"> procedure of energy efficient device-to-device communication for IMT-2020 network”</w:t>
        </w:r>
      </w:hyperlink>
      <w:r w:rsidR="00B11EA1" w:rsidRPr="0066572A">
        <w:t>: According to different surveys, the number of wireless devices may reach trillions by 2020. The massive increase of wireless devices will lead to different interconnection and communications challenges. In this regard, most of wireless devices would need to use D2D communication. In general, D2D communication may bring additional benefits to new wireless devices such as higher throughput, better cell coverage, spectrum efficiency and other valuable features of the cellular networks. However, still, there is a need to specify a procedure which may switch between two algorithms used for D2D communication according to the cell status, as follows:</w:t>
      </w:r>
    </w:p>
    <w:p w14:paraId="531D8648" w14:textId="6E04FAFD"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 xml:space="preserve">communication algorithm which is used in a stable condition of the </w:t>
      </w:r>
      <w:proofErr w:type="gramStart"/>
      <w:r w:rsidRPr="00B11EA1">
        <w:rPr>
          <w:rFonts w:ascii="Times New Roman" w:hAnsi="Times New Roman"/>
          <w:sz w:val="24"/>
          <w:szCs w:val="24"/>
        </w:rPr>
        <w:t>cell;</w:t>
      </w:r>
      <w:proofErr w:type="gramEnd"/>
    </w:p>
    <w:p w14:paraId="2EB55478" w14:textId="1E81A4F9"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 xml:space="preserve">communication algorithm which is used in the situation when the serving Base Station (BS) becomes unavailable in certain </w:t>
      </w:r>
      <w:proofErr w:type="gramStart"/>
      <w:r w:rsidRPr="00B11EA1">
        <w:rPr>
          <w:rFonts w:ascii="Times New Roman" w:hAnsi="Times New Roman"/>
          <w:sz w:val="24"/>
          <w:szCs w:val="24"/>
        </w:rPr>
        <w:t>period of time</w:t>
      </w:r>
      <w:proofErr w:type="gramEnd"/>
      <w:r w:rsidRPr="00B11EA1">
        <w:rPr>
          <w:rFonts w:ascii="Times New Roman" w:hAnsi="Times New Roman"/>
          <w:sz w:val="24"/>
          <w:szCs w:val="24"/>
        </w:rPr>
        <w:t>.</w:t>
      </w:r>
    </w:p>
    <w:p w14:paraId="7D76510A" w14:textId="77777777" w:rsidR="00B11EA1" w:rsidRPr="00B11EA1" w:rsidRDefault="00B11EA1" w:rsidP="00B11EA1">
      <w:r w:rsidRPr="00B11EA1">
        <w:t xml:space="preserve">This procedure should be based on an energy efficient intra-cell clustering and the procedure should be able to reuse frequency between clusters. The key advantage of the procedure is the reducing of the </w:t>
      </w:r>
      <w:proofErr w:type="spellStart"/>
      <w:r w:rsidRPr="00B11EA1">
        <w:t>signalling</w:t>
      </w:r>
      <w:proofErr w:type="spellEnd"/>
      <w:r w:rsidRPr="00B11EA1">
        <w:t xml:space="preserve"> overhead.</w:t>
      </w:r>
    </w:p>
    <w:p w14:paraId="5C2B5741" w14:textId="68348633" w:rsidR="00B11EA1" w:rsidRPr="00B11EA1" w:rsidRDefault="60E05DEE" w:rsidP="00B11EA1">
      <w:pPr>
        <w:rPr>
          <w:highlight w:val="red"/>
        </w:rPr>
      </w:pPr>
      <w:r>
        <w:t>The Recommendation describes a D2D communication procedure to be used as a part of the IMT-2020 control plane.</w:t>
      </w:r>
    </w:p>
    <w:p w14:paraId="6ABC20EB" w14:textId="7EE6B4A3" w:rsidR="00082D27" w:rsidRPr="0039167D" w:rsidRDefault="05D3A4FF" w:rsidP="00F76D0F">
      <w:pPr>
        <w:rPr>
          <w:szCs w:val="24"/>
          <w:lang w:val="en-GB"/>
        </w:rPr>
      </w:pPr>
      <w:r w:rsidRPr="2B30A600">
        <w:rPr>
          <w:b/>
          <w:bCs/>
          <w:lang w:val="en-GB" w:eastAsia="en-US"/>
        </w:rPr>
        <w:t>ITU-T X.1811 “Security guidelines for applying quantum-safe algorithms in 5G systems” (under approval)</w:t>
      </w:r>
      <w:r w:rsidR="00F76D0F">
        <w:rPr>
          <w:b/>
          <w:bCs/>
          <w:lang w:val="en-GB" w:eastAsia="en-US"/>
        </w:rPr>
        <w:t xml:space="preserve"> </w:t>
      </w:r>
      <w:r w:rsidR="5BBF0B3F" w:rsidRPr="2B30A600">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4C53FC8" w:rsidR="00082D27" w:rsidRPr="0039167D" w:rsidRDefault="60D09001" w:rsidP="2B30A600">
      <w:pPr>
        <w:rPr>
          <w:lang w:val="en-GB" w:eastAsia="en-US"/>
        </w:rPr>
      </w:pPr>
      <w:r w:rsidRPr="2B30A600">
        <w:rPr>
          <w:b/>
          <w:bCs/>
          <w:lang w:val="en-GB" w:eastAsia="en-US"/>
        </w:rPr>
        <w:t>ITU-T Y.3075 “Requirements and capabilities of Information Centric Networking routing and forwarding based on control and user plane separation in IMT-2020” (under approval)</w:t>
      </w:r>
      <w:r w:rsidRPr="2B30A600">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5A0AEE4" w:rsidR="000702B2" w:rsidRPr="0039167D" w:rsidRDefault="000702B2" w:rsidP="000702B2">
      <w:pPr>
        <w:rPr>
          <w:lang w:val="en-GB" w:eastAsia="en-US"/>
        </w:rPr>
      </w:pPr>
      <w:r w:rsidRPr="0039167D">
        <w:rPr>
          <w:b/>
          <w:bCs/>
          <w:lang w:val="en-GB" w:eastAsia="en-US"/>
        </w:rPr>
        <w:t>ITU-T Y.3076 “Architecture of ICN-enabled Edge Network in IMT-2020” (under approval)</w:t>
      </w:r>
      <w:r w:rsidRPr="0039167D">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10623606" w14:textId="4CE0B80F" w:rsidR="008E7AEC" w:rsidRPr="0039167D" w:rsidRDefault="008E7AEC" w:rsidP="008E7AEC">
      <w:pPr>
        <w:rPr>
          <w:lang w:val="en-GB" w:eastAsia="en-US"/>
        </w:rPr>
      </w:pPr>
      <w:r w:rsidRPr="0039167D">
        <w:rPr>
          <w:b/>
          <w:bCs/>
          <w:lang w:val="en-GB" w:eastAsia="en-US"/>
        </w:rPr>
        <w:t>ITU-T Y.3109 “QoS requirements and framework for virtual reality delivery using mobile edge computing supported by IMT-2020” (under approval)</w:t>
      </w:r>
      <w:r w:rsidRPr="0039167D">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w:t>
      </w:r>
      <w:r w:rsidRPr="0039167D">
        <w:rPr>
          <w:lang w:val="en-GB" w:eastAsia="en-US"/>
        </w:rPr>
        <w:lastRenderedPageBreak/>
        <w:t>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64020212" w14:textId="2026626C" w:rsidR="00DC2077" w:rsidRPr="0039167D" w:rsidRDefault="00DC2077" w:rsidP="00DC2077">
      <w:pPr>
        <w:rPr>
          <w:lang w:val="en-GB" w:eastAsia="en-US"/>
        </w:rPr>
      </w:pPr>
      <w:r w:rsidRPr="0039167D">
        <w:rPr>
          <w:b/>
          <w:bCs/>
          <w:lang w:val="en-GB" w:eastAsia="en-US"/>
        </w:rPr>
        <w:t>ITU-T Y.3134 “IMT-2020 fixed mobile convergence functional requirements for management and orchestration” (under approval)</w:t>
      </w:r>
      <w:r w:rsidRPr="0039167D">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74B4E010" w:rsidR="00CA0BE8" w:rsidRPr="0039167D" w:rsidRDefault="00CA0BE8" w:rsidP="00CA0BE8">
      <w:pPr>
        <w:rPr>
          <w:lang w:val="en-GB" w:eastAsia="en-US"/>
        </w:rPr>
      </w:pPr>
      <w:r w:rsidRPr="0039167D">
        <w:rPr>
          <w:b/>
          <w:bCs/>
          <w:lang w:val="en-GB" w:eastAsia="en-US"/>
        </w:rPr>
        <w:t>ITU-T Y.3136 “Session management for fixed mobile convergence in IMT-2020 networks” (under approval)</w:t>
      </w:r>
      <w:r w:rsidRPr="0039167D">
        <w:rPr>
          <w:lang w:val="en-GB" w:eastAsia="en-US"/>
        </w:rPr>
        <w:t xml:space="preserve"> describes the scenarios, general </w:t>
      </w:r>
      <w:proofErr w:type="gramStart"/>
      <w:r w:rsidRPr="0039167D">
        <w:rPr>
          <w:lang w:val="en-GB" w:eastAsia="en-US"/>
        </w:rPr>
        <w:t>requirements</w:t>
      </w:r>
      <w:proofErr w:type="gramEnd"/>
      <w:r w:rsidRPr="0039167D">
        <w:rPr>
          <w:lang w:val="en-GB" w:eastAsia="en-US"/>
        </w:rPr>
        <w:t xml:space="preserve">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0CF24260" w:rsidR="00047D72" w:rsidRPr="00047D72" w:rsidRDefault="00047D72" w:rsidP="00047D72">
      <w:pPr>
        <w:rPr>
          <w:lang w:val="en-GB" w:eastAsia="en-US"/>
        </w:rPr>
      </w:pPr>
      <w:r w:rsidRPr="0039167D">
        <w:rPr>
          <w:b/>
          <w:bCs/>
          <w:lang w:val="en-GB" w:eastAsia="en-US"/>
        </w:rPr>
        <w:t xml:space="preserve">ITU-T Y.3150 (revised) “High-level technical characteristics of network </w:t>
      </w:r>
      <w:proofErr w:type="spellStart"/>
      <w:r w:rsidRPr="0039167D">
        <w:rPr>
          <w:b/>
          <w:bCs/>
          <w:lang w:val="en-GB" w:eastAsia="en-US"/>
        </w:rPr>
        <w:t>softwarization</w:t>
      </w:r>
      <w:proofErr w:type="spellEnd"/>
      <w:r w:rsidRPr="0039167D">
        <w:rPr>
          <w:b/>
          <w:bCs/>
          <w:lang w:val="en-GB" w:eastAsia="en-US"/>
        </w:rPr>
        <w:t xml:space="preserve"> for IMT-2020” (under approval)</w:t>
      </w:r>
      <w:r w:rsidRPr="0039167D">
        <w:rPr>
          <w:lang w:val="en-GB" w:eastAsia="en-US"/>
        </w:rPr>
        <w:t>:</w:t>
      </w:r>
      <w:r>
        <w:rPr>
          <w:lang w:val="en-GB" w:eastAsia="en-US"/>
        </w:rPr>
        <w:t xml:space="preserve"> </w:t>
      </w:r>
      <w:r w:rsidRPr="00047D72">
        <w:rPr>
          <w:lang w:val="en-GB" w:eastAsia="en-US"/>
        </w:rPr>
        <w:t xml:space="preserve">With the global recognition of the usefulness of network slicing technology, which is the most typical substantiation of the network </w:t>
      </w:r>
      <w:proofErr w:type="spellStart"/>
      <w:r w:rsidRPr="00047D72">
        <w:rPr>
          <w:lang w:val="en-GB" w:eastAsia="en-US"/>
        </w:rPr>
        <w:t>softwarization</w:t>
      </w:r>
      <w:proofErr w:type="spellEnd"/>
      <w:r w:rsidRPr="00047D72">
        <w:rPr>
          <w:lang w:val="en-GB" w:eastAsia="en-US"/>
        </w:rPr>
        <w:t xml:space="preserve"> approach, this Recommendation describes how network </w:t>
      </w:r>
      <w:proofErr w:type="spellStart"/>
      <w:r w:rsidRPr="00047D72">
        <w:rPr>
          <w:lang w:val="en-GB" w:eastAsia="en-US"/>
        </w:rPr>
        <w:t>softwarization</w:t>
      </w:r>
      <w:proofErr w:type="spellEnd"/>
      <w:r w:rsidRPr="00047D72">
        <w:rPr>
          <w:lang w:val="en-GB" w:eastAsia="en-US"/>
        </w:rPr>
        <w:t xml:space="preserve">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Default="00047D72" w:rsidP="00047D72">
      <w:pPr>
        <w:rPr>
          <w:lang w:val="en-GB" w:eastAsia="en-US"/>
        </w:rPr>
      </w:pPr>
      <w:r w:rsidRPr="00047D72">
        <w:rPr>
          <w:lang w:val="en-GB" w:eastAsia="en-US"/>
        </w:rPr>
        <w:t>This revision contains i) the change of a basic model, which contains SDN, NFV, cloud computing and other technical environments, and ii) security consideration for network slicing.</w:t>
      </w:r>
      <w:r w:rsidR="00EA0195">
        <w:rPr>
          <w:lang w:val="en-GB" w:eastAsia="en-US"/>
        </w:rPr>
        <w:t xml:space="preserve"> </w:t>
      </w:r>
      <w:r w:rsidRPr="00047D72">
        <w:rPr>
          <w:lang w:val="en-GB" w:eastAsia="en-US"/>
        </w:rPr>
        <w:t>In addition, informative information on hierarchical orchestration is included.</w:t>
      </w:r>
    </w:p>
    <w:p w14:paraId="576D3F2F" w14:textId="4144BDDD" w:rsidR="007E5476" w:rsidRDefault="00C44FDC" w:rsidP="007E5476">
      <w:hyperlink r:id="rId270" w:history="1">
        <w:r w:rsidR="007E5476" w:rsidRPr="0087274F">
          <w:rPr>
            <w:rStyle w:val="Hyperlink"/>
            <w:b/>
            <w:bCs/>
          </w:rPr>
          <w:t>ITU-T Y.3154 “Resource pooling for scalable network slice service management and orchestration in the IMT-2020 network”</w:t>
        </w:r>
      </w:hyperlink>
      <w:r w:rsidR="00381493" w:rsidRPr="0087274F">
        <w:t>:</w:t>
      </w:r>
      <w:r w:rsidR="007E5476" w:rsidRPr="0087274F">
        <w:t xml:space="preserve"> </w:t>
      </w:r>
      <w:r w:rsidR="00381493" w:rsidRPr="00381493">
        <w:t>Managing the lifecycle of network slices has recently caught much attention as well as constructing end-to-end network slices. Especially, the agility and flexibility in resource allocation to network slices becomes more important for rapid service delivery to network slice service customers in the IMT-2020 network. This Recommendation describes scalable service management and orchestration framework using the middle layer named ‘Resource Pool’, which intensively stores a variety of virtual resources information collected from the underlying infrastructure layer relevant to network slice instances. Network slice instances can be created from the resources reserved according to network slice service demand forecast. The proposed approach in this Recommendation is generic and thus applicable to wide variety of organizational entities in network slicing such as network infrastructure provider, network slice provider, network slice service provider, and network slice service customer.</w:t>
      </w:r>
    </w:p>
    <w:p w14:paraId="0534936B" w14:textId="064DE858" w:rsidR="006174F6" w:rsidRPr="0039167D" w:rsidRDefault="006174F6" w:rsidP="006174F6">
      <w:r w:rsidRPr="0039167D">
        <w:rPr>
          <w:b/>
          <w:bCs/>
        </w:rPr>
        <w:t>ITU-T Y.3155 “Enhanced SDN Data Plane for IMT-2020” (under approval)</w:t>
      </w:r>
      <w:r w:rsidRPr="0039167D">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t>
      </w:r>
      <w:proofErr w:type="gramStart"/>
      <w:r w:rsidRPr="0039167D">
        <w:t>work flow</w:t>
      </w:r>
      <w:proofErr w:type="gramEnd"/>
      <w:r w:rsidRPr="0039167D">
        <w:t xml:space="preserve"> of ESDP.</w:t>
      </w:r>
    </w:p>
    <w:p w14:paraId="75D722C0" w14:textId="5CA23606" w:rsidR="00DC3E56" w:rsidRPr="0039167D" w:rsidRDefault="00DC3E56" w:rsidP="00DC3E56">
      <w:r w:rsidRPr="0039167D">
        <w:rPr>
          <w:b/>
          <w:bCs/>
        </w:rPr>
        <w:lastRenderedPageBreak/>
        <w:t>ITU-T Y.3156 “Framework of network slicing with AI-assisted analysis in IMT-2020 networks” (under approval)</w:t>
      </w:r>
      <w:r w:rsidRPr="0039167D">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3CF704E8" w14:textId="423024D5" w:rsidR="00B95657" w:rsidRPr="00166972" w:rsidRDefault="00C44FDC" w:rsidP="00B95657">
      <w:pPr>
        <w:rPr>
          <w:lang w:val="en-GB"/>
        </w:rPr>
      </w:pPr>
      <w:hyperlink r:id="rId271" w:history="1">
        <w:r w:rsidR="00B95657" w:rsidRPr="00840D33">
          <w:rPr>
            <w:rStyle w:val="Hyperlink"/>
            <w:b/>
            <w:lang w:val="en-GB"/>
          </w:rPr>
          <w:t>ITU-T Y.3173 “Framework for evaluating intelligence level</w:t>
        </w:r>
        <w:r w:rsidR="00166972" w:rsidRPr="00840D33">
          <w:rPr>
            <w:rStyle w:val="Hyperlink"/>
            <w:b/>
            <w:lang w:val="en-GB"/>
          </w:rPr>
          <w:t>s</w:t>
        </w:r>
        <w:r w:rsidR="00B95657" w:rsidRPr="00840D33">
          <w:rPr>
            <w:rStyle w:val="Hyperlink"/>
            <w:b/>
            <w:lang w:val="en-GB"/>
          </w:rPr>
          <w:t xml:space="preserve"> of future networks inc</w:t>
        </w:r>
        <w:r w:rsidR="00166972" w:rsidRPr="00840D33">
          <w:rPr>
            <w:rStyle w:val="Hyperlink"/>
            <w:b/>
            <w:lang w:val="en-GB"/>
          </w:rPr>
          <w:t>luding IMT-2020”</w:t>
        </w:r>
      </w:hyperlink>
      <w:r w:rsidR="00166972" w:rsidRPr="00166972">
        <w:rPr>
          <w:b/>
          <w:lang w:val="en-GB"/>
        </w:rPr>
        <w:t xml:space="preserve"> </w:t>
      </w:r>
      <w:r w:rsidR="00166972" w:rsidRPr="00166972">
        <w:rPr>
          <w:lang w:val="en-GB"/>
        </w:rPr>
        <w:t>specifies a framework for evaluating the intelligence of future networks including IMT-2020. A method for evaluating the intelligence levels of future networks including IMT-2020 is introduced. An architecture view for evaluating network intelligence levels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levels on several representative use cases are also provided.</w:t>
      </w:r>
    </w:p>
    <w:p w14:paraId="2B052E57" w14:textId="0664A920" w:rsidR="00502738" w:rsidRDefault="00C44FDC" w:rsidP="00502738">
      <w:pPr>
        <w:rPr>
          <w:lang w:val="en-GB"/>
        </w:rPr>
      </w:pPr>
      <w:hyperlink r:id="rId272" w:history="1">
        <w:r w:rsidR="00502738" w:rsidRPr="00840D33">
          <w:rPr>
            <w:rStyle w:val="Hyperlink"/>
            <w:b/>
            <w:lang w:val="en-GB"/>
          </w:rPr>
          <w:t>ITU-T Y.3174 “Framework for data handling to enable machine learning in future networks including IMT-2020”</w:t>
        </w:r>
      </w:hyperlink>
      <w:r w:rsidR="00502738" w:rsidRPr="00570C56">
        <w:rPr>
          <w:lang w:val="en-GB"/>
        </w:rPr>
        <w:t>: A framework for data handling to enable machine 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5EB8E7C5" w14:textId="598A1265" w:rsidR="00D64135" w:rsidRPr="00570C56" w:rsidRDefault="00C44FDC" w:rsidP="00E945B8">
      <w:pPr>
        <w:rPr>
          <w:lang w:val="en-GB"/>
        </w:rPr>
      </w:pPr>
      <w:hyperlink r:id="rId273" w:history="1">
        <w:r w:rsidR="00D64135" w:rsidRPr="00722C49">
          <w:rPr>
            <w:rStyle w:val="Hyperlink"/>
            <w:b/>
            <w:bCs/>
            <w:lang w:val="en-GB"/>
          </w:rPr>
          <w:t>ITU-T Y.3175 “Functional architecture of machine learning based quality of service assurance for the IMT-2020 network”</w:t>
        </w:r>
      </w:hyperlink>
      <w:r w:rsidR="00D64135" w:rsidRPr="00D64135">
        <w:rPr>
          <w:lang w:val="en-GB"/>
        </w:rPr>
        <w:t xml:space="preserve"> </w:t>
      </w:r>
      <w:r w:rsidR="00E945B8" w:rsidRPr="00E945B8">
        <w:rPr>
          <w:lang w:val="en-GB"/>
        </w:rPr>
        <w:t>specifies a functional architecture of machine learning based quality of service (QoS) assurance for the international mobile telecommunications 2020 (IMT-2020) network. It first provides an overview of architectural framework for machine learning in IMT-2020 [ITU-T Y.3172]. It then describes the functional architecture of machine learning based QoS assurance for the IMT-2020 network including the reference points. It finally specifies the procedures of machine learning based QoS assurance for the IMT-2020 network.</w:t>
      </w:r>
    </w:p>
    <w:p w14:paraId="20F0906C" w14:textId="6E79F50F" w:rsidR="00030BBF" w:rsidRPr="00570C56" w:rsidRDefault="00030BBF" w:rsidP="00030BBF">
      <w:pPr>
        <w:rPr>
          <w:lang w:val="en-GB"/>
        </w:rPr>
      </w:pPr>
      <w:r w:rsidRPr="0039167D">
        <w:rPr>
          <w:b/>
          <w:bCs/>
          <w:lang w:val="en-GB"/>
        </w:rPr>
        <w:t>ITU-T Y.3176 “Machine learning marketplace integration in future networks including IMT-2020” (under approval)</w:t>
      </w:r>
      <w:r>
        <w:rPr>
          <w:lang w:val="en-GB"/>
        </w:rPr>
        <w:t xml:space="preserve"> </w:t>
      </w:r>
      <w:r w:rsidRPr="00030BBF">
        <w:rPr>
          <w:lang w:val="en-GB"/>
        </w:rPr>
        <w:t xml:space="preserve">provides high-level requirements and the architecture for integrating ML marketplaces in future networks including IMT-2020. Based on these requirements, the architecture for the integration of ML marketplaces is described </w:t>
      </w:r>
      <w:proofErr w:type="gramStart"/>
      <w:r w:rsidRPr="00030BBF">
        <w:rPr>
          <w:lang w:val="en-GB"/>
        </w:rPr>
        <w:t>taking into account</w:t>
      </w:r>
      <w:proofErr w:type="gramEnd"/>
      <w:r w:rsidRPr="00030BBF">
        <w:rPr>
          <w:lang w:val="en-GB"/>
        </w:rPr>
        <w:t xml:space="preserve"> the architectural framework in [ITU-T Y.3172] as a basis.</w:t>
      </w:r>
    </w:p>
    <w:p w14:paraId="554F042C" w14:textId="15A068C2" w:rsidR="006B08B6" w:rsidRDefault="00C44FDC" w:rsidP="006B08B6">
      <w:pPr>
        <w:rPr>
          <w:lang w:val="en-GB" w:eastAsia="en-US"/>
        </w:rPr>
      </w:pPr>
      <w:hyperlink r:id="rId274" w:history="1">
        <w:r w:rsidR="006B08B6" w:rsidRPr="004B44CE">
          <w:rPr>
            <w:rStyle w:val="Hyperlink"/>
            <w:b/>
            <w:bCs/>
            <w:lang w:val="en-GB" w:eastAsia="en-US"/>
          </w:rPr>
          <w:t>ITU-T Y.Suppl.59 to ITU-T Y.3100 of Recommendations “IMT-2020 standardization roadmap”</w:t>
        </w:r>
      </w:hyperlink>
      <w:r w:rsidR="006B08B6">
        <w:rPr>
          <w:lang w:val="en-GB" w:eastAsia="en-US"/>
        </w:rPr>
        <w:t xml:space="preserve"> </w:t>
      </w:r>
      <w:r w:rsidR="006B08B6" w:rsidRPr="006B08B6">
        <w:rPr>
          <w:lang w:val="en-GB" w:eastAsia="en-US"/>
        </w:rPr>
        <w:t>represents the snapshot of the current status of standardization activities on IMT-2020. It is based on the IMT-2020 standards roadmap, an online project maintained by the JCA-IMT2020 since its establishment.</w:t>
      </w:r>
    </w:p>
    <w:p w14:paraId="45DF94B2" w14:textId="4DA2D732" w:rsidR="00EA5BC5" w:rsidRPr="00952FDF" w:rsidRDefault="00C44FDC" w:rsidP="00EA5BC5">
      <w:pPr>
        <w:rPr>
          <w:highlight w:val="yellow"/>
          <w:lang w:val="en-GB" w:eastAsia="en-US"/>
        </w:rPr>
      </w:pPr>
      <w:hyperlink r:id="rId275" w:history="1">
        <w:r w:rsidR="007C208E">
          <w:rPr>
            <w:rStyle w:val="Hyperlink"/>
            <w:b/>
            <w:bCs/>
            <w:lang w:val="en-GB" w:eastAsia="en-US"/>
          </w:rPr>
          <w:t>ITU-T Y</w:t>
        </w:r>
        <w:r w:rsidR="00EA5BC5" w:rsidRPr="00EA5BC5">
          <w:rPr>
            <w:rStyle w:val="Hyperlink"/>
            <w:b/>
            <w:bCs/>
            <w:lang w:val="en-GB" w:eastAsia="en-US"/>
          </w:rPr>
          <w:t>.Suppl.64 “Awareness on Use Cases and Migration Aspects of IMT-2020”</w:t>
        </w:r>
      </w:hyperlink>
      <w:r w:rsidR="00EA5BC5" w:rsidRPr="00EA5BC5">
        <w:rPr>
          <w:b/>
          <w:bCs/>
          <w:lang w:val="en-GB" w:eastAsia="en-US"/>
        </w:rPr>
        <w:t>:</w:t>
      </w:r>
      <w:r w:rsidR="00EA5BC5">
        <w:rPr>
          <w:lang w:val="en-GB" w:eastAsia="en-US"/>
        </w:rPr>
        <w:t xml:space="preserve"> </w:t>
      </w:r>
      <w:r w:rsidR="00EA5BC5" w:rsidRPr="00EA5BC5">
        <w:rPr>
          <w:lang w:val="en-GB" w:eastAsia="en-US"/>
        </w:rPr>
        <w:t>IMT-2020 is rapidly evolving and for many organizations, including administrations, it is important to have awareness of these new developments. At this stage, it is critical to have awareness on use cases of IMT-2020 and possible migration scenarios from existing networks to IMT-2020. This Supplement to the ITU-T Recommendation series Y.3100 on IMT-2020 has been developed to provide awareness, on use cases and migration aspects of IMT-2020. The supplement was developed by Q5/13 with initial collaboration of Q20/13.</w:t>
      </w:r>
    </w:p>
    <w:bookmarkEnd w:id="233"/>
    <w:p w14:paraId="2315E48A" w14:textId="77777777" w:rsidR="006A46AE" w:rsidRPr="00C512C7" w:rsidRDefault="006A46AE" w:rsidP="006A46AE">
      <w:pPr>
        <w:pStyle w:val="Headingb"/>
      </w:pPr>
      <w:r w:rsidRPr="00C512C7">
        <w:t>I.2.4</w:t>
      </w:r>
      <w:r w:rsidRPr="00C512C7">
        <w:tab/>
        <w:t>Home networking</w:t>
      </w:r>
    </w:p>
    <w:p w14:paraId="19ED41E6" w14:textId="3F2D44D1" w:rsidR="006A46AE" w:rsidRDefault="00C44FDC" w:rsidP="006A46AE">
      <w:pPr>
        <w:rPr>
          <w:lang w:val="en-GB"/>
        </w:rPr>
      </w:pPr>
      <w:hyperlink r:id="rId276" w:history="1">
        <w:r w:rsidR="006A46AE" w:rsidRPr="00840D33">
          <w:rPr>
            <w:rStyle w:val="Hyperlink"/>
            <w:b/>
            <w:bCs/>
            <w:lang w:val="en-GB"/>
          </w:rPr>
          <w:t>ITU-T G.9960 (2018) Amd.1 "Unified high-speed wire-line based home networking transceivers - System architecture and physical layer specifica</w:t>
        </w:r>
        <w:r w:rsidR="00C512C7" w:rsidRPr="00840D33">
          <w:rPr>
            <w:rStyle w:val="Hyperlink"/>
            <w:b/>
            <w:bCs/>
            <w:lang w:val="en-GB"/>
          </w:rPr>
          <w:t>tion: Amendment 1"</w:t>
        </w:r>
      </w:hyperlink>
      <w:r w:rsidR="00C512C7" w:rsidRPr="00840D33">
        <w:rPr>
          <w:bCs/>
          <w:lang w:val="en-GB"/>
        </w:rPr>
        <w:t xml:space="preserve"> </w:t>
      </w:r>
      <w:r w:rsidR="00C512C7" w:rsidRPr="00C512C7">
        <w:rPr>
          <w:lang w:val="en-GB"/>
        </w:rPr>
        <w:t xml:space="preserve">includes </w:t>
      </w:r>
      <w:r w:rsidR="00C512C7" w:rsidRPr="00C512C7">
        <w:rPr>
          <w:lang w:val="en-GB"/>
        </w:rPr>
        <w:lastRenderedPageBreak/>
        <w:t>the extension of the Recommendation to operate on an extended bandwidth over coaxial and phoneline mediums, multi-level coding and RCM schemes.</w:t>
      </w:r>
    </w:p>
    <w:p w14:paraId="40C93635" w14:textId="176AEB4A" w:rsidR="00DE469B" w:rsidRPr="00C512C7" w:rsidRDefault="00C44FDC" w:rsidP="00DE469B">
      <w:pPr>
        <w:rPr>
          <w:lang w:val="en-GB"/>
        </w:rPr>
      </w:pPr>
      <w:hyperlink r:id="rId277" w:history="1">
        <w:r w:rsidR="00DE469B" w:rsidRPr="003838A0">
          <w:rPr>
            <w:rStyle w:val="Hyperlink"/>
            <w:b/>
            <w:lang w:val="en-GB"/>
          </w:rPr>
          <w:t>ITU-T G.9960 (2018) Amd.2 “Unified high-speed wire-line based home networking transceivers - System architecture and physical layer specification”</w:t>
        </w:r>
      </w:hyperlink>
      <w:r w:rsidR="00DE469B" w:rsidRPr="003838A0">
        <w:rPr>
          <w:bCs/>
          <w:lang w:val="en-GB"/>
        </w:rPr>
        <w:t xml:space="preserve"> </w:t>
      </w:r>
      <w:r w:rsidR="00DE469B" w:rsidRPr="00DE469B">
        <w:rPr>
          <w:lang w:val="en-GB"/>
        </w:rPr>
        <w:t>includes a new Annex R on the use of reverse power feeding techniques for G.hn over coaxial media, and adds a field to the PHY frame header of the MAP to better control PSD levels in complex networks such as those for Smart Grid applications.</w:t>
      </w:r>
    </w:p>
    <w:p w14:paraId="0227A66E" w14:textId="32E4CB49" w:rsidR="006A46AE" w:rsidRDefault="00C44FDC" w:rsidP="006A46AE">
      <w:pPr>
        <w:rPr>
          <w:lang w:eastAsia="en-US"/>
        </w:rPr>
      </w:pPr>
      <w:hyperlink r:id="rId278" w:history="1">
        <w:r w:rsidR="006A46AE" w:rsidRPr="00CB7595">
          <w:rPr>
            <w:rStyle w:val="Hyperlink"/>
            <w:b/>
            <w:lang w:val="en-GB"/>
          </w:rPr>
          <w:t>ITU-T G.9961 (2018) Amd.1 "Unified high-speed wireline-based home networking transceivers – Data link layer specification: Amendment 1"</w:t>
        </w:r>
      </w:hyperlink>
      <w:r w:rsidR="006A46AE" w:rsidRPr="00DF5DEB">
        <w:rPr>
          <w:lang w:val="en-GB"/>
        </w:rPr>
        <w:t xml:space="preserve"> </w:t>
      </w:r>
      <w:r w:rsidR="00DF5DEB" w:rsidRPr="00DF5DEB">
        <w:rPr>
          <w:lang w:eastAsia="en-US"/>
        </w:rPr>
        <w:t>includes a new physical layer specification. This new physical layer provides new modulation mechanisms (e.g. Multi Level Coding) and Robust Communication Mode (RCM) and allows the system to be operated over an extended bandwidth for coaxial and phoneline mediums.</w:t>
      </w:r>
    </w:p>
    <w:p w14:paraId="7DD7372F" w14:textId="2A0A77B9" w:rsidR="001C68A0" w:rsidRDefault="00C44FDC" w:rsidP="001C68A0">
      <w:pPr>
        <w:rPr>
          <w:lang w:eastAsia="en-US"/>
        </w:rPr>
      </w:pPr>
      <w:hyperlink r:id="rId279" w:history="1">
        <w:r w:rsidR="001C68A0" w:rsidRPr="002C3A16">
          <w:rPr>
            <w:rStyle w:val="Hyperlink"/>
            <w:b/>
            <w:lang w:eastAsia="en-US"/>
          </w:rPr>
          <w:t>ITU-T G.9961 (2018) Amd.2 “Unified high-speed wireline-based home networking transceivers - Data link layer specification - Amendment 2”</w:t>
        </w:r>
      </w:hyperlink>
      <w:r w:rsidR="001C68A0">
        <w:rPr>
          <w:lang w:eastAsia="en-US"/>
        </w:rPr>
        <w:t xml:space="preserve"> includes a new Annex D on IEEE 802.1X port-based network access control, means for delivering management data across the A interface, and support for a wider range of applications of the G.hn technology (e.g., means to indicate the category of applications and actual application that the domain is implementing).</w:t>
      </w:r>
    </w:p>
    <w:p w14:paraId="5F31FFE9" w14:textId="0ED81F3E" w:rsidR="001A3D8A" w:rsidRDefault="00C44FDC" w:rsidP="001A3D8A">
      <w:pPr>
        <w:rPr>
          <w:lang w:eastAsia="en-US"/>
        </w:rPr>
      </w:pPr>
      <w:hyperlink r:id="rId280" w:history="1">
        <w:r w:rsidR="001A3D8A" w:rsidRPr="004C420D">
          <w:rPr>
            <w:rStyle w:val="Hyperlink"/>
            <w:b/>
            <w:lang w:eastAsia="en-US"/>
          </w:rPr>
          <w:t>ITU-T G.9962 Amd.1 “Unified high-speed wire-line based home networking transceivers - Management specification - Amendment 1”</w:t>
        </w:r>
      </w:hyperlink>
      <w:r w:rsidR="001A3D8A">
        <w:rPr>
          <w:lang w:eastAsia="en-US"/>
        </w:rPr>
        <w:t xml:space="preserve"> includes a new logical interface between the Security Controller Entity and the Domain Master Management Entity.</w:t>
      </w:r>
    </w:p>
    <w:p w14:paraId="0EDD677D" w14:textId="072D3777" w:rsidR="00241D55" w:rsidRPr="00241D55" w:rsidRDefault="00C44FDC" w:rsidP="00241D55">
      <w:pPr>
        <w:rPr>
          <w:b/>
          <w:lang w:eastAsia="en-US"/>
        </w:rPr>
      </w:pPr>
      <w:hyperlink r:id="rId281" w:history="1">
        <w:r w:rsidR="00241D55" w:rsidRPr="00EB4C1D">
          <w:rPr>
            <w:rStyle w:val="Hyperlink"/>
            <w:b/>
            <w:lang w:eastAsia="en-US"/>
          </w:rPr>
          <w:t>ITU-T G.9964 (2011) Amd.3 “Unified high-speed wireline-based home networking transceivers – Power spectral density specification - Amendment 3”</w:t>
        </w:r>
      </w:hyperlink>
      <w:r w:rsidR="00241D55" w:rsidRPr="00241D55">
        <w:rPr>
          <w:b/>
          <w:lang w:eastAsia="en-US"/>
        </w:rPr>
        <w:t xml:space="preserve"> </w:t>
      </w:r>
      <w:r w:rsidR="00241D55">
        <w:t>includes the extension of the Recommendation to operate on an extended bandwidth over coaxial and phoneline mediums.</w:t>
      </w:r>
    </w:p>
    <w:p w14:paraId="4EF18727" w14:textId="28606D78" w:rsidR="007E0302" w:rsidRDefault="00C44FDC" w:rsidP="007E0302">
      <w:pPr>
        <w:rPr>
          <w:lang w:eastAsia="en-US"/>
        </w:rPr>
      </w:pPr>
      <w:hyperlink r:id="rId282" w:history="1">
        <w:r w:rsidR="007E0302" w:rsidRPr="003E2E50">
          <w:rPr>
            <w:rStyle w:val="Hyperlink"/>
            <w:b/>
            <w:lang w:eastAsia="en-US"/>
          </w:rPr>
          <w:t>ITU-T G.9991 (2019) Amd.1 “High-speed indoor visible light communication transceiver - System architecture, physical layer and data link layer specification (Amendment 1)”</w:t>
        </w:r>
      </w:hyperlink>
      <w:r w:rsidR="007E0302">
        <w:rPr>
          <w:lang w:eastAsia="en-US"/>
        </w:rPr>
        <w:t xml:space="preserve"> includes updates on security to accept IEEE 802.1X-based authentication and alignment with G.9960/G.9961 Recommendations.</w:t>
      </w:r>
    </w:p>
    <w:p w14:paraId="67E7A433" w14:textId="460A641F" w:rsidR="00FF1858" w:rsidRPr="00FF1858" w:rsidRDefault="00FF1858" w:rsidP="00FF1858">
      <w:pPr>
        <w:rPr>
          <w:lang w:val="en-GB"/>
        </w:rPr>
      </w:pPr>
      <w:r>
        <w:rPr>
          <w:b/>
          <w:lang w:val="en-GB"/>
        </w:rPr>
        <w:t xml:space="preserve">ITU-T </w:t>
      </w:r>
      <w:r w:rsidRPr="00FF1858">
        <w:rPr>
          <w:b/>
          <w:lang w:val="en-GB"/>
        </w:rPr>
        <w:t>Technical Paper</w:t>
      </w:r>
      <w:r>
        <w:rPr>
          <w:b/>
          <w:lang w:val="en-GB"/>
        </w:rPr>
        <w:t xml:space="preserve"> “</w:t>
      </w:r>
      <w:r w:rsidRPr="00FF1858">
        <w:rPr>
          <w:b/>
          <w:lang w:val="en-GB"/>
        </w:rPr>
        <w:t>Use of G.hn in Industrial Applications</w:t>
      </w:r>
      <w:r>
        <w:rPr>
          <w:b/>
          <w:lang w:val="en-GB"/>
        </w:rPr>
        <w:t xml:space="preserve">” </w:t>
      </w:r>
      <w:r w:rsidRPr="00FF1858">
        <w:rPr>
          <w:lang w:val="en-GB"/>
        </w:rPr>
        <w:t>summarizes a set of use cases for G.hn based PLC in industrial applications. Each use case is discussed by description and requirement for PLC technology. This document intends to provide guidance for G.hn based PLC technology to enter a new area beyond home network.</w:t>
      </w:r>
    </w:p>
    <w:p w14:paraId="7EE01A15" w14:textId="61496281" w:rsidR="006A46AE" w:rsidRPr="000D60C1" w:rsidRDefault="7905E7F1" w:rsidP="006A46AE">
      <w:pPr>
        <w:pStyle w:val="Headingb"/>
      </w:pPr>
      <w:r w:rsidRPr="000D60C1">
        <w:t>I.2.5</w:t>
      </w:r>
      <w:r w:rsidR="006A46AE" w:rsidRPr="000D60C1">
        <w:tab/>
      </w:r>
      <w:r w:rsidRPr="000D60C1">
        <w:t>Smart Grid</w:t>
      </w:r>
    </w:p>
    <w:p w14:paraId="6622E5D3" w14:textId="44229880" w:rsidR="0FA0FFBB" w:rsidRDefault="00C44FDC" w:rsidP="222B8D80">
      <w:hyperlink r:id="rId283" w:history="1">
        <w:r w:rsidR="003F0A07" w:rsidRPr="003D1A3C">
          <w:rPr>
            <w:rStyle w:val="Hyperlink"/>
            <w:b/>
            <w:lang w:val="en-GB"/>
          </w:rPr>
          <w:t>ITU-T X.1332 “Security guidelines for smart metering service in smart grids”</w:t>
        </w:r>
      </w:hyperlink>
      <w:r w:rsidR="003F0A07" w:rsidRPr="003D1A3C">
        <w:rPr>
          <w:bCs/>
          <w:lang w:val="en-GB"/>
        </w:rPr>
        <w:t>:</w:t>
      </w:r>
      <w:r w:rsidR="00821509">
        <w:rPr>
          <w:lang w:val="en-GB"/>
        </w:rPr>
        <w:t xml:space="preserve"> </w:t>
      </w:r>
      <w:r w:rsidR="00821509">
        <w:rPr>
          <w:bCs/>
          <w:lang w:val="en-GB"/>
        </w:rPr>
        <w:t>This Recommendation</w:t>
      </w:r>
      <w:r w:rsidR="0FA0FFBB">
        <w:t xml:space="preserve"> </w:t>
      </w:r>
      <w:r w:rsidR="6D5CA136">
        <w:t>provides security guidelines for smart metering services to enable service providers to implement appropriate security measures to ensure security of their service. This Recommendation identifies security threats and attack methods against smart metering services and specifies security requirements and capabilities to mitigate these threats and attacks accordingly</w:t>
      </w:r>
      <w:r w:rsidR="0FA0FFBB">
        <w:t>.</w:t>
      </w:r>
    </w:p>
    <w:p w14:paraId="7655961B" w14:textId="77777777" w:rsidR="006A46AE" w:rsidRPr="00A10F95" w:rsidRDefault="502438F5" w:rsidP="006A46AE">
      <w:pPr>
        <w:pStyle w:val="Headingb"/>
      </w:pPr>
      <w:r w:rsidRPr="00A10F95">
        <w:t>I.2.6</w:t>
      </w:r>
      <w:r w:rsidR="006A46AE" w:rsidRPr="00A10F95">
        <w:tab/>
      </w:r>
      <w:r w:rsidRPr="00A10F95">
        <w:t>Software-defined networking</w:t>
      </w:r>
      <w:bookmarkEnd w:id="234"/>
    </w:p>
    <w:p w14:paraId="72D30E3B" w14:textId="62262565" w:rsidR="4495ED75" w:rsidRPr="00E20273" w:rsidRDefault="4495ED75" w:rsidP="00B12DAE">
      <w:r w:rsidRPr="00B12DAE">
        <w:rPr>
          <w:b/>
          <w:bCs/>
        </w:rPr>
        <w:t>ITU-T X.1046 “Guideline on software-defined security in SDN (Software-defined Networking)/NFV (Network Function Virtualization) network” (under approval)</w:t>
      </w:r>
      <w:r w:rsidR="639448A6" w:rsidRPr="008E7489">
        <w:t xml:space="preserve"> specifies a framework of software-defined security – in software defined networks (SDN) and the network functions virtualization (NFV) network. This new framework utilizes the key advantages of SDN/NFV technologies such as on-demand capacity scale-in/scale-out, dynamic and intelligent security policy control in regarding the real-time network status, separated deploy of control layer and data forwarding layers, full view of traffic for monitoring and u</w:t>
      </w:r>
      <w:r w:rsidR="639448A6" w:rsidRPr="00E20273">
        <w:t>nified security policy setting.</w:t>
      </w:r>
    </w:p>
    <w:p w14:paraId="592E45F7" w14:textId="0C9D7E4F" w:rsidR="006A46AE" w:rsidRDefault="006A46AE" w:rsidP="006A46AE">
      <w:pPr>
        <w:pStyle w:val="Headingb"/>
      </w:pPr>
      <w:bookmarkStart w:id="235" w:name="_Toc480527895"/>
      <w:r w:rsidRPr="00FB1F1B">
        <w:lastRenderedPageBreak/>
        <w:t>I.2.7</w:t>
      </w:r>
      <w:r w:rsidRPr="00FB1F1B">
        <w:tab/>
        <w:t>Cloud computing</w:t>
      </w:r>
      <w:bookmarkEnd w:id="235"/>
    </w:p>
    <w:p w14:paraId="4E8F135B" w14:textId="77777777" w:rsidR="00C524C0" w:rsidRDefault="00C44FDC" w:rsidP="00C524C0">
      <w:pPr>
        <w:rPr>
          <w:lang w:val="en-GB"/>
        </w:rPr>
      </w:pPr>
      <w:hyperlink r:id="rId284" w:history="1">
        <w:r w:rsidR="00C524C0" w:rsidRPr="00940675">
          <w:rPr>
            <w:rStyle w:val="Hyperlink"/>
            <w:b/>
            <w:bCs/>
            <w:lang w:val="en-GB"/>
          </w:rPr>
          <w:t>ITU-T X.1604 “Security requirements of network as a service (</w:t>
        </w:r>
        <w:proofErr w:type="spellStart"/>
        <w:r w:rsidR="00C524C0" w:rsidRPr="00940675">
          <w:rPr>
            <w:rStyle w:val="Hyperlink"/>
            <w:b/>
            <w:bCs/>
            <w:lang w:val="en-GB"/>
          </w:rPr>
          <w:t>NaaS</w:t>
        </w:r>
        <w:proofErr w:type="spellEnd"/>
        <w:r w:rsidR="00C524C0" w:rsidRPr="00940675">
          <w:rPr>
            <w:rStyle w:val="Hyperlink"/>
            <w:b/>
            <w:bCs/>
            <w:lang w:val="en-GB"/>
          </w:rPr>
          <w:t>) in cloud computing”</w:t>
        </w:r>
      </w:hyperlink>
      <w:r w:rsidR="00C524C0" w:rsidRPr="00C941ED">
        <w:rPr>
          <w:lang w:val="en-GB"/>
        </w:rPr>
        <w:t xml:space="preserve"> </w:t>
      </w:r>
      <w:r w:rsidR="00C524C0" w:rsidRPr="00940675">
        <w:rPr>
          <w:lang w:val="en-GB"/>
        </w:rPr>
        <w:t>analyses security threats and challenges on network as a service (</w:t>
      </w:r>
      <w:proofErr w:type="spellStart"/>
      <w:r w:rsidR="00C524C0" w:rsidRPr="00940675">
        <w:rPr>
          <w:lang w:val="en-GB"/>
        </w:rPr>
        <w:t>NaaS</w:t>
      </w:r>
      <w:proofErr w:type="spellEnd"/>
      <w:r w:rsidR="00C524C0" w:rsidRPr="00940675">
        <w:rPr>
          <w:lang w:val="en-GB"/>
        </w:rPr>
        <w:t xml:space="preserve">) in cloud computing and specifies security requirements of </w:t>
      </w:r>
      <w:proofErr w:type="spellStart"/>
      <w:r w:rsidR="00C524C0" w:rsidRPr="00940675">
        <w:rPr>
          <w:lang w:val="en-GB"/>
        </w:rPr>
        <w:t>NaaS</w:t>
      </w:r>
      <w:proofErr w:type="spellEnd"/>
      <w:r w:rsidR="00C524C0" w:rsidRPr="00940675">
        <w:rPr>
          <w:lang w:val="en-GB"/>
        </w:rPr>
        <w:t xml:space="preserve"> in </w:t>
      </w:r>
      <w:proofErr w:type="spellStart"/>
      <w:r w:rsidR="00C524C0" w:rsidRPr="00940675">
        <w:rPr>
          <w:lang w:val="en-GB"/>
        </w:rPr>
        <w:t>NaaS</w:t>
      </w:r>
      <w:proofErr w:type="spellEnd"/>
      <w:r w:rsidR="00C524C0" w:rsidRPr="00940675">
        <w:rPr>
          <w:lang w:val="en-GB"/>
        </w:rPr>
        <w:t xml:space="preserve"> application, </w:t>
      </w:r>
      <w:proofErr w:type="spellStart"/>
      <w:r w:rsidR="00C524C0" w:rsidRPr="00940675">
        <w:rPr>
          <w:lang w:val="en-GB"/>
        </w:rPr>
        <w:t>NaaS</w:t>
      </w:r>
      <w:proofErr w:type="spellEnd"/>
      <w:r w:rsidR="00C524C0" w:rsidRPr="00940675">
        <w:rPr>
          <w:lang w:val="en-GB"/>
        </w:rPr>
        <w:t xml:space="preserve"> platform and </w:t>
      </w:r>
      <w:proofErr w:type="spellStart"/>
      <w:r w:rsidR="00C524C0" w:rsidRPr="00940675">
        <w:rPr>
          <w:lang w:val="en-GB"/>
        </w:rPr>
        <w:t>NaaS</w:t>
      </w:r>
      <w:proofErr w:type="spellEnd"/>
      <w:r w:rsidR="00C524C0" w:rsidRPr="00940675">
        <w:rPr>
          <w:lang w:val="en-GB"/>
        </w:rPr>
        <w:t xml:space="preserve"> connectivity aspects based on corresponding cloud capability types</w:t>
      </w:r>
      <w:r w:rsidR="00C524C0" w:rsidRPr="00C941ED">
        <w:rPr>
          <w:lang w:val="en-GB"/>
        </w:rPr>
        <w:t>.</w:t>
      </w:r>
    </w:p>
    <w:p w14:paraId="61E66911" w14:textId="77777777" w:rsidR="00C524C0" w:rsidRDefault="00C44FDC" w:rsidP="00C524C0">
      <w:pPr>
        <w:rPr>
          <w:szCs w:val="24"/>
        </w:rPr>
      </w:pPr>
      <w:hyperlink r:id="rId285" w:history="1">
        <w:r w:rsidR="00C524C0" w:rsidRPr="003E3CF4">
          <w:rPr>
            <w:rStyle w:val="Hyperlink"/>
            <w:b/>
            <w:bCs/>
            <w:szCs w:val="24"/>
          </w:rPr>
          <w:t>ITU-T X.1605 “Security requirements of public infrastructure as a service (IaaS) in cloud computing</w:t>
        </w:r>
      </w:hyperlink>
      <w:r w:rsidR="00C524C0" w:rsidRPr="003E3CF4">
        <w:rPr>
          <w:b/>
          <w:bCs/>
          <w:szCs w:val="24"/>
        </w:rPr>
        <w:t>”:</w:t>
      </w:r>
      <w:r w:rsidR="00C524C0">
        <w:rPr>
          <w:szCs w:val="24"/>
        </w:rPr>
        <w:t xml:space="preserve"> </w:t>
      </w:r>
      <w:r w:rsidR="00C524C0" w:rsidRPr="003E3CF4">
        <w:rPr>
          <w:szCs w:val="24"/>
        </w:rPr>
        <w:t xml:space="preserve">Infrastructure as a service (IaaS) platforms and virtualized services face different, and perhaps more, challenges and threats than traditional information technology infrastructure and application. IaaS platforms that share computing, storage and networking services need protections specific to threats in IaaS environment. This Recommendation aims to document security requirements of public IaaS </w:t>
      </w:r>
      <w:proofErr w:type="gramStart"/>
      <w:r w:rsidR="00C524C0" w:rsidRPr="003E3CF4">
        <w:rPr>
          <w:szCs w:val="24"/>
        </w:rPr>
        <w:t>in order to</w:t>
      </w:r>
      <w:proofErr w:type="gramEnd"/>
      <w:r w:rsidR="00C524C0" w:rsidRPr="003E3CF4">
        <w:rPr>
          <w:szCs w:val="24"/>
        </w:rPr>
        <w:t xml:space="preserve"> help IaaS providers to improve security of IaaS platform throughout the planning, building and operating stages</w:t>
      </w:r>
      <w:r w:rsidR="00C524C0" w:rsidRPr="00906790">
        <w:rPr>
          <w:szCs w:val="24"/>
        </w:rPr>
        <w:t>.</w:t>
      </w:r>
    </w:p>
    <w:p w14:paraId="5F59974D" w14:textId="37FFCA32" w:rsidR="00C524C0" w:rsidRPr="0039167D" w:rsidRDefault="00C524C0" w:rsidP="00C524C0">
      <w:pPr>
        <w:rPr>
          <w:lang w:val="en-GB"/>
        </w:rPr>
      </w:pPr>
      <w:r w:rsidRPr="0039167D">
        <w:rPr>
          <w:b/>
          <w:lang w:val="en-GB"/>
        </w:rPr>
        <w:t xml:space="preserve">ITU-T X.1606 “Security requirements for communications as a </w:t>
      </w:r>
      <w:proofErr w:type="gramStart"/>
      <w:r w:rsidRPr="0039167D">
        <w:rPr>
          <w:b/>
          <w:lang w:val="en-GB"/>
        </w:rPr>
        <w:t>service application environments</w:t>
      </w:r>
      <w:proofErr w:type="gramEnd"/>
      <w:r w:rsidRPr="0039167D">
        <w:rPr>
          <w:b/>
          <w:lang w:val="en-GB"/>
        </w:rPr>
        <w:t xml:space="preserve">” (under </w:t>
      </w:r>
      <w:r w:rsidR="001808A0">
        <w:rPr>
          <w:b/>
          <w:lang w:val="en-GB"/>
        </w:rPr>
        <w:t>publication</w:t>
      </w:r>
      <w:r w:rsidRPr="0039167D">
        <w:rPr>
          <w:b/>
          <w:lang w:val="en-GB"/>
        </w:rPr>
        <w:t>)</w:t>
      </w:r>
      <w:r>
        <w:rPr>
          <w:lang w:val="en-GB"/>
        </w:rPr>
        <w:t xml:space="preserve"> </w:t>
      </w:r>
      <w:r w:rsidRPr="004D4525">
        <w:rPr>
          <w:lang w:val="en-GB"/>
        </w:rPr>
        <w:t>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26B83EB7" w:rsidR="003B1760" w:rsidRPr="0039167D" w:rsidRDefault="003B1760" w:rsidP="003B1760">
      <w:pPr>
        <w:rPr>
          <w:lang w:val="en-GB"/>
        </w:rPr>
      </w:pPr>
      <w:r w:rsidRPr="0039167D">
        <w:rPr>
          <w:b/>
          <w:bCs/>
          <w:lang w:val="en-GB"/>
        </w:rPr>
        <w:t>ITU-T Y.3525 “Cloud computing - Requirements for cloud service development and operation management” (under approval)</w:t>
      </w:r>
      <w:r w:rsidRPr="0039167D">
        <w:rPr>
          <w:lang w:val="en-GB"/>
        </w:rPr>
        <w:t xml:space="preserve"> specifies functional requirements of cloud service development and operation management based on the analysis of corresponding use cases.</w:t>
      </w:r>
    </w:p>
    <w:p w14:paraId="35D425BB" w14:textId="3F5C768D" w:rsidR="0050368E" w:rsidRPr="0039167D" w:rsidRDefault="0050368E" w:rsidP="0050368E">
      <w:pPr>
        <w:rPr>
          <w:lang w:val="en-GB"/>
        </w:rPr>
      </w:pPr>
      <w:r w:rsidRPr="0039167D">
        <w:rPr>
          <w:b/>
          <w:bCs/>
          <w:lang w:val="en-GB"/>
        </w:rPr>
        <w:t>ITU-T Y.3530 “Cloud computing - Functional requirements for blockchain as a service” (under approval)</w:t>
      </w:r>
      <w:r w:rsidRPr="0039167D">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w:t>
      </w:r>
      <w:proofErr w:type="gramStart"/>
      <w:r w:rsidRPr="0039167D">
        <w:rPr>
          <w:lang w:val="en-GB"/>
        </w:rPr>
        <w:t>deploy</w:t>
      </w:r>
      <w:proofErr w:type="gramEnd"/>
      <w:r w:rsidRPr="0039167D">
        <w:rPr>
          <w:lang w:val="en-GB"/>
        </w:rPr>
        <w:t xml:space="preserve"> and operate decentralized applications. This Recommendation introduces blockchain and blockchain as a service. This Recommendation also provides functional requirements of blockchain as a service which is derived from use cases.</w:t>
      </w:r>
    </w:p>
    <w:p w14:paraId="3E13C37B" w14:textId="77777777" w:rsidR="006A46AE" w:rsidRPr="00856513" w:rsidRDefault="006A46AE" w:rsidP="006A46AE">
      <w:pPr>
        <w:pStyle w:val="Headingb"/>
      </w:pPr>
      <w:r w:rsidRPr="00856513">
        <w:t>I.2.8</w:t>
      </w:r>
      <w:r w:rsidRPr="00856513">
        <w:tab/>
        <w:t>Big data</w:t>
      </w:r>
    </w:p>
    <w:p w14:paraId="24B24EED" w14:textId="75393775" w:rsidR="00704014" w:rsidRPr="0039167D" w:rsidRDefault="00704014" w:rsidP="00704014">
      <w:pPr>
        <w:rPr>
          <w:lang w:val="en-GB"/>
        </w:rPr>
      </w:pPr>
      <w:r w:rsidRPr="0039167D">
        <w:rPr>
          <w:b/>
          <w:lang w:val="en-GB"/>
        </w:rPr>
        <w:t>ITU-T F.743.20 “Assessment framework for big data infrastructure” (under approval)</w:t>
      </w:r>
      <w:r>
        <w:rPr>
          <w:b/>
          <w:bCs/>
          <w:lang w:val="en-GB"/>
        </w:rPr>
        <w:t xml:space="preserve"> </w:t>
      </w:r>
      <w:r w:rsidRPr="00704014">
        <w:rPr>
          <w:lang w:val="en-GB"/>
        </w:rPr>
        <w:t>gives an assessment framework of big data infrastructure, which includes functional metrics, performance metrics, scalability metrics, security metrics, operation metrics and compatibility metrics.</w:t>
      </w:r>
    </w:p>
    <w:p w14:paraId="301403C0" w14:textId="7DC5A915" w:rsidR="003F25D5" w:rsidRPr="00952FDF" w:rsidRDefault="003F25D5" w:rsidP="003F25D5">
      <w:pPr>
        <w:rPr>
          <w:highlight w:val="yellow"/>
          <w:lang w:val="en-GB"/>
        </w:rPr>
      </w:pPr>
      <w:r w:rsidRPr="0039167D">
        <w:rPr>
          <w:b/>
          <w:lang w:val="en-GB"/>
        </w:rPr>
        <w:t xml:space="preserve">ITU-T X.1750 “Guidelines on security of big data as a service for Big Data Service Providers” (under </w:t>
      </w:r>
      <w:r w:rsidR="001808A0">
        <w:rPr>
          <w:b/>
          <w:lang w:val="en-GB"/>
        </w:rPr>
        <w:t>publication</w:t>
      </w:r>
      <w:r w:rsidRPr="0039167D">
        <w:rPr>
          <w:b/>
          <w:lang w:val="en-GB"/>
        </w:rPr>
        <w:t>):</w:t>
      </w:r>
      <w:r>
        <w:rPr>
          <w:lang w:val="en-GB"/>
        </w:rPr>
        <w:t xml:space="preserve"> </w:t>
      </w:r>
      <w:r w:rsidRPr="006C5792">
        <w:rPr>
          <w:lang w:val="en-GB"/>
        </w:rPr>
        <w:t>Big data as a service (</w:t>
      </w:r>
      <w:proofErr w:type="spellStart"/>
      <w:r w:rsidRPr="006C5792">
        <w:rPr>
          <w:lang w:val="en-GB"/>
        </w:rPr>
        <w:t>BDaaS</w:t>
      </w:r>
      <w:proofErr w:type="spellEnd"/>
      <w:r w:rsidRPr="006C5792">
        <w:rPr>
          <w:lang w:val="en-GB"/>
        </w:rPr>
        <w:t xml:space="preserve">)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w:t>
      </w:r>
      <w:proofErr w:type="spellStart"/>
      <w:r w:rsidRPr="006C5792">
        <w:rPr>
          <w:lang w:val="en-GB"/>
        </w:rPr>
        <w:t>BDaaS</w:t>
      </w:r>
      <w:proofErr w:type="spellEnd"/>
      <w:r w:rsidRPr="006C5792">
        <w:rPr>
          <w:lang w:val="en-GB"/>
        </w:rPr>
        <w:t xml:space="preserve">. Consequently, significant security issues arise for </w:t>
      </w:r>
      <w:proofErr w:type="spellStart"/>
      <w:r w:rsidRPr="006C5792">
        <w:rPr>
          <w:lang w:val="en-GB"/>
        </w:rPr>
        <w:t>BDaaS</w:t>
      </w:r>
      <w:proofErr w:type="spellEnd"/>
      <w:r w:rsidRPr="006C5792">
        <w:rPr>
          <w:lang w:val="en-GB"/>
        </w:rPr>
        <w:t xml:space="preserve">. For example, open source big data software design sometimes fails to take security into consideration from the beginning. New technologies introduced by big data analytics can also result in failure of traditional security protection measures. Recommendation </w:t>
      </w:r>
      <w:proofErr w:type="spellStart"/>
      <w:proofErr w:type="gramStart"/>
      <w:r w:rsidRPr="006C5792">
        <w:rPr>
          <w:lang w:val="en-GB"/>
        </w:rPr>
        <w:t>X.GSBDaaS</w:t>
      </w:r>
      <w:proofErr w:type="spellEnd"/>
      <w:proofErr w:type="gramEnd"/>
      <w:r w:rsidRPr="006C5792">
        <w:rPr>
          <w:lang w:val="en-GB"/>
        </w:rPr>
        <w:t xml:space="preserve"> analyses security challenges </w:t>
      </w:r>
      <w:proofErr w:type="spellStart"/>
      <w:r w:rsidRPr="006C5792">
        <w:rPr>
          <w:lang w:val="en-GB"/>
        </w:rPr>
        <w:t>BDaaS</w:t>
      </w:r>
      <w:proofErr w:type="spellEnd"/>
      <w:r w:rsidRPr="006C5792">
        <w:rPr>
          <w:lang w:val="en-GB"/>
        </w:rPr>
        <w:t xml:space="preserve"> faces, identifies security roles and responsibilities for provision of </w:t>
      </w:r>
      <w:proofErr w:type="spellStart"/>
      <w:r w:rsidRPr="006C5792">
        <w:rPr>
          <w:lang w:val="en-GB"/>
        </w:rPr>
        <w:t>BDaaS</w:t>
      </w:r>
      <w:proofErr w:type="spellEnd"/>
      <w:r w:rsidRPr="006C5792">
        <w:rPr>
          <w:lang w:val="en-GB"/>
        </w:rPr>
        <w:t xml:space="preserve">, as well as a security framework for a big data infrastructure. It also specifies security protection measures that should be satisfied for services and components related to </w:t>
      </w:r>
      <w:proofErr w:type="spellStart"/>
      <w:r w:rsidRPr="006C5792">
        <w:rPr>
          <w:lang w:val="en-GB"/>
        </w:rPr>
        <w:t>BDaaS</w:t>
      </w:r>
      <w:proofErr w:type="spellEnd"/>
      <w:r w:rsidRPr="006C5792">
        <w:rPr>
          <w:lang w:val="en-GB"/>
        </w:rPr>
        <w:t>.</w:t>
      </w:r>
    </w:p>
    <w:p w14:paraId="488D7FC5" w14:textId="5578CD45" w:rsidR="00F3309E" w:rsidRDefault="00F3309E" w:rsidP="00F3309E">
      <w:pPr>
        <w:rPr>
          <w:highlight w:val="yellow"/>
          <w:lang w:val="en-GB"/>
        </w:rPr>
      </w:pPr>
      <w:r w:rsidRPr="0039167D">
        <w:rPr>
          <w:b/>
          <w:lang w:val="en-GB"/>
        </w:rPr>
        <w:lastRenderedPageBreak/>
        <w:t xml:space="preserve">ITU-T X.1751 “Security guidelines on big data lifecycle management for telecommunication operators” (under </w:t>
      </w:r>
      <w:r w:rsidR="001808A0">
        <w:rPr>
          <w:b/>
          <w:lang w:val="en-GB"/>
        </w:rPr>
        <w:t>publication</w:t>
      </w:r>
      <w:r w:rsidRPr="0039167D">
        <w:rPr>
          <w:b/>
          <w:lang w:val="en-GB"/>
        </w:rPr>
        <w:t>)</w:t>
      </w:r>
      <w:r>
        <w:rPr>
          <w:lang w:val="en-GB"/>
        </w:rPr>
        <w:t xml:space="preserve"> </w:t>
      </w:r>
      <w:r w:rsidRPr="006E6F52">
        <w:rPr>
          <w:lang w:val="en-GB"/>
        </w:rPr>
        <w:t>analyses security vulnerabilities and provides security guidelines on the big data lifecycle management for telecommunication operators.</w:t>
      </w:r>
      <w:r>
        <w:rPr>
          <w:lang w:val="en-GB"/>
        </w:rPr>
        <w:t xml:space="preserve"> </w:t>
      </w:r>
      <w:r w:rsidRPr="006E6F52">
        <w:rPr>
          <w:lang w:val="en-GB"/>
        </w:rPr>
        <w:t xml:space="preserve">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w:t>
      </w:r>
      <w:proofErr w:type="gramStart"/>
      <w:r w:rsidRPr="006E6F52">
        <w:rPr>
          <w:lang w:val="en-GB"/>
        </w:rPr>
        <w:t>in service</w:t>
      </w:r>
      <w:proofErr w:type="gramEnd"/>
      <w:r w:rsidRPr="006E6F52">
        <w:rPr>
          <w:lang w:val="en-GB"/>
        </w:rPr>
        <w:t xml:space="preserve"> processes. Data face various security vulnerabilities at different stages of its lifecycle.</w:t>
      </w:r>
      <w:r>
        <w:rPr>
          <w:lang w:val="en-GB"/>
        </w:rPr>
        <w:t xml:space="preserve"> </w:t>
      </w:r>
      <w:r w:rsidRPr="006E6F52">
        <w:rPr>
          <w:lang w:val="en-GB"/>
        </w:rPr>
        <w:t>This Recommendation introduces specific characteristics of telecommunication big data services and data categories, analyses security vulnerabilities of big data lifecycle management, specifies security guidelines for telecommunication operators.</w:t>
      </w:r>
    </w:p>
    <w:p w14:paraId="666794BB" w14:textId="29D7C7FE" w:rsidR="004B19DD" w:rsidRDefault="00C44FDC" w:rsidP="004B19DD">
      <w:pPr>
        <w:rPr>
          <w:lang w:val="en-GB"/>
        </w:rPr>
      </w:pPr>
      <w:hyperlink r:id="rId286" w:history="1">
        <w:r w:rsidR="004B19DD" w:rsidRPr="001C03B7">
          <w:rPr>
            <w:rStyle w:val="Hyperlink"/>
            <w:b/>
            <w:lang w:val="en-GB"/>
          </w:rPr>
          <w:t>ITU-T Y.3604 “Big data – Overview and requirements for data preservation”</w:t>
        </w:r>
      </w:hyperlink>
      <w:r w:rsidR="004B19DD" w:rsidRPr="00F965BE">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56201EB5" w14:textId="42BAC48E" w:rsidR="0088159A" w:rsidRDefault="0088159A" w:rsidP="0088159A">
      <w:pPr>
        <w:rPr>
          <w:lang w:val="en-GB"/>
        </w:rPr>
      </w:pPr>
      <w:r w:rsidRPr="0039167D">
        <w:rPr>
          <w:b/>
          <w:bCs/>
          <w:lang w:val="en-GB"/>
        </w:rPr>
        <w:t>ITU-T Y.3605 “Big data - Reference architecture” (under approval)</w:t>
      </w:r>
      <w:r w:rsidRPr="0039167D">
        <w:rPr>
          <w:lang w:val="en-GB"/>
        </w:rPr>
        <w:t xml:space="preserve"> defines</w:t>
      </w:r>
      <w:r w:rsidRPr="0088159A">
        <w:rPr>
          <w:lang w:val="en-GB"/>
        </w:rPr>
        <w:t xml:space="preserve">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692C56C3" w14:textId="5DF2958A" w:rsidR="00427893" w:rsidRPr="00F965BE" w:rsidRDefault="00C44FDC" w:rsidP="008A2CFA">
      <w:pPr>
        <w:rPr>
          <w:lang w:val="en-GB"/>
        </w:rPr>
      </w:pPr>
      <w:hyperlink r:id="rId287" w:history="1">
        <w:r w:rsidR="00427893" w:rsidRPr="002E22D1">
          <w:rPr>
            <w:rStyle w:val="Hyperlink"/>
            <w:b/>
            <w:bCs/>
            <w:lang w:val="en-GB"/>
          </w:rPr>
          <w:t>ITU-T Y.3652 “Requirements of big data driven networking”</w:t>
        </w:r>
      </w:hyperlink>
      <w:r w:rsidR="00427893" w:rsidRPr="002E22D1">
        <w:rPr>
          <w:lang w:val="en-GB"/>
        </w:rPr>
        <w:t>:</w:t>
      </w:r>
      <w:r w:rsidR="00427893" w:rsidRPr="00427893">
        <w:rPr>
          <w:lang w:val="en-GB"/>
        </w:rPr>
        <w:t xml:space="preserve"> </w:t>
      </w:r>
      <w:r w:rsidR="008A2CFA" w:rsidRPr="008A2CFA">
        <w:rPr>
          <w:lang w:val="en-GB"/>
        </w:rPr>
        <w:t>Big data driven networking (</w:t>
      </w:r>
      <w:proofErr w:type="spellStart"/>
      <w:r w:rsidR="008A2CFA" w:rsidRPr="008A2CFA">
        <w:rPr>
          <w:lang w:val="en-GB"/>
        </w:rPr>
        <w:t>bDDN</w:t>
      </w:r>
      <w:proofErr w:type="spellEnd"/>
      <w:r w:rsidR="008A2CFA" w:rsidRPr="008A2CFA">
        <w:rPr>
          <w:lang w:val="en-GB"/>
        </w:rPr>
        <w:t>) is a group of technologies and methods to facilitate network operation, administration, maintenance and optimization etc. based on the big data generated by the network and a series of methods and tools. That is to say, big data generated by the network are used to serve for the network and make the network better. This Recommendation specifies requirements of big data driven networking. This Recommendation studies general requirements for big data driven networking, requirements of big data plane for big data driven networking, requirements of network plane for big data driven networking, requirements of management plane for big data driven networking, interface requirements for big data driven networking.</w:t>
      </w:r>
    </w:p>
    <w:p w14:paraId="357C1E62" w14:textId="5263F8F5" w:rsidR="006A46AE" w:rsidRPr="00BF5201" w:rsidRDefault="006A46AE" w:rsidP="006A46AE">
      <w:pPr>
        <w:pStyle w:val="Headingb"/>
      </w:pPr>
      <w:r w:rsidRPr="00BF5201">
        <w:t>I.2.9</w:t>
      </w:r>
      <w:r w:rsidRPr="00BF5201">
        <w:tab/>
        <w:t>Network Management</w:t>
      </w:r>
    </w:p>
    <w:p w14:paraId="04AC8404" w14:textId="5FEA814F" w:rsidR="004349FA" w:rsidRPr="00EA6FEB" w:rsidRDefault="00C44FDC" w:rsidP="004349FA">
      <w:pPr>
        <w:rPr>
          <w:lang w:val="en-GB" w:eastAsia="en-US"/>
        </w:rPr>
      </w:pPr>
      <w:hyperlink r:id="rId288" w:history="1">
        <w:r w:rsidR="004349FA" w:rsidRPr="00C13752">
          <w:rPr>
            <w:rStyle w:val="Hyperlink"/>
            <w:b/>
            <w:lang w:val="en-GB" w:eastAsia="en-US"/>
          </w:rPr>
          <w:t>ITU-T M.3041 “Framework of smart operation, management and maintenance”</w:t>
        </w:r>
      </w:hyperlink>
      <w:r w:rsidR="004349FA" w:rsidRPr="00EA6FEB">
        <w:rPr>
          <w:lang w:val="en-GB" w:eastAsia="en-US"/>
        </w:rPr>
        <w:t xml:space="preserve"> introduces framework of smart operation, </w:t>
      </w:r>
      <w:proofErr w:type="gramStart"/>
      <w:r w:rsidR="004349FA" w:rsidRPr="00EA6FEB">
        <w:rPr>
          <w:lang w:val="en-GB" w:eastAsia="en-US"/>
        </w:rPr>
        <w:t>management</w:t>
      </w:r>
      <w:proofErr w:type="gramEnd"/>
      <w:r w:rsidR="004349FA" w:rsidRPr="00EA6FEB">
        <w:rPr>
          <w:lang w:val="en-GB" w:eastAsia="en-US"/>
        </w:rPr>
        <w:t xml:space="preserve"> and maintenance (SOMM). In this Recommendation, characteristics, </w:t>
      </w:r>
      <w:proofErr w:type="gramStart"/>
      <w:r w:rsidR="004349FA" w:rsidRPr="00EA6FEB">
        <w:rPr>
          <w:lang w:val="en-GB" w:eastAsia="en-US"/>
        </w:rPr>
        <w:t>scenarios</w:t>
      </w:r>
      <w:proofErr w:type="gramEnd"/>
      <w:r w:rsidR="004349FA" w:rsidRPr="00EA6FEB">
        <w:rPr>
          <w:lang w:val="en-GB" w:eastAsia="en-US"/>
        </w:rPr>
        <w:t xml:space="preserve">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08F6D7A1" w14:textId="2B05CF12" w:rsidR="00B2267A" w:rsidRPr="00B2267A" w:rsidRDefault="00C44FDC" w:rsidP="00B2267A">
      <w:pPr>
        <w:rPr>
          <w:bCs/>
          <w:highlight w:val="red"/>
          <w:lang w:val="en-GB" w:eastAsia="en-US"/>
        </w:rPr>
      </w:pPr>
      <w:hyperlink r:id="rId289" w:history="1">
        <w:r w:rsidR="00B2267A" w:rsidRPr="004170B3">
          <w:rPr>
            <w:rStyle w:val="Hyperlink"/>
            <w:b/>
            <w:lang w:val="en-GB" w:eastAsia="en-US"/>
          </w:rPr>
          <w:t>ITU-T M.3164 “Generic information model for on-site telecommunication smart maintenance”</w:t>
        </w:r>
      </w:hyperlink>
      <w:r w:rsidR="00B2267A" w:rsidRPr="00B2267A">
        <w:rPr>
          <w:bCs/>
          <w:lang w:val="en-GB" w:eastAsia="en-US"/>
        </w:rPr>
        <w:t xml:space="preserve"> introduces the generic information model for on-site telecommunication smart maintenance. In this Recommendation, the definition and description of the generic information object classes, attributes and the relationship between object classes are provided. This Recommendation also provides examples of each information object class and a diagram of all the example instances.</w:t>
      </w:r>
    </w:p>
    <w:p w14:paraId="6BE46B43" w14:textId="6B0FDCDB" w:rsidR="004349FA" w:rsidRPr="00640D0A" w:rsidRDefault="00C44FDC" w:rsidP="004349FA">
      <w:pPr>
        <w:rPr>
          <w:lang w:val="en-GB" w:eastAsia="en-US"/>
        </w:rPr>
      </w:pPr>
      <w:hyperlink r:id="rId290" w:history="1">
        <w:r w:rsidR="004349FA" w:rsidRPr="0044416C">
          <w:rPr>
            <w:rStyle w:val="Hyperlink"/>
            <w:b/>
            <w:lang w:val="en-GB" w:eastAsia="en-US"/>
          </w:rPr>
          <w:t>ITU-T M.3362 “Requirements for Telecommunication anti-Fraud Management in the TMN”</w:t>
        </w:r>
      </w:hyperlink>
      <w:r w:rsidR="004349FA" w:rsidRPr="0044416C">
        <w:rPr>
          <w:lang w:val="en-GB" w:eastAsia="en-US"/>
        </w:rPr>
        <w:t xml:space="preserve"> </w:t>
      </w:r>
      <w:r w:rsidR="001770F4" w:rsidRPr="00640D0A">
        <w:rPr>
          <w:lang w:val="en-GB" w:eastAsia="en-US"/>
        </w:rPr>
        <w:t xml:space="preserve">describes the requirements for telecommunication anti-fraud management in the telecommunication </w:t>
      </w:r>
      <w:r w:rsidR="001770F4" w:rsidRPr="00640D0A">
        <w:rPr>
          <w:lang w:val="en-GB" w:eastAsia="en-US"/>
        </w:rPr>
        <w:lastRenderedPageBreak/>
        <w:t>management network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09C6C887" w14:textId="0FEBFCF6" w:rsidR="004349FA" w:rsidRPr="002B085D" w:rsidRDefault="00C44FDC" w:rsidP="004349FA">
      <w:pPr>
        <w:rPr>
          <w:lang w:val="en-GB" w:eastAsia="en-US"/>
        </w:rPr>
      </w:pPr>
      <w:hyperlink r:id="rId291" w:history="1">
        <w:r w:rsidR="004349FA" w:rsidRPr="001D522C">
          <w:rPr>
            <w:rStyle w:val="Hyperlink"/>
            <w:b/>
            <w:lang w:val="en-GB" w:eastAsia="en-US"/>
          </w:rPr>
          <w:t>ITU-T M.3363 “Requirements for data management in the TMN”</w:t>
        </w:r>
      </w:hyperlink>
      <w:r w:rsidR="004349FA" w:rsidRPr="002B085D">
        <w:rPr>
          <w:lang w:val="en-GB" w:eastAsia="en-US"/>
        </w:rPr>
        <w:t xml:space="preserve"> describes the requirements for data management in the TMN, the functional framework for data management and the functional description. 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60529DE7" w14:textId="32209A13" w:rsidR="004349FA" w:rsidRPr="002B085D" w:rsidRDefault="00C44FDC" w:rsidP="004349FA">
      <w:pPr>
        <w:rPr>
          <w:lang w:val="en-GB" w:eastAsia="en-US"/>
        </w:rPr>
      </w:pPr>
      <w:hyperlink r:id="rId292" w:history="1">
        <w:r w:rsidR="004349FA" w:rsidRPr="001D522C">
          <w:rPr>
            <w:rStyle w:val="Hyperlink"/>
            <w:b/>
            <w:lang w:val="en-GB" w:eastAsia="en-US"/>
          </w:rPr>
          <w:t>ITU-T M.3364 “Requirements for on-site telecommunication smart maintenance management function”</w:t>
        </w:r>
      </w:hyperlink>
      <w:r w:rsidR="004349FA" w:rsidRPr="002B085D">
        <w:rPr>
          <w:lang w:val="en-GB" w:eastAsia="en-US"/>
        </w:rPr>
        <w:t xml:space="preserve"> 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08D82439" w14:textId="77777777" w:rsidR="006A46AE" w:rsidRPr="0037705C" w:rsidRDefault="006A46AE" w:rsidP="006A46AE">
      <w:pPr>
        <w:pStyle w:val="Headingb"/>
      </w:pPr>
      <w:r w:rsidRPr="0037705C">
        <w:t>I.3.1</w:t>
      </w:r>
      <w:r w:rsidRPr="0037705C">
        <w:tab/>
        <w:t>Video and image coding</w:t>
      </w:r>
    </w:p>
    <w:p w14:paraId="4C779383" w14:textId="2C7BF1D8" w:rsidR="0037705C" w:rsidRDefault="00C44FDC" w:rsidP="0037705C">
      <w:pPr>
        <w:rPr>
          <w:lang w:val="en-GB"/>
        </w:rPr>
      </w:pPr>
      <w:hyperlink r:id="rId293" w:history="1">
        <w:r w:rsidR="0037705C" w:rsidRPr="00CA20FA">
          <w:rPr>
            <w:rStyle w:val="Hyperlink"/>
            <w:b/>
            <w:bCs/>
            <w:lang w:val="en-GB"/>
          </w:rPr>
          <w:t>ITU-T H.266 “Versatile video coding”</w:t>
        </w:r>
      </w:hyperlink>
      <w:r w:rsidR="0037705C">
        <w:rPr>
          <w:lang w:val="en-GB"/>
        </w:rPr>
        <w:t xml:space="preserve"> </w:t>
      </w:r>
      <w:r w:rsidR="0037705C" w:rsidRPr="0037705C">
        <w:rPr>
          <w:lang w:val="en-GB"/>
        </w:rPr>
        <w:t xml:space="preserve">provides text for the new video coding Recommendation entitled “Versatile video coding” (VVC). This Recommendation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Some key application areas for the use of this standard particularly include ultra-high definition video, video with a high dynamic range and wide colour gamut, and video for immersive media applications such as 360° omnidirectional video projected using a common projection format such as the equirectangular or </w:t>
      </w:r>
      <w:proofErr w:type="spellStart"/>
      <w:r w:rsidR="0037705C" w:rsidRPr="0037705C">
        <w:rPr>
          <w:lang w:val="en-GB"/>
        </w:rPr>
        <w:t>cubemap</w:t>
      </w:r>
      <w:proofErr w:type="spellEnd"/>
      <w:r w:rsidR="0037705C" w:rsidRPr="0037705C">
        <w:rPr>
          <w:lang w:val="en-GB"/>
        </w:rPr>
        <w:t xml:space="preserve"> projection formats, in addition to the applications that have commonly been addressed by prior video coding standards.</w:t>
      </w:r>
      <w:r w:rsidR="0037705C">
        <w:rPr>
          <w:lang w:val="en-GB"/>
        </w:rPr>
        <w:t xml:space="preserve"> </w:t>
      </w:r>
      <w:r w:rsidR="0037705C" w:rsidRPr="0037705C">
        <w:rPr>
          <w:lang w:val="en-GB"/>
        </w:rPr>
        <w:t>This Recommendation was developed collaboratively with ISO/IEC JTC 1/SC 29, and corresponds with ISO/IEC 23090-3 as technically aligned twin text.</w:t>
      </w:r>
    </w:p>
    <w:p w14:paraId="7E7EB86E" w14:textId="4D7F84E6" w:rsidR="00523D05" w:rsidRDefault="00C44FDC" w:rsidP="00523D05">
      <w:pPr>
        <w:rPr>
          <w:lang w:val="en-GB"/>
        </w:rPr>
      </w:pPr>
      <w:hyperlink r:id="rId294" w:history="1">
        <w:r w:rsidR="00523D05" w:rsidRPr="00E50419">
          <w:rPr>
            <w:rStyle w:val="Hyperlink"/>
            <w:b/>
            <w:bCs/>
            <w:lang w:val="en-GB"/>
          </w:rPr>
          <w:t>ITU-T H.274 “Versatile supplemental enhancement information messages for coded video bitstreams”</w:t>
        </w:r>
      </w:hyperlink>
      <w:r w:rsidR="00523D05">
        <w:rPr>
          <w:lang w:val="en-GB"/>
        </w:rPr>
        <w:t xml:space="preserve"> </w:t>
      </w:r>
      <w:r w:rsidR="00523D05" w:rsidRPr="00523D05">
        <w:rPr>
          <w:lang w:val="en-GB"/>
        </w:rPr>
        <w:t>provides text for a new Recommendation that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00523D05">
        <w:rPr>
          <w:lang w:val="en-GB"/>
        </w:rPr>
        <w:t xml:space="preserve"> </w:t>
      </w:r>
      <w:r w:rsidR="00523D05" w:rsidRPr="00523D05">
        <w:rPr>
          <w:lang w:val="en-GB"/>
        </w:rPr>
        <w:t>This Recommendation was developed collaboratively with ISO/IEC JTC 1/SC 29, and corresponds with ISO/IEC 23002-7 as technically aligned twin text.</w:t>
      </w:r>
    </w:p>
    <w:p w14:paraId="4A0F3D60" w14:textId="2F184983" w:rsidR="00B91D2B" w:rsidRPr="00B91D2B" w:rsidRDefault="00B91D2B" w:rsidP="00B91D2B">
      <w:pPr>
        <w:rPr>
          <w:lang w:val="en-GB"/>
        </w:rPr>
      </w:pPr>
      <w:r w:rsidRPr="0039167D">
        <w:rPr>
          <w:b/>
          <w:bCs/>
          <w:lang w:val="en-GB"/>
        </w:rPr>
        <w:t>ITU-T T.701.11 “Guidance on audio descriptions (twin text of ISO/IEC TS 20071-11:2019, Information technology - Guidance on alternative text for images - Part 11)” (under approval)</w:t>
      </w:r>
      <w:r>
        <w:rPr>
          <w:lang w:val="en-GB"/>
        </w:rPr>
        <w:t xml:space="preserve"> </w:t>
      </w:r>
      <w:r w:rsidRPr="00B91D2B">
        <w:rPr>
          <w:lang w:val="en-GB"/>
        </w:rPr>
        <w:t xml:space="preserve">gives guidance on how to create text alternatives (also known as "alt-text") and what information to put in text alternatives. </w:t>
      </w:r>
    </w:p>
    <w:p w14:paraId="6E96F9F3" w14:textId="0C03673F" w:rsidR="00B91D2B" w:rsidRPr="00952FDF" w:rsidRDefault="00B91D2B" w:rsidP="00B91D2B">
      <w:pPr>
        <w:rPr>
          <w:highlight w:val="yellow"/>
          <w:lang w:val="en-GB"/>
        </w:rPr>
      </w:pPr>
      <w:r w:rsidRPr="00B91D2B">
        <w:rPr>
          <w:lang w:val="en-GB"/>
        </w:rPr>
        <w:lastRenderedPageBreak/>
        <w:t>This Recommendation applies to all still images that are used in any type of electronic document. It also applies to individual images within a slide show. The alternative text guidance provided in this Recommendation is not applicable to moving images (e.g. movies).</w:t>
      </w:r>
      <w:r>
        <w:rPr>
          <w:lang w:val="en-GB"/>
        </w:rPr>
        <w:t xml:space="preserve"> </w:t>
      </w:r>
      <w:r w:rsidRPr="00B91D2B">
        <w:rPr>
          <w:lang w:val="en-GB"/>
        </w:rPr>
        <w:t>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A10F95" w:rsidRDefault="006A46AE" w:rsidP="006A46AE">
      <w:pPr>
        <w:pStyle w:val="Headingb"/>
      </w:pPr>
      <w:bookmarkStart w:id="236" w:name="_Toc480527896"/>
      <w:r w:rsidRPr="00A10F95">
        <w:t>I.3.2</w:t>
      </w:r>
      <w:r w:rsidRPr="00A10F95">
        <w:tab/>
        <w:t>Intelligent, interoperable visual surveillance systems</w:t>
      </w:r>
      <w:bookmarkEnd w:id="236"/>
    </w:p>
    <w:p w14:paraId="53AEB800" w14:textId="77777777" w:rsidR="006A46AE" w:rsidRPr="00A8434B" w:rsidRDefault="006A46AE" w:rsidP="006A46AE">
      <w:pPr>
        <w:pStyle w:val="Headingb"/>
      </w:pPr>
      <w:bookmarkStart w:id="237" w:name="_Toc480527898"/>
      <w:r w:rsidRPr="00A8434B">
        <w:t>I.3.3</w:t>
      </w:r>
      <w:r w:rsidRPr="00A8434B">
        <w:tab/>
        <w:t>IPTV and digital signage</w:t>
      </w:r>
      <w:bookmarkEnd w:id="237"/>
    </w:p>
    <w:p w14:paraId="05F4AE31" w14:textId="2E5B7A07" w:rsidR="00A8434B" w:rsidRDefault="00C44FDC" w:rsidP="00A8434B">
      <w:pPr>
        <w:rPr>
          <w:lang w:val="en-GB" w:eastAsia="en-US"/>
        </w:rPr>
      </w:pPr>
      <w:hyperlink r:id="rId295" w:history="1">
        <w:r w:rsidR="00A8434B" w:rsidRPr="002C2393">
          <w:rPr>
            <w:rStyle w:val="Hyperlink"/>
            <w:b/>
            <w:bCs/>
            <w:lang w:val="en-GB" w:eastAsia="en-US"/>
          </w:rPr>
          <w:t>ITU-T H.702 (V2) (revised) “Accessibility profiles for IPTV systems”</w:t>
        </w:r>
      </w:hyperlink>
      <w:r w:rsidR="00A8434B">
        <w:rPr>
          <w:lang w:val="en-GB" w:eastAsia="en-US"/>
        </w:rPr>
        <w:t xml:space="preserve"> </w:t>
      </w:r>
      <w:r w:rsidR="00A8434B" w:rsidRPr="000D6D55">
        <w:rPr>
          <w:lang w:val="en-GB" w:eastAsia="en-US"/>
        </w:rPr>
        <w:t xml:space="preserve">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w:t>
      </w:r>
      <w:proofErr w:type="gramStart"/>
      <w:r w:rsidR="00A8434B" w:rsidRPr="000D6D55">
        <w:rPr>
          <w:lang w:val="en-GB" w:eastAsia="en-US"/>
        </w:rPr>
        <w:t>system, and</w:t>
      </w:r>
      <w:proofErr w:type="gramEnd"/>
      <w:r w:rsidR="00A8434B" w:rsidRPr="000D6D55">
        <w:rPr>
          <w:lang w:val="en-GB" w:eastAsia="en-US"/>
        </w:rPr>
        <w:t xml:space="preserve"> harmonizes the latest term definitions.</w:t>
      </w:r>
    </w:p>
    <w:p w14:paraId="7359E21B" w14:textId="7C0117BF" w:rsidR="0031304D" w:rsidRPr="006B74E2" w:rsidRDefault="00C44FDC" w:rsidP="0031304D">
      <w:pPr>
        <w:rPr>
          <w:highlight w:val="yellow"/>
          <w:lang w:val="en-GB" w:eastAsia="en-US"/>
        </w:rPr>
      </w:pPr>
      <w:hyperlink r:id="rId296" w:history="1">
        <w:r w:rsidR="0031304D" w:rsidRPr="00BE3C8F">
          <w:rPr>
            <w:rStyle w:val="Hyperlink"/>
            <w:b/>
            <w:bCs/>
            <w:lang w:val="en-GB" w:eastAsia="en-US"/>
          </w:rPr>
          <w:t>ITU-T H.704 “Enhanced UI framework for IPTV terminal device - Gesture control interface”</w:t>
        </w:r>
      </w:hyperlink>
      <w:r w:rsidR="0031304D">
        <w:rPr>
          <w:lang w:val="en-GB" w:eastAsia="en-US"/>
        </w:rPr>
        <w:t xml:space="preserve"> </w:t>
      </w:r>
      <w:r w:rsidR="0031304D" w:rsidRPr="0031304D">
        <w:rPr>
          <w:lang w:val="en-GB" w:eastAsia="en-US"/>
        </w:rPr>
        <w:t xml:space="preserve">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w:t>
      </w:r>
      <w:proofErr w:type="gramStart"/>
      <w:r w:rsidR="0031304D" w:rsidRPr="0031304D">
        <w:rPr>
          <w:lang w:val="en-GB" w:eastAsia="en-US"/>
        </w:rPr>
        <w:t>natural</w:t>
      </w:r>
      <w:proofErr w:type="gramEnd"/>
      <w:r w:rsidR="0031304D" w:rsidRPr="0031304D">
        <w:rPr>
          <w:lang w:val="en-GB" w:eastAsia="en-US"/>
        </w:rPr>
        <w:t xml:space="preserve"> and comfortable way.</w:t>
      </w:r>
    </w:p>
    <w:p w14:paraId="6C0490BE" w14:textId="4D50E0C9" w:rsidR="006A46AE" w:rsidRPr="00CD3F1F" w:rsidRDefault="006A46AE" w:rsidP="006A46AE">
      <w:pPr>
        <w:pStyle w:val="Headingb"/>
      </w:pPr>
      <w:bookmarkStart w:id="238" w:name="_Toc480527900"/>
      <w:r w:rsidRPr="00CD3F1F">
        <w:t>I.3.4</w:t>
      </w:r>
      <w:r w:rsidRPr="00CD3F1F">
        <w:tab/>
        <w:t>Immersive live experience</w:t>
      </w:r>
    </w:p>
    <w:p w14:paraId="5E1FF284" w14:textId="3686A9E6" w:rsidR="00CD3F1F" w:rsidRPr="00952FDF" w:rsidRDefault="00C44FDC" w:rsidP="00CD3F1F">
      <w:pPr>
        <w:rPr>
          <w:highlight w:val="yellow"/>
          <w:lang w:val="en-GB" w:eastAsia="en-US"/>
        </w:rPr>
      </w:pPr>
      <w:hyperlink r:id="rId297" w:history="1">
        <w:r w:rsidR="00CD3F1F" w:rsidRPr="00BD4B16">
          <w:rPr>
            <w:rStyle w:val="Hyperlink"/>
            <w:b/>
            <w:bCs/>
            <w:lang w:val="en-GB" w:eastAsia="en-US"/>
          </w:rPr>
          <w:t>ITU-T H.430.5 “Reference models for immersive live experience (ILE) presentation environment”</w:t>
        </w:r>
      </w:hyperlink>
      <w:r w:rsidR="00CD3F1F" w:rsidRPr="00BD4B16">
        <w:rPr>
          <w:lang w:val="en-GB" w:eastAsia="en-US"/>
        </w:rPr>
        <w:t>:</w:t>
      </w:r>
      <w:r w:rsidR="00CD3F1F">
        <w:rPr>
          <w:lang w:val="en-GB" w:eastAsia="en-US"/>
        </w:rPr>
        <w:t xml:space="preserve"> </w:t>
      </w:r>
      <w:r w:rsidR="00CD3F1F" w:rsidRPr="00CD3F1F">
        <w:rPr>
          <w:lang w:val="en-GB" w:eastAsia="en-US"/>
        </w:rPr>
        <w:t xml:space="preserve">In order to reproduce a highly realistic experience and sense of </w:t>
      </w:r>
      <w:proofErr w:type="spellStart"/>
      <w:r w:rsidR="00CD3F1F" w:rsidRPr="00CD3F1F">
        <w:rPr>
          <w:lang w:val="en-GB" w:eastAsia="en-US"/>
        </w:rPr>
        <w:t>immersiveness</w:t>
      </w:r>
      <w:proofErr w:type="spellEnd"/>
      <w:r w:rsidR="00CD3F1F" w:rsidRPr="00CD3F1F">
        <w:rPr>
          <w:lang w:val="en-GB" w:eastAsia="en-US"/>
        </w:rPr>
        <w:t xml:space="preserve"> for audiences at a viewing site on par with the experience of audiences at the event site at the same time, and also to reduce the design and setup times of ILE viewing sites, this Recommendation specifies reference models for the Immersive Live Experience (ILE) presentation environment. This document provides three reference models for proscenium, open, and arena style presentation environments, and provides functional blocks and some implementation guidelines for ILE viewing sites as informative information.</w:t>
      </w:r>
    </w:p>
    <w:p w14:paraId="5D94185A" w14:textId="526AA725" w:rsidR="00391EDF" w:rsidRPr="00391EDF" w:rsidRDefault="00C44FDC" w:rsidP="00391EDF">
      <w:pPr>
        <w:rPr>
          <w:lang w:val="en-GB" w:eastAsia="en-US"/>
        </w:rPr>
      </w:pPr>
      <w:hyperlink r:id="rId298" w:history="1">
        <w:r w:rsidR="00391EDF" w:rsidRPr="006A4731">
          <w:rPr>
            <w:rStyle w:val="Hyperlink"/>
            <w:b/>
            <w:bCs/>
            <w:lang w:val="en-GB" w:eastAsia="en-US"/>
          </w:rPr>
          <w:t>ITU-T H.627 (V2) (revised) “Signalling and protocols for a video surveillance system”</w:t>
        </w:r>
      </w:hyperlink>
      <w:r w:rsidR="00391EDF">
        <w:rPr>
          <w:lang w:val="en-GB" w:eastAsia="en-US"/>
        </w:rPr>
        <w:t xml:space="preserve"> </w:t>
      </w:r>
      <w:r w:rsidR="00391EDF" w:rsidRPr="00391EDF">
        <w:rPr>
          <w:lang w:val="en-GB" w:eastAsia="en-US"/>
        </w:rPr>
        <w:t>defines the detailed signalling flows and relevant protocols of a video surveillance system, based on the requirements defined in Recommendation ITU-T F.743V2 and the functional architecture defined in Recommendation ITU-T H.626 (V2). This revision updates the title of this Recommendation, adds the overall requirements, revises the signalling flows and relevant protocols.</w:t>
      </w:r>
    </w:p>
    <w:p w14:paraId="0631B3A6" w14:textId="77777777" w:rsidR="006A46AE" w:rsidRPr="0031561B" w:rsidRDefault="006A46AE" w:rsidP="006A46AE">
      <w:pPr>
        <w:pStyle w:val="Headingb"/>
      </w:pPr>
      <w:r w:rsidRPr="0031561B">
        <w:t>I.3.5</w:t>
      </w:r>
      <w:r w:rsidRPr="0031561B">
        <w:tab/>
        <w:t>Standards to assess quality of video communications and applications</w:t>
      </w:r>
    </w:p>
    <w:p w14:paraId="119E622C" w14:textId="4F647149" w:rsidR="0031561B" w:rsidRPr="00952FDF" w:rsidRDefault="00C44FDC" w:rsidP="0031561B">
      <w:pPr>
        <w:widowControl w:val="0"/>
        <w:rPr>
          <w:bCs/>
          <w:highlight w:val="yellow"/>
          <w:lang w:val="en-GB"/>
        </w:rPr>
      </w:pPr>
      <w:hyperlink r:id="rId299" w:history="1">
        <w:r w:rsidR="0031561B" w:rsidRPr="0031561B">
          <w:rPr>
            <w:rStyle w:val="Hyperlink"/>
            <w:b/>
            <w:lang w:val="en-GB"/>
          </w:rPr>
          <w:t>ITU-T TP GSTP-IPTV-QoS “Technical Paper: Performance metrics for end-to-end IPTV video quality”</w:t>
        </w:r>
      </w:hyperlink>
      <w:r w:rsidR="0031561B">
        <w:rPr>
          <w:bCs/>
          <w:lang w:val="en-GB"/>
        </w:rPr>
        <w:t xml:space="preserve"> </w:t>
      </w:r>
      <w:r w:rsidR="0031561B" w:rsidRPr="0031561B">
        <w:rPr>
          <w:bCs/>
          <w:lang w:val="en-GB"/>
        </w:rPr>
        <w:t>describes useful QoS performance metrics for video quality of IPTV service in all domains of IPTV architecture intended to enhance end-to-end video quality and, as a result, improving quality of experience of end-users. Detailed explanation of measurement methodologies of these metrics on each domain from headend to home network is presented.</w:t>
      </w:r>
    </w:p>
    <w:p w14:paraId="2BBD2A83" w14:textId="77777777" w:rsidR="006A46AE" w:rsidRPr="00012ECF" w:rsidRDefault="006A46AE" w:rsidP="006A46AE">
      <w:pPr>
        <w:pStyle w:val="Headingb"/>
      </w:pPr>
      <w:r w:rsidRPr="00012ECF">
        <w:lastRenderedPageBreak/>
        <w:t>I.3.6</w:t>
      </w:r>
      <w:r w:rsidRPr="00012ECF">
        <w:tab/>
        <w:t>New services and applications</w:t>
      </w:r>
      <w:bookmarkEnd w:id="238"/>
    </w:p>
    <w:p w14:paraId="752A7752" w14:textId="7DCAE07B" w:rsidR="00012ECF" w:rsidRDefault="00C44FDC" w:rsidP="00012ECF">
      <w:hyperlink r:id="rId300" w:history="1">
        <w:r w:rsidR="00012ECF" w:rsidRPr="00A64A3E">
          <w:rPr>
            <w:rStyle w:val="Hyperlink"/>
            <w:b/>
            <w:bCs/>
          </w:rPr>
          <w:t>ITU-T F.735.1 “Requirements for software defined camera”</w:t>
        </w:r>
      </w:hyperlink>
      <w:r w:rsidR="00012ECF">
        <w:t xml:space="preserve">: With the development of hardware and intelligent algorithms, various intelligent algorithms are developed for massive scenarios. </w:t>
      </w:r>
      <w:proofErr w:type="gramStart"/>
      <w:r w:rsidR="00012ECF">
        <w:t>In order to</w:t>
      </w:r>
      <w:proofErr w:type="gramEnd"/>
      <w:r w:rsidR="00012ECF">
        <w:t xml:space="preserve"> meet the various scenarios and requirements, cameras supporting algorithms on-demand deployment and online upgrade without service interruption are needed. Software-defined camera is a kind of IPU (see [ITU-T F.743.1]), which provides a technical approach to decouple hardware and software and to support algorithms on-demand deployment, online upgrade without services interrupting, continuous online learning to adapt to various scenarios. This Recommendation defines the typical scenarios, functional </w:t>
      </w:r>
      <w:proofErr w:type="gramStart"/>
      <w:r w:rsidR="00012ECF">
        <w:t>architecture</w:t>
      </w:r>
      <w:proofErr w:type="gramEnd"/>
      <w:r w:rsidR="00012ECF">
        <w:t xml:space="preserve"> and requirements of such software- defined camera.</w:t>
      </w:r>
    </w:p>
    <w:p w14:paraId="2A519C99" w14:textId="34175B80" w:rsidR="001720C6" w:rsidRDefault="00C44FDC" w:rsidP="001720C6">
      <w:pPr>
        <w:rPr>
          <w:lang w:val="en-GB"/>
        </w:rPr>
      </w:pPr>
      <w:hyperlink r:id="rId301" w:history="1">
        <w:r w:rsidR="001720C6" w:rsidRPr="00DF790F">
          <w:rPr>
            <w:rStyle w:val="Hyperlink"/>
            <w:b/>
            <w:bCs/>
            <w:lang w:val="en-GB"/>
          </w:rPr>
          <w:t>ITU-T F.743.11 “Requirements for video surveillance with mobile premises units”</w:t>
        </w:r>
      </w:hyperlink>
      <w:r w:rsidR="001720C6">
        <w:rPr>
          <w:lang w:val="en-GB"/>
        </w:rPr>
        <w:t xml:space="preserve"> </w:t>
      </w:r>
      <w:r w:rsidR="001720C6" w:rsidRPr="001720C6">
        <w:rPr>
          <w:lang w:val="en-GB"/>
        </w:rPr>
        <w:t>defines requirements for video surveillance with mobile premises units. Mobile premises units can effectively enhance the flexibility of surveillance perspectives, expand surveillance scenarios and the application scope of video surveillance technology. Meanwhile, since the current wireless communication technology can support the mobile wireless transmission of video or image data, the application of wireless communication technology to mobile premises units can greatly improve the flexibility of video surveillance and construct a comprehensive video surveillance system. This Recommendation describes the application scenarios and the requirements for video surveillance with mobile premises units.</w:t>
      </w:r>
    </w:p>
    <w:p w14:paraId="3BA2C170" w14:textId="5FFC6273" w:rsidR="00C92149" w:rsidRPr="00704014" w:rsidRDefault="00C44FDC" w:rsidP="00C92149">
      <w:pPr>
        <w:rPr>
          <w:highlight w:val="red"/>
          <w:lang w:val="en-GB"/>
        </w:rPr>
      </w:pPr>
      <w:hyperlink r:id="rId302" w:history="1">
        <w:r w:rsidR="00C92149" w:rsidRPr="003F677D">
          <w:rPr>
            <w:rStyle w:val="Hyperlink"/>
            <w:b/>
            <w:bCs/>
            <w:lang w:val="en-GB"/>
          </w:rPr>
          <w:t>ITU-T F.743.20 “Assessment framework for big data infrastructure”</w:t>
        </w:r>
      </w:hyperlink>
      <w:r w:rsidR="00C92149" w:rsidRPr="003F677D">
        <w:rPr>
          <w:lang w:val="en-GB"/>
        </w:rPr>
        <w:t xml:space="preserve"> gives</w:t>
      </w:r>
      <w:r w:rsidR="00C92149" w:rsidRPr="00704014">
        <w:rPr>
          <w:lang w:val="en-GB"/>
        </w:rPr>
        <w:t xml:space="preserve"> an assessment framework of big data infrastructure, which includes functional metrics, performance metrics, scalability metrics, security metrics, operation metrics and compatibility metrics.</w:t>
      </w:r>
    </w:p>
    <w:p w14:paraId="5D2A5243" w14:textId="3C5FC0A0" w:rsidR="00C92149" w:rsidRDefault="00C44FDC" w:rsidP="00C92149">
      <w:pPr>
        <w:rPr>
          <w:lang w:val="en-GB"/>
        </w:rPr>
      </w:pPr>
      <w:hyperlink r:id="rId303" w:history="1">
        <w:r w:rsidR="00C92149" w:rsidRPr="00821C77">
          <w:rPr>
            <w:rStyle w:val="Hyperlink"/>
            <w:b/>
            <w:bCs/>
            <w:lang w:val="en-GB"/>
          </w:rPr>
          <w:t>ITU-T F.743.21 “Framework for data asset management”</w:t>
        </w:r>
      </w:hyperlink>
      <w:r w:rsidR="00C92149" w:rsidRPr="00821C77">
        <w:rPr>
          <w:lang w:val="en-GB"/>
        </w:rPr>
        <w:t xml:space="preserve"> defines</w:t>
      </w:r>
      <w:r w:rsidR="00C92149" w:rsidRPr="00C92149">
        <w:rPr>
          <w:lang w:val="en-GB"/>
        </w:rPr>
        <w:t xml:space="preserve"> data asset management framework with its corresponding objects, activities and supports. Objects of data asset management are data assets, which include master data, </w:t>
      </w:r>
      <w:proofErr w:type="gramStart"/>
      <w:r w:rsidR="00C92149" w:rsidRPr="00C92149">
        <w:rPr>
          <w:lang w:val="en-GB"/>
        </w:rPr>
        <w:t>metadata</w:t>
      </w:r>
      <w:proofErr w:type="gramEnd"/>
      <w:r w:rsidR="00C92149" w:rsidRPr="00C92149">
        <w:rPr>
          <w:lang w:val="en-GB"/>
        </w:rPr>
        <w:t xml:space="preserve"> and other data assets. Activities include data standards management, data model management, data quality management, data security management, data valuation management, and data sharing management. In order to ensure the management, the corresponding people in charge, rules and regulations, and technology tools are needed.</w:t>
      </w:r>
    </w:p>
    <w:p w14:paraId="57AA197E" w14:textId="366BE0F6" w:rsidR="000B4095" w:rsidRDefault="00C44FDC" w:rsidP="000B4095">
      <w:pPr>
        <w:rPr>
          <w:lang w:val="en-GB"/>
        </w:rPr>
      </w:pPr>
      <w:hyperlink r:id="rId304" w:history="1">
        <w:r w:rsidR="000B4095" w:rsidRPr="00AA2F73">
          <w:rPr>
            <w:rStyle w:val="Hyperlink"/>
            <w:b/>
            <w:bCs/>
            <w:lang w:val="en-GB"/>
          </w:rPr>
          <w:t>ITU-T F.746.10 “Architecture for spontaneous dialog processing system for language learning”</w:t>
        </w:r>
      </w:hyperlink>
      <w:r w:rsidR="000B4095">
        <w:rPr>
          <w:lang w:val="en-GB"/>
        </w:rPr>
        <w:t xml:space="preserve"> </w:t>
      </w:r>
      <w:r w:rsidR="009350EA" w:rsidRPr="009350EA">
        <w:rPr>
          <w:lang w:val="en-GB"/>
        </w:rPr>
        <w:t>defines the architecture, functional entities, and interfaces for a spontaneous dialog processing system for language learning service which is described in [ITU-T F.746.5]. The scope of this Recommendation is focused on describing the architecture with different functional components in spontaneous dialog processing system, which are: input/output management, dialog understanding, dual dialog management and generation, dialog knowledge management, incremental dialog knowledge learning, unstructured spontaneous speech recognition management and language learning function. This Recommendation together with the existing standards "Framework for language learning system based on speech and natural language processing (NLP) technology" [ITU-T F.746.5] will support the future systems which are expected to be equipped with dialog processing and language learning functions for advanced user experiences</w:t>
      </w:r>
      <w:r w:rsidR="000B4095" w:rsidRPr="000B4095">
        <w:rPr>
          <w:lang w:val="en-GB"/>
        </w:rPr>
        <w:t>.</w:t>
      </w:r>
    </w:p>
    <w:p w14:paraId="14F3520A" w14:textId="2D9A1EEE" w:rsidR="00DE599E" w:rsidRDefault="00C44FDC" w:rsidP="00DE599E">
      <w:pPr>
        <w:rPr>
          <w:lang w:val="en-GB"/>
        </w:rPr>
      </w:pPr>
      <w:hyperlink r:id="rId305" w:history="1">
        <w:r w:rsidR="00DE599E" w:rsidRPr="00AA2F73">
          <w:rPr>
            <w:rStyle w:val="Hyperlink"/>
            <w:b/>
            <w:bCs/>
            <w:lang w:val="en-GB"/>
          </w:rPr>
          <w:t>ITU-T F.746.11 “Interfaces for intelligent question answering system”</w:t>
        </w:r>
      </w:hyperlink>
      <w:r w:rsidR="00DE599E">
        <w:rPr>
          <w:lang w:val="en-GB"/>
        </w:rPr>
        <w:t xml:space="preserve"> </w:t>
      </w:r>
      <w:r w:rsidR="00DE599E" w:rsidRPr="00DE599E">
        <w:rPr>
          <w:lang w:val="en-GB"/>
        </w:rPr>
        <w:t xml:space="preserve">defines interfaces for Intelligent Question Answering Service. This recommendation defines the interfaces among functional modules to support intelligent Question Answering service described in [ITU-T F.746.3]. The scope of this Recommendation is focused on describing the interfaces among different functional components in intelligent question answering (QA) system: natural language processing function, question analysis function, candidate answer generation function, and answer inference/generation function. This Recommendation together with the existing standards "Intelligent Question Answering Service Framework" [ITU-T F.746.3] and "Metadata for </w:t>
      </w:r>
      <w:r w:rsidR="00DE599E" w:rsidRPr="00DE599E">
        <w:rPr>
          <w:lang w:val="en-GB"/>
        </w:rPr>
        <w:lastRenderedPageBreak/>
        <w:t>Intelligent Question Answering Service" [ITU-T F.746.7] will support the future systems which are expected to be equipped with QA functions for advanced user experiences.</w:t>
      </w:r>
    </w:p>
    <w:p w14:paraId="402BD64A" w14:textId="2BCC98F4" w:rsidR="0029112A" w:rsidRDefault="00C44FDC" w:rsidP="0029112A">
      <w:pPr>
        <w:rPr>
          <w:lang w:val="en-GB"/>
        </w:rPr>
      </w:pPr>
      <w:hyperlink r:id="rId306" w:history="1">
        <w:r w:rsidR="0029112A" w:rsidRPr="00E5686C">
          <w:rPr>
            <w:rStyle w:val="Hyperlink"/>
            <w:b/>
            <w:bCs/>
            <w:lang w:val="en-GB"/>
          </w:rPr>
          <w:t>ITU-T F.748.11 “Metrics and evaluation methods for deep neural network processor benchmark”</w:t>
        </w:r>
      </w:hyperlink>
      <w:r w:rsidR="0029112A">
        <w:rPr>
          <w:lang w:val="en-GB"/>
        </w:rPr>
        <w:t xml:space="preserve"> </w:t>
      </w:r>
      <w:r w:rsidR="0029112A" w:rsidRPr="0029112A">
        <w:rPr>
          <w:lang w:val="en-GB"/>
        </w:rPr>
        <w:t>provides the benchmarking framework, evaluation metrics and methods, and the application scenarios for deep neural network processors while doing training and inference task.</w:t>
      </w:r>
      <w:r w:rsidR="0029112A">
        <w:rPr>
          <w:lang w:val="en-GB"/>
        </w:rPr>
        <w:t xml:space="preserve"> </w:t>
      </w:r>
      <w:r w:rsidR="0029112A" w:rsidRPr="0029112A">
        <w:rPr>
          <w:lang w:val="en-GB"/>
        </w:rPr>
        <w:t>This can be used to guide relevant parties to test, select or evaluate the deep neural network processor under the specified application scenarios. The establishment of relevant application performance evaluation benchmarks can objectively reflect the current state of the AI processor by providing objective metrics and comparison dimensions.</w:t>
      </w:r>
    </w:p>
    <w:p w14:paraId="6CDC0675" w14:textId="3FB4DB34" w:rsidR="00002389" w:rsidRPr="00952FDF" w:rsidRDefault="00C44FDC" w:rsidP="00002389">
      <w:pPr>
        <w:rPr>
          <w:highlight w:val="yellow"/>
          <w:lang w:val="en-GB"/>
        </w:rPr>
      </w:pPr>
      <w:hyperlink r:id="rId307" w:history="1">
        <w:r w:rsidR="00002389" w:rsidRPr="006D3A88">
          <w:rPr>
            <w:rStyle w:val="Hyperlink"/>
            <w:b/>
            <w:bCs/>
            <w:lang w:val="en-GB"/>
          </w:rPr>
          <w:t>ITU-T F.749.3 “Use cases and requirements for the vehicular multimedia networks”</w:t>
        </w:r>
      </w:hyperlink>
      <w:r w:rsidR="00002389" w:rsidRPr="006D3A88">
        <w:rPr>
          <w:lang w:val="en-GB"/>
        </w:rPr>
        <w:t>:</w:t>
      </w:r>
      <w:r w:rsidR="00002389">
        <w:rPr>
          <w:lang w:val="en-GB"/>
        </w:rPr>
        <w:t xml:space="preserve"> </w:t>
      </w:r>
      <w:r w:rsidR="00002389" w:rsidRPr="00002389">
        <w:rPr>
          <w:lang w:val="en-GB"/>
        </w:rPr>
        <w:t>The vehicular multimedia networks (VMN) consist of the vehicular multimedia service platform (VMSP), broadcast and communication networks, and the vehicular multimedia system (VMS) in the vehicle. This Recommendation specifies use cases and requirements for the VMN, including overview, connectivity, intelligent human machine interfaces (HMI) for the VMS, privacy considerations, content rights protection in a converged network environment, copyright and rights management support for content delivery, security, safety, and definition of vehicular multimedia configurations. A series of Recommendations for vehicular multimedia networks is under the responsibility of ITU- T SG16. This Recommendation is a part of that series and gives the requirements and user cases for the VMN.</w:t>
      </w:r>
    </w:p>
    <w:p w14:paraId="04D6D273" w14:textId="0D4F1975" w:rsidR="009A41F4" w:rsidRPr="00952FDF" w:rsidRDefault="00C44FDC" w:rsidP="00366241">
      <w:pPr>
        <w:rPr>
          <w:highlight w:val="yellow"/>
          <w:lang w:val="en-GB"/>
        </w:rPr>
      </w:pPr>
      <w:hyperlink r:id="rId308" w:history="1">
        <w:r w:rsidR="009A41F4" w:rsidRPr="00C62190">
          <w:rPr>
            <w:rStyle w:val="Hyperlink"/>
            <w:b/>
            <w:bCs/>
            <w:lang w:val="en-GB"/>
          </w:rPr>
          <w:t>ITU-T F.749.12 “Framework for communication application of civilian unmanned aerial vehicle”</w:t>
        </w:r>
      </w:hyperlink>
      <w:r w:rsidR="00366241" w:rsidRPr="00C62190">
        <w:rPr>
          <w:lang w:val="en-GB"/>
        </w:rPr>
        <w:t>:</w:t>
      </w:r>
      <w:r w:rsidR="009A41F4">
        <w:rPr>
          <w:lang w:val="en-GB"/>
        </w:rPr>
        <w:t xml:space="preserve"> </w:t>
      </w:r>
      <w:r w:rsidR="00366241" w:rsidRPr="00366241">
        <w:rPr>
          <w:lang w:val="en-GB"/>
        </w:rPr>
        <w:t>The civilian unmanned aerial vehicles are widely used in industry and consumer areas such as agriculture and plant protection, power line and petroleum pipeline inspection, police &amp; traffic security surveillance, disaster monitoring, aerial photography &amp; videography, express delivery, forestry and forest fire monitoring, meteorological, resource and scientific research etc.</w:t>
      </w:r>
      <w:r w:rsidR="00256B5A">
        <w:rPr>
          <w:lang w:val="en-GB"/>
        </w:rPr>
        <w:t xml:space="preserve"> </w:t>
      </w:r>
      <w:r w:rsidR="00366241" w:rsidRPr="00366241">
        <w:rPr>
          <w:lang w:val="en-GB"/>
        </w:rPr>
        <w:t>This Recommendation presents the general framework for communication application of CUAV and its functional entities, reference points, etc.</w:t>
      </w:r>
    </w:p>
    <w:p w14:paraId="0681196F" w14:textId="77777777" w:rsidR="006A46AE" w:rsidRPr="00C52D00" w:rsidRDefault="006A46AE" w:rsidP="006A46AE">
      <w:pPr>
        <w:pStyle w:val="Headingb"/>
      </w:pPr>
      <w:r w:rsidRPr="00C52D00">
        <w:t>I.4.1</w:t>
      </w:r>
      <w:r w:rsidRPr="00C52D00">
        <w:tab/>
        <w:t>Internet of Things and Smart City</w:t>
      </w:r>
    </w:p>
    <w:p w14:paraId="0F1E8498" w14:textId="2520225D" w:rsidR="007C62BB" w:rsidRDefault="00C44FDC" w:rsidP="007C62BB">
      <w:pPr>
        <w:rPr>
          <w:bCs/>
        </w:rPr>
      </w:pPr>
      <w:hyperlink r:id="rId309" w:history="1">
        <w:r w:rsidR="007C62BB" w:rsidRPr="00EA2A97">
          <w:rPr>
            <w:rStyle w:val="Hyperlink"/>
            <w:b/>
          </w:rPr>
          <w:t>ITU-T Q.3745 “Protocol for time constraint IoT-based applications over SDN”</w:t>
        </w:r>
      </w:hyperlink>
      <w:r w:rsidR="007C62BB" w:rsidRPr="00EA2A97">
        <w:rPr>
          <w:bCs/>
        </w:rPr>
        <w:t xml:space="preserve">: </w:t>
      </w:r>
      <w:r w:rsidR="007C62BB" w:rsidRPr="007C62BB">
        <w:rPr>
          <w:bCs/>
        </w:rPr>
        <w:t>Traffic generated by smart devices becomes a significant part of the Internet. Smart devices require mobility and guaranteed quality of services which need to be managed. Potentially, SDN and NFV based technologies (IMT-2020) will be used for managing all types of services and therefore, SDN is to be tasked to manage these kinds of demands as well. A significant number of the available Internet services require the exact value of network parameters such as latency, jitter, RTT and bandwidth. Using SDN capabilities for managing network parameters, will give a possibility to implement new services such as a tactile Internet, augmented reality, e-health applications. In this regard, the protocol is proposed to ensure the transfer of the requested (by IoT server) network performance requirements for IoT applications in SDN and NFV based networks (IMT2020). This protocol is to be used for interconnection between the IoT server and the Orchestrator application layer (Management application).</w:t>
      </w:r>
    </w:p>
    <w:p w14:paraId="1A11E7C2" w14:textId="7E2EFAB7" w:rsidR="000F6CB1" w:rsidRDefault="00C44FDC">
      <w:pPr>
        <w:rPr>
          <w:bCs/>
        </w:rPr>
      </w:pPr>
      <w:hyperlink r:id="rId310" w:history="1">
        <w:r w:rsidR="000F6CB1" w:rsidRPr="00867D48">
          <w:rPr>
            <w:rStyle w:val="Hyperlink"/>
            <w:b/>
          </w:rPr>
          <w:t>ITU-T X.1363 “</w:t>
        </w:r>
        <w:r w:rsidR="00867D48" w:rsidRPr="00867D48">
          <w:rPr>
            <w:rStyle w:val="Hyperlink"/>
            <w:b/>
          </w:rPr>
          <w:t>Technical framework of personally identifiable information (PII) handling system in Internet of things (IoT) environment</w:t>
        </w:r>
        <w:r w:rsidR="000F6CB1" w:rsidRPr="00867D48">
          <w:rPr>
            <w:rStyle w:val="Hyperlink"/>
            <w:b/>
          </w:rPr>
          <w:t>”</w:t>
        </w:r>
      </w:hyperlink>
      <w:r w:rsidR="000F6CB1" w:rsidRPr="00867D48">
        <w:rPr>
          <w:b/>
        </w:rPr>
        <w:t>:</w:t>
      </w:r>
      <w:r w:rsidR="000F6CB1" w:rsidRPr="00867D48">
        <w:rPr>
          <w:bCs/>
        </w:rPr>
        <w:t xml:space="preserve"> </w:t>
      </w:r>
      <w:r w:rsidR="00F611FF">
        <w:t xml:space="preserve">specifies </w:t>
      </w:r>
      <w:r w:rsidR="00F611FF" w:rsidRPr="0076562D">
        <w:rPr>
          <w:lang w:val="en-GB"/>
        </w:rPr>
        <w:t>a technical framework for PII handling in IoT environment with single or multiple service providers</w:t>
      </w:r>
      <w:r w:rsidR="00F611FF">
        <w:t xml:space="preserve">. </w:t>
      </w:r>
      <w:r w:rsidR="00F611FF" w:rsidRPr="0079614C">
        <w:rPr>
          <w:lang w:val="en-GB"/>
        </w:rPr>
        <w:t xml:space="preserve">In IoT environment, some IoT devices have capability to collect PII data. As PII data are useful for various types of services, data can be shared among multiple service providers. The technical framework specified in this Recommendation provides a mechanism to protect IoT users’ PII data when collected, </w:t>
      </w:r>
      <w:proofErr w:type="gramStart"/>
      <w:r w:rsidR="00F611FF" w:rsidRPr="0079614C">
        <w:rPr>
          <w:lang w:val="en-GB"/>
        </w:rPr>
        <w:t>shared</w:t>
      </w:r>
      <w:proofErr w:type="gramEnd"/>
      <w:r w:rsidR="00F611FF" w:rsidRPr="0079614C">
        <w:rPr>
          <w:lang w:val="en-GB"/>
        </w:rPr>
        <w:t xml:space="preserve"> and used by one or more IoT service providers.</w:t>
      </w:r>
    </w:p>
    <w:p w14:paraId="7507C2C6" w14:textId="43CA87EC" w:rsidR="003101DA" w:rsidRDefault="00C44FDC" w:rsidP="00F40BB8">
      <w:pPr>
        <w:rPr>
          <w:bCs/>
        </w:rPr>
      </w:pPr>
      <w:hyperlink r:id="rId311" w:history="1">
        <w:r w:rsidR="003101DA" w:rsidRPr="00F40BB8">
          <w:rPr>
            <w:rStyle w:val="Hyperlink"/>
            <w:b/>
          </w:rPr>
          <w:t>ITU-T X.1364 “</w:t>
        </w:r>
        <w:r w:rsidR="00F40BB8" w:rsidRPr="00F40BB8">
          <w:rPr>
            <w:rStyle w:val="Hyperlink"/>
            <w:b/>
          </w:rPr>
          <w:t>Security requirements and framework for narrow band Internet of things</w:t>
        </w:r>
        <w:r w:rsidR="003101DA" w:rsidRPr="00F40BB8">
          <w:rPr>
            <w:rStyle w:val="Hyperlink"/>
            <w:b/>
          </w:rPr>
          <w:t>”</w:t>
        </w:r>
      </w:hyperlink>
      <w:r w:rsidR="003101DA" w:rsidRPr="00F40BB8">
        <w:rPr>
          <w:bCs/>
        </w:rPr>
        <w:t>:</w:t>
      </w:r>
      <w:r w:rsidR="003101DA" w:rsidRPr="003101DA">
        <w:rPr>
          <w:bCs/>
        </w:rPr>
        <w:t xml:space="preserve"> </w:t>
      </w:r>
      <w:r w:rsidR="00F611FF" w:rsidRPr="00F611FF">
        <w:rPr>
          <w:bCs/>
          <w:lang w:val="en-GB"/>
        </w:rPr>
        <w:t>aims to analyse potential deployment scheme and typical application scenarios of NB-IoT. It specifies security threats and requirements specific to the NB-IoT deployments and thus establishes a security framework for the operator to safeguard these new technology applications.</w:t>
      </w:r>
    </w:p>
    <w:p w14:paraId="2C27D969" w14:textId="7E7672A1" w:rsidR="00F611FF" w:rsidRDefault="00C44FDC" w:rsidP="00F611FF">
      <w:pPr>
        <w:rPr>
          <w:lang w:val="en-GB"/>
        </w:rPr>
      </w:pPr>
      <w:hyperlink r:id="rId312" w:history="1">
        <w:r w:rsidR="00821509" w:rsidRPr="00B76F32">
          <w:rPr>
            <w:rStyle w:val="Hyperlink"/>
            <w:b/>
            <w:lang w:val="en-GB"/>
          </w:rPr>
          <w:t>ITU-T X.1365 “Security methodology for the use of identity-based cryptography in support of Internet of things services over telecommunication networks”</w:t>
        </w:r>
      </w:hyperlink>
      <w:r w:rsidR="00821509" w:rsidRPr="00D86385">
        <w:rPr>
          <w:b/>
          <w:bCs/>
          <w:lang w:val="en-GB"/>
        </w:rPr>
        <w:t xml:space="preserve"> </w:t>
      </w:r>
      <w:r w:rsidR="00F611FF" w:rsidRPr="00CE2EA5">
        <w:t xml:space="preserve">provides a security methodology for </w:t>
      </w:r>
      <w:r w:rsidR="00F611FF" w:rsidRPr="00CE2EA5">
        <w:rPr>
          <w:rFonts w:hint="eastAsia"/>
        </w:rPr>
        <w:t xml:space="preserve">the </w:t>
      </w:r>
      <w:r w:rsidR="00F611FF" w:rsidRPr="00CE2EA5">
        <w:t xml:space="preserve">use of </w:t>
      </w:r>
      <w:r w:rsidR="00F611FF" w:rsidRPr="00B629FC">
        <w:rPr>
          <w:lang w:val="en-GB"/>
        </w:rPr>
        <w:t>identity-based cryptography</w:t>
      </w:r>
      <w:r w:rsidR="00F611FF" w:rsidRPr="00CE2EA5">
        <w:t xml:space="preserve"> public key technology in support of IoT services over telecommunications networks including mechanisms of identity management, key management architecture, key management operations and authentication</w:t>
      </w:r>
      <w:r w:rsidR="00F611FF">
        <w:t>.</w:t>
      </w:r>
      <w:r w:rsidR="00F611FF" w:rsidRPr="00B629FC">
        <w:rPr>
          <w:lang w:val="en-GB"/>
        </w:rPr>
        <w:t xml:space="preserve"> </w:t>
      </w:r>
    </w:p>
    <w:p w14:paraId="01B295CB" w14:textId="1A598680" w:rsidR="00BE6E0C" w:rsidRPr="00BE6E0C" w:rsidRDefault="00D85FB4" w:rsidP="00BE6E0C">
      <w:pPr>
        <w:rPr>
          <w:bCs/>
        </w:rPr>
      </w:pPr>
      <w:r w:rsidRPr="0039167D">
        <w:rPr>
          <w:b/>
        </w:rPr>
        <w:t xml:space="preserve">ITU-T X.1366 “Aggregate message authentication schemes for Internet of things (IoT)” (under </w:t>
      </w:r>
      <w:r w:rsidR="001808A0">
        <w:rPr>
          <w:b/>
        </w:rPr>
        <w:t>publication</w:t>
      </w:r>
      <w:r w:rsidRPr="0039167D">
        <w:rPr>
          <w:b/>
        </w:rPr>
        <w:t>)</w:t>
      </w:r>
      <w:r w:rsidR="00BE6E0C">
        <w:rPr>
          <w:bCs/>
        </w:rPr>
        <w:t xml:space="preserve">: </w:t>
      </w:r>
      <w:r w:rsidR="00BE6E0C" w:rsidRPr="00BE6E0C">
        <w:rPr>
          <w:bCs/>
        </w:rPr>
        <w:t>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BE6E0C" w:rsidRDefault="00BE6E0C" w:rsidP="00BE6E0C">
      <w:pPr>
        <w:rPr>
          <w:bCs/>
        </w:rPr>
      </w:pPr>
      <w:r w:rsidRPr="00BE6E0C">
        <w:rPr>
          <w:bCs/>
        </w:rPr>
        <w:t>•</w:t>
      </w:r>
      <w:r w:rsidRPr="00BE6E0C">
        <w:rPr>
          <w:bCs/>
        </w:rPr>
        <w:tab/>
        <w:t>Message authentication is required from tens to tens of thousands of IoT devices.</w:t>
      </w:r>
    </w:p>
    <w:p w14:paraId="39A86FD6" w14:textId="77777777" w:rsidR="00BE6E0C" w:rsidRPr="00BE6E0C" w:rsidRDefault="00BE6E0C" w:rsidP="00BE6E0C">
      <w:pPr>
        <w:rPr>
          <w:bCs/>
        </w:rPr>
      </w:pPr>
      <w:r w:rsidRPr="00BE6E0C">
        <w:rPr>
          <w:bCs/>
        </w:rPr>
        <w:t>•</w:t>
      </w:r>
      <w:r w:rsidRPr="00BE6E0C">
        <w:rPr>
          <w:bCs/>
        </w:rPr>
        <w:tab/>
        <w:t>Data/message being handled for an authentication process that occurs frequently and intermittently.</w:t>
      </w:r>
    </w:p>
    <w:p w14:paraId="4EDB12EB" w14:textId="0DD74507" w:rsidR="00D85FB4" w:rsidRPr="0039167D" w:rsidRDefault="00BE6E0C" w:rsidP="00BE6E0C">
      <w:r w:rsidRPr="00BE6E0C">
        <w:rPr>
          <w:bCs/>
        </w:rPr>
        <w:t>For example, "surveillance applications for use of image data" and "remote telemetry" such as monitoring of plant/factory operations and health monitoring are the typical candidates of use cases for these schemes.</w:t>
      </w:r>
    </w:p>
    <w:p w14:paraId="7C07B28C" w14:textId="43223434" w:rsidR="009A5DB1" w:rsidRPr="009A5DB1" w:rsidRDefault="009A5DB1" w:rsidP="001A24CF">
      <w:pPr>
        <w:rPr>
          <w:bCs/>
        </w:rPr>
      </w:pPr>
      <w:r w:rsidRPr="0039167D">
        <w:rPr>
          <w:b/>
        </w:rPr>
        <w:t xml:space="preserve">ITU-T X.1367 “Standard format for Internet of things error logs for security incident operations” (under </w:t>
      </w:r>
      <w:r w:rsidR="00B03543">
        <w:rPr>
          <w:b/>
        </w:rPr>
        <w:t>publication</w:t>
      </w:r>
      <w:r w:rsidRPr="0039167D">
        <w:rPr>
          <w:b/>
        </w:rPr>
        <w:t>)</w:t>
      </w:r>
      <w:r w:rsidR="001A24CF">
        <w:rPr>
          <w:bCs/>
        </w:rPr>
        <w:t xml:space="preserve">: </w:t>
      </w:r>
      <w:r w:rsidR="001A24CF" w:rsidRPr="001A24CF">
        <w:rPr>
          <w:bCs/>
        </w:rPr>
        <w:t>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w:t>
      </w:r>
      <w:r w:rsidR="001A24CF">
        <w:rPr>
          <w:bCs/>
        </w:rPr>
        <w:t xml:space="preserve"> </w:t>
      </w:r>
      <w:r w:rsidR="001A24CF" w:rsidRPr="001A24CF">
        <w:rPr>
          <w:bCs/>
        </w:rPr>
        <w:t>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31385335" w:rsidR="052AB999" w:rsidRDefault="052AB999" w:rsidP="65A54C5D">
      <w:r w:rsidRPr="65A54C5D">
        <w:rPr>
          <w:b/>
          <w:bCs/>
        </w:rPr>
        <w:t xml:space="preserve">ITU-T X.1368 “Secure software update procedure for IoT devices” (under approval): </w:t>
      </w:r>
      <w:r w:rsidR="3EAE6814" w:rsidRPr="00B03543">
        <w:t>This Recommendation specifies: 1) basic models and procedures for securely updating firmware/software (FW/SW) of Internet of things (IoT) devices; and 2) requirements and capabilities for updating IoT FW.</w:t>
      </w:r>
      <w:r w:rsidR="3EAE6814">
        <w:t xml:space="preserve"> </w:t>
      </w:r>
      <w:r w:rsidR="3EAE6814" w:rsidRPr="00B03543">
        <w:t>A common secure update procedure is specified with general requirements. This procedure allows common IoT SW/FW updates to be securely implemented among stakeholders in the IoT environment, such as IoT device developers and IoT system/service providers.</w:t>
      </w:r>
      <w:r w:rsidR="3EAE6814">
        <w:t xml:space="preserve"> </w:t>
      </w:r>
      <w:r w:rsidR="3EAE6814" w:rsidRPr="00B03543">
        <w:t>This Recommendation focuses on updating FW, but it is applicable to updating any other SW of IoT devices.</w:t>
      </w:r>
    </w:p>
    <w:p w14:paraId="289E3236" w14:textId="2865FC75" w:rsidR="39D5DB6F" w:rsidRDefault="00585C20">
      <w:r w:rsidRPr="6171A8C9">
        <w:rPr>
          <w:b/>
          <w:color w:val="0000FF"/>
          <w:szCs w:val="24"/>
          <w:u w:val="single"/>
        </w:rPr>
        <w:t>ITU-T Y.</w:t>
      </w:r>
      <w:r w:rsidR="39D5DB6F" w:rsidRPr="6171A8C9">
        <w:rPr>
          <w:b/>
          <w:bCs/>
          <w:color w:val="0000FF"/>
          <w:szCs w:val="24"/>
          <w:u w:val="single"/>
        </w:rPr>
        <w:t>4208 “IoT requirements for support of edge computing”</w:t>
      </w:r>
      <w:r w:rsidR="39D5DB6F" w:rsidRPr="6171A8C9">
        <w:rPr>
          <w:szCs w:val="24"/>
        </w:rPr>
        <w:t>: Some</w:t>
      </w:r>
      <w:r w:rsidRPr="6171A8C9">
        <w:rPr>
          <w:szCs w:val="24"/>
        </w:rPr>
        <w:t xml:space="preserve"> of the </w:t>
      </w:r>
      <w:r w:rsidR="39D5DB6F" w:rsidRPr="6171A8C9">
        <w:rPr>
          <w:szCs w:val="24"/>
        </w:rPr>
        <w:t xml:space="preserve">capabilities offered by the IoT, e.g., capabilities for computing, </w:t>
      </w:r>
      <w:proofErr w:type="gramStart"/>
      <w:r w:rsidR="39D5DB6F" w:rsidRPr="6171A8C9">
        <w:rPr>
          <w:szCs w:val="24"/>
        </w:rPr>
        <w:t>storage</w:t>
      </w:r>
      <w:proofErr w:type="gramEnd"/>
      <w:r w:rsidR="39D5DB6F" w:rsidRPr="6171A8C9">
        <w:rPr>
          <w:szCs w:val="24"/>
        </w:rPr>
        <w:t xml:space="preserve"> and analytics, are evolving in closer proximity to the IoT data sources. This Recommendation provides an overview on related challenges faced by the IoT and describes how the IoT supporting edge computing may address </w:t>
      </w:r>
      <w:r w:rsidR="39D5DB6F" w:rsidRPr="6171A8C9">
        <w:rPr>
          <w:szCs w:val="24"/>
        </w:rPr>
        <w:lastRenderedPageBreak/>
        <w:t xml:space="preserve">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w:t>
      </w:r>
      <w:r w:rsidRPr="6171A8C9">
        <w:rPr>
          <w:szCs w:val="24"/>
        </w:rPr>
        <w:t xml:space="preserve">smart </w:t>
      </w:r>
      <w:r w:rsidR="39D5DB6F" w:rsidRPr="6171A8C9">
        <w:rPr>
          <w:szCs w:val="24"/>
        </w:rPr>
        <w:t>manufacturing are provided in Appendix I.</w:t>
      </w:r>
    </w:p>
    <w:p w14:paraId="51383CB0" w14:textId="2D393101" w:rsidR="00585C20" w:rsidRDefault="00C44FDC" w:rsidP="0085517A">
      <w:pPr>
        <w:rPr>
          <w:bCs/>
          <w:lang w:val="en-GB"/>
        </w:rPr>
      </w:pPr>
      <w:hyperlink r:id="rId313" w:history="1">
        <w:r w:rsidR="00585C20" w:rsidRPr="005D03E3">
          <w:rPr>
            <w:rStyle w:val="Hyperlink"/>
            <w:b/>
          </w:rPr>
          <w:t>ITU-T Y.4209 “</w:t>
        </w:r>
        <w:r w:rsidR="00585C20" w:rsidRPr="005D03E3">
          <w:rPr>
            <w:rStyle w:val="Hyperlink"/>
            <w:b/>
            <w:lang w:val="en-GB"/>
          </w:rPr>
          <w:t>Requirements for interoperation of the smart port with the smart city”</w:t>
        </w:r>
      </w:hyperlink>
      <w:r w:rsidR="0085517A" w:rsidRPr="003C5057">
        <w:rPr>
          <w:b/>
          <w:lang w:val="en-GB"/>
        </w:rPr>
        <w:t xml:space="preserve"> </w:t>
      </w:r>
      <w:r w:rsidR="00585C20" w:rsidRPr="003C5057">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55A703D5" w14:textId="616B33FA" w:rsidR="00B0174D" w:rsidRPr="003C5057" w:rsidRDefault="00C44FDC" w:rsidP="00B0174D">
      <w:pPr>
        <w:rPr>
          <w:b/>
        </w:rPr>
      </w:pPr>
      <w:hyperlink r:id="rId314">
        <w:r w:rsidR="75A59D3B" w:rsidRPr="6171A8C9">
          <w:rPr>
            <w:rStyle w:val="Hyperlink"/>
            <w:b/>
            <w:bCs/>
            <w:lang w:val="en-GB"/>
          </w:rPr>
          <w:t>ITU-T Y.4210 “Requirements and use cases for universal communication module of mobile IoT devices”</w:t>
        </w:r>
      </w:hyperlink>
      <w:r w:rsidR="00B0174D" w:rsidRPr="005326E5">
        <w:rPr>
          <w:b/>
          <w:lang w:val="en-GB"/>
        </w:rPr>
        <w:t>:</w:t>
      </w:r>
      <w:r w:rsidR="00B0174D">
        <w:rPr>
          <w:bCs/>
          <w:lang w:val="en-GB"/>
        </w:rPr>
        <w:t xml:space="preserve"> </w:t>
      </w:r>
      <w:r w:rsidR="00B0174D" w:rsidRPr="00B0174D">
        <w:rPr>
          <w:bCs/>
          <w:lang w:val="en-GB"/>
        </w:rPr>
        <w:t>As an important part of mobile IoT devices, the universal communication module is a key component to achieve economies of scale for mobile IoT devices, accelerate the progress of research and development, and promote the application of new mobile IoT technologies. This Recommendation specifies requirements for universal communication module of mobile IoT devices. Related use cases are provided in Appendix I, universal communication module reference types are described in Appendix II.</w:t>
      </w:r>
    </w:p>
    <w:p w14:paraId="455BFAE8" w14:textId="708BD04C" w:rsidR="5F0F655E" w:rsidRDefault="00E64737">
      <w:r w:rsidRPr="6171A8C9">
        <w:rPr>
          <w:b/>
          <w:color w:val="0000FF"/>
          <w:szCs w:val="24"/>
          <w:u w:val="single"/>
        </w:rPr>
        <w:t>ITU-T Y.</w:t>
      </w:r>
      <w:r w:rsidR="5F0F655E" w:rsidRPr="6171A8C9">
        <w:rPr>
          <w:b/>
          <w:bCs/>
          <w:color w:val="0000FF"/>
          <w:szCs w:val="24"/>
          <w:u w:val="single"/>
        </w:rPr>
        <w:t xml:space="preserve">4459 “Digital entity </w:t>
      </w:r>
      <w:r w:rsidRPr="6171A8C9">
        <w:rPr>
          <w:b/>
          <w:color w:val="0000FF"/>
          <w:szCs w:val="24"/>
          <w:u w:val="single"/>
        </w:rPr>
        <w:t xml:space="preserve">architecture </w:t>
      </w:r>
      <w:r w:rsidR="5F0F655E" w:rsidRPr="6171A8C9">
        <w:rPr>
          <w:b/>
          <w:bCs/>
          <w:color w:val="0000FF"/>
          <w:szCs w:val="24"/>
          <w:u w:val="single"/>
        </w:rPr>
        <w:t>framework for IoT interoperability”</w:t>
      </w:r>
      <w:r w:rsidR="5F0F655E" w:rsidRPr="6171A8C9">
        <w:rPr>
          <w:szCs w:val="24"/>
        </w:rPr>
        <w:t xml:space="preserve">: This Recommendation introduces digital entity architecture and its prospective in addressing interoperability and security among IoT applications. This Recommendation defines an architecture framework for information-oriented services that makes use </w:t>
      </w:r>
      <w:r w:rsidRPr="6171A8C9">
        <w:rPr>
          <w:szCs w:val="24"/>
        </w:rPr>
        <w:t xml:space="preserve">of </w:t>
      </w:r>
      <w:r w:rsidR="5F0F655E" w:rsidRPr="6171A8C9">
        <w:rPr>
          <w:szCs w:val="24"/>
        </w:rPr>
        <w:t xml:space="preserve">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 Digital entity architecture defines a minimum set of needed architectural components, and services to provide a generic information and service interoperability. It will facilitate the interoperability of identification, description, representation, access, </w:t>
      </w:r>
      <w:proofErr w:type="gramStart"/>
      <w:r w:rsidR="5F0F655E" w:rsidRPr="6171A8C9">
        <w:rPr>
          <w:szCs w:val="24"/>
        </w:rPr>
        <w:t>storage</w:t>
      </w:r>
      <w:proofErr w:type="gramEnd"/>
      <w:r w:rsidR="5F0F655E" w:rsidRPr="6171A8C9">
        <w:rPr>
          <w:szCs w:val="24"/>
        </w:rPr>
        <w:t xml:space="preserve"> and security</w:t>
      </w:r>
      <w:r w:rsidRPr="6171A8C9">
        <w:rPr>
          <w:szCs w:val="24"/>
        </w:rPr>
        <w:t xml:space="preserve"> of IoT devices</w:t>
      </w:r>
      <w:r w:rsidR="5F0F655E" w:rsidRPr="6171A8C9">
        <w:rPr>
          <w:szCs w:val="24"/>
        </w:rPr>
        <w:t xml:space="preserve">. This architecture framework encourages a common security and management interface across different IoT applications. 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 The identifier allows the digital entities to be identified and discovered, regardless where they are located or stored. Digital entities are not confined within any particular application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 This Recommendation can be used with different identification and addressing protocols (e.g. IP and/or </w:t>
      </w:r>
      <w:proofErr w:type="gramStart"/>
      <w:r w:rsidR="5F0F655E" w:rsidRPr="6171A8C9">
        <w:rPr>
          <w:szCs w:val="24"/>
        </w:rPr>
        <w:t>non IP</w:t>
      </w:r>
      <w:proofErr w:type="gramEnd"/>
      <w:r w:rsidR="5F0F655E" w:rsidRPr="6171A8C9">
        <w:rPr>
          <w:szCs w:val="24"/>
        </w:rPr>
        <w:t xml:space="preserve"> based networks).</w:t>
      </w:r>
    </w:p>
    <w:p w14:paraId="7CF85F63" w14:textId="5E22DEC6" w:rsidR="3411E5A7" w:rsidRDefault="3411E5A7">
      <w:r w:rsidRPr="6171A8C9">
        <w:rPr>
          <w:b/>
          <w:bCs/>
          <w:color w:val="0000FF"/>
          <w:szCs w:val="24"/>
          <w:u w:val="single"/>
          <w:lang w:val="en-GB"/>
        </w:rPr>
        <w:t xml:space="preserve">ITU-T Y.4461 “Framework of open data in </w:t>
      </w:r>
      <w:r w:rsidR="00E64737" w:rsidRPr="6171A8C9">
        <w:rPr>
          <w:b/>
          <w:color w:val="0000FF"/>
          <w:szCs w:val="24"/>
          <w:u w:val="single"/>
          <w:lang w:val="en-GB"/>
        </w:rPr>
        <w:t xml:space="preserve">smart </w:t>
      </w:r>
      <w:r w:rsidRPr="6171A8C9">
        <w:rPr>
          <w:b/>
          <w:bCs/>
          <w:color w:val="0000FF"/>
          <w:szCs w:val="24"/>
          <w:u w:val="single"/>
          <w:lang w:val="en-GB"/>
        </w:rPr>
        <w:t>cities”</w:t>
      </w:r>
      <w:r w:rsidRPr="6171A8C9">
        <w:rPr>
          <w:b/>
          <w:bCs/>
          <w:szCs w:val="24"/>
          <w:lang w:val="en-GB"/>
        </w:rPr>
        <w:t>:</w:t>
      </w:r>
      <w:r w:rsidRPr="6171A8C9">
        <w:rPr>
          <w:szCs w:val="24"/>
        </w:rPr>
        <w:t xml:space="preserve"> This Recommendation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150BA788" w14:textId="7A661194" w:rsidR="3411E5A7" w:rsidRDefault="3411E5A7">
      <w:r w:rsidRPr="6171A8C9">
        <w:rPr>
          <w:b/>
          <w:bCs/>
          <w:color w:val="0000FF"/>
          <w:szCs w:val="24"/>
          <w:u w:val="single"/>
        </w:rPr>
        <w:t>ITU-T Y.4462 “Requirements and functional architecture of open IoT identity correlation service”</w:t>
      </w:r>
      <w:r w:rsidRPr="6171A8C9">
        <w:rPr>
          <w:szCs w:val="24"/>
        </w:rPr>
        <w:t xml:space="preserve">: Open IoT identity correlation service, or open IoT ICS, is a service to map identities </w:t>
      </w:r>
      <w:r w:rsidRPr="6171A8C9">
        <w:rPr>
          <w:szCs w:val="24"/>
        </w:rPr>
        <w:lastRenderedPageBreak/>
        <w:t xml:space="preserve">among devices, third party services, and transactions. Recommendation ITU-T Y.4462 specifies the reference architecture of open IoT ICS which supports Internet of things (IoT) devices to access multiple </w:t>
      </w:r>
      <w:proofErr w:type="gramStart"/>
      <w:r w:rsidRPr="6171A8C9">
        <w:rPr>
          <w:szCs w:val="24"/>
        </w:rPr>
        <w:t>third party</w:t>
      </w:r>
      <w:proofErr w:type="gramEnd"/>
      <w:r w:rsidRPr="6171A8C9">
        <w:rPr>
          <w:szCs w:val="24"/>
        </w:rPr>
        <w:t xml:space="preserve"> service providers. This Recommendation clarifies the concept of the open IoT ICS, identifies its basic capabilities, common requirements </w:t>
      </w:r>
      <w:proofErr w:type="gramStart"/>
      <w:r w:rsidRPr="6171A8C9">
        <w:rPr>
          <w:szCs w:val="24"/>
        </w:rPr>
        <w:t>and also</w:t>
      </w:r>
      <w:proofErr w:type="gramEnd"/>
      <w:r w:rsidRPr="6171A8C9">
        <w:rPr>
          <w:szCs w:val="24"/>
        </w:rPr>
        <w:t xml:space="preserve"> provides the reference architecture and relevant high-level common procedures for open IoT ICS.</w:t>
      </w:r>
    </w:p>
    <w:p w14:paraId="44C2E8A6" w14:textId="2F9B3C53" w:rsidR="3411E5A7" w:rsidRDefault="3411E5A7">
      <w:r w:rsidRPr="6171A8C9">
        <w:rPr>
          <w:b/>
          <w:bCs/>
          <w:color w:val="0000FF"/>
          <w:szCs w:val="24"/>
          <w:u w:val="single"/>
        </w:rPr>
        <w:t>ITU-T Y.4463 “Framework of delegation service for IoT devices”</w:t>
      </w:r>
      <w:r w:rsidRPr="6171A8C9">
        <w:rPr>
          <w:szCs w:val="24"/>
        </w:rPr>
        <w:t>: This Recommendation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403BF3BA" w14:textId="4B55B31C" w:rsidR="3411E5A7" w:rsidRDefault="3411E5A7">
      <w:r w:rsidRPr="6171A8C9">
        <w:rPr>
          <w:b/>
          <w:bCs/>
          <w:color w:val="0000FF"/>
          <w:szCs w:val="24"/>
          <w:u w:val="single"/>
        </w:rPr>
        <w:t>ITU-T Y.4464 “Framework of blockchain of things as decentralized service platform”</w:t>
      </w:r>
      <w:r w:rsidRPr="6171A8C9">
        <w:rPr>
          <w:szCs w:val="24"/>
        </w:rPr>
        <w:t>: This Recommendation introduces a decentralized IoT service platform, blockchain of things (</w:t>
      </w:r>
      <w:proofErr w:type="spellStart"/>
      <w:r w:rsidRPr="6171A8C9">
        <w:rPr>
          <w:szCs w:val="24"/>
        </w:rPr>
        <w:t>BoT</w:t>
      </w:r>
      <w:proofErr w:type="spellEnd"/>
      <w:r w:rsidRPr="6171A8C9">
        <w:rPr>
          <w:szCs w:val="24"/>
        </w:rPr>
        <w:t xml:space="preserve">), which is enabled by blockchain-related technologies. This Recommendation analyses the concept, common </w:t>
      </w:r>
      <w:proofErr w:type="gramStart"/>
      <w:r w:rsidRPr="6171A8C9">
        <w:rPr>
          <w:szCs w:val="24"/>
        </w:rPr>
        <w:t>characteristics</w:t>
      </w:r>
      <w:proofErr w:type="gramEnd"/>
      <w:r w:rsidRPr="6171A8C9">
        <w:rPr>
          <w:szCs w:val="24"/>
        </w:rPr>
        <w:t xml:space="preserve"> and high-level requirements of </w:t>
      </w:r>
      <w:proofErr w:type="spellStart"/>
      <w:r w:rsidRPr="6171A8C9">
        <w:rPr>
          <w:szCs w:val="24"/>
        </w:rPr>
        <w:t>BoT</w:t>
      </w:r>
      <w:proofErr w:type="spellEnd"/>
      <w:r w:rsidRPr="6171A8C9">
        <w:rPr>
          <w:szCs w:val="24"/>
        </w:rPr>
        <w:t xml:space="preserve">, and provides common capabilities and functionalities, general procedures, and relevant use cases for </w:t>
      </w:r>
      <w:proofErr w:type="spellStart"/>
      <w:r w:rsidRPr="6171A8C9">
        <w:rPr>
          <w:szCs w:val="24"/>
        </w:rPr>
        <w:t>BoT.</w:t>
      </w:r>
      <w:proofErr w:type="spellEnd"/>
      <w:r w:rsidRPr="6171A8C9">
        <w:rPr>
          <w:szCs w:val="24"/>
        </w:rPr>
        <w:t xml:space="preserve"> </w:t>
      </w:r>
      <w:proofErr w:type="spellStart"/>
      <w:proofErr w:type="gramStart"/>
      <w:r w:rsidRPr="6171A8C9">
        <w:rPr>
          <w:szCs w:val="24"/>
        </w:rPr>
        <w:t>BoT</w:t>
      </w:r>
      <w:proofErr w:type="spellEnd"/>
      <w:r w:rsidRPr="6171A8C9">
        <w:rPr>
          <w:szCs w:val="24"/>
        </w:rPr>
        <w:t>,</w:t>
      </w:r>
      <w:proofErr w:type="gramEnd"/>
      <w:r w:rsidRPr="6171A8C9">
        <w:rPr>
          <w:szCs w:val="24"/>
        </w:rPr>
        <w:t xml:space="preserve"> works in a decentralized service mode and is capable of enhancing many aspects of IoT. It has the advantages of blockchain-related technologies, especially for building decentralized data storage and management, crowding decision-making and automatic interactions. </w:t>
      </w:r>
    </w:p>
    <w:p w14:paraId="71A883F8" w14:textId="2A10C141" w:rsidR="3411E5A7" w:rsidRDefault="3411E5A7">
      <w:r w:rsidRPr="6171A8C9">
        <w:rPr>
          <w:b/>
          <w:bCs/>
          <w:color w:val="0000FF"/>
          <w:szCs w:val="24"/>
          <w:u w:val="single"/>
        </w:rPr>
        <w:t>ITU-T Y.4465 “Framework of IoT Services based on Visible Light Communications”</w:t>
      </w:r>
      <w:r w:rsidRPr="6171A8C9">
        <w:rPr>
          <w:szCs w:val="24"/>
        </w:rPr>
        <w:t>: This Recommendation describes a framework of Internet-of-Things (IoT) services based on Visible Light Communications (VLC). After describing the technical overview of VLC and the concepts of IoT services based on VLC, this Recommendation describes requirements and a reference model.</w:t>
      </w:r>
    </w:p>
    <w:p w14:paraId="0A241D74" w14:textId="353B8B96" w:rsidR="3411E5A7" w:rsidRDefault="3411E5A7">
      <w:r w:rsidRPr="6171A8C9">
        <w:rPr>
          <w:b/>
          <w:bCs/>
          <w:color w:val="0000FF"/>
          <w:szCs w:val="24"/>
          <w:u w:val="single"/>
        </w:rPr>
        <w:t>ITU-T Y.4466 “Framework of smart greenhouse service”</w:t>
      </w:r>
      <w:r w:rsidRPr="6171A8C9">
        <w:rPr>
          <w:szCs w:val="24"/>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w:t>
      </w:r>
      <w:proofErr w:type="gramStart"/>
      <w:r w:rsidRPr="6171A8C9">
        <w:rPr>
          <w:szCs w:val="24"/>
        </w:rPr>
        <w:t>architecture</w:t>
      </w:r>
      <w:proofErr w:type="gramEnd"/>
      <w:r w:rsidRPr="6171A8C9">
        <w:rPr>
          <w:szCs w:val="24"/>
        </w:rPr>
        <w:t xml:space="preserve"> and interfaces for a smart greenhouse service. </w:t>
      </w:r>
    </w:p>
    <w:p w14:paraId="2955EDE3" w14:textId="2EFC4E41" w:rsidR="3411E5A7" w:rsidRDefault="3411E5A7">
      <w:r w:rsidRPr="6171A8C9">
        <w:rPr>
          <w:b/>
          <w:bCs/>
          <w:color w:val="0000FF"/>
          <w:szCs w:val="24"/>
          <w:u w:val="single"/>
        </w:rPr>
        <w:t>ITU-T Y.4467 “Minimum set of data structure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 </w:t>
      </w:r>
    </w:p>
    <w:p w14:paraId="55AD297E" w14:textId="03DC3FF0" w:rsidR="3411E5A7" w:rsidRDefault="3411E5A7">
      <w:r w:rsidRPr="6171A8C9">
        <w:rPr>
          <w:b/>
          <w:bCs/>
          <w:color w:val="0000FF"/>
          <w:szCs w:val="24"/>
          <w:u w:val="single"/>
        </w:rPr>
        <w:t>ITU-T Y.4468 “Minimum set of data transfer protocol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This Recommendation specifies an </w:t>
      </w:r>
      <w:r w:rsidRPr="6171A8C9">
        <w:rPr>
          <w:szCs w:val="24"/>
        </w:rPr>
        <w:lastRenderedPageBreak/>
        <w:t>MSD transfer protocol to provide the rules of an MSD transfer operations between an AEDD and an AERC in an AERS.</w:t>
      </w:r>
    </w:p>
    <w:p w14:paraId="0F16B4A9" w14:textId="5295A7D1" w:rsidR="00E64737" w:rsidRDefault="00C44FDC" w:rsidP="00E64737">
      <w:pPr>
        <w:rPr>
          <w:lang w:val="en-GB"/>
        </w:rPr>
      </w:pPr>
      <w:hyperlink r:id="rId315" w:history="1">
        <w:r w:rsidR="00E64737" w:rsidRPr="00F67343">
          <w:rPr>
            <w:rStyle w:val="Hyperlink"/>
            <w:b/>
            <w:bCs/>
            <w:lang w:val="en-GB"/>
          </w:rPr>
          <w:t>ITU-T Y.4469 “Reference architecture of spare computational capability exposure of IoT devices for smart home”</w:t>
        </w:r>
      </w:hyperlink>
      <w:r w:rsidR="00E64737" w:rsidRPr="00F67343">
        <w:rPr>
          <w:lang w:val="en-GB"/>
        </w:rPr>
        <w:t xml:space="preserve"> </w:t>
      </w:r>
      <w:r w:rsidR="00E64737" w:rsidRPr="00E64737">
        <w:rPr>
          <w:lang w:val="en-GB"/>
        </w:rPr>
        <w:t>introduces spare computational capability exposure (SCCE) of Internet of things (IoT) devices for smart home and provides the characteristics and reference architecture of SCCE. In addition, it provides common procedures and several use cases to illustrate the concepts and the reference architecture of SCCE.</w:t>
      </w:r>
      <w:r w:rsidR="00E64737">
        <w:rPr>
          <w:lang w:val="en-GB"/>
        </w:rPr>
        <w:t xml:space="preserve"> </w:t>
      </w:r>
      <w:r w:rsidR="00E64737" w:rsidRPr="00E64737">
        <w:rPr>
          <w:lang w:val="en-GB"/>
        </w:rPr>
        <w:t>SCCE is a functional entity in the smart home that facilitates IoT applications to make full use of spare computational capabilities of IoT devices in smart home scenarios. SCCE collects the spare computational capabilities exposed by IoT devices and provides them to IoT applications. With using SCCE, the spare computational capabilities of IoT devices can be used by IoT applications instead of the cloud to reduce the requirements of cloud computing and network resources.</w:t>
      </w:r>
    </w:p>
    <w:p w14:paraId="77563F3B" w14:textId="7871D926" w:rsidR="008A2D48" w:rsidRDefault="00C44FDC" w:rsidP="008A2D48">
      <w:pPr>
        <w:rPr>
          <w:lang w:val="en-GB"/>
        </w:rPr>
      </w:pPr>
      <w:hyperlink r:id="rId316" w:history="1">
        <w:r w:rsidR="008A2D48" w:rsidRPr="009F2BBA">
          <w:rPr>
            <w:rStyle w:val="Hyperlink"/>
            <w:b/>
            <w:bCs/>
            <w:lang w:val="en-GB"/>
          </w:rPr>
          <w:t>ITU-T Y.4470 “Reference architecture of artificial intelligence service exposure for smart sustainable cities”</w:t>
        </w:r>
      </w:hyperlink>
      <w:r w:rsidR="008A2D48">
        <w:rPr>
          <w:lang w:val="en-GB"/>
        </w:rPr>
        <w:t xml:space="preserve"> </w:t>
      </w:r>
      <w:r w:rsidR="008A2D48" w:rsidRPr="008A2D48">
        <w:rPr>
          <w:lang w:val="en-GB"/>
        </w:rPr>
        <w:t>introduces artificial intelligence service exposure (AISE) for smart sustainable cities (SSC), and provides the common characteristics and high-level requirements, reference architecture and relevant common capabilities of AISE.</w:t>
      </w:r>
      <w:r w:rsidR="008A2D48">
        <w:rPr>
          <w:lang w:val="en-GB"/>
        </w:rPr>
        <w:t xml:space="preserve"> </w:t>
      </w:r>
      <w:r w:rsidR="008A2D48" w:rsidRPr="008A2D48">
        <w:rPr>
          <w:lang w:val="en-GB"/>
        </w:rPr>
        <w:t>AISE is one of the basic supporting functional entities for smart sustainable cities, with which SSC services can use uniform reference points (exposed by AISE) to integrate and access the AI capabilities of AI services (e.g., machine learning services for image recognition, natural language processing services, traffic prediction services etc.). In addition, AISE can collect and open SSC data, and it supports AI services to train and perform AI capabilities in AISE in SSCs.</w:t>
      </w:r>
    </w:p>
    <w:p w14:paraId="28EC0AB0" w14:textId="16E88EF3" w:rsidR="0035389B" w:rsidRPr="0039167D" w:rsidRDefault="0035389B" w:rsidP="0035389B">
      <w:pPr>
        <w:rPr>
          <w:lang w:val="en-GB"/>
        </w:rPr>
      </w:pPr>
      <w:r w:rsidRPr="0039167D">
        <w:rPr>
          <w:b/>
          <w:bCs/>
          <w:lang w:val="en-GB"/>
        </w:rPr>
        <w:t>ITU-T Y.4471 “Functional architecture of network-based driving assistance for autonomous vehicles” (under approval)</w:t>
      </w:r>
      <w:r w:rsidRPr="0039167D">
        <w:rPr>
          <w:lang w:val="en-GB"/>
        </w:rPr>
        <w:t xml:space="preserve"> defines a reference functional architecture of network-based driving assistance (NDA) for autonomous vehicles. It clarifies the concept of NDA, specifies key functional </w:t>
      </w:r>
      <w:proofErr w:type="gramStart"/>
      <w:r w:rsidRPr="0039167D">
        <w:rPr>
          <w:lang w:val="en-GB"/>
        </w:rPr>
        <w:t>entities</w:t>
      </w:r>
      <w:proofErr w:type="gramEnd"/>
      <w:r w:rsidRPr="0039167D">
        <w:rPr>
          <w:lang w:val="en-GB"/>
        </w:rPr>
        <w:t xml:space="preserve"> and defines reference points between entities. The use cases and operational procedures are also provided in an informative appendix.</w:t>
      </w:r>
    </w:p>
    <w:p w14:paraId="50F1C12B" w14:textId="0262D9E8" w:rsidR="0035389B" w:rsidRPr="0039167D" w:rsidRDefault="0035389B" w:rsidP="0035389B">
      <w:pPr>
        <w:rPr>
          <w:lang w:val="en-GB"/>
        </w:rPr>
      </w:pPr>
      <w:r w:rsidRPr="0039167D">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CA095B" w:rsidRDefault="00CA095B" w:rsidP="00CA095B">
      <w:pPr>
        <w:rPr>
          <w:lang w:val="en-GB"/>
        </w:rPr>
      </w:pPr>
      <w:r w:rsidRPr="0039167D">
        <w:rPr>
          <w:b/>
          <w:lang w:val="en-GB"/>
        </w:rPr>
        <w:t>ITU-T Y.4472 “Open data application programming interface (APIs) for IoT data in smart cities and communities” (under approval):</w:t>
      </w:r>
      <w:r>
        <w:rPr>
          <w:lang w:val="en-GB"/>
        </w:rPr>
        <w:t xml:space="preserve"> </w:t>
      </w:r>
      <w:r w:rsidRPr="00CA095B">
        <w:rPr>
          <w:lang w:val="en-GB"/>
        </w:rPr>
        <w:t>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12BDEB0D" w:rsidR="00CA095B" w:rsidRDefault="00CA095B" w:rsidP="00CA095B">
      <w:pPr>
        <w:rPr>
          <w:lang w:val="en-GB"/>
        </w:rPr>
      </w:pPr>
      <w:r w:rsidRPr="00CA095B">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w:t>
      </w:r>
      <w:proofErr w:type="spellStart"/>
      <w:r w:rsidRPr="00CA095B">
        <w:rPr>
          <w:lang w:val="en-GB"/>
        </w:rPr>
        <w:t>managment</w:t>
      </w:r>
      <w:proofErr w:type="spellEnd"/>
      <w:r w:rsidRPr="00CA095B">
        <w:rPr>
          <w:lang w:val="en-GB"/>
        </w:rPr>
        <w:t xml:space="preserve">. The data storage APIs allow a granular management of the saved data for all cases, in particular </w:t>
      </w:r>
      <w:r w:rsidRPr="00CA095B">
        <w:rPr>
          <w:lang w:val="en-GB"/>
        </w:rPr>
        <w:lastRenderedPageBreak/>
        <w:t xml:space="preserve">both for open data and private data. The data transaction APIs facilitate exposure and access to the data through a data marketplace. In addition, security and privacy APIs are seriously </w:t>
      </w:r>
      <w:proofErr w:type="gramStart"/>
      <w:r w:rsidRPr="00CA095B">
        <w:rPr>
          <w:lang w:val="en-GB"/>
        </w:rPr>
        <w:t>taken into account</w:t>
      </w:r>
      <w:proofErr w:type="gramEnd"/>
      <w:r w:rsidRPr="00CA095B">
        <w:rPr>
          <w:lang w:val="en-GB"/>
        </w:rPr>
        <w:t xml:space="preserve"> to provide secure data exchange. It should be noted that data interoperability 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w:t>
      </w:r>
      <w:proofErr w:type="gramStart"/>
      <w:r w:rsidRPr="00CA095B">
        <w:rPr>
          <w:lang w:val="en-GB"/>
        </w:rPr>
        <w:t>flexible</w:t>
      </w:r>
      <w:proofErr w:type="gramEnd"/>
      <w:r w:rsidRPr="00CA095B">
        <w:rPr>
          <w:lang w:val="en-GB"/>
        </w:rPr>
        <w:t xml:space="preserve"> and extendable. The interoperability is not a choice but a must in smart city systems that embeds multiple verticals.</w:t>
      </w:r>
    </w:p>
    <w:p w14:paraId="1AEF14B6" w14:textId="37A03008" w:rsidR="00CB6066" w:rsidRDefault="00C44FDC" w:rsidP="00CB6066">
      <w:pPr>
        <w:rPr>
          <w:lang w:val="en-GB"/>
        </w:rPr>
      </w:pPr>
      <w:hyperlink r:id="rId317" w:history="1">
        <w:r w:rsidR="00CB6066" w:rsidRPr="00E358BF">
          <w:rPr>
            <w:rStyle w:val="Hyperlink"/>
            <w:b/>
            <w:bCs/>
            <w:lang w:val="en-GB"/>
          </w:rPr>
          <w:t>ITU-T Y.4473 “</w:t>
        </w:r>
        <w:proofErr w:type="spellStart"/>
        <w:r w:rsidR="00CB6066" w:rsidRPr="00E358BF">
          <w:rPr>
            <w:rStyle w:val="Hyperlink"/>
            <w:b/>
            <w:bCs/>
            <w:lang w:val="en-GB"/>
          </w:rPr>
          <w:t>SensorThings</w:t>
        </w:r>
        <w:proofErr w:type="spellEnd"/>
        <w:r w:rsidR="00CB6066" w:rsidRPr="00E358BF">
          <w:rPr>
            <w:rStyle w:val="Hyperlink"/>
            <w:b/>
            <w:bCs/>
            <w:lang w:val="en-GB"/>
          </w:rPr>
          <w:t xml:space="preserve"> API – Sensing”</w:t>
        </w:r>
      </w:hyperlink>
      <w:r w:rsidR="00CB6066">
        <w:rPr>
          <w:lang w:val="en-GB"/>
        </w:rPr>
        <w:t xml:space="preserve"> </w:t>
      </w:r>
      <w:r w:rsidR="00CB6066" w:rsidRPr="00CB6066">
        <w:rPr>
          <w:lang w:val="en-GB"/>
        </w:rPr>
        <w:t xml:space="preserve">specifies the </w:t>
      </w:r>
      <w:proofErr w:type="spellStart"/>
      <w:r w:rsidR="00CB6066" w:rsidRPr="00CB6066">
        <w:rPr>
          <w:lang w:val="en-GB"/>
        </w:rPr>
        <w:t>SensorThings</w:t>
      </w:r>
      <w:proofErr w:type="spellEnd"/>
      <w:r w:rsidR="00CB6066" w:rsidRPr="00CB6066">
        <w:rPr>
          <w:lang w:val="en-GB"/>
        </w:rPr>
        <w:t xml:space="preserve"> application programming interface (API) which provides an open standard-based and geospatial-enabled framework to interconnect Internet of things (IoT) devices, data, and applications over the Web.</w:t>
      </w:r>
      <w:r w:rsidR="00CB6066">
        <w:rPr>
          <w:lang w:val="en-GB"/>
        </w:rPr>
        <w:t xml:space="preserve"> </w:t>
      </w:r>
      <w:r w:rsidR="00CB6066" w:rsidRPr="00CB6066">
        <w:rPr>
          <w:lang w:val="en-GB"/>
        </w:rPr>
        <w:t xml:space="preserve">The </w:t>
      </w:r>
      <w:proofErr w:type="spellStart"/>
      <w:r w:rsidR="00CB6066" w:rsidRPr="00CB6066">
        <w:rPr>
          <w:lang w:val="en-GB"/>
        </w:rPr>
        <w:t>SensorThings</w:t>
      </w:r>
      <w:proofErr w:type="spellEnd"/>
      <w:r w:rsidR="00CB6066" w:rsidRPr="00CB6066">
        <w:rPr>
          <w:lang w:val="en-GB"/>
        </w:rPr>
        <w:t xml:space="preserve"> API is an open standard, and that means it is non-proprietary, </w:t>
      </w:r>
      <w:proofErr w:type="gramStart"/>
      <w:r w:rsidR="00CB6066" w:rsidRPr="00CB6066">
        <w:rPr>
          <w:lang w:val="en-GB"/>
        </w:rPr>
        <w:t>platform-independent</w:t>
      </w:r>
      <w:proofErr w:type="gramEnd"/>
      <w:r w:rsidR="00CB6066" w:rsidRPr="00CB6066">
        <w:rPr>
          <w:lang w:val="en-GB"/>
        </w:rPr>
        <w:t xml:space="preserve">. It builds on a rich set of proven-working and </w:t>
      </w:r>
      <w:proofErr w:type="gramStart"/>
      <w:r w:rsidR="00CB6066" w:rsidRPr="00CB6066">
        <w:rPr>
          <w:lang w:val="en-GB"/>
        </w:rPr>
        <w:t>widely-adopted</w:t>
      </w:r>
      <w:proofErr w:type="gramEnd"/>
      <w:r w:rsidR="00CB6066" w:rsidRPr="00CB6066">
        <w:rPr>
          <w:lang w:val="en-GB"/>
        </w:rPr>
        <w:t xml:space="preserve"> open standards, such as the Web protocols and the Open Geospatial Consortium (OGC) sensor Web enablement (SWE) standards, including the ISO/OGC observation and measurement data model. The </w:t>
      </w:r>
      <w:proofErr w:type="spellStart"/>
      <w:r w:rsidR="00CB6066" w:rsidRPr="00CB6066">
        <w:rPr>
          <w:lang w:val="en-GB"/>
        </w:rPr>
        <w:t>SensorThings</w:t>
      </w:r>
      <w:proofErr w:type="spellEnd"/>
      <w:r w:rsidR="00CB6066" w:rsidRPr="00CB6066">
        <w:rPr>
          <w:lang w:val="en-GB"/>
        </w:rPr>
        <w:t xml:space="preserve"> API is extensible and can be applied to not only simple but also complex use cases.</w:t>
      </w:r>
      <w:r w:rsidR="00CB6066">
        <w:rPr>
          <w:lang w:val="en-GB"/>
        </w:rPr>
        <w:t xml:space="preserve"> </w:t>
      </w:r>
      <w:r w:rsidR="00CB6066" w:rsidRPr="00CB6066">
        <w:rPr>
          <w:lang w:val="en-GB"/>
        </w:rPr>
        <w:t xml:space="preserve">This Recommendation provides a standard way to manage and retrieve observations and metadata from heterogeneous IoT sensor systems. The </w:t>
      </w:r>
      <w:proofErr w:type="spellStart"/>
      <w:r w:rsidR="00CB6066" w:rsidRPr="00CB6066">
        <w:rPr>
          <w:lang w:val="en-GB"/>
        </w:rPr>
        <w:t>SensorThings</w:t>
      </w:r>
      <w:proofErr w:type="spellEnd"/>
      <w:r w:rsidR="00CB6066" w:rsidRPr="00CB6066">
        <w:rPr>
          <w:lang w:val="en-GB"/>
        </w:rPr>
        <w:t xml:space="preserve"> API uses representational state transfer (REST) principles, an efficient JavaScript object notation (JSON) encoding, message queuing telemetry transport (MQTT) protocol, flexible OASIS open data protocol (OData) and uniform resource locator (URL) conventions.</w:t>
      </w:r>
    </w:p>
    <w:p w14:paraId="347A6849" w14:textId="310E0514" w:rsidR="00E045D1" w:rsidRDefault="00C44FDC" w:rsidP="00E045D1">
      <w:pPr>
        <w:rPr>
          <w:lang w:val="en-GB"/>
        </w:rPr>
      </w:pPr>
      <w:hyperlink r:id="rId318" w:history="1">
        <w:r w:rsidR="00E045D1" w:rsidRPr="008D1762">
          <w:rPr>
            <w:rStyle w:val="Hyperlink"/>
            <w:b/>
            <w:bCs/>
            <w:lang w:val="en-GB"/>
          </w:rPr>
          <w:t>ITU-T Y.4474 “Functional architecture for IoT services based on Visible Light Communications”</w:t>
        </w:r>
      </w:hyperlink>
      <w:r w:rsidR="00E045D1">
        <w:rPr>
          <w:lang w:val="en-GB"/>
        </w:rPr>
        <w:t xml:space="preserve"> </w:t>
      </w:r>
      <w:r w:rsidR="00E045D1" w:rsidRPr="00E045D1">
        <w:rPr>
          <w:lang w:val="en-GB"/>
        </w:rPr>
        <w:t>describes the functional architecture for Internet of Things (IoT) services based on Visible Light Communications (VLC), which includes functional requirements, functional architecture, messages and information flows.</w:t>
      </w:r>
    </w:p>
    <w:p w14:paraId="10FD4546" w14:textId="3F6F6A0E" w:rsidR="000262C8" w:rsidRDefault="00C44FDC" w:rsidP="000262C8">
      <w:pPr>
        <w:rPr>
          <w:lang w:val="en-GB"/>
        </w:rPr>
      </w:pPr>
      <w:hyperlink r:id="rId319" w:history="1">
        <w:r w:rsidR="000262C8" w:rsidRPr="00827DC9">
          <w:rPr>
            <w:rStyle w:val="Hyperlink"/>
            <w:b/>
            <w:bCs/>
            <w:lang w:val="en-GB"/>
          </w:rPr>
          <w:t>ITU-T Y.4475 “Lightweight intelligent software framework for IoT devices”</w:t>
        </w:r>
      </w:hyperlink>
      <w:r w:rsidR="000262C8">
        <w:rPr>
          <w:lang w:val="en-GB"/>
        </w:rPr>
        <w:t xml:space="preserve"> </w:t>
      </w:r>
      <w:r w:rsidR="000262C8" w:rsidRPr="000262C8">
        <w:rPr>
          <w:lang w:val="en-GB"/>
        </w:rPr>
        <w:t>addresses the concept of the lightweight intelligent software framework (LISF) which supports IoT applications requiring intelligent processing, and enables it working on resource-limited IoT devices. It identifies general requirements and provides a functional architecture of LISF based on the IoT reference model [ITU-T Y.4000].</w:t>
      </w:r>
    </w:p>
    <w:p w14:paraId="4DBE002B" w14:textId="4A444D0A" w:rsidR="00040EA7" w:rsidRPr="00040EA7" w:rsidRDefault="00C44FDC" w:rsidP="00040EA7">
      <w:pPr>
        <w:rPr>
          <w:lang w:val="en-GB"/>
        </w:rPr>
      </w:pPr>
      <w:hyperlink r:id="rId320" w:history="1">
        <w:r w:rsidR="00040EA7" w:rsidRPr="004A693D">
          <w:rPr>
            <w:rStyle w:val="Hyperlink"/>
            <w:b/>
            <w:bCs/>
            <w:lang w:val="en-GB"/>
          </w:rPr>
          <w:t>ITU-T Y.4558 “Requirements and functional architecture of smart fire smoke detection service”</w:t>
        </w:r>
      </w:hyperlink>
      <w:r w:rsidR="00040EA7" w:rsidRPr="004A693D">
        <w:rPr>
          <w:b/>
          <w:bCs/>
          <w:lang w:val="en-GB"/>
        </w:rPr>
        <w:t>:</w:t>
      </w:r>
      <w:r w:rsidR="00040EA7">
        <w:rPr>
          <w:lang w:val="en-GB"/>
        </w:rPr>
        <w:t xml:space="preserve"> </w:t>
      </w:r>
      <w:r w:rsidR="00040EA7" w:rsidRPr="00040EA7">
        <w:rPr>
          <w:lang w:val="en-GB"/>
        </w:rPr>
        <w:t>Fire smoke detection service is usually deployed in indoor environment like residential buildings, factories, shopping malls, hotels, office buildings, etc. With the development of society and economy, fire smoke detection service is playing a more and more important role in people's life, but there are some issues, including inefficient maintenance and management, non-real-time device failure detection, non-real-time fire alarms notification and poor service experience.</w:t>
      </w:r>
    </w:p>
    <w:p w14:paraId="31C9CA39" w14:textId="4A2507C5" w:rsidR="00040EA7" w:rsidRDefault="00040EA7" w:rsidP="00040EA7">
      <w:pPr>
        <w:rPr>
          <w:lang w:val="en-GB"/>
        </w:rPr>
      </w:pPr>
      <w:r w:rsidRPr="00040EA7">
        <w:rPr>
          <w:lang w:val="en-GB"/>
        </w:rPr>
        <w:t>In order to solve the above issues, Smart Fire Smoke Detection (SFSD) service can not only detect the smoke concentration through sensors and trigger a fire alarm when it reaches a certain threshold to prevent disaster, but also send the alarm information to the cloud platform through network, thus relevant departments and personnel can be notified in time through Web/APP/SMS/Voice/Instant Message Client, etc. The SFSD service can provide many benefits, including efficient maintenance and management, real-time alarm report, real-time faults report and good service experience.</w:t>
      </w:r>
      <w:r>
        <w:rPr>
          <w:lang w:val="en-GB"/>
        </w:rPr>
        <w:t xml:space="preserve"> </w:t>
      </w:r>
      <w:r w:rsidRPr="00040EA7">
        <w:rPr>
          <w:lang w:val="en-GB"/>
        </w:rPr>
        <w:t>Based on these observations, this Recommendation describes requirements and functional architecture of SFSD service.</w:t>
      </w:r>
    </w:p>
    <w:p w14:paraId="3F7BDA04" w14:textId="370AD013" w:rsidR="00EC1418" w:rsidRPr="00EC1418" w:rsidRDefault="00EC1418" w:rsidP="00EC1418">
      <w:pPr>
        <w:rPr>
          <w:lang w:val="en-GB"/>
        </w:rPr>
      </w:pPr>
      <w:r w:rsidRPr="0039167D">
        <w:rPr>
          <w:b/>
          <w:bCs/>
          <w:lang w:val="en-GB"/>
        </w:rPr>
        <w:t>ITU-T Y.4559 “Requirements and functional architecture of base station inspection services using unmanned aerial vehicles” (under approval)</w:t>
      </w:r>
      <w:r w:rsidRPr="0039167D">
        <w:rPr>
          <w:lang w:val="en-GB"/>
        </w:rPr>
        <w:t>:</w:t>
      </w:r>
      <w:r>
        <w:rPr>
          <w:lang w:val="en-GB"/>
        </w:rPr>
        <w:t xml:space="preserve"> T</w:t>
      </w:r>
      <w:r w:rsidRPr="00EC1418">
        <w:rPr>
          <w:lang w:val="en-GB"/>
        </w:rPr>
        <w:t xml:space="preserve">he changes being experienced in weather conditions and the aging of materials may cause damage to base stations, which will affect network service quality and even cause safety incidents. Network operators need to carry out timely and </w:t>
      </w:r>
      <w:r w:rsidRPr="00EC1418">
        <w:rPr>
          <w:lang w:val="en-GB"/>
        </w:rPr>
        <w:lastRenderedPageBreak/>
        <w:t xml:space="preserve">periodic inspection and maintenance operations. Due to the long-term, high-intensity and high-altitude nature of these operations, the base station inspection (BSI) services conducted manually are dangerous, </w:t>
      </w:r>
      <w:proofErr w:type="gramStart"/>
      <w:r w:rsidRPr="00EC1418">
        <w:rPr>
          <w:lang w:val="en-GB"/>
        </w:rPr>
        <w:t>inefficient</w:t>
      </w:r>
      <w:proofErr w:type="gramEnd"/>
      <w:r w:rsidRPr="00EC1418">
        <w:rPr>
          <w:lang w:val="en-GB"/>
        </w:rPr>
        <w:t xml:space="preserve"> and costly.</w:t>
      </w:r>
    </w:p>
    <w:p w14:paraId="5C56DEC1" w14:textId="11741819" w:rsidR="00EC1418" w:rsidRPr="00EC1418" w:rsidRDefault="00EC1418" w:rsidP="00EC1418">
      <w:pPr>
        <w:rPr>
          <w:lang w:val="en-GB"/>
        </w:rPr>
      </w:pPr>
      <w:r w:rsidRPr="00EC1418">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w:t>
      </w:r>
      <w:r>
        <w:rPr>
          <w:lang w:val="en-GB"/>
        </w:rPr>
        <w:t xml:space="preserve"> </w:t>
      </w:r>
      <w:r w:rsidRPr="00EC1418">
        <w:rPr>
          <w:lang w:val="en-GB"/>
        </w:rPr>
        <w:t>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Default="00EC1418" w:rsidP="00EC1418">
      <w:pPr>
        <w:rPr>
          <w:lang w:val="en-GB"/>
        </w:rPr>
      </w:pPr>
      <w:r w:rsidRPr="00EC1418">
        <w:rPr>
          <w:lang w:val="en-GB"/>
        </w:rPr>
        <w:t>This Recommendation describes requirements and functional architecture of BSI services using UAVs. It focuses on how to effectively provide inspection services for the base station using BSI-dedicated UAVs (BSI-UAVs).</w:t>
      </w:r>
    </w:p>
    <w:p w14:paraId="1DD93575" w14:textId="0890BDED" w:rsidR="1CEF59DA" w:rsidRDefault="1CEF59DA">
      <w:r w:rsidRPr="6171A8C9">
        <w:rPr>
          <w:b/>
          <w:bCs/>
          <w:color w:val="0000FF"/>
          <w:szCs w:val="24"/>
          <w:u w:val="single"/>
        </w:rPr>
        <w:t>ITU-T Y.4807 “Agility by design for Telecommunications/ICT Systems Security used in the Internet of Things”</w:t>
      </w:r>
      <w:r w:rsidRPr="6171A8C9">
        <w:rPr>
          <w:szCs w:val="24"/>
        </w:rPr>
        <w:t xml:space="preserve">: This Recommendation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w:t>
      </w:r>
      <w:proofErr w:type="gramStart"/>
      <w:r w:rsidRPr="6171A8C9">
        <w:rPr>
          <w:szCs w:val="24"/>
        </w:rPr>
        <w:t>standards</w:t>
      </w:r>
      <w:proofErr w:type="gramEnd"/>
      <w:r w:rsidRPr="6171A8C9">
        <w:rPr>
          <w:szCs w:val="24"/>
        </w:rPr>
        <w:t xml:space="preserve"> or algorithms.</w:t>
      </w:r>
    </w:p>
    <w:p w14:paraId="01B851AA" w14:textId="31E8A484" w:rsidR="00942057" w:rsidRDefault="00C44FDC" w:rsidP="00942057">
      <w:pPr>
        <w:rPr>
          <w:lang w:val="en-GB"/>
        </w:rPr>
      </w:pPr>
      <w:hyperlink r:id="rId321" w:history="1">
        <w:r w:rsidR="00942057" w:rsidRPr="00EF4F9A">
          <w:rPr>
            <w:rStyle w:val="Hyperlink"/>
            <w:b/>
            <w:bCs/>
            <w:lang w:val="en-GB"/>
          </w:rPr>
          <w:t>ITU-T Y.4808 “Digital entity architecture framework to combat counterfeiting in IoT”</w:t>
        </w:r>
      </w:hyperlink>
      <w:r w:rsidR="00942057" w:rsidRPr="00EF4F9A">
        <w:rPr>
          <w:lang w:val="en-GB"/>
        </w:rPr>
        <w:t>:</w:t>
      </w:r>
      <w:r w:rsidR="00942057">
        <w:rPr>
          <w:lang w:val="en-GB"/>
        </w:rPr>
        <w:t xml:space="preserve"> </w:t>
      </w:r>
      <w:r w:rsidR="00942057" w:rsidRPr="00942057">
        <w:rPr>
          <w:lang w:val="en-GB"/>
        </w:rPr>
        <w:t xml:space="preserve">There are challenges related to the use and circulation of counterfeit devices in the market, including adverse consequences for users, </w:t>
      </w:r>
      <w:proofErr w:type="gramStart"/>
      <w:r w:rsidR="00942057" w:rsidRPr="00942057">
        <w:rPr>
          <w:lang w:val="en-GB"/>
        </w:rPr>
        <w:t>governments</w:t>
      </w:r>
      <w:proofErr w:type="gramEnd"/>
      <w:r w:rsidR="00942057" w:rsidRPr="00942057">
        <w:rPr>
          <w:lang w:val="en-GB"/>
        </w:rPr>
        <w:t xml:space="preserve"> and the private sector.</w:t>
      </w:r>
    </w:p>
    <w:p w14:paraId="7E384F7F" w14:textId="5191D2C9" w:rsidR="00942057" w:rsidRPr="00942057" w:rsidRDefault="00942057" w:rsidP="00942057">
      <w:pPr>
        <w:rPr>
          <w:lang w:val="en-GB"/>
        </w:rPr>
      </w:pPr>
      <w:r w:rsidRPr="00942057">
        <w:rPr>
          <w:lang w:val="en-GB"/>
        </w:rPr>
        <w:t>As documented in the ITU-T Technical Report on Counterfeit ICT equipment [b-ITU-T TR on Counterfeit ICT Equipment], there are a lot of technical solutions which are widely used for combating counterfeit products over the globe. The report indicates that RFID tags are among technologies which are used for combating counterfeiting. While this may be true, there are some difficulties associated with securing these systems with regard to the access control exercised to write on the tags.</w:t>
      </w:r>
      <w:r>
        <w:rPr>
          <w:lang w:val="en-GB"/>
        </w:rPr>
        <w:t xml:space="preserve"> </w:t>
      </w:r>
      <w:r w:rsidRPr="00942057">
        <w:rPr>
          <w:lang w:val="en-GB"/>
        </w:rPr>
        <w:t>There are solutions established for combating counterfeit devices for specific technologies and/or industries which may not be applicable to all use cases. On the other hand, there are such solutions which may be applicable to all use cases, these solutions are based on the ITU-T Recommendations such as ITU –T Y.4459 “Digital entity architecture framework for Internet of things interoperability" and ITU-T X.1255 “Framework for discovery of identity management information”.</w:t>
      </w:r>
      <w:r>
        <w:rPr>
          <w:lang w:val="en-GB"/>
        </w:rPr>
        <w:t xml:space="preserve"> </w:t>
      </w:r>
      <w:r w:rsidRPr="00942057">
        <w:rPr>
          <w:lang w:val="en-GB"/>
        </w:rPr>
        <w:t>Resolution 188 (Busan, 2014) on combating counterfeit telecommunication/information and communication technology devices recognized (in recognizing e) that Recommendation ITU-T X.1255, which is based on the digital entity architecture, provides a framework for discovery of identity management information.</w:t>
      </w:r>
      <w:r>
        <w:rPr>
          <w:lang w:val="en-GB"/>
        </w:rPr>
        <w:t xml:space="preserve"> </w:t>
      </w:r>
      <w:r w:rsidRPr="00942057">
        <w:rPr>
          <w:lang w:val="en-GB"/>
        </w:rPr>
        <w:t xml:space="preserve">A digital entity architecture, as described in ITU-T Y.4459, defines a minimum set of needed architectural components and services to provide a generic information and service interoperability. It will facilitate the interoperability of identification, description, representation, access, </w:t>
      </w:r>
      <w:proofErr w:type="gramStart"/>
      <w:r w:rsidRPr="00942057">
        <w:rPr>
          <w:lang w:val="en-GB"/>
        </w:rPr>
        <w:t>storage</w:t>
      </w:r>
      <w:proofErr w:type="gramEnd"/>
      <w:r w:rsidRPr="00942057">
        <w:rPr>
          <w:lang w:val="en-GB"/>
        </w:rPr>
        <w:t xml:space="preserve"> and security of IoT devices. This architecture framework encourages a common security and management interface across different IoT applications.</w:t>
      </w:r>
    </w:p>
    <w:p w14:paraId="4F8DA2F0" w14:textId="3FF037C1" w:rsidR="00942057" w:rsidRPr="00952FDF" w:rsidRDefault="00942057" w:rsidP="00942057">
      <w:pPr>
        <w:rPr>
          <w:highlight w:val="yellow"/>
          <w:lang w:val="en-GB"/>
        </w:rPr>
      </w:pPr>
      <w:r w:rsidRPr="00942057">
        <w:rPr>
          <w:lang w:val="en-GB"/>
        </w:rPr>
        <w:t xml:space="preserve">Digital entity architecture provides additional means of security (e.g. public key infrastructure) features to authenticate the parties involved in the </w:t>
      </w:r>
      <w:proofErr w:type="gramStart"/>
      <w:r w:rsidRPr="00942057">
        <w:rPr>
          <w:lang w:val="en-GB"/>
        </w:rPr>
        <w:t>identifiers</w:t>
      </w:r>
      <w:proofErr w:type="gramEnd"/>
      <w:r w:rsidRPr="00942057">
        <w:rPr>
          <w:lang w:val="en-GB"/>
        </w:rPr>
        <w:t xml:space="preserve"> registration process. Other industry approaches to combat counterfeiting are available. They rely on commonly acknowledged identifiers including, but not limited to MAC, IMEI, RFID, …etc.</w:t>
      </w:r>
      <w:r>
        <w:rPr>
          <w:lang w:val="en-GB"/>
        </w:rPr>
        <w:t xml:space="preserve"> </w:t>
      </w:r>
      <w:r w:rsidRPr="00942057">
        <w:rPr>
          <w:lang w:val="en-GB"/>
        </w:rPr>
        <w:t xml:space="preserve">Systems based on digital entity architecture may be considered as one category of candidate tools which allow vendors/industries (not only ICT industry) to store their products’ profile in digital form. Therefore, this </w:t>
      </w:r>
      <w:r w:rsidRPr="00942057">
        <w:rPr>
          <w:lang w:val="en-GB"/>
        </w:rPr>
        <w:lastRenderedPageBreak/>
        <w:t>Recommendation can be used in different industries such as ICT, pharmaceutical, automotive, avionic.</w:t>
      </w:r>
    </w:p>
    <w:p w14:paraId="647D5B17" w14:textId="13642E18" w:rsidR="0057262B" w:rsidRDefault="00C44FDC" w:rsidP="0057262B">
      <w:pPr>
        <w:rPr>
          <w:lang w:val="en-GB"/>
        </w:rPr>
      </w:pPr>
      <w:hyperlink r:id="rId322" w:history="1">
        <w:r w:rsidR="0057262B" w:rsidRPr="00946ECC">
          <w:rPr>
            <w:rStyle w:val="Hyperlink"/>
            <w:b/>
            <w:bCs/>
            <w:lang w:val="en-GB"/>
          </w:rPr>
          <w:t>ITU-T Y.4907 “Reference architecture of blockchain-based unified KPI data management for smart sustainable cities”</w:t>
        </w:r>
      </w:hyperlink>
      <w:r w:rsidR="0057262B">
        <w:rPr>
          <w:lang w:val="en-GB"/>
        </w:rPr>
        <w:t xml:space="preserve"> </w:t>
      </w:r>
      <w:r w:rsidR="0057262B" w:rsidRPr="0057262B">
        <w:rPr>
          <w:lang w:val="en-GB"/>
        </w:rPr>
        <w:t xml:space="preserve">provides a reference architecture for blockchain-based unified KPI (key performance indicator) data management for smart sustainable cities (BKDMS). This Recommendation provides the concept, </w:t>
      </w:r>
      <w:proofErr w:type="gramStart"/>
      <w:r w:rsidR="0057262B" w:rsidRPr="0057262B">
        <w:rPr>
          <w:lang w:val="en-GB"/>
        </w:rPr>
        <w:t>characteristics</w:t>
      </w:r>
      <w:proofErr w:type="gramEnd"/>
      <w:r w:rsidR="0057262B" w:rsidRPr="0057262B">
        <w:rPr>
          <w:lang w:val="en-GB"/>
        </w:rPr>
        <w:t xml:space="preserve"> and high-level requirements of BKDMS. A reference architecture including capabilities of its functional entities is described in </w:t>
      </w:r>
      <w:proofErr w:type="gramStart"/>
      <w:r w:rsidR="0057262B" w:rsidRPr="0057262B">
        <w:rPr>
          <w:lang w:val="en-GB"/>
        </w:rPr>
        <w:t>details</w:t>
      </w:r>
      <w:proofErr w:type="gramEnd"/>
      <w:r w:rsidR="0057262B" w:rsidRPr="0057262B">
        <w:rPr>
          <w:lang w:val="en-GB"/>
        </w:rPr>
        <w:t>, and unified structures of KPI data are also introduced with which to ensure BKDMS realizable.</w:t>
      </w:r>
    </w:p>
    <w:p w14:paraId="4C0B714D" w14:textId="50AF2145" w:rsidR="0062414B" w:rsidRPr="0062414B" w:rsidRDefault="0062414B" w:rsidP="0062414B">
      <w:pPr>
        <w:rPr>
          <w:lang w:val="en-GB"/>
        </w:rPr>
      </w:pPr>
      <w:r w:rsidRPr="0039167D">
        <w:rPr>
          <w:b/>
          <w:bCs/>
          <w:lang w:val="en-GB"/>
        </w:rPr>
        <w:t>ITU-T Y.4908 “Performance evaluation frameworks of e-health systems in the IoT” (under approval)</w:t>
      </w:r>
      <w:r w:rsidRPr="0039167D">
        <w:rPr>
          <w:lang w:val="en-GB"/>
        </w:rPr>
        <w:t>:</w:t>
      </w:r>
      <w:r>
        <w:rPr>
          <w:lang w:val="en-GB"/>
        </w:rPr>
        <w:t xml:space="preserve"> </w:t>
      </w:r>
      <w:r w:rsidRPr="0062414B">
        <w:rPr>
          <w:lang w:val="en-GB"/>
        </w:rPr>
        <w:t>Currently e-health systems are being implemented by governments and stakeholders to increase the effectiveness, efficiency and the quality of health care services.</w:t>
      </w:r>
      <w:r w:rsidR="00EA0195">
        <w:rPr>
          <w:lang w:val="en-GB"/>
        </w:rPr>
        <w:t xml:space="preserve"> </w:t>
      </w:r>
      <w:r w:rsidRPr="0062414B">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w:t>
      </w:r>
      <w:r>
        <w:rPr>
          <w:lang w:val="en-GB"/>
        </w:rPr>
        <w:t xml:space="preserve"> </w:t>
      </w:r>
      <w:r w:rsidRPr="0062414B">
        <w:rPr>
          <w:lang w:val="en-GB"/>
        </w:rPr>
        <w:t>This Recommendation addresses this need for effective performance evaluation frameworks of e-health systems in the IoT and includes:</w:t>
      </w:r>
    </w:p>
    <w:p w14:paraId="6E066AAA" w14:textId="77777777" w:rsidR="0062414B" w:rsidRPr="0062414B" w:rsidRDefault="0062414B" w:rsidP="0062414B">
      <w:pPr>
        <w:rPr>
          <w:lang w:val="en-GB"/>
        </w:rPr>
      </w:pPr>
      <w:r w:rsidRPr="0062414B">
        <w:rPr>
          <w:lang w:val="en-GB"/>
        </w:rPr>
        <w:t>–</w:t>
      </w:r>
      <w:r w:rsidRPr="0062414B">
        <w:rPr>
          <w:lang w:val="en-GB"/>
        </w:rPr>
        <w:tab/>
        <w:t>A classification of e-health services in the IoT</w:t>
      </w:r>
    </w:p>
    <w:p w14:paraId="0736F7D8" w14:textId="77777777" w:rsidR="0062414B" w:rsidRPr="0062414B" w:rsidRDefault="0062414B" w:rsidP="0062414B">
      <w:pPr>
        <w:rPr>
          <w:lang w:val="en-GB"/>
        </w:rPr>
      </w:pPr>
      <w:r w:rsidRPr="0062414B">
        <w:rPr>
          <w:lang w:val="en-GB"/>
        </w:rPr>
        <w:t>–</w:t>
      </w:r>
      <w:r w:rsidRPr="0062414B">
        <w:rPr>
          <w:lang w:val="en-GB"/>
        </w:rPr>
        <w:tab/>
        <w:t>A non-exhaustive set of non-functional performance evaluation factors applicable to the e-health systems in the IoT</w:t>
      </w:r>
    </w:p>
    <w:p w14:paraId="7B41545A" w14:textId="0406830F" w:rsidR="0062414B" w:rsidRPr="00952FDF" w:rsidRDefault="0062414B" w:rsidP="0062414B">
      <w:pPr>
        <w:rPr>
          <w:highlight w:val="yellow"/>
          <w:lang w:val="en-GB"/>
        </w:rPr>
      </w:pPr>
      <w:r w:rsidRPr="0062414B">
        <w:rPr>
          <w:lang w:val="en-GB"/>
        </w:rPr>
        <w:t>–</w:t>
      </w:r>
      <w:r w:rsidRPr="0062414B">
        <w:rPr>
          <w:lang w:val="en-GB"/>
        </w:rPr>
        <w:tab/>
        <w:t>Performance evaluation frameworks for e-health systems in the IoT</w:t>
      </w:r>
      <w:r>
        <w:rPr>
          <w:lang w:val="en-GB"/>
        </w:rPr>
        <w:t>.</w:t>
      </w:r>
    </w:p>
    <w:p w14:paraId="666DF1BD" w14:textId="1D6B606B" w:rsidR="006A46AE" w:rsidRPr="00F56DA9" w:rsidRDefault="006A46AE" w:rsidP="006A46AE">
      <w:pPr>
        <w:pStyle w:val="Headingb"/>
      </w:pPr>
      <w:bookmarkStart w:id="239" w:name="_Toc480527902"/>
      <w:r w:rsidRPr="00F56DA9">
        <w:t>I.4.4</w:t>
      </w:r>
      <w:r w:rsidRPr="00F56DA9">
        <w:tab/>
        <w:t xml:space="preserve">Connected vehicles, automated </w:t>
      </w:r>
      <w:proofErr w:type="gramStart"/>
      <w:r w:rsidRPr="00F56DA9">
        <w:t>driving</w:t>
      </w:r>
      <w:proofErr w:type="gramEnd"/>
      <w:r w:rsidRPr="00F56DA9">
        <w:t xml:space="preserve"> and intelligent transport systems</w:t>
      </w:r>
      <w:bookmarkEnd w:id="239"/>
    </w:p>
    <w:p w14:paraId="49F2B11D" w14:textId="77777777" w:rsidR="00F56DA9" w:rsidRDefault="00C44FDC" w:rsidP="00F56DA9">
      <w:pPr>
        <w:rPr>
          <w:bCs/>
        </w:rPr>
      </w:pPr>
      <w:hyperlink r:id="rId323" w:history="1">
        <w:r w:rsidR="00F56DA9" w:rsidRPr="00766E39">
          <w:rPr>
            <w:rStyle w:val="Hyperlink"/>
            <w:b/>
            <w:lang w:val="en-GB"/>
          </w:rPr>
          <w:t>ITU-T X.1371 “Security threats to connected vehicles”</w:t>
        </w:r>
      </w:hyperlink>
      <w:r w:rsidR="00F56DA9" w:rsidRPr="00766E39">
        <w:rPr>
          <w:bCs/>
          <w:lang w:val="en-GB"/>
        </w:rPr>
        <w:t xml:space="preserve"> </w:t>
      </w:r>
      <w:r w:rsidR="00F56DA9" w:rsidRPr="00AA49A0">
        <w:t>describes security threats to connected vehicles</w:t>
      </w:r>
      <w:r w:rsidR="00F56DA9" w:rsidRPr="00AA49A0">
        <w:rPr>
          <w:bCs/>
        </w:rPr>
        <w:t>. These threats can be referred to and utilized in other Recommendations developed by ITU-T to consistently develop Recommendations in the context of the security aspects of intelligent transport systems (ITSs).</w:t>
      </w:r>
    </w:p>
    <w:p w14:paraId="7E81945A" w14:textId="77777777" w:rsidR="00F56DA9" w:rsidRPr="00952FDF" w:rsidRDefault="00C44FDC" w:rsidP="00F56DA9">
      <w:pPr>
        <w:rPr>
          <w:bCs/>
          <w:highlight w:val="yellow"/>
          <w:lang w:val="en-GB"/>
        </w:rPr>
      </w:pPr>
      <w:hyperlink r:id="rId324">
        <w:r w:rsidR="00F56DA9" w:rsidRPr="65A54C5D">
          <w:rPr>
            <w:rStyle w:val="Hyperlink"/>
            <w:b/>
            <w:bCs/>
            <w:lang w:val="en-GB"/>
          </w:rPr>
          <w:t>ITU-T X.1372 “Security guidelines for Vehicle-to-Everything (V2X) communication systems”</w:t>
        </w:r>
      </w:hyperlink>
      <w:r w:rsidR="00F56DA9" w:rsidRPr="00E70E2B">
        <w:rPr>
          <w:bCs/>
          <w:lang w:val="en-GB"/>
        </w:rPr>
        <w:t xml:space="preserve"> </w:t>
      </w:r>
      <w:r w:rsidR="00F56DA9" w:rsidRPr="00AA49A0">
        <w:rPr>
          <w:bCs/>
          <w:lang w:val="en-GB"/>
        </w:rPr>
        <w:t>identifies threats in V2X communication environments and specifies security requirements for V2X communication to mitigate these threats. This Recommendation also provides description of possible implementation of V2X communication with security.</w:t>
      </w:r>
    </w:p>
    <w:p w14:paraId="59599D5E" w14:textId="7ED2A963" w:rsidR="4EF4BA90" w:rsidRPr="007E7A06" w:rsidRDefault="4EF4BA90" w:rsidP="65A54C5D">
      <w:r w:rsidRPr="007E7A06">
        <w:rPr>
          <w:b/>
          <w:bCs/>
          <w:szCs w:val="24"/>
          <w:lang w:val="en-GB"/>
        </w:rPr>
        <w:t>ITU-T X.1374 “Security requirements for external device with vehicle access capability” (under approval)</w:t>
      </w:r>
      <w:r w:rsidR="007E7A06" w:rsidRPr="007E7A06">
        <w:rPr>
          <w:b/>
          <w:bCs/>
          <w:szCs w:val="24"/>
          <w:lang w:val="en-GB"/>
        </w:rPr>
        <w:t xml:space="preserve"> </w:t>
      </w:r>
      <w:r w:rsidR="007E7A06" w:rsidRPr="007E7A06">
        <w:rPr>
          <w:szCs w:val="24"/>
          <w:lang w:val="en-GB"/>
        </w:rPr>
        <w:t>describes security threats in two parts, the interfaces which are used to communicate between a vehicle and its external devices, and the external device which communicates to the vehicle. This Recommendation provides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the remote keyless entry (RKE) system with smart key, a diagnostic tool and a wireless dongle using on-board diagnostic II (OBD-II) port, telematics control units with wireless communication devices and so on.</w:t>
      </w:r>
    </w:p>
    <w:p w14:paraId="2EFF11A8" w14:textId="7FE03518" w:rsidR="4EF4BA90" w:rsidRPr="002207F6" w:rsidRDefault="4EF4BA90" w:rsidP="002207F6">
      <w:r w:rsidRPr="002207F6">
        <w:rPr>
          <w:b/>
          <w:bCs/>
          <w:szCs w:val="24"/>
          <w:lang w:val="en-GB"/>
        </w:rPr>
        <w:t>ITU-T X.1375 “Methodologies for intrusion detection system on in-vehicle system” (under approval)</w:t>
      </w:r>
      <w:r w:rsidR="002207F6" w:rsidRPr="002207F6">
        <w:rPr>
          <w:b/>
          <w:bCs/>
          <w:szCs w:val="24"/>
          <w:lang w:val="en-GB"/>
        </w:rPr>
        <w:t xml:space="preserve"> </w:t>
      </w:r>
      <w:r w:rsidR="002207F6" w:rsidRPr="002207F6">
        <w:rPr>
          <w:szCs w:val="24"/>
          <w:lang w:val="en-GB"/>
        </w:rPr>
        <w:t>provides methodologies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 This Recommendation includes classifications and analyses of attack types used on in-vehicle networks. It then provides methodologies for detecting intrusions and malicious activities within CAN-based in-vehicle networks that cannot be supported by general IDSs.</w:t>
      </w:r>
    </w:p>
    <w:p w14:paraId="7BC42A73" w14:textId="4675793B" w:rsidR="798BDF3A" w:rsidRDefault="01E0F6F6" w:rsidP="65A54C5D">
      <w:pPr>
        <w:rPr>
          <w:lang w:val="en-GB"/>
        </w:rPr>
      </w:pPr>
      <w:r w:rsidRPr="2B30A600">
        <w:rPr>
          <w:b/>
          <w:bCs/>
          <w:lang w:val="en-GB"/>
        </w:rPr>
        <w:lastRenderedPageBreak/>
        <w:t>ITU-T X.1376 “Security-related misbehaviour detection mechanism for connected vehicles”</w:t>
      </w:r>
      <w:r w:rsidR="002207F6" w:rsidRPr="2B30A600">
        <w:rPr>
          <w:b/>
          <w:bCs/>
          <w:lang w:val="en-GB"/>
        </w:rPr>
        <w:t xml:space="preserve"> (under </w:t>
      </w:r>
      <w:r w:rsidR="12503A1C" w:rsidRPr="2B30A600">
        <w:rPr>
          <w:b/>
          <w:bCs/>
          <w:lang w:val="en-GB"/>
        </w:rPr>
        <w:t>approval</w:t>
      </w:r>
      <w:r w:rsidR="002207F6" w:rsidRPr="2B30A600">
        <w:rPr>
          <w:b/>
          <w:bCs/>
          <w:lang w:val="en-GB"/>
        </w:rPr>
        <w:t>)</w:t>
      </w:r>
      <w:r w:rsidRPr="2B30A600">
        <w:rPr>
          <w:b/>
          <w:bCs/>
          <w:lang w:val="en-GB"/>
        </w:rPr>
        <w:t xml:space="preserve">: </w:t>
      </w:r>
      <w:r w:rsidRPr="2B30A600">
        <w:rPr>
          <w:lang w:val="en-GB"/>
        </w:rPr>
        <w:t>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22DFBAB3" w14:textId="77777777" w:rsidR="006A46AE" w:rsidRPr="00122D08" w:rsidRDefault="006A46AE" w:rsidP="006A46AE">
      <w:pPr>
        <w:pStyle w:val="Headingb"/>
      </w:pPr>
      <w:r w:rsidRPr="00122D08">
        <w:t>I.4.5</w:t>
      </w:r>
      <w:r w:rsidRPr="00122D08">
        <w:tab/>
        <w:t>Connected health: e-Health</w:t>
      </w:r>
    </w:p>
    <w:p w14:paraId="58BC510E" w14:textId="64921D8B" w:rsidR="00122D08" w:rsidRPr="00122D08" w:rsidRDefault="00C44FDC" w:rsidP="00122D08">
      <w:pPr>
        <w:rPr>
          <w:lang w:val="en-GB"/>
        </w:rPr>
      </w:pPr>
      <w:hyperlink r:id="rId325" w:history="1">
        <w:r w:rsidR="00122D08" w:rsidRPr="00497C75">
          <w:rPr>
            <w:rStyle w:val="Hyperlink"/>
            <w:b/>
            <w:bCs/>
            <w:lang w:val="en-GB"/>
          </w:rPr>
          <w:t>ITU-T H.841 (revised) “Conformance of ITU-T H.810 personal health system: Personal Health Devices interface Part 1: Optimized Exchange Protocol: Personal Health Device”</w:t>
        </w:r>
      </w:hyperlink>
      <w:r w:rsidR="00122D08">
        <w:rPr>
          <w:lang w:val="en-GB"/>
        </w:rPr>
        <w:t xml:space="preserve"> </w:t>
      </w:r>
      <w:r w:rsidR="00122D08" w:rsidRPr="00122D08">
        <w:rPr>
          <w:lang w:val="en-GB"/>
        </w:rPr>
        <w:t>provides a test suite structure (TSS) and the test purposes (TP) for personal health devices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54EB9BA0" w14:textId="0A3F18A1" w:rsidR="00122D08" w:rsidRPr="00122D08" w:rsidRDefault="00122D08" w:rsidP="00122D08">
      <w:pPr>
        <w:rPr>
          <w:lang w:val="en-GB"/>
        </w:rPr>
      </w:pPr>
      <w:r w:rsidRPr="00122D08">
        <w:rPr>
          <w:lang w:val="en-GB"/>
        </w:rPr>
        <w:t>Recommendation ITU-T H.841 is a transposition of Continua Test Tool DG2016, Test Suite Structure &amp; Test Purposes, Personal Health Devices Interface; Part 1: Optimized Exchange Protocol. Personal Health Device (Version 1.11, 2017-03-14),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r>
        <w:rPr>
          <w:lang w:val="en-GB"/>
        </w:rPr>
        <w:t xml:space="preserve"> </w:t>
      </w:r>
      <w:r w:rsidRPr="00122D08">
        <w:rPr>
          <w:lang w:val="en-GB"/>
        </w:rPr>
        <w:t>The updates include the following aspects:</w:t>
      </w:r>
    </w:p>
    <w:p w14:paraId="1383A6AE" w14:textId="6DBE26DC" w:rsidR="00122D08" w:rsidRPr="00952FDF" w:rsidRDefault="00122D08" w:rsidP="00122D08">
      <w:pPr>
        <w:rPr>
          <w:highlight w:val="yellow"/>
          <w:lang w:val="en-GB"/>
        </w:rPr>
      </w:pPr>
      <w:r w:rsidRPr="00122D08">
        <w:rPr>
          <w:lang w:val="en-GB"/>
        </w:rPr>
        <w:t>–</w:t>
      </w:r>
      <w:r w:rsidRPr="00122D08">
        <w:rPr>
          <w:lang w:val="en-GB"/>
        </w:rPr>
        <w:tab/>
        <w:t xml:space="preserve">Updates related to the inclusion of the value “7946” according to CDG2017 document, H812.1 H.812.1 - Observation Upload, corresponding to “MDC_TIME_SYNC_EBWW” and according to </w:t>
      </w:r>
      <w:proofErr w:type="spellStart"/>
      <w:r w:rsidRPr="00122D08">
        <w:rPr>
          <w:lang w:val="en-GB"/>
        </w:rPr>
        <w:t>bugzilla</w:t>
      </w:r>
      <w:proofErr w:type="spellEnd"/>
      <w:r w:rsidRPr="00122D08">
        <w:rPr>
          <w:lang w:val="en-GB"/>
        </w:rPr>
        <w:t xml:space="preserve"> 1164 and 1165.</w:t>
      </w:r>
    </w:p>
    <w:bookmarkStart w:id="240" w:name="H871"/>
    <w:p w14:paraId="6AE0072A" w14:textId="744B4134" w:rsidR="00E41A28" w:rsidRDefault="005A56C9" w:rsidP="00E41A28">
      <w:r w:rsidRPr="005A56C9">
        <w:rPr>
          <w:b/>
          <w:bCs/>
          <w:color w:val="2B579A"/>
          <w:shd w:val="clear" w:color="auto" w:fill="E6E6E6"/>
        </w:rPr>
        <w:fldChar w:fldCharType="begin"/>
      </w:r>
      <w:r w:rsidRPr="005A56C9">
        <w:rPr>
          <w:b/>
          <w:bCs/>
        </w:rPr>
        <w:instrText xml:space="preserve"> HYPERLINK "https://www.itu.int/ITU-T/recommendations/rec.aspx?id=14345" </w:instrText>
      </w:r>
      <w:r w:rsidRPr="005A56C9">
        <w:rPr>
          <w:b/>
          <w:bCs/>
          <w:color w:val="2B579A"/>
          <w:shd w:val="clear" w:color="auto" w:fill="E6E6E6"/>
        </w:rPr>
        <w:fldChar w:fldCharType="separate"/>
      </w:r>
      <w:r w:rsidR="00E41A28" w:rsidRPr="005A56C9">
        <w:rPr>
          <w:rStyle w:val="Hyperlink"/>
          <w:b/>
          <w:bCs/>
        </w:rPr>
        <w:t>ITU-T H.850.1 (revised) “Conformance of ITU-T H.810 personal health system: Personal Health Devices interface Part 10A: Transcoding for Bluetooth Low Energy: Personal Health Gateway – Thermometer”</w:t>
      </w:r>
      <w:r w:rsidRPr="005A56C9">
        <w:rPr>
          <w:b/>
          <w:bCs/>
          <w:color w:val="2B579A"/>
          <w:shd w:val="clear" w:color="auto" w:fill="E6E6E6"/>
        </w:rPr>
        <w:fldChar w:fldCharType="end"/>
      </w:r>
      <w:r w:rsidR="00E41A28">
        <w:t xml:space="preserve"> provides a test suite structure (TSS) and the test purposes (TP) for the transcoding of thermometer data by personal health gateways in the Personal Health Devices (PHD) interface of thermometer device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2879817" w14:textId="4896E748" w:rsidR="00E41A28" w:rsidRDefault="00E41A28" w:rsidP="00E41A28">
      <w:r>
        <w:t xml:space="preserve">Recommendation ITU-T H.850.1 is a transposition of clause 3.3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26E260AE" w14:textId="77777777" w:rsidR="00E41A28" w:rsidRDefault="00E41A28" w:rsidP="00E41A28">
      <w:r>
        <w:t>–</w:t>
      </w:r>
      <w:r>
        <w:tab/>
        <w:t>Updates related to the value of the Reg-Cert-Data-List according to the CDG2017-Q2.</w:t>
      </w:r>
    </w:p>
    <w:p w14:paraId="063548F7" w14:textId="09912949" w:rsidR="00E41A28" w:rsidRDefault="00C44FDC" w:rsidP="00E41A28">
      <w:hyperlink r:id="rId326" w:history="1">
        <w:r w:rsidR="00E41A28" w:rsidRPr="004107F0">
          <w:rPr>
            <w:rStyle w:val="Hyperlink"/>
            <w:b/>
            <w:bCs/>
          </w:rPr>
          <w:t>ITU-T H.850.2 (revised) “Conformance of ITU-T H.810 personal health system: Personal Health Devices interface Part 10B: Transcoding for Bluetooth Low Energy: Personal Health Gateway - Blood pressure”</w:t>
        </w:r>
      </w:hyperlink>
      <w:r w:rsidR="00E41A28">
        <w:t xml:space="preserve"> provides a test suite structure (TSS) and the test purposes (TP) for the transcoding of blood pressure data by personal health gateways in the Personal Health Devices (PHD) interface of application-level data between the Bluetooth Low Energy Bluetooth Generic </w:t>
      </w:r>
      <w:r w:rsidR="00E41A28">
        <w:lastRenderedPageBreak/>
        <w:t>Attribute Profile (GATT) format and the IEEE 11073-20601 data format, of which Recommendation ITU T H.810 (2016) is the base Recommendation. The objective of this test specification is to provide a high probability of interoperability at this interface.</w:t>
      </w:r>
    </w:p>
    <w:p w14:paraId="294D5BE4" w14:textId="6AC025CC" w:rsidR="00E41A28" w:rsidRDefault="00E41A28" w:rsidP="00E41A28">
      <w:r>
        <w:t xml:space="preserve">Recommendation ITU-T H.850.2 is a transposition of clause 3.4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17CB0E33" w14:textId="77777777" w:rsidR="00E41A28" w:rsidRDefault="00E41A28" w:rsidP="00E41A28">
      <w:r>
        <w:t>–</w:t>
      </w:r>
      <w:r>
        <w:tab/>
        <w:t>Updates related to the value of the Reg-Cert-Data-List according to the CDG2017-Q2.</w:t>
      </w:r>
    </w:p>
    <w:p w14:paraId="3DB05723" w14:textId="0DBB749E" w:rsidR="00E41A28" w:rsidRDefault="00C44FDC" w:rsidP="00E41A28">
      <w:hyperlink r:id="rId327" w:history="1">
        <w:r w:rsidR="00EC603F" w:rsidRPr="009B6475">
          <w:rPr>
            <w:rStyle w:val="Hyperlink"/>
            <w:b/>
            <w:bCs/>
          </w:rPr>
          <w:t xml:space="preserve">ITU-T </w:t>
        </w:r>
        <w:r w:rsidR="00E41A28" w:rsidRPr="009B6475">
          <w:rPr>
            <w:rStyle w:val="Hyperlink"/>
            <w:b/>
            <w:bCs/>
          </w:rPr>
          <w:t xml:space="preserve">H.850.3 </w:t>
        </w:r>
        <w:r w:rsidR="00EC603F" w:rsidRPr="009B6475">
          <w:rPr>
            <w:rStyle w:val="Hyperlink"/>
            <w:b/>
            <w:bCs/>
          </w:rPr>
          <w:t>“</w:t>
        </w:r>
        <w:r w:rsidR="00E41A28" w:rsidRPr="009B6475">
          <w:rPr>
            <w:rStyle w:val="Hyperlink"/>
            <w:b/>
            <w:bCs/>
          </w:rPr>
          <w:t>Conformance of ITU-T H.810 personal health system: Personal Health Devices interface Part 10C: Transcoding for Bluetooth Low Energy: Personal Health Gateway - Heart-rate</w:t>
        </w:r>
        <w:r w:rsidR="00EC603F" w:rsidRPr="009B6475">
          <w:rPr>
            <w:rStyle w:val="Hyperlink"/>
            <w:b/>
            <w:bCs/>
          </w:rPr>
          <w:t>”</w:t>
        </w:r>
      </w:hyperlink>
      <w:r w:rsidR="00EC603F">
        <w:t xml:space="preserve"> </w:t>
      </w:r>
      <w:r w:rsidR="00E41A28">
        <w:t>provides a test suite structure (TSS) and the test purposes (TP) for the transcoding of heart rate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650190F7" w14:textId="79CF3F3F" w:rsidR="00E41A28" w:rsidRDefault="00E41A28" w:rsidP="00E41A28">
      <w:r>
        <w:t xml:space="preserve">Recommendation ITU-T H.850.3 is a transposition of clause 3.5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08233C7C" w14:textId="77777777" w:rsidR="00E41A28" w:rsidRDefault="00E41A28" w:rsidP="00E41A28">
      <w:r>
        <w:t>–</w:t>
      </w:r>
      <w:r>
        <w:tab/>
        <w:t>Updates related to the value of the Reg-Cert-Data-List according to the CDG2017-Q2.</w:t>
      </w:r>
    </w:p>
    <w:p w14:paraId="44C26EC0" w14:textId="1CD874AB" w:rsidR="00E41A28" w:rsidRDefault="00C44FDC" w:rsidP="00E41A28">
      <w:hyperlink r:id="rId328" w:history="1">
        <w:r w:rsidR="00EC603F" w:rsidRPr="00CD091B">
          <w:rPr>
            <w:rStyle w:val="Hyperlink"/>
            <w:b/>
            <w:bCs/>
          </w:rPr>
          <w:t xml:space="preserve">ITU-T </w:t>
        </w:r>
        <w:r w:rsidR="00E41A28" w:rsidRPr="00CD091B">
          <w:rPr>
            <w:rStyle w:val="Hyperlink"/>
            <w:b/>
            <w:bCs/>
          </w:rPr>
          <w:t>H.850.4 (revised)</w:t>
        </w:r>
        <w:r w:rsidR="00EC603F" w:rsidRPr="00CD091B">
          <w:rPr>
            <w:rStyle w:val="Hyperlink"/>
            <w:b/>
            <w:bCs/>
          </w:rPr>
          <w:t xml:space="preserve"> “</w:t>
        </w:r>
        <w:r w:rsidR="00E41A28" w:rsidRPr="00CD091B">
          <w:rPr>
            <w:rStyle w:val="Hyperlink"/>
            <w:b/>
            <w:bCs/>
          </w:rPr>
          <w:t>Conformance of ITU-T H.810 personal health system: Personal Health Devices interface Part 10D: Transcoding for Bluetooth Low Energy: Personal Health Gateway - Glucose meter</w:t>
        </w:r>
        <w:r w:rsidR="00EC603F" w:rsidRPr="00CD091B">
          <w:rPr>
            <w:rStyle w:val="Hyperlink"/>
            <w:b/>
            <w:bCs/>
          </w:rPr>
          <w:t>”</w:t>
        </w:r>
      </w:hyperlink>
      <w:r w:rsidR="00EC603F">
        <w:t xml:space="preserve"> </w:t>
      </w:r>
      <w:r w:rsidR="00E41A28">
        <w:t>provides a test suite structure (TSS) and the test purposes (TP) for the transcoding of glucose 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E4A39FB" w14:textId="78BEBA6D" w:rsidR="00E41A28" w:rsidRDefault="00E41A28" w:rsidP="00E41A28">
      <w:r>
        <w:t xml:space="preserve">Recommendation ITU-T H.850.4 is a transposition of clause 3.6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409F37DD" w14:textId="77777777" w:rsidR="00E41A28" w:rsidRDefault="00E41A28" w:rsidP="00E41A28">
      <w:r>
        <w:t>–</w:t>
      </w:r>
      <w:r>
        <w:tab/>
        <w:t>Updates related to the value of the Reg-Cert-Data-List according to the CDG2017-Q2.</w:t>
      </w:r>
    </w:p>
    <w:p w14:paraId="1C3DE650" w14:textId="14E56E74" w:rsidR="00E41A28" w:rsidRDefault="00C44FDC" w:rsidP="00E41A28">
      <w:hyperlink r:id="rId329" w:history="1">
        <w:r w:rsidR="00EC603F" w:rsidRPr="00135FC4">
          <w:rPr>
            <w:rStyle w:val="Hyperlink"/>
            <w:b/>
            <w:bCs/>
          </w:rPr>
          <w:t xml:space="preserve">ITU-T </w:t>
        </w:r>
        <w:r w:rsidR="00E41A28" w:rsidRPr="00135FC4">
          <w:rPr>
            <w:rStyle w:val="Hyperlink"/>
            <w:b/>
            <w:bCs/>
          </w:rPr>
          <w:t>H.850.5 (revised)</w:t>
        </w:r>
        <w:r w:rsidR="00EC603F" w:rsidRPr="00135FC4">
          <w:rPr>
            <w:rStyle w:val="Hyperlink"/>
            <w:b/>
            <w:bCs/>
          </w:rPr>
          <w:t xml:space="preserve"> “</w:t>
        </w:r>
        <w:r w:rsidR="00E41A28" w:rsidRPr="00135FC4">
          <w:rPr>
            <w:rStyle w:val="Hyperlink"/>
            <w:b/>
            <w:bCs/>
          </w:rPr>
          <w:t>Conformance of ITU-T H.810 personal health system: Personal Health Devices interface Part 10E: Transcoding for Bluetooth Low Energy: Personal Health Gateway - Weighing scales</w:t>
        </w:r>
        <w:r w:rsidR="00EC603F" w:rsidRPr="00135FC4">
          <w:rPr>
            <w:rStyle w:val="Hyperlink"/>
            <w:b/>
            <w:bCs/>
          </w:rPr>
          <w:t>”</w:t>
        </w:r>
      </w:hyperlink>
      <w:r w:rsidR="00EC603F">
        <w:t xml:space="preserve"> </w:t>
      </w:r>
      <w:r w:rsidR="00E41A28">
        <w:t>provides a test suite structure (TSS) and the test purposes (TP) for the transcoding of weighing scales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63D69C7" w14:textId="5A51B80B" w:rsidR="00E41A28" w:rsidRDefault="00E41A28" w:rsidP="00E41A28">
      <w:r>
        <w:t xml:space="preserve">Recommendation ITU-T H.850.5 is a transposition of clause 3.7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6D0FCD3C" w14:textId="77777777" w:rsidR="00E41A28" w:rsidRDefault="00E41A28" w:rsidP="00E41A28">
      <w:r>
        <w:t>–</w:t>
      </w:r>
      <w:r>
        <w:tab/>
        <w:t>Updates related to the value of the Reg-Cert-Data-List according to the CDG2017-Q2.</w:t>
      </w:r>
    </w:p>
    <w:p w14:paraId="70B65867" w14:textId="3C0A6C4C" w:rsidR="00E41A28" w:rsidRDefault="00C44FDC" w:rsidP="00E41A28">
      <w:hyperlink r:id="rId330" w:history="1">
        <w:r w:rsidR="00EC603F" w:rsidRPr="00210944">
          <w:rPr>
            <w:rStyle w:val="Hyperlink"/>
            <w:b/>
            <w:bCs/>
          </w:rPr>
          <w:t xml:space="preserve">ITU-T </w:t>
        </w:r>
        <w:r w:rsidR="00E41A28" w:rsidRPr="00210944">
          <w:rPr>
            <w:rStyle w:val="Hyperlink"/>
            <w:b/>
            <w:bCs/>
          </w:rPr>
          <w:t>H.850.6 (revised)</w:t>
        </w:r>
        <w:r w:rsidR="00EC603F" w:rsidRPr="00210944">
          <w:rPr>
            <w:rStyle w:val="Hyperlink"/>
            <w:b/>
            <w:bCs/>
          </w:rPr>
          <w:t xml:space="preserve"> “</w:t>
        </w:r>
        <w:r w:rsidR="00E41A28" w:rsidRPr="00210944">
          <w:rPr>
            <w:rStyle w:val="Hyperlink"/>
            <w:b/>
            <w:bCs/>
          </w:rPr>
          <w:t>Conformance of ITU-T H.810 personal health system: Personal Health Devices interface Part 10F: Transcoding for Bluetooth Low Energy: Personal Health Gateway - Pulse oximeter</w:t>
        </w:r>
        <w:r w:rsidR="00EC603F" w:rsidRPr="00210944">
          <w:rPr>
            <w:rStyle w:val="Hyperlink"/>
            <w:b/>
            <w:bCs/>
          </w:rPr>
          <w:t>”</w:t>
        </w:r>
      </w:hyperlink>
      <w:r w:rsidR="00EC603F">
        <w:t xml:space="preserve"> </w:t>
      </w:r>
      <w:r w:rsidR="00E41A28">
        <w:t>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B8A527F" w14:textId="747E9376" w:rsidR="00E41A28" w:rsidRDefault="00E41A28" w:rsidP="00E41A28">
      <w:r>
        <w:t xml:space="preserve">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548B8F34" w14:textId="77777777" w:rsidR="00E41A28" w:rsidRDefault="00E41A28" w:rsidP="00E41A28">
      <w:r>
        <w:t>–</w:t>
      </w:r>
      <w:r>
        <w:tab/>
        <w:t>Updates related to the value of the Reg-Cert-Data-List according to the CDG2017-Q2.</w:t>
      </w:r>
    </w:p>
    <w:p w14:paraId="1D5D5027" w14:textId="6FF1A551" w:rsidR="00E41A28" w:rsidRDefault="00C44FDC" w:rsidP="00E41A28">
      <w:hyperlink r:id="rId331" w:history="1">
        <w:r w:rsidR="00EC603F" w:rsidRPr="00951559">
          <w:rPr>
            <w:rStyle w:val="Hyperlink"/>
            <w:b/>
            <w:bCs/>
          </w:rPr>
          <w:t xml:space="preserve">ITU-T </w:t>
        </w:r>
        <w:r w:rsidR="00E41A28" w:rsidRPr="00951559">
          <w:rPr>
            <w:rStyle w:val="Hyperlink"/>
            <w:b/>
            <w:bCs/>
          </w:rPr>
          <w:t>H.850.7 (revised)</w:t>
        </w:r>
        <w:r w:rsidR="00EC603F" w:rsidRPr="00951559">
          <w:rPr>
            <w:rStyle w:val="Hyperlink"/>
            <w:b/>
            <w:bCs/>
          </w:rPr>
          <w:t xml:space="preserve"> “</w:t>
        </w:r>
        <w:r w:rsidR="00E41A28" w:rsidRPr="00951559">
          <w:rPr>
            <w:rStyle w:val="Hyperlink"/>
            <w:b/>
            <w:bCs/>
          </w:rPr>
          <w:t>Conformance of ITU-T H.810 personal health system: Personal Health Devices interface Part 10G: Transcoding for Bluetooth Low Energy: Personal Health Gateway - Continuous glucose monitoring</w:t>
        </w:r>
        <w:r w:rsidR="00EC603F" w:rsidRPr="00951559">
          <w:rPr>
            <w:rStyle w:val="Hyperlink"/>
            <w:b/>
            <w:bCs/>
          </w:rPr>
          <w:t>”</w:t>
        </w:r>
      </w:hyperlink>
      <w:r w:rsidR="00EC603F">
        <w:t xml:space="preserve"> </w:t>
      </w:r>
      <w:r w:rsidR="00E41A28">
        <w:t>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797D6760" w14:textId="500DC976" w:rsidR="00E41A28" w:rsidRDefault="00E41A28" w:rsidP="00E41A28">
      <w:r>
        <w:t xml:space="preserve">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w:t>
      </w:r>
      <w:r>
        <w:lastRenderedPageBreak/>
        <w:t>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73F07841" w14:textId="5AF3B859" w:rsidR="00E41A28" w:rsidRDefault="00E41A28" w:rsidP="00E41A28">
      <w:r>
        <w:t>–</w:t>
      </w:r>
      <w:r>
        <w:tab/>
        <w:t>Updates related to the value of the Reg-Cert-Data-List according to the CDG2017-Q2.</w:t>
      </w:r>
    </w:p>
    <w:p w14:paraId="4AFD62B2" w14:textId="116EC6EF" w:rsidR="007E2877" w:rsidRPr="007E2877" w:rsidRDefault="00C44FDC" w:rsidP="007E2877">
      <w:pPr>
        <w:rPr>
          <w:bCs/>
          <w:lang w:val="en-GB"/>
        </w:rPr>
      </w:pPr>
      <w:hyperlink r:id="rId332" w:history="1">
        <w:r w:rsidR="007E2877" w:rsidRPr="00530F6F">
          <w:rPr>
            <w:rStyle w:val="Hyperlink"/>
            <w:b/>
            <w:lang w:val="en-GB"/>
          </w:rPr>
          <w:t>ITU-T H.862.1 “Data model for sleep management services”</w:t>
        </w:r>
      </w:hyperlink>
      <w:r w:rsidR="007E2877" w:rsidRPr="00530F6F">
        <w:rPr>
          <w:bCs/>
          <w:lang w:val="en-GB"/>
        </w:rPr>
        <w:t>:</w:t>
      </w:r>
      <w:r w:rsidR="007E2877">
        <w:rPr>
          <w:bCs/>
          <w:lang w:val="en-GB"/>
        </w:rPr>
        <w:t xml:space="preserve"> </w:t>
      </w:r>
      <w:r w:rsidR="007E2877" w:rsidRPr="007E2877">
        <w:rPr>
          <w:bCs/>
          <w:lang w:val="en-GB"/>
        </w:rPr>
        <w:t xml:space="preserve">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reference model of the sleep management service and sleep safety services were introduced in ITU H.862.0. This Recommendation describes the data model for the sleep management services. The scope of this Recommendation is focused on the structured model of data for expressing data collected from sensors as information such as sleep time, sleep stage, and sleep goal to apply to sleep management services. </w:t>
      </w:r>
    </w:p>
    <w:p w14:paraId="75C02A9E" w14:textId="388E05CB" w:rsidR="007E2877" w:rsidRPr="007E2877" w:rsidRDefault="007E2877" w:rsidP="007E2877">
      <w:pPr>
        <w:rPr>
          <w:bCs/>
          <w:lang w:val="en-GB"/>
        </w:rPr>
      </w:pPr>
      <w:r w:rsidRPr="007E2877">
        <w:rPr>
          <w:bCs/>
          <w:lang w:val="en-GB"/>
        </w:rPr>
        <w:t>In many fields of human factors including healthcare, sleep data can be obtained from a variety of sensors such as EEG, ECG, pulse, motion, sound. From the data, sleep time and sleep quality can be calculated. A general sleep management services that can handle multiple devices independently of the raw data should be able to represent the quantity and quality of sleep. This can be present the sleep stage and its time.</w:t>
      </w:r>
    </w:p>
    <w:p w14:paraId="4FE6D15D" w14:textId="64B66440" w:rsidR="007E2877" w:rsidRPr="007E2877" w:rsidRDefault="00C44FDC" w:rsidP="007E2877">
      <w:pPr>
        <w:rPr>
          <w:bCs/>
          <w:lang w:val="en-GB"/>
        </w:rPr>
      </w:pPr>
      <w:hyperlink r:id="rId333" w:history="1">
        <w:r w:rsidR="007E2877" w:rsidRPr="00EC7B99">
          <w:rPr>
            <w:rStyle w:val="Hyperlink"/>
            <w:b/>
            <w:lang w:val="en-GB"/>
          </w:rPr>
          <w:t xml:space="preserve">ITU-T H.862.2 “Framework of annotation methods for </w:t>
        </w:r>
        <w:proofErr w:type="spellStart"/>
        <w:r w:rsidR="007E2877" w:rsidRPr="00EC7B99">
          <w:rPr>
            <w:rStyle w:val="Hyperlink"/>
            <w:b/>
            <w:lang w:val="en-GB"/>
          </w:rPr>
          <w:t>biosignal</w:t>
        </w:r>
        <w:proofErr w:type="spellEnd"/>
        <w:r w:rsidR="007E2877" w:rsidRPr="00EC7B99">
          <w:rPr>
            <w:rStyle w:val="Hyperlink"/>
            <w:b/>
            <w:lang w:val="en-GB"/>
          </w:rPr>
          <w:t xml:space="preserve"> data”</w:t>
        </w:r>
      </w:hyperlink>
      <w:r w:rsidR="007E2877" w:rsidRPr="00EC7B99">
        <w:rPr>
          <w:b/>
          <w:lang w:val="en-GB"/>
        </w:rPr>
        <w:t>:</w:t>
      </w:r>
      <w:r w:rsidR="007E2877">
        <w:rPr>
          <w:bCs/>
          <w:lang w:val="en-GB"/>
        </w:rPr>
        <w:t xml:space="preserve"> </w:t>
      </w:r>
      <w:r w:rsidR="007E2877" w:rsidRPr="007E2877">
        <w:rPr>
          <w:bCs/>
          <w:lang w:val="en-GB"/>
        </w:rPr>
        <w:t xml:space="preserve">In many fields of human factors including healthcare, various types of data are produced by different institutions. </w:t>
      </w:r>
      <w:proofErr w:type="spellStart"/>
      <w:r w:rsidR="007E2877" w:rsidRPr="007E2877">
        <w:rPr>
          <w:bCs/>
          <w:lang w:val="en-GB"/>
        </w:rPr>
        <w:t>Biosignals</w:t>
      </w:r>
      <w:proofErr w:type="spellEnd"/>
      <w:r w:rsidR="007E2877" w:rsidRPr="007E2877">
        <w:rPr>
          <w:bCs/>
          <w:lang w:val="en-GB"/>
        </w:rPr>
        <w:t xml:space="preserve"> are various signal-based data obtained from the human body and include voice, temperature, ECG, EEG and EMG. The purpose of this Recommendation is to define the framework of annotation methods for </w:t>
      </w:r>
      <w:proofErr w:type="spellStart"/>
      <w:r w:rsidR="007E2877" w:rsidRPr="007E2877">
        <w:rPr>
          <w:bCs/>
          <w:lang w:val="en-GB"/>
        </w:rPr>
        <w:t>biosignal</w:t>
      </w:r>
      <w:proofErr w:type="spellEnd"/>
      <w:r w:rsidR="007E2877" w:rsidRPr="007E2877">
        <w:rPr>
          <w:bCs/>
          <w:lang w:val="en-GB"/>
        </w:rPr>
        <w:t xml:space="preserve"> data. The scope of this Recommendation is focused on the method of temporally expressing the occurrence interval of an event generated from a </w:t>
      </w:r>
      <w:proofErr w:type="spellStart"/>
      <w:r w:rsidR="007E2877" w:rsidRPr="007E2877">
        <w:rPr>
          <w:bCs/>
          <w:lang w:val="en-GB"/>
        </w:rPr>
        <w:t>biosignal</w:t>
      </w:r>
      <w:proofErr w:type="spellEnd"/>
      <w:r w:rsidR="007E2877" w:rsidRPr="007E2877">
        <w:rPr>
          <w:bCs/>
          <w:lang w:val="en-GB"/>
        </w:rPr>
        <w:t>, and the ontology for label mapping.</w:t>
      </w:r>
    </w:p>
    <w:p w14:paraId="64FABBB8" w14:textId="77777777" w:rsidR="007E2877" w:rsidRPr="007E2877" w:rsidRDefault="007E2877" w:rsidP="007E2877">
      <w:pPr>
        <w:rPr>
          <w:bCs/>
          <w:lang w:val="en-GB"/>
        </w:rPr>
      </w:pPr>
      <w:r w:rsidRPr="007E2877">
        <w:rPr>
          <w:bCs/>
          <w:lang w:val="en-GB"/>
        </w:rPr>
        <w:t xml:space="preserve">In recent years, the use of </w:t>
      </w:r>
      <w:proofErr w:type="spellStart"/>
      <w:r w:rsidRPr="007E2877">
        <w:rPr>
          <w:bCs/>
          <w:lang w:val="en-GB"/>
        </w:rPr>
        <w:t>biosignal</w:t>
      </w:r>
      <w:proofErr w:type="spellEnd"/>
      <w:r w:rsidRPr="007E2877">
        <w:rPr>
          <w:bCs/>
          <w:lang w:val="en-GB"/>
        </w:rPr>
        <w:t xml:space="preserve"> data in diagnosis, treatment, and health management has become an important issue. Health data generated from different medical sites and individuals contain various information about health conditions, and a unified method of expressing annotation </w:t>
      </w:r>
      <w:proofErr w:type="spellStart"/>
      <w:r w:rsidRPr="007E2877">
        <w:rPr>
          <w:bCs/>
          <w:lang w:val="en-GB"/>
        </w:rPr>
        <w:t>biosignal</w:t>
      </w:r>
      <w:proofErr w:type="spellEnd"/>
      <w:r w:rsidRPr="007E2877">
        <w:rPr>
          <w:bCs/>
          <w:lang w:val="en-GB"/>
        </w:rPr>
        <w:t xml:space="preserve"> data is required to allow interoperability. This Recommendation covers the ontology for label mapping.</w:t>
      </w:r>
    </w:p>
    <w:p w14:paraId="13E51A85" w14:textId="5825683B" w:rsidR="007E2877" w:rsidRPr="007E2877" w:rsidRDefault="00C44FDC" w:rsidP="007E2877">
      <w:pPr>
        <w:rPr>
          <w:bCs/>
          <w:lang w:val="en-GB"/>
        </w:rPr>
      </w:pPr>
      <w:hyperlink r:id="rId334" w:history="1">
        <w:r w:rsidR="007E2877" w:rsidRPr="004A7252">
          <w:rPr>
            <w:rStyle w:val="Hyperlink"/>
            <w:b/>
            <w:lang w:val="en-GB"/>
          </w:rPr>
          <w:t>ITU-T H.862.3 “Requirements of voice management interface for human-care services”</w:t>
        </w:r>
      </w:hyperlink>
      <w:r w:rsidR="007E2877" w:rsidRPr="004A7252">
        <w:rPr>
          <w:bCs/>
          <w:lang w:val="en-GB"/>
        </w:rPr>
        <w:t>:</w:t>
      </w:r>
      <w:r w:rsidR="007E2877">
        <w:rPr>
          <w:bCs/>
          <w:lang w:val="en-GB"/>
        </w:rPr>
        <w:t xml:space="preserve"> </w:t>
      </w:r>
      <w:r w:rsidR="007E2877" w:rsidRPr="007E2877">
        <w:rPr>
          <w:bCs/>
          <w:lang w:val="en-GB"/>
        </w:rPr>
        <w:t>Human-care services are related issues for improvement of the quality of life providing what is necessary for the health, welfare, and protection of people. Various voice-based services are being developed from a nursing robot to care patients and to identify problems through conversation with patients, to the technology for early diagnosis of dementia from voice. This Recommendation describes requirements of voice management user interface (UI) for human-care services. The scope of this Recommendation is focused on the classification of users and services for voice UI in human-care services such as healthcare fields.</w:t>
      </w:r>
    </w:p>
    <w:p w14:paraId="5737136B" w14:textId="77777777" w:rsidR="007E2877" w:rsidRPr="007E2877" w:rsidRDefault="007E2877" w:rsidP="007E2877">
      <w:pPr>
        <w:rPr>
          <w:bCs/>
          <w:lang w:val="en-GB"/>
        </w:rPr>
      </w:pPr>
      <w:r w:rsidRPr="007E2877">
        <w:rPr>
          <w:bCs/>
          <w:lang w:val="en-GB"/>
        </w:rPr>
        <w:t>The technology of speech recognition in traditional healthcare sector has been used only to enhance the convenience of medical personnel in producing medical records. However, recent speech recognition services and research have improved the convenience of typing beyond simple user interface through natural dialogue with users. In addition, it has become possible to manage customer's health, such as checking and improving their health status.</w:t>
      </w:r>
    </w:p>
    <w:p w14:paraId="43270250" w14:textId="76F0C510" w:rsidR="007E2877" w:rsidRPr="00952FDF" w:rsidRDefault="007E2877" w:rsidP="007E2877">
      <w:pPr>
        <w:rPr>
          <w:bCs/>
          <w:highlight w:val="yellow"/>
          <w:lang w:val="en-GB"/>
        </w:rPr>
      </w:pPr>
      <w:r w:rsidRPr="007E2877">
        <w:rPr>
          <w:bCs/>
          <w:lang w:val="en-GB"/>
        </w:rPr>
        <w:t>This Recommendation proposes a service model through the speech recognition interface in human-care services such as healthcare fields using several scenarios to apply speech recognition technology.</w:t>
      </w:r>
    </w:p>
    <w:p w14:paraId="01A6FC74" w14:textId="77777777" w:rsidR="006A46AE" w:rsidRPr="00BF03A9" w:rsidRDefault="006A46AE" w:rsidP="006A46AE">
      <w:pPr>
        <w:pStyle w:val="Headingb"/>
      </w:pPr>
      <w:bookmarkStart w:id="241" w:name="_Toc480527903"/>
      <w:bookmarkEnd w:id="240"/>
      <w:r w:rsidRPr="00BF03A9">
        <w:lastRenderedPageBreak/>
        <w:t>I.5.1</w:t>
      </w:r>
      <w:r w:rsidRPr="00BF03A9">
        <w:tab/>
        <w:t>New security standards</w:t>
      </w:r>
      <w:bookmarkEnd w:id="241"/>
    </w:p>
    <w:p w14:paraId="60F0466D" w14:textId="626BCF12" w:rsidR="00783E3B" w:rsidRDefault="00C44FDC" w:rsidP="00783E3B">
      <w:pPr>
        <w:rPr>
          <w:szCs w:val="24"/>
        </w:rPr>
      </w:pPr>
      <w:hyperlink r:id="rId335" w:history="1">
        <w:r w:rsidR="00783E3B" w:rsidRPr="006801C4">
          <w:rPr>
            <w:rStyle w:val="Hyperlink"/>
            <w:b/>
            <w:bCs/>
            <w:szCs w:val="24"/>
          </w:rPr>
          <w:t>ITU-T J.1204 “The security framework of a smart TV operating system”</w:t>
        </w:r>
      </w:hyperlink>
      <w:r w:rsidR="00783E3B" w:rsidRPr="006801C4">
        <w:rPr>
          <w:szCs w:val="24"/>
        </w:rPr>
        <w:t xml:space="preserve"> defines</w:t>
      </w:r>
      <w:r w:rsidR="00783E3B" w:rsidRPr="00F32769">
        <w:rPr>
          <w:szCs w:val="24"/>
        </w:rPr>
        <w:t xml:space="preserve">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783E3B">
        <w:rPr>
          <w:szCs w:val="24"/>
        </w:rPr>
        <w:t xml:space="preserve"> </w:t>
      </w:r>
      <w:r w:rsidR="00783E3B" w:rsidRPr="00F32769">
        <w:rPr>
          <w:szCs w:val="24"/>
        </w:rPr>
        <w:t xml:space="preserve">Recommendation ITU-T J.1204 intends to specify the smart TV operating system security framework, which exploits the popular </w:t>
      </w:r>
      <w:proofErr w:type="gramStart"/>
      <w:r w:rsidR="00783E3B" w:rsidRPr="00F32769">
        <w:rPr>
          <w:szCs w:val="24"/>
        </w:rPr>
        <w:t>hardware based</w:t>
      </w:r>
      <w:proofErr w:type="gramEnd"/>
      <w:r w:rsidR="00783E3B" w:rsidRPr="00F32769">
        <w:rPr>
          <w:szCs w:val="24"/>
        </w:rPr>
        <w:t xml:space="preserve"> TEE technology and has multiple security </w:t>
      </w:r>
      <w:proofErr w:type="spellStart"/>
      <w:r w:rsidR="00783E3B" w:rsidRPr="00F32769">
        <w:rPr>
          <w:szCs w:val="24"/>
        </w:rPr>
        <w:t>defence</w:t>
      </w:r>
      <w:proofErr w:type="spellEnd"/>
      <w:r w:rsidR="00783E3B" w:rsidRPr="00F32769">
        <w:rPr>
          <w:szCs w:val="24"/>
        </w:rPr>
        <w:t xml:space="preserve"> capabilities.</w:t>
      </w:r>
    </w:p>
    <w:p w14:paraId="10B66944" w14:textId="627857F7" w:rsidR="00DD55AE" w:rsidRPr="00DD55AE" w:rsidRDefault="00C44FDC" w:rsidP="00DD55AE">
      <w:pPr>
        <w:rPr>
          <w:bCs/>
          <w:lang w:val="en-GB"/>
        </w:rPr>
      </w:pPr>
      <w:hyperlink r:id="rId336" w:history="1">
        <w:r w:rsidR="00DD55AE" w:rsidRPr="008B6776">
          <w:rPr>
            <w:rStyle w:val="Hyperlink"/>
            <w:b/>
            <w:lang w:val="en-GB"/>
          </w:rPr>
          <w:t>Recommendation ITU-T X.510 | ISO/IEC 9594-11 “Information technology – Open Systems Interconnection – The Directory: Protocol specifications for secure operations”</w:t>
        </w:r>
      </w:hyperlink>
      <w:r w:rsidR="00DD55AE" w:rsidDel="00F3309E">
        <w:rPr>
          <w:b/>
          <w:lang w:val="en-GB"/>
        </w:rPr>
        <w:t xml:space="preserve"> </w:t>
      </w:r>
      <w:r w:rsidR="00DD55AE" w:rsidRPr="00F3309E">
        <w:rPr>
          <w:bCs/>
          <w:lang w:val="en-GB"/>
        </w:rPr>
        <w:t>specifies a general protocol, called the wrapper protocol, that provides cyber security for</w:t>
      </w:r>
      <w:r w:rsidR="00DD55AE" w:rsidRPr="00DD55AE">
        <w:rPr>
          <w:bCs/>
          <w:lang w:val="en-GB"/>
        </w:rPr>
        <w:t xml:space="preserve"> protocols designed for protection by the wrapper protocol. The wrapper protocol provides authentication, integrity and optionally confidentiality (encryption). The wrapper protocol allows cyber security to be provided independently of the protected protocols, which means that the security may be enhanced without affecting protected protocol specifications.</w:t>
      </w:r>
      <w:r w:rsidR="00DD55AE">
        <w:rPr>
          <w:bCs/>
          <w:lang w:val="en-GB"/>
        </w:rPr>
        <w:t xml:space="preserve"> </w:t>
      </w:r>
      <w:r w:rsidR="00DD55AE" w:rsidRPr="00DD55AE">
        <w:rPr>
          <w:bCs/>
          <w:lang w:val="en-GB"/>
        </w:rPr>
        <w:t>The wrapper protocol is specified without specifying specific cryptographic algorithms but is designed for plucking-in cryptographic algorithms as required.</w:t>
      </w:r>
      <w:r w:rsidR="00DD55AE">
        <w:rPr>
          <w:bCs/>
          <w:lang w:val="en-GB"/>
        </w:rPr>
        <w:t xml:space="preserve"> </w:t>
      </w:r>
      <w:r w:rsidR="00DD55AE" w:rsidRPr="00DD55AE">
        <w:rPr>
          <w:bCs/>
          <w:lang w:val="en-GB"/>
        </w:rPr>
        <w:t>The wrapper protocol is designed for easy migration of cryptographic algorithms, as stronger cryptographic algorithms become necessary.</w:t>
      </w:r>
    </w:p>
    <w:p w14:paraId="480B3864" w14:textId="002693DC" w:rsidR="00DD55AE" w:rsidRPr="00952FDF" w:rsidRDefault="00DD55AE" w:rsidP="00DD55AE">
      <w:pPr>
        <w:rPr>
          <w:bCs/>
          <w:highlight w:val="yellow"/>
          <w:lang w:val="en-GB"/>
        </w:rPr>
      </w:pPr>
      <w:r w:rsidRPr="00DD55AE">
        <w:rPr>
          <w:bCs/>
          <w:lang w:val="en-GB"/>
        </w:rPr>
        <w:t xml:space="preserve">Recommendation ITU-T X.510 | ISO/IEC 9594-11 contains recommendations for how other Recommendations and International Standards may include features for migration of cryptographic algorithms, and it includes ASN.1 </w:t>
      </w:r>
      <w:proofErr w:type="gramStart"/>
      <w:r w:rsidRPr="00DD55AE">
        <w:rPr>
          <w:bCs/>
          <w:lang w:val="en-GB"/>
        </w:rPr>
        <w:t>specifications</w:t>
      </w:r>
      <w:proofErr w:type="gramEnd"/>
      <w:r w:rsidRPr="00DD55AE">
        <w:rPr>
          <w:bCs/>
          <w:lang w:val="en-GB"/>
        </w:rPr>
        <w:t xml:space="preserve"> to be applied for that purpose.</w:t>
      </w:r>
      <w:r>
        <w:rPr>
          <w:bCs/>
          <w:lang w:val="en-GB"/>
        </w:rPr>
        <w:t xml:space="preserve"> </w:t>
      </w:r>
      <w:r w:rsidRPr="00DD55AE">
        <w:rPr>
          <w:bCs/>
          <w:lang w:val="en-GB"/>
        </w:rPr>
        <w:t>Recommendation ITU-T X.510 | ISO/IEC 9594-11 also specifies three protocols that make use of the protection of the wrapper protocol. This includes a protocol for maintenance of authorization and validation lists (AVLs), a protocol for subscribing of public-key certificate status and a protocol for accessing a trust broker.</w:t>
      </w:r>
    </w:p>
    <w:p w14:paraId="73F02C42" w14:textId="6CBC8805" w:rsidR="00C700C9" w:rsidRPr="006A781B" w:rsidRDefault="00C44FDC" w:rsidP="00C700C9">
      <w:pPr>
        <w:rPr>
          <w:lang w:val="en-GB"/>
        </w:rPr>
      </w:pPr>
      <w:hyperlink r:id="rId337">
        <w:r w:rsidR="0C856D3C" w:rsidRPr="2B30A600">
          <w:rPr>
            <w:rStyle w:val="Hyperlink"/>
            <w:b/>
            <w:bCs/>
            <w:lang w:val="en-GB"/>
          </w:rPr>
          <w:t>ITU-T X.677 “Identification mechanism for unmanned aerial vehicles using object identifiers”</w:t>
        </w:r>
      </w:hyperlink>
      <w:r w:rsidR="0C856D3C" w:rsidRPr="2B30A600">
        <w:rPr>
          <w:lang w:val="en-GB"/>
        </w:rPr>
        <w:t xml:space="preserve"> </w:t>
      </w:r>
      <w:r w:rsidR="211282B4" w:rsidRPr="2B30A600">
        <w:rPr>
          <w:lang w:val="en-GB"/>
        </w:rPr>
        <w:t>analyses the requirements for a full life-cycle management and operating identity recognition of unmanned aerial vehicles (UAVs) with security considerations. It also specifies an identification mechanism for UAVs using object identifiers (OIDs), including detailed specifications of assignment rules and registration procedures of OIDs used for UAVs.</w:t>
      </w:r>
    </w:p>
    <w:p w14:paraId="3CAE5149" w14:textId="6830A5C2" w:rsidR="7DBA77F0" w:rsidRDefault="7DBA77F0" w:rsidP="2B30A600">
      <w:pPr>
        <w:rPr>
          <w:szCs w:val="24"/>
        </w:rPr>
      </w:pPr>
      <w:r w:rsidRPr="2B30A600">
        <w:rPr>
          <w:rStyle w:val="Hyperlink"/>
          <w:b/>
          <w:bCs/>
        </w:rPr>
        <w:t>ITU-T X.1052 (revised) “Organization information security management guideline” (under approval)</w:t>
      </w:r>
      <w:r w:rsidR="565870F8" w:rsidRPr="2B30A600">
        <w:rPr>
          <w:szCs w:val="24"/>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ITU‑T X.1051. The management areas including asset management, incident management, risk management policy management and map the controls defined by Recommendation ITU-T X.1051 to achieve methodologies.</w:t>
      </w:r>
    </w:p>
    <w:p w14:paraId="0CC22728" w14:textId="5C73BAAC" w:rsidR="00865C32" w:rsidRPr="00865C32" w:rsidRDefault="00C44FDC" w:rsidP="00865C32">
      <w:hyperlink r:id="rId338" w:history="1">
        <w:r w:rsidR="00865C32" w:rsidRPr="2B30A600">
          <w:rPr>
            <w:rStyle w:val="Hyperlink"/>
            <w:b/>
            <w:bCs/>
          </w:rPr>
          <w:t>ITU-T X.1054 (revised) “Information security, cybersecurity and privacy protection - Governance of information security”</w:t>
        </w:r>
      </w:hyperlink>
      <w:r w:rsidR="00865C32" w:rsidRPr="2B30A600">
        <w:rPr>
          <w:b/>
          <w:bCs/>
        </w:rPr>
        <w:t xml:space="preserve"> : </w:t>
      </w:r>
      <w:r w:rsidR="00865C32">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865C32" w:rsidRDefault="00865C32" w:rsidP="00865C32">
      <w:r w:rsidRPr="00865C32">
        <w:lastRenderedPageBreak/>
        <w:t>•</w:t>
      </w:r>
      <w:r w:rsidRPr="00865C32">
        <w:tab/>
        <w:t>directives concerning information security will be followed; and</w:t>
      </w:r>
    </w:p>
    <w:p w14:paraId="2E7EE4DF" w14:textId="77777777" w:rsidR="00865C32" w:rsidRPr="00865C32" w:rsidRDefault="00865C32" w:rsidP="00865C32">
      <w:r w:rsidRPr="00865C32">
        <w:t>•</w:t>
      </w:r>
      <w:r w:rsidRPr="00865C32">
        <w:tab/>
        <w:t>the governing body will receive reliable and relevant reporting about information security related activities.</w:t>
      </w:r>
    </w:p>
    <w:p w14:paraId="551EFE40" w14:textId="77777777" w:rsidR="00865C32" w:rsidRPr="00865C32" w:rsidRDefault="00865C32" w:rsidP="00865C32">
      <w:r w:rsidRPr="00865C32">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865C32" w:rsidRDefault="00865C32" w:rsidP="00865C32">
      <w:r w:rsidRPr="00865C32">
        <w:t>Managers and others working in organizations need to understand:</w:t>
      </w:r>
    </w:p>
    <w:p w14:paraId="01992ADB" w14:textId="77777777" w:rsidR="00865C32" w:rsidRPr="00865C32" w:rsidRDefault="00865C32" w:rsidP="00865C32">
      <w:r w:rsidRPr="00865C32">
        <w:t>•</w:t>
      </w:r>
      <w:r w:rsidRPr="00865C32">
        <w:tab/>
        <w:t>the governance requirements that affect their work; and</w:t>
      </w:r>
    </w:p>
    <w:p w14:paraId="451D54F1" w14:textId="6C0DCFE0" w:rsidR="00865C32" w:rsidRPr="00865C32" w:rsidRDefault="00865C32" w:rsidP="00865C32">
      <w:r w:rsidRPr="00865C32">
        <w:t>•</w:t>
      </w:r>
      <w:r w:rsidRPr="00865C32">
        <w:tab/>
        <w:t xml:space="preserve">how to meet governance requirements that require them to </w:t>
      </w:r>
      <w:proofErr w:type="gramStart"/>
      <w:r w:rsidRPr="00865C32">
        <w:t>take action</w:t>
      </w:r>
      <w:proofErr w:type="gramEnd"/>
      <w:r w:rsidRPr="00865C32">
        <w:t>.</w:t>
      </w:r>
    </w:p>
    <w:p w14:paraId="5478A2CD" w14:textId="5EC8AA2A" w:rsidR="00E6512D" w:rsidRDefault="00E6512D" w:rsidP="00E6512D">
      <w:pPr>
        <w:rPr>
          <w:lang w:val="en-GB"/>
        </w:rPr>
      </w:pPr>
      <w:r w:rsidRPr="0039167D">
        <w:rPr>
          <w:b/>
          <w:lang w:val="en-GB"/>
        </w:rPr>
        <w:t xml:space="preserve">ITU-T X.1148 “Framework of de-identification process for telecommunication service providers” (under </w:t>
      </w:r>
      <w:r w:rsidR="000A3338">
        <w:rPr>
          <w:b/>
          <w:lang w:val="en-GB"/>
        </w:rPr>
        <w:t>publication</w:t>
      </w:r>
      <w:r w:rsidRPr="0039167D">
        <w:rPr>
          <w:b/>
          <w:lang w:val="en-GB"/>
        </w:rPr>
        <w:t>):</w:t>
      </w:r>
      <w:r>
        <w:rPr>
          <w:lang w:val="en-GB"/>
        </w:rPr>
        <w:t xml:space="preserve"> </w:t>
      </w:r>
      <w:r w:rsidRPr="00E6512D">
        <w:rPr>
          <w:lang w:val="en-GB"/>
        </w:rPr>
        <w:t>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0CC06F0A" w14:textId="07BDA65D" w:rsidR="0062200B" w:rsidRPr="0062200B" w:rsidRDefault="00C44FDC" w:rsidP="0062200B">
      <w:pPr>
        <w:rPr>
          <w:highlight w:val="red"/>
          <w:lang w:val="en-GB"/>
        </w:rPr>
      </w:pPr>
      <w:hyperlink r:id="rId339" w:history="1">
        <w:r w:rsidR="0062200B" w:rsidRPr="005D6B2A">
          <w:rPr>
            <w:rStyle w:val="Hyperlink"/>
            <w:b/>
            <w:bCs/>
            <w:lang w:val="en-GB"/>
          </w:rPr>
          <w:t>ITU-T X.1149 “Security framework of open platform for FinTech services”</w:t>
        </w:r>
      </w:hyperlink>
      <w:r w:rsidR="0062200B" w:rsidRPr="005D6B2A">
        <w:rPr>
          <w:lang w:val="en-GB"/>
        </w:rPr>
        <w:t xml:space="preserve"> </w:t>
      </w:r>
      <w:r w:rsidR="0062200B" w:rsidRPr="0062200B">
        <w:rPr>
          <w:lang w:val="en-GB"/>
        </w:rPr>
        <w:t>describes an open platform architecture for financial technology (FinTech) services. It also specifies threats and vulnerabilities of open platform, open API usage procedure for FinTech services, and detailed security requirements to open platform of FinTech services from both financial company and FinTech company sides. Appendix to this Recommendation includes some use cases of the proposed open platform.</w:t>
      </w:r>
    </w:p>
    <w:p w14:paraId="77CFE617" w14:textId="1328A507" w:rsidR="000B101D" w:rsidRPr="0039167D" w:rsidRDefault="000B101D" w:rsidP="000B101D">
      <w:pPr>
        <w:rPr>
          <w:lang w:val="en-GB"/>
        </w:rPr>
      </w:pPr>
      <w:r w:rsidRPr="0039167D">
        <w:rPr>
          <w:b/>
          <w:lang w:val="en-GB"/>
        </w:rPr>
        <w:t xml:space="preserve">ITU-T X.1216 “Requirements for collection and preservation of cybersecurity incident evidence” (under </w:t>
      </w:r>
      <w:r w:rsidR="000A3338">
        <w:rPr>
          <w:b/>
          <w:lang w:val="en-GB"/>
        </w:rPr>
        <w:t>publication</w:t>
      </w:r>
      <w:r>
        <w:rPr>
          <w:lang w:val="en-GB"/>
        </w:rPr>
        <w:t xml:space="preserve">) </w:t>
      </w:r>
      <w:r w:rsidRPr="000B101D">
        <w:rPr>
          <w:lang w:val="en-GB"/>
        </w:rPr>
        <w:t>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19792D29" w:rsidR="00EE23B7" w:rsidRPr="0066079A" w:rsidRDefault="4E7979DA" w:rsidP="0066079A">
      <w:pPr>
        <w:rPr>
          <w:lang w:val="en-GB"/>
        </w:rPr>
      </w:pPr>
      <w:r w:rsidRPr="2B30A600">
        <w:rPr>
          <w:b/>
          <w:bCs/>
          <w:lang w:val="en-GB"/>
        </w:rPr>
        <w:t>ITU-T X.1217 “Framework and guidelines for applying threat intelligence in telecom network operation” (under approval):</w:t>
      </w:r>
      <w:r w:rsidR="0066079A" w:rsidRPr="2B30A600">
        <w:rPr>
          <w:b/>
          <w:bCs/>
          <w:lang w:val="en-GB"/>
        </w:rPr>
        <w:t xml:space="preserve"> </w:t>
      </w:r>
      <w:r w:rsidR="0066079A" w:rsidRPr="2B30A600">
        <w:rPr>
          <w:lang w:val="en-GB"/>
        </w:rPr>
        <w:t xml:space="preserve">Threat intelligence from a telecommunication operator’s point of view is a collection of organized, analysed and refined information about potential and current attacks that may threaten an organization. This information can also include attackers’ motivations, intentions, </w:t>
      </w:r>
      <w:proofErr w:type="gramStart"/>
      <w:r w:rsidR="0066079A" w:rsidRPr="2B30A600">
        <w:rPr>
          <w:lang w:val="en-GB"/>
        </w:rPr>
        <w:t>characteristics</w:t>
      </w:r>
      <w:proofErr w:type="gramEnd"/>
      <w:r w:rsidR="0066079A" w:rsidRPr="2B30A600">
        <w:rPr>
          <w:lang w:val="en-GB"/>
        </w:rPr>
        <w:t xml:space="preserve"> and methods, along with their modus operandi or techniques, tactics and procedures. In the area of network and information security, the occurrence of large-scale and unexpected cybersecurity incidents has triggered the urgent need for threat intelligence. Threat intelligence can help an organization reduce risk and improve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026C2128" w14:textId="7C8564E5" w:rsidR="00EE23B7" w:rsidRPr="00EE23B7" w:rsidRDefault="38052A28" w:rsidP="2B30A600">
      <w:pPr>
        <w:rPr>
          <w:lang w:val="en-GB"/>
        </w:rPr>
      </w:pPr>
      <w:r w:rsidRPr="2B30A600">
        <w:rPr>
          <w:b/>
          <w:bCs/>
          <w:lang w:val="en-GB"/>
        </w:rPr>
        <w:t xml:space="preserve">ITU-T X.1218 “Requirements and guidelines for dynamic malware analysis in a sandbox environment” (under approval): </w:t>
      </w:r>
      <w:r w:rsidR="53B1603F" w:rsidRPr="2B30A600">
        <w:rPr>
          <w:szCs w:val="24"/>
        </w:rPr>
        <w:t xml:space="preserve">The unknown malware is a common method used for avoiding detection used in advanced attacks, in particular APTs (Advanced Persistent Threat). For example, a targeted attack using phishing email weaponized with unknown malwares can achieve a successful initial compromise easily. </w:t>
      </w:r>
      <w:proofErr w:type="gramStart"/>
      <w:r w:rsidR="53B1603F" w:rsidRPr="2B30A600">
        <w:rPr>
          <w:szCs w:val="24"/>
        </w:rPr>
        <w:t>Thus</w:t>
      </w:r>
      <w:proofErr w:type="gramEnd"/>
      <w:r w:rsidR="53B1603F" w:rsidRPr="2B30A600">
        <w:rPr>
          <w:szCs w:val="24"/>
        </w:rPr>
        <w:t xml:space="preserve"> for detection of advanced attacks, special attention and defense measurements should be taken at detection of unknown malwares. The purpose of this </w:t>
      </w:r>
      <w:r w:rsidR="53B1603F" w:rsidRPr="2B30A600">
        <w:rPr>
          <w:szCs w:val="24"/>
        </w:rPr>
        <w:lastRenderedPageBreak/>
        <w:t xml:space="preserve">Recommendation is to analyze threats related to unknown </w:t>
      </w:r>
      <w:proofErr w:type="gramStart"/>
      <w:r w:rsidR="53B1603F" w:rsidRPr="2B30A600">
        <w:rPr>
          <w:szCs w:val="24"/>
        </w:rPr>
        <w:t>malwares, and</w:t>
      </w:r>
      <w:proofErr w:type="gramEnd"/>
      <w:r w:rsidR="53B1603F" w:rsidRPr="2B30A600">
        <w:rPr>
          <w:szCs w:val="24"/>
        </w:rPr>
        <w:t xml:space="preserve"> put forward the specific requirements of detecting the unknown malwares based on dynamic behavior analysis.</w:t>
      </w:r>
    </w:p>
    <w:p w14:paraId="13B954F2" w14:textId="1E4BCEE2" w:rsidR="00EE23B7" w:rsidRPr="00EE23B7" w:rsidRDefault="00EE23B7" w:rsidP="2B30A600">
      <w:pPr>
        <w:rPr>
          <w:lang w:val="en-GB"/>
        </w:rPr>
      </w:pPr>
      <w:r w:rsidRPr="2B30A600">
        <w:rPr>
          <w:b/>
          <w:bCs/>
          <w:lang w:val="en-GB"/>
        </w:rPr>
        <w:t xml:space="preserve">ITU-T X.1254 (revised) “Entity authentication assurance framework” (under </w:t>
      </w:r>
      <w:r w:rsidR="00850AEC" w:rsidRPr="2B30A600">
        <w:rPr>
          <w:b/>
          <w:bCs/>
          <w:lang w:val="en-GB"/>
        </w:rPr>
        <w:t>publication</w:t>
      </w:r>
      <w:r w:rsidRPr="2B30A600">
        <w:rPr>
          <w:b/>
          <w:bCs/>
          <w:lang w:val="en-GB"/>
        </w:rPr>
        <w:t>)</w:t>
      </w:r>
      <w:r w:rsidRPr="2B30A600">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EE23B7" w:rsidRDefault="00EE23B7" w:rsidP="00EE23B7">
      <w:pPr>
        <w:rPr>
          <w:bCs/>
          <w:lang w:val="en-GB"/>
        </w:rPr>
      </w:pPr>
      <w:r w:rsidRPr="00EE23B7">
        <w:rPr>
          <w:bCs/>
          <w:lang w:val="en-GB"/>
        </w:rPr>
        <w:t>•</w:t>
      </w:r>
      <w:r w:rsidRPr="00EE23B7">
        <w:rPr>
          <w:bCs/>
          <w:lang w:val="en-GB"/>
        </w:rPr>
        <w:tab/>
        <w:t xml:space="preserve">specifies a framework for managing the assurance </w:t>
      </w:r>
      <w:proofErr w:type="gramStart"/>
      <w:r w:rsidRPr="00EE23B7">
        <w:rPr>
          <w:bCs/>
          <w:lang w:val="en-GB"/>
        </w:rPr>
        <w:t>levels;</w:t>
      </w:r>
      <w:proofErr w:type="gramEnd"/>
    </w:p>
    <w:p w14:paraId="3D91EBEE" w14:textId="77777777" w:rsidR="00EE23B7" w:rsidRPr="00EE23B7" w:rsidRDefault="00EE23B7" w:rsidP="00EE23B7">
      <w:pPr>
        <w:rPr>
          <w:bCs/>
          <w:lang w:val="en-GB"/>
        </w:rPr>
      </w:pPr>
      <w:r w:rsidRPr="00EE23B7">
        <w:rPr>
          <w:bCs/>
          <w:lang w:val="en-GB"/>
        </w:rPr>
        <w:t>•</w:t>
      </w:r>
      <w:r w:rsidRPr="00EE23B7">
        <w:rPr>
          <w:bCs/>
          <w:lang w:val="en-GB"/>
        </w:rPr>
        <w:tab/>
        <w:t xml:space="preserve">provides guidance concerning control technologies that are to be used to mitigate authentication threats, based on a risk </w:t>
      </w:r>
      <w:proofErr w:type="gramStart"/>
      <w:r w:rsidRPr="00EE23B7">
        <w:rPr>
          <w:bCs/>
          <w:lang w:val="en-GB"/>
        </w:rPr>
        <w:t>assessment;</w:t>
      </w:r>
      <w:proofErr w:type="gramEnd"/>
    </w:p>
    <w:p w14:paraId="2214DBF6" w14:textId="77777777" w:rsidR="00EE23B7" w:rsidRPr="00EE23B7" w:rsidRDefault="00EE23B7" w:rsidP="00EE23B7">
      <w:pPr>
        <w:rPr>
          <w:bCs/>
          <w:lang w:val="en-GB"/>
        </w:rPr>
      </w:pPr>
      <w:r w:rsidRPr="00EE23B7">
        <w:rPr>
          <w:bCs/>
          <w:lang w:val="en-GB"/>
        </w:rPr>
        <w:t>•</w:t>
      </w:r>
      <w:r w:rsidRPr="00EE23B7">
        <w:rPr>
          <w:bCs/>
          <w:lang w:val="en-GB"/>
        </w:rPr>
        <w:tab/>
        <w:t xml:space="preserve">provides guidance for mapping the three levels of assurance to </w:t>
      </w:r>
      <w:proofErr w:type="gramStart"/>
      <w:r w:rsidRPr="00EE23B7">
        <w:rPr>
          <w:bCs/>
          <w:lang w:val="en-GB"/>
        </w:rPr>
        <w:t>other</w:t>
      </w:r>
      <w:proofErr w:type="gramEnd"/>
      <w:r w:rsidRPr="00EE23B7">
        <w:rPr>
          <w:bCs/>
          <w:lang w:val="en-GB"/>
        </w:rPr>
        <w:t xml:space="preserve"> authentication assurance schemas; and</w:t>
      </w:r>
    </w:p>
    <w:p w14:paraId="528CA0AD" w14:textId="1797ABB1" w:rsidR="00EE23B7" w:rsidRDefault="00EE23B7" w:rsidP="00EE23B7">
      <w:pPr>
        <w:rPr>
          <w:bCs/>
          <w:lang w:val="en-GB"/>
        </w:rPr>
      </w:pPr>
      <w:r w:rsidRPr="00EE23B7">
        <w:rPr>
          <w:bCs/>
          <w:lang w:val="en-GB"/>
        </w:rPr>
        <w:t>•</w:t>
      </w:r>
      <w:r w:rsidRPr="00EE23B7">
        <w:rPr>
          <w:bCs/>
          <w:lang w:val="en-GB"/>
        </w:rPr>
        <w:tab/>
        <w:t>provides guidance for exchanging the results of authentication that are based on the three levels of assurance.</w:t>
      </w:r>
    </w:p>
    <w:p w14:paraId="30A26C8F" w14:textId="531ED73D" w:rsidR="000121BA" w:rsidRDefault="000121BA" w:rsidP="000121BA">
      <w:pPr>
        <w:rPr>
          <w:bCs/>
          <w:highlight w:val="yellow"/>
          <w:lang w:val="en-GB"/>
        </w:rPr>
      </w:pPr>
      <w:r w:rsidRPr="0039167D">
        <w:rPr>
          <w:b/>
          <w:lang w:val="en-GB"/>
        </w:rPr>
        <w:t xml:space="preserve">ITU-T X.1279 “Framework of enhanced authentication using </w:t>
      </w:r>
      <w:proofErr w:type="spellStart"/>
      <w:r w:rsidRPr="0039167D">
        <w:rPr>
          <w:b/>
          <w:lang w:val="en-GB"/>
        </w:rPr>
        <w:t>telebiometrics</w:t>
      </w:r>
      <w:proofErr w:type="spellEnd"/>
      <w:r w:rsidRPr="0039167D">
        <w:rPr>
          <w:b/>
          <w:lang w:val="en-GB"/>
        </w:rPr>
        <w:t xml:space="preserve"> with anti-spoofing detection mechanisms” </w:t>
      </w:r>
      <w:r w:rsidR="00850AEC">
        <w:rPr>
          <w:b/>
          <w:lang w:val="en-GB"/>
        </w:rPr>
        <w:t>(under publication)</w:t>
      </w:r>
      <w:r>
        <w:rPr>
          <w:bCs/>
          <w:lang w:val="en-GB"/>
        </w:rPr>
        <w:t xml:space="preserve"> </w:t>
      </w:r>
      <w:r w:rsidRPr="000121BA">
        <w:rPr>
          <w:bCs/>
          <w:lang w:val="en-GB"/>
        </w:rPr>
        <w:t xml:space="preserve">provides an architectural framework of enhanced authentication using </w:t>
      </w:r>
      <w:proofErr w:type="spellStart"/>
      <w:r w:rsidRPr="000121BA">
        <w:rPr>
          <w:bCs/>
          <w:lang w:val="en-GB"/>
        </w:rPr>
        <w:t>telebiometrics</w:t>
      </w:r>
      <w:proofErr w:type="spellEnd"/>
      <w:r w:rsidRPr="000121BA">
        <w:rPr>
          <w:bCs/>
          <w:lang w:val="en-GB"/>
        </w:rPr>
        <w:t xml:space="preserve"> with anti-spoofing detection. This Recommendation analyses threats to traditional </w:t>
      </w:r>
      <w:proofErr w:type="spellStart"/>
      <w:r w:rsidRPr="000121BA">
        <w:rPr>
          <w:bCs/>
          <w:lang w:val="en-GB"/>
        </w:rPr>
        <w:t>telebiometric</w:t>
      </w:r>
      <w:proofErr w:type="spellEnd"/>
      <w:r w:rsidRPr="000121BA">
        <w:rPr>
          <w:bCs/>
          <w:lang w:val="en-GB"/>
        </w:rPr>
        <w:t xml:space="preserve"> authentication solutions and specifies an architectural framework, authentication process flows and security considerations for enhanced authentication using </w:t>
      </w:r>
      <w:proofErr w:type="spellStart"/>
      <w:r w:rsidRPr="000121BA">
        <w:rPr>
          <w:bCs/>
          <w:lang w:val="en-GB"/>
        </w:rPr>
        <w:t>telebiometrics</w:t>
      </w:r>
      <w:proofErr w:type="spellEnd"/>
      <w:r w:rsidRPr="000121BA">
        <w:rPr>
          <w:bCs/>
          <w:lang w:val="en-GB"/>
        </w:rPr>
        <w:t xml:space="preserve"> with anti-spoofing detection mechanisms.</w:t>
      </w:r>
    </w:p>
    <w:p w14:paraId="54A85D7B" w14:textId="77777777" w:rsidR="0020313D" w:rsidRDefault="00C44FDC" w:rsidP="0020313D">
      <w:pPr>
        <w:rPr>
          <w:highlight w:val="yellow"/>
          <w:lang w:val="en-GB"/>
        </w:rPr>
      </w:pPr>
      <w:hyperlink r:id="rId340">
        <w:r w:rsidR="631909AE" w:rsidRPr="2B30A600">
          <w:rPr>
            <w:rStyle w:val="Hyperlink"/>
            <w:b/>
            <w:bCs/>
            <w:lang w:val="en-GB"/>
          </w:rPr>
          <w:t>ITU-T X.1451 “Risk identification to optimize authentication”</w:t>
        </w:r>
      </w:hyperlink>
      <w:r w:rsidR="631909AE" w:rsidRPr="2B30A600">
        <w:rPr>
          <w:lang w:val="en-GB"/>
        </w:rPr>
        <w:t xml:space="preserve"> </w:t>
      </w:r>
      <w:r w:rsidR="631909AE">
        <w:t>specifies a risk identification function in an ICT service system as a pre-processor before the authentication function is invoked. It enables the ICT service system to optimize user authentication based on identified risks. With this specific risk identification function, the ICT service system can make choices on authentication mechanisms adaptively to its users and achieve multiple benefits such as: 1) to improve user experiences; 2) to increase the capacity and reduce the per transaction cost of user authentication; and 3) to reduce the risk of user identity forgery.</w:t>
      </w:r>
    </w:p>
    <w:p w14:paraId="09AC7900" w14:textId="54FB804F" w:rsidR="0C946273" w:rsidRDefault="0C946273" w:rsidP="2B30A600">
      <w:pPr>
        <w:rPr>
          <w:szCs w:val="24"/>
        </w:rPr>
      </w:pPr>
      <w:r w:rsidRPr="005D3621">
        <w:rPr>
          <w:b/>
          <w:bCs/>
        </w:rPr>
        <w:t>ITU-T X.1452 “Technical framework for security services provided by operators” (under approval)</w:t>
      </w:r>
      <w:r w:rsidRPr="2B30A600">
        <w:rPr>
          <w:b/>
          <w:bCs/>
        </w:rPr>
        <w:t xml:space="preserve">: </w:t>
      </w:r>
      <w:r w:rsidR="70840ED2" w:rsidRPr="2B30A600">
        <w:rPr>
          <w:szCs w:val="24"/>
        </w:rPr>
        <w:t xml:space="preserve">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w:t>
      </w:r>
      <w:proofErr w:type="spellStart"/>
      <w:r w:rsidR="70840ED2" w:rsidRPr="2B30A600">
        <w:rPr>
          <w:szCs w:val="24"/>
        </w:rPr>
        <w:t>extend</w:t>
      </w:r>
      <w:proofErr w:type="spellEnd"/>
      <w:r w:rsidR="70840ED2" w:rsidRPr="2B30A600">
        <w:rPr>
          <w:szCs w:val="24"/>
        </w:rPr>
        <w:t xml:space="preserve"> of their network and infrastructure deployments and operations. The specific nature of this class of services makes them exhibit </w:t>
      </w:r>
      <w:proofErr w:type="gramStart"/>
      <w:r w:rsidR="70840ED2" w:rsidRPr="2B30A600">
        <w:rPr>
          <w:szCs w:val="24"/>
        </w:rPr>
        <w:t>a number of</w:t>
      </w:r>
      <w:proofErr w:type="gramEnd"/>
      <w:r w:rsidR="70840ED2" w:rsidRPr="2B30A600">
        <w:rPr>
          <w:szCs w:val="24"/>
        </w:rPr>
        <w:t xml:space="preserve">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w:t>
      </w:r>
      <w:proofErr w:type="spellStart"/>
      <w:r w:rsidR="70840ED2" w:rsidRPr="2B30A600">
        <w:rPr>
          <w:szCs w:val="24"/>
        </w:rPr>
        <w:t>lost</w:t>
      </w:r>
      <w:proofErr w:type="spellEnd"/>
      <w:r w:rsidR="70840ED2" w:rsidRPr="2B30A600">
        <w:rPr>
          <w:szCs w:val="24"/>
        </w:rPr>
        <w:t xml:space="preserve"> of trust by customers and will span through the whole range of the services offered by the operator and will significantly increase the overall Churn level and customer satisfaction and loyalty. </w:t>
      </w:r>
      <w:proofErr w:type="gramStart"/>
      <w:r w:rsidR="70840ED2" w:rsidRPr="2B30A600">
        <w:rPr>
          <w:szCs w:val="24"/>
        </w:rPr>
        <w:t>Therefore</w:t>
      </w:r>
      <w:proofErr w:type="gramEnd"/>
      <w:r w:rsidR="70840ED2" w:rsidRPr="2B30A600">
        <w:rPr>
          <w:szCs w:val="24"/>
        </w:rPr>
        <w:t xml:space="preserve"> the security assurance defined as the degree of confidence reached in the security service needs to be studied thoroughly. </w:t>
      </w:r>
      <w:proofErr w:type="gramStart"/>
      <w:r w:rsidR="70840ED2" w:rsidRPr="2B30A600">
        <w:rPr>
          <w:szCs w:val="24"/>
        </w:rPr>
        <w:t>In order to</w:t>
      </w:r>
      <w:proofErr w:type="gramEnd"/>
      <w:r w:rsidR="70840ED2" w:rsidRPr="2B30A600">
        <w:rPr>
          <w:szCs w:val="24"/>
        </w:rPr>
        <w:t xml:space="preserve"> offer technical reference for the operators and guarantee the security, the guidelines of the security services provided by the operator need to be analyzed and established. This recommendation aims to classify the potential use cases of the security service provided by operators, analyze the specific requirements for the security service and thus provides the guidelines for the operator to safeguard and improve the security service.</w:t>
      </w:r>
    </w:p>
    <w:p w14:paraId="01865B98" w14:textId="0F5E22B1" w:rsidR="547F1B3A" w:rsidRDefault="547F1B3A" w:rsidP="005D3621">
      <w:pPr>
        <w:rPr>
          <w:szCs w:val="24"/>
        </w:rPr>
      </w:pPr>
      <w:r w:rsidRPr="005D3621">
        <w:rPr>
          <w:b/>
          <w:bCs/>
          <w:lang w:eastAsia="en-US"/>
        </w:rPr>
        <w:lastRenderedPageBreak/>
        <w:t>ITU-T Technical Report “Security framework for quantum key distribution in telecom network”</w:t>
      </w:r>
      <w:r w:rsidR="5B1D401A" w:rsidRPr="2B30A600">
        <w:rPr>
          <w:b/>
          <w:bCs/>
          <w:lang w:eastAsia="en-US"/>
        </w:rPr>
        <w:t xml:space="preserve">: </w:t>
      </w:r>
      <w:r w:rsidR="5B1D401A" w:rsidRPr="2B30A600">
        <w:rPr>
          <w:szCs w:val="24"/>
        </w:rPr>
        <w:t xml:space="preserve">Facing challenge from quantum computers, quantum safe cryptography is becoming increasingly important. </w:t>
      </w:r>
    </w:p>
    <w:p w14:paraId="69D7FE13" w14:textId="7160084C" w:rsidR="5B1D401A" w:rsidRDefault="5B1D401A" w:rsidP="005D3621">
      <w:pPr>
        <w:rPr>
          <w:szCs w:val="24"/>
        </w:rPr>
      </w:pPr>
      <w:r w:rsidRPr="2B30A600">
        <w:rPr>
          <w:szCs w:val="24"/>
        </w:rPr>
        <w:t>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w:t>
      </w:r>
    </w:p>
    <w:p w14:paraId="3FEC7CE0" w14:textId="3CC09369" w:rsidR="5B1D401A" w:rsidRDefault="5B1D401A" w:rsidP="005D3621">
      <w:pPr>
        <w:rPr>
          <w:szCs w:val="24"/>
        </w:rPr>
      </w:pPr>
      <w:r w:rsidRPr="2B30A600">
        <w:rPr>
          <w:szCs w:val="24"/>
        </w:rPr>
        <w:t>Post-quantum cryptography (PQC) refers to cryptographic algorithms which are resilient to attacks by quantum computers. Some post-quantum cryptographies, such as lattice-, code- or hash-based cryptosystems, are currently believed to be quantum-safe until proven otherwise.</w:t>
      </w:r>
    </w:p>
    <w:p w14:paraId="40DC6AEF" w14:textId="7C0A5EF6" w:rsidR="5B1D401A" w:rsidRDefault="5B1D401A" w:rsidP="005D3621">
      <w:pPr>
        <w:rPr>
          <w:szCs w:val="24"/>
        </w:rPr>
      </w:pPr>
      <w:r w:rsidRPr="2B30A600">
        <w:rPr>
          <w:szCs w:val="24"/>
        </w:rPr>
        <w:t>These two technologies, i.e., QKD and PQC are two pillars complementary to each other for quantum‑safe cryptography. QKD can be used as a key establishment alternative and QKD deployment is used to secure operators' backbone communications. PQC is a collection of cryptographic algorithms considered to be secure against quantum computer for end-point security.</w:t>
      </w:r>
    </w:p>
    <w:p w14:paraId="09A633C0" w14:textId="28CAFC97" w:rsidR="5B1D401A" w:rsidRDefault="5B1D401A" w:rsidP="005D3621">
      <w:pPr>
        <w:rPr>
          <w:szCs w:val="24"/>
        </w:rPr>
      </w:pPr>
      <w:r w:rsidRPr="2B30A600">
        <w:rPr>
          <w:szCs w:val="24"/>
        </w:rPr>
        <w:t>This Technical Report only studies the perspective of QKD. Although QKD technologies have been developed for several decades, there is a need to develop a QKD framework to satisfy requirements from the telecom network's perspective.</w:t>
      </w:r>
    </w:p>
    <w:p w14:paraId="3DA929EC" w14:textId="4DC1383B" w:rsidR="547F1B3A" w:rsidRDefault="547F1B3A" w:rsidP="2B30A600">
      <w:pPr>
        <w:rPr>
          <w:lang w:eastAsia="en-US"/>
        </w:rPr>
      </w:pPr>
      <w:r w:rsidRPr="005D3621">
        <w:rPr>
          <w:b/>
          <w:bCs/>
          <w:lang w:eastAsia="en-US"/>
        </w:rPr>
        <w:t>ITU-T Technical Report “Problems, requirements and potential solutions for OID resolution”</w:t>
      </w:r>
      <w:r w:rsidR="0A43B868" w:rsidRPr="2B30A600">
        <w:rPr>
          <w:lang w:eastAsia="en-US"/>
        </w:rPr>
        <w:t xml:space="preserve"> identifies problems, </w:t>
      </w:r>
      <w:proofErr w:type="gramStart"/>
      <w:r w:rsidR="0A43B868" w:rsidRPr="2B30A600">
        <w:rPr>
          <w:lang w:eastAsia="en-US"/>
        </w:rPr>
        <w:t>requirements</w:t>
      </w:r>
      <w:proofErr w:type="gramEnd"/>
      <w:r w:rsidR="0A43B868" w:rsidRPr="2B30A600">
        <w:rPr>
          <w:lang w:eastAsia="en-US"/>
        </w:rPr>
        <w:t xml:space="preserve"> and potential solutions for OID resolution. The problems include local performance and global resolution of missing OID subtrees. Technical requirements for possible solutions are also discussed. Finally, potential technical solutions, administrative and operational guidance are provided.</w:t>
      </w:r>
    </w:p>
    <w:p w14:paraId="45265165" w14:textId="21476063" w:rsidR="547F1B3A" w:rsidRDefault="547F1B3A" w:rsidP="2B30A600">
      <w:pPr>
        <w:rPr>
          <w:lang w:eastAsia="en-US"/>
        </w:rPr>
      </w:pPr>
      <w:r w:rsidRPr="005D3621">
        <w:rPr>
          <w:b/>
          <w:bCs/>
          <w:lang w:eastAsia="en-US"/>
        </w:rPr>
        <w:t>ITU-T Technical Report “Security in telecommunications and information technology (7th edition)”</w:t>
      </w:r>
      <w:r w:rsidR="4C57A725" w:rsidRPr="2B30A600">
        <w:rPr>
          <w:lang w:eastAsia="en-US"/>
        </w:rPr>
        <w:t xml:space="preserve"> provides a broad introduction to the Information and Communication Technology (ICT) security work of the ITU-T and, more specifically, it summarizes how the ITU-T is responding to global cybersecurity challenges with Recommendations, technical reports, guidance documents and outreach initiatives. It is primarily directed towards those who have responsibility for, or an interest in, information and communications security in organizations and the related standards, as well as those who simply need to gain a better understanding of ICT security issues.</w:t>
      </w:r>
    </w:p>
    <w:p w14:paraId="7ADEEE45" w14:textId="570180B2" w:rsidR="547F1B3A" w:rsidRDefault="547F1B3A" w:rsidP="2B30A600">
      <w:pPr>
        <w:rPr>
          <w:lang w:eastAsia="en-US"/>
        </w:rPr>
      </w:pPr>
      <w:r w:rsidRPr="005D3621">
        <w:rPr>
          <w:b/>
          <w:bCs/>
          <w:lang w:eastAsia="en-US"/>
        </w:rPr>
        <w:t>ITU-T Technical Report “Successful use of security standards (2</w:t>
      </w:r>
      <w:r w:rsidRPr="005D3621">
        <w:rPr>
          <w:b/>
          <w:bCs/>
          <w:vertAlign w:val="superscript"/>
          <w:lang w:eastAsia="en-US"/>
        </w:rPr>
        <w:t>nd</w:t>
      </w:r>
      <w:r w:rsidRPr="005D3621">
        <w:rPr>
          <w:b/>
          <w:bCs/>
          <w:lang w:eastAsia="en-US"/>
        </w:rPr>
        <w:t xml:space="preserve"> edition)”</w:t>
      </w:r>
      <w:r w:rsidR="5C087B12" w:rsidRPr="2B30A600">
        <w:rPr>
          <w:lang w:eastAsia="en-US"/>
        </w:rPr>
        <w:t xml:space="preserve"> present</w:t>
      </w:r>
      <w:r w:rsidR="005D3621">
        <w:rPr>
          <w:lang w:eastAsia="en-US"/>
        </w:rPr>
        <w:t>s</w:t>
      </w:r>
      <w:r w:rsidR="5C087B12" w:rsidRPr="2B30A600">
        <w:rPr>
          <w:lang w:eastAsia="en-US"/>
        </w:rPr>
        <w:t xml:space="preserve"> examples of how ITU-T Recommendations are used today in the </w:t>
      </w:r>
      <w:proofErr w:type="gramStart"/>
      <w:r w:rsidR="5C087B12" w:rsidRPr="2B30A600">
        <w:rPr>
          <w:lang w:eastAsia="en-US"/>
        </w:rPr>
        <w:t>market place</w:t>
      </w:r>
      <w:proofErr w:type="gramEnd"/>
      <w:r w:rsidR="5C087B12" w:rsidRPr="2B30A600">
        <w:rPr>
          <w:lang w:eastAsia="en-US"/>
        </w:rPr>
        <w:t xml:space="preserve"> to help protect networks, people, data and critical infrastructure. The report focuses on how approved security-related ITU-T Recommendations can be successfully deployed. Examples, of individual Recommendations (such as ITU-T X.805) and families of Recommendations (such as CYBEX) are considered.</w:t>
      </w:r>
    </w:p>
    <w:p w14:paraId="2BF9A1A6" w14:textId="74553CC8" w:rsidR="0CDCEB48" w:rsidRDefault="547F1B3A" w:rsidP="2B30A600">
      <w:r w:rsidRPr="005D3621">
        <w:rPr>
          <w:b/>
          <w:bCs/>
          <w:lang w:eastAsia="en-US"/>
        </w:rPr>
        <w:t>ITU-T Technical Report “Description of the incubation mechanism and ways to improve it”</w:t>
      </w:r>
      <w:r w:rsidR="0CDCEB48" w:rsidRPr="005D3621">
        <w:rPr>
          <w:b/>
          <w:bCs/>
          <w:lang w:eastAsia="en-US"/>
        </w:rPr>
        <w:t xml:space="preserve">: </w:t>
      </w:r>
      <w:r w:rsidR="0CDCEB48" w:rsidRPr="2B30A600">
        <w:rPr>
          <w:lang w:eastAsia="en-US"/>
        </w:rPr>
        <w:t>SG17 took the initiative to develop a strategy of transformation of security studies in three steps where the first step was about the creation of an incubation mechanism to deal with innovation at a much more timely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w:t>
      </w:r>
    </w:p>
    <w:p w14:paraId="166521C0" w14:textId="0C8AF454" w:rsidR="0CDCEB48" w:rsidRPr="005D3621" w:rsidRDefault="005D3621" w:rsidP="00CC5384">
      <w:pPr>
        <w:pStyle w:val="ListParagraph"/>
        <w:numPr>
          <w:ilvl w:val="0"/>
          <w:numId w:val="37"/>
        </w:numPr>
        <w:rPr>
          <w:rFonts w:ascii="Times New Roman" w:hAnsi="Times New Roman"/>
          <w:sz w:val="24"/>
          <w:szCs w:val="24"/>
        </w:rPr>
      </w:pPr>
      <w:r>
        <w:rPr>
          <w:rFonts w:ascii="Times New Roman" w:hAnsi="Times New Roman"/>
          <w:sz w:val="24"/>
          <w:szCs w:val="24"/>
          <w:lang w:eastAsia="en-US"/>
        </w:rPr>
        <w:t>H</w:t>
      </w:r>
      <w:r w:rsidR="0CDCEB48" w:rsidRPr="005D3621">
        <w:rPr>
          <w:rFonts w:ascii="Times New Roman" w:hAnsi="Times New Roman"/>
          <w:sz w:val="24"/>
          <w:szCs w:val="24"/>
          <w:lang w:eastAsia="en-US"/>
        </w:rPr>
        <w:t xml:space="preserve">ow to bring innovation in cybersecurity </w:t>
      </w:r>
      <w:r w:rsidR="31B9E64C" w:rsidRPr="005D3621">
        <w:rPr>
          <w:rFonts w:ascii="Times New Roman" w:hAnsi="Times New Roman"/>
          <w:sz w:val="24"/>
          <w:szCs w:val="24"/>
          <w:lang w:eastAsia="en-US"/>
        </w:rPr>
        <w:t>standardization</w:t>
      </w:r>
      <w:r w:rsidR="0CDCEB48" w:rsidRPr="005D3621">
        <w:rPr>
          <w:rFonts w:ascii="Times New Roman" w:hAnsi="Times New Roman"/>
          <w:sz w:val="24"/>
          <w:szCs w:val="24"/>
          <w:lang w:eastAsia="en-US"/>
        </w:rPr>
        <w:t xml:space="preserve"> in Study Group 17 in a timely manner?</w:t>
      </w:r>
    </w:p>
    <w:p w14:paraId="02B722D5" w14:textId="05C3ECED" w:rsidR="0CDCEB48" w:rsidRDefault="0CDCEB48" w:rsidP="2B30A600">
      <w:r w:rsidRPr="2B30A600">
        <w:rPr>
          <w:lang w:eastAsia="en-US"/>
        </w:rPr>
        <w:lastRenderedPageBreak/>
        <w:t>This technical papers’ purpose is precisely to answer this question.</w:t>
      </w:r>
      <w:r w:rsidR="005D3621">
        <w:rPr>
          <w:lang w:eastAsia="en-US"/>
        </w:rPr>
        <w:t xml:space="preserve"> </w:t>
      </w:r>
      <w:r w:rsidRPr="2B30A600">
        <w:rPr>
          <w:lang w:eastAsia="en-US"/>
        </w:rPr>
        <w:t xml:space="preserve">As any mechanism can be improved it will as well review and </w:t>
      </w:r>
      <w:proofErr w:type="spellStart"/>
      <w:r w:rsidRPr="2B30A600">
        <w:rPr>
          <w:lang w:eastAsia="en-US"/>
        </w:rPr>
        <w:t>analyse</w:t>
      </w:r>
      <w:proofErr w:type="spellEnd"/>
      <w:r w:rsidRPr="2B30A600">
        <w:rPr>
          <w:lang w:eastAsia="en-US"/>
        </w:rPr>
        <w:t xml:space="preserve"> what other SDOs are doing to bring innovation and perhaps it will help SG17 to constantly review and improve this mechanism.</w:t>
      </w:r>
    </w:p>
    <w:p w14:paraId="61779DD9" w14:textId="26E2B056" w:rsidR="547F1B3A" w:rsidRDefault="547F1B3A" w:rsidP="2B30A600">
      <w:pPr>
        <w:rPr>
          <w:szCs w:val="24"/>
        </w:rPr>
      </w:pPr>
      <w:r w:rsidRPr="005D3621">
        <w:rPr>
          <w:b/>
          <w:bCs/>
          <w:lang w:eastAsia="en-US"/>
        </w:rPr>
        <w:t>ITU-T Technical Report “Strategic approaches to the transformation of security studies”</w:t>
      </w:r>
      <w:r w:rsidR="4D81AE50" w:rsidRPr="2B30A600">
        <w:rPr>
          <w:b/>
          <w:bCs/>
          <w:lang w:eastAsia="en-US"/>
        </w:rPr>
        <w:t xml:space="preserve"> </w:t>
      </w:r>
      <w:r w:rsidR="4D81AE50" w:rsidRPr="2B30A600">
        <w:rPr>
          <w:szCs w:val="24"/>
        </w:rPr>
        <w:t xml:space="preserve">is the synthesis of all the results delivered by the correspondence group on transformation of security studies under the mandate of ITU-T SG17 from August 2017 to August 2020. It includes the contextualization of this work and the methodological aspects considered. It describes the strategic thinking that the correspondence group developed. It covers the short, </w:t>
      </w:r>
      <w:proofErr w:type="gramStart"/>
      <w:r w:rsidR="4D81AE50" w:rsidRPr="2B30A600">
        <w:rPr>
          <w:szCs w:val="24"/>
        </w:rPr>
        <w:t>mid</w:t>
      </w:r>
      <w:proofErr w:type="gramEnd"/>
      <w:r w:rsidR="4D81AE50" w:rsidRPr="2B30A600">
        <w:rPr>
          <w:szCs w:val="24"/>
        </w:rPr>
        <w:t xml:space="preserve"> and long-term aspects of the transformation of security studies.</w:t>
      </w:r>
    </w:p>
    <w:p w14:paraId="41DD065A" w14:textId="77777777" w:rsidR="005D3621" w:rsidRDefault="547F1B3A" w:rsidP="0020313D">
      <w:pPr>
        <w:pStyle w:val="Headingb"/>
        <w:rPr>
          <w:szCs w:val="24"/>
          <w:lang w:val="en-US"/>
        </w:rPr>
      </w:pPr>
      <w:r w:rsidRPr="005D3621">
        <w:rPr>
          <w:bCs/>
        </w:rPr>
        <w:t>ITU-T Technical Report “Unified Security Model (USM) - a neutral integrated system approach to Cybersecurity”</w:t>
      </w:r>
      <w:r w:rsidR="198EC658" w:rsidRPr="2B30A600">
        <w:rPr>
          <w:bCs/>
        </w:rPr>
        <w:t xml:space="preserve">: </w:t>
      </w:r>
      <w:r w:rsidR="198EC658" w:rsidRPr="005D3621">
        <w:rPr>
          <w:b w:val="0"/>
          <w:bCs/>
          <w:szCs w:val="24"/>
          <w:lang w:val="en-US"/>
        </w:rPr>
        <w:t>The Unified Security Model and architecture presented here is a universal “all matters security” architecture, that is neutral and agnostic. It has the potential to facilitate security control mass interoperability and security response automation.</w:t>
      </w:r>
    </w:p>
    <w:p w14:paraId="5F39A0BC" w14:textId="2241656F" w:rsidR="0020313D" w:rsidRPr="00F776D2" w:rsidRDefault="0020313D" w:rsidP="0020313D">
      <w:pPr>
        <w:pStyle w:val="Headingb"/>
      </w:pPr>
      <w:r w:rsidRPr="00F776D2">
        <w:t>I.5.</w:t>
      </w:r>
      <w:r w:rsidR="002F3B62">
        <w:t>2</w:t>
      </w:r>
      <w:r w:rsidRPr="00F776D2">
        <w:tab/>
      </w:r>
      <w:r>
        <w:t>Q</w:t>
      </w:r>
      <w:r w:rsidRPr="0020313D">
        <w:t>uantum key distribution networks</w:t>
      </w:r>
    </w:p>
    <w:p w14:paraId="4357A03B" w14:textId="287D3945" w:rsidR="00014BB2" w:rsidRDefault="00C44FDC" w:rsidP="00086D3D">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hyperlink r:id="rId341" w:history="1">
        <w:r w:rsidR="00014BB2" w:rsidRPr="00EC032D">
          <w:rPr>
            <w:rStyle w:val="Hyperlink"/>
            <w:b/>
            <w:lang w:val="en-GB"/>
          </w:rPr>
          <w:t>ITU-T Y.3801 “Functional requirements for quantum key distribution networks”</w:t>
        </w:r>
      </w:hyperlink>
      <w:r w:rsidR="00014BB2" w:rsidRPr="00014BB2">
        <w:rPr>
          <w:bCs/>
          <w:lang w:val="en-GB"/>
        </w:rPr>
        <w:t xml:space="preserve"> specifies functional requirements for quantum layer, key management layer, QKDN control layer and QKDN management layer</w:t>
      </w:r>
      <w:r w:rsidR="00014BB2">
        <w:rPr>
          <w:bCs/>
          <w:lang w:val="en-GB"/>
        </w:rPr>
        <w:t xml:space="preserve"> f</w:t>
      </w:r>
      <w:r w:rsidR="00014BB2" w:rsidRPr="00014BB2">
        <w:rPr>
          <w:bCs/>
          <w:lang w:val="en-GB"/>
        </w:rPr>
        <w:t>or quantum key distribution networks (QKDN).</w:t>
      </w:r>
    </w:p>
    <w:p w14:paraId="0CB05905" w14:textId="4613EC66"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Y.3802 “Quantum key distribution networks - Functional architecture” (under approval)</w:t>
      </w:r>
      <w:r w:rsidRPr="0039167D">
        <w:rPr>
          <w:bCs/>
          <w:lang w:val="en-GB"/>
        </w:rPr>
        <w:t xml:space="preserve"> defines a functional architecture model of quantum key distribution (QKD) networks. In order to realize this model, it specifies detailed functional elements and reference points, architectural </w:t>
      </w:r>
      <w:proofErr w:type="gramStart"/>
      <w:r w:rsidRPr="0039167D">
        <w:rPr>
          <w:bCs/>
          <w:lang w:val="en-GB"/>
        </w:rPr>
        <w:t>configurations</w:t>
      </w:r>
      <w:proofErr w:type="gramEnd"/>
      <w:r w:rsidRPr="0039167D">
        <w:rPr>
          <w:bCs/>
          <w:lang w:val="en-GB"/>
        </w:rPr>
        <w:t xml:space="preserve"> and basic operational procedures of QKD networks (QKDN).</w:t>
      </w:r>
    </w:p>
    <w:p w14:paraId="6F0BA7C3" w14:textId="46471CF0"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Y.3803 “Quantum key distribution networks – Key management” (under approval)</w:t>
      </w:r>
      <w:r w:rsidRPr="0039167D">
        <w:rPr>
          <w:bCs/>
          <w:lang w:val="en-GB"/>
        </w:rPr>
        <w:t>:</w:t>
      </w:r>
      <w:r>
        <w:rPr>
          <w:bCs/>
          <w:lang w:val="en-GB"/>
        </w:rPr>
        <w:t xml:space="preserve"> </w:t>
      </w:r>
      <w:r w:rsidRPr="003049A6">
        <w:rPr>
          <w:bCs/>
          <w:lang w:val="en-GB"/>
        </w:rPr>
        <w:t>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6CF5D2F4"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Y.3804 “Quantum Key Distribution Networks - Control and Management” (under approval)</w:t>
      </w:r>
      <w:r w:rsidRPr="0039167D">
        <w:rPr>
          <w:bCs/>
          <w:lang w:val="en-GB"/>
        </w:rPr>
        <w:t xml:space="preserve">: To realize secure, stable, efficient, and robust operations of and services by a quantum key distribution (QKD) network as well as to manage a QKD network (QKDN) as a whole and </w:t>
      </w:r>
      <w:r w:rsidRPr="0039167D">
        <w:rPr>
          <w:bCs/>
          <w:lang w:val="en-GB"/>
        </w:rPr>
        <w:lastRenderedPageBreak/>
        <w:t>support user network management, this Recommendation specifies functions and procedures for QKDN control and management based on the requirements specified in Recommendation ITU-T Y.3801.</w:t>
      </w:r>
    </w:p>
    <w:p w14:paraId="576CF00B" w14:textId="05F802BC" w:rsidR="1088F42E" w:rsidRPr="00690CD1" w:rsidRDefault="00690CD1" w:rsidP="00690CD1">
      <w:pPr>
        <w:rPr>
          <w:lang w:val="en-GB"/>
        </w:rPr>
      </w:pPr>
      <w:r w:rsidRPr="00690CD1">
        <w:rPr>
          <w:b/>
          <w:bCs/>
          <w:lang w:val="en-GB"/>
        </w:rPr>
        <w:t xml:space="preserve">ITU-T </w:t>
      </w:r>
      <w:r w:rsidR="1088F42E" w:rsidRPr="00690CD1">
        <w:rPr>
          <w:b/>
          <w:bCs/>
          <w:lang w:val="en-GB"/>
        </w:rPr>
        <w:t xml:space="preserve">X.1710 “Security framework for quantum key distribution networks" </w:t>
      </w:r>
      <w:r>
        <w:rPr>
          <w:b/>
          <w:bCs/>
          <w:lang w:val="en-GB"/>
        </w:rPr>
        <w:t xml:space="preserve">(under approval) </w:t>
      </w:r>
      <w:r w:rsidRPr="00690CD1">
        <w:rPr>
          <w:lang w:val="en-GB"/>
        </w:rPr>
        <w:t>specifies a framework for quantum key distribution networks (QKDNs) including requirements and measures to combat security threats. This Recommendation specifies a simplified QKDN structure and the relevant security threats. Security requirements and corresponding security measures are then specified on that basis.</w:t>
      </w:r>
    </w:p>
    <w:p w14:paraId="38CC286E" w14:textId="61335D8B" w:rsidR="1088F42E" w:rsidRPr="00F247D4" w:rsidRDefault="00690CD1" w:rsidP="65A54C5D">
      <w:pPr>
        <w:rPr>
          <w:lang w:val="en-GB"/>
        </w:rPr>
      </w:pPr>
      <w:r w:rsidRPr="00690CD1">
        <w:rPr>
          <w:b/>
          <w:bCs/>
          <w:lang w:val="en-GB"/>
        </w:rPr>
        <w:t xml:space="preserve">ITU-T </w:t>
      </w:r>
      <w:r w:rsidR="1088F42E" w:rsidRPr="00690CD1">
        <w:rPr>
          <w:b/>
          <w:bCs/>
          <w:lang w:val="en-GB"/>
        </w:rPr>
        <w:t xml:space="preserve">X.1714 “Key combination and confidential key supply for quantum key distribution networks" </w:t>
      </w:r>
      <w:r>
        <w:rPr>
          <w:b/>
          <w:bCs/>
          <w:lang w:val="en-GB"/>
        </w:rPr>
        <w:t xml:space="preserve">(under approval) </w:t>
      </w:r>
      <w:r w:rsidR="00F247D4" w:rsidRPr="00F247D4">
        <w:rPr>
          <w:lang w:val="en-GB"/>
        </w:rPr>
        <w:t>aims to specify the security requirements for both the key combination and the key supply from the QKDN to cryptographic applications.</w:t>
      </w:r>
    </w:p>
    <w:p w14:paraId="244D19D9" w14:textId="418037BA" w:rsidR="006A46AE" w:rsidRPr="00F776D2" w:rsidRDefault="006A46AE" w:rsidP="006A46AE">
      <w:pPr>
        <w:pStyle w:val="Headingb"/>
      </w:pPr>
      <w:r w:rsidRPr="00F776D2">
        <w:t>I.5.</w:t>
      </w:r>
      <w:r w:rsidR="002F3B62">
        <w:t>3</w:t>
      </w:r>
      <w:r w:rsidRPr="00F776D2">
        <w:tab/>
        <w:t>Trust</w:t>
      </w:r>
    </w:p>
    <w:p w14:paraId="6E5CA806" w14:textId="238823E5" w:rsidR="00F776D2" w:rsidRDefault="00C44FDC" w:rsidP="00F776D2">
      <w:pPr>
        <w:rPr>
          <w:lang w:val="en-GB" w:eastAsia="en-US"/>
        </w:rPr>
      </w:pPr>
      <w:hyperlink r:id="rId342" w:history="1">
        <w:r w:rsidR="00F776D2" w:rsidRPr="009A603B">
          <w:rPr>
            <w:rStyle w:val="Hyperlink"/>
            <w:b/>
            <w:bCs/>
            <w:lang w:val="en-GB" w:eastAsia="en-US"/>
          </w:rPr>
          <w:t>ITU-T Q.3057 “Signalling requirements and architecture for interconnection between trustable network entities”</w:t>
        </w:r>
      </w:hyperlink>
      <w:r w:rsidR="00F776D2" w:rsidRPr="001B027C">
        <w:rPr>
          <w:lang w:val="en-GB" w:eastAsia="en-US"/>
        </w:rPr>
        <w:t xml:space="preserve"> specifies</w:t>
      </w:r>
      <w:r w:rsidR="00F776D2" w:rsidRPr="00F776D2">
        <w:rPr>
          <w:lang w:val="en-GB" w:eastAsia="en-US"/>
        </w:rPr>
        <w:t xml:space="preserve"> the 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4EA417D5" w14:textId="618B9950" w:rsidR="00883497" w:rsidRPr="00883497" w:rsidRDefault="00883497" w:rsidP="00883497">
      <w:pPr>
        <w:rPr>
          <w:lang w:val="en-GB" w:eastAsia="en-US"/>
        </w:rPr>
      </w:pPr>
      <w:r w:rsidRPr="0039167D">
        <w:rPr>
          <w:b/>
          <w:bCs/>
          <w:lang w:val="en-GB" w:eastAsia="en-US"/>
        </w:rPr>
        <w:t>ITU-T Y.3055 “Framework for Trust based Personal Data Management” (under approval)</w:t>
      </w:r>
      <w:r w:rsidRPr="0039167D">
        <w:rPr>
          <w:lang w:val="en-GB" w:eastAsia="en-US"/>
        </w:rPr>
        <w:t>:</w:t>
      </w:r>
      <w:r>
        <w:rPr>
          <w:lang w:val="en-GB" w:eastAsia="en-US"/>
        </w:rPr>
        <w:t xml:space="preserve"> </w:t>
      </w:r>
      <w:r w:rsidRPr="00883497">
        <w:rPr>
          <w:lang w:val="en-GB" w:eastAsia="en-US"/>
        </w:rPr>
        <w:t>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883497" w:rsidRDefault="00883497" w:rsidP="00883497">
      <w:pPr>
        <w:rPr>
          <w:sz w:val="22"/>
          <w:szCs w:val="22"/>
          <w:lang w:val="en-GB" w:eastAsia="en-US"/>
        </w:rPr>
      </w:pPr>
      <w:r w:rsidRPr="00883497">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Default="000D6D7F" w:rsidP="000D6D7F">
      <w:pPr>
        <w:pStyle w:val="Headingb"/>
      </w:pPr>
      <w:r>
        <w:t>I.5.</w:t>
      </w:r>
      <w:r w:rsidR="002F3B62">
        <w:t>4</w:t>
      </w:r>
      <w:r>
        <w:tab/>
        <w:t>Distributed Ledger Technology</w:t>
      </w:r>
    </w:p>
    <w:p w14:paraId="5F36FFBC" w14:textId="6E1D03C7" w:rsidR="000D6D7F" w:rsidRDefault="00C44FDC" w:rsidP="000D6D7F">
      <w:pPr>
        <w:rPr>
          <w:lang w:val="en-GB" w:eastAsia="en-US"/>
        </w:rPr>
      </w:pPr>
      <w:hyperlink r:id="rId343" w:history="1">
        <w:r w:rsidR="000D6D7F" w:rsidRPr="00FC0DBF">
          <w:rPr>
            <w:rStyle w:val="Hyperlink"/>
            <w:b/>
            <w:bCs/>
            <w:lang w:val="en-GB" w:eastAsia="en-US"/>
          </w:rPr>
          <w:t>ITU-T F.751.0 “Requirements for distributed ledger systems”</w:t>
        </w:r>
      </w:hyperlink>
      <w:r w:rsidR="000D6D7F" w:rsidRPr="00FC0DBF">
        <w:rPr>
          <w:lang w:val="en-GB" w:eastAsia="en-US"/>
        </w:rPr>
        <w:t xml:space="preserve"> defines the requirements of</w:t>
      </w:r>
      <w:r w:rsidR="000D6D7F" w:rsidRPr="000D6D7F">
        <w:rPr>
          <w:lang w:val="en-GB" w:eastAsia="en-US"/>
        </w:rPr>
        <w:t xml:space="preserve"> distributed ledger systems. The distributed ledger system ensures the security of the data in the ledger and prevents malicious tampering. This makes distributed ledger systems potentially applicable to medical records and other record management activities, such as identity management, transaction processing, document sources, food traceability and voting. The scope of this Recommendation focuses on the basic and advanced requirements of the distributed ledger systems.</w:t>
      </w:r>
    </w:p>
    <w:p w14:paraId="52BD73BF" w14:textId="35AE5C7D" w:rsidR="00FB58CA" w:rsidRPr="00FB58CA" w:rsidRDefault="00C44FDC" w:rsidP="00FB58CA">
      <w:pPr>
        <w:rPr>
          <w:lang w:val="en-GB" w:eastAsia="en-US"/>
        </w:rPr>
      </w:pPr>
      <w:hyperlink r:id="rId344" w:history="1">
        <w:r w:rsidR="00FB58CA" w:rsidRPr="00FC0DBF">
          <w:rPr>
            <w:rStyle w:val="Hyperlink"/>
            <w:b/>
            <w:bCs/>
            <w:lang w:val="en-GB" w:eastAsia="en-US"/>
          </w:rPr>
          <w:t>ITU-T F.751.1 “Assessment criteria for distributed ledger technology (DLT) platforms”</w:t>
        </w:r>
      </w:hyperlink>
      <w:r w:rsidR="00FB58CA">
        <w:rPr>
          <w:lang w:val="en-GB" w:eastAsia="en-US"/>
        </w:rPr>
        <w:t xml:space="preserve"> </w:t>
      </w:r>
      <w:r w:rsidR="00FB58CA" w:rsidRPr="00FB58CA">
        <w:rPr>
          <w:lang w:val="en-GB" w:eastAsia="en-US"/>
        </w:rPr>
        <w:t>defines assessment criteria for DLT platforms aim to assist implementers to evaluate and compare different platforms. Those 27 criteria covered the core functions, application functions, operation functions, and ecosystem of DLT platform. This Recommendation also defines the performance of DLT platform affected by environment and deployment reasons.</w:t>
      </w:r>
    </w:p>
    <w:p w14:paraId="196578DF" w14:textId="7F0C53DA" w:rsidR="00FB58CA" w:rsidRDefault="00C44FDC" w:rsidP="00FB58CA">
      <w:pPr>
        <w:rPr>
          <w:lang w:val="en-GB" w:eastAsia="en-US"/>
        </w:rPr>
      </w:pPr>
      <w:hyperlink r:id="rId345">
        <w:r w:rsidR="00FB58CA" w:rsidRPr="65A54C5D">
          <w:rPr>
            <w:rStyle w:val="Hyperlink"/>
            <w:b/>
            <w:bCs/>
            <w:lang w:val="en-GB" w:eastAsia="en-US"/>
          </w:rPr>
          <w:t>ITU-T F.751.2 “Reference framework for distributed ledger technologies”</w:t>
        </w:r>
      </w:hyperlink>
      <w:r w:rsidR="00FB58CA">
        <w:rPr>
          <w:lang w:val="en-GB" w:eastAsia="en-US"/>
        </w:rPr>
        <w:t xml:space="preserve"> </w:t>
      </w:r>
      <w:r w:rsidR="00FB58CA" w:rsidRPr="00FB58CA">
        <w:rPr>
          <w:lang w:val="en-GB" w:eastAsia="en-US"/>
        </w:rPr>
        <w:t xml:space="preserve">defines the reference architecture for distributed ledger technology (DLT), the hierarchical relationship and specific functions of the DLT architecture, important modules and specific functions in the structure of </w:t>
      </w:r>
      <w:r w:rsidR="00FB58CA" w:rsidRPr="00FB58CA">
        <w:rPr>
          <w:lang w:val="en-GB" w:eastAsia="en-US"/>
        </w:rPr>
        <w:lastRenderedPageBreak/>
        <w:t>DLT, the main technical route and direction of the core module in the DLT. It can be used as a guideline for DLT service providers to build system, and for the organizations to select and use a DLT platform.</w:t>
      </w:r>
    </w:p>
    <w:p w14:paraId="39F45F78" w14:textId="5DB82B6B" w:rsidR="59C862D3" w:rsidRPr="00D35063" w:rsidRDefault="59C862D3" w:rsidP="002878F0">
      <w:pPr>
        <w:rPr>
          <w:b/>
          <w:bCs/>
          <w:lang w:val="en-GB" w:eastAsia="en-US"/>
        </w:rPr>
      </w:pPr>
      <w:r w:rsidRPr="00D35063">
        <w:rPr>
          <w:b/>
          <w:bCs/>
          <w:lang w:val="en-GB" w:eastAsia="en-US"/>
        </w:rPr>
        <w:t xml:space="preserve">ITU-T X.1400 “Terms and definitions for distributed ledger </w:t>
      </w:r>
      <w:proofErr w:type="gramStart"/>
      <w:r w:rsidRPr="00D35063">
        <w:rPr>
          <w:b/>
          <w:bCs/>
          <w:lang w:val="en-GB" w:eastAsia="en-US"/>
        </w:rPr>
        <w:t>technology”(</w:t>
      </w:r>
      <w:proofErr w:type="gramEnd"/>
      <w:r w:rsidRPr="00D35063">
        <w:rPr>
          <w:b/>
          <w:bCs/>
          <w:lang w:val="en-GB" w:eastAsia="en-US"/>
        </w:rPr>
        <w:t>under approval)</w:t>
      </w:r>
      <w:r w:rsidR="002878F0" w:rsidRPr="002878F0">
        <w:rPr>
          <w:lang w:val="en-GB" w:eastAsia="en-US"/>
        </w:rPr>
        <w:t xml:space="preserve"> contains a baseline set of terms and definitions for distributed ledger technology (DLT). The definitions provide a basic characterization of the term, and where appropriate, a note is included to provide additional clarity. It is based on Focus Group Technical Report ITU-T FG DLT D1.1:2019, FG DLT D1.1 Distributed ledger technology terms and definitions.</w:t>
      </w:r>
    </w:p>
    <w:p w14:paraId="0B416C72" w14:textId="5750D195" w:rsidR="004E2768" w:rsidRPr="004E2768" w:rsidRDefault="00C44FDC" w:rsidP="004E2768">
      <w:pPr>
        <w:rPr>
          <w:lang w:val="en-GB"/>
        </w:rPr>
      </w:pPr>
      <w:hyperlink r:id="rId346" w:history="1">
        <w:r w:rsidR="001F6191" w:rsidRPr="00684268">
          <w:rPr>
            <w:rStyle w:val="Hyperlink"/>
            <w:b/>
            <w:bCs/>
            <w:lang w:val="en-GB"/>
          </w:rPr>
          <w:t>ITU-T X.1402 “Security framework for distributed ledger technology”</w:t>
        </w:r>
      </w:hyperlink>
      <w:r w:rsidR="001F6191" w:rsidRPr="00684268">
        <w:rPr>
          <w:lang w:val="en-GB"/>
        </w:rPr>
        <w:t xml:space="preserve">: </w:t>
      </w:r>
      <w:r w:rsidR="004E2768" w:rsidRPr="004E2768">
        <w:rPr>
          <w:lang w:val="en-GB"/>
        </w:rPr>
        <w:t xml:space="preserve">Distributed ledger technology (DLT) is usually seen as a peer to peer distributed ledger based on a group of technologies for a new generation of transactional applications, which maintains a continuously growing list of cryptographically secured data records against tampering and revision. DLT can help establish trust, accountability, </w:t>
      </w:r>
      <w:proofErr w:type="gramStart"/>
      <w:r w:rsidR="004E2768" w:rsidRPr="004E2768">
        <w:rPr>
          <w:lang w:val="en-GB"/>
        </w:rPr>
        <w:t>transparency</w:t>
      </w:r>
      <w:proofErr w:type="gramEnd"/>
      <w:r w:rsidR="004E2768" w:rsidRPr="004E2768">
        <w:rPr>
          <w:lang w:val="en-GB"/>
        </w:rPr>
        <w:t xml:space="preserve"> and efficiency while streamlining business processes. However, DLT is also fac</w:t>
      </w:r>
      <w:r w:rsidR="004E2768" w:rsidRPr="004E2768">
        <w:rPr>
          <w:rFonts w:hint="eastAsia"/>
          <w:lang w:val="en-GB"/>
        </w:rPr>
        <w:t>ing</w:t>
      </w:r>
      <w:r w:rsidR="004E2768" w:rsidRPr="004E2768">
        <w:rPr>
          <w:lang w:val="en-GB"/>
        </w:rPr>
        <w:t xml:space="preserve"> security challenges and threats specific to DLT systems and DLT application scenarios. Based on analysis of security threats and security requirements to DLT, Recommendation ITU-T X.1402 describes security capabilities that could mitiga</w:t>
      </w:r>
      <w:r w:rsidR="004E2768" w:rsidRPr="004E2768">
        <w:rPr>
          <w:rFonts w:hint="eastAsia"/>
          <w:lang w:val="en-GB"/>
        </w:rPr>
        <w:t>te the related security threats</w:t>
      </w:r>
      <w:r w:rsidR="004E2768" w:rsidRPr="004E2768">
        <w:rPr>
          <w:lang w:val="en-GB"/>
        </w:rPr>
        <w:t xml:space="preserve"> </w:t>
      </w:r>
      <w:r w:rsidR="004E2768" w:rsidRPr="004E2768">
        <w:rPr>
          <w:rFonts w:hint="eastAsia"/>
          <w:lang w:val="en-GB"/>
        </w:rPr>
        <w:t xml:space="preserve">and </w:t>
      </w:r>
      <w:r w:rsidR="004E2768" w:rsidRPr="004E2768">
        <w:rPr>
          <w:lang w:val="en-GB"/>
        </w:rPr>
        <w:t xml:space="preserve">specifies </w:t>
      </w:r>
      <w:r w:rsidR="004E2768" w:rsidRPr="004E2768">
        <w:rPr>
          <w:rFonts w:hint="eastAsia"/>
          <w:lang w:val="en-GB"/>
        </w:rPr>
        <w:t xml:space="preserve">a security framework methodology </w:t>
      </w:r>
      <w:r w:rsidR="004E2768" w:rsidRPr="004E2768">
        <w:rPr>
          <w:lang w:val="en-GB"/>
        </w:rPr>
        <w:t xml:space="preserve">to </w:t>
      </w:r>
      <w:r w:rsidR="004E2768" w:rsidRPr="004E2768">
        <w:rPr>
          <w:rFonts w:hint="eastAsia"/>
          <w:lang w:val="en-GB"/>
        </w:rPr>
        <w:t>determin</w:t>
      </w:r>
      <w:r w:rsidR="004E2768" w:rsidRPr="004E2768">
        <w:rPr>
          <w:lang w:val="en-GB"/>
        </w:rPr>
        <w:t>e</w:t>
      </w:r>
      <w:r w:rsidR="004E2768" w:rsidRPr="004E2768">
        <w:rPr>
          <w:rFonts w:hint="eastAsia"/>
          <w:lang w:val="en-GB"/>
        </w:rPr>
        <w:t xml:space="preserve"> </w:t>
      </w:r>
      <w:r w:rsidR="004E2768" w:rsidRPr="004E2768">
        <w:rPr>
          <w:lang w:val="en-GB"/>
        </w:rPr>
        <w:t>how to use</w:t>
      </w:r>
      <w:r w:rsidR="004E2768" w:rsidRPr="004E2768">
        <w:rPr>
          <w:rFonts w:hint="eastAsia"/>
          <w:lang w:val="en-GB"/>
        </w:rPr>
        <w:t xml:space="preserve"> these security capabilities to mitigate security threats for a specific DLT system.</w:t>
      </w:r>
    </w:p>
    <w:p w14:paraId="5567B9CC" w14:textId="0E385F3B" w:rsidR="001F6191" w:rsidRDefault="001F6191" w:rsidP="000D6D7F">
      <w:pPr>
        <w:rPr>
          <w:lang w:val="en-GB"/>
        </w:rPr>
      </w:pPr>
      <w:r w:rsidRPr="0039167D">
        <w:rPr>
          <w:b/>
          <w:lang w:val="en-GB"/>
        </w:rPr>
        <w:t xml:space="preserve">ITU-T X.1403 “Security guidelines for using DLT for decentralized identity management” (under </w:t>
      </w:r>
      <w:r w:rsidR="00D35063">
        <w:rPr>
          <w:b/>
          <w:lang w:val="en-GB"/>
        </w:rPr>
        <w:t>publication</w:t>
      </w:r>
      <w:r w:rsidRPr="0039167D">
        <w:rPr>
          <w:b/>
          <w:lang w:val="en-GB"/>
        </w:rPr>
        <w:t>)</w:t>
      </w:r>
      <w:r w:rsidRPr="00202617">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40C8280A" w:rsidR="00682DC7" w:rsidRPr="00177A59" w:rsidRDefault="65A7D319" w:rsidP="00682DC7">
      <w:pPr>
        <w:spacing w:before="115"/>
        <w:jc w:val="both"/>
      </w:pPr>
      <w:r w:rsidRPr="65A54C5D">
        <w:rPr>
          <w:b/>
          <w:bCs/>
          <w:lang w:val="en-GB" w:eastAsia="en-US"/>
        </w:rPr>
        <w:t xml:space="preserve">ITU-T X.1404 “Security assurance for distributed ledger </w:t>
      </w:r>
      <w:proofErr w:type="gramStart"/>
      <w:r w:rsidRPr="65A54C5D">
        <w:rPr>
          <w:b/>
          <w:bCs/>
          <w:lang w:val="en-GB" w:eastAsia="en-US"/>
        </w:rPr>
        <w:t>technology”(</w:t>
      </w:r>
      <w:proofErr w:type="gramEnd"/>
      <w:r w:rsidRPr="65A54C5D">
        <w:rPr>
          <w:b/>
          <w:bCs/>
          <w:lang w:val="en-GB" w:eastAsia="en-US"/>
        </w:rPr>
        <w:t xml:space="preserve">under approval): </w:t>
      </w:r>
      <w:r w:rsidR="00682DC7" w:rsidRPr="00177A59">
        <w:t xml:space="preserve">A distributed ledger technology (DLT) is defined as a shared digital ledger, or a continually updated list of all transactions. Assurance is the degree of confidence that the process or deliverable meets defined characteristics or objective. Security assurance is the capability of a DLT system to determine, with some level of certainty, that a claim to a particular security of DLT can be trusted to </w:t>
      </w:r>
      <w:proofErr w:type="gramStart"/>
      <w:r w:rsidR="00682DC7" w:rsidRPr="00177A59">
        <w:t>actually be</w:t>
      </w:r>
      <w:proofErr w:type="gramEnd"/>
      <w:r w:rsidR="00682DC7" w:rsidRPr="00177A59">
        <w:t xml:space="preserve"> the claimant's "true" security. An assurance level is a quantitative expression of assurance agreed among the relevant parties. A consensus mechanism such as Proof of Work uses computational power to validate new blocks of data in the distributed ledger system. This Recommendation defines three levels of security assurance for the distributed ledger technology. It also defines security assurance components and criteria for each of three levels of security assurance for each security assurance components. It also provides a mapping between specific threats and security assurance components and a mapping between specific capabilities and security assurance components.</w:t>
      </w:r>
    </w:p>
    <w:p w14:paraId="6567ABE1" w14:textId="29742610" w:rsidR="0050368E" w:rsidRPr="0039167D" w:rsidRDefault="0050368E" w:rsidP="00682DC7">
      <w:pPr>
        <w:rPr>
          <w:lang w:val="en-GB"/>
        </w:rPr>
      </w:pPr>
      <w:r w:rsidRPr="0039167D">
        <w:rPr>
          <w:b/>
          <w:bCs/>
          <w:lang w:val="en-GB"/>
        </w:rPr>
        <w:t>ITU-T Y.3530 “Cloud computing - Functional requirements for blockchain as a service” (under approval)</w:t>
      </w:r>
      <w:r w:rsidRPr="0039167D">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w:t>
      </w:r>
      <w:proofErr w:type="gramStart"/>
      <w:r w:rsidRPr="0039167D">
        <w:rPr>
          <w:lang w:val="en-GB"/>
        </w:rPr>
        <w:t>deploy</w:t>
      </w:r>
      <w:proofErr w:type="gramEnd"/>
      <w:r w:rsidRPr="0039167D">
        <w:rPr>
          <w:lang w:val="en-GB"/>
        </w:rPr>
        <w:t xml:space="preserve"> and operate decentralized applications. This Recommendation introduces blockchain and blockchain as a service. This Recommendation also provides functional requirements of blockchain as a service which is derived from use cases.</w:t>
      </w:r>
    </w:p>
    <w:p w14:paraId="5B5D6F30" w14:textId="7A89A213" w:rsidR="00D6037D" w:rsidRPr="00D6037D" w:rsidRDefault="00D6037D" w:rsidP="00D6037D">
      <w:pPr>
        <w:rPr>
          <w:lang w:val="en-GB"/>
        </w:rPr>
      </w:pPr>
      <w:r w:rsidRPr="0039167D">
        <w:rPr>
          <w:b/>
          <w:bCs/>
          <w:lang w:val="en-GB"/>
        </w:rPr>
        <w:t>ITU-T Y.3531 “Cloud computing - Functional requirements for machine learning as a service” (under approval)</w:t>
      </w:r>
      <w:r w:rsidRPr="0039167D">
        <w:rPr>
          <w:lang w:val="en-GB"/>
        </w:rPr>
        <w:t xml:space="preserve"> p</w:t>
      </w:r>
      <w:r w:rsidRPr="00D6037D">
        <w:rPr>
          <w:lang w:val="en-GB"/>
        </w:rPr>
        <w:t>rovides cloud computing requirements for machine learning as a service (</w:t>
      </w:r>
      <w:proofErr w:type="spellStart"/>
      <w:r w:rsidRPr="00D6037D">
        <w:rPr>
          <w:lang w:val="en-GB"/>
        </w:rPr>
        <w:t>MLaaS</w:t>
      </w:r>
      <w:proofErr w:type="spellEnd"/>
      <w:r w:rsidRPr="00D6037D">
        <w:rPr>
          <w:lang w:val="en-GB"/>
        </w:rPr>
        <w:t xml:space="preserve">), which addresses requirements from use cases. Machine learning as a service is a cloud service category in which the capability provided to the cloud service customer is the </w:t>
      </w:r>
      <w:r w:rsidRPr="00D6037D">
        <w:rPr>
          <w:lang w:val="en-GB"/>
        </w:rPr>
        <w:lastRenderedPageBreak/>
        <w:t>provision and use of machine learning framework. Machine learning framework is a set of functionalities for provisioning machine learning data as well as training, deploying, and managing machine learning model.</w:t>
      </w:r>
    </w:p>
    <w:p w14:paraId="6689E890" w14:textId="2A7F5DFA" w:rsidR="00D6037D" w:rsidRPr="00952FDF" w:rsidRDefault="00D6037D" w:rsidP="00D6037D">
      <w:pPr>
        <w:rPr>
          <w:highlight w:val="yellow"/>
          <w:lang w:val="en-GB"/>
        </w:rPr>
      </w:pPr>
      <w:r w:rsidRPr="00D6037D">
        <w:rPr>
          <w:lang w:val="en-GB"/>
        </w:rPr>
        <w:t xml:space="preserve">On the perspective of cloud computing service provisioning, this Recommendation provides the functional requirements for </w:t>
      </w:r>
      <w:proofErr w:type="spellStart"/>
      <w:r w:rsidRPr="00D6037D">
        <w:rPr>
          <w:lang w:val="en-GB"/>
        </w:rPr>
        <w:t>MLaaS</w:t>
      </w:r>
      <w:proofErr w:type="spellEnd"/>
      <w:r w:rsidRPr="00D6037D">
        <w:rPr>
          <w:lang w:val="en-GB"/>
        </w:rPr>
        <w:t xml:space="preserve"> to identify functionalities such as machine learning data pre-processing, machine learning model training, machine learning model testing, and etc. Also, this Recommendation aligned with the cloud computing reference architecture of [ITU-T Y.3502].</w:t>
      </w:r>
    </w:p>
    <w:p w14:paraId="3EB392B7" w14:textId="4D1B9CE7" w:rsidR="5AAAD7BE" w:rsidRDefault="00C44FDC" w:rsidP="6171A8C9">
      <w:pPr>
        <w:rPr>
          <w:lang w:val="en-GB"/>
        </w:rPr>
      </w:pPr>
      <w:hyperlink r:id="rId347">
        <w:r w:rsidR="5AAAD7BE" w:rsidRPr="6171A8C9">
          <w:rPr>
            <w:rStyle w:val="Hyperlink"/>
            <w:b/>
            <w:bCs/>
            <w:lang w:val="en-GB"/>
          </w:rPr>
          <w:t>ITU-T Y.4560 “Blockchain-based data exchange and sharing for supporting Internet of things and smart cities and communities”</w:t>
        </w:r>
      </w:hyperlink>
      <w:r w:rsidR="5AAAD7BE" w:rsidRPr="6171A8C9">
        <w:rPr>
          <w:b/>
          <w:bCs/>
          <w:lang w:val="en-GB"/>
        </w:rPr>
        <w:t>:</w:t>
      </w:r>
      <w:r w:rsidR="5AAAD7BE" w:rsidRPr="6171A8C9">
        <w:rPr>
          <w:lang w:val="en-GB"/>
        </w:rPr>
        <w:t xml:space="preserve"> 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This Recommendation specifies the requirements, functional models, a </w:t>
      </w:r>
      <w:proofErr w:type="gramStart"/>
      <w:r w:rsidR="5AAAD7BE" w:rsidRPr="6171A8C9">
        <w:rPr>
          <w:lang w:val="en-GB"/>
        </w:rPr>
        <w:t>platform</w:t>
      </w:r>
      <w:proofErr w:type="gramEnd"/>
      <w:r w:rsidR="5AAAD7BE" w:rsidRPr="6171A8C9">
        <w:rPr>
          <w:lang w:val="en-GB"/>
        </w:rPr>
        <w:t xml:space="preserve"> and deployment modes of blockchain-based data exchange and sharing for supporting IoT and SC&amp;C.</w:t>
      </w:r>
    </w:p>
    <w:p w14:paraId="2F1CE1CE" w14:textId="6095CA31" w:rsidR="5AAAD7BE" w:rsidRDefault="00C44FDC" w:rsidP="6171A8C9">
      <w:pPr>
        <w:rPr>
          <w:lang w:val="en-GB"/>
        </w:rPr>
      </w:pPr>
      <w:hyperlink r:id="rId348">
        <w:r w:rsidR="5AAAD7BE" w:rsidRPr="6171A8C9">
          <w:rPr>
            <w:rStyle w:val="Hyperlink"/>
            <w:b/>
            <w:bCs/>
            <w:lang w:val="en-GB"/>
          </w:rPr>
          <w:t>ITU-T Y.4561 “Blockchain-based Data Management for supporting Internet of things and smart cities and communities”</w:t>
        </w:r>
      </w:hyperlink>
      <w:r w:rsidR="5AAAD7BE" w:rsidRPr="6171A8C9">
        <w:rPr>
          <w:b/>
          <w:bCs/>
          <w:lang w:val="en-GB"/>
        </w:rPr>
        <w:t>:</w:t>
      </w:r>
      <w:r w:rsidR="5AAAD7BE" w:rsidRPr="6171A8C9">
        <w:rPr>
          <w:lang w:val="en-GB"/>
        </w:rPr>
        <w:t xml:space="preserve"> Along with the development of the Internet of things (IoT) and smart cities and communities (SC&amp;C), various applications have different kinds of requirements for data management, and there are many challenges, especially in data representing, data processing, data service provisioning, and other aspects in a secure and effective manner. Meanwhile, blockchain as an emerging technology possesses the characteristics of trust, transparency, </w:t>
      </w:r>
      <w:proofErr w:type="gramStart"/>
      <w:r w:rsidR="5AAAD7BE" w:rsidRPr="6171A8C9">
        <w:rPr>
          <w:lang w:val="en-GB"/>
        </w:rPr>
        <w:t>traceability</w:t>
      </w:r>
      <w:proofErr w:type="gramEnd"/>
      <w:r w:rsidR="5AAAD7BE" w:rsidRPr="6171A8C9">
        <w:rPr>
          <w:lang w:val="en-GB"/>
        </w:rPr>
        <w:t xml:space="preserve"> and accountability. It has the potential capabilities to solve the existing issues in data management. This Recommendation specifies the requirements, generic reference model, common </w:t>
      </w:r>
      <w:proofErr w:type="gramStart"/>
      <w:r w:rsidR="5AAAD7BE" w:rsidRPr="6171A8C9">
        <w:rPr>
          <w:lang w:val="en-GB"/>
        </w:rPr>
        <w:t>capabilities</w:t>
      </w:r>
      <w:proofErr w:type="gramEnd"/>
      <w:r w:rsidR="5AAAD7BE" w:rsidRPr="6171A8C9">
        <w:rPr>
          <w:lang w:val="en-GB"/>
        </w:rPr>
        <w:t xml:space="preserve"> and procedures of blockchain-based data management.</w:t>
      </w:r>
    </w:p>
    <w:p w14:paraId="5DF9C1FC" w14:textId="46A2A76F" w:rsidR="5AAAD7BE" w:rsidRDefault="5AAAD7BE">
      <w:r w:rsidRPr="6171A8C9">
        <w:rPr>
          <w:b/>
          <w:bCs/>
          <w:color w:val="0000FF"/>
          <w:szCs w:val="24"/>
          <w:u w:val="single"/>
        </w:rPr>
        <w:t>ITU-T Y.4907 “Reference architecture of blockchain-based unified KPI data management for smart sustainable cities”</w:t>
      </w:r>
      <w:r w:rsidRPr="6171A8C9">
        <w:rPr>
          <w:b/>
          <w:bCs/>
          <w:szCs w:val="24"/>
          <w:lang w:val="en-GB"/>
        </w:rPr>
        <w:t>:</w:t>
      </w:r>
      <w:r w:rsidRPr="6171A8C9">
        <w:rPr>
          <w:szCs w:val="24"/>
          <w:lang w:val="en-GB"/>
        </w:rPr>
        <w:t xml:space="preserve"> This Recommendation provides a reference architecture for blockchain-based unified KPI (key performance indicator) data management for smart sustainable cities (BKDMS). This Recommendation provides the concept, </w:t>
      </w:r>
      <w:proofErr w:type="gramStart"/>
      <w:r w:rsidRPr="6171A8C9">
        <w:rPr>
          <w:szCs w:val="24"/>
          <w:lang w:val="en-GB"/>
        </w:rPr>
        <w:t>characteristics</w:t>
      </w:r>
      <w:proofErr w:type="gramEnd"/>
      <w:r w:rsidRPr="6171A8C9">
        <w:rPr>
          <w:szCs w:val="24"/>
          <w:lang w:val="en-GB"/>
        </w:rPr>
        <w:t xml:space="preserve"> and high-level requirements of BKDMS. A reference architecture including capabilities of its functional entities is described in </w:t>
      </w:r>
      <w:proofErr w:type="gramStart"/>
      <w:r w:rsidRPr="6171A8C9">
        <w:rPr>
          <w:szCs w:val="24"/>
          <w:lang w:val="en-GB"/>
        </w:rPr>
        <w:t>details</w:t>
      </w:r>
      <w:proofErr w:type="gramEnd"/>
      <w:r w:rsidRPr="6171A8C9">
        <w:rPr>
          <w:szCs w:val="24"/>
          <w:lang w:val="en-GB"/>
        </w:rPr>
        <w:t>, and unified structures of KPI data are also introduced with which to ensure BKDMS realizable.</w:t>
      </w:r>
    </w:p>
    <w:p w14:paraId="4275F37B" w14:textId="040E139B" w:rsidR="006A46AE" w:rsidRPr="00CC0504" w:rsidRDefault="006A46AE" w:rsidP="006A46AE">
      <w:pPr>
        <w:pStyle w:val="Headingb"/>
      </w:pPr>
      <w:bookmarkStart w:id="242" w:name="_Toc480527904"/>
      <w:r w:rsidRPr="00CC0504">
        <w:t>I.6.1</w:t>
      </w:r>
      <w:r w:rsidRPr="00CC0504">
        <w:tab/>
        <w:t>Green ICT standards</w:t>
      </w:r>
      <w:bookmarkEnd w:id="242"/>
    </w:p>
    <w:p w14:paraId="0DAEB599" w14:textId="7384ED76" w:rsidR="00365779" w:rsidRPr="00365779" w:rsidRDefault="00365779" w:rsidP="00365779">
      <w:pPr>
        <w:rPr>
          <w:lang w:val="en-GB"/>
        </w:rPr>
      </w:pPr>
      <w:r w:rsidRPr="0039167D">
        <w:rPr>
          <w:b/>
          <w:lang w:val="en-GB"/>
        </w:rPr>
        <w:t>ITU-T L.1023 “Assessment method for Circular Scoring” (under approval)</w:t>
      </w:r>
      <w:r>
        <w:rPr>
          <w:lang w:val="en-GB"/>
        </w:rPr>
        <w:t xml:space="preserve"> </w:t>
      </w:r>
      <w:r w:rsidRPr="00365779">
        <w:rPr>
          <w:lang w:val="en-GB"/>
        </w:rPr>
        <w:t>outlines an assessment methodology for circularity scoring of ICT goods.</w:t>
      </w:r>
      <w:r>
        <w:rPr>
          <w:lang w:val="en-GB"/>
        </w:rPr>
        <w:t xml:space="preserve"> </w:t>
      </w:r>
      <w:r w:rsidRPr="00365779">
        <w:rPr>
          <w:lang w:val="en-GB"/>
        </w:rPr>
        <w:t>The assessment method consist</w:t>
      </w:r>
      <w:r w:rsidR="001D47FB">
        <w:rPr>
          <w:lang w:val="en-GB"/>
        </w:rPr>
        <w:t>s</w:t>
      </w:r>
      <w:r w:rsidRPr="00365779">
        <w:rPr>
          <w:lang w:val="en-GB"/>
        </w:rPr>
        <w:t xml:space="preserve"> of three steps:</w:t>
      </w:r>
    </w:p>
    <w:p w14:paraId="0C8A49DE" w14:textId="30BA2B13" w:rsidR="00365779" w:rsidRDefault="00365779" w:rsidP="00365779">
      <w:pPr>
        <w:pStyle w:val="Text"/>
        <w:spacing w:before="120"/>
      </w:pPr>
      <w:r w:rsidRPr="00365779">
        <w:rPr>
          <w:lang w:val="en-GB"/>
        </w:rPr>
        <w:t xml:space="preserve">1) </w:t>
      </w:r>
      <w:r>
        <w:t>Setting the relevance and applicability (</w:t>
      </w:r>
      <w:r w:rsidRPr="00574089">
        <w:rPr>
          <w:i/>
        </w:rPr>
        <w:t>R</w:t>
      </w:r>
      <w:r>
        <w:t xml:space="preserve">) of each </w:t>
      </w:r>
      <w:proofErr w:type="gramStart"/>
      <w:r>
        <w:t>criteria</w:t>
      </w:r>
      <w:proofErr w:type="gramEnd"/>
      <w:r>
        <w:t xml:space="preserve"> for circular product design (</w:t>
      </w:r>
      <w:r w:rsidRPr="00574089">
        <w:rPr>
          <w:i/>
        </w:rPr>
        <w:t>CCPD</w:t>
      </w:r>
      <w:r>
        <w:t>) for the ICT good at hand,</w:t>
      </w:r>
    </w:p>
    <w:p w14:paraId="30408CEF" w14:textId="7C365F90" w:rsidR="00365779" w:rsidRDefault="00365779" w:rsidP="00365779">
      <w:pPr>
        <w:pStyle w:val="Text"/>
        <w:spacing w:before="120"/>
      </w:pPr>
      <w:r>
        <w:t>2) Assess the margin of improvement (</w:t>
      </w:r>
      <w:r w:rsidRPr="00574089">
        <w:rPr>
          <w:i/>
        </w:rPr>
        <w:t>MI</w:t>
      </w:r>
      <w:r>
        <w:t xml:space="preserve">) of each </w:t>
      </w:r>
      <w:r w:rsidRPr="00574089">
        <w:rPr>
          <w:i/>
        </w:rPr>
        <w:t>CCPD</w:t>
      </w:r>
      <w:r>
        <w:t>,</w:t>
      </w:r>
    </w:p>
    <w:p w14:paraId="376B8B03" w14:textId="77777777" w:rsidR="00365779" w:rsidRDefault="00365779" w:rsidP="00365779">
      <w:pPr>
        <w:pStyle w:val="Text"/>
        <w:spacing w:before="120"/>
      </w:pPr>
      <w:r>
        <w:t>3) Calculate the circularity score from 0 to 100 % for the ICT good at hand for all three Circular Design Guideline Groups (</w:t>
      </w:r>
      <w:r w:rsidRPr="00574089">
        <w:rPr>
          <w:i/>
        </w:rPr>
        <w:t>CDGGs</w:t>
      </w:r>
      <w:r>
        <w:t>). This includes:</w:t>
      </w:r>
    </w:p>
    <w:p w14:paraId="7FB07D0C" w14:textId="77777777" w:rsidR="00365779" w:rsidRDefault="00365779" w:rsidP="0063096B">
      <w:pPr>
        <w:pStyle w:val="Text"/>
        <w:numPr>
          <w:ilvl w:val="0"/>
          <w:numId w:val="33"/>
        </w:numPr>
        <w:spacing w:before="120"/>
      </w:pPr>
      <w:r>
        <w:t xml:space="preserve">Using a predefined value matrix to identify the % score from 0 to 100 for each combination of </w:t>
      </w:r>
      <w:r w:rsidRPr="00574089">
        <w:rPr>
          <w:i/>
        </w:rPr>
        <w:t>R×MI</w:t>
      </w:r>
      <w:r>
        <w:t>.</w:t>
      </w:r>
    </w:p>
    <w:p w14:paraId="42811D1A" w14:textId="46E2A3BE" w:rsidR="00365779" w:rsidRPr="00365779" w:rsidRDefault="00365779" w:rsidP="0063096B">
      <w:pPr>
        <w:pStyle w:val="Text"/>
        <w:numPr>
          <w:ilvl w:val="0"/>
          <w:numId w:val="33"/>
        </w:numPr>
        <w:spacing w:before="120"/>
      </w:pPr>
      <w:r>
        <w:lastRenderedPageBreak/>
        <w:t xml:space="preserve">Average the included </w:t>
      </w:r>
      <w:r w:rsidRPr="00365779">
        <w:rPr>
          <w:i/>
        </w:rPr>
        <w:t>CCPDs</w:t>
      </w:r>
      <w:r>
        <w:t xml:space="preserve"> for the ICT good at hand separately for all three </w:t>
      </w:r>
      <w:r w:rsidRPr="00365779">
        <w:rPr>
          <w:i/>
        </w:rPr>
        <w:t>CDGGs:</w:t>
      </w:r>
      <w:r>
        <w:t xml:space="preserve"> Product Durability, Ability to Recycle, Repair, Reuse, and Upgrade from equipment and manufacturer level.</w:t>
      </w:r>
    </w:p>
    <w:p w14:paraId="3F458F4B" w14:textId="0EDF6C39" w:rsidR="00912E17" w:rsidRPr="00952FDF" w:rsidRDefault="00912E17" w:rsidP="00912E17">
      <w:pPr>
        <w:rPr>
          <w:highlight w:val="yellow"/>
          <w:lang w:val="en-GB"/>
        </w:rPr>
      </w:pPr>
      <w:r w:rsidRPr="0039167D">
        <w:rPr>
          <w:b/>
          <w:lang w:val="en-GB"/>
        </w:rPr>
        <w:t>ITU-T L.1310 (revised) “Energy efficiency metrics and measurement methods for telecommunication equipment” (under approval)</w:t>
      </w:r>
      <w:r>
        <w:rPr>
          <w:lang w:val="en-GB"/>
        </w:rPr>
        <w:t xml:space="preserve"> </w:t>
      </w:r>
      <w:r w:rsidRPr="00912E17">
        <w:rPr>
          <w:lang w:val="en-GB"/>
        </w:rPr>
        <w:t>contains the definition of energy efficiency/performance metrics test procedures, methodologies and measurement profiles required to assess the energy efficiency/performance of telecommunication equipment. Energy efficiency/performance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5A07CF23" w14:textId="4B8DEF6D" w:rsidR="000602E1" w:rsidRDefault="00C44FDC" w:rsidP="000602E1">
      <w:pPr>
        <w:rPr>
          <w:highlight w:val="yellow"/>
          <w:lang w:val="en-GB"/>
        </w:rPr>
      </w:pPr>
      <w:hyperlink r:id="rId349" w:history="1">
        <w:r w:rsidR="000602E1" w:rsidRPr="00A61487">
          <w:rPr>
            <w:rStyle w:val="Hyperlink"/>
            <w:b/>
            <w:bCs/>
            <w:lang w:val="en-GB"/>
          </w:rPr>
          <w:t>ITU-T L.1371 “A methodology for assessing and scoring the sustainability performance of office buildings”</w:t>
        </w:r>
      </w:hyperlink>
      <w:r w:rsidR="000602E1">
        <w:rPr>
          <w:lang w:val="en-GB"/>
        </w:rPr>
        <w:t xml:space="preserve"> </w:t>
      </w:r>
      <w:r w:rsidR="000602E1" w:rsidRPr="000602E1">
        <w:rPr>
          <w:lang w:val="en-GB"/>
        </w:rPr>
        <w:t xml:space="preserve">provides a consistent framework for building owners, managers and operators to critically assess, score and improve the sustainability performance of office buildings in ten key areas; Energy, Water, Air, Comfort, Health &amp; Wellness, Purchasing, Custodial, Waste, Site, and Stakeholders. The framework described in this Recommendation provides a set concrete and measurable steps to reduce the environmental impacts, and specifically the Greenhouse Gas emissions, of existing office buildings, thus contributing to the achievement of the Sustainable Development Goal 11 ‘Make cities and human settlements inclusive, safe, resilient and sustainable’. The Annex to this Recommendation specifically contains an assessment scoring methodology to allow owners and managers to undertake a </w:t>
      </w:r>
      <w:proofErr w:type="spellStart"/>
      <w:r w:rsidR="000602E1" w:rsidRPr="000602E1">
        <w:rPr>
          <w:lang w:val="en-GB"/>
        </w:rPr>
        <w:t>self assessment</w:t>
      </w:r>
      <w:proofErr w:type="spellEnd"/>
      <w:r w:rsidR="000602E1" w:rsidRPr="000602E1">
        <w:rPr>
          <w:lang w:val="en-GB"/>
        </w:rPr>
        <w:t xml:space="preserve"> to evaluate their building’s current status and track progress going forward.</w:t>
      </w:r>
    </w:p>
    <w:p w14:paraId="237C017B" w14:textId="3E7FB975" w:rsidR="004C1094" w:rsidRDefault="00C44FDC" w:rsidP="004C1094">
      <w:pPr>
        <w:rPr>
          <w:lang w:val="en-GB"/>
        </w:rPr>
      </w:pPr>
      <w:hyperlink r:id="rId350" w:history="1">
        <w:r w:rsidR="004C1094" w:rsidRPr="008C26F9">
          <w:rPr>
            <w:rStyle w:val="Hyperlink"/>
            <w:b/>
            <w:bCs/>
            <w:lang w:val="en-GB"/>
          </w:rPr>
          <w:t>ITU-T L.1381 “Smart energy solution for data centre”</w:t>
        </w:r>
      </w:hyperlink>
      <w:r w:rsidR="004C1094" w:rsidRPr="008C26F9">
        <w:rPr>
          <w:lang w:val="en-GB"/>
        </w:rPr>
        <w:t>:</w:t>
      </w:r>
      <w:r w:rsidR="004C1094">
        <w:rPr>
          <w:lang w:val="en-GB"/>
        </w:rPr>
        <w:t xml:space="preserve"> </w:t>
      </w:r>
      <w:r w:rsidR="004C1094" w:rsidRPr="004C1094">
        <w:rPr>
          <w:lang w:val="en-GB"/>
        </w:rPr>
        <w:t xml:space="preserve">The smart control strategy on whole data centre energy system including the different power feeding solutions and cooling solutions are considered to get the higher energy efficiency and decrease the whole energy consumption. Firstly, for multiple energy input system, PV, wind, fuel cells, the grid, power generator and batteries were connected to the system. How to control these different energy inputs in smart way to increase the energy efficiency and also decrease the carbon emission will be considered in this Recommendation. In addition, for smart cooling system, how to use the outside cool air and maximize utilization of ICT side cooling such as ICT rack cooling, row cooling methods and liquid cooling etc. This Recommendation focuses on smart energy solutions for data centre to achieve green and sustainable goals including </w:t>
      </w:r>
      <w:proofErr w:type="gramStart"/>
      <w:r w:rsidR="004C1094" w:rsidRPr="004C1094">
        <w:rPr>
          <w:lang w:val="en-GB"/>
        </w:rPr>
        <w:t>environmental</w:t>
      </w:r>
      <w:proofErr w:type="gramEnd"/>
      <w:r w:rsidR="004C1094" w:rsidRPr="004C1094">
        <w:rPr>
          <w:lang w:val="en-GB"/>
        </w:rPr>
        <w:t xml:space="preserve"> friendly, decreasing carbon emissions, increasing energy efficiency and extending product life etc.</w:t>
      </w:r>
    </w:p>
    <w:p w14:paraId="1EF3912B" w14:textId="545E22BE" w:rsidR="001B4F2B" w:rsidRPr="00952FDF" w:rsidRDefault="00C44FDC" w:rsidP="001B4F2B">
      <w:pPr>
        <w:rPr>
          <w:highlight w:val="yellow"/>
          <w:lang w:val="en-GB"/>
        </w:rPr>
      </w:pPr>
      <w:hyperlink r:id="rId351" w:history="1">
        <w:r w:rsidR="001B4F2B" w:rsidRPr="008C26F9">
          <w:rPr>
            <w:rStyle w:val="Hyperlink"/>
            <w:b/>
            <w:bCs/>
            <w:lang w:val="en-GB"/>
          </w:rPr>
          <w:t>ITU-T L.1382 “Smart energy solution for telecommunication rooms”</w:t>
        </w:r>
      </w:hyperlink>
      <w:r w:rsidR="001B4F2B">
        <w:rPr>
          <w:lang w:val="en-GB"/>
        </w:rPr>
        <w:t xml:space="preserve"> </w:t>
      </w:r>
      <w:r w:rsidR="001B4F2B" w:rsidRPr="001B4F2B">
        <w:rPr>
          <w:lang w:val="en-GB"/>
        </w:rPr>
        <w:t>provides requirements on the power supply mode of the three-layer architecture of the telecommunication rooms. It aims to drive future-oriented network deployment for the ICT industry, maximize the energy efficiency , the use of renewable resources, and social resources in the digital era, and reduce energy and resource consumption while ensuring network performance and user experience, innovative ICT technologies are used to promote network energy saving, emission reduction, circular economy development, and continuously drive all parties in the industry chain to jointly build green networks and low-carbon societies. In addition, this standard provides suggestions and requirements on the deployment of three types of telecommunication rooms, which can be used as a reference for telecom operators to build the target network evolution strategies for telecommunication room power supply. This standard accelerates network deployment, reduces CAPEX and OPEX, optimizes investment efficiency, and guides ICT industry transformation and optimization. The new networking architecture, new power supply technologies, and specifications mentioned in this document will also effectively promote the upgrade of industry technologies.</w:t>
      </w:r>
    </w:p>
    <w:p w14:paraId="6833950F" w14:textId="60B41AAA" w:rsidR="009A35A4" w:rsidRPr="00952FDF" w:rsidRDefault="00C44FDC" w:rsidP="009A35A4">
      <w:pPr>
        <w:rPr>
          <w:highlight w:val="yellow"/>
          <w:lang w:val="en-GB"/>
        </w:rPr>
      </w:pPr>
      <w:hyperlink r:id="rId352" w:history="1">
        <w:r w:rsidR="009A35A4" w:rsidRPr="00621243">
          <w:rPr>
            <w:rStyle w:val="Hyperlink"/>
            <w:b/>
            <w:bCs/>
            <w:lang w:val="en-GB"/>
          </w:rPr>
          <w:t>ITU-T L.Suppl.37 “Guidance to operators of mobile networks, fixed networks and data-centres on setting 1.5°C aligned targets compliant with Recommendation ITU-T L.1470”</w:t>
        </w:r>
      </w:hyperlink>
      <w:r w:rsidR="009A35A4">
        <w:rPr>
          <w:lang w:val="en-GB"/>
        </w:rPr>
        <w:t xml:space="preserve"> </w:t>
      </w:r>
      <w:r w:rsidR="009A35A4" w:rsidRPr="009A35A4">
        <w:rPr>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developed to be used as a sectoral target-setting approach by the Science Based Targets Initiative (SBTi). This supplement focuses exclusively on ICT organizations operating mobile networks, fixed networks and/or data centres. Guidance for further ICT sub-sectors will be covered separately.</w:t>
      </w:r>
    </w:p>
    <w:p w14:paraId="33F70D2A" w14:textId="77777777" w:rsidR="006A46AE" w:rsidRPr="00825276" w:rsidRDefault="006A46AE" w:rsidP="006A46AE">
      <w:pPr>
        <w:pStyle w:val="Headingb"/>
      </w:pPr>
      <w:bookmarkStart w:id="243" w:name="_Toc480527905"/>
      <w:r w:rsidRPr="00825276">
        <w:t>I.6.2</w:t>
      </w:r>
      <w:r w:rsidRPr="00825276">
        <w:tab/>
        <w:t>Electromagnetic fields</w:t>
      </w:r>
      <w:bookmarkEnd w:id="243"/>
    </w:p>
    <w:p w14:paraId="011BE99C" w14:textId="6165B849" w:rsidR="00825276" w:rsidRDefault="00C44FDC" w:rsidP="00825276">
      <w:hyperlink r:id="rId353" w:history="1">
        <w:r w:rsidR="00825276" w:rsidRPr="00A8470F">
          <w:rPr>
            <w:rStyle w:val="Hyperlink"/>
            <w:b/>
            <w:bCs/>
          </w:rPr>
          <w:t>ITU-T K.21 (2019) Amd.1 “</w:t>
        </w:r>
        <w:r w:rsidR="00F477DC" w:rsidRPr="00A8470F">
          <w:rPr>
            <w:rStyle w:val="Hyperlink"/>
            <w:b/>
            <w:bCs/>
          </w:rPr>
          <w:t xml:space="preserve">Resistibility of telecommunication equipment installed in customer premises to </w:t>
        </w:r>
        <w:proofErr w:type="spellStart"/>
        <w:r w:rsidR="00F477DC" w:rsidRPr="00A8470F">
          <w:rPr>
            <w:rStyle w:val="Hyperlink"/>
            <w:b/>
            <w:bCs/>
          </w:rPr>
          <w:t>overvoltages</w:t>
        </w:r>
        <w:proofErr w:type="spellEnd"/>
        <w:r w:rsidR="00F477DC" w:rsidRPr="00A8470F">
          <w:rPr>
            <w:rStyle w:val="Hyperlink"/>
            <w:b/>
            <w:bCs/>
          </w:rPr>
          <w:t xml:space="preserve"> and </w:t>
        </w:r>
        <w:proofErr w:type="spellStart"/>
        <w:r w:rsidR="00F477DC" w:rsidRPr="00A8470F">
          <w:rPr>
            <w:rStyle w:val="Hyperlink"/>
            <w:b/>
            <w:bCs/>
          </w:rPr>
          <w:t>overcurrents</w:t>
        </w:r>
        <w:proofErr w:type="spellEnd"/>
        <w:r w:rsidR="00F477DC" w:rsidRPr="00A8470F">
          <w:rPr>
            <w:rStyle w:val="Hyperlink"/>
            <w:b/>
            <w:bCs/>
          </w:rPr>
          <w:t xml:space="preserve"> – Amendment 1: Resistibility of telecommunication equipment installed in customer premises to </w:t>
        </w:r>
        <w:proofErr w:type="spellStart"/>
        <w:r w:rsidR="00F477DC" w:rsidRPr="00A8470F">
          <w:rPr>
            <w:rStyle w:val="Hyperlink"/>
            <w:b/>
            <w:bCs/>
          </w:rPr>
          <w:t>overvoltages</w:t>
        </w:r>
        <w:proofErr w:type="spellEnd"/>
        <w:r w:rsidR="00F477DC" w:rsidRPr="00A8470F">
          <w:rPr>
            <w:rStyle w:val="Hyperlink"/>
            <w:b/>
            <w:bCs/>
          </w:rPr>
          <w:t xml:space="preserve"> and </w:t>
        </w:r>
        <w:proofErr w:type="spellStart"/>
        <w:r w:rsidR="00F477DC" w:rsidRPr="00A8470F">
          <w:rPr>
            <w:rStyle w:val="Hyperlink"/>
            <w:b/>
            <w:bCs/>
          </w:rPr>
          <w:t>overcurrents</w:t>
        </w:r>
        <w:proofErr w:type="spellEnd"/>
        <w:r w:rsidR="00825276" w:rsidRPr="00A8470F">
          <w:rPr>
            <w:rStyle w:val="Hyperlink"/>
            <w:b/>
            <w:bCs/>
          </w:rPr>
          <w:t>”</w:t>
        </w:r>
      </w:hyperlink>
      <w:r w:rsidR="00825276">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3D5CCD61" w14:textId="30B82BEF" w:rsidR="00DA5051" w:rsidRDefault="00C44FDC" w:rsidP="00DA5051">
      <w:hyperlink r:id="rId354" w:history="1">
        <w:r w:rsidR="00DA5051" w:rsidRPr="00DA3160">
          <w:rPr>
            <w:rStyle w:val="Hyperlink"/>
            <w:b/>
            <w:bCs/>
          </w:rPr>
          <w:t xml:space="preserve">ITU-T K.45 (2019) Amd.1 "Resistibility of telecommunication equipment installed in the access and trunk networks to </w:t>
        </w:r>
        <w:proofErr w:type="spellStart"/>
        <w:r w:rsidR="00DA5051" w:rsidRPr="00DA3160">
          <w:rPr>
            <w:rStyle w:val="Hyperlink"/>
            <w:b/>
            <w:bCs/>
          </w:rPr>
          <w:t>overvoltages</w:t>
        </w:r>
        <w:proofErr w:type="spellEnd"/>
        <w:r w:rsidR="00DA5051" w:rsidRPr="00DA3160">
          <w:rPr>
            <w:rStyle w:val="Hyperlink"/>
            <w:b/>
            <w:bCs/>
          </w:rPr>
          <w:t xml:space="preserve"> and </w:t>
        </w:r>
        <w:proofErr w:type="spellStart"/>
        <w:r w:rsidR="00DA5051" w:rsidRPr="00DA3160">
          <w:rPr>
            <w:rStyle w:val="Hyperlink"/>
            <w:b/>
            <w:bCs/>
          </w:rPr>
          <w:t>overcurrents</w:t>
        </w:r>
        <w:proofErr w:type="spellEnd"/>
        <w:r w:rsidR="00DA5051" w:rsidRPr="00DA3160">
          <w:rPr>
            <w:rStyle w:val="Hyperlink"/>
            <w:b/>
            <w:bCs/>
          </w:rPr>
          <w:t xml:space="preserve"> – Amendment 1: Resistibility of telecommunication equipment installed in the access and trunk networks to </w:t>
        </w:r>
        <w:proofErr w:type="spellStart"/>
        <w:r w:rsidR="00DA5051" w:rsidRPr="00DA3160">
          <w:rPr>
            <w:rStyle w:val="Hyperlink"/>
            <w:b/>
            <w:bCs/>
          </w:rPr>
          <w:t>overvoltages</w:t>
        </w:r>
        <w:proofErr w:type="spellEnd"/>
        <w:r w:rsidR="00DA5051" w:rsidRPr="00DA3160">
          <w:rPr>
            <w:rStyle w:val="Hyperlink"/>
            <w:b/>
            <w:bCs/>
          </w:rPr>
          <w:t xml:space="preserve"> and </w:t>
        </w:r>
        <w:proofErr w:type="spellStart"/>
        <w:r w:rsidR="00DA5051" w:rsidRPr="00DA3160">
          <w:rPr>
            <w:rStyle w:val="Hyperlink"/>
            <w:b/>
            <w:bCs/>
          </w:rPr>
          <w:t>overcurrents</w:t>
        </w:r>
        <w:proofErr w:type="spellEnd"/>
        <w:r w:rsidR="00DA5051" w:rsidRPr="00DA3160">
          <w:rPr>
            <w:rStyle w:val="Hyperlink"/>
            <w:b/>
            <w:bCs/>
          </w:rPr>
          <w:t>”</w:t>
        </w:r>
      </w:hyperlink>
      <w:r w:rsidR="00DA5051">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w:t>
      </w:r>
      <w:r w:rsidR="003E590D">
        <w:t>T</w:t>
      </w:r>
      <w:r w:rsidR="00DA5051">
        <w:t>o alert readers of this a text note has been inserted in the Comments column.</w:t>
      </w:r>
    </w:p>
    <w:p w14:paraId="7FEC85E1" w14:textId="11EC689A" w:rsidR="00854CDE" w:rsidRDefault="00C44FDC" w:rsidP="00854CDE">
      <w:hyperlink r:id="rId355" w:history="1">
        <w:r w:rsidR="00854CDE" w:rsidRPr="006F7F07">
          <w:rPr>
            <w:rStyle w:val="Hyperlink"/>
            <w:b/>
            <w:bCs/>
          </w:rPr>
          <w:t>ITU-T K.50 (2018) Amd.1 “Safe limits for operating voltages and currents in telecommunication systems powered over the network Amendment 1: Safe limits for operating voltages and currents of telecommunication systems powered over the network”</w:t>
        </w:r>
      </w:hyperlink>
      <w:r w:rsidR="00854CDE">
        <w:t xml:space="preserve"> updates Figure 3 to refer to ITU-T K.50 clauses rather than IEC 60950-1 clauses.</w:t>
      </w:r>
    </w:p>
    <w:p w14:paraId="2C96B67F" w14:textId="10EC8302" w:rsidR="004A4FC0" w:rsidRDefault="004A4FC0" w:rsidP="004A4FC0">
      <w:r w:rsidRPr="0039167D">
        <w:rPr>
          <w:b/>
        </w:rPr>
        <w:t>ITU-T K.56 (revised) “Protection of radio base stations against lightning discharges” (under approval)</w:t>
      </w:r>
      <w:r>
        <w:t xml:space="preserve"> presents the techniques applied to a telecommunication radio base station </w:t>
      </w:r>
      <w:proofErr w:type="gramStart"/>
      <w:r>
        <w:t>in order to</w:t>
      </w:r>
      <w:proofErr w:type="gramEnd"/>
      <w:r>
        <w:t xml:space="preserve">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w:t>
      </w:r>
      <w:proofErr w:type="gramStart"/>
      <w:r>
        <w:t>cabling</w:t>
      </w:r>
      <w:proofErr w:type="gramEnd"/>
      <w:r>
        <w:t xml:space="preserve"> and the earthing/bonding procedures applied to cable trays and equipment frames. This Recommendation also provides guidelines </w:t>
      </w:r>
      <w:proofErr w:type="gramStart"/>
      <w:r>
        <w:t>in order to</w:t>
      </w:r>
      <w:proofErr w:type="gramEnd"/>
      <w:r>
        <w:t xml:space="preserve"> achieve adequate protection of the telecommunication equipment based on the coordination between equipment resistibility, SPD protection level and installation characteristics.</w:t>
      </w:r>
    </w:p>
    <w:p w14:paraId="5C6AA330" w14:textId="76E9CA19" w:rsidR="00A90536" w:rsidRDefault="00C44FDC" w:rsidP="00A90536">
      <w:hyperlink r:id="rId356" w:history="1">
        <w:r w:rsidR="00A90536" w:rsidRPr="00EB67A7">
          <w:rPr>
            <w:rStyle w:val="Hyperlink"/>
            <w:b/>
            <w:bCs/>
          </w:rPr>
          <w:t>ITU-T K.64 (revised) “Safe working practices for outside equipment installed in particular environments”</w:t>
        </w:r>
      </w:hyperlink>
      <w:r w:rsidR="00A90536">
        <w:t xml:space="preserve"> describes working practices for service personnel to help them work safely in </w:t>
      </w:r>
      <w:r w:rsidR="00A90536">
        <w:lastRenderedPageBreak/>
        <w:t xml:space="preserve">telecommunication installations in three specific environments. The specific environments covered in this Recommendation are characterized by wet conditions or </w:t>
      </w:r>
      <w:proofErr w:type="gramStart"/>
      <w:r w:rsidR="00A90536">
        <w:t>close proximity</w:t>
      </w:r>
      <w:proofErr w:type="gramEnd"/>
      <w:r w:rsidR="00A90536">
        <w:t xml:space="preserve"> to exposed metallic parts. The working practices apply to telecommunication plants with voltage levels higher than the limits defined for analogue PSTN circuits, such as remote feeding telecommunication current or voltage (RFT-C or RFT-V) circuits. This version of Recommendation ITU-T K.64 includes a warning regarding contact with terminals carrying RFT circuits with small parts of the body, e.g., back of the hand. The references have been updated to include the IEC 62368 series.</w:t>
      </w:r>
    </w:p>
    <w:p w14:paraId="2616F1FE" w14:textId="7548F151" w:rsidR="00F20EB7" w:rsidRPr="00952FDF" w:rsidRDefault="00C44FDC" w:rsidP="00F20EB7">
      <w:pPr>
        <w:rPr>
          <w:bCs/>
          <w:highlight w:val="yellow"/>
          <w:lang w:val="en-GB"/>
        </w:rPr>
      </w:pPr>
      <w:hyperlink r:id="rId357" w:history="1">
        <w:r w:rsidR="00F20EB7" w:rsidRPr="00936AF4">
          <w:rPr>
            <w:rStyle w:val="Hyperlink"/>
            <w:b/>
            <w:lang w:val="en-GB"/>
          </w:rPr>
          <w:t>ITU-T K.83 (revised) “Monitoring of electromagnetic field levels”</w:t>
        </w:r>
      </w:hyperlink>
      <w:r w:rsidR="00F20EB7">
        <w:rPr>
          <w:bCs/>
          <w:lang w:val="en-GB"/>
        </w:rPr>
        <w:t xml:space="preserve"> </w:t>
      </w:r>
      <w:r w:rsidR="00F20EB7" w:rsidRPr="00F20EB7">
        <w:rPr>
          <w:bCs/>
          <w:lang w:val="en-GB"/>
        </w:rPr>
        <w:t>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6B5B68E3" w14:textId="15683A99" w:rsidR="00EF15A0" w:rsidRPr="002334D1" w:rsidRDefault="00C44FDC" w:rsidP="00EF15A0">
      <w:hyperlink r:id="rId358" w:history="1">
        <w:r w:rsidR="002334D1" w:rsidRPr="002334D1">
          <w:rPr>
            <w:rStyle w:val="Hyperlink"/>
            <w:b/>
            <w:bCs/>
          </w:rPr>
          <w:t>ITU-T K.91 (revised) “Guidance for assessment, evaluation and monitoring of human exposure to radio frequency electromagnetic fields”</w:t>
        </w:r>
      </w:hyperlink>
      <w:r w:rsidR="002334D1">
        <w:t xml:space="preserve"> </w:t>
      </w:r>
      <w:r w:rsidR="00EF15A0" w:rsidRPr="00EF15A0">
        <w:rPr>
          <w:bCs/>
          <w:lang w:val="en-GB"/>
        </w:rPr>
        <w:t>are many possible methods of exposure assessment and each of them has its own advantages and disadvantages. Draft revised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35D006CD" w14:textId="44C197DB" w:rsidR="00113F98" w:rsidRPr="00952FDF" w:rsidRDefault="00113F98" w:rsidP="00113F98">
      <w:pPr>
        <w:rPr>
          <w:bCs/>
          <w:highlight w:val="yellow"/>
          <w:lang w:val="en-GB"/>
        </w:rPr>
      </w:pPr>
      <w:r w:rsidRPr="0039167D">
        <w:rPr>
          <w:b/>
          <w:lang w:val="en-GB"/>
        </w:rPr>
        <w:t>ITU-T K.112 (revised) “Lightning protection, earthing and bonding: Practical procedures for radio base stations” (under approval)</w:t>
      </w:r>
      <w:r>
        <w:rPr>
          <w:bCs/>
          <w:lang w:val="en-GB"/>
        </w:rPr>
        <w:t xml:space="preserve"> </w:t>
      </w:r>
      <w:r w:rsidRPr="00113F98">
        <w:rPr>
          <w:bCs/>
          <w:lang w:val="en-GB"/>
        </w:rPr>
        <w:t xml:space="preserve">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w:t>
      </w:r>
      <w:proofErr w:type="gramStart"/>
      <w:r w:rsidRPr="00113F98">
        <w:rPr>
          <w:bCs/>
          <w:lang w:val="en-GB"/>
        </w:rPr>
        <w:t>conductors</w:t>
      </w:r>
      <w:proofErr w:type="gramEnd"/>
      <w:r w:rsidRPr="00113F98">
        <w:rPr>
          <w:bCs/>
          <w:lang w:val="en-GB"/>
        </w:rPr>
        <w:t xml:space="preserve"> and surge protective devices (SPDs). This includes the specification of the materials, </w:t>
      </w:r>
      <w:proofErr w:type="spellStart"/>
      <w:r w:rsidRPr="00113F98">
        <w:rPr>
          <w:bCs/>
          <w:lang w:val="en-GB"/>
        </w:rPr>
        <w:t>anti corrosion</w:t>
      </w:r>
      <w:proofErr w:type="spellEnd"/>
      <w:r w:rsidRPr="00113F98">
        <w:rPr>
          <w:bCs/>
          <w:lang w:val="en-GB"/>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6D1AFD70" w14:textId="7DCDA6C0" w:rsidR="00CD1F0B" w:rsidRPr="00CD1F0B" w:rsidRDefault="00C44FDC" w:rsidP="00CD1F0B">
      <w:pPr>
        <w:rPr>
          <w:rFonts w:eastAsia="MS Mincho"/>
          <w:lang w:val="en-GB"/>
        </w:rPr>
      </w:pPr>
      <w:hyperlink r:id="rId359" w:history="1">
        <w:r w:rsidR="00CD1F0B" w:rsidRPr="003F45FE">
          <w:rPr>
            <w:rStyle w:val="Hyperlink"/>
            <w:rFonts w:eastAsia="MS Mincho"/>
            <w:lang w:val="en-GB"/>
          </w:rPr>
          <w:t>I</w:t>
        </w:r>
        <w:r w:rsidR="00CD1F0B" w:rsidRPr="003F45FE">
          <w:rPr>
            <w:rStyle w:val="Hyperlink"/>
            <w:rFonts w:eastAsia="MS Mincho"/>
            <w:b/>
            <w:bCs/>
            <w:lang w:val="en-GB"/>
          </w:rPr>
          <w:t>TU-T K.146 “Management of interferences on telecommunication transmissions on copper other than speech”</w:t>
        </w:r>
      </w:hyperlink>
      <w:r w:rsidR="00CD1F0B">
        <w:rPr>
          <w:rFonts w:eastAsia="MS Mincho"/>
          <w:lang w:val="en-GB"/>
        </w:rPr>
        <w:t xml:space="preserve"> </w:t>
      </w:r>
      <w:r w:rsidR="00CD1F0B" w:rsidRPr="00CD1F0B">
        <w:rPr>
          <w:rFonts w:eastAsia="MS Mincho"/>
          <w:lang w:val="en-GB"/>
        </w:rPr>
        <w:t>deals with the management of electromagnetic interference produced by electrified railways traction systems on telecommunication systems in DSL frequency band. This Recommendation defines only a procedure to evaluate the acceptability of an electromagnetic DSL draft interference and gives:</w:t>
      </w:r>
    </w:p>
    <w:p w14:paraId="3F799BA3" w14:textId="77777777" w:rsidR="00CD1F0B" w:rsidRPr="00CD1F0B" w:rsidRDefault="00CD1F0B" w:rsidP="00CD1F0B">
      <w:pPr>
        <w:rPr>
          <w:rFonts w:eastAsia="MS Mincho"/>
          <w:lang w:val="en-GB"/>
        </w:rPr>
      </w:pPr>
      <w:r w:rsidRPr="00CD1F0B">
        <w:rPr>
          <w:rFonts w:eastAsia="MS Mincho"/>
          <w:lang w:val="en-GB"/>
        </w:rPr>
        <w:t xml:space="preserve">– the criteria defining the Quality of Service that has to be </w:t>
      </w:r>
      <w:proofErr w:type="gramStart"/>
      <w:r w:rsidRPr="00CD1F0B">
        <w:rPr>
          <w:rFonts w:eastAsia="MS Mincho"/>
          <w:lang w:val="en-GB"/>
        </w:rPr>
        <w:t>reached;</w:t>
      </w:r>
      <w:proofErr w:type="gramEnd"/>
    </w:p>
    <w:p w14:paraId="3754900F" w14:textId="77777777" w:rsidR="00CD1F0B" w:rsidRPr="00CD1F0B" w:rsidRDefault="00CD1F0B" w:rsidP="00CD1F0B">
      <w:pPr>
        <w:rPr>
          <w:rFonts w:eastAsia="MS Mincho"/>
          <w:lang w:val="en-GB"/>
        </w:rPr>
      </w:pPr>
      <w:r w:rsidRPr="00CD1F0B">
        <w:rPr>
          <w:rFonts w:eastAsia="MS Mincho"/>
          <w:lang w:val="en-GB"/>
        </w:rPr>
        <w:t xml:space="preserve">– the limits of the commercial ADSL offer guaranteed by an Internet Service Provider in conjunction with a telecom operator if necessary, in the vicinity of potential disturbing </w:t>
      </w:r>
      <w:proofErr w:type="gramStart"/>
      <w:r w:rsidRPr="00CD1F0B">
        <w:rPr>
          <w:rFonts w:eastAsia="MS Mincho"/>
          <w:lang w:val="en-GB"/>
        </w:rPr>
        <w:t>railway;</w:t>
      </w:r>
      <w:proofErr w:type="gramEnd"/>
    </w:p>
    <w:p w14:paraId="4227731B" w14:textId="77777777" w:rsidR="00CD1F0B" w:rsidRPr="00CD1F0B" w:rsidRDefault="00CD1F0B" w:rsidP="00CD1F0B">
      <w:pPr>
        <w:rPr>
          <w:rFonts w:eastAsia="MS Mincho"/>
          <w:lang w:val="en-GB"/>
        </w:rPr>
      </w:pPr>
      <w:r w:rsidRPr="00CD1F0B">
        <w:rPr>
          <w:rFonts w:eastAsia="MS Mincho"/>
          <w:lang w:val="en-GB"/>
        </w:rPr>
        <w:lastRenderedPageBreak/>
        <w:t>– the installation conditions of electrified traction and telecommunication systems under which the recommendation applies.</w:t>
      </w:r>
    </w:p>
    <w:p w14:paraId="6FD91AFE" w14:textId="35901BD1" w:rsidR="00CD1F0B" w:rsidRDefault="00CD1F0B" w:rsidP="00CD1F0B">
      <w:pPr>
        <w:rPr>
          <w:rFonts w:eastAsia="MS Mincho"/>
          <w:lang w:val="en-GB"/>
        </w:rPr>
      </w:pPr>
      <w:r w:rsidRPr="00CD1F0B">
        <w:rPr>
          <w:rFonts w:eastAsia="MS Mincho"/>
          <w:lang w:val="en-GB"/>
        </w:rPr>
        <w:t>This Recommendation helps to establish a contract between Internet Service Providers in conjunction with telecommunication operators if necessary and railway operators in order to clearly share responsibilities, and, as a consequence, if necessary, the relevant expenses for mitigation measures.</w:t>
      </w:r>
    </w:p>
    <w:p w14:paraId="7487E3D5" w14:textId="4894F357" w:rsidR="00955C1F" w:rsidRDefault="00C44FDC" w:rsidP="00955C1F">
      <w:pPr>
        <w:rPr>
          <w:rFonts w:eastAsia="MS Mincho"/>
          <w:lang w:val="en-GB"/>
        </w:rPr>
      </w:pPr>
      <w:hyperlink r:id="rId360" w:history="1">
        <w:r w:rsidR="00955C1F" w:rsidRPr="008A5772">
          <w:rPr>
            <w:rStyle w:val="Hyperlink"/>
            <w:rFonts w:eastAsia="MS Mincho"/>
            <w:b/>
            <w:bCs/>
            <w:lang w:val="en-GB"/>
          </w:rPr>
          <w:t xml:space="preserve">ITU-T K.147 “Ethernet port resistibility testing for </w:t>
        </w:r>
        <w:proofErr w:type="spellStart"/>
        <w:r w:rsidR="00955C1F" w:rsidRPr="008A5772">
          <w:rPr>
            <w:rStyle w:val="Hyperlink"/>
            <w:rFonts w:eastAsia="MS Mincho"/>
            <w:b/>
            <w:bCs/>
            <w:lang w:val="en-GB"/>
          </w:rPr>
          <w:t>overvoltages</w:t>
        </w:r>
        <w:proofErr w:type="spellEnd"/>
        <w:r w:rsidR="00955C1F" w:rsidRPr="008A5772">
          <w:rPr>
            <w:rStyle w:val="Hyperlink"/>
            <w:rFonts w:eastAsia="MS Mincho"/>
            <w:b/>
            <w:bCs/>
            <w:lang w:val="en-GB"/>
          </w:rPr>
          <w:t xml:space="preserve"> and </w:t>
        </w:r>
        <w:proofErr w:type="spellStart"/>
        <w:r w:rsidR="00955C1F" w:rsidRPr="008A5772">
          <w:rPr>
            <w:rStyle w:val="Hyperlink"/>
            <w:rFonts w:eastAsia="MS Mincho"/>
            <w:b/>
            <w:bCs/>
            <w:lang w:val="en-GB"/>
          </w:rPr>
          <w:t>overcurrents</w:t>
        </w:r>
        <w:proofErr w:type="spellEnd"/>
        <w:r w:rsidR="00955C1F" w:rsidRPr="008A5772">
          <w:rPr>
            <w:rStyle w:val="Hyperlink"/>
            <w:rFonts w:eastAsia="MS Mincho"/>
            <w:b/>
            <w:bCs/>
            <w:lang w:val="en-GB"/>
          </w:rPr>
          <w:t>”</w:t>
        </w:r>
      </w:hyperlink>
      <w:r w:rsidR="00955C1F" w:rsidRPr="008A5772">
        <w:rPr>
          <w:rFonts w:eastAsia="MS Mincho"/>
          <w:b/>
          <w:bCs/>
          <w:lang w:val="en-GB"/>
        </w:rPr>
        <w:t>:</w:t>
      </w:r>
      <w:r w:rsidR="00955C1F" w:rsidRPr="008A5772">
        <w:rPr>
          <w:rFonts w:eastAsia="MS Mincho"/>
          <w:lang w:val="en-GB"/>
        </w:rPr>
        <w:t xml:space="preserve"> Ethernet</w:t>
      </w:r>
      <w:r w:rsidR="00955C1F" w:rsidRPr="00955C1F">
        <w:rPr>
          <w:rFonts w:eastAsia="MS Mincho"/>
          <w:lang w:val="en-GB"/>
        </w:rPr>
        <w:t>, using twisted 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network by magnetic induction, earth potential rise, resistive coupling and transient coupling by voltage limiting operation of surge protective functions or flashover. The voltage limiting operation may convert common-mode surges into differential-mode surges in the signal path. It is also possible for AC mains power faults to couple into the network. This Recommendation covers the different “IEEE 802.3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091C4477" w14:textId="209F15E6" w:rsidR="00100904" w:rsidRPr="00100904" w:rsidRDefault="00C44FDC" w:rsidP="00100904">
      <w:pPr>
        <w:rPr>
          <w:rFonts w:eastAsiaTheme="minorEastAsia"/>
          <w:color w:val="000000" w:themeColor="text1"/>
          <w:lang w:val="en-GB"/>
        </w:rPr>
      </w:pPr>
      <w:hyperlink r:id="rId361" w:history="1">
        <w:r w:rsidR="00100904" w:rsidRPr="00C37EAE">
          <w:rPr>
            <w:rStyle w:val="Hyperlink"/>
            <w:rFonts w:eastAsiaTheme="minorEastAsia"/>
            <w:b/>
            <w:bCs/>
            <w:lang w:val="en-GB"/>
          </w:rPr>
          <w:t>ITU-T K.Suppl.1 (revised) – “ITU-T K.91 – Guide on electromagnetic fields and health”</w:t>
        </w:r>
      </w:hyperlink>
      <w:r w:rsidR="00100904">
        <w:rPr>
          <w:rFonts w:eastAsiaTheme="minorEastAsia"/>
          <w:color w:val="000000" w:themeColor="text1"/>
          <w:lang w:val="en-GB"/>
        </w:rPr>
        <w:t xml:space="preserve">: </w:t>
      </w:r>
      <w:r w:rsidR="00100904" w:rsidRPr="00100904">
        <w:rPr>
          <w:rFonts w:eastAsiaTheme="minorEastAsia"/>
          <w:color w:val="000000" w:themeColor="text1"/>
          <w:lang w:val="en-GB"/>
        </w:rPr>
        <w:t>The objective of Supplement 1 to the ITU-T K-series Recommendations, Guide on electromagnetic fields and health, is to answer questions commonly posed by the public on EMF and to address related concerns.</w:t>
      </w:r>
      <w:r w:rsidR="00100904">
        <w:rPr>
          <w:rFonts w:eastAsiaTheme="minorEastAsia"/>
          <w:color w:val="000000" w:themeColor="text1"/>
          <w:lang w:val="en-GB"/>
        </w:rPr>
        <w:t xml:space="preserve"> </w:t>
      </w:r>
      <w:r w:rsidR="00100904" w:rsidRPr="00100904">
        <w:rPr>
          <w:rFonts w:eastAsiaTheme="minorEastAsia"/>
          <w:color w:val="000000" w:themeColor="text1"/>
          <w:lang w:val="en-GB"/>
        </w:rPr>
        <w:t>This Guide on electromagnetic fields and health aims to:</w:t>
      </w:r>
    </w:p>
    <w:p w14:paraId="1C7B421B"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 xml:space="preserve">Provide electromagnetic field (EMF) information and education resources suitable for all communities, </w:t>
      </w:r>
      <w:proofErr w:type="gramStart"/>
      <w:r w:rsidRPr="00100904">
        <w:rPr>
          <w:rFonts w:eastAsiaTheme="minorEastAsia"/>
          <w:color w:val="000000" w:themeColor="text1"/>
          <w:lang w:val="en-GB"/>
        </w:rPr>
        <w:t>stakeholders</w:t>
      </w:r>
      <w:proofErr w:type="gramEnd"/>
      <w:r w:rsidRPr="00100904">
        <w:rPr>
          <w:rFonts w:eastAsiaTheme="minorEastAsia"/>
          <w:color w:val="000000" w:themeColor="text1"/>
          <w:lang w:val="en-GB"/>
        </w:rPr>
        <w:t xml:space="preserve"> and governments.</w:t>
      </w:r>
    </w:p>
    <w:p w14:paraId="3FA3B41D"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Support clarification of the science by referencing the WHO and other stakeholders (see Note) that provide information that is particularly useful in helping to clarify scientific uncertainties e.g., in the areas of radio frequency (RF) technology, infrastructure implementation, usage and consequential EMF exposure.</w:t>
      </w:r>
    </w:p>
    <w:p w14:paraId="0094DC5F" w14:textId="6E7EE043" w:rsidR="00100904" w:rsidRDefault="00100904" w:rsidP="00100904">
      <w:pPr>
        <w:rPr>
          <w:rFonts w:eastAsiaTheme="minorEastAsia"/>
          <w:color w:val="000000" w:themeColor="text1"/>
          <w:lang w:val="en-GB"/>
        </w:rPr>
      </w:pPr>
      <w:r w:rsidRPr="00100904">
        <w:rPr>
          <w:rFonts w:eastAsiaTheme="minorEastAsia"/>
          <w:color w:val="000000" w:themeColor="text1"/>
          <w:lang w:val="en-GB"/>
        </w:rPr>
        <w:t>NOTE – The primary reference on EMF and health is the World Health Organization (WHO). The primary reference on EMF assessment methods is the International Telecommunication Union (ITU) and the International Electrotechnical Commission (IEC).</w:t>
      </w:r>
    </w:p>
    <w:p w14:paraId="146E4C59" w14:textId="70AE8E4F" w:rsidR="00EC37D0" w:rsidRPr="00952FDF" w:rsidRDefault="00C44FDC" w:rsidP="00EC37D0">
      <w:pPr>
        <w:rPr>
          <w:rFonts w:eastAsiaTheme="minorEastAsia"/>
          <w:color w:val="000000" w:themeColor="text1"/>
          <w:highlight w:val="yellow"/>
          <w:lang w:val="en-GB"/>
        </w:rPr>
      </w:pPr>
      <w:hyperlink r:id="rId362" w:history="1">
        <w:r w:rsidR="00EC37D0" w:rsidRPr="0079408B">
          <w:rPr>
            <w:rStyle w:val="Hyperlink"/>
            <w:rFonts w:eastAsiaTheme="minorEastAsia"/>
            <w:b/>
            <w:bCs/>
            <w:lang w:val="en-GB"/>
          </w:rPr>
          <w:t>ITU-T K.Suppl.20 “RF Exposure evaluation around base station installed underground”</w:t>
        </w:r>
      </w:hyperlink>
      <w:r w:rsidR="00EC37D0" w:rsidRPr="0079408B">
        <w:rPr>
          <w:rFonts w:eastAsiaTheme="minorEastAsia"/>
          <w:color w:val="000000" w:themeColor="text1"/>
          <w:lang w:val="en-GB"/>
        </w:rPr>
        <w:t>:</w:t>
      </w:r>
      <w:r w:rsidR="00EC37D0">
        <w:rPr>
          <w:rFonts w:eastAsiaTheme="minorEastAsia"/>
          <w:color w:val="000000" w:themeColor="text1"/>
          <w:lang w:val="en-GB"/>
        </w:rPr>
        <w:t xml:space="preserve"> </w:t>
      </w:r>
      <w:r w:rsidR="00EC37D0" w:rsidRPr="00EC37D0">
        <w:rPr>
          <w:rFonts w:eastAsiaTheme="minorEastAsia"/>
          <w:color w:val="000000" w:themeColor="text1"/>
          <w:lang w:val="en-GB"/>
        </w:rPr>
        <w:t xml:space="preserve">Measurement and computation methods of human exposure to electromagnetic fields (EMFs) from fixed radio sources like mobile base stations have been standardized and published as ITU-T K-series Recommendations and IEC 62232. These also includes these methods prescribed in Japanese </w:t>
      </w:r>
      <w:proofErr w:type="gramStart"/>
      <w:r w:rsidR="00EC37D0" w:rsidRPr="00EC37D0">
        <w:rPr>
          <w:rFonts w:eastAsiaTheme="minorEastAsia"/>
          <w:color w:val="000000" w:themeColor="text1"/>
          <w:lang w:val="en-GB"/>
        </w:rPr>
        <w:t>regulation, and</w:t>
      </w:r>
      <w:proofErr w:type="gramEnd"/>
      <w:r w:rsidR="00EC37D0" w:rsidRPr="00EC37D0">
        <w:rPr>
          <w:rFonts w:eastAsiaTheme="minorEastAsia"/>
          <w:color w:val="000000" w:themeColor="text1"/>
          <w:lang w:val="en-GB"/>
        </w:rPr>
        <w:t xml:space="preserve"> have been basically assumed to be applied to radio sources installed above the ground. Underground base stations for use in small cells of fourth generation (4G) mobile networks are installed underground to construct service areas above the ground. Supplement &lt;No.&gt; to ITU-T K-series Recommendations contains the measurement results of radio frequency exposure from underground base stations, in order to evaluate the exposure from these base stations.</w:t>
      </w:r>
    </w:p>
    <w:p w14:paraId="5CA9293C" w14:textId="59E37B20" w:rsidR="006A46AE" w:rsidRPr="009224AD" w:rsidRDefault="006A46AE" w:rsidP="006A46AE">
      <w:pPr>
        <w:pStyle w:val="Headingb"/>
      </w:pPr>
      <w:bookmarkStart w:id="244" w:name="_Toc480527906"/>
      <w:r w:rsidRPr="009224AD">
        <w:t>I.6.4</w:t>
      </w:r>
      <w:r w:rsidRPr="009224AD">
        <w:tab/>
        <w:t>Emergency communication &amp; disaster relief</w:t>
      </w:r>
      <w:bookmarkEnd w:id="244"/>
    </w:p>
    <w:p w14:paraId="06F76E3E" w14:textId="33D0079B" w:rsidR="00751160" w:rsidRPr="00751160" w:rsidRDefault="00C44FDC" w:rsidP="00751160">
      <w:pPr>
        <w:rPr>
          <w:lang w:val="en-GB" w:eastAsia="en-US"/>
        </w:rPr>
      </w:pPr>
      <w:hyperlink r:id="rId363" w:history="1">
        <w:r w:rsidR="005411A6" w:rsidRPr="003A0620">
          <w:rPr>
            <w:rStyle w:val="Hyperlink"/>
            <w:rFonts w:asciiTheme="majorBidi" w:hAnsiTheme="majorBidi" w:cstheme="majorBidi"/>
            <w:b/>
            <w:bCs/>
            <w:szCs w:val="22"/>
          </w:rPr>
          <w:t xml:space="preserve">ITU-T </w:t>
        </w:r>
        <w:proofErr w:type="spellStart"/>
        <w:proofErr w:type="gramStart"/>
        <w:r w:rsidR="005411A6" w:rsidRPr="003A0620">
          <w:rPr>
            <w:rStyle w:val="Hyperlink"/>
            <w:rFonts w:asciiTheme="majorBidi" w:hAnsiTheme="majorBidi" w:cstheme="majorBidi"/>
            <w:b/>
            <w:bCs/>
            <w:szCs w:val="22"/>
          </w:rPr>
          <w:t>Q.Supplement</w:t>
        </w:r>
        <w:proofErr w:type="spellEnd"/>
        <w:proofErr w:type="gramEnd"/>
        <w:r w:rsidR="005411A6" w:rsidRPr="003A0620">
          <w:rPr>
            <w:rStyle w:val="Hyperlink"/>
            <w:rFonts w:asciiTheme="majorBidi" w:hAnsiTheme="majorBidi" w:cstheme="majorBidi"/>
            <w:b/>
            <w:bCs/>
            <w:szCs w:val="22"/>
          </w:rPr>
          <w:t xml:space="preserve"> 72 “</w:t>
        </w:r>
        <w:proofErr w:type="spellStart"/>
        <w:r w:rsidR="005411A6" w:rsidRPr="003A0620">
          <w:rPr>
            <w:rStyle w:val="Hyperlink"/>
            <w:rFonts w:asciiTheme="majorBidi" w:hAnsiTheme="majorBidi" w:cstheme="majorBidi"/>
            <w:b/>
            <w:bCs/>
            <w:szCs w:val="22"/>
          </w:rPr>
          <w:t>Signalling</w:t>
        </w:r>
        <w:proofErr w:type="spellEnd"/>
        <w:r w:rsidR="005411A6" w:rsidRPr="003A0620">
          <w:rPr>
            <w:rStyle w:val="Hyperlink"/>
            <w:rFonts w:asciiTheme="majorBidi" w:hAnsiTheme="majorBidi" w:cstheme="majorBidi"/>
            <w:b/>
            <w:bCs/>
            <w:szCs w:val="22"/>
          </w:rPr>
          <w:t xml:space="preserve"> requirements for IMS emergency telecommunications service in support of multiple accesses”</w:t>
        </w:r>
      </w:hyperlink>
      <w:r w:rsidR="005411A6" w:rsidRPr="000E7AB3">
        <w:rPr>
          <w:rFonts w:asciiTheme="majorBidi" w:hAnsiTheme="majorBidi" w:cstheme="majorBidi"/>
          <w:szCs w:val="22"/>
        </w:rPr>
        <w:t xml:space="preserve"> defines the </w:t>
      </w:r>
      <w:proofErr w:type="spellStart"/>
      <w:r w:rsidR="005411A6" w:rsidRPr="000E7AB3">
        <w:rPr>
          <w:rFonts w:asciiTheme="majorBidi" w:hAnsiTheme="majorBidi" w:cstheme="majorBidi"/>
          <w:szCs w:val="22"/>
        </w:rPr>
        <w:t>signalling</w:t>
      </w:r>
      <w:proofErr w:type="spellEnd"/>
      <w:r w:rsidR="005411A6" w:rsidRPr="000E7AB3">
        <w:rPr>
          <w:rFonts w:asciiTheme="majorBidi" w:hAnsiTheme="majorBidi" w:cstheme="majorBidi"/>
          <w:szCs w:val="22"/>
        </w:rPr>
        <w:t xml:space="preserve"> requirements for IMS emergency telecommunications service in support of multiple accesses including fixed broadband, Wi-Fi, 4G and 5G networks.</w:t>
      </w:r>
    </w:p>
    <w:p w14:paraId="67D382BC" w14:textId="58DE1AC4" w:rsidR="001968B7" w:rsidRPr="00E27D62" w:rsidRDefault="001968B7" w:rsidP="001968B7">
      <w:pPr>
        <w:pStyle w:val="Headingb"/>
      </w:pPr>
      <w:r w:rsidRPr="00E27D62">
        <w:lastRenderedPageBreak/>
        <w:t>I.6.5</w:t>
      </w:r>
      <w:r w:rsidRPr="00E27D62">
        <w:tab/>
        <w:t>Naming, numbering, addressing and identification</w:t>
      </w:r>
    </w:p>
    <w:p w14:paraId="353DE2EB" w14:textId="65DC8CBB" w:rsidR="001968B7" w:rsidRDefault="00C44FDC" w:rsidP="001968B7">
      <w:pPr>
        <w:pStyle w:val="Headingb"/>
        <w:keepNext w:val="0"/>
        <w:rPr>
          <w:b w:val="0"/>
        </w:rPr>
      </w:pPr>
      <w:hyperlink r:id="rId364" w:history="1">
        <w:r w:rsidR="001968B7" w:rsidRPr="006A2A48">
          <w:rPr>
            <w:rStyle w:val="Hyperlink"/>
          </w:rPr>
          <w:t>ITU-T E.156 (revised) “Guidelines for ITU-T action on reported misuse of E.164 number resources”</w:t>
        </w:r>
      </w:hyperlink>
      <w:r w:rsidR="001968B7" w:rsidRPr="00162DD6">
        <w:rPr>
          <w:b w:val="0"/>
        </w:rPr>
        <w:t xml:space="preserve"> </w:t>
      </w:r>
      <w:r w:rsidR="0018102D" w:rsidRPr="00162DD6">
        <w:rPr>
          <w:b w:val="0"/>
        </w:rPr>
        <w:t xml:space="preserve">outlines the procedures for reporting and </w:t>
      </w:r>
      <w:proofErr w:type="gramStart"/>
      <w:r w:rsidR="0018102D" w:rsidRPr="00162DD6">
        <w:rPr>
          <w:b w:val="0"/>
        </w:rPr>
        <w:t>taking action</w:t>
      </w:r>
      <w:proofErr w:type="gramEnd"/>
      <w:r w:rsidR="0018102D" w:rsidRPr="00162DD6">
        <w:rPr>
          <w:b w:val="0"/>
        </w:rPr>
        <w:t xml:space="preserve"> regarding alleged misuse of numbers. It also outlines the procedures that the TSB Director should undertake upon receipt of reports of alleged misuse from members, including methods to address and counter any alleged misuse when such reports are brought to his attention</w:t>
      </w:r>
      <w:r w:rsidR="001968B7" w:rsidRPr="00162DD6">
        <w:rPr>
          <w:b w:val="0"/>
        </w:rPr>
        <w:t>.</w:t>
      </w:r>
    </w:p>
    <w:p w14:paraId="64DA804E" w14:textId="69EF74A5" w:rsidR="00EE6BEB" w:rsidRPr="00DD4AD5" w:rsidRDefault="00C44FDC" w:rsidP="00A95627">
      <w:pPr>
        <w:rPr>
          <w:szCs w:val="24"/>
          <w:u w:val="single"/>
        </w:rPr>
      </w:pPr>
      <w:hyperlink r:id="rId365" w:history="1">
        <w:r w:rsidR="00EE6BEB" w:rsidRPr="00EE6BEB">
          <w:rPr>
            <w:rStyle w:val="Hyperlink"/>
            <w:b/>
            <w:bCs/>
            <w:szCs w:val="24"/>
          </w:rPr>
          <w:t>ITU-T E.156 Amd.1 “</w:t>
        </w:r>
        <w:r w:rsidR="00A95627" w:rsidRPr="00A95627">
          <w:rPr>
            <w:rStyle w:val="Hyperlink"/>
            <w:b/>
            <w:bCs/>
            <w:szCs w:val="24"/>
          </w:rPr>
          <w:t>Guidelines for ITU-T action on reported misuse of E.164 number resources – Amendment 1: Appendix IV: Suggested guidelines for regulators, administrations and operating agencies authorized by Member States for dealing with number misappropriation</w:t>
        </w:r>
        <w:r w:rsidR="00A95627">
          <w:rPr>
            <w:rStyle w:val="Hyperlink"/>
            <w:b/>
            <w:bCs/>
            <w:szCs w:val="24"/>
          </w:rPr>
          <w:t>”</w:t>
        </w:r>
      </w:hyperlink>
      <w:r w:rsidR="00EE6BEB" w:rsidRPr="00970364">
        <w:rPr>
          <w:szCs w:val="24"/>
        </w:rPr>
        <w:t xml:space="preserve"> reproduces verbatim the attachment to WTSA Resolution 61 (Rev. Dubai, 2012) on “Suggested guidelines for regulators, administrations and operating agencies authorized by Member States for dealing with number misappropriation”.</w:t>
      </w:r>
    </w:p>
    <w:p w14:paraId="38A15261" w14:textId="33A107F6" w:rsidR="001968B7" w:rsidRPr="004A4030" w:rsidRDefault="00C44FDC" w:rsidP="001968B7">
      <w:pPr>
        <w:pStyle w:val="Headingb"/>
        <w:keepNext w:val="0"/>
        <w:rPr>
          <w:b w:val="0"/>
        </w:rPr>
      </w:pPr>
      <w:hyperlink r:id="rId366" w:history="1">
        <w:r w:rsidR="001968B7" w:rsidRPr="007C77BB">
          <w:rPr>
            <w:rStyle w:val="Hyperlink"/>
          </w:rPr>
          <w:t>ITU-T E.164.2 (revised) “E.164 numbering resources for trials”</w:t>
        </w:r>
      </w:hyperlink>
      <w:r w:rsidR="001968B7" w:rsidRPr="004A4030">
        <w:rPr>
          <w:b w:val="0"/>
        </w:rPr>
        <w:t xml:space="preserve"> </w:t>
      </w:r>
      <w:r w:rsidR="0095227E" w:rsidRPr="004A4030">
        <w:rPr>
          <w:b w:val="0"/>
        </w:rPr>
        <w:t>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w:t>
      </w:r>
      <w:r w:rsidR="001968B7" w:rsidRPr="004A4030">
        <w:rPr>
          <w:b w:val="0"/>
        </w:rPr>
        <w:t>.</w:t>
      </w:r>
    </w:p>
    <w:p w14:paraId="3F44D3D7" w14:textId="7E25B796" w:rsidR="001968B7" w:rsidRPr="008B2FCC" w:rsidRDefault="00C44FDC" w:rsidP="008206A7">
      <w:pPr>
        <w:pStyle w:val="Headingb"/>
        <w:rPr>
          <w:b w:val="0"/>
        </w:rPr>
      </w:pPr>
      <w:hyperlink r:id="rId367" w:history="1">
        <w:r w:rsidR="001968B7" w:rsidRPr="00421CAF">
          <w:rPr>
            <w:rStyle w:val="Hyperlink"/>
          </w:rPr>
          <w:t xml:space="preserve">ITU-T </w:t>
        </w:r>
        <w:r w:rsidR="008206A7" w:rsidRPr="00421CAF">
          <w:rPr>
            <w:rStyle w:val="Hyperlink"/>
          </w:rPr>
          <w:t xml:space="preserve">E.212 </w:t>
        </w:r>
        <w:r w:rsidR="008B2FCC" w:rsidRPr="00421CAF">
          <w:rPr>
            <w:rStyle w:val="Hyperlink"/>
          </w:rPr>
          <w:t>Amd.2</w:t>
        </w:r>
        <w:r w:rsidR="008206A7" w:rsidRPr="00421CAF">
          <w:rPr>
            <w:rStyle w:val="Hyperlink"/>
          </w:rPr>
          <w:t xml:space="preserve"> “The international identification plan for public networks and subscriptions - Annex G: Assignment of shared E.212 mobile country codes (MCC) for trials”</w:t>
        </w:r>
      </w:hyperlink>
      <w:r w:rsidR="008206A7" w:rsidRPr="00421CAF">
        <w:rPr>
          <w:b w:val="0"/>
          <w:bCs/>
        </w:rPr>
        <w:t xml:space="preserve"> </w:t>
      </w:r>
      <w:r w:rsidR="008206A7" w:rsidRPr="008B2FCC">
        <w:rPr>
          <w:b w:val="0"/>
          <w:bCs/>
        </w:rPr>
        <w:t>contains the criteria and procedures for an applicant to be temporarily assigned a two digit mobile network code (MNC) within the shared E.212 mobile country code 991 for the purpose of conducting an international non-commercial trial.</w:t>
      </w:r>
    </w:p>
    <w:p w14:paraId="7560476C" w14:textId="3364F14A" w:rsidR="00361128" w:rsidRPr="00361128" w:rsidRDefault="008172F9" w:rsidP="00361128">
      <w:pPr>
        <w:pStyle w:val="Headingb"/>
        <w:rPr>
          <w:b w:val="0"/>
          <w:bCs/>
        </w:rPr>
      </w:pPr>
      <w:r w:rsidRPr="0039167D">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 (under approval)</w:t>
      </w:r>
      <w:r>
        <w:t xml:space="preserve"> </w:t>
      </w:r>
      <w:r w:rsidRPr="008172F9">
        <w:rPr>
          <w:b w:val="0"/>
          <w:bCs/>
        </w:rPr>
        <w:t>provides criteria for assignment of shared E.212 resources for specific use cases to applicants that are regional and other international organizations (ROIO)/standard development organization (SDO)-specified networks.</w:t>
      </w:r>
    </w:p>
    <w:p w14:paraId="5BB5A8A5" w14:textId="05DC56BB" w:rsidR="001968B7" w:rsidRDefault="00C44FDC" w:rsidP="0057654F">
      <w:pPr>
        <w:pStyle w:val="Headingb"/>
        <w:rPr>
          <w:b w:val="0"/>
          <w:bCs/>
        </w:rPr>
      </w:pPr>
      <w:hyperlink r:id="rId368" w:history="1">
        <w:r w:rsidR="001968B7" w:rsidRPr="00320412">
          <w:rPr>
            <w:rStyle w:val="Hyperlink"/>
          </w:rPr>
          <w:t xml:space="preserve">ITU-T E.218 </w:t>
        </w:r>
        <w:r w:rsidR="00CF1A23" w:rsidRPr="00320412">
          <w:rPr>
            <w:rStyle w:val="Hyperlink"/>
          </w:rPr>
          <w:t>Amd.1</w:t>
        </w:r>
        <w:r w:rsidR="001968B7" w:rsidRPr="00320412">
          <w:rPr>
            <w:rStyle w:val="Hyperlink"/>
          </w:rPr>
          <w:t xml:space="preserve"> “</w:t>
        </w:r>
        <w:r w:rsidR="0057654F" w:rsidRPr="00320412">
          <w:rPr>
            <w:rStyle w:val="Hyperlink"/>
          </w:rPr>
          <w:t>Management of the allocation of terrestrial trunk radio Mobile Country Codes - Annex B: Criteria and procedures for the assignment and reclamation of shared ITU T E.218 terrestrial trunk radio access mobile country codes ((T)MCC) for networks and their respective terrestrial trunk radio access mobile network codes ((T)MNCs)”</w:t>
        </w:r>
      </w:hyperlink>
      <w:r w:rsidR="0057654F" w:rsidRPr="00320412">
        <w:rPr>
          <w:b w:val="0"/>
          <w:bCs/>
        </w:rPr>
        <w:t xml:space="preserve"> </w:t>
      </w:r>
      <w:r w:rsidR="0057654F" w:rsidRPr="00064C8B">
        <w:rPr>
          <w:b w:val="0"/>
          <w:bCs/>
        </w:rPr>
        <w:t>specifies the administration of global terrestrial trunk radio access mobile network codes by the ITU-T by detailing the scope of the resource covered by the annex. The annex also specifies the principles used for assignment, the criteria for assignment (against which applications for assignment of a global terrestrial trunk radio access mobile network codes will be assessed), the process for considering the application, and the circumstances under which a terrestrial trunk radio access mobile network code would be reclaimed.</w:t>
      </w:r>
    </w:p>
    <w:p w14:paraId="7C8A83B6" w14:textId="576138D1" w:rsidR="00D61CD4" w:rsidRDefault="00C44FDC" w:rsidP="00D61CD4">
      <w:pPr>
        <w:rPr>
          <w:lang w:val="en-GB" w:eastAsia="en-US"/>
        </w:rPr>
      </w:pPr>
      <w:hyperlink r:id="rId369" w:history="1">
        <w:r w:rsidR="00D61CD4" w:rsidRPr="00863B18">
          <w:rPr>
            <w:rStyle w:val="Hyperlink"/>
            <w:b/>
            <w:bCs/>
            <w:lang w:val="en-GB" w:eastAsia="en-US"/>
          </w:rPr>
          <w:t>ITU-T E-Suppl.</w:t>
        </w:r>
        <w:r w:rsidR="00863B18" w:rsidRPr="00863B18">
          <w:rPr>
            <w:rStyle w:val="Hyperlink"/>
            <w:b/>
            <w:bCs/>
            <w:lang w:val="en-GB" w:eastAsia="en-US"/>
          </w:rPr>
          <w:t>11</w:t>
        </w:r>
        <w:r w:rsidR="00D61CD4" w:rsidRPr="00863B18">
          <w:rPr>
            <w:rStyle w:val="Hyperlink"/>
            <w:b/>
            <w:bCs/>
            <w:lang w:val="en-GB" w:eastAsia="en-US"/>
          </w:rPr>
          <w:t xml:space="preserve"> “Criteria for M2M/IoT-Related Assignments under Recommendation ITU-T E.164.1 and Recommendation ITU-T E.212 Annex A”</w:t>
        </w:r>
      </w:hyperlink>
      <w:r w:rsidR="00D61CD4">
        <w:rPr>
          <w:lang w:val="en-GB" w:eastAsia="en-US"/>
        </w:rPr>
        <w:t xml:space="preserve"> </w:t>
      </w:r>
      <w:r w:rsidR="00D61CD4" w:rsidRPr="00D61CD4">
        <w:rPr>
          <w:lang w:val="en-GB" w:eastAsia="en-US"/>
        </w:rPr>
        <w:t>defines criteria for assigning E.164 Identification codes and E.212 Mobile Network Codes under shared MCCS for M2M/IoT services.</w:t>
      </w:r>
    </w:p>
    <w:p w14:paraId="0FE1116E" w14:textId="74982B76" w:rsidR="0016567B" w:rsidRDefault="00C44FDC" w:rsidP="0016567B">
      <w:pPr>
        <w:rPr>
          <w:lang w:val="en-GB" w:eastAsia="en-US"/>
        </w:rPr>
      </w:pPr>
      <w:hyperlink r:id="rId370" w:history="1">
        <w:r w:rsidR="0016567B" w:rsidRPr="00301664">
          <w:rPr>
            <w:rStyle w:val="Hyperlink"/>
            <w:b/>
            <w:bCs/>
            <w:lang w:val="en-GB" w:eastAsia="en-US"/>
          </w:rPr>
          <w:t>ITU-T E.164 Suppl.2 “Supplement 2 to Recommendation ITU-T E.164: Number portability”</w:t>
        </w:r>
      </w:hyperlink>
      <w:r w:rsidR="0016567B">
        <w:rPr>
          <w:lang w:val="en-GB" w:eastAsia="en-US"/>
        </w:rPr>
        <w:t xml:space="preserve"> </w:t>
      </w:r>
      <w:r w:rsidR="0016567B" w:rsidRPr="0016567B">
        <w:rPr>
          <w:lang w:val="en-GB" w:eastAsia="en-US"/>
        </w:rPr>
        <w:t xml:space="preserve">defines standard terminology for a common understanding of the different aspects of number portability within an ITU-T E.164 numbering scheme. It identifies numbering and addressing formats, call flows, network architectures and routing approaches that will provide alternative </w:t>
      </w:r>
      <w:r w:rsidR="0016567B" w:rsidRPr="0016567B">
        <w:rPr>
          <w:lang w:val="en-GB" w:eastAsia="en-US"/>
        </w:rPr>
        <w:lastRenderedPageBreak/>
        <w:t>methods of implementation. It also proposes some examples of the administrative and operational processes required for the successful implementation of number portability.</w:t>
      </w:r>
    </w:p>
    <w:p w14:paraId="6D337799" w14:textId="33CA79CE" w:rsidR="009826B5" w:rsidRPr="00D61CD4" w:rsidRDefault="00C44FDC" w:rsidP="009826B5">
      <w:pPr>
        <w:rPr>
          <w:lang w:val="en-GB" w:eastAsia="en-US"/>
        </w:rPr>
      </w:pPr>
      <w:hyperlink r:id="rId371" w:history="1">
        <w:r w:rsidR="009826B5" w:rsidRPr="00EC386B">
          <w:rPr>
            <w:rStyle w:val="Hyperlink"/>
            <w:b/>
            <w:bCs/>
            <w:lang w:val="en-GB" w:eastAsia="en-US"/>
          </w:rPr>
          <w:t>ITU-T TR.CLE “Technical Report on identify call location for emergency service”</w:t>
        </w:r>
      </w:hyperlink>
      <w:r w:rsidR="009826B5" w:rsidRPr="00EC386B">
        <w:rPr>
          <w:lang w:val="en-GB" w:eastAsia="en-US"/>
        </w:rPr>
        <w:t xml:space="preserve"> provides an</w:t>
      </w:r>
      <w:r w:rsidR="009826B5" w:rsidRPr="009826B5">
        <w:rPr>
          <w:lang w:val="en-GB" w:eastAsia="en-US"/>
        </w:rPr>
        <w:t xml:space="preserve"> overview of the technical solution of identifying the call location of the emergency service.</w:t>
      </w:r>
    </w:p>
    <w:p w14:paraId="609FBBBC" w14:textId="77777777" w:rsidR="006A46AE" w:rsidRPr="000C24BB" w:rsidRDefault="006A46AE" w:rsidP="006A46AE">
      <w:pPr>
        <w:pStyle w:val="Headingb"/>
      </w:pPr>
      <w:bookmarkStart w:id="245" w:name="_Toc480527908"/>
      <w:r w:rsidRPr="000C24BB">
        <w:t>I.7</w:t>
      </w:r>
      <w:r w:rsidRPr="000C24BB">
        <w:tab/>
        <w:t>Tariff and accounting principles and international telecommunication/ICT economic and policy issues</w:t>
      </w:r>
    </w:p>
    <w:p w14:paraId="62D4092A" w14:textId="77777777" w:rsidR="006A46AE" w:rsidRPr="00C7394F" w:rsidRDefault="006A46AE" w:rsidP="006A46AE">
      <w:pPr>
        <w:pStyle w:val="Headingb"/>
      </w:pPr>
      <w:r w:rsidRPr="00C7394F">
        <w:t>I.7.1</w:t>
      </w:r>
      <w:r w:rsidRPr="00C7394F">
        <w:tab/>
        <w:t>Economic impact of IXP, Universal service, NGN, Mobile Roaming and SMPOTT and Valuation of spectrum</w:t>
      </w:r>
    </w:p>
    <w:p w14:paraId="27C38255" w14:textId="2B01FB4A" w:rsidR="006A46AE" w:rsidRDefault="00C44FDC" w:rsidP="00C7394F">
      <w:pPr>
        <w:rPr>
          <w:bCs/>
          <w:lang w:val="en-GB"/>
        </w:rPr>
      </w:pPr>
      <w:hyperlink r:id="rId372" w:history="1">
        <w:r w:rsidR="006A46AE" w:rsidRPr="005A138B">
          <w:rPr>
            <w:rStyle w:val="Hyperlink"/>
            <w:b/>
            <w:lang w:val="en-GB"/>
          </w:rPr>
          <w:t>ITU-T D.264 "</w:t>
        </w:r>
        <w:r w:rsidR="00C7394F" w:rsidRPr="005A138B">
          <w:rPr>
            <w:rStyle w:val="Hyperlink"/>
            <w:b/>
            <w:lang w:val="en-GB"/>
          </w:rPr>
          <w:t>Shared uses of telecommunication infrastructure as possible methods for enhancing the efficiency of telecommunications”</w:t>
        </w:r>
      </w:hyperlink>
      <w:r w:rsidR="00C7394F" w:rsidRPr="00C7394F">
        <w:rPr>
          <w:bCs/>
          <w:lang w:val="en-GB"/>
        </w:rPr>
        <w:t xml:space="preserve"> proposes a set of possible methods to help telecommunication providers save costs and enhance efficiency through the shared uses of telecommunication infrastructure, including passive and active infrastructure sharing, including when enabled by aggregation of frequency bands assigned to operators who have acquired property rights over the spectrum to enable active infrastructure sharing implementation</w:t>
      </w:r>
      <w:r w:rsidR="006A46AE" w:rsidRPr="00C7394F">
        <w:rPr>
          <w:bCs/>
          <w:lang w:val="en-GB"/>
        </w:rPr>
        <w:t>.</w:t>
      </w:r>
    </w:p>
    <w:p w14:paraId="0DAEF5A4" w14:textId="3E0795EE" w:rsidR="00103050" w:rsidRDefault="00C44FDC" w:rsidP="00103050">
      <w:pPr>
        <w:rPr>
          <w:bCs/>
          <w:lang w:val="en-GB"/>
        </w:rPr>
      </w:pPr>
      <w:hyperlink r:id="rId373" w:history="1">
        <w:r w:rsidR="00103050" w:rsidRPr="002C6DDF">
          <w:rPr>
            <w:rStyle w:val="Hyperlink"/>
            <w:b/>
            <w:lang w:val="en-GB"/>
          </w:rPr>
          <w:t>ITU-T D.265 “Optimizing terrestrial cable utilization across multiple countries to boost regional and international connectivity”</w:t>
        </w:r>
      </w:hyperlink>
      <w:r w:rsidR="00103050">
        <w:rPr>
          <w:bCs/>
          <w:lang w:val="en-GB"/>
        </w:rPr>
        <w:t xml:space="preserve"> </w:t>
      </w:r>
      <w:r w:rsidR="00103050" w:rsidRPr="00103050">
        <w:rPr>
          <w:bCs/>
          <w:lang w:val="en-GB"/>
        </w:rPr>
        <w:t>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fibre contributed to the terrestrial multi-country end-to-end cable network.</w:t>
      </w:r>
    </w:p>
    <w:p w14:paraId="74B0E3D9" w14:textId="2FAFF0A2" w:rsidR="007E608F" w:rsidRDefault="00C44FDC" w:rsidP="007E608F">
      <w:pPr>
        <w:rPr>
          <w:bCs/>
          <w:lang w:val="en-GB"/>
        </w:rPr>
      </w:pPr>
      <w:hyperlink r:id="rId374" w:history="1">
        <w:r w:rsidR="007E608F" w:rsidRPr="004E4358">
          <w:rPr>
            <w:rStyle w:val="Hyperlink"/>
            <w:b/>
            <w:lang w:val="en-GB"/>
          </w:rPr>
          <w:t>ITU-T D.266 “</w:t>
        </w:r>
        <w:r w:rsidR="008753AB" w:rsidRPr="004E4358">
          <w:rPr>
            <w:rStyle w:val="Hyperlink"/>
            <w:b/>
            <w:lang w:val="en-GB"/>
          </w:rPr>
          <w:t xml:space="preserve">Enabling environment for voluntary commercial arrangements between telecommunications network operators and </w:t>
        </w:r>
        <w:r w:rsidR="007E608F" w:rsidRPr="004E4358">
          <w:rPr>
            <w:rStyle w:val="Hyperlink"/>
            <w:b/>
            <w:lang w:val="en-GB"/>
          </w:rPr>
          <w:t>OTT</w:t>
        </w:r>
        <w:r w:rsidR="008753AB" w:rsidRPr="004E4358">
          <w:rPr>
            <w:rStyle w:val="Hyperlink"/>
            <w:b/>
            <w:lang w:val="en-GB"/>
          </w:rPr>
          <w:t xml:space="preserve"> providers</w:t>
        </w:r>
        <w:r w:rsidR="007E608F" w:rsidRPr="004E4358">
          <w:rPr>
            <w:rStyle w:val="Hyperlink"/>
            <w:b/>
            <w:lang w:val="en-GB"/>
          </w:rPr>
          <w:t>”</w:t>
        </w:r>
      </w:hyperlink>
      <w:r w:rsidR="007E608F">
        <w:rPr>
          <w:bCs/>
          <w:lang w:val="en-GB"/>
        </w:rPr>
        <w:t xml:space="preserve"> </w:t>
      </w:r>
      <w:r w:rsidR="007E608F" w:rsidRPr="007E608F">
        <w:rPr>
          <w:bCs/>
          <w:lang w:val="en-GB"/>
        </w:rPr>
        <w:t>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31A2117B" w14:textId="47FF22AB" w:rsidR="000C24BB" w:rsidRDefault="00C44FDC" w:rsidP="000C24BB">
      <w:pPr>
        <w:rPr>
          <w:bCs/>
          <w:lang w:val="en-GB"/>
        </w:rPr>
      </w:pPr>
      <w:hyperlink r:id="rId375" w:history="1">
        <w:r w:rsidR="000C24BB" w:rsidRPr="00B14D36">
          <w:rPr>
            <w:rStyle w:val="Hyperlink"/>
            <w:b/>
            <w:lang w:val="en-GB"/>
          </w:rPr>
          <w:t>ITU-T D.267</w:t>
        </w:r>
        <w:r w:rsidR="008753AB" w:rsidRPr="00B14D36">
          <w:rPr>
            <w:rStyle w:val="Hyperlink"/>
            <w:b/>
            <w:lang w:val="en-GB"/>
          </w:rPr>
          <w:t>/X.1261</w:t>
        </w:r>
        <w:r w:rsidR="000C24BB" w:rsidRPr="00B14D36">
          <w:rPr>
            <w:rStyle w:val="Hyperlink"/>
            <w:b/>
            <w:lang w:val="en-GB"/>
          </w:rPr>
          <w:t xml:space="preserve"> “Policy framework including principles for digital identity infrastructure”</w:t>
        </w:r>
      </w:hyperlink>
      <w:r w:rsidR="000C24BB">
        <w:rPr>
          <w:bCs/>
          <w:lang w:val="en-GB"/>
        </w:rPr>
        <w:t xml:space="preserve"> </w:t>
      </w:r>
      <w:r w:rsidR="000C24BB" w:rsidRPr="000C24BB">
        <w:rPr>
          <w:bCs/>
          <w:lang w:val="en-GB"/>
        </w:rPr>
        <w:t xml:space="preserve">sets out a policy framework including principles for digital identity infrastructure while recognizing the sovereign right of each Member State to regulate its </w:t>
      </w:r>
      <w:r w:rsidR="006F018B">
        <w:rPr>
          <w:bCs/>
          <w:lang w:val="en-GB"/>
        </w:rPr>
        <w:t>t</w:t>
      </w:r>
      <w:r w:rsidR="000C24BB" w:rsidRPr="000C24BB">
        <w:rPr>
          <w:bCs/>
          <w:lang w:val="en-GB"/>
        </w:rPr>
        <w:t>elecommunications.</w:t>
      </w:r>
    </w:p>
    <w:p w14:paraId="4F762D9E" w14:textId="6C236576" w:rsidR="005D6C25" w:rsidRPr="0075603A" w:rsidRDefault="005D6C25" w:rsidP="005D6C25">
      <w:pPr>
        <w:rPr>
          <w:bCs/>
          <w:lang w:val="en-GB"/>
        </w:rPr>
      </w:pPr>
      <w:r w:rsidRPr="0039167D">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75603A">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39167D" w:rsidRDefault="005A13FA" w:rsidP="005A13FA">
      <w:pPr>
        <w:rPr>
          <w:lang w:val="en-GB"/>
        </w:rPr>
      </w:pPr>
      <w:r w:rsidRPr="0039167D">
        <w:rPr>
          <w:b/>
          <w:lang w:val="en-GB"/>
        </w:rPr>
        <w:t>ITU-T D.607R “One Network Area Roaming” (under approval)</w:t>
      </w:r>
      <w:r w:rsidRPr="0039167D">
        <w:rPr>
          <w:lang w:val="en-GB"/>
        </w:rPr>
        <w:t>,</w:t>
      </w:r>
      <w:r w:rsidRPr="005A13FA">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Default="008753AB" w:rsidP="008753AB">
      <w:pPr>
        <w:rPr>
          <w:b/>
          <w:highlight w:val="red"/>
          <w:lang w:val="en-GB"/>
        </w:rPr>
      </w:pPr>
      <w:r w:rsidRPr="0039167D">
        <w:rPr>
          <w:b/>
          <w:lang w:val="en-GB"/>
        </w:rPr>
        <w:t>ITU-T D.1041 “Policy and methodological principles for determining colocation and access charges” (under approval)</w:t>
      </w:r>
      <w:r w:rsidRPr="0039167D">
        <w:rPr>
          <w:bCs/>
          <w:lang w:val="en-GB"/>
        </w:rPr>
        <w:t>:</w:t>
      </w:r>
      <w:r>
        <w:rPr>
          <w:bCs/>
          <w:lang w:val="en-GB"/>
        </w:rPr>
        <w:t xml:space="preserve"> </w:t>
      </w:r>
      <w:r w:rsidRPr="008753AB">
        <w:rPr>
          <w:bCs/>
          <w:lang w:val="en-GB"/>
        </w:rPr>
        <w:t xml:space="preserve">Co-location is an important telecommunications wholesale service essential to a competitive telecommunications landscape and a sustainable environment, as it eliminates the need for operators to build-out new or replicate existing infrastructure. A key </w:t>
      </w:r>
      <w:r w:rsidRPr="008753AB">
        <w:rPr>
          <w:bCs/>
          <w:lang w:val="en-GB"/>
        </w:rPr>
        <w:lastRenderedPageBreak/>
        <w:t>component for encouraging co-location is the establishment of reasonable co-location access and service rates on the principles of fairness and equity.</w:t>
      </w:r>
    </w:p>
    <w:p w14:paraId="670A45FB" w14:textId="25B9CE90" w:rsidR="009B04B9" w:rsidRPr="00C7394F" w:rsidRDefault="00C44FDC" w:rsidP="009B04B9">
      <w:pPr>
        <w:rPr>
          <w:bCs/>
          <w:lang w:val="en-GB"/>
        </w:rPr>
      </w:pPr>
      <w:hyperlink r:id="rId376" w:history="1">
        <w:r w:rsidR="009B04B9" w:rsidRPr="00452F2A">
          <w:rPr>
            <w:rStyle w:val="Hyperlink"/>
            <w:b/>
            <w:lang w:val="en-GB"/>
          </w:rPr>
          <w:t>ITU-T D.Suppl.4 “Supplement 4 to ITU-T D-series Recommendations: ITU-T D.263 – Supplement on Principles for increased adoption and use of mobile financial services (MFSs) through effective consumer protection mechanisms”</w:t>
        </w:r>
      </w:hyperlink>
      <w:r w:rsidR="009B04B9">
        <w:rPr>
          <w:bCs/>
          <w:lang w:val="en-GB"/>
        </w:rPr>
        <w:t xml:space="preserve"> </w:t>
      </w:r>
      <w:r w:rsidR="009B04B9" w:rsidRPr="009B04B9">
        <w:rPr>
          <w:bCs/>
          <w:lang w:val="en-GB"/>
        </w:rPr>
        <w:t>sets out a number of principles for encouraging adoption and use of MFS services through the establishment of adequate consumer protection mechanisms, such as information availability and transparency, quality of service, data protection and privacy, customer redress fraud prevention as well as contracts and disclosure guidelines.</w:t>
      </w:r>
    </w:p>
    <w:p w14:paraId="126BB7C5" w14:textId="77777777" w:rsidR="006A46AE" w:rsidRPr="00CF5650" w:rsidRDefault="006A46AE" w:rsidP="006A46AE">
      <w:pPr>
        <w:pStyle w:val="Headingb"/>
      </w:pPr>
      <w:r w:rsidRPr="00CF5650">
        <w:t>I.8</w:t>
      </w:r>
      <w:r w:rsidRPr="00CF5650">
        <w:tab/>
        <w:t>Quality of service and experience, and network performance</w:t>
      </w:r>
      <w:bookmarkEnd w:id="245"/>
    </w:p>
    <w:p w14:paraId="14A8AE33" w14:textId="696C14C5" w:rsidR="00EC5833" w:rsidRDefault="00C44FDC" w:rsidP="00EC5833">
      <w:pPr>
        <w:widowControl w:val="0"/>
      </w:pPr>
      <w:hyperlink r:id="rId377" w:history="1">
        <w:r w:rsidR="00EC5833" w:rsidRPr="00CA36D9">
          <w:rPr>
            <w:rStyle w:val="Hyperlink"/>
            <w:b/>
            <w:bCs/>
          </w:rPr>
          <w:t>ITU-T E.812 “Crowdsourcing approach for the assessment of end-to-end QoS in fixed and mobile broadband networks”</w:t>
        </w:r>
      </w:hyperlink>
      <w:r w:rsidR="00EC5833" w:rsidRPr="00CA36D9">
        <w:t xml:space="preserve">: End-user equipment, consumer premise equipment and its software have evolved to become faster, more powerful and able to perform data collection. This has enabled the crowdsourcing approach which seeks to increase the </w:t>
      </w:r>
      <w:proofErr w:type="gramStart"/>
      <w:r w:rsidR="00EC5833" w:rsidRPr="00CA36D9">
        <w:t>amount</w:t>
      </w:r>
      <w:proofErr w:type="gramEnd"/>
      <w:r w:rsidR="00EC5833" w:rsidRPr="00CA36D9">
        <w:t xml:space="preserve"> of technical parameters which can be collected from end-users without modification to existing hardware and software. Increasingly, players such as regulators and service providers have started to assess end-to-end QoS through a crowdsourcing approach. However, assessment using data collected through the crowdsourcing approach can be deployed in multiple ways and different approach provides different view of QoS. This Recommendation outlines the different crowdsourcing approaches used to assess end-to-end QoS on both fixed and mobile broadband networks.</w:t>
      </w:r>
    </w:p>
    <w:p w14:paraId="1DC3E001" w14:textId="13E30B75" w:rsidR="00B1611E" w:rsidRDefault="00C44FDC" w:rsidP="00B1611E">
      <w:pPr>
        <w:widowControl w:val="0"/>
      </w:pPr>
      <w:hyperlink r:id="rId378" w:history="1">
        <w:r w:rsidR="00B1611E" w:rsidRPr="00CA36D9">
          <w:rPr>
            <w:rStyle w:val="Hyperlink"/>
            <w:b/>
            <w:bCs/>
          </w:rPr>
          <w:t>ITU-T G.1035 “Influencing factors on quality of experience (</w:t>
        </w:r>
        <w:proofErr w:type="spellStart"/>
        <w:r w:rsidR="00B1611E" w:rsidRPr="00CA36D9">
          <w:rPr>
            <w:rStyle w:val="Hyperlink"/>
            <w:b/>
            <w:bCs/>
          </w:rPr>
          <w:t>QoE</w:t>
        </w:r>
        <w:proofErr w:type="spellEnd"/>
        <w:r w:rsidR="00B1611E" w:rsidRPr="00CA36D9">
          <w:rPr>
            <w:rStyle w:val="Hyperlink"/>
            <w:b/>
            <w:bCs/>
          </w:rPr>
          <w:t>) for virtual reality (VR) services”</w:t>
        </w:r>
      </w:hyperlink>
      <w:r w:rsidR="00B1611E" w:rsidRPr="00CA36D9">
        <w:t xml:space="preserve"> classifies virtual reality services and identifies the key </w:t>
      </w:r>
      <w:proofErr w:type="spellStart"/>
      <w:r w:rsidR="00B1611E" w:rsidRPr="00CA36D9">
        <w:t>QoE</w:t>
      </w:r>
      <w:proofErr w:type="spellEnd"/>
      <w:r w:rsidR="00B1611E" w:rsidRPr="00CA36D9">
        <w:t xml:space="preserve"> factors of VR.</w:t>
      </w:r>
    </w:p>
    <w:p w14:paraId="6944EA9F" w14:textId="66241A94" w:rsidR="00FB4DC4" w:rsidRDefault="00C44FDC" w:rsidP="00FB4DC4">
      <w:pPr>
        <w:widowControl w:val="0"/>
      </w:pPr>
      <w:hyperlink r:id="rId379" w:history="1">
        <w:r w:rsidR="00FB4DC4" w:rsidRPr="001B20EA">
          <w:rPr>
            <w:rStyle w:val="Hyperlink"/>
            <w:b/>
            <w:bCs/>
          </w:rPr>
          <w:t>ITU-T P.501 (revised) “Test signals for use in telephony and other speech-based applications”</w:t>
        </w:r>
      </w:hyperlink>
      <w:r w:rsidR="00FB4DC4" w:rsidRPr="001B20EA">
        <w:t xml:space="preserve"> describes test signals that are applicable for several purposes in telephony and other speech-based applications. Recommendation ITU-T P.501 gives a wide variety of test signals starting with low complexity test signals up to test signals with a high degree of complexity incorporating many typical parameters of speech. Besides technical signals, such as sine waves or noise, more speech-like signals are described. Recommendation ITU-T P.501 describes the principles of signal construction for each type of test signal. Characteristic properties, such as power density spectra, probability density functions or shaping filter responses, are shown. Recommendation ITU-T P.501 gives an overview of the typical application of the test signals described. This overview is a guideline giving general application rules. The detailed description of the application, however, should be found in the individual Recommendations describing the measurement procedures for specific applications. </w:t>
      </w:r>
      <w:proofErr w:type="gramStart"/>
      <w:r w:rsidR="00FB4DC4" w:rsidRPr="001B20EA">
        <w:t>In order to</w:t>
      </w:r>
      <w:proofErr w:type="gramEnd"/>
      <w:r w:rsidR="00FB4DC4" w:rsidRPr="001B20EA">
        <w:t xml:space="preserve"> avoid problems in creating the test signals described, all these test signals are freely available for download from the ITU-T test signals database.</w:t>
      </w:r>
    </w:p>
    <w:p w14:paraId="24F9F67C" w14:textId="05B42D8F" w:rsidR="00FB4DC4" w:rsidRDefault="00FB4DC4" w:rsidP="00FB4DC4">
      <w:pPr>
        <w:widowControl w:val="0"/>
      </w:pPr>
      <w:r>
        <w:t>Annex A proposes two test signals [a pseudo noise sequence (PN-sequence) with a low crest factor and a logarithmically distributed multi-sine wave] for the measurement of terminal coupling loss (TCL). Annex B provides speech files and noise sequences to be used in combination with objective speech quality evaluation methods. This speech material does not replace the speech material found in Supplement 23 to the ITU T P-series Recommendations. Appendix I provides a description of the processing applied to the speech signals in clause 7.3. This Recommendation includes an electronic attachment containing the set of freely available test signals described in the Recommendation.</w:t>
      </w:r>
    </w:p>
    <w:p w14:paraId="6C446BA9" w14:textId="732B6D1D" w:rsidR="006251CD" w:rsidRDefault="00C44FDC" w:rsidP="006251CD">
      <w:pPr>
        <w:widowControl w:val="0"/>
      </w:pPr>
      <w:hyperlink r:id="rId380" w:history="1">
        <w:r w:rsidR="006251CD" w:rsidRPr="009F123A">
          <w:rPr>
            <w:rStyle w:val="Hyperlink"/>
            <w:b/>
            <w:bCs/>
          </w:rPr>
          <w:t>ITU-T P.863 Amd.1 “Perceptual objective listening quality prediction - Amendment 1: Revised Appendix III – Prediction of acoustically recorded narrowband speech”</w:t>
        </w:r>
      </w:hyperlink>
      <w:r w:rsidR="006251CD">
        <w:t xml:space="preserve"> replaces Appendix III which gives advice on how ITU-T P.863 can be used for the prediction of listening quality of acoustically recorded speech data in a narrowband context.</w:t>
      </w:r>
    </w:p>
    <w:p w14:paraId="2510591A" w14:textId="143AF274" w:rsidR="00FF0F8D" w:rsidRDefault="00C44FDC" w:rsidP="00FF0F8D">
      <w:pPr>
        <w:widowControl w:val="0"/>
      </w:pPr>
      <w:hyperlink r:id="rId381" w:history="1">
        <w:r w:rsidR="00FF0F8D" w:rsidRPr="00006BFA">
          <w:rPr>
            <w:rStyle w:val="Hyperlink"/>
            <w:b/>
            <w:bCs/>
          </w:rPr>
          <w:t xml:space="preserve">ITU-T P.1203.3 Amd.1 “Parametric bitstream-based quality assessment of progressive </w:t>
        </w:r>
        <w:r w:rsidR="00FF0F8D" w:rsidRPr="00006BFA">
          <w:rPr>
            <w:rStyle w:val="Hyperlink"/>
            <w:b/>
            <w:bCs/>
          </w:rPr>
          <w:lastRenderedPageBreak/>
          <w:t>download and adaptive audiovisual streaming services over reliable transport - Quality integration module Amendment 1 - Adjustment of the audiovisual quality”</w:t>
        </w:r>
      </w:hyperlink>
      <w:r w:rsidR="00FF0F8D">
        <w:t xml:space="preserve"> introduces an adjustment of the audiovisual quality of ITU-T P.1203.3 for the case of very low audio quality and long stalling events.</w:t>
      </w:r>
    </w:p>
    <w:p w14:paraId="558D1385" w14:textId="15CBD75E" w:rsidR="00280D12" w:rsidRDefault="00C44FDC" w:rsidP="00280D12">
      <w:pPr>
        <w:widowControl w:val="0"/>
      </w:pPr>
      <w:hyperlink r:id="rId382" w:history="1">
        <w:r w:rsidR="00280D12" w:rsidRPr="0019265B">
          <w:rPr>
            <w:rStyle w:val="Hyperlink"/>
            <w:b/>
            <w:lang w:val="en-GB"/>
          </w:rPr>
          <w:t>ITU-T Y.1540 Amd.1 “Internet protocol data communication service - IP packet transfer and availability performance parameters - Amendment 1 - Amendment 1: New Annex B – Additional search algorithm for IP-based capacity parameters and methods of measurement”</w:t>
        </w:r>
      </w:hyperlink>
      <w:r w:rsidR="00280D12" w:rsidRPr="000D5831">
        <w:rPr>
          <w:lang w:val="en-GB"/>
        </w:rPr>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r w:rsidR="000D5831" w:rsidRPr="000D5831">
        <w:rPr>
          <w:lang w:val="en-GB"/>
        </w:rPr>
        <w:t xml:space="preserve"> </w:t>
      </w:r>
      <w:r w:rsidR="000D5831" w:rsidRPr="000D5831">
        <w:t>Annex B provides a second, more capable search algorithm for the IP capacity method of measurement defined in Annex A.</w:t>
      </w:r>
    </w:p>
    <w:p w14:paraId="4811F542" w14:textId="2F297B1F" w:rsidR="00D441EA" w:rsidRPr="000D5831" w:rsidRDefault="00C44FDC" w:rsidP="00D441EA">
      <w:pPr>
        <w:widowControl w:val="0"/>
        <w:rPr>
          <w:lang w:val="en-GB"/>
        </w:rPr>
      </w:pPr>
      <w:hyperlink r:id="rId383" w:history="1">
        <w:r w:rsidR="00D441EA" w:rsidRPr="00D441EA">
          <w:rPr>
            <w:rStyle w:val="Hyperlink"/>
            <w:b/>
            <w:bCs/>
          </w:rPr>
          <w:t>ITU-T Y Suppl.60 “Interpreting Y.1540 Maximum IP-Layer Capacity Measurements”</w:t>
        </w:r>
      </w:hyperlink>
      <w:r w:rsidR="00D441EA">
        <w:t xml:space="preserve"> provides information on interpreting Y.1540 Maximum IP-Layer Capacity Measurements, described in Annex A and Annex B. The supplement to provide useful information for those who measure various technologies. Much has been learned as part of the extensive testing campaigns thus far, and there is more to learn. Therefore, this Supplement may be updated </w:t>
      </w:r>
      <w:proofErr w:type="gramStart"/>
      <w:r w:rsidR="00D441EA">
        <w:t>frequently</w:t>
      </w:r>
      <w:proofErr w:type="gramEnd"/>
      <w:r w:rsidR="00D441EA">
        <w:t xml:space="preserve"> and readers are encouraged to ensure that they have the most recent version.</w:t>
      </w:r>
    </w:p>
    <w:p w14:paraId="231568F8" w14:textId="77777777" w:rsidR="006A46AE" w:rsidRPr="00080B1C" w:rsidRDefault="006A46AE" w:rsidP="006A46AE">
      <w:pPr>
        <w:pStyle w:val="Headingb"/>
      </w:pPr>
      <w:bookmarkStart w:id="246" w:name="_Toc480527909"/>
      <w:r w:rsidRPr="00080B1C">
        <w:t>I.9</w:t>
      </w:r>
      <w:r w:rsidRPr="00080B1C">
        <w:tab/>
        <w:t xml:space="preserve">Conformity, </w:t>
      </w:r>
      <w:proofErr w:type="gramStart"/>
      <w:r w:rsidRPr="00080B1C">
        <w:t>interoperability</w:t>
      </w:r>
      <w:proofErr w:type="gramEnd"/>
      <w:r w:rsidRPr="00080B1C">
        <w:t xml:space="preserve"> and testing</w:t>
      </w:r>
      <w:bookmarkEnd w:id="246"/>
    </w:p>
    <w:p w14:paraId="0768C053" w14:textId="77777777" w:rsidR="006A46AE" w:rsidRPr="00080B1C" w:rsidRDefault="006A46AE" w:rsidP="006A46AE">
      <w:pPr>
        <w:pStyle w:val="Headingb"/>
      </w:pPr>
      <w:r w:rsidRPr="00080B1C">
        <w:t>I.9.3</w:t>
      </w:r>
      <w:r w:rsidRPr="00080B1C">
        <w:tab/>
        <w:t>SIP-IMS conformity assessment and interconnection testing</w:t>
      </w:r>
    </w:p>
    <w:p w14:paraId="25545FD7" w14:textId="136EEAB7" w:rsidR="006A46AE" w:rsidRPr="00080B1C" w:rsidRDefault="006A46AE" w:rsidP="007F1F39">
      <w:pPr>
        <w:pStyle w:val="Headingb"/>
        <w:keepNext w:val="0"/>
      </w:pPr>
      <w:r w:rsidRPr="00080B1C">
        <w:t>I.9.8</w:t>
      </w:r>
      <w:r w:rsidRPr="00080B1C">
        <w:tab/>
        <w:t>Testing Internet of things</w:t>
      </w:r>
    </w:p>
    <w:p w14:paraId="212F22B5" w14:textId="71161148" w:rsidR="00080B1C" w:rsidRDefault="00080B1C" w:rsidP="00080B1C">
      <w:pPr>
        <w:rPr>
          <w:lang w:val="en-GB" w:eastAsia="en-US"/>
        </w:rPr>
      </w:pPr>
      <w:r w:rsidRPr="0039167D">
        <w:rPr>
          <w:b/>
          <w:bCs/>
          <w:lang w:val="en-GB" w:eastAsia="en-US"/>
        </w:rPr>
        <w:t>ITU-T Q.4062 “Framework for IoT Testing” (under approval)</w:t>
      </w:r>
      <w:r w:rsidRPr="0039167D">
        <w:rPr>
          <w:lang w:val="en-GB" w:eastAsia="en-US"/>
        </w:rPr>
        <w:t>:</w:t>
      </w:r>
      <w:r>
        <w:rPr>
          <w:lang w:val="en-GB" w:eastAsia="en-US"/>
        </w:rPr>
        <w:t xml:space="preserve"> </w:t>
      </w:r>
      <w:r w:rsidRPr="00080B1C">
        <w:rPr>
          <w:lang w:val="en-GB" w:eastAsia="en-US"/>
        </w:rPr>
        <w:t xml:space="preserve">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integrated domains with multiple access technologies. Conformance and interoperability tests for domains served by single unified access technology have been </w:t>
      </w:r>
      <w:proofErr w:type="gramStart"/>
      <w:r w:rsidRPr="00080B1C">
        <w:rPr>
          <w:lang w:val="en-GB" w:eastAsia="en-US"/>
        </w:rPr>
        <w:t>taken into account</w:t>
      </w:r>
      <w:proofErr w:type="gramEnd"/>
      <w:r w:rsidRPr="00080B1C">
        <w:rPr>
          <w:lang w:val="en-GB" w:eastAsia="en-US"/>
        </w:rPr>
        <w:t xml:space="preserve"> by relevant SDOs and therefore are out of scope of this Recommendation.</w:t>
      </w:r>
      <w:r>
        <w:rPr>
          <w:lang w:val="en-GB" w:eastAsia="en-US"/>
        </w:rPr>
        <w:t xml:space="preserve"> </w:t>
      </w:r>
      <w:r w:rsidRPr="00080B1C">
        <w:rPr>
          <w:lang w:val="en-GB" w:eastAsia="en-US"/>
        </w:rPr>
        <w:t>This Recommendation describes the types of the tests for the domains with multiple access technologies and specifies the test procedures and the considerations correspond to the testing types.</w:t>
      </w:r>
    </w:p>
    <w:p w14:paraId="157A14F1" w14:textId="52A14D2C" w:rsidR="00A20762" w:rsidRPr="00A20762" w:rsidRDefault="00A20762" w:rsidP="00A20762">
      <w:pPr>
        <w:rPr>
          <w:lang w:val="en-GB" w:eastAsia="en-US"/>
        </w:rPr>
      </w:pPr>
      <w:r w:rsidRPr="0039167D">
        <w:rPr>
          <w:b/>
          <w:bCs/>
          <w:lang w:val="en-GB" w:eastAsia="en-US"/>
        </w:rPr>
        <w:t>ITU-T Q.4063 “The framework of testing of identification systems used in IoT” (under approval)</w:t>
      </w:r>
      <w:r w:rsidRPr="0039167D">
        <w:rPr>
          <w:lang w:val="en-GB" w:eastAsia="en-US"/>
        </w:rPr>
        <w:t>:</w:t>
      </w:r>
      <w:r>
        <w:rPr>
          <w:lang w:val="en-GB" w:eastAsia="en-US"/>
        </w:rPr>
        <w:t xml:space="preserve"> </w:t>
      </w:r>
      <w:r w:rsidRPr="00A20762">
        <w:rPr>
          <w:lang w:val="en-GB" w:eastAsia="en-US"/>
        </w:rPr>
        <w:t xml:space="preserve">The concept of the Internet of Things, defined in Recommendation ITU-T Y.4000/Y.2060, nowadays plays an important role for telecommunication and information technologies. According to a forecast, the number of Internet of Things in the foreseeable future will be hundreds of </w:t>
      </w:r>
      <w:proofErr w:type="gramStart"/>
      <w:r w:rsidRPr="00A20762">
        <w:rPr>
          <w:lang w:val="en-GB" w:eastAsia="en-US"/>
        </w:rPr>
        <w:t>billions</w:t>
      </w:r>
      <w:proofErr w:type="gramEnd"/>
      <w:r w:rsidRPr="00A20762">
        <w:rPr>
          <w:lang w:val="en-GB" w:eastAsia="en-US"/>
        </w:rPr>
        <w:t xml:space="preserve">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080B1C" w:rsidRDefault="00A20762" w:rsidP="00A20762">
      <w:pPr>
        <w:rPr>
          <w:highlight w:val="yellow"/>
          <w:lang w:val="en-GB" w:eastAsia="en-US"/>
        </w:rPr>
      </w:pPr>
      <w:r w:rsidRPr="00A20762">
        <w:rPr>
          <w:lang w:val="en-GB" w:eastAsia="en-US"/>
        </w:rPr>
        <w:lastRenderedPageBreak/>
        <w:t>Also, bearing in mind that there are a lot of applications of Internet of Things, the testing of their identity might be considered as a very important issue as it allows customer to ensure the authenticity of the IoT.</w:t>
      </w:r>
      <w:r>
        <w:rPr>
          <w:lang w:val="en-GB" w:eastAsia="en-US"/>
        </w:rPr>
        <w:t xml:space="preserve"> </w:t>
      </w:r>
      <w:r w:rsidRPr="00A20762">
        <w:rPr>
          <w:lang w:val="en-GB" w:eastAsia="en-US"/>
        </w:rPr>
        <w:t>The classification of IoT, in terms of testing of their identification systems and the relevant testing approaches are subjects of this Recommendation.</w:t>
      </w:r>
    </w:p>
    <w:p w14:paraId="30ED8FA0" w14:textId="77777777" w:rsidR="006A46AE" w:rsidRPr="00A10F95" w:rsidRDefault="006A46AE" w:rsidP="007F1F39">
      <w:pPr>
        <w:pStyle w:val="Headingb"/>
        <w:keepNext w:val="0"/>
      </w:pPr>
      <w:r w:rsidRPr="00A10F95">
        <w:t>I.9.9</w:t>
      </w:r>
      <w:r w:rsidRPr="00A10F95">
        <w:tab/>
        <w:t>Testing energy efficiency of base stations</w:t>
      </w:r>
    </w:p>
    <w:p w14:paraId="24ABC2C5" w14:textId="77777777" w:rsidR="006A46AE" w:rsidRPr="00A10F95" w:rsidRDefault="006A46AE" w:rsidP="007F1F39">
      <w:pPr>
        <w:pStyle w:val="Headingb"/>
        <w:keepNext w:val="0"/>
      </w:pPr>
      <w:r w:rsidRPr="00A10F95">
        <w:t>I.9.10</w:t>
      </w:r>
      <w:r w:rsidRPr="00A10F95">
        <w:tab/>
        <w:t>Testing cloud computing</w:t>
      </w:r>
    </w:p>
    <w:p w14:paraId="19DC8B26" w14:textId="4A84B215" w:rsidR="006A46AE" w:rsidRPr="009864F0" w:rsidRDefault="006A46AE" w:rsidP="007F1F39">
      <w:pPr>
        <w:pStyle w:val="Headingb"/>
        <w:keepNext w:val="0"/>
      </w:pPr>
      <w:r w:rsidRPr="009864F0">
        <w:t>I.9.11</w:t>
      </w:r>
      <w:r w:rsidRPr="009864F0">
        <w:tab/>
        <w:t>Testing SDN</w:t>
      </w:r>
    </w:p>
    <w:p w14:paraId="19F891BA" w14:textId="34D83A10" w:rsidR="009864F0" w:rsidRPr="009864F0" w:rsidRDefault="00C44FDC" w:rsidP="009864F0">
      <w:pPr>
        <w:rPr>
          <w:lang w:val="en-GB" w:eastAsia="en-US"/>
        </w:rPr>
      </w:pPr>
      <w:hyperlink r:id="rId384" w:history="1">
        <w:r w:rsidR="009864F0" w:rsidRPr="005433A7">
          <w:rPr>
            <w:rStyle w:val="Hyperlink"/>
            <w:b/>
            <w:bCs/>
            <w:lang w:val="en-GB" w:eastAsia="en-US"/>
          </w:rPr>
          <w:t>ITU-T Q.3963 “The compatibility testing of SDN-based equipment using OpenFlow protocol”</w:t>
        </w:r>
      </w:hyperlink>
      <w:r w:rsidR="009864F0">
        <w:rPr>
          <w:lang w:val="en-GB" w:eastAsia="en-US"/>
        </w:rPr>
        <w:t xml:space="preserve">: </w:t>
      </w:r>
      <w:r w:rsidR="009864F0" w:rsidRPr="009864F0">
        <w:rPr>
          <w:lang w:val="en-GB" w:eastAsia="en-US"/>
        </w:rPr>
        <w:t>One of the challenges in the area of software-defined networking is to ensure the compatibility of solutions from various producers at all layers of the NFV and SDN network. There are many SDN solutions, both open-source and proprietary; each is unique in terms of the software implementation by the object, which, even if it delivers the functionality required by the standard, is still at risk in certain cases of the network failing or holding up traffic owing to a loss of the OpenFlow connection between the SDN switch and controller of the programmable network, exposing the operator (network owner) to the risk of financial and other losses (e.g. of customers).</w:t>
      </w:r>
      <w:r w:rsidR="009864F0">
        <w:rPr>
          <w:lang w:val="en-GB" w:eastAsia="en-US"/>
        </w:rPr>
        <w:t xml:space="preserve"> </w:t>
      </w:r>
      <w:r w:rsidR="009864F0" w:rsidRPr="009864F0">
        <w:rPr>
          <w:lang w:val="en-GB" w:eastAsia="en-US"/>
        </w:rPr>
        <w:t>To prevent such situations, when installing equipment on a telecommunication network, the operator will test the equipment in question for compatibility with other devices already operating on the network. In the case of SDN, tests are required to check the compatibility of OpenFlow protocol modules of each version installed on the device being tested.</w:t>
      </w:r>
    </w:p>
    <w:p w14:paraId="5FB0B169" w14:textId="6FFB40DE" w:rsidR="009864F0" w:rsidRPr="009864F0" w:rsidRDefault="009864F0" w:rsidP="009864F0">
      <w:pPr>
        <w:rPr>
          <w:highlight w:val="yellow"/>
          <w:lang w:val="en-GB" w:eastAsia="en-US"/>
        </w:rPr>
      </w:pPr>
      <w:r w:rsidRPr="009864F0">
        <w:rPr>
          <w:lang w:val="en-GB" w:eastAsia="en-US"/>
        </w:rPr>
        <w:t>This Recommendation has been developed with a view to harmonizing existing practices in the area of compatibility testing of devices using the OpenFlow operating system.</w:t>
      </w:r>
    </w:p>
    <w:p w14:paraId="014A52CF" w14:textId="7FC75B42" w:rsidR="006A46AE" w:rsidRPr="006B74E2" w:rsidRDefault="006A46AE" w:rsidP="007F1F39">
      <w:pPr>
        <w:pStyle w:val="Headingb"/>
        <w:keepNext w:val="0"/>
      </w:pPr>
      <w:r w:rsidRPr="006B74E2">
        <w:t>I.10</w:t>
      </w:r>
      <w:r w:rsidRPr="006B74E2">
        <w:tab/>
        <w:t>Mainstreaming accessibility in ICTs</w:t>
      </w:r>
    </w:p>
    <w:p w14:paraId="1E04FC2C" w14:textId="0B82EB01" w:rsidR="006B74E2" w:rsidRDefault="00C44FDC" w:rsidP="006B74E2">
      <w:pPr>
        <w:rPr>
          <w:lang w:val="en-GB" w:eastAsia="en-US"/>
        </w:rPr>
      </w:pPr>
      <w:hyperlink r:id="rId385" w:history="1">
        <w:r w:rsidR="006B74E2" w:rsidRPr="000A3960">
          <w:rPr>
            <w:rStyle w:val="Hyperlink"/>
            <w:b/>
            <w:bCs/>
            <w:lang w:val="en-GB" w:eastAsia="en-US"/>
          </w:rPr>
          <w:t>ITU-T F.922 “Requirements of information service systems for visually impaired persons”</w:t>
        </w:r>
      </w:hyperlink>
      <w:r w:rsidR="006B74E2">
        <w:rPr>
          <w:lang w:val="en-GB" w:eastAsia="en-US"/>
        </w:rPr>
        <w:t xml:space="preserve"> </w:t>
      </w:r>
      <w:r w:rsidR="006B74E2" w:rsidRPr="006B74E2">
        <w:rPr>
          <w:lang w:val="en-GB" w:eastAsia="en-US"/>
        </w:rPr>
        <w:t>provides requirements for establishing an information service system for visually impaired persons (ISS-VIP) which is based on mobile internet. ISS-VIP is constructed in C/S mode, VIPs and volunteers could access this system through their client software, and use the service provided by this system, or provide service for another person through this system. ISS-VIP provides three kinds of services, i.e. image recognition service, video assist service and trip companion service.</w:t>
      </w:r>
    </w:p>
    <w:p w14:paraId="6C85337F" w14:textId="2815C27C" w:rsidR="000D6D55" w:rsidRDefault="000D6D55" w:rsidP="000D6D55">
      <w:pPr>
        <w:rPr>
          <w:lang w:val="en-GB" w:eastAsia="en-US"/>
        </w:rPr>
      </w:pPr>
      <w:r w:rsidRPr="0039167D">
        <w:rPr>
          <w:b/>
          <w:lang w:val="en-GB" w:eastAsia="en-US"/>
        </w:rPr>
        <w:t>ITU-T H.702 (V2) (revised) “Accessibility profiles for IPTV systems” (under approval)</w:t>
      </w:r>
      <w:r>
        <w:rPr>
          <w:lang w:val="en-GB" w:eastAsia="en-US"/>
        </w:rPr>
        <w:t xml:space="preserve"> </w:t>
      </w:r>
      <w:r w:rsidRPr="000D6D55">
        <w:rPr>
          <w:lang w:val="en-GB" w:eastAsia="en-US"/>
        </w:rPr>
        <w:t xml:space="preserve">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w:t>
      </w:r>
      <w:proofErr w:type="gramStart"/>
      <w:r w:rsidRPr="000D6D55">
        <w:rPr>
          <w:lang w:val="en-GB" w:eastAsia="en-US"/>
        </w:rPr>
        <w:t>system, and</w:t>
      </w:r>
      <w:proofErr w:type="gramEnd"/>
      <w:r w:rsidRPr="000D6D55">
        <w:rPr>
          <w:lang w:val="en-GB" w:eastAsia="en-US"/>
        </w:rPr>
        <w:t xml:space="preserve"> harmonizes the latest term definitions.</w:t>
      </w:r>
    </w:p>
    <w:p w14:paraId="65D2E13E" w14:textId="4F01F562" w:rsidR="00D940B1" w:rsidRPr="006B74E2" w:rsidRDefault="00D940B1" w:rsidP="000D6D55">
      <w:pPr>
        <w:rPr>
          <w:highlight w:val="yellow"/>
          <w:lang w:val="en-GB" w:eastAsia="en-US"/>
        </w:rPr>
      </w:pPr>
      <w:r w:rsidRPr="0039167D">
        <w:rPr>
          <w:b/>
          <w:lang w:val="en-GB" w:eastAsia="en-US"/>
        </w:rPr>
        <w:t>ITU-T H.704 “Enhanced UI framework for IPTV terminal device - Gesture control interface” (under approval)</w:t>
      </w:r>
      <w:r>
        <w:rPr>
          <w:lang w:val="en-GB" w:eastAsia="en-US"/>
        </w:rPr>
        <w:t xml:space="preserve"> </w:t>
      </w:r>
      <w:r w:rsidRPr="0031304D">
        <w:rPr>
          <w:lang w:val="en-GB" w:eastAsia="en-US"/>
        </w:rPr>
        <w:t xml:space="preserve">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w:t>
      </w:r>
      <w:r w:rsidRPr="0031304D">
        <w:rPr>
          <w:lang w:val="en-GB" w:eastAsia="en-US"/>
        </w:rPr>
        <w:lastRenderedPageBreak/>
        <w:t xml:space="preserve">operation of IPTV applications in an IPTV terminal device in a convenient, </w:t>
      </w:r>
      <w:proofErr w:type="gramStart"/>
      <w:r w:rsidRPr="0031304D">
        <w:rPr>
          <w:lang w:val="en-GB" w:eastAsia="en-US"/>
        </w:rPr>
        <w:t>natural</w:t>
      </w:r>
      <w:proofErr w:type="gramEnd"/>
      <w:r w:rsidRPr="0031304D">
        <w:rPr>
          <w:lang w:val="en-GB" w:eastAsia="en-US"/>
        </w:rPr>
        <w:t xml:space="preserve"> and comfortable way.</w:t>
      </w:r>
    </w:p>
    <w:p w14:paraId="76E6577E" w14:textId="21A69829" w:rsidR="006A46AE" w:rsidRPr="00AD3DD6" w:rsidRDefault="006A46AE" w:rsidP="006A46AE">
      <w:pPr>
        <w:pStyle w:val="Headingb"/>
      </w:pPr>
      <w:r w:rsidRPr="00AD3DD6">
        <w:t>I.11</w:t>
      </w:r>
      <w:r w:rsidRPr="00AD3DD6">
        <w:tab/>
        <w:t>Combating Counterfeiting</w:t>
      </w:r>
      <w:r w:rsidR="000F1AB5">
        <w:t xml:space="preserve"> and the use of stolen ICT devices</w:t>
      </w:r>
    </w:p>
    <w:p w14:paraId="2B8E8C70" w14:textId="219CB632" w:rsidR="00AD3DD6" w:rsidRPr="00AD3DD6" w:rsidRDefault="00C44FDC" w:rsidP="00AD3DD6">
      <w:pPr>
        <w:rPr>
          <w:lang w:val="en-GB" w:eastAsia="en-US"/>
        </w:rPr>
      </w:pPr>
      <w:hyperlink r:id="rId386" w:history="1">
        <w:r w:rsidR="00F61A94" w:rsidRPr="00AD3DD6">
          <w:rPr>
            <w:rStyle w:val="Hyperlink"/>
            <w:b/>
            <w:lang w:val="en-GB" w:eastAsia="en-US"/>
          </w:rPr>
          <w:t>ITU-T Q.5051 “</w:t>
        </w:r>
        <w:r w:rsidR="00AD3DD6" w:rsidRPr="00AD3DD6">
          <w:rPr>
            <w:rStyle w:val="Hyperlink"/>
            <w:b/>
            <w:lang w:val="en-GB" w:eastAsia="en-US"/>
          </w:rPr>
          <w:t>Framework for combating the use of stolen mobile devices</w:t>
        </w:r>
        <w:r w:rsidR="00F61A94" w:rsidRPr="00AD3DD6">
          <w:rPr>
            <w:rStyle w:val="Hyperlink"/>
            <w:b/>
            <w:lang w:val="en-GB" w:eastAsia="en-US"/>
          </w:rPr>
          <w:t>”</w:t>
        </w:r>
      </w:hyperlink>
      <w:r w:rsidR="00F61A94" w:rsidRPr="00AD3DD6">
        <w:rPr>
          <w:lang w:val="en-GB" w:eastAsia="en-US"/>
        </w:rPr>
        <w:t xml:space="preserve">: </w:t>
      </w:r>
      <w:r w:rsidR="00AD3DD6" w:rsidRPr="00AD3DD6">
        <w:rPr>
          <w:lang w:val="en-GB" w:eastAsia="en-US"/>
        </w:rPr>
        <w:t>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16AE66B4" w14:textId="77777777" w:rsidR="00AD3DD6" w:rsidRPr="00AD3DD6" w:rsidRDefault="00AD3DD6" w:rsidP="00AD3DD6">
      <w:pPr>
        <w:rPr>
          <w:lang w:val="en-GB" w:eastAsia="en-US"/>
        </w:rPr>
      </w:pPr>
      <w:r w:rsidRPr="00AD3DD6">
        <w:rPr>
          <w:lang w:val="en-GB" w:eastAsia="en-US"/>
        </w:rPr>
        <w:t>As a response, initiatives are needed to deter the theft and reuse of stolen Mobile Devices and to protect the consumer data stored on these devices against illegal use.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could occur across international borders.</w:t>
      </w:r>
    </w:p>
    <w:p w14:paraId="3BA6BBD7" w14:textId="77777777" w:rsidR="00AD3DD6" w:rsidRPr="00AD3DD6" w:rsidRDefault="00AD3DD6" w:rsidP="00AD3DD6">
      <w:pPr>
        <w:rPr>
          <w:lang w:val="en-GB" w:eastAsia="en-US"/>
        </w:rPr>
      </w:pPr>
      <w:r w:rsidRPr="00AD3DD6">
        <w:rPr>
          <w:lang w:val="en-GB" w:eastAsia="en-US"/>
        </w:rPr>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068106A5" w14:textId="77777777" w:rsidR="00AD3DD6" w:rsidRPr="00AD3DD6" w:rsidRDefault="00AD3DD6" w:rsidP="00AD3DD6">
      <w:pPr>
        <w:rPr>
          <w:lang w:val="en-GB" w:eastAsia="en-US"/>
        </w:rPr>
      </w:pPr>
      <w:r w:rsidRPr="00AD3DD6">
        <w:rPr>
          <w:lang w:val="en-GB"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w:t>
      </w:r>
      <w:proofErr w:type="spellStart"/>
      <w:r w:rsidRPr="00AD3DD6">
        <w:rPr>
          <w:lang w:val="en-GB" w:eastAsia="en-US"/>
        </w:rPr>
        <w:t>Hammamet</w:t>
      </w:r>
      <w:proofErr w:type="spellEnd"/>
      <w:r w:rsidRPr="00AD3DD6">
        <w:rPr>
          <w:lang w:val="en-GB" w:eastAsia="en-US"/>
        </w:rPr>
        <w:t>, 2016).</w:t>
      </w:r>
    </w:p>
    <w:p w14:paraId="27EF0207" w14:textId="29B6173E" w:rsidR="00F61A94" w:rsidRDefault="00AD3DD6" w:rsidP="00AD3DD6">
      <w:pPr>
        <w:rPr>
          <w:lang w:val="en-GB" w:eastAsia="en-US"/>
        </w:rPr>
      </w:pPr>
      <w:r w:rsidRPr="00AD3DD6">
        <w:rPr>
          <w:lang w:val="en-GB" w:eastAsia="en-US"/>
        </w:rPr>
        <w:t>Therefore, this Recommendation proposes a framework composed of requirements and a broad range of comprehensive and recommended measures that can be taken and applied to combat the theft and reuse of stolen Mobile Devices</w:t>
      </w:r>
      <w:r w:rsidR="00F61A94" w:rsidRPr="00AD3DD6">
        <w:rPr>
          <w:lang w:val="en-GB" w:eastAsia="en-US"/>
        </w:rPr>
        <w:t>.</w:t>
      </w:r>
    </w:p>
    <w:p w14:paraId="49A66151" w14:textId="50D5F704" w:rsidR="00C2683E" w:rsidRPr="00952FDF" w:rsidRDefault="00C2683E" w:rsidP="00AD3DD6">
      <w:pPr>
        <w:rPr>
          <w:highlight w:val="yellow"/>
          <w:lang w:val="en-GB" w:eastAsia="en-US"/>
        </w:rPr>
      </w:pPr>
      <w:r w:rsidRPr="00F078C3">
        <w:rPr>
          <w:rFonts w:asciiTheme="majorBidi" w:hAnsiTheme="majorBidi" w:cstheme="majorBidi"/>
          <w:b/>
          <w:bCs/>
          <w:szCs w:val="22"/>
        </w:rPr>
        <w:t>Technical Report ITU-T QTR-RLB-IMEI “Reliability of IMEI”</w:t>
      </w:r>
      <w:r w:rsidRPr="00F078C3">
        <w:rPr>
          <w:rFonts w:asciiTheme="majorBidi" w:hAnsiTheme="majorBidi" w:cstheme="majorBidi"/>
          <w:szCs w:val="22"/>
        </w:rPr>
        <w:t xml:space="preserve"> </w:t>
      </w:r>
      <w:r w:rsidR="000E0F2D" w:rsidRPr="00F078C3">
        <w:rPr>
          <w:rFonts w:asciiTheme="majorBidi" w:hAnsiTheme="majorBidi" w:cstheme="majorBidi"/>
          <w:b/>
          <w:bCs/>
          <w:szCs w:val="22"/>
        </w:rPr>
        <w:t>(under publication)</w:t>
      </w:r>
      <w:r w:rsidR="000E0F2D">
        <w:rPr>
          <w:rFonts w:asciiTheme="majorBidi" w:hAnsiTheme="majorBidi" w:cstheme="majorBidi"/>
          <w:szCs w:val="22"/>
        </w:rPr>
        <w:t xml:space="preserve"> </w:t>
      </w:r>
      <w:r w:rsidRPr="0050798B">
        <w:rPr>
          <w:rFonts w:asciiTheme="majorBidi" w:hAnsiTheme="majorBidi" w:cstheme="majorBidi"/>
          <w:szCs w:val="22"/>
        </w:rPr>
        <w:t>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9150FC" w:rsidRDefault="006A46AE" w:rsidP="006A46AE">
      <w:pPr>
        <w:pStyle w:val="Headingb"/>
      </w:pPr>
      <w:r w:rsidRPr="009150FC">
        <w:t>I.12</w:t>
      </w:r>
      <w:r w:rsidRPr="009150FC">
        <w:tab/>
        <w:t>Signalling Protocols</w:t>
      </w:r>
    </w:p>
    <w:p w14:paraId="6F226B19" w14:textId="55D81834" w:rsidR="006A46AE" w:rsidRDefault="006A46AE" w:rsidP="006A46AE">
      <w:pPr>
        <w:pStyle w:val="Headingb"/>
      </w:pPr>
      <w:r w:rsidRPr="000E37F0">
        <w:t>I.13</w:t>
      </w:r>
      <w:r w:rsidRPr="000E37F0">
        <w:tab/>
        <w:t>Formal Languages and Identification</w:t>
      </w:r>
    </w:p>
    <w:p w14:paraId="03D6BFB4" w14:textId="77777777" w:rsidR="0034383A" w:rsidRDefault="0034383A" w:rsidP="0034383A">
      <w:pPr>
        <w:rPr>
          <w:lang w:val="en-GB"/>
        </w:rPr>
      </w:pPr>
      <w:r w:rsidRPr="0060152E">
        <w:rPr>
          <w:b/>
          <w:bCs/>
          <w:lang w:val="en-GB"/>
        </w:rPr>
        <w:t>ITU-T X.680 | ISO/IEC 8824-1 (revised) “Information technology – Abstract Syntax Notation One (ASN.1): Specification of basic notation” (under approval)</w:t>
      </w:r>
      <w:r>
        <w:rPr>
          <w:lang w:val="en-GB"/>
        </w:rPr>
        <w:t xml:space="preserve"> </w:t>
      </w:r>
      <w:r w:rsidRPr="0060152E">
        <w:rPr>
          <w:lang w:val="en-GB"/>
        </w:rPr>
        <w:t xml:space="preserve">provides a notation called </w:t>
      </w:r>
      <w:r w:rsidRPr="0060152E">
        <w:rPr>
          <w:lang w:val="en-GB"/>
        </w:rPr>
        <w:lastRenderedPageBreak/>
        <w:t>Abstract Syntax Notation One (ASN.1) for defining the syntax of information data. It defines a number of simple data types and specifies a notation for referencing these types and for specifying values of these types.</w:t>
      </w:r>
      <w:r>
        <w:rPr>
          <w:lang w:val="en-GB"/>
        </w:rPr>
        <w:t xml:space="preserve"> </w:t>
      </w:r>
      <w:r w:rsidRPr="0060152E">
        <w:rPr>
          <w:lang w:val="en-GB"/>
        </w:rPr>
        <w:t xml:space="preserve">The ASN.1 </w:t>
      </w:r>
      <w:proofErr w:type="gramStart"/>
      <w:r w:rsidRPr="0060152E">
        <w:rPr>
          <w:lang w:val="en-GB"/>
        </w:rPr>
        <w:t>notations</w:t>
      </w:r>
      <w:proofErr w:type="gramEnd"/>
      <w:r w:rsidRPr="0060152E">
        <w:rPr>
          <w:lang w:val="en-GB"/>
        </w:rPr>
        <w:t xml:space="preserve"> can be applied whenever it is necessary to define the abstract syntax of information without constraining in any way how the information is encoded for transmission.</w:t>
      </w:r>
    </w:p>
    <w:p w14:paraId="60851B07" w14:textId="77777777" w:rsidR="0034383A" w:rsidRDefault="0034383A" w:rsidP="0034383A">
      <w:pPr>
        <w:rPr>
          <w:lang w:val="en-GB"/>
        </w:rPr>
      </w:pPr>
      <w:r w:rsidRPr="00EE183D">
        <w:rPr>
          <w:b/>
          <w:bCs/>
          <w:lang w:val="en-GB"/>
        </w:rPr>
        <w:t>ITU-T X.681 | ISO/IEC 8824-2 (revised) “Information technology – Abstract Syntax Notation One (ASN.1): Information object specification” (under approval)</w:t>
      </w:r>
      <w:r>
        <w:rPr>
          <w:lang w:val="en-GB"/>
        </w:rPr>
        <w:t xml:space="preserve"> </w:t>
      </w:r>
      <w:r w:rsidRPr="00EE183D">
        <w:rPr>
          <w:lang w:val="en-GB"/>
        </w:rPr>
        <w:t>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Default="0034383A" w:rsidP="0034383A">
      <w:pPr>
        <w:rPr>
          <w:lang w:val="en-GB"/>
        </w:rPr>
      </w:pPr>
      <w:r w:rsidRPr="001E3FD4">
        <w:rPr>
          <w:b/>
          <w:bCs/>
          <w:lang w:val="en-GB"/>
        </w:rPr>
        <w:t>ITU-T X.682 | ISO/IEC 8824-3 (revised) “Information technology – Abstract Syntax Notation One (ASN.1): Constraint specification” (under approval)</w:t>
      </w:r>
      <w:r>
        <w:rPr>
          <w:lang w:val="en-GB"/>
        </w:rPr>
        <w:t xml:space="preserve"> </w:t>
      </w:r>
      <w:r w:rsidRPr="001E3FD4">
        <w:rPr>
          <w:lang w:val="en-GB"/>
        </w:rPr>
        <w:t>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Default="0034383A" w:rsidP="0034383A">
      <w:pPr>
        <w:rPr>
          <w:lang w:val="en-GB"/>
        </w:rPr>
      </w:pPr>
      <w:r w:rsidRPr="00FC4DB6">
        <w:rPr>
          <w:b/>
          <w:bCs/>
          <w:lang w:val="en-GB"/>
        </w:rPr>
        <w:t>ITU-T X.683 | ISO/IEC 8824-4 (revised) “Information technology – Abstract Syntax Notation One (ASN.1): Parameterization of ASN.1 specifications” (under approval)</w:t>
      </w:r>
      <w:r>
        <w:rPr>
          <w:lang w:val="en-GB"/>
        </w:rPr>
        <w:t xml:space="preserve"> </w:t>
      </w:r>
      <w:r w:rsidRPr="00FC4DB6">
        <w:rPr>
          <w:lang w:val="en-GB"/>
        </w:rPr>
        <w:t>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Default="0034383A" w:rsidP="0034383A">
      <w:pPr>
        <w:rPr>
          <w:lang w:val="en-GB"/>
        </w:rPr>
      </w:pPr>
      <w:r w:rsidRPr="00DE5A3B">
        <w:rPr>
          <w:b/>
          <w:bCs/>
          <w:lang w:val="en-GB"/>
        </w:rPr>
        <w:t>ITU-T X.690 | ISO/IEC 8825-1 (revised) “Information technology – ASN.1 encoding rules: Specification of Basic Encoding Rules (BER), Canonical Encoding Rules (CER) and Distinguished Encoding Rules (DER)” (under approval)</w:t>
      </w:r>
      <w:r>
        <w:rPr>
          <w:lang w:val="en-GB"/>
        </w:rPr>
        <w:t xml:space="preserve"> </w:t>
      </w:r>
      <w:r w:rsidRPr="00DE5A3B">
        <w:rPr>
          <w:lang w:val="en-GB"/>
        </w:rPr>
        <w:t xml:space="preserve">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w:t>
      </w:r>
      <w:proofErr w:type="gramStart"/>
      <w:r w:rsidRPr="00DE5A3B">
        <w:rPr>
          <w:lang w:val="en-GB"/>
        </w:rPr>
        <w:t>defines also</w:t>
      </w:r>
      <w:proofErr w:type="gramEnd"/>
      <w:r w:rsidRPr="00DE5A3B">
        <w:rPr>
          <w:lang w:val="en-GB"/>
        </w:rPr>
        <w:t xml:space="preserve">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Default="0034383A" w:rsidP="0034383A">
      <w:pPr>
        <w:rPr>
          <w:lang w:val="en-GB"/>
        </w:rPr>
      </w:pPr>
      <w:r w:rsidRPr="000016D7">
        <w:rPr>
          <w:b/>
          <w:bCs/>
          <w:lang w:val="en-GB"/>
        </w:rPr>
        <w:t>ITU-T X.691 | ISO/IEC 8825-2 (revised) “Information technology – ASN.1 encoding rules: Specification of Packed Encoding Rules (PER)” (under approval)</w:t>
      </w:r>
      <w:r>
        <w:rPr>
          <w:lang w:val="en-GB"/>
        </w:rPr>
        <w:t xml:space="preserve"> </w:t>
      </w:r>
      <w:r w:rsidRPr="000016D7">
        <w:rPr>
          <w:lang w:val="en-GB"/>
        </w:rPr>
        <w:t>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Default="0034383A" w:rsidP="0034383A">
      <w:pPr>
        <w:rPr>
          <w:lang w:val="en-GB"/>
        </w:rPr>
      </w:pPr>
      <w:r w:rsidRPr="00C46708">
        <w:rPr>
          <w:b/>
          <w:bCs/>
          <w:lang w:val="en-GB"/>
        </w:rPr>
        <w:t>ITU-T X.692 | ISO/IEC 8825-3 (revised) “Information technology – ASN.1 encoding rules: Specification of Encoding Control Notation (ECN)” (under approval)</w:t>
      </w:r>
      <w:r>
        <w:rPr>
          <w:lang w:val="en-GB"/>
        </w:rPr>
        <w:t xml:space="preserve"> </w:t>
      </w:r>
      <w:r w:rsidRPr="00C46708">
        <w:rPr>
          <w:lang w:val="en-GB"/>
        </w:rPr>
        <w:t>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Default="0034383A" w:rsidP="0034383A">
      <w:pPr>
        <w:rPr>
          <w:lang w:val="en-GB"/>
        </w:rPr>
      </w:pPr>
      <w:r w:rsidRPr="00417B83">
        <w:rPr>
          <w:b/>
          <w:bCs/>
          <w:lang w:val="en-GB"/>
        </w:rPr>
        <w:t>ITU-T X.693 | ISO/IEC 8825-4 (revised) “Information technology – ASN.1 encoding rules: XML Encoding Rules (XER)” (under approval)</w:t>
      </w:r>
      <w:r>
        <w:rPr>
          <w:lang w:val="en-GB"/>
        </w:rPr>
        <w:t xml:space="preserve"> </w:t>
      </w:r>
      <w:r w:rsidRPr="00417B83">
        <w:rPr>
          <w:lang w:val="en-GB"/>
        </w:rPr>
        <w:t xml:space="preserve">specifies rules for encoding values of ASN.1 types using the Extensible </w:t>
      </w:r>
      <w:proofErr w:type="spellStart"/>
      <w:r w:rsidRPr="00417B83">
        <w:rPr>
          <w:lang w:val="en-GB"/>
        </w:rPr>
        <w:t>Markup</w:t>
      </w:r>
      <w:proofErr w:type="spellEnd"/>
      <w:r w:rsidRPr="00417B83">
        <w:rPr>
          <w:lang w:val="en-GB"/>
        </w:rPr>
        <w:t xml:space="preserve"> Language (XML).</w:t>
      </w:r>
    </w:p>
    <w:p w14:paraId="0F2150E7" w14:textId="77777777" w:rsidR="0034383A" w:rsidRDefault="0034383A" w:rsidP="0034383A">
      <w:pPr>
        <w:rPr>
          <w:lang w:val="en-GB" w:eastAsia="en-US"/>
        </w:rPr>
      </w:pPr>
      <w:r w:rsidRPr="004670C5">
        <w:rPr>
          <w:b/>
          <w:bCs/>
          <w:lang w:val="en-GB" w:eastAsia="en-US"/>
        </w:rPr>
        <w:lastRenderedPageBreak/>
        <w:t>ITU-T Z.161 (revised) “Testing and Test Control Notation version 3: TTCN-3 core language” (under approval)</w:t>
      </w:r>
      <w:r>
        <w:rPr>
          <w:lang w:val="en-GB" w:eastAsia="en-US"/>
        </w:rPr>
        <w:t xml:space="preserve"> </w:t>
      </w:r>
      <w:r w:rsidRPr="004670C5">
        <w:rPr>
          <w:lang w:val="en-GB" w:eastAsia="en-US"/>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Pr>
          <w:lang w:val="en-GB" w:eastAsia="en-US"/>
        </w:rPr>
        <w:t xml:space="preserve"> </w:t>
      </w:r>
      <w:r w:rsidRPr="004670C5">
        <w:rPr>
          <w:lang w:val="en-GB" w:eastAsia="en-US"/>
        </w:rPr>
        <w:t xml:space="preserve">This revision of the Recommendation contains amendments, clarifications, corrigenda and editorial </w:t>
      </w:r>
      <w:proofErr w:type="spellStart"/>
      <w:r w:rsidRPr="004670C5">
        <w:rPr>
          <w:lang w:val="en-GB" w:eastAsia="en-US"/>
        </w:rPr>
        <w:t>corrections.</w:t>
      </w:r>
      <w:r w:rsidRPr="009D7E66">
        <w:rPr>
          <w:b/>
          <w:bCs/>
          <w:lang w:val="en-GB" w:eastAsia="en-US"/>
        </w:rPr>
        <w:t>ITU</w:t>
      </w:r>
      <w:proofErr w:type="spellEnd"/>
      <w:r w:rsidRPr="009D7E66">
        <w:rPr>
          <w:b/>
          <w:bCs/>
          <w:lang w:val="en-GB" w:eastAsia="en-US"/>
        </w:rPr>
        <w:t>-T Z.161.3 (revised) “Testing and Test Control Notation version 3: TTCN-3 language extensions: Advanced parameterization” (under approval)</w:t>
      </w:r>
      <w:r>
        <w:rPr>
          <w:lang w:val="en-GB" w:eastAsia="en-US"/>
        </w:rPr>
        <w:t xml:space="preserve"> </w:t>
      </w:r>
      <w:r w:rsidRPr="009D7E66">
        <w:rPr>
          <w:lang w:val="en-GB" w:eastAsia="en-US"/>
        </w:rPr>
        <w:t xml:space="preserve">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proofErr w:type="gramStart"/>
      <w:r w:rsidRPr="009D7E66">
        <w:rPr>
          <w:lang w:val="en-GB" w:eastAsia="en-US"/>
        </w:rPr>
        <w:t>system</w:t>
      </w:r>
      <w:proofErr w:type="gramEnd"/>
      <w:r w:rsidRPr="009D7E66">
        <w:rPr>
          <w:lang w:val="en-GB" w:eastAsia="en-US"/>
        </w:rPr>
        <w:t xml:space="preserve"> and integration testing. The specification of test suites for physical layer protocols is outside the scope of this Recommendation.</w:t>
      </w:r>
    </w:p>
    <w:p w14:paraId="0C2954BC" w14:textId="77777777" w:rsidR="0034383A" w:rsidRDefault="0034383A" w:rsidP="0034383A">
      <w:pPr>
        <w:rPr>
          <w:lang w:val="en-GB" w:eastAsia="en-US"/>
        </w:rPr>
      </w:pPr>
      <w:r w:rsidRPr="008064C9">
        <w:rPr>
          <w:b/>
          <w:bCs/>
          <w:lang w:val="en-GB" w:eastAsia="en-US"/>
        </w:rPr>
        <w:t>ITU-T Z.161.4 (revised) “Testing and Test Control Notation version 3: TTCN-3 language extensions: Behaviour types” (under approval)</w:t>
      </w:r>
      <w:r>
        <w:rPr>
          <w:lang w:val="en-GB" w:eastAsia="en-US"/>
        </w:rPr>
        <w:t xml:space="preserve"> </w:t>
      </w:r>
      <w:r w:rsidRPr="008064C9">
        <w:rPr>
          <w:lang w:val="en-GB" w:eastAsia="en-US"/>
        </w:rPr>
        <w:t xml:space="preserve">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w:t>
      </w:r>
      <w:proofErr w:type="gramStart"/>
      <w:r w:rsidRPr="008064C9">
        <w:rPr>
          <w:lang w:val="en-GB" w:eastAsia="en-US"/>
        </w:rPr>
        <w:t>system</w:t>
      </w:r>
      <w:proofErr w:type="gramEnd"/>
      <w:r w:rsidRPr="008064C9">
        <w:rPr>
          <w:lang w:val="en-GB" w:eastAsia="en-US"/>
        </w:rPr>
        <w:t xml:space="preserve"> and integration testing. The specification of test suites for physical layer protocols is outside the scope of this Recommendation.</w:t>
      </w:r>
    </w:p>
    <w:p w14:paraId="28A46739" w14:textId="77777777" w:rsidR="0034383A" w:rsidRDefault="0034383A" w:rsidP="0034383A">
      <w:pPr>
        <w:rPr>
          <w:lang w:val="en-GB" w:eastAsia="en-US"/>
        </w:rPr>
      </w:pPr>
      <w:r w:rsidRPr="0069349B">
        <w:rPr>
          <w:b/>
          <w:bCs/>
          <w:lang w:val="en-GB" w:eastAsia="en-US"/>
        </w:rPr>
        <w:t>ITU-T Z.161.6 (revised) “Testing and Test Control Notation version 3: TTCN-3 language extensions: Advanced Matching” (under approval)</w:t>
      </w:r>
      <w:r>
        <w:rPr>
          <w:lang w:val="en-GB" w:eastAsia="en-US"/>
        </w:rPr>
        <w:t xml:space="preserve"> </w:t>
      </w:r>
      <w:r w:rsidRPr="0069349B">
        <w:rPr>
          <w:lang w:val="en-GB" w:eastAsia="en-US"/>
        </w:rPr>
        <w:t xml:space="preserve">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Pr="0069349B">
        <w:rPr>
          <w:lang w:val="en-GB" w:eastAsia="en-US"/>
        </w:rPr>
        <w:t>system</w:t>
      </w:r>
      <w:proofErr w:type="gramEnd"/>
      <w:r w:rsidRPr="0069349B">
        <w:rPr>
          <w:lang w:val="en-GB" w:eastAsia="en-US"/>
        </w:rPr>
        <w:t xml:space="preserve"> and integration testing. The specification of test suites for physical layer protocols is outside the scope of the present document.</w:t>
      </w:r>
    </w:p>
    <w:p w14:paraId="4618AEA7" w14:textId="77777777" w:rsidR="0034383A" w:rsidRDefault="0034383A" w:rsidP="0034383A">
      <w:pPr>
        <w:rPr>
          <w:lang w:val="en-GB" w:eastAsia="en-US"/>
        </w:rPr>
      </w:pPr>
      <w:r w:rsidRPr="00CE6E87">
        <w:rPr>
          <w:b/>
          <w:bCs/>
          <w:lang w:val="en-GB" w:eastAsia="en-US"/>
        </w:rPr>
        <w:t>ITU-T Z.161.7 (revised) “Testing and Test Control Notation version 3: TTCN-3 language extensions: Object-Oriented Features” (under approval)</w:t>
      </w:r>
      <w:r>
        <w:rPr>
          <w:lang w:val="en-GB" w:eastAsia="en-US"/>
        </w:rPr>
        <w:t xml:space="preserve"> </w:t>
      </w:r>
      <w:r w:rsidRPr="00CE6E87">
        <w:rPr>
          <w:lang w:val="en-GB" w:eastAsia="en-US"/>
        </w:rPr>
        <w:t xml:space="preserve">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Pr="00CE6E87">
        <w:rPr>
          <w:lang w:val="en-GB" w:eastAsia="en-US"/>
        </w:rPr>
        <w:t>system</w:t>
      </w:r>
      <w:proofErr w:type="gramEnd"/>
      <w:r w:rsidRPr="00CE6E87">
        <w:rPr>
          <w:lang w:val="en-GB" w:eastAsia="en-US"/>
        </w:rPr>
        <w:t xml:space="preserve"> and integration testing. The specification of test suites for physical layer protocols is outside the scope of the present document.</w:t>
      </w:r>
    </w:p>
    <w:p w14:paraId="3BF1184E" w14:textId="77777777" w:rsidR="0034383A" w:rsidRDefault="0034383A" w:rsidP="0034383A">
      <w:pPr>
        <w:rPr>
          <w:lang w:val="en-GB" w:eastAsia="en-US"/>
        </w:rPr>
      </w:pPr>
      <w:r w:rsidRPr="00DF3F90">
        <w:rPr>
          <w:b/>
          <w:bCs/>
          <w:lang w:val="en-GB" w:eastAsia="en-US"/>
        </w:rPr>
        <w:t>ITU-T Z.165.1 (revised) “Testing and Test Control Notation version 3: TTCN-3 language extensions: Extended TRI” (under approval)</w:t>
      </w:r>
      <w:r>
        <w:rPr>
          <w:lang w:val="en-GB" w:eastAsia="en-US"/>
        </w:rPr>
        <w:t xml:space="preserve"> </w:t>
      </w:r>
      <w:r w:rsidRPr="00DF3F90">
        <w:rPr>
          <w:lang w:val="en-GB" w:eastAsia="en-US"/>
        </w:rPr>
        <w:t xml:space="preserve">defines the extended TRI package of TTCN 3. </w:t>
      </w:r>
      <w:r w:rsidRPr="00DF3F90">
        <w:rPr>
          <w:lang w:val="en-GB" w:eastAsia="en-US"/>
        </w:rPr>
        <w:lastRenderedPageBreak/>
        <w:t xml:space="preserve">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w:t>
      </w:r>
      <w:proofErr w:type="gramStart"/>
      <w:r w:rsidRPr="00DF3F90">
        <w:rPr>
          <w:lang w:val="en-GB" w:eastAsia="en-US"/>
        </w:rPr>
        <w:t>system</w:t>
      </w:r>
      <w:proofErr w:type="gramEnd"/>
      <w:r w:rsidRPr="00DF3F90">
        <w:rPr>
          <w:lang w:val="en-GB" w:eastAsia="en-US"/>
        </w:rPr>
        <w:t xml:space="preserve"> and integration testing. The specification of test suites for physical layer protocols is outside the scope of this Recommendation.</w:t>
      </w:r>
    </w:p>
    <w:p w14:paraId="2B3E47CC" w14:textId="77777777" w:rsidR="0034383A" w:rsidRDefault="0034383A" w:rsidP="0034383A">
      <w:pPr>
        <w:rPr>
          <w:lang w:val="en-GB" w:eastAsia="en-US"/>
        </w:rPr>
      </w:pPr>
      <w:r w:rsidRPr="00780D92">
        <w:rPr>
          <w:b/>
          <w:bCs/>
          <w:lang w:val="en-GB" w:eastAsia="en-US"/>
        </w:rPr>
        <w:t>ITU-T Z.166 (revised) “Testing and Test Control Notation version 3: TTCN-3 control interface (TCI)” (under approval)</w:t>
      </w:r>
      <w:r>
        <w:rPr>
          <w:lang w:val="en-GB" w:eastAsia="en-US"/>
        </w:rPr>
        <w:t xml:space="preserve"> </w:t>
      </w:r>
      <w:r w:rsidRPr="00780D92">
        <w:rPr>
          <w:lang w:val="en-GB" w:eastAsia="en-US"/>
        </w:rPr>
        <w:t>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w:t>
      </w:r>
      <w:r>
        <w:rPr>
          <w:lang w:val="en-GB" w:eastAsia="en-US"/>
        </w:rPr>
        <w:t xml:space="preserve"> </w:t>
      </w:r>
      <w:r w:rsidRPr="00780D92">
        <w:rPr>
          <w:lang w:val="en-GB" w:eastAsia="en-US"/>
        </w:rPr>
        <w:t>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w:t>
      </w:r>
      <w:r>
        <w:rPr>
          <w:lang w:val="en-GB" w:eastAsia="en-US"/>
        </w:rPr>
        <w:t xml:space="preserve"> </w:t>
      </w:r>
      <w:r w:rsidRPr="00780D92">
        <w:rPr>
          <w:lang w:val="en-GB" w:eastAsia="en-US"/>
        </w:rPr>
        <w:t xml:space="preserve">This revision of the Recommendation contains amendments, clarifications, </w:t>
      </w:r>
      <w:proofErr w:type="gramStart"/>
      <w:r w:rsidRPr="00780D92">
        <w:rPr>
          <w:lang w:val="en-GB" w:eastAsia="en-US"/>
        </w:rPr>
        <w:t>corrigenda</w:t>
      </w:r>
      <w:proofErr w:type="gramEnd"/>
      <w:r w:rsidRPr="00780D92">
        <w:rPr>
          <w:lang w:val="en-GB" w:eastAsia="en-US"/>
        </w:rPr>
        <w:t xml:space="preserve"> and editorial corrections.</w:t>
      </w:r>
    </w:p>
    <w:p w14:paraId="5E256126" w14:textId="1C30728C" w:rsidR="0034383A" w:rsidRPr="0034383A" w:rsidRDefault="0034383A" w:rsidP="0034383A">
      <w:pPr>
        <w:rPr>
          <w:lang w:val="en-GB" w:eastAsia="en-US"/>
        </w:rPr>
      </w:pPr>
      <w:r w:rsidRPr="00C07E8E">
        <w:rPr>
          <w:b/>
          <w:bCs/>
          <w:lang w:val="en-GB" w:eastAsia="en-US"/>
        </w:rPr>
        <w:t>ITU-T Z.167 (revised) “Testing and Test Control Notation version 3: Using ASN.1 with TTCN-3” (under approval)</w:t>
      </w:r>
      <w:r>
        <w:rPr>
          <w:lang w:val="en-GB" w:eastAsia="en-US"/>
        </w:rPr>
        <w:t xml:space="preserve"> </w:t>
      </w:r>
      <w:r w:rsidRPr="00C07E8E">
        <w:rPr>
          <w:lang w:val="en-GB" w:eastAsia="en-US"/>
        </w:rPr>
        <w:t>defines a normative way of using ASN.1 as defined in Recommendations ITU-T X.680, ITU-T X.681, ITU-T X.682 and ITU-T X.683 with TTCN-3. The harmonization of other languages with TTCN-3 is not covered by this Recommendation.</w:t>
      </w:r>
      <w:r>
        <w:rPr>
          <w:lang w:val="en-GB" w:eastAsia="en-US"/>
        </w:rPr>
        <w:t xml:space="preserve"> </w:t>
      </w:r>
      <w:r w:rsidRPr="00C07E8E">
        <w:rPr>
          <w:lang w:val="en-GB" w:eastAsia="en-US"/>
        </w:rPr>
        <w:t xml:space="preserve">This revision of the Recommendation contains amendments, clarifications, </w:t>
      </w:r>
      <w:proofErr w:type="gramStart"/>
      <w:r w:rsidRPr="00C07E8E">
        <w:rPr>
          <w:lang w:val="en-GB" w:eastAsia="en-US"/>
        </w:rPr>
        <w:t>corrigenda</w:t>
      </w:r>
      <w:proofErr w:type="gramEnd"/>
      <w:r w:rsidRPr="00C07E8E">
        <w:rPr>
          <w:lang w:val="en-GB" w:eastAsia="en-US"/>
        </w:rPr>
        <w:t xml:space="preserve"> and editorial corrections.</w:t>
      </w:r>
    </w:p>
    <w:p w14:paraId="6A14EFB0" w14:textId="01578F74" w:rsidR="00024164" w:rsidRPr="00B9670D" w:rsidRDefault="00024164" w:rsidP="00024164">
      <w:pPr>
        <w:pStyle w:val="Headingb"/>
      </w:pPr>
      <w:r w:rsidRPr="00B9670D">
        <w:t>I.14</w:t>
      </w:r>
      <w:r w:rsidRPr="00B9670D">
        <w:tab/>
        <w:t>Rules and Procedures</w:t>
      </w:r>
      <w:r w:rsidR="00B9670D" w:rsidRPr="00B9670D">
        <w:t>, Working Methods</w:t>
      </w:r>
    </w:p>
    <w:p w14:paraId="0B1F31B7" w14:textId="24192DD7" w:rsidR="001968B7" w:rsidRPr="003B5D4B" w:rsidRDefault="00C44FDC" w:rsidP="003B5D4B">
      <w:hyperlink r:id="rId387" w:history="1">
        <w:r w:rsidR="00B9670D" w:rsidRPr="00027B9D">
          <w:rPr>
            <w:rStyle w:val="Hyperlink"/>
            <w:b/>
          </w:rPr>
          <w:t>Manual for rapporteurs and editors</w:t>
        </w:r>
        <w:r w:rsidR="003B5D4B" w:rsidRPr="00027B9D">
          <w:rPr>
            <w:rStyle w:val="Hyperlink"/>
            <w:b/>
          </w:rPr>
          <w:t xml:space="preserve"> (14 February 2020)</w:t>
        </w:r>
      </w:hyperlink>
      <w:r w:rsidR="003B5D4B" w:rsidRPr="003B5D4B">
        <w:rPr>
          <w:bCs/>
        </w:rPr>
        <w:t xml:space="preserve"> </w:t>
      </w:r>
      <w:r w:rsidR="003B5D4B" w:rsidRPr="003B5D4B">
        <w:rPr>
          <w:lang w:val="en-GB"/>
        </w:rPr>
        <w:t>provides guidance to rapporteurs and editors in their day-to-day performance of the task given to them.</w:t>
      </w:r>
      <w:r w:rsidR="003B5D4B">
        <w:rPr>
          <w:lang w:val="en-GB"/>
        </w:rPr>
        <w:t xml:space="preserve"> </w:t>
      </w:r>
      <w:r w:rsidR="003B5D4B" w:rsidRPr="003B5D4B">
        <w:rPr>
          <w:lang w:val="en-GB"/>
        </w:rPr>
        <w:t>The manual covers the requirements for meetings, the preparation of Recommendations, and the necessary reports.</w:t>
      </w:r>
    </w:p>
    <w:p w14:paraId="7F3F44C6" w14:textId="77777777" w:rsidR="00C44FDC" w:rsidRDefault="00C44FDC" w:rsidP="001968B7">
      <w:pPr>
        <w:jc w:val="center"/>
        <w:rPr>
          <w:lang w:val="en-GB"/>
        </w:rPr>
      </w:pPr>
    </w:p>
    <w:p w14:paraId="16AB967C" w14:textId="715C5BEB" w:rsidR="00373D43" w:rsidRPr="00180522" w:rsidRDefault="001968B7" w:rsidP="001968B7">
      <w:pPr>
        <w:jc w:val="center"/>
        <w:rPr>
          <w:lang w:val="en-GB"/>
        </w:rPr>
      </w:pPr>
      <w:r>
        <w:rPr>
          <w:lang w:val="en-GB"/>
        </w:rPr>
        <w:t>_______</w:t>
      </w:r>
      <w:r w:rsidR="00C44FDC">
        <w:rPr>
          <w:lang w:val="en-GB"/>
        </w:rPr>
        <w:t>____________</w:t>
      </w:r>
    </w:p>
    <w:sectPr w:rsidR="00373D43" w:rsidRPr="00180522" w:rsidSect="00C44FDC">
      <w:headerReference w:type="even" r:id="rId388"/>
      <w:headerReference w:type="default" r:id="rId389"/>
      <w:footerReference w:type="even" r:id="rId390"/>
      <w:footerReference w:type="default" r:id="rId391"/>
      <w:headerReference w:type="first" r:id="rId392"/>
      <w:footerReference w:type="first" r:id="rId39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14F6A" w14:textId="77777777" w:rsidR="00D32BC7" w:rsidRDefault="00D32BC7">
      <w:r>
        <w:separator/>
      </w:r>
    </w:p>
  </w:endnote>
  <w:endnote w:type="continuationSeparator" w:id="0">
    <w:p w14:paraId="039DB415" w14:textId="77777777" w:rsidR="00D32BC7" w:rsidRDefault="00D32BC7">
      <w:r>
        <w:continuationSeparator/>
      </w:r>
    </w:p>
  </w:endnote>
  <w:endnote w:type="continuationNotice" w:id="1">
    <w:p w14:paraId="58C23D5F" w14:textId="77777777" w:rsidR="00D32BC7" w:rsidRDefault="00D32B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60C51" w14:textId="77777777" w:rsidR="00C44FDC" w:rsidRDefault="00C4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1C79" w14:textId="77777777" w:rsidR="00C44FDC" w:rsidRDefault="00C44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06199" w14:textId="77777777" w:rsidR="00C44FDC" w:rsidRDefault="00C4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FF7B9" w14:textId="77777777" w:rsidR="00D32BC7" w:rsidRDefault="00D32BC7">
      <w:r>
        <w:separator/>
      </w:r>
    </w:p>
  </w:footnote>
  <w:footnote w:type="continuationSeparator" w:id="0">
    <w:p w14:paraId="22623019" w14:textId="77777777" w:rsidR="00D32BC7" w:rsidRDefault="00D32BC7">
      <w:r>
        <w:continuationSeparator/>
      </w:r>
    </w:p>
  </w:footnote>
  <w:footnote w:type="continuationNotice" w:id="1">
    <w:p w14:paraId="2F4725D6" w14:textId="77777777" w:rsidR="00D32BC7" w:rsidRDefault="00D32B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099B" w14:textId="77777777" w:rsidR="00C44FDC" w:rsidRDefault="00C44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A81C" w14:textId="7A36C919" w:rsidR="00D94185" w:rsidRPr="00C44FDC" w:rsidRDefault="00C44FDC" w:rsidP="00C44FDC">
    <w:pPr>
      <w:pStyle w:val="Header"/>
    </w:pPr>
    <w:r w:rsidRPr="00C44FDC">
      <w:t xml:space="preserve">- </w:t>
    </w:r>
    <w:r w:rsidRPr="00C44FDC">
      <w:fldChar w:fldCharType="begin"/>
    </w:r>
    <w:r w:rsidRPr="00C44FDC">
      <w:instrText xml:space="preserve"> PAGE  \* MERGEFORMAT </w:instrText>
    </w:r>
    <w:r w:rsidRPr="00C44FDC">
      <w:fldChar w:fldCharType="separate"/>
    </w:r>
    <w:r w:rsidRPr="00C44FDC">
      <w:rPr>
        <w:noProof/>
      </w:rPr>
      <w:t>1</w:t>
    </w:r>
    <w:r w:rsidRPr="00C44FDC">
      <w:fldChar w:fldCharType="end"/>
    </w:r>
    <w:r w:rsidRPr="00C44FDC">
      <w:t xml:space="preserve"> -</w:t>
    </w:r>
  </w:p>
  <w:p w14:paraId="22CDC616" w14:textId="7261C397" w:rsidR="00C44FDC" w:rsidRPr="00C44FDC" w:rsidRDefault="00C44FDC" w:rsidP="00C44FDC">
    <w:pPr>
      <w:pStyle w:val="Header"/>
      <w:spacing w:after="240"/>
    </w:pPr>
    <w:r>
      <w:t>TSAG-TD788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C606E" w14:textId="77777777" w:rsidR="00C44FDC" w:rsidRDefault="00C4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4"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8DD707C"/>
    <w:multiLevelType w:val="multilevel"/>
    <w:tmpl w:val="1E68F3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6"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4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48"/>
  </w:num>
  <w:num w:numId="6">
    <w:abstractNumId w:val="27"/>
  </w:num>
  <w:num w:numId="7">
    <w:abstractNumId w:val="40"/>
  </w:num>
  <w:num w:numId="8">
    <w:abstractNumId w:val="23"/>
  </w:num>
  <w:num w:numId="9">
    <w:abstractNumId w:val="31"/>
  </w:num>
  <w:num w:numId="10">
    <w:abstractNumId w:val="50"/>
  </w:num>
  <w:num w:numId="11">
    <w:abstractNumId w:val="35"/>
  </w:num>
  <w:num w:numId="12">
    <w:abstractNumId w:val="38"/>
  </w:num>
  <w:num w:numId="13">
    <w:abstractNumId w:val="49"/>
  </w:num>
  <w:num w:numId="14">
    <w:abstractNumId w:val="45"/>
  </w:num>
  <w:num w:numId="15">
    <w:abstractNumId w:val="11"/>
  </w:num>
  <w:num w:numId="16">
    <w:abstractNumId w:val="47"/>
  </w:num>
  <w:num w:numId="17">
    <w:abstractNumId w:val="12"/>
  </w:num>
  <w:num w:numId="18">
    <w:abstractNumId w:val="5"/>
  </w:num>
  <w:num w:numId="19">
    <w:abstractNumId w:val="3"/>
  </w:num>
  <w:num w:numId="20">
    <w:abstractNumId w:val="1"/>
  </w:num>
  <w:num w:numId="21">
    <w:abstractNumId w:val="0"/>
  </w:num>
  <w:num w:numId="22">
    <w:abstractNumId w:val="41"/>
  </w:num>
  <w:num w:numId="23">
    <w:abstractNumId w:val="37"/>
  </w:num>
  <w:num w:numId="24">
    <w:abstractNumId w:val="26"/>
  </w:num>
  <w:num w:numId="25">
    <w:abstractNumId w:val="10"/>
  </w:num>
  <w:num w:numId="26">
    <w:abstractNumId w:val="18"/>
  </w:num>
  <w:num w:numId="27">
    <w:abstractNumId w:val="20"/>
  </w:num>
  <w:num w:numId="28">
    <w:abstractNumId w:val="32"/>
  </w:num>
  <w:num w:numId="29">
    <w:abstractNumId w:val="17"/>
  </w:num>
  <w:num w:numId="30">
    <w:abstractNumId w:val="8"/>
  </w:num>
  <w:num w:numId="31">
    <w:abstractNumId w:val="36"/>
  </w:num>
  <w:num w:numId="32">
    <w:abstractNumId w:val="30"/>
  </w:num>
  <w:num w:numId="33">
    <w:abstractNumId w:val="25"/>
  </w:num>
  <w:num w:numId="34">
    <w:abstractNumId w:val="44"/>
  </w:num>
  <w:num w:numId="35">
    <w:abstractNumId w:val="42"/>
  </w:num>
  <w:num w:numId="36">
    <w:abstractNumId w:val="16"/>
  </w:num>
  <w:num w:numId="37">
    <w:abstractNumId w:val="24"/>
  </w:num>
  <w:num w:numId="38">
    <w:abstractNumId w:val="22"/>
  </w:num>
  <w:num w:numId="39">
    <w:abstractNumId w:val="9"/>
  </w:num>
  <w:num w:numId="40">
    <w:abstractNumId w:val="13"/>
  </w:num>
  <w:num w:numId="41">
    <w:abstractNumId w:val="33"/>
  </w:num>
  <w:num w:numId="42">
    <w:abstractNumId w:val="34"/>
  </w:num>
  <w:num w:numId="43">
    <w:abstractNumId w:val="43"/>
  </w:num>
  <w:num w:numId="44">
    <w:abstractNumId w:val="46"/>
  </w:num>
  <w:num w:numId="45">
    <w:abstractNumId w:val="19"/>
  </w:num>
  <w:num w:numId="46">
    <w:abstractNumId w:val="28"/>
  </w:num>
  <w:num w:numId="47">
    <w:abstractNumId w:val="39"/>
  </w:num>
  <w:num w:numId="48">
    <w:abstractNumId w:val="29"/>
  </w:num>
  <w:num w:numId="49">
    <w:abstractNumId w:val="15"/>
  </w:num>
  <w:num w:numId="50">
    <w:abstractNumId w:val="1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E42"/>
    <w:rsid w:val="0000140C"/>
    <w:rsid w:val="0000163C"/>
    <w:rsid w:val="0000169F"/>
    <w:rsid w:val="00001BF1"/>
    <w:rsid w:val="00002222"/>
    <w:rsid w:val="0000222C"/>
    <w:rsid w:val="00002389"/>
    <w:rsid w:val="00003923"/>
    <w:rsid w:val="00003FF1"/>
    <w:rsid w:val="00004748"/>
    <w:rsid w:val="000047E6"/>
    <w:rsid w:val="00004872"/>
    <w:rsid w:val="00004E60"/>
    <w:rsid w:val="0000626E"/>
    <w:rsid w:val="00006BFA"/>
    <w:rsid w:val="00007173"/>
    <w:rsid w:val="000078F8"/>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568"/>
    <w:rsid w:val="00014788"/>
    <w:rsid w:val="00014BB2"/>
    <w:rsid w:val="0001521C"/>
    <w:rsid w:val="00015831"/>
    <w:rsid w:val="00015A33"/>
    <w:rsid w:val="00015DF0"/>
    <w:rsid w:val="00016BA5"/>
    <w:rsid w:val="00017936"/>
    <w:rsid w:val="000200DC"/>
    <w:rsid w:val="0002156B"/>
    <w:rsid w:val="00021815"/>
    <w:rsid w:val="00021CC6"/>
    <w:rsid w:val="0002397B"/>
    <w:rsid w:val="00023D1E"/>
    <w:rsid w:val="00024164"/>
    <w:rsid w:val="000245ED"/>
    <w:rsid w:val="000246D1"/>
    <w:rsid w:val="00024B0B"/>
    <w:rsid w:val="00024BD8"/>
    <w:rsid w:val="00024ED3"/>
    <w:rsid w:val="000262C8"/>
    <w:rsid w:val="0002651A"/>
    <w:rsid w:val="000267E4"/>
    <w:rsid w:val="00026FA5"/>
    <w:rsid w:val="00027B9D"/>
    <w:rsid w:val="00027C0F"/>
    <w:rsid w:val="00030BBF"/>
    <w:rsid w:val="00032542"/>
    <w:rsid w:val="00032EB9"/>
    <w:rsid w:val="000333AA"/>
    <w:rsid w:val="0003375C"/>
    <w:rsid w:val="00033CFF"/>
    <w:rsid w:val="00034364"/>
    <w:rsid w:val="00034683"/>
    <w:rsid w:val="00034BF6"/>
    <w:rsid w:val="00036FD7"/>
    <w:rsid w:val="0003707F"/>
    <w:rsid w:val="0003723C"/>
    <w:rsid w:val="000373F0"/>
    <w:rsid w:val="000374CE"/>
    <w:rsid w:val="00037943"/>
    <w:rsid w:val="00037A63"/>
    <w:rsid w:val="000401E9"/>
    <w:rsid w:val="00040344"/>
    <w:rsid w:val="00040917"/>
    <w:rsid w:val="00040AAC"/>
    <w:rsid w:val="00040B7A"/>
    <w:rsid w:val="00040EA7"/>
    <w:rsid w:val="0004147D"/>
    <w:rsid w:val="00041507"/>
    <w:rsid w:val="000415F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89"/>
    <w:rsid w:val="00050612"/>
    <w:rsid w:val="00051696"/>
    <w:rsid w:val="00051E89"/>
    <w:rsid w:val="00052C1C"/>
    <w:rsid w:val="000533A3"/>
    <w:rsid w:val="00054F52"/>
    <w:rsid w:val="000554B1"/>
    <w:rsid w:val="000555E9"/>
    <w:rsid w:val="00055D32"/>
    <w:rsid w:val="000563B5"/>
    <w:rsid w:val="000566B7"/>
    <w:rsid w:val="000568BC"/>
    <w:rsid w:val="00057470"/>
    <w:rsid w:val="00057DFA"/>
    <w:rsid w:val="00057EFE"/>
    <w:rsid w:val="00057F8C"/>
    <w:rsid w:val="00060087"/>
    <w:rsid w:val="000602E1"/>
    <w:rsid w:val="000606B4"/>
    <w:rsid w:val="00060BA9"/>
    <w:rsid w:val="00061D49"/>
    <w:rsid w:val="00061FA4"/>
    <w:rsid w:val="00062219"/>
    <w:rsid w:val="00062C3F"/>
    <w:rsid w:val="00063149"/>
    <w:rsid w:val="00064208"/>
    <w:rsid w:val="00064643"/>
    <w:rsid w:val="000648C6"/>
    <w:rsid w:val="00064C8B"/>
    <w:rsid w:val="00064D0D"/>
    <w:rsid w:val="00065304"/>
    <w:rsid w:val="00065D24"/>
    <w:rsid w:val="000664C2"/>
    <w:rsid w:val="00066584"/>
    <w:rsid w:val="00067B13"/>
    <w:rsid w:val="00067E2F"/>
    <w:rsid w:val="0007021C"/>
    <w:rsid w:val="000702B2"/>
    <w:rsid w:val="0007033F"/>
    <w:rsid w:val="000711B0"/>
    <w:rsid w:val="00071381"/>
    <w:rsid w:val="00071495"/>
    <w:rsid w:val="00072261"/>
    <w:rsid w:val="0007275C"/>
    <w:rsid w:val="00072995"/>
    <w:rsid w:val="00072A51"/>
    <w:rsid w:val="00072D0D"/>
    <w:rsid w:val="00073014"/>
    <w:rsid w:val="000731A4"/>
    <w:rsid w:val="000736A9"/>
    <w:rsid w:val="00075613"/>
    <w:rsid w:val="0007694B"/>
    <w:rsid w:val="00076D20"/>
    <w:rsid w:val="000779EA"/>
    <w:rsid w:val="0008023C"/>
    <w:rsid w:val="00080B1C"/>
    <w:rsid w:val="000819CC"/>
    <w:rsid w:val="00081EA9"/>
    <w:rsid w:val="00081F76"/>
    <w:rsid w:val="0008237E"/>
    <w:rsid w:val="0008239C"/>
    <w:rsid w:val="0008240C"/>
    <w:rsid w:val="000827A3"/>
    <w:rsid w:val="00082A3A"/>
    <w:rsid w:val="00082CC2"/>
    <w:rsid w:val="00082D27"/>
    <w:rsid w:val="000831F6"/>
    <w:rsid w:val="00083BF0"/>
    <w:rsid w:val="00083CD9"/>
    <w:rsid w:val="00083D88"/>
    <w:rsid w:val="000847C0"/>
    <w:rsid w:val="00084A4D"/>
    <w:rsid w:val="00084C58"/>
    <w:rsid w:val="0008527A"/>
    <w:rsid w:val="00085DB2"/>
    <w:rsid w:val="0008639B"/>
    <w:rsid w:val="00086951"/>
    <w:rsid w:val="00086B43"/>
    <w:rsid w:val="00086D3D"/>
    <w:rsid w:val="00086DCD"/>
    <w:rsid w:val="00086F81"/>
    <w:rsid w:val="00087F02"/>
    <w:rsid w:val="00090D62"/>
    <w:rsid w:val="00091313"/>
    <w:rsid w:val="000914FB"/>
    <w:rsid w:val="00091844"/>
    <w:rsid w:val="00091DA8"/>
    <w:rsid w:val="00092091"/>
    <w:rsid w:val="00092E6D"/>
    <w:rsid w:val="00093086"/>
    <w:rsid w:val="0009412C"/>
    <w:rsid w:val="000942DC"/>
    <w:rsid w:val="000945E5"/>
    <w:rsid w:val="00094A93"/>
    <w:rsid w:val="00094AFA"/>
    <w:rsid w:val="00095083"/>
    <w:rsid w:val="000950E0"/>
    <w:rsid w:val="0009510C"/>
    <w:rsid w:val="000952E6"/>
    <w:rsid w:val="000954CE"/>
    <w:rsid w:val="00095961"/>
    <w:rsid w:val="00096128"/>
    <w:rsid w:val="0009629E"/>
    <w:rsid w:val="00096A69"/>
    <w:rsid w:val="00097A36"/>
    <w:rsid w:val="000A0427"/>
    <w:rsid w:val="000A0CD5"/>
    <w:rsid w:val="000A0D69"/>
    <w:rsid w:val="000A1C27"/>
    <w:rsid w:val="000A21D7"/>
    <w:rsid w:val="000A2874"/>
    <w:rsid w:val="000A2A15"/>
    <w:rsid w:val="000A3338"/>
    <w:rsid w:val="000A37A2"/>
    <w:rsid w:val="000A3960"/>
    <w:rsid w:val="000A3FA5"/>
    <w:rsid w:val="000A4189"/>
    <w:rsid w:val="000A4884"/>
    <w:rsid w:val="000A566E"/>
    <w:rsid w:val="000A593C"/>
    <w:rsid w:val="000A5F8C"/>
    <w:rsid w:val="000A60E3"/>
    <w:rsid w:val="000A77DC"/>
    <w:rsid w:val="000B0056"/>
    <w:rsid w:val="000B101D"/>
    <w:rsid w:val="000B140F"/>
    <w:rsid w:val="000B1B66"/>
    <w:rsid w:val="000B2EC1"/>
    <w:rsid w:val="000B365B"/>
    <w:rsid w:val="000B3827"/>
    <w:rsid w:val="000B39A0"/>
    <w:rsid w:val="000B39C4"/>
    <w:rsid w:val="000B4095"/>
    <w:rsid w:val="000B54B2"/>
    <w:rsid w:val="000B5709"/>
    <w:rsid w:val="000B6626"/>
    <w:rsid w:val="000B6C31"/>
    <w:rsid w:val="000C01CD"/>
    <w:rsid w:val="000C0361"/>
    <w:rsid w:val="000C06D0"/>
    <w:rsid w:val="000C109A"/>
    <w:rsid w:val="000C1112"/>
    <w:rsid w:val="000C1419"/>
    <w:rsid w:val="000C1773"/>
    <w:rsid w:val="000C19AB"/>
    <w:rsid w:val="000C24BB"/>
    <w:rsid w:val="000C2528"/>
    <w:rsid w:val="000C2B37"/>
    <w:rsid w:val="000C2F70"/>
    <w:rsid w:val="000C399B"/>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C39"/>
    <w:rsid w:val="000D6D55"/>
    <w:rsid w:val="000D6D7F"/>
    <w:rsid w:val="000D71AF"/>
    <w:rsid w:val="000D77AD"/>
    <w:rsid w:val="000D7B5A"/>
    <w:rsid w:val="000D7C14"/>
    <w:rsid w:val="000E0047"/>
    <w:rsid w:val="000E04E3"/>
    <w:rsid w:val="000E0512"/>
    <w:rsid w:val="000E0F2D"/>
    <w:rsid w:val="000E1490"/>
    <w:rsid w:val="000E1850"/>
    <w:rsid w:val="000E19D9"/>
    <w:rsid w:val="000E1A14"/>
    <w:rsid w:val="000E1BF8"/>
    <w:rsid w:val="000E1D94"/>
    <w:rsid w:val="000E23F6"/>
    <w:rsid w:val="000E37F0"/>
    <w:rsid w:val="000E3DEC"/>
    <w:rsid w:val="000E3F38"/>
    <w:rsid w:val="000E4054"/>
    <w:rsid w:val="000E4F2B"/>
    <w:rsid w:val="000E50BF"/>
    <w:rsid w:val="000E5559"/>
    <w:rsid w:val="000E5D75"/>
    <w:rsid w:val="000E605B"/>
    <w:rsid w:val="000E6653"/>
    <w:rsid w:val="000E6BBA"/>
    <w:rsid w:val="000E7076"/>
    <w:rsid w:val="000E7D2E"/>
    <w:rsid w:val="000F08C3"/>
    <w:rsid w:val="000F09F4"/>
    <w:rsid w:val="000F0DE4"/>
    <w:rsid w:val="000F0DEF"/>
    <w:rsid w:val="000F10CE"/>
    <w:rsid w:val="000F10FA"/>
    <w:rsid w:val="000F11C0"/>
    <w:rsid w:val="000F12E7"/>
    <w:rsid w:val="000F1696"/>
    <w:rsid w:val="000F1AB5"/>
    <w:rsid w:val="000F233C"/>
    <w:rsid w:val="000F2B43"/>
    <w:rsid w:val="000F360D"/>
    <w:rsid w:val="000F474A"/>
    <w:rsid w:val="000F4E2A"/>
    <w:rsid w:val="000F5DC9"/>
    <w:rsid w:val="000F62F1"/>
    <w:rsid w:val="000F68DB"/>
    <w:rsid w:val="000F6CB1"/>
    <w:rsid w:val="000F6D6F"/>
    <w:rsid w:val="000F7F84"/>
    <w:rsid w:val="00100904"/>
    <w:rsid w:val="00100CD7"/>
    <w:rsid w:val="00101071"/>
    <w:rsid w:val="001015DF"/>
    <w:rsid w:val="001016AE"/>
    <w:rsid w:val="00102090"/>
    <w:rsid w:val="00103050"/>
    <w:rsid w:val="00103072"/>
    <w:rsid w:val="001043CE"/>
    <w:rsid w:val="001046DF"/>
    <w:rsid w:val="00105CFB"/>
    <w:rsid w:val="00106569"/>
    <w:rsid w:val="001067CB"/>
    <w:rsid w:val="00107B8C"/>
    <w:rsid w:val="00107C5C"/>
    <w:rsid w:val="00107F05"/>
    <w:rsid w:val="00110943"/>
    <w:rsid w:val="001109B1"/>
    <w:rsid w:val="00111469"/>
    <w:rsid w:val="001114FA"/>
    <w:rsid w:val="00111D4E"/>
    <w:rsid w:val="001122D5"/>
    <w:rsid w:val="00112B50"/>
    <w:rsid w:val="00113B8D"/>
    <w:rsid w:val="00113F98"/>
    <w:rsid w:val="00113FD1"/>
    <w:rsid w:val="00114BA3"/>
    <w:rsid w:val="0011532B"/>
    <w:rsid w:val="00115FC4"/>
    <w:rsid w:val="001167EC"/>
    <w:rsid w:val="00116DC8"/>
    <w:rsid w:val="00116DF7"/>
    <w:rsid w:val="00117017"/>
    <w:rsid w:val="001179C9"/>
    <w:rsid w:val="00117FCB"/>
    <w:rsid w:val="00120328"/>
    <w:rsid w:val="001204FF"/>
    <w:rsid w:val="00121202"/>
    <w:rsid w:val="001216FB"/>
    <w:rsid w:val="00122089"/>
    <w:rsid w:val="00122CE4"/>
    <w:rsid w:val="00122D08"/>
    <w:rsid w:val="00123385"/>
    <w:rsid w:val="0012386D"/>
    <w:rsid w:val="00123CE5"/>
    <w:rsid w:val="00124430"/>
    <w:rsid w:val="00124651"/>
    <w:rsid w:val="00125298"/>
    <w:rsid w:val="00125A17"/>
    <w:rsid w:val="00126089"/>
    <w:rsid w:val="001260C0"/>
    <w:rsid w:val="001262A0"/>
    <w:rsid w:val="001267B8"/>
    <w:rsid w:val="00126BCA"/>
    <w:rsid w:val="00127A50"/>
    <w:rsid w:val="001300E9"/>
    <w:rsid w:val="001308AA"/>
    <w:rsid w:val="001311D3"/>
    <w:rsid w:val="0013243D"/>
    <w:rsid w:val="001333CB"/>
    <w:rsid w:val="00134499"/>
    <w:rsid w:val="00135FC4"/>
    <w:rsid w:val="00136092"/>
    <w:rsid w:val="00136907"/>
    <w:rsid w:val="00136A56"/>
    <w:rsid w:val="00136E7B"/>
    <w:rsid w:val="00136EF1"/>
    <w:rsid w:val="00140FEE"/>
    <w:rsid w:val="00141089"/>
    <w:rsid w:val="00142431"/>
    <w:rsid w:val="00142F3D"/>
    <w:rsid w:val="00143156"/>
    <w:rsid w:val="00143477"/>
    <w:rsid w:val="001434ED"/>
    <w:rsid w:val="00143866"/>
    <w:rsid w:val="00143869"/>
    <w:rsid w:val="00143E7D"/>
    <w:rsid w:val="0014406E"/>
    <w:rsid w:val="00144799"/>
    <w:rsid w:val="00144A71"/>
    <w:rsid w:val="001452D7"/>
    <w:rsid w:val="001457DC"/>
    <w:rsid w:val="00146099"/>
    <w:rsid w:val="001463D7"/>
    <w:rsid w:val="00146F46"/>
    <w:rsid w:val="001473BF"/>
    <w:rsid w:val="00147721"/>
    <w:rsid w:val="00150BB7"/>
    <w:rsid w:val="00150C92"/>
    <w:rsid w:val="00151E55"/>
    <w:rsid w:val="001536FC"/>
    <w:rsid w:val="0015539B"/>
    <w:rsid w:val="00155970"/>
    <w:rsid w:val="00155AC4"/>
    <w:rsid w:val="00155D1C"/>
    <w:rsid w:val="00155D7A"/>
    <w:rsid w:val="00155E34"/>
    <w:rsid w:val="00155EB8"/>
    <w:rsid w:val="00156000"/>
    <w:rsid w:val="001577E3"/>
    <w:rsid w:val="0015787F"/>
    <w:rsid w:val="00160475"/>
    <w:rsid w:val="00160718"/>
    <w:rsid w:val="00160A54"/>
    <w:rsid w:val="00160CB7"/>
    <w:rsid w:val="001615CC"/>
    <w:rsid w:val="00161735"/>
    <w:rsid w:val="00162DD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94D"/>
    <w:rsid w:val="00171DA1"/>
    <w:rsid w:val="00172091"/>
    <w:rsid w:val="001720C6"/>
    <w:rsid w:val="0017239D"/>
    <w:rsid w:val="00173BD3"/>
    <w:rsid w:val="00173E95"/>
    <w:rsid w:val="00173FDF"/>
    <w:rsid w:val="00174276"/>
    <w:rsid w:val="001754FC"/>
    <w:rsid w:val="001758DE"/>
    <w:rsid w:val="001759E6"/>
    <w:rsid w:val="00175E09"/>
    <w:rsid w:val="00176002"/>
    <w:rsid w:val="001770F4"/>
    <w:rsid w:val="0017788A"/>
    <w:rsid w:val="00177A35"/>
    <w:rsid w:val="001800D1"/>
    <w:rsid w:val="001803D3"/>
    <w:rsid w:val="00180522"/>
    <w:rsid w:val="001808A0"/>
    <w:rsid w:val="00180FE0"/>
    <w:rsid w:val="0018102D"/>
    <w:rsid w:val="00181442"/>
    <w:rsid w:val="00181523"/>
    <w:rsid w:val="001828C4"/>
    <w:rsid w:val="00182A22"/>
    <w:rsid w:val="00182FB9"/>
    <w:rsid w:val="00182FBD"/>
    <w:rsid w:val="001834A0"/>
    <w:rsid w:val="00183892"/>
    <w:rsid w:val="00183E89"/>
    <w:rsid w:val="0018413B"/>
    <w:rsid w:val="00184198"/>
    <w:rsid w:val="00184AE6"/>
    <w:rsid w:val="00185017"/>
    <w:rsid w:val="0018527C"/>
    <w:rsid w:val="00186680"/>
    <w:rsid w:val="0018708F"/>
    <w:rsid w:val="00187B9F"/>
    <w:rsid w:val="00191644"/>
    <w:rsid w:val="00191B1A"/>
    <w:rsid w:val="0019265B"/>
    <w:rsid w:val="00192CD9"/>
    <w:rsid w:val="00194F77"/>
    <w:rsid w:val="001951B6"/>
    <w:rsid w:val="00195340"/>
    <w:rsid w:val="001954C9"/>
    <w:rsid w:val="0019565B"/>
    <w:rsid w:val="00195688"/>
    <w:rsid w:val="001958EF"/>
    <w:rsid w:val="001958F6"/>
    <w:rsid w:val="00195C0A"/>
    <w:rsid w:val="001968B7"/>
    <w:rsid w:val="00196B8F"/>
    <w:rsid w:val="00196C3A"/>
    <w:rsid w:val="0019797F"/>
    <w:rsid w:val="001A0B03"/>
    <w:rsid w:val="001A14F3"/>
    <w:rsid w:val="001A16EB"/>
    <w:rsid w:val="001A1BAB"/>
    <w:rsid w:val="001A1C05"/>
    <w:rsid w:val="001A2158"/>
    <w:rsid w:val="001A24CF"/>
    <w:rsid w:val="001A2829"/>
    <w:rsid w:val="001A37C8"/>
    <w:rsid w:val="001A3D8A"/>
    <w:rsid w:val="001A3EF0"/>
    <w:rsid w:val="001A4357"/>
    <w:rsid w:val="001A5106"/>
    <w:rsid w:val="001A5609"/>
    <w:rsid w:val="001A5838"/>
    <w:rsid w:val="001A5D0C"/>
    <w:rsid w:val="001A6808"/>
    <w:rsid w:val="001A6D43"/>
    <w:rsid w:val="001A6DB6"/>
    <w:rsid w:val="001A6E88"/>
    <w:rsid w:val="001A7970"/>
    <w:rsid w:val="001B027C"/>
    <w:rsid w:val="001B0878"/>
    <w:rsid w:val="001B0AE0"/>
    <w:rsid w:val="001B0C01"/>
    <w:rsid w:val="001B0D76"/>
    <w:rsid w:val="001B20EA"/>
    <w:rsid w:val="001B2774"/>
    <w:rsid w:val="001B28E4"/>
    <w:rsid w:val="001B31AB"/>
    <w:rsid w:val="001B32CB"/>
    <w:rsid w:val="001B3932"/>
    <w:rsid w:val="001B3E90"/>
    <w:rsid w:val="001B4F2B"/>
    <w:rsid w:val="001B4F89"/>
    <w:rsid w:val="001B50FD"/>
    <w:rsid w:val="001B6021"/>
    <w:rsid w:val="001B6973"/>
    <w:rsid w:val="001B6D7D"/>
    <w:rsid w:val="001B71D4"/>
    <w:rsid w:val="001B720F"/>
    <w:rsid w:val="001B7390"/>
    <w:rsid w:val="001B7C5B"/>
    <w:rsid w:val="001C03B7"/>
    <w:rsid w:val="001C0D8C"/>
    <w:rsid w:val="001C161F"/>
    <w:rsid w:val="001C275C"/>
    <w:rsid w:val="001C28BB"/>
    <w:rsid w:val="001C30EF"/>
    <w:rsid w:val="001C37A8"/>
    <w:rsid w:val="001C46B6"/>
    <w:rsid w:val="001C494F"/>
    <w:rsid w:val="001C500E"/>
    <w:rsid w:val="001C5654"/>
    <w:rsid w:val="001C5889"/>
    <w:rsid w:val="001C68A0"/>
    <w:rsid w:val="001C6A23"/>
    <w:rsid w:val="001C7173"/>
    <w:rsid w:val="001D0080"/>
    <w:rsid w:val="001D01CC"/>
    <w:rsid w:val="001D0300"/>
    <w:rsid w:val="001D1129"/>
    <w:rsid w:val="001D1635"/>
    <w:rsid w:val="001D1654"/>
    <w:rsid w:val="001D1817"/>
    <w:rsid w:val="001D26FA"/>
    <w:rsid w:val="001D2CD9"/>
    <w:rsid w:val="001D4767"/>
    <w:rsid w:val="001D47FB"/>
    <w:rsid w:val="001D522C"/>
    <w:rsid w:val="001D573C"/>
    <w:rsid w:val="001D5AEF"/>
    <w:rsid w:val="001D5B6B"/>
    <w:rsid w:val="001D663E"/>
    <w:rsid w:val="001D6919"/>
    <w:rsid w:val="001D6D2D"/>
    <w:rsid w:val="001D7155"/>
    <w:rsid w:val="001D7B96"/>
    <w:rsid w:val="001E0661"/>
    <w:rsid w:val="001E0821"/>
    <w:rsid w:val="001E0F6F"/>
    <w:rsid w:val="001E1147"/>
    <w:rsid w:val="001E122D"/>
    <w:rsid w:val="001E2333"/>
    <w:rsid w:val="001E2644"/>
    <w:rsid w:val="001E2D98"/>
    <w:rsid w:val="001E2DAD"/>
    <w:rsid w:val="001E3BC2"/>
    <w:rsid w:val="001E4E64"/>
    <w:rsid w:val="001E4EDB"/>
    <w:rsid w:val="001E5368"/>
    <w:rsid w:val="001E5397"/>
    <w:rsid w:val="001E5B77"/>
    <w:rsid w:val="001E5EB0"/>
    <w:rsid w:val="001E65C9"/>
    <w:rsid w:val="001E67F6"/>
    <w:rsid w:val="001E6AEA"/>
    <w:rsid w:val="001E6E8F"/>
    <w:rsid w:val="001E7181"/>
    <w:rsid w:val="001E777C"/>
    <w:rsid w:val="001E7C78"/>
    <w:rsid w:val="001F0198"/>
    <w:rsid w:val="001F01C3"/>
    <w:rsid w:val="001F08FB"/>
    <w:rsid w:val="001F0C31"/>
    <w:rsid w:val="001F11AD"/>
    <w:rsid w:val="001F1207"/>
    <w:rsid w:val="001F1F9B"/>
    <w:rsid w:val="001F2C82"/>
    <w:rsid w:val="001F2C8D"/>
    <w:rsid w:val="001F2D5C"/>
    <w:rsid w:val="001F30DE"/>
    <w:rsid w:val="001F3576"/>
    <w:rsid w:val="001F375B"/>
    <w:rsid w:val="001F4712"/>
    <w:rsid w:val="001F49C8"/>
    <w:rsid w:val="001F55D3"/>
    <w:rsid w:val="001F5E41"/>
    <w:rsid w:val="001F5ED2"/>
    <w:rsid w:val="001F6191"/>
    <w:rsid w:val="001F61DC"/>
    <w:rsid w:val="001F6650"/>
    <w:rsid w:val="001F6911"/>
    <w:rsid w:val="001F6CAC"/>
    <w:rsid w:val="001F724D"/>
    <w:rsid w:val="001F7914"/>
    <w:rsid w:val="001F7D83"/>
    <w:rsid w:val="00200DE6"/>
    <w:rsid w:val="002013A1"/>
    <w:rsid w:val="0020147D"/>
    <w:rsid w:val="002014D8"/>
    <w:rsid w:val="00202617"/>
    <w:rsid w:val="002026E9"/>
    <w:rsid w:val="0020313D"/>
    <w:rsid w:val="00203D88"/>
    <w:rsid w:val="00204616"/>
    <w:rsid w:val="0020702B"/>
    <w:rsid w:val="002073B2"/>
    <w:rsid w:val="0020768A"/>
    <w:rsid w:val="002078CC"/>
    <w:rsid w:val="00210944"/>
    <w:rsid w:val="00210B79"/>
    <w:rsid w:val="00210CA6"/>
    <w:rsid w:val="002125CD"/>
    <w:rsid w:val="00212B30"/>
    <w:rsid w:val="0021319C"/>
    <w:rsid w:val="00213AB9"/>
    <w:rsid w:val="0021417E"/>
    <w:rsid w:val="00214A22"/>
    <w:rsid w:val="00214AE3"/>
    <w:rsid w:val="00214CD0"/>
    <w:rsid w:val="0021529F"/>
    <w:rsid w:val="00215434"/>
    <w:rsid w:val="002162C3"/>
    <w:rsid w:val="0021687B"/>
    <w:rsid w:val="00217462"/>
    <w:rsid w:val="002175D1"/>
    <w:rsid w:val="00217D62"/>
    <w:rsid w:val="00220082"/>
    <w:rsid w:val="002207F6"/>
    <w:rsid w:val="00220B30"/>
    <w:rsid w:val="00220CF1"/>
    <w:rsid w:val="00221EFB"/>
    <w:rsid w:val="00221F95"/>
    <w:rsid w:val="002221E5"/>
    <w:rsid w:val="00222C54"/>
    <w:rsid w:val="002236A2"/>
    <w:rsid w:val="00223A61"/>
    <w:rsid w:val="002244F3"/>
    <w:rsid w:val="002258B4"/>
    <w:rsid w:val="002258D5"/>
    <w:rsid w:val="0022716D"/>
    <w:rsid w:val="002276B8"/>
    <w:rsid w:val="00230A9B"/>
    <w:rsid w:val="00232FAA"/>
    <w:rsid w:val="00233149"/>
    <w:rsid w:val="002334D1"/>
    <w:rsid w:val="00235138"/>
    <w:rsid w:val="00235677"/>
    <w:rsid w:val="00235718"/>
    <w:rsid w:val="0023573D"/>
    <w:rsid w:val="00235C12"/>
    <w:rsid w:val="002360F7"/>
    <w:rsid w:val="00236ABD"/>
    <w:rsid w:val="002379CF"/>
    <w:rsid w:val="002409C6"/>
    <w:rsid w:val="00240BDA"/>
    <w:rsid w:val="00241277"/>
    <w:rsid w:val="00241D55"/>
    <w:rsid w:val="00242317"/>
    <w:rsid w:val="002431CD"/>
    <w:rsid w:val="0024371B"/>
    <w:rsid w:val="002437E2"/>
    <w:rsid w:val="00243B9F"/>
    <w:rsid w:val="00244089"/>
    <w:rsid w:val="00244517"/>
    <w:rsid w:val="00244EC9"/>
    <w:rsid w:val="0024588E"/>
    <w:rsid w:val="002469A2"/>
    <w:rsid w:val="00246F84"/>
    <w:rsid w:val="00247421"/>
    <w:rsid w:val="00247560"/>
    <w:rsid w:val="00247652"/>
    <w:rsid w:val="00247704"/>
    <w:rsid w:val="00247EAF"/>
    <w:rsid w:val="00247F5B"/>
    <w:rsid w:val="00250939"/>
    <w:rsid w:val="002510EB"/>
    <w:rsid w:val="0025151E"/>
    <w:rsid w:val="0025167A"/>
    <w:rsid w:val="002522DA"/>
    <w:rsid w:val="0025261A"/>
    <w:rsid w:val="00252724"/>
    <w:rsid w:val="00252B83"/>
    <w:rsid w:val="00253029"/>
    <w:rsid w:val="00253402"/>
    <w:rsid w:val="002534EE"/>
    <w:rsid w:val="002541BC"/>
    <w:rsid w:val="002549E8"/>
    <w:rsid w:val="00254A00"/>
    <w:rsid w:val="00254C2C"/>
    <w:rsid w:val="00255214"/>
    <w:rsid w:val="002559BA"/>
    <w:rsid w:val="00256466"/>
    <w:rsid w:val="00256B5A"/>
    <w:rsid w:val="00256C4B"/>
    <w:rsid w:val="002571C0"/>
    <w:rsid w:val="00257963"/>
    <w:rsid w:val="00257F0D"/>
    <w:rsid w:val="0026023A"/>
    <w:rsid w:val="002606A3"/>
    <w:rsid w:val="00261881"/>
    <w:rsid w:val="0026190E"/>
    <w:rsid w:val="00261AB3"/>
    <w:rsid w:val="00261F00"/>
    <w:rsid w:val="00262800"/>
    <w:rsid w:val="0026285A"/>
    <w:rsid w:val="00263F15"/>
    <w:rsid w:val="00264B14"/>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5223"/>
    <w:rsid w:val="002764B6"/>
    <w:rsid w:val="00277B72"/>
    <w:rsid w:val="00280D12"/>
    <w:rsid w:val="00280E5E"/>
    <w:rsid w:val="002811F6"/>
    <w:rsid w:val="00281B31"/>
    <w:rsid w:val="0028227C"/>
    <w:rsid w:val="00282672"/>
    <w:rsid w:val="00282D0E"/>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F3C"/>
    <w:rsid w:val="00290069"/>
    <w:rsid w:val="002901BE"/>
    <w:rsid w:val="00290D5E"/>
    <w:rsid w:val="0029112A"/>
    <w:rsid w:val="00291C7C"/>
    <w:rsid w:val="00292415"/>
    <w:rsid w:val="0029262A"/>
    <w:rsid w:val="002932E3"/>
    <w:rsid w:val="00293AF2"/>
    <w:rsid w:val="00293B8F"/>
    <w:rsid w:val="00294F3D"/>
    <w:rsid w:val="002956E2"/>
    <w:rsid w:val="00295B59"/>
    <w:rsid w:val="00295F80"/>
    <w:rsid w:val="00296074"/>
    <w:rsid w:val="00296E57"/>
    <w:rsid w:val="00297061"/>
    <w:rsid w:val="0029722D"/>
    <w:rsid w:val="00297A9C"/>
    <w:rsid w:val="002A1103"/>
    <w:rsid w:val="002A1BB9"/>
    <w:rsid w:val="002A1FFC"/>
    <w:rsid w:val="002A23DF"/>
    <w:rsid w:val="002A2966"/>
    <w:rsid w:val="002A2C99"/>
    <w:rsid w:val="002A34E6"/>
    <w:rsid w:val="002A47BA"/>
    <w:rsid w:val="002A4FEE"/>
    <w:rsid w:val="002B085D"/>
    <w:rsid w:val="002B1581"/>
    <w:rsid w:val="002B19CF"/>
    <w:rsid w:val="002B2111"/>
    <w:rsid w:val="002B2851"/>
    <w:rsid w:val="002B286D"/>
    <w:rsid w:val="002B35E9"/>
    <w:rsid w:val="002B3667"/>
    <w:rsid w:val="002B38F8"/>
    <w:rsid w:val="002B3A3A"/>
    <w:rsid w:val="002B4310"/>
    <w:rsid w:val="002B4C51"/>
    <w:rsid w:val="002B4CF3"/>
    <w:rsid w:val="002B4D46"/>
    <w:rsid w:val="002B5172"/>
    <w:rsid w:val="002B52EC"/>
    <w:rsid w:val="002B60E2"/>
    <w:rsid w:val="002B652E"/>
    <w:rsid w:val="002B67D0"/>
    <w:rsid w:val="002B73CF"/>
    <w:rsid w:val="002B7F07"/>
    <w:rsid w:val="002B7F8C"/>
    <w:rsid w:val="002C0721"/>
    <w:rsid w:val="002C20D2"/>
    <w:rsid w:val="002C2393"/>
    <w:rsid w:val="002C2866"/>
    <w:rsid w:val="002C2A9E"/>
    <w:rsid w:val="002C2D31"/>
    <w:rsid w:val="002C3474"/>
    <w:rsid w:val="002C3671"/>
    <w:rsid w:val="002C3A16"/>
    <w:rsid w:val="002C3B16"/>
    <w:rsid w:val="002C3BB2"/>
    <w:rsid w:val="002C4E5B"/>
    <w:rsid w:val="002C52A7"/>
    <w:rsid w:val="002C580F"/>
    <w:rsid w:val="002C5E71"/>
    <w:rsid w:val="002C5EC2"/>
    <w:rsid w:val="002C618D"/>
    <w:rsid w:val="002C6C9E"/>
    <w:rsid w:val="002C6DDF"/>
    <w:rsid w:val="002C79B0"/>
    <w:rsid w:val="002CB1E2"/>
    <w:rsid w:val="002D082E"/>
    <w:rsid w:val="002D119C"/>
    <w:rsid w:val="002D17D9"/>
    <w:rsid w:val="002D18EC"/>
    <w:rsid w:val="002D2F33"/>
    <w:rsid w:val="002D3EFA"/>
    <w:rsid w:val="002D43AF"/>
    <w:rsid w:val="002D463F"/>
    <w:rsid w:val="002D47C8"/>
    <w:rsid w:val="002D4FC8"/>
    <w:rsid w:val="002D5CEC"/>
    <w:rsid w:val="002D5E76"/>
    <w:rsid w:val="002D633F"/>
    <w:rsid w:val="002D6531"/>
    <w:rsid w:val="002D673D"/>
    <w:rsid w:val="002D6A47"/>
    <w:rsid w:val="002D6DA6"/>
    <w:rsid w:val="002D6EF4"/>
    <w:rsid w:val="002E10D8"/>
    <w:rsid w:val="002E22D1"/>
    <w:rsid w:val="002E2A0B"/>
    <w:rsid w:val="002E4493"/>
    <w:rsid w:val="002E4C70"/>
    <w:rsid w:val="002E5784"/>
    <w:rsid w:val="002E658E"/>
    <w:rsid w:val="002E6839"/>
    <w:rsid w:val="002E68A9"/>
    <w:rsid w:val="002F01BD"/>
    <w:rsid w:val="002F0DD6"/>
    <w:rsid w:val="002F0E38"/>
    <w:rsid w:val="002F15C4"/>
    <w:rsid w:val="002F15C8"/>
    <w:rsid w:val="002F17E4"/>
    <w:rsid w:val="002F1CBD"/>
    <w:rsid w:val="002F225B"/>
    <w:rsid w:val="002F23F8"/>
    <w:rsid w:val="002F2F94"/>
    <w:rsid w:val="002F336E"/>
    <w:rsid w:val="002F37E4"/>
    <w:rsid w:val="002F3B62"/>
    <w:rsid w:val="002F3F17"/>
    <w:rsid w:val="002F40C6"/>
    <w:rsid w:val="002F500B"/>
    <w:rsid w:val="002F62A6"/>
    <w:rsid w:val="002F6519"/>
    <w:rsid w:val="002F702B"/>
    <w:rsid w:val="002F74D4"/>
    <w:rsid w:val="002F7611"/>
    <w:rsid w:val="002F7EBA"/>
    <w:rsid w:val="003009E5"/>
    <w:rsid w:val="00300CBA"/>
    <w:rsid w:val="00301664"/>
    <w:rsid w:val="00301BD0"/>
    <w:rsid w:val="0030255A"/>
    <w:rsid w:val="00302A43"/>
    <w:rsid w:val="003032F1"/>
    <w:rsid w:val="003040F1"/>
    <w:rsid w:val="003044EF"/>
    <w:rsid w:val="003046CE"/>
    <w:rsid w:val="003049A6"/>
    <w:rsid w:val="00306326"/>
    <w:rsid w:val="0030657A"/>
    <w:rsid w:val="003101DA"/>
    <w:rsid w:val="00310F18"/>
    <w:rsid w:val="003110DF"/>
    <w:rsid w:val="003110E0"/>
    <w:rsid w:val="00311216"/>
    <w:rsid w:val="0031157E"/>
    <w:rsid w:val="00311B9B"/>
    <w:rsid w:val="00312158"/>
    <w:rsid w:val="0031304D"/>
    <w:rsid w:val="003130CF"/>
    <w:rsid w:val="003132DD"/>
    <w:rsid w:val="00313560"/>
    <w:rsid w:val="003137D1"/>
    <w:rsid w:val="00313C6A"/>
    <w:rsid w:val="00313DE1"/>
    <w:rsid w:val="0031468E"/>
    <w:rsid w:val="00314E2C"/>
    <w:rsid w:val="00315436"/>
    <w:rsid w:val="0031561B"/>
    <w:rsid w:val="0031655F"/>
    <w:rsid w:val="00317140"/>
    <w:rsid w:val="00317329"/>
    <w:rsid w:val="00317510"/>
    <w:rsid w:val="00320412"/>
    <w:rsid w:val="003207E7"/>
    <w:rsid w:val="00321BAB"/>
    <w:rsid w:val="00321DC4"/>
    <w:rsid w:val="00321E20"/>
    <w:rsid w:val="00322645"/>
    <w:rsid w:val="00322BA8"/>
    <w:rsid w:val="00323060"/>
    <w:rsid w:val="003232FD"/>
    <w:rsid w:val="00323751"/>
    <w:rsid w:val="003239D7"/>
    <w:rsid w:val="003239FD"/>
    <w:rsid w:val="00323FBE"/>
    <w:rsid w:val="00324425"/>
    <w:rsid w:val="00324435"/>
    <w:rsid w:val="00324467"/>
    <w:rsid w:val="003248DA"/>
    <w:rsid w:val="003252C7"/>
    <w:rsid w:val="00325808"/>
    <w:rsid w:val="00325B02"/>
    <w:rsid w:val="00325BAA"/>
    <w:rsid w:val="00325C05"/>
    <w:rsid w:val="00327C00"/>
    <w:rsid w:val="00330325"/>
    <w:rsid w:val="0033037C"/>
    <w:rsid w:val="00330508"/>
    <w:rsid w:val="00330F15"/>
    <w:rsid w:val="003313D4"/>
    <w:rsid w:val="003313FE"/>
    <w:rsid w:val="003317CD"/>
    <w:rsid w:val="00331899"/>
    <w:rsid w:val="00332498"/>
    <w:rsid w:val="00332E8D"/>
    <w:rsid w:val="0033393D"/>
    <w:rsid w:val="00333E5A"/>
    <w:rsid w:val="0033408C"/>
    <w:rsid w:val="0033412F"/>
    <w:rsid w:val="0033447D"/>
    <w:rsid w:val="003351C3"/>
    <w:rsid w:val="003351EF"/>
    <w:rsid w:val="00335443"/>
    <w:rsid w:val="003358E6"/>
    <w:rsid w:val="00335B85"/>
    <w:rsid w:val="00335E62"/>
    <w:rsid w:val="0033606E"/>
    <w:rsid w:val="00337136"/>
    <w:rsid w:val="00337A18"/>
    <w:rsid w:val="00337FC8"/>
    <w:rsid w:val="003400E1"/>
    <w:rsid w:val="0034036E"/>
    <w:rsid w:val="00341832"/>
    <w:rsid w:val="003419BA"/>
    <w:rsid w:val="00342279"/>
    <w:rsid w:val="00342525"/>
    <w:rsid w:val="0034383A"/>
    <w:rsid w:val="00343AAA"/>
    <w:rsid w:val="003441D5"/>
    <w:rsid w:val="00344CDC"/>
    <w:rsid w:val="00344F18"/>
    <w:rsid w:val="00344F32"/>
    <w:rsid w:val="003450A7"/>
    <w:rsid w:val="00345610"/>
    <w:rsid w:val="00345CCB"/>
    <w:rsid w:val="00346220"/>
    <w:rsid w:val="00346DF0"/>
    <w:rsid w:val="00346F99"/>
    <w:rsid w:val="00347C59"/>
    <w:rsid w:val="00350248"/>
    <w:rsid w:val="003506F3"/>
    <w:rsid w:val="00351083"/>
    <w:rsid w:val="003510CE"/>
    <w:rsid w:val="00351A87"/>
    <w:rsid w:val="003521CC"/>
    <w:rsid w:val="00352249"/>
    <w:rsid w:val="00352618"/>
    <w:rsid w:val="0035389B"/>
    <w:rsid w:val="00353EEB"/>
    <w:rsid w:val="003547B9"/>
    <w:rsid w:val="003548E5"/>
    <w:rsid w:val="00355D7E"/>
    <w:rsid w:val="003560E6"/>
    <w:rsid w:val="003603C7"/>
    <w:rsid w:val="00360441"/>
    <w:rsid w:val="00360626"/>
    <w:rsid w:val="003610E2"/>
    <w:rsid w:val="00361128"/>
    <w:rsid w:val="00361960"/>
    <w:rsid w:val="00361B19"/>
    <w:rsid w:val="00362912"/>
    <w:rsid w:val="00362BC1"/>
    <w:rsid w:val="00362C55"/>
    <w:rsid w:val="003634B4"/>
    <w:rsid w:val="003641D1"/>
    <w:rsid w:val="00364DC6"/>
    <w:rsid w:val="00364FAD"/>
    <w:rsid w:val="0036507E"/>
    <w:rsid w:val="00365779"/>
    <w:rsid w:val="00365D2A"/>
    <w:rsid w:val="003660E9"/>
    <w:rsid w:val="00366241"/>
    <w:rsid w:val="00366F98"/>
    <w:rsid w:val="003671DA"/>
    <w:rsid w:val="00367749"/>
    <w:rsid w:val="00367984"/>
    <w:rsid w:val="00367E40"/>
    <w:rsid w:val="0037012D"/>
    <w:rsid w:val="003707FE"/>
    <w:rsid w:val="00370BFD"/>
    <w:rsid w:val="00370E4F"/>
    <w:rsid w:val="003713D2"/>
    <w:rsid w:val="003718AC"/>
    <w:rsid w:val="00371B60"/>
    <w:rsid w:val="00371F3B"/>
    <w:rsid w:val="0037266B"/>
    <w:rsid w:val="00372B1E"/>
    <w:rsid w:val="003738A6"/>
    <w:rsid w:val="00373D43"/>
    <w:rsid w:val="00374019"/>
    <w:rsid w:val="003742CB"/>
    <w:rsid w:val="00374D62"/>
    <w:rsid w:val="00375537"/>
    <w:rsid w:val="0037553F"/>
    <w:rsid w:val="00376554"/>
    <w:rsid w:val="0037705C"/>
    <w:rsid w:val="00377347"/>
    <w:rsid w:val="0037763C"/>
    <w:rsid w:val="00377867"/>
    <w:rsid w:val="003779BB"/>
    <w:rsid w:val="003810C5"/>
    <w:rsid w:val="00381493"/>
    <w:rsid w:val="00381697"/>
    <w:rsid w:val="00381E67"/>
    <w:rsid w:val="003825F3"/>
    <w:rsid w:val="00382610"/>
    <w:rsid w:val="00383506"/>
    <w:rsid w:val="003838A0"/>
    <w:rsid w:val="00383C4C"/>
    <w:rsid w:val="003849B9"/>
    <w:rsid w:val="00385A6D"/>
    <w:rsid w:val="00386B08"/>
    <w:rsid w:val="00386F9E"/>
    <w:rsid w:val="00387161"/>
    <w:rsid w:val="003873FF"/>
    <w:rsid w:val="003908F6"/>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20C3"/>
    <w:rsid w:val="003A2714"/>
    <w:rsid w:val="003A3060"/>
    <w:rsid w:val="003A3D45"/>
    <w:rsid w:val="003A4212"/>
    <w:rsid w:val="003A4877"/>
    <w:rsid w:val="003A6833"/>
    <w:rsid w:val="003A7DFD"/>
    <w:rsid w:val="003A7E77"/>
    <w:rsid w:val="003AE0F9"/>
    <w:rsid w:val="003B1760"/>
    <w:rsid w:val="003B1824"/>
    <w:rsid w:val="003B1FDB"/>
    <w:rsid w:val="003B22A3"/>
    <w:rsid w:val="003B22B6"/>
    <w:rsid w:val="003B22EC"/>
    <w:rsid w:val="003B2AD1"/>
    <w:rsid w:val="003B37DB"/>
    <w:rsid w:val="003B3D46"/>
    <w:rsid w:val="003B4C77"/>
    <w:rsid w:val="003B56F6"/>
    <w:rsid w:val="003B577A"/>
    <w:rsid w:val="003B5D4B"/>
    <w:rsid w:val="003B6673"/>
    <w:rsid w:val="003B6C24"/>
    <w:rsid w:val="003B7051"/>
    <w:rsid w:val="003B7325"/>
    <w:rsid w:val="003B7BA9"/>
    <w:rsid w:val="003C0BD5"/>
    <w:rsid w:val="003C1080"/>
    <w:rsid w:val="003C1FE2"/>
    <w:rsid w:val="003C2543"/>
    <w:rsid w:val="003C3100"/>
    <w:rsid w:val="003C3CA8"/>
    <w:rsid w:val="003C42E5"/>
    <w:rsid w:val="003C44C9"/>
    <w:rsid w:val="003C4902"/>
    <w:rsid w:val="003C4BC5"/>
    <w:rsid w:val="003C5057"/>
    <w:rsid w:val="003C5177"/>
    <w:rsid w:val="003C6816"/>
    <w:rsid w:val="003C7372"/>
    <w:rsid w:val="003D04D2"/>
    <w:rsid w:val="003D0D76"/>
    <w:rsid w:val="003D14F9"/>
    <w:rsid w:val="003D1A3C"/>
    <w:rsid w:val="003D28EB"/>
    <w:rsid w:val="003D2AA3"/>
    <w:rsid w:val="003D2B95"/>
    <w:rsid w:val="003D2F11"/>
    <w:rsid w:val="003D33A9"/>
    <w:rsid w:val="003D3607"/>
    <w:rsid w:val="003D3CA4"/>
    <w:rsid w:val="003D4120"/>
    <w:rsid w:val="003D42B8"/>
    <w:rsid w:val="003D479E"/>
    <w:rsid w:val="003D4F6B"/>
    <w:rsid w:val="003D60E6"/>
    <w:rsid w:val="003D62C3"/>
    <w:rsid w:val="003D63FA"/>
    <w:rsid w:val="003D731A"/>
    <w:rsid w:val="003D7773"/>
    <w:rsid w:val="003D793D"/>
    <w:rsid w:val="003D7A76"/>
    <w:rsid w:val="003E00DF"/>
    <w:rsid w:val="003E016A"/>
    <w:rsid w:val="003E0D98"/>
    <w:rsid w:val="003E1500"/>
    <w:rsid w:val="003E1574"/>
    <w:rsid w:val="003E1653"/>
    <w:rsid w:val="003E1D04"/>
    <w:rsid w:val="003E1E37"/>
    <w:rsid w:val="003E2374"/>
    <w:rsid w:val="003E2490"/>
    <w:rsid w:val="003E296E"/>
    <w:rsid w:val="003E2A4D"/>
    <w:rsid w:val="003E2E50"/>
    <w:rsid w:val="003E30E6"/>
    <w:rsid w:val="003E3CF4"/>
    <w:rsid w:val="003E40C8"/>
    <w:rsid w:val="003E45AF"/>
    <w:rsid w:val="003E4E71"/>
    <w:rsid w:val="003E5599"/>
    <w:rsid w:val="003E590D"/>
    <w:rsid w:val="003E633C"/>
    <w:rsid w:val="003F02CD"/>
    <w:rsid w:val="003F0A07"/>
    <w:rsid w:val="003F0CC2"/>
    <w:rsid w:val="003F19BD"/>
    <w:rsid w:val="003F1AF5"/>
    <w:rsid w:val="003F25D5"/>
    <w:rsid w:val="003F2708"/>
    <w:rsid w:val="003F28D7"/>
    <w:rsid w:val="003F2924"/>
    <w:rsid w:val="003F3019"/>
    <w:rsid w:val="003F36F7"/>
    <w:rsid w:val="003F3F1C"/>
    <w:rsid w:val="003F40B4"/>
    <w:rsid w:val="003F45FE"/>
    <w:rsid w:val="003F4FC4"/>
    <w:rsid w:val="003F5591"/>
    <w:rsid w:val="003F58B9"/>
    <w:rsid w:val="003F5E46"/>
    <w:rsid w:val="003F677C"/>
    <w:rsid w:val="003F677D"/>
    <w:rsid w:val="003F6E61"/>
    <w:rsid w:val="003F7912"/>
    <w:rsid w:val="003F7D47"/>
    <w:rsid w:val="00401B95"/>
    <w:rsid w:val="00403A2F"/>
    <w:rsid w:val="00403A96"/>
    <w:rsid w:val="00403EC2"/>
    <w:rsid w:val="0040416A"/>
    <w:rsid w:val="00404235"/>
    <w:rsid w:val="00404251"/>
    <w:rsid w:val="0040455A"/>
    <w:rsid w:val="00404AD8"/>
    <w:rsid w:val="00405D09"/>
    <w:rsid w:val="00406256"/>
    <w:rsid w:val="0040651F"/>
    <w:rsid w:val="0040738A"/>
    <w:rsid w:val="004079CB"/>
    <w:rsid w:val="00407A50"/>
    <w:rsid w:val="00407C81"/>
    <w:rsid w:val="00407CBD"/>
    <w:rsid w:val="00410010"/>
    <w:rsid w:val="0041004F"/>
    <w:rsid w:val="0041063B"/>
    <w:rsid w:val="004107F0"/>
    <w:rsid w:val="00410E97"/>
    <w:rsid w:val="004115D6"/>
    <w:rsid w:val="0041180C"/>
    <w:rsid w:val="00411861"/>
    <w:rsid w:val="00411880"/>
    <w:rsid w:val="00411F63"/>
    <w:rsid w:val="00412E28"/>
    <w:rsid w:val="00413321"/>
    <w:rsid w:val="00413834"/>
    <w:rsid w:val="0041487A"/>
    <w:rsid w:val="0041563B"/>
    <w:rsid w:val="00415A05"/>
    <w:rsid w:val="00415C79"/>
    <w:rsid w:val="0041610D"/>
    <w:rsid w:val="00416693"/>
    <w:rsid w:val="004170B3"/>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516D"/>
    <w:rsid w:val="004254AB"/>
    <w:rsid w:val="004258B1"/>
    <w:rsid w:val="00426673"/>
    <w:rsid w:val="004269DE"/>
    <w:rsid w:val="004271EF"/>
    <w:rsid w:val="0042733D"/>
    <w:rsid w:val="004277FB"/>
    <w:rsid w:val="00427893"/>
    <w:rsid w:val="004278A8"/>
    <w:rsid w:val="00427B15"/>
    <w:rsid w:val="00427FC5"/>
    <w:rsid w:val="00430981"/>
    <w:rsid w:val="00431173"/>
    <w:rsid w:val="0043208E"/>
    <w:rsid w:val="00433A2C"/>
    <w:rsid w:val="004347E4"/>
    <w:rsid w:val="00434809"/>
    <w:rsid w:val="004349D9"/>
    <w:rsid w:val="004349FA"/>
    <w:rsid w:val="00434A8E"/>
    <w:rsid w:val="00434EEB"/>
    <w:rsid w:val="00434F49"/>
    <w:rsid w:val="00435186"/>
    <w:rsid w:val="00436746"/>
    <w:rsid w:val="004369A4"/>
    <w:rsid w:val="004369C7"/>
    <w:rsid w:val="00437210"/>
    <w:rsid w:val="004373E4"/>
    <w:rsid w:val="00440657"/>
    <w:rsid w:val="004406DA"/>
    <w:rsid w:val="00440EA1"/>
    <w:rsid w:val="00441D9D"/>
    <w:rsid w:val="004421E8"/>
    <w:rsid w:val="004427AC"/>
    <w:rsid w:val="00442997"/>
    <w:rsid w:val="00442A14"/>
    <w:rsid w:val="00443B02"/>
    <w:rsid w:val="00443DF0"/>
    <w:rsid w:val="0044416C"/>
    <w:rsid w:val="0044461C"/>
    <w:rsid w:val="00444D95"/>
    <w:rsid w:val="0044529F"/>
    <w:rsid w:val="004453F4"/>
    <w:rsid w:val="004467E5"/>
    <w:rsid w:val="00446E13"/>
    <w:rsid w:val="0044700F"/>
    <w:rsid w:val="004501D5"/>
    <w:rsid w:val="00450233"/>
    <w:rsid w:val="0045124B"/>
    <w:rsid w:val="0045140D"/>
    <w:rsid w:val="00451C6D"/>
    <w:rsid w:val="00451EBF"/>
    <w:rsid w:val="004521C5"/>
    <w:rsid w:val="0045255F"/>
    <w:rsid w:val="004528C5"/>
    <w:rsid w:val="00452F2A"/>
    <w:rsid w:val="00453010"/>
    <w:rsid w:val="00453196"/>
    <w:rsid w:val="00453258"/>
    <w:rsid w:val="00453759"/>
    <w:rsid w:val="00453CE2"/>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32C0"/>
    <w:rsid w:val="004638CB"/>
    <w:rsid w:val="00463B40"/>
    <w:rsid w:val="0046404B"/>
    <w:rsid w:val="00464221"/>
    <w:rsid w:val="00466315"/>
    <w:rsid w:val="004664AD"/>
    <w:rsid w:val="00466857"/>
    <w:rsid w:val="004668BC"/>
    <w:rsid w:val="004668E2"/>
    <w:rsid w:val="00466A3F"/>
    <w:rsid w:val="00467207"/>
    <w:rsid w:val="00467270"/>
    <w:rsid w:val="00470641"/>
    <w:rsid w:val="0047095D"/>
    <w:rsid w:val="0047129F"/>
    <w:rsid w:val="00472548"/>
    <w:rsid w:val="0047288C"/>
    <w:rsid w:val="00472B84"/>
    <w:rsid w:val="00472CFA"/>
    <w:rsid w:val="00473BCE"/>
    <w:rsid w:val="00474B7D"/>
    <w:rsid w:val="0047626A"/>
    <w:rsid w:val="0047677A"/>
    <w:rsid w:val="00477A8D"/>
    <w:rsid w:val="00480360"/>
    <w:rsid w:val="00480B33"/>
    <w:rsid w:val="004823F8"/>
    <w:rsid w:val="00484652"/>
    <w:rsid w:val="004848DD"/>
    <w:rsid w:val="00484D60"/>
    <w:rsid w:val="00485518"/>
    <w:rsid w:val="004862E6"/>
    <w:rsid w:val="004872B7"/>
    <w:rsid w:val="00487781"/>
    <w:rsid w:val="004878AC"/>
    <w:rsid w:val="0048792D"/>
    <w:rsid w:val="00490F4C"/>
    <w:rsid w:val="004917E7"/>
    <w:rsid w:val="00492790"/>
    <w:rsid w:val="00492BC7"/>
    <w:rsid w:val="00493424"/>
    <w:rsid w:val="0049370F"/>
    <w:rsid w:val="00493815"/>
    <w:rsid w:val="00494504"/>
    <w:rsid w:val="004947E8"/>
    <w:rsid w:val="00494877"/>
    <w:rsid w:val="0049496B"/>
    <w:rsid w:val="0049568B"/>
    <w:rsid w:val="00495749"/>
    <w:rsid w:val="00495869"/>
    <w:rsid w:val="00495D51"/>
    <w:rsid w:val="0049600B"/>
    <w:rsid w:val="00496280"/>
    <w:rsid w:val="004965DC"/>
    <w:rsid w:val="0049751F"/>
    <w:rsid w:val="004977AC"/>
    <w:rsid w:val="00497B60"/>
    <w:rsid w:val="00497BC0"/>
    <w:rsid w:val="00497C75"/>
    <w:rsid w:val="004A0072"/>
    <w:rsid w:val="004A0177"/>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D9F"/>
    <w:rsid w:val="004A4FC0"/>
    <w:rsid w:val="004A693D"/>
    <w:rsid w:val="004A6A76"/>
    <w:rsid w:val="004A6D8E"/>
    <w:rsid w:val="004A709C"/>
    <w:rsid w:val="004A71B8"/>
    <w:rsid w:val="004A7229"/>
    <w:rsid w:val="004A7252"/>
    <w:rsid w:val="004A7FDA"/>
    <w:rsid w:val="004B01C8"/>
    <w:rsid w:val="004B05E1"/>
    <w:rsid w:val="004B06C6"/>
    <w:rsid w:val="004B0930"/>
    <w:rsid w:val="004B1559"/>
    <w:rsid w:val="004B1757"/>
    <w:rsid w:val="004B19DD"/>
    <w:rsid w:val="004B1A6A"/>
    <w:rsid w:val="004B2159"/>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C00E8"/>
    <w:rsid w:val="004C0A18"/>
    <w:rsid w:val="004C0F06"/>
    <w:rsid w:val="004C1094"/>
    <w:rsid w:val="004C18CA"/>
    <w:rsid w:val="004C1D67"/>
    <w:rsid w:val="004C1EEC"/>
    <w:rsid w:val="004C20A0"/>
    <w:rsid w:val="004C2485"/>
    <w:rsid w:val="004C2993"/>
    <w:rsid w:val="004C2B37"/>
    <w:rsid w:val="004C2F37"/>
    <w:rsid w:val="004C401A"/>
    <w:rsid w:val="004C40AC"/>
    <w:rsid w:val="004C420D"/>
    <w:rsid w:val="004C483A"/>
    <w:rsid w:val="004C4AE8"/>
    <w:rsid w:val="004C543D"/>
    <w:rsid w:val="004C56AD"/>
    <w:rsid w:val="004C5850"/>
    <w:rsid w:val="004C59EB"/>
    <w:rsid w:val="004C60A4"/>
    <w:rsid w:val="004C7176"/>
    <w:rsid w:val="004C7FD8"/>
    <w:rsid w:val="004D057F"/>
    <w:rsid w:val="004D07B4"/>
    <w:rsid w:val="004D094B"/>
    <w:rsid w:val="004D1112"/>
    <w:rsid w:val="004D1332"/>
    <w:rsid w:val="004D18F0"/>
    <w:rsid w:val="004D1C18"/>
    <w:rsid w:val="004D1E20"/>
    <w:rsid w:val="004D275F"/>
    <w:rsid w:val="004D2924"/>
    <w:rsid w:val="004D2E89"/>
    <w:rsid w:val="004D3969"/>
    <w:rsid w:val="004D4525"/>
    <w:rsid w:val="004D532C"/>
    <w:rsid w:val="004D6383"/>
    <w:rsid w:val="004D66B8"/>
    <w:rsid w:val="004D7447"/>
    <w:rsid w:val="004D7AB4"/>
    <w:rsid w:val="004E1933"/>
    <w:rsid w:val="004E1CA9"/>
    <w:rsid w:val="004E2768"/>
    <w:rsid w:val="004E281E"/>
    <w:rsid w:val="004E3254"/>
    <w:rsid w:val="004E42DD"/>
    <w:rsid w:val="004E4358"/>
    <w:rsid w:val="004E4C4B"/>
    <w:rsid w:val="004E531D"/>
    <w:rsid w:val="004E568B"/>
    <w:rsid w:val="004E5B45"/>
    <w:rsid w:val="004E5E2B"/>
    <w:rsid w:val="004E5F09"/>
    <w:rsid w:val="004E6F00"/>
    <w:rsid w:val="004E7F49"/>
    <w:rsid w:val="004E7FC7"/>
    <w:rsid w:val="004F0C57"/>
    <w:rsid w:val="004F0F96"/>
    <w:rsid w:val="004F10D8"/>
    <w:rsid w:val="004F17B4"/>
    <w:rsid w:val="004F1A0F"/>
    <w:rsid w:val="004F1D31"/>
    <w:rsid w:val="004F2A42"/>
    <w:rsid w:val="004F3194"/>
    <w:rsid w:val="004F38F9"/>
    <w:rsid w:val="004F44CF"/>
    <w:rsid w:val="004F45A7"/>
    <w:rsid w:val="004F45CB"/>
    <w:rsid w:val="004F5520"/>
    <w:rsid w:val="004F5C84"/>
    <w:rsid w:val="004F5D24"/>
    <w:rsid w:val="004F69F0"/>
    <w:rsid w:val="004F7120"/>
    <w:rsid w:val="004F7513"/>
    <w:rsid w:val="004F7902"/>
    <w:rsid w:val="00500266"/>
    <w:rsid w:val="00500815"/>
    <w:rsid w:val="00500959"/>
    <w:rsid w:val="00500E3C"/>
    <w:rsid w:val="00501348"/>
    <w:rsid w:val="00501387"/>
    <w:rsid w:val="0050223C"/>
    <w:rsid w:val="00502738"/>
    <w:rsid w:val="00502758"/>
    <w:rsid w:val="00502FC4"/>
    <w:rsid w:val="0050368E"/>
    <w:rsid w:val="005039F4"/>
    <w:rsid w:val="00504CD2"/>
    <w:rsid w:val="0050662C"/>
    <w:rsid w:val="00506642"/>
    <w:rsid w:val="00506C9C"/>
    <w:rsid w:val="005072F0"/>
    <w:rsid w:val="00507DB2"/>
    <w:rsid w:val="0051029C"/>
    <w:rsid w:val="005104AE"/>
    <w:rsid w:val="0051205A"/>
    <w:rsid w:val="005127C4"/>
    <w:rsid w:val="00512900"/>
    <w:rsid w:val="00512956"/>
    <w:rsid w:val="00512FDC"/>
    <w:rsid w:val="00513EF2"/>
    <w:rsid w:val="005142DD"/>
    <w:rsid w:val="005146B5"/>
    <w:rsid w:val="00514BA4"/>
    <w:rsid w:val="00514BC1"/>
    <w:rsid w:val="00514E0B"/>
    <w:rsid w:val="005150C3"/>
    <w:rsid w:val="00515A4B"/>
    <w:rsid w:val="00516CA9"/>
    <w:rsid w:val="005170F0"/>
    <w:rsid w:val="005201CE"/>
    <w:rsid w:val="005204C5"/>
    <w:rsid w:val="005209AE"/>
    <w:rsid w:val="00521110"/>
    <w:rsid w:val="0052171F"/>
    <w:rsid w:val="00521761"/>
    <w:rsid w:val="00522317"/>
    <w:rsid w:val="00522778"/>
    <w:rsid w:val="00522D28"/>
    <w:rsid w:val="0052305E"/>
    <w:rsid w:val="005236E9"/>
    <w:rsid w:val="00523BFA"/>
    <w:rsid w:val="00523CEE"/>
    <w:rsid w:val="00523D05"/>
    <w:rsid w:val="0052414C"/>
    <w:rsid w:val="00524F1D"/>
    <w:rsid w:val="00525566"/>
    <w:rsid w:val="00525AB9"/>
    <w:rsid w:val="00525F17"/>
    <w:rsid w:val="00526455"/>
    <w:rsid w:val="00526467"/>
    <w:rsid w:val="00526510"/>
    <w:rsid w:val="00527FC5"/>
    <w:rsid w:val="0052EDD6"/>
    <w:rsid w:val="0053002B"/>
    <w:rsid w:val="00530CFA"/>
    <w:rsid w:val="00530F6F"/>
    <w:rsid w:val="0053136A"/>
    <w:rsid w:val="00531584"/>
    <w:rsid w:val="00531E39"/>
    <w:rsid w:val="0053250D"/>
    <w:rsid w:val="005326E5"/>
    <w:rsid w:val="00532A0B"/>
    <w:rsid w:val="00532D61"/>
    <w:rsid w:val="00532E37"/>
    <w:rsid w:val="00534084"/>
    <w:rsid w:val="00534298"/>
    <w:rsid w:val="005345D4"/>
    <w:rsid w:val="00534FD5"/>
    <w:rsid w:val="0053504D"/>
    <w:rsid w:val="005352F4"/>
    <w:rsid w:val="00536036"/>
    <w:rsid w:val="005368BA"/>
    <w:rsid w:val="00536CB7"/>
    <w:rsid w:val="005377E4"/>
    <w:rsid w:val="00537E68"/>
    <w:rsid w:val="0054074E"/>
    <w:rsid w:val="00540CAD"/>
    <w:rsid w:val="005411A6"/>
    <w:rsid w:val="00541269"/>
    <w:rsid w:val="00541355"/>
    <w:rsid w:val="005413BB"/>
    <w:rsid w:val="005421AE"/>
    <w:rsid w:val="005433A7"/>
    <w:rsid w:val="00543C15"/>
    <w:rsid w:val="00544BB1"/>
    <w:rsid w:val="00545A32"/>
    <w:rsid w:val="00545DAC"/>
    <w:rsid w:val="00545F8F"/>
    <w:rsid w:val="005460B9"/>
    <w:rsid w:val="0054620B"/>
    <w:rsid w:val="005465EF"/>
    <w:rsid w:val="00546B79"/>
    <w:rsid w:val="0054718A"/>
    <w:rsid w:val="0054768A"/>
    <w:rsid w:val="00550422"/>
    <w:rsid w:val="0055118F"/>
    <w:rsid w:val="005511CC"/>
    <w:rsid w:val="00551632"/>
    <w:rsid w:val="00551783"/>
    <w:rsid w:val="005519D3"/>
    <w:rsid w:val="005533F3"/>
    <w:rsid w:val="0055355E"/>
    <w:rsid w:val="00553752"/>
    <w:rsid w:val="005537EC"/>
    <w:rsid w:val="00554A1A"/>
    <w:rsid w:val="00555207"/>
    <w:rsid w:val="00556A5C"/>
    <w:rsid w:val="005578B1"/>
    <w:rsid w:val="00557EBA"/>
    <w:rsid w:val="00557FE6"/>
    <w:rsid w:val="0056047D"/>
    <w:rsid w:val="005606A7"/>
    <w:rsid w:val="00560CD7"/>
    <w:rsid w:val="00561A87"/>
    <w:rsid w:val="00561B39"/>
    <w:rsid w:val="00561D21"/>
    <w:rsid w:val="005621F3"/>
    <w:rsid w:val="00562B40"/>
    <w:rsid w:val="005641EC"/>
    <w:rsid w:val="00564AF9"/>
    <w:rsid w:val="00564FEE"/>
    <w:rsid w:val="005659DB"/>
    <w:rsid w:val="0056676B"/>
    <w:rsid w:val="0056771D"/>
    <w:rsid w:val="0056785A"/>
    <w:rsid w:val="00567B70"/>
    <w:rsid w:val="00567CBC"/>
    <w:rsid w:val="00570310"/>
    <w:rsid w:val="00570990"/>
    <w:rsid w:val="00570C2A"/>
    <w:rsid w:val="00570C56"/>
    <w:rsid w:val="00570FBB"/>
    <w:rsid w:val="005711FE"/>
    <w:rsid w:val="00571280"/>
    <w:rsid w:val="005718E2"/>
    <w:rsid w:val="00571B94"/>
    <w:rsid w:val="00571DB0"/>
    <w:rsid w:val="005724A4"/>
    <w:rsid w:val="0057262B"/>
    <w:rsid w:val="00572648"/>
    <w:rsid w:val="00572694"/>
    <w:rsid w:val="0057292E"/>
    <w:rsid w:val="00573A21"/>
    <w:rsid w:val="00573BB8"/>
    <w:rsid w:val="00573E90"/>
    <w:rsid w:val="00574A30"/>
    <w:rsid w:val="00574C98"/>
    <w:rsid w:val="00575262"/>
    <w:rsid w:val="005752F9"/>
    <w:rsid w:val="00575375"/>
    <w:rsid w:val="005762AE"/>
    <w:rsid w:val="0057654F"/>
    <w:rsid w:val="005769CF"/>
    <w:rsid w:val="00576C09"/>
    <w:rsid w:val="00577616"/>
    <w:rsid w:val="00577676"/>
    <w:rsid w:val="00577B3C"/>
    <w:rsid w:val="00580017"/>
    <w:rsid w:val="00580181"/>
    <w:rsid w:val="00580341"/>
    <w:rsid w:val="00581B53"/>
    <w:rsid w:val="00581D53"/>
    <w:rsid w:val="005821A2"/>
    <w:rsid w:val="00582EFF"/>
    <w:rsid w:val="005837E2"/>
    <w:rsid w:val="0058394D"/>
    <w:rsid w:val="00584816"/>
    <w:rsid w:val="00584885"/>
    <w:rsid w:val="00584FD7"/>
    <w:rsid w:val="00585012"/>
    <w:rsid w:val="00585277"/>
    <w:rsid w:val="005858C6"/>
    <w:rsid w:val="00585C20"/>
    <w:rsid w:val="00585CBC"/>
    <w:rsid w:val="0058617C"/>
    <w:rsid w:val="00586719"/>
    <w:rsid w:val="00587244"/>
    <w:rsid w:val="005879E4"/>
    <w:rsid w:val="00590617"/>
    <w:rsid w:val="0059090A"/>
    <w:rsid w:val="0059105D"/>
    <w:rsid w:val="00591D76"/>
    <w:rsid w:val="0059207D"/>
    <w:rsid w:val="005927AA"/>
    <w:rsid w:val="00592D3E"/>
    <w:rsid w:val="005937C6"/>
    <w:rsid w:val="00593C53"/>
    <w:rsid w:val="00593F7D"/>
    <w:rsid w:val="00594351"/>
    <w:rsid w:val="0059552A"/>
    <w:rsid w:val="00596A4C"/>
    <w:rsid w:val="00596E18"/>
    <w:rsid w:val="00596FCE"/>
    <w:rsid w:val="0059798C"/>
    <w:rsid w:val="005A0875"/>
    <w:rsid w:val="005A0E8C"/>
    <w:rsid w:val="005A138B"/>
    <w:rsid w:val="005A13FA"/>
    <w:rsid w:val="005A1BB9"/>
    <w:rsid w:val="005A2319"/>
    <w:rsid w:val="005A2938"/>
    <w:rsid w:val="005A371A"/>
    <w:rsid w:val="005A3FD3"/>
    <w:rsid w:val="005A41C5"/>
    <w:rsid w:val="005A4A48"/>
    <w:rsid w:val="005A5686"/>
    <w:rsid w:val="005A56C9"/>
    <w:rsid w:val="005A65A8"/>
    <w:rsid w:val="005A6621"/>
    <w:rsid w:val="005A6B40"/>
    <w:rsid w:val="005A7197"/>
    <w:rsid w:val="005A71DA"/>
    <w:rsid w:val="005A72C9"/>
    <w:rsid w:val="005A7CF4"/>
    <w:rsid w:val="005A7E21"/>
    <w:rsid w:val="005B00D7"/>
    <w:rsid w:val="005B089C"/>
    <w:rsid w:val="005B0DE1"/>
    <w:rsid w:val="005B0FB7"/>
    <w:rsid w:val="005B1112"/>
    <w:rsid w:val="005B1C0A"/>
    <w:rsid w:val="005B1CBB"/>
    <w:rsid w:val="005B27A8"/>
    <w:rsid w:val="005B282E"/>
    <w:rsid w:val="005B41DE"/>
    <w:rsid w:val="005B4703"/>
    <w:rsid w:val="005B4D1F"/>
    <w:rsid w:val="005B53B4"/>
    <w:rsid w:val="005B62E9"/>
    <w:rsid w:val="005B6827"/>
    <w:rsid w:val="005B6ADA"/>
    <w:rsid w:val="005B771C"/>
    <w:rsid w:val="005B7EE5"/>
    <w:rsid w:val="005C04E3"/>
    <w:rsid w:val="005C0549"/>
    <w:rsid w:val="005C06EB"/>
    <w:rsid w:val="005C0983"/>
    <w:rsid w:val="005C0984"/>
    <w:rsid w:val="005C0D53"/>
    <w:rsid w:val="005C0F58"/>
    <w:rsid w:val="005C0FBC"/>
    <w:rsid w:val="005C111D"/>
    <w:rsid w:val="005C1FE3"/>
    <w:rsid w:val="005C2AA4"/>
    <w:rsid w:val="005C2E44"/>
    <w:rsid w:val="005C3985"/>
    <w:rsid w:val="005C40D0"/>
    <w:rsid w:val="005C46CA"/>
    <w:rsid w:val="005C4ABC"/>
    <w:rsid w:val="005C4E50"/>
    <w:rsid w:val="005C55CF"/>
    <w:rsid w:val="005C5B47"/>
    <w:rsid w:val="005C5DB4"/>
    <w:rsid w:val="005C5E12"/>
    <w:rsid w:val="005C772E"/>
    <w:rsid w:val="005C7D5A"/>
    <w:rsid w:val="005C7DEF"/>
    <w:rsid w:val="005D01C6"/>
    <w:rsid w:val="005D03E3"/>
    <w:rsid w:val="005D0E4B"/>
    <w:rsid w:val="005D182C"/>
    <w:rsid w:val="005D1A66"/>
    <w:rsid w:val="005D1DAE"/>
    <w:rsid w:val="005D1EF9"/>
    <w:rsid w:val="005D1F98"/>
    <w:rsid w:val="005D23B3"/>
    <w:rsid w:val="005D27CA"/>
    <w:rsid w:val="005D281C"/>
    <w:rsid w:val="005D29B5"/>
    <w:rsid w:val="005D3621"/>
    <w:rsid w:val="005D38E7"/>
    <w:rsid w:val="005D3FA7"/>
    <w:rsid w:val="005D4263"/>
    <w:rsid w:val="005D4C64"/>
    <w:rsid w:val="005D59CC"/>
    <w:rsid w:val="005D6B2A"/>
    <w:rsid w:val="005D6C25"/>
    <w:rsid w:val="005D6E14"/>
    <w:rsid w:val="005D6EDE"/>
    <w:rsid w:val="005D7504"/>
    <w:rsid w:val="005D7533"/>
    <w:rsid w:val="005E08E7"/>
    <w:rsid w:val="005E11C8"/>
    <w:rsid w:val="005E1251"/>
    <w:rsid w:val="005E1DB4"/>
    <w:rsid w:val="005E2B39"/>
    <w:rsid w:val="005E3F30"/>
    <w:rsid w:val="005E445F"/>
    <w:rsid w:val="005E48C7"/>
    <w:rsid w:val="005E4CE7"/>
    <w:rsid w:val="005E4FD3"/>
    <w:rsid w:val="005E533F"/>
    <w:rsid w:val="005F0042"/>
    <w:rsid w:val="005F0E94"/>
    <w:rsid w:val="005F2082"/>
    <w:rsid w:val="005F3467"/>
    <w:rsid w:val="005F38D0"/>
    <w:rsid w:val="005F4CF1"/>
    <w:rsid w:val="005F4F0D"/>
    <w:rsid w:val="005F563A"/>
    <w:rsid w:val="005F635C"/>
    <w:rsid w:val="005F7DA6"/>
    <w:rsid w:val="006008F3"/>
    <w:rsid w:val="00600D6B"/>
    <w:rsid w:val="00600E6D"/>
    <w:rsid w:val="00600F37"/>
    <w:rsid w:val="006025E0"/>
    <w:rsid w:val="0060285D"/>
    <w:rsid w:val="00602980"/>
    <w:rsid w:val="00602E78"/>
    <w:rsid w:val="006048A6"/>
    <w:rsid w:val="00604BF3"/>
    <w:rsid w:val="006056B8"/>
    <w:rsid w:val="00606970"/>
    <w:rsid w:val="0060697A"/>
    <w:rsid w:val="00606A86"/>
    <w:rsid w:val="00610B35"/>
    <w:rsid w:val="00611778"/>
    <w:rsid w:val="006118F2"/>
    <w:rsid w:val="00611AFD"/>
    <w:rsid w:val="00611B6B"/>
    <w:rsid w:val="00611C38"/>
    <w:rsid w:val="0061278C"/>
    <w:rsid w:val="00612977"/>
    <w:rsid w:val="00613E4E"/>
    <w:rsid w:val="006140A9"/>
    <w:rsid w:val="00614951"/>
    <w:rsid w:val="00614A4C"/>
    <w:rsid w:val="00614B94"/>
    <w:rsid w:val="00615A3F"/>
    <w:rsid w:val="00615EBA"/>
    <w:rsid w:val="0061624D"/>
    <w:rsid w:val="00616633"/>
    <w:rsid w:val="006169A2"/>
    <w:rsid w:val="0061725D"/>
    <w:rsid w:val="0061734E"/>
    <w:rsid w:val="006174F6"/>
    <w:rsid w:val="006175CC"/>
    <w:rsid w:val="006200F1"/>
    <w:rsid w:val="0062086A"/>
    <w:rsid w:val="00621243"/>
    <w:rsid w:val="00621D2B"/>
    <w:rsid w:val="0062200B"/>
    <w:rsid w:val="00622014"/>
    <w:rsid w:val="00622566"/>
    <w:rsid w:val="00622B92"/>
    <w:rsid w:val="00622F37"/>
    <w:rsid w:val="0062333D"/>
    <w:rsid w:val="00623A56"/>
    <w:rsid w:val="0062414B"/>
    <w:rsid w:val="006241AB"/>
    <w:rsid w:val="006242A0"/>
    <w:rsid w:val="00624446"/>
    <w:rsid w:val="006251CD"/>
    <w:rsid w:val="006258EA"/>
    <w:rsid w:val="0062594C"/>
    <w:rsid w:val="00625C00"/>
    <w:rsid w:val="00625D58"/>
    <w:rsid w:val="0062634D"/>
    <w:rsid w:val="0062676F"/>
    <w:rsid w:val="00626C57"/>
    <w:rsid w:val="006277E7"/>
    <w:rsid w:val="006278C2"/>
    <w:rsid w:val="00627EFD"/>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D0A"/>
    <w:rsid w:val="006421CD"/>
    <w:rsid w:val="00642324"/>
    <w:rsid w:val="00642554"/>
    <w:rsid w:val="006425C8"/>
    <w:rsid w:val="006433A7"/>
    <w:rsid w:val="006433DC"/>
    <w:rsid w:val="00643A50"/>
    <w:rsid w:val="00643F00"/>
    <w:rsid w:val="00643F30"/>
    <w:rsid w:val="00644206"/>
    <w:rsid w:val="006443D7"/>
    <w:rsid w:val="0064445B"/>
    <w:rsid w:val="00644CC4"/>
    <w:rsid w:val="0064501E"/>
    <w:rsid w:val="00645410"/>
    <w:rsid w:val="006465C8"/>
    <w:rsid w:val="00647A67"/>
    <w:rsid w:val="00647A98"/>
    <w:rsid w:val="00647D76"/>
    <w:rsid w:val="006504D4"/>
    <w:rsid w:val="006505FC"/>
    <w:rsid w:val="00650A05"/>
    <w:rsid w:val="00652DF7"/>
    <w:rsid w:val="00653432"/>
    <w:rsid w:val="006534DC"/>
    <w:rsid w:val="00653C5B"/>
    <w:rsid w:val="00654A4A"/>
    <w:rsid w:val="00654A98"/>
    <w:rsid w:val="00654EF9"/>
    <w:rsid w:val="00655325"/>
    <w:rsid w:val="006553CE"/>
    <w:rsid w:val="00655A34"/>
    <w:rsid w:val="00656355"/>
    <w:rsid w:val="006564FA"/>
    <w:rsid w:val="006567C6"/>
    <w:rsid w:val="00657C98"/>
    <w:rsid w:val="0066002F"/>
    <w:rsid w:val="0066079A"/>
    <w:rsid w:val="00660B1C"/>
    <w:rsid w:val="00660B23"/>
    <w:rsid w:val="00660CDF"/>
    <w:rsid w:val="006610D6"/>
    <w:rsid w:val="006618E5"/>
    <w:rsid w:val="0066307D"/>
    <w:rsid w:val="00663255"/>
    <w:rsid w:val="006638F3"/>
    <w:rsid w:val="006641FA"/>
    <w:rsid w:val="006653E5"/>
    <w:rsid w:val="0066572A"/>
    <w:rsid w:val="00666043"/>
    <w:rsid w:val="006660F8"/>
    <w:rsid w:val="006661C7"/>
    <w:rsid w:val="00666B39"/>
    <w:rsid w:val="00666F7F"/>
    <w:rsid w:val="00667216"/>
    <w:rsid w:val="006678AD"/>
    <w:rsid w:val="00667C70"/>
    <w:rsid w:val="00670319"/>
    <w:rsid w:val="0067057F"/>
    <w:rsid w:val="0067063F"/>
    <w:rsid w:val="00670926"/>
    <w:rsid w:val="00671717"/>
    <w:rsid w:val="006725AB"/>
    <w:rsid w:val="006742D3"/>
    <w:rsid w:val="006744D0"/>
    <w:rsid w:val="006746BD"/>
    <w:rsid w:val="00674C62"/>
    <w:rsid w:val="00674D08"/>
    <w:rsid w:val="00675EE7"/>
    <w:rsid w:val="00676053"/>
    <w:rsid w:val="0067619F"/>
    <w:rsid w:val="00676525"/>
    <w:rsid w:val="0067658F"/>
    <w:rsid w:val="006767D9"/>
    <w:rsid w:val="00676BDE"/>
    <w:rsid w:val="00677047"/>
    <w:rsid w:val="00677947"/>
    <w:rsid w:val="006801C4"/>
    <w:rsid w:val="0068078A"/>
    <w:rsid w:val="00680C92"/>
    <w:rsid w:val="006816D0"/>
    <w:rsid w:val="00682C4B"/>
    <w:rsid w:val="00682CE0"/>
    <w:rsid w:val="00682DC7"/>
    <w:rsid w:val="00683032"/>
    <w:rsid w:val="006838A9"/>
    <w:rsid w:val="00684268"/>
    <w:rsid w:val="00684442"/>
    <w:rsid w:val="00684F73"/>
    <w:rsid w:val="0068515E"/>
    <w:rsid w:val="0068621C"/>
    <w:rsid w:val="006864D1"/>
    <w:rsid w:val="00686A64"/>
    <w:rsid w:val="00686DD3"/>
    <w:rsid w:val="006879A8"/>
    <w:rsid w:val="00690BAA"/>
    <w:rsid w:val="00690CD1"/>
    <w:rsid w:val="00690DCA"/>
    <w:rsid w:val="0069160C"/>
    <w:rsid w:val="00691998"/>
    <w:rsid w:val="00691C90"/>
    <w:rsid w:val="00692387"/>
    <w:rsid w:val="00692E1E"/>
    <w:rsid w:val="006937F2"/>
    <w:rsid w:val="006937F8"/>
    <w:rsid w:val="00693847"/>
    <w:rsid w:val="006944F8"/>
    <w:rsid w:val="006949A8"/>
    <w:rsid w:val="00695AFD"/>
    <w:rsid w:val="00695C49"/>
    <w:rsid w:val="006965BB"/>
    <w:rsid w:val="0069690C"/>
    <w:rsid w:val="00696B8C"/>
    <w:rsid w:val="00696BBF"/>
    <w:rsid w:val="00696C5F"/>
    <w:rsid w:val="00697967"/>
    <w:rsid w:val="006A0A81"/>
    <w:rsid w:val="006A13AE"/>
    <w:rsid w:val="006A1DDE"/>
    <w:rsid w:val="006A2A48"/>
    <w:rsid w:val="006A2C34"/>
    <w:rsid w:val="006A2E6E"/>
    <w:rsid w:val="006A3CC5"/>
    <w:rsid w:val="006A4036"/>
    <w:rsid w:val="006A44B1"/>
    <w:rsid w:val="006A46AE"/>
    <w:rsid w:val="006A4731"/>
    <w:rsid w:val="006A55B8"/>
    <w:rsid w:val="006A5893"/>
    <w:rsid w:val="006A6285"/>
    <w:rsid w:val="006A70E6"/>
    <w:rsid w:val="006A73F5"/>
    <w:rsid w:val="006A7765"/>
    <w:rsid w:val="006A781B"/>
    <w:rsid w:val="006B08B6"/>
    <w:rsid w:val="006B0B5C"/>
    <w:rsid w:val="006B0D93"/>
    <w:rsid w:val="006B0DC0"/>
    <w:rsid w:val="006B2182"/>
    <w:rsid w:val="006B228B"/>
    <w:rsid w:val="006B2BB8"/>
    <w:rsid w:val="006B2E90"/>
    <w:rsid w:val="006B310E"/>
    <w:rsid w:val="006B3B57"/>
    <w:rsid w:val="006B3FB3"/>
    <w:rsid w:val="006B45A3"/>
    <w:rsid w:val="006B46BC"/>
    <w:rsid w:val="006B4A6A"/>
    <w:rsid w:val="006B4EC0"/>
    <w:rsid w:val="006B4FEB"/>
    <w:rsid w:val="006B55F5"/>
    <w:rsid w:val="006B5907"/>
    <w:rsid w:val="006B5A79"/>
    <w:rsid w:val="006B5CA4"/>
    <w:rsid w:val="006B5F3A"/>
    <w:rsid w:val="006B5F4A"/>
    <w:rsid w:val="006B6376"/>
    <w:rsid w:val="006B6C5C"/>
    <w:rsid w:val="006B6D63"/>
    <w:rsid w:val="006B74E2"/>
    <w:rsid w:val="006B76E9"/>
    <w:rsid w:val="006B7780"/>
    <w:rsid w:val="006B787B"/>
    <w:rsid w:val="006B7DA9"/>
    <w:rsid w:val="006C01FB"/>
    <w:rsid w:val="006C1CAD"/>
    <w:rsid w:val="006C1FF4"/>
    <w:rsid w:val="006C2522"/>
    <w:rsid w:val="006C27B1"/>
    <w:rsid w:val="006C2A12"/>
    <w:rsid w:val="006C3052"/>
    <w:rsid w:val="006C3199"/>
    <w:rsid w:val="006C3BC5"/>
    <w:rsid w:val="006C4B94"/>
    <w:rsid w:val="006C537C"/>
    <w:rsid w:val="006C547C"/>
    <w:rsid w:val="006C55B8"/>
    <w:rsid w:val="006C5792"/>
    <w:rsid w:val="006C57C4"/>
    <w:rsid w:val="006C5DC0"/>
    <w:rsid w:val="006C60F0"/>
    <w:rsid w:val="006D0044"/>
    <w:rsid w:val="006D02A2"/>
    <w:rsid w:val="006D049E"/>
    <w:rsid w:val="006D06DA"/>
    <w:rsid w:val="006D0AB1"/>
    <w:rsid w:val="006D1662"/>
    <w:rsid w:val="006D37AF"/>
    <w:rsid w:val="006D3A35"/>
    <w:rsid w:val="006D3A88"/>
    <w:rsid w:val="006D40DB"/>
    <w:rsid w:val="006D4D11"/>
    <w:rsid w:val="006D4E6C"/>
    <w:rsid w:val="006D520D"/>
    <w:rsid w:val="006D5602"/>
    <w:rsid w:val="006D5AF7"/>
    <w:rsid w:val="006D7EE6"/>
    <w:rsid w:val="006E014F"/>
    <w:rsid w:val="006E0365"/>
    <w:rsid w:val="006E06DE"/>
    <w:rsid w:val="006E0A53"/>
    <w:rsid w:val="006E1316"/>
    <w:rsid w:val="006E15AC"/>
    <w:rsid w:val="006E19AC"/>
    <w:rsid w:val="006E22EF"/>
    <w:rsid w:val="006E269F"/>
    <w:rsid w:val="006E29F8"/>
    <w:rsid w:val="006E3328"/>
    <w:rsid w:val="006E439B"/>
    <w:rsid w:val="006E58FD"/>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D93"/>
    <w:rsid w:val="006F3156"/>
    <w:rsid w:val="006F3963"/>
    <w:rsid w:val="006F431A"/>
    <w:rsid w:val="006F517F"/>
    <w:rsid w:val="006F6A4F"/>
    <w:rsid w:val="006F6AC2"/>
    <w:rsid w:val="006F79DF"/>
    <w:rsid w:val="006F7F07"/>
    <w:rsid w:val="00700479"/>
    <w:rsid w:val="00700989"/>
    <w:rsid w:val="007021E8"/>
    <w:rsid w:val="00702BFE"/>
    <w:rsid w:val="00704014"/>
    <w:rsid w:val="00704D89"/>
    <w:rsid w:val="00705376"/>
    <w:rsid w:val="007060FD"/>
    <w:rsid w:val="007061AB"/>
    <w:rsid w:val="007064AE"/>
    <w:rsid w:val="00706AA4"/>
    <w:rsid w:val="0070713F"/>
    <w:rsid w:val="00707379"/>
    <w:rsid w:val="007078E8"/>
    <w:rsid w:val="00710BF6"/>
    <w:rsid w:val="00710D5D"/>
    <w:rsid w:val="00710F19"/>
    <w:rsid w:val="00711235"/>
    <w:rsid w:val="0071159C"/>
    <w:rsid w:val="0071195B"/>
    <w:rsid w:val="0071264F"/>
    <w:rsid w:val="00712687"/>
    <w:rsid w:val="007126F0"/>
    <w:rsid w:val="0071270F"/>
    <w:rsid w:val="00713380"/>
    <w:rsid w:val="00713E4F"/>
    <w:rsid w:val="00714491"/>
    <w:rsid w:val="00714A0C"/>
    <w:rsid w:val="00714BB5"/>
    <w:rsid w:val="0071560B"/>
    <w:rsid w:val="007159D9"/>
    <w:rsid w:val="00715DA1"/>
    <w:rsid w:val="00715F7F"/>
    <w:rsid w:val="00716078"/>
    <w:rsid w:val="00716AAA"/>
    <w:rsid w:val="007171BD"/>
    <w:rsid w:val="0071756E"/>
    <w:rsid w:val="00717ADB"/>
    <w:rsid w:val="007206A2"/>
    <w:rsid w:val="00720F28"/>
    <w:rsid w:val="0072130B"/>
    <w:rsid w:val="00721A9D"/>
    <w:rsid w:val="007220C4"/>
    <w:rsid w:val="00722C49"/>
    <w:rsid w:val="00722D82"/>
    <w:rsid w:val="00723B76"/>
    <w:rsid w:val="00724047"/>
    <w:rsid w:val="0072496D"/>
    <w:rsid w:val="007265D1"/>
    <w:rsid w:val="0072672B"/>
    <w:rsid w:val="00726B0E"/>
    <w:rsid w:val="00726E46"/>
    <w:rsid w:val="0072758D"/>
    <w:rsid w:val="007275D5"/>
    <w:rsid w:val="00727A13"/>
    <w:rsid w:val="00727E6D"/>
    <w:rsid w:val="007307D2"/>
    <w:rsid w:val="00730CCA"/>
    <w:rsid w:val="0073221E"/>
    <w:rsid w:val="007328C1"/>
    <w:rsid w:val="007331A7"/>
    <w:rsid w:val="00733541"/>
    <w:rsid w:val="007335B6"/>
    <w:rsid w:val="007339CE"/>
    <w:rsid w:val="00734B03"/>
    <w:rsid w:val="00734B6A"/>
    <w:rsid w:val="007359CC"/>
    <w:rsid w:val="0073692F"/>
    <w:rsid w:val="00736954"/>
    <w:rsid w:val="00737645"/>
    <w:rsid w:val="00737858"/>
    <w:rsid w:val="007379A3"/>
    <w:rsid w:val="007408F8"/>
    <w:rsid w:val="00742122"/>
    <w:rsid w:val="007424D3"/>
    <w:rsid w:val="00742D4E"/>
    <w:rsid w:val="007435D3"/>
    <w:rsid w:val="0074399B"/>
    <w:rsid w:val="00743F9E"/>
    <w:rsid w:val="00744365"/>
    <w:rsid w:val="00744E86"/>
    <w:rsid w:val="007458E1"/>
    <w:rsid w:val="007459F9"/>
    <w:rsid w:val="00745CD8"/>
    <w:rsid w:val="00745FCF"/>
    <w:rsid w:val="00746359"/>
    <w:rsid w:val="00746A79"/>
    <w:rsid w:val="00746E92"/>
    <w:rsid w:val="0074745E"/>
    <w:rsid w:val="00750D11"/>
    <w:rsid w:val="00750ED7"/>
    <w:rsid w:val="00751160"/>
    <w:rsid w:val="00753428"/>
    <w:rsid w:val="00753A00"/>
    <w:rsid w:val="00753F42"/>
    <w:rsid w:val="00754131"/>
    <w:rsid w:val="00754978"/>
    <w:rsid w:val="00754A74"/>
    <w:rsid w:val="00754A77"/>
    <w:rsid w:val="00754B21"/>
    <w:rsid w:val="007550B0"/>
    <w:rsid w:val="007552E9"/>
    <w:rsid w:val="00755C00"/>
    <w:rsid w:val="0075603A"/>
    <w:rsid w:val="00756723"/>
    <w:rsid w:val="00756A03"/>
    <w:rsid w:val="0075753F"/>
    <w:rsid w:val="007577A9"/>
    <w:rsid w:val="0075799C"/>
    <w:rsid w:val="00757AEE"/>
    <w:rsid w:val="00757B48"/>
    <w:rsid w:val="0076011F"/>
    <w:rsid w:val="007601DA"/>
    <w:rsid w:val="00761C5A"/>
    <w:rsid w:val="00763062"/>
    <w:rsid w:val="00764B16"/>
    <w:rsid w:val="00764E75"/>
    <w:rsid w:val="0076562D"/>
    <w:rsid w:val="00765D16"/>
    <w:rsid w:val="00766E39"/>
    <w:rsid w:val="00767586"/>
    <w:rsid w:val="00767949"/>
    <w:rsid w:val="007679AB"/>
    <w:rsid w:val="007679EC"/>
    <w:rsid w:val="00767C09"/>
    <w:rsid w:val="00770478"/>
    <w:rsid w:val="00770665"/>
    <w:rsid w:val="007706CC"/>
    <w:rsid w:val="00770B10"/>
    <w:rsid w:val="0077116C"/>
    <w:rsid w:val="00771890"/>
    <w:rsid w:val="0077193A"/>
    <w:rsid w:val="00771C0E"/>
    <w:rsid w:val="00772383"/>
    <w:rsid w:val="00772877"/>
    <w:rsid w:val="00772F2B"/>
    <w:rsid w:val="00773143"/>
    <w:rsid w:val="0077339C"/>
    <w:rsid w:val="00773E7D"/>
    <w:rsid w:val="00773ECF"/>
    <w:rsid w:val="00773F0D"/>
    <w:rsid w:val="00774D8A"/>
    <w:rsid w:val="0077525E"/>
    <w:rsid w:val="00775734"/>
    <w:rsid w:val="00775824"/>
    <w:rsid w:val="00775841"/>
    <w:rsid w:val="0077658C"/>
    <w:rsid w:val="00776CEE"/>
    <w:rsid w:val="007770FC"/>
    <w:rsid w:val="00777148"/>
    <w:rsid w:val="0077757C"/>
    <w:rsid w:val="00777CB4"/>
    <w:rsid w:val="007807D7"/>
    <w:rsid w:val="00780E85"/>
    <w:rsid w:val="007814C5"/>
    <w:rsid w:val="00781AF1"/>
    <w:rsid w:val="007820D4"/>
    <w:rsid w:val="00782F07"/>
    <w:rsid w:val="00783514"/>
    <w:rsid w:val="00783E3B"/>
    <w:rsid w:val="00784D05"/>
    <w:rsid w:val="00785270"/>
    <w:rsid w:val="007855E7"/>
    <w:rsid w:val="007856B2"/>
    <w:rsid w:val="00785715"/>
    <w:rsid w:val="00785D0A"/>
    <w:rsid w:val="00786847"/>
    <w:rsid w:val="00787710"/>
    <w:rsid w:val="00787ADE"/>
    <w:rsid w:val="007910E5"/>
    <w:rsid w:val="00791B91"/>
    <w:rsid w:val="007921DC"/>
    <w:rsid w:val="00792DA3"/>
    <w:rsid w:val="00793710"/>
    <w:rsid w:val="0079375E"/>
    <w:rsid w:val="00793CC1"/>
    <w:rsid w:val="0079408B"/>
    <w:rsid w:val="00794231"/>
    <w:rsid w:val="00795547"/>
    <w:rsid w:val="00795735"/>
    <w:rsid w:val="00795E43"/>
    <w:rsid w:val="0079614C"/>
    <w:rsid w:val="00796193"/>
    <w:rsid w:val="00796386"/>
    <w:rsid w:val="007963F7"/>
    <w:rsid w:val="00796D5A"/>
    <w:rsid w:val="00797116"/>
    <w:rsid w:val="00797171"/>
    <w:rsid w:val="00797393"/>
    <w:rsid w:val="00797E07"/>
    <w:rsid w:val="007A0390"/>
    <w:rsid w:val="007A04C2"/>
    <w:rsid w:val="007A0B0C"/>
    <w:rsid w:val="007A0B2E"/>
    <w:rsid w:val="007A0E14"/>
    <w:rsid w:val="007A17AF"/>
    <w:rsid w:val="007A1CC7"/>
    <w:rsid w:val="007A20DA"/>
    <w:rsid w:val="007A2420"/>
    <w:rsid w:val="007A431F"/>
    <w:rsid w:val="007A45C4"/>
    <w:rsid w:val="007A556F"/>
    <w:rsid w:val="007A6263"/>
    <w:rsid w:val="007A6268"/>
    <w:rsid w:val="007A678E"/>
    <w:rsid w:val="007A6856"/>
    <w:rsid w:val="007A778B"/>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684"/>
    <w:rsid w:val="007B3840"/>
    <w:rsid w:val="007B45F8"/>
    <w:rsid w:val="007B54A2"/>
    <w:rsid w:val="007B5B96"/>
    <w:rsid w:val="007B5C7E"/>
    <w:rsid w:val="007B5D7E"/>
    <w:rsid w:val="007B6F4C"/>
    <w:rsid w:val="007B7393"/>
    <w:rsid w:val="007B77BE"/>
    <w:rsid w:val="007B7C75"/>
    <w:rsid w:val="007C0180"/>
    <w:rsid w:val="007C0A96"/>
    <w:rsid w:val="007C1711"/>
    <w:rsid w:val="007C1BD8"/>
    <w:rsid w:val="007C208E"/>
    <w:rsid w:val="007C213D"/>
    <w:rsid w:val="007C2832"/>
    <w:rsid w:val="007C2C81"/>
    <w:rsid w:val="007C3C06"/>
    <w:rsid w:val="007C41D6"/>
    <w:rsid w:val="007C44F7"/>
    <w:rsid w:val="007C48D8"/>
    <w:rsid w:val="007C519F"/>
    <w:rsid w:val="007C5738"/>
    <w:rsid w:val="007C6279"/>
    <w:rsid w:val="007C62BB"/>
    <w:rsid w:val="007C6883"/>
    <w:rsid w:val="007C688A"/>
    <w:rsid w:val="007C6998"/>
    <w:rsid w:val="007C6CEC"/>
    <w:rsid w:val="007C7076"/>
    <w:rsid w:val="007C77BB"/>
    <w:rsid w:val="007C7909"/>
    <w:rsid w:val="007C7DE0"/>
    <w:rsid w:val="007D053E"/>
    <w:rsid w:val="007D068B"/>
    <w:rsid w:val="007D0860"/>
    <w:rsid w:val="007D13F5"/>
    <w:rsid w:val="007D24D0"/>
    <w:rsid w:val="007D2724"/>
    <w:rsid w:val="007D3859"/>
    <w:rsid w:val="007D4449"/>
    <w:rsid w:val="007D4C0A"/>
    <w:rsid w:val="007D4EAE"/>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14E"/>
    <w:rsid w:val="007E230A"/>
    <w:rsid w:val="007E2877"/>
    <w:rsid w:val="007E34AE"/>
    <w:rsid w:val="007E3D24"/>
    <w:rsid w:val="007E4DA4"/>
    <w:rsid w:val="007E4E15"/>
    <w:rsid w:val="007E51ED"/>
    <w:rsid w:val="007E5476"/>
    <w:rsid w:val="007E5D28"/>
    <w:rsid w:val="007E608F"/>
    <w:rsid w:val="007E60A7"/>
    <w:rsid w:val="007E6CA4"/>
    <w:rsid w:val="007E7339"/>
    <w:rsid w:val="007E745D"/>
    <w:rsid w:val="007E7802"/>
    <w:rsid w:val="007E7A06"/>
    <w:rsid w:val="007E7AF6"/>
    <w:rsid w:val="007F09E6"/>
    <w:rsid w:val="007F1385"/>
    <w:rsid w:val="007F1EA9"/>
    <w:rsid w:val="007F1F39"/>
    <w:rsid w:val="007F20DF"/>
    <w:rsid w:val="007F2294"/>
    <w:rsid w:val="007F23CB"/>
    <w:rsid w:val="007F2A0F"/>
    <w:rsid w:val="007F3B85"/>
    <w:rsid w:val="007F4255"/>
    <w:rsid w:val="007F551F"/>
    <w:rsid w:val="007F5C4A"/>
    <w:rsid w:val="007F5CD6"/>
    <w:rsid w:val="007F67EA"/>
    <w:rsid w:val="007F6DBC"/>
    <w:rsid w:val="007F781C"/>
    <w:rsid w:val="007F7A05"/>
    <w:rsid w:val="00800A22"/>
    <w:rsid w:val="00800F4F"/>
    <w:rsid w:val="008011D6"/>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6A7"/>
    <w:rsid w:val="00820747"/>
    <w:rsid w:val="0082079C"/>
    <w:rsid w:val="00820B04"/>
    <w:rsid w:val="008213D2"/>
    <w:rsid w:val="008214AE"/>
    <w:rsid w:val="00821509"/>
    <w:rsid w:val="00821C77"/>
    <w:rsid w:val="008223F6"/>
    <w:rsid w:val="00822948"/>
    <w:rsid w:val="008232A4"/>
    <w:rsid w:val="00823C08"/>
    <w:rsid w:val="00825276"/>
    <w:rsid w:val="00825559"/>
    <w:rsid w:val="00826009"/>
    <w:rsid w:val="0082640B"/>
    <w:rsid w:val="00826C76"/>
    <w:rsid w:val="00826CE6"/>
    <w:rsid w:val="008277BB"/>
    <w:rsid w:val="00827DC9"/>
    <w:rsid w:val="00827DF6"/>
    <w:rsid w:val="00831BBD"/>
    <w:rsid w:val="00831C6F"/>
    <w:rsid w:val="0083217B"/>
    <w:rsid w:val="0083321E"/>
    <w:rsid w:val="00833403"/>
    <w:rsid w:val="00834621"/>
    <w:rsid w:val="00834C4C"/>
    <w:rsid w:val="008352BD"/>
    <w:rsid w:val="008353DF"/>
    <w:rsid w:val="008354B1"/>
    <w:rsid w:val="00835DFD"/>
    <w:rsid w:val="00837742"/>
    <w:rsid w:val="0083EB5B"/>
    <w:rsid w:val="0084022C"/>
    <w:rsid w:val="008402B2"/>
    <w:rsid w:val="0084084F"/>
    <w:rsid w:val="00840D33"/>
    <w:rsid w:val="008425E2"/>
    <w:rsid w:val="00842CC6"/>
    <w:rsid w:val="00843696"/>
    <w:rsid w:val="00843826"/>
    <w:rsid w:val="00843F6D"/>
    <w:rsid w:val="0084477D"/>
    <w:rsid w:val="00845819"/>
    <w:rsid w:val="00845DB8"/>
    <w:rsid w:val="008460C7"/>
    <w:rsid w:val="00846355"/>
    <w:rsid w:val="008468F7"/>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D3D"/>
    <w:rsid w:val="0085412F"/>
    <w:rsid w:val="0085423D"/>
    <w:rsid w:val="008542E8"/>
    <w:rsid w:val="00854405"/>
    <w:rsid w:val="00854698"/>
    <w:rsid w:val="008549FE"/>
    <w:rsid w:val="00854CDE"/>
    <w:rsid w:val="0085517A"/>
    <w:rsid w:val="008552C9"/>
    <w:rsid w:val="00855BA2"/>
    <w:rsid w:val="0085613A"/>
    <w:rsid w:val="00856513"/>
    <w:rsid w:val="008569B7"/>
    <w:rsid w:val="00857048"/>
    <w:rsid w:val="00857D24"/>
    <w:rsid w:val="00858200"/>
    <w:rsid w:val="0086052A"/>
    <w:rsid w:val="008610A7"/>
    <w:rsid w:val="00861539"/>
    <w:rsid w:val="00861C4F"/>
    <w:rsid w:val="00862C34"/>
    <w:rsid w:val="00863791"/>
    <w:rsid w:val="0086381B"/>
    <w:rsid w:val="008638C6"/>
    <w:rsid w:val="00863B18"/>
    <w:rsid w:val="00863CE9"/>
    <w:rsid w:val="00864261"/>
    <w:rsid w:val="00864ED2"/>
    <w:rsid w:val="00865C32"/>
    <w:rsid w:val="00866A7D"/>
    <w:rsid w:val="00866BD1"/>
    <w:rsid w:val="00867BB7"/>
    <w:rsid w:val="00867D48"/>
    <w:rsid w:val="00870112"/>
    <w:rsid w:val="00870678"/>
    <w:rsid w:val="00871C68"/>
    <w:rsid w:val="0087274F"/>
    <w:rsid w:val="00873132"/>
    <w:rsid w:val="00873246"/>
    <w:rsid w:val="008734B2"/>
    <w:rsid w:val="008747E9"/>
    <w:rsid w:val="00874E95"/>
    <w:rsid w:val="008753AB"/>
    <w:rsid w:val="00875964"/>
    <w:rsid w:val="00875BDD"/>
    <w:rsid w:val="00875F42"/>
    <w:rsid w:val="0087612B"/>
    <w:rsid w:val="0087619A"/>
    <w:rsid w:val="00877DC4"/>
    <w:rsid w:val="00880A69"/>
    <w:rsid w:val="008812D9"/>
    <w:rsid w:val="0088159A"/>
    <w:rsid w:val="008821A1"/>
    <w:rsid w:val="0088224D"/>
    <w:rsid w:val="00882451"/>
    <w:rsid w:val="008828FB"/>
    <w:rsid w:val="00882CE0"/>
    <w:rsid w:val="00883497"/>
    <w:rsid w:val="00883A4E"/>
    <w:rsid w:val="00883ECC"/>
    <w:rsid w:val="0088470A"/>
    <w:rsid w:val="00884F70"/>
    <w:rsid w:val="00885431"/>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F3E"/>
    <w:rsid w:val="0089106F"/>
    <w:rsid w:val="00891BD5"/>
    <w:rsid w:val="00892257"/>
    <w:rsid w:val="008925CE"/>
    <w:rsid w:val="0089265C"/>
    <w:rsid w:val="008929DA"/>
    <w:rsid w:val="00893D84"/>
    <w:rsid w:val="0089421A"/>
    <w:rsid w:val="008948A8"/>
    <w:rsid w:val="008955B9"/>
    <w:rsid w:val="00895A88"/>
    <w:rsid w:val="00895B87"/>
    <w:rsid w:val="00896A8D"/>
    <w:rsid w:val="00896E82"/>
    <w:rsid w:val="00897D8D"/>
    <w:rsid w:val="008A0ADF"/>
    <w:rsid w:val="008A1214"/>
    <w:rsid w:val="008A1533"/>
    <w:rsid w:val="008A1A1A"/>
    <w:rsid w:val="008A2AD4"/>
    <w:rsid w:val="008A2C01"/>
    <w:rsid w:val="008A2C0B"/>
    <w:rsid w:val="008A2C3A"/>
    <w:rsid w:val="008A2CFA"/>
    <w:rsid w:val="008A2D48"/>
    <w:rsid w:val="008A2F29"/>
    <w:rsid w:val="008A3843"/>
    <w:rsid w:val="008A41D8"/>
    <w:rsid w:val="008A4978"/>
    <w:rsid w:val="008A4C26"/>
    <w:rsid w:val="008A5772"/>
    <w:rsid w:val="008A5780"/>
    <w:rsid w:val="008A65DD"/>
    <w:rsid w:val="008A6810"/>
    <w:rsid w:val="008A69DD"/>
    <w:rsid w:val="008A7219"/>
    <w:rsid w:val="008A7741"/>
    <w:rsid w:val="008B1830"/>
    <w:rsid w:val="008B1EC2"/>
    <w:rsid w:val="008B2715"/>
    <w:rsid w:val="008B2795"/>
    <w:rsid w:val="008B2FCC"/>
    <w:rsid w:val="008B3698"/>
    <w:rsid w:val="008B3708"/>
    <w:rsid w:val="008B451B"/>
    <w:rsid w:val="008B453D"/>
    <w:rsid w:val="008B45AA"/>
    <w:rsid w:val="008B4CCA"/>
    <w:rsid w:val="008B4D11"/>
    <w:rsid w:val="008B4D94"/>
    <w:rsid w:val="008B50E0"/>
    <w:rsid w:val="008B5829"/>
    <w:rsid w:val="008B6085"/>
    <w:rsid w:val="008B60D1"/>
    <w:rsid w:val="008B6265"/>
    <w:rsid w:val="008B6776"/>
    <w:rsid w:val="008B7852"/>
    <w:rsid w:val="008C097B"/>
    <w:rsid w:val="008C0BEB"/>
    <w:rsid w:val="008C0E49"/>
    <w:rsid w:val="008C1380"/>
    <w:rsid w:val="008C2133"/>
    <w:rsid w:val="008C26F9"/>
    <w:rsid w:val="008C302E"/>
    <w:rsid w:val="008C30E3"/>
    <w:rsid w:val="008C48EE"/>
    <w:rsid w:val="008C50B7"/>
    <w:rsid w:val="008C631F"/>
    <w:rsid w:val="008C69E3"/>
    <w:rsid w:val="008C7191"/>
    <w:rsid w:val="008D0026"/>
    <w:rsid w:val="008D0158"/>
    <w:rsid w:val="008D0681"/>
    <w:rsid w:val="008D07E4"/>
    <w:rsid w:val="008D0B9E"/>
    <w:rsid w:val="008D16D1"/>
    <w:rsid w:val="008D1762"/>
    <w:rsid w:val="008D184E"/>
    <w:rsid w:val="008D1EC6"/>
    <w:rsid w:val="008D22B5"/>
    <w:rsid w:val="008D28D9"/>
    <w:rsid w:val="008D2C1C"/>
    <w:rsid w:val="008D3067"/>
    <w:rsid w:val="008D39EF"/>
    <w:rsid w:val="008D3B69"/>
    <w:rsid w:val="008D43BB"/>
    <w:rsid w:val="008D4CAB"/>
    <w:rsid w:val="008D53FE"/>
    <w:rsid w:val="008D5C85"/>
    <w:rsid w:val="008D5D0E"/>
    <w:rsid w:val="008D620D"/>
    <w:rsid w:val="008D620F"/>
    <w:rsid w:val="008D73E7"/>
    <w:rsid w:val="008D743A"/>
    <w:rsid w:val="008E072F"/>
    <w:rsid w:val="008E0C09"/>
    <w:rsid w:val="008E1118"/>
    <w:rsid w:val="008E120F"/>
    <w:rsid w:val="008E1514"/>
    <w:rsid w:val="008E2556"/>
    <w:rsid w:val="008E379F"/>
    <w:rsid w:val="008E436E"/>
    <w:rsid w:val="008E45F5"/>
    <w:rsid w:val="008E4E12"/>
    <w:rsid w:val="008E4EA9"/>
    <w:rsid w:val="008E6048"/>
    <w:rsid w:val="008E7489"/>
    <w:rsid w:val="008E7AEC"/>
    <w:rsid w:val="008F00FD"/>
    <w:rsid w:val="008F0A10"/>
    <w:rsid w:val="008F104D"/>
    <w:rsid w:val="008F1189"/>
    <w:rsid w:val="008F1548"/>
    <w:rsid w:val="008F1676"/>
    <w:rsid w:val="008F1C8A"/>
    <w:rsid w:val="008F1E49"/>
    <w:rsid w:val="008F2591"/>
    <w:rsid w:val="008F25D2"/>
    <w:rsid w:val="008F2698"/>
    <w:rsid w:val="008F2AED"/>
    <w:rsid w:val="008F30AA"/>
    <w:rsid w:val="008F380F"/>
    <w:rsid w:val="008F3E59"/>
    <w:rsid w:val="008F3EE2"/>
    <w:rsid w:val="008F4095"/>
    <w:rsid w:val="008F40E1"/>
    <w:rsid w:val="008F42B6"/>
    <w:rsid w:val="008F4727"/>
    <w:rsid w:val="008F4752"/>
    <w:rsid w:val="008F4E44"/>
    <w:rsid w:val="008F5426"/>
    <w:rsid w:val="008F58C7"/>
    <w:rsid w:val="008F5A9E"/>
    <w:rsid w:val="008F6308"/>
    <w:rsid w:val="008F64A2"/>
    <w:rsid w:val="008F686B"/>
    <w:rsid w:val="008F6BAC"/>
    <w:rsid w:val="008F6F0D"/>
    <w:rsid w:val="008F7548"/>
    <w:rsid w:val="008F7C0C"/>
    <w:rsid w:val="008F7E93"/>
    <w:rsid w:val="00900720"/>
    <w:rsid w:val="00900B56"/>
    <w:rsid w:val="00901034"/>
    <w:rsid w:val="00901C7F"/>
    <w:rsid w:val="00901CF2"/>
    <w:rsid w:val="0090212C"/>
    <w:rsid w:val="00902297"/>
    <w:rsid w:val="0090252F"/>
    <w:rsid w:val="00903E16"/>
    <w:rsid w:val="009051AA"/>
    <w:rsid w:val="009057D4"/>
    <w:rsid w:val="0090595D"/>
    <w:rsid w:val="00905CBC"/>
    <w:rsid w:val="00907137"/>
    <w:rsid w:val="00910EB6"/>
    <w:rsid w:val="00911699"/>
    <w:rsid w:val="00911C3F"/>
    <w:rsid w:val="00911D02"/>
    <w:rsid w:val="00911D23"/>
    <w:rsid w:val="00912E17"/>
    <w:rsid w:val="00913FBB"/>
    <w:rsid w:val="00914696"/>
    <w:rsid w:val="009150F2"/>
    <w:rsid w:val="009150FC"/>
    <w:rsid w:val="00915EBC"/>
    <w:rsid w:val="00916254"/>
    <w:rsid w:val="00917351"/>
    <w:rsid w:val="00917C60"/>
    <w:rsid w:val="00920085"/>
    <w:rsid w:val="00920827"/>
    <w:rsid w:val="00920B4F"/>
    <w:rsid w:val="00921B57"/>
    <w:rsid w:val="009224AD"/>
    <w:rsid w:val="0092254A"/>
    <w:rsid w:val="00923325"/>
    <w:rsid w:val="00923384"/>
    <w:rsid w:val="009238C0"/>
    <w:rsid w:val="00923EBF"/>
    <w:rsid w:val="0092458C"/>
    <w:rsid w:val="00924976"/>
    <w:rsid w:val="00925657"/>
    <w:rsid w:val="00925B72"/>
    <w:rsid w:val="00925F91"/>
    <w:rsid w:val="009261B2"/>
    <w:rsid w:val="00926458"/>
    <w:rsid w:val="00927739"/>
    <w:rsid w:val="00930669"/>
    <w:rsid w:val="00930961"/>
    <w:rsid w:val="00931CDE"/>
    <w:rsid w:val="00931D3F"/>
    <w:rsid w:val="00932425"/>
    <w:rsid w:val="00932445"/>
    <w:rsid w:val="009324E0"/>
    <w:rsid w:val="00932CB6"/>
    <w:rsid w:val="00933791"/>
    <w:rsid w:val="009338F2"/>
    <w:rsid w:val="00933FAF"/>
    <w:rsid w:val="0093401C"/>
    <w:rsid w:val="00934302"/>
    <w:rsid w:val="0093446E"/>
    <w:rsid w:val="00934BCD"/>
    <w:rsid w:val="00934C1B"/>
    <w:rsid w:val="00934CBB"/>
    <w:rsid w:val="00934DFD"/>
    <w:rsid w:val="009350EA"/>
    <w:rsid w:val="00935DF8"/>
    <w:rsid w:val="00936AF4"/>
    <w:rsid w:val="00937399"/>
    <w:rsid w:val="00937DD0"/>
    <w:rsid w:val="00940359"/>
    <w:rsid w:val="00940675"/>
    <w:rsid w:val="00940F51"/>
    <w:rsid w:val="00941777"/>
    <w:rsid w:val="00941AC2"/>
    <w:rsid w:val="00942057"/>
    <w:rsid w:val="009426DB"/>
    <w:rsid w:val="0094277F"/>
    <w:rsid w:val="00942844"/>
    <w:rsid w:val="00943B4C"/>
    <w:rsid w:val="00943ED0"/>
    <w:rsid w:val="0094405B"/>
    <w:rsid w:val="009444BA"/>
    <w:rsid w:val="0094519B"/>
    <w:rsid w:val="0094538E"/>
    <w:rsid w:val="0094544F"/>
    <w:rsid w:val="00945998"/>
    <w:rsid w:val="00945E33"/>
    <w:rsid w:val="00946ECC"/>
    <w:rsid w:val="009507FC"/>
    <w:rsid w:val="00950992"/>
    <w:rsid w:val="0095120C"/>
    <w:rsid w:val="00951559"/>
    <w:rsid w:val="00951681"/>
    <w:rsid w:val="0095227E"/>
    <w:rsid w:val="009528B8"/>
    <w:rsid w:val="00952CC9"/>
    <w:rsid w:val="00952F38"/>
    <w:rsid w:val="00952FC0"/>
    <w:rsid w:val="00952FDF"/>
    <w:rsid w:val="00952FF6"/>
    <w:rsid w:val="00953233"/>
    <w:rsid w:val="00953666"/>
    <w:rsid w:val="009541AB"/>
    <w:rsid w:val="009548E4"/>
    <w:rsid w:val="0095581C"/>
    <w:rsid w:val="00955C1F"/>
    <w:rsid w:val="00955DF9"/>
    <w:rsid w:val="00955F60"/>
    <w:rsid w:val="009560ED"/>
    <w:rsid w:val="00956305"/>
    <w:rsid w:val="00956564"/>
    <w:rsid w:val="009567EE"/>
    <w:rsid w:val="00957296"/>
    <w:rsid w:val="00957819"/>
    <w:rsid w:val="00960686"/>
    <w:rsid w:val="009606DA"/>
    <w:rsid w:val="0096094E"/>
    <w:rsid w:val="00960A39"/>
    <w:rsid w:val="00960E98"/>
    <w:rsid w:val="009616CF"/>
    <w:rsid w:val="009617E3"/>
    <w:rsid w:val="00961EE2"/>
    <w:rsid w:val="009623D3"/>
    <w:rsid w:val="009633C3"/>
    <w:rsid w:val="00963CD6"/>
    <w:rsid w:val="00963FBC"/>
    <w:rsid w:val="009640C6"/>
    <w:rsid w:val="00964D6B"/>
    <w:rsid w:val="00964E1F"/>
    <w:rsid w:val="00965157"/>
    <w:rsid w:val="0096555C"/>
    <w:rsid w:val="009656B4"/>
    <w:rsid w:val="00965E0D"/>
    <w:rsid w:val="00966671"/>
    <w:rsid w:val="00966747"/>
    <w:rsid w:val="009669F6"/>
    <w:rsid w:val="009673A2"/>
    <w:rsid w:val="0096760F"/>
    <w:rsid w:val="009708AB"/>
    <w:rsid w:val="00970D9F"/>
    <w:rsid w:val="00971855"/>
    <w:rsid w:val="009723D4"/>
    <w:rsid w:val="009724AC"/>
    <w:rsid w:val="009741CE"/>
    <w:rsid w:val="00974E5E"/>
    <w:rsid w:val="009752A3"/>
    <w:rsid w:val="009753A8"/>
    <w:rsid w:val="00976ADB"/>
    <w:rsid w:val="00976DA8"/>
    <w:rsid w:val="00976DAA"/>
    <w:rsid w:val="00976DB6"/>
    <w:rsid w:val="00977439"/>
    <w:rsid w:val="00977936"/>
    <w:rsid w:val="00977BFB"/>
    <w:rsid w:val="00980D04"/>
    <w:rsid w:val="00981285"/>
    <w:rsid w:val="00981737"/>
    <w:rsid w:val="00981FB1"/>
    <w:rsid w:val="00982357"/>
    <w:rsid w:val="009826B5"/>
    <w:rsid w:val="00982C5B"/>
    <w:rsid w:val="0098310A"/>
    <w:rsid w:val="00983282"/>
    <w:rsid w:val="009844F6"/>
    <w:rsid w:val="0098455E"/>
    <w:rsid w:val="00984A80"/>
    <w:rsid w:val="00984B5B"/>
    <w:rsid w:val="00984B81"/>
    <w:rsid w:val="0098557B"/>
    <w:rsid w:val="009864F0"/>
    <w:rsid w:val="00986C2A"/>
    <w:rsid w:val="0098729F"/>
    <w:rsid w:val="009872CC"/>
    <w:rsid w:val="00987791"/>
    <w:rsid w:val="00987BE3"/>
    <w:rsid w:val="00991D83"/>
    <w:rsid w:val="00992A05"/>
    <w:rsid w:val="00992E72"/>
    <w:rsid w:val="00992E78"/>
    <w:rsid w:val="00992FEE"/>
    <w:rsid w:val="009931E3"/>
    <w:rsid w:val="00993523"/>
    <w:rsid w:val="00993D2E"/>
    <w:rsid w:val="009945BE"/>
    <w:rsid w:val="00994D6D"/>
    <w:rsid w:val="00994E85"/>
    <w:rsid w:val="00995271"/>
    <w:rsid w:val="009953BB"/>
    <w:rsid w:val="00995BE6"/>
    <w:rsid w:val="00995FF9"/>
    <w:rsid w:val="00996552"/>
    <w:rsid w:val="009A0673"/>
    <w:rsid w:val="009A0820"/>
    <w:rsid w:val="009A0EC0"/>
    <w:rsid w:val="009A1576"/>
    <w:rsid w:val="009A1B90"/>
    <w:rsid w:val="009A2D34"/>
    <w:rsid w:val="009A3338"/>
    <w:rsid w:val="009A35A4"/>
    <w:rsid w:val="009A397F"/>
    <w:rsid w:val="009A39BE"/>
    <w:rsid w:val="009A3D34"/>
    <w:rsid w:val="009A41F4"/>
    <w:rsid w:val="009A45FB"/>
    <w:rsid w:val="009A4E2D"/>
    <w:rsid w:val="009A5DB1"/>
    <w:rsid w:val="009A603B"/>
    <w:rsid w:val="009A65C2"/>
    <w:rsid w:val="009A7B35"/>
    <w:rsid w:val="009A7EC5"/>
    <w:rsid w:val="009B0360"/>
    <w:rsid w:val="009B04B9"/>
    <w:rsid w:val="009B0A69"/>
    <w:rsid w:val="009B1798"/>
    <w:rsid w:val="009B1FF3"/>
    <w:rsid w:val="009B2282"/>
    <w:rsid w:val="009B2EFD"/>
    <w:rsid w:val="009B306E"/>
    <w:rsid w:val="009B3209"/>
    <w:rsid w:val="009B396B"/>
    <w:rsid w:val="009B3D3B"/>
    <w:rsid w:val="009B4136"/>
    <w:rsid w:val="009B4CBD"/>
    <w:rsid w:val="009B4ECA"/>
    <w:rsid w:val="009B5C11"/>
    <w:rsid w:val="009B6475"/>
    <w:rsid w:val="009B6726"/>
    <w:rsid w:val="009B6989"/>
    <w:rsid w:val="009B6DCF"/>
    <w:rsid w:val="009B7CFE"/>
    <w:rsid w:val="009C158E"/>
    <w:rsid w:val="009C20D9"/>
    <w:rsid w:val="009C2639"/>
    <w:rsid w:val="009C28C5"/>
    <w:rsid w:val="009C2F17"/>
    <w:rsid w:val="009C3766"/>
    <w:rsid w:val="009C4148"/>
    <w:rsid w:val="009C4488"/>
    <w:rsid w:val="009C4B45"/>
    <w:rsid w:val="009C4D1A"/>
    <w:rsid w:val="009C51A9"/>
    <w:rsid w:val="009C5DE5"/>
    <w:rsid w:val="009C627C"/>
    <w:rsid w:val="009C6603"/>
    <w:rsid w:val="009C6D4A"/>
    <w:rsid w:val="009D06C4"/>
    <w:rsid w:val="009D090E"/>
    <w:rsid w:val="009D1171"/>
    <w:rsid w:val="009D1383"/>
    <w:rsid w:val="009D1893"/>
    <w:rsid w:val="009D1DC2"/>
    <w:rsid w:val="009D233E"/>
    <w:rsid w:val="009D2765"/>
    <w:rsid w:val="009D2918"/>
    <w:rsid w:val="009D2AC6"/>
    <w:rsid w:val="009D2CA5"/>
    <w:rsid w:val="009D3823"/>
    <w:rsid w:val="009D4009"/>
    <w:rsid w:val="009D4512"/>
    <w:rsid w:val="009D48CF"/>
    <w:rsid w:val="009D4FF6"/>
    <w:rsid w:val="009D5334"/>
    <w:rsid w:val="009D55A2"/>
    <w:rsid w:val="009D5BAB"/>
    <w:rsid w:val="009D7F47"/>
    <w:rsid w:val="009E0267"/>
    <w:rsid w:val="009E148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FD5"/>
    <w:rsid w:val="009F0181"/>
    <w:rsid w:val="009F0835"/>
    <w:rsid w:val="009F0C2E"/>
    <w:rsid w:val="009F0D52"/>
    <w:rsid w:val="009F0E31"/>
    <w:rsid w:val="009F123A"/>
    <w:rsid w:val="009F16CC"/>
    <w:rsid w:val="009F1915"/>
    <w:rsid w:val="009F1E80"/>
    <w:rsid w:val="009F1F1B"/>
    <w:rsid w:val="009F223B"/>
    <w:rsid w:val="009F2A67"/>
    <w:rsid w:val="009F2BBA"/>
    <w:rsid w:val="009F320A"/>
    <w:rsid w:val="009F3401"/>
    <w:rsid w:val="009F3E6B"/>
    <w:rsid w:val="009F47A6"/>
    <w:rsid w:val="009F485E"/>
    <w:rsid w:val="009F4F07"/>
    <w:rsid w:val="009F5A85"/>
    <w:rsid w:val="009F5C35"/>
    <w:rsid w:val="009F6178"/>
    <w:rsid w:val="009F6192"/>
    <w:rsid w:val="009F6317"/>
    <w:rsid w:val="009F6A3F"/>
    <w:rsid w:val="009F6D5D"/>
    <w:rsid w:val="009F7404"/>
    <w:rsid w:val="009F78FB"/>
    <w:rsid w:val="00A003DC"/>
    <w:rsid w:val="00A0069D"/>
    <w:rsid w:val="00A01038"/>
    <w:rsid w:val="00A01C8C"/>
    <w:rsid w:val="00A025A4"/>
    <w:rsid w:val="00A03811"/>
    <w:rsid w:val="00A0385C"/>
    <w:rsid w:val="00A03894"/>
    <w:rsid w:val="00A05011"/>
    <w:rsid w:val="00A0596D"/>
    <w:rsid w:val="00A05D69"/>
    <w:rsid w:val="00A05F66"/>
    <w:rsid w:val="00A060FA"/>
    <w:rsid w:val="00A0629B"/>
    <w:rsid w:val="00A0684D"/>
    <w:rsid w:val="00A06947"/>
    <w:rsid w:val="00A07A4E"/>
    <w:rsid w:val="00A07B1B"/>
    <w:rsid w:val="00A10357"/>
    <w:rsid w:val="00A1085F"/>
    <w:rsid w:val="00A10CFE"/>
    <w:rsid w:val="00A10F95"/>
    <w:rsid w:val="00A12D4A"/>
    <w:rsid w:val="00A1323B"/>
    <w:rsid w:val="00A13366"/>
    <w:rsid w:val="00A14388"/>
    <w:rsid w:val="00A14610"/>
    <w:rsid w:val="00A14658"/>
    <w:rsid w:val="00A14B4A"/>
    <w:rsid w:val="00A14E24"/>
    <w:rsid w:val="00A15A61"/>
    <w:rsid w:val="00A15ADE"/>
    <w:rsid w:val="00A16F2F"/>
    <w:rsid w:val="00A17597"/>
    <w:rsid w:val="00A1772B"/>
    <w:rsid w:val="00A177D1"/>
    <w:rsid w:val="00A1791C"/>
    <w:rsid w:val="00A1797A"/>
    <w:rsid w:val="00A17A27"/>
    <w:rsid w:val="00A17C46"/>
    <w:rsid w:val="00A20192"/>
    <w:rsid w:val="00A205C0"/>
    <w:rsid w:val="00A20762"/>
    <w:rsid w:val="00A20823"/>
    <w:rsid w:val="00A20BA8"/>
    <w:rsid w:val="00A20D13"/>
    <w:rsid w:val="00A21866"/>
    <w:rsid w:val="00A21C39"/>
    <w:rsid w:val="00A2205E"/>
    <w:rsid w:val="00A2313B"/>
    <w:rsid w:val="00A23389"/>
    <w:rsid w:val="00A233E3"/>
    <w:rsid w:val="00A23EE2"/>
    <w:rsid w:val="00A2413A"/>
    <w:rsid w:val="00A2455D"/>
    <w:rsid w:val="00A24FAD"/>
    <w:rsid w:val="00A25958"/>
    <w:rsid w:val="00A25F49"/>
    <w:rsid w:val="00A260FA"/>
    <w:rsid w:val="00A266E1"/>
    <w:rsid w:val="00A26840"/>
    <w:rsid w:val="00A26B87"/>
    <w:rsid w:val="00A2760E"/>
    <w:rsid w:val="00A27B69"/>
    <w:rsid w:val="00A300A3"/>
    <w:rsid w:val="00A31A1D"/>
    <w:rsid w:val="00A31C67"/>
    <w:rsid w:val="00A31C8C"/>
    <w:rsid w:val="00A31F1F"/>
    <w:rsid w:val="00A3281D"/>
    <w:rsid w:val="00A32A2D"/>
    <w:rsid w:val="00A33B4C"/>
    <w:rsid w:val="00A34125"/>
    <w:rsid w:val="00A35319"/>
    <w:rsid w:val="00A355CE"/>
    <w:rsid w:val="00A360A2"/>
    <w:rsid w:val="00A366AA"/>
    <w:rsid w:val="00A36980"/>
    <w:rsid w:val="00A37273"/>
    <w:rsid w:val="00A37EB4"/>
    <w:rsid w:val="00A400FC"/>
    <w:rsid w:val="00A4010D"/>
    <w:rsid w:val="00A40650"/>
    <w:rsid w:val="00A4066E"/>
    <w:rsid w:val="00A412C0"/>
    <w:rsid w:val="00A41766"/>
    <w:rsid w:val="00A4200D"/>
    <w:rsid w:val="00A4215B"/>
    <w:rsid w:val="00A42763"/>
    <w:rsid w:val="00A4278A"/>
    <w:rsid w:val="00A4291F"/>
    <w:rsid w:val="00A42E95"/>
    <w:rsid w:val="00A435C2"/>
    <w:rsid w:val="00A43AC1"/>
    <w:rsid w:val="00A43B61"/>
    <w:rsid w:val="00A43E95"/>
    <w:rsid w:val="00A445DB"/>
    <w:rsid w:val="00A4470F"/>
    <w:rsid w:val="00A448E9"/>
    <w:rsid w:val="00A44BC5"/>
    <w:rsid w:val="00A455A0"/>
    <w:rsid w:val="00A46090"/>
    <w:rsid w:val="00A46E92"/>
    <w:rsid w:val="00A47662"/>
    <w:rsid w:val="00A47A10"/>
    <w:rsid w:val="00A47A54"/>
    <w:rsid w:val="00A47CEC"/>
    <w:rsid w:val="00A47D62"/>
    <w:rsid w:val="00A50433"/>
    <w:rsid w:val="00A5095F"/>
    <w:rsid w:val="00A50B80"/>
    <w:rsid w:val="00A50EF9"/>
    <w:rsid w:val="00A51743"/>
    <w:rsid w:val="00A51B29"/>
    <w:rsid w:val="00A51CCB"/>
    <w:rsid w:val="00A521A0"/>
    <w:rsid w:val="00A52B0C"/>
    <w:rsid w:val="00A53497"/>
    <w:rsid w:val="00A5355A"/>
    <w:rsid w:val="00A53776"/>
    <w:rsid w:val="00A53E3B"/>
    <w:rsid w:val="00A54301"/>
    <w:rsid w:val="00A54975"/>
    <w:rsid w:val="00A54A3C"/>
    <w:rsid w:val="00A54D80"/>
    <w:rsid w:val="00A54E94"/>
    <w:rsid w:val="00A55C37"/>
    <w:rsid w:val="00A55ED4"/>
    <w:rsid w:val="00A5644E"/>
    <w:rsid w:val="00A564B6"/>
    <w:rsid w:val="00A56883"/>
    <w:rsid w:val="00A569A6"/>
    <w:rsid w:val="00A56D97"/>
    <w:rsid w:val="00A57051"/>
    <w:rsid w:val="00A57768"/>
    <w:rsid w:val="00A578F9"/>
    <w:rsid w:val="00A57D5B"/>
    <w:rsid w:val="00A6117A"/>
    <w:rsid w:val="00A6136B"/>
    <w:rsid w:val="00A61487"/>
    <w:rsid w:val="00A61689"/>
    <w:rsid w:val="00A61A7E"/>
    <w:rsid w:val="00A61D1C"/>
    <w:rsid w:val="00A62007"/>
    <w:rsid w:val="00A626D7"/>
    <w:rsid w:val="00A62C88"/>
    <w:rsid w:val="00A6341E"/>
    <w:rsid w:val="00A63FE4"/>
    <w:rsid w:val="00A645E4"/>
    <w:rsid w:val="00A648DA"/>
    <w:rsid w:val="00A64A3E"/>
    <w:rsid w:val="00A64ABF"/>
    <w:rsid w:val="00A653E5"/>
    <w:rsid w:val="00A65CC5"/>
    <w:rsid w:val="00A669AD"/>
    <w:rsid w:val="00A66D3C"/>
    <w:rsid w:val="00A66EF2"/>
    <w:rsid w:val="00A672AC"/>
    <w:rsid w:val="00A67FEA"/>
    <w:rsid w:val="00A701D9"/>
    <w:rsid w:val="00A703AD"/>
    <w:rsid w:val="00A705DB"/>
    <w:rsid w:val="00A709E6"/>
    <w:rsid w:val="00A70F1A"/>
    <w:rsid w:val="00A71393"/>
    <w:rsid w:val="00A71CF9"/>
    <w:rsid w:val="00A71EEB"/>
    <w:rsid w:val="00A73071"/>
    <w:rsid w:val="00A74E8B"/>
    <w:rsid w:val="00A7540B"/>
    <w:rsid w:val="00A75D94"/>
    <w:rsid w:val="00A75F13"/>
    <w:rsid w:val="00A76E5A"/>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6184"/>
    <w:rsid w:val="00A8643D"/>
    <w:rsid w:val="00A867D3"/>
    <w:rsid w:val="00A869DB"/>
    <w:rsid w:val="00A869E3"/>
    <w:rsid w:val="00A87283"/>
    <w:rsid w:val="00A87668"/>
    <w:rsid w:val="00A90536"/>
    <w:rsid w:val="00A907D8"/>
    <w:rsid w:val="00A90BC1"/>
    <w:rsid w:val="00A90CB6"/>
    <w:rsid w:val="00A915D2"/>
    <w:rsid w:val="00A91632"/>
    <w:rsid w:val="00A9378E"/>
    <w:rsid w:val="00A9450C"/>
    <w:rsid w:val="00A94529"/>
    <w:rsid w:val="00A94875"/>
    <w:rsid w:val="00A94A6A"/>
    <w:rsid w:val="00A94EFB"/>
    <w:rsid w:val="00A94F6B"/>
    <w:rsid w:val="00A954B1"/>
    <w:rsid w:val="00A95627"/>
    <w:rsid w:val="00A95631"/>
    <w:rsid w:val="00A95EE7"/>
    <w:rsid w:val="00A96A69"/>
    <w:rsid w:val="00A96F57"/>
    <w:rsid w:val="00A97090"/>
    <w:rsid w:val="00A97BAE"/>
    <w:rsid w:val="00A97DD2"/>
    <w:rsid w:val="00A97E3F"/>
    <w:rsid w:val="00AA06E0"/>
    <w:rsid w:val="00AA0929"/>
    <w:rsid w:val="00AA0BF1"/>
    <w:rsid w:val="00AA29D3"/>
    <w:rsid w:val="00AA2F73"/>
    <w:rsid w:val="00AA3546"/>
    <w:rsid w:val="00AA3813"/>
    <w:rsid w:val="00AA3856"/>
    <w:rsid w:val="00AA40A9"/>
    <w:rsid w:val="00AA49A0"/>
    <w:rsid w:val="00AA4DB9"/>
    <w:rsid w:val="00AA5C48"/>
    <w:rsid w:val="00AA62E8"/>
    <w:rsid w:val="00AA6649"/>
    <w:rsid w:val="00AA6C75"/>
    <w:rsid w:val="00AA6FF3"/>
    <w:rsid w:val="00AA7E94"/>
    <w:rsid w:val="00AB045C"/>
    <w:rsid w:val="00AB1714"/>
    <w:rsid w:val="00AB288B"/>
    <w:rsid w:val="00AB29F2"/>
    <w:rsid w:val="00AB4006"/>
    <w:rsid w:val="00AB44A5"/>
    <w:rsid w:val="00AB50A6"/>
    <w:rsid w:val="00AB521E"/>
    <w:rsid w:val="00AB567D"/>
    <w:rsid w:val="00AB73D3"/>
    <w:rsid w:val="00AC0DC7"/>
    <w:rsid w:val="00AC160D"/>
    <w:rsid w:val="00AC19CB"/>
    <w:rsid w:val="00AC1A58"/>
    <w:rsid w:val="00AC1DA1"/>
    <w:rsid w:val="00AC1DC5"/>
    <w:rsid w:val="00AC1FEE"/>
    <w:rsid w:val="00AC253E"/>
    <w:rsid w:val="00AC3158"/>
    <w:rsid w:val="00AC350D"/>
    <w:rsid w:val="00AC3FB7"/>
    <w:rsid w:val="00AC4978"/>
    <w:rsid w:val="00AC4B35"/>
    <w:rsid w:val="00AC4C00"/>
    <w:rsid w:val="00AC50DE"/>
    <w:rsid w:val="00AC51D1"/>
    <w:rsid w:val="00AC542A"/>
    <w:rsid w:val="00AC5EF0"/>
    <w:rsid w:val="00AC5F30"/>
    <w:rsid w:val="00AC68B2"/>
    <w:rsid w:val="00AC6B11"/>
    <w:rsid w:val="00AC6FE4"/>
    <w:rsid w:val="00AC7010"/>
    <w:rsid w:val="00AC7F70"/>
    <w:rsid w:val="00AD0AFA"/>
    <w:rsid w:val="00AD0B14"/>
    <w:rsid w:val="00AD1C2F"/>
    <w:rsid w:val="00AD26A7"/>
    <w:rsid w:val="00AD30A7"/>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106F"/>
    <w:rsid w:val="00AE16FE"/>
    <w:rsid w:val="00AE1F0A"/>
    <w:rsid w:val="00AE2055"/>
    <w:rsid w:val="00AE21AD"/>
    <w:rsid w:val="00AE29A1"/>
    <w:rsid w:val="00AE2CAA"/>
    <w:rsid w:val="00AE3383"/>
    <w:rsid w:val="00AE4627"/>
    <w:rsid w:val="00AE494C"/>
    <w:rsid w:val="00AE55D9"/>
    <w:rsid w:val="00AE65F6"/>
    <w:rsid w:val="00AE684B"/>
    <w:rsid w:val="00AE695D"/>
    <w:rsid w:val="00AE6B51"/>
    <w:rsid w:val="00AE6C76"/>
    <w:rsid w:val="00AF01F0"/>
    <w:rsid w:val="00AF29B6"/>
    <w:rsid w:val="00AF29CF"/>
    <w:rsid w:val="00AF35D9"/>
    <w:rsid w:val="00AF372C"/>
    <w:rsid w:val="00AF3F5C"/>
    <w:rsid w:val="00AF401D"/>
    <w:rsid w:val="00AF468D"/>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28E5"/>
    <w:rsid w:val="00B02E4C"/>
    <w:rsid w:val="00B03543"/>
    <w:rsid w:val="00B03B9F"/>
    <w:rsid w:val="00B0441E"/>
    <w:rsid w:val="00B052EE"/>
    <w:rsid w:val="00B0550E"/>
    <w:rsid w:val="00B05739"/>
    <w:rsid w:val="00B05AEB"/>
    <w:rsid w:val="00B05AFE"/>
    <w:rsid w:val="00B05BBD"/>
    <w:rsid w:val="00B05D9E"/>
    <w:rsid w:val="00B05F29"/>
    <w:rsid w:val="00B06D0A"/>
    <w:rsid w:val="00B11AF4"/>
    <w:rsid w:val="00B11EA1"/>
    <w:rsid w:val="00B12130"/>
    <w:rsid w:val="00B12641"/>
    <w:rsid w:val="00B12C75"/>
    <w:rsid w:val="00B12D78"/>
    <w:rsid w:val="00B12DAE"/>
    <w:rsid w:val="00B1396D"/>
    <w:rsid w:val="00B13F8D"/>
    <w:rsid w:val="00B14982"/>
    <w:rsid w:val="00B14D36"/>
    <w:rsid w:val="00B157C8"/>
    <w:rsid w:val="00B1611E"/>
    <w:rsid w:val="00B16F5C"/>
    <w:rsid w:val="00B175DA"/>
    <w:rsid w:val="00B17FAF"/>
    <w:rsid w:val="00B20920"/>
    <w:rsid w:val="00B20B2D"/>
    <w:rsid w:val="00B21378"/>
    <w:rsid w:val="00B21741"/>
    <w:rsid w:val="00B21C9B"/>
    <w:rsid w:val="00B225E8"/>
    <w:rsid w:val="00B2267A"/>
    <w:rsid w:val="00B22E04"/>
    <w:rsid w:val="00B234C5"/>
    <w:rsid w:val="00B23862"/>
    <w:rsid w:val="00B251C0"/>
    <w:rsid w:val="00B2524C"/>
    <w:rsid w:val="00B25E89"/>
    <w:rsid w:val="00B262E2"/>
    <w:rsid w:val="00B2670B"/>
    <w:rsid w:val="00B26AB5"/>
    <w:rsid w:val="00B26B40"/>
    <w:rsid w:val="00B26DCC"/>
    <w:rsid w:val="00B27359"/>
    <w:rsid w:val="00B27A22"/>
    <w:rsid w:val="00B300C1"/>
    <w:rsid w:val="00B302F7"/>
    <w:rsid w:val="00B31949"/>
    <w:rsid w:val="00B33533"/>
    <w:rsid w:val="00B33BBA"/>
    <w:rsid w:val="00B34216"/>
    <w:rsid w:val="00B3453C"/>
    <w:rsid w:val="00B34CEA"/>
    <w:rsid w:val="00B352A9"/>
    <w:rsid w:val="00B35D78"/>
    <w:rsid w:val="00B366DC"/>
    <w:rsid w:val="00B36C93"/>
    <w:rsid w:val="00B36E65"/>
    <w:rsid w:val="00B36FE5"/>
    <w:rsid w:val="00B3716A"/>
    <w:rsid w:val="00B37743"/>
    <w:rsid w:val="00B40802"/>
    <w:rsid w:val="00B410CB"/>
    <w:rsid w:val="00B411FB"/>
    <w:rsid w:val="00B4140F"/>
    <w:rsid w:val="00B427A8"/>
    <w:rsid w:val="00B43B42"/>
    <w:rsid w:val="00B44203"/>
    <w:rsid w:val="00B44BFF"/>
    <w:rsid w:val="00B45BB8"/>
    <w:rsid w:val="00B4651A"/>
    <w:rsid w:val="00B46B7F"/>
    <w:rsid w:val="00B46EC3"/>
    <w:rsid w:val="00B47CFF"/>
    <w:rsid w:val="00B508FA"/>
    <w:rsid w:val="00B5090D"/>
    <w:rsid w:val="00B50D2B"/>
    <w:rsid w:val="00B50EE3"/>
    <w:rsid w:val="00B51623"/>
    <w:rsid w:val="00B51BE4"/>
    <w:rsid w:val="00B51E44"/>
    <w:rsid w:val="00B523F6"/>
    <w:rsid w:val="00B52B82"/>
    <w:rsid w:val="00B53714"/>
    <w:rsid w:val="00B53EA4"/>
    <w:rsid w:val="00B547D0"/>
    <w:rsid w:val="00B54C7D"/>
    <w:rsid w:val="00B55D28"/>
    <w:rsid w:val="00B5682F"/>
    <w:rsid w:val="00B57082"/>
    <w:rsid w:val="00B57CF2"/>
    <w:rsid w:val="00B601AE"/>
    <w:rsid w:val="00B60A2E"/>
    <w:rsid w:val="00B6121C"/>
    <w:rsid w:val="00B6191D"/>
    <w:rsid w:val="00B61A21"/>
    <w:rsid w:val="00B61BA2"/>
    <w:rsid w:val="00B61E8A"/>
    <w:rsid w:val="00B6252A"/>
    <w:rsid w:val="00B628B5"/>
    <w:rsid w:val="00B629FC"/>
    <w:rsid w:val="00B638C4"/>
    <w:rsid w:val="00B63D4F"/>
    <w:rsid w:val="00B63EDA"/>
    <w:rsid w:val="00B64705"/>
    <w:rsid w:val="00B64EC0"/>
    <w:rsid w:val="00B652FB"/>
    <w:rsid w:val="00B65B2B"/>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F32"/>
    <w:rsid w:val="00B77154"/>
    <w:rsid w:val="00B778E1"/>
    <w:rsid w:val="00B803A5"/>
    <w:rsid w:val="00B80B86"/>
    <w:rsid w:val="00B80C45"/>
    <w:rsid w:val="00B80F73"/>
    <w:rsid w:val="00B815EF"/>
    <w:rsid w:val="00B81821"/>
    <w:rsid w:val="00B8195E"/>
    <w:rsid w:val="00B81E87"/>
    <w:rsid w:val="00B828D2"/>
    <w:rsid w:val="00B8319A"/>
    <w:rsid w:val="00B83230"/>
    <w:rsid w:val="00B83F5E"/>
    <w:rsid w:val="00B84810"/>
    <w:rsid w:val="00B84B85"/>
    <w:rsid w:val="00B84EE8"/>
    <w:rsid w:val="00B853A8"/>
    <w:rsid w:val="00B8567E"/>
    <w:rsid w:val="00B85847"/>
    <w:rsid w:val="00B866DD"/>
    <w:rsid w:val="00B866E6"/>
    <w:rsid w:val="00B8675E"/>
    <w:rsid w:val="00B86C88"/>
    <w:rsid w:val="00B86F74"/>
    <w:rsid w:val="00B87178"/>
    <w:rsid w:val="00B87F55"/>
    <w:rsid w:val="00B901CC"/>
    <w:rsid w:val="00B90BF4"/>
    <w:rsid w:val="00B90D9A"/>
    <w:rsid w:val="00B90DE7"/>
    <w:rsid w:val="00B9150D"/>
    <w:rsid w:val="00B91D2B"/>
    <w:rsid w:val="00B94769"/>
    <w:rsid w:val="00B9496F"/>
    <w:rsid w:val="00B953CF"/>
    <w:rsid w:val="00B95657"/>
    <w:rsid w:val="00B95C32"/>
    <w:rsid w:val="00B96146"/>
    <w:rsid w:val="00B962CC"/>
    <w:rsid w:val="00B96370"/>
    <w:rsid w:val="00B9670D"/>
    <w:rsid w:val="00B96A2E"/>
    <w:rsid w:val="00B96A73"/>
    <w:rsid w:val="00B96EAA"/>
    <w:rsid w:val="00B9731D"/>
    <w:rsid w:val="00B97669"/>
    <w:rsid w:val="00B9768B"/>
    <w:rsid w:val="00B9781E"/>
    <w:rsid w:val="00B979C9"/>
    <w:rsid w:val="00B97EAB"/>
    <w:rsid w:val="00BA02B2"/>
    <w:rsid w:val="00BA08AF"/>
    <w:rsid w:val="00BA096E"/>
    <w:rsid w:val="00BA0994"/>
    <w:rsid w:val="00BA09B0"/>
    <w:rsid w:val="00BA0BE0"/>
    <w:rsid w:val="00BA0DBF"/>
    <w:rsid w:val="00BA0F4D"/>
    <w:rsid w:val="00BA2A86"/>
    <w:rsid w:val="00BA330C"/>
    <w:rsid w:val="00BA3326"/>
    <w:rsid w:val="00BA38EC"/>
    <w:rsid w:val="00BA3B68"/>
    <w:rsid w:val="00BA3C09"/>
    <w:rsid w:val="00BA4ECC"/>
    <w:rsid w:val="00BA5475"/>
    <w:rsid w:val="00BA5CF2"/>
    <w:rsid w:val="00BA6136"/>
    <w:rsid w:val="00BA61AB"/>
    <w:rsid w:val="00BA713C"/>
    <w:rsid w:val="00BA72B6"/>
    <w:rsid w:val="00BA76C9"/>
    <w:rsid w:val="00BA786B"/>
    <w:rsid w:val="00BB0059"/>
    <w:rsid w:val="00BB1608"/>
    <w:rsid w:val="00BB161C"/>
    <w:rsid w:val="00BB1673"/>
    <w:rsid w:val="00BB1724"/>
    <w:rsid w:val="00BB1A24"/>
    <w:rsid w:val="00BB1E48"/>
    <w:rsid w:val="00BB20F7"/>
    <w:rsid w:val="00BB2216"/>
    <w:rsid w:val="00BB2441"/>
    <w:rsid w:val="00BB26E3"/>
    <w:rsid w:val="00BB27C2"/>
    <w:rsid w:val="00BB27CA"/>
    <w:rsid w:val="00BB3ED7"/>
    <w:rsid w:val="00BB4C2B"/>
    <w:rsid w:val="00BB507A"/>
    <w:rsid w:val="00BB5BCB"/>
    <w:rsid w:val="00BB5C05"/>
    <w:rsid w:val="00BB609D"/>
    <w:rsid w:val="00BB6561"/>
    <w:rsid w:val="00BB7866"/>
    <w:rsid w:val="00BB7C7A"/>
    <w:rsid w:val="00BB7D5D"/>
    <w:rsid w:val="00BC0783"/>
    <w:rsid w:val="00BC0A08"/>
    <w:rsid w:val="00BC0EFD"/>
    <w:rsid w:val="00BC10FA"/>
    <w:rsid w:val="00BC12EB"/>
    <w:rsid w:val="00BC1E67"/>
    <w:rsid w:val="00BC1FB1"/>
    <w:rsid w:val="00BC20DF"/>
    <w:rsid w:val="00BC264A"/>
    <w:rsid w:val="00BC270C"/>
    <w:rsid w:val="00BC2721"/>
    <w:rsid w:val="00BC2835"/>
    <w:rsid w:val="00BC2B73"/>
    <w:rsid w:val="00BC3EAD"/>
    <w:rsid w:val="00BC5767"/>
    <w:rsid w:val="00BC58A6"/>
    <w:rsid w:val="00BC5DFC"/>
    <w:rsid w:val="00BC5F1B"/>
    <w:rsid w:val="00BC6399"/>
    <w:rsid w:val="00BC63A8"/>
    <w:rsid w:val="00BC6A7A"/>
    <w:rsid w:val="00BC6C2F"/>
    <w:rsid w:val="00BC79A8"/>
    <w:rsid w:val="00BC7FDB"/>
    <w:rsid w:val="00BD0B83"/>
    <w:rsid w:val="00BD1378"/>
    <w:rsid w:val="00BD2669"/>
    <w:rsid w:val="00BD28EC"/>
    <w:rsid w:val="00BD323F"/>
    <w:rsid w:val="00BD3540"/>
    <w:rsid w:val="00BD36EB"/>
    <w:rsid w:val="00BD37F2"/>
    <w:rsid w:val="00BD3BD1"/>
    <w:rsid w:val="00BD3F88"/>
    <w:rsid w:val="00BD4B16"/>
    <w:rsid w:val="00BD641E"/>
    <w:rsid w:val="00BD67D4"/>
    <w:rsid w:val="00BD7126"/>
    <w:rsid w:val="00BD7E1A"/>
    <w:rsid w:val="00BE0148"/>
    <w:rsid w:val="00BE09F8"/>
    <w:rsid w:val="00BE0E1C"/>
    <w:rsid w:val="00BE1043"/>
    <w:rsid w:val="00BE1751"/>
    <w:rsid w:val="00BE2644"/>
    <w:rsid w:val="00BE2BBB"/>
    <w:rsid w:val="00BE2F68"/>
    <w:rsid w:val="00BE3030"/>
    <w:rsid w:val="00BE3420"/>
    <w:rsid w:val="00BE3430"/>
    <w:rsid w:val="00BE36D2"/>
    <w:rsid w:val="00BE3C8F"/>
    <w:rsid w:val="00BE4908"/>
    <w:rsid w:val="00BE5022"/>
    <w:rsid w:val="00BE5DB8"/>
    <w:rsid w:val="00BE6E0C"/>
    <w:rsid w:val="00BE755B"/>
    <w:rsid w:val="00BE7988"/>
    <w:rsid w:val="00BE7E0A"/>
    <w:rsid w:val="00BF013F"/>
    <w:rsid w:val="00BF030E"/>
    <w:rsid w:val="00BF03A9"/>
    <w:rsid w:val="00BF08DF"/>
    <w:rsid w:val="00BF0DA0"/>
    <w:rsid w:val="00BF1067"/>
    <w:rsid w:val="00BF1C84"/>
    <w:rsid w:val="00BF27D7"/>
    <w:rsid w:val="00BF3632"/>
    <w:rsid w:val="00BF382B"/>
    <w:rsid w:val="00BF38B0"/>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7779"/>
    <w:rsid w:val="00BF785D"/>
    <w:rsid w:val="00BF78E5"/>
    <w:rsid w:val="00BF79C7"/>
    <w:rsid w:val="00BF79E2"/>
    <w:rsid w:val="00BF7BCB"/>
    <w:rsid w:val="00BFB9B7"/>
    <w:rsid w:val="00C00477"/>
    <w:rsid w:val="00C01047"/>
    <w:rsid w:val="00C010A9"/>
    <w:rsid w:val="00C012FE"/>
    <w:rsid w:val="00C017E7"/>
    <w:rsid w:val="00C01815"/>
    <w:rsid w:val="00C01A25"/>
    <w:rsid w:val="00C01ED8"/>
    <w:rsid w:val="00C02718"/>
    <w:rsid w:val="00C029AD"/>
    <w:rsid w:val="00C02FCB"/>
    <w:rsid w:val="00C0406D"/>
    <w:rsid w:val="00C040AD"/>
    <w:rsid w:val="00C04492"/>
    <w:rsid w:val="00C046A8"/>
    <w:rsid w:val="00C04790"/>
    <w:rsid w:val="00C049BA"/>
    <w:rsid w:val="00C04AD1"/>
    <w:rsid w:val="00C04E79"/>
    <w:rsid w:val="00C07A04"/>
    <w:rsid w:val="00C1013F"/>
    <w:rsid w:val="00C10335"/>
    <w:rsid w:val="00C107C2"/>
    <w:rsid w:val="00C119C5"/>
    <w:rsid w:val="00C120F5"/>
    <w:rsid w:val="00C12136"/>
    <w:rsid w:val="00C12AF0"/>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AD0"/>
    <w:rsid w:val="00C26218"/>
    <w:rsid w:val="00C2683E"/>
    <w:rsid w:val="00C278FD"/>
    <w:rsid w:val="00C27CDF"/>
    <w:rsid w:val="00C312FB"/>
    <w:rsid w:val="00C319EF"/>
    <w:rsid w:val="00C31E51"/>
    <w:rsid w:val="00C32351"/>
    <w:rsid w:val="00C32798"/>
    <w:rsid w:val="00C338E3"/>
    <w:rsid w:val="00C33A40"/>
    <w:rsid w:val="00C33C5C"/>
    <w:rsid w:val="00C34975"/>
    <w:rsid w:val="00C35B17"/>
    <w:rsid w:val="00C35E81"/>
    <w:rsid w:val="00C36096"/>
    <w:rsid w:val="00C36322"/>
    <w:rsid w:val="00C36A54"/>
    <w:rsid w:val="00C37105"/>
    <w:rsid w:val="00C3749F"/>
    <w:rsid w:val="00C37835"/>
    <w:rsid w:val="00C37EAE"/>
    <w:rsid w:val="00C40067"/>
    <w:rsid w:val="00C40175"/>
    <w:rsid w:val="00C408E6"/>
    <w:rsid w:val="00C413A4"/>
    <w:rsid w:val="00C41433"/>
    <w:rsid w:val="00C418E5"/>
    <w:rsid w:val="00C443B5"/>
    <w:rsid w:val="00C44FDC"/>
    <w:rsid w:val="00C45FF5"/>
    <w:rsid w:val="00C46AD5"/>
    <w:rsid w:val="00C46E14"/>
    <w:rsid w:val="00C46F4F"/>
    <w:rsid w:val="00C47E64"/>
    <w:rsid w:val="00C47FFD"/>
    <w:rsid w:val="00C5075C"/>
    <w:rsid w:val="00C512BC"/>
    <w:rsid w:val="00C512C7"/>
    <w:rsid w:val="00C51655"/>
    <w:rsid w:val="00C51A67"/>
    <w:rsid w:val="00C524C0"/>
    <w:rsid w:val="00C52670"/>
    <w:rsid w:val="00C52D00"/>
    <w:rsid w:val="00C52F6B"/>
    <w:rsid w:val="00C53003"/>
    <w:rsid w:val="00C535A5"/>
    <w:rsid w:val="00C558BC"/>
    <w:rsid w:val="00C55A9C"/>
    <w:rsid w:val="00C55B77"/>
    <w:rsid w:val="00C563E3"/>
    <w:rsid w:val="00C56C6B"/>
    <w:rsid w:val="00C5766E"/>
    <w:rsid w:val="00C57970"/>
    <w:rsid w:val="00C57A53"/>
    <w:rsid w:val="00C57D78"/>
    <w:rsid w:val="00C60CFC"/>
    <w:rsid w:val="00C61ED3"/>
    <w:rsid w:val="00C62190"/>
    <w:rsid w:val="00C6289F"/>
    <w:rsid w:val="00C62EEB"/>
    <w:rsid w:val="00C634F2"/>
    <w:rsid w:val="00C63DA9"/>
    <w:rsid w:val="00C64BDE"/>
    <w:rsid w:val="00C65C25"/>
    <w:rsid w:val="00C6630B"/>
    <w:rsid w:val="00C666C1"/>
    <w:rsid w:val="00C700C9"/>
    <w:rsid w:val="00C7058D"/>
    <w:rsid w:val="00C70AB5"/>
    <w:rsid w:val="00C70AF3"/>
    <w:rsid w:val="00C70B52"/>
    <w:rsid w:val="00C70FEC"/>
    <w:rsid w:val="00C71184"/>
    <w:rsid w:val="00C72357"/>
    <w:rsid w:val="00C7242B"/>
    <w:rsid w:val="00C72643"/>
    <w:rsid w:val="00C72A30"/>
    <w:rsid w:val="00C73844"/>
    <w:rsid w:val="00C7394F"/>
    <w:rsid w:val="00C73C31"/>
    <w:rsid w:val="00C742AE"/>
    <w:rsid w:val="00C7499A"/>
    <w:rsid w:val="00C7503F"/>
    <w:rsid w:val="00C7614B"/>
    <w:rsid w:val="00C7693A"/>
    <w:rsid w:val="00C76D03"/>
    <w:rsid w:val="00C77427"/>
    <w:rsid w:val="00C77769"/>
    <w:rsid w:val="00C807F0"/>
    <w:rsid w:val="00C8080B"/>
    <w:rsid w:val="00C80914"/>
    <w:rsid w:val="00C8107C"/>
    <w:rsid w:val="00C81B63"/>
    <w:rsid w:val="00C82DE5"/>
    <w:rsid w:val="00C85476"/>
    <w:rsid w:val="00C856A6"/>
    <w:rsid w:val="00C857A7"/>
    <w:rsid w:val="00C85F5B"/>
    <w:rsid w:val="00C8696B"/>
    <w:rsid w:val="00C86F1B"/>
    <w:rsid w:val="00C87BDB"/>
    <w:rsid w:val="00C87F20"/>
    <w:rsid w:val="00C92043"/>
    <w:rsid w:val="00C92149"/>
    <w:rsid w:val="00C93347"/>
    <w:rsid w:val="00C94061"/>
    <w:rsid w:val="00C941ED"/>
    <w:rsid w:val="00C95497"/>
    <w:rsid w:val="00C957E4"/>
    <w:rsid w:val="00C95AD0"/>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A57"/>
    <w:rsid w:val="00CA5CBF"/>
    <w:rsid w:val="00CA5D94"/>
    <w:rsid w:val="00CA5E9A"/>
    <w:rsid w:val="00CB05D7"/>
    <w:rsid w:val="00CB05DE"/>
    <w:rsid w:val="00CB0D5B"/>
    <w:rsid w:val="00CB0DC0"/>
    <w:rsid w:val="00CB14DA"/>
    <w:rsid w:val="00CB2B4E"/>
    <w:rsid w:val="00CB2D42"/>
    <w:rsid w:val="00CB353C"/>
    <w:rsid w:val="00CB3871"/>
    <w:rsid w:val="00CB3D15"/>
    <w:rsid w:val="00CB4D7D"/>
    <w:rsid w:val="00CB4E06"/>
    <w:rsid w:val="00CB4EE8"/>
    <w:rsid w:val="00CB53E1"/>
    <w:rsid w:val="00CB5887"/>
    <w:rsid w:val="00CB6066"/>
    <w:rsid w:val="00CB632D"/>
    <w:rsid w:val="00CB641D"/>
    <w:rsid w:val="00CB6946"/>
    <w:rsid w:val="00CB6CB5"/>
    <w:rsid w:val="00CB7595"/>
    <w:rsid w:val="00CB7773"/>
    <w:rsid w:val="00CC0325"/>
    <w:rsid w:val="00CC0504"/>
    <w:rsid w:val="00CC08C3"/>
    <w:rsid w:val="00CC0BC7"/>
    <w:rsid w:val="00CC1532"/>
    <w:rsid w:val="00CC18E3"/>
    <w:rsid w:val="00CC199C"/>
    <w:rsid w:val="00CC1AB6"/>
    <w:rsid w:val="00CC1E30"/>
    <w:rsid w:val="00CC20C0"/>
    <w:rsid w:val="00CC2103"/>
    <w:rsid w:val="00CC2D79"/>
    <w:rsid w:val="00CC4757"/>
    <w:rsid w:val="00CC4C3D"/>
    <w:rsid w:val="00CC52A2"/>
    <w:rsid w:val="00CC5384"/>
    <w:rsid w:val="00CC63CE"/>
    <w:rsid w:val="00CC6941"/>
    <w:rsid w:val="00CC7A3A"/>
    <w:rsid w:val="00CC7A3F"/>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E1118"/>
    <w:rsid w:val="00CE2DA3"/>
    <w:rsid w:val="00CE2E7C"/>
    <w:rsid w:val="00CE2EA5"/>
    <w:rsid w:val="00CE32C3"/>
    <w:rsid w:val="00CE412D"/>
    <w:rsid w:val="00CE50A3"/>
    <w:rsid w:val="00CE720B"/>
    <w:rsid w:val="00CE77C5"/>
    <w:rsid w:val="00CE7986"/>
    <w:rsid w:val="00CE7B20"/>
    <w:rsid w:val="00CF01E4"/>
    <w:rsid w:val="00CF05A5"/>
    <w:rsid w:val="00CF0D98"/>
    <w:rsid w:val="00CF0FD8"/>
    <w:rsid w:val="00CF1A23"/>
    <w:rsid w:val="00CF30D6"/>
    <w:rsid w:val="00CF372A"/>
    <w:rsid w:val="00CF3CA7"/>
    <w:rsid w:val="00CF3F61"/>
    <w:rsid w:val="00CF4005"/>
    <w:rsid w:val="00CF419F"/>
    <w:rsid w:val="00CF4455"/>
    <w:rsid w:val="00CF55D8"/>
    <w:rsid w:val="00CF5650"/>
    <w:rsid w:val="00CF5750"/>
    <w:rsid w:val="00CF5A8A"/>
    <w:rsid w:val="00CF5A91"/>
    <w:rsid w:val="00CF5D53"/>
    <w:rsid w:val="00CF5F15"/>
    <w:rsid w:val="00CF6822"/>
    <w:rsid w:val="00CF7490"/>
    <w:rsid w:val="00CF7D1D"/>
    <w:rsid w:val="00D006F1"/>
    <w:rsid w:val="00D015B4"/>
    <w:rsid w:val="00D01B97"/>
    <w:rsid w:val="00D029A4"/>
    <w:rsid w:val="00D02C78"/>
    <w:rsid w:val="00D02E50"/>
    <w:rsid w:val="00D02E97"/>
    <w:rsid w:val="00D0343C"/>
    <w:rsid w:val="00D03795"/>
    <w:rsid w:val="00D03C38"/>
    <w:rsid w:val="00D03CA9"/>
    <w:rsid w:val="00D040E6"/>
    <w:rsid w:val="00D05450"/>
    <w:rsid w:val="00D069CC"/>
    <w:rsid w:val="00D07289"/>
    <w:rsid w:val="00D078A1"/>
    <w:rsid w:val="00D07B25"/>
    <w:rsid w:val="00D10319"/>
    <w:rsid w:val="00D10514"/>
    <w:rsid w:val="00D107C4"/>
    <w:rsid w:val="00D10C6A"/>
    <w:rsid w:val="00D11110"/>
    <w:rsid w:val="00D118FF"/>
    <w:rsid w:val="00D125BE"/>
    <w:rsid w:val="00D140F1"/>
    <w:rsid w:val="00D1448E"/>
    <w:rsid w:val="00D1465B"/>
    <w:rsid w:val="00D14AC3"/>
    <w:rsid w:val="00D1518F"/>
    <w:rsid w:val="00D152B0"/>
    <w:rsid w:val="00D155EE"/>
    <w:rsid w:val="00D15F27"/>
    <w:rsid w:val="00D1642F"/>
    <w:rsid w:val="00D17102"/>
    <w:rsid w:val="00D17736"/>
    <w:rsid w:val="00D2003F"/>
    <w:rsid w:val="00D2049C"/>
    <w:rsid w:val="00D20522"/>
    <w:rsid w:val="00D21635"/>
    <w:rsid w:val="00D2270B"/>
    <w:rsid w:val="00D229C9"/>
    <w:rsid w:val="00D22C05"/>
    <w:rsid w:val="00D22FEA"/>
    <w:rsid w:val="00D23277"/>
    <w:rsid w:val="00D236B5"/>
    <w:rsid w:val="00D236C3"/>
    <w:rsid w:val="00D23716"/>
    <w:rsid w:val="00D241F7"/>
    <w:rsid w:val="00D2451B"/>
    <w:rsid w:val="00D2452E"/>
    <w:rsid w:val="00D25134"/>
    <w:rsid w:val="00D2597B"/>
    <w:rsid w:val="00D26313"/>
    <w:rsid w:val="00D26562"/>
    <w:rsid w:val="00D2687F"/>
    <w:rsid w:val="00D2738F"/>
    <w:rsid w:val="00D27B40"/>
    <w:rsid w:val="00D30378"/>
    <w:rsid w:val="00D30448"/>
    <w:rsid w:val="00D30DEC"/>
    <w:rsid w:val="00D31207"/>
    <w:rsid w:val="00D31279"/>
    <w:rsid w:val="00D3150F"/>
    <w:rsid w:val="00D31928"/>
    <w:rsid w:val="00D3197C"/>
    <w:rsid w:val="00D31B99"/>
    <w:rsid w:val="00D3248B"/>
    <w:rsid w:val="00D32BC7"/>
    <w:rsid w:val="00D32FC7"/>
    <w:rsid w:val="00D336DC"/>
    <w:rsid w:val="00D3423D"/>
    <w:rsid w:val="00D3433D"/>
    <w:rsid w:val="00D35063"/>
    <w:rsid w:val="00D354F0"/>
    <w:rsid w:val="00D35D15"/>
    <w:rsid w:val="00D363D7"/>
    <w:rsid w:val="00D37044"/>
    <w:rsid w:val="00D37069"/>
    <w:rsid w:val="00D370D2"/>
    <w:rsid w:val="00D371E9"/>
    <w:rsid w:val="00D37B4F"/>
    <w:rsid w:val="00D4046F"/>
    <w:rsid w:val="00D4143F"/>
    <w:rsid w:val="00D41BA8"/>
    <w:rsid w:val="00D42726"/>
    <w:rsid w:val="00D42C78"/>
    <w:rsid w:val="00D42EC0"/>
    <w:rsid w:val="00D43929"/>
    <w:rsid w:val="00D441EA"/>
    <w:rsid w:val="00D44674"/>
    <w:rsid w:val="00D4495D"/>
    <w:rsid w:val="00D45F32"/>
    <w:rsid w:val="00D45FE5"/>
    <w:rsid w:val="00D462E4"/>
    <w:rsid w:val="00D46955"/>
    <w:rsid w:val="00D46F05"/>
    <w:rsid w:val="00D474D8"/>
    <w:rsid w:val="00D51233"/>
    <w:rsid w:val="00D5232B"/>
    <w:rsid w:val="00D52502"/>
    <w:rsid w:val="00D52711"/>
    <w:rsid w:val="00D53255"/>
    <w:rsid w:val="00D5367B"/>
    <w:rsid w:val="00D53C1F"/>
    <w:rsid w:val="00D53F4E"/>
    <w:rsid w:val="00D543C6"/>
    <w:rsid w:val="00D545DD"/>
    <w:rsid w:val="00D54872"/>
    <w:rsid w:val="00D54CD2"/>
    <w:rsid w:val="00D54EE1"/>
    <w:rsid w:val="00D54EFE"/>
    <w:rsid w:val="00D5587B"/>
    <w:rsid w:val="00D55D68"/>
    <w:rsid w:val="00D560F5"/>
    <w:rsid w:val="00D568EF"/>
    <w:rsid w:val="00D5692A"/>
    <w:rsid w:val="00D57997"/>
    <w:rsid w:val="00D6037D"/>
    <w:rsid w:val="00D60D86"/>
    <w:rsid w:val="00D6126C"/>
    <w:rsid w:val="00D61786"/>
    <w:rsid w:val="00D61A28"/>
    <w:rsid w:val="00D61CD4"/>
    <w:rsid w:val="00D61D0F"/>
    <w:rsid w:val="00D61FF5"/>
    <w:rsid w:val="00D6274D"/>
    <w:rsid w:val="00D62A0F"/>
    <w:rsid w:val="00D62F3D"/>
    <w:rsid w:val="00D631F3"/>
    <w:rsid w:val="00D63642"/>
    <w:rsid w:val="00D63841"/>
    <w:rsid w:val="00D6394A"/>
    <w:rsid w:val="00D63A0A"/>
    <w:rsid w:val="00D64135"/>
    <w:rsid w:val="00D64365"/>
    <w:rsid w:val="00D64AF8"/>
    <w:rsid w:val="00D65593"/>
    <w:rsid w:val="00D65865"/>
    <w:rsid w:val="00D65D7D"/>
    <w:rsid w:val="00D66513"/>
    <w:rsid w:val="00D666B5"/>
    <w:rsid w:val="00D669E5"/>
    <w:rsid w:val="00D66BCF"/>
    <w:rsid w:val="00D66D11"/>
    <w:rsid w:val="00D67334"/>
    <w:rsid w:val="00D67E99"/>
    <w:rsid w:val="00D706E4"/>
    <w:rsid w:val="00D71351"/>
    <w:rsid w:val="00D7191C"/>
    <w:rsid w:val="00D725CB"/>
    <w:rsid w:val="00D73BD9"/>
    <w:rsid w:val="00D74068"/>
    <w:rsid w:val="00D7420C"/>
    <w:rsid w:val="00D74291"/>
    <w:rsid w:val="00D74A35"/>
    <w:rsid w:val="00D75376"/>
    <w:rsid w:val="00D75A2A"/>
    <w:rsid w:val="00D766FE"/>
    <w:rsid w:val="00D76E7A"/>
    <w:rsid w:val="00D80220"/>
    <w:rsid w:val="00D8169A"/>
    <w:rsid w:val="00D8205A"/>
    <w:rsid w:val="00D827D3"/>
    <w:rsid w:val="00D83261"/>
    <w:rsid w:val="00D84DFB"/>
    <w:rsid w:val="00D856CC"/>
    <w:rsid w:val="00D85739"/>
    <w:rsid w:val="00D85AB0"/>
    <w:rsid w:val="00D85AD4"/>
    <w:rsid w:val="00D85B8F"/>
    <w:rsid w:val="00D85F92"/>
    <w:rsid w:val="00D85FB4"/>
    <w:rsid w:val="00D8661F"/>
    <w:rsid w:val="00D86676"/>
    <w:rsid w:val="00D86B64"/>
    <w:rsid w:val="00D86DFB"/>
    <w:rsid w:val="00D875EB"/>
    <w:rsid w:val="00D87AB7"/>
    <w:rsid w:val="00D87B39"/>
    <w:rsid w:val="00D90309"/>
    <w:rsid w:val="00D90334"/>
    <w:rsid w:val="00D903E6"/>
    <w:rsid w:val="00D90561"/>
    <w:rsid w:val="00D90F20"/>
    <w:rsid w:val="00D91AEF"/>
    <w:rsid w:val="00D93B9E"/>
    <w:rsid w:val="00D9401E"/>
    <w:rsid w:val="00D940B1"/>
    <w:rsid w:val="00D94185"/>
    <w:rsid w:val="00D94C24"/>
    <w:rsid w:val="00D94CEB"/>
    <w:rsid w:val="00D95934"/>
    <w:rsid w:val="00D95DD6"/>
    <w:rsid w:val="00D95DE4"/>
    <w:rsid w:val="00D965F8"/>
    <w:rsid w:val="00D96C6B"/>
    <w:rsid w:val="00D977B5"/>
    <w:rsid w:val="00D9794B"/>
    <w:rsid w:val="00D979D8"/>
    <w:rsid w:val="00D97A42"/>
    <w:rsid w:val="00DA072C"/>
    <w:rsid w:val="00DA0C65"/>
    <w:rsid w:val="00DA10D6"/>
    <w:rsid w:val="00DA1512"/>
    <w:rsid w:val="00DA2473"/>
    <w:rsid w:val="00DA257C"/>
    <w:rsid w:val="00DA2631"/>
    <w:rsid w:val="00DA29D3"/>
    <w:rsid w:val="00DA2A28"/>
    <w:rsid w:val="00DA2FA8"/>
    <w:rsid w:val="00DA3160"/>
    <w:rsid w:val="00DA3441"/>
    <w:rsid w:val="00DA3AD5"/>
    <w:rsid w:val="00DA5051"/>
    <w:rsid w:val="00DA5B20"/>
    <w:rsid w:val="00DA71AC"/>
    <w:rsid w:val="00DA734C"/>
    <w:rsid w:val="00DA77C5"/>
    <w:rsid w:val="00DB0331"/>
    <w:rsid w:val="00DB0471"/>
    <w:rsid w:val="00DB05EB"/>
    <w:rsid w:val="00DB0F3F"/>
    <w:rsid w:val="00DB179D"/>
    <w:rsid w:val="00DB1C61"/>
    <w:rsid w:val="00DB2A6D"/>
    <w:rsid w:val="00DB2F21"/>
    <w:rsid w:val="00DB3512"/>
    <w:rsid w:val="00DB3514"/>
    <w:rsid w:val="00DB3F38"/>
    <w:rsid w:val="00DB44BD"/>
    <w:rsid w:val="00DB4628"/>
    <w:rsid w:val="00DB514B"/>
    <w:rsid w:val="00DB5251"/>
    <w:rsid w:val="00DB5315"/>
    <w:rsid w:val="00DB540E"/>
    <w:rsid w:val="00DB5569"/>
    <w:rsid w:val="00DB604F"/>
    <w:rsid w:val="00DB6D33"/>
    <w:rsid w:val="00DB7D11"/>
    <w:rsid w:val="00DC01EC"/>
    <w:rsid w:val="00DC0357"/>
    <w:rsid w:val="00DC0691"/>
    <w:rsid w:val="00DC06A0"/>
    <w:rsid w:val="00DC06FE"/>
    <w:rsid w:val="00DC0B84"/>
    <w:rsid w:val="00DC162C"/>
    <w:rsid w:val="00DC1B40"/>
    <w:rsid w:val="00DC1B4A"/>
    <w:rsid w:val="00DC2077"/>
    <w:rsid w:val="00DC27BF"/>
    <w:rsid w:val="00DC3E56"/>
    <w:rsid w:val="00DC4015"/>
    <w:rsid w:val="00DC42C1"/>
    <w:rsid w:val="00DC4B14"/>
    <w:rsid w:val="00DC55F1"/>
    <w:rsid w:val="00DC5D77"/>
    <w:rsid w:val="00DC637E"/>
    <w:rsid w:val="00DC6E58"/>
    <w:rsid w:val="00DC7056"/>
    <w:rsid w:val="00DC7721"/>
    <w:rsid w:val="00DC7D39"/>
    <w:rsid w:val="00DD016B"/>
    <w:rsid w:val="00DD0517"/>
    <w:rsid w:val="00DD0F49"/>
    <w:rsid w:val="00DD1183"/>
    <w:rsid w:val="00DD1238"/>
    <w:rsid w:val="00DD1CC4"/>
    <w:rsid w:val="00DD24CB"/>
    <w:rsid w:val="00DD2729"/>
    <w:rsid w:val="00DD288D"/>
    <w:rsid w:val="00DD2C29"/>
    <w:rsid w:val="00DD32F1"/>
    <w:rsid w:val="00DD3DC4"/>
    <w:rsid w:val="00DD4A6A"/>
    <w:rsid w:val="00DD4A6F"/>
    <w:rsid w:val="00DD4AD5"/>
    <w:rsid w:val="00DD4ADB"/>
    <w:rsid w:val="00DD545C"/>
    <w:rsid w:val="00DD55AE"/>
    <w:rsid w:val="00DD6106"/>
    <w:rsid w:val="00DD7AA4"/>
    <w:rsid w:val="00DD7C59"/>
    <w:rsid w:val="00DE0F37"/>
    <w:rsid w:val="00DE10D4"/>
    <w:rsid w:val="00DE11A6"/>
    <w:rsid w:val="00DE1505"/>
    <w:rsid w:val="00DE18B3"/>
    <w:rsid w:val="00DE2218"/>
    <w:rsid w:val="00DE2520"/>
    <w:rsid w:val="00DE292C"/>
    <w:rsid w:val="00DE3568"/>
    <w:rsid w:val="00DE35ED"/>
    <w:rsid w:val="00DE3762"/>
    <w:rsid w:val="00DE3ED4"/>
    <w:rsid w:val="00DE469B"/>
    <w:rsid w:val="00DE46B6"/>
    <w:rsid w:val="00DE504F"/>
    <w:rsid w:val="00DE5117"/>
    <w:rsid w:val="00DE5545"/>
    <w:rsid w:val="00DE599E"/>
    <w:rsid w:val="00DE671C"/>
    <w:rsid w:val="00DE6902"/>
    <w:rsid w:val="00DE6F8D"/>
    <w:rsid w:val="00DE70FF"/>
    <w:rsid w:val="00DE77E2"/>
    <w:rsid w:val="00DF06DC"/>
    <w:rsid w:val="00DF0C42"/>
    <w:rsid w:val="00DF154A"/>
    <w:rsid w:val="00DF1CA5"/>
    <w:rsid w:val="00DF1CBB"/>
    <w:rsid w:val="00DF393E"/>
    <w:rsid w:val="00DF3B32"/>
    <w:rsid w:val="00DF42F0"/>
    <w:rsid w:val="00DF4C2B"/>
    <w:rsid w:val="00DF57F3"/>
    <w:rsid w:val="00DF5B88"/>
    <w:rsid w:val="00DF5DEB"/>
    <w:rsid w:val="00DF5E3C"/>
    <w:rsid w:val="00DF6111"/>
    <w:rsid w:val="00DF6E11"/>
    <w:rsid w:val="00DF74E5"/>
    <w:rsid w:val="00DF78CE"/>
    <w:rsid w:val="00DF790F"/>
    <w:rsid w:val="00DF7EA6"/>
    <w:rsid w:val="00E001D8"/>
    <w:rsid w:val="00E003F7"/>
    <w:rsid w:val="00E01027"/>
    <w:rsid w:val="00E01671"/>
    <w:rsid w:val="00E01B7B"/>
    <w:rsid w:val="00E0216E"/>
    <w:rsid w:val="00E03E1A"/>
    <w:rsid w:val="00E04195"/>
    <w:rsid w:val="00E045D1"/>
    <w:rsid w:val="00E04799"/>
    <w:rsid w:val="00E05461"/>
    <w:rsid w:val="00E0547F"/>
    <w:rsid w:val="00E05D7B"/>
    <w:rsid w:val="00E0629B"/>
    <w:rsid w:val="00E06348"/>
    <w:rsid w:val="00E068C9"/>
    <w:rsid w:val="00E06FE6"/>
    <w:rsid w:val="00E07444"/>
    <w:rsid w:val="00E100E1"/>
    <w:rsid w:val="00E10D83"/>
    <w:rsid w:val="00E12400"/>
    <w:rsid w:val="00E12728"/>
    <w:rsid w:val="00E1272A"/>
    <w:rsid w:val="00E12930"/>
    <w:rsid w:val="00E13A4B"/>
    <w:rsid w:val="00E16149"/>
    <w:rsid w:val="00E16F98"/>
    <w:rsid w:val="00E17086"/>
    <w:rsid w:val="00E17277"/>
    <w:rsid w:val="00E1748D"/>
    <w:rsid w:val="00E17628"/>
    <w:rsid w:val="00E20204"/>
    <w:rsid w:val="00E20273"/>
    <w:rsid w:val="00E20752"/>
    <w:rsid w:val="00E20A21"/>
    <w:rsid w:val="00E228ED"/>
    <w:rsid w:val="00E22949"/>
    <w:rsid w:val="00E248E4"/>
    <w:rsid w:val="00E24A6A"/>
    <w:rsid w:val="00E24BFF"/>
    <w:rsid w:val="00E25120"/>
    <w:rsid w:val="00E25B68"/>
    <w:rsid w:val="00E25B85"/>
    <w:rsid w:val="00E263C2"/>
    <w:rsid w:val="00E2641A"/>
    <w:rsid w:val="00E2729E"/>
    <w:rsid w:val="00E27D62"/>
    <w:rsid w:val="00E303DA"/>
    <w:rsid w:val="00E305AD"/>
    <w:rsid w:val="00E30C94"/>
    <w:rsid w:val="00E31940"/>
    <w:rsid w:val="00E32660"/>
    <w:rsid w:val="00E32AC2"/>
    <w:rsid w:val="00E32D58"/>
    <w:rsid w:val="00E32E4A"/>
    <w:rsid w:val="00E338FB"/>
    <w:rsid w:val="00E33E33"/>
    <w:rsid w:val="00E34854"/>
    <w:rsid w:val="00E34BE7"/>
    <w:rsid w:val="00E358BF"/>
    <w:rsid w:val="00E37269"/>
    <w:rsid w:val="00E37523"/>
    <w:rsid w:val="00E37E02"/>
    <w:rsid w:val="00E37E0D"/>
    <w:rsid w:val="00E37EC1"/>
    <w:rsid w:val="00E37F03"/>
    <w:rsid w:val="00E40483"/>
    <w:rsid w:val="00E406EE"/>
    <w:rsid w:val="00E41A28"/>
    <w:rsid w:val="00E421DF"/>
    <w:rsid w:val="00E42FD9"/>
    <w:rsid w:val="00E430C5"/>
    <w:rsid w:val="00E4356C"/>
    <w:rsid w:val="00E43855"/>
    <w:rsid w:val="00E43F50"/>
    <w:rsid w:val="00E452F5"/>
    <w:rsid w:val="00E455C8"/>
    <w:rsid w:val="00E4565A"/>
    <w:rsid w:val="00E45C2B"/>
    <w:rsid w:val="00E46028"/>
    <w:rsid w:val="00E46E70"/>
    <w:rsid w:val="00E46F6D"/>
    <w:rsid w:val="00E47AAB"/>
    <w:rsid w:val="00E47D84"/>
    <w:rsid w:val="00E50419"/>
    <w:rsid w:val="00E50A91"/>
    <w:rsid w:val="00E51075"/>
    <w:rsid w:val="00E5115C"/>
    <w:rsid w:val="00E512E1"/>
    <w:rsid w:val="00E5269B"/>
    <w:rsid w:val="00E52FA6"/>
    <w:rsid w:val="00E54A34"/>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651"/>
    <w:rsid w:val="00E619A9"/>
    <w:rsid w:val="00E619DD"/>
    <w:rsid w:val="00E6232F"/>
    <w:rsid w:val="00E6409E"/>
    <w:rsid w:val="00E64351"/>
    <w:rsid w:val="00E643EA"/>
    <w:rsid w:val="00E64737"/>
    <w:rsid w:val="00E64B4A"/>
    <w:rsid w:val="00E64F0B"/>
    <w:rsid w:val="00E6512D"/>
    <w:rsid w:val="00E65D82"/>
    <w:rsid w:val="00E6704A"/>
    <w:rsid w:val="00E67FBF"/>
    <w:rsid w:val="00E70E2B"/>
    <w:rsid w:val="00E71207"/>
    <w:rsid w:val="00E71D76"/>
    <w:rsid w:val="00E7342B"/>
    <w:rsid w:val="00E738E0"/>
    <w:rsid w:val="00E74675"/>
    <w:rsid w:val="00E758A5"/>
    <w:rsid w:val="00E75D38"/>
    <w:rsid w:val="00E776EC"/>
    <w:rsid w:val="00E7798C"/>
    <w:rsid w:val="00E8083C"/>
    <w:rsid w:val="00E80E2C"/>
    <w:rsid w:val="00E80E7E"/>
    <w:rsid w:val="00E80E8D"/>
    <w:rsid w:val="00E8148B"/>
    <w:rsid w:val="00E81B1B"/>
    <w:rsid w:val="00E81B76"/>
    <w:rsid w:val="00E81BEB"/>
    <w:rsid w:val="00E82A97"/>
    <w:rsid w:val="00E836AF"/>
    <w:rsid w:val="00E84024"/>
    <w:rsid w:val="00E855AE"/>
    <w:rsid w:val="00E85EFD"/>
    <w:rsid w:val="00E8713F"/>
    <w:rsid w:val="00E87480"/>
    <w:rsid w:val="00E8756A"/>
    <w:rsid w:val="00E87671"/>
    <w:rsid w:val="00E87B3B"/>
    <w:rsid w:val="00E87F2F"/>
    <w:rsid w:val="00E91A7E"/>
    <w:rsid w:val="00E91C89"/>
    <w:rsid w:val="00E93A86"/>
    <w:rsid w:val="00E945B8"/>
    <w:rsid w:val="00E95699"/>
    <w:rsid w:val="00E95C06"/>
    <w:rsid w:val="00E95CBD"/>
    <w:rsid w:val="00E95E52"/>
    <w:rsid w:val="00E967D2"/>
    <w:rsid w:val="00E96B1E"/>
    <w:rsid w:val="00E96C02"/>
    <w:rsid w:val="00E9702D"/>
    <w:rsid w:val="00E976AE"/>
    <w:rsid w:val="00E9793C"/>
    <w:rsid w:val="00EA0195"/>
    <w:rsid w:val="00EA0C1F"/>
    <w:rsid w:val="00EA19A2"/>
    <w:rsid w:val="00EA1C03"/>
    <w:rsid w:val="00EA1CF6"/>
    <w:rsid w:val="00EA1EB3"/>
    <w:rsid w:val="00EA1F4C"/>
    <w:rsid w:val="00EA21CF"/>
    <w:rsid w:val="00EA233B"/>
    <w:rsid w:val="00EA2701"/>
    <w:rsid w:val="00EA2A97"/>
    <w:rsid w:val="00EA2C0D"/>
    <w:rsid w:val="00EA3188"/>
    <w:rsid w:val="00EA43A0"/>
    <w:rsid w:val="00EA53F4"/>
    <w:rsid w:val="00EA59FD"/>
    <w:rsid w:val="00EA5BC5"/>
    <w:rsid w:val="00EA5F1F"/>
    <w:rsid w:val="00EA6A43"/>
    <w:rsid w:val="00EA6A9A"/>
    <w:rsid w:val="00EA6CDA"/>
    <w:rsid w:val="00EA6FEB"/>
    <w:rsid w:val="00EA76E4"/>
    <w:rsid w:val="00EA790C"/>
    <w:rsid w:val="00EB068D"/>
    <w:rsid w:val="00EB19F8"/>
    <w:rsid w:val="00EB1EBF"/>
    <w:rsid w:val="00EB1FD0"/>
    <w:rsid w:val="00EB40D5"/>
    <w:rsid w:val="00EB4C1D"/>
    <w:rsid w:val="00EB50C0"/>
    <w:rsid w:val="00EB559D"/>
    <w:rsid w:val="00EB67A7"/>
    <w:rsid w:val="00EB6F61"/>
    <w:rsid w:val="00EB78C3"/>
    <w:rsid w:val="00EC032D"/>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5391"/>
    <w:rsid w:val="00EC5833"/>
    <w:rsid w:val="00EC603F"/>
    <w:rsid w:val="00EC606C"/>
    <w:rsid w:val="00EC611A"/>
    <w:rsid w:val="00EC620B"/>
    <w:rsid w:val="00EC6228"/>
    <w:rsid w:val="00EC6E6F"/>
    <w:rsid w:val="00EC7B99"/>
    <w:rsid w:val="00ED0011"/>
    <w:rsid w:val="00ED02CC"/>
    <w:rsid w:val="00ED0923"/>
    <w:rsid w:val="00ED0B09"/>
    <w:rsid w:val="00ED15F7"/>
    <w:rsid w:val="00ED1666"/>
    <w:rsid w:val="00ED1FF3"/>
    <w:rsid w:val="00ED2099"/>
    <w:rsid w:val="00ED22F7"/>
    <w:rsid w:val="00ED2359"/>
    <w:rsid w:val="00ED26C1"/>
    <w:rsid w:val="00ED2AEE"/>
    <w:rsid w:val="00ED2CF2"/>
    <w:rsid w:val="00ED3418"/>
    <w:rsid w:val="00ED3A57"/>
    <w:rsid w:val="00ED3E43"/>
    <w:rsid w:val="00ED445F"/>
    <w:rsid w:val="00ED465D"/>
    <w:rsid w:val="00ED519D"/>
    <w:rsid w:val="00ED5CBD"/>
    <w:rsid w:val="00ED5FDB"/>
    <w:rsid w:val="00ED6671"/>
    <w:rsid w:val="00ED66C1"/>
    <w:rsid w:val="00ED6EB7"/>
    <w:rsid w:val="00ED7F2B"/>
    <w:rsid w:val="00ED7FB7"/>
    <w:rsid w:val="00EE0C15"/>
    <w:rsid w:val="00EE0C1F"/>
    <w:rsid w:val="00EE1349"/>
    <w:rsid w:val="00EE1435"/>
    <w:rsid w:val="00EE18FE"/>
    <w:rsid w:val="00EE23B7"/>
    <w:rsid w:val="00EE25C4"/>
    <w:rsid w:val="00EE348C"/>
    <w:rsid w:val="00EE360C"/>
    <w:rsid w:val="00EE4719"/>
    <w:rsid w:val="00EE4836"/>
    <w:rsid w:val="00EE4A2D"/>
    <w:rsid w:val="00EE4C1F"/>
    <w:rsid w:val="00EE4F94"/>
    <w:rsid w:val="00EE5C81"/>
    <w:rsid w:val="00EE6BEB"/>
    <w:rsid w:val="00EE6C22"/>
    <w:rsid w:val="00EE7485"/>
    <w:rsid w:val="00EE7EE4"/>
    <w:rsid w:val="00EF080A"/>
    <w:rsid w:val="00EF1001"/>
    <w:rsid w:val="00EF133F"/>
    <w:rsid w:val="00EF15A0"/>
    <w:rsid w:val="00EF1657"/>
    <w:rsid w:val="00EF24E5"/>
    <w:rsid w:val="00EF28A3"/>
    <w:rsid w:val="00EF2934"/>
    <w:rsid w:val="00EF2D00"/>
    <w:rsid w:val="00EF3143"/>
    <w:rsid w:val="00EF345E"/>
    <w:rsid w:val="00EF351F"/>
    <w:rsid w:val="00EF3930"/>
    <w:rsid w:val="00EF39BA"/>
    <w:rsid w:val="00EF4259"/>
    <w:rsid w:val="00EF4914"/>
    <w:rsid w:val="00EF4F9A"/>
    <w:rsid w:val="00EF506B"/>
    <w:rsid w:val="00EF667A"/>
    <w:rsid w:val="00EF6D28"/>
    <w:rsid w:val="00EF7C7B"/>
    <w:rsid w:val="00EF7E83"/>
    <w:rsid w:val="00F00D09"/>
    <w:rsid w:val="00F00F46"/>
    <w:rsid w:val="00F01177"/>
    <w:rsid w:val="00F012E8"/>
    <w:rsid w:val="00F015B5"/>
    <w:rsid w:val="00F01CD7"/>
    <w:rsid w:val="00F0230A"/>
    <w:rsid w:val="00F02681"/>
    <w:rsid w:val="00F02E16"/>
    <w:rsid w:val="00F030D7"/>
    <w:rsid w:val="00F04E3B"/>
    <w:rsid w:val="00F053CB"/>
    <w:rsid w:val="00F0584C"/>
    <w:rsid w:val="00F05B1D"/>
    <w:rsid w:val="00F0619C"/>
    <w:rsid w:val="00F06CD1"/>
    <w:rsid w:val="00F078C3"/>
    <w:rsid w:val="00F07ABC"/>
    <w:rsid w:val="00F07BB5"/>
    <w:rsid w:val="00F07E4E"/>
    <w:rsid w:val="00F11093"/>
    <w:rsid w:val="00F11331"/>
    <w:rsid w:val="00F11642"/>
    <w:rsid w:val="00F1168C"/>
    <w:rsid w:val="00F130D3"/>
    <w:rsid w:val="00F14345"/>
    <w:rsid w:val="00F143E0"/>
    <w:rsid w:val="00F14C8E"/>
    <w:rsid w:val="00F14CDD"/>
    <w:rsid w:val="00F14F5B"/>
    <w:rsid w:val="00F14F80"/>
    <w:rsid w:val="00F1511A"/>
    <w:rsid w:val="00F15725"/>
    <w:rsid w:val="00F15AD3"/>
    <w:rsid w:val="00F1675B"/>
    <w:rsid w:val="00F16BFE"/>
    <w:rsid w:val="00F20008"/>
    <w:rsid w:val="00F209F1"/>
    <w:rsid w:val="00F20EB7"/>
    <w:rsid w:val="00F22078"/>
    <w:rsid w:val="00F22694"/>
    <w:rsid w:val="00F22E15"/>
    <w:rsid w:val="00F2368B"/>
    <w:rsid w:val="00F23E03"/>
    <w:rsid w:val="00F23E47"/>
    <w:rsid w:val="00F24277"/>
    <w:rsid w:val="00F247D4"/>
    <w:rsid w:val="00F25424"/>
    <w:rsid w:val="00F256BD"/>
    <w:rsid w:val="00F258BB"/>
    <w:rsid w:val="00F26DE9"/>
    <w:rsid w:val="00F30670"/>
    <w:rsid w:val="00F30C83"/>
    <w:rsid w:val="00F30E46"/>
    <w:rsid w:val="00F313E0"/>
    <w:rsid w:val="00F313F8"/>
    <w:rsid w:val="00F32769"/>
    <w:rsid w:val="00F327D9"/>
    <w:rsid w:val="00F3309E"/>
    <w:rsid w:val="00F3330F"/>
    <w:rsid w:val="00F3430A"/>
    <w:rsid w:val="00F34C6A"/>
    <w:rsid w:val="00F35A9A"/>
    <w:rsid w:val="00F35CF6"/>
    <w:rsid w:val="00F35E23"/>
    <w:rsid w:val="00F366A0"/>
    <w:rsid w:val="00F36723"/>
    <w:rsid w:val="00F3751E"/>
    <w:rsid w:val="00F37C75"/>
    <w:rsid w:val="00F37E86"/>
    <w:rsid w:val="00F4004F"/>
    <w:rsid w:val="00F40BB8"/>
    <w:rsid w:val="00F41AE2"/>
    <w:rsid w:val="00F41F3B"/>
    <w:rsid w:val="00F42857"/>
    <w:rsid w:val="00F42E0C"/>
    <w:rsid w:val="00F42FB1"/>
    <w:rsid w:val="00F4338D"/>
    <w:rsid w:val="00F438C3"/>
    <w:rsid w:val="00F4453F"/>
    <w:rsid w:val="00F45485"/>
    <w:rsid w:val="00F454A4"/>
    <w:rsid w:val="00F4559B"/>
    <w:rsid w:val="00F45D58"/>
    <w:rsid w:val="00F468A4"/>
    <w:rsid w:val="00F477DC"/>
    <w:rsid w:val="00F47F0E"/>
    <w:rsid w:val="00F50AED"/>
    <w:rsid w:val="00F510CA"/>
    <w:rsid w:val="00F51161"/>
    <w:rsid w:val="00F51383"/>
    <w:rsid w:val="00F526F7"/>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D75"/>
    <w:rsid w:val="00F611FF"/>
    <w:rsid w:val="00F61A94"/>
    <w:rsid w:val="00F6230B"/>
    <w:rsid w:val="00F625F3"/>
    <w:rsid w:val="00F63215"/>
    <w:rsid w:val="00F63521"/>
    <w:rsid w:val="00F641EF"/>
    <w:rsid w:val="00F64A6B"/>
    <w:rsid w:val="00F6514A"/>
    <w:rsid w:val="00F65E46"/>
    <w:rsid w:val="00F660A9"/>
    <w:rsid w:val="00F66615"/>
    <w:rsid w:val="00F67038"/>
    <w:rsid w:val="00F67343"/>
    <w:rsid w:val="00F67366"/>
    <w:rsid w:val="00F6763A"/>
    <w:rsid w:val="00F70854"/>
    <w:rsid w:val="00F70DF7"/>
    <w:rsid w:val="00F72880"/>
    <w:rsid w:val="00F72B2E"/>
    <w:rsid w:val="00F72F3D"/>
    <w:rsid w:val="00F73E14"/>
    <w:rsid w:val="00F73FC0"/>
    <w:rsid w:val="00F73FEA"/>
    <w:rsid w:val="00F7408D"/>
    <w:rsid w:val="00F74942"/>
    <w:rsid w:val="00F74C33"/>
    <w:rsid w:val="00F74C6C"/>
    <w:rsid w:val="00F7656D"/>
    <w:rsid w:val="00F76949"/>
    <w:rsid w:val="00F76D0F"/>
    <w:rsid w:val="00F776D2"/>
    <w:rsid w:val="00F80948"/>
    <w:rsid w:val="00F81569"/>
    <w:rsid w:val="00F81632"/>
    <w:rsid w:val="00F82608"/>
    <w:rsid w:val="00F82873"/>
    <w:rsid w:val="00F829FC"/>
    <w:rsid w:val="00F82D4C"/>
    <w:rsid w:val="00F8374F"/>
    <w:rsid w:val="00F840F9"/>
    <w:rsid w:val="00F84A7B"/>
    <w:rsid w:val="00F851C7"/>
    <w:rsid w:val="00F86875"/>
    <w:rsid w:val="00F869C6"/>
    <w:rsid w:val="00F87EB8"/>
    <w:rsid w:val="00F916AD"/>
    <w:rsid w:val="00F919F8"/>
    <w:rsid w:val="00F91B67"/>
    <w:rsid w:val="00F93328"/>
    <w:rsid w:val="00F93825"/>
    <w:rsid w:val="00F93962"/>
    <w:rsid w:val="00F93B44"/>
    <w:rsid w:val="00F93D5E"/>
    <w:rsid w:val="00F93F91"/>
    <w:rsid w:val="00F94471"/>
    <w:rsid w:val="00F948CD"/>
    <w:rsid w:val="00F96304"/>
    <w:rsid w:val="00F96480"/>
    <w:rsid w:val="00F96569"/>
    <w:rsid w:val="00F965BE"/>
    <w:rsid w:val="00F97126"/>
    <w:rsid w:val="00F97473"/>
    <w:rsid w:val="00F97EC2"/>
    <w:rsid w:val="00FA014C"/>
    <w:rsid w:val="00FA2418"/>
    <w:rsid w:val="00FA3206"/>
    <w:rsid w:val="00FA354A"/>
    <w:rsid w:val="00FA4CF4"/>
    <w:rsid w:val="00FA4D48"/>
    <w:rsid w:val="00FA5911"/>
    <w:rsid w:val="00FA6249"/>
    <w:rsid w:val="00FA6272"/>
    <w:rsid w:val="00FA64C8"/>
    <w:rsid w:val="00FA6D8B"/>
    <w:rsid w:val="00FA75CC"/>
    <w:rsid w:val="00FA7BBE"/>
    <w:rsid w:val="00FB008B"/>
    <w:rsid w:val="00FB00CE"/>
    <w:rsid w:val="00FB011B"/>
    <w:rsid w:val="00FB1893"/>
    <w:rsid w:val="00FB1F1B"/>
    <w:rsid w:val="00FB22CC"/>
    <w:rsid w:val="00FB24ED"/>
    <w:rsid w:val="00FB262E"/>
    <w:rsid w:val="00FB3961"/>
    <w:rsid w:val="00FB3DAB"/>
    <w:rsid w:val="00FB4454"/>
    <w:rsid w:val="00FB481F"/>
    <w:rsid w:val="00FB4BB2"/>
    <w:rsid w:val="00FB4DC4"/>
    <w:rsid w:val="00FB5061"/>
    <w:rsid w:val="00FB587D"/>
    <w:rsid w:val="00FB58CA"/>
    <w:rsid w:val="00FB5BA9"/>
    <w:rsid w:val="00FB602D"/>
    <w:rsid w:val="00FB647D"/>
    <w:rsid w:val="00FB64D7"/>
    <w:rsid w:val="00FB75DD"/>
    <w:rsid w:val="00FB7CDF"/>
    <w:rsid w:val="00FC070A"/>
    <w:rsid w:val="00FC0854"/>
    <w:rsid w:val="00FC09F7"/>
    <w:rsid w:val="00FC0DBF"/>
    <w:rsid w:val="00FC10AF"/>
    <w:rsid w:val="00FC13B1"/>
    <w:rsid w:val="00FC2EE6"/>
    <w:rsid w:val="00FC3350"/>
    <w:rsid w:val="00FC36D0"/>
    <w:rsid w:val="00FC3DF7"/>
    <w:rsid w:val="00FC43FA"/>
    <w:rsid w:val="00FC4617"/>
    <w:rsid w:val="00FC4796"/>
    <w:rsid w:val="00FC4F8E"/>
    <w:rsid w:val="00FC4F90"/>
    <w:rsid w:val="00FC519E"/>
    <w:rsid w:val="00FC5599"/>
    <w:rsid w:val="00FC722E"/>
    <w:rsid w:val="00FC7295"/>
    <w:rsid w:val="00FD02B1"/>
    <w:rsid w:val="00FD11C7"/>
    <w:rsid w:val="00FD14DB"/>
    <w:rsid w:val="00FD14FB"/>
    <w:rsid w:val="00FD241D"/>
    <w:rsid w:val="00FD2435"/>
    <w:rsid w:val="00FD3134"/>
    <w:rsid w:val="00FD44F8"/>
    <w:rsid w:val="00FD48D7"/>
    <w:rsid w:val="00FD4AFB"/>
    <w:rsid w:val="00FD52E6"/>
    <w:rsid w:val="00FD5944"/>
    <w:rsid w:val="00FD5BF7"/>
    <w:rsid w:val="00FD6FE8"/>
    <w:rsid w:val="00FD7C67"/>
    <w:rsid w:val="00FE04CE"/>
    <w:rsid w:val="00FE056F"/>
    <w:rsid w:val="00FE0722"/>
    <w:rsid w:val="00FE09A3"/>
    <w:rsid w:val="00FE0A07"/>
    <w:rsid w:val="00FE0E2E"/>
    <w:rsid w:val="00FE1D2C"/>
    <w:rsid w:val="00FE21BC"/>
    <w:rsid w:val="00FE2B37"/>
    <w:rsid w:val="00FE2DD1"/>
    <w:rsid w:val="00FE388C"/>
    <w:rsid w:val="00FE4351"/>
    <w:rsid w:val="00FE46E0"/>
    <w:rsid w:val="00FE4F27"/>
    <w:rsid w:val="00FE5F71"/>
    <w:rsid w:val="00FE6830"/>
    <w:rsid w:val="00FE71EE"/>
    <w:rsid w:val="00FE7B8A"/>
    <w:rsid w:val="00FF004D"/>
    <w:rsid w:val="00FF03F8"/>
    <w:rsid w:val="00FF0F8D"/>
    <w:rsid w:val="00FF15E6"/>
    <w:rsid w:val="00FF1858"/>
    <w:rsid w:val="00FF1ABD"/>
    <w:rsid w:val="00FF20AB"/>
    <w:rsid w:val="00FF243B"/>
    <w:rsid w:val="00FF26DF"/>
    <w:rsid w:val="00FF283E"/>
    <w:rsid w:val="00FF2CBE"/>
    <w:rsid w:val="00FF3959"/>
    <w:rsid w:val="00FF3E41"/>
    <w:rsid w:val="00FF3E95"/>
    <w:rsid w:val="00FF4C4A"/>
    <w:rsid w:val="00FF4DF3"/>
    <w:rsid w:val="00FF5163"/>
    <w:rsid w:val="00FF604A"/>
    <w:rsid w:val="00FF61CE"/>
    <w:rsid w:val="00FF64D4"/>
    <w:rsid w:val="00FF6B3F"/>
    <w:rsid w:val="00FF6B47"/>
    <w:rsid w:val="00FF6E99"/>
    <w:rsid w:val="00FF71CF"/>
    <w:rsid w:val="00FF78C5"/>
    <w:rsid w:val="00FF796B"/>
    <w:rsid w:val="00FF7F99"/>
    <w:rsid w:val="011AFC64"/>
    <w:rsid w:val="01248B43"/>
    <w:rsid w:val="0125499B"/>
    <w:rsid w:val="013537EA"/>
    <w:rsid w:val="017C213C"/>
    <w:rsid w:val="01A2F5E1"/>
    <w:rsid w:val="01B18FC1"/>
    <w:rsid w:val="01B2D454"/>
    <w:rsid w:val="01C6A2B9"/>
    <w:rsid w:val="01CE2313"/>
    <w:rsid w:val="01E0F6F6"/>
    <w:rsid w:val="01EB8463"/>
    <w:rsid w:val="020E71F0"/>
    <w:rsid w:val="020EABAE"/>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B5FB3E"/>
    <w:rsid w:val="03BD19E6"/>
    <w:rsid w:val="03BE7E54"/>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BE3DF"/>
    <w:rsid w:val="0682CD27"/>
    <w:rsid w:val="06E3C4EA"/>
    <w:rsid w:val="06FF7619"/>
    <w:rsid w:val="0719A4B1"/>
    <w:rsid w:val="0728BEDA"/>
    <w:rsid w:val="072BB4B3"/>
    <w:rsid w:val="074B2B2C"/>
    <w:rsid w:val="0750BF82"/>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538E96"/>
    <w:rsid w:val="08670EDD"/>
    <w:rsid w:val="0871DD90"/>
    <w:rsid w:val="08787D65"/>
    <w:rsid w:val="087AD5D6"/>
    <w:rsid w:val="089C379D"/>
    <w:rsid w:val="089EF13B"/>
    <w:rsid w:val="08C2A36A"/>
    <w:rsid w:val="08F01D56"/>
    <w:rsid w:val="0916651E"/>
    <w:rsid w:val="091CBBE0"/>
    <w:rsid w:val="092489C6"/>
    <w:rsid w:val="09282F8C"/>
    <w:rsid w:val="0938BA35"/>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86D2AE"/>
    <w:rsid w:val="0AB802A4"/>
    <w:rsid w:val="0AD36E94"/>
    <w:rsid w:val="0AF64213"/>
    <w:rsid w:val="0B1D0F1C"/>
    <w:rsid w:val="0B282C20"/>
    <w:rsid w:val="0B28C90A"/>
    <w:rsid w:val="0B342EBF"/>
    <w:rsid w:val="0B34C8D8"/>
    <w:rsid w:val="0B5F003A"/>
    <w:rsid w:val="0B7FAC08"/>
    <w:rsid w:val="0B8BC376"/>
    <w:rsid w:val="0BB9C80E"/>
    <w:rsid w:val="0BD333A2"/>
    <w:rsid w:val="0BE83D78"/>
    <w:rsid w:val="0BFF42AE"/>
    <w:rsid w:val="0C125B65"/>
    <w:rsid w:val="0C472415"/>
    <w:rsid w:val="0C5A5767"/>
    <w:rsid w:val="0C7F48CB"/>
    <w:rsid w:val="0C856D3C"/>
    <w:rsid w:val="0C946273"/>
    <w:rsid w:val="0C98347E"/>
    <w:rsid w:val="0CB816CE"/>
    <w:rsid w:val="0CDC5163"/>
    <w:rsid w:val="0CDCEB48"/>
    <w:rsid w:val="0CE0F78C"/>
    <w:rsid w:val="0CF26A39"/>
    <w:rsid w:val="0CF9589A"/>
    <w:rsid w:val="0D0CDDB4"/>
    <w:rsid w:val="0D235B77"/>
    <w:rsid w:val="0D287624"/>
    <w:rsid w:val="0D2A162E"/>
    <w:rsid w:val="0D2C1718"/>
    <w:rsid w:val="0D3FE6EC"/>
    <w:rsid w:val="0D460DAC"/>
    <w:rsid w:val="0D48F67D"/>
    <w:rsid w:val="0D548F34"/>
    <w:rsid w:val="0D79BDBE"/>
    <w:rsid w:val="0D87F5B3"/>
    <w:rsid w:val="0DBAE1CD"/>
    <w:rsid w:val="0DBC1658"/>
    <w:rsid w:val="0DE36292"/>
    <w:rsid w:val="0DF69707"/>
    <w:rsid w:val="0E0B9657"/>
    <w:rsid w:val="0E11FDD2"/>
    <w:rsid w:val="0E23B1F6"/>
    <w:rsid w:val="0E2D4896"/>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786B2C"/>
    <w:rsid w:val="1779787A"/>
    <w:rsid w:val="178FACE4"/>
    <w:rsid w:val="17ACBC45"/>
    <w:rsid w:val="17E83D2A"/>
    <w:rsid w:val="17EA4FB6"/>
    <w:rsid w:val="17FBD87F"/>
    <w:rsid w:val="1800C95A"/>
    <w:rsid w:val="18025A5C"/>
    <w:rsid w:val="1805FE30"/>
    <w:rsid w:val="18210416"/>
    <w:rsid w:val="1833055A"/>
    <w:rsid w:val="184DB884"/>
    <w:rsid w:val="185E2352"/>
    <w:rsid w:val="187574B5"/>
    <w:rsid w:val="1875A3B8"/>
    <w:rsid w:val="188F6ECC"/>
    <w:rsid w:val="189317CD"/>
    <w:rsid w:val="18A72198"/>
    <w:rsid w:val="18F0BBEA"/>
    <w:rsid w:val="190B4793"/>
    <w:rsid w:val="19438A62"/>
    <w:rsid w:val="1948E4B3"/>
    <w:rsid w:val="1960BBDF"/>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EA3AF"/>
    <w:rsid w:val="1AA5165A"/>
    <w:rsid w:val="1ABB01A1"/>
    <w:rsid w:val="1AC842C4"/>
    <w:rsid w:val="1AEDA7A0"/>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17E99"/>
    <w:rsid w:val="1D5F3665"/>
    <w:rsid w:val="1D733723"/>
    <w:rsid w:val="1D7844A1"/>
    <w:rsid w:val="1D79A785"/>
    <w:rsid w:val="1D8578DA"/>
    <w:rsid w:val="1DA896E7"/>
    <w:rsid w:val="1DD0931B"/>
    <w:rsid w:val="1DD5C693"/>
    <w:rsid w:val="1E2E86AD"/>
    <w:rsid w:val="1E381467"/>
    <w:rsid w:val="1E3D80A7"/>
    <w:rsid w:val="1E5C9C58"/>
    <w:rsid w:val="1E6E658B"/>
    <w:rsid w:val="1EA4A824"/>
    <w:rsid w:val="1EB91794"/>
    <w:rsid w:val="1EC0CB84"/>
    <w:rsid w:val="1ECDF924"/>
    <w:rsid w:val="1ED815A7"/>
    <w:rsid w:val="1EF50A63"/>
    <w:rsid w:val="1F10B620"/>
    <w:rsid w:val="1F11AA2F"/>
    <w:rsid w:val="1F424B83"/>
    <w:rsid w:val="1F621F61"/>
    <w:rsid w:val="1F71E6C7"/>
    <w:rsid w:val="1FAD7DE6"/>
    <w:rsid w:val="1FF113BC"/>
    <w:rsid w:val="1FF2832C"/>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51FBB53"/>
    <w:rsid w:val="25214FDD"/>
    <w:rsid w:val="2542A85C"/>
    <w:rsid w:val="255A34DF"/>
    <w:rsid w:val="25796723"/>
    <w:rsid w:val="2588012E"/>
    <w:rsid w:val="25962946"/>
    <w:rsid w:val="25BA1832"/>
    <w:rsid w:val="25D4E9B2"/>
    <w:rsid w:val="260CBD36"/>
    <w:rsid w:val="261C290A"/>
    <w:rsid w:val="26272903"/>
    <w:rsid w:val="262F5C6B"/>
    <w:rsid w:val="26388BB7"/>
    <w:rsid w:val="26559A4C"/>
    <w:rsid w:val="26965E81"/>
    <w:rsid w:val="26A56F7C"/>
    <w:rsid w:val="26C19BB7"/>
    <w:rsid w:val="26C416EC"/>
    <w:rsid w:val="26C53EE9"/>
    <w:rsid w:val="26C7AD86"/>
    <w:rsid w:val="26EE8AA0"/>
    <w:rsid w:val="26FDF5E2"/>
    <w:rsid w:val="26FFEBC5"/>
    <w:rsid w:val="2707DD47"/>
    <w:rsid w:val="273B01F1"/>
    <w:rsid w:val="27759516"/>
    <w:rsid w:val="278E700E"/>
    <w:rsid w:val="27D54D00"/>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122C4F"/>
    <w:rsid w:val="2E2161AA"/>
    <w:rsid w:val="2E2749F4"/>
    <w:rsid w:val="2E4C310C"/>
    <w:rsid w:val="2E5B1240"/>
    <w:rsid w:val="2E67145D"/>
    <w:rsid w:val="2E7BA59E"/>
    <w:rsid w:val="2E7EAD9D"/>
    <w:rsid w:val="2EA7F811"/>
    <w:rsid w:val="2EAC11BC"/>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158489"/>
    <w:rsid w:val="311B0903"/>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853064"/>
    <w:rsid w:val="34CA8255"/>
    <w:rsid w:val="34FBC99C"/>
    <w:rsid w:val="34FED89B"/>
    <w:rsid w:val="350EA8C6"/>
    <w:rsid w:val="351A17DD"/>
    <w:rsid w:val="35457EFD"/>
    <w:rsid w:val="35528E80"/>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43943E"/>
    <w:rsid w:val="3A574B00"/>
    <w:rsid w:val="3A5A5311"/>
    <w:rsid w:val="3A6EF8ED"/>
    <w:rsid w:val="3A77F996"/>
    <w:rsid w:val="3A7EBB60"/>
    <w:rsid w:val="3A8971C2"/>
    <w:rsid w:val="3A9ECB9A"/>
    <w:rsid w:val="3AA9B43B"/>
    <w:rsid w:val="3AAFC9A8"/>
    <w:rsid w:val="3AC462AB"/>
    <w:rsid w:val="3AD97454"/>
    <w:rsid w:val="3AE258FB"/>
    <w:rsid w:val="3AEE4452"/>
    <w:rsid w:val="3B2A06E8"/>
    <w:rsid w:val="3B410A67"/>
    <w:rsid w:val="3B4A0253"/>
    <w:rsid w:val="3B4EC0F0"/>
    <w:rsid w:val="3B5254AB"/>
    <w:rsid w:val="3B6CDB57"/>
    <w:rsid w:val="3B7EAC83"/>
    <w:rsid w:val="3B8051D2"/>
    <w:rsid w:val="3B845FAE"/>
    <w:rsid w:val="3BAEBD69"/>
    <w:rsid w:val="3BAF91DA"/>
    <w:rsid w:val="3BB80D42"/>
    <w:rsid w:val="3BC4CE2C"/>
    <w:rsid w:val="3BC98044"/>
    <w:rsid w:val="3BDB91E6"/>
    <w:rsid w:val="3C091A8C"/>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5D954"/>
    <w:rsid w:val="3EE40E20"/>
    <w:rsid w:val="3F09BF41"/>
    <w:rsid w:val="3F0DBDE9"/>
    <w:rsid w:val="3F1046EF"/>
    <w:rsid w:val="3F18D327"/>
    <w:rsid w:val="3F228FE5"/>
    <w:rsid w:val="3F423D8B"/>
    <w:rsid w:val="3F45B34F"/>
    <w:rsid w:val="3F4EC727"/>
    <w:rsid w:val="3F6653BF"/>
    <w:rsid w:val="3F759C6B"/>
    <w:rsid w:val="3FAB28E7"/>
    <w:rsid w:val="3FC2B754"/>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A740A"/>
    <w:rsid w:val="4B500340"/>
    <w:rsid w:val="4B5415E7"/>
    <w:rsid w:val="4B5E66E3"/>
    <w:rsid w:val="4B70C39F"/>
    <w:rsid w:val="4B8D981E"/>
    <w:rsid w:val="4B8DC56A"/>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ACB228"/>
    <w:rsid w:val="4DB3A1A1"/>
    <w:rsid w:val="4DBA7864"/>
    <w:rsid w:val="4DC153C2"/>
    <w:rsid w:val="4DDFC52C"/>
    <w:rsid w:val="4DE31379"/>
    <w:rsid w:val="4DFA7F89"/>
    <w:rsid w:val="4E4AE9AC"/>
    <w:rsid w:val="4E51ABC8"/>
    <w:rsid w:val="4E7979DA"/>
    <w:rsid w:val="4E89177B"/>
    <w:rsid w:val="4E9EE8F8"/>
    <w:rsid w:val="4EAE792A"/>
    <w:rsid w:val="4EB3407B"/>
    <w:rsid w:val="4EBDABBB"/>
    <w:rsid w:val="4EF4BA90"/>
    <w:rsid w:val="4EFD0D7E"/>
    <w:rsid w:val="4F01C2C3"/>
    <w:rsid w:val="4F161AC7"/>
    <w:rsid w:val="4F3C4CD6"/>
    <w:rsid w:val="4F696016"/>
    <w:rsid w:val="4F6A5413"/>
    <w:rsid w:val="4FB13038"/>
    <w:rsid w:val="4FB90FA7"/>
    <w:rsid w:val="4FD7E433"/>
    <w:rsid w:val="5023493B"/>
    <w:rsid w:val="502438F5"/>
    <w:rsid w:val="503F12AF"/>
    <w:rsid w:val="50529AD6"/>
    <w:rsid w:val="507403DA"/>
    <w:rsid w:val="50A6ABE4"/>
    <w:rsid w:val="50C62BD0"/>
    <w:rsid w:val="50DB3FB4"/>
    <w:rsid w:val="50E24B3F"/>
    <w:rsid w:val="50E3E676"/>
    <w:rsid w:val="50E830B4"/>
    <w:rsid w:val="50FA2601"/>
    <w:rsid w:val="50FD9463"/>
    <w:rsid w:val="5112E39D"/>
    <w:rsid w:val="5127AE58"/>
    <w:rsid w:val="513350D0"/>
    <w:rsid w:val="51424C36"/>
    <w:rsid w:val="5151DB01"/>
    <w:rsid w:val="51A05A22"/>
    <w:rsid w:val="51AE67D6"/>
    <w:rsid w:val="51B5EF50"/>
    <w:rsid w:val="51BF51A8"/>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2C7892"/>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346766"/>
    <w:rsid w:val="5B666010"/>
    <w:rsid w:val="5B74A35D"/>
    <w:rsid w:val="5B7C8609"/>
    <w:rsid w:val="5B933680"/>
    <w:rsid w:val="5B96019B"/>
    <w:rsid w:val="5BA081A5"/>
    <w:rsid w:val="5BADCDAC"/>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F7998D"/>
    <w:rsid w:val="5EFFF4C5"/>
    <w:rsid w:val="5F0F655E"/>
    <w:rsid w:val="5F1976B2"/>
    <w:rsid w:val="5F1ABE8B"/>
    <w:rsid w:val="5F23392B"/>
    <w:rsid w:val="5F26845C"/>
    <w:rsid w:val="5F28403C"/>
    <w:rsid w:val="5F2B6CF0"/>
    <w:rsid w:val="5F36DBDD"/>
    <w:rsid w:val="5F4362AD"/>
    <w:rsid w:val="5F4528FE"/>
    <w:rsid w:val="5F4EE132"/>
    <w:rsid w:val="5FCACBF6"/>
    <w:rsid w:val="5FEF60D7"/>
    <w:rsid w:val="5FF7EE9B"/>
    <w:rsid w:val="600AA1EC"/>
    <w:rsid w:val="600B865C"/>
    <w:rsid w:val="60221281"/>
    <w:rsid w:val="603A7922"/>
    <w:rsid w:val="603CBAA4"/>
    <w:rsid w:val="6046925E"/>
    <w:rsid w:val="6064E9B7"/>
    <w:rsid w:val="607E57A8"/>
    <w:rsid w:val="6094FA8B"/>
    <w:rsid w:val="609D7853"/>
    <w:rsid w:val="609ED0FB"/>
    <w:rsid w:val="60B26EA9"/>
    <w:rsid w:val="60D09001"/>
    <w:rsid w:val="60DF6B45"/>
    <w:rsid w:val="60E05DEE"/>
    <w:rsid w:val="60FF75A0"/>
    <w:rsid w:val="6107F837"/>
    <w:rsid w:val="610C2E35"/>
    <w:rsid w:val="611CD39F"/>
    <w:rsid w:val="61413480"/>
    <w:rsid w:val="61588478"/>
    <w:rsid w:val="615B1758"/>
    <w:rsid w:val="6163B1A7"/>
    <w:rsid w:val="6168693A"/>
    <w:rsid w:val="6171A8C9"/>
    <w:rsid w:val="61862B67"/>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1909AE"/>
    <w:rsid w:val="63275BDE"/>
    <w:rsid w:val="6329AC41"/>
    <w:rsid w:val="63400821"/>
    <w:rsid w:val="634F06E7"/>
    <w:rsid w:val="635F54A8"/>
    <w:rsid w:val="63672484"/>
    <w:rsid w:val="638A000C"/>
    <w:rsid w:val="638A8A37"/>
    <w:rsid w:val="639448A6"/>
    <w:rsid w:val="63996836"/>
    <w:rsid w:val="639A33AC"/>
    <w:rsid w:val="639D0AF6"/>
    <w:rsid w:val="63B67E4F"/>
    <w:rsid w:val="64054568"/>
    <w:rsid w:val="64343B3E"/>
    <w:rsid w:val="64459AB0"/>
    <w:rsid w:val="6460D7F6"/>
    <w:rsid w:val="6461A768"/>
    <w:rsid w:val="64666799"/>
    <w:rsid w:val="646BD719"/>
    <w:rsid w:val="64705219"/>
    <w:rsid w:val="647E9D90"/>
    <w:rsid w:val="6484ED97"/>
    <w:rsid w:val="648A5311"/>
    <w:rsid w:val="64988CB0"/>
    <w:rsid w:val="64A0D0A3"/>
    <w:rsid w:val="64AA0C37"/>
    <w:rsid w:val="64B25B38"/>
    <w:rsid w:val="64BB9EF3"/>
    <w:rsid w:val="64C0F628"/>
    <w:rsid w:val="64CC9665"/>
    <w:rsid w:val="64D8C044"/>
    <w:rsid w:val="64E7A4E0"/>
    <w:rsid w:val="6515DC66"/>
    <w:rsid w:val="654F2C5A"/>
    <w:rsid w:val="656C5117"/>
    <w:rsid w:val="659856E8"/>
    <w:rsid w:val="65A54C5D"/>
    <w:rsid w:val="65A7D319"/>
    <w:rsid w:val="65C82EC8"/>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CF25D8"/>
    <w:rsid w:val="6BF6B490"/>
    <w:rsid w:val="6C048DE4"/>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F18496"/>
    <w:rsid w:val="6E1954DF"/>
    <w:rsid w:val="6E32714D"/>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7003A9EF"/>
    <w:rsid w:val="700715BA"/>
    <w:rsid w:val="7008FA83"/>
    <w:rsid w:val="70132795"/>
    <w:rsid w:val="7037EB1A"/>
    <w:rsid w:val="705A622D"/>
    <w:rsid w:val="7079F2BC"/>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2087438"/>
    <w:rsid w:val="721B67FB"/>
    <w:rsid w:val="723A408F"/>
    <w:rsid w:val="724949F5"/>
    <w:rsid w:val="724F123A"/>
    <w:rsid w:val="7262B52F"/>
    <w:rsid w:val="72A7AB8F"/>
    <w:rsid w:val="72AA29E8"/>
    <w:rsid w:val="72EAD381"/>
    <w:rsid w:val="72FB47D5"/>
    <w:rsid w:val="72FB7EE5"/>
    <w:rsid w:val="72FCA266"/>
    <w:rsid w:val="72FCC781"/>
    <w:rsid w:val="730ED582"/>
    <w:rsid w:val="7377B0A4"/>
    <w:rsid w:val="737CE61F"/>
    <w:rsid w:val="73B7E5CA"/>
    <w:rsid w:val="73B7F92A"/>
    <w:rsid w:val="73C5EC53"/>
    <w:rsid w:val="742C897B"/>
    <w:rsid w:val="74500087"/>
    <w:rsid w:val="74598FAF"/>
    <w:rsid w:val="7461BFAE"/>
    <w:rsid w:val="74899EFA"/>
    <w:rsid w:val="748E1DB1"/>
    <w:rsid w:val="74910649"/>
    <w:rsid w:val="749FBC39"/>
    <w:rsid w:val="751CBAD0"/>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E86D8"/>
    <w:rsid w:val="79F032DD"/>
    <w:rsid w:val="7A075A1F"/>
    <w:rsid w:val="7A14BDCD"/>
    <w:rsid w:val="7A216B80"/>
    <w:rsid w:val="7A2CE132"/>
    <w:rsid w:val="7A2F4131"/>
    <w:rsid w:val="7A3F4A5A"/>
    <w:rsid w:val="7A5BB7AB"/>
    <w:rsid w:val="7A621D3B"/>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D37F8"/>
    <w:rsid w:val="7B8A6965"/>
    <w:rsid w:val="7B8B6E82"/>
    <w:rsid w:val="7B970984"/>
    <w:rsid w:val="7BC1C329"/>
    <w:rsid w:val="7C1928AC"/>
    <w:rsid w:val="7C2E8055"/>
    <w:rsid w:val="7C33A0BF"/>
    <w:rsid w:val="7C545D11"/>
    <w:rsid w:val="7C5B0F08"/>
    <w:rsid w:val="7C5B30C3"/>
    <w:rsid w:val="7C6F0C05"/>
    <w:rsid w:val="7C7BE26A"/>
    <w:rsid w:val="7C8E45DD"/>
    <w:rsid w:val="7C9D60B2"/>
    <w:rsid w:val="7CA6E5A9"/>
    <w:rsid w:val="7CEDF29C"/>
    <w:rsid w:val="7D1C5794"/>
    <w:rsid w:val="7D5D6AE6"/>
    <w:rsid w:val="7D60017E"/>
    <w:rsid w:val="7D946B8A"/>
    <w:rsid w:val="7D9D4684"/>
    <w:rsid w:val="7DA0E55A"/>
    <w:rsid w:val="7DAB1550"/>
    <w:rsid w:val="7DBA77F0"/>
    <w:rsid w:val="7DC61C69"/>
    <w:rsid w:val="7DD34247"/>
    <w:rsid w:val="7DDABA2E"/>
    <w:rsid w:val="7DE55659"/>
    <w:rsid w:val="7E0348EB"/>
    <w:rsid w:val="7E048329"/>
    <w:rsid w:val="7E0C3728"/>
    <w:rsid w:val="7E187F56"/>
    <w:rsid w:val="7E36B0DA"/>
    <w:rsid w:val="7E400061"/>
    <w:rsid w:val="7EA3C3C4"/>
    <w:rsid w:val="7EAC74F7"/>
    <w:rsid w:val="7EC87BF3"/>
    <w:rsid w:val="7EE9EE3B"/>
    <w:rsid w:val="7EFEF0D3"/>
    <w:rsid w:val="7F05C1CF"/>
    <w:rsid w:val="7F37B715"/>
    <w:rsid w:val="7F426749"/>
    <w:rsid w:val="7F4A4901"/>
    <w:rsid w:val="7F4CFC2D"/>
    <w:rsid w:val="7F5A6C17"/>
    <w:rsid w:val="7F60D247"/>
    <w:rsid w:val="7F9A6879"/>
    <w:rsid w:val="7FAE8A6B"/>
    <w:rsid w:val="7FC97032"/>
    <w:rsid w:val="7FCD12D1"/>
    <w:rsid w:val="7FCFDC26"/>
    <w:rsid w:val="7FD4AD59"/>
    <w:rsid w:val="7FEA5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AB8FD9"/>
  <w15:docId w15:val="{7ED8E23B-5EA2-4165-9A90-B581E49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8"/>
      </w:numPr>
      <w:contextualSpacing/>
    </w:pPr>
  </w:style>
  <w:style w:type="paragraph" w:styleId="ListBullet5">
    <w:name w:val="List Bullet 5"/>
    <w:basedOn w:val="Normal"/>
    <w:uiPriority w:val="99"/>
    <w:semiHidden/>
    <w:unhideWhenUsed/>
    <w:rsid w:val="00C1421E"/>
    <w:pPr>
      <w:numPr>
        <w:numId w:val="19"/>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20"/>
      </w:numPr>
      <w:contextualSpacing/>
    </w:pPr>
  </w:style>
  <w:style w:type="paragraph" w:styleId="ListNumber5">
    <w:name w:val="List Number 5"/>
    <w:basedOn w:val="Normal"/>
    <w:uiPriority w:val="99"/>
    <w:semiHidden/>
    <w:unhideWhenUsed/>
    <w:rsid w:val="00C1421E"/>
    <w:pPr>
      <w:numPr>
        <w:numId w:val="21"/>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367" TargetMode="External"/><Relationship Id="rId299" Type="http://schemas.openxmlformats.org/officeDocument/2006/relationships/hyperlink" Target="https://www.itu.int/pub/T-TUT-IPTV-2020-QOS" TargetMode="External"/><Relationship Id="rId21" Type="http://schemas.openxmlformats.org/officeDocument/2006/relationships/hyperlink" Target="https://www.itu.int/en/ITU-T/ssc/united/Pages/U4SSC-IP.aspx" TargetMode="External"/><Relationship Id="rId63" Type="http://schemas.openxmlformats.org/officeDocument/2006/relationships/hyperlink" Target="https://www.itu.int/en/ITU-T/focusgroups/ml5g/Pages/default.aspx" TargetMode="External"/><Relationship Id="rId159" Type="http://schemas.openxmlformats.org/officeDocument/2006/relationships/hyperlink" Target="https://www.itu.int/search" TargetMode="External"/><Relationship Id="rId324" Type="http://schemas.openxmlformats.org/officeDocument/2006/relationships/hyperlink" Target="https://www.itu.int/ITU-T/recommendations/rec.aspx?id=14091" TargetMode="External"/><Relationship Id="rId366" Type="http://schemas.openxmlformats.org/officeDocument/2006/relationships/hyperlink" Target="https://www.itu.int/ITU-T/recommendations/rec.aspx?id=14178" TargetMode="External"/><Relationship Id="rId170" Type="http://schemas.openxmlformats.org/officeDocument/2006/relationships/hyperlink" Target="https://extranet.itu.int/sites/ITU-T/" TargetMode="External"/><Relationship Id="rId226" Type="http://schemas.openxmlformats.org/officeDocument/2006/relationships/hyperlink" Target="https://www.itu.int/ITU-T/recommendations/rec.aspx?id=14209" TargetMode="External"/><Relationship Id="rId268" Type="http://schemas.openxmlformats.org/officeDocument/2006/relationships/hyperlink" Target="https://www.itu.int/ITU-T/recommendations/rec.aspx?id=14217" TargetMode="External"/><Relationship Id="rId32" Type="http://schemas.openxmlformats.org/officeDocument/2006/relationships/hyperlink" Target="https://www.itu.int/en/journal/2020/001/Pages/default.aspx" TargetMode="External"/><Relationship Id="rId74" Type="http://schemas.openxmlformats.org/officeDocument/2006/relationships/hyperlink" Target="http://www.itu.int/en/ITU-T/gsc/Pages/meetings.aspx" TargetMode="External"/><Relationship Id="rId128" Type="http://schemas.openxmlformats.org/officeDocument/2006/relationships/hyperlink" Target="https://www.itu.int/en/ITU-T/academia/kaleidoscope/2020/Pages/default.aspx" TargetMode="External"/><Relationship Id="rId335" Type="http://schemas.openxmlformats.org/officeDocument/2006/relationships/hyperlink" Target="https://www.itu.int/ITU-T/recommendations/rec.aspx?id=14357" TargetMode="External"/><Relationship Id="rId377" Type="http://schemas.openxmlformats.org/officeDocument/2006/relationships/hyperlink" Target="https://www.itu.int/ITU-T/recommendations/rec.aspx?id=14272" TargetMode="External"/><Relationship Id="rId5" Type="http://schemas.openxmlformats.org/officeDocument/2006/relationships/numbering" Target="numbering.xml"/><Relationship Id="rId181" Type="http://schemas.openxmlformats.org/officeDocument/2006/relationships/hyperlink" Target="https://extranet.itu.int/sites/itu-t/jointgroups/jvds/" TargetMode="External"/><Relationship Id="rId237" Type="http://schemas.openxmlformats.org/officeDocument/2006/relationships/hyperlink" Target="https://www.itu.int/ITU-T/recommendations/rec.aspx?id=14276" TargetMode="External"/><Relationship Id="rId279" Type="http://schemas.openxmlformats.org/officeDocument/2006/relationships/hyperlink" Target="https://www.itu.int/rec/T-REC-G.9961-202007-I!Amd2" TargetMode="External"/><Relationship Id="rId43" Type="http://schemas.openxmlformats.org/officeDocument/2006/relationships/hyperlink" Target="https://www.itu.int/en/ITU-T/focusgroups/ai4ad/Pages/default.aspx" TargetMode="External"/><Relationship Id="rId139" Type="http://schemas.openxmlformats.org/officeDocument/2006/relationships/hyperlink" Target="https://www.itu.int/net/ITU-T/lists/t-approval.aspx" TargetMode="External"/><Relationship Id="rId290" Type="http://schemas.openxmlformats.org/officeDocument/2006/relationships/hyperlink" Target="https://www.itu.int/ITU-T/recommendations/rec.aspx?id=14197" TargetMode="External"/><Relationship Id="rId304" Type="http://schemas.openxmlformats.org/officeDocument/2006/relationships/hyperlink" Target="https://www.itu.int/ITU-T/recommendations/rec.aspx?id=14327" TargetMode="External"/><Relationship Id="rId346" Type="http://schemas.openxmlformats.org/officeDocument/2006/relationships/hyperlink" Target="https://www.itu.int/ITU-T/recommendations/rec.aspx?id=14251" TargetMode="External"/><Relationship Id="rId388" Type="http://schemas.openxmlformats.org/officeDocument/2006/relationships/header" Target="header1.xml"/><Relationship Id="rId85" Type="http://schemas.openxmlformats.org/officeDocument/2006/relationships/hyperlink" Target="https://www.itu.int/en/publications/Documents/tsb/2020-U4SSC-A-guide-to-circular-cities/index.html" TargetMode="External"/><Relationship Id="rId150" Type="http://schemas.openxmlformats.org/officeDocument/2006/relationships/hyperlink" Target="https://www.itu.int/myworkspace/" TargetMode="External"/><Relationship Id="rId192" Type="http://schemas.openxmlformats.org/officeDocument/2006/relationships/hyperlink" Target="https://www.itu.int/en/ITU-T/Workshops-and-Seminars/20200113/Pages/default.aspx" TargetMode="External"/><Relationship Id="rId206" Type="http://schemas.openxmlformats.org/officeDocument/2006/relationships/hyperlink" Target="https://www.itu.int/ITU-T/recommendations/rec.aspx?id=14022" TargetMode="External"/><Relationship Id="rId248" Type="http://schemas.openxmlformats.org/officeDocument/2006/relationships/hyperlink" Target="https://www.itu.int/ITU-T/recommendations/rec.aspx?id=13837" TargetMode="External"/><Relationship Id="rId12" Type="http://schemas.openxmlformats.org/officeDocument/2006/relationships/hyperlink" Target="https://www.itu.int/en/ITU-T/focusgroups/Pages/default.aspx" TargetMode="External"/><Relationship Id="rId108" Type="http://schemas.openxmlformats.org/officeDocument/2006/relationships/hyperlink" Target="https://www.itu.int/en/ITU-T/focusgroups/dlt/Pages/default.aspx" TargetMode="External"/><Relationship Id="rId315" Type="http://schemas.openxmlformats.org/officeDocument/2006/relationships/hyperlink" Target="https://www.itu.int/ITU-T/recommendations/rec.aspx?id=14372" TargetMode="External"/><Relationship Id="rId357" Type="http://schemas.openxmlformats.org/officeDocument/2006/relationships/hyperlink" Target="https://www.itu.int/ITU-T/recommendations/rec.aspx?id=14294" TargetMode="External"/><Relationship Id="rId54" Type="http://schemas.openxmlformats.org/officeDocument/2006/relationships/hyperlink" Target="https://www.itu.int/net4/wsis/forum/2020/Agenda/Session/132" TargetMode="External"/><Relationship Id="rId96" Type="http://schemas.openxmlformats.org/officeDocument/2006/relationships/hyperlink" Target="https://www.itu.int/en/ITU-T/extcoop/Pages/mou.aspx" TargetMode="External"/><Relationship Id="rId161" Type="http://schemas.openxmlformats.org/officeDocument/2006/relationships/hyperlink" Target="https://www.itu.int/search" TargetMode="External"/><Relationship Id="rId217" Type="http://schemas.openxmlformats.org/officeDocument/2006/relationships/hyperlink" Target="https://www.itu.int/ITU-T/recommendations/rec.aspx?id=13997" TargetMode="External"/><Relationship Id="rId259" Type="http://schemas.openxmlformats.org/officeDocument/2006/relationships/hyperlink" Target="https://www.itu.int/pub/publications.aspx?lang=en&amp;parent=T-TUT-CABLETV-2020-1" TargetMode="External"/><Relationship Id="rId23" Type="http://schemas.openxmlformats.org/officeDocument/2006/relationships/hyperlink" Target="https://www.itu.int/en/ITU-T/ssc/united/Pages/publications-U4SSC.aspx" TargetMode="External"/><Relationship Id="rId119" Type="http://schemas.openxmlformats.org/officeDocument/2006/relationships/hyperlink" Target="http://www.itu.int/itu-t/workprog/wp_item.aspx?isn=16366" TargetMode="External"/><Relationship Id="rId270" Type="http://schemas.openxmlformats.org/officeDocument/2006/relationships/hyperlink" Target="https://www.itu.int/ITU-T/recommendations/rec.aspx?id=14254" TargetMode="External"/><Relationship Id="rId326" Type="http://schemas.openxmlformats.org/officeDocument/2006/relationships/hyperlink" Target="https://www.itu.int/ITU-T/recommendations/rec.aspx?id=14346" TargetMode="External"/><Relationship Id="rId65" Type="http://schemas.openxmlformats.org/officeDocument/2006/relationships/hyperlink" Target="https://www.itu.int/en/ITU-T/focusgroups/net2030/Pages/default.aspx" TargetMode="External"/><Relationship Id="rId130" Type="http://schemas.openxmlformats.org/officeDocument/2006/relationships/hyperlink" Target="https://www.itu.int/en/journal/2020/001/Pages/default.aspx" TargetMode="External"/><Relationship Id="rId368" Type="http://schemas.openxmlformats.org/officeDocument/2006/relationships/hyperlink" Target="https://www.itu.int/rec/T-REC-E.218-202006-P!Amd1" TargetMode="External"/><Relationship Id="rId172" Type="http://schemas.openxmlformats.org/officeDocument/2006/relationships/hyperlink" Target="https://extranet.itu.int/sites/itu-t/initiatives/U4SSC/" TargetMode="External"/><Relationship Id="rId228" Type="http://schemas.openxmlformats.org/officeDocument/2006/relationships/hyperlink" Target="https://www.itu.int/rec/T-REC-G.8272-202003-P!Amd1" TargetMode="External"/><Relationship Id="rId281" Type="http://schemas.openxmlformats.org/officeDocument/2006/relationships/hyperlink" Target="https://www.itu.int/rec/T-REC-G.9964-202002-P!Amd3" TargetMode="External"/><Relationship Id="rId337" Type="http://schemas.openxmlformats.org/officeDocument/2006/relationships/hyperlink" Target="https://www.itu.int/ITU-T/recommendations/rec.aspx?id=14039" TargetMode="External"/><Relationship Id="rId34" Type="http://schemas.openxmlformats.org/officeDocument/2006/relationships/hyperlink" Target="https://www.itu.int/en/journal/j-fet/Pages/default.aspx" TargetMode="External"/><Relationship Id="rId76" Type="http://schemas.openxmlformats.org/officeDocument/2006/relationships/hyperlink" Target="https://joinup.ec.europa.eu/collection/rolling-plan-ict-standardisation/rolling-plan-2019" TargetMode="External"/><Relationship Id="rId141" Type="http://schemas.openxmlformats.org/officeDocument/2006/relationships/hyperlink" Target="http://www.itu.int/net/itu-t/ls/" TargetMode="External"/><Relationship Id="rId379" Type="http://schemas.openxmlformats.org/officeDocument/2006/relationships/hyperlink" Target="https://www.itu.int/ITU-T/recommendations/rec.aspx?id=14271" TargetMode="External"/><Relationship Id="rId7" Type="http://schemas.openxmlformats.org/officeDocument/2006/relationships/settings" Target="settings.xml"/><Relationship Id="rId183" Type="http://schemas.openxmlformats.org/officeDocument/2006/relationships/hyperlink" Target="https://extranet.itu.int/sites/itu-t/studygroups/2017-2020/sg11/casc/" TargetMode="External"/><Relationship Id="rId239" Type="http://schemas.openxmlformats.org/officeDocument/2006/relationships/hyperlink" Target="https://www.itu.int/ITU-T/recommendations/rec.aspx?id=14277" TargetMode="External"/><Relationship Id="rId390" Type="http://schemas.openxmlformats.org/officeDocument/2006/relationships/footer" Target="footer1.xml"/><Relationship Id="rId250" Type="http://schemas.openxmlformats.org/officeDocument/2006/relationships/hyperlink" Target="https://www.itu.int/ITU-T/recommendations/rec.aspx?id=14355" TargetMode="External"/><Relationship Id="rId292" Type="http://schemas.openxmlformats.org/officeDocument/2006/relationships/hyperlink" Target="https://www.itu.int/ITU-T/recommendations/rec.aspx?id=14183" TargetMode="External"/><Relationship Id="rId306" Type="http://schemas.openxmlformats.org/officeDocument/2006/relationships/hyperlink" Target="https://www.itu.int/ITU-T/recommendations/rec.aspx?id=14329" TargetMode="External"/><Relationship Id="rId45" Type="http://schemas.openxmlformats.org/officeDocument/2006/relationships/hyperlink" Target="https://www.itu.int/net4/ITU-T/myworkspace/" TargetMode="External"/><Relationship Id="rId87" Type="http://schemas.openxmlformats.org/officeDocument/2006/relationships/hyperlink" Target="https://www.itu.int/en/ITU-T/ssc/united/Pages/publication-U4SSC-KPIs.aspx" TargetMode="External"/><Relationship Id="rId110" Type="http://schemas.openxmlformats.org/officeDocument/2006/relationships/hyperlink" Target="http://www.itu.int/itu-t/workprog/wp_item.aspx?isn=16353" TargetMode="External"/><Relationship Id="rId348" Type="http://schemas.openxmlformats.org/officeDocument/2006/relationships/hyperlink" Target="https://www.itu.int/ITU-T/recommendations/rec.aspx?id=14380" TargetMode="External"/><Relationship Id="rId152" Type="http://schemas.openxmlformats.org/officeDocument/2006/relationships/hyperlink" Target="https://www.itu.int/myworkspace/" TargetMode="External"/><Relationship Id="rId194" Type="http://schemas.openxmlformats.org/officeDocument/2006/relationships/hyperlink" Target="https://www.itu.int/en/ITU-T/Workshops-and-Seminars/20200318/Pages/default.aspx" TargetMode="External"/><Relationship Id="rId208" Type="http://schemas.openxmlformats.org/officeDocument/2006/relationships/hyperlink" Target="https://www.itu.int/rec/T-REC-G.987.3-202003-P!Amd1" TargetMode="External"/><Relationship Id="rId261" Type="http://schemas.openxmlformats.org/officeDocument/2006/relationships/hyperlink" Target="https://www.itu.int/ITU-T/recommendations/rec.aspx?id=14340" TargetMode="External"/><Relationship Id="rId14" Type="http://schemas.openxmlformats.org/officeDocument/2006/relationships/hyperlink" Target="https://www.itu.int/en/ITU-T/AI/challenge/2020/Pages/default.aspx" TargetMode="External"/><Relationship Id="rId56" Type="http://schemas.openxmlformats.org/officeDocument/2006/relationships/hyperlink" Target="https://www.itu.int/en/ITU-D/Regional-Presence/Americas/Pages/EVENTS/2019/23940.aspx" TargetMode="External"/><Relationship Id="rId317" Type="http://schemas.openxmlformats.org/officeDocument/2006/relationships/hyperlink" Target="https://www.itu.int/ITU-T/recommendations/rec.aspx?id=14375" TargetMode="External"/><Relationship Id="rId359" Type="http://schemas.openxmlformats.org/officeDocument/2006/relationships/hyperlink" Target="https://www.itu.int/ITU-T/recommendations/rec.aspx?id=14299" TargetMode="External"/><Relationship Id="rId98" Type="http://schemas.openxmlformats.org/officeDocument/2006/relationships/hyperlink" Target="https://www.itu.int/en/ITU-T/Workshops-and-Seminars/bsg" TargetMode="External"/><Relationship Id="rId121" Type="http://schemas.openxmlformats.org/officeDocument/2006/relationships/hyperlink" Target="https://itu.int/ITU-T/workprog/wp_search.aspx?sg=16&amp;q=22" TargetMode="External"/><Relationship Id="rId163" Type="http://schemas.openxmlformats.org/officeDocument/2006/relationships/hyperlink" Target="http://itu.int/go/itu-t/rgm-support" TargetMode="External"/><Relationship Id="rId219" Type="http://schemas.openxmlformats.org/officeDocument/2006/relationships/hyperlink" Target="https://www.itu.int/ITU-T/recommendations/rec.aspx?rec=13825" TargetMode="External"/><Relationship Id="rId370" Type="http://schemas.openxmlformats.org/officeDocument/2006/relationships/hyperlink" Target="https://www.itu.int/ITU-T/recommendations/rec.aspx?id=14311" TargetMode="External"/><Relationship Id="rId230" Type="http://schemas.openxmlformats.org/officeDocument/2006/relationships/hyperlink" Target="https://www.itu.int/rec/T-REC-G.8273.2-202003-P!Amd1" TargetMode="External"/><Relationship Id="rId25" Type="http://schemas.openxmlformats.org/officeDocument/2006/relationships/hyperlink" Target="https://aiforgood.itu.int/programme-2020/" TargetMode="External"/><Relationship Id="rId67" Type="http://schemas.openxmlformats.org/officeDocument/2006/relationships/hyperlink" Target="https://www.itu.int/en/ITU-T/focusgroups/vm/Pages/default.aspx" TargetMode="External"/><Relationship Id="rId272" Type="http://schemas.openxmlformats.org/officeDocument/2006/relationships/hyperlink" Target="https://www.itu.int/ITU-T/recommendations/rec.aspx?id=14134" TargetMode="External"/><Relationship Id="rId328" Type="http://schemas.openxmlformats.org/officeDocument/2006/relationships/hyperlink" Target="https://www.itu.int/ITU-T/recommendations/rec.aspx?id=14348" TargetMode="External"/><Relationship Id="rId132" Type="http://schemas.openxmlformats.org/officeDocument/2006/relationships/hyperlink" Target="https://www.itu.int/en/journal/j-fet/Pages/default.aspx" TargetMode="External"/><Relationship Id="rId174" Type="http://schemas.openxmlformats.org/officeDocument/2006/relationships/hyperlink" Target="https://extranet.itu.int/sites/itu-t/focusgroups/ML5G/" TargetMode="External"/><Relationship Id="rId381" Type="http://schemas.openxmlformats.org/officeDocument/2006/relationships/hyperlink" Target="https://www.itu.int/ITU-T/recommendations/rec.aspx?id=14284" TargetMode="External"/><Relationship Id="rId241" Type="http://schemas.openxmlformats.org/officeDocument/2006/relationships/hyperlink" Target="https://www.itu.int/ITU-T/recommendations/rec.aspx?id=14278" TargetMode="External"/><Relationship Id="rId36" Type="http://schemas.openxmlformats.org/officeDocument/2006/relationships/hyperlink" Target="https://www.itu.int/en/myitu/News" TargetMode="External"/><Relationship Id="rId283" Type="http://schemas.openxmlformats.org/officeDocument/2006/relationships/hyperlink" Target="https://www.itu.int/ITU-T/recommendations/rec.aspx?id=14086" TargetMode="External"/><Relationship Id="rId339" Type="http://schemas.openxmlformats.org/officeDocument/2006/relationships/hyperlink" Target="https://www.itu.int/ITU-T/recommendations/rec.aspx?id=14250" TargetMode="External"/><Relationship Id="rId78" Type="http://schemas.openxmlformats.org/officeDocument/2006/relationships/hyperlink" Target="http://www.itu.int/en/ITU-T/extcoop/cits/Pages/default.aspx" TargetMode="External"/><Relationship Id="rId101" Type="http://schemas.openxmlformats.org/officeDocument/2006/relationships/hyperlink" Target="https://www.itu.int/en/ITU-T/studygroups/2017-2020/13/sg13rgafr/Pages/default.aspx" TargetMode="External"/><Relationship Id="rId143" Type="http://schemas.openxmlformats.org/officeDocument/2006/relationships/hyperlink" Target="http://www.itu.int/net/itu-t/cdb/ConformityDB.aspx" TargetMode="External"/><Relationship Id="rId185" Type="http://schemas.openxmlformats.org/officeDocument/2006/relationships/hyperlink" Target="https://extranet.itu.int/sites/itu-t/initiatives/dcgi" TargetMode="External"/><Relationship Id="rId350" Type="http://schemas.openxmlformats.org/officeDocument/2006/relationships/hyperlink" Target="https://www.itu.int/ITU-T/recommendations/rec.aspx?id=14305" TargetMode="External"/><Relationship Id="rId9" Type="http://schemas.openxmlformats.org/officeDocument/2006/relationships/footnotes" Target="footnotes.xml"/><Relationship Id="rId210" Type="http://schemas.openxmlformats.org/officeDocument/2006/relationships/hyperlink" Target="https://www.itu.int/rec/T-REC-G.989.3-202003-P!Amd3" TargetMode="External"/><Relationship Id="rId392" Type="http://schemas.openxmlformats.org/officeDocument/2006/relationships/header" Target="header3.xml"/><Relationship Id="rId252" Type="http://schemas.openxmlformats.org/officeDocument/2006/relationships/hyperlink" Target="https://www.itu.int/ITU-T/recommendations/rec.aspx?id=14281" TargetMode="External"/><Relationship Id="rId294" Type="http://schemas.openxmlformats.org/officeDocument/2006/relationships/hyperlink" Target="https://www.itu.int/ITU-T/recommendations/rec.aspx?id=14337" TargetMode="External"/><Relationship Id="rId308" Type="http://schemas.openxmlformats.org/officeDocument/2006/relationships/hyperlink" Target="https://www.itu.int/ITU-T/recommendations/rec.aspx?id=14331" TargetMode="External"/><Relationship Id="rId47" Type="http://schemas.openxmlformats.org/officeDocument/2006/relationships/hyperlink" Target="https://www.itu.int/en/ITU-T/webinars/Pages/qsdg.aspx" TargetMode="External"/><Relationship Id="rId89" Type="http://schemas.openxmlformats.org/officeDocument/2006/relationships/hyperlink" Target="https://www.itu.int/en/ITU-T/extcoop/figisymposium/Pages/default.aspx" TargetMode="External"/><Relationship Id="rId112" Type="http://schemas.openxmlformats.org/officeDocument/2006/relationships/hyperlink" Target="http://www.itu.int/itu-t/workprog/wp_item.aspx?isn=14705" TargetMode="External"/><Relationship Id="rId154" Type="http://schemas.openxmlformats.org/officeDocument/2006/relationships/hyperlink" Target="https://www.itu.int/myworkspace/" TargetMode="External"/><Relationship Id="rId361" Type="http://schemas.openxmlformats.org/officeDocument/2006/relationships/hyperlink" Target="https://www.itu.int/ITU-T/recommendations/rec.aspx?id=14316" TargetMode="External"/><Relationship Id="rId196" Type="http://schemas.openxmlformats.org/officeDocument/2006/relationships/hyperlink" Target="https://www.itu.int/en/ITU-T/Workshops-and-Seminars/qos/202003/Pages/default.aspx" TargetMode="External"/><Relationship Id="rId16" Type="http://schemas.openxmlformats.org/officeDocument/2006/relationships/hyperlink" Target="https://www.itu.int/en/ITU-T/extcoop/figisymposium/Pages/default.aspx" TargetMode="External"/><Relationship Id="rId221" Type="http://schemas.openxmlformats.org/officeDocument/2006/relationships/hyperlink" Target="https://www.itu.int/ITU-T/recommendations/rec.aspx?id=14205" TargetMode="External"/><Relationship Id="rId242" Type="http://schemas.openxmlformats.org/officeDocument/2006/relationships/hyperlink" Target="https://www.itu.int/en/ITU-T/extcoop/Pages/sdo.aspx" TargetMode="External"/><Relationship Id="rId263" Type="http://schemas.openxmlformats.org/officeDocument/2006/relationships/hyperlink" Target="https://www.itu.int/ITU-T/recommendations/rec.aspx?id=14247" TargetMode="External"/><Relationship Id="rId284" Type="http://schemas.openxmlformats.org/officeDocument/2006/relationships/hyperlink" Target="https://www.itu.int/ITU-T/recommendations/rec.aspx?id=14093" TargetMode="External"/><Relationship Id="rId319" Type="http://schemas.openxmlformats.org/officeDocument/2006/relationships/hyperlink" Target="https://www.itu.int/ITU-T/recommendations/rec.aspx?id=14377" TargetMode="External"/><Relationship Id="rId37" Type="http://schemas.openxmlformats.org/officeDocument/2006/relationships/hyperlink" Target="http://www.itu.int/net/itu-t/cdb/ConformityDB.aspx" TargetMode="External"/><Relationship Id="rId58" Type="http://schemas.openxmlformats.org/officeDocument/2006/relationships/hyperlink" Target="http://www.itu.int/en/ITU-T/ipr/Pages/adhoc.aspx" TargetMode="External"/><Relationship Id="rId79" Type="http://schemas.openxmlformats.org/officeDocument/2006/relationships/hyperlink" Target="https://www.itu.int/net4/ITU-T/landscape" TargetMode="External"/><Relationship Id="rId102" Type="http://schemas.openxmlformats.org/officeDocument/2006/relationships/hyperlink" Target="https://www.itu.int/en/ITU-T/gap/Documents/nss-rep-may.pdf" TargetMode="External"/><Relationship Id="rId123" Type="http://schemas.openxmlformats.org/officeDocument/2006/relationships/hyperlink" Target="https://www.itu.int/itu-t/workprog/wp_item.aspx?isn=14372" TargetMode="External"/><Relationship Id="rId144" Type="http://schemas.openxmlformats.org/officeDocument/2006/relationships/hyperlink" Target="http://www.itu.int/ITU-T/formal-language/index.html" TargetMode="External"/><Relationship Id="rId330" Type="http://schemas.openxmlformats.org/officeDocument/2006/relationships/hyperlink" Target="https://www.itu.int/ITU-T/recommendations/rec.aspx?id=14350" TargetMode="External"/><Relationship Id="rId90" Type="http://schemas.openxmlformats.org/officeDocument/2006/relationships/hyperlink" Target="https://www.itu.int/en/ITU-T/extcoop/dcgi/Pages/default.aspx" TargetMode="External"/><Relationship Id="rId165" Type="http://schemas.openxmlformats.org/officeDocument/2006/relationships/hyperlink" Target="https://www.itu.int/net4/itu-t/nnp" TargetMode="External"/><Relationship Id="rId186" Type="http://schemas.openxmlformats.org/officeDocument/2006/relationships/hyperlink" Target="https://extranet.itu.int/sites/itu-t/initiatives/E-waste" TargetMode="External"/><Relationship Id="rId351" Type="http://schemas.openxmlformats.org/officeDocument/2006/relationships/hyperlink" Target="https://www.itu.int/ITU-T/recommendations/rec.aspx?id=14306" TargetMode="External"/><Relationship Id="rId372" Type="http://schemas.openxmlformats.org/officeDocument/2006/relationships/hyperlink" Target="https://www.itu.int/ITU-T/recommendations/rec.aspx?id=13918" TargetMode="External"/><Relationship Id="rId393" Type="http://schemas.openxmlformats.org/officeDocument/2006/relationships/footer" Target="footer3.xml"/><Relationship Id="rId211" Type="http://schemas.openxmlformats.org/officeDocument/2006/relationships/hyperlink" Target="https://www.itu.int/ITU-T/recommendations/rec.aspx?id=14198" TargetMode="External"/><Relationship Id="rId232" Type="http://schemas.openxmlformats.org/officeDocument/2006/relationships/hyperlink" Target="https://www.itu.int/ITU-T/recommendations/rec.aspx?id=14215" TargetMode="External"/><Relationship Id="rId253" Type="http://schemas.openxmlformats.org/officeDocument/2006/relationships/hyperlink" Target="https://www.itu.int/ITU-T/recommendations/rec.aspx?id=14357" TargetMode="External"/><Relationship Id="rId274" Type="http://schemas.openxmlformats.org/officeDocument/2006/relationships/hyperlink" Target="https://www.itu.int/ITU-T/recommendations/rec.aspx?rec=14233" TargetMode="External"/><Relationship Id="rId295" Type="http://schemas.openxmlformats.org/officeDocument/2006/relationships/hyperlink" Target="https://www.itu.int/ITU-T/recommendations/rec.aspx?id=14341" TargetMode="External"/><Relationship Id="rId309" Type="http://schemas.openxmlformats.org/officeDocument/2006/relationships/hyperlink" Target="https://www.itu.int/ITU-T/recommendations/rec.aspx?id=14244" TargetMode="External"/><Relationship Id="rId27" Type="http://schemas.openxmlformats.org/officeDocument/2006/relationships/hyperlink" Target="https://www.itu.int/go/fgai4h" TargetMode="External"/><Relationship Id="rId48" Type="http://schemas.openxmlformats.org/officeDocument/2006/relationships/hyperlink" Target="https://aiforgood.itu.int/programme-2020/" TargetMode="External"/><Relationship Id="rId69" Type="http://schemas.openxmlformats.org/officeDocument/2006/relationships/hyperlink" Target="https://www.itu.int/en/ITU-T/focusgroups/ai4ad" TargetMode="External"/><Relationship Id="rId113" Type="http://schemas.openxmlformats.org/officeDocument/2006/relationships/hyperlink" Target="http://www.itu.int/itu-t/workprog/wp_item.aspx?isn=14706" TargetMode="External"/><Relationship Id="rId134" Type="http://schemas.openxmlformats.org/officeDocument/2006/relationships/hyperlink" Target="https://www.itu.int/en/ITU-T/academia/Pages/default.aspx" TargetMode="External"/><Relationship Id="rId320" Type="http://schemas.openxmlformats.org/officeDocument/2006/relationships/hyperlink" Target="https://www.itu.int/ITU-T/recommendations/rec.aspx?id=14378" TargetMode="External"/><Relationship Id="rId80" Type="http://schemas.openxmlformats.org/officeDocument/2006/relationships/hyperlink" Target="https://www.frontiersin.org/articles/10.3389/fmars.2019.00424/full" TargetMode="External"/><Relationship Id="rId155" Type="http://schemas.openxmlformats.org/officeDocument/2006/relationships/hyperlink" Target="https://www.itu.int/myworkspace/" TargetMode="External"/><Relationship Id="rId176" Type="http://schemas.openxmlformats.org/officeDocument/2006/relationships/hyperlink" Target="https://extranet.itu.int/sites/itu-t/focusgroups/ai4h/" TargetMode="External"/><Relationship Id="rId197" Type="http://schemas.openxmlformats.org/officeDocument/2006/relationships/hyperlink" Target="https://www.itu.int/en/ITU-T/Workshops-and-Seminars/ai4h/202001/Pages/default.aspx" TargetMode="External"/><Relationship Id="rId341" Type="http://schemas.openxmlformats.org/officeDocument/2006/relationships/hyperlink" Target="https://www.itu.int/ITU-T/recommendations/rec.aspx?id=14258" TargetMode="External"/><Relationship Id="rId362" Type="http://schemas.openxmlformats.org/officeDocument/2006/relationships/hyperlink" Target="https://www.itu.int/ITU-T/recommendations/rec.aspx?id=14317" TargetMode="External"/><Relationship Id="rId383" Type="http://schemas.openxmlformats.org/officeDocument/2006/relationships/hyperlink" Target="https://www.itu.int/ITU-T/recommendations/rec.aspx?id=14285" TargetMode="External"/><Relationship Id="rId201" Type="http://schemas.openxmlformats.org/officeDocument/2006/relationships/hyperlink" Target="https://www.itu.int/md/T17-TSAG-200921-TD-GEN-0789" TargetMode="External"/><Relationship Id="rId222" Type="http://schemas.openxmlformats.org/officeDocument/2006/relationships/hyperlink" Target="https://www.itu.int/ITU-T/recommendations/rec.aspx?id=14240" TargetMode="External"/><Relationship Id="rId243" Type="http://schemas.openxmlformats.org/officeDocument/2006/relationships/hyperlink" Target="https://www.itu.int/ITU-T/recommendations/rec.aspx?id=14279" TargetMode="External"/><Relationship Id="rId264" Type="http://schemas.openxmlformats.org/officeDocument/2006/relationships/hyperlink" Target="https://www.itu.int/ITU-T/recommendations/rec.aspx?id=12510" TargetMode="External"/><Relationship Id="rId285" Type="http://schemas.openxmlformats.org/officeDocument/2006/relationships/hyperlink" Target="https://www.itu.int/ITU-T/recommendations/rec.aspx?id=14094" TargetMode="External"/><Relationship Id="rId17" Type="http://schemas.openxmlformats.org/officeDocument/2006/relationships/hyperlink" Target="https://www.itu.int/en/ITU-T/extcoop/dcgi/Pages/default.aspx" TargetMode="External"/><Relationship Id="rId38" Type="http://schemas.openxmlformats.org/officeDocument/2006/relationships/hyperlink" Target="https://www.itu.int/net4/ITU-T/myworkspace/" TargetMode="External"/><Relationship Id="rId59" Type="http://schemas.openxmlformats.org/officeDocument/2006/relationships/hyperlink" Target="http://www.itu.int/en/ITU-T/ipr/Pages/revpatent.aspx" TargetMode="External"/><Relationship Id="rId103" Type="http://schemas.openxmlformats.org/officeDocument/2006/relationships/hyperlink" Target="http://academy.itu.int" TargetMode="External"/><Relationship Id="rId124" Type="http://schemas.openxmlformats.org/officeDocument/2006/relationships/hyperlink" Target="https://www.itu.int/en/ITU-T/webinars/Pages/dfs.aspx" TargetMode="External"/><Relationship Id="rId310" Type="http://schemas.openxmlformats.org/officeDocument/2006/relationships/hyperlink" Target="https://www.itu.int/ITU-T/recommendations/rec.aspx?id=14087" TargetMode="External"/><Relationship Id="rId70" Type="http://schemas.openxmlformats.org/officeDocument/2006/relationships/hyperlink" Target="https://www.itu.int/en/ITU-T/focusgroups/ai4ee/Pages/default.aspx" TargetMode="External"/><Relationship Id="rId91" Type="http://schemas.openxmlformats.org/officeDocument/2006/relationships/hyperlink" Target="https://aiforgood.itu.int/programme-2020/" TargetMode="External"/><Relationship Id="rId145" Type="http://schemas.openxmlformats.org/officeDocument/2006/relationships/hyperlink" Target="http://www.itu.int/net/itu-t/sigdb/menu.htm" TargetMode="External"/><Relationship Id="rId166" Type="http://schemas.openxmlformats.org/officeDocument/2006/relationships/hyperlink" Target="https://extranet.itu.int/sites/itu-t/studygroups/2017-2020/sg2/SitePages/Numbering%20Applications%20Monitor.aspx" TargetMode="External"/><Relationship Id="rId187" Type="http://schemas.openxmlformats.org/officeDocument/2006/relationships/hyperlink" Target="https://extranet.itu.int/sites/itu-t/wtsa-20/prepmeet/Lists/ContactSheet/DefViewContacts.aspx" TargetMode="External"/><Relationship Id="rId331" Type="http://schemas.openxmlformats.org/officeDocument/2006/relationships/hyperlink" Target="https://www.itu.int/ITU-T/recommendations/rec.aspx?id=14351" TargetMode="External"/><Relationship Id="rId352" Type="http://schemas.openxmlformats.org/officeDocument/2006/relationships/hyperlink" Target="https://www.itu.int/ITU-T/recommendations/rec.aspx?id=14318" TargetMode="External"/><Relationship Id="rId373" Type="http://schemas.openxmlformats.org/officeDocument/2006/relationships/hyperlink" Target="https://www.itu.int/ITU-T/recommendations/rec.aspx?id=14268" TargetMode="External"/><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itu.int/ITU-T/recommendations/rec.aspx?id=14196" TargetMode="External"/><Relationship Id="rId233" Type="http://schemas.openxmlformats.org/officeDocument/2006/relationships/hyperlink" Target="https://www.itu.int/ITU-T/recommendations/rec.aspx?id=14216" TargetMode="External"/><Relationship Id="rId254" Type="http://schemas.openxmlformats.org/officeDocument/2006/relationships/hyperlink" Target="https://www.itu.int/ITU-T/recommendations/rec.aspx?id=14282" TargetMode="External"/><Relationship Id="rId28" Type="http://schemas.openxmlformats.org/officeDocument/2006/relationships/hyperlink" Target="https://aiforgood.itu.int/programme-2020/" TargetMode="External"/><Relationship Id="rId49" Type="http://schemas.openxmlformats.org/officeDocument/2006/relationships/hyperlink" Target="http://www.itu.int/net/itu-t/cdb/ConformityDB.aspx" TargetMode="External"/><Relationship Id="rId114" Type="http://schemas.openxmlformats.org/officeDocument/2006/relationships/hyperlink" Target="http://www.itu.int/itu-t/workprog/wp_item.aspx?isn=16656" TargetMode="External"/><Relationship Id="rId275" Type="http://schemas.openxmlformats.org/officeDocument/2006/relationships/hyperlink" Target="https://www.itu.int/ITU-T/recommendations/rec.aspx?rec=14383" TargetMode="External"/><Relationship Id="rId296" Type="http://schemas.openxmlformats.org/officeDocument/2006/relationships/hyperlink" Target="https://www.itu.int/ITU-T/recommendations/rec.aspx?id=14343" TargetMode="External"/><Relationship Id="rId300" Type="http://schemas.openxmlformats.org/officeDocument/2006/relationships/hyperlink" Target="https://www.itu.int/ITU-T/recommendations/rec.aspx?id=14323" TargetMode="External"/><Relationship Id="rId60" Type="http://schemas.openxmlformats.org/officeDocument/2006/relationships/hyperlink" Target="http://www.itu.int/en/ITU-T/publications/Pages/recs.aspx" TargetMode="External"/><Relationship Id="rId81" Type="http://schemas.openxmlformats.org/officeDocument/2006/relationships/hyperlink" Target="https://www.itu.int/en/publications/Documents/tsb/2020-Frontier-Technologies-to-Protect-the-Environment-and-Tackle-Climate-Change/index.html" TargetMode="External"/><Relationship Id="rId135" Type="http://schemas.openxmlformats.org/officeDocument/2006/relationships/image" Target="media/image4.png"/><Relationship Id="rId156" Type="http://schemas.openxmlformats.org/officeDocument/2006/relationships/hyperlink" Target="https://www.itu.int/myworkspace/" TargetMode="External"/><Relationship Id="rId177" Type="http://schemas.openxmlformats.org/officeDocument/2006/relationships/hyperlink" Target="https://extranet.itu.int/sites/itu-t/focusgroups/vm/" TargetMode="External"/><Relationship Id="rId198" Type="http://schemas.openxmlformats.org/officeDocument/2006/relationships/hyperlink" Target="https://www.itu.int/en/ITU-T/climatechange/Documents/Events/Webinar_explore_a_circular_vision_%20for_the_ICT_sector.pdf" TargetMode="External"/><Relationship Id="rId321" Type="http://schemas.openxmlformats.org/officeDocument/2006/relationships/hyperlink" Target="https://www.itu.int/ITU-T/recommendations/rec.aspx?id=14381" TargetMode="External"/><Relationship Id="rId342" Type="http://schemas.openxmlformats.org/officeDocument/2006/relationships/hyperlink" Target="https://www.itu.int/ITU-T/recommendations/rec.aspx?id=14242" TargetMode="External"/><Relationship Id="rId363" Type="http://schemas.openxmlformats.org/officeDocument/2006/relationships/hyperlink" Target="https://www.itu.int/ITU-T/recommendations/rec.aspx?id=14388" TargetMode="External"/><Relationship Id="rId384" Type="http://schemas.openxmlformats.org/officeDocument/2006/relationships/hyperlink" Target="https://www.itu.int/ITU-T/recommendations/rec.aspx?id=14245" TargetMode="External"/><Relationship Id="rId202" Type="http://schemas.openxmlformats.org/officeDocument/2006/relationships/hyperlink" Target="https://www.itu.int/net4/wsis/sdg/" TargetMode="External"/><Relationship Id="rId223" Type="http://schemas.openxmlformats.org/officeDocument/2006/relationships/hyperlink" Target="https://www.itu.int/ITU-T/recommendations/rec.aspx?id=14206" TargetMode="External"/><Relationship Id="rId244" Type="http://schemas.openxmlformats.org/officeDocument/2006/relationships/hyperlink" Target="https://www.itu.int/ITU-T/recommendations/rec.aspx?id=13573" TargetMode="External"/><Relationship Id="rId18" Type="http://schemas.openxmlformats.org/officeDocument/2006/relationships/hyperlink" Target="https://www.itu.int/en/ITU-T/extcoop/dcgi/Pages/default.aspx" TargetMode="External"/><Relationship Id="rId39" Type="http://schemas.openxmlformats.org/officeDocument/2006/relationships/hyperlink" Target="https://www.itu.int/en/ITU-T/studygroups/Pages/default.aspx" TargetMode="External"/><Relationship Id="rId265" Type="http://schemas.openxmlformats.org/officeDocument/2006/relationships/hyperlink" Target="https://www.itu.int/ITU-T/recommendations/rec.aspx?rec=14385" TargetMode="External"/><Relationship Id="rId286" Type="http://schemas.openxmlformats.org/officeDocument/2006/relationships/hyperlink" Target="ttps://www.itu.int/ITU-T/recommendations/rec.aspx?id=14138" TargetMode="External"/><Relationship Id="rId50" Type="http://schemas.openxmlformats.org/officeDocument/2006/relationships/hyperlink" Target="http://www.itu.int/pub/T-TUT-IPTV-2015-H721" TargetMode="External"/><Relationship Id="rId104" Type="http://schemas.openxmlformats.org/officeDocument/2006/relationships/hyperlink" Target="https://academy.itu.int/index.php/training-courses/full-catalogue/audio-based-indoor-and-outdoor-network-navigation-system-persons-vision-impairment-1" TargetMode="External"/><Relationship Id="rId125" Type="http://schemas.openxmlformats.org/officeDocument/2006/relationships/hyperlink" Target="https://www.itu.int/en/ITU-T/extcoop/dcgi/Pages/default.aspx" TargetMode="External"/><Relationship Id="rId146" Type="http://schemas.openxmlformats.org/officeDocument/2006/relationships/hyperlink" Target="http://www.itu.int/ITU-R/go/terminology-database" TargetMode="External"/><Relationship Id="rId167" Type="http://schemas.openxmlformats.org/officeDocument/2006/relationships/hyperlink" Target="http://www.itu.int/pub/T-SP-OB" TargetMode="External"/><Relationship Id="rId188" Type="http://schemas.openxmlformats.org/officeDocument/2006/relationships/hyperlink" Target="https://extranet.itu.int/ITU-T/support/" TargetMode="External"/><Relationship Id="rId311" Type="http://schemas.openxmlformats.org/officeDocument/2006/relationships/hyperlink" Target="https://www.itu.int/ITU-T/recommendations/rec.aspx?id=14088" TargetMode="External"/><Relationship Id="rId332" Type="http://schemas.openxmlformats.org/officeDocument/2006/relationships/hyperlink" Target="https://www.itu.int/ITU-T/recommendations/rec.aspx?id=14352" TargetMode="External"/><Relationship Id="rId353" Type="http://schemas.openxmlformats.org/officeDocument/2006/relationships/hyperlink" Target="https://www.itu.int/rec/T-REC-K.21-202006-I!Amd1" TargetMode="External"/><Relationship Id="rId374" Type="http://schemas.openxmlformats.org/officeDocument/2006/relationships/hyperlink" Target="https://www.itu.int/ITU-T/recommendations/rec.aspx?id=14269" TargetMode="External"/><Relationship Id="rId395" Type="http://schemas.openxmlformats.org/officeDocument/2006/relationships/glossaryDocument" Target="glossary/document.xml"/><Relationship Id="rId71" Type="http://schemas.openxmlformats.org/officeDocument/2006/relationships/hyperlink" Target="https://www.itu.int/en/irg/ava" TargetMode="External"/><Relationship Id="rId92" Type="http://schemas.openxmlformats.org/officeDocument/2006/relationships/hyperlink" Target="https://www.itu.int/md/T17-TSAG-R-0008/en" TargetMode="External"/><Relationship Id="rId213" Type="http://schemas.openxmlformats.org/officeDocument/2006/relationships/hyperlink" Target="https://www.itu.int/rec/T-REC-L.105-202003-I!Amd1" TargetMode="External"/><Relationship Id="rId234" Type="http://schemas.openxmlformats.org/officeDocument/2006/relationships/hyperlink" Target="https://www.itu.int/ITU-T/recommendations/rec.aspx?rec=14232" TargetMode="External"/><Relationship Id="rId2" Type="http://schemas.openxmlformats.org/officeDocument/2006/relationships/customXml" Target="../customXml/item2.xml"/><Relationship Id="rId29" Type="http://schemas.openxmlformats.org/officeDocument/2006/relationships/hyperlink" Target="https://www.itu.int/en/ITU-T/webinars/Pages/qsdg.aspx" TargetMode="External"/><Relationship Id="rId255" Type="http://schemas.openxmlformats.org/officeDocument/2006/relationships/hyperlink" Target="https://www.itu.int/ITU-T/recommendations/rec.aspx?id=14286" TargetMode="External"/><Relationship Id="rId276" Type="http://schemas.openxmlformats.org/officeDocument/2006/relationships/hyperlink" Target="https://www.itu.int/rec/T-REC-G.9960-202002-I!Amd1" TargetMode="External"/><Relationship Id="rId297" Type="http://schemas.openxmlformats.org/officeDocument/2006/relationships/hyperlink" Target="https://www.itu.int/ITU-T/recommendations/rec.aspx?id=14338" TargetMode="External"/><Relationship Id="rId40" Type="http://schemas.openxmlformats.org/officeDocument/2006/relationships/hyperlink" Target="https://www.itu.int/en/ITU-T/focusgroups/ai4h/Pages/default.aspx" TargetMode="External"/><Relationship Id="rId115" Type="http://schemas.openxmlformats.org/officeDocument/2006/relationships/hyperlink" Target="http://www.itu.int/itu-t/workprog/wp_item.aspx?isn=15071" TargetMode="External"/><Relationship Id="rId136" Type="http://schemas.openxmlformats.org/officeDocument/2006/relationships/hyperlink" Target="http://www.itu.int/ITU-T/workprog" TargetMode="External"/><Relationship Id="rId157" Type="http://schemas.openxmlformats.org/officeDocument/2006/relationships/hyperlink" Target="https://www.itu.int/search" TargetMode="External"/><Relationship Id="rId178" Type="http://schemas.openxmlformats.org/officeDocument/2006/relationships/hyperlink" Target="https://extranet.itu.int/sites/itu-t/focusgroups/ai4ee/" TargetMode="External"/><Relationship Id="rId301" Type="http://schemas.openxmlformats.org/officeDocument/2006/relationships/hyperlink" Target="https://www.itu.int/ITU-T/recommendations/rec.aspx?id=14324" TargetMode="External"/><Relationship Id="rId322" Type="http://schemas.openxmlformats.org/officeDocument/2006/relationships/hyperlink" Target="https://www.itu.int/ITU-T/recommendations/rec.aspx?id=14382" TargetMode="External"/><Relationship Id="rId343" Type="http://schemas.openxmlformats.org/officeDocument/2006/relationships/hyperlink" Target="https://www.itu.int/ITU-T/recommendations/rec.aspx?id=14332" TargetMode="External"/><Relationship Id="rId364" Type="http://schemas.openxmlformats.org/officeDocument/2006/relationships/hyperlink" Target="https://www.itu.int/ITU-T/recommendations/rec.aspx?id=14177" TargetMode="External"/><Relationship Id="rId61" Type="http://schemas.openxmlformats.org/officeDocument/2006/relationships/hyperlink" Target="https://itu.int/en/ITU-T/ipr/Pages/adhoc.aspx" TargetMode="External"/><Relationship Id="rId82" Type="http://schemas.openxmlformats.org/officeDocument/2006/relationships/hyperlink" Target="http://www.itu.int/en/ITU-T/ssc/united/Pages/default.aspx" TargetMode="External"/><Relationship Id="rId199" Type="http://schemas.openxmlformats.org/officeDocument/2006/relationships/hyperlink" Target="http://www.brsmeas.org/Default.aspx?tabid=3574&amp;meetId=46965D8E-C675-EA11-BFFE-005056857856&amp;lang=en" TargetMode="External"/><Relationship Id="rId203" Type="http://schemas.openxmlformats.org/officeDocument/2006/relationships/hyperlink" Target="https://www.itu.int/rec/T-REC-G.994.1-202003-P!Amd1" TargetMode="External"/><Relationship Id="rId385" Type="http://schemas.openxmlformats.org/officeDocument/2006/relationships/hyperlink" Target="https://www.itu.int/ITU-T/recommendations/rec.aspx?id=14335" TargetMode="External"/><Relationship Id="rId19" Type="http://schemas.openxmlformats.org/officeDocument/2006/relationships/hyperlink" Target="https://www.itu.int/en/ITU-T/AI/challenge/2020/Pages/default.aspx" TargetMode="External"/><Relationship Id="rId224" Type="http://schemas.openxmlformats.org/officeDocument/2006/relationships/hyperlink" Target="https://www.itu.int/rec/T-REC-G.8261-202003-P!Amd1" TargetMode="External"/><Relationship Id="rId245" Type="http://schemas.openxmlformats.org/officeDocument/2006/relationships/hyperlink" Target="https://www.itu.int/ITU-T/recommendations/rec.aspx?id=13574" TargetMode="External"/><Relationship Id="rId266" Type="http://schemas.openxmlformats.org/officeDocument/2006/relationships/hyperlink" Target="https://www.itu.int/ITU-T/recommendations/rec.aspx?rec=14386" TargetMode="External"/><Relationship Id="rId287" Type="http://schemas.openxmlformats.org/officeDocument/2006/relationships/hyperlink" Target="https://www.itu.int/ITU-T/recommendations/rec.aspx?id=14256" TargetMode="External"/><Relationship Id="rId30" Type="http://schemas.openxmlformats.org/officeDocument/2006/relationships/hyperlink" Target="https://www.itu.int/en/ITU-T/academia/kaleidoscope/2020/Pages/default.aspx" TargetMode="External"/><Relationship Id="rId105" Type="http://schemas.openxmlformats.org/officeDocument/2006/relationships/hyperlink" Target="https://www.itu.int/pub/T-TUT" TargetMode="External"/><Relationship Id="rId126" Type="http://schemas.openxmlformats.org/officeDocument/2006/relationships/hyperlink" Target="https://www.itu.int/en/myitu/News" TargetMode="External"/><Relationship Id="rId147" Type="http://schemas.openxmlformats.org/officeDocument/2006/relationships/hyperlink" Target="http://www.itu.int/ITU-T/inr/index.html" TargetMode="External"/><Relationship Id="rId168" Type="http://schemas.openxmlformats.org/officeDocument/2006/relationships/hyperlink" Target="https://www.itu.int/md/S17-CL-C-0133/en" TargetMode="External"/><Relationship Id="rId312" Type="http://schemas.openxmlformats.org/officeDocument/2006/relationships/hyperlink" Target="https://www.itu.int/ITU-T/recommendations/rec.aspx?id=14089" TargetMode="External"/><Relationship Id="rId333" Type="http://schemas.openxmlformats.org/officeDocument/2006/relationships/hyperlink" Target="https://www.itu.int/ITU-T/recommendations/rec.aspx?id=14353" TargetMode="External"/><Relationship Id="rId354" Type="http://schemas.openxmlformats.org/officeDocument/2006/relationships/hyperlink" Target="https://www.itu.int/rec/T-REC-K.45-202006-I!Amd1" TargetMode="External"/><Relationship Id="rId51" Type="http://schemas.openxmlformats.org/officeDocument/2006/relationships/hyperlink" Target="http://www.itu.int/pub/T-TUT-IPTV-2017-H702" TargetMode="External"/><Relationship Id="rId72" Type="http://schemas.openxmlformats.org/officeDocument/2006/relationships/hyperlink" Target="https://www.itu.int/en/irg/avqa" TargetMode="External"/><Relationship Id="rId93" Type="http://schemas.openxmlformats.org/officeDocument/2006/relationships/hyperlink" Target="https://www.itu.int/en/ITU-T/extcoop/ai-data-commons/202001/Pages/default.aspx" TargetMode="External"/><Relationship Id="rId189" Type="http://schemas.openxmlformats.org/officeDocument/2006/relationships/image" Target="media/image5.png"/><Relationship Id="rId375" Type="http://schemas.openxmlformats.org/officeDocument/2006/relationships/hyperlink" Target="https://www.itu.int/ITU-T/recommendations/rec.aspx?id=14270" TargetMode="External"/><Relationship Id="rId396"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www.itu.int/pub/publications.aspx?lang=en&amp;parent=T-TUT-L-2020-GLR" TargetMode="External"/><Relationship Id="rId235" Type="http://schemas.openxmlformats.org/officeDocument/2006/relationships/hyperlink" Target="https://www.itu.int/pub/publications.aspx?lang=en&amp;parent=T-TUT-HOME-2020-1" TargetMode="External"/><Relationship Id="rId256" Type="http://schemas.openxmlformats.org/officeDocument/2006/relationships/hyperlink" Target="https://www.itu.int/ITU-T/recommendations/rec.aspx?id=14287" TargetMode="External"/><Relationship Id="rId277" Type="http://schemas.openxmlformats.org/officeDocument/2006/relationships/hyperlink" Target="https://www.itu.int/rec/T-REC-G.9960-202007-I!Amd2" TargetMode="External"/><Relationship Id="rId298" Type="http://schemas.openxmlformats.org/officeDocument/2006/relationships/hyperlink" Target="https://www.itu.int/ITU-T/recommendations/rec.aspx?id=14342" TargetMode="External"/><Relationship Id="rId116" Type="http://schemas.openxmlformats.org/officeDocument/2006/relationships/hyperlink" Target="http://www.itu.int/itu-t/workprog/wp_item.aspx?isn=16653" TargetMode="External"/><Relationship Id="rId137" Type="http://schemas.openxmlformats.org/officeDocument/2006/relationships/hyperlink" Target="https://www.itu.int/en/ITU-T/extcoop/Pages/sdo.aspx" TargetMode="External"/><Relationship Id="rId158" Type="http://schemas.openxmlformats.org/officeDocument/2006/relationships/hyperlink" Target="https://www.itu.int/search" TargetMode="External"/><Relationship Id="rId302" Type="http://schemas.openxmlformats.org/officeDocument/2006/relationships/hyperlink" Target="https://www.itu.int/ITU-T/recommendations/rec.aspx?id=14325" TargetMode="External"/><Relationship Id="rId323" Type="http://schemas.openxmlformats.org/officeDocument/2006/relationships/hyperlink" Target="https://www.itu.int/ITU-T/recommendations/rec.aspx?id=14090" TargetMode="External"/><Relationship Id="rId344" Type="http://schemas.openxmlformats.org/officeDocument/2006/relationships/hyperlink" Target="https://www.itu.int/ITU-T/recommendations/rec.aspx?id=14333" TargetMode="External"/><Relationship Id="rId20" Type="http://schemas.openxmlformats.org/officeDocument/2006/relationships/hyperlink" Target="https://www.itu.int/en/ITU-T/ssc/united/Pages/publication-U4SSC-KPIs.aspx" TargetMode="External"/><Relationship Id="rId41" Type="http://schemas.openxmlformats.org/officeDocument/2006/relationships/hyperlink" Target="https://www.itu.int/en/ITU-T/focusgroups/vm/Pages/default.aspx" TargetMode="External"/><Relationship Id="rId62" Type="http://schemas.openxmlformats.org/officeDocument/2006/relationships/hyperlink" Target="https://www.itu.int/en/ITU-T/focusgroups/qit4n/Pages/default.aspx" TargetMode="External"/><Relationship Id="rId83" Type="http://schemas.openxmlformats.org/officeDocument/2006/relationships/hyperlink" Target="https://www.itu.int/en/ITU-T/ssc/united/Pages/publication-U4SSC-KPIs.aspx" TargetMode="External"/><Relationship Id="rId179" Type="http://schemas.openxmlformats.org/officeDocument/2006/relationships/hyperlink" Target="https://extranet.itu.int/sites/itu-t/focusgroups/qit4n" TargetMode="External"/><Relationship Id="rId365" Type="http://schemas.openxmlformats.org/officeDocument/2006/relationships/hyperlink" Target="https://www.itu.int/rec/T-REC-E.156-202006-P!Amd1" TargetMode="External"/><Relationship Id="rId386" Type="http://schemas.openxmlformats.org/officeDocument/2006/relationships/hyperlink" Target="https://www.itu.int/ITU-T/recommendations/rec.aspx?id=14140" TargetMode="External"/><Relationship Id="rId190" Type="http://schemas.openxmlformats.org/officeDocument/2006/relationships/hyperlink" Target="https://www.itu.int/en/ITU-T/Workshops-and-Seminars/202001/Pages/default.aspx" TargetMode="External"/><Relationship Id="rId204" Type="http://schemas.openxmlformats.org/officeDocument/2006/relationships/hyperlink" Target="https://www.itu.int/ITU-T/recommendations/rec.aspx?id=14195" TargetMode="External"/><Relationship Id="rId225" Type="http://schemas.openxmlformats.org/officeDocument/2006/relationships/hyperlink" Target="https://www.itu.int/rec/T-REC-G.8262-202003-P!Amd1" TargetMode="External"/><Relationship Id="rId246" Type="http://schemas.openxmlformats.org/officeDocument/2006/relationships/hyperlink" Target="https://www.itu.int/ITU-T/recommendations/rec.aspx?id=13575" TargetMode="External"/><Relationship Id="rId267" Type="http://schemas.openxmlformats.org/officeDocument/2006/relationships/hyperlink" Target="https://www.itu.int/pub/publications.aspx?lang=en&amp;parent=T-TUT-NET2030-2020" TargetMode="External"/><Relationship Id="rId288" Type="http://schemas.openxmlformats.org/officeDocument/2006/relationships/hyperlink" Target="https://www.itu.int/ITU-T/recommendations/rec.aspx?id=14181" TargetMode="External"/><Relationship Id="rId106" Type="http://schemas.openxmlformats.org/officeDocument/2006/relationships/hyperlink" Target="https://www.itu.int/md/meetingdoc.asp?lang=en&amp;parent=T17-SG13-200720-TD-PLEN-0306" TargetMode="External"/><Relationship Id="rId127" Type="http://schemas.openxmlformats.org/officeDocument/2006/relationships/image" Target="media/image3.png"/><Relationship Id="rId313" Type="http://schemas.openxmlformats.org/officeDocument/2006/relationships/hyperlink" Target="https://www.itu.int/ITU-T/recommendations/rec.aspx?id=14163" TargetMode="External"/><Relationship Id="rId10" Type="http://schemas.openxmlformats.org/officeDocument/2006/relationships/endnotes" Target="endnotes.xml"/><Relationship Id="rId31" Type="http://schemas.openxmlformats.org/officeDocument/2006/relationships/hyperlink" Target="https://www.itu.int/en/ITU-T/academia/kaleidoscope/2020/Pages/demos.aspx" TargetMode="External"/><Relationship Id="rId52" Type="http://schemas.openxmlformats.org/officeDocument/2006/relationships/hyperlink" Target="https://www.itu.int/en/irg/ava/Pages/default.aspx" TargetMode="External"/><Relationship Id="rId73" Type="http://schemas.openxmlformats.org/officeDocument/2006/relationships/hyperlink" Target="https://www.itu.int/en/irg/ibb" TargetMode="External"/><Relationship Id="rId94" Type="http://schemas.openxmlformats.org/officeDocument/2006/relationships/hyperlink" Target="https://news.itu.int/join-global-initiative-ai-data-commons/" TargetMode="External"/><Relationship Id="rId148" Type="http://schemas.openxmlformats.org/officeDocument/2006/relationships/hyperlink" Target="https://www.itu.int/net4/ITU-T/myworkspace/" TargetMode="External"/><Relationship Id="rId169" Type="http://schemas.openxmlformats.org/officeDocument/2006/relationships/hyperlink" Target="https://www.itu.int/md/S17-CL-C-0134/en" TargetMode="External"/><Relationship Id="rId334" Type="http://schemas.openxmlformats.org/officeDocument/2006/relationships/hyperlink" Target="https://www.itu.int/ITU-T/recommendations/rec.aspx?id=14354" TargetMode="External"/><Relationship Id="rId355" Type="http://schemas.openxmlformats.org/officeDocument/2006/relationships/hyperlink" Target="https://www.itu.int/rec/T-REC-K.50-202006-I!Amd1" TargetMode="External"/><Relationship Id="rId376" Type="http://schemas.openxmlformats.org/officeDocument/2006/relationships/hyperlink" Target="https://www.itu.int/ITU-T/recommendations/rec.aspx?id=14239" TargetMode="External"/><Relationship Id="rId4" Type="http://schemas.openxmlformats.org/officeDocument/2006/relationships/customXml" Target="../customXml/item4.xml"/><Relationship Id="rId180" Type="http://schemas.openxmlformats.org/officeDocument/2006/relationships/hyperlink" Target="https://extranet.itu.int/sites/itu-t/focusgroups/ai4ad" TargetMode="External"/><Relationship Id="rId215" Type="http://schemas.openxmlformats.org/officeDocument/2006/relationships/hyperlink" Target="https://www.itu.int/ITU-T/recommendations/rec.aspx?id=14199" TargetMode="External"/><Relationship Id="rId236" Type="http://schemas.openxmlformats.org/officeDocument/2006/relationships/hyperlink" Target="https://www.itu.int/ITU-T/recommendations/rec.aspx?id=14275" TargetMode="External"/><Relationship Id="rId257" Type="http://schemas.openxmlformats.org/officeDocument/2006/relationships/hyperlink" Target="https://www.itu.int/ITU-T/recommendations/rec.aspx?id=14288" TargetMode="External"/><Relationship Id="rId278" Type="http://schemas.openxmlformats.org/officeDocument/2006/relationships/hyperlink" Target="https://www.itu.int/rec/T-REC-G.9961-202002-I!Amd1" TargetMode="External"/><Relationship Id="rId303" Type="http://schemas.openxmlformats.org/officeDocument/2006/relationships/hyperlink" Target="https://www.itu.int/ITU-T/recommendations/rec.aspx?id=14326" TargetMode="External"/><Relationship Id="rId42" Type="http://schemas.openxmlformats.org/officeDocument/2006/relationships/hyperlink" Target="https://www.itu.int/en/ITU-T/focusgroups/ai4ee/Pages/default.aspx" TargetMode="External"/><Relationship Id="rId84" Type="http://schemas.openxmlformats.org/officeDocument/2006/relationships/hyperlink" Target="https://www.itu.int/en/ITU-T/ssc/united/Pages/thematic-groups.aspx" TargetMode="External"/><Relationship Id="rId138" Type="http://schemas.openxmlformats.org/officeDocument/2006/relationships/hyperlink" Target="https://www.itu.int/ITU-T/aap/AAPSearch.aspx" TargetMode="External"/><Relationship Id="rId345" Type="http://schemas.openxmlformats.org/officeDocument/2006/relationships/hyperlink" Target="https://www.itu.int/ITU-T/recommendations/rec.aspx?id=14334" TargetMode="External"/><Relationship Id="rId387" Type="http://schemas.openxmlformats.org/officeDocument/2006/relationships/hyperlink" Target="https://www.itu.int/oth/T0A0F00002C/" TargetMode="External"/><Relationship Id="rId191" Type="http://schemas.openxmlformats.org/officeDocument/2006/relationships/hyperlink" Target="https://www.itu.int/en/fnc/2020/Pages/default.aspx" TargetMode="External"/><Relationship Id="rId205" Type="http://schemas.openxmlformats.org/officeDocument/2006/relationships/hyperlink" Target="https://www.itu.int/ITU-T/recommendations/rec.aspx?id=14218" TargetMode="External"/><Relationship Id="rId247" Type="http://schemas.openxmlformats.org/officeDocument/2006/relationships/hyperlink" Target="https://www.itu.int/ITU-T/recommendations/rec.aspx?id=13576" TargetMode="External"/><Relationship Id="rId107" Type="http://schemas.openxmlformats.org/officeDocument/2006/relationships/hyperlink" Target="https://www.itu.int/dms_pub/itu-t/opb/res/T-RES-T.89-2016-PDF-E.pdf" TargetMode="External"/><Relationship Id="rId289" Type="http://schemas.openxmlformats.org/officeDocument/2006/relationships/hyperlink" Target="https://www.itu.int/ITU-T/recommendations/rec.aspx?id=14319" TargetMode="External"/><Relationship Id="rId11" Type="http://schemas.openxmlformats.org/officeDocument/2006/relationships/image" Target="media/image1.gif"/><Relationship Id="rId53" Type="http://schemas.openxmlformats.org/officeDocument/2006/relationships/hyperlink" Target="https://www.itu.int/net4/wsis/forum/2020/Agenda/Session/124" TargetMode="External"/><Relationship Id="rId149" Type="http://schemas.openxmlformats.org/officeDocument/2006/relationships/hyperlink" Target="https://www.itu.int/myworkspace/" TargetMode="External"/><Relationship Id="rId314" Type="http://schemas.openxmlformats.org/officeDocument/2006/relationships/hyperlink" Target="https://www.itu.int/ITU-T/recommendations/rec.aspx?id=14371" TargetMode="External"/><Relationship Id="rId356" Type="http://schemas.openxmlformats.org/officeDocument/2006/relationships/hyperlink" Target="https://www.itu.int/ITU-T/recommendations/rec.aspx?id=14294" TargetMode="External"/><Relationship Id="rId95" Type="http://schemas.openxmlformats.org/officeDocument/2006/relationships/hyperlink" Target="https://aiforgood.itu.int/events/global-data-pledge/" TargetMode="External"/><Relationship Id="rId160" Type="http://schemas.openxmlformats.org/officeDocument/2006/relationships/hyperlink" Target="https://www.itu.int/search" TargetMode="External"/><Relationship Id="rId216" Type="http://schemas.openxmlformats.org/officeDocument/2006/relationships/hyperlink" Target="https://www.itu.int/ITU-T/recommendations/rec.aspx?id=14201" TargetMode="External"/><Relationship Id="rId258" Type="http://schemas.openxmlformats.org/officeDocument/2006/relationships/hyperlink" Target="https://www.itu.int/ITU-T/recommendations/rec.aspx?id=14289" TargetMode="External"/><Relationship Id="rId22" Type="http://schemas.openxmlformats.org/officeDocument/2006/relationships/hyperlink" Target="https://www.itu.int/en/publications/Documents/tsb/2020-U4SSC-A-guide-to-circular-cities/index.html" TargetMode="External"/><Relationship Id="rId64" Type="http://schemas.openxmlformats.org/officeDocument/2006/relationships/hyperlink" Target="https://www.itu.int/en/ITU-T/AI/challenge/2020/Pages/default.aspx" TargetMode="External"/><Relationship Id="rId118" Type="http://schemas.openxmlformats.org/officeDocument/2006/relationships/hyperlink" Target="http://www.itu.int/itu-t/workprog/wp_item.aspx?isn=16368" TargetMode="External"/><Relationship Id="rId325" Type="http://schemas.openxmlformats.org/officeDocument/2006/relationships/hyperlink" Target="https://www.itu.int/ITU-T/recommendations/rec.aspx?id=14344" TargetMode="External"/><Relationship Id="rId367" Type="http://schemas.openxmlformats.org/officeDocument/2006/relationships/hyperlink" Target="https://www.itu.int/rec/T-REC-E.212-202006-P!Amd2" TargetMode="External"/><Relationship Id="rId171" Type="http://schemas.openxmlformats.org/officeDocument/2006/relationships/hyperlink" Target="https://extranet.itu.int/sites/itu-t/studygroups/2017-2020" TargetMode="External"/><Relationship Id="rId227" Type="http://schemas.openxmlformats.org/officeDocument/2006/relationships/hyperlink" Target="https://www.itu.int/ITU-T/recommendations/rec.aspx?id=14210" TargetMode="External"/><Relationship Id="rId269" Type="http://schemas.openxmlformats.org/officeDocument/2006/relationships/hyperlink" Target="https://www.itu.int/ITU-T/recommendations/rec.aspx?id=14246" TargetMode="External"/><Relationship Id="rId33" Type="http://schemas.openxmlformats.org/officeDocument/2006/relationships/hyperlink" Target="https://www.itu.int/en/journal/j-fet/Pages/editorial-board.aspx" TargetMode="External"/><Relationship Id="rId129" Type="http://schemas.openxmlformats.org/officeDocument/2006/relationships/hyperlink" Target="https://www.itu.int/en/ITU-T/academia/kaleidoscope/2020/Pages/demos.aspx" TargetMode="External"/><Relationship Id="rId280" Type="http://schemas.openxmlformats.org/officeDocument/2006/relationships/hyperlink" Target="https://www.itu.int/rec/T-REC-G.9962-202007-P!Amd1" TargetMode="External"/><Relationship Id="rId336" Type="http://schemas.openxmlformats.org/officeDocument/2006/relationships/hyperlink" Target="https://www.itu.int/ITU-T/recommendations/rec.aspx?id=14320" TargetMode="External"/><Relationship Id="rId75" Type="http://schemas.openxmlformats.org/officeDocument/2006/relationships/hyperlink" Target="http://www.itu.int/en/ITU-T/gsc/Pages/default.aspx" TargetMode="External"/><Relationship Id="rId140" Type="http://schemas.openxmlformats.org/officeDocument/2006/relationships/hyperlink" Target="http://www.itu.int/itu-t/recommendations" TargetMode="External"/><Relationship Id="rId182" Type="http://schemas.openxmlformats.org/officeDocument/2006/relationships/hyperlink" Target="https://extranet.itu.int/sites/irg/ava/" TargetMode="External"/><Relationship Id="rId378" Type="http://schemas.openxmlformats.org/officeDocument/2006/relationships/hyperlink" Target="https://www.itu.int/ITU-T/recommendations/rec.aspx?id=14274" TargetMode="External"/><Relationship Id="rId6" Type="http://schemas.openxmlformats.org/officeDocument/2006/relationships/styles" Target="styles.xml"/><Relationship Id="rId238" Type="http://schemas.openxmlformats.org/officeDocument/2006/relationships/hyperlink" Target="https://www.itu.int/en/ITU-T/extcoop/Pages/sdo.aspx" TargetMode="External"/><Relationship Id="rId291" Type="http://schemas.openxmlformats.org/officeDocument/2006/relationships/hyperlink" Target="https://www.itu.int/ITU-T/recommendations/rec.aspx?id=14182" TargetMode="External"/><Relationship Id="rId305" Type="http://schemas.openxmlformats.org/officeDocument/2006/relationships/hyperlink" Target="https://www.itu.int/ITU-T/recommendations/rec.aspx?id=14328" TargetMode="External"/><Relationship Id="rId347" Type="http://schemas.openxmlformats.org/officeDocument/2006/relationships/hyperlink" Target="https://www.itu.int/ITU-T/recommendations/rec.aspx?id=14379" TargetMode="External"/><Relationship Id="rId44" Type="http://schemas.openxmlformats.org/officeDocument/2006/relationships/hyperlink" Target="https://www.itu.int/en/ITU-T/focusgroups/qit4n/Pages/default.aspx" TargetMode="External"/><Relationship Id="rId86" Type="http://schemas.openxmlformats.org/officeDocument/2006/relationships/hyperlink" Target="https://www.itu.int/en/ITU-T/ssc/united/Pages/publications-U4SSC.aspx" TargetMode="External"/><Relationship Id="rId151" Type="http://schemas.openxmlformats.org/officeDocument/2006/relationships/hyperlink" Target="https://www.itu.int/myworkspace/" TargetMode="External"/><Relationship Id="rId389" Type="http://schemas.openxmlformats.org/officeDocument/2006/relationships/header" Target="header2.xml"/><Relationship Id="rId193" Type="http://schemas.openxmlformats.org/officeDocument/2006/relationships/hyperlink" Target="https://www.itu.int/en/ITU-T/Workshops-and-Seminars/20200121/Pages/default.aspx" TargetMode="External"/><Relationship Id="rId207" Type="http://schemas.openxmlformats.org/officeDocument/2006/relationships/hyperlink" Target="https://www.itu.int/rec/T-REC-G.984.3-202003-P!Amd1" TargetMode="External"/><Relationship Id="rId249" Type="http://schemas.openxmlformats.org/officeDocument/2006/relationships/hyperlink" Target="https://www.itu.int/ITU-T/recommendations/rec.aspx?id=14280" TargetMode="External"/><Relationship Id="rId13" Type="http://schemas.openxmlformats.org/officeDocument/2006/relationships/hyperlink" Target="https://aiforgood.itu.int/" TargetMode="External"/><Relationship Id="rId109" Type="http://schemas.openxmlformats.org/officeDocument/2006/relationships/hyperlink" Target="http://www.itu.int/itu-t/workprog/wp_item.aspx?isn=16354" TargetMode="External"/><Relationship Id="rId260" Type="http://schemas.openxmlformats.org/officeDocument/2006/relationships/hyperlink" Target="https://www.itu.int/pub/publications.aspx?lang=en&amp;parent=T-TUT-CABLETV-2020" TargetMode="External"/><Relationship Id="rId316" Type="http://schemas.openxmlformats.org/officeDocument/2006/relationships/hyperlink" Target="https://www.itu.int/ITU-T/recommendations/rec.aspx?id=14373" TargetMode="External"/><Relationship Id="rId55" Type="http://schemas.openxmlformats.org/officeDocument/2006/relationships/hyperlink" Target="https://www.itu.int/net4/wsis/forum/2020/Agenda/Session/141" TargetMode="External"/><Relationship Id="rId97" Type="http://schemas.openxmlformats.org/officeDocument/2006/relationships/image" Target="media/image2.png"/><Relationship Id="rId120" Type="http://schemas.openxmlformats.org/officeDocument/2006/relationships/hyperlink" Target="http://www.itu.int/itu-t/workprog/wp_item.aspx?isn=16658" TargetMode="External"/><Relationship Id="rId358" Type="http://schemas.openxmlformats.org/officeDocument/2006/relationships/hyperlink" Target="https://www.itu.int/ITU-T/recommendations/rec.aspx?id=14296" TargetMode="External"/><Relationship Id="rId162" Type="http://schemas.openxmlformats.org/officeDocument/2006/relationships/hyperlink" Target="http://itu.int/go/itu-t/rgm" TargetMode="External"/><Relationship Id="rId218" Type="http://schemas.openxmlformats.org/officeDocument/2006/relationships/hyperlink" Target="https://www.itu.int/ITU-T/recommendations/rec.aspx?id=14241" TargetMode="External"/><Relationship Id="rId271" Type="http://schemas.openxmlformats.org/officeDocument/2006/relationships/hyperlink" Target="https://www.itu.int/ITU-T/recommendations/rec.aspx?id=14133" TargetMode="External"/><Relationship Id="rId24" Type="http://schemas.openxmlformats.org/officeDocument/2006/relationships/hyperlink" Target="https://www.itu.int/en/ITU-T/ssc/united/Pages/publication-U4SSC-KPIs.aspx" TargetMode="External"/><Relationship Id="rId66" Type="http://schemas.openxmlformats.org/officeDocument/2006/relationships/hyperlink" Target="https://www.itu.int/en/ITU-T/focusgroups/ai4h" TargetMode="External"/><Relationship Id="rId131" Type="http://schemas.openxmlformats.org/officeDocument/2006/relationships/hyperlink" Target="https://www.itu.int/en/journal/j-fet/Pages/editorial-board.aspx" TargetMode="External"/><Relationship Id="rId327" Type="http://schemas.openxmlformats.org/officeDocument/2006/relationships/hyperlink" Target="https://www.itu.int/ITU-T/recommendations/rec.aspx?id=14347" TargetMode="External"/><Relationship Id="rId369" Type="http://schemas.openxmlformats.org/officeDocument/2006/relationships/hyperlink" Target="https://www.itu.int/ITU-T/recommendations/rec.aspx?id=14321" TargetMode="External"/><Relationship Id="rId173" Type="http://schemas.openxmlformats.org/officeDocument/2006/relationships/hyperlink" Target="https://extranet.itu.int/sites/itu-t/initiatives/sitwg/" TargetMode="External"/><Relationship Id="rId229" Type="http://schemas.openxmlformats.org/officeDocument/2006/relationships/hyperlink" Target="https://www.itu.int/rec/T-REC-G.8273-202003-P!Amd1" TargetMode="External"/><Relationship Id="rId380" Type="http://schemas.openxmlformats.org/officeDocument/2006/relationships/hyperlink" Target="https://www.itu.int/ITU-T/recommendations/rec.aspx?id=14283" TargetMode="External"/><Relationship Id="rId240" Type="http://schemas.openxmlformats.org/officeDocument/2006/relationships/hyperlink" Target="https://www.itu.int/en/ITU-T/extcoop/Pages/sdo.aspx" TargetMode="External"/><Relationship Id="rId35" Type="http://schemas.openxmlformats.org/officeDocument/2006/relationships/hyperlink" Target="http://icn.tsinghuajournals.com" TargetMode="External"/><Relationship Id="rId77" Type="http://schemas.openxmlformats.org/officeDocument/2006/relationships/hyperlink" Target="http://www.itu.int/en/ITU-T/tsbdir/cto/Pages/default.aspx" TargetMode="External"/><Relationship Id="rId100" Type="http://schemas.openxmlformats.org/officeDocument/2006/relationships/hyperlink" Target="https://www.itu.int/en/ITU-D/Regional-Presence/CIS/Pages/EVENTS/2020/03_Minsk/03_Minsk.aspx" TargetMode="External"/><Relationship Id="rId282" Type="http://schemas.openxmlformats.org/officeDocument/2006/relationships/hyperlink" Target="https://www.itu.int/rec/T-REC-G.9962-202007-P!Amd1" TargetMode="External"/><Relationship Id="rId338" Type="http://schemas.openxmlformats.org/officeDocument/2006/relationships/hyperlink" Target="https://www.itu.int/rec/T-REC-x/recommendation.asp?lang=en&amp;parent=T-REC-X.1054" TargetMode="External"/><Relationship Id="rId8" Type="http://schemas.openxmlformats.org/officeDocument/2006/relationships/webSettings" Target="webSettings.xml"/><Relationship Id="rId142" Type="http://schemas.openxmlformats.org/officeDocument/2006/relationships/hyperlink" Target="http://www.itu.int/ipr/" TargetMode="External"/><Relationship Id="rId184" Type="http://schemas.openxmlformats.org/officeDocument/2006/relationships/hyperlink" Target="https://extranet.itu.int/sites/itu-t/initiatives/circulardesign" TargetMode="External"/><Relationship Id="rId391" Type="http://schemas.openxmlformats.org/officeDocument/2006/relationships/footer" Target="footer2.xml"/><Relationship Id="rId251" Type="http://schemas.openxmlformats.org/officeDocument/2006/relationships/hyperlink" Target="https://www.itu.int/ITU-T/recommendations/rec.aspx?id=14356" TargetMode="External"/><Relationship Id="rId46" Type="http://schemas.openxmlformats.org/officeDocument/2006/relationships/hyperlink" Target="https://www.itu.int/en/ITU-T/webinars/Pages/dfs.aspx" TargetMode="External"/><Relationship Id="rId293" Type="http://schemas.openxmlformats.org/officeDocument/2006/relationships/hyperlink" Target="https://www.itu.int/ITU-T/recommendations/rec.aspx?id=14336" TargetMode="External"/><Relationship Id="rId307" Type="http://schemas.openxmlformats.org/officeDocument/2006/relationships/hyperlink" Target="https://www.itu.int/ITU-T/recommendations/rec.aspx?id=14330" TargetMode="External"/><Relationship Id="rId349" Type="http://schemas.openxmlformats.org/officeDocument/2006/relationships/hyperlink" Target="https://www.itu.int/ITU-T/recommendations/rec.aspx?id=14304" TargetMode="External"/><Relationship Id="rId88" Type="http://schemas.openxmlformats.org/officeDocument/2006/relationships/hyperlink" Target="https://www.itu.int/en/ITU-T/ssc/united/Pages/U4SSC-IP.aspx" TargetMode="External"/><Relationship Id="rId111" Type="http://schemas.openxmlformats.org/officeDocument/2006/relationships/hyperlink" Target="http://www.itu.int/itu-t/workprog/wp_item.aspx?isn=14071" TargetMode="External"/><Relationship Id="rId153" Type="http://schemas.openxmlformats.org/officeDocument/2006/relationships/hyperlink" Target="http://tsbcloud.itu.int" TargetMode="External"/><Relationship Id="rId195" Type="http://schemas.openxmlformats.org/officeDocument/2006/relationships/hyperlink" Target="https://www.itu.int/en/ITU-T/Workshops-and-Seminars/standardization/20200203/Pages/default.aspx" TargetMode="External"/><Relationship Id="rId209" Type="http://schemas.openxmlformats.org/officeDocument/2006/relationships/hyperlink" Target="https://www.itu.int/rec/T-REC-G.988-202003-P!Amd3" TargetMode="External"/><Relationship Id="rId360" Type="http://schemas.openxmlformats.org/officeDocument/2006/relationships/hyperlink" Target="https://www.itu.int/ITU-T/recommendations/rec.aspx?id=14300" TargetMode="External"/><Relationship Id="rId220" Type="http://schemas.openxmlformats.org/officeDocument/2006/relationships/hyperlink" Target="https://www.itu.int/rec/T-REC-G.Imp8001-202002-I" TargetMode="External"/><Relationship Id="rId15" Type="http://schemas.openxmlformats.org/officeDocument/2006/relationships/hyperlink" Target="https://www.itu.int/en/ITU-T/ssc/united/Pages/default.aspx" TargetMode="External"/><Relationship Id="rId57" Type="http://schemas.openxmlformats.org/officeDocument/2006/relationships/hyperlink" Target="https://www.itu.int/en/ITU-D/Regional-Presence/Europe/Pages/Events/2019/AE/AccessibleEurope.aspx" TargetMode="External"/><Relationship Id="rId262" Type="http://schemas.openxmlformats.org/officeDocument/2006/relationships/hyperlink" Target="https://www.itu.int/ITU-T/recommendations/rec.aspx?id=14243" TargetMode="External"/><Relationship Id="rId318" Type="http://schemas.openxmlformats.org/officeDocument/2006/relationships/hyperlink" Target="https://www.itu.int/ITU-T/recommendations/rec.aspx?id=14376" TargetMode="External"/><Relationship Id="rId99" Type="http://schemas.openxmlformats.org/officeDocument/2006/relationships/hyperlink" Target="https://www.itu.int/en/ITU-T/Workshops-and-Seminars/bsg" TargetMode="External"/><Relationship Id="rId122" Type="http://schemas.openxmlformats.org/officeDocument/2006/relationships/hyperlink" Target="https://www.itu.int/rec/T-REC-x/recommendation.asp?lang=en&amp;parent=T-REC-X.1149" TargetMode="External"/><Relationship Id="rId164" Type="http://schemas.openxmlformats.org/officeDocument/2006/relationships/hyperlink" Target="http://itu.int/go/itu-t/rgm-guide" TargetMode="External"/><Relationship Id="rId371" Type="http://schemas.openxmlformats.org/officeDocument/2006/relationships/hyperlink" Target="https://www.itu.int/pub/publications.aspx?lang=en&amp;parent=T-TUT-DIS-2020" TargetMode="External"/><Relationship Id="rId26" Type="http://schemas.openxmlformats.org/officeDocument/2006/relationships/hyperlink" Target="https://www.itu.int/en/ITU-T/ssc/united/Pages/U4SSC-IP.aspx" TargetMode="External"/><Relationship Id="rId231" Type="http://schemas.openxmlformats.org/officeDocument/2006/relationships/hyperlink" Target="https://www.itu.int/ITU-T/recommendations/rec.aspx?id=14214" TargetMode="External"/><Relationship Id="rId273" Type="http://schemas.openxmlformats.org/officeDocument/2006/relationships/hyperlink" Target="https://www.itu.int/ITU-T/recommendations/rec.aspx?id=14255" TargetMode="External"/><Relationship Id="rId329" Type="http://schemas.openxmlformats.org/officeDocument/2006/relationships/hyperlink" Target="https://www.itu.int/ITU-T/recommendations/rec.aspx?id=14349" TargetMode="External"/><Relationship Id="rId68" Type="http://schemas.openxmlformats.org/officeDocument/2006/relationships/hyperlink" Target="https://www.itu.int/en/ITU-T/focusgroups/vm/Documents/FGVM-01R1.pdf" TargetMode="External"/><Relationship Id="rId133" Type="http://schemas.openxmlformats.org/officeDocument/2006/relationships/hyperlink" Target="http://icn.tsinghuajournals.com" TargetMode="External"/><Relationship Id="rId175" Type="http://schemas.openxmlformats.org/officeDocument/2006/relationships/hyperlink" Target="https://extranet.itu.int/sites/itu-t/focusgroups/net-2030/" TargetMode="External"/><Relationship Id="rId340" Type="http://schemas.openxmlformats.org/officeDocument/2006/relationships/hyperlink" Target="https://www.itu.int/ITU-T/recommendations/rec.aspx?id=14252" TargetMode="External"/><Relationship Id="rId200" Type="http://schemas.openxmlformats.org/officeDocument/2006/relationships/hyperlink" Target="http://www.itu.int/pub/T-RES" TargetMode="External"/><Relationship Id="rId382" Type="http://schemas.openxmlformats.org/officeDocument/2006/relationships/hyperlink" Target="https://www.itu.int/rec/T-REC-Y.1540-202002-P!Am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94B90"/>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5839"/>
    <w:rsid w:val="002C18D7"/>
    <w:rsid w:val="002D5033"/>
    <w:rsid w:val="002D57FE"/>
    <w:rsid w:val="0030662F"/>
    <w:rsid w:val="00306BFB"/>
    <w:rsid w:val="00323BA2"/>
    <w:rsid w:val="003339F1"/>
    <w:rsid w:val="00344284"/>
    <w:rsid w:val="003473EC"/>
    <w:rsid w:val="003515D3"/>
    <w:rsid w:val="00357BB5"/>
    <w:rsid w:val="0036158A"/>
    <w:rsid w:val="00364AFC"/>
    <w:rsid w:val="0037233E"/>
    <w:rsid w:val="003851EE"/>
    <w:rsid w:val="00392835"/>
    <w:rsid w:val="00394A2A"/>
    <w:rsid w:val="00396F2D"/>
    <w:rsid w:val="003B5A8D"/>
    <w:rsid w:val="003B7E42"/>
    <w:rsid w:val="003D0246"/>
    <w:rsid w:val="004120E5"/>
    <w:rsid w:val="00460BEE"/>
    <w:rsid w:val="00460C35"/>
    <w:rsid w:val="00464E70"/>
    <w:rsid w:val="004777DC"/>
    <w:rsid w:val="004A38FD"/>
    <w:rsid w:val="004C2B5B"/>
    <w:rsid w:val="0051783C"/>
    <w:rsid w:val="00537D9C"/>
    <w:rsid w:val="0054647D"/>
    <w:rsid w:val="00554BF1"/>
    <w:rsid w:val="005945B1"/>
    <w:rsid w:val="005A0DBA"/>
    <w:rsid w:val="005A41FA"/>
    <w:rsid w:val="005A5B7B"/>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62E99"/>
    <w:rsid w:val="007635D3"/>
    <w:rsid w:val="007B08DC"/>
    <w:rsid w:val="007B0FDA"/>
    <w:rsid w:val="007B456B"/>
    <w:rsid w:val="007C0258"/>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4AD4"/>
    <w:rsid w:val="0089158E"/>
    <w:rsid w:val="008A3ED4"/>
    <w:rsid w:val="008E0E6D"/>
    <w:rsid w:val="008F7972"/>
    <w:rsid w:val="00900CE7"/>
    <w:rsid w:val="0090252F"/>
    <w:rsid w:val="00903FED"/>
    <w:rsid w:val="00952CD2"/>
    <w:rsid w:val="00956927"/>
    <w:rsid w:val="00973C3F"/>
    <w:rsid w:val="0098527D"/>
    <w:rsid w:val="009914C6"/>
    <w:rsid w:val="009937CD"/>
    <w:rsid w:val="009A0F9B"/>
    <w:rsid w:val="009A766A"/>
    <w:rsid w:val="009B2421"/>
    <w:rsid w:val="009B503F"/>
    <w:rsid w:val="009C7968"/>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B0DC8"/>
    <w:rsid w:val="00CB0F4F"/>
    <w:rsid w:val="00CB4B45"/>
    <w:rsid w:val="00CC047F"/>
    <w:rsid w:val="00CC169B"/>
    <w:rsid w:val="00CC3AFA"/>
    <w:rsid w:val="00CC3D76"/>
    <w:rsid w:val="00D001A3"/>
    <w:rsid w:val="00D0251D"/>
    <w:rsid w:val="00D03C0E"/>
    <w:rsid w:val="00D20699"/>
    <w:rsid w:val="00D36D60"/>
    <w:rsid w:val="00D50FE1"/>
    <w:rsid w:val="00D51374"/>
    <w:rsid w:val="00D60A7E"/>
    <w:rsid w:val="00D62C3D"/>
    <w:rsid w:val="00DA4B6E"/>
    <w:rsid w:val="00DA6F65"/>
    <w:rsid w:val="00DA73E5"/>
    <w:rsid w:val="00DD7197"/>
    <w:rsid w:val="00DF1DA7"/>
    <w:rsid w:val="00DF33E0"/>
    <w:rsid w:val="00E0639D"/>
    <w:rsid w:val="00E333A7"/>
    <w:rsid w:val="00E354AA"/>
    <w:rsid w:val="00E56774"/>
    <w:rsid w:val="00E76DF8"/>
    <w:rsid w:val="00E800E1"/>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D06CD"/>
    <w:rsid w:val="00FD226D"/>
    <w:rsid w:val="00FE48E9"/>
    <w:rsid w:val="00FE7965"/>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4B91A188-B22B-4DE2-998E-786DF23C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12</TotalTime>
  <Pages>97</Pages>
  <Words>46924</Words>
  <Characters>319360</Characters>
  <Application>Microsoft Office Word</Application>
  <DocSecurity>0</DocSecurity>
  <Lines>4990</Lines>
  <Paragraphs>1695</Paragraphs>
  <ScaleCrop>false</ScaleCrop>
  <HeadingPairs>
    <vt:vector size="2" baseType="variant">
      <vt:variant>
        <vt:lpstr>Title</vt:lpstr>
      </vt:variant>
      <vt:variant>
        <vt:i4>1</vt:i4>
      </vt:variant>
    </vt:vector>
  </HeadingPairs>
  <TitlesOfParts>
    <vt:vector size="1" baseType="lpstr">
      <vt:lpstr>Report of activities in ITU-T (from January to August 2020)</vt:lpstr>
    </vt:vector>
  </TitlesOfParts>
  <Manager>ITU-T</Manager>
  <Company>International Telecommunication Union (ITU)</Company>
  <LinksUpToDate>false</LinksUpToDate>
  <CharactersWithSpaces>364589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January to August 2020)</dc:title>
  <dc:subject/>
  <dc:creator>Director, TSB</dc:creator>
  <cp:keywords/>
  <dc:description>TSAG-TD778  For: E-Meeting, 21-25 September 2020_x000d_Document date: _x000d_Saved by ITU51011769 at 10:48:30 on 15/09/2020</dc:description>
  <cp:lastModifiedBy>Al-Mnini, Lara</cp:lastModifiedBy>
  <cp:revision>3</cp:revision>
  <cp:lastPrinted>2018-10-11T00:17:00Z</cp:lastPrinted>
  <dcterms:created xsi:type="dcterms:W3CDTF">2020-09-15T08:30:00Z</dcterms:created>
  <dcterms:modified xsi:type="dcterms:W3CDTF">2020-09-15T08:52:00Z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TSAG-TD778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21-25 September 2020</vt:lpwstr>
  </property>
  <property fmtid="{D5CDD505-2E9C-101B-9397-08002B2CF9AE}" pid="7" name="Docauthor">
    <vt:lpwstr>Director, TSB</vt:lpwstr>
  </property>
  <property fmtid="{D5CDD505-2E9C-101B-9397-08002B2CF9AE}" pid="8" name="ContentTypeId">
    <vt:lpwstr>0x010100714706B5C8C0E7438BEF2951889CCA4F</vt:lpwstr>
  </property>
</Properties>
</file>