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4044"/>
        <w:gridCol w:w="3629"/>
      </w:tblGrid>
      <w:tr w:rsidR="00E108DA" w14:paraId="6B700201" w14:textId="77777777" w:rsidTr="002911B5">
        <w:trPr>
          <w:cantSplit/>
        </w:trPr>
        <w:tc>
          <w:tcPr>
            <w:tcW w:w="1191" w:type="dxa"/>
            <w:vMerge w:val="restart"/>
          </w:tcPr>
          <w:p w14:paraId="3BF4B4BE" w14:textId="77777777" w:rsidR="00E108DA" w:rsidRDefault="00E108DA" w:rsidP="002911B5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3A3F19">
              <w:rPr>
                <w:noProof/>
                <w:sz w:val="20"/>
                <w:lang w:val="en-US" w:eastAsia="zh-CN"/>
              </w:rPr>
              <w:drawing>
                <wp:inline distT="0" distB="0" distL="0" distR="0" wp14:anchorId="4803CA34" wp14:editId="54711531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35C6B537" w14:textId="77777777" w:rsidR="00E108DA" w:rsidRDefault="00E108DA" w:rsidP="002911B5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2322D0CE" w14:textId="77777777" w:rsidR="00E108DA" w:rsidRDefault="00E108DA" w:rsidP="002911B5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09B12FCD" w14:textId="77777777" w:rsidR="00E108DA" w:rsidRDefault="00E108DA" w:rsidP="002911B5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6D839174" w14:textId="77777777" w:rsidR="00E108DA" w:rsidRDefault="00E108DA" w:rsidP="002911B5">
            <w:pPr>
              <w:pStyle w:val="Docnumber"/>
            </w:pPr>
            <w:r>
              <w:rPr>
                <w:sz w:val="32"/>
              </w:rPr>
              <w:t>TSAG-TD797</w:t>
            </w:r>
          </w:p>
        </w:tc>
      </w:tr>
      <w:tr w:rsidR="00E108DA" w14:paraId="19BA37F5" w14:textId="77777777" w:rsidTr="002911B5">
        <w:trPr>
          <w:cantSplit/>
          <w:trHeight w:val="461"/>
        </w:trPr>
        <w:tc>
          <w:tcPr>
            <w:tcW w:w="1191" w:type="dxa"/>
            <w:vMerge/>
          </w:tcPr>
          <w:p w14:paraId="4309CBBC" w14:textId="77777777" w:rsidR="00E108DA" w:rsidRDefault="00E108DA" w:rsidP="002911B5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69D9D05F" w14:textId="77777777" w:rsidR="00E108DA" w:rsidRDefault="00E108DA" w:rsidP="002911B5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641BCDFC" w14:textId="77777777" w:rsidR="00E108DA" w:rsidRDefault="00E108DA" w:rsidP="002911B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E108DA" w14:paraId="5F9B4FD5" w14:textId="77777777" w:rsidTr="002911B5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8016BB4" w14:textId="77777777" w:rsidR="00E108DA" w:rsidRDefault="00E108DA" w:rsidP="002911B5">
            <w:pPr>
              <w:rPr>
                <w:b/>
                <w:bCs/>
                <w:sz w:val="26"/>
              </w:rPr>
            </w:pPr>
            <w:bookmarkStart w:id="3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098D86A0" w14:textId="77777777" w:rsidR="00E108DA" w:rsidRDefault="00E108DA" w:rsidP="002911B5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15725E60" w14:textId="77777777" w:rsidR="00E108DA" w:rsidRDefault="00E108DA" w:rsidP="002911B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3"/>
      <w:tr w:rsidR="00E108DA" w14:paraId="06F3861E" w14:textId="77777777" w:rsidTr="002911B5">
        <w:trPr>
          <w:cantSplit/>
          <w:trHeight w:val="357"/>
        </w:trPr>
        <w:tc>
          <w:tcPr>
            <w:tcW w:w="1550" w:type="dxa"/>
            <w:gridSpan w:val="2"/>
          </w:tcPr>
          <w:p w14:paraId="645278BE" w14:textId="77777777" w:rsidR="00E108DA" w:rsidRDefault="00E108DA" w:rsidP="002911B5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4AEEED1C" w14:textId="52140B5B" w:rsidR="00E108DA" w:rsidRDefault="00A723B9" w:rsidP="002911B5">
            <w:r>
              <w:t>N/</w:t>
            </w:r>
            <w:r w:rsidR="00E108DA">
              <w:t>A</w:t>
            </w:r>
          </w:p>
        </w:tc>
        <w:tc>
          <w:tcPr>
            <w:tcW w:w="3629" w:type="dxa"/>
          </w:tcPr>
          <w:p w14:paraId="4B0B2E14" w14:textId="77777777" w:rsidR="00E108DA" w:rsidRDefault="00E108DA" w:rsidP="002911B5">
            <w:pPr>
              <w:jc w:val="right"/>
            </w:pPr>
            <w:r>
              <w:t>E-Meeting, 21-25 September 2020</w:t>
            </w:r>
          </w:p>
        </w:tc>
      </w:tr>
      <w:tr w:rsidR="00E108DA" w14:paraId="36DA3532" w14:textId="77777777" w:rsidTr="002911B5">
        <w:trPr>
          <w:cantSplit/>
          <w:trHeight w:val="357"/>
        </w:trPr>
        <w:tc>
          <w:tcPr>
            <w:tcW w:w="9923" w:type="dxa"/>
            <w:gridSpan w:val="5"/>
          </w:tcPr>
          <w:p w14:paraId="476CE000" w14:textId="660483B0" w:rsidR="00E108DA" w:rsidRDefault="00E108DA" w:rsidP="00291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A723B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8" w:tooltip="ITU-T ftp file restricted to TIES access only" w:history="1">
              <w:r>
                <w:rPr>
                  <w:rStyle w:val="Hyperlink"/>
                </w:rPr>
                <w:t>SG2-LS168</w:t>
              </w:r>
            </w:hyperlink>
            <w:r>
              <w:t>)</w:t>
            </w:r>
          </w:p>
        </w:tc>
      </w:tr>
      <w:tr w:rsidR="00E108DA" w14:paraId="5959E84D" w14:textId="77777777" w:rsidTr="002911B5">
        <w:trPr>
          <w:cantSplit/>
          <w:trHeight w:val="357"/>
        </w:trPr>
        <w:tc>
          <w:tcPr>
            <w:tcW w:w="1550" w:type="dxa"/>
            <w:gridSpan w:val="2"/>
          </w:tcPr>
          <w:p w14:paraId="6C3786CB" w14:textId="77777777" w:rsidR="00E108DA" w:rsidRDefault="00E108DA" w:rsidP="002911B5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3"/>
          </w:tcPr>
          <w:p w14:paraId="293B0C77" w14:textId="77777777" w:rsidR="00E108DA" w:rsidRDefault="00E108DA" w:rsidP="002911B5">
            <w:r>
              <w:t>ITU-T Study Group 2</w:t>
            </w:r>
          </w:p>
        </w:tc>
      </w:tr>
      <w:tr w:rsidR="00E108DA" w14:paraId="6B1A24DE" w14:textId="77777777" w:rsidTr="002911B5">
        <w:trPr>
          <w:cantSplit/>
          <w:trHeight w:val="357"/>
        </w:trPr>
        <w:tc>
          <w:tcPr>
            <w:tcW w:w="1550" w:type="dxa"/>
            <w:gridSpan w:val="2"/>
          </w:tcPr>
          <w:p w14:paraId="6931BF37" w14:textId="77777777" w:rsidR="00E108DA" w:rsidRDefault="00E108DA" w:rsidP="002911B5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3"/>
          </w:tcPr>
          <w:p w14:paraId="34819ABD" w14:textId="061FC57B" w:rsidR="00E108DA" w:rsidRDefault="00A723B9" w:rsidP="002911B5">
            <w:pPr>
              <w:spacing w:after="120"/>
            </w:pPr>
            <w:r w:rsidRPr="00CA1499">
              <w:t xml:space="preserve">LS on </w:t>
            </w:r>
            <w:r>
              <w:t xml:space="preserve">ITU-T SG2 </w:t>
            </w:r>
            <w:r w:rsidRPr="00CA1499">
              <w:t>lead study group activities</w:t>
            </w:r>
            <w:r>
              <w:t xml:space="preserve"> [from ITU-T SG2]</w:t>
            </w:r>
          </w:p>
        </w:tc>
      </w:tr>
      <w:tr w:rsidR="00E108DA" w14:paraId="115D5536" w14:textId="77777777" w:rsidTr="002911B5">
        <w:trPr>
          <w:cantSplit/>
          <w:trHeight w:val="357"/>
        </w:trPr>
        <w:tc>
          <w:tcPr>
            <w:tcW w:w="1550" w:type="dxa"/>
            <w:gridSpan w:val="2"/>
          </w:tcPr>
          <w:p w14:paraId="65053B2D" w14:textId="77777777" w:rsidR="00E108DA" w:rsidRDefault="00E108DA" w:rsidP="002911B5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3"/>
          </w:tcPr>
          <w:p w14:paraId="14BC2828" w14:textId="3BF9A8FE" w:rsidR="00E108DA" w:rsidRDefault="00A723B9" w:rsidP="002911B5">
            <w:r>
              <w:t>Information</w:t>
            </w:r>
          </w:p>
        </w:tc>
      </w:tr>
      <w:tr w:rsidR="00E108DA" w14:paraId="7B30B8C0" w14:textId="77777777" w:rsidTr="002911B5">
        <w:trPr>
          <w:cantSplit/>
          <w:trHeight w:val="357"/>
        </w:trPr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14:paraId="449AA174" w14:textId="77777777" w:rsidR="00E108DA" w:rsidRDefault="00E108DA" w:rsidP="002911B5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E108DA" w14:paraId="7FA3DFC3" w14:textId="77777777" w:rsidTr="002911B5">
        <w:trPr>
          <w:cantSplit/>
          <w:trHeight w:val="357"/>
        </w:trPr>
        <w:tc>
          <w:tcPr>
            <w:tcW w:w="2250" w:type="dxa"/>
            <w:gridSpan w:val="3"/>
          </w:tcPr>
          <w:p w14:paraId="172CA73F" w14:textId="77777777" w:rsidR="00E108DA" w:rsidRDefault="00E108DA" w:rsidP="002911B5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2"/>
          </w:tcPr>
          <w:p w14:paraId="2718DB5A" w14:textId="77777777" w:rsidR="00E108DA" w:rsidRDefault="00E108DA" w:rsidP="002911B5">
            <w:r>
              <w:t>-</w:t>
            </w:r>
          </w:p>
        </w:tc>
      </w:tr>
      <w:tr w:rsidR="00E108DA" w14:paraId="7DAD7F88" w14:textId="77777777" w:rsidTr="002911B5">
        <w:trPr>
          <w:cantSplit/>
          <w:trHeight w:val="357"/>
        </w:trPr>
        <w:tc>
          <w:tcPr>
            <w:tcW w:w="2250" w:type="dxa"/>
            <w:gridSpan w:val="3"/>
          </w:tcPr>
          <w:p w14:paraId="4CCC3466" w14:textId="77777777" w:rsidR="00E108DA" w:rsidRDefault="00E108DA" w:rsidP="002911B5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2"/>
          </w:tcPr>
          <w:p w14:paraId="510310EF" w14:textId="77777777" w:rsidR="00E108DA" w:rsidRDefault="00E108DA" w:rsidP="002911B5">
            <w:r>
              <w:t>-</w:t>
            </w:r>
          </w:p>
        </w:tc>
      </w:tr>
      <w:tr w:rsidR="00E108DA" w14:paraId="3AE6ADF9" w14:textId="77777777" w:rsidTr="002911B5">
        <w:trPr>
          <w:cantSplit/>
          <w:trHeight w:val="357"/>
        </w:trPr>
        <w:tc>
          <w:tcPr>
            <w:tcW w:w="2250" w:type="dxa"/>
            <w:gridSpan w:val="3"/>
          </w:tcPr>
          <w:p w14:paraId="04027507" w14:textId="77777777" w:rsidR="00E108DA" w:rsidRDefault="00E108DA" w:rsidP="002911B5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2"/>
          </w:tcPr>
          <w:p w14:paraId="6D504151" w14:textId="77777777" w:rsidR="00E108DA" w:rsidRDefault="00E108DA" w:rsidP="002911B5">
            <w:r>
              <w:t>TSAG</w:t>
            </w:r>
          </w:p>
        </w:tc>
      </w:tr>
      <w:tr w:rsidR="00E108DA" w14:paraId="3B32980A" w14:textId="77777777" w:rsidTr="002911B5">
        <w:trPr>
          <w:cantSplit/>
          <w:trHeight w:val="357"/>
        </w:trPr>
        <w:tc>
          <w:tcPr>
            <w:tcW w:w="2250" w:type="dxa"/>
            <w:gridSpan w:val="3"/>
          </w:tcPr>
          <w:p w14:paraId="3EACF283" w14:textId="77777777" w:rsidR="00E108DA" w:rsidRDefault="00E108DA" w:rsidP="002911B5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2"/>
          </w:tcPr>
          <w:p w14:paraId="0BE06941" w14:textId="77777777" w:rsidR="00E108DA" w:rsidRDefault="00E108DA" w:rsidP="002911B5">
            <w:r>
              <w:t>ITU-T Study Group 2 meeting (Virtual, 7 September 2020)</w:t>
            </w:r>
          </w:p>
        </w:tc>
      </w:tr>
      <w:tr w:rsidR="00E108DA" w14:paraId="22214753" w14:textId="77777777" w:rsidTr="002911B5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1EFF7EAB" w14:textId="77777777" w:rsidR="00E108DA" w:rsidRDefault="00E108DA" w:rsidP="002911B5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2"/>
            <w:tcBorders>
              <w:bottom w:val="single" w:sz="12" w:space="0" w:color="auto"/>
            </w:tcBorders>
          </w:tcPr>
          <w:p w14:paraId="4AAB2117" w14:textId="77777777" w:rsidR="00E108DA" w:rsidRDefault="00E108DA" w:rsidP="002911B5">
            <w:r>
              <w:t>N/A</w:t>
            </w:r>
          </w:p>
        </w:tc>
      </w:tr>
      <w:tr w:rsidR="00E108DA" w:rsidRPr="0023204F" w14:paraId="2B7F264B" w14:textId="77777777" w:rsidTr="002911B5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71B9F811" w14:textId="77777777" w:rsidR="00E108DA" w:rsidRDefault="00E108DA" w:rsidP="002911B5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066E97DE" w14:textId="77777777" w:rsidR="00E108DA" w:rsidRDefault="00E108DA" w:rsidP="00524F80">
            <w:r>
              <w:t>Phil Rushton</w:t>
            </w:r>
            <w:r>
              <w:br/>
              <w:t>UK</w:t>
            </w: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5BC4E482" w14:textId="15535281" w:rsidR="00E108DA" w:rsidRPr="0023204F" w:rsidRDefault="00E108DA" w:rsidP="00524F80">
            <w:pPr>
              <w:spacing w:after="40"/>
              <w:rPr>
                <w:lang w:val="fr-FR"/>
              </w:rPr>
            </w:pPr>
            <w:r w:rsidRPr="0023204F">
              <w:rPr>
                <w:lang w:val="fr-FR"/>
              </w:rPr>
              <w:t>Tel:</w:t>
            </w:r>
            <w:r w:rsidRPr="0023204F">
              <w:rPr>
                <w:lang w:val="fr-FR"/>
              </w:rPr>
              <w:tab/>
              <w:t>+44 1206 729738</w:t>
            </w:r>
            <w:r w:rsidRPr="0023204F">
              <w:rPr>
                <w:lang w:val="fr-FR"/>
              </w:rPr>
              <w:br/>
              <w:t xml:space="preserve">E-mail: </w:t>
            </w:r>
            <w:hyperlink r:id="rId9" w:history="1">
              <w:r w:rsidR="00524F80" w:rsidRPr="001F13B5">
                <w:rPr>
                  <w:rStyle w:val="Hyperlink"/>
                  <w:lang w:val="fr-FR"/>
                </w:rPr>
                <w:t>philrushton@rcc-uk.uk</w:t>
              </w:r>
            </w:hyperlink>
            <w:r w:rsidR="00524F80">
              <w:rPr>
                <w:lang w:val="fr-FR"/>
              </w:rPr>
              <w:t xml:space="preserve"> </w:t>
            </w:r>
          </w:p>
        </w:tc>
      </w:tr>
    </w:tbl>
    <w:p w14:paraId="47ECE7A2" w14:textId="77777777" w:rsidR="00E108DA" w:rsidRPr="0023204F" w:rsidRDefault="00E108DA" w:rsidP="00E108DA">
      <w:pPr>
        <w:rPr>
          <w:lang w:val="fr-FR"/>
        </w:rPr>
      </w:pPr>
    </w:p>
    <w:p w14:paraId="667F0A44" w14:textId="77777777" w:rsidR="00E108DA" w:rsidRDefault="00E108DA" w:rsidP="00E108DA">
      <w:r>
        <w:t>A new liaison statement has been received from SG2.</w:t>
      </w:r>
    </w:p>
    <w:p w14:paraId="32B9B96E" w14:textId="77777777" w:rsidR="00E108DA" w:rsidRDefault="00E108DA" w:rsidP="00E108DA">
      <w:r>
        <w:t xml:space="preserve">This liaison statement follows and the original file can be downloaded from the ITU ftp server at </w:t>
      </w:r>
      <w:hyperlink r:id="rId10" w:tooltip="ITU-T ftp file restricted to TIES access only" w:history="1">
        <w:r>
          <w:rPr>
            <w:rStyle w:val="Hyperlink"/>
          </w:rPr>
          <w:t>http://handle.itu.int/11.1002/ls/sp16-sg2-oLS-00168.docx</w:t>
        </w:r>
      </w:hyperlink>
      <w:r>
        <w:t>.</w:t>
      </w:r>
    </w:p>
    <w:p w14:paraId="1A0B8BED" w14:textId="77777777" w:rsidR="00E108DA" w:rsidRDefault="00E108DA" w:rsidP="00E108DA">
      <w:pPr>
        <w:spacing w:before="0"/>
        <w:jc w:val="center"/>
      </w:pPr>
    </w:p>
    <w:p w14:paraId="6325CB4A" w14:textId="77777777" w:rsidR="00E108DA" w:rsidRDefault="00E108DA" w:rsidP="00E108DA">
      <w:pPr>
        <w:jc w:val="right"/>
      </w:pPr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91501B" w:rsidRPr="00B47661" w14:paraId="698AE950" w14:textId="77777777" w:rsidTr="002F3DF9">
        <w:trPr>
          <w:cantSplit/>
        </w:trPr>
        <w:tc>
          <w:tcPr>
            <w:tcW w:w="1191" w:type="dxa"/>
            <w:vMerge w:val="restart"/>
          </w:tcPr>
          <w:p w14:paraId="6CA343F6" w14:textId="3437FE5B" w:rsidR="0091501B" w:rsidRPr="00B47661" w:rsidRDefault="00FF57AA" w:rsidP="0091501B">
            <w:pPr>
              <w:rPr>
                <w:sz w:val="20"/>
                <w:szCs w:val="20"/>
              </w:rPr>
            </w:pPr>
            <w:r w:rsidRPr="00B47661">
              <w:rPr>
                <w:noProof/>
                <w:sz w:val="20"/>
                <w:szCs w:val="20"/>
                <w:lang w:eastAsia="en-GB"/>
              </w:rPr>
              <w:lastRenderedPageBreak/>
              <w:drawing>
                <wp:inline distT="0" distB="0" distL="0" distR="0" wp14:anchorId="2427F41E" wp14:editId="07468F0A">
                  <wp:extent cx="647700" cy="827405"/>
                  <wp:effectExtent l="0" t="0" r="0" b="0"/>
                  <wp:docPr id="1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4E732FB3" w14:textId="77777777" w:rsidR="0091501B" w:rsidRPr="00B47661" w:rsidRDefault="0091501B" w:rsidP="0091501B">
            <w:pPr>
              <w:rPr>
                <w:sz w:val="16"/>
                <w:szCs w:val="16"/>
              </w:rPr>
            </w:pPr>
            <w:r w:rsidRPr="00B47661">
              <w:rPr>
                <w:sz w:val="16"/>
                <w:szCs w:val="16"/>
              </w:rPr>
              <w:t>INTERNATIONAL TELECOMMUNICATION UNION</w:t>
            </w:r>
          </w:p>
          <w:p w14:paraId="33F9BF45" w14:textId="77777777" w:rsidR="0091501B" w:rsidRPr="00B47661" w:rsidRDefault="0091501B" w:rsidP="0091501B">
            <w:pPr>
              <w:rPr>
                <w:b/>
                <w:bCs/>
                <w:sz w:val="26"/>
                <w:szCs w:val="26"/>
              </w:rPr>
            </w:pPr>
            <w:r w:rsidRPr="00B47661">
              <w:rPr>
                <w:b/>
                <w:bCs/>
                <w:sz w:val="26"/>
                <w:szCs w:val="26"/>
              </w:rPr>
              <w:t>TELECOMMUNICATION</w:t>
            </w:r>
            <w:r w:rsidRPr="00B4766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F2B7A5C" w14:textId="77777777" w:rsidR="0091501B" w:rsidRPr="00B47661" w:rsidRDefault="0091501B" w:rsidP="0091501B">
            <w:pPr>
              <w:rPr>
                <w:sz w:val="20"/>
                <w:szCs w:val="20"/>
              </w:rPr>
            </w:pPr>
            <w:r w:rsidRPr="00B47661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B47661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81" w:type="dxa"/>
            <w:gridSpan w:val="2"/>
            <w:vAlign w:val="center"/>
          </w:tcPr>
          <w:p w14:paraId="1201C90E" w14:textId="1E4D7D51" w:rsidR="0091501B" w:rsidRPr="0086717F" w:rsidRDefault="00CA1499" w:rsidP="00756FFE">
            <w:pPr>
              <w:jc w:val="right"/>
              <w:rPr>
                <w:b/>
                <w:sz w:val="32"/>
                <w:szCs w:val="32"/>
              </w:rPr>
            </w:pPr>
            <w:r w:rsidRPr="0086717F">
              <w:rPr>
                <w:b/>
                <w:sz w:val="32"/>
                <w:szCs w:val="32"/>
              </w:rPr>
              <w:t>SG2-</w:t>
            </w:r>
            <w:r w:rsidR="00987ACC">
              <w:rPr>
                <w:b/>
                <w:sz w:val="32"/>
                <w:szCs w:val="32"/>
              </w:rPr>
              <w:t>LS168</w:t>
            </w:r>
          </w:p>
        </w:tc>
      </w:tr>
      <w:bookmarkEnd w:id="0"/>
      <w:tr w:rsidR="0091501B" w:rsidRPr="00B47661" w14:paraId="5425053B" w14:textId="77777777" w:rsidTr="002F3DF9">
        <w:trPr>
          <w:cantSplit/>
        </w:trPr>
        <w:tc>
          <w:tcPr>
            <w:tcW w:w="1191" w:type="dxa"/>
            <w:vMerge/>
          </w:tcPr>
          <w:p w14:paraId="112589FE" w14:textId="77777777" w:rsidR="0091501B" w:rsidRPr="00B47661" w:rsidRDefault="0091501B" w:rsidP="0091501B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4"/>
            <w:vMerge/>
          </w:tcPr>
          <w:p w14:paraId="682B8646" w14:textId="77777777" w:rsidR="0091501B" w:rsidRPr="00B47661" w:rsidRDefault="0091501B" w:rsidP="0091501B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68CB23B0" w14:textId="77777777" w:rsidR="0091501B" w:rsidRPr="00B47661" w:rsidRDefault="0091501B" w:rsidP="0091501B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B47661">
              <w:rPr>
                <w:b/>
                <w:bCs/>
                <w:smallCaps/>
                <w:sz w:val="28"/>
                <w:szCs w:val="28"/>
              </w:rPr>
              <w:t>STUDY GROUP 2</w:t>
            </w:r>
          </w:p>
        </w:tc>
      </w:tr>
      <w:tr w:rsidR="0091501B" w:rsidRPr="00B47661" w14:paraId="65429DE6" w14:textId="77777777" w:rsidTr="002F3DF9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B4690A9" w14:textId="77777777" w:rsidR="0091501B" w:rsidRPr="00B47661" w:rsidRDefault="0091501B" w:rsidP="0091501B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4D287045" w14:textId="77777777" w:rsidR="0091501B" w:rsidRPr="00B47661" w:rsidRDefault="0091501B" w:rsidP="0091501B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367EED8" w14:textId="77777777" w:rsidR="0091501B" w:rsidRPr="00B47661" w:rsidRDefault="0091501B" w:rsidP="0091501B">
            <w:pPr>
              <w:jc w:val="right"/>
              <w:rPr>
                <w:b/>
                <w:bCs/>
                <w:sz w:val="28"/>
                <w:szCs w:val="28"/>
              </w:rPr>
            </w:pPr>
            <w:r w:rsidRPr="00B4766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1501B" w:rsidRPr="00B47661" w14:paraId="4DAE2862" w14:textId="77777777" w:rsidTr="002F3DF9">
        <w:trPr>
          <w:cantSplit/>
        </w:trPr>
        <w:tc>
          <w:tcPr>
            <w:tcW w:w="1617" w:type="dxa"/>
            <w:gridSpan w:val="3"/>
          </w:tcPr>
          <w:p w14:paraId="47B05AB1" w14:textId="77777777" w:rsidR="0091501B" w:rsidRPr="00B47661" w:rsidRDefault="0091501B" w:rsidP="0091501B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B47661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539425D8" w14:textId="77777777" w:rsidR="0091501B" w:rsidRPr="00B47661" w:rsidRDefault="0091501B" w:rsidP="0091501B">
            <w:r w:rsidRPr="00B47661">
              <w:t>All/2</w:t>
            </w:r>
          </w:p>
        </w:tc>
        <w:tc>
          <w:tcPr>
            <w:tcW w:w="4681" w:type="dxa"/>
            <w:gridSpan w:val="2"/>
          </w:tcPr>
          <w:p w14:paraId="757CBEBC" w14:textId="54A1109B" w:rsidR="0091501B" w:rsidRPr="00B47661" w:rsidRDefault="003E796F" w:rsidP="0091501B">
            <w:pPr>
              <w:jc w:val="right"/>
            </w:pPr>
            <w:r>
              <w:t>Virtual</w:t>
            </w:r>
            <w:r w:rsidR="00CA1499">
              <w:t xml:space="preserve">, </w:t>
            </w:r>
            <w:r w:rsidR="0075227C">
              <w:t>7-8 September</w:t>
            </w:r>
            <w:r w:rsidR="00CA1499">
              <w:t xml:space="preserve"> 2020</w:t>
            </w:r>
          </w:p>
        </w:tc>
      </w:tr>
      <w:tr w:rsidR="0091501B" w:rsidRPr="00B47661" w14:paraId="7540DC22" w14:textId="77777777" w:rsidTr="002F3DF9">
        <w:trPr>
          <w:cantSplit/>
        </w:trPr>
        <w:tc>
          <w:tcPr>
            <w:tcW w:w="9923" w:type="dxa"/>
            <w:gridSpan w:val="7"/>
          </w:tcPr>
          <w:p w14:paraId="2D501BA2" w14:textId="25256E81" w:rsidR="0091501B" w:rsidRPr="00B47661" w:rsidRDefault="00987ACC" w:rsidP="0091501B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>
              <w:rPr>
                <w:b/>
                <w:bCs/>
              </w:rPr>
              <w:t>(</w:t>
            </w:r>
            <w:r w:rsidRPr="00FD1209">
              <w:rPr>
                <w:b/>
                <w:bCs/>
              </w:rPr>
              <w:t xml:space="preserve">Ref.: </w:t>
            </w:r>
            <w:hyperlink r:id="rId11" w:history="1">
              <w:r w:rsidRPr="0029276D">
                <w:rPr>
                  <w:rStyle w:val="Hyperlink"/>
                  <w:b/>
                  <w:bCs/>
                </w:rPr>
                <w:t>SG</w:t>
              </w:r>
              <w:r>
                <w:rPr>
                  <w:rStyle w:val="Hyperlink"/>
                  <w:b/>
                  <w:bCs/>
                </w:rPr>
                <w:t>2-TD1199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91501B" w:rsidRPr="00B47661" w14:paraId="59CC4D01" w14:textId="77777777" w:rsidTr="002F3DF9">
        <w:trPr>
          <w:cantSplit/>
        </w:trPr>
        <w:tc>
          <w:tcPr>
            <w:tcW w:w="1617" w:type="dxa"/>
            <w:gridSpan w:val="3"/>
          </w:tcPr>
          <w:p w14:paraId="5449ECBA" w14:textId="77777777" w:rsidR="0091501B" w:rsidRPr="00B47661" w:rsidRDefault="0091501B" w:rsidP="0091501B">
            <w:pPr>
              <w:rPr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B47661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330B7676" w14:textId="02689B00" w:rsidR="0091501B" w:rsidRPr="00B47661" w:rsidRDefault="00987ACC" w:rsidP="0091501B">
            <w:r>
              <w:t>ITU-T Study Group 2</w:t>
            </w:r>
          </w:p>
        </w:tc>
      </w:tr>
      <w:tr w:rsidR="0091501B" w:rsidRPr="00B47661" w14:paraId="7F582F95" w14:textId="77777777" w:rsidTr="002F3DF9">
        <w:trPr>
          <w:cantSplit/>
        </w:trPr>
        <w:tc>
          <w:tcPr>
            <w:tcW w:w="1617" w:type="dxa"/>
            <w:gridSpan w:val="3"/>
          </w:tcPr>
          <w:p w14:paraId="0DB30BCA" w14:textId="77777777" w:rsidR="0091501B" w:rsidRPr="00B47661" w:rsidRDefault="0091501B" w:rsidP="0091501B">
            <w:bookmarkStart w:id="10" w:name="dtitle1" w:colFirst="1" w:colLast="1"/>
            <w:bookmarkEnd w:id="9"/>
            <w:r w:rsidRPr="00B47661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28D7F17E" w14:textId="20614D09" w:rsidR="0091501B" w:rsidRPr="00B47661" w:rsidRDefault="00CA1499" w:rsidP="00CA1499">
            <w:r w:rsidRPr="00CA1499">
              <w:t xml:space="preserve">LS on </w:t>
            </w:r>
            <w:r w:rsidR="001B7686">
              <w:t xml:space="preserve">ITU-T SG2 </w:t>
            </w:r>
            <w:r w:rsidRPr="00CA1499">
              <w:t>lead study group activities</w:t>
            </w:r>
          </w:p>
        </w:tc>
      </w:tr>
      <w:tr w:rsidR="0091501B" w:rsidRPr="00B47661" w14:paraId="3377AB05" w14:textId="77777777" w:rsidTr="002F3DF9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75266BE6" w14:textId="77777777" w:rsidR="0091501B" w:rsidRPr="00B47661" w:rsidRDefault="0091501B" w:rsidP="0091501B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B47661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5E0651A9" w14:textId="697F01B5" w:rsidR="0091501B" w:rsidRPr="00B47661" w:rsidRDefault="00987ACC" w:rsidP="0091501B">
            <w:r>
              <w:t>Information</w:t>
            </w:r>
          </w:p>
        </w:tc>
      </w:tr>
      <w:bookmarkEnd w:id="2"/>
      <w:bookmarkEnd w:id="11"/>
      <w:tr w:rsidR="009C2284" w:rsidRPr="00B47661" w14:paraId="47FB997E" w14:textId="77777777">
        <w:tblPrEx>
          <w:tblCellMar>
            <w:left w:w="10" w:type="dxa"/>
            <w:right w:w="10" w:type="dxa"/>
          </w:tblCellMar>
        </w:tblPrEx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E8A481" w14:textId="77777777" w:rsidR="009C2284" w:rsidRPr="00B47661" w:rsidRDefault="00510A90">
            <w:pPr>
              <w:jc w:val="center"/>
              <w:rPr>
                <w:b/>
              </w:rPr>
            </w:pPr>
            <w:r w:rsidRPr="00B47661">
              <w:rPr>
                <w:b/>
              </w:rPr>
              <w:t>LIAISON STATEMENT</w:t>
            </w:r>
          </w:p>
        </w:tc>
      </w:tr>
      <w:tr w:rsidR="009C2284" w:rsidRPr="00B47661" w14:paraId="429C5998" w14:textId="77777777">
        <w:tblPrEx>
          <w:tblCellMar>
            <w:left w:w="10" w:type="dxa"/>
            <w:right w:w="10" w:type="dxa"/>
          </w:tblCellMar>
        </w:tblPrEx>
        <w:trPr>
          <w:cantSplit/>
          <w:trHeight w:val="357"/>
        </w:trPr>
        <w:tc>
          <w:tcPr>
            <w:tcW w:w="2127" w:type="dxa"/>
            <w:gridSpan w:val="4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3C4C32" w14:textId="77777777" w:rsidR="009C2284" w:rsidRPr="00B47661" w:rsidRDefault="00510A90">
            <w:pPr>
              <w:rPr>
                <w:b/>
                <w:bCs/>
              </w:rPr>
            </w:pPr>
            <w:r w:rsidRPr="00B47661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43D057" w14:textId="77777777" w:rsidR="009C2284" w:rsidRPr="00B47661" w:rsidRDefault="00FB2AD1">
            <w:pPr>
              <w:pStyle w:val="LSForAction"/>
              <w:rPr>
                <w:szCs w:val="24"/>
              </w:rPr>
            </w:pPr>
            <w:r w:rsidRPr="00B47661">
              <w:rPr>
                <w:szCs w:val="24"/>
              </w:rPr>
              <w:t>-</w:t>
            </w:r>
          </w:p>
        </w:tc>
      </w:tr>
      <w:tr w:rsidR="009C2284" w:rsidRPr="00B47661" w14:paraId="6A8A76DF" w14:textId="77777777">
        <w:tblPrEx>
          <w:tblCellMar>
            <w:left w:w="10" w:type="dxa"/>
            <w:right w:w="10" w:type="dxa"/>
          </w:tblCellMar>
        </w:tblPrEx>
        <w:trPr>
          <w:cantSplit/>
          <w:trHeight w:val="357"/>
        </w:trPr>
        <w:tc>
          <w:tcPr>
            <w:tcW w:w="2127" w:type="dxa"/>
            <w:gridSpan w:val="4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25FAB5" w14:textId="77777777" w:rsidR="009C2284" w:rsidRPr="00B47661" w:rsidRDefault="00510A90">
            <w:pPr>
              <w:rPr>
                <w:b/>
                <w:bCs/>
              </w:rPr>
            </w:pPr>
            <w:r w:rsidRPr="00B47661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0FA71A" w14:textId="77777777" w:rsidR="009C2284" w:rsidRPr="00B47661" w:rsidRDefault="00FB2AD1">
            <w:pPr>
              <w:pStyle w:val="LSForComment"/>
              <w:rPr>
                <w:szCs w:val="24"/>
              </w:rPr>
            </w:pPr>
            <w:r w:rsidRPr="00B47661">
              <w:rPr>
                <w:szCs w:val="24"/>
              </w:rPr>
              <w:t>-</w:t>
            </w:r>
          </w:p>
        </w:tc>
      </w:tr>
      <w:tr w:rsidR="009C2284" w:rsidRPr="00B47661" w14:paraId="7C9AF585" w14:textId="77777777">
        <w:tblPrEx>
          <w:tblCellMar>
            <w:left w:w="10" w:type="dxa"/>
            <w:right w:w="10" w:type="dxa"/>
          </w:tblCellMar>
        </w:tblPrEx>
        <w:trPr>
          <w:cantSplit/>
          <w:trHeight w:val="357"/>
        </w:trPr>
        <w:tc>
          <w:tcPr>
            <w:tcW w:w="2127" w:type="dxa"/>
            <w:gridSpan w:val="4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FF4577" w14:textId="77777777" w:rsidR="009C2284" w:rsidRPr="00B47661" w:rsidRDefault="00510A90">
            <w:pPr>
              <w:rPr>
                <w:b/>
                <w:bCs/>
              </w:rPr>
            </w:pPr>
            <w:r w:rsidRPr="00B47661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18DB1E" w14:textId="77777777" w:rsidR="009C2284" w:rsidRPr="00B47661" w:rsidRDefault="00510A90">
            <w:pPr>
              <w:pStyle w:val="LSForInfo"/>
              <w:rPr>
                <w:szCs w:val="24"/>
              </w:rPr>
            </w:pPr>
            <w:r w:rsidRPr="00B47661">
              <w:rPr>
                <w:szCs w:val="24"/>
              </w:rPr>
              <w:t>TSAG</w:t>
            </w:r>
          </w:p>
        </w:tc>
      </w:tr>
      <w:tr w:rsidR="00FB2AD1" w:rsidRPr="00B47661" w14:paraId="05E5CF59" w14:textId="77777777">
        <w:tblPrEx>
          <w:tblCellMar>
            <w:left w:w="10" w:type="dxa"/>
            <w:right w:w="10" w:type="dxa"/>
          </w:tblCellMar>
        </w:tblPrEx>
        <w:trPr>
          <w:cantSplit/>
          <w:trHeight w:val="357"/>
        </w:trPr>
        <w:tc>
          <w:tcPr>
            <w:tcW w:w="2127" w:type="dxa"/>
            <w:gridSpan w:val="4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C9F789" w14:textId="77777777" w:rsidR="00FB2AD1" w:rsidRPr="00B47661" w:rsidRDefault="00FB2AD1" w:rsidP="00FB2AD1">
            <w:pPr>
              <w:rPr>
                <w:b/>
                <w:bCs/>
              </w:rPr>
            </w:pPr>
            <w:r w:rsidRPr="00B47661"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2A254C" w14:textId="4504727A" w:rsidR="00FB2AD1" w:rsidRPr="00B47661" w:rsidRDefault="00FB2AD1" w:rsidP="00CA1499">
            <w:r w:rsidRPr="00B47661">
              <w:t>ITU-T S</w:t>
            </w:r>
            <w:r w:rsidR="001005BB">
              <w:t xml:space="preserve">tudy </w:t>
            </w:r>
            <w:r w:rsidRPr="00B47661">
              <w:t>G</w:t>
            </w:r>
            <w:r w:rsidR="001005BB">
              <w:t xml:space="preserve">roup </w:t>
            </w:r>
            <w:r w:rsidRPr="00B47661">
              <w:t xml:space="preserve">2 </w:t>
            </w:r>
            <w:r w:rsidR="006C0A8A">
              <w:t>meeting</w:t>
            </w:r>
            <w:r w:rsidR="00A61CBC" w:rsidRPr="00B47661">
              <w:t xml:space="preserve"> (</w:t>
            </w:r>
            <w:r w:rsidR="006C0A8A" w:rsidRPr="006C0A8A">
              <w:t xml:space="preserve">Virtual, </w:t>
            </w:r>
            <w:r w:rsidR="00987ACC">
              <w:t>7</w:t>
            </w:r>
            <w:r w:rsidR="006C0A8A" w:rsidRPr="006C0A8A">
              <w:t xml:space="preserve"> September 2020</w:t>
            </w:r>
            <w:r w:rsidR="00A61CBC" w:rsidRPr="00B47661">
              <w:t xml:space="preserve">) </w:t>
            </w:r>
          </w:p>
        </w:tc>
      </w:tr>
      <w:tr w:rsidR="009C2284" w:rsidRPr="00B47661" w14:paraId="389A04DD" w14:textId="77777777">
        <w:tblPrEx>
          <w:tblCellMar>
            <w:left w:w="10" w:type="dxa"/>
            <w:right w:w="10" w:type="dxa"/>
          </w:tblCellMar>
        </w:tblPrEx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502AAC" w14:textId="77777777" w:rsidR="009C2284" w:rsidRPr="00B47661" w:rsidRDefault="00510A90">
            <w:pPr>
              <w:rPr>
                <w:b/>
                <w:bCs/>
              </w:rPr>
            </w:pPr>
            <w:r w:rsidRPr="00B47661"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82022C" w14:textId="77777777" w:rsidR="009C2284" w:rsidRPr="00B47661" w:rsidRDefault="00510A90">
            <w:pPr>
              <w:pStyle w:val="LSDeadline"/>
              <w:rPr>
                <w:szCs w:val="24"/>
              </w:rPr>
            </w:pPr>
            <w:r w:rsidRPr="00B47661">
              <w:rPr>
                <w:szCs w:val="24"/>
              </w:rPr>
              <w:t>N/A</w:t>
            </w:r>
          </w:p>
        </w:tc>
      </w:tr>
      <w:tr w:rsidR="009C2284" w:rsidRPr="0023204F" w14:paraId="12FE8316" w14:textId="77777777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60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B95294" w14:textId="77777777" w:rsidR="009C2284" w:rsidRPr="00B47661" w:rsidRDefault="00510A90">
            <w:pPr>
              <w:rPr>
                <w:b/>
                <w:bCs/>
              </w:rPr>
            </w:pPr>
            <w:r w:rsidRPr="00B47661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A1A565" w14:textId="77777777" w:rsidR="009C2284" w:rsidRPr="00B47661" w:rsidRDefault="00510A90">
            <w:r w:rsidRPr="00B47661">
              <w:t>Phil Rushton</w:t>
            </w:r>
            <w:r w:rsidRPr="00B47661">
              <w:br/>
              <w:t>UK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530549" w14:textId="374F8B6F" w:rsidR="009C2284" w:rsidRPr="00CA1499" w:rsidRDefault="00510A90">
            <w:pPr>
              <w:rPr>
                <w:lang w:val="fr-FR"/>
              </w:rPr>
            </w:pPr>
            <w:r w:rsidRPr="00CA1499">
              <w:rPr>
                <w:lang w:val="fr-FR"/>
              </w:rPr>
              <w:t>Tel:</w:t>
            </w:r>
            <w:r w:rsidR="00756FFE">
              <w:rPr>
                <w:lang w:val="fr-FR"/>
              </w:rPr>
              <w:tab/>
            </w:r>
            <w:r w:rsidRPr="00CA1499">
              <w:rPr>
                <w:lang w:val="fr-FR"/>
              </w:rPr>
              <w:t>+44 1206 729738</w:t>
            </w:r>
            <w:r w:rsidRPr="00CA1499">
              <w:rPr>
                <w:lang w:val="fr-FR"/>
              </w:rPr>
              <w:br/>
              <w:t xml:space="preserve">E-mail: </w:t>
            </w:r>
            <w:hyperlink r:id="rId12" w:history="1">
              <w:r w:rsidR="00FB2AD1" w:rsidRPr="00CA1499">
                <w:rPr>
                  <w:rStyle w:val="Hyperlink"/>
                  <w:lang w:val="fr-FR"/>
                </w:rPr>
                <w:t>philrushton@rcc-uk.uk</w:t>
              </w:r>
            </w:hyperlink>
            <w:r w:rsidR="00FB2AD1" w:rsidRPr="00CA1499">
              <w:rPr>
                <w:lang w:val="fr-FR"/>
              </w:rPr>
              <w:t xml:space="preserve"> </w:t>
            </w:r>
          </w:p>
        </w:tc>
      </w:tr>
    </w:tbl>
    <w:p w14:paraId="48F793FF" w14:textId="77777777" w:rsidR="009C2284" w:rsidRPr="00CA1499" w:rsidRDefault="009C2284">
      <w:pPr>
        <w:rPr>
          <w:lang w:val="fr-FR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9C2284" w:rsidRPr="006C0A8A" w14:paraId="68A29540" w14:textId="77777777">
        <w:trPr>
          <w:cantSplit/>
        </w:trPr>
        <w:tc>
          <w:tcPr>
            <w:tcW w:w="164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F56F88" w14:textId="77777777" w:rsidR="009C2284" w:rsidRPr="006C0A8A" w:rsidRDefault="00510A90" w:rsidP="00FB2AD1">
            <w:pPr>
              <w:spacing w:after="60"/>
              <w:rPr>
                <w:b/>
                <w:bCs/>
              </w:rPr>
            </w:pPr>
            <w:r w:rsidRPr="006C0A8A">
              <w:rPr>
                <w:b/>
                <w:bCs/>
              </w:rPr>
              <w:t>Keywords:</w:t>
            </w:r>
          </w:p>
        </w:tc>
        <w:tc>
          <w:tcPr>
            <w:tcW w:w="828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C4A2B3" w14:textId="77777777" w:rsidR="009C2284" w:rsidRPr="006C0A8A" w:rsidRDefault="00A61CBC" w:rsidP="00FB2AD1">
            <w:pPr>
              <w:spacing w:after="60"/>
            </w:pPr>
            <w:r w:rsidRPr="006C0A8A">
              <w:t>Numbering, Naming, Identifiers, Services, Routeing, Telecommunications Management, Fraud Management.</w:t>
            </w:r>
          </w:p>
        </w:tc>
      </w:tr>
      <w:tr w:rsidR="009C2284" w:rsidRPr="006C0A8A" w14:paraId="64ED74DE" w14:textId="77777777">
        <w:trPr>
          <w:cantSplit/>
        </w:trPr>
        <w:tc>
          <w:tcPr>
            <w:tcW w:w="164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44AB7D" w14:textId="77777777" w:rsidR="009C2284" w:rsidRPr="006C0A8A" w:rsidRDefault="00510A90" w:rsidP="00FB2AD1">
            <w:pPr>
              <w:spacing w:after="60"/>
              <w:rPr>
                <w:b/>
                <w:bCs/>
              </w:rPr>
            </w:pPr>
            <w:r w:rsidRPr="006C0A8A">
              <w:rPr>
                <w:b/>
                <w:bCs/>
              </w:rPr>
              <w:t>Abstract:</w:t>
            </w:r>
          </w:p>
        </w:tc>
        <w:tc>
          <w:tcPr>
            <w:tcW w:w="828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73C230" w14:textId="27110E53" w:rsidR="009C2284" w:rsidRPr="006C0A8A" w:rsidRDefault="00A61CBC" w:rsidP="00921F96">
            <w:pPr>
              <w:spacing w:after="60"/>
            </w:pPr>
            <w:r w:rsidRPr="006C0A8A">
              <w:t xml:space="preserve">This </w:t>
            </w:r>
            <w:r w:rsidR="00BD0968" w:rsidRPr="006C0A8A">
              <w:t xml:space="preserve">liaison </w:t>
            </w:r>
            <w:r w:rsidRPr="006C0A8A">
              <w:t>contains the report of the ITU-T SG2 on lead study group activities (</w:t>
            </w:r>
            <w:r w:rsidR="00B47661" w:rsidRPr="006C0A8A">
              <w:t>December 2019</w:t>
            </w:r>
            <w:r w:rsidR="000C4528" w:rsidRPr="006C0A8A">
              <w:t xml:space="preserve"> – </w:t>
            </w:r>
            <w:r w:rsidR="003A104F" w:rsidRPr="006C0A8A">
              <w:t xml:space="preserve">September </w:t>
            </w:r>
            <w:r w:rsidR="000C4528" w:rsidRPr="006C0A8A">
              <w:t>2020</w:t>
            </w:r>
            <w:r w:rsidRPr="006C0A8A">
              <w:t>).</w:t>
            </w:r>
          </w:p>
        </w:tc>
      </w:tr>
    </w:tbl>
    <w:p w14:paraId="04A942CB" w14:textId="77777777" w:rsidR="00A61CBC" w:rsidRPr="006C0A8A" w:rsidRDefault="00A61CBC" w:rsidP="00A61CBC">
      <w:pPr>
        <w:pStyle w:val="Heading1"/>
        <w:numPr>
          <w:ilvl w:val="0"/>
          <w:numId w:val="4"/>
        </w:numPr>
        <w:tabs>
          <w:tab w:val="clear" w:pos="794"/>
          <w:tab w:val="left" w:pos="294"/>
        </w:tabs>
        <w:suppressAutoHyphens w:val="0"/>
        <w:adjustRightInd w:val="0"/>
        <w:ind w:left="426" w:hanging="426"/>
        <w:textAlignment w:val="auto"/>
      </w:pPr>
      <w:r w:rsidRPr="006C0A8A">
        <w:t>Background</w:t>
      </w:r>
    </w:p>
    <w:p w14:paraId="6C740690" w14:textId="77777777" w:rsidR="00A61CBC" w:rsidRPr="006C0A8A" w:rsidRDefault="00A61CBC" w:rsidP="00A61CBC">
      <w:r w:rsidRPr="006C0A8A">
        <w:t>According to Resolution 2 of WTSA-16, ITU-T SG2 is the lead study group on:</w:t>
      </w:r>
    </w:p>
    <w:p w14:paraId="3A2CB195" w14:textId="77777777" w:rsidR="00A61CBC" w:rsidRPr="006C0A8A" w:rsidRDefault="00B83EC6" w:rsidP="00B83EC6">
      <w:pPr>
        <w:pStyle w:val="enumlev1"/>
      </w:pPr>
      <w:r w:rsidRPr="006C0A8A">
        <w:t>–</w:t>
      </w:r>
      <w:r w:rsidRPr="006C0A8A">
        <w:tab/>
      </w:r>
      <w:r w:rsidR="00A61CBC" w:rsidRPr="006C0A8A">
        <w:t xml:space="preserve">Lead study group on numbering, naming, addressing, identification and routing </w:t>
      </w:r>
    </w:p>
    <w:p w14:paraId="5FA570ED" w14:textId="77777777" w:rsidR="00A61CBC" w:rsidRPr="006C0A8A" w:rsidRDefault="00B83EC6" w:rsidP="00B83EC6">
      <w:pPr>
        <w:pStyle w:val="enumlev1"/>
      </w:pPr>
      <w:r w:rsidRPr="006C0A8A">
        <w:t>–</w:t>
      </w:r>
      <w:r w:rsidRPr="006C0A8A">
        <w:tab/>
      </w:r>
      <w:r w:rsidR="00A61CBC" w:rsidRPr="006C0A8A">
        <w:t>Lead study group on service</w:t>
      </w:r>
      <w:r w:rsidR="00A61CBC" w:rsidRPr="006C0A8A">
        <w:rPr>
          <w:spacing w:val="-4"/>
        </w:rPr>
        <w:t xml:space="preserve"> </w:t>
      </w:r>
      <w:r w:rsidR="00A61CBC" w:rsidRPr="006C0A8A">
        <w:t>definition</w:t>
      </w:r>
    </w:p>
    <w:p w14:paraId="68EA1F18" w14:textId="77777777" w:rsidR="00A61CBC" w:rsidRPr="006C0A8A" w:rsidRDefault="00B83EC6" w:rsidP="00B83EC6">
      <w:pPr>
        <w:pStyle w:val="enumlev1"/>
      </w:pPr>
      <w:r w:rsidRPr="006C0A8A">
        <w:t>–</w:t>
      </w:r>
      <w:r w:rsidRPr="006C0A8A">
        <w:tab/>
      </w:r>
      <w:r w:rsidR="00A61CBC" w:rsidRPr="006C0A8A">
        <w:t>Lead study group on telecommunications for disaster relief/early warning, network resilience and recovery</w:t>
      </w:r>
    </w:p>
    <w:p w14:paraId="78B7C43E" w14:textId="77777777" w:rsidR="00A61CBC" w:rsidRPr="006C0A8A" w:rsidRDefault="00B83EC6" w:rsidP="00B83EC6">
      <w:pPr>
        <w:pStyle w:val="enumlev1"/>
      </w:pPr>
      <w:r w:rsidRPr="006C0A8A">
        <w:t>–</w:t>
      </w:r>
      <w:r w:rsidRPr="006C0A8A">
        <w:tab/>
      </w:r>
      <w:r w:rsidR="00A61CBC" w:rsidRPr="006C0A8A">
        <w:t>Lead study group on telecommunication management</w:t>
      </w:r>
    </w:p>
    <w:p w14:paraId="3CF06746" w14:textId="545F53A1" w:rsidR="00A61CBC" w:rsidRPr="006C0A8A" w:rsidRDefault="00A61CBC" w:rsidP="00921F96">
      <w:pPr>
        <w:pStyle w:val="Heading1"/>
        <w:numPr>
          <w:ilvl w:val="0"/>
          <w:numId w:val="4"/>
        </w:numPr>
        <w:tabs>
          <w:tab w:val="clear" w:pos="794"/>
          <w:tab w:val="left" w:pos="360"/>
        </w:tabs>
        <w:suppressAutoHyphens w:val="0"/>
        <w:adjustRightInd w:val="0"/>
        <w:ind w:left="426" w:hanging="426"/>
        <w:textAlignment w:val="auto"/>
      </w:pPr>
      <w:r w:rsidRPr="006C0A8A">
        <w:t>Report of ITU-T SG2 on lead study group activities (</w:t>
      </w:r>
      <w:r w:rsidR="000C4528" w:rsidRPr="006C0A8A">
        <w:t xml:space="preserve">December 2019 – </w:t>
      </w:r>
      <w:r w:rsidR="003A104F" w:rsidRPr="006C0A8A">
        <w:t xml:space="preserve">September </w:t>
      </w:r>
      <w:r w:rsidR="000C4528" w:rsidRPr="006C0A8A">
        <w:t>2020</w:t>
      </w:r>
      <w:r w:rsidRPr="006C0A8A">
        <w:t>)</w:t>
      </w:r>
    </w:p>
    <w:p w14:paraId="6DB6BFDE" w14:textId="77777777" w:rsidR="00A61CBC" w:rsidRPr="006C0A8A" w:rsidRDefault="00A61CBC" w:rsidP="00A61CBC">
      <w:pPr>
        <w:pStyle w:val="Heading2"/>
        <w:tabs>
          <w:tab w:val="clear" w:pos="794"/>
          <w:tab w:val="left" w:pos="0"/>
        </w:tabs>
        <w:ind w:left="0" w:firstLine="0"/>
      </w:pPr>
      <w:r w:rsidRPr="006C0A8A">
        <w:t>2.1 Allocation of Global Resources</w:t>
      </w:r>
    </w:p>
    <w:p w14:paraId="16EBA6E1" w14:textId="68181A48" w:rsidR="00A61CBC" w:rsidRPr="00B47661" w:rsidRDefault="00A61CBC" w:rsidP="00B83EC6">
      <w:r w:rsidRPr="006C0A8A">
        <w:t xml:space="preserve">These resources are assigned by the Director of the TSB in accordance with the criteria detailed in the relevant ITU-T Recommendations that are under the responsibility of </w:t>
      </w:r>
      <w:r w:rsidR="00CA1499" w:rsidRPr="006C0A8A">
        <w:t xml:space="preserve">ITU-T </w:t>
      </w:r>
      <w:r w:rsidRPr="006C0A8A">
        <w:t xml:space="preserve">SG2. These criteria </w:t>
      </w:r>
      <w:r w:rsidR="00CA1499" w:rsidRPr="006C0A8A">
        <w:t xml:space="preserve">are </w:t>
      </w:r>
      <w:r w:rsidRPr="006C0A8A">
        <w:t>both</w:t>
      </w:r>
      <w:r w:rsidR="00CA1499" w:rsidRPr="006C0A8A">
        <w:t xml:space="preserve"> </w:t>
      </w:r>
      <w:r w:rsidRPr="006C0A8A">
        <w:t>service based and network based.</w:t>
      </w:r>
      <w:r w:rsidRPr="00B47661">
        <w:t xml:space="preserve"> </w:t>
      </w:r>
    </w:p>
    <w:p w14:paraId="696DC9B2" w14:textId="299F3FB6" w:rsidR="00A61CBC" w:rsidRPr="00C14E86" w:rsidRDefault="00A61CBC" w:rsidP="006F5457">
      <w:pPr>
        <w:pStyle w:val="ListParagraph"/>
        <w:keepNext/>
        <w:keepLines/>
        <w:snapToGrid w:val="0"/>
        <w:spacing w:before="240" w:after="120"/>
        <w:ind w:left="0"/>
      </w:pPr>
      <w:r w:rsidRPr="00B47661">
        <w:rPr>
          <w:bCs/>
        </w:rPr>
        <w:lastRenderedPageBreak/>
        <w:t>T</w:t>
      </w:r>
      <w:r w:rsidRPr="00B47661">
        <w:t xml:space="preserve">he activity in support of allocations for service </w:t>
      </w:r>
      <w:r w:rsidRPr="00C14E86">
        <w:t>based allocations, for the period between SG2 meetings</w:t>
      </w:r>
      <w:r w:rsidR="00B11FAE" w:rsidRPr="00C14E86">
        <w:t xml:space="preserve"> </w:t>
      </w:r>
      <w:r w:rsidRPr="00C14E86">
        <w:t>(</w:t>
      </w:r>
      <w:r w:rsidR="000C4528" w:rsidRPr="00C14E86">
        <w:t>December 2019 –</w:t>
      </w:r>
      <w:r w:rsidR="003A104F" w:rsidRPr="00C14E86">
        <w:t xml:space="preserve">September </w:t>
      </w:r>
      <w:r w:rsidR="000C4528" w:rsidRPr="00C14E86">
        <w:t>2020</w:t>
      </w:r>
      <w:r w:rsidRPr="00C14E86">
        <w:t>), is as follows: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36"/>
        <w:gridCol w:w="987"/>
      </w:tblGrid>
      <w:tr w:rsidR="00C14E86" w:rsidRPr="00C14E86" w14:paraId="7559C8CB" w14:textId="77777777" w:rsidTr="00895506">
        <w:trPr>
          <w:trHeight w:val="2022"/>
        </w:trPr>
        <w:tc>
          <w:tcPr>
            <w:tcW w:w="8642" w:type="dxa"/>
            <w:shd w:val="clear" w:color="auto" w:fill="auto"/>
            <w:hideMark/>
          </w:tcPr>
          <w:p w14:paraId="023D3189" w14:textId="77777777" w:rsidR="00C14E86" w:rsidRPr="00C14E86" w:rsidRDefault="00C14E86" w:rsidP="00895506">
            <w:pPr>
              <w:tabs>
                <w:tab w:val="left" w:pos="851"/>
                <w:tab w:val="right" w:pos="7938"/>
              </w:tabs>
              <w:spacing w:before="240"/>
              <w:rPr>
                <w:rFonts w:asciiTheme="majorBidi" w:hAnsiTheme="majorBidi" w:cstheme="majorBidi"/>
                <w:bCs/>
                <w:lang w:val="en-US"/>
              </w:rPr>
            </w:pPr>
            <w:r w:rsidRPr="00C14E86">
              <w:rPr>
                <w:b/>
                <w:bCs/>
              </w:rPr>
              <w:t xml:space="preserve">Number of processed requests for UIFN = </w:t>
            </w:r>
            <w:r w:rsidRPr="00C14E86">
              <w:rPr>
                <w:b/>
                <w:bCs/>
              </w:rPr>
              <w:br/>
            </w:r>
            <w:r w:rsidRPr="00C14E86">
              <w:rPr>
                <w:rFonts w:asciiTheme="majorBidi" w:hAnsiTheme="majorBidi" w:cstheme="majorBidi"/>
                <w:bCs/>
                <w:lang w:val="en-US"/>
              </w:rPr>
              <w:tab/>
              <w:t xml:space="preserve">(A) - Number of Assigned and implemented UIFN = </w:t>
            </w:r>
            <w:r w:rsidRPr="00C14E86">
              <w:rPr>
                <w:rFonts w:asciiTheme="majorBidi" w:hAnsiTheme="majorBidi" w:cstheme="majorBidi"/>
                <w:bCs/>
                <w:lang w:val="en-US"/>
              </w:rPr>
              <w:tab/>
            </w:r>
            <w:r w:rsidRPr="00C14E86">
              <w:rPr>
                <w:rFonts w:asciiTheme="majorBidi" w:hAnsiTheme="majorBidi" w:cstheme="majorBidi"/>
                <w:bCs/>
                <w:color w:val="000000" w:themeColor="text1"/>
                <w:lang w:val="en-US"/>
              </w:rPr>
              <w:t>270</w:t>
            </w:r>
          </w:p>
          <w:p w14:paraId="00A217C2" w14:textId="77777777" w:rsidR="00C14E86" w:rsidRPr="00C14E86" w:rsidRDefault="00C14E86" w:rsidP="00895506">
            <w:pPr>
              <w:tabs>
                <w:tab w:val="left" w:pos="851"/>
                <w:tab w:val="right" w:pos="7938"/>
              </w:tabs>
              <w:spacing w:before="80"/>
              <w:rPr>
                <w:rFonts w:asciiTheme="majorBidi" w:hAnsiTheme="majorBidi" w:cstheme="majorBidi"/>
                <w:bCs/>
                <w:lang w:val="en-US"/>
              </w:rPr>
            </w:pPr>
            <w:r w:rsidRPr="00C14E86">
              <w:rPr>
                <w:rFonts w:asciiTheme="majorBidi" w:hAnsiTheme="majorBidi" w:cstheme="majorBidi"/>
                <w:bCs/>
                <w:lang w:val="en-US"/>
              </w:rPr>
              <w:tab/>
              <w:t xml:space="preserve">(C) - Number of Cancelled UIFN = </w:t>
            </w:r>
            <w:r w:rsidRPr="00C14E86">
              <w:rPr>
                <w:rFonts w:asciiTheme="majorBidi" w:hAnsiTheme="majorBidi" w:cstheme="majorBidi"/>
                <w:bCs/>
                <w:lang w:val="en-US"/>
              </w:rPr>
              <w:tab/>
              <w:t>10</w:t>
            </w:r>
          </w:p>
          <w:p w14:paraId="65762FCA" w14:textId="77777777" w:rsidR="00C14E86" w:rsidRPr="00C14E86" w:rsidRDefault="00C14E86" w:rsidP="00895506">
            <w:pPr>
              <w:tabs>
                <w:tab w:val="left" w:pos="851"/>
                <w:tab w:val="right" w:pos="7938"/>
              </w:tabs>
              <w:spacing w:before="80"/>
              <w:rPr>
                <w:rFonts w:asciiTheme="majorBidi" w:hAnsiTheme="majorBidi" w:cstheme="majorBidi"/>
                <w:bCs/>
                <w:lang w:val="en-US"/>
              </w:rPr>
            </w:pPr>
            <w:r w:rsidRPr="00C14E86">
              <w:rPr>
                <w:rFonts w:asciiTheme="majorBidi" w:hAnsiTheme="majorBidi" w:cstheme="majorBidi"/>
                <w:bCs/>
                <w:lang w:val="en-US"/>
              </w:rPr>
              <w:tab/>
              <w:t xml:space="preserve">(D) - Number of Disconnected UIFN = </w:t>
            </w:r>
            <w:r w:rsidRPr="00C14E86">
              <w:rPr>
                <w:rFonts w:asciiTheme="majorBidi" w:hAnsiTheme="majorBidi" w:cstheme="majorBidi"/>
                <w:bCs/>
                <w:lang w:val="en-US"/>
              </w:rPr>
              <w:tab/>
              <w:t>224</w:t>
            </w:r>
          </w:p>
          <w:p w14:paraId="02143FB5" w14:textId="77777777" w:rsidR="00C14E86" w:rsidRPr="00C14E86" w:rsidRDefault="00C14E86" w:rsidP="00895506">
            <w:pPr>
              <w:tabs>
                <w:tab w:val="left" w:pos="851"/>
                <w:tab w:val="right" w:pos="7938"/>
              </w:tabs>
              <w:spacing w:before="80"/>
              <w:rPr>
                <w:rFonts w:asciiTheme="majorBidi" w:hAnsiTheme="majorBidi" w:cstheme="majorBidi"/>
                <w:bCs/>
                <w:lang w:val="en-US"/>
              </w:rPr>
            </w:pPr>
            <w:r w:rsidRPr="00C14E86">
              <w:rPr>
                <w:rFonts w:asciiTheme="majorBidi" w:hAnsiTheme="majorBidi" w:cstheme="majorBidi"/>
                <w:bCs/>
                <w:lang w:val="en-US"/>
              </w:rPr>
              <w:tab/>
              <w:t xml:space="preserve">(M) - Number of Modified UIFN’s Details = </w:t>
            </w:r>
            <w:r w:rsidRPr="00C14E86">
              <w:rPr>
                <w:rFonts w:asciiTheme="majorBidi" w:hAnsiTheme="majorBidi" w:cstheme="majorBidi"/>
                <w:bCs/>
                <w:lang w:val="en-US"/>
              </w:rPr>
              <w:tab/>
              <w:t>79</w:t>
            </w:r>
          </w:p>
          <w:p w14:paraId="5DDCB5A1" w14:textId="77777777" w:rsidR="00C14E86" w:rsidRPr="00C14E86" w:rsidRDefault="00C14E86" w:rsidP="00895506">
            <w:pPr>
              <w:tabs>
                <w:tab w:val="left" w:pos="851"/>
                <w:tab w:val="right" w:pos="7938"/>
              </w:tabs>
              <w:spacing w:before="80"/>
              <w:rPr>
                <w:rFonts w:asciiTheme="majorBidi" w:hAnsiTheme="majorBidi" w:cstheme="majorBidi"/>
                <w:bCs/>
                <w:lang w:val="en-US"/>
              </w:rPr>
            </w:pPr>
            <w:r w:rsidRPr="00C14E86">
              <w:rPr>
                <w:rFonts w:asciiTheme="majorBidi" w:hAnsiTheme="majorBidi" w:cstheme="majorBidi"/>
                <w:bCs/>
                <w:lang w:val="en-US"/>
              </w:rPr>
              <w:tab/>
              <w:t xml:space="preserve">(O) - Number of UIFN Operated by a secondary operator = </w:t>
            </w:r>
            <w:r w:rsidRPr="00C14E86">
              <w:rPr>
                <w:rFonts w:asciiTheme="majorBidi" w:hAnsiTheme="majorBidi" w:cstheme="majorBidi"/>
                <w:bCs/>
                <w:lang w:val="en-US"/>
              </w:rPr>
              <w:tab/>
              <w:t>20</w:t>
            </w:r>
          </w:p>
          <w:p w14:paraId="7730C824" w14:textId="77777777" w:rsidR="00C14E86" w:rsidRPr="00C14E86" w:rsidRDefault="00C14E86" w:rsidP="00895506">
            <w:pPr>
              <w:tabs>
                <w:tab w:val="left" w:pos="851"/>
                <w:tab w:val="right" w:pos="7938"/>
              </w:tabs>
              <w:spacing w:before="80"/>
              <w:rPr>
                <w:rFonts w:asciiTheme="majorBidi" w:hAnsiTheme="majorBidi" w:cstheme="majorBidi"/>
                <w:bCs/>
                <w:lang w:val="en-US"/>
              </w:rPr>
            </w:pPr>
            <w:r w:rsidRPr="00C14E86">
              <w:rPr>
                <w:rFonts w:asciiTheme="majorBidi" w:hAnsiTheme="majorBidi" w:cstheme="majorBidi"/>
                <w:bCs/>
                <w:lang w:val="en-US"/>
              </w:rPr>
              <w:tab/>
              <w:t xml:space="preserve">(X) - Number of UIFN Disconnected by a secondary operator = </w:t>
            </w:r>
            <w:r w:rsidRPr="00C14E86">
              <w:rPr>
                <w:rFonts w:asciiTheme="majorBidi" w:hAnsiTheme="majorBidi" w:cstheme="majorBidi"/>
                <w:bCs/>
                <w:lang w:val="en-US"/>
              </w:rPr>
              <w:tab/>
              <w:t>1431</w:t>
            </w:r>
          </w:p>
          <w:p w14:paraId="257AF814" w14:textId="77777777" w:rsidR="00C14E86" w:rsidRPr="00C14E86" w:rsidRDefault="00C14E86" w:rsidP="00895506">
            <w:pPr>
              <w:tabs>
                <w:tab w:val="left" w:pos="851"/>
                <w:tab w:val="right" w:pos="7938"/>
              </w:tabs>
              <w:spacing w:before="80"/>
              <w:rPr>
                <w:rFonts w:asciiTheme="majorBidi" w:hAnsiTheme="majorBidi" w:cstheme="majorBidi"/>
                <w:bCs/>
                <w:lang w:val="en-US"/>
              </w:rPr>
            </w:pPr>
            <w:r w:rsidRPr="00C14E86">
              <w:rPr>
                <w:rFonts w:asciiTheme="majorBidi" w:hAnsiTheme="majorBidi" w:cstheme="majorBidi"/>
                <w:bCs/>
                <w:lang w:val="en-US"/>
              </w:rPr>
              <w:tab/>
              <w:t xml:space="preserve">(R) - Number of Reserved UIFN = </w:t>
            </w:r>
            <w:r w:rsidRPr="00C14E86">
              <w:rPr>
                <w:rFonts w:asciiTheme="majorBidi" w:hAnsiTheme="majorBidi" w:cstheme="majorBidi"/>
                <w:bCs/>
                <w:lang w:val="en-US"/>
              </w:rPr>
              <w:tab/>
              <w:t>282</w:t>
            </w:r>
          </w:p>
          <w:p w14:paraId="798BD96D" w14:textId="77777777" w:rsidR="00C14E86" w:rsidRPr="00C14E86" w:rsidRDefault="00C14E86" w:rsidP="00895506">
            <w:pPr>
              <w:tabs>
                <w:tab w:val="left" w:pos="851"/>
                <w:tab w:val="right" w:pos="7938"/>
              </w:tabs>
              <w:spacing w:before="80"/>
              <w:rPr>
                <w:rFonts w:asciiTheme="majorBidi" w:hAnsiTheme="majorBidi" w:cstheme="majorBidi"/>
                <w:bCs/>
                <w:lang w:val="en-US"/>
              </w:rPr>
            </w:pPr>
            <w:r w:rsidRPr="00C14E86">
              <w:rPr>
                <w:rFonts w:asciiTheme="majorBidi" w:hAnsiTheme="majorBidi" w:cstheme="majorBidi"/>
                <w:bCs/>
                <w:lang w:val="en-US"/>
              </w:rPr>
              <w:tab/>
              <w:t>(S) - Number of Temporary Reserved UIFN =</w:t>
            </w:r>
            <w:r w:rsidRPr="00C14E86">
              <w:rPr>
                <w:rFonts w:asciiTheme="majorBidi" w:hAnsiTheme="majorBidi" w:cstheme="majorBidi"/>
                <w:bCs/>
                <w:lang w:val="en-US"/>
              </w:rPr>
              <w:tab/>
              <w:t>99</w:t>
            </w:r>
          </w:p>
          <w:p w14:paraId="0521135A" w14:textId="77777777" w:rsidR="00C14E86" w:rsidRPr="00C14E86" w:rsidRDefault="00C14E86" w:rsidP="00895506">
            <w:pPr>
              <w:tabs>
                <w:tab w:val="left" w:pos="851"/>
                <w:tab w:val="right" w:pos="7938"/>
              </w:tabs>
              <w:spacing w:before="80"/>
              <w:rPr>
                <w:rFonts w:asciiTheme="majorBidi" w:hAnsiTheme="majorBidi" w:cstheme="majorBidi"/>
                <w:bCs/>
                <w:lang w:val="en-US"/>
              </w:rPr>
            </w:pPr>
            <w:r w:rsidRPr="00C14E86">
              <w:rPr>
                <w:rFonts w:asciiTheme="majorBidi" w:hAnsiTheme="majorBidi" w:cstheme="majorBidi"/>
                <w:bCs/>
                <w:lang w:val="en-US"/>
              </w:rPr>
              <w:tab/>
              <w:t xml:space="preserve">(Y) + </w:t>
            </w:r>
            <w:r w:rsidRPr="00C14E86">
              <w:rPr>
                <w:rFonts w:asciiTheme="majorBidi" w:hAnsiTheme="majorBidi" w:cstheme="majorBidi"/>
                <w:bCs/>
                <w:color w:val="000000"/>
                <w:lang w:val="en-US"/>
              </w:rPr>
              <w:t>(Z) -</w:t>
            </w:r>
            <w:r w:rsidRPr="00C14E86">
              <w:rPr>
                <w:rFonts w:asciiTheme="majorBidi" w:hAnsiTheme="majorBidi" w:cstheme="majorBidi"/>
                <w:bCs/>
                <w:lang w:val="en-US"/>
              </w:rPr>
              <w:t xml:space="preserve"> Number of Transferred UIFN to another ROA =</w:t>
            </w:r>
            <w:r w:rsidRPr="00C14E86">
              <w:rPr>
                <w:rFonts w:asciiTheme="majorBidi" w:hAnsiTheme="majorBidi" w:cstheme="majorBidi"/>
                <w:bCs/>
                <w:lang w:val="en-US"/>
              </w:rPr>
              <w:tab/>
              <w:t>38</w:t>
            </w:r>
          </w:p>
        </w:tc>
        <w:tc>
          <w:tcPr>
            <w:tcW w:w="987" w:type="dxa"/>
            <w:shd w:val="clear" w:color="auto" w:fill="auto"/>
            <w:hideMark/>
          </w:tcPr>
          <w:p w14:paraId="60F014C6" w14:textId="77777777" w:rsidR="00C14E86" w:rsidRPr="00C14E86" w:rsidRDefault="00C14E86" w:rsidP="00895506">
            <w:pPr>
              <w:spacing w:before="240"/>
              <w:rPr>
                <w:b/>
                <w:bCs/>
              </w:rPr>
            </w:pPr>
            <w:r w:rsidRPr="00C14E86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2453</w:t>
            </w:r>
            <w:r w:rsidRPr="00C14E86">
              <w:rPr>
                <w:b/>
                <w:bCs/>
                <w:color w:val="000000"/>
              </w:rPr>
              <w:br/>
            </w:r>
          </w:p>
        </w:tc>
      </w:tr>
      <w:tr w:rsidR="00C14E86" w:rsidRPr="00C14E86" w14:paraId="2511E1AF" w14:textId="77777777" w:rsidTr="00895506">
        <w:tc>
          <w:tcPr>
            <w:tcW w:w="8642" w:type="dxa"/>
            <w:shd w:val="clear" w:color="auto" w:fill="auto"/>
            <w:hideMark/>
          </w:tcPr>
          <w:p w14:paraId="1078FDEC" w14:textId="77777777" w:rsidR="00C14E86" w:rsidRPr="00C14E86" w:rsidRDefault="00C14E86" w:rsidP="00895506">
            <w:pPr>
              <w:keepNext/>
              <w:keepLines/>
              <w:tabs>
                <w:tab w:val="left" w:pos="1134"/>
                <w:tab w:val="right" w:pos="7938"/>
              </w:tabs>
              <w:autoSpaceDN/>
              <w:spacing w:before="0"/>
              <w:textAlignment w:val="auto"/>
              <w:rPr>
                <w:rFonts w:eastAsia="DengXian"/>
                <w:b/>
                <w:bCs/>
              </w:rPr>
            </w:pPr>
            <w:r w:rsidRPr="00C14E86">
              <w:rPr>
                <w:rFonts w:eastAsia="DengXian"/>
                <w:b/>
                <w:bCs/>
              </w:rPr>
              <w:t>Number of processed requests for Universal International Premium Rate Number</w:t>
            </w:r>
          </w:p>
        </w:tc>
        <w:tc>
          <w:tcPr>
            <w:tcW w:w="987" w:type="dxa"/>
            <w:shd w:val="clear" w:color="auto" w:fill="auto"/>
            <w:hideMark/>
          </w:tcPr>
          <w:p w14:paraId="0CB2090D" w14:textId="77777777" w:rsidR="00C14E86" w:rsidRPr="00C14E86" w:rsidRDefault="00C14E86" w:rsidP="00895506">
            <w:pPr>
              <w:keepNext/>
              <w:keepLines/>
              <w:tabs>
                <w:tab w:val="left" w:pos="1134"/>
                <w:tab w:val="right" w:pos="7938"/>
              </w:tabs>
              <w:autoSpaceDN/>
              <w:spacing w:before="0"/>
              <w:textAlignment w:val="auto"/>
              <w:rPr>
                <w:rFonts w:eastAsia="DengXian"/>
                <w:b/>
                <w:bCs/>
              </w:rPr>
            </w:pPr>
            <w:r w:rsidRPr="00C14E86">
              <w:rPr>
                <w:rFonts w:eastAsia="DengXian"/>
                <w:b/>
                <w:bCs/>
              </w:rPr>
              <w:t>0</w:t>
            </w:r>
          </w:p>
        </w:tc>
      </w:tr>
      <w:tr w:rsidR="00C14E86" w:rsidRPr="00C14E86" w14:paraId="2B73E1D9" w14:textId="77777777" w:rsidTr="00895506">
        <w:tc>
          <w:tcPr>
            <w:tcW w:w="8642" w:type="dxa"/>
            <w:shd w:val="clear" w:color="auto" w:fill="auto"/>
            <w:hideMark/>
          </w:tcPr>
          <w:p w14:paraId="3A0BC5A0" w14:textId="77777777" w:rsidR="00C14E86" w:rsidRPr="00C14E86" w:rsidRDefault="00C14E86" w:rsidP="00895506">
            <w:pPr>
              <w:keepNext/>
              <w:keepLines/>
              <w:tabs>
                <w:tab w:val="left" w:pos="1134"/>
                <w:tab w:val="right" w:pos="7938"/>
              </w:tabs>
              <w:autoSpaceDN/>
              <w:spacing w:before="0"/>
              <w:textAlignment w:val="auto"/>
              <w:rPr>
                <w:rFonts w:eastAsia="DengXian"/>
                <w:b/>
                <w:bCs/>
              </w:rPr>
            </w:pPr>
            <w:r w:rsidRPr="00C14E86">
              <w:rPr>
                <w:rFonts w:eastAsia="DengXian"/>
                <w:b/>
                <w:bCs/>
              </w:rPr>
              <w:t>Number of processed requests for Universal International Shared Cost Number</w:t>
            </w:r>
          </w:p>
        </w:tc>
        <w:tc>
          <w:tcPr>
            <w:tcW w:w="987" w:type="dxa"/>
            <w:shd w:val="clear" w:color="auto" w:fill="auto"/>
            <w:hideMark/>
          </w:tcPr>
          <w:p w14:paraId="70A956CD" w14:textId="77777777" w:rsidR="00C14E86" w:rsidRPr="00C14E86" w:rsidRDefault="00C14E86" w:rsidP="00895506">
            <w:pPr>
              <w:keepNext/>
              <w:keepLines/>
              <w:tabs>
                <w:tab w:val="left" w:pos="1134"/>
                <w:tab w:val="right" w:pos="7938"/>
              </w:tabs>
              <w:autoSpaceDN/>
              <w:spacing w:before="0"/>
              <w:textAlignment w:val="auto"/>
              <w:rPr>
                <w:rFonts w:eastAsia="DengXian"/>
                <w:b/>
                <w:bCs/>
              </w:rPr>
            </w:pPr>
            <w:r w:rsidRPr="00C14E86">
              <w:rPr>
                <w:rFonts w:eastAsia="DengXian"/>
                <w:b/>
                <w:bCs/>
              </w:rPr>
              <w:t>0</w:t>
            </w:r>
          </w:p>
        </w:tc>
      </w:tr>
      <w:tr w:rsidR="00C14E86" w:rsidRPr="00C14E86" w14:paraId="0E268681" w14:textId="77777777" w:rsidTr="00895506">
        <w:tc>
          <w:tcPr>
            <w:tcW w:w="8642" w:type="dxa"/>
            <w:shd w:val="clear" w:color="auto" w:fill="auto"/>
            <w:hideMark/>
          </w:tcPr>
          <w:p w14:paraId="17AC008D" w14:textId="77777777" w:rsidR="00C14E86" w:rsidRPr="00C14E86" w:rsidRDefault="00C14E86" w:rsidP="00895506">
            <w:pPr>
              <w:keepNext/>
              <w:keepLines/>
              <w:tabs>
                <w:tab w:val="left" w:pos="1134"/>
                <w:tab w:val="right" w:pos="7938"/>
              </w:tabs>
              <w:autoSpaceDN/>
              <w:spacing w:before="0"/>
              <w:textAlignment w:val="auto"/>
              <w:rPr>
                <w:rFonts w:eastAsia="DengXian"/>
                <w:b/>
                <w:bCs/>
              </w:rPr>
            </w:pPr>
            <w:r w:rsidRPr="00C14E86">
              <w:rPr>
                <w:rFonts w:eastAsia="DengXian"/>
                <w:b/>
                <w:bCs/>
              </w:rPr>
              <w:t>Number of processed requests for ITU International Network Designator ATM End System Address</w:t>
            </w:r>
          </w:p>
        </w:tc>
        <w:tc>
          <w:tcPr>
            <w:tcW w:w="987" w:type="dxa"/>
            <w:shd w:val="clear" w:color="auto" w:fill="auto"/>
            <w:hideMark/>
          </w:tcPr>
          <w:p w14:paraId="3C9DD5F9" w14:textId="77777777" w:rsidR="00C14E86" w:rsidRPr="00C14E86" w:rsidRDefault="00C14E86" w:rsidP="00895506">
            <w:pPr>
              <w:keepNext/>
              <w:keepLines/>
              <w:tabs>
                <w:tab w:val="left" w:pos="1134"/>
                <w:tab w:val="right" w:pos="7938"/>
              </w:tabs>
              <w:autoSpaceDN/>
              <w:spacing w:before="0"/>
              <w:textAlignment w:val="auto"/>
              <w:rPr>
                <w:rFonts w:eastAsia="DengXian"/>
                <w:b/>
                <w:bCs/>
              </w:rPr>
            </w:pPr>
            <w:r w:rsidRPr="00C14E86">
              <w:rPr>
                <w:rFonts w:eastAsia="DengXian"/>
                <w:b/>
                <w:bCs/>
              </w:rPr>
              <w:t>0</w:t>
            </w:r>
          </w:p>
        </w:tc>
      </w:tr>
    </w:tbl>
    <w:p w14:paraId="500E10AD" w14:textId="77777777" w:rsidR="00A61CBC" w:rsidRPr="00C14E86" w:rsidRDefault="00A61CBC" w:rsidP="00B83EC6">
      <w:r w:rsidRPr="00C14E86">
        <w:t>In addition</w:t>
      </w:r>
      <w:r w:rsidR="00CA1499" w:rsidRPr="00C14E86">
        <w:t>,</w:t>
      </w:r>
      <w:r w:rsidRPr="00C14E86">
        <w:t xml:space="preserve"> the following resources were allocated to networks</w:t>
      </w:r>
      <w:r w:rsidR="00B11FAE" w:rsidRPr="00C14E86">
        <w:t>:</w:t>
      </w:r>
      <w:r w:rsidRPr="00C14E86">
        <w:t xml:space="preserve"> </w:t>
      </w:r>
    </w:p>
    <w:p w14:paraId="46A29916" w14:textId="77777777" w:rsidR="00A61CBC" w:rsidRPr="00C14E86" w:rsidRDefault="00A61CBC" w:rsidP="00B83EC6">
      <w:pPr>
        <w:rPr>
          <w:b/>
          <w:bCs/>
        </w:rPr>
      </w:pPr>
      <w:r w:rsidRPr="00C14E86">
        <w:rPr>
          <w:b/>
          <w:bCs/>
        </w:rPr>
        <w:t>Applications for E.164 and E.212 shared codes – Assigned</w:t>
      </w:r>
    </w:p>
    <w:p w14:paraId="66D7AB78" w14:textId="77777777" w:rsidR="00A61CBC" w:rsidRPr="00C14E86" w:rsidRDefault="00A61CBC" w:rsidP="00B83EC6">
      <w:r w:rsidRPr="00C14E86">
        <w:t>The TSB Director has made the following assignment</w:t>
      </w:r>
      <w:r w:rsidR="00CA1499" w:rsidRPr="00C14E86">
        <w:t>s</w:t>
      </w:r>
      <w:r w:rsidRPr="00C14E86">
        <w:t>:</w:t>
      </w:r>
    </w:p>
    <w:p w14:paraId="7ADA098F" w14:textId="77777777" w:rsidR="002132E3" w:rsidRPr="00C14E86" w:rsidRDefault="002132E3" w:rsidP="002132E3">
      <w:pPr>
        <w:spacing w:before="0"/>
        <w:rPr>
          <w:vanish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6"/>
        <w:gridCol w:w="3976"/>
        <w:gridCol w:w="2504"/>
        <w:gridCol w:w="1891"/>
      </w:tblGrid>
      <w:tr w:rsidR="00CA1499" w:rsidRPr="00C14E86" w14:paraId="3BBC7762" w14:textId="77777777" w:rsidTr="006C0A8A">
        <w:tc>
          <w:tcPr>
            <w:tcW w:w="1836" w:type="dxa"/>
            <w:shd w:val="clear" w:color="auto" w:fill="auto"/>
            <w:vAlign w:val="center"/>
          </w:tcPr>
          <w:p w14:paraId="19ADB387" w14:textId="77777777" w:rsidR="00CA1499" w:rsidRPr="00C14E86" w:rsidRDefault="00CA1499" w:rsidP="00CA1499">
            <w:pPr>
              <w:jc w:val="center"/>
              <w:rPr>
                <w:b/>
                <w:sz w:val="22"/>
              </w:rPr>
            </w:pPr>
            <w:r w:rsidRPr="00C14E86">
              <w:rPr>
                <w:b/>
                <w:sz w:val="22"/>
              </w:rPr>
              <w:t>Applicant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37CD1032" w14:textId="77777777" w:rsidR="00CA1499" w:rsidRPr="00C14E86" w:rsidRDefault="00CA1499" w:rsidP="00CA1499">
            <w:pPr>
              <w:jc w:val="center"/>
              <w:rPr>
                <w:b/>
                <w:sz w:val="22"/>
              </w:rPr>
            </w:pPr>
            <w:r w:rsidRPr="00C14E86">
              <w:rPr>
                <w:b/>
                <w:sz w:val="22"/>
              </w:rPr>
              <w:t>Request/application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50F312F3" w14:textId="77777777" w:rsidR="00CA1499" w:rsidRPr="00C14E86" w:rsidRDefault="00CA1499" w:rsidP="00CA1499">
            <w:pPr>
              <w:jc w:val="center"/>
              <w:rPr>
                <w:b/>
                <w:bCs/>
                <w:sz w:val="22"/>
              </w:rPr>
            </w:pPr>
            <w:r w:rsidRPr="00C14E86">
              <w:rPr>
                <w:b/>
                <w:bCs/>
                <w:sz w:val="22"/>
              </w:rPr>
              <w:t>Assigned/extended code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82AC461" w14:textId="77777777" w:rsidR="00CA1499" w:rsidRPr="00C14E86" w:rsidRDefault="00CA1499" w:rsidP="00CA1499">
            <w:pPr>
              <w:jc w:val="center"/>
              <w:rPr>
                <w:b/>
                <w:bCs/>
                <w:sz w:val="22"/>
              </w:rPr>
            </w:pPr>
            <w:r w:rsidRPr="00C14E86">
              <w:rPr>
                <w:b/>
                <w:bCs/>
                <w:sz w:val="22"/>
              </w:rPr>
              <w:t>Assignment/grant date</w:t>
            </w:r>
          </w:p>
        </w:tc>
      </w:tr>
      <w:tr w:rsidR="00265A1D" w:rsidRPr="00C14E86" w14:paraId="1B64F4E3" w14:textId="77777777" w:rsidTr="006C0A8A">
        <w:tc>
          <w:tcPr>
            <w:tcW w:w="1836" w:type="dxa"/>
            <w:shd w:val="clear" w:color="auto" w:fill="auto"/>
            <w:vAlign w:val="center"/>
          </w:tcPr>
          <w:p w14:paraId="0E33E0A9" w14:textId="391B9F71" w:rsidR="00265A1D" w:rsidRPr="00C14E86" w:rsidRDefault="00265A1D" w:rsidP="00CA1499">
            <w:pPr>
              <w:jc w:val="center"/>
              <w:rPr>
                <w:bCs/>
                <w:sz w:val="22"/>
              </w:rPr>
            </w:pPr>
            <w:r w:rsidRPr="00C14E86">
              <w:rPr>
                <w:bCs/>
                <w:sz w:val="22"/>
              </w:rPr>
              <w:t>Bouygues Telecom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773E6691" w14:textId="06597943" w:rsidR="00265A1D" w:rsidRPr="00C14E86" w:rsidRDefault="00C11662" w:rsidP="00CA1499">
            <w:pPr>
              <w:jc w:val="center"/>
              <w:rPr>
                <w:bCs/>
                <w:sz w:val="22"/>
              </w:rPr>
            </w:pPr>
            <w:r w:rsidRPr="00C14E86">
              <w:rPr>
                <w:bCs/>
                <w:sz w:val="22"/>
              </w:rPr>
              <w:t>Request for an E.212 shared MCC and MNC for Bouygues Telecom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2FF1CB34" w14:textId="68454E61" w:rsidR="00265A1D" w:rsidRPr="00C4631D" w:rsidRDefault="00C11662" w:rsidP="00CA1499">
            <w:pPr>
              <w:jc w:val="center"/>
              <w:rPr>
                <w:bCs/>
                <w:sz w:val="22"/>
              </w:rPr>
            </w:pPr>
            <w:r w:rsidRPr="00C4631D">
              <w:rPr>
                <w:bCs/>
                <w:sz w:val="22"/>
              </w:rPr>
              <w:t>E.212 shared MCC and MNC 901 77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6A0D4D8C" w14:textId="6636264F" w:rsidR="00265A1D" w:rsidRPr="00C14E86" w:rsidRDefault="001314C8" w:rsidP="00CA149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28 August 2020</w:t>
            </w:r>
          </w:p>
        </w:tc>
      </w:tr>
      <w:tr w:rsidR="00265A1D" w:rsidRPr="00C14E86" w14:paraId="03BBB221" w14:textId="77777777" w:rsidTr="006C0A8A">
        <w:tc>
          <w:tcPr>
            <w:tcW w:w="1836" w:type="dxa"/>
            <w:shd w:val="clear" w:color="auto" w:fill="auto"/>
            <w:vAlign w:val="center"/>
          </w:tcPr>
          <w:p w14:paraId="6F4A5838" w14:textId="2796F28B" w:rsidR="00265A1D" w:rsidRPr="00C14E86" w:rsidRDefault="00265A1D" w:rsidP="00CA1499">
            <w:pPr>
              <w:jc w:val="center"/>
              <w:rPr>
                <w:bCs/>
                <w:sz w:val="22"/>
              </w:rPr>
            </w:pPr>
            <w:r w:rsidRPr="00C14E86">
              <w:rPr>
                <w:bCs/>
                <w:sz w:val="22"/>
              </w:rPr>
              <w:t>Orange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1227441F" w14:textId="12D94138" w:rsidR="00265A1D" w:rsidRPr="00C14E86" w:rsidRDefault="00C11662" w:rsidP="00CA1499">
            <w:pPr>
              <w:jc w:val="center"/>
              <w:rPr>
                <w:bCs/>
                <w:sz w:val="22"/>
              </w:rPr>
            </w:pPr>
            <w:r w:rsidRPr="00C14E86">
              <w:rPr>
                <w:bCs/>
                <w:sz w:val="22"/>
              </w:rPr>
              <w:t>Request for a 2-digit MNC under the shared E.212 MCC for trials MCC 991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76D22C5" w14:textId="607910D8" w:rsidR="00265A1D" w:rsidRPr="00C4631D" w:rsidRDefault="00C11662" w:rsidP="00CA1499">
            <w:pPr>
              <w:jc w:val="center"/>
              <w:rPr>
                <w:bCs/>
                <w:sz w:val="22"/>
              </w:rPr>
            </w:pPr>
            <w:r w:rsidRPr="00C4631D">
              <w:rPr>
                <w:bCs/>
                <w:sz w:val="22"/>
              </w:rPr>
              <w:t>E.212 shared MCC and trial-MNC 991 02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00DB9A50" w14:textId="15147DA7" w:rsidR="00265A1D" w:rsidRPr="00C14E86" w:rsidRDefault="00C11662" w:rsidP="00CA1499">
            <w:pPr>
              <w:jc w:val="center"/>
              <w:rPr>
                <w:bCs/>
                <w:sz w:val="22"/>
              </w:rPr>
            </w:pPr>
            <w:r w:rsidRPr="00C14E86">
              <w:rPr>
                <w:bCs/>
                <w:sz w:val="22"/>
              </w:rPr>
              <w:t>7 August 2020</w:t>
            </w:r>
          </w:p>
        </w:tc>
      </w:tr>
      <w:tr w:rsidR="00852A00" w:rsidRPr="00C14E86" w14:paraId="5872E369" w14:textId="77777777" w:rsidTr="00F664B5">
        <w:tc>
          <w:tcPr>
            <w:tcW w:w="1836" w:type="dxa"/>
            <w:shd w:val="clear" w:color="auto" w:fill="auto"/>
            <w:vAlign w:val="center"/>
          </w:tcPr>
          <w:p w14:paraId="0BD854F2" w14:textId="77777777" w:rsidR="00852A00" w:rsidRPr="00C14E86" w:rsidRDefault="00852A00" w:rsidP="00F664B5">
            <w:pPr>
              <w:jc w:val="center"/>
              <w:rPr>
                <w:bCs/>
                <w:sz w:val="22"/>
              </w:rPr>
            </w:pPr>
            <w:r w:rsidRPr="00C14E86">
              <w:rPr>
                <w:bCs/>
                <w:sz w:val="22"/>
              </w:rPr>
              <w:t>A1 Telekom Austria AG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053F7AF2" w14:textId="77777777" w:rsidR="00852A00" w:rsidRPr="00C14E86" w:rsidRDefault="00852A00" w:rsidP="00F664B5">
            <w:pPr>
              <w:jc w:val="center"/>
              <w:rPr>
                <w:bCs/>
                <w:sz w:val="22"/>
              </w:rPr>
            </w:pPr>
            <w:r w:rsidRPr="00C14E86">
              <w:rPr>
                <w:bCs/>
                <w:sz w:val="22"/>
              </w:rPr>
              <w:t>Request for an E.212 shared MCC and MNC for A1 Telekom Austria AG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F5C3DC6" w14:textId="77777777" w:rsidR="00852A00" w:rsidRPr="00C14E86" w:rsidRDefault="00852A00" w:rsidP="00F664B5">
            <w:pPr>
              <w:jc w:val="center"/>
              <w:rPr>
                <w:bCs/>
                <w:sz w:val="22"/>
              </w:rPr>
            </w:pPr>
            <w:r w:rsidRPr="00C14E86">
              <w:rPr>
                <w:bCs/>
                <w:sz w:val="22"/>
              </w:rPr>
              <w:t>E.212 shared MCC and MNC 901 76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40BAC70C" w14:textId="77777777" w:rsidR="00852A00" w:rsidRPr="00C14E86" w:rsidRDefault="00852A00" w:rsidP="00F664B5">
            <w:pPr>
              <w:jc w:val="center"/>
              <w:rPr>
                <w:bCs/>
                <w:sz w:val="22"/>
              </w:rPr>
            </w:pPr>
            <w:r w:rsidRPr="00C14E86">
              <w:rPr>
                <w:bCs/>
                <w:sz w:val="22"/>
              </w:rPr>
              <w:t>31 July 2020</w:t>
            </w:r>
          </w:p>
        </w:tc>
      </w:tr>
      <w:tr w:rsidR="00265A1D" w:rsidRPr="00C14E86" w14:paraId="1929065D" w14:textId="77777777" w:rsidTr="006C0A8A">
        <w:tc>
          <w:tcPr>
            <w:tcW w:w="1836" w:type="dxa"/>
            <w:shd w:val="clear" w:color="auto" w:fill="auto"/>
            <w:vAlign w:val="center"/>
          </w:tcPr>
          <w:p w14:paraId="2B1B9C74" w14:textId="4F2CE592" w:rsidR="00265A1D" w:rsidRPr="00C14E86" w:rsidRDefault="00265A1D" w:rsidP="00CA1499">
            <w:pPr>
              <w:jc w:val="center"/>
              <w:rPr>
                <w:bCs/>
                <w:sz w:val="22"/>
              </w:rPr>
            </w:pPr>
            <w:proofErr w:type="spellStart"/>
            <w:r w:rsidRPr="00C14E86">
              <w:rPr>
                <w:bCs/>
                <w:sz w:val="22"/>
              </w:rPr>
              <w:t>Podsystem</w:t>
            </w:r>
            <w:proofErr w:type="spellEnd"/>
            <w:r w:rsidRPr="00C14E86">
              <w:rPr>
                <w:bCs/>
                <w:sz w:val="22"/>
              </w:rPr>
              <w:t xml:space="preserve"> Ltd.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5D4DCE6D" w14:textId="041D3648" w:rsidR="00265A1D" w:rsidRPr="00C14E86" w:rsidRDefault="004577FB" w:rsidP="00CA1499">
            <w:pPr>
              <w:jc w:val="center"/>
              <w:rPr>
                <w:bCs/>
                <w:sz w:val="22"/>
              </w:rPr>
            </w:pPr>
            <w:r w:rsidRPr="00C14E86">
              <w:rPr>
                <w:bCs/>
                <w:sz w:val="22"/>
              </w:rPr>
              <w:t xml:space="preserve">Request for an E.164 shared CC and IC and an E.212 shared MCC and MNC for </w:t>
            </w:r>
            <w:proofErr w:type="spellStart"/>
            <w:r w:rsidRPr="00C14E86">
              <w:rPr>
                <w:bCs/>
                <w:sz w:val="22"/>
              </w:rPr>
              <w:t>Podsystem</w:t>
            </w:r>
            <w:proofErr w:type="spellEnd"/>
            <w:r w:rsidRPr="00C14E86">
              <w:rPr>
                <w:bCs/>
                <w:sz w:val="22"/>
              </w:rPr>
              <w:t xml:space="preserve"> Ltd.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CF525F6" w14:textId="55977909" w:rsidR="00265A1D" w:rsidRPr="00C14E86" w:rsidRDefault="00852A00" w:rsidP="00CA1499">
            <w:pPr>
              <w:jc w:val="center"/>
              <w:rPr>
                <w:bCs/>
                <w:sz w:val="22"/>
              </w:rPr>
            </w:pPr>
            <w:r w:rsidRPr="00C14E86">
              <w:rPr>
                <w:bCs/>
                <w:sz w:val="22"/>
              </w:rPr>
              <w:t>E.164 shared CC and IC 883 340 and E.212 shared MCC and MNC 901 75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33BDF33C" w14:textId="5381B91B" w:rsidR="00265A1D" w:rsidRPr="00C14E86" w:rsidRDefault="004577FB" w:rsidP="00CA1499">
            <w:pPr>
              <w:jc w:val="center"/>
              <w:rPr>
                <w:bCs/>
                <w:sz w:val="22"/>
              </w:rPr>
            </w:pPr>
            <w:r w:rsidRPr="00C14E86">
              <w:rPr>
                <w:bCs/>
                <w:sz w:val="22"/>
              </w:rPr>
              <w:t>31 July 2020</w:t>
            </w:r>
          </w:p>
        </w:tc>
      </w:tr>
      <w:tr w:rsidR="00265A1D" w:rsidRPr="00C14E86" w14:paraId="68BFACB6" w14:textId="77777777" w:rsidTr="006C0A8A">
        <w:tc>
          <w:tcPr>
            <w:tcW w:w="1836" w:type="dxa"/>
            <w:shd w:val="clear" w:color="auto" w:fill="auto"/>
            <w:vAlign w:val="center"/>
          </w:tcPr>
          <w:p w14:paraId="4F9509CB" w14:textId="251F57E9" w:rsidR="00265A1D" w:rsidRPr="00C14E86" w:rsidRDefault="00265A1D" w:rsidP="00CA1499">
            <w:pPr>
              <w:jc w:val="center"/>
              <w:rPr>
                <w:bCs/>
                <w:sz w:val="22"/>
              </w:rPr>
            </w:pPr>
            <w:r w:rsidRPr="00C14E86">
              <w:rPr>
                <w:bCs/>
                <w:sz w:val="22"/>
              </w:rPr>
              <w:t>Etisalat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23A59501" w14:textId="54FE3037" w:rsidR="00265A1D" w:rsidRPr="00C14E86" w:rsidRDefault="00852A00" w:rsidP="00CA1499">
            <w:pPr>
              <w:jc w:val="center"/>
              <w:rPr>
                <w:bCs/>
                <w:sz w:val="22"/>
              </w:rPr>
            </w:pPr>
            <w:r w:rsidRPr="00C14E86">
              <w:rPr>
                <w:bCs/>
                <w:sz w:val="22"/>
              </w:rPr>
              <w:t>Request for an E.212 shared MCC and MNC for Etisalat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2251FC31" w14:textId="5040317F" w:rsidR="00265A1D" w:rsidRPr="00C14E86" w:rsidRDefault="00852A00" w:rsidP="00CA1499">
            <w:pPr>
              <w:jc w:val="center"/>
              <w:rPr>
                <w:bCs/>
                <w:sz w:val="22"/>
              </w:rPr>
            </w:pPr>
            <w:r w:rsidRPr="00C14E86">
              <w:rPr>
                <w:bCs/>
                <w:sz w:val="22"/>
              </w:rPr>
              <w:t>E.212 shared MCC and MNC 901 74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3E449973" w14:textId="1712A0BA" w:rsidR="00265A1D" w:rsidRPr="00C14E86" w:rsidRDefault="00852A00" w:rsidP="00CA1499">
            <w:pPr>
              <w:jc w:val="center"/>
              <w:rPr>
                <w:bCs/>
                <w:sz w:val="22"/>
              </w:rPr>
            </w:pPr>
            <w:r w:rsidRPr="00C14E86">
              <w:rPr>
                <w:bCs/>
                <w:sz w:val="22"/>
              </w:rPr>
              <w:t>13 July 2020</w:t>
            </w:r>
          </w:p>
        </w:tc>
      </w:tr>
      <w:tr w:rsidR="00265A1D" w:rsidRPr="00C14E86" w14:paraId="140783D0" w14:textId="77777777" w:rsidTr="006C0A8A">
        <w:tc>
          <w:tcPr>
            <w:tcW w:w="1836" w:type="dxa"/>
            <w:shd w:val="clear" w:color="auto" w:fill="auto"/>
            <w:vAlign w:val="center"/>
          </w:tcPr>
          <w:p w14:paraId="6C5287C9" w14:textId="6CB3FED6" w:rsidR="00265A1D" w:rsidRPr="00C14E86" w:rsidRDefault="00265A1D" w:rsidP="00CA1499">
            <w:pPr>
              <w:jc w:val="center"/>
              <w:rPr>
                <w:bCs/>
                <w:sz w:val="22"/>
              </w:rPr>
            </w:pPr>
            <w:r w:rsidRPr="00C14E86">
              <w:rPr>
                <w:bCs/>
                <w:sz w:val="22"/>
              </w:rPr>
              <w:t>Cubic Telecom Ltd.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35301F95" w14:textId="07AD04D7" w:rsidR="00265A1D" w:rsidRPr="00C14E86" w:rsidRDefault="00B523F2" w:rsidP="00CA1499">
            <w:pPr>
              <w:jc w:val="center"/>
              <w:rPr>
                <w:bCs/>
                <w:sz w:val="22"/>
              </w:rPr>
            </w:pPr>
            <w:r w:rsidRPr="00C14E86">
              <w:rPr>
                <w:bCs/>
                <w:sz w:val="22"/>
              </w:rPr>
              <w:t xml:space="preserve">Request for an E.164 shared CC and IC and </w:t>
            </w:r>
            <w:r w:rsidR="00852A00" w:rsidRPr="00C14E86">
              <w:rPr>
                <w:bCs/>
                <w:sz w:val="22"/>
              </w:rPr>
              <w:t xml:space="preserve">an </w:t>
            </w:r>
            <w:r w:rsidRPr="00C14E86">
              <w:rPr>
                <w:bCs/>
                <w:sz w:val="22"/>
              </w:rPr>
              <w:t>E.212 shared MCC and MNC for Cubic Telecom Ltd.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23870D2" w14:textId="7ED7FC95" w:rsidR="00265A1D" w:rsidRPr="00C14E86" w:rsidRDefault="00B523F2" w:rsidP="00CA1499">
            <w:pPr>
              <w:jc w:val="center"/>
              <w:rPr>
                <w:bCs/>
                <w:sz w:val="22"/>
              </w:rPr>
            </w:pPr>
            <w:r w:rsidRPr="00C14E86">
              <w:rPr>
                <w:bCs/>
                <w:sz w:val="22"/>
              </w:rPr>
              <w:t>E.164 shared CC and IC 883 330 and E.212 shared MCC and MNC 901 73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A4CEC07" w14:textId="32E0A56C" w:rsidR="00265A1D" w:rsidRPr="00C14E86" w:rsidRDefault="00B523F2" w:rsidP="00CA1499">
            <w:pPr>
              <w:jc w:val="center"/>
              <w:rPr>
                <w:bCs/>
                <w:sz w:val="22"/>
              </w:rPr>
            </w:pPr>
            <w:r w:rsidRPr="00C14E86">
              <w:rPr>
                <w:bCs/>
                <w:sz w:val="22"/>
              </w:rPr>
              <w:t>1 June 2020</w:t>
            </w:r>
          </w:p>
        </w:tc>
      </w:tr>
      <w:tr w:rsidR="00265A1D" w:rsidRPr="00C14E86" w14:paraId="738A9647" w14:textId="77777777" w:rsidTr="006C0A8A">
        <w:tc>
          <w:tcPr>
            <w:tcW w:w="1836" w:type="dxa"/>
            <w:shd w:val="clear" w:color="auto" w:fill="auto"/>
            <w:vAlign w:val="center"/>
          </w:tcPr>
          <w:p w14:paraId="403CE9FE" w14:textId="16AC713E" w:rsidR="00265A1D" w:rsidRPr="00C14E86" w:rsidRDefault="00265A1D" w:rsidP="00CA1499">
            <w:pPr>
              <w:jc w:val="center"/>
              <w:rPr>
                <w:bCs/>
                <w:sz w:val="22"/>
              </w:rPr>
            </w:pPr>
            <w:r w:rsidRPr="00C14E86">
              <w:rPr>
                <w:bCs/>
                <w:sz w:val="22"/>
              </w:rPr>
              <w:t>Tele2 IoT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7BE9800C" w14:textId="5D00490F" w:rsidR="00265A1D" w:rsidRPr="00C14E86" w:rsidRDefault="00265A1D" w:rsidP="00265A1D">
            <w:pPr>
              <w:jc w:val="center"/>
              <w:rPr>
                <w:bCs/>
                <w:sz w:val="22"/>
              </w:rPr>
            </w:pPr>
            <w:r w:rsidRPr="00C14E86">
              <w:rPr>
                <w:bCs/>
                <w:sz w:val="22"/>
              </w:rPr>
              <w:t xml:space="preserve">Request for an E.164 shared CC and IC and </w:t>
            </w:r>
            <w:r w:rsidR="00852A00" w:rsidRPr="00C14E86">
              <w:rPr>
                <w:bCs/>
                <w:sz w:val="22"/>
              </w:rPr>
              <w:t xml:space="preserve">an </w:t>
            </w:r>
            <w:r w:rsidRPr="00C14E86">
              <w:rPr>
                <w:bCs/>
                <w:sz w:val="22"/>
              </w:rPr>
              <w:t>E.212 shared MCC and MNC for Tele2 IoT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47E25734" w14:textId="7C407DE7" w:rsidR="00265A1D" w:rsidRPr="00C14E86" w:rsidRDefault="00265A1D" w:rsidP="00CA1499">
            <w:pPr>
              <w:jc w:val="center"/>
              <w:rPr>
                <w:bCs/>
                <w:sz w:val="22"/>
              </w:rPr>
            </w:pPr>
            <w:r w:rsidRPr="00C14E86">
              <w:rPr>
                <w:bCs/>
                <w:sz w:val="22"/>
              </w:rPr>
              <w:t>E.164 shared CC and IC 883 320 and E.212 shared MCC and MNC 901 72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1382FB2" w14:textId="5A2F45C4" w:rsidR="00265A1D" w:rsidRPr="00C14E86" w:rsidRDefault="00265A1D" w:rsidP="00CA1499">
            <w:pPr>
              <w:jc w:val="center"/>
              <w:rPr>
                <w:bCs/>
                <w:sz w:val="22"/>
              </w:rPr>
            </w:pPr>
            <w:r w:rsidRPr="00C14E86">
              <w:rPr>
                <w:bCs/>
                <w:sz w:val="22"/>
              </w:rPr>
              <w:t>1 June 2020</w:t>
            </w:r>
          </w:p>
        </w:tc>
      </w:tr>
      <w:tr w:rsidR="000C4528" w:rsidRPr="00C14E86" w14:paraId="4C85F518" w14:textId="77777777" w:rsidTr="006C0A8A">
        <w:tc>
          <w:tcPr>
            <w:tcW w:w="1836" w:type="dxa"/>
            <w:shd w:val="clear" w:color="auto" w:fill="auto"/>
            <w:vAlign w:val="center"/>
          </w:tcPr>
          <w:p w14:paraId="483CC2A4" w14:textId="2837A7E8" w:rsidR="000C4528" w:rsidRPr="00C14E86" w:rsidRDefault="000C4528" w:rsidP="000C4528">
            <w:pPr>
              <w:rPr>
                <w:sz w:val="22"/>
              </w:rPr>
            </w:pPr>
            <w:proofErr w:type="spellStart"/>
            <w:r w:rsidRPr="00C14E86">
              <w:rPr>
                <w:sz w:val="22"/>
                <w:szCs w:val="22"/>
                <w:lang w:val="en-US"/>
              </w:rPr>
              <w:t>Tampnet</w:t>
            </w:r>
            <w:proofErr w:type="spellEnd"/>
            <w:r w:rsidRPr="00C14E86">
              <w:rPr>
                <w:sz w:val="22"/>
                <w:szCs w:val="22"/>
                <w:lang w:val="en-US"/>
              </w:rPr>
              <w:t xml:space="preserve"> AS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5E03F7D3" w14:textId="4F7E7F8E" w:rsidR="000C4528" w:rsidRPr="00C14E86" w:rsidRDefault="000C4528" w:rsidP="000C4528">
            <w:pPr>
              <w:rPr>
                <w:sz w:val="22"/>
              </w:rPr>
            </w:pPr>
            <w:r w:rsidRPr="00C14E86">
              <w:rPr>
                <w:rFonts w:asciiTheme="majorBidi" w:hAnsiTheme="majorBidi" w:cstheme="majorBidi"/>
                <w:sz w:val="22"/>
                <w:szCs w:val="22"/>
              </w:rPr>
              <w:t xml:space="preserve">Request for an E.212 Shared MCC and MNC for </w:t>
            </w:r>
            <w:proofErr w:type="spellStart"/>
            <w:r w:rsidRPr="00C14E86">
              <w:rPr>
                <w:rFonts w:asciiTheme="majorBidi" w:hAnsiTheme="majorBidi" w:cstheme="majorBidi"/>
                <w:sz w:val="22"/>
                <w:szCs w:val="22"/>
              </w:rPr>
              <w:t>Tampnet</w:t>
            </w:r>
            <w:proofErr w:type="spellEnd"/>
            <w:r w:rsidRPr="00C14E86">
              <w:rPr>
                <w:rFonts w:asciiTheme="majorBidi" w:hAnsiTheme="majorBidi" w:cstheme="majorBidi"/>
                <w:sz w:val="22"/>
                <w:szCs w:val="22"/>
              </w:rPr>
              <w:t xml:space="preserve"> AS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59474938" w14:textId="167DDB46" w:rsidR="000C4528" w:rsidRPr="00C14E86" w:rsidRDefault="000C4528" w:rsidP="000C4528">
            <w:pPr>
              <w:rPr>
                <w:sz w:val="22"/>
              </w:rPr>
            </w:pPr>
            <w:r w:rsidRPr="00C14E86">
              <w:rPr>
                <w:sz w:val="22"/>
                <w:szCs w:val="22"/>
                <w:lang w:val="en-US"/>
              </w:rPr>
              <w:t xml:space="preserve">E.212 shared MCC and MNC 901 71 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ED0D4F1" w14:textId="5C2AB9BA" w:rsidR="000C4528" w:rsidRPr="00C14E86" w:rsidRDefault="000C4528" w:rsidP="000C4528">
            <w:pPr>
              <w:rPr>
                <w:sz w:val="22"/>
              </w:rPr>
            </w:pPr>
            <w:r w:rsidRPr="00C14E86">
              <w:rPr>
                <w:sz w:val="22"/>
                <w:szCs w:val="22"/>
              </w:rPr>
              <w:t>28 April 2020</w:t>
            </w:r>
          </w:p>
        </w:tc>
      </w:tr>
      <w:tr w:rsidR="000C4528" w:rsidRPr="00C14E86" w14:paraId="1A6D2C72" w14:textId="77777777" w:rsidTr="006C0A8A">
        <w:tc>
          <w:tcPr>
            <w:tcW w:w="1836" w:type="dxa"/>
            <w:shd w:val="clear" w:color="auto" w:fill="auto"/>
            <w:vAlign w:val="center"/>
            <w:hideMark/>
          </w:tcPr>
          <w:p w14:paraId="4A1887DD" w14:textId="772159E9" w:rsidR="000C4528" w:rsidRPr="00C14E86" w:rsidRDefault="000C4528" w:rsidP="000C4528">
            <w:pPr>
              <w:rPr>
                <w:sz w:val="22"/>
              </w:rPr>
            </w:pPr>
            <w:proofErr w:type="spellStart"/>
            <w:r w:rsidRPr="00C14E86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Clementvale</w:t>
            </w:r>
            <w:proofErr w:type="spellEnd"/>
            <w:r w:rsidRPr="00C14E86">
              <w:rPr>
                <w:rFonts w:asciiTheme="majorBidi" w:hAnsiTheme="majorBidi" w:cstheme="majorBidi"/>
                <w:sz w:val="22"/>
                <w:szCs w:val="22"/>
              </w:rPr>
              <w:t xml:space="preserve"> Baltic OÜ</w:t>
            </w:r>
          </w:p>
        </w:tc>
        <w:tc>
          <w:tcPr>
            <w:tcW w:w="3976" w:type="dxa"/>
            <w:shd w:val="clear" w:color="auto" w:fill="auto"/>
            <w:vAlign w:val="center"/>
            <w:hideMark/>
          </w:tcPr>
          <w:p w14:paraId="2A210393" w14:textId="28492D2A" w:rsidR="000C4528" w:rsidRPr="00C14E86" w:rsidRDefault="000C4528" w:rsidP="000C4528">
            <w:pPr>
              <w:rPr>
                <w:sz w:val="22"/>
              </w:rPr>
            </w:pPr>
            <w:r w:rsidRPr="00C14E86">
              <w:rPr>
                <w:rFonts w:asciiTheme="majorBidi" w:hAnsiTheme="majorBidi" w:cstheme="majorBidi"/>
                <w:sz w:val="22"/>
                <w:szCs w:val="22"/>
              </w:rPr>
              <w:t xml:space="preserve">Request for an E.164 Shared CC and 3-digit IC and an E.212 Shared MCC and MNC for </w:t>
            </w:r>
            <w:proofErr w:type="spellStart"/>
            <w:r w:rsidRPr="00C14E86">
              <w:rPr>
                <w:rFonts w:asciiTheme="majorBidi" w:hAnsiTheme="majorBidi" w:cstheme="majorBidi"/>
                <w:sz w:val="22"/>
                <w:szCs w:val="22"/>
              </w:rPr>
              <w:t>Clementvale</w:t>
            </w:r>
            <w:proofErr w:type="spellEnd"/>
            <w:r w:rsidRPr="00C14E86">
              <w:rPr>
                <w:rFonts w:asciiTheme="majorBidi" w:hAnsiTheme="majorBidi" w:cstheme="majorBidi"/>
                <w:sz w:val="22"/>
                <w:szCs w:val="22"/>
              </w:rPr>
              <w:t xml:space="preserve"> Baltic OÜ</w:t>
            </w: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14:paraId="4F92F385" w14:textId="025E8033" w:rsidR="000C4528" w:rsidRPr="00C14E86" w:rsidRDefault="000C4528" w:rsidP="000C4528">
            <w:pPr>
              <w:rPr>
                <w:sz w:val="22"/>
              </w:rPr>
            </w:pPr>
            <w:r w:rsidRPr="00C14E86">
              <w:rPr>
                <w:sz w:val="22"/>
                <w:szCs w:val="22"/>
              </w:rPr>
              <w:t>E.164 shared CC and IC 883 310 and E.212 shared MCC and MNC 901 70</w:t>
            </w: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14:paraId="53951C58" w14:textId="16395B4B" w:rsidR="000C4528" w:rsidRPr="00C14E86" w:rsidRDefault="000C4528" w:rsidP="000C4528">
            <w:pPr>
              <w:rPr>
                <w:sz w:val="22"/>
              </w:rPr>
            </w:pPr>
            <w:r w:rsidRPr="00C14E86">
              <w:rPr>
                <w:sz w:val="22"/>
                <w:szCs w:val="22"/>
              </w:rPr>
              <w:t>3 April 2020</w:t>
            </w:r>
          </w:p>
        </w:tc>
      </w:tr>
      <w:tr w:rsidR="000C4528" w:rsidRPr="00C14E86" w14:paraId="4FBE1E56" w14:textId="77777777" w:rsidTr="006C0A8A">
        <w:tc>
          <w:tcPr>
            <w:tcW w:w="1836" w:type="dxa"/>
            <w:shd w:val="clear" w:color="auto" w:fill="auto"/>
            <w:vAlign w:val="center"/>
            <w:hideMark/>
          </w:tcPr>
          <w:p w14:paraId="694EC809" w14:textId="30507247" w:rsidR="000C4528" w:rsidRPr="00C14E86" w:rsidRDefault="000C4528" w:rsidP="000C4528">
            <w:pPr>
              <w:rPr>
                <w:sz w:val="22"/>
              </w:rPr>
            </w:pPr>
            <w:r w:rsidRPr="00C14E86">
              <w:rPr>
                <w:rFonts w:asciiTheme="majorBidi" w:hAnsiTheme="majorBidi" w:cstheme="majorBidi"/>
                <w:sz w:val="22"/>
                <w:szCs w:val="22"/>
              </w:rPr>
              <w:t>Legos</w:t>
            </w:r>
          </w:p>
        </w:tc>
        <w:tc>
          <w:tcPr>
            <w:tcW w:w="3976" w:type="dxa"/>
            <w:shd w:val="clear" w:color="auto" w:fill="auto"/>
            <w:vAlign w:val="center"/>
            <w:hideMark/>
          </w:tcPr>
          <w:p w14:paraId="0E5CEB12" w14:textId="4E7E1B52" w:rsidR="000C4528" w:rsidRPr="00C14E86" w:rsidRDefault="000C4528" w:rsidP="000C4528">
            <w:pPr>
              <w:rPr>
                <w:sz w:val="22"/>
              </w:rPr>
            </w:pPr>
            <w:r w:rsidRPr="00C14E86">
              <w:rPr>
                <w:rFonts w:asciiTheme="majorBidi" w:hAnsiTheme="majorBidi" w:cstheme="majorBidi"/>
                <w:sz w:val="22"/>
                <w:szCs w:val="22"/>
              </w:rPr>
              <w:t>Request for an E.164 Shared CC and IC and an E.212 shared MCC and MNC for Legos</w:t>
            </w: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14:paraId="1DB2D74D" w14:textId="0D00AC75" w:rsidR="000C4528" w:rsidRPr="00C14E86" w:rsidRDefault="000C4528" w:rsidP="000C4528">
            <w:pPr>
              <w:rPr>
                <w:sz w:val="22"/>
              </w:rPr>
            </w:pPr>
            <w:r w:rsidRPr="00C14E86">
              <w:rPr>
                <w:sz w:val="22"/>
                <w:szCs w:val="22"/>
              </w:rPr>
              <w:t xml:space="preserve">E.164 shared CC and IC 883 5180 and </w:t>
            </w:r>
            <w:r w:rsidRPr="00C14E86">
              <w:rPr>
                <w:sz w:val="22"/>
                <w:szCs w:val="22"/>
                <w:lang w:val="en-US"/>
              </w:rPr>
              <w:t>E.212 shared MCC and MNC 901 69</w:t>
            </w: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14:paraId="70FA5C91" w14:textId="7D754731" w:rsidR="000C4528" w:rsidRPr="00C14E86" w:rsidRDefault="000C4528" w:rsidP="000C4528">
            <w:pPr>
              <w:rPr>
                <w:sz w:val="22"/>
              </w:rPr>
            </w:pPr>
            <w:r w:rsidRPr="00C14E86">
              <w:rPr>
                <w:sz w:val="22"/>
                <w:szCs w:val="22"/>
              </w:rPr>
              <w:t>9 December 2019</w:t>
            </w:r>
          </w:p>
        </w:tc>
      </w:tr>
    </w:tbl>
    <w:p w14:paraId="4D76C9FC" w14:textId="77777777" w:rsidR="00F853AE" w:rsidRPr="00C14E86" w:rsidRDefault="00F853AE" w:rsidP="006D3A6A">
      <w:pPr>
        <w:pStyle w:val="Headingb"/>
      </w:pPr>
      <w:r w:rsidRPr="00C14E86">
        <w:t xml:space="preserve">Applications for E.218 (T)MCC and (T)MNC </w:t>
      </w: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3968"/>
        <w:gridCol w:w="2461"/>
        <w:gridCol w:w="1797"/>
      </w:tblGrid>
      <w:tr w:rsidR="00F853AE" w:rsidRPr="00C14E86" w14:paraId="2E1E4639" w14:textId="77777777" w:rsidTr="006C0A8A">
        <w:tc>
          <w:tcPr>
            <w:tcW w:w="1839" w:type="dxa"/>
            <w:shd w:val="clear" w:color="auto" w:fill="auto"/>
            <w:vAlign w:val="center"/>
            <w:hideMark/>
          </w:tcPr>
          <w:p w14:paraId="612FAEBF" w14:textId="77777777" w:rsidR="00F853AE" w:rsidRPr="00C14E86" w:rsidRDefault="00F853AE" w:rsidP="00CA1499">
            <w:pPr>
              <w:jc w:val="center"/>
              <w:rPr>
                <w:b/>
                <w:sz w:val="22"/>
              </w:rPr>
            </w:pPr>
            <w:r w:rsidRPr="00C14E86">
              <w:rPr>
                <w:b/>
                <w:sz w:val="22"/>
              </w:rPr>
              <w:t>Applicant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7D4FCC4B" w14:textId="77777777" w:rsidR="00F853AE" w:rsidRPr="00C14E86" w:rsidRDefault="00F853AE" w:rsidP="00CA1499">
            <w:pPr>
              <w:jc w:val="center"/>
              <w:rPr>
                <w:b/>
                <w:sz w:val="22"/>
              </w:rPr>
            </w:pPr>
            <w:r w:rsidRPr="00C14E86">
              <w:rPr>
                <w:b/>
                <w:sz w:val="22"/>
              </w:rPr>
              <w:t>Request/Application</w:t>
            </w: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14:paraId="795D6390" w14:textId="77777777" w:rsidR="00F853AE" w:rsidRPr="00C14E86" w:rsidRDefault="00F853AE" w:rsidP="00CA1499">
            <w:pPr>
              <w:jc w:val="center"/>
              <w:rPr>
                <w:b/>
                <w:sz w:val="22"/>
              </w:rPr>
            </w:pPr>
            <w:r w:rsidRPr="00C14E86">
              <w:rPr>
                <w:b/>
                <w:sz w:val="22"/>
              </w:rPr>
              <w:t>Date of letter of application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EC17125" w14:textId="77777777" w:rsidR="00F853AE" w:rsidRPr="00C14E86" w:rsidRDefault="00F853AE" w:rsidP="00CA1499">
            <w:pPr>
              <w:jc w:val="center"/>
              <w:rPr>
                <w:b/>
                <w:sz w:val="22"/>
              </w:rPr>
            </w:pPr>
            <w:r w:rsidRPr="00C14E86">
              <w:rPr>
                <w:b/>
                <w:sz w:val="22"/>
              </w:rPr>
              <w:t>Status</w:t>
            </w:r>
          </w:p>
        </w:tc>
      </w:tr>
      <w:tr w:rsidR="000C4528" w:rsidRPr="00C14E86" w14:paraId="1586F4AD" w14:textId="77777777" w:rsidTr="006C0A8A">
        <w:tc>
          <w:tcPr>
            <w:tcW w:w="1839" w:type="dxa"/>
            <w:shd w:val="clear" w:color="auto" w:fill="auto"/>
            <w:vAlign w:val="center"/>
            <w:hideMark/>
          </w:tcPr>
          <w:p w14:paraId="5A78D1DF" w14:textId="0BE9074B" w:rsidR="000C4528" w:rsidRPr="00C14E86" w:rsidRDefault="000C4528" w:rsidP="000C4528">
            <w:pPr>
              <w:rPr>
                <w:color w:val="000000"/>
                <w:sz w:val="22"/>
              </w:rPr>
            </w:pPr>
            <w:r w:rsidRPr="00C14E86">
              <w:rPr>
                <w:color w:val="000000" w:themeColor="text1"/>
                <w:sz w:val="22"/>
                <w:szCs w:val="22"/>
                <w:lang w:val="en-US"/>
              </w:rPr>
              <w:t xml:space="preserve">Vattenfall </w:t>
            </w:r>
            <w:proofErr w:type="spellStart"/>
            <w:r w:rsidRPr="00C14E86">
              <w:rPr>
                <w:color w:val="000000" w:themeColor="text1"/>
                <w:sz w:val="22"/>
                <w:szCs w:val="22"/>
                <w:lang w:val="en-US"/>
              </w:rPr>
              <w:t>Vindkraft</w:t>
            </w:r>
            <w:proofErr w:type="spellEnd"/>
            <w:r w:rsidRPr="00C14E86">
              <w:rPr>
                <w:color w:val="000000" w:themeColor="text1"/>
                <w:sz w:val="22"/>
                <w:szCs w:val="22"/>
                <w:lang w:val="en-US"/>
              </w:rPr>
              <w:t xml:space="preserve"> A/S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14:paraId="681837B1" w14:textId="1F45A6BE" w:rsidR="000C4528" w:rsidRPr="00C14E86" w:rsidRDefault="000C4528" w:rsidP="000C4528">
            <w:pPr>
              <w:rPr>
                <w:color w:val="000000"/>
                <w:sz w:val="22"/>
              </w:rPr>
            </w:pPr>
            <w:r w:rsidRPr="00C14E86">
              <w:rPr>
                <w:color w:val="000000" w:themeColor="text1"/>
                <w:sz w:val="22"/>
                <w:szCs w:val="22"/>
              </w:rPr>
              <w:t>Request for an E.218-</w:t>
            </w:r>
            <w:r w:rsidRPr="00C14E86">
              <w:t xml:space="preserve"> </w:t>
            </w:r>
            <w:r w:rsidRPr="00C14E86">
              <w:rPr>
                <w:color w:val="000000" w:themeColor="text1"/>
                <w:sz w:val="22"/>
                <w:szCs w:val="22"/>
              </w:rPr>
              <w:t>(T)MCC and (T)MNC</w:t>
            </w: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14:paraId="041D7FC9" w14:textId="695E8C38" w:rsidR="000C4528" w:rsidRPr="00C14E86" w:rsidRDefault="000C4528" w:rsidP="000C4528">
            <w:pPr>
              <w:rPr>
                <w:sz w:val="22"/>
              </w:rPr>
            </w:pPr>
            <w:r w:rsidRPr="00C14E86">
              <w:rPr>
                <w:sz w:val="22"/>
                <w:szCs w:val="22"/>
              </w:rPr>
              <w:t>Shared E.218 (T)MCC and (T)MNC 944 0002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ABBE682" w14:textId="1B9C096E" w:rsidR="000C4528" w:rsidRPr="00C14E86" w:rsidRDefault="000C4528" w:rsidP="000C4528">
            <w:pPr>
              <w:rPr>
                <w:color w:val="000000"/>
                <w:sz w:val="22"/>
              </w:rPr>
            </w:pPr>
            <w:r w:rsidRPr="00C14E86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21 January 2020</w:t>
            </w:r>
          </w:p>
        </w:tc>
      </w:tr>
    </w:tbl>
    <w:p w14:paraId="7565569A" w14:textId="77777777" w:rsidR="00A61CBC" w:rsidRPr="00C14E86" w:rsidRDefault="00A61CBC" w:rsidP="000C4528">
      <w:pPr>
        <w:keepNext/>
        <w:keepLines/>
      </w:pPr>
      <w:r w:rsidRPr="00C14E86">
        <w:t>The following applications for global resources are still being progressed</w:t>
      </w:r>
      <w:r w:rsidR="00B11FAE" w:rsidRPr="00C14E86">
        <w:t>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9"/>
        <w:gridCol w:w="7342"/>
      </w:tblGrid>
      <w:tr w:rsidR="00A61CBC" w:rsidRPr="00C14E86" w14:paraId="17B39A71" w14:textId="77777777" w:rsidTr="006C0A8A">
        <w:tc>
          <w:tcPr>
            <w:tcW w:w="2689" w:type="dxa"/>
            <w:shd w:val="clear" w:color="auto" w:fill="auto"/>
            <w:vAlign w:val="center"/>
            <w:hideMark/>
          </w:tcPr>
          <w:p w14:paraId="4BB85645" w14:textId="77777777" w:rsidR="00A61CBC" w:rsidRPr="00C14E86" w:rsidRDefault="00A61CBC" w:rsidP="000C4528">
            <w:pPr>
              <w:keepNext/>
              <w:keepLines/>
              <w:jc w:val="center"/>
              <w:rPr>
                <w:b/>
                <w:sz w:val="22"/>
              </w:rPr>
            </w:pPr>
            <w:r w:rsidRPr="00C14E86">
              <w:rPr>
                <w:b/>
                <w:sz w:val="22"/>
              </w:rPr>
              <w:t>Applicant</w:t>
            </w: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9D26683" w14:textId="77777777" w:rsidR="00A61CBC" w:rsidRPr="00C14E86" w:rsidRDefault="00A61CBC" w:rsidP="000C4528">
            <w:pPr>
              <w:keepNext/>
              <w:keepLines/>
              <w:jc w:val="center"/>
              <w:rPr>
                <w:b/>
                <w:sz w:val="22"/>
              </w:rPr>
            </w:pPr>
            <w:r w:rsidRPr="00C14E86">
              <w:rPr>
                <w:b/>
                <w:sz w:val="22"/>
              </w:rPr>
              <w:t>Request/</w:t>
            </w:r>
            <w:r w:rsidR="00CA1499" w:rsidRPr="00C14E86">
              <w:rPr>
                <w:b/>
                <w:sz w:val="22"/>
              </w:rPr>
              <w:t>application</w:t>
            </w:r>
          </w:p>
        </w:tc>
      </w:tr>
      <w:tr w:rsidR="000C4528" w:rsidRPr="00C14E86" w14:paraId="5A4B8E03" w14:textId="77777777" w:rsidTr="006C0A8A">
        <w:tc>
          <w:tcPr>
            <w:tcW w:w="2689" w:type="dxa"/>
            <w:shd w:val="clear" w:color="auto" w:fill="auto"/>
            <w:vAlign w:val="center"/>
          </w:tcPr>
          <w:p w14:paraId="78E71966" w14:textId="04271E58" w:rsidR="000C4528" w:rsidRPr="00C14E86" w:rsidRDefault="009753BF" w:rsidP="000C4528">
            <w:pPr>
              <w:rPr>
                <w:sz w:val="22"/>
              </w:rPr>
            </w:pPr>
            <w:r w:rsidRPr="00C14E86">
              <w:rPr>
                <w:rFonts w:asciiTheme="majorBidi" w:hAnsiTheme="majorBidi" w:cstheme="majorBidi"/>
                <w:sz w:val="22"/>
                <w:szCs w:val="22"/>
              </w:rPr>
              <w:t>Nokia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4C66633" w14:textId="6ABE8486" w:rsidR="000C4528" w:rsidRPr="00C14E86" w:rsidRDefault="000C4528" w:rsidP="000C4528">
            <w:pPr>
              <w:rPr>
                <w:color w:val="000000"/>
                <w:sz w:val="22"/>
              </w:rPr>
            </w:pPr>
            <w:r w:rsidRPr="00C14E86">
              <w:rPr>
                <w:rFonts w:asciiTheme="majorBidi" w:hAnsiTheme="majorBidi" w:cstheme="majorBidi"/>
                <w:sz w:val="22"/>
                <w:szCs w:val="22"/>
              </w:rPr>
              <w:t xml:space="preserve">Request for an E.212 shared MCC and MNC and an E.164 shared CC and IC for </w:t>
            </w:r>
            <w:r w:rsidR="009753BF" w:rsidRPr="00C14E86">
              <w:rPr>
                <w:rFonts w:asciiTheme="majorBidi" w:hAnsiTheme="majorBidi" w:cstheme="majorBidi"/>
                <w:sz w:val="22"/>
                <w:szCs w:val="22"/>
              </w:rPr>
              <w:t>Nokia</w:t>
            </w:r>
          </w:p>
        </w:tc>
      </w:tr>
    </w:tbl>
    <w:p w14:paraId="5B743434" w14:textId="4BDEFB63" w:rsidR="00A61CBC" w:rsidRPr="00C14E86" w:rsidRDefault="00A61CBC" w:rsidP="00CA1499">
      <w:r w:rsidRPr="00C14E86">
        <w:t xml:space="preserve">The following applications were reviewed and progressed at the SG2 meeting </w:t>
      </w:r>
      <w:r w:rsidR="00112D2D" w:rsidRPr="00C14E86">
        <w:t xml:space="preserve">in </w:t>
      </w:r>
      <w:r w:rsidR="000C4528" w:rsidRPr="00C14E86">
        <w:t>May/June</w:t>
      </w:r>
      <w:r w:rsidR="003D771B" w:rsidRPr="00C14E86">
        <w:t xml:space="preserve"> 2020</w:t>
      </w:r>
      <w:r w:rsidRPr="00C14E86">
        <w:t xml:space="preserve"> as the request was deemed to be outside of current criteria</w:t>
      </w:r>
      <w:r w:rsidR="00B47661" w:rsidRPr="00C14E86">
        <w:t>, or the request required guidance from the study group</w:t>
      </w:r>
      <w:r w:rsidRPr="00C14E86">
        <w:t>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9"/>
        <w:gridCol w:w="7342"/>
      </w:tblGrid>
      <w:tr w:rsidR="00A61CBC" w:rsidRPr="00C14E86" w14:paraId="0DD4481D" w14:textId="77777777" w:rsidTr="006C0A8A">
        <w:tc>
          <w:tcPr>
            <w:tcW w:w="2689" w:type="dxa"/>
            <w:shd w:val="clear" w:color="auto" w:fill="auto"/>
            <w:vAlign w:val="center"/>
            <w:hideMark/>
          </w:tcPr>
          <w:p w14:paraId="14039578" w14:textId="77777777" w:rsidR="00A61CBC" w:rsidRPr="00C14E86" w:rsidRDefault="00A61CBC" w:rsidP="00CA1499">
            <w:pPr>
              <w:jc w:val="center"/>
              <w:rPr>
                <w:b/>
                <w:sz w:val="22"/>
              </w:rPr>
            </w:pPr>
            <w:r w:rsidRPr="00C14E86">
              <w:rPr>
                <w:b/>
                <w:sz w:val="22"/>
              </w:rPr>
              <w:t>Applicant</w:t>
            </w: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889E99E" w14:textId="77777777" w:rsidR="00A61CBC" w:rsidRPr="00C14E86" w:rsidRDefault="00A61CBC" w:rsidP="00CA1499">
            <w:pPr>
              <w:jc w:val="center"/>
              <w:rPr>
                <w:b/>
                <w:sz w:val="22"/>
              </w:rPr>
            </w:pPr>
            <w:r w:rsidRPr="00C14E86">
              <w:rPr>
                <w:b/>
                <w:sz w:val="22"/>
              </w:rPr>
              <w:t>Request/Application</w:t>
            </w:r>
          </w:p>
        </w:tc>
      </w:tr>
      <w:tr w:rsidR="000C4528" w:rsidRPr="00C14E86" w14:paraId="7B0D4C38" w14:textId="77777777" w:rsidTr="006C0A8A">
        <w:tc>
          <w:tcPr>
            <w:tcW w:w="2689" w:type="dxa"/>
            <w:shd w:val="clear" w:color="auto" w:fill="auto"/>
            <w:vAlign w:val="center"/>
            <w:hideMark/>
          </w:tcPr>
          <w:p w14:paraId="23DF41BA" w14:textId="797679B3" w:rsidR="000C4528" w:rsidRPr="00C14E86" w:rsidRDefault="000C4528" w:rsidP="000C4528">
            <w:pPr>
              <w:rPr>
                <w:sz w:val="22"/>
                <w:szCs w:val="22"/>
              </w:rPr>
            </w:pPr>
            <w:r w:rsidRPr="00C14E86">
              <w:rPr>
                <w:rFonts w:asciiTheme="majorBidi" w:hAnsiTheme="majorBidi" w:cstheme="majorBidi"/>
                <w:sz w:val="22"/>
                <w:szCs w:val="22"/>
              </w:rPr>
              <w:t>Athalos PRS-Telecom</w:t>
            </w: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6E93118" w14:textId="7F2AC650" w:rsidR="000C4528" w:rsidRPr="00C14E86" w:rsidRDefault="000C4528" w:rsidP="000C4528">
            <w:pPr>
              <w:rPr>
                <w:sz w:val="22"/>
                <w:szCs w:val="22"/>
              </w:rPr>
            </w:pPr>
            <w:r w:rsidRPr="00C14E86">
              <w:rPr>
                <w:sz w:val="22"/>
                <w:szCs w:val="22"/>
              </w:rPr>
              <w:t>Request for an E.164 shared CC and IC for Athalos</w:t>
            </w:r>
          </w:p>
        </w:tc>
      </w:tr>
      <w:tr w:rsidR="000C4528" w:rsidRPr="00C14E86" w14:paraId="5B580388" w14:textId="77777777" w:rsidTr="006C0A8A">
        <w:tc>
          <w:tcPr>
            <w:tcW w:w="2689" w:type="dxa"/>
            <w:shd w:val="clear" w:color="auto" w:fill="auto"/>
            <w:vAlign w:val="center"/>
            <w:hideMark/>
          </w:tcPr>
          <w:p w14:paraId="4831ECC4" w14:textId="5053F7D3" w:rsidR="000C4528" w:rsidRPr="00C14E86" w:rsidRDefault="000C4528" w:rsidP="000C4528">
            <w:pPr>
              <w:rPr>
                <w:sz w:val="22"/>
                <w:szCs w:val="22"/>
              </w:rPr>
            </w:pPr>
            <w:r w:rsidRPr="00C14E86">
              <w:rPr>
                <w:rFonts w:asciiTheme="majorBidi" w:hAnsiTheme="majorBidi" w:cstheme="majorBidi"/>
                <w:sz w:val="22"/>
                <w:szCs w:val="22"/>
              </w:rPr>
              <w:t>WGT (</w:t>
            </w:r>
            <w:r w:rsidRPr="00C14E86">
              <w:rPr>
                <w:sz w:val="22"/>
                <w:szCs w:val="22"/>
              </w:rPr>
              <w:t>World’s Global Telecom)</w:t>
            </w: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E54EEC0" w14:textId="6E1146EA" w:rsidR="000C4528" w:rsidRPr="00C14E86" w:rsidRDefault="000C4528" w:rsidP="000C4528">
            <w:pPr>
              <w:rPr>
                <w:sz w:val="22"/>
                <w:szCs w:val="22"/>
              </w:rPr>
            </w:pPr>
            <w:r w:rsidRPr="00C14E86">
              <w:rPr>
                <w:sz w:val="22"/>
                <w:szCs w:val="22"/>
              </w:rPr>
              <w:t>WGT's initiative of global mobile digital platform for people with disabilities (GLEOSS)</w:t>
            </w:r>
          </w:p>
        </w:tc>
      </w:tr>
    </w:tbl>
    <w:p w14:paraId="47C0BBFD" w14:textId="78BFED3A" w:rsidR="007D1309" w:rsidRPr="00C14E86" w:rsidRDefault="007D1309" w:rsidP="006D3A6A">
      <w:pPr>
        <w:rPr>
          <w:b/>
        </w:rPr>
      </w:pPr>
      <w:r w:rsidRPr="00C14E86">
        <w:t>The following applications are awaiting a response from the applicant</w:t>
      </w:r>
      <w:r w:rsidR="003A104F" w:rsidRPr="00C14E86"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342"/>
      </w:tblGrid>
      <w:tr w:rsidR="009753BF" w:rsidRPr="00C14E86" w14:paraId="17FCE275" w14:textId="77777777" w:rsidTr="0041717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1F53" w14:textId="5882AA0E" w:rsidR="009753BF" w:rsidRPr="00C14E86" w:rsidRDefault="009753BF" w:rsidP="00417178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14E86">
              <w:rPr>
                <w:rFonts w:asciiTheme="majorBidi" w:hAnsiTheme="majorBidi" w:cstheme="majorBidi"/>
                <w:sz w:val="22"/>
                <w:szCs w:val="22"/>
              </w:rPr>
              <w:t>OCHA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97B6" w14:textId="4BF5C0AB" w:rsidR="009753BF" w:rsidRPr="00C14E86" w:rsidRDefault="00A177A1" w:rsidP="00417178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C14E86">
              <w:t>Reservation of E.164 CC 888 and E.212 MCC and MNC 901 88 for humanitarian purposes to OCHA</w:t>
            </w:r>
          </w:p>
        </w:tc>
      </w:tr>
      <w:tr w:rsidR="007D1309" w:rsidRPr="00C14E86" w14:paraId="3C041A12" w14:textId="77777777" w:rsidTr="0041717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F932" w14:textId="77777777" w:rsidR="007D1309" w:rsidRPr="00C14E86" w:rsidRDefault="007D1309" w:rsidP="00417178">
            <w:pPr>
              <w:rPr>
                <w:sz w:val="22"/>
              </w:rPr>
            </w:pPr>
            <w:r w:rsidRPr="00C14E86">
              <w:rPr>
                <w:rFonts w:asciiTheme="majorBidi" w:hAnsiTheme="majorBidi" w:cstheme="majorBidi"/>
                <w:sz w:val="22"/>
                <w:szCs w:val="22"/>
              </w:rPr>
              <w:t>G3ict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ECDA" w14:textId="77777777" w:rsidR="007D1309" w:rsidRPr="00C14E86" w:rsidRDefault="007D1309" w:rsidP="00417178">
            <w:pPr>
              <w:rPr>
                <w:color w:val="000000"/>
                <w:sz w:val="22"/>
              </w:rPr>
            </w:pPr>
            <w:r w:rsidRPr="00C14E8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Application for the allocation by ITU of the 887 Country Code to G3ict to establish a global telecommunication service for Persons with Disabilities in cooperation with WGT</w:t>
            </w:r>
          </w:p>
        </w:tc>
      </w:tr>
      <w:tr w:rsidR="009753BF" w:rsidRPr="00C14E86" w14:paraId="52D6CE4C" w14:textId="77777777" w:rsidTr="009753B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FF8C" w14:textId="77777777" w:rsidR="009753BF" w:rsidRPr="00C14E86" w:rsidRDefault="009753BF" w:rsidP="00F664B5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C14E86">
              <w:rPr>
                <w:rFonts w:asciiTheme="majorBidi" w:hAnsiTheme="majorBidi" w:cstheme="majorBidi"/>
                <w:sz w:val="22"/>
                <w:szCs w:val="22"/>
              </w:rPr>
              <w:t>JpU</w:t>
            </w:r>
            <w:proofErr w:type="spellEnd"/>
            <w:r w:rsidRPr="00C14E86">
              <w:rPr>
                <w:rFonts w:asciiTheme="majorBidi" w:hAnsiTheme="majorBidi" w:cstheme="majorBidi"/>
                <w:sz w:val="22"/>
                <w:szCs w:val="22"/>
              </w:rPr>
              <w:t xml:space="preserve"> Io Ltd.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A6E7" w14:textId="77777777" w:rsidR="009753BF" w:rsidRPr="00C14E86" w:rsidRDefault="009753BF" w:rsidP="00F664B5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C14E8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Request for an E.212 shared MCC and MNC for </w:t>
            </w:r>
            <w:proofErr w:type="spellStart"/>
            <w:r w:rsidRPr="00C14E8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JpU</w:t>
            </w:r>
            <w:proofErr w:type="spellEnd"/>
            <w:r w:rsidRPr="00C14E8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Io Ltd.</w:t>
            </w:r>
          </w:p>
        </w:tc>
      </w:tr>
    </w:tbl>
    <w:p w14:paraId="69BA7BBB" w14:textId="54B8B756" w:rsidR="006D3A6A" w:rsidRDefault="006D3A6A" w:rsidP="006D3A6A">
      <w:r w:rsidRPr="00C14E86">
        <w:t xml:space="preserve">A new </w:t>
      </w:r>
      <w:hyperlink r:id="rId13" w:history="1">
        <w:r w:rsidRPr="00C4631D">
          <w:rPr>
            <w:rStyle w:val="Hyperlink"/>
          </w:rPr>
          <w:t>Numbering Applications Monitor</w:t>
        </w:r>
      </w:hyperlink>
      <w:r w:rsidRPr="00C4631D">
        <w:t xml:space="preserve"> site is now available for ITU-T SG2 experts who wish to follow the progress of numbering resource</w:t>
      </w:r>
      <w:r>
        <w:t xml:space="preserve"> applications in real time. The site may be accessed only using a valid ITU user account (ITU-T Members or Associates of ITU-T SG2).</w:t>
      </w:r>
    </w:p>
    <w:p w14:paraId="3145FCCC" w14:textId="1FB7D030" w:rsidR="00A61CBC" w:rsidRPr="00B47661" w:rsidRDefault="0000351C" w:rsidP="0000351C">
      <w:pPr>
        <w:pStyle w:val="Heading2"/>
      </w:pPr>
      <w:r w:rsidRPr="00B47661">
        <w:t>2.2</w:t>
      </w:r>
      <w:r w:rsidRPr="00B47661">
        <w:tab/>
      </w:r>
      <w:r w:rsidR="00A61CBC" w:rsidRPr="00B47661">
        <w:t xml:space="preserve">Reports of </w:t>
      </w:r>
      <w:r w:rsidR="00CA1499" w:rsidRPr="00B47661">
        <w:t>misuse</w:t>
      </w:r>
    </w:p>
    <w:p w14:paraId="64FFD973" w14:textId="75FCC15A" w:rsidR="00112D2D" w:rsidRPr="00B47661" w:rsidRDefault="00112D2D" w:rsidP="00A61CBC">
      <w:pPr>
        <w:rPr>
          <w:lang w:eastAsia="en-US"/>
        </w:rPr>
      </w:pPr>
      <w:r w:rsidRPr="00B47661">
        <w:rPr>
          <w:lang w:eastAsia="en-US"/>
        </w:rPr>
        <w:t>In response to the significant decline in the number of reports o</w:t>
      </w:r>
      <w:r w:rsidR="00A61CBC" w:rsidRPr="00B47661">
        <w:rPr>
          <w:lang w:eastAsia="en-US"/>
        </w:rPr>
        <w:t>f misuse of numbers</w:t>
      </w:r>
      <w:r w:rsidR="003A104F">
        <w:rPr>
          <w:lang w:eastAsia="en-US"/>
        </w:rPr>
        <w:t>,</w:t>
      </w:r>
      <w:r w:rsidR="00A61CBC" w:rsidRPr="00B47661">
        <w:rPr>
          <w:lang w:eastAsia="en-US"/>
        </w:rPr>
        <w:t xml:space="preserve"> </w:t>
      </w:r>
      <w:r w:rsidRPr="00B47661">
        <w:rPr>
          <w:lang w:eastAsia="en-US"/>
        </w:rPr>
        <w:t xml:space="preserve">ITU-T SG2 undertook a review of the relevant </w:t>
      </w:r>
      <w:r w:rsidR="0024472C" w:rsidRPr="00B47661">
        <w:rPr>
          <w:lang w:eastAsia="en-US"/>
        </w:rPr>
        <w:t>Recommendation</w:t>
      </w:r>
      <w:r w:rsidRPr="00B47661">
        <w:rPr>
          <w:lang w:eastAsia="en-US"/>
        </w:rPr>
        <w:t>.</w:t>
      </w:r>
      <w:r w:rsidR="00CA1499">
        <w:rPr>
          <w:lang w:eastAsia="en-US"/>
        </w:rPr>
        <w:t xml:space="preserve"> </w:t>
      </w:r>
      <w:r w:rsidR="003D771B" w:rsidRPr="00B47661">
        <w:rPr>
          <w:lang w:eastAsia="en-US"/>
        </w:rPr>
        <w:t xml:space="preserve">Revised </w:t>
      </w:r>
      <w:hyperlink r:id="rId14" w:history="1">
        <w:r w:rsidR="0024472C" w:rsidRPr="003D771B">
          <w:rPr>
            <w:rStyle w:val="Hyperlink"/>
            <w:lang w:eastAsia="en-US"/>
          </w:rPr>
          <w:t xml:space="preserve">Recommendation </w:t>
        </w:r>
        <w:r w:rsidR="003D771B" w:rsidRPr="003D771B">
          <w:rPr>
            <w:rStyle w:val="Hyperlink"/>
            <w:lang w:eastAsia="en-US"/>
          </w:rPr>
          <w:t>ITU-T E.156</w:t>
        </w:r>
      </w:hyperlink>
      <w:r w:rsidR="003D771B">
        <w:rPr>
          <w:lang w:eastAsia="en-US"/>
        </w:rPr>
        <w:t xml:space="preserve"> was Approved by TAP at the closing plenary of ITU-T SG2 on 5 June 2020</w:t>
      </w:r>
      <w:r w:rsidRPr="00B47661">
        <w:rPr>
          <w:lang w:eastAsia="en-US"/>
        </w:rPr>
        <w:t>.</w:t>
      </w:r>
    </w:p>
    <w:p w14:paraId="46460B96" w14:textId="7C92A07D" w:rsidR="00A61CBC" w:rsidRDefault="00112D2D" w:rsidP="00A61CBC">
      <w:pPr>
        <w:rPr>
          <w:lang w:eastAsia="en-US"/>
        </w:rPr>
      </w:pPr>
      <w:r w:rsidRPr="00B47661">
        <w:rPr>
          <w:lang w:eastAsia="en-US"/>
        </w:rPr>
        <w:t xml:space="preserve">The revised text </w:t>
      </w:r>
      <w:r w:rsidR="00B47661">
        <w:rPr>
          <w:lang w:eastAsia="en-US"/>
        </w:rPr>
        <w:t xml:space="preserve">of the Recommendation </w:t>
      </w:r>
      <w:r w:rsidR="00A61CBC" w:rsidRPr="00B47661">
        <w:rPr>
          <w:lang w:eastAsia="en-US"/>
        </w:rPr>
        <w:t>better reflect</w:t>
      </w:r>
      <w:r w:rsidRPr="00B47661">
        <w:rPr>
          <w:lang w:eastAsia="en-US"/>
        </w:rPr>
        <w:t>s</w:t>
      </w:r>
      <w:r w:rsidR="00A61CBC" w:rsidRPr="00B47661">
        <w:rPr>
          <w:lang w:eastAsia="en-US"/>
        </w:rPr>
        <w:t xml:space="preserve"> the different types of numbering resources between directly assigned resources, so called global numbers,</w:t>
      </w:r>
      <w:r w:rsidRPr="00B47661">
        <w:rPr>
          <w:lang w:eastAsia="en-US"/>
        </w:rPr>
        <w:t xml:space="preserve"> which are the responsibility of the Director TSB</w:t>
      </w:r>
      <w:r w:rsidR="003A104F">
        <w:rPr>
          <w:lang w:eastAsia="en-US"/>
        </w:rPr>
        <w:t>,</w:t>
      </w:r>
      <w:r w:rsidR="00A61CBC" w:rsidRPr="00B47661">
        <w:rPr>
          <w:lang w:eastAsia="en-US"/>
        </w:rPr>
        <w:t xml:space="preserve"> and indirectly assigned resources, numbers that are the responsibility of </w:t>
      </w:r>
      <w:r w:rsidR="0024472C" w:rsidRPr="00B47661">
        <w:rPr>
          <w:lang w:eastAsia="en-US"/>
        </w:rPr>
        <w:t>Member States</w:t>
      </w:r>
      <w:r w:rsidR="00A61CBC" w:rsidRPr="00B47661">
        <w:rPr>
          <w:lang w:eastAsia="en-US"/>
        </w:rPr>
        <w:t>.</w:t>
      </w:r>
      <w:r w:rsidR="00CA1499">
        <w:rPr>
          <w:lang w:eastAsia="en-US"/>
        </w:rPr>
        <w:t xml:space="preserve"> </w:t>
      </w:r>
      <w:r w:rsidR="00A61CBC" w:rsidRPr="00B47661">
        <w:rPr>
          <w:lang w:eastAsia="en-US"/>
        </w:rPr>
        <w:t xml:space="preserve">The proposed amendment to the Recommendation </w:t>
      </w:r>
      <w:r w:rsidRPr="00B47661">
        <w:rPr>
          <w:lang w:eastAsia="en-US"/>
        </w:rPr>
        <w:t>seeks</w:t>
      </w:r>
      <w:r w:rsidR="00A61CBC" w:rsidRPr="00B47661">
        <w:rPr>
          <w:lang w:eastAsia="en-US"/>
        </w:rPr>
        <w:t xml:space="preserve"> to make the reporting of the </w:t>
      </w:r>
      <w:r w:rsidR="00A61CBC" w:rsidRPr="00B47661">
        <w:rPr>
          <w:lang w:eastAsia="en-US"/>
        </w:rPr>
        <w:lastRenderedPageBreak/>
        <w:t>indirectly assigned resources more effective through email notification to a pre-determined mailing list of misuse rather than registration of the report of misuse for action by the TSB.</w:t>
      </w:r>
    </w:p>
    <w:p w14:paraId="6F3028ED" w14:textId="21018120" w:rsidR="003D771B" w:rsidRDefault="003D771B" w:rsidP="00A61CBC">
      <w:pPr>
        <w:rPr>
          <w:lang w:eastAsia="en-US"/>
        </w:rPr>
      </w:pPr>
      <w:r>
        <w:rPr>
          <w:lang w:eastAsia="en-US"/>
        </w:rPr>
        <w:t xml:space="preserve">A </w:t>
      </w:r>
      <w:r w:rsidRPr="003D771B">
        <w:rPr>
          <w:lang w:eastAsia="en-US"/>
        </w:rPr>
        <w:t>report on activities related to misuse of numbering resources</w:t>
      </w:r>
      <w:r>
        <w:rPr>
          <w:lang w:eastAsia="en-US"/>
        </w:rPr>
        <w:t xml:space="preserve"> can be found in </w:t>
      </w:r>
      <w:hyperlink r:id="rId15" w:history="1">
        <w:r w:rsidRPr="003D771B">
          <w:rPr>
            <w:rStyle w:val="Hyperlink"/>
            <w:lang w:eastAsia="en-US"/>
          </w:rPr>
          <w:t>SG2-TD968</w:t>
        </w:r>
      </w:hyperlink>
      <w:r>
        <w:rPr>
          <w:lang w:eastAsia="en-US"/>
        </w:rPr>
        <w:t>.</w:t>
      </w:r>
    </w:p>
    <w:p w14:paraId="7FEE62FC" w14:textId="16E41B77" w:rsidR="006D73B8" w:rsidRDefault="006D73B8" w:rsidP="006D3A6A">
      <w:r>
        <w:t>An a</w:t>
      </w:r>
      <w:r w:rsidRPr="00245853">
        <w:t xml:space="preserve">lleged misuse of +888 </w:t>
      </w:r>
      <w:r>
        <w:t xml:space="preserve">that was reported to the study group, </w:t>
      </w:r>
      <w:r>
        <w:rPr>
          <w:lang w:val="en-US"/>
        </w:rPr>
        <w:t xml:space="preserve">without the necessary detail to follow up, </w:t>
      </w:r>
      <w:r w:rsidRPr="00245853">
        <w:t xml:space="preserve">was </w:t>
      </w:r>
      <w:r w:rsidRPr="00245853">
        <w:rPr>
          <w:lang w:val="en-US"/>
        </w:rPr>
        <w:t>noted</w:t>
      </w:r>
      <w:r>
        <w:rPr>
          <w:lang w:val="en-US"/>
        </w:rPr>
        <w:t xml:space="preserve"> </w:t>
      </w:r>
      <w:r w:rsidRPr="00245853">
        <w:rPr>
          <w:lang w:val="en-US"/>
        </w:rPr>
        <w:t>by the meeting</w:t>
      </w:r>
      <w:r w:rsidR="003A104F">
        <w:rPr>
          <w:lang w:val="en-US"/>
        </w:rPr>
        <w:t>.</w:t>
      </w:r>
      <w:r w:rsidRPr="00245853">
        <w:rPr>
          <w:lang w:val="en-US"/>
        </w:rPr>
        <w:t xml:space="preserve"> </w:t>
      </w:r>
      <w:r w:rsidR="003A104F">
        <w:rPr>
          <w:lang w:val="en-US"/>
        </w:rPr>
        <w:t>The meeting</w:t>
      </w:r>
      <w:r w:rsidRPr="00245853">
        <w:rPr>
          <w:lang w:val="en-US"/>
        </w:rPr>
        <w:t xml:space="preserve"> further agreed that it was crucial that any action that would prevent unassigned codes to be misused should be taken, and that the note on the Operational Bulletin was a first and necessary step to this end</w:t>
      </w:r>
      <w:r w:rsidR="003A104F">
        <w:rPr>
          <w:lang w:val="en-US"/>
        </w:rPr>
        <w:t>.</w:t>
      </w:r>
    </w:p>
    <w:p w14:paraId="51C374FA" w14:textId="77777777" w:rsidR="006D73B8" w:rsidRPr="00B47661" w:rsidRDefault="006D73B8" w:rsidP="00A61CBC">
      <w:pPr>
        <w:rPr>
          <w:lang w:eastAsia="en-US"/>
        </w:rPr>
      </w:pPr>
    </w:p>
    <w:p w14:paraId="0837482C" w14:textId="77777777" w:rsidR="00A61CBC" w:rsidRPr="00B47661" w:rsidRDefault="0000351C" w:rsidP="003D771B">
      <w:pPr>
        <w:pStyle w:val="Heading2"/>
      </w:pPr>
      <w:r w:rsidRPr="00B47661">
        <w:t>2.3</w:t>
      </w:r>
      <w:r w:rsidRPr="00B47661">
        <w:tab/>
      </w:r>
      <w:r w:rsidR="00112D2D" w:rsidRPr="00B47661">
        <w:t>Recommendations</w:t>
      </w:r>
      <w:r w:rsidR="00A61CBC" w:rsidRPr="00B47661">
        <w:t xml:space="preserve"> </w:t>
      </w:r>
    </w:p>
    <w:p w14:paraId="4BD868D2" w14:textId="727C11E4" w:rsidR="00A61CBC" w:rsidRPr="00B47661" w:rsidRDefault="00A61CBC" w:rsidP="003D771B">
      <w:pPr>
        <w:keepNext/>
        <w:keepLines/>
        <w:rPr>
          <w:b/>
        </w:rPr>
      </w:pPr>
      <w:r w:rsidRPr="00B47661">
        <w:t>At its last meeting</w:t>
      </w:r>
      <w:r w:rsidR="006C0A8A">
        <w:t>s (May/June and September 2020)</w:t>
      </w:r>
      <w:r w:rsidR="0024472C">
        <w:t>,</w:t>
      </w:r>
      <w:r w:rsidRPr="00B47661">
        <w:t xml:space="preserve"> SG2 took the foll</w:t>
      </w:r>
      <w:r w:rsidR="0024472C">
        <w:t>owing decisions with respect to:</w:t>
      </w:r>
    </w:p>
    <w:p w14:paraId="483A19E7" w14:textId="77777777" w:rsidR="00D84219" w:rsidRPr="00B47661" w:rsidRDefault="00D84219" w:rsidP="003D771B">
      <w:pPr>
        <w:pStyle w:val="TableNotitle"/>
        <w:spacing w:before="240"/>
        <w:jc w:val="left"/>
      </w:pPr>
      <w:r w:rsidRPr="00B47661">
        <w:t>Approved Recommendations</w:t>
      </w:r>
    </w:p>
    <w:tbl>
      <w:tblPr>
        <w:tblW w:w="96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111"/>
        <w:gridCol w:w="3554"/>
      </w:tblGrid>
      <w:tr w:rsidR="00D84219" w:rsidRPr="002132E3" w14:paraId="510A2446" w14:textId="77777777" w:rsidTr="006C0A8A">
        <w:tc>
          <w:tcPr>
            <w:tcW w:w="1980" w:type="dxa"/>
            <w:shd w:val="clear" w:color="auto" w:fill="auto"/>
            <w:vAlign w:val="center"/>
            <w:hideMark/>
          </w:tcPr>
          <w:p w14:paraId="7800960C" w14:textId="77777777" w:rsidR="00D84219" w:rsidRPr="002132E3" w:rsidRDefault="00D84219" w:rsidP="003D771B">
            <w:pPr>
              <w:pStyle w:val="Tablehead"/>
              <w:keepLines/>
              <w:rPr>
                <w:szCs w:val="22"/>
              </w:rPr>
            </w:pPr>
            <w:r w:rsidRPr="002132E3">
              <w:rPr>
                <w:szCs w:val="22"/>
              </w:rPr>
              <w:t>Rec. #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989301D" w14:textId="77777777" w:rsidR="00D84219" w:rsidRPr="002132E3" w:rsidRDefault="00D84219" w:rsidP="003D771B">
            <w:pPr>
              <w:pStyle w:val="Tablehead"/>
              <w:keepLines/>
              <w:rPr>
                <w:szCs w:val="22"/>
              </w:rPr>
            </w:pPr>
            <w:r w:rsidRPr="002132E3">
              <w:rPr>
                <w:szCs w:val="22"/>
              </w:rPr>
              <w:t>Rec. title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2F0795CA" w14:textId="394CB799" w:rsidR="00D84219" w:rsidRPr="002132E3" w:rsidRDefault="00D84219" w:rsidP="003D771B">
            <w:pPr>
              <w:pStyle w:val="Tablehead"/>
              <w:keepLines/>
              <w:rPr>
                <w:szCs w:val="22"/>
              </w:rPr>
            </w:pPr>
            <w:r w:rsidRPr="002132E3">
              <w:rPr>
                <w:szCs w:val="22"/>
              </w:rPr>
              <w:t>Documents</w:t>
            </w:r>
          </w:p>
        </w:tc>
      </w:tr>
      <w:tr w:rsidR="003D771B" w:rsidRPr="002132E3" w14:paraId="3CCFDF99" w14:textId="77777777" w:rsidTr="006C0A8A">
        <w:tc>
          <w:tcPr>
            <w:tcW w:w="1980" w:type="dxa"/>
            <w:shd w:val="clear" w:color="auto" w:fill="auto"/>
            <w:vAlign w:val="center"/>
          </w:tcPr>
          <w:p w14:paraId="0D1E6C9F" w14:textId="3C529BCF" w:rsidR="003D771B" w:rsidRPr="002132E3" w:rsidRDefault="003D771B" w:rsidP="003D771B">
            <w:pPr>
              <w:keepNext/>
              <w:keepLines/>
              <w:spacing w:before="40" w:after="40"/>
              <w:jc w:val="center"/>
              <w:rPr>
                <w:rFonts w:eastAsia="DengXian"/>
                <w:sz w:val="22"/>
                <w:szCs w:val="22"/>
              </w:rPr>
            </w:pPr>
            <w:r w:rsidRPr="00EA2EC7">
              <w:rPr>
                <w:sz w:val="22"/>
                <w:szCs w:val="22"/>
              </w:rPr>
              <w:t>M.3362</w:t>
            </w:r>
            <w:r w:rsidRPr="00EA2EC7">
              <w:rPr>
                <w:sz w:val="22"/>
                <w:szCs w:val="22"/>
              </w:rPr>
              <w:br/>
              <w:t xml:space="preserve">(ex </w:t>
            </w:r>
            <w:proofErr w:type="spellStart"/>
            <w:r w:rsidRPr="00EA2EC7">
              <w:rPr>
                <w:sz w:val="22"/>
                <w:szCs w:val="22"/>
              </w:rPr>
              <w:t>M.rtafm</w:t>
            </w:r>
            <w:proofErr w:type="spellEnd"/>
            <w:r w:rsidRPr="00EA2EC7">
              <w:rPr>
                <w:sz w:val="22"/>
                <w:szCs w:val="22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39C569" w14:textId="48301DDB" w:rsidR="003D771B" w:rsidRPr="002132E3" w:rsidRDefault="003D771B" w:rsidP="003D771B">
            <w:pPr>
              <w:keepNext/>
              <w:keepLines/>
              <w:spacing w:before="40" w:after="40"/>
              <w:rPr>
                <w:rFonts w:eastAsia="DengXian"/>
                <w:iCs/>
                <w:sz w:val="22"/>
                <w:szCs w:val="22"/>
              </w:rPr>
            </w:pPr>
            <w:r w:rsidRPr="00EA2EC7">
              <w:rPr>
                <w:sz w:val="22"/>
                <w:szCs w:val="22"/>
              </w:rPr>
              <w:t>Requirements for Telecom anti-Fraud Management in the TMN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78F6233C" w14:textId="77777777" w:rsidR="003D771B" w:rsidRPr="00EA2EC7" w:rsidRDefault="003D771B" w:rsidP="003D771B">
            <w:pPr>
              <w:keepNext/>
              <w:keepLines/>
              <w:spacing w:before="40" w:after="40"/>
              <w:jc w:val="center"/>
            </w:pPr>
            <w:r w:rsidRPr="00D42394">
              <w:rPr>
                <w:sz w:val="22"/>
                <w:szCs w:val="22"/>
              </w:rPr>
              <w:t>Text for Approval:</w:t>
            </w:r>
            <w:r>
              <w:rPr>
                <w:sz w:val="22"/>
                <w:szCs w:val="22"/>
              </w:rPr>
              <w:t xml:space="preserve"> </w:t>
            </w:r>
            <w:hyperlink r:id="rId16" w:history="1">
              <w:r w:rsidRPr="00332D68">
                <w:rPr>
                  <w:rStyle w:val="Hyperlink"/>
                  <w:sz w:val="22"/>
                  <w:szCs w:val="22"/>
                </w:rPr>
                <w:t>SG2-TD1102-R2</w:t>
              </w:r>
            </w:hyperlink>
          </w:p>
          <w:p w14:paraId="3A572915" w14:textId="15B2BC58" w:rsidR="003D771B" w:rsidRPr="002132E3" w:rsidRDefault="003D771B" w:rsidP="003D771B">
            <w:pPr>
              <w:keepNext/>
              <w:keepLines/>
              <w:spacing w:before="40" w:after="40"/>
              <w:jc w:val="center"/>
              <w:rPr>
                <w:rFonts w:eastAsia="DengXian"/>
                <w:iCs/>
                <w:sz w:val="22"/>
                <w:szCs w:val="22"/>
              </w:rPr>
            </w:pPr>
            <w:r w:rsidRPr="00D42394">
              <w:rPr>
                <w:sz w:val="22"/>
                <w:szCs w:val="22"/>
              </w:rPr>
              <w:t xml:space="preserve">Consultation: </w:t>
            </w:r>
            <w:hyperlink r:id="rId17" w:history="1">
              <w:r w:rsidRPr="00D42394">
                <w:rPr>
                  <w:rStyle w:val="Hyperlink"/>
                  <w:sz w:val="22"/>
                  <w:szCs w:val="22"/>
                </w:rPr>
                <w:t>TSB Circular 229</w:t>
              </w:r>
            </w:hyperlink>
            <w:r w:rsidRPr="00D42394">
              <w:rPr>
                <w:sz w:val="22"/>
                <w:szCs w:val="22"/>
              </w:rPr>
              <w:br/>
              <w:t xml:space="preserve">Consultation result: </w:t>
            </w:r>
            <w:hyperlink r:id="rId18" w:history="1">
              <w:r w:rsidRPr="00D42394">
                <w:rPr>
                  <w:rStyle w:val="Hyperlink"/>
                  <w:sz w:val="22"/>
                  <w:szCs w:val="22"/>
                </w:rPr>
                <w:t>SG2-TD976</w:t>
              </w:r>
            </w:hyperlink>
          </w:p>
        </w:tc>
      </w:tr>
      <w:tr w:rsidR="003D771B" w:rsidRPr="002132E3" w14:paraId="44A4EEFF" w14:textId="77777777" w:rsidTr="006C0A8A">
        <w:tc>
          <w:tcPr>
            <w:tcW w:w="1980" w:type="dxa"/>
            <w:shd w:val="clear" w:color="auto" w:fill="auto"/>
            <w:vAlign w:val="center"/>
          </w:tcPr>
          <w:p w14:paraId="2BA53859" w14:textId="04F04614" w:rsidR="003D771B" w:rsidRPr="002132E3" w:rsidRDefault="003D771B" w:rsidP="003D771B">
            <w:pPr>
              <w:spacing w:before="40" w:after="40"/>
              <w:jc w:val="center"/>
              <w:rPr>
                <w:rFonts w:eastAsia="DengXian"/>
                <w:sz w:val="22"/>
              </w:rPr>
            </w:pPr>
            <w:r w:rsidRPr="00EA2EC7">
              <w:rPr>
                <w:sz w:val="22"/>
                <w:szCs w:val="22"/>
              </w:rPr>
              <w:t>E.218 (2004) Amd.1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6F6FE4" w14:textId="10BD1308" w:rsidR="003D771B" w:rsidRPr="002132E3" w:rsidRDefault="003D771B" w:rsidP="003D771B">
            <w:pPr>
              <w:spacing w:before="40" w:after="40"/>
              <w:rPr>
                <w:rFonts w:eastAsia="DengXian"/>
                <w:sz w:val="22"/>
                <w:szCs w:val="22"/>
              </w:rPr>
            </w:pPr>
            <w:r w:rsidRPr="00EA2EC7">
              <w:rPr>
                <w:sz w:val="22"/>
                <w:szCs w:val="22"/>
              </w:rPr>
              <w:t>Management of the allocation of terrestrial trunk radio Mobile Country Codes - Annex B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5A247B8E" w14:textId="408FE25D" w:rsidR="003D771B" w:rsidRPr="002132E3" w:rsidRDefault="003D771B" w:rsidP="003D771B">
            <w:pPr>
              <w:spacing w:before="40" w:after="40"/>
              <w:jc w:val="center"/>
              <w:rPr>
                <w:rFonts w:eastAsia="DengXian"/>
                <w:iCs/>
                <w:sz w:val="22"/>
                <w:szCs w:val="22"/>
              </w:rPr>
            </w:pPr>
            <w:r w:rsidRPr="00EA2EC7">
              <w:rPr>
                <w:sz w:val="22"/>
                <w:szCs w:val="22"/>
              </w:rPr>
              <w:t xml:space="preserve">Text for Approval: </w:t>
            </w:r>
            <w:hyperlink r:id="rId19" w:history="1">
              <w:r w:rsidRPr="00EA2EC7">
                <w:rPr>
                  <w:rStyle w:val="Hyperlink"/>
                  <w:sz w:val="22"/>
                  <w:szCs w:val="22"/>
                </w:rPr>
                <w:t>SG2-R22</w:t>
              </w:r>
            </w:hyperlink>
            <w:r w:rsidRPr="00EA2EC7">
              <w:rPr>
                <w:sz w:val="22"/>
                <w:szCs w:val="22"/>
              </w:rPr>
              <w:br/>
              <w:t xml:space="preserve">Consultation: </w:t>
            </w:r>
            <w:hyperlink r:id="rId20" w:history="1">
              <w:r w:rsidRPr="00EA2EC7">
                <w:rPr>
                  <w:rStyle w:val="Hyperlink"/>
                  <w:sz w:val="22"/>
                  <w:szCs w:val="22"/>
                </w:rPr>
                <w:t>TSB Circular 229</w:t>
              </w:r>
            </w:hyperlink>
            <w:r w:rsidRPr="00EA2EC7">
              <w:rPr>
                <w:sz w:val="22"/>
                <w:szCs w:val="22"/>
              </w:rPr>
              <w:br/>
              <w:t xml:space="preserve">Consultation result: </w:t>
            </w:r>
            <w:hyperlink r:id="rId21" w:history="1">
              <w:r w:rsidRPr="00EA2EC7">
                <w:rPr>
                  <w:rStyle w:val="Hyperlink"/>
                  <w:sz w:val="22"/>
                  <w:szCs w:val="22"/>
                </w:rPr>
                <w:t>SG2-TD976</w:t>
              </w:r>
            </w:hyperlink>
          </w:p>
        </w:tc>
      </w:tr>
      <w:tr w:rsidR="003D771B" w:rsidRPr="002132E3" w14:paraId="244281FA" w14:textId="77777777" w:rsidTr="006C0A8A">
        <w:tc>
          <w:tcPr>
            <w:tcW w:w="1980" w:type="dxa"/>
            <w:shd w:val="clear" w:color="auto" w:fill="auto"/>
            <w:vAlign w:val="center"/>
          </w:tcPr>
          <w:p w14:paraId="0735913D" w14:textId="6AEBD60F" w:rsidR="003D771B" w:rsidRPr="002132E3" w:rsidRDefault="003D771B" w:rsidP="003D771B">
            <w:pPr>
              <w:spacing w:before="40" w:after="40"/>
              <w:jc w:val="center"/>
              <w:rPr>
                <w:rFonts w:eastAsia="DengXian"/>
                <w:sz w:val="22"/>
              </w:rPr>
            </w:pPr>
            <w:r w:rsidRPr="00EA2EC7">
              <w:rPr>
                <w:sz w:val="22"/>
                <w:szCs w:val="22"/>
              </w:rPr>
              <w:t>E.212 (2016) Amd.2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D1197BE" w14:textId="747FFA34" w:rsidR="003D771B" w:rsidRPr="002132E3" w:rsidRDefault="003D771B" w:rsidP="003D771B">
            <w:pPr>
              <w:spacing w:before="40" w:after="40"/>
              <w:rPr>
                <w:rFonts w:eastAsia="DengXian"/>
                <w:sz w:val="22"/>
                <w:szCs w:val="22"/>
              </w:rPr>
            </w:pPr>
            <w:r w:rsidRPr="00EA2EC7">
              <w:rPr>
                <w:sz w:val="22"/>
                <w:szCs w:val="22"/>
              </w:rPr>
              <w:t>The international identification plan for public networks and subscriptions - Annex G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16F731E9" w14:textId="6CAE875D" w:rsidR="003D771B" w:rsidRPr="002132E3" w:rsidRDefault="003D771B" w:rsidP="003D771B">
            <w:pPr>
              <w:spacing w:before="40" w:after="40"/>
              <w:jc w:val="center"/>
              <w:rPr>
                <w:rFonts w:eastAsia="DengXian"/>
                <w:iCs/>
                <w:sz w:val="22"/>
                <w:szCs w:val="22"/>
              </w:rPr>
            </w:pPr>
            <w:r w:rsidRPr="00EA2EC7">
              <w:rPr>
                <w:sz w:val="22"/>
                <w:szCs w:val="22"/>
              </w:rPr>
              <w:t xml:space="preserve">Text for Approval: </w:t>
            </w:r>
            <w:hyperlink r:id="rId22" w:history="1">
              <w:r w:rsidRPr="00EA2EC7">
                <w:rPr>
                  <w:rStyle w:val="Hyperlink"/>
                  <w:sz w:val="22"/>
                  <w:szCs w:val="22"/>
                </w:rPr>
                <w:t>SG2-R21</w:t>
              </w:r>
            </w:hyperlink>
            <w:r w:rsidRPr="00EA2EC7">
              <w:rPr>
                <w:sz w:val="22"/>
                <w:szCs w:val="22"/>
              </w:rPr>
              <w:br/>
              <w:t xml:space="preserve">Consultation: </w:t>
            </w:r>
            <w:hyperlink r:id="rId23" w:history="1">
              <w:r w:rsidRPr="00EA2EC7">
                <w:rPr>
                  <w:rStyle w:val="Hyperlink"/>
                  <w:sz w:val="22"/>
                  <w:szCs w:val="22"/>
                </w:rPr>
                <w:t>TSB Circular 229</w:t>
              </w:r>
            </w:hyperlink>
            <w:r w:rsidRPr="00EA2EC7">
              <w:rPr>
                <w:sz w:val="22"/>
                <w:szCs w:val="22"/>
              </w:rPr>
              <w:br/>
              <w:t xml:space="preserve">Consultation result: </w:t>
            </w:r>
            <w:hyperlink r:id="rId24" w:history="1">
              <w:r w:rsidRPr="00EA2EC7">
                <w:rPr>
                  <w:rStyle w:val="Hyperlink"/>
                  <w:sz w:val="22"/>
                  <w:szCs w:val="22"/>
                </w:rPr>
                <w:t>SG2-TD976</w:t>
              </w:r>
            </w:hyperlink>
          </w:p>
        </w:tc>
      </w:tr>
      <w:tr w:rsidR="003D771B" w:rsidRPr="002132E3" w14:paraId="639AA7D0" w14:textId="77777777" w:rsidTr="006C0A8A">
        <w:tc>
          <w:tcPr>
            <w:tcW w:w="1980" w:type="dxa"/>
            <w:shd w:val="clear" w:color="auto" w:fill="auto"/>
            <w:vAlign w:val="center"/>
          </w:tcPr>
          <w:p w14:paraId="2C2C9D62" w14:textId="7E8BD8F7" w:rsidR="003D771B" w:rsidRPr="002132E3" w:rsidRDefault="003D771B" w:rsidP="003D771B">
            <w:pPr>
              <w:spacing w:before="40" w:after="40"/>
              <w:jc w:val="center"/>
              <w:rPr>
                <w:rFonts w:eastAsia="DengXian"/>
                <w:sz w:val="22"/>
              </w:rPr>
            </w:pPr>
            <w:r w:rsidRPr="00EA2EC7">
              <w:rPr>
                <w:sz w:val="22"/>
                <w:szCs w:val="22"/>
              </w:rPr>
              <w:t>E.164.2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69E8D7F" w14:textId="560F885F" w:rsidR="003D771B" w:rsidRPr="002132E3" w:rsidRDefault="003D771B" w:rsidP="003D771B">
            <w:pPr>
              <w:spacing w:before="40" w:after="40"/>
              <w:rPr>
                <w:rFonts w:eastAsia="DengXian"/>
                <w:sz w:val="22"/>
                <w:szCs w:val="22"/>
              </w:rPr>
            </w:pPr>
            <w:r w:rsidRPr="00EA2EC7">
              <w:rPr>
                <w:sz w:val="22"/>
                <w:szCs w:val="22"/>
              </w:rPr>
              <w:t>E.164 numbering resources for trials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4BA71342" w14:textId="2CEF7C1B" w:rsidR="003D771B" w:rsidRPr="002132E3" w:rsidRDefault="003D771B" w:rsidP="003D771B">
            <w:pPr>
              <w:spacing w:before="40" w:after="40"/>
              <w:jc w:val="center"/>
              <w:rPr>
                <w:rFonts w:eastAsia="DengXian"/>
                <w:iCs/>
                <w:sz w:val="22"/>
                <w:szCs w:val="22"/>
              </w:rPr>
            </w:pPr>
            <w:r w:rsidRPr="00EA2EC7">
              <w:rPr>
                <w:sz w:val="22"/>
                <w:szCs w:val="22"/>
              </w:rPr>
              <w:t xml:space="preserve">Text for Approval: </w:t>
            </w:r>
            <w:hyperlink r:id="rId25" w:history="1">
              <w:r w:rsidRPr="00EA2EC7">
                <w:rPr>
                  <w:rStyle w:val="Hyperlink"/>
                  <w:sz w:val="22"/>
                  <w:szCs w:val="22"/>
                </w:rPr>
                <w:t>SG2-R20</w:t>
              </w:r>
            </w:hyperlink>
            <w:r w:rsidRPr="00EA2EC7">
              <w:rPr>
                <w:sz w:val="22"/>
                <w:szCs w:val="22"/>
              </w:rPr>
              <w:br/>
              <w:t xml:space="preserve">Consultation: </w:t>
            </w:r>
            <w:hyperlink r:id="rId26" w:history="1">
              <w:r w:rsidRPr="00EA2EC7">
                <w:rPr>
                  <w:rStyle w:val="Hyperlink"/>
                  <w:sz w:val="22"/>
                  <w:szCs w:val="22"/>
                </w:rPr>
                <w:t>TSB Circular 229</w:t>
              </w:r>
            </w:hyperlink>
            <w:r w:rsidRPr="00EA2EC7">
              <w:rPr>
                <w:sz w:val="22"/>
                <w:szCs w:val="22"/>
              </w:rPr>
              <w:br/>
              <w:t xml:space="preserve">Consultation result: </w:t>
            </w:r>
            <w:hyperlink r:id="rId27" w:history="1">
              <w:r w:rsidRPr="00EA2EC7">
                <w:rPr>
                  <w:rStyle w:val="Hyperlink"/>
                  <w:sz w:val="22"/>
                  <w:szCs w:val="22"/>
                </w:rPr>
                <w:t>SG2-TD976</w:t>
              </w:r>
            </w:hyperlink>
          </w:p>
        </w:tc>
      </w:tr>
      <w:tr w:rsidR="003D771B" w:rsidRPr="002132E3" w14:paraId="0AD30C9A" w14:textId="77777777" w:rsidTr="006C0A8A">
        <w:tc>
          <w:tcPr>
            <w:tcW w:w="1980" w:type="dxa"/>
            <w:shd w:val="clear" w:color="auto" w:fill="auto"/>
            <w:vAlign w:val="center"/>
          </w:tcPr>
          <w:p w14:paraId="76EBD06A" w14:textId="7A78D83E" w:rsidR="003D771B" w:rsidRPr="002132E3" w:rsidRDefault="003D771B" w:rsidP="003D771B">
            <w:pPr>
              <w:spacing w:before="40" w:after="40"/>
              <w:jc w:val="center"/>
              <w:rPr>
                <w:rFonts w:eastAsia="DengXian"/>
                <w:sz w:val="22"/>
              </w:rPr>
            </w:pPr>
            <w:r w:rsidRPr="00EA2EC7">
              <w:rPr>
                <w:sz w:val="22"/>
                <w:szCs w:val="22"/>
              </w:rPr>
              <w:t>E.156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FA75962" w14:textId="090CCAD2" w:rsidR="003D771B" w:rsidRPr="002132E3" w:rsidRDefault="003D771B" w:rsidP="003D771B">
            <w:pPr>
              <w:spacing w:before="40" w:after="40"/>
              <w:rPr>
                <w:rFonts w:eastAsia="DengXian"/>
                <w:sz w:val="22"/>
                <w:szCs w:val="22"/>
              </w:rPr>
            </w:pPr>
            <w:r w:rsidRPr="00EA2EC7">
              <w:rPr>
                <w:sz w:val="22"/>
                <w:szCs w:val="22"/>
              </w:rPr>
              <w:t>Guidelines for ITU-T action on reported misuse of E.164 number resources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621CED93" w14:textId="4ACD9D59" w:rsidR="003D771B" w:rsidRPr="002132E3" w:rsidRDefault="003D771B" w:rsidP="003D771B">
            <w:pPr>
              <w:spacing w:before="40" w:after="40"/>
              <w:jc w:val="center"/>
              <w:rPr>
                <w:rFonts w:eastAsia="DengXian"/>
                <w:iCs/>
                <w:sz w:val="22"/>
                <w:szCs w:val="22"/>
              </w:rPr>
            </w:pPr>
            <w:r w:rsidRPr="00EA2EC7">
              <w:rPr>
                <w:sz w:val="22"/>
                <w:szCs w:val="22"/>
              </w:rPr>
              <w:t xml:space="preserve">Text for Approval: </w:t>
            </w:r>
            <w:hyperlink r:id="rId28" w:history="1">
              <w:r w:rsidRPr="00EA2EC7">
                <w:rPr>
                  <w:rStyle w:val="Hyperlink"/>
                  <w:sz w:val="22"/>
                  <w:szCs w:val="22"/>
                </w:rPr>
                <w:t>SG2-R19</w:t>
              </w:r>
            </w:hyperlink>
            <w:r w:rsidRPr="00EA2EC7">
              <w:rPr>
                <w:sz w:val="22"/>
                <w:szCs w:val="22"/>
              </w:rPr>
              <w:br/>
              <w:t xml:space="preserve">Consultation: </w:t>
            </w:r>
            <w:hyperlink r:id="rId29" w:history="1">
              <w:r w:rsidRPr="00EA2EC7">
                <w:rPr>
                  <w:rStyle w:val="Hyperlink"/>
                  <w:sz w:val="22"/>
                  <w:szCs w:val="22"/>
                </w:rPr>
                <w:t>TSB Circular 229</w:t>
              </w:r>
            </w:hyperlink>
            <w:r w:rsidRPr="00EA2EC7">
              <w:rPr>
                <w:sz w:val="22"/>
                <w:szCs w:val="22"/>
              </w:rPr>
              <w:br/>
              <w:t xml:space="preserve">Consultation result: </w:t>
            </w:r>
            <w:hyperlink r:id="rId30" w:history="1">
              <w:r w:rsidRPr="00EA2EC7">
                <w:rPr>
                  <w:rStyle w:val="Hyperlink"/>
                  <w:sz w:val="22"/>
                  <w:szCs w:val="22"/>
                </w:rPr>
                <w:t>SG2-TD976</w:t>
              </w:r>
            </w:hyperlink>
          </w:p>
        </w:tc>
      </w:tr>
      <w:tr w:rsidR="00E544AB" w:rsidRPr="002132E3" w14:paraId="6D107C68" w14:textId="77777777" w:rsidTr="006C0A8A">
        <w:tc>
          <w:tcPr>
            <w:tcW w:w="1980" w:type="dxa"/>
            <w:shd w:val="clear" w:color="auto" w:fill="auto"/>
            <w:vAlign w:val="center"/>
          </w:tcPr>
          <w:p w14:paraId="1C535A4B" w14:textId="56EE2EE2" w:rsidR="00E544AB" w:rsidRPr="003F7F7B" w:rsidRDefault="00E544AB" w:rsidP="00E544AB">
            <w:pPr>
              <w:spacing w:before="40" w:after="40"/>
              <w:jc w:val="center"/>
              <w:rPr>
                <w:sz w:val="22"/>
                <w:szCs w:val="22"/>
                <w:lang w:val="fr-CH"/>
              </w:rPr>
            </w:pPr>
            <w:r w:rsidRPr="003D771B">
              <w:rPr>
                <w:sz w:val="22"/>
                <w:szCs w:val="22"/>
                <w:lang w:val="fr-CH"/>
              </w:rPr>
              <w:t>M.3164</w:t>
            </w:r>
            <w:r w:rsidRPr="003D771B">
              <w:rPr>
                <w:sz w:val="22"/>
                <w:szCs w:val="22"/>
                <w:lang w:val="fr-CH"/>
              </w:rPr>
              <w:br/>
              <w:t xml:space="preserve">(ex </w:t>
            </w:r>
            <w:proofErr w:type="spellStart"/>
            <w:r w:rsidRPr="003D771B">
              <w:rPr>
                <w:sz w:val="22"/>
                <w:szCs w:val="22"/>
                <w:lang w:val="fr-CH"/>
              </w:rPr>
              <w:t>M.tsm-gim</w:t>
            </w:r>
            <w:proofErr w:type="spellEnd"/>
            <w:r w:rsidRPr="003D771B">
              <w:rPr>
                <w:sz w:val="22"/>
                <w:szCs w:val="22"/>
                <w:lang w:val="fr-CH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BBA079" w14:textId="0A896C98" w:rsidR="00E544AB" w:rsidRPr="00EA2EC7" w:rsidRDefault="00E544AB" w:rsidP="00E544AB">
            <w:pPr>
              <w:spacing w:before="40" w:after="40"/>
              <w:rPr>
                <w:sz w:val="22"/>
                <w:szCs w:val="22"/>
              </w:rPr>
            </w:pPr>
            <w:r w:rsidRPr="003D771B">
              <w:rPr>
                <w:iCs/>
                <w:sz w:val="22"/>
                <w:szCs w:val="22"/>
              </w:rPr>
              <w:t>Generic information model for on-site telecommunication smart maintenance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6D0828C2" w14:textId="5517CA8D" w:rsidR="00E544AB" w:rsidRPr="00EA2EC7" w:rsidRDefault="00524F80" w:rsidP="00E544AB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31" w:history="1">
              <w:r w:rsidR="00E544AB" w:rsidRPr="003D771B">
                <w:rPr>
                  <w:rStyle w:val="Hyperlink"/>
                  <w:sz w:val="22"/>
                  <w:szCs w:val="22"/>
                </w:rPr>
                <w:t>SG2-TD1101-R1</w:t>
              </w:r>
            </w:hyperlink>
          </w:p>
        </w:tc>
      </w:tr>
    </w:tbl>
    <w:p w14:paraId="0DC1C9AD" w14:textId="77777777" w:rsidR="00D84219" w:rsidRPr="00B47661" w:rsidRDefault="00D84219" w:rsidP="00D84219">
      <w:pPr>
        <w:pStyle w:val="TableNotitle"/>
        <w:jc w:val="left"/>
      </w:pPr>
      <w:r w:rsidRPr="00B47661">
        <w:t>Recommendations Determined under TAP</w:t>
      </w:r>
    </w:p>
    <w:tbl>
      <w:tblPr>
        <w:tblW w:w="96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111"/>
        <w:gridCol w:w="3554"/>
      </w:tblGrid>
      <w:tr w:rsidR="00D84219" w:rsidRPr="002132E3" w14:paraId="35339B2E" w14:textId="77777777" w:rsidTr="006C0A8A">
        <w:tc>
          <w:tcPr>
            <w:tcW w:w="1980" w:type="dxa"/>
            <w:shd w:val="clear" w:color="auto" w:fill="auto"/>
            <w:vAlign w:val="center"/>
            <w:hideMark/>
          </w:tcPr>
          <w:p w14:paraId="5E62A433" w14:textId="77777777" w:rsidR="00D84219" w:rsidRPr="00B47661" w:rsidRDefault="00D84219" w:rsidP="002132E3">
            <w:pPr>
              <w:pStyle w:val="Tablehead"/>
            </w:pPr>
            <w:r w:rsidRPr="00B47661">
              <w:t>Rec. #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94214C5" w14:textId="77777777" w:rsidR="00D84219" w:rsidRPr="00B47661" w:rsidRDefault="00D84219" w:rsidP="002132E3">
            <w:pPr>
              <w:pStyle w:val="Tablehead"/>
            </w:pPr>
            <w:r w:rsidRPr="00B47661">
              <w:t>Rec. title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47236DAF" w14:textId="6D84975B" w:rsidR="00D84219" w:rsidRPr="00B47661" w:rsidRDefault="00D84219" w:rsidP="002132E3">
            <w:pPr>
              <w:pStyle w:val="Tablehead"/>
            </w:pPr>
            <w:r w:rsidRPr="00B47661">
              <w:t>Documents</w:t>
            </w:r>
          </w:p>
        </w:tc>
      </w:tr>
      <w:tr w:rsidR="003D771B" w:rsidRPr="002132E3" w14:paraId="1EFC4EA9" w14:textId="77777777" w:rsidTr="006C0A8A">
        <w:tc>
          <w:tcPr>
            <w:tcW w:w="1980" w:type="dxa"/>
            <w:shd w:val="clear" w:color="auto" w:fill="auto"/>
            <w:vAlign w:val="center"/>
          </w:tcPr>
          <w:p w14:paraId="17D50DED" w14:textId="7F6BD238" w:rsidR="003D771B" w:rsidRPr="003D771B" w:rsidRDefault="003D771B" w:rsidP="003D771B">
            <w:pPr>
              <w:spacing w:before="40" w:after="40"/>
              <w:jc w:val="center"/>
              <w:rPr>
                <w:rFonts w:eastAsia="DengXian"/>
                <w:sz w:val="22"/>
                <w:szCs w:val="22"/>
              </w:rPr>
            </w:pPr>
            <w:r w:rsidRPr="003D771B">
              <w:rPr>
                <w:sz w:val="22"/>
                <w:szCs w:val="22"/>
              </w:rPr>
              <w:t>E.212 (2016) Annex H</w:t>
            </w:r>
            <w:r w:rsidRPr="003D771B">
              <w:rPr>
                <w:sz w:val="22"/>
                <w:szCs w:val="22"/>
              </w:rPr>
              <w:br/>
              <w:t xml:space="preserve">(previously known as Annex G)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BB05B08" w14:textId="666C9DC3" w:rsidR="003D771B" w:rsidRPr="003D771B" w:rsidRDefault="003D771B" w:rsidP="003D771B">
            <w:pPr>
              <w:spacing w:before="40" w:after="40"/>
              <w:rPr>
                <w:rFonts w:eastAsia="DengXian"/>
                <w:sz w:val="22"/>
                <w:szCs w:val="22"/>
              </w:rPr>
            </w:pPr>
            <w:r w:rsidRPr="003D771B">
              <w:rPr>
                <w:sz w:val="22"/>
                <w:szCs w:val="22"/>
                <w:lang w:val="en-US"/>
              </w:rPr>
              <w:t>Criteria and procedures for the assignment and reclamation of shared ITU-T E.212 mobile country codes (MCC) for regional and other international organizations (ROIO)/standards development organization (SDO)-specified networks and their respective mobile network codes (MNCs)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2C649083" w14:textId="77777777" w:rsidR="00E544AB" w:rsidRDefault="003D771B" w:rsidP="00E544AB">
            <w:pPr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  <w:r w:rsidRPr="003D771B">
              <w:rPr>
                <w:sz w:val="22"/>
                <w:szCs w:val="22"/>
              </w:rPr>
              <w:t xml:space="preserve">Determined text: </w:t>
            </w:r>
            <w:hyperlink r:id="rId32" w:history="1">
              <w:r w:rsidRPr="003D771B">
                <w:rPr>
                  <w:rStyle w:val="Hyperlink"/>
                  <w:sz w:val="22"/>
                  <w:szCs w:val="22"/>
                </w:rPr>
                <w:t>SG2-TD1017</w:t>
              </w:r>
            </w:hyperlink>
            <w:r w:rsidRPr="003D771B">
              <w:rPr>
                <w:rStyle w:val="Hyperlink"/>
                <w:sz w:val="22"/>
                <w:szCs w:val="22"/>
              </w:rPr>
              <w:br/>
            </w:r>
            <w:r w:rsidRPr="003D771B">
              <w:rPr>
                <w:sz w:val="22"/>
                <w:szCs w:val="22"/>
              </w:rPr>
              <w:t xml:space="preserve">Text for Approval: </w:t>
            </w:r>
            <w:hyperlink r:id="rId33" w:history="1">
              <w:r w:rsidRPr="003D771B">
                <w:rPr>
                  <w:rStyle w:val="Hyperlink"/>
                  <w:sz w:val="22"/>
                  <w:szCs w:val="22"/>
                </w:rPr>
                <w:t>SG2-R</w:t>
              </w:r>
              <w:r>
                <w:rPr>
                  <w:rStyle w:val="Hyperlink"/>
                  <w:sz w:val="22"/>
                  <w:szCs w:val="22"/>
                </w:rPr>
                <w:t>27</w:t>
              </w:r>
            </w:hyperlink>
            <w:r w:rsidRPr="003D771B">
              <w:rPr>
                <w:sz w:val="22"/>
                <w:szCs w:val="22"/>
              </w:rPr>
              <w:br/>
              <w:t xml:space="preserve">Consultation: </w:t>
            </w:r>
            <w:hyperlink r:id="rId34" w:history="1">
              <w:r w:rsidRPr="003D771B">
                <w:rPr>
                  <w:rStyle w:val="Hyperlink"/>
                  <w:sz w:val="22"/>
                  <w:szCs w:val="22"/>
                </w:rPr>
                <w:t xml:space="preserve">TSB Circular </w:t>
              </w:r>
              <w:r>
                <w:rPr>
                  <w:rStyle w:val="Hyperlink"/>
                  <w:sz w:val="22"/>
                  <w:szCs w:val="22"/>
                </w:rPr>
                <w:t>254</w:t>
              </w:r>
            </w:hyperlink>
          </w:p>
          <w:p w14:paraId="3A26BF2D" w14:textId="488C1FF7" w:rsidR="00E544AB" w:rsidRPr="00E544AB" w:rsidRDefault="00E544AB" w:rsidP="00E544AB">
            <w:pPr>
              <w:spacing w:before="40" w:after="4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Responses</w:t>
            </w:r>
            <w:r w:rsidRPr="003D771B">
              <w:rPr>
                <w:sz w:val="22"/>
                <w:szCs w:val="22"/>
              </w:rPr>
              <w:t xml:space="preserve">: </w:t>
            </w:r>
            <w:hyperlink r:id="rId35" w:history="1">
              <w:r w:rsidRPr="00E544AB">
                <w:rPr>
                  <w:rStyle w:val="Hyperlink"/>
                  <w:sz w:val="22"/>
                  <w:szCs w:val="22"/>
                </w:rPr>
                <w:t>SG2-TD1146</w:t>
              </w:r>
            </w:hyperlink>
            <w:r w:rsidRPr="003D771B">
              <w:rPr>
                <w:rStyle w:val="Hyperlink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Contributions</w:t>
            </w:r>
            <w:r w:rsidRPr="003D771B">
              <w:rPr>
                <w:sz w:val="22"/>
                <w:szCs w:val="22"/>
              </w:rPr>
              <w:t xml:space="preserve">: </w:t>
            </w:r>
            <w:hyperlink r:id="rId36" w:history="1">
              <w:r w:rsidRPr="00E544AB">
                <w:rPr>
                  <w:rStyle w:val="Hyperlink"/>
                  <w:lang w:val="en-US"/>
                </w:rPr>
                <w:t>SG2-C279</w:t>
              </w:r>
            </w:hyperlink>
            <w:r>
              <w:rPr>
                <w:lang w:val="en-US"/>
              </w:rPr>
              <w:t xml:space="preserve">; </w:t>
            </w:r>
            <w:hyperlink r:id="rId37" w:history="1">
              <w:r w:rsidRPr="00E544AB">
                <w:rPr>
                  <w:rStyle w:val="Hyperlink"/>
                  <w:lang w:val="en-US"/>
                </w:rPr>
                <w:t>SG2</w:t>
              </w:r>
              <w:r>
                <w:rPr>
                  <w:rStyle w:val="Hyperlink"/>
                  <w:lang w:val="en-US"/>
                </w:rPr>
                <w:noBreakHyphen/>
              </w:r>
              <w:r w:rsidRPr="00E544AB">
                <w:rPr>
                  <w:rStyle w:val="Hyperlink"/>
                  <w:lang w:val="en-US"/>
                </w:rPr>
                <w:t>C281</w:t>
              </w:r>
            </w:hyperlink>
            <w:r>
              <w:t xml:space="preserve">; </w:t>
            </w:r>
            <w:hyperlink r:id="rId38" w:history="1">
              <w:r w:rsidRPr="00E544AB">
                <w:rPr>
                  <w:rStyle w:val="Hyperlink"/>
                  <w:lang w:val="en-US"/>
                </w:rPr>
                <w:t>SG2-C282</w:t>
              </w:r>
            </w:hyperlink>
            <w:r>
              <w:t xml:space="preserve">; </w:t>
            </w:r>
            <w:hyperlink r:id="rId39" w:history="1">
              <w:r w:rsidRPr="00E544AB">
                <w:rPr>
                  <w:rStyle w:val="Hyperlink"/>
                  <w:lang w:val="en-US"/>
                </w:rPr>
                <w:t>SG2</w:t>
              </w:r>
              <w:r>
                <w:rPr>
                  <w:rStyle w:val="Hyperlink"/>
                  <w:lang w:val="en-US"/>
                </w:rPr>
                <w:noBreakHyphen/>
              </w:r>
              <w:r w:rsidRPr="00E544AB">
                <w:rPr>
                  <w:rStyle w:val="Hyperlink"/>
                  <w:lang w:val="en-US"/>
                </w:rPr>
                <w:t>C283</w:t>
              </w:r>
            </w:hyperlink>
            <w:r>
              <w:rPr>
                <w:lang w:val="en-US"/>
              </w:rPr>
              <w:t xml:space="preserve">; </w:t>
            </w:r>
            <w:hyperlink r:id="rId40" w:history="1">
              <w:r w:rsidRPr="00E544AB">
                <w:rPr>
                  <w:rStyle w:val="Hyperlink"/>
                  <w:lang w:val="en-US"/>
                </w:rPr>
                <w:t>SG2-C285</w:t>
              </w:r>
            </w:hyperlink>
          </w:p>
          <w:p w14:paraId="17A1385F" w14:textId="7583E17F" w:rsidR="00E544AB" w:rsidRPr="003D771B" w:rsidRDefault="00E544AB" w:rsidP="00E544AB">
            <w:pPr>
              <w:spacing w:before="40" w:after="40"/>
              <w:jc w:val="center"/>
              <w:rPr>
                <w:rFonts w:eastAsia="DengXian"/>
              </w:rPr>
            </w:pPr>
          </w:p>
        </w:tc>
      </w:tr>
    </w:tbl>
    <w:p w14:paraId="396BAD5A" w14:textId="77777777" w:rsidR="00D84219" w:rsidRPr="00B47661" w:rsidRDefault="00D84219" w:rsidP="00D84219">
      <w:pPr>
        <w:pStyle w:val="TableNotitle"/>
        <w:jc w:val="left"/>
      </w:pPr>
      <w:bookmarkStart w:id="12" w:name="_Toc118800175"/>
      <w:r w:rsidRPr="00B47661">
        <w:lastRenderedPageBreak/>
        <w:t xml:space="preserve">Recommendations </w:t>
      </w:r>
      <w:r w:rsidR="0024472C" w:rsidRPr="00B47661">
        <w:t xml:space="preserve">Consented </w:t>
      </w:r>
      <w:r w:rsidRPr="00B47661">
        <w:t>under AAP</w:t>
      </w:r>
    </w:p>
    <w:tbl>
      <w:tblPr>
        <w:tblW w:w="96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4110"/>
        <w:gridCol w:w="3554"/>
      </w:tblGrid>
      <w:tr w:rsidR="00D84219" w:rsidRPr="002132E3" w14:paraId="6779E7CD" w14:textId="77777777" w:rsidTr="006C0A8A">
        <w:tc>
          <w:tcPr>
            <w:tcW w:w="1981" w:type="dxa"/>
            <w:shd w:val="clear" w:color="auto" w:fill="auto"/>
            <w:vAlign w:val="center"/>
            <w:hideMark/>
          </w:tcPr>
          <w:p w14:paraId="72E6262A" w14:textId="77777777" w:rsidR="00D84219" w:rsidRPr="002132E3" w:rsidRDefault="00D84219" w:rsidP="002132E3">
            <w:pPr>
              <w:pStyle w:val="Tablehead"/>
              <w:rPr>
                <w:szCs w:val="22"/>
              </w:rPr>
            </w:pPr>
            <w:r w:rsidRPr="002132E3">
              <w:rPr>
                <w:szCs w:val="22"/>
              </w:rPr>
              <w:t>Rec. #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02531C9C" w14:textId="77777777" w:rsidR="00D84219" w:rsidRPr="002132E3" w:rsidRDefault="00D84219" w:rsidP="002132E3">
            <w:pPr>
              <w:pStyle w:val="Tablehead"/>
              <w:rPr>
                <w:szCs w:val="22"/>
              </w:rPr>
            </w:pPr>
            <w:r w:rsidRPr="002132E3">
              <w:rPr>
                <w:szCs w:val="22"/>
              </w:rPr>
              <w:t>Rec. title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497D502F" w14:textId="3FB1D26C" w:rsidR="00D84219" w:rsidRPr="002132E3" w:rsidRDefault="00D84219" w:rsidP="002132E3">
            <w:pPr>
              <w:pStyle w:val="Tablehead"/>
              <w:rPr>
                <w:szCs w:val="22"/>
              </w:rPr>
            </w:pPr>
            <w:r w:rsidRPr="002132E3">
              <w:rPr>
                <w:szCs w:val="22"/>
              </w:rPr>
              <w:t>Document</w:t>
            </w:r>
          </w:p>
        </w:tc>
      </w:tr>
      <w:tr w:rsidR="003D771B" w:rsidRPr="002132E3" w14:paraId="1B405C6A" w14:textId="77777777" w:rsidTr="006C0A8A">
        <w:tc>
          <w:tcPr>
            <w:tcW w:w="1981" w:type="dxa"/>
            <w:shd w:val="clear" w:color="auto" w:fill="auto"/>
            <w:vAlign w:val="center"/>
          </w:tcPr>
          <w:p w14:paraId="4ABE9450" w14:textId="4545BB5F" w:rsidR="003D771B" w:rsidRPr="003D771B" w:rsidRDefault="00E544AB" w:rsidP="003D771B">
            <w:pPr>
              <w:spacing w:before="40" w:after="40"/>
              <w:jc w:val="center"/>
              <w:rPr>
                <w:rFonts w:eastAsia="DengXian"/>
                <w:iCs/>
                <w:sz w:val="22"/>
                <w:szCs w:val="22"/>
                <w:lang w:val="fr-FR" w:eastAsia="zh-CN"/>
              </w:rPr>
            </w:pPr>
            <w:r w:rsidRPr="00F56D4D">
              <w:rPr>
                <w:iCs/>
                <w:sz w:val="22"/>
                <w:szCs w:val="22"/>
                <w:lang w:val="fr-CH" w:eastAsia="zh-CN"/>
              </w:rPr>
              <w:t>M.3373</w:t>
            </w:r>
            <w:r w:rsidRPr="00F56D4D">
              <w:rPr>
                <w:iCs/>
                <w:sz w:val="22"/>
                <w:szCs w:val="22"/>
                <w:lang w:val="fr-CH" w:eastAsia="zh-CN"/>
              </w:rPr>
              <w:br/>
              <w:t xml:space="preserve">(ex </w:t>
            </w:r>
            <w:proofErr w:type="spellStart"/>
            <w:r w:rsidRPr="00F56D4D">
              <w:rPr>
                <w:iCs/>
                <w:sz w:val="22"/>
                <w:szCs w:val="22"/>
                <w:lang w:val="fr-CH" w:eastAsia="zh-CN"/>
              </w:rPr>
              <w:t>M.rcsnsm</w:t>
            </w:r>
            <w:proofErr w:type="spellEnd"/>
            <w:r w:rsidRPr="00F56D4D">
              <w:rPr>
                <w:iCs/>
                <w:sz w:val="22"/>
                <w:szCs w:val="22"/>
                <w:lang w:val="fr-CH" w:eastAsia="zh-CN"/>
              </w:rPr>
              <w:t>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C4CB009" w14:textId="321A86B1" w:rsidR="003D771B" w:rsidRPr="003D771B" w:rsidRDefault="00E544AB" w:rsidP="003D771B">
            <w:pPr>
              <w:spacing w:before="40" w:after="40"/>
              <w:rPr>
                <w:rFonts w:eastAsia="DengXian"/>
                <w:iCs/>
                <w:sz w:val="22"/>
                <w:szCs w:val="22"/>
              </w:rPr>
            </w:pPr>
            <w:r w:rsidRPr="00E544AB">
              <w:rPr>
                <w:iCs/>
                <w:sz w:val="22"/>
                <w:szCs w:val="22"/>
              </w:rPr>
              <w:t>Requirements for synergy management of cloud and SDN-based networks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7509FD1E" w14:textId="23B1D0A7" w:rsidR="003D771B" w:rsidRPr="003D771B" w:rsidRDefault="00524F80" w:rsidP="003D771B">
            <w:pPr>
              <w:spacing w:before="40" w:after="40"/>
              <w:jc w:val="center"/>
              <w:rPr>
                <w:rFonts w:eastAsia="DengXian"/>
                <w:bCs/>
                <w:iCs/>
                <w:sz w:val="22"/>
                <w:szCs w:val="22"/>
                <w:lang w:eastAsia="zh-CN"/>
              </w:rPr>
            </w:pPr>
            <w:hyperlink r:id="rId41" w:history="1">
              <w:r w:rsidR="00E544AB" w:rsidRPr="00E544AB">
                <w:rPr>
                  <w:rStyle w:val="Hyperlink"/>
                  <w:bCs/>
                  <w:iCs/>
                  <w:lang w:val="en-US"/>
                </w:rPr>
                <w:t>SG2-TD1182-R1</w:t>
              </w:r>
            </w:hyperlink>
          </w:p>
        </w:tc>
      </w:tr>
    </w:tbl>
    <w:bookmarkEnd w:id="12"/>
    <w:p w14:paraId="08AF3848" w14:textId="6E4F90C6" w:rsidR="006D73B8" w:rsidRDefault="006D73B8" w:rsidP="006D3A6A">
      <w:pPr>
        <w:rPr>
          <w:b/>
        </w:rPr>
      </w:pPr>
      <w:r>
        <w:t>Supplements to be approved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09"/>
        <w:gridCol w:w="5770"/>
        <w:gridCol w:w="1930"/>
      </w:tblGrid>
      <w:tr w:rsidR="006D73B8" w:rsidRPr="006C0A8A" w14:paraId="7345F4B1" w14:textId="77777777" w:rsidTr="006C0A8A">
        <w:tc>
          <w:tcPr>
            <w:tcW w:w="1909" w:type="dxa"/>
            <w:hideMark/>
          </w:tcPr>
          <w:p w14:paraId="2F8D1792" w14:textId="77777777" w:rsidR="006D73B8" w:rsidRPr="006C0A8A" w:rsidRDefault="006D73B8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60" w:after="60"/>
              <w:rPr>
                <w:bCs/>
                <w:szCs w:val="22"/>
              </w:rPr>
            </w:pPr>
            <w:r w:rsidRPr="006C0A8A">
              <w:rPr>
                <w:bCs/>
                <w:szCs w:val="22"/>
              </w:rPr>
              <w:t>Supp.#</w:t>
            </w:r>
          </w:p>
        </w:tc>
        <w:tc>
          <w:tcPr>
            <w:tcW w:w="5770" w:type="dxa"/>
            <w:hideMark/>
          </w:tcPr>
          <w:p w14:paraId="52CE0086" w14:textId="77777777" w:rsidR="006D73B8" w:rsidRPr="006C0A8A" w:rsidRDefault="006D73B8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6C0A8A">
              <w:rPr>
                <w:b/>
                <w:bCs/>
                <w:sz w:val="22"/>
                <w:szCs w:val="22"/>
              </w:rPr>
              <w:t>Supp. Title</w:t>
            </w:r>
          </w:p>
        </w:tc>
        <w:tc>
          <w:tcPr>
            <w:tcW w:w="1930" w:type="dxa"/>
            <w:hideMark/>
          </w:tcPr>
          <w:p w14:paraId="43F6EF45" w14:textId="77777777" w:rsidR="006D73B8" w:rsidRPr="006C0A8A" w:rsidRDefault="006D73B8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6C0A8A">
              <w:rPr>
                <w:b/>
                <w:bCs/>
                <w:sz w:val="22"/>
                <w:szCs w:val="22"/>
              </w:rPr>
              <w:t>Document</w:t>
            </w:r>
          </w:p>
        </w:tc>
      </w:tr>
      <w:tr w:rsidR="006D73B8" w:rsidRPr="006C0A8A" w14:paraId="45CB7917" w14:textId="77777777" w:rsidTr="006C0A8A">
        <w:tc>
          <w:tcPr>
            <w:tcW w:w="1909" w:type="dxa"/>
            <w:hideMark/>
          </w:tcPr>
          <w:p w14:paraId="5DC92734" w14:textId="77777777" w:rsidR="006D73B8" w:rsidRPr="006C0A8A" w:rsidRDefault="006D73B8" w:rsidP="006C0A8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0A8A">
              <w:rPr>
                <w:rFonts w:eastAsia="Times New Roman"/>
                <w:sz w:val="22"/>
                <w:szCs w:val="22"/>
              </w:rPr>
              <w:t>TR.CLE</w:t>
            </w:r>
          </w:p>
        </w:tc>
        <w:tc>
          <w:tcPr>
            <w:tcW w:w="5770" w:type="dxa"/>
            <w:hideMark/>
          </w:tcPr>
          <w:p w14:paraId="08F1EE4E" w14:textId="7C25FE9D" w:rsidR="006D73B8" w:rsidRPr="006C0A8A" w:rsidRDefault="006D73B8">
            <w:pPr>
              <w:rPr>
                <w:rFonts w:eastAsia="Times New Roman"/>
                <w:sz w:val="22"/>
                <w:szCs w:val="22"/>
              </w:rPr>
            </w:pPr>
            <w:r w:rsidRPr="006C0A8A">
              <w:rPr>
                <w:rFonts w:eastAsia="Times New Roman"/>
                <w:sz w:val="22"/>
                <w:szCs w:val="22"/>
              </w:rPr>
              <w:t xml:space="preserve">Identify call location for emergency services </w:t>
            </w:r>
          </w:p>
        </w:tc>
        <w:tc>
          <w:tcPr>
            <w:tcW w:w="1930" w:type="dxa"/>
            <w:hideMark/>
          </w:tcPr>
          <w:p w14:paraId="444FD5D7" w14:textId="6951F020" w:rsidR="006D73B8" w:rsidRPr="006C0A8A" w:rsidRDefault="00524F80" w:rsidP="00E544AB">
            <w:pPr>
              <w:rPr>
                <w:rFonts w:eastAsia="Times New Roman"/>
                <w:sz w:val="22"/>
                <w:szCs w:val="22"/>
              </w:rPr>
            </w:pPr>
            <w:hyperlink r:id="rId42" w:history="1">
              <w:r w:rsidR="006D73B8" w:rsidRPr="00E544AB">
                <w:rPr>
                  <w:rStyle w:val="Hyperlink"/>
                  <w:rFonts w:eastAsia="Times New Roman"/>
                  <w:sz w:val="22"/>
                  <w:szCs w:val="22"/>
                </w:rPr>
                <w:t>SG2-TD1091</w:t>
              </w:r>
              <w:r w:rsidR="00E544AB">
                <w:rPr>
                  <w:rStyle w:val="Hyperlink"/>
                  <w:rFonts w:eastAsia="Times New Roman"/>
                  <w:sz w:val="22"/>
                  <w:szCs w:val="22"/>
                </w:rPr>
                <w:t>-</w:t>
              </w:r>
              <w:r w:rsidR="006D73B8" w:rsidRPr="00E544AB">
                <w:rPr>
                  <w:rStyle w:val="Hyperlink"/>
                  <w:rFonts w:eastAsia="Times New Roman"/>
                  <w:sz w:val="22"/>
                  <w:szCs w:val="22"/>
                </w:rPr>
                <w:t>R1</w:t>
              </w:r>
            </w:hyperlink>
          </w:p>
        </w:tc>
      </w:tr>
      <w:tr w:rsidR="007621CF" w:rsidRPr="006C0A8A" w14:paraId="4DDD4829" w14:textId="77777777" w:rsidTr="006C0A8A">
        <w:tc>
          <w:tcPr>
            <w:tcW w:w="1909" w:type="dxa"/>
            <w:hideMark/>
          </w:tcPr>
          <w:p w14:paraId="1262B061" w14:textId="3226B89F" w:rsidR="007621CF" w:rsidRPr="006C0A8A" w:rsidRDefault="00E544AB" w:rsidP="007621CF">
            <w:pPr>
              <w:rPr>
                <w:rFonts w:eastAsia="Times New Roman"/>
                <w:sz w:val="22"/>
                <w:szCs w:val="22"/>
              </w:rPr>
            </w:pPr>
            <w:r w:rsidRPr="00E544AB">
              <w:rPr>
                <w:rFonts w:eastAsia="Times New Roman"/>
                <w:sz w:val="22"/>
                <w:szCs w:val="22"/>
              </w:rPr>
              <w:t>E.Suppl.11 to ITU-T E series</w:t>
            </w:r>
          </w:p>
        </w:tc>
        <w:tc>
          <w:tcPr>
            <w:tcW w:w="5770" w:type="dxa"/>
            <w:hideMark/>
          </w:tcPr>
          <w:p w14:paraId="6F153CBF" w14:textId="543A2C52" w:rsidR="007621CF" w:rsidRPr="006C0A8A" w:rsidRDefault="00E544AB" w:rsidP="007621CF">
            <w:pPr>
              <w:rPr>
                <w:rFonts w:eastAsia="Times New Roman"/>
                <w:sz w:val="22"/>
                <w:szCs w:val="22"/>
              </w:rPr>
            </w:pPr>
            <w:r w:rsidRPr="00E544AB">
              <w:rPr>
                <w:rFonts w:eastAsia="Times New Roman"/>
                <w:sz w:val="22"/>
                <w:szCs w:val="22"/>
              </w:rPr>
              <w:t>Criteria for M2M/IoT-related assignments Under Recommendation ITU-T E.164.1 and Recommendation ITU-T E.212 Annex A</w:t>
            </w:r>
          </w:p>
        </w:tc>
        <w:tc>
          <w:tcPr>
            <w:tcW w:w="1930" w:type="dxa"/>
            <w:hideMark/>
          </w:tcPr>
          <w:p w14:paraId="1CC85E7B" w14:textId="17BE53EC" w:rsidR="007621CF" w:rsidRPr="006C0A8A" w:rsidRDefault="00524F80" w:rsidP="00E544AB">
            <w:pPr>
              <w:rPr>
                <w:rFonts w:eastAsia="Times New Roman"/>
                <w:sz w:val="22"/>
                <w:szCs w:val="22"/>
              </w:rPr>
            </w:pPr>
            <w:hyperlink r:id="rId43" w:history="1">
              <w:r w:rsidR="00E544AB" w:rsidRPr="00E544AB">
                <w:rPr>
                  <w:rStyle w:val="Hyperlink"/>
                </w:rPr>
                <w:t>SG2-TD</w:t>
              </w:r>
              <w:r w:rsidR="007621CF" w:rsidRPr="00E544AB">
                <w:rPr>
                  <w:rStyle w:val="Hyperlink"/>
                  <w:rFonts w:eastAsia="Times New Roman"/>
                  <w:sz w:val="22"/>
                  <w:szCs w:val="22"/>
                </w:rPr>
                <w:t>1098</w:t>
              </w:r>
            </w:hyperlink>
            <w:r w:rsidR="007621CF" w:rsidRPr="006C0A8A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</w:tbl>
    <w:p w14:paraId="7D71E055" w14:textId="77777777" w:rsidR="006D73B8" w:rsidRPr="006D73B8" w:rsidRDefault="006D73B8" w:rsidP="006D73B8">
      <w:pPr>
        <w:rPr>
          <w:lang w:eastAsia="en-US"/>
        </w:rPr>
      </w:pPr>
    </w:p>
    <w:p w14:paraId="4F6AE501" w14:textId="204EC383" w:rsidR="001575EE" w:rsidRDefault="001575EE" w:rsidP="006D3A6A">
      <w:pPr>
        <w:pStyle w:val="Heading1"/>
        <w:numPr>
          <w:ilvl w:val="0"/>
          <w:numId w:val="4"/>
        </w:numPr>
        <w:tabs>
          <w:tab w:val="clear" w:pos="794"/>
          <w:tab w:val="left" w:pos="360"/>
        </w:tabs>
        <w:suppressAutoHyphens w:val="0"/>
        <w:adjustRightInd w:val="0"/>
        <w:ind w:left="426" w:hanging="426"/>
        <w:textAlignment w:val="auto"/>
        <w:rPr>
          <w:rFonts w:eastAsia="DengXian"/>
        </w:rPr>
      </w:pPr>
      <w:r w:rsidRPr="006D3A6A">
        <w:t>WTSA20</w:t>
      </w:r>
      <w:r>
        <w:rPr>
          <w:rFonts w:eastAsia="DengXian"/>
        </w:rPr>
        <w:t xml:space="preserve"> </w:t>
      </w:r>
      <w:r w:rsidR="0024472C">
        <w:rPr>
          <w:rFonts w:eastAsia="DengXian"/>
        </w:rPr>
        <w:t>preparations</w:t>
      </w:r>
    </w:p>
    <w:p w14:paraId="4107AE8A" w14:textId="41DF5F09" w:rsidR="003D771B" w:rsidRPr="004922AD" w:rsidRDefault="003D771B" w:rsidP="006F5457">
      <w:pPr>
        <w:keepNext/>
        <w:keepLines/>
      </w:pPr>
      <w:r w:rsidRPr="004922AD">
        <w:t>Parts I and II of the ITU-T SG2 report to WTSA-20, and proposals to streamline WTSA Resolutions</w:t>
      </w:r>
      <w:r>
        <w:t>, were discussed before and during the SG2 meeting held in May/June 2020</w:t>
      </w:r>
      <w:r w:rsidRPr="004922AD">
        <w:t xml:space="preserve">. This work was carried out by </w:t>
      </w:r>
      <w:hyperlink r:id="rId44" w:history="1">
        <w:r w:rsidRPr="004922AD">
          <w:rPr>
            <w:rStyle w:val="Hyperlink"/>
          </w:rPr>
          <w:t>correspondence</w:t>
        </w:r>
      </w:hyperlink>
      <w:r w:rsidRPr="004922AD">
        <w:t xml:space="preserve">, supported by the </w:t>
      </w:r>
      <w:hyperlink r:id="rId45" w:history="1">
        <w:r w:rsidRPr="004922AD">
          <w:rPr>
            <w:rStyle w:val="Hyperlink"/>
          </w:rPr>
          <w:t>documents collaboration site</w:t>
        </w:r>
      </w:hyperlink>
      <w:r w:rsidRPr="004922AD">
        <w:t xml:space="preserve"> and a series of </w:t>
      </w:r>
      <w:proofErr w:type="spellStart"/>
      <w:r w:rsidRPr="004922AD">
        <w:t>e</w:t>
      </w:r>
      <w:r w:rsidRPr="004922AD">
        <w:noBreakHyphen/>
        <w:t>meetings</w:t>
      </w:r>
      <w:proofErr w:type="spellEnd"/>
      <w:r w:rsidRPr="004922AD">
        <w:t xml:space="preserve"> held on:</w:t>
      </w:r>
    </w:p>
    <w:p w14:paraId="5EBFB4E7" w14:textId="77777777" w:rsidR="003D771B" w:rsidRPr="004922AD" w:rsidRDefault="003D771B" w:rsidP="006F5457">
      <w:pPr>
        <w:keepNext/>
        <w:keepLines/>
      </w:pPr>
      <w:r w:rsidRPr="004922AD">
        <w:t>˗</w:t>
      </w:r>
      <w:r w:rsidRPr="004922AD">
        <w:tab/>
        <w:t>4 March 2020.</w:t>
      </w:r>
    </w:p>
    <w:p w14:paraId="7B8BFAC6" w14:textId="77777777" w:rsidR="003D771B" w:rsidRPr="004922AD" w:rsidRDefault="003D771B" w:rsidP="006F5457">
      <w:pPr>
        <w:keepNext/>
        <w:keepLines/>
      </w:pPr>
      <w:r w:rsidRPr="004922AD">
        <w:t>˗</w:t>
      </w:r>
      <w:r w:rsidRPr="004922AD">
        <w:tab/>
        <w:t>1 and 15 April 2020.</w:t>
      </w:r>
    </w:p>
    <w:p w14:paraId="44207D9C" w14:textId="77777777" w:rsidR="003D771B" w:rsidRPr="004922AD" w:rsidRDefault="003D771B" w:rsidP="003D771B">
      <w:r w:rsidRPr="004922AD">
        <w:t>˗</w:t>
      </w:r>
      <w:r w:rsidRPr="004922AD">
        <w:tab/>
        <w:t>6</w:t>
      </w:r>
      <w:r>
        <w:t xml:space="preserve"> and </w:t>
      </w:r>
      <w:r w:rsidRPr="004922AD">
        <w:t>22 May 2020.</w:t>
      </w:r>
    </w:p>
    <w:p w14:paraId="2D7F90EE" w14:textId="6C2E5B2B" w:rsidR="003D771B" w:rsidRPr="00C14E86" w:rsidRDefault="003D771B" w:rsidP="003D771B">
      <w:r>
        <w:t xml:space="preserve">An ad-hoc meeting to further discuss these reports was held on 27 May 2020. </w:t>
      </w:r>
      <w:r w:rsidRPr="00406F91">
        <w:t xml:space="preserve">The output drafts of Part I and II of the report </w:t>
      </w:r>
      <w:r w:rsidR="006F5457">
        <w:t>were approved</w:t>
      </w:r>
      <w:r w:rsidRPr="00406F91">
        <w:t xml:space="preserve"> </w:t>
      </w:r>
      <w:r w:rsidR="006F5457">
        <w:t xml:space="preserve">at the </w:t>
      </w:r>
      <w:r w:rsidR="006F5457" w:rsidRPr="00C14E86">
        <w:t xml:space="preserve">closing plenary held on 5 June 2020, </w:t>
      </w:r>
      <w:r w:rsidRPr="00C14E86">
        <w:t>as</w:t>
      </w:r>
      <w:r w:rsidR="006F5457" w:rsidRPr="00C14E86">
        <w:t xml:space="preserve"> contained in </w:t>
      </w:r>
      <w:hyperlink r:id="rId46" w:history="1">
        <w:r w:rsidRPr="00C14E86">
          <w:rPr>
            <w:rStyle w:val="Hyperlink"/>
          </w:rPr>
          <w:t>SG2-TD1042-R3</w:t>
        </w:r>
      </w:hyperlink>
      <w:r w:rsidRPr="00C14E86">
        <w:t xml:space="preserve"> and </w:t>
      </w:r>
      <w:hyperlink r:id="rId47" w:history="1">
        <w:r w:rsidRPr="00C14E86">
          <w:rPr>
            <w:rStyle w:val="Hyperlink"/>
          </w:rPr>
          <w:t>SG2</w:t>
        </w:r>
        <w:r w:rsidRPr="00C14E86">
          <w:rPr>
            <w:rStyle w:val="Hyperlink"/>
          </w:rPr>
          <w:noBreakHyphen/>
          <w:t>TD1043</w:t>
        </w:r>
        <w:r w:rsidRPr="00C14E86">
          <w:rPr>
            <w:rStyle w:val="Hyperlink"/>
          </w:rPr>
          <w:noBreakHyphen/>
          <w:t>R3</w:t>
        </w:r>
      </w:hyperlink>
      <w:r w:rsidRPr="00C14E86">
        <w:t xml:space="preserve">, respectively. </w:t>
      </w:r>
      <w:r w:rsidR="006F5457" w:rsidRPr="00C14E86">
        <w:t xml:space="preserve">Proposed updates to ITU-T SG2’s mandate and Question texts were transmitted to TSAG in </w:t>
      </w:r>
      <w:hyperlink r:id="rId48" w:history="1">
        <w:r w:rsidR="006F5457" w:rsidRPr="00C14E86">
          <w:rPr>
            <w:rStyle w:val="Hyperlink"/>
          </w:rPr>
          <w:t>SG2-LS</w:t>
        </w:r>
        <w:r w:rsidR="003F0FDE" w:rsidRPr="00C14E86">
          <w:rPr>
            <w:rStyle w:val="Hyperlink"/>
          </w:rPr>
          <w:t>1198</w:t>
        </w:r>
      </w:hyperlink>
      <w:r w:rsidR="006F5457" w:rsidRPr="00C14E86">
        <w:t>.</w:t>
      </w:r>
    </w:p>
    <w:p w14:paraId="187945BA" w14:textId="39D13FB9" w:rsidR="003A104F" w:rsidRPr="00C14E86" w:rsidRDefault="003A104F" w:rsidP="003D771B">
      <w:r w:rsidRPr="00C14E86">
        <w:t xml:space="preserve">A further e-meeting was held on 3 August 2020 to </w:t>
      </w:r>
      <w:r w:rsidR="0003643B" w:rsidRPr="00C14E86">
        <w:t>conclude</w:t>
      </w:r>
      <w:r w:rsidRPr="00C14E86">
        <w:t xml:space="preserve"> discussions on streamlining WTSA Resolutions.  </w:t>
      </w:r>
      <w:r w:rsidR="00A00CC3" w:rsidRPr="00C14E86">
        <w:t>Proposed revisions to WTSA Resolutions 20, 29, 61, and 65 were sent forward to the</w:t>
      </w:r>
      <w:r w:rsidR="0003643B" w:rsidRPr="00C14E86">
        <w:t xml:space="preserve"> SG2 Plenary on 7-8 September 2020</w:t>
      </w:r>
      <w:r w:rsidR="00A00CC3" w:rsidRPr="00C14E86">
        <w:t xml:space="preserve"> for final review</w:t>
      </w:r>
      <w:r w:rsidRPr="00C14E86">
        <w:t>.</w:t>
      </w:r>
    </w:p>
    <w:p w14:paraId="1402C262" w14:textId="7841BF03" w:rsidR="00A61CBC" w:rsidRPr="00C14E86" w:rsidRDefault="00E8649E" w:rsidP="006D3A6A">
      <w:pPr>
        <w:pStyle w:val="Heading1"/>
        <w:numPr>
          <w:ilvl w:val="0"/>
          <w:numId w:val="4"/>
        </w:numPr>
        <w:tabs>
          <w:tab w:val="clear" w:pos="794"/>
          <w:tab w:val="left" w:pos="360"/>
        </w:tabs>
        <w:suppressAutoHyphens w:val="0"/>
        <w:adjustRightInd w:val="0"/>
        <w:ind w:left="426" w:hanging="426"/>
        <w:textAlignment w:val="auto"/>
        <w:rPr>
          <w:rFonts w:eastAsia="DengXian"/>
        </w:rPr>
      </w:pPr>
      <w:r w:rsidRPr="00C14E86">
        <w:t>Progress</w:t>
      </w:r>
    </w:p>
    <w:p w14:paraId="395A4A6F" w14:textId="5C486AD4" w:rsidR="00C02AF6" w:rsidRPr="00C14E86" w:rsidRDefault="00765B20" w:rsidP="006D3A6A">
      <w:pPr>
        <w:rPr>
          <w:rFonts w:asciiTheme="majorBidi" w:hAnsiTheme="majorBidi" w:cstheme="majorBidi"/>
          <w:b/>
        </w:rPr>
      </w:pPr>
      <w:r w:rsidRPr="00C14E86">
        <w:t xml:space="preserve">As noted in the table above, the meeting approved </w:t>
      </w:r>
      <w:r w:rsidR="00C02AF6" w:rsidRPr="00C14E86">
        <w:t xml:space="preserve">a supplement </w:t>
      </w:r>
      <w:r w:rsidRPr="00C14E86">
        <w:t xml:space="preserve">with criteria </w:t>
      </w:r>
      <w:r w:rsidR="00C02AF6" w:rsidRPr="00C14E86">
        <w:t xml:space="preserve">for </w:t>
      </w:r>
      <w:r w:rsidRPr="00C14E86">
        <w:t>IoT/</w:t>
      </w:r>
      <w:r w:rsidR="00C02AF6" w:rsidRPr="00C14E86">
        <w:t>M2M-related assignments of global resources under E.164 country codes and E.212 country codes</w:t>
      </w:r>
      <w:r w:rsidR="005877FF" w:rsidRPr="00C14E86">
        <w:rPr>
          <w:iCs/>
        </w:rPr>
        <w:t>.  Further study on normative text was identified as future work.</w:t>
      </w:r>
      <w:r w:rsidRPr="00C14E86">
        <w:rPr>
          <w:iCs/>
        </w:rPr>
        <w:t xml:space="preserve"> Additionally, </w:t>
      </w:r>
      <w:r w:rsidRPr="00C14E86">
        <w:rPr>
          <w:rFonts w:asciiTheme="majorBidi" w:hAnsiTheme="majorBidi" w:cstheme="majorBidi"/>
        </w:rPr>
        <w:t>SG2 has agreed to further develop guidance on the NCT processes</w:t>
      </w:r>
      <w:r w:rsidRPr="00C14E86">
        <w:t xml:space="preserve"> on the application for, and assignment, of global NNAI resources as a supplement.</w:t>
      </w:r>
    </w:p>
    <w:p w14:paraId="6D4C8857" w14:textId="08222AE4" w:rsidR="005877FF" w:rsidRPr="005877FF" w:rsidRDefault="005877FF" w:rsidP="006D3A6A">
      <w:pPr>
        <w:rPr>
          <w:b/>
        </w:rPr>
      </w:pPr>
      <w:r w:rsidRPr="00C14E86">
        <w:t xml:space="preserve">Discussions on the possible use of </w:t>
      </w:r>
      <w:r w:rsidR="00C02AF6" w:rsidRPr="00C14E86">
        <w:t xml:space="preserve">Country Code +888 </w:t>
      </w:r>
      <w:r w:rsidR="00765B20" w:rsidRPr="00C14E86">
        <w:t>as a</w:t>
      </w:r>
      <w:r w:rsidR="00C02AF6" w:rsidRPr="00C14E86">
        <w:t xml:space="preserve"> shared humanitarian global country cod</w:t>
      </w:r>
      <w:r w:rsidR="00765B20" w:rsidRPr="00C14E86">
        <w:t>e</w:t>
      </w:r>
      <w:r w:rsidRPr="00C14E86">
        <w:t xml:space="preserve"> </w:t>
      </w:r>
      <w:r w:rsidR="00C02AF6" w:rsidRPr="00C14E86">
        <w:t>support</w:t>
      </w:r>
      <w:r w:rsidRPr="00C14E86">
        <w:t>ed</w:t>
      </w:r>
      <w:r w:rsidR="00C02AF6" w:rsidRPr="00C14E86">
        <w:t xml:space="preserve">  progress</w:t>
      </w:r>
      <w:r w:rsidR="00765B20" w:rsidRPr="00C14E86">
        <w:t>ing</w:t>
      </w:r>
      <w:r w:rsidR="00C02AF6" w:rsidRPr="00C14E86">
        <w:t xml:space="preserve"> the proposed work as a Technical Report, and agreed to hold an e-meeting dedicated to this topic, which w</w:t>
      </w:r>
      <w:r w:rsidR="00765B20" w:rsidRPr="00C14E86">
        <w:t>ould</w:t>
      </w:r>
      <w:r w:rsidR="00C02AF6" w:rsidRPr="00C14E86">
        <w:t xml:space="preserve"> provide an opportunity to more fully address the questions and comments raised</w:t>
      </w:r>
      <w:r w:rsidR="00765B20" w:rsidRPr="00C14E86">
        <w:t xml:space="preserve">.  The results of the subsequent e-meeting, held on 11 August 2020, are contained in </w:t>
      </w:r>
      <w:hyperlink r:id="rId49" w:history="1">
        <w:r w:rsidR="00765B20" w:rsidRPr="00C14E86">
          <w:rPr>
            <w:rStyle w:val="Hyperlink"/>
          </w:rPr>
          <w:t>SG2-TD</w:t>
        </w:r>
        <w:r w:rsidR="006C0A8A" w:rsidRPr="00C14E86">
          <w:rPr>
            <w:rStyle w:val="Hyperlink"/>
          </w:rPr>
          <w:t>1178</w:t>
        </w:r>
      </w:hyperlink>
      <w:r w:rsidR="00765B20" w:rsidRPr="00C14E86">
        <w:t xml:space="preserve"> and will inform further</w:t>
      </w:r>
      <w:r w:rsidR="00765B20">
        <w:t xml:space="preserve"> work.</w:t>
      </w:r>
    </w:p>
    <w:p w14:paraId="1D0A6559" w14:textId="4A0C9074" w:rsidR="00C02AF6" w:rsidRPr="005877FF" w:rsidRDefault="00765B20" w:rsidP="006D3A6A">
      <w:pPr>
        <w:rPr>
          <w:rFonts w:asciiTheme="majorBidi" w:hAnsiTheme="majorBidi" w:cstheme="majorBidi"/>
          <w:b/>
        </w:rPr>
      </w:pPr>
      <w:r>
        <w:t xml:space="preserve">Revisions to Recommendation ITU-T </w:t>
      </w:r>
      <w:r w:rsidR="00C02AF6" w:rsidRPr="005877FF">
        <w:t xml:space="preserve">E.157 </w:t>
      </w:r>
      <w:r>
        <w:t>(</w:t>
      </w:r>
      <w:r w:rsidR="005877FF" w:rsidRPr="005877FF">
        <w:t>Calling Number Presentation Delivery</w:t>
      </w:r>
      <w:r>
        <w:t>)</w:t>
      </w:r>
      <w:r w:rsidR="005877FF" w:rsidRPr="005877FF">
        <w:t xml:space="preserve"> </w:t>
      </w:r>
      <w:r w:rsidR="00C02AF6" w:rsidRPr="005877FF">
        <w:t xml:space="preserve">and </w:t>
      </w:r>
      <w:r>
        <w:t xml:space="preserve">a draft new </w:t>
      </w:r>
      <w:r w:rsidR="00C02AF6" w:rsidRPr="005877FF">
        <w:t>Supplement to E.157</w:t>
      </w:r>
      <w:r w:rsidR="005877FF" w:rsidRPr="005877FF">
        <w:t xml:space="preserve"> (</w:t>
      </w:r>
      <w:proofErr w:type="spellStart"/>
      <w:r w:rsidR="005877FF" w:rsidRPr="005877FF">
        <w:t>E.sup.spoofing</w:t>
      </w:r>
      <w:proofErr w:type="spellEnd"/>
      <w:r w:rsidR="005877FF" w:rsidRPr="005877FF">
        <w:t xml:space="preserve"> to E.157) on countering spoofing w</w:t>
      </w:r>
      <w:r>
        <w:t>ere</w:t>
      </w:r>
      <w:r w:rsidR="005877FF" w:rsidRPr="005877FF">
        <w:t xml:space="preserve"> discussed</w:t>
      </w:r>
      <w:r>
        <w:t>.</w:t>
      </w:r>
      <w:r w:rsidR="005877FF" w:rsidRPr="005877FF">
        <w:t xml:space="preserve"> </w:t>
      </w:r>
      <w:r w:rsidR="00FB6BD2">
        <w:t xml:space="preserve">The work was further </w:t>
      </w:r>
      <w:r w:rsidR="005877FF" w:rsidRPr="005877FF">
        <w:t>progressed</w:t>
      </w:r>
      <w:r w:rsidR="00FB6BD2">
        <w:t xml:space="preserve"> through several </w:t>
      </w:r>
      <w:proofErr w:type="spellStart"/>
      <w:r w:rsidR="00FB6BD2">
        <w:t>e-meetings</w:t>
      </w:r>
      <w:proofErr w:type="spellEnd"/>
      <w:r w:rsidR="00FB6BD2">
        <w:t xml:space="preserve"> on 1 July 2020, 17 July 2020, and 5 August 2020</w:t>
      </w:r>
      <w:r w:rsidR="005877FF" w:rsidRPr="005877FF">
        <w:t>.</w:t>
      </w:r>
    </w:p>
    <w:p w14:paraId="54CBFAD9" w14:textId="1D880E1B" w:rsidR="00C02AF6" w:rsidRPr="00245853" w:rsidRDefault="008D6982" w:rsidP="006D3A6A">
      <w:pPr>
        <w:rPr>
          <w:rFonts w:asciiTheme="majorBidi" w:hAnsiTheme="majorBidi" w:cstheme="majorBidi"/>
          <w:b/>
        </w:rPr>
      </w:pPr>
      <w:r>
        <w:lastRenderedPageBreak/>
        <w:t>T</w:t>
      </w:r>
      <w:r w:rsidRPr="00245853">
        <w:t xml:space="preserve">he latest </w:t>
      </w:r>
      <w:r w:rsidR="00601B9F">
        <w:t xml:space="preserve">base </w:t>
      </w:r>
      <w:r w:rsidRPr="00245853">
        <w:t xml:space="preserve">text </w:t>
      </w:r>
      <w:r>
        <w:t xml:space="preserve">of </w:t>
      </w:r>
      <w:r w:rsidR="00C02AF6" w:rsidRPr="00245853">
        <w:t xml:space="preserve">Draft Recommendation </w:t>
      </w:r>
      <w:proofErr w:type="spellStart"/>
      <w:r w:rsidR="00C02AF6" w:rsidRPr="00245853">
        <w:t>E.IoT</w:t>
      </w:r>
      <w:proofErr w:type="spellEnd"/>
      <w:r w:rsidR="00C02AF6" w:rsidRPr="00245853">
        <w:t>-NNAI</w:t>
      </w:r>
      <w:r>
        <w:t xml:space="preserve"> was</w:t>
      </w:r>
      <w:r w:rsidR="00C02AF6" w:rsidRPr="00245853">
        <w:t xml:space="preserve"> </w:t>
      </w:r>
      <w:r w:rsidR="00245853" w:rsidRPr="00245853">
        <w:t xml:space="preserve">reviewed and </w:t>
      </w:r>
      <w:r>
        <w:t xml:space="preserve">it was </w:t>
      </w:r>
      <w:r w:rsidR="00245853" w:rsidRPr="00245853">
        <w:t xml:space="preserve">agreed as the way forward.  Further contributions were called for.  Also included in the text of this draft </w:t>
      </w:r>
      <w:r w:rsidR="006C0A8A" w:rsidRPr="00245853">
        <w:t>Reco</w:t>
      </w:r>
      <w:r w:rsidR="006C0A8A">
        <w:t>m</w:t>
      </w:r>
      <w:r w:rsidR="006C0A8A" w:rsidRPr="00245853">
        <w:t xml:space="preserve">mendation </w:t>
      </w:r>
      <w:r w:rsidR="00245853" w:rsidRPr="00245853">
        <w:t xml:space="preserve">was the proposal from CNIC (China) </w:t>
      </w:r>
      <w:r>
        <w:t>that it had submitted</w:t>
      </w:r>
      <w:r w:rsidR="00245853" w:rsidRPr="00245853">
        <w:t>.</w:t>
      </w:r>
    </w:p>
    <w:p w14:paraId="2FA30214" w14:textId="0336E619" w:rsidR="007D1309" w:rsidRPr="007D1309" w:rsidRDefault="007D1309" w:rsidP="008D6982">
      <w:pPr>
        <w:rPr>
          <w:color w:val="000000" w:themeColor="text1"/>
        </w:rPr>
      </w:pPr>
      <w:r w:rsidRPr="007D1309">
        <w:t xml:space="preserve">Further progress was made on the draft </w:t>
      </w:r>
      <w:r w:rsidR="00B10389">
        <w:t>new R</w:t>
      </w:r>
      <w:r w:rsidRPr="007D1309">
        <w:t xml:space="preserve">ecommendations E.ACP (Alternative </w:t>
      </w:r>
      <w:r w:rsidR="00601B9F">
        <w:t>Ca</w:t>
      </w:r>
      <w:r w:rsidRPr="007D1309">
        <w:t>lling Procedures)</w:t>
      </w:r>
      <w:r w:rsidR="00B10389">
        <w:t xml:space="preserve"> and </w:t>
      </w:r>
      <w:proofErr w:type="spellStart"/>
      <w:r w:rsidRPr="007D1309">
        <w:t>E.dit</w:t>
      </w:r>
      <w:proofErr w:type="spellEnd"/>
      <w:r w:rsidRPr="007D1309">
        <w:t xml:space="preserve"> (</w:t>
      </w:r>
      <w:r w:rsidR="00601B9F">
        <w:t>D</w:t>
      </w:r>
      <w:r w:rsidRPr="007D1309">
        <w:t>eemed impermissible traffic)</w:t>
      </w:r>
      <w:r w:rsidR="00B10389">
        <w:t>,</w:t>
      </w:r>
      <w:r w:rsidRPr="007D1309">
        <w:t xml:space="preserve"> </w:t>
      </w:r>
      <w:r w:rsidR="00B10389">
        <w:t>as well as</w:t>
      </w:r>
      <w:r w:rsidRPr="007D1309">
        <w:t xml:space="preserve"> amending Recommendation ITU</w:t>
      </w:r>
      <w:r w:rsidR="006C0A8A">
        <w:noBreakHyphen/>
      </w:r>
      <w:r w:rsidRPr="007D1309">
        <w:t xml:space="preserve">T E.370 </w:t>
      </w:r>
      <w:r w:rsidRPr="007D1309">
        <w:rPr>
          <w:color w:val="000000" w:themeColor="text1"/>
        </w:rPr>
        <w:t>“</w:t>
      </w:r>
      <w:r w:rsidRPr="007D1309">
        <w:rPr>
          <w:rFonts w:eastAsia="Times New Roman"/>
          <w:color w:val="000000" w:themeColor="text1"/>
        </w:rPr>
        <w:t>Service principles when public circuit-switched international telecommunication networks interwork with IP-based networks</w:t>
      </w:r>
      <w:r w:rsidRPr="007D1309">
        <w:rPr>
          <w:color w:val="000000" w:themeColor="text1"/>
        </w:rPr>
        <w:t>”.</w:t>
      </w:r>
    </w:p>
    <w:p w14:paraId="4C2A65FF" w14:textId="09428677" w:rsidR="008D6982" w:rsidRDefault="00C02AF6" w:rsidP="008D6982">
      <w:pPr>
        <w:rPr>
          <w:bCs/>
          <w:iCs/>
        </w:rPr>
      </w:pPr>
      <w:r>
        <w:t xml:space="preserve">E.212 Annex H </w:t>
      </w:r>
      <w:r w:rsidR="00245853">
        <w:t xml:space="preserve">was discussed in the meeting with a proposal being sought to re-visit the proposed text to insert a new clause.  </w:t>
      </w:r>
      <w:r w:rsidR="00245853">
        <w:rPr>
          <w:bCs/>
          <w:iCs/>
        </w:rPr>
        <w:t xml:space="preserve">There was no consensus to revisit that decision so as to open a discussion on whether Annex H should be amended. After extensive discussion, the meeting agreed that the text of the proposed new Annex H can be considered as stable. The meeting therefore agreed to propose Annex H for determination </w:t>
      </w:r>
      <w:r w:rsidR="00914AA4">
        <w:rPr>
          <w:bCs/>
          <w:iCs/>
        </w:rPr>
        <w:t>and</w:t>
      </w:r>
      <w:r w:rsidR="00245853">
        <w:rPr>
          <w:bCs/>
          <w:iCs/>
        </w:rPr>
        <w:t xml:space="preserve"> emphasized that Member States are welcome to provide any additional comments as part of the TAP ballot consultation process. </w:t>
      </w:r>
      <w:r w:rsidR="00914AA4">
        <w:rPr>
          <w:bCs/>
          <w:iCs/>
        </w:rPr>
        <w:t>An e-meeting was held on 6 August 2020 to further discuss issues related to E.212 in general.</w:t>
      </w:r>
    </w:p>
    <w:p w14:paraId="26E9BB0A" w14:textId="7C0E5045" w:rsidR="00C02AF6" w:rsidRPr="008D6982" w:rsidRDefault="00C02AF6" w:rsidP="008D6982">
      <w:pPr>
        <w:rPr>
          <w:iCs/>
        </w:rPr>
      </w:pPr>
      <w:r w:rsidRPr="008D6982">
        <w:t xml:space="preserve">E.118 </w:t>
      </w:r>
      <w:r w:rsidR="00245853" w:rsidRPr="008D6982">
        <w:t xml:space="preserve">will be further developed based on discussions of a proposal from GSMA on its intention to </w:t>
      </w:r>
      <w:r w:rsidR="006D73B8" w:rsidRPr="008D6982">
        <w:t>define and assign EID resources for M2M/IoT.</w:t>
      </w:r>
    </w:p>
    <w:p w14:paraId="778AC9C4" w14:textId="582D326F" w:rsidR="00C02AF6" w:rsidRPr="006D73B8" w:rsidRDefault="006D73B8" w:rsidP="006D3A6A">
      <w:pPr>
        <w:rPr>
          <w:rFonts w:asciiTheme="majorBidi" w:hAnsiTheme="majorBidi" w:cstheme="majorBidi"/>
          <w:b/>
        </w:rPr>
      </w:pPr>
      <w:r w:rsidRPr="006D73B8">
        <w:t xml:space="preserve">The future use of </w:t>
      </w:r>
      <w:r w:rsidR="00C02AF6" w:rsidRPr="006D73B8">
        <w:t xml:space="preserve">E.164 CC +878 </w:t>
      </w:r>
      <w:r w:rsidRPr="006D73B8">
        <w:t xml:space="preserve">was discussed, based on a contribution from Malta, </w:t>
      </w:r>
      <w:r w:rsidR="00914AA4">
        <w:t xml:space="preserve">and it </w:t>
      </w:r>
      <w:r w:rsidRPr="006D73B8">
        <w:t>was noted that services available under +878-10 in the future if the range is allocated for M2M/IoT, and any “grandfathering” or “exceptions” to future general rules applicable to 878</w:t>
      </w:r>
      <w:r w:rsidR="00914AA4">
        <w:t>,</w:t>
      </w:r>
      <w:r w:rsidRPr="006D73B8">
        <w:t xml:space="preserve"> warrant further discussion moving forward</w:t>
      </w:r>
      <w:r w:rsidR="00914AA4">
        <w:t>.</w:t>
      </w:r>
    </w:p>
    <w:p w14:paraId="58104B30" w14:textId="38FDD994" w:rsidR="006D73B8" w:rsidRPr="006D73B8" w:rsidRDefault="006D73B8" w:rsidP="008D6982">
      <w:pPr>
        <w:rPr>
          <w:rStyle w:val="Strong"/>
        </w:rPr>
      </w:pPr>
      <w:r w:rsidRPr="006D73B8">
        <w:t xml:space="preserve">The </w:t>
      </w:r>
      <w:r w:rsidR="00914AA4">
        <w:t xml:space="preserve">meeting further discussed the </w:t>
      </w:r>
      <w:r w:rsidRPr="006D73B8">
        <w:t xml:space="preserve">referral by the NCT </w:t>
      </w:r>
      <w:r w:rsidR="008D6982">
        <w:t xml:space="preserve">to the SG </w:t>
      </w:r>
      <w:r w:rsidRPr="006D73B8">
        <w:t xml:space="preserve">of a request </w:t>
      </w:r>
      <w:r w:rsidR="00C02AF6" w:rsidRPr="006D73B8">
        <w:t>for an E.164 CC+IC</w:t>
      </w:r>
      <w:r w:rsidR="00914AA4">
        <w:t>,</w:t>
      </w:r>
      <w:r w:rsidR="00C02AF6" w:rsidRPr="006D73B8">
        <w:t xml:space="preserve"> </w:t>
      </w:r>
      <w:r w:rsidRPr="006D73B8">
        <w:t xml:space="preserve">because the request sought to use one numbering resource for provisioning a service </w:t>
      </w:r>
      <w:r w:rsidR="008D6982">
        <w:t xml:space="preserve">that was </w:t>
      </w:r>
      <w:r w:rsidRPr="006D73B8">
        <w:t>substantially similar to an ITU-T-approved global service for which a country code has already been reserved or assigned. (The E.164 country code for International Premium Rate Service is 979.)</w:t>
      </w:r>
      <w:r w:rsidR="007D1309">
        <w:t xml:space="preserve"> </w:t>
      </w:r>
      <w:r w:rsidRPr="006D73B8">
        <w:rPr>
          <w:lang w:val="en-US"/>
        </w:rPr>
        <w:t xml:space="preserve">The meeting invited the applicant to contribute additional information </w:t>
      </w:r>
      <w:r w:rsidRPr="006D73B8">
        <w:rPr>
          <w:iCs/>
        </w:rPr>
        <w:t xml:space="preserve">in response to the </w:t>
      </w:r>
      <w:r w:rsidR="008D6982">
        <w:rPr>
          <w:iCs/>
        </w:rPr>
        <w:t>potential overlap</w:t>
      </w:r>
      <w:r w:rsidR="007D1309">
        <w:rPr>
          <w:iCs/>
        </w:rPr>
        <w:t xml:space="preserve"> and the issues raised</w:t>
      </w:r>
      <w:r w:rsidR="008D6982">
        <w:rPr>
          <w:iCs/>
        </w:rPr>
        <w:t>.</w:t>
      </w:r>
      <w:r w:rsidRPr="006D73B8">
        <w:rPr>
          <w:lang w:val="en-US"/>
        </w:rPr>
        <w:t xml:space="preserve"> </w:t>
      </w:r>
    </w:p>
    <w:p w14:paraId="60A51142" w14:textId="06B3FDE4" w:rsidR="007621CF" w:rsidRDefault="007621CF" w:rsidP="007621CF">
      <w:pPr>
        <w:rPr>
          <w:lang w:val="en-US" w:eastAsia="zh-CN"/>
        </w:rPr>
      </w:pPr>
      <w:r>
        <w:rPr>
          <w:bCs/>
          <w:iCs/>
          <w:lang w:val="en-US" w:eastAsia="zh-CN"/>
        </w:rPr>
        <w:t>Progress was made on the following draft recommendations</w:t>
      </w:r>
      <w:r w:rsidR="00A67B7C">
        <w:rPr>
          <w:bCs/>
          <w:iCs/>
          <w:lang w:val="en-US" w:eastAsia="zh-CN"/>
        </w:rPr>
        <w:t>:</w:t>
      </w:r>
      <w:r>
        <w:rPr>
          <w:bCs/>
          <w:iCs/>
          <w:lang w:val="en-US" w:eastAsia="zh-CN"/>
        </w:rPr>
        <w:t xml:space="preserve"> </w:t>
      </w:r>
      <w:r>
        <w:rPr>
          <w:lang w:val="en-US" w:eastAsia="zh-CN"/>
        </w:rPr>
        <w:t xml:space="preserve"> </w:t>
      </w:r>
    </w:p>
    <w:p w14:paraId="17FDDD79" w14:textId="4AF2EEB8" w:rsidR="007621CF" w:rsidRPr="007621CF" w:rsidRDefault="00BA7023" w:rsidP="00BA7023">
      <w:pPr>
        <w:pStyle w:val="enumlev1"/>
        <w:rPr>
          <w:bCs/>
          <w:iCs/>
          <w:lang w:val="en-US"/>
        </w:rPr>
      </w:pPr>
      <w:r>
        <w:rPr>
          <w:lang w:val="en-US"/>
        </w:rPr>
        <w:t>˗</w:t>
      </w:r>
      <w:r>
        <w:rPr>
          <w:lang w:val="en-US"/>
        </w:rPr>
        <w:tab/>
      </w:r>
      <w:proofErr w:type="spellStart"/>
      <w:r w:rsidR="007621CF" w:rsidRPr="007621CF">
        <w:rPr>
          <w:lang w:val="en-US"/>
        </w:rPr>
        <w:t>M.rscnsm</w:t>
      </w:r>
      <w:proofErr w:type="spellEnd"/>
      <w:r w:rsidR="007621CF" w:rsidRPr="007621CF">
        <w:rPr>
          <w:lang w:val="en-US"/>
        </w:rPr>
        <w:t xml:space="preserve"> on “Requirements for synergy management of cloud and SDN-based networks</w:t>
      </w:r>
      <w:r w:rsidR="00A67B7C">
        <w:rPr>
          <w:lang w:val="en-US"/>
        </w:rPr>
        <w:t>,</w:t>
      </w:r>
      <w:r w:rsidR="007621CF" w:rsidRPr="007621CF">
        <w:rPr>
          <w:lang w:val="en-US"/>
        </w:rPr>
        <w:t>” based on the comments received during the interim meeting.</w:t>
      </w:r>
      <w:r w:rsidR="007621CF" w:rsidRPr="007621CF">
        <w:rPr>
          <w:bCs/>
          <w:iCs/>
          <w:lang w:val="en-US"/>
        </w:rPr>
        <w:t xml:space="preserve"> </w:t>
      </w:r>
    </w:p>
    <w:p w14:paraId="3FDF97F1" w14:textId="3BA1F8A5" w:rsidR="007621CF" w:rsidRDefault="00BA7023" w:rsidP="00BA7023">
      <w:pPr>
        <w:pStyle w:val="enumlev1"/>
        <w:rPr>
          <w:bCs/>
          <w:iCs/>
          <w:lang w:val="en-US"/>
        </w:rPr>
      </w:pPr>
      <w:r>
        <w:rPr>
          <w:lang w:val="en-US"/>
        </w:rPr>
        <w:t>˗</w:t>
      </w:r>
      <w:r>
        <w:rPr>
          <w:lang w:val="en-US"/>
        </w:rPr>
        <w:tab/>
      </w:r>
      <w:r w:rsidR="007621CF">
        <w:rPr>
          <w:lang w:val="en-US"/>
        </w:rPr>
        <w:t>M.AI-tom “Framework of AI enhanced Telecom Operation and Management (AI-TOM)</w:t>
      </w:r>
      <w:r w:rsidR="00A67B7C">
        <w:rPr>
          <w:lang w:val="en-US"/>
        </w:rPr>
        <w:t>,</w:t>
      </w:r>
      <w:r w:rsidR="007621CF">
        <w:rPr>
          <w:lang w:val="en-US"/>
        </w:rPr>
        <w:t>” based on the comments received during the interim meeting.</w:t>
      </w:r>
      <w:r w:rsidR="007621CF">
        <w:rPr>
          <w:bCs/>
          <w:iCs/>
          <w:lang w:val="en-US"/>
        </w:rPr>
        <w:t xml:space="preserve"> </w:t>
      </w:r>
    </w:p>
    <w:p w14:paraId="10C2D2BA" w14:textId="7A7C629A" w:rsidR="007621CF" w:rsidRPr="007621CF" w:rsidRDefault="00BA7023" w:rsidP="00BA7023">
      <w:pPr>
        <w:pStyle w:val="enumlev1"/>
        <w:rPr>
          <w:bCs/>
          <w:iCs/>
          <w:szCs w:val="22"/>
          <w:lang w:val="en-US"/>
        </w:rPr>
      </w:pPr>
      <w:r>
        <w:rPr>
          <w:lang w:val="en-US"/>
        </w:rPr>
        <w:t>˗</w:t>
      </w:r>
      <w:r>
        <w:rPr>
          <w:lang w:val="en-US"/>
        </w:rPr>
        <w:tab/>
      </w:r>
      <w:proofErr w:type="spellStart"/>
      <w:r w:rsidR="007621CF">
        <w:rPr>
          <w:lang w:val="en-US"/>
        </w:rPr>
        <w:t>M</w:t>
      </w:r>
      <w:r w:rsidR="007621CF">
        <w:rPr>
          <w:szCs w:val="22"/>
          <w:lang w:val="en-US"/>
        </w:rPr>
        <w:t>.resm</w:t>
      </w:r>
      <w:proofErr w:type="spellEnd"/>
      <w:r w:rsidR="007621CF">
        <w:rPr>
          <w:szCs w:val="22"/>
          <w:lang w:val="en-US"/>
        </w:rPr>
        <w:t xml:space="preserve">-AI </w:t>
      </w:r>
      <w:r w:rsidR="007621CF">
        <w:rPr>
          <w:lang w:val="en-US"/>
        </w:rPr>
        <w:t>“</w:t>
      </w:r>
      <w:r w:rsidR="007621CF">
        <w:rPr>
          <w:szCs w:val="22"/>
          <w:lang w:val="en-US"/>
        </w:rPr>
        <w:t>Requirements for energy saving management of 5G RAN system with AI</w:t>
      </w:r>
      <w:r w:rsidR="00A67B7C">
        <w:rPr>
          <w:szCs w:val="22"/>
          <w:lang w:val="en-US"/>
        </w:rPr>
        <w:t>,</w:t>
      </w:r>
      <w:r w:rsidR="007621CF">
        <w:rPr>
          <w:szCs w:val="22"/>
          <w:lang w:val="en-US"/>
        </w:rPr>
        <w:t>” bas</w:t>
      </w:r>
      <w:r w:rsidR="007621CF">
        <w:rPr>
          <w:lang w:val="en-US"/>
        </w:rPr>
        <w:t>ed on the comments received during the interim meeting.</w:t>
      </w:r>
      <w:r w:rsidR="007621CF">
        <w:rPr>
          <w:bCs/>
          <w:iCs/>
          <w:lang w:val="en-US"/>
        </w:rPr>
        <w:t xml:space="preserve"> </w:t>
      </w:r>
    </w:p>
    <w:p w14:paraId="0A804266" w14:textId="38A5A0E8" w:rsidR="008D6982" w:rsidRDefault="007621CF" w:rsidP="008D6982">
      <w:pPr>
        <w:rPr>
          <w:bCs/>
          <w:iCs/>
          <w:lang w:val="en-US" w:eastAsia="zh-CN"/>
        </w:rPr>
      </w:pPr>
      <w:r>
        <w:rPr>
          <w:lang w:eastAsia="zh-CN"/>
        </w:rPr>
        <w:t>In addition a new wor</w:t>
      </w:r>
      <w:r w:rsidR="00DA1F20">
        <w:rPr>
          <w:lang w:eastAsia="zh-CN"/>
        </w:rPr>
        <w:t>k</w:t>
      </w:r>
      <w:r>
        <w:rPr>
          <w:lang w:eastAsia="zh-CN"/>
        </w:rPr>
        <w:t xml:space="preserve"> item was approved on “Requirements for </w:t>
      </w:r>
      <w:r w:rsidRPr="007621CF">
        <w:rPr>
          <w:lang w:val="en-US" w:eastAsia="zh-CN"/>
        </w:rPr>
        <w:t>work order processing in telecom management with AI”</w:t>
      </w:r>
      <w:r>
        <w:rPr>
          <w:lang w:val="en-US" w:eastAsia="zh-CN"/>
        </w:rPr>
        <w:t xml:space="preserve"> </w:t>
      </w:r>
      <w:r w:rsidR="00DA1F20">
        <w:rPr>
          <w:lang w:val="en-US" w:eastAsia="zh-CN"/>
        </w:rPr>
        <w:t>(</w:t>
      </w:r>
      <w:proofErr w:type="spellStart"/>
      <w:r w:rsidRPr="007621CF">
        <w:rPr>
          <w:bCs/>
          <w:iCs/>
          <w:lang w:val="en-US" w:eastAsia="zh-CN"/>
        </w:rPr>
        <w:t>M.rwop</w:t>
      </w:r>
      <w:proofErr w:type="spellEnd"/>
      <w:r w:rsidRPr="007621CF">
        <w:rPr>
          <w:bCs/>
          <w:iCs/>
          <w:lang w:val="en-US" w:eastAsia="zh-CN"/>
        </w:rPr>
        <w:t>-AI</w:t>
      </w:r>
      <w:r w:rsidR="00DA1F20">
        <w:rPr>
          <w:lang w:val="en-US" w:eastAsia="zh-CN"/>
        </w:rPr>
        <w:t>)</w:t>
      </w:r>
      <w:r>
        <w:rPr>
          <w:lang w:val="en-US" w:eastAsia="zh-CN"/>
        </w:rPr>
        <w:t>.</w:t>
      </w:r>
      <w:r w:rsidR="00DA1F20">
        <w:rPr>
          <w:lang w:val="en-US" w:eastAsia="zh-CN"/>
        </w:rPr>
        <w:t xml:space="preserve"> </w:t>
      </w:r>
      <w:r>
        <w:rPr>
          <w:lang w:val="en-US" w:eastAsia="zh-CN"/>
        </w:rPr>
        <w:t xml:space="preserve">This activity provides a further </w:t>
      </w:r>
      <w:r w:rsidRPr="007621CF">
        <w:rPr>
          <w:lang w:val="en-US" w:eastAsia="zh-CN"/>
        </w:rPr>
        <w:t>specific application scenario by using the framework proposed in the previous work item M.AI-tom.</w:t>
      </w:r>
      <w:r w:rsidRPr="007621CF">
        <w:rPr>
          <w:bCs/>
          <w:iCs/>
          <w:lang w:val="en-US" w:eastAsia="zh-CN"/>
        </w:rPr>
        <w:t xml:space="preserve"> </w:t>
      </w:r>
    </w:p>
    <w:p w14:paraId="36E259E5" w14:textId="64487316" w:rsidR="007621CF" w:rsidRPr="008D6982" w:rsidRDefault="008D6982" w:rsidP="008D6982">
      <w:pPr>
        <w:rPr>
          <w:szCs w:val="22"/>
          <w:lang w:val="en-US" w:eastAsia="zh-CN"/>
        </w:rPr>
      </w:pPr>
      <w:r>
        <w:rPr>
          <w:lang w:val="en-US" w:eastAsia="zh-CN"/>
        </w:rPr>
        <w:t>T</w:t>
      </w:r>
      <w:r w:rsidR="007621CF">
        <w:rPr>
          <w:lang w:val="en-US" w:eastAsia="zh-CN"/>
        </w:rPr>
        <w:t>he new version</w:t>
      </w:r>
      <w:r w:rsidR="007621CF">
        <w:rPr>
          <w:szCs w:val="22"/>
          <w:lang w:val="en-US" w:eastAsia="zh-CN"/>
        </w:rPr>
        <w:t xml:space="preserve"> of </w:t>
      </w:r>
      <w:proofErr w:type="spellStart"/>
      <w:r w:rsidR="007621CF">
        <w:rPr>
          <w:szCs w:val="22"/>
          <w:lang w:val="en-US" w:eastAsia="zh-CN"/>
        </w:rPr>
        <w:t>X.rest</w:t>
      </w:r>
      <w:proofErr w:type="spellEnd"/>
      <w:r w:rsidR="007621CF">
        <w:rPr>
          <w:szCs w:val="22"/>
          <w:lang w:val="en-US" w:eastAsia="zh-CN"/>
        </w:rPr>
        <w:t xml:space="preserve"> on “Guidelines for defining REST-based managed objects and management interfaces”</w:t>
      </w:r>
      <w:r>
        <w:rPr>
          <w:szCs w:val="22"/>
          <w:lang w:val="en-US" w:eastAsia="zh-CN"/>
        </w:rPr>
        <w:t xml:space="preserve"> was reviewed.</w:t>
      </w:r>
      <w:r w:rsidR="007621CF">
        <w:rPr>
          <w:szCs w:val="22"/>
          <w:lang w:val="en-US" w:eastAsia="zh-CN"/>
        </w:rPr>
        <w:t xml:space="preserve"> This version provided the modeling guidelines for REST-based interface, as well as the formal definitions of generic managed object and common data types. </w:t>
      </w:r>
      <w:r>
        <w:rPr>
          <w:szCs w:val="22"/>
          <w:lang w:val="en-US" w:eastAsia="zh-CN"/>
        </w:rPr>
        <w:t xml:space="preserve">Also reviewed was </w:t>
      </w:r>
      <w:proofErr w:type="spellStart"/>
      <w:r w:rsidR="007621CF">
        <w:rPr>
          <w:szCs w:val="22"/>
          <w:lang w:val="en-US" w:eastAsia="zh-CN"/>
        </w:rPr>
        <w:t>Q.rest</w:t>
      </w:r>
      <w:proofErr w:type="spellEnd"/>
      <w:r w:rsidR="007621CF">
        <w:rPr>
          <w:szCs w:val="22"/>
          <w:lang w:val="en-US" w:eastAsia="zh-CN"/>
        </w:rPr>
        <w:t xml:space="preserve"> on “REST-based management services”</w:t>
      </w:r>
      <w:r>
        <w:rPr>
          <w:szCs w:val="22"/>
          <w:lang w:val="en-US" w:eastAsia="zh-CN"/>
        </w:rPr>
        <w:t xml:space="preserve"> that </w:t>
      </w:r>
      <w:r w:rsidR="007621CF">
        <w:rPr>
          <w:szCs w:val="22"/>
          <w:lang w:val="en-US" w:eastAsia="zh-CN"/>
        </w:rPr>
        <w:t>provided some formal definitions of the management services.</w:t>
      </w:r>
      <w:r w:rsidR="007621CF">
        <w:rPr>
          <w:color w:val="000000"/>
          <w:lang w:val="en-US" w:eastAsia="zh-CN"/>
        </w:rPr>
        <w:t xml:space="preserve"> </w:t>
      </w:r>
      <w:r w:rsidR="007621CF">
        <w:rPr>
          <w:szCs w:val="22"/>
          <w:lang w:val="en-US" w:eastAsia="zh-CN"/>
        </w:rPr>
        <w:t>The meeting mainly agreed with the new changes.</w:t>
      </w:r>
      <w:r>
        <w:rPr>
          <w:szCs w:val="22"/>
          <w:lang w:val="en-US" w:eastAsia="zh-CN"/>
        </w:rPr>
        <w:t xml:space="preserve"> </w:t>
      </w:r>
      <w:r w:rsidR="007621CF">
        <w:rPr>
          <w:szCs w:val="22"/>
          <w:lang w:val="en-US" w:eastAsia="zh-CN"/>
        </w:rPr>
        <w:t>Th</w:t>
      </w:r>
      <w:r>
        <w:rPr>
          <w:szCs w:val="22"/>
          <w:lang w:val="en-US" w:eastAsia="zh-CN"/>
        </w:rPr>
        <w:t>ese</w:t>
      </w:r>
      <w:r w:rsidR="007621CF">
        <w:rPr>
          <w:szCs w:val="22"/>
          <w:lang w:val="en-US" w:eastAsia="zh-CN"/>
        </w:rPr>
        <w:t xml:space="preserve"> two work items will be </w:t>
      </w:r>
      <w:r>
        <w:rPr>
          <w:szCs w:val="22"/>
          <w:lang w:val="en-US" w:eastAsia="zh-CN"/>
        </w:rPr>
        <w:t>further progressed</w:t>
      </w:r>
      <w:r w:rsidR="007621CF">
        <w:rPr>
          <w:szCs w:val="22"/>
          <w:lang w:val="en-US" w:eastAsia="zh-CN"/>
        </w:rPr>
        <w:t xml:space="preserve"> in interim meetings jointly with 3GPP.</w:t>
      </w:r>
    </w:p>
    <w:p w14:paraId="7FAFFCC8" w14:textId="1A2C771D" w:rsidR="00EE7C81" w:rsidRPr="00C71730" w:rsidRDefault="00EE7C81" w:rsidP="006D3A6A">
      <w:pPr>
        <w:pStyle w:val="Heading1"/>
        <w:numPr>
          <w:ilvl w:val="0"/>
          <w:numId w:val="4"/>
        </w:numPr>
        <w:tabs>
          <w:tab w:val="clear" w:pos="794"/>
          <w:tab w:val="left" w:pos="360"/>
        </w:tabs>
        <w:suppressAutoHyphens w:val="0"/>
        <w:adjustRightInd w:val="0"/>
        <w:ind w:left="426" w:hanging="426"/>
        <w:textAlignment w:val="auto"/>
        <w:rPr>
          <w:rFonts w:eastAsia="DengXian"/>
          <w:b w:val="0"/>
          <w:bCs/>
        </w:rPr>
      </w:pPr>
      <w:r w:rsidRPr="006D3A6A">
        <w:t>Cooperation</w:t>
      </w:r>
      <w:r w:rsidRPr="00C71730">
        <w:rPr>
          <w:rFonts w:eastAsia="DengXian"/>
          <w:bCs/>
        </w:rPr>
        <w:t xml:space="preserve"> with other SGs </w:t>
      </w:r>
    </w:p>
    <w:p w14:paraId="3860AFFA" w14:textId="451AA731" w:rsidR="008E5472" w:rsidRDefault="00BA5084" w:rsidP="006A3DA6">
      <w:pPr>
        <w:rPr>
          <w:lang w:eastAsia="en-US"/>
        </w:rPr>
      </w:pPr>
      <w:r>
        <w:rPr>
          <w:lang w:eastAsia="en-US"/>
        </w:rPr>
        <w:t>Co</w:t>
      </w:r>
      <w:r w:rsidR="006A3DA6">
        <w:rPr>
          <w:lang w:eastAsia="en-US"/>
        </w:rPr>
        <w:t>operation with other study groups continue</w:t>
      </w:r>
      <w:r>
        <w:rPr>
          <w:lang w:eastAsia="en-US"/>
        </w:rPr>
        <w:t>s</w:t>
      </w:r>
      <w:r w:rsidR="006A3DA6">
        <w:rPr>
          <w:lang w:eastAsia="en-US"/>
        </w:rPr>
        <w:t xml:space="preserve">, specifically </w:t>
      </w:r>
      <w:r>
        <w:rPr>
          <w:lang w:eastAsia="en-US"/>
        </w:rPr>
        <w:t xml:space="preserve">ITU-T </w:t>
      </w:r>
      <w:r w:rsidR="006A3DA6">
        <w:rPr>
          <w:lang w:eastAsia="en-US"/>
        </w:rPr>
        <w:t>SG</w:t>
      </w:r>
      <w:r w:rsidR="00C71730">
        <w:rPr>
          <w:lang w:eastAsia="en-US"/>
        </w:rPr>
        <w:t xml:space="preserve">s 3 5, </w:t>
      </w:r>
      <w:r w:rsidR="006A3DA6">
        <w:rPr>
          <w:lang w:eastAsia="en-US"/>
        </w:rPr>
        <w:t xml:space="preserve">11, 12, 13 and 20. </w:t>
      </w:r>
      <w:r w:rsidR="008D6982">
        <w:rPr>
          <w:lang w:eastAsia="en-US"/>
        </w:rPr>
        <w:t>The highlights of the cooperation are</w:t>
      </w:r>
      <w:r w:rsidR="00CB6CD7">
        <w:rPr>
          <w:lang w:eastAsia="en-US"/>
        </w:rPr>
        <w:t>:</w:t>
      </w:r>
      <w:r w:rsidR="008D6982">
        <w:rPr>
          <w:lang w:eastAsia="en-US"/>
        </w:rPr>
        <w:t xml:space="preserve"> </w:t>
      </w:r>
    </w:p>
    <w:p w14:paraId="1D816E62" w14:textId="7E12D1E8" w:rsidR="006A3DA6" w:rsidRDefault="00D55414" w:rsidP="00D55414">
      <w:pPr>
        <w:pStyle w:val="enumlev1"/>
      </w:pPr>
      <w:r>
        <w:lastRenderedPageBreak/>
        <w:t>˗</w:t>
      </w:r>
      <w:r>
        <w:tab/>
      </w:r>
      <w:r w:rsidR="008E5472">
        <w:t>Reply liaisons were sent to SG3</w:t>
      </w:r>
      <w:r w:rsidR="008E5472" w:rsidRPr="00BA3044">
        <w:rPr>
          <w:iCs/>
        </w:rPr>
        <w:t xml:space="preserve"> </w:t>
      </w:r>
      <w:r w:rsidR="008E5472">
        <w:rPr>
          <w:iCs/>
        </w:rPr>
        <w:t xml:space="preserve">informing SG3 of the on-going </w:t>
      </w:r>
      <w:r w:rsidR="008D6982">
        <w:rPr>
          <w:iCs/>
        </w:rPr>
        <w:t>work</w:t>
      </w:r>
      <w:r w:rsidR="008E5472">
        <w:rPr>
          <w:iCs/>
        </w:rPr>
        <w:t xml:space="preserve"> in</w:t>
      </w:r>
      <w:r w:rsidR="008E5472" w:rsidRPr="00BA3044">
        <w:rPr>
          <w:iCs/>
        </w:rPr>
        <w:t xml:space="preserve"> SG2 </w:t>
      </w:r>
      <w:r w:rsidR="008E5472">
        <w:rPr>
          <w:lang w:bidi="ar-EG"/>
        </w:rPr>
        <w:t>on a definition of OTT</w:t>
      </w:r>
      <w:r w:rsidR="008E5472" w:rsidRPr="00BA3044">
        <w:rPr>
          <w:color w:val="000000"/>
          <w:lang w:eastAsia="zh-CN"/>
        </w:rPr>
        <w:t xml:space="preserve"> </w:t>
      </w:r>
      <w:r w:rsidR="008E5472">
        <w:rPr>
          <w:lang w:bidi="ar-EG"/>
        </w:rPr>
        <w:t>bypass</w:t>
      </w:r>
      <w:r w:rsidR="00D76783">
        <w:rPr>
          <w:color w:val="000000"/>
          <w:lang w:eastAsia="zh-CN"/>
        </w:rPr>
        <w:t>.</w:t>
      </w:r>
      <w:r w:rsidR="008E5472" w:rsidRPr="00BA3044">
        <w:rPr>
          <w:color w:val="000000"/>
          <w:lang w:eastAsia="zh-CN"/>
        </w:rPr>
        <w:t xml:space="preserve"> </w:t>
      </w:r>
      <w:r w:rsidR="00D76783">
        <w:rPr>
          <w:color w:val="000000"/>
          <w:lang w:eastAsia="zh-CN"/>
        </w:rPr>
        <w:t xml:space="preserve">SG2 </w:t>
      </w:r>
      <w:r w:rsidR="008E5472" w:rsidRPr="00BA3044">
        <w:rPr>
          <w:color w:val="000000"/>
          <w:lang w:eastAsia="zh-CN"/>
        </w:rPr>
        <w:t xml:space="preserve">will keep </w:t>
      </w:r>
      <w:r w:rsidR="00D76783">
        <w:rPr>
          <w:color w:val="000000"/>
          <w:lang w:eastAsia="zh-CN"/>
        </w:rPr>
        <w:t>SG3</w:t>
      </w:r>
      <w:r w:rsidR="00D76783">
        <w:t xml:space="preserve"> </w:t>
      </w:r>
      <w:r w:rsidR="008E5472">
        <w:t xml:space="preserve">informed about the progress of relevant work in the future and </w:t>
      </w:r>
      <w:r w:rsidR="00D76783">
        <w:t xml:space="preserve">has </w:t>
      </w:r>
      <w:r w:rsidR="008E5472" w:rsidRPr="00BA3044">
        <w:rPr>
          <w:shd w:val="clear" w:color="auto" w:fill="FFFFFF"/>
        </w:rPr>
        <w:t>inform</w:t>
      </w:r>
      <w:r w:rsidR="00D76783">
        <w:rPr>
          <w:shd w:val="clear" w:color="auto" w:fill="FFFFFF"/>
        </w:rPr>
        <w:t>ed</w:t>
      </w:r>
      <w:r w:rsidR="008E5472" w:rsidRPr="00BA3044">
        <w:rPr>
          <w:shd w:val="clear" w:color="auto" w:fill="FFFFFF"/>
        </w:rPr>
        <w:t xml:space="preserve"> </w:t>
      </w:r>
      <w:r w:rsidR="00D76783">
        <w:rPr>
          <w:shd w:val="clear" w:color="auto" w:fill="FFFFFF"/>
        </w:rPr>
        <w:t>SG3</w:t>
      </w:r>
      <w:r w:rsidR="00D76783" w:rsidRPr="00BA3044">
        <w:rPr>
          <w:shd w:val="clear" w:color="auto" w:fill="FFFFFF"/>
        </w:rPr>
        <w:t xml:space="preserve"> </w:t>
      </w:r>
      <w:r w:rsidR="008E5472" w:rsidRPr="00BA3044">
        <w:rPr>
          <w:shd w:val="clear" w:color="auto" w:fill="FFFFFF"/>
        </w:rPr>
        <w:t xml:space="preserve">that SG2 is the lead SG on service definition. In addition, </w:t>
      </w:r>
      <w:r w:rsidR="008E5472" w:rsidRPr="00BA3044">
        <w:rPr>
          <w:bCs/>
        </w:rPr>
        <w:t xml:space="preserve">SG2 agrees with the overall sentiment </w:t>
      </w:r>
      <w:r w:rsidR="008E5472">
        <w:rPr>
          <w:bCs/>
        </w:rPr>
        <w:t xml:space="preserve">of SG3 </w:t>
      </w:r>
      <w:r w:rsidR="008E5472" w:rsidRPr="00BA3044">
        <w:rPr>
          <w:bCs/>
        </w:rPr>
        <w:t xml:space="preserve">that the definitions of ACP and OTT bypass </w:t>
      </w:r>
      <w:r w:rsidR="008E5472">
        <w:rPr>
          <w:bCs/>
        </w:rPr>
        <w:t xml:space="preserve"> are </w:t>
      </w:r>
      <w:r w:rsidR="008E5472" w:rsidRPr="00BA3044">
        <w:rPr>
          <w:bCs/>
        </w:rPr>
        <w:t>still under development within SG2</w:t>
      </w:r>
      <w:r w:rsidR="00D76783">
        <w:rPr>
          <w:bCs/>
        </w:rPr>
        <w:t>,</w:t>
      </w:r>
      <w:r w:rsidR="008E5472">
        <w:rPr>
          <w:bCs/>
        </w:rPr>
        <w:t xml:space="preserve"> whose responsibility includes service definition.</w:t>
      </w:r>
    </w:p>
    <w:p w14:paraId="76058C25" w14:textId="50F8937F" w:rsidR="008E5472" w:rsidRDefault="00D55414" w:rsidP="00D55414">
      <w:pPr>
        <w:pStyle w:val="enumlev1"/>
      </w:pPr>
      <w:r>
        <w:t>˗</w:t>
      </w:r>
      <w:r>
        <w:tab/>
      </w:r>
      <w:r w:rsidR="008E5472">
        <w:t xml:space="preserve">A reply liaison was sent to SG12 in </w:t>
      </w:r>
      <w:hyperlink r:id="rId50" w:history="1">
        <w:r w:rsidR="006C0A8A" w:rsidRPr="006C0A8A">
          <w:rPr>
            <w:rStyle w:val="Hyperlink"/>
          </w:rPr>
          <w:t>SG2-</w:t>
        </w:r>
        <w:r w:rsidR="008E5472" w:rsidRPr="006C0A8A">
          <w:rPr>
            <w:rStyle w:val="Hyperlink"/>
          </w:rPr>
          <w:t>TD1095</w:t>
        </w:r>
      </w:hyperlink>
      <w:r w:rsidR="008E5472">
        <w:t xml:space="preserve"> informing them of the two ongoing work items within Question 3/2 that relate most directly to the definition of ACP: a draft new ITU-T Recommendation on ACP (</w:t>
      </w:r>
      <w:hyperlink r:id="rId51" w:history="1">
        <w:r w:rsidR="008E5472">
          <w:rPr>
            <w:rStyle w:val="Hyperlink"/>
          </w:rPr>
          <w:t>E.ACP</w:t>
        </w:r>
      </w:hyperlink>
      <w:r w:rsidR="008E5472">
        <w:t>) and a Technical Report on definitions for telecom and telecom interconnection (</w:t>
      </w:r>
      <w:hyperlink r:id="rId52" w:history="1">
        <w:r w:rsidR="008E5472">
          <w:rPr>
            <w:rStyle w:val="Hyperlink"/>
          </w:rPr>
          <w:t>TR.DOTT</w:t>
        </w:r>
      </w:hyperlink>
      <w:r w:rsidR="008E5472">
        <w:t>).</w:t>
      </w:r>
    </w:p>
    <w:p w14:paraId="78FCEEC7" w14:textId="62AAF36B" w:rsidR="005877FF" w:rsidRDefault="00D55414" w:rsidP="00D55414">
      <w:pPr>
        <w:pStyle w:val="enumlev1"/>
      </w:pPr>
      <w:r>
        <w:t>˗</w:t>
      </w:r>
      <w:r>
        <w:tab/>
      </w:r>
      <w:r w:rsidR="005877FF">
        <w:t>A reply liaison was sent to SG16, based on very similar base texts being presented to both study groups</w:t>
      </w:r>
      <w:r w:rsidR="00D76783">
        <w:t>,</w:t>
      </w:r>
      <w:r w:rsidR="005877FF">
        <w:t xml:space="preserve"> that proposed coordination of work between SG2 and SG16, given that the initiated work in both study groups contains elements regarding numbering and identifiers as well as services.</w:t>
      </w:r>
    </w:p>
    <w:p w14:paraId="41C3360A" w14:textId="48FBAFBD" w:rsidR="005877FF" w:rsidRPr="008D6982" w:rsidRDefault="00D55414" w:rsidP="00D55414">
      <w:pPr>
        <w:pStyle w:val="enumlev1"/>
        <w:rPr>
          <w:bCs/>
          <w:iCs/>
          <w:lang w:val="en-US" w:eastAsia="zh-CN"/>
        </w:rPr>
      </w:pPr>
      <w:r>
        <w:t>˗</w:t>
      </w:r>
      <w:r>
        <w:tab/>
      </w:r>
      <w:r w:rsidR="007621CF">
        <w:t xml:space="preserve">A liaison was sent to </w:t>
      </w:r>
      <w:r w:rsidR="007621CF" w:rsidRPr="007621CF">
        <w:rPr>
          <w:bCs/>
          <w:iCs/>
          <w:szCs w:val="22"/>
          <w:lang w:val="en-US" w:eastAsia="zh-CN"/>
        </w:rPr>
        <w:t>SG13</w:t>
      </w:r>
      <w:r w:rsidR="00D76783">
        <w:rPr>
          <w:bCs/>
          <w:iCs/>
          <w:szCs w:val="22"/>
          <w:lang w:val="en-US" w:eastAsia="zh-CN"/>
        </w:rPr>
        <w:t xml:space="preserve"> </w:t>
      </w:r>
      <w:r w:rsidR="007621CF">
        <w:rPr>
          <w:bCs/>
          <w:iCs/>
          <w:szCs w:val="22"/>
          <w:lang w:val="en-US" w:eastAsia="zh-CN"/>
        </w:rPr>
        <w:t xml:space="preserve">informing them of the initiation of the NWI on </w:t>
      </w:r>
      <w:r w:rsidR="008D6982">
        <w:rPr>
          <w:bCs/>
          <w:iCs/>
          <w:szCs w:val="22"/>
          <w:lang w:val="en-US" w:eastAsia="zh-CN"/>
        </w:rPr>
        <w:t>“</w:t>
      </w:r>
      <w:r w:rsidR="008D6982">
        <w:rPr>
          <w:lang w:eastAsia="zh-CN"/>
        </w:rPr>
        <w:t xml:space="preserve">Requirements for </w:t>
      </w:r>
      <w:r w:rsidR="008D6982" w:rsidRPr="007621CF">
        <w:rPr>
          <w:lang w:val="en-US" w:eastAsia="zh-CN"/>
        </w:rPr>
        <w:t>work order processing in telecom management with AI”</w:t>
      </w:r>
      <w:r w:rsidR="008D6982">
        <w:rPr>
          <w:lang w:val="en-US" w:eastAsia="zh-CN"/>
        </w:rPr>
        <w:t xml:space="preserve"> </w:t>
      </w:r>
      <w:r w:rsidR="006E0D8F">
        <w:rPr>
          <w:lang w:val="en-US" w:eastAsia="zh-CN"/>
        </w:rPr>
        <w:t>(</w:t>
      </w:r>
      <w:proofErr w:type="spellStart"/>
      <w:r w:rsidR="008D6982" w:rsidRPr="007621CF">
        <w:rPr>
          <w:bCs/>
          <w:iCs/>
          <w:lang w:val="en-US" w:eastAsia="zh-CN"/>
        </w:rPr>
        <w:t>M.rwop</w:t>
      </w:r>
      <w:proofErr w:type="spellEnd"/>
      <w:r w:rsidR="008D6982" w:rsidRPr="007621CF">
        <w:rPr>
          <w:bCs/>
          <w:iCs/>
          <w:lang w:val="en-US" w:eastAsia="zh-CN"/>
        </w:rPr>
        <w:t>-AI</w:t>
      </w:r>
      <w:r w:rsidR="006E0D8F">
        <w:rPr>
          <w:bCs/>
          <w:iCs/>
          <w:lang w:val="en-US" w:eastAsia="zh-CN"/>
        </w:rPr>
        <w:t>).</w:t>
      </w:r>
      <w:r w:rsidR="008D6982">
        <w:rPr>
          <w:lang w:val="en-US" w:eastAsia="zh-CN"/>
        </w:rPr>
        <w:t xml:space="preserve"> </w:t>
      </w:r>
    </w:p>
    <w:p w14:paraId="09746478" w14:textId="77777777" w:rsidR="00A61CBC" w:rsidRDefault="00A61CBC" w:rsidP="006D3A6A">
      <w:pPr>
        <w:pStyle w:val="Heading1"/>
        <w:numPr>
          <w:ilvl w:val="0"/>
          <w:numId w:val="4"/>
        </w:numPr>
        <w:tabs>
          <w:tab w:val="clear" w:pos="794"/>
          <w:tab w:val="left" w:pos="360"/>
        </w:tabs>
        <w:suppressAutoHyphens w:val="0"/>
        <w:adjustRightInd w:val="0"/>
        <w:ind w:left="426" w:hanging="426"/>
        <w:textAlignment w:val="auto"/>
      </w:pPr>
      <w:r w:rsidRPr="00B47661">
        <w:t xml:space="preserve">SG2 </w:t>
      </w:r>
      <w:r w:rsidR="00BA5084" w:rsidRPr="00B47661">
        <w:t xml:space="preserve">regional </w:t>
      </w:r>
      <w:r w:rsidRPr="00B47661">
        <w:t>groups</w:t>
      </w:r>
    </w:p>
    <w:p w14:paraId="513F1247" w14:textId="3C447E86" w:rsidR="008865F9" w:rsidRPr="008865F9" w:rsidRDefault="001575EE" w:rsidP="00C71730">
      <w:pPr>
        <w:rPr>
          <w:lang w:eastAsia="en-US"/>
        </w:rPr>
      </w:pPr>
      <w:r>
        <w:rPr>
          <w:lang w:eastAsia="en-US"/>
        </w:rPr>
        <w:t xml:space="preserve">During </w:t>
      </w:r>
      <w:r w:rsidR="006F5457">
        <w:rPr>
          <w:lang w:eastAsia="en-US"/>
        </w:rPr>
        <w:t>the</w:t>
      </w:r>
      <w:r>
        <w:rPr>
          <w:lang w:eastAsia="en-US"/>
        </w:rPr>
        <w:t xml:space="preserve"> period </w:t>
      </w:r>
      <w:r w:rsidR="006F5457">
        <w:rPr>
          <w:lang w:eastAsia="en-US"/>
        </w:rPr>
        <w:t xml:space="preserve">December 2019 to </w:t>
      </w:r>
      <w:r w:rsidR="00CB6CD7">
        <w:rPr>
          <w:lang w:eastAsia="en-US"/>
        </w:rPr>
        <w:t xml:space="preserve">September </w:t>
      </w:r>
      <w:r w:rsidR="006F5457">
        <w:rPr>
          <w:lang w:eastAsia="en-US"/>
        </w:rPr>
        <w:t>2020</w:t>
      </w:r>
      <w:r w:rsidR="00CB6CD7">
        <w:rPr>
          <w:lang w:eastAsia="en-US"/>
        </w:rPr>
        <w:t>,</w:t>
      </w:r>
      <w:r w:rsidR="006F5457">
        <w:rPr>
          <w:lang w:eastAsia="en-US"/>
        </w:rPr>
        <w:t xml:space="preserve"> </w:t>
      </w:r>
      <w:r>
        <w:rPr>
          <w:lang w:eastAsia="en-US"/>
        </w:rPr>
        <w:t xml:space="preserve">there </w:t>
      </w:r>
      <w:r w:rsidR="006F5457">
        <w:rPr>
          <w:lang w:eastAsia="en-US"/>
        </w:rPr>
        <w:t>were no</w:t>
      </w:r>
      <w:r>
        <w:rPr>
          <w:lang w:eastAsia="en-US"/>
        </w:rPr>
        <w:t xml:space="preserve"> meeting</w:t>
      </w:r>
      <w:r w:rsidR="006F5457">
        <w:rPr>
          <w:lang w:eastAsia="en-US"/>
        </w:rPr>
        <w:t>s</w:t>
      </w:r>
      <w:r>
        <w:rPr>
          <w:lang w:eastAsia="en-US"/>
        </w:rPr>
        <w:t xml:space="preserve"> of </w:t>
      </w:r>
      <w:r w:rsidR="00BA5084">
        <w:rPr>
          <w:lang w:eastAsia="en-US"/>
        </w:rPr>
        <w:t>the</w:t>
      </w:r>
      <w:r w:rsidR="00BA5084" w:rsidRPr="00BA5084">
        <w:rPr>
          <w:lang w:eastAsia="en-US"/>
        </w:rPr>
        <w:t xml:space="preserve"> Study Group 2 Regional Group</w:t>
      </w:r>
      <w:r w:rsidR="006F5457">
        <w:rPr>
          <w:lang w:eastAsia="en-US"/>
        </w:rPr>
        <w:t>s</w:t>
      </w:r>
      <w:r w:rsidR="00BA5084" w:rsidRPr="00BA5084">
        <w:rPr>
          <w:lang w:eastAsia="en-US"/>
        </w:rPr>
        <w:t xml:space="preserve"> for the Americas (SG2RG-AMR)</w:t>
      </w:r>
      <w:r w:rsidR="006F5457">
        <w:rPr>
          <w:lang w:eastAsia="en-US"/>
        </w:rPr>
        <w:t xml:space="preserve">, </w:t>
      </w:r>
      <w:r w:rsidR="00BA5084" w:rsidRPr="00BA5084">
        <w:rPr>
          <w:lang w:eastAsia="en-US"/>
        </w:rPr>
        <w:t xml:space="preserve">Africa </w:t>
      </w:r>
      <w:r w:rsidR="006F5457">
        <w:rPr>
          <w:lang w:eastAsia="en-US"/>
        </w:rPr>
        <w:t>Region (SG2RG-AFR) or</w:t>
      </w:r>
      <w:r w:rsidR="00BA5084">
        <w:rPr>
          <w:lang w:eastAsia="en-US"/>
        </w:rPr>
        <w:t xml:space="preserve"> Arab Region </w:t>
      </w:r>
      <w:r w:rsidR="00BA5084" w:rsidRPr="00BA5084">
        <w:rPr>
          <w:lang w:eastAsia="en-US"/>
        </w:rPr>
        <w:t>(</w:t>
      </w:r>
      <w:r w:rsidR="00BA5084">
        <w:rPr>
          <w:lang w:eastAsia="en-US"/>
        </w:rPr>
        <w:t>SG2RG-ARB</w:t>
      </w:r>
      <w:r w:rsidR="00BA5084" w:rsidRPr="00BA5084">
        <w:rPr>
          <w:lang w:eastAsia="en-US"/>
        </w:rPr>
        <w:t>)</w:t>
      </w:r>
      <w:r w:rsidR="00BA5084">
        <w:rPr>
          <w:lang w:eastAsia="en-US"/>
        </w:rPr>
        <w:t>.</w:t>
      </w:r>
    </w:p>
    <w:p w14:paraId="7BAD20F4" w14:textId="77777777" w:rsidR="00ED144D" w:rsidRDefault="00ED144D" w:rsidP="00ED144D"/>
    <w:p w14:paraId="3BD637D0" w14:textId="77777777" w:rsidR="00ED144D" w:rsidRPr="00B47661" w:rsidRDefault="00ED144D" w:rsidP="00ED144D">
      <w:pPr>
        <w:jc w:val="center"/>
      </w:pPr>
      <w:r>
        <w:t>___________________</w:t>
      </w:r>
    </w:p>
    <w:sectPr w:rsidR="00ED144D" w:rsidRPr="00B47661" w:rsidSect="00E108DA">
      <w:headerReference w:type="default" r:id="rId53"/>
      <w:pgSz w:w="11907" w:h="16840"/>
      <w:pgMar w:top="1417" w:right="1134" w:bottom="127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F30D2" w14:textId="77777777" w:rsidR="00334D59" w:rsidRDefault="00334D59">
      <w:pPr>
        <w:spacing w:before="0"/>
      </w:pPr>
      <w:r>
        <w:separator/>
      </w:r>
    </w:p>
  </w:endnote>
  <w:endnote w:type="continuationSeparator" w:id="0">
    <w:p w14:paraId="4A2F61DF" w14:textId="77777777" w:rsidR="00334D59" w:rsidRDefault="00334D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A5143" w14:textId="77777777" w:rsidR="00334D59" w:rsidRDefault="00334D59">
      <w:pPr>
        <w:spacing w:before="0"/>
      </w:pPr>
      <w:r>
        <w:rPr>
          <w:color w:val="000000"/>
        </w:rPr>
        <w:separator/>
      </w:r>
    </w:p>
  </w:footnote>
  <w:footnote w:type="continuationSeparator" w:id="0">
    <w:p w14:paraId="5AAB67B9" w14:textId="77777777" w:rsidR="00334D59" w:rsidRDefault="00334D5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1B100" w14:textId="301A8429" w:rsidR="00C02AF6" w:rsidRPr="003F0FDE" w:rsidRDefault="00C02AF6" w:rsidP="0091501B">
    <w:pPr>
      <w:pStyle w:val="Header"/>
      <w:rPr>
        <w:sz w:val="18"/>
      </w:rPr>
    </w:pPr>
    <w:r w:rsidRPr="003F0FDE">
      <w:rPr>
        <w:sz w:val="18"/>
      </w:rPr>
      <w:t xml:space="preserve">- </w:t>
    </w:r>
    <w:r w:rsidRPr="003F0FDE">
      <w:rPr>
        <w:sz w:val="18"/>
      </w:rPr>
      <w:fldChar w:fldCharType="begin"/>
    </w:r>
    <w:r w:rsidRPr="003F0FDE">
      <w:rPr>
        <w:sz w:val="18"/>
      </w:rPr>
      <w:instrText xml:space="preserve"> PAGE  \* MERGEFORMAT </w:instrText>
    </w:r>
    <w:r w:rsidRPr="003F0FDE">
      <w:rPr>
        <w:sz w:val="18"/>
      </w:rPr>
      <w:fldChar w:fldCharType="separate"/>
    </w:r>
    <w:r w:rsidR="00E544AB">
      <w:rPr>
        <w:noProof/>
        <w:sz w:val="18"/>
      </w:rPr>
      <w:t>7</w:t>
    </w:r>
    <w:r w:rsidRPr="003F0FDE">
      <w:rPr>
        <w:sz w:val="18"/>
      </w:rPr>
      <w:fldChar w:fldCharType="end"/>
    </w:r>
    <w:r w:rsidRPr="003F0FDE">
      <w:rPr>
        <w:sz w:val="18"/>
      </w:rPr>
      <w:t xml:space="preserve"> -</w:t>
    </w:r>
  </w:p>
  <w:p w14:paraId="6AB03539" w14:textId="0DAA15DF" w:rsidR="00C02AF6" w:rsidRPr="0091501B" w:rsidRDefault="00A723B9" w:rsidP="00304134">
    <w:pPr>
      <w:pStyle w:val="Header"/>
      <w:spacing w:after="240"/>
      <w:rPr>
        <w:sz w:val="18"/>
      </w:rPr>
    </w:pPr>
    <w:r>
      <w:rPr>
        <w:sz w:val="18"/>
      </w:rPr>
      <w:t>TSAG-TD797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D7DAA3D"/>
    <w:multiLevelType w:val="singleLevel"/>
    <w:tmpl w:val="CD7DAA3D"/>
    <w:lvl w:ilvl="0">
      <w:start w:val="6"/>
      <w:numFmt w:val="decimal"/>
      <w:suff w:val="space"/>
      <w:lvlText w:val="(%1)"/>
      <w:lvlJc w:val="left"/>
    </w:lvl>
  </w:abstractNum>
  <w:abstractNum w:abstractNumId="1" w15:restartNumberingAfterBreak="0">
    <w:nsid w:val="E88A3914"/>
    <w:multiLevelType w:val="singleLevel"/>
    <w:tmpl w:val="E88A3914"/>
    <w:lvl w:ilvl="0">
      <w:start w:val="6"/>
      <w:numFmt w:val="decimal"/>
      <w:suff w:val="space"/>
      <w:lvlText w:val="(%1)"/>
      <w:lvlJc w:val="left"/>
      <w:pPr>
        <w:ind w:left="0" w:firstLine="0"/>
      </w:pPr>
    </w:lvl>
  </w:abstractNum>
  <w:abstractNum w:abstractNumId="2" w15:restartNumberingAfterBreak="0">
    <w:nsid w:val="0A6039D4"/>
    <w:multiLevelType w:val="hybridMultilevel"/>
    <w:tmpl w:val="C1706A20"/>
    <w:lvl w:ilvl="0" w:tplc="8BC4822E">
      <w:start w:val="100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76040"/>
    <w:multiLevelType w:val="hybridMultilevel"/>
    <w:tmpl w:val="619C0E32"/>
    <w:lvl w:ilvl="0" w:tplc="F7147540">
      <w:start w:val="7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648F7"/>
    <w:multiLevelType w:val="multilevel"/>
    <w:tmpl w:val="FC62F80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2"/>
      <w:numFmt w:val="decimal"/>
      <w:isLgl/>
      <w:lvlText w:val="%1.%2"/>
      <w:lvlJc w:val="left"/>
      <w:pPr>
        <w:ind w:left="1353" w:hanging="360"/>
      </w:pPr>
    </w:lvl>
    <w:lvl w:ilvl="2">
      <w:start w:val="1"/>
      <w:numFmt w:val="decimal"/>
      <w:isLgl/>
      <w:lvlText w:val="%1.%2.%3"/>
      <w:lvlJc w:val="left"/>
      <w:pPr>
        <w:ind w:left="1713" w:hanging="720"/>
      </w:pPr>
    </w:lvl>
    <w:lvl w:ilvl="3">
      <w:start w:val="1"/>
      <w:numFmt w:val="decimal"/>
      <w:isLgl/>
      <w:lvlText w:val="%1.%2.%3.%4"/>
      <w:lvlJc w:val="left"/>
      <w:pPr>
        <w:ind w:left="1713" w:hanging="720"/>
      </w:pPr>
    </w:lvl>
    <w:lvl w:ilvl="4">
      <w:start w:val="1"/>
      <w:numFmt w:val="decimal"/>
      <w:isLgl/>
      <w:lvlText w:val="%1.%2.%3.%4.%5"/>
      <w:lvlJc w:val="left"/>
      <w:pPr>
        <w:ind w:left="2073" w:hanging="1080"/>
      </w:pPr>
    </w:lvl>
    <w:lvl w:ilvl="5">
      <w:start w:val="1"/>
      <w:numFmt w:val="decimal"/>
      <w:isLgl/>
      <w:lvlText w:val="%1.%2.%3.%4.%5.%6"/>
      <w:lvlJc w:val="left"/>
      <w:pPr>
        <w:ind w:left="2073" w:hanging="1080"/>
      </w:pPr>
    </w:lvl>
    <w:lvl w:ilvl="6">
      <w:start w:val="1"/>
      <w:numFmt w:val="decimal"/>
      <w:isLgl/>
      <w:lvlText w:val="%1.%2.%3.%4.%5.%6.%7"/>
      <w:lvlJc w:val="left"/>
      <w:pPr>
        <w:ind w:left="2433" w:hanging="1440"/>
      </w:p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</w:lvl>
  </w:abstractNum>
  <w:abstractNum w:abstractNumId="5" w15:restartNumberingAfterBreak="0">
    <w:nsid w:val="1B216EF5"/>
    <w:multiLevelType w:val="multilevel"/>
    <w:tmpl w:val="E0A8274A"/>
    <w:lvl w:ilvl="0">
      <w:start w:val="1"/>
      <w:numFmt w:val="decimal"/>
      <w:lvlText w:val="%1)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EE503E"/>
    <w:multiLevelType w:val="hybridMultilevel"/>
    <w:tmpl w:val="59626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416A6"/>
    <w:multiLevelType w:val="hybridMultilevel"/>
    <w:tmpl w:val="0BCAA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F7B96"/>
    <w:multiLevelType w:val="multilevel"/>
    <w:tmpl w:val="EA68593A"/>
    <w:lvl w:ilvl="0">
      <w:start w:val="1"/>
      <w:numFmt w:val="decimal"/>
      <w:lvlText w:val="%1)"/>
      <w:lvlJc w:val="left"/>
      <w:pPr>
        <w:ind w:left="987" w:hanging="420"/>
      </w:pPr>
      <w:rPr>
        <w:rFonts w:ascii="Times New Roman" w:eastAsia="SimSun" w:hAnsi="Times New Roman" w:cs="Times New Roman"/>
      </w:rPr>
    </w:lvl>
    <w:lvl w:ilvl="1">
      <w:numFmt w:val="bullet"/>
      <w:lvlText w:val=""/>
      <w:lvlJc w:val="left"/>
      <w:pPr>
        <w:ind w:left="1407" w:hanging="420"/>
      </w:pPr>
      <w:rPr>
        <w:rFonts w:ascii="Symbol" w:eastAsia="SimSun" w:hAnsi="Symbol" w:cs="Times New Roman"/>
      </w:rPr>
    </w:lvl>
    <w:lvl w:ilvl="2">
      <w:numFmt w:val="bullet"/>
      <w:lvlText w:val=""/>
      <w:lvlJc w:val="left"/>
      <w:pPr>
        <w:ind w:left="1827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247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667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3087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507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927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347" w:hanging="420"/>
      </w:pPr>
      <w:rPr>
        <w:rFonts w:ascii="Wingdings" w:hAnsi="Wingdings"/>
      </w:rPr>
    </w:lvl>
  </w:abstractNum>
  <w:abstractNum w:abstractNumId="9" w15:restartNumberingAfterBreak="0">
    <w:nsid w:val="2F78527F"/>
    <w:multiLevelType w:val="hybridMultilevel"/>
    <w:tmpl w:val="51B0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34072"/>
    <w:multiLevelType w:val="hybridMultilevel"/>
    <w:tmpl w:val="432A3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35D6A"/>
    <w:multiLevelType w:val="hybridMultilevel"/>
    <w:tmpl w:val="A88476B0"/>
    <w:lvl w:ilvl="0" w:tplc="BE7081EC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06BC3"/>
    <w:multiLevelType w:val="hybridMultilevel"/>
    <w:tmpl w:val="C49410E2"/>
    <w:lvl w:ilvl="0" w:tplc="68365BDE">
      <w:start w:val="3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C61C1"/>
    <w:multiLevelType w:val="hybridMultilevel"/>
    <w:tmpl w:val="352E776E"/>
    <w:lvl w:ilvl="0" w:tplc="F7147540">
      <w:start w:val="725"/>
      <w:numFmt w:val="bullet"/>
      <w:lvlText w:val="-"/>
      <w:lvlJc w:val="left"/>
      <w:pPr>
        <w:ind w:left="-69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4" w15:restartNumberingAfterBreak="0">
    <w:nsid w:val="4EC0718B"/>
    <w:multiLevelType w:val="multilevel"/>
    <w:tmpl w:val="EE1C352A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95"/>
        </w:tabs>
        <w:ind w:left="795" w:hanging="79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51777789"/>
    <w:multiLevelType w:val="hybridMultilevel"/>
    <w:tmpl w:val="7388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E0B22"/>
    <w:multiLevelType w:val="hybridMultilevel"/>
    <w:tmpl w:val="83DE5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56057"/>
    <w:multiLevelType w:val="multilevel"/>
    <w:tmpl w:val="A826345C"/>
    <w:lvl w:ilvl="0">
      <w:start w:val="1"/>
      <w:numFmt w:val="bullet"/>
      <w:lvlText w:val=""/>
      <w:lvlJc w:val="left"/>
      <w:pPr>
        <w:tabs>
          <w:tab w:val="num" w:pos="795"/>
        </w:tabs>
        <w:ind w:left="795" w:hanging="79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5"/>
        </w:tabs>
        <w:ind w:left="795" w:hanging="79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 w15:restartNumberingAfterBreak="0">
    <w:nsid w:val="571E703D"/>
    <w:multiLevelType w:val="hybridMultilevel"/>
    <w:tmpl w:val="6BD69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A77ED"/>
    <w:multiLevelType w:val="hybridMultilevel"/>
    <w:tmpl w:val="E5082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852BB"/>
    <w:multiLevelType w:val="hybridMultilevel"/>
    <w:tmpl w:val="48B4B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70F23"/>
    <w:multiLevelType w:val="multilevel"/>
    <w:tmpl w:val="B0B6B4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A7188"/>
    <w:multiLevelType w:val="multilevel"/>
    <w:tmpl w:val="55B8FE5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79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5"/>
        </w:tabs>
        <w:ind w:left="795" w:hanging="79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70A426AD"/>
    <w:multiLevelType w:val="hybridMultilevel"/>
    <w:tmpl w:val="CD8C0D86"/>
    <w:lvl w:ilvl="0" w:tplc="D430ABA8">
      <w:start w:val="4"/>
      <w:numFmt w:val="decimal"/>
      <w:lvlText w:val="%1&gt;"/>
      <w:lvlJc w:val="left"/>
      <w:pPr>
        <w:ind w:left="720" w:hanging="360"/>
      </w:pPr>
      <w:rPr>
        <w:rFonts w:eastAsia="SimSu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552A5"/>
    <w:multiLevelType w:val="hybridMultilevel"/>
    <w:tmpl w:val="5032E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FB1EF"/>
    <w:multiLevelType w:val="singleLevel"/>
    <w:tmpl w:val="7C5FB1EF"/>
    <w:lvl w:ilvl="0">
      <w:start w:val="3"/>
      <w:numFmt w:val="decimal"/>
      <w:suff w:val="space"/>
      <w:lvlText w:val="(%1)"/>
      <w:lvlJc w:val="left"/>
      <w:pPr>
        <w:ind w:left="0" w:firstLine="0"/>
      </w:pPr>
    </w:lvl>
  </w:abstractNum>
  <w:abstractNum w:abstractNumId="26" w15:restartNumberingAfterBreak="0">
    <w:nsid w:val="7EB11593"/>
    <w:multiLevelType w:val="hybridMultilevel"/>
    <w:tmpl w:val="CA8E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17"/>
  </w:num>
  <w:num w:numId="13">
    <w:abstractNumId w:val="13"/>
  </w:num>
  <w:num w:numId="14">
    <w:abstractNumId w:val="3"/>
  </w:num>
  <w:num w:numId="15">
    <w:abstractNumId w:val="14"/>
  </w:num>
  <w:num w:numId="16">
    <w:abstractNumId w:val="22"/>
  </w:num>
  <w:num w:numId="17">
    <w:abstractNumId w:val="3"/>
  </w:num>
  <w:num w:numId="18">
    <w:abstractNumId w:val="7"/>
  </w:num>
  <w:num w:numId="19">
    <w:abstractNumId w:val="20"/>
  </w:num>
  <w:num w:numId="20">
    <w:abstractNumId w:val="0"/>
  </w:num>
  <w:num w:numId="21">
    <w:abstractNumId w:val="23"/>
  </w:num>
  <w:num w:numId="22">
    <w:abstractNumId w:val="15"/>
  </w:num>
  <w:num w:numId="23">
    <w:abstractNumId w:val="26"/>
  </w:num>
  <w:num w:numId="24">
    <w:abstractNumId w:val="19"/>
  </w:num>
  <w:num w:numId="25">
    <w:abstractNumId w:val="9"/>
  </w:num>
  <w:num w:numId="2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5"/>
    <w:lvlOverride w:ilvl="0">
      <w:startOverride w:val="3"/>
    </w:lvlOverride>
  </w:num>
  <w:num w:numId="29">
    <w:abstractNumId w:val="1"/>
    <w:lvlOverride w:ilvl="0">
      <w:startOverride w:val="6"/>
    </w:lvlOverride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284"/>
    <w:rsid w:val="0000351C"/>
    <w:rsid w:val="0003643B"/>
    <w:rsid w:val="000517EE"/>
    <w:rsid w:val="000C4528"/>
    <w:rsid w:val="001005BB"/>
    <w:rsid w:val="00112D2D"/>
    <w:rsid w:val="001314C8"/>
    <w:rsid w:val="001575EE"/>
    <w:rsid w:val="001A75A0"/>
    <w:rsid w:val="001B7686"/>
    <w:rsid w:val="002132E3"/>
    <w:rsid w:val="002255BD"/>
    <w:rsid w:val="0023204F"/>
    <w:rsid w:val="0024472C"/>
    <w:rsid w:val="00245853"/>
    <w:rsid w:val="00260909"/>
    <w:rsid w:val="00264F89"/>
    <w:rsid w:val="00265A1D"/>
    <w:rsid w:val="00280923"/>
    <w:rsid w:val="002B6875"/>
    <w:rsid w:val="002F3DF9"/>
    <w:rsid w:val="00304134"/>
    <w:rsid w:val="00331C47"/>
    <w:rsid w:val="00334D59"/>
    <w:rsid w:val="003479C4"/>
    <w:rsid w:val="00364317"/>
    <w:rsid w:val="003770D8"/>
    <w:rsid w:val="00377AFB"/>
    <w:rsid w:val="00397CCA"/>
    <w:rsid w:val="003A104F"/>
    <w:rsid w:val="003D771B"/>
    <w:rsid w:val="003E092F"/>
    <w:rsid w:val="003E796F"/>
    <w:rsid w:val="003F0FDE"/>
    <w:rsid w:val="003F6EDF"/>
    <w:rsid w:val="003F7F7B"/>
    <w:rsid w:val="004577FB"/>
    <w:rsid w:val="00477D78"/>
    <w:rsid w:val="004866CB"/>
    <w:rsid w:val="00490B68"/>
    <w:rsid w:val="00497BA7"/>
    <w:rsid w:val="004E03BD"/>
    <w:rsid w:val="004F36FE"/>
    <w:rsid w:val="00510A90"/>
    <w:rsid w:val="00524F80"/>
    <w:rsid w:val="005437C4"/>
    <w:rsid w:val="00561C9F"/>
    <w:rsid w:val="0057480E"/>
    <w:rsid w:val="005877FF"/>
    <w:rsid w:val="005A1858"/>
    <w:rsid w:val="005A70A6"/>
    <w:rsid w:val="00601B9F"/>
    <w:rsid w:val="0069318C"/>
    <w:rsid w:val="006A3DA6"/>
    <w:rsid w:val="006B0F42"/>
    <w:rsid w:val="006C0A8A"/>
    <w:rsid w:val="006C5B6D"/>
    <w:rsid w:val="006D1BC9"/>
    <w:rsid w:val="006D3A6A"/>
    <w:rsid w:val="006D73B8"/>
    <w:rsid w:val="006E0D8F"/>
    <w:rsid w:val="006F5457"/>
    <w:rsid w:val="006F7DFE"/>
    <w:rsid w:val="0075227C"/>
    <w:rsid w:val="00756FFE"/>
    <w:rsid w:val="007621CF"/>
    <w:rsid w:val="00765B20"/>
    <w:rsid w:val="007B08DB"/>
    <w:rsid w:val="007D1309"/>
    <w:rsid w:val="00847C4B"/>
    <w:rsid w:val="00852A00"/>
    <w:rsid w:val="0086717F"/>
    <w:rsid w:val="008720AA"/>
    <w:rsid w:val="008865F9"/>
    <w:rsid w:val="008A31B3"/>
    <w:rsid w:val="008D6982"/>
    <w:rsid w:val="008E3541"/>
    <w:rsid w:val="008E5472"/>
    <w:rsid w:val="00910C02"/>
    <w:rsid w:val="00914AA4"/>
    <w:rsid w:val="0091501B"/>
    <w:rsid w:val="00921F96"/>
    <w:rsid w:val="00925C1A"/>
    <w:rsid w:val="0094032D"/>
    <w:rsid w:val="009753BF"/>
    <w:rsid w:val="00976DCC"/>
    <w:rsid w:val="00987ACC"/>
    <w:rsid w:val="009A5677"/>
    <w:rsid w:val="009B2781"/>
    <w:rsid w:val="009C2284"/>
    <w:rsid w:val="00A00CC3"/>
    <w:rsid w:val="00A122B2"/>
    <w:rsid w:val="00A177A1"/>
    <w:rsid w:val="00A27E3E"/>
    <w:rsid w:val="00A61CBC"/>
    <w:rsid w:val="00A67B7C"/>
    <w:rsid w:val="00A723B9"/>
    <w:rsid w:val="00A7365C"/>
    <w:rsid w:val="00A76BF9"/>
    <w:rsid w:val="00A77519"/>
    <w:rsid w:val="00B10389"/>
    <w:rsid w:val="00B11FAE"/>
    <w:rsid w:val="00B24E9D"/>
    <w:rsid w:val="00B4281E"/>
    <w:rsid w:val="00B47661"/>
    <w:rsid w:val="00B51790"/>
    <w:rsid w:val="00B523F2"/>
    <w:rsid w:val="00B83EC6"/>
    <w:rsid w:val="00BA3044"/>
    <w:rsid w:val="00BA5084"/>
    <w:rsid w:val="00BA7023"/>
    <w:rsid w:val="00BD0968"/>
    <w:rsid w:val="00C02AF6"/>
    <w:rsid w:val="00C11662"/>
    <w:rsid w:val="00C14E86"/>
    <w:rsid w:val="00C17E94"/>
    <w:rsid w:val="00C4631D"/>
    <w:rsid w:val="00C71730"/>
    <w:rsid w:val="00CA1499"/>
    <w:rsid w:val="00CB21DD"/>
    <w:rsid w:val="00CB6CD7"/>
    <w:rsid w:val="00CF200F"/>
    <w:rsid w:val="00D04819"/>
    <w:rsid w:val="00D30A99"/>
    <w:rsid w:val="00D36422"/>
    <w:rsid w:val="00D42471"/>
    <w:rsid w:val="00D55414"/>
    <w:rsid w:val="00D76783"/>
    <w:rsid w:val="00D76939"/>
    <w:rsid w:val="00D84219"/>
    <w:rsid w:val="00DA1F20"/>
    <w:rsid w:val="00E108DA"/>
    <w:rsid w:val="00E544AB"/>
    <w:rsid w:val="00E8649E"/>
    <w:rsid w:val="00EA1A5D"/>
    <w:rsid w:val="00EB328B"/>
    <w:rsid w:val="00ED144D"/>
    <w:rsid w:val="00ED7133"/>
    <w:rsid w:val="00EE7C81"/>
    <w:rsid w:val="00F1220F"/>
    <w:rsid w:val="00F7524C"/>
    <w:rsid w:val="00F853AE"/>
    <w:rsid w:val="00FB2AD1"/>
    <w:rsid w:val="00FB6BD2"/>
    <w:rsid w:val="00FE28ED"/>
    <w:rsid w:val="00FE39DF"/>
    <w:rsid w:val="00FE66C8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C60C14"/>
  <w15:docId w15:val="{10C442B5-3444-4B01-B2B5-BF883FCF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before="120"/>
      <w:textAlignment w:val="baseline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pPr>
      <w:spacing w:before="240"/>
      <w:outlineLvl w:val="1"/>
    </w:pPr>
  </w:style>
  <w:style w:type="paragraph" w:styleId="Heading3">
    <w:name w:val="heading 3"/>
    <w:basedOn w:val="Heading1"/>
    <w:next w:val="Normal"/>
    <w:pPr>
      <w:spacing w:before="160"/>
      <w:outlineLvl w:val="2"/>
    </w:pPr>
  </w:style>
  <w:style w:type="paragraph" w:styleId="Heading4">
    <w:name w:val="heading 4"/>
    <w:basedOn w:val="Heading3"/>
    <w:next w:val="Normal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pPr>
      <w:outlineLvl w:val="4"/>
    </w:pPr>
  </w:style>
  <w:style w:type="paragraph" w:styleId="Heading6">
    <w:name w:val="heading 6"/>
    <w:basedOn w:val="Heading4"/>
    <w:next w:val="Normal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jc w:val="right"/>
    </w:pPr>
    <w:rPr>
      <w:b/>
      <w:sz w:val="40"/>
      <w:szCs w:val="20"/>
      <w:lang w:eastAsia="en-US"/>
    </w:rPr>
  </w:style>
  <w:style w:type="character" w:customStyle="1" w:styleId="DocnumberChar">
    <w:name w:val="Docnumber Char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spacing w:before="480"/>
      <w:jc w:val="center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CorrectionSeparatorBegin">
    <w:name w:val="Correction Separator Begin"/>
    <w:basedOn w:val="Normal"/>
    <w:pPr>
      <w:keepNext/>
      <w:pBdr>
        <w:bottom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pPr>
      <w:pBdr>
        <w:top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spacing w:before="240" w:after="120"/>
      <w:jc w:val="center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spacing w:before="240" w:after="120"/>
      <w:jc w:val="center"/>
    </w:pPr>
    <w:rPr>
      <w:b/>
      <w:szCs w:val="20"/>
    </w:rPr>
  </w:style>
  <w:style w:type="paragraph" w:customStyle="1" w:styleId="Formal">
    <w:name w:val="Formal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spacing w:before="160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spacing w:before="160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rPr>
      <w:rFonts w:eastAsia="SimSun"/>
      <w:b/>
      <w:bCs/>
      <w:lang w:eastAsia="ja-JP"/>
    </w:rPr>
  </w:style>
  <w:style w:type="paragraph" w:customStyle="1" w:styleId="Normalbeforetable">
    <w:name w:val="Normal before table"/>
    <w:basedOn w:val="Normal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spacing w:before="0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spacing w:before="360"/>
      <w:jc w:val="center"/>
    </w:pPr>
    <w:rPr>
      <w:b/>
      <w:sz w:val="28"/>
      <w:szCs w:val="20"/>
    </w:rPr>
  </w:style>
  <w:style w:type="paragraph" w:customStyle="1" w:styleId="Reftext">
    <w:name w:val="Ref_text"/>
    <w:basedOn w:val="Normal"/>
    <w:pPr>
      <w:overflowPunct w:val="0"/>
      <w:autoSpaceDE w:val="0"/>
      <w:ind w:left="2268" w:hanging="2268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spacing w:before="80" w:after="80"/>
      <w:jc w:val="center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spacing w:after="40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spacing w:before="360" w:after="120"/>
      <w:jc w:val="center"/>
    </w:pPr>
    <w:rPr>
      <w:b/>
      <w:szCs w:val="20"/>
    </w:rPr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spacing w:before="40" w:after="40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spacing w:before="240"/>
      <w:ind w:left="680" w:right="851" w:hanging="680"/>
    </w:pPr>
    <w:rPr>
      <w:rFonts w:eastAsia="Batang"/>
      <w:szCs w:val="20"/>
      <w:lang w:eastAsia="en-US"/>
    </w:rPr>
  </w:style>
  <w:style w:type="paragraph" w:styleId="TOC2">
    <w:name w:val="toc 2"/>
    <w:basedOn w:val="TOC1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pPr>
      <w:ind w:left="2269"/>
    </w:pPr>
  </w:style>
  <w:style w:type="character" w:styleId="Hyperlink">
    <w:name w:val="Hyperlink"/>
    <w:aliases w:val="超级链接,Style 58,超????,하이퍼링크2,超?级链"/>
    <w:qFormat/>
    <w:rPr>
      <w:rFonts w:ascii="Times New Roman" w:hAnsi="Times New Roman"/>
      <w:color w:val="0000FF"/>
      <w:u w:val="singl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pPr>
      <w:spacing w:before="0" w:after="200"/>
    </w:pPr>
    <w:rPr>
      <w:i/>
      <w:iCs/>
      <w:color w:val="44546A"/>
      <w:sz w:val="18"/>
      <w:szCs w:val="18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rPr>
      <w:i/>
      <w:iCs/>
    </w:rPr>
  </w:style>
  <w:style w:type="paragraph" w:styleId="Subtitle">
    <w:name w:val="Subtitle"/>
    <w:basedOn w:val="Normal"/>
    <w:next w:val="Normal"/>
    <w:pPr>
      <w:spacing w:after="160"/>
    </w:pPr>
    <w:rPr>
      <w:rFonts w:ascii="Calibri" w:hAnsi="Calibri" w:cs="Arial"/>
      <w:color w:val="5A5A5A"/>
      <w:spacing w:val="15"/>
      <w:sz w:val="22"/>
      <w:szCs w:val="22"/>
    </w:rPr>
  </w:style>
  <w:style w:type="character" w:customStyle="1" w:styleId="SubtitleChar">
    <w:name w:val="Subtitle Char"/>
    <w:rPr>
      <w:color w:val="5A5A5A"/>
      <w:spacing w:val="15"/>
      <w:lang w:val="en-GB" w:eastAsia="ja-JP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rPr>
      <w:rFonts w:ascii="Times New Roman" w:hAnsi="Times New Roman" w:cs="Times New Roman"/>
      <w:i/>
      <w:iCs/>
      <w:color w:val="404040"/>
      <w:sz w:val="24"/>
      <w:szCs w:val="24"/>
      <w:lang w:val="en-GB" w:eastAsia="ja-JP"/>
    </w:rPr>
  </w:style>
  <w:style w:type="paragraph" w:styleId="BalloonText">
    <w:name w:val="Balloon Text"/>
    <w:basedOn w:val="Normal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Pr>
      <w:bCs w:val="0"/>
    </w:rPr>
  </w:style>
  <w:style w:type="paragraph" w:customStyle="1" w:styleId="LSForAction">
    <w:name w:val="LSForAction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</w:style>
  <w:style w:type="paragraph" w:customStyle="1" w:styleId="LSForComment">
    <w:name w:val="LSForComment"/>
    <w:basedOn w:val="LSForAction"/>
    <w:next w:val="Normal"/>
  </w:style>
  <w:style w:type="paragraph" w:customStyle="1" w:styleId="enumlev1">
    <w:name w:val="enumlev1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spacing w:before="80"/>
      <w:ind w:left="794" w:hanging="794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LSSource">
    <w:name w:val="LSSource"/>
    <w:basedOn w:val="LSForAction"/>
    <w:next w:val="Normal"/>
    <w:rPr>
      <w:rFonts w:eastAsia="Calibri"/>
      <w:bCs w:val="0"/>
    </w:rPr>
  </w:style>
  <w:style w:type="paragraph" w:customStyle="1" w:styleId="LSTitle">
    <w:name w:val="LSTitle"/>
    <w:basedOn w:val="LSForAction"/>
    <w:next w:val="Normal"/>
    <w:rPr>
      <w:rFonts w:eastAsia="Calibri"/>
      <w:bCs w:val="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ListParagraphChar">
    <w:name w:val="List Paragraph Char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efault">
    <w:name w:val="Default"/>
    <w:pPr>
      <w:widowControl w:val="0"/>
      <w:autoSpaceDE w:val="0"/>
      <w:autoSpaceDN w:val="0"/>
      <w:spacing w:after="160" w:line="254" w:lineRule="auto"/>
    </w:pPr>
    <w:rPr>
      <w:rFonts w:cs="Calibri"/>
      <w:color w:val="000000"/>
      <w:sz w:val="24"/>
      <w:szCs w:val="24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A61CBC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lang w:val="en-US" w:eastAsia="zh-C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61CBC"/>
    <w:pPr>
      <w:widowControl w:val="0"/>
      <w:suppressAutoHyphens w:val="0"/>
      <w:autoSpaceDE w:val="0"/>
      <w:spacing w:before="0"/>
      <w:textAlignment w:val="auto"/>
    </w:pPr>
    <w:rPr>
      <w:rFonts w:eastAsia="Times New Roman"/>
      <w:sz w:val="22"/>
      <w:szCs w:val="22"/>
      <w:lang w:eastAsia="en-GB" w:bidi="en-GB"/>
    </w:rPr>
  </w:style>
  <w:style w:type="character" w:customStyle="1" w:styleId="BodyTextChar">
    <w:name w:val="Body Text Char"/>
    <w:link w:val="BodyText"/>
    <w:uiPriority w:val="1"/>
    <w:semiHidden/>
    <w:rsid w:val="00A61CBC"/>
    <w:rPr>
      <w:rFonts w:ascii="Times New Roman" w:eastAsia="Times New Roman" w:hAnsi="Times New Roman" w:cs="Times New Roman"/>
      <w:lang w:val="en-GB" w:eastAsia="en-GB" w:bidi="en-GB"/>
    </w:rPr>
  </w:style>
  <w:style w:type="character" w:customStyle="1" w:styleId="TabletextChar">
    <w:name w:val="Table_text Char"/>
    <w:link w:val="Tabletext"/>
    <w:locked/>
    <w:rsid w:val="00A61CBC"/>
    <w:rPr>
      <w:rFonts w:ascii="Times New Roman" w:eastAsia="Times New Roman" w:hAnsi="Times New Roman" w:cs="Times New Roman"/>
      <w:szCs w:val="20"/>
      <w:lang w:val="en-GB" w:eastAsia="en-US"/>
    </w:rPr>
  </w:style>
  <w:style w:type="table" w:styleId="TableGrid">
    <w:name w:val="Table Grid"/>
    <w:basedOn w:val="TableNormal"/>
    <w:uiPriority w:val="39"/>
    <w:rsid w:val="00A61CBC"/>
    <w:rPr>
      <w:rFonts w:eastAsia="DengXi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B47661"/>
    <w:rPr>
      <w:color w:val="954F72"/>
      <w:u w:val="single"/>
    </w:rPr>
  </w:style>
  <w:style w:type="character" w:customStyle="1" w:styleId="highlight">
    <w:name w:val="highlight"/>
    <w:rsid w:val="009A5677"/>
  </w:style>
  <w:style w:type="character" w:styleId="CommentReference">
    <w:name w:val="annotation reference"/>
    <w:uiPriority w:val="99"/>
    <w:semiHidden/>
    <w:unhideWhenUsed/>
    <w:rsid w:val="00397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C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97CCA"/>
    <w:rPr>
      <w:rFonts w:ascii="Times New Roman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C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7CCA"/>
    <w:rPr>
      <w:rFonts w:ascii="Times New Roman" w:hAnsi="Times New Roman" w:cs="Times New Roman"/>
      <w:b/>
      <w:bCs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771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2AF6"/>
    <w:pPr>
      <w:suppressAutoHyphens w:val="0"/>
      <w:autoSpaceDN/>
      <w:spacing w:before="0"/>
      <w:textAlignment w:val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2AF6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xtranet.itu.int/sites/itu-t/studygroups/2017-2020/sg2/SitePages/Numbering%20Applications%20Monitor.aspx" TargetMode="External"/><Relationship Id="rId18" Type="http://schemas.openxmlformats.org/officeDocument/2006/relationships/hyperlink" Target="https://www.itu.int/md/T17-SG02-200527-TD-GEN-0976" TargetMode="External"/><Relationship Id="rId26" Type="http://schemas.openxmlformats.org/officeDocument/2006/relationships/hyperlink" Target="https://www.itu.int/md/T17-TSB-CIR-0229/en" TargetMode="External"/><Relationship Id="rId39" Type="http://schemas.openxmlformats.org/officeDocument/2006/relationships/hyperlink" Target="https://www.itu.int/md/T17-SG02-C-0283" TargetMode="External"/><Relationship Id="rId21" Type="http://schemas.openxmlformats.org/officeDocument/2006/relationships/hyperlink" Target="https://www.itu.int/md/T17-SG02-200527-TD-GEN-0976" TargetMode="External"/><Relationship Id="rId34" Type="http://schemas.openxmlformats.org/officeDocument/2006/relationships/hyperlink" Target="https://www.itu.int/md/T17-TSB-CIR-0254/en" TargetMode="External"/><Relationship Id="rId42" Type="http://schemas.openxmlformats.org/officeDocument/2006/relationships/hyperlink" Target="https://www.itu.int/md/T17-SG02-200527-TD-GEN-1091" TargetMode="External"/><Relationship Id="rId47" Type="http://schemas.openxmlformats.org/officeDocument/2006/relationships/hyperlink" Target="https://www.itu.int/md/T17-SG02-200527-TD-GEN-1043/en" TargetMode="External"/><Relationship Id="rId50" Type="http://schemas.openxmlformats.org/officeDocument/2006/relationships/hyperlink" Target="https://www.itu.int/md/T17-SG02-200527-TD-GEN-1095/en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hyperlink" Target="https://www.itu.int/md/T17-SG02-200527-TD-GEN-1102" TargetMode="External"/><Relationship Id="rId29" Type="http://schemas.openxmlformats.org/officeDocument/2006/relationships/hyperlink" Target="https://www.itu.int/md/T17-TSB-CIR-0229/en" TargetMode="External"/><Relationship Id="rId11" Type="http://schemas.openxmlformats.org/officeDocument/2006/relationships/hyperlink" Target="https://www.itu.int/md/T17-SG02-200907-TD-GEN-1199/en" TargetMode="External"/><Relationship Id="rId24" Type="http://schemas.openxmlformats.org/officeDocument/2006/relationships/hyperlink" Target="https://www.itu.int/md/T17-SG02-200527-TD-GEN-0976" TargetMode="External"/><Relationship Id="rId32" Type="http://schemas.openxmlformats.org/officeDocument/2006/relationships/hyperlink" Target="https://www.itu.int/md/T17-SG02-200527-TD-GEN-1017" TargetMode="External"/><Relationship Id="rId37" Type="http://schemas.openxmlformats.org/officeDocument/2006/relationships/hyperlink" Target="https://www.itu.int/md/T17-SG02-C-0281" TargetMode="External"/><Relationship Id="rId40" Type="http://schemas.openxmlformats.org/officeDocument/2006/relationships/hyperlink" Target="https://www.itu.int/md/T17-SG02-C-0285" TargetMode="External"/><Relationship Id="rId45" Type="http://schemas.openxmlformats.org/officeDocument/2006/relationships/hyperlink" Target="https://extranet.itu.int/sites/itu-t/studygroups/2017-2020/sg2/wtsa20/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handle.itu.int/11.1002/ls/sp16-sg2-oLS-00168.docx" TargetMode="External"/><Relationship Id="rId19" Type="http://schemas.openxmlformats.org/officeDocument/2006/relationships/hyperlink" Target="https://www.itu.int/md/T17-SG02-R-0022" TargetMode="External"/><Relationship Id="rId31" Type="http://schemas.openxmlformats.org/officeDocument/2006/relationships/hyperlink" Target="https://www.itu.int/md/T17-SG02-200527-TD-GEN-1101" TargetMode="External"/><Relationship Id="rId44" Type="http://schemas.openxmlformats.org/officeDocument/2006/relationships/hyperlink" Target="https://www.itu.int/ml/lists/arc/t17sg2nsp" TargetMode="External"/><Relationship Id="rId52" Type="http://schemas.openxmlformats.org/officeDocument/2006/relationships/hyperlink" Target="https://www.itu.int/ITU-T/workprog/wp_search.aspx?sg=2&amp;q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ilrushton@rcc-uk.uk" TargetMode="External"/><Relationship Id="rId14" Type="http://schemas.openxmlformats.org/officeDocument/2006/relationships/hyperlink" Target="https://www.itu.int/rec/T-REC-E.156/en" TargetMode="External"/><Relationship Id="rId22" Type="http://schemas.openxmlformats.org/officeDocument/2006/relationships/hyperlink" Target="https://www.itu.int/md/T17-SG02-R-0021" TargetMode="External"/><Relationship Id="rId27" Type="http://schemas.openxmlformats.org/officeDocument/2006/relationships/hyperlink" Target="https://www.itu.int/md/T17-SG02-200527-TD-GEN-0976" TargetMode="External"/><Relationship Id="rId30" Type="http://schemas.openxmlformats.org/officeDocument/2006/relationships/hyperlink" Target="https://www.itu.int/md/T17-SG02-200527-TD-GEN-0976" TargetMode="External"/><Relationship Id="rId35" Type="http://schemas.openxmlformats.org/officeDocument/2006/relationships/hyperlink" Target="https://www.itu.int/md/T17-SG02-200907-TD-GEN-1146" TargetMode="External"/><Relationship Id="rId43" Type="http://schemas.openxmlformats.org/officeDocument/2006/relationships/hyperlink" Target="https://www.itu.int/md/T17-SG02-200527-TD-GEN-1098/en" TargetMode="External"/><Relationship Id="rId48" Type="http://schemas.openxmlformats.org/officeDocument/2006/relationships/hyperlink" Target="https://www.itu.int/md/T17-SG02-200907-TD-GEN-1198" TargetMode="External"/><Relationship Id="rId8" Type="http://schemas.openxmlformats.org/officeDocument/2006/relationships/hyperlink" Target="http://handle.itu.int/11.1002/ls/sp16-sg2-oLS-00168.docx" TargetMode="External"/><Relationship Id="rId51" Type="http://schemas.openxmlformats.org/officeDocument/2006/relationships/hyperlink" Target="https://www.itu.int/ITU-T/workprog/wp_item.aspx?isn=16429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hilrushton@rcc-uk.uk" TargetMode="External"/><Relationship Id="rId17" Type="http://schemas.openxmlformats.org/officeDocument/2006/relationships/hyperlink" Target="https://www.itu.int/md/T17-TSB-CIR-0229/en" TargetMode="External"/><Relationship Id="rId25" Type="http://schemas.openxmlformats.org/officeDocument/2006/relationships/hyperlink" Target="https://www.itu.int/md/T17-SG02-R-0020" TargetMode="External"/><Relationship Id="rId33" Type="http://schemas.openxmlformats.org/officeDocument/2006/relationships/hyperlink" Target="https://www.itu.int/md/T17-SG02-R-0027/en" TargetMode="External"/><Relationship Id="rId38" Type="http://schemas.openxmlformats.org/officeDocument/2006/relationships/hyperlink" Target="https://www.itu.int/md/T17-SG02-C-0282" TargetMode="External"/><Relationship Id="rId46" Type="http://schemas.openxmlformats.org/officeDocument/2006/relationships/hyperlink" Target="https://www.itu.int/md/T17-SG02-200527-TD-GEN-1042/en" TargetMode="External"/><Relationship Id="rId20" Type="http://schemas.openxmlformats.org/officeDocument/2006/relationships/hyperlink" Target="https://www.itu.int/md/T17-TSB-CIR-0229/en" TargetMode="External"/><Relationship Id="rId41" Type="http://schemas.openxmlformats.org/officeDocument/2006/relationships/hyperlink" Target="https://www.itu.int/md/T17-SG02-200907-TD-GEN-1182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meetingdoc.asp?lang=en&amp;parent=T17-SG02-200527-TD-GEN-0968" TargetMode="External"/><Relationship Id="rId23" Type="http://schemas.openxmlformats.org/officeDocument/2006/relationships/hyperlink" Target="https://www.itu.int/md/T17-TSB-CIR-0229/en" TargetMode="External"/><Relationship Id="rId28" Type="http://schemas.openxmlformats.org/officeDocument/2006/relationships/hyperlink" Target="https://www.itu.int/md/T17-SG02-R-0019" TargetMode="External"/><Relationship Id="rId36" Type="http://schemas.openxmlformats.org/officeDocument/2006/relationships/hyperlink" Target="https://www.itu.int/md/T17-SG02-C-0279" TargetMode="External"/><Relationship Id="rId49" Type="http://schemas.openxmlformats.org/officeDocument/2006/relationships/hyperlink" Target="https://www.itu.int/md/T17-SG02-200907-TD-GEN-1178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 on ITU-T SG2 lead study group activities [to TSAG]</vt:lpstr>
    </vt:vector>
  </TitlesOfParts>
  <Manager>ITU-T</Manager>
  <Company>International Telecommunication Union (ITU)</Company>
  <LinksUpToDate>false</LinksUpToDate>
  <CharactersWithSpaces>20214</CharactersWithSpaces>
  <SharedDoc>false</SharedDoc>
  <HLinks>
    <vt:vector size="72" baseType="variant">
      <vt:variant>
        <vt:i4>6225948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https://www.itu.int/md/T17-SG02-191204-TD-GEN-0896/en</vt:lpwstr>
      </vt:variant>
      <vt:variant>
        <vt:lpwstr/>
      </vt:variant>
      <vt:variant>
        <vt:i4>6160412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https://www.itu.int/md/T17-SG02-191204-TD-GEN-0897/en</vt:lpwstr>
      </vt:variant>
      <vt:variant>
        <vt:lpwstr/>
      </vt:variant>
      <vt:variant>
        <vt:i4>6094869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https://www.itu.int/md/T17-SG02-191204-TD-GEN-0905/en</vt:lpwstr>
      </vt:variant>
      <vt:variant>
        <vt:lpwstr/>
      </vt:variant>
      <vt:variant>
        <vt:i4>6029340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https://www.itu.int/md/T17-SG02-191204-TD-GEN-0895/en</vt:lpwstr>
      </vt:variant>
      <vt:variant>
        <vt:lpwstr/>
      </vt:variant>
      <vt:variant>
        <vt:i4>3735611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https://www.itu.int/md/T17-SG02-191204-TD-GEN-0914</vt:lpwstr>
      </vt:variant>
      <vt:variant>
        <vt:lpwstr/>
      </vt:variant>
      <vt:variant>
        <vt:i4>5963805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https://www.itu.int/md/T17-SG02-190219-TD-GEN-0681/en</vt:lpwstr>
      </vt:variant>
      <vt:variant>
        <vt:lpwstr/>
      </vt:variant>
      <vt:variant>
        <vt:i4>5898269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https://www.itu.int/md/T17-SG02-190219-TD-GEN-0680/en</vt:lpwstr>
      </vt:variant>
      <vt:variant>
        <vt:lpwstr/>
      </vt:variant>
      <vt:variant>
        <vt:i4>3211325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https://www.itu.int/md/T17-SG02-191204-TD-GEN-0772</vt:lpwstr>
      </vt:variant>
      <vt:variant>
        <vt:lpwstr/>
      </vt:variant>
      <vt:variant>
        <vt:i4>5242902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https://www.itu.int/md/T17-SG02-191204-TD-GEN-0736/en</vt:lpwstr>
      </vt:variant>
      <vt:variant>
        <vt:lpwstr/>
      </vt:variant>
      <vt:variant>
        <vt:i4>3604581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https://www.itu.int/md/T17-TSB-CIR-0154/en</vt:lpwstr>
      </vt:variant>
      <vt:variant>
        <vt:lpwstr/>
      </vt:variant>
      <vt:variant>
        <vt:i4>5701654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https://www.itu.int/md/T17-SG02-R-0015/en</vt:lpwstr>
      </vt:variant>
      <vt:variant>
        <vt:lpwstr/>
      </vt:variant>
      <vt:variant>
        <vt:i4>4259884</vt:i4>
      </vt:variant>
      <vt:variant>
        <vt:i4>0</vt:i4>
      </vt:variant>
      <vt:variant>
        <vt:i4>0</vt:i4>
      </vt:variant>
      <vt:variant>
        <vt:i4>5</vt:i4>
      </vt:variant>
      <vt:variant>
        <vt:lpwstr>mailto:philrushton@rcc-uk.uk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ITU-T SG2 lead study group activities [to TSAG]</dc:title>
  <dc:subject/>
  <dc:creator>Chairman, ITU-T SG2</dc:creator>
  <cp:keywords>Numbering, Naming, Identifiers, Services, Routeing, Telecommunications Management, Fraud Management.</cp:keywords>
  <dc:description>SG2-TD1199  For: Virtual, 7-8 September 2020_x000d_Document date: _x000d_Saved by ITU51013676 at 16:42:01 on 19.08.2020</dc:description>
  <cp:lastModifiedBy>Al-Mnini, Lara</cp:lastModifiedBy>
  <cp:revision>3</cp:revision>
  <cp:lastPrinted>2016-12-23T12:52:00Z</cp:lastPrinted>
  <dcterms:created xsi:type="dcterms:W3CDTF">2020-09-08T14:35:00Z</dcterms:created>
  <dcterms:modified xsi:type="dcterms:W3CDTF">2020-09-08T14:46:00Z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SG2-TD1199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All/2</vt:lpwstr>
  </property>
  <property fmtid="{D5CDD505-2E9C-101B-9397-08002B2CF9AE}" pid="6" name="Docdest">
    <vt:lpwstr>Virtual, 7-8 September 2020</vt:lpwstr>
  </property>
  <property fmtid="{D5CDD505-2E9C-101B-9397-08002B2CF9AE}" pid="7" name="Docauthor">
    <vt:lpwstr>Chairman, ITU-T SG2</vt:lpwstr>
  </property>
</Properties>
</file>