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359"/>
        <w:gridCol w:w="700"/>
        <w:gridCol w:w="3420"/>
        <w:gridCol w:w="624"/>
        <w:gridCol w:w="3629"/>
      </w:tblGrid>
      <w:tr w:rsidR="00A17F98" w14:paraId="05CE9FD5" w14:textId="77777777" w:rsidTr="00CF4D87">
        <w:trPr>
          <w:cantSplit/>
        </w:trPr>
        <w:tc>
          <w:tcPr>
            <w:tcW w:w="1191" w:type="dxa"/>
            <w:vMerge w:val="restart"/>
          </w:tcPr>
          <w:p w14:paraId="6888DB9B" w14:textId="209FCDF7" w:rsidR="00A17F98" w:rsidRDefault="00B17993" w:rsidP="00CF4D87">
            <w:pPr>
              <w:rPr>
                <w:b/>
                <w:bCs/>
                <w:sz w:val="26"/>
              </w:rPr>
            </w:pPr>
            <w:bookmarkStart w:id="0" w:name="dnum" w:colFirst="2" w:colLast="2"/>
            <w:bookmarkStart w:id="1" w:name="dsg" w:colFirst="1" w:colLast="1"/>
            <w:bookmarkStart w:id="2" w:name="dtableau"/>
            <w:r>
              <w:rPr>
                <w:noProof/>
                <w:sz w:val="20"/>
                <w:lang w:val="en-US" w:eastAsia="zh-CN"/>
              </w:rPr>
              <w:drawing>
                <wp:inline distT="0" distB="0" distL="0" distR="0" wp14:anchorId="7540390E" wp14:editId="2E1617E7">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ITU logo"/>
                          <pic:cNvPicPr>
                            <a:picLocks noChangeAspect="1" noChangeArrowheads="1"/>
                          </pic:cNvPicPr>
                        </pic:nvPicPr>
                        <pic:blipFill rotWithShape="1">
                          <a:blip r:embed="rId12" cstate="print"/>
                          <a:srcRect t="-1" b="-12987"/>
                          <a:stretch/>
                        </pic:blipFill>
                        <pic:spPr bwMode="auto">
                          <a:xfrm>
                            <a:off x="0" y="0"/>
                            <a:ext cx="647700" cy="828675"/>
                          </a:xfrm>
                          <a:prstGeom prst="rect">
                            <a:avLst/>
                          </a:prstGeom>
                          <a:noFill/>
                          <a:ln>
                            <a:noFill/>
                          </a:ln>
                        </pic:spPr>
                      </pic:pic>
                    </a:graphicData>
                  </a:graphic>
                </wp:inline>
              </w:drawing>
            </w:r>
          </w:p>
        </w:tc>
        <w:tc>
          <w:tcPr>
            <w:tcW w:w="5103" w:type="dxa"/>
            <w:gridSpan w:val="4"/>
            <w:vMerge w:val="restart"/>
          </w:tcPr>
          <w:p w14:paraId="655DC5B0" w14:textId="77777777" w:rsidR="00A17F98" w:rsidRDefault="00A17F98" w:rsidP="00CF4D87">
            <w:pPr>
              <w:rPr>
                <w:sz w:val="20"/>
              </w:rPr>
            </w:pPr>
            <w:r>
              <w:rPr>
                <w:sz w:val="20"/>
              </w:rPr>
              <w:t>INTERNATIONAL TELECOMMUNICATION UNION</w:t>
            </w:r>
          </w:p>
          <w:p w14:paraId="5975DEDB" w14:textId="77777777" w:rsidR="00A17F98" w:rsidRDefault="00A17F98" w:rsidP="00CF4D87">
            <w:pPr>
              <w:rPr>
                <w:b/>
                <w:bCs/>
                <w:sz w:val="26"/>
              </w:rPr>
            </w:pPr>
            <w:r>
              <w:rPr>
                <w:b/>
                <w:bCs/>
                <w:sz w:val="26"/>
              </w:rPr>
              <w:t>TELECOMMUNICATION STANDARDIZATION SECTOR</w:t>
            </w:r>
          </w:p>
          <w:p w14:paraId="19F3634F" w14:textId="77777777" w:rsidR="00A17F98" w:rsidRDefault="00A17F98" w:rsidP="00CF4D87">
            <w:pPr>
              <w:rPr>
                <w:sz w:val="20"/>
              </w:rPr>
            </w:pPr>
            <w:r>
              <w:rPr>
                <w:sz w:val="20"/>
              </w:rPr>
              <w:t>STUDY PERIOD 2017-2020</w:t>
            </w:r>
          </w:p>
        </w:tc>
        <w:tc>
          <w:tcPr>
            <w:tcW w:w="3629" w:type="dxa"/>
          </w:tcPr>
          <w:p w14:paraId="293588D2" w14:textId="77777777" w:rsidR="00A17F98" w:rsidRDefault="00A17F98" w:rsidP="00CF4D87">
            <w:pPr>
              <w:pStyle w:val="Docnumber"/>
            </w:pPr>
            <w:r>
              <w:t>TSAG-TD799</w:t>
            </w:r>
          </w:p>
        </w:tc>
      </w:tr>
      <w:tr w:rsidR="00A17F98" w14:paraId="6116401F" w14:textId="77777777" w:rsidTr="00CF4D87">
        <w:trPr>
          <w:cantSplit/>
          <w:trHeight w:val="461"/>
        </w:trPr>
        <w:tc>
          <w:tcPr>
            <w:tcW w:w="1191" w:type="dxa"/>
            <w:vMerge/>
          </w:tcPr>
          <w:p w14:paraId="62D6630D" w14:textId="77777777" w:rsidR="00A17F98" w:rsidRDefault="00A17F98" w:rsidP="00CF4D87">
            <w:pPr>
              <w:rPr>
                <w:smallCaps/>
                <w:sz w:val="20"/>
              </w:rPr>
            </w:pPr>
          </w:p>
        </w:tc>
        <w:tc>
          <w:tcPr>
            <w:tcW w:w="5103" w:type="dxa"/>
            <w:gridSpan w:val="4"/>
            <w:vMerge/>
          </w:tcPr>
          <w:p w14:paraId="55A2DE29" w14:textId="77777777" w:rsidR="00A17F98" w:rsidRDefault="00A17F98" w:rsidP="00CF4D87">
            <w:pPr>
              <w:rPr>
                <w:smallCaps/>
                <w:sz w:val="20"/>
              </w:rPr>
            </w:pPr>
          </w:p>
        </w:tc>
        <w:tc>
          <w:tcPr>
            <w:tcW w:w="3629" w:type="dxa"/>
            <w:tcBorders>
              <w:bottom w:val="nil"/>
            </w:tcBorders>
          </w:tcPr>
          <w:p w14:paraId="6431AF12" w14:textId="77777777" w:rsidR="00A17F98" w:rsidRDefault="00A17F98" w:rsidP="00CF4D87">
            <w:pPr>
              <w:jc w:val="right"/>
              <w:rPr>
                <w:b/>
                <w:bCs/>
                <w:sz w:val="28"/>
              </w:rPr>
            </w:pPr>
            <w:r>
              <w:rPr>
                <w:b/>
                <w:bCs/>
                <w:sz w:val="28"/>
              </w:rPr>
              <w:t>TSAG</w:t>
            </w:r>
          </w:p>
        </w:tc>
      </w:tr>
      <w:tr w:rsidR="00A17F98" w14:paraId="4F339837" w14:textId="77777777" w:rsidTr="00CF4D87">
        <w:trPr>
          <w:cantSplit/>
          <w:trHeight w:val="379"/>
        </w:trPr>
        <w:tc>
          <w:tcPr>
            <w:tcW w:w="1191" w:type="dxa"/>
            <w:vMerge/>
            <w:tcBorders>
              <w:bottom w:val="single" w:sz="12" w:space="0" w:color="auto"/>
            </w:tcBorders>
          </w:tcPr>
          <w:p w14:paraId="2DA6C565" w14:textId="77777777" w:rsidR="00A17F98" w:rsidRDefault="00A17F98" w:rsidP="00CF4D87">
            <w:pPr>
              <w:rPr>
                <w:b/>
                <w:bCs/>
                <w:sz w:val="26"/>
              </w:rPr>
            </w:pPr>
            <w:bookmarkStart w:id="3" w:name="dorlang" w:colFirst="2" w:colLast="2"/>
          </w:p>
        </w:tc>
        <w:tc>
          <w:tcPr>
            <w:tcW w:w="5103" w:type="dxa"/>
            <w:gridSpan w:val="4"/>
            <w:vMerge/>
            <w:tcBorders>
              <w:bottom w:val="single" w:sz="12" w:space="0" w:color="auto"/>
            </w:tcBorders>
          </w:tcPr>
          <w:p w14:paraId="71EF8F40" w14:textId="77777777" w:rsidR="00A17F98" w:rsidRDefault="00A17F98" w:rsidP="00CF4D87">
            <w:pPr>
              <w:rPr>
                <w:b/>
                <w:bCs/>
                <w:sz w:val="26"/>
              </w:rPr>
            </w:pPr>
          </w:p>
        </w:tc>
        <w:tc>
          <w:tcPr>
            <w:tcW w:w="3629" w:type="dxa"/>
            <w:tcBorders>
              <w:bottom w:val="single" w:sz="12" w:space="0" w:color="auto"/>
            </w:tcBorders>
          </w:tcPr>
          <w:p w14:paraId="0E57891B" w14:textId="77777777" w:rsidR="00A17F98" w:rsidRDefault="00A17F98" w:rsidP="00CF4D87">
            <w:pPr>
              <w:jc w:val="right"/>
              <w:rPr>
                <w:b/>
                <w:bCs/>
                <w:sz w:val="28"/>
              </w:rPr>
            </w:pPr>
            <w:r>
              <w:rPr>
                <w:b/>
                <w:bCs/>
                <w:sz w:val="28"/>
              </w:rPr>
              <w:t>Original: English</w:t>
            </w:r>
          </w:p>
        </w:tc>
      </w:tr>
      <w:bookmarkEnd w:id="3"/>
      <w:tr w:rsidR="00A17F98" w14:paraId="6C5C7572" w14:textId="77777777" w:rsidTr="00CF4D87">
        <w:trPr>
          <w:cantSplit/>
          <w:trHeight w:val="357"/>
        </w:trPr>
        <w:tc>
          <w:tcPr>
            <w:tcW w:w="1550" w:type="dxa"/>
            <w:gridSpan w:val="2"/>
          </w:tcPr>
          <w:p w14:paraId="096353CB" w14:textId="77777777" w:rsidR="00A17F98" w:rsidRDefault="00A17F98" w:rsidP="00CF4D87">
            <w:pPr>
              <w:rPr>
                <w:b/>
                <w:bCs/>
              </w:rPr>
            </w:pPr>
            <w:r>
              <w:rPr>
                <w:b/>
                <w:bCs/>
              </w:rPr>
              <w:t>Question(s):</w:t>
            </w:r>
          </w:p>
        </w:tc>
        <w:tc>
          <w:tcPr>
            <w:tcW w:w="4744" w:type="dxa"/>
            <w:gridSpan w:val="3"/>
          </w:tcPr>
          <w:p w14:paraId="4292561B" w14:textId="48B2A10B" w:rsidR="00A17F98" w:rsidRDefault="00395134" w:rsidP="00CF4D87">
            <w:r>
              <w:t>N/</w:t>
            </w:r>
            <w:r w:rsidR="00A17F98">
              <w:t>A</w:t>
            </w:r>
          </w:p>
        </w:tc>
        <w:tc>
          <w:tcPr>
            <w:tcW w:w="3629" w:type="dxa"/>
          </w:tcPr>
          <w:p w14:paraId="02FE2EF7" w14:textId="77777777" w:rsidR="00A17F98" w:rsidRDefault="00A17F98" w:rsidP="00CF4D87">
            <w:pPr>
              <w:jc w:val="right"/>
            </w:pPr>
            <w:r>
              <w:t>E-Meeting, 21-25 September 2020</w:t>
            </w:r>
          </w:p>
        </w:tc>
      </w:tr>
      <w:tr w:rsidR="00A17F98" w14:paraId="0CD3038B" w14:textId="77777777" w:rsidTr="00CF4D87">
        <w:trPr>
          <w:cantSplit/>
          <w:trHeight w:val="357"/>
        </w:trPr>
        <w:tc>
          <w:tcPr>
            <w:tcW w:w="9923" w:type="dxa"/>
            <w:gridSpan w:val="6"/>
          </w:tcPr>
          <w:p w14:paraId="32128DB4" w14:textId="07D8FD70" w:rsidR="00A17F98" w:rsidRDefault="00A17F98" w:rsidP="00CF4D87">
            <w:pPr>
              <w:jc w:val="center"/>
              <w:rPr>
                <w:b/>
                <w:bCs/>
              </w:rPr>
            </w:pPr>
            <w:r>
              <w:rPr>
                <w:b/>
                <w:bCs/>
              </w:rPr>
              <w:t>TD</w:t>
            </w:r>
            <w:r>
              <w:rPr>
                <w:b/>
                <w:bCs/>
              </w:rPr>
              <w:br/>
              <w:t>(Ref</w:t>
            </w:r>
            <w:r w:rsidR="00395134">
              <w:rPr>
                <w:b/>
                <w:bCs/>
              </w:rPr>
              <w:t>.</w:t>
            </w:r>
            <w:r>
              <w:rPr>
                <w:b/>
                <w:bCs/>
              </w:rPr>
              <w:t xml:space="preserve">: </w:t>
            </w:r>
            <w:hyperlink r:id="rId13" w:tooltip="ITU-T ftp file restricted to TIES access only" w:history="1">
              <w:r>
                <w:rPr>
                  <w:rStyle w:val="Hyperlink"/>
                </w:rPr>
                <w:t>SG5-LS158</w:t>
              </w:r>
            </w:hyperlink>
            <w:r>
              <w:t>)</w:t>
            </w:r>
          </w:p>
        </w:tc>
      </w:tr>
      <w:tr w:rsidR="00A17F98" w14:paraId="51E7393B" w14:textId="77777777" w:rsidTr="00CF4D87">
        <w:trPr>
          <w:cantSplit/>
          <w:trHeight w:val="357"/>
        </w:trPr>
        <w:tc>
          <w:tcPr>
            <w:tcW w:w="1550" w:type="dxa"/>
            <w:gridSpan w:val="2"/>
          </w:tcPr>
          <w:p w14:paraId="163B941C" w14:textId="77777777" w:rsidR="00A17F98" w:rsidRDefault="00A17F98" w:rsidP="00CF4D87">
            <w:pPr>
              <w:rPr>
                <w:b/>
                <w:bCs/>
              </w:rPr>
            </w:pPr>
            <w:r>
              <w:rPr>
                <w:b/>
                <w:bCs/>
              </w:rPr>
              <w:t>Source:</w:t>
            </w:r>
          </w:p>
        </w:tc>
        <w:tc>
          <w:tcPr>
            <w:tcW w:w="8373" w:type="dxa"/>
            <w:gridSpan w:val="4"/>
          </w:tcPr>
          <w:p w14:paraId="06ADBAE3" w14:textId="77777777" w:rsidR="00A17F98" w:rsidRDefault="00A17F98" w:rsidP="00CF4D87">
            <w:r>
              <w:t>ITU-T Study Group 5</w:t>
            </w:r>
          </w:p>
        </w:tc>
      </w:tr>
      <w:tr w:rsidR="00A17F98" w14:paraId="7F9F1816" w14:textId="77777777" w:rsidTr="00CF4D87">
        <w:trPr>
          <w:cantSplit/>
          <w:trHeight w:val="357"/>
        </w:trPr>
        <w:tc>
          <w:tcPr>
            <w:tcW w:w="1550" w:type="dxa"/>
            <w:gridSpan w:val="2"/>
          </w:tcPr>
          <w:p w14:paraId="2E8B7110" w14:textId="77777777" w:rsidR="00A17F98" w:rsidRDefault="00A17F98" w:rsidP="00CF4D87">
            <w:pPr>
              <w:rPr>
                <w:b/>
                <w:bCs/>
              </w:rPr>
            </w:pPr>
            <w:r>
              <w:rPr>
                <w:b/>
                <w:bCs/>
              </w:rPr>
              <w:t>Title:</w:t>
            </w:r>
          </w:p>
        </w:tc>
        <w:tc>
          <w:tcPr>
            <w:tcW w:w="8373" w:type="dxa"/>
            <w:gridSpan w:val="4"/>
          </w:tcPr>
          <w:p w14:paraId="367D4A7B" w14:textId="3D1E4CD3" w:rsidR="00A17F98" w:rsidRDefault="00395134" w:rsidP="00CF4D87">
            <w:pPr>
              <w:spacing w:after="120"/>
            </w:pPr>
            <w:r>
              <w:t xml:space="preserve">LS on </w:t>
            </w:r>
            <w:r w:rsidR="00A17F98">
              <w:t>ITU-T SG5 Lead Study Group Report</w:t>
            </w:r>
            <w:r>
              <w:t xml:space="preserve"> [from ITU-T SG5]</w:t>
            </w:r>
          </w:p>
        </w:tc>
      </w:tr>
      <w:tr w:rsidR="00A17F98" w14:paraId="569EAE56" w14:textId="77777777" w:rsidTr="00CF4D87">
        <w:trPr>
          <w:cantSplit/>
          <w:trHeight w:val="357"/>
        </w:trPr>
        <w:tc>
          <w:tcPr>
            <w:tcW w:w="1550" w:type="dxa"/>
            <w:gridSpan w:val="2"/>
          </w:tcPr>
          <w:p w14:paraId="156C082B" w14:textId="77777777" w:rsidR="00A17F98" w:rsidRDefault="00A17F98" w:rsidP="00CF4D87">
            <w:pPr>
              <w:rPr>
                <w:b/>
                <w:bCs/>
              </w:rPr>
            </w:pPr>
            <w:r>
              <w:rPr>
                <w:b/>
                <w:bCs/>
              </w:rPr>
              <w:t>Purpose:</w:t>
            </w:r>
          </w:p>
        </w:tc>
        <w:tc>
          <w:tcPr>
            <w:tcW w:w="8373" w:type="dxa"/>
            <w:gridSpan w:val="4"/>
          </w:tcPr>
          <w:p w14:paraId="6C821CFB" w14:textId="2BFCCCA1" w:rsidR="00A17F98" w:rsidRDefault="00EF6FB8" w:rsidP="00CF4D87">
            <w:r>
              <w:t>Information</w:t>
            </w:r>
          </w:p>
        </w:tc>
      </w:tr>
      <w:tr w:rsidR="00A17F98" w14:paraId="41C62FD1" w14:textId="77777777" w:rsidTr="00CF4D87">
        <w:trPr>
          <w:cantSplit/>
          <w:trHeight w:val="357"/>
        </w:trPr>
        <w:tc>
          <w:tcPr>
            <w:tcW w:w="9923" w:type="dxa"/>
            <w:gridSpan w:val="6"/>
            <w:tcBorders>
              <w:top w:val="single" w:sz="12" w:space="0" w:color="auto"/>
            </w:tcBorders>
          </w:tcPr>
          <w:p w14:paraId="2092FB7A" w14:textId="77777777" w:rsidR="00A17F98" w:rsidRDefault="00A17F98" w:rsidP="00CF4D87">
            <w:pPr>
              <w:jc w:val="center"/>
              <w:rPr>
                <w:b/>
              </w:rPr>
            </w:pPr>
            <w:r>
              <w:rPr>
                <w:b/>
              </w:rPr>
              <w:t>LIAISON STATEMENT</w:t>
            </w:r>
          </w:p>
        </w:tc>
      </w:tr>
      <w:tr w:rsidR="00A17F98" w14:paraId="23986F2C" w14:textId="77777777" w:rsidTr="00CF4D87">
        <w:trPr>
          <w:cantSplit/>
          <w:trHeight w:val="357"/>
        </w:trPr>
        <w:tc>
          <w:tcPr>
            <w:tcW w:w="2250" w:type="dxa"/>
            <w:gridSpan w:val="3"/>
          </w:tcPr>
          <w:p w14:paraId="6B253D1D" w14:textId="77777777" w:rsidR="00A17F98" w:rsidRDefault="00A17F98" w:rsidP="00CF4D87">
            <w:pPr>
              <w:rPr>
                <w:b/>
                <w:bCs/>
              </w:rPr>
            </w:pPr>
            <w:r>
              <w:rPr>
                <w:b/>
                <w:bCs/>
              </w:rPr>
              <w:t>For action to:</w:t>
            </w:r>
          </w:p>
        </w:tc>
        <w:tc>
          <w:tcPr>
            <w:tcW w:w="7673" w:type="dxa"/>
            <w:gridSpan w:val="3"/>
          </w:tcPr>
          <w:p w14:paraId="0EA679B9" w14:textId="77777777" w:rsidR="00A17F98" w:rsidRDefault="00A17F98" w:rsidP="00CF4D87">
            <w:r>
              <w:t>-</w:t>
            </w:r>
          </w:p>
        </w:tc>
      </w:tr>
      <w:tr w:rsidR="00A17F98" w14:paraId="1D5D4085" w14:textId="77777777" w:rsidTr="00CF4D87">
        <w:trPr>
          <w:cantSplit/>
          <w:trHeight w:val="357"/>
        </w:trPr>
        <w:tc>
          <w:tcPr>
            <w:tcW w:w="2250" w:type="dxa"/>
            <w:gridSpan w:val="3"/>
          </w:tcPr>
          <w:p w14:paraId="29EDB0F8" w14:textId="77777777" w:rsidR="00A17F98" w:rsidRDefault="00A17F98" w:rsidP="00CF4D87">
            <w:pPr>
              <w:rPr>
                <w:b/>
                <w:bCs/>
              </w:rPr>
            </w:pPr>
            <w:r>
              <w:rPr>
                <w:b/>
                <w:bCs/>
              </w:rPr>
              <w:t>For comment to:</w:t>
            </w:r>
          </w:p>
        </w:tc>
        <w:tc>
          <w:tcPr>
            <w:tcW w:w="7673" w:type="dxa"/>
            <w:gridSpan w:val="3"/>
          </w:tcPr>
          <w:p w14:paraId="1EAAE699" w14:textId="77777777" w:rsidR="00A17F98" w:rsidRDefault="00A17F98" w:rsidP="00CF4D87">
            <w:r>
              <w:t>-</w:t>
            </w:r>
          </w:p>
        </w:tc>
      </w:tr>
      <w:tr w:rsidR="00A17F98" w14:paraId="3394DE24" w14:textId="77777777" w:rsidTr="00CF4D87">
        <w:trPr>
          <w:cantSplit/>
          <w:trHeight w:val="357"/>
        </w:trPr>
        <w:tc>
          <w:tcPr>
            <w:tcW w:w="2250" w:type="dxa"/>
            <w:gridSpan w:val="3"/>
          </w:tcPr>
          <w:p w14:paraId="1D80E5FE" w14:textId="77777777" w:rsidR="00A17F98" w:rsidRDefault="00A17F98" w:rsidP="00CF4D87">
            <w:pPr>
              <w:rPr>
                <w:b/>
                <w:bCs/>
              </w:rPr>
            </w:pPr>
            <w:r>
              <w:rPr>
                <w:b/>
                <w:bCs/>
              </w:rPr>
              <w:t>For information to:</w:t>
            </w:r>
          </w:p>
        </w:tc>
        <w:tc>
          <w:tcPr>
            <w:tcW w:w="7673" w:type="dxa"/>
            <w:gridSpan w:val="3"/>
          </w:tcPr>
          <w:p w14:paraId="7503F32C" w14:textId="77777777" w:rsidR="00A17F98" w:rsidRDefault="00A17F98" w:rsidP="00CF4D87">
            <w:r>
              <w:t>TSAG</w:t>
            </w:r>
          </w:p>
        </w:tc>
      </w:tr>
      <w:tr w:rsidR="00A17F98" w14:paraId="1B1D1E98" w14:textId="77777777" w:rsidTr="00CF4D87">
        <w:trPr>
          <w:cantSplit/>
          <w:trHeight w:val="357"/>
        </w:trPr>
        <w:tc>
          <w:tcPr>
            <w:tcW w:w="2250" w:type="dxa"/>
            <w:gridSpan w:val="3"/>
          </w:tcPr>
          <w:p w14:paraId="711AC7FE" w14:textId="77777777" w:rsidR="00A17F98" w:rsidRDefault="00A17F98" w:rsidP="00CF4D87">
            <w:pPr>
              <w:rPr>
                <w:b/>
                <w:bCs/>
              </w:rPr>
            </w:pPr>
            <w:r>
              <w:rPr>
                <w:b/>
                <w:bCs/>
              </w:rPr>
              <w:t>Approval:</w:t>
            </w:r>
          </w:p>
        </w:tc>
        <w:tc>
          <w:tcPr>
            <w:tcW w:w="7673" w:type="dxa"/>
            <w:gridSpan w:val="3"/>
          </w:tcPr>
          <w:p w14:paraId="2B774EF7" w14:textId="77777777" w:rsidR="00A17F98" w:rsidRDefault="00A17F98" w:rsidP="00CF4D87">
            <w:r>
              <w:t>ITU-T Study Group 5 management team (14 August 2020 by correspondence)</w:t>
            </w:r>
          </w:p>
        </w:tc>
      </w:tr>
      <w:tr w:rsidR="00A17F98" w14:paraId="6BE794AD" w14:textId="77777777" w:rsidTr="00CF4D87">
        <w:trPr>
          <w:cantSplit/>
          <w:trHeight w:val="357"/>
        </w:trPr>
        <w:tc>
          <w:tcPr>
            <w:tcW w:w="2250" w:type="dxa"/>
            <w:gridSpan w:val="3"/>
            <w:tcBorders>
              <w:bottom w:val="single" w:sz="12" w:space="0" w:color="auto"/>
            </w:tcBorders>
          </w:tcPr>
          <w:p w14:paraId="472B5DEC" w14:textId="77777777" w:rsidR="00A17F98" w:rsidRDefault="00A17F98" w:rsidP="00CF4D87">
            <w:r>
              <w:rPr>
                <w:b/>
              </w:rPr>
              <w:t>Deadline:</w:t>
            </w:r>
          </w:p>
        </w:tc>
        <w:tc>
          <w:tcPr>
            <w:tcW w:w="7673" w:type="dxa"/>
            <w:gridSpan w:val="3"/>
            <w:tcBorders>
              <w:bottom w:val="single" w:sz="12" w:space="0" w:color="auto"/>
            </w:tcBorders>
          </w:tcPr>
          <w:p w14:paraId="65BF031E" w14:textId="77777777" w:rsidR="00A17F98" w:rsidRDefault="00A17F98" w:rsidP="00CF4D87">
            <w:r>
              <w:t>N/A</w:t>
            </w:r>
          </w:p>
        </w:tc>
      </w:tr>
      <w:tr w:rsidR="00A17F98" w:rsidRPr="00EF6FB8" w14:paraId="1660BDCF" w14:textId="77777777" w:rsidTr="002C2C4D">
        <w:trPr>
          <w:trHeight w:val="204"/>
        </w:trPr>
        <w:tc>
          <w:tcPr>
            <w:tcW w:w="2250" w:type="dxa"/>
            <w:gridSpan w:val="3"/>
            <w:tcBorders>
              <w:bottom w:val="single" w:sz="12" w:space="0" w:color="auto"/>
            </w:tcBorders>
          </w:tcPr>
          <w:p w14:paraId="2E3F9793" w14:textId="77777777" w:rsidR="00A17F98" w:rsidRDefault="00A17F98" w:rsidP="00CF4D87">
            <w:pPr>
              <w:rPr>
                <w:b/>
                <w:bCs/>
              </w:rPr>
            </w:pPr>
            <w:r>
              <w:rPr>
                <w:b/>
                <w:bCs/>
              </w:rPr>
              <w:t>Contact:</w:t>
            </w:r>
          </w:p>
        </w:tc>
        <w:tc>
          <w:tcPr>
            <w:tcW w:w="3420" w:type="dxa"/>
            <w:tcBorders>
              <w:bottom w:val="single" w:sz="12" w:space="0" w:color="auto"/>
            </w:tcBorders>
          </w:tcPr>
          <w:p w14:paraId="58A6BD70" w14:textId="77777777" w:rsidR="00A17F98" w:rsidRDefault="00A17F98" w:rsidP="002C2C4D">
            <w:proofErr w:type="spellStart"/>
            <w:r>
              <w:t>Shuguang</w:t>
            </w:r>
            <w:proofErr w:type="spellEnd"/>
            <w:r>
              <w:t xml:space="preserve"> Qi </w:t>
            </w:r>
            <w:r>
              <w:br/>
              <w:t>Acting Chairman ITU-T SG5</w:t>
            </w:r>
          </w:p>
        </w:tc>
        <w:tc>
          <w:tcPr>
            <w:tcW w:w="4253" w:type="dxa"/>
            <w:gridSpan w:val="2"/>
            <w:tcBorders>
              <w:bottom w:val="single" w:sz="12" w:space="0" w:color="auto"/>
            </w:tcBorders>
          </w:tcPr>
          <w:p w14:paraId="0FBE6621" w14:textId="236B171F" w:rsidR="00A17F98" w:rsidRPr="00EF6FB8" w:rsidRDefault="00A17F98" w:rsidP="00084284">
            <w:pPr>
              <w:spacing w:after="40"/>
              <w:rPr>
                <w:lang w:val="fr-FR"/>
              </w:rPr>
            </w:pPr>
            <w:proofErr w:type="gramStart"/>
            <w:r w:rsidRPr="00EF6FB8">
              <w:rPr>
                <w:lang w:val="fr-FR"/>
              </w:rPr>
              <w:t>Tel:</w:t>
            </w:r>
            <w:proofErr w:type="gramEnd"/>
            <w:r w:rsidRPr="00EF6FB8">
              <w:rPr>
                <w:lang w:val="fr-FR"/>
              </w:rPr>
              <w:t xml:space="preserve"> </w:t>
            </w:r>
            <w:r w:rsidRPr="00EF6FB8">
              <w:rPr>
                <w:lang w:val="fr-FR"/>
              </w:rPr>
              <w:tab/>
              <w:t>+86 10 82053589-8858</w:t>
            </w:r>
            <w:r w:rsidRPr="00EF6FB8">
              <w:rPr>
                <w:lang w:val="fr-FR"/>
              </w:rPr>
              <w:br/>
              <w:t xml:space="preserve">E-mail: </w:t>
            </w:r>
            <w:hyperlink r:id="rId14" w:history="1">
              <w:r w:rsidR="002C2C4D" w:rsidRPr="00405F6E">
                <w:rPr>
                  <w:rStyle w:val="Hyperlink"/>
                  <w:lang w:val="fr-FR"/>
                </w:rPr>
                <w:t>qishuguang@caict.ac.cn</w:t>
              </w:r>
            </w:hyperlink>
            <w:r w:rsidR="002C2C4D">
              <w:rPr>
                <w:lang w:val="fr-FR"/>
              </w:rPr>
              <w:t xml:space="preserve"> </w:t>
            </w:r>
          </w:p>
        </w:tc>
      </w:tr>
      <w:tr w:rsidR="00A17F98" w:rsidRPr="00EF6FB8" w14:paraId="328FCCEC" w14:textId="77777777" w:rsidTr="002C2C4D">
        <w:trPr>
          <w:trHeight w:val="204"/>
        </w:trPr>
        <w:tc>
          <w:tcPr>
            <w:tcW w:w="2250" w:type="dxa"/>
            <w:gridSpan w:val="3"/>
            <w:tcBorders>
              <w:bottom w:val="single" w:sz="12" w:space="0" w:color="auto"/>
            </w:tcBorders>
          </w:tcPr>
          <w:p w14:paraId="185E5C0F" w14:textId="77777777" w:rsidR="00A17F98" w:rsidRDefault="00A17F98" w:rsidP="00CF4D87">
            <w:pPr>
              <w:rPr>
                <w:b/>
                <w:bCs/>
              </w:rPr>
            </w:pPr>
            <w:r>
              <w:rPr>
                <w:b/>
                <w:bCs/>
              </w:rPr>
              <w:t>Contact:</w:t>
            </w:r>
          </w:p>
        </w:tc>
        <w:tc>
          <w:tcPr>
            <w:tcW w:w="3420" w:type="dxa"/>
            <w:tcBorders>
              <w:bottom w:val="single" w:sz="12" w:space="0" w:color="auto"/>
            </w:tcBorders>
          </w:tcPr>
          <w:p w14:paraId="76FE6537" w14:textId="77777777" w:rsidR="00A17F98" w:rsidRDefault="00A17F98" w:rsidP="002C2C4D">
            <w:r>
              <w:t>Fryderyk Lewicki</w:t>
            </w:r>
            <w:r>
              <w:br/>
              <w:t>Chairman of WP1/5</w:t>
            </w:r>
          </w:p>
        </w:tc>
        <w:tc>
          <w:tcPr>
            <w:tcW w:w="4253" w:type="dxa"/>
            <w:gridSpan w:val="2"/>
            <w:tcBorders>
              <w:bottom w:val="single" w:sz="12" w:space="0" w:color="auto"/>
            </w:tcBorders>
          </w:tcPr>
          <w:p w14:paraId="187DF0E9" w14:textId="49CA0CF8" w:rsidR="00A17F98" w:rsidRPr="00EF6FB8" w:rsidRDefault="00A17F98" w:rsidP="00084284">
            <w:pPr>
              <w:spacing w:after="40"/>
              <w:rPr>
                <w:lang w:val="fr-FR"/>
              </w:rPr>
            </w:pPr>
            <w:proofErr w:type="gramStart"/>
            <w:r w:rsidRPr="00EF6FB8">
              <w:rPr>
                <w:lang w:val="fr-FR"/>
              </w:rPr>
              <w:t>Tel:</w:t>
            </w:r>
            <w:proofErr w:type="gramEnd"/>
            <w:r w:rsidRPr="00EF6FB8">
              <w:rPr>
                <w:lang w:val="fr-FR"/>
              </w:rPr>
              <w:t xml:space="preserve"> </w:t>
            </w:r>
            <w:r w:rsidRPr="00EF6FB8">
              <w:rPr>
                <w:lang w:val="fr-FR"/>
              </w:rPr>
              <w:tab/>
              <w:t>+48 71 321 09 24</w:t>
            </w:r>
            <w:r w:rsidRPr="00EF6FB8">
              <w:rPr>
                <w:lang w:val="fr-FR"/>
              </w:rPr>
              <w:br/>
              <w:t xml:space="preserve">E-mail: </w:t>
            </w:r>
            <w:hyperlink r:id="rId15" w:history="1">
              <w:r w:rsidR="002C2C4D" w:rsidRPr="00405F6E">
                <w:rPr>
                  <w:rStyle w:val="Hyperlink"/>
                  <w:lang w:val="fr-FR"/>
                </w:rPr>
                <w:t>fryderyk.lewicki@orange.com</w:t>
              </w:r>
            </w:hyperlink>
            <w:r w:rsidR="002C2C4D">
              <w:rPr>
                <w:lang w:val="fr-FR"/>
              </w:rPr>
              <w:t xml:space="preserve"> </w:t>
            </w:r>
          </w:p>
        </w:tc>
      </w:tr>
      <w:tr w:rsidR="00A17F98" w14:paraId="14FC991B" w14:textId="77777777" w:rsidTr="002C2C4D">
        <w:trPr>
          <w:trHeight w:val="204"/>
        </w:trPr>
        <w:tc>
          <w:tcPr>
            <w:tcW w:w="2250" w:type="dxa"/>
            <w:gridSpan w:val="3"/>
            <w:tcBorders>
              <w:bottom w:val="single" w:sz="12" w:space="0" w:color="auto"/>
            </w:tcBorders>
          </w:tcPr>
          <w:p w14:paraId="51B54F01" w14:textId="77777777" w:rsidR="00A17F98" w:rsidRDefault="00A17F98" w:rsidP="00CF4D87">
            <w:pPr>
              <w:rPr>
                <w:b/>
                <w:bCs/>
              </w:rPr>
            </w:pPr>
            <w:r>
              <w:rPr>
                <w:b/>
                <w:bCs/>
              </w:rPr>
              <w:t>Contact:</w:t>
            </w:r>
          </w:p>
        </w:tc>
        <w:tc>
          <w:tcPr>
            <w:tcW w:w="3420" w:type="dxa"/>
            <w:tcBorders>
              <w:bottom w:val="single" w:sz="12" w:space="0" w:color="auto"/>
            </w:tcBorders>
          </w:tcPr>
          <w:p w14:paraId="33A4A7F7" w14:textId="77777777" w:rsidR="00A17F98" w:rsidRDefault="00A17F98" w:rsidP="002C2C4D">
            <w:r>
              <w:t>Paolo Gemma</w:t>
            </w:r>
            <w:r>
              <w:br/>
              <w:t>Chairman of WP2/5</w:t>
            </w:r>
          </w:p>
        </w:tc>
        <w:tc>
          <w:tcPr>
            <w:tcW w:w="4253" w:type="dxa"/>
            <w:gridSpan w:val="2"/>
            <w:tcBorders>
              <w:bottom w:val="single" w:sz="12" w:space="0" w:color="auto"/>
            </w:tcBorders>
          </w:tcPr>
          <w:p w14:paraId="4ECC76F6" w14:textId="49E76229" w:rsidR="00A17F98" w:rsidRDefault="00A17F98" w:rsidP="00084284">
            <w:pPr>
              <w:spacing w:after="40"/>
            </w:pPr>
            <w:r>
              <w:t xml:space="preserve">Tel: </w:t>
            </w:r>
            <w:r>
              <w:tab/>
              <w:t>+39 02 3999 4947</w:t>
            </w:r>
            <w:r>
              <w:br/>
              <w:t>Fax:</w:t>
            </w:r>
            <w:r>
              <w:tab/>
              <w:t>+39 01119743499</w:t>
            </w:r>
            <w:r>
              <w:br/>
              <w:t xml:space="preserve">Email: </w:t>
            </w:r>
            <w:hyperlink r:id="rId16" w:history="1">
              <w:r w:rsidR="002C2C4D" w:rsidRPr="00405F6E">
                <w:rPr>
                  <w:rStyle w:val="Hyperlink"/>
                </w:rPr>
                <w:t>paolo.gemma@huawei.com</w:t>
              </w:r>
            </w:hyperlink>
            <w:r w:rsidR="002C2C4D">
              <w:t xml:space="preserve"> </w:t>
            </w:r>
          </w:p>
        </w:tc>
      </w:tr>
    </w:tbl>
    <w:p w14:paraId="398A5D34" w14:textId="77777777" w:rsidR="00A17F98" w:rsidRDefault="00A17F98" w:rsidP="00A17F98"/>
    <w:p w14:paraId="0C2656CE" w14:textId="77777777" w:rsidR="00A17F98" w:rsidRDefault="00A17F98" w:rsidP="00A17F98">
      <w:r>
        <w:t>A new liaison statement has been received from SG5.</w:t>
      </w:r>
    </w:p>
    <w:p w14:paraId="35DCD82E" w14:textId="77777777" w:rsidR="00A17F98" w:rsidRDefault="00A17F98" w:rsidP="00A17F98">
      <w:r>
        <w:t xml:space="preserve">This liaison statement follows and the original file can be downloaded from the ITU ftp server at </w:t>
      </w:r>
      <w:hyperlink r:id="rId17" w:tooltip="ITU-T ftp file restricted to TIES access only" w:history="1">
        <w:r>
          <w:rPr>
            <w:rStyle w:val="Hyperlink"/>
          </w:rPr>
          <w:t>http://handle.itu.int/11.1002/ls/sp16-sg5-oLS-00158.docx</w:t>
        </w:r>
      </w:hyperlink>
      <w:r>
        <w:t>.</w:t>
      </w:r>
    </w:p>
    <w:p w14:paraId="745E3127" w14:textId="77777777" w:rsidR="00A17F98" w:rsidRDefault="00A17F98" w:rsidP="00A17F98">
      <w:pPr>
        <w:spacing w:before="0"/>
        <w:jc w:val="center"/>
      </w:pPr>
    </w:p>
    <w:p w14:paraId="19DA58AE" w14:textId="77777777" w:rsidR="00A17F98" w:rsidRDefault="00A17F98" w:rsidP="00A17F98">
      <w:pPr>
        <w:jc w:val="right"/>
      </w:pPr>
      <w:r>
        <w:br w:type="page"/>
      </w:r>
    </w:p>
    <w:tbl>
      <w:tblPr>
        <w:tblW w:w="9923" w:type="dxa"/>
        <w:tblLayout w:type="fixed"/>
        <w:tblCellMar>
          <w:left w:w="57" w:type="dxa"/>
          <w:right w:w="57" w:type="dxa"/>
        </w:tblCellMar>
        <w:tblLook w:val="04A0" w:firstRow="1" w:lastRow="0" w:firstColumn="1" w:lastColumn="0" w:noHBand="0" w:noVBand="1"/>
      </w:tblPr>
      <w:tblGrid>
        <w:gridCol w:w="1191"/>
        <w:gridCol w:w="416"/>
        <w:gridCol w:w="10"/>
        <w:gridCol w:w="510"/>
        <w:gridCol w:w="3115"/>
        <w:gridCol w:w="145"/>
        <w:gridCol w:w="4536"/>
      </w:tblGrid>
      <w:tr w:rsidR="00B0022E" w:rsidRPr="00052697" w14:paraId="3D85481A" w14:textId="77777777">
        <w:trPr>
          <w:cantSplit/>
        </w:trPr>
        <w:tc>
          <w:tcPr>
            <w:tcW w:w="1191" w:type="dxa"/>
            <w:vMerge w:val="restart"/>
          </w:tcPr>
          <w:p w14:paraId="08FF7AEC" w14:textId="38CBC5C6" w:rsidR="00B0022E" w:rsidRPr="00055F0A" w:rsidRDefault="00B17993">
            <w:pPr>
              <w:rPr>
                <w:sz w:val="20"/>
                <w:szCs w:val="20"/>
              </w:rPr>
            </w:pPr>
            <w:r>
              <w:rPr>
                <w:noProof/>
                <w:sz w:val="20"/>
                <w:szCs w:val="20"/>
                <w:lang w:eastAsia="zh-CN"/>
              </w:rPr>
              <w:lastRenderedPageBreak/>
              <w:drawing>
                <wp:inline distT="0" distB="0" distL="0" distR="0" wp14:anchorId="7DA0E066" wp14:editId="01BC8876">
                  <wp:extent cx="643894" cy="838200"/>
                  <wp:effectExtent l="0" t="0" r="0" b="0"/>
                  <wp:docPr id="2"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title="ITU logo"/>
                          <pic:cNvPicPr>
                            <a:picLocks noChangeAspect="1" noChangeArrowheads="1"/>
                          </pic:cNvPicPr>
                        </pic:nvPicPr>
                        <pic:blipFill>
                          <a:blip r:embed="rId12" cstate="print"/>
                          <a:srcRect t="-1" b="-12987"/>
                          <a:stretch>
                            <a:fillRect/>
                          </a:stretch>
                        </pic:blipFill>
                        <pic:spPr>
                          <a:xfrm>
                            <a:off x="0" y="0"/>
                            <a:ext cx="643890" cy="838200"/>
                          </a:xfrm>
                          <a:prstGeom prst="rect">
                            <a:avLst/>
                          </a:prstGeom>
                          <a:noFill/>
                          <a:ln>
                            <a:noFill/>
                          </a:ln>
                        </pic:spPr>
                      </pic:pic>
                    </a:graphicData>
                  </a:graphic>
                </wp:inline>
              </w:drawing>
            </w:r>
          </w:p>
        </w:tc>
        <w:tc>
          <w:tcPr>
            <w:tcW w:w="4051" w:type="dxa"/>
            <w:gridSpan w:val="4"/>
            <w:vMerge w:val="restart"/>
          </w:tcPr>
          <w:p w14:paraId="4C1B55DF" w14:textId="77777777" w:rsidR="00B0022E" w:rsidRPr="00055F0A" w:rsidRDefault="00D12115">
            <w:pPr>
              <w:rPr>
                <w:sz w:val="16"/>
                <w:szCs w:val="16"/>
              </w:rPr>
            </w:pPr>
            <w:r w:rsidRPr="00055F0A">
              <w:rPr>
                <w:sz w:val="16"/>
                <w:szCs w:val="16"/>
              </w:rPr>
              <w:t>INTERNATIONAL TELECOMMUNICATION UNION</w:t>
            </w:r>
          </w:p>
          <w:p w14:paraId="4FBA374F" w14:textId="77777777" w:rsidR="00B0022E" w:rsidRPr="00055F0A" w:rsidRDefault="00D12115">
            <w:pPr>
              <w:rPr>
                <w:b/>
                <w:bCs/>
                <w:sz w:val="26"/>
                <w:szCs w:val="26"/>
              </w:rPr>
            </w:pPr>
            <w:r w:rsidRPr="00055F0A">
              <w:rPr>
                <w:b/>
                <w:bCs/>
                <w:sz w:val="26"/>
                <w:szCs w:val="26"/>
              </w:rPr>
              <w:t>TELECOMMUNICATION</w:t>
            </w:r>
            <w:r w:rsidRPr="00055F0A">
              <w:rPr>
                <w:b/>
                <w:bCs/>
                <w:sz w:val="26"/>
                <w:szCs w:val="26"/>
              </w:rPr>
              <w:br/>
              <w:t>STANDARDIZATION SECTOR</w:t>
            </w:r>
          </w:p>
          <w:p w14:paraId="35E8AFBC" w14:textId="77777777" w:rsidR="00B0022E" w:rsidRPr="00055F0A" w:rsidRDefault="00D12115">
            <w:pPr>
              <w:rPr>
                <w:sz w:val="20"/>
                <w:szCs w:val="20"/>
              </w:rPr>
            </w:pPr>
            <w:r w:rsidRPr="00055F0A">
              <w:rPr>
                <w:sz w:val="20"/>
                <w:szCs w:val="20"/>
              </w:rPr>
              <w:t xml:space="preserve">STUDY PERIOD </w:t>
            </w:r>
            <w:bookmarkStart w:id="4" w:name="dstudyperiod"/>
            <w:r w:rsidRPr="00055F0A">
              <w:rPr>
                <w:sz w:val="20"/>
                <w:szCs w:val="20"/>
              </w:rPr>
              <w:t>2017-2020</w:t>
            </w:r>
            <w:bookmarkEnd w:id="4"/>
          </w:p>
        </w:tc>
        <w:tc>
          <w:tcPr>
            <w:tcW w:w="4681" w:type="dxa"/>
            <w:gridSpan w:val="2"/>
            <w:vAlign w:val="center"/>
          </w:tcPr>
          <w:p w14:paraId="3AAA9790" w14:textId="77777777" w:rsidR="00B0022E" w:rsidRPr="00052697" w:rsidRDefault="00D12115" w:rsidP="001C4F19">
            <w:pPr>
              <w:jc w:val="right"/>
              <w:rPr>
                <w:b/>
                <w:sz w:val="28"/>
              </w:rPr>
            </w:pPr>
            <w:r w:rsidRPr="00052697">
              <w:rPr>
                <w:b/>
                <w:sz w:val="32"/>
              </w:rPr>
              <w:t>SG5-</w:t>
            </w:r>
            <w:r w:rsidR="005621F0" w:rsidRPr="00052697">
              <w:rPr>
                <w:b/>
                <w:sz w:val="32"/>
              </w:rPr>
              <w:t>LS</w:t>
            </w:r>
            <w:r w:rsidR="00052697">
              <w:rPr>
                <w:b/>
                <w:sz w:val="32"/>
              </w:rPr>
              <w:t>158</w:t>
            </w:r>
          </w:p>
        </w:tc>
      </w:tr>
      <w:bookmarkEnd w:id="0"/>
      <w:tr w:rsidR="00B0022E" w:rsidRPr="00055F0A" w14:paraId="7E27F15E" w14:textId="77777777">
        <w:trPr>
          <w:cantSplit/>
        </w:trPr>
        <w:tc>
          <w:tcPr>
            <w:tcW w:w="1191" w:type="dxa"/>
            <w:vMerge/>
          </w:tcPr>
          <w:p w14:paraId="3D2BF0A7" w14:textId="77777777" w:rsidR="00B0022E" w:rsidRPr="00055F0A" w:rsidRDefault="00B0022E">
            <w:pPr>
              <w:rPr>
                <w:smallCaps/>
                <w:sz w:val="20"/>
              </w:rPr>
            </w:pPr>
          </w:p>
        </w:tc>
        <w:tc>
          <w:tcPr>
            <w:tcW w:w="4051" w:type="dxa"/>
            <w:gridSpan w:val="4"/>
            <w:vMerge/>
          </w:tcPr>
          <w:p w14:paraId="59BBFD06" w14:textId="77777777" w:rsidR="00B0022E" w:rsidRPr="00055F0A" w:rsidRDefault="00B0022E">
            <w:pPr>
              <w:rPr>
                <w:smallCaps/>
                <w:sz w:val="20"/>
              </w:rPr>
            </w:pPr>
          </w:p>
        </w:tc>
        <w:tc>
          <w:tcPr>
            <w:tcW w:w="4681" w:type="dxa"/>
            <w:gridSpan w:val="2"/>
          </w:tcPr>
          <w:p w14:paraId="1BE6BE87" w14:textId="77777777" w:rsidR="00B0022E" w:rsidRPr="00055F0A" w:rsidRDefault="00D12115">
            <w:pPr>
              <w:jc w:val="right"/>
              <w:rPr>
                <w:b/>
                <w:bCs/>
                <w:smallCaps/>
                <w:sz w:val="28"/>
                <w:szCs w:val="28"/>
              </w:rPr>
            </w:pPr>
            <w:r w:rsidRPr="00055F0A">
              <w:rPr>
                <w:b/>
                <w:bCs/>
                <w:smallCaps/>
                <w:sz w:val="28"/>
                <w:szCs w:val="28"/>
              </w:rPr>
              <w:t>STUDY GROUP 5</w:t>
            </w:r>
          </w:p>
        </w:tc>
      </w:tr>
      <w:tr w:rsidR="00B0022E" w:rsidRPr="00055F0A" w14:paraId="67111CC8" w14:textId="77777777">
        <w:trPr>
          <w:cantSplit/>
        </w:trPr>
        <w:tc>
          <w:tcPr>
            <w:tcW w:w="1191" w:type="dxa"/>
            <w:vMerge/>
            <w:tcBorders>
              <w:bottom w:val="single" w:sz="12" w:space="0" w:color="auto"/>
            </w:tcBorders>
          </w:tcPr>
          <w:p w14:paraId="5D63A96B" w14:textId="77777777" w:rsidR="00B0022E" w:rsidRPr="00055F0A" w:rsidRDefault="00B0022E">
            <w:pPr>
              <w:rPr>
                <w:b/>
                <w:bCs/>
                <w:sz w:val="26"/>
              </w:rPr>
            </w:pPr>
          </w:p>
        </w:tc>
        <w:tc>
          <w:tcPr>
            <w:tcW w:w="4051" w:type="dxa"/>
            <w:gridSpan w:val="4"/>
            <w:vMerge/>
            <w:tcBorders>
              <w:bottom w:val="single" w:sz="12" w:space="0" w:color="auto"/>
            </w:tcBorders>
          </w:tcPr>
          <w:p w14:paraId="53675AE4" w14:textId="77777777" w:rsidR="00B0022E" w:rsidRPr="00055F0A" w:rsidRDefault="00B0022E">
            <w:pPr>
              <w:rPr>
                <w:b/>
                <w:bCs/>
                <w:sz w:val="26"/>
              </w:rPr>
            </w:pPr>
          </w:p>
        </w:tc>
        <w:tc>
          <w:tcPr>
            <w:tcW w:w="4681" w:type="dxa"/>
            <w:gridSpan w:val="2"/>
            <w:tcBorders>
              <w:bottom w:val="single" w:sz="12" w:space="0" w:color="auto"/>
            </w:tcBorders>
            <w:vAlign w:val="center"/>
          </w:tcPr>
          <w:p w14:paraId="3F16C1AF" w14:textId="77777777" w:rsidR="00B0022E" w:rsidRPr="00055F0A" w:rsidRDefault="00D12115">
            <w:pPr>
              <w:jc w:val="right"/>
              <w:rPr>
                <w:b/>
                <w:bCs/>
                <w:sz w:val="28"/>
                <w:szCs w:val="28"/>
              </w:rPr>
            </w:pPr>
            <w:r w:rsidRPr="00055F0A">
              <w:rPr>
                <w:b/>
                <w:bCs/>
                <w:sz w:val="28"/>
                <w:szCs w:val="28"/>
              </w:rPr>
              <w:t>Original: English</w:t>
            </w:r>
          </w:p>
        </w:tc>
      </w:tr>
      <w:tr w:rsidR="00B0022E" w:rsidRPr="005621F0" w14:paraId="197B1090" w14:textId="77777777">
        <w:trPr>
          <w:cantSplit/>
        </w:trPr>
        <w:tc>
          <w:tcPr>
            <w:tcW w:w="1617" w:type="dxa"/>
            <w:gridSpan w:val="3"/>
          </w:tcPr>
          <w:p w14:paraId="168A0611" w14:textId="77777777" w:rsidR="00B0022E" w:rsidRPr="005621F0" w:rsidRDefault="00D12115">
            <w:pPr>
              <w:rPr>
                <w:b/>
                <w:bCs/>
              </w:rPr>
            </w:pPr>
            <w:bookmarkStart w:id="5" w:name="dbluepink" w:colFirst="1" w:colLast="1"/>
            <w:bookmarkStart w:id="6" w:name="dmeeting" w:colFirst="2" w:colLast="2"/>
            <w:bookmarkEnd w:id="1"/>
            <w:r w:rsidRPr="005621F0">
              <w:rPr>
                <w:b/>
                <w:bCs/>
              </w:rPr>
              <w:t>Question(s):</w:t>
            </w:r>
          </w:p>
        </w:tc>
        <w:tc>
          <w:tcPr>
            <w:tcW w:w="3625" w:type="dxa"/>
            <w:gridSpan w:val="2"/>
          </w:tcPr>
          <w:p w14:paraId="481772BF" w14:textId="77777777" w:rsidR="00B0022E" w:rsidRPr="005621F0" w:rsidRDefault="00D12115">
            <w:r w:rsidRPr="005621F0">
              <w:t>All/5</w:t>
            </w:r>
          </w:p>
        </w:tc>
        <w:tc>
          <w:tcPr>
            <w:tcW w:w="4681" w:type="dxa"/>
            <w:gridSpan w:val="2"/>
          </w:tcPr>
          <w:p w14:paraId="4699E88C" w14:textId="77777777" w:rsidR="00B0022E" w:rsidRPr="005621F0" w:rsidRDefault="00B0022E">
            <w:pPr>
              <w:jc w:val="right"/>
            </w:pPr>
          </w:p>
        </w:tc>
      </w:tr>
      <w:tr w:rsidR="00B0022E" w:rsidRPr="005621F0" w14:paraId="5BAC3A21" w14:textId="77777777">
        <w:trPr>
          <w:cantSplit/>
        </w:trPr>
        <w:tc>
          <w:tcPr>
            <w:tcW w:w="9923" w:type="dxa"/>
            <w:gridSpan w:val="7"/>
          </w:tcPr>
          <w:p w14:paraId="213725A7" w14:textId="77777777" w:rsidR="00B0022E" w:rsidRPr="005621F0" w:rsidRDefault="00D12115">
            <w:pPr>
              <w:jc w:val="center"/>
              <w:rPr>
                <w:b/>
                <w:bCs/>
              </w:rPr>
            </w:pPr>
            <w:bookmarkStart w:id="7" w:name="ddoctype" w:colFirst="0" w:colLast="0"/>
            <w:bookmarkStart w:id="8" w:name="dtitle" w:colFirst="0" w:colLast="0"/>
            <w:bookmarkEnd w:id="5"/>
            <w:bookmarkEnd w:id="6"/>
            <w:r w:rsidRPr="005621F0">
              <w:rPr>
                <w:b/>
                <w:bCs/>
              </w:rPr>
              <w:t>LIAISON STATEMENT</w:t>
            </w:r>
          </w:p>
        </w:tc>
      </w:tr>
      <w:tr w:rsidR="00B0022E" w:rsidRPr="005621F0" w14:paraId="015CA3F5" w14:textId="77777777">
        <w:trPr>
          <w:cantSplit/>
        </w:trPr>
        <w:tc>
          <w:tcPr>
            <w:tcW w:w="1617" w:type="dxa"/>
            <w:gridSpan w:val="3"/>
          </w:tcPr>
          <w:p w14:paraId="793EE23F" w14:textId="77777777" w:rsidR="00B0022E" w:rsidRPr="005621F0" w:rsidRDefault="00D12115">
            <w:pPr>
              <w:rPr>
                <w:b/>
                <w:bCs/>
              </w:rPr>
            </w:pPr>
            <w:bookmarkStart w:id="9" w:name="dsource" w:colFirst="1" w:colLast="1"/>
            <w:bookmarkEnd w:id="7"/>
            <w:bookmarkEnd w:id="8"/>
            <w:r w:rsidRPr="005621F0">
              <w:rPr>
                <w:b/>
                <w:bCs/>
              </w:rPr>
              <w:t>Source:</w:t>
            </w:r>
          </w:p>
        </w:tc>
        <w:tc>
          <w:tcPr>
            <w:tcW w:w="8306" w:type="dxa"/>
            <w:gridSpan w:val="4"/>
          </w:tcPr>
          <w:p w14:paraId="7C7A780E" w14:textId="77777777" w:rsidR="00B0022E" w:rsidRPr="005621F0" w:rsidRDefault="00D12115">
            <w:r w:rsidRPr="005621F0">
              <w:t>ITU-T Study Group 5</w:t>
            </w:r>
          </w:p>
        </w:tc>
      </w:tr>
      <w:tr w:rsidR="00B0022E" w:rsidRPr="005621F0" w14:paraId="02B33350" w14:textId="77777777">
        <w:trPr>
          <w:cantSplit/>
        </w:trPr>
        <w:tc>
          <w:tcPr>
            <w:tcW w:w="1617" w:type="dxa"/>
            <w:gridSpan w:val="3"/>
          </w:tcPr>
          <w:p w14:paraId="5A0A8CA6" w14:textId="77777777" w:rsidR="00B0022E" w:rsidRPr="005621F0" w:rsidRDefault="00D12115">
            <w:bookmarkStart w:id="10" w:name="dtitle1" w:colFirst="1" w:colLast="1"/>
            <w:bookmarkEnd w:id="9"/>
            <w:r w:rsidRPr="005621F0">
              <w:rPr>
                <w:b/>
                <w:bCs/>
              </w:rPr>
              <w:t>Title:</w:t>
            </w:r>
          </w:p>
        </w:tc>
        <w:tc>
          <w:tcPr>
            <w:tcW w:w="8306" w:type="dxa"/>
            <w:gridSpan w:val="4"/>
          </w:tcPr>
          <w:p w14:paraId="61C2A14F" w14:textId="77777777" w:rsidR="00B0022E" w:rsidRPr="005621F0" w:rsidRDefault="00D12115">
            <w:pPr>
              <w:rPr>
                <w:lang w:val="en-US"/>
              </w:rPr>
            </w:pPr>
            <w:r w:rsidRPr="005621F0">
              <w:t>LS on ITU-T Study Group 5 Lead Study Group Report</w:t>
            </w:r>
            <w:r w:rsidR="000B456E" w:rsidRPr="005621F0">
              <w:t xml:space="preserve"> </w:t>
            </w:r>
          </w:p>
        </w:tc>
      </w:tr>
      <w:tr w:rsidR="005D5EAE" w:rsidRPr="005621F0" w14:paraId="5DF325E9" w14:textId="77777777">
        <w:trPr>
          <w:cantSplit/>
        </w:trPr>
        <w:tc>
          <w:tcPr>
            <w:tcW w:w="1617" w:type="dxa"/>
            <w:gridSpan w:val="3"/>
          </w:tcPr>
          <w:p w14:paraId="2FC42ED9" w14:textId="77777777" w:rsidR="005D5EAE" w:rsidRPr="005621F0" w:rsidRDefault="005D5EAE">
            <w:pPr>
              <w:rPr>
                <w:b/>
                <w:bCs/>
              </w:rPr>
            </w:pPr>
            <w:bookmarkStart w:id="11" w:name="dpurpose" w:colFirst="1" w:colLast="1"/>
            <w:bookmarkEnd w:id="10"/>
            <w:r w:rsidRPr="005621F0">
              <w:rPr>
                <w:b/>
                <w:bCs/>
              </w:rPr>
              <w:t xml:space="preserve">Purpose: </w:t>
            </w:r>
          </w:p>
        </w:tc>
        <w:tc>
          <w:tcPr>
            <w:tcW w:w="8306" w:type="dxa"/>
            <w:gridSpan w:val="4"/>
          </w:tcPr>
          <w:p w14:paraId="144609D0" w14:textId="77777777" w:rsidR="005D5EAE" w:rsidRPr="005621F0" w:rsidRDefault="005D5EAE">
            <w:r w:rsidRPr="005621F0">
              <w:t>Information</w:t>
            </w:r>
          </w:p>
        </w:tc>
      </w:tr>
      <w:bookmarkEnd w:id="2"/>
      <w:bookmarkEnd w:id="11"/>
      <w:tr w:rsidR="00B0022E" w:rsidRPr="005621F0" w14:paraId="75AD91FD" w14:textId="77777777">
        <w:trPr>
          <w:cantSplit/>
          <w:trHeight w:val="357"/>
        </w:trPr>
        <w:tc>
          <w:tcPr>
            <w:tcW w:w="9923" w:type="dxa"/>
            <w:gridSpan w:val="7"/>
            <w:tcBorders>
              <w:top w:val="single" w:sz="12" w:space="0" w:color="auto"/>
            </w:tcBorders>
          </w:tcPr>
          <w:p w14:paraId="54024212" w14:textId="77777777" w:rsidR="00B0022E" w:rsidRPr="005621F0" w:rsidRDefault="00D12115">
            <w:pPr>
              <w:jc w:val="center"/>
              <w:rPr>
                <w:b/>
              </w:rPr>
            </w:pPr>
            <w:r w:rsidRPr="005621F0">
              <w:rPr>
                <w:b/>
              </w:rPr>
              <w:t>LIAISON STATEMENT</w:t>
            </w:r>
          </w:p>
        </w:tc>
      </w:tr>
      <w:tr w:rsidR="00B0022E" w:rsidRPr="005621F0" w14:paraId="00B712CC" w14:textId="77777777">
        <w:trPr>
          <w:cantSplit/>
          <w:trHeight w:val="357"/>
        </w:trPr>
        <w:tc>
          <w:tcPr>
            <w:tcW w:w="2127" w:type="dxa"/>
            <w:gridSpan w:val="4"/>
          </w:tcPr>
          <w:p w14:paraId="1EC694DE" w14:textId="77777777" w:rsidR="00B0022E" w:rsidRPr="005621F0" w:rsidRDefault="00D12115">
            <w:pPr>
              <w:rPr>
                <w:b/>
                <w:bCs/>
              </w:rPr>
            </w:pPr>
            <w:r w:rsidRPr="005621F0">
              <w:rPr>
                <w:b/>
                <w:bCs/>
              </w:rPr>
              <w:t>For action to:</w:t>
            </w:r>
          </w:p>
        </w:tc>
        <w:tc>
          <w:tcPr>
            <w:tcW w:w="7796" w:type="dxa"/>
            <w:gridSpan w:val="3"/>
          </w:tcPr>
          <w:p w14:paraId="4349C929" w14:textId="77777777" w:rsidR="00B0022E" w:rsidRPr="005621F0" w:rsidRDefault="00D12115">
            <w:pPr>
              <w:pStyle w:val="LSForAction"/>
              <w:rPr>
                <w:szCs w:val="24"/>
              </w:rPr>
            </w:pPr>
            <w:r w:rsidRPr="005621F0">
              <w:rPr>
                <w:szCs w:val="24"/>
              </w:rPr>
              <w:t>-</w:t>
            </w:r>
          </w:p>
        </w:tc>
      </w:tr>
      <w:tr w:rsidR="00B0022E" w:rsidRPr="005621F0" w14:paraId="4F8A3287" w14:textId="77777777">
        <w:trPr>
          <w:cantSplit/>
          <w:trHeight w:val="357"/>
        </w:trPr>
        <w:tc>
          <w:tcPr>
            <w:tcW w:w="2127" w:type="dxa"/>
            <w:gridSpan w:val="4"/>
          </w:tcPr>
          <w:p w14:paraId="0A58DAFA" w14:textId="77777777" w:rsidR="00B0022E" w:rsidRPr="005621F0" w:rsidRDefault="00D12115">
            <w:pPr>
              <w:rPr>
                <w:b/>
                <w:bCs/>
              </w:rPr>
            </w:pPr>
            <w:r w:rsidRPr="005621F0">
              <w:rPr>
                <w:b/>
                <w:bCs/>
              </w:rPr>
              <w:t>For comment to:</w:t>
            </w:r>
          </w:p>
        </w:tc>
        <w:tc>
          <w:tcPr>
            <w:tcW w:w="7796" w:type="dxa"/>
            <w:gridSpan w:val="3"/>
          </w:tcPr>
          <w:p w14:paraId="0DD56B83" w14:textId="77777777" w:rsidR="00B0022E" w:rsidRPr="005621F0" w:rsidRDefault="00D12115">
            <w:pPr>
              <w:pStyle w:val="LSForComment"/>
              <w:rPr>
                <w:szCs w:val="24"/>
              </w:rPr>
            </w:pPr>
            <w:r w:rsidRPr="005621F0">
              <w:rPr>
                <w:szCs w:val="24"/>
              </w:rPr>
              <w:t>-</w:t>
            </w:r>
          </w:p>
        </w:tc>
      </w:tr>
      <w:tr w:rsidR="00B0022E" w:rsidRPr="005621F0" w14:paraId="0EF2ABD8" w14:textId="77777777">
        <w:trPr>
          <w:cantSplit/>
          <w:trHeight w:val="357"/>
        </w:trPr>
        <w:tc>
          <w:tcPr>
            <w:tcW w:w="2127" w:type="dxa"/>
            <w:gridSpan w:val="4"/>
          </w:tcPr>
          <w:p w14:paraId="03C15481" w14:textId="77777777" w:rsidR="00B0022E" w:rsidRPr="005621F0" w:rsidRDefault="00D12115">
            <w:pPr>
              <w:rPr>
                <w:b/>
                <w:bCs/>
              </w:rPr>
            </w:pPr>
            <w:r w:rsidRPr="005621F0">
              <w:rPr>
                <w:b/>
                <w:bCs/>
              </w:rPr>
              <w:t>For information to:</w:t>
            </w:r>
          </w:p>
        </w:tc>
        <w:tc>
          <w:tcPr>
            <w:tcW w:w="7796" w:type="dxa"/>
            <w:gridSpan w:val="3"/>
          </w:tcPr>
          <w:p w14:paraId="2AD3806D" w14:textId="77777777" w:rsidR="00B0022E" w:rsidRPr="005621F0" w:rsidRDefault="00D12115">
            <w:pPr>
              <w:pStyle w:val="LSForInfo"/>
              <w:rPr>
                <w:szCs w:val="24"/>
              </w:rPr>
            </w:pPr>
            <w:r w:rsidRPr="005621F0">
              <w:rPr>
                <w:b w:val="0"/>
                <w:bCs w:val="0"/>
                <w:szCs w:val="24"/>
              </w:rPr>
              <w:t>TSAG</w:t>
            </w:r>
          </w:p>
        </w:tc>
      </w:tr>
      <w:tr w:rsidR="00B0022E" w:rsidRPr="005621F0" w14:paraId="74FB1F0D" w14:textId="77777777">
        <w:trPr>
          <w:cantSplit/>
          <w:trHeight w:val="357"/>
        </w:trPr>
        <w:tc>
          <w:tcPr>
            <w:tcW w:w="2127" w:type="dxa"/>
            <w:gridSpan w:val="4"/>
          </w:tcPr>
          <w:p w14:paraId="0EB73392" w14:textId="77777777" w:rsidR="00B0022E" w:rsidRPr="005621F0" w:rsidRDefault="00D12115">
            <w:pPr>
              <w:rPr>
                <w:b/>
                <w:bCs/>
              </w:rPr>
            </w:pPr>
            <w:r w:rsidRPr="005621F0">
              <w:rPr>
                <w:b/>
                <w:bCs/>
              </w:rPr>
              <w:t>Approval:</w:t>
            </w:r>
          </w:p>
        </w:tc>
        <w:tc>
          <w:tcPr>
            <w:tcW w:w="7796" w:type="dxa"/>
            <w:gridSpan w:val="3"/>
          </w:tcPr>
          <w:p w14:paraId="25422110" w14:textId="77777777" w:rsidR="00B0022E" w:rsidRPr="005621F0" w:rsidRDefault="00D12115" w:rsidP="001C4F19">
            <w:pPr>
              <w:rPr>
                <w:b/>
                <w:bCs/>
              </w:rPr>
            </w:pPr>
            <w:r w:rsidRPr="005621F0">
              <w:rPr>
                <w:lang w:eastAsia="zh-CN"/>
              </w:rPr>
              <w:t>ITU-T Study Group 5 management team (</w:t>
            </w:r>
            <w:r w:rsidR="000326F2">
              <w:rPr>
                <w:lang w:eastAsia="zh-CN"/>
              </w:rPr>
              <w:t>14</w:t>
            </w:r>
            <w:r w:rsidR="00EC774F" w:rsidRPr="005621F0">
              <w:rPr>
                <w:lang w:eastAsia="zh-CN"/>
              </w:rPr>
              <w:t xml:space="preserve"> </w:t>
            </w:r>
            <w:r w:rsidR="000326F2">
              <w:rPr>
                <w:lang w:eastAsia="zh-CN"/>
              </w:rPr>
              <w:t>August</w:t>
            </w:r>
            <w:r w:rsidR="00597AB5" w:rsidRPr="005621F0">
              <w:rPr>
                <w:lang w:eastAsia="zh-CN"/>
              </w:rPr>
              <w:t xml:space="preserve"> 2020</w:t>
            </w:r>
            <w:r w:rsidRPr="005621F0">
              <w:rPr>
                <w:lang w:eastAsia="zh-CN"/>
              </w:rPr>
              <w:t xml:space="preserve"> by correspondence)</w:t>
            </w:r>
          </w:p>
        </w:tc>
      </w:tr>
      <w:tr w:rsidR="00B0022E" w:rsidRPr="005621F0" w14:paraId="216002A4" w14:textId="77777777">
        <w:trPr>
          <w:cantSplit/>
          <w:trHeight w:val="357"/>
        </w:trPr>
        <w:tc>
          <w:tcPr>
            <w:tcW w:w="2127" w:type="dxa"/>
            <w:gridSpan w:val="4"/>
            <w:tcBorders>
              <w:bottom w:val="single" w:sz="12" w:space="0" w:color="auto"/>
            </w:tcBorders>
          </w:tcPr>
          <w:p w14:paraId="60E3376C" w14:textId="77777777" w:rsidR="00B0022E" w:rsidRPr="005621F0" w:rsidRDefault="00D12115">
            <w:pPr>
              <w:rPr>
                <w:b/>
                <w:bCs/>
              </w:rPr>
            </w:pPr>
            <w:r w:rsidRPr="005621F0">
              <w:rPr>
                <w:b/>
                <w:bCs/>
              </w:rPr>
              <w:t>Deadline:</w:t>
            </w:r>
          </w:p>
        </w:tc>
        <w:tc>
          <w:tcPr>
            <w:tcW w:w="7796" w:type="dxa"/>
            <w:gridSpan w:val="3"/>
            <w:tcBorders>
              <w:bottom w:val="single" w:sz="12" w:space="0" w:color="auto"/>
            </w:tcBorders>
          </w:tcPr>
          <w:p w14:paraId="07D21443" w14:textId="77777777" w:rsidR="00B0022E" w:rsidRPr="005621F0" w:rsidRDefault="00D12115">
            <w:pPr>
              <w:pStyle w:val="LSDeadline"/>
              <w:rPr>
                <w:b w:val="0"/>
                <w:bCs w:val="0"/>
                <w:szCs w:val="24"/>
              </w:rPr>
            </w:pPr>
            <w:r w:rsidRPr="005621F0">
              <w:rPr>
                <w:b w:val="0"/>
                <w:bCs w:val="0"/>
                <w:szCs w:val="24"/>
              </w:rPr>
              <w:t>N/A</w:t>
            </w:r>
          </w:p>
        </w:tc>
      </w:tr>
      <w:tr w:rsidR="00B0022E" w:rsidRPr="00EF6FB8" w14:paraId="03FA2264" w14:textId="77777777">
        <w:trPr>
          <w:cantSplit/>
        </w:trPr>
        <w:tc>
          <w:tcPr>
            <w:tcW w:w="1607" w:type="dxa"/>
            <w:gridSpan w:val="2"/>
            <w:tcBorders>
              <w:top w:val="single" w:sz="8" w:space="0" w:color="auto"/>
              <w:bottom w:val="single" w:sz="8" w:space="0" w:color="auto"/>
            </w:tcBorders>
          </w:tcPr>
          <w:p w14:paraId="7B521F2C" w14:textId="77777777" w:rsidR="00B0022E" w:rsidRPr="005621F0" w:rsidRDefault="00D12115">
            <w:pPr>
              <w:rPr>
                <w:b/>
                <w:bCs/>
              </w:rPr>
            </w:pPr>
            <w:r w:rsidRPr="005621F0">
              <w:rPr>
                <w:b/>
                <w:bCs/>
              </w:rPr>
              <w:t>Contact:</w:t>
            </w:r>
          </w:p>
        </w:tc>
        <w:tc>
          <w:tcPr>
            <w:tcW w:w="3780" w:type="dxa"/>
            <w:gridSpan w:val="4"/>
            <w:tcBorders>
              <w:top w:val="single" w:sz="8" w:space="0" w:color="auto"/>
              <w:bottom w:val="single" w:sz="8" w:space="0" w:color="auto"/>
            </w:tcBorders>
          </w:tcPr>
          <w:p w14:paraId="1882D3C6" w14:textId="77777777" w:rsidR="00B0022E" w:rsidRPr="005621F0" w:rsidRDefault="000326F2">
            <w:proofErr w:type="spellStart"/>
            <w:r>
              <w:t>Shuguang</w:t>
            </w:r>
            <w:proofErr w:type="spellEnd"/>
            <w:r>
              <w:t xml:space="preserve"> Qi</w:t>
            </w:r>
            <w:r w:rsidRPr="005621F0">
              <w:rPr>
                <w:lang w:val="en-US"/>
              </w:rPr>
              <w:t xml:space="preserve"> </w:t>
            </w:r>
            <w:r w:rsidR="00D12115" w:rsidRPr="005621F0">
              <w:rPr>
                <w:lang w:val="en-US"/>
              </w:rPr>
              <w:br/>
            </w:r>
            <w:r w:rsidR="00597AB5" w:rsidRPr="005621F0">
              <w:rPr>
                <w:lang w:val="en-US"/>
              </w:rPr>
              <w:t xml:space="preserve">Acting </w:t>
            </w:r>
            <w:r w:rsidR="00D12115" w:rsidRPr="005621F0">
              <w:rPr>
                <w:lang w:val="en-US"/>
              </w:rPr>
              <w:t>Chairman ITU-T SG5</w:t>
            </w:r>
          </w:p>
        </w:tc>
        <w:tc>
          <w:tcPr>
            <w:tcW w:w="4536" w:type="dxa"/>
            <w:tcBorders>
              <w:top w:val="single" w:sz="8" w:space="0" w:color="auto"/>
              <w:bottom w:val="single" w:sz="8" w:space="0" w:color="auto"/>
            </w:tcBorders>
          </w:tcPr>
          <w:p w14:paraId="6E02FEE9" w14:textId="77777777" w:rsidR="00B0022E" w:rsidRPr="005621F0" w:rsidRDefault="00D12115" w:rsidP="008D5EE5">
            <w:pPr>
              <w:spacing w:after="40"/>
              <w:rPr>
                <w:lang w:val="de-CH"/>
              </w:rPr>
            </w:pPr>
            <w:r w:rsidRPr="005621F0">
              <w:rPr>
                <w:lang w:val="de-CH"/>
              </w:rPr>
              <w:t xml:space="preserve">Tel: </w:t>
            </w:r>
            <w:r w:rsidRPr="005621F0">
              <w:rPr>
                <w:lang w:val="de-CH"/>
              </w:rPr>
              <w:tab/>
            </w:r>
            <w:r w:rsidR="00597AB5" w:rsidRPr="005621F0">
              <w:rPr>
                <w:lang w:val="de-CH"/>
              </w:rPr>
              <w:t>+</w:t>
            </w:r>
            <w:r w:rsidR="000326F2" w:rsidRPr="000326F2">
              <w:rPr>
                <w:lang w:val="de-CH"/>
              </w:rPr>
              <w:t>86 10 82053589-8858</w:t>
            </w:r>
            <w:r w:rsidRPr="005621F0">
              <w:rPr>
                <w:lang w:val="de-CH"/>
              </w:rPr>
              <w:br/>
              <w:t xml:space="preserve">E-mail: </w:t>
            </w:r>
            <w:hyperlink r:id="rId18" w:history="1">
              <w:r w:rsidR="000326F2" w:rsidRPr="007B6A01">
                <w:rPr>
                  <w:rStyle w:val="Hyperlink"/>
                  <w:lang w:val="de-CH"/>
                </w:rPr>
                <w:t>qishuguang@caict.ac.cn</w:t>
              </w:r>
            </w:hyperlink>
            <w:r w:rsidR="000326F2">
              <w:rPr>
                <w:lang w:val="de-CH"/>
              </w:rPr>
              <w:t xml:space="preserve"> </w:t>
            </w:r>
          </w:p>
        </w:tc>
      </w:tr>
      <w:tr w:rsidR="00B0022E" w:rsidRPr="00EF6FB8" w14:paraId="7033C10B" w14:textId="77777777">
        <w:trPr>
          <w:cantSplit/>
        </w:trPr>
        <w:tc>
          <w:tcPr>
            <w:tcW w:w="1607" w:type="dxa"/>
            <w:gridSpan w:val="2"/>
            <w:tcBorders>
              <w:top w:val="single" w:sz="8" w:space="0" w:color="auto"/>
              <w:bottom w:val="single" w:sz="8" w:space="0" w:color="auto"/>
            </w:tcBorders>
          </w:tcPr>
          <w:p w14:paraId="2E05FF9D" w14:textId="77777777" w:rsidR="00B0022E" w:rsidRPr="005621F0" w:rsidRDefault="00D12115">
            <w:pPr>
              <w:rPr>
                <w:b/>
                <w:bCs/>
              </w:rPr>
            </w:pPr>
            <w:r w:rsidRPr="005621F0">
              <w:rPr>
                <w:b/>
                <w:bCs/>
              </w:rPr>
              <w:t>Contact:</w:t>
            </w:r>
          </w:p>
        </w:tc>
        <w:tc>
          <w:tcPr>
            <w:tcW w:w="3780" w:type="dxa"/>
            <w:gridSpan w:val="4"/>
            <w:tcBorders>
              <w:top w:val="single" w:sz="8" w:space="0" w:color="auto"/>
              <w:bottom w:val="single" w:sz="8" w:space="0" w:color="auto"/>
            </w:tcBorders>
          </w:tcPr>
          <w:p w14:paraId="372C0719" w14:textId="77777777" w:rsidR="00B0022E" w:rsidRPr="005621F0" w:rsidRDefault="00D12115">
            <w:pPr>
              <w:rPr>
                <w:lang w:val="en-US"/>
              </w:rPr>
            </w:pPr>
            <w:r w:rsidRPr="005621F0">
              <w:rPr>
                <w:lang w:val="en-US"/>
              </w:rPr>
              <w:t>Fryderyk Lewicki</w:t>
            </w:r>
            <w:r w:rsidRPr="005621F0">
              <w:rPr>
                <w:lang w:val="en-US"/>
              </w:rPr>
              <w:br/>
              <w:t>Chairman of WP1/5</w:t>
            </w:r>
          </w:p>
        </w:tc>
        <w:tc>
          <w:tcPr>
            <w:tcW w:w="4536" w:type="dxa"/>
            <w:tcBorders>
              <w:top w:val="single" w:sz="8" w:space="0" w:color="auto"/>
              <w:bottom w:val="single" w:sz="8" w:space="0" w:color="auto"/>
            </w:tcBorders>
          </w:tcPr>
          <w:p w14:paraId="2F19147D" w14:textId="77777777" w:rsidR="00B0022E" w:rsidRPr="005621F0" w:rsidRDefault="00D12115" w:rsidP="008D5EE5">
            <w:pPr>
              <w:spacing w:after="40"/>
              <w:rPr>
                <w:lang w:val="de-CH"/>
              </w:rPr>
            </w:pPr>
            <w:r w:rsidRPr="005621F0">
              <w:rPr>
                <w:lang w:val="de-CH"/>
              </w:rPr>
              <w:t xml:space="preserve">Tel: </w:t>
            </w:r>
            <w:r w:rsidRPr="005621F0">
              <w:rPr>
                <w:lang w:val="de-CH"/>
              </w:rPr>
              <w:tab/>
              <w:t>+48 71 321 09 24</w:t>
            </w:r>
            <w:r w:rsidRPr="005621F0">
              <w:rPr>
                <w:lang w:val="de-CH"/>
              </w:rPr>
              <w:br/>
              <w:t xml:space="preserve">E-mail: </w:t>
            </w:r>
            <w:r w:rsidR="008D5EE5">
              <w:fldChar w:fldCharType="begin"/>
            </w:r>
            <w:r w:rsidR="008D5EE5" w:rsidRPr="00EF6FB8">
              <w:rPr>
                <w:lang w:val="fr-FR"/>
              </w:rPr>
              <w:instrText xml:space="preserve"> HYPERLINK "mailto:fryderyk.lewicki@orange.com" </w:instrText>
            </w:r>
            <w:r w:rsidR="008D5EE5">
              <w:fldChar w:fldCharType="separate"/>
            </w:r>
            <w:r w:rsidRPr="005621F0">
              <w:rPr>
                <w:rStyle w:val="Hyperlink"/>
                <w:lang w:val="de-CH"/>
              </w:rPr>
              <w:t>fryderyk.lewicki@orange.com</w:t>
            </w:r>
            <w:r w:rsidR="008D5EE5">
              <w:rPr>
                <w:rStyle w:val="Hyperlink"/>
                <w:lang w:val="de-CH"/>
              </w:rPr>
              <w:fldChar w:fldCharType="end"/>
            </w:r>
            <w:r w:rsidRPr="005621F0">
              <w:rPr>
                <w:lang w:val="de-CH"/>
              </w:rPr>
              <w:t xml:space="preserve"> </w:t>
            </w:r>
          </w:p>
        </w:tc>
      </w:tr>
      <w:tr w:rsidR="00B0022E" w:rsidRPr="005621F0" w14:paraId="706819A6" w14:textId="77777777">
        <w:trPr>
          <w:cantSplit/>
        </w:trPr>
        <w:tc>
          <w:tcPr>
            <w:tcW w:w="1607" w:type="dxa"/>
            <w:gridSpan w:val="2"/>
            <w:tcBorders>
              <w:top w:val="single" w:sz="8" w:space="0" w:color="auto"/>
              <w:bottom w:val="single" w:sz="8" w:space="0" w:color="auto"/>
            </w:tcBorders>
          </w:tcPr>
          <w:p w14:paraId="0C81C7B3" w14:textId="77777777" w:rsidR="00B0022E" w:rsidRPr="005621F0" w:rsidRDefault="00D12115">
            <w:pPr>
              <w:rPr>
                <w:b/>
                <w:bCs/>
              </w:rPr>
            </w:pPr>
            <w:r w:rsidRPr="005621F0">
              <w:rPr>
                <w:b/>
                <w:bCs/>
              </w:rPr>
              <w:t>Contact:</w:t>
            </w:r>
          </w:p>
        </w:tc>
        <w:tc>
          <w:tcPr>
            <w:tcW w:w="3780" w:type="dxa"/>
            <w:gridSpan w:val="4"/>
            <w:tcBorders>
              <w:top w:val="single" w:sz="8" w:space="0" w:color="auto"/>
              <w:bottom w:val="single" w:sz="8" w:space="0" w:color="auto"/>
            </w:tcBorders>
          </w:tcPr>
          <w:p w14:paraId="69D6C583" w14:textId="77777777" w:rsidR="00B0022E" w:rsidRPr="005621F0" w:rsidRDefault="00D12115">
            <w:pPr>
              <w:rPr>
                <w:lang w:val="en-US"/>
              </w:rPr>
            </w:pPr>
            <w:r w:rsidRPr="005621F0">
              <w:t>Paolo Gemma</w:t>
            </w:r>
            <w:r w:rsidRPr="005621F0">
              <w:br/>
              <w:t>Chairman of WP2/5</w:t>
            </w:r>
          </w:p>
        </w:tc>
        <w:tc>
          <w:tcPr>
            <w:tcW w:w="4536" w:type="dxa"/>
            <w:tcBorders>
              <w:top w:val="single" w:sz="8" w:space="0" w:color="auto"/>
              <w:bottom w:val="single" w:sz="8" w:space="0" w:color="auto"/>
            </w:tcBorders>
          </w:tcPr>
          <w:p w14:paraId="6F64283A" w14:textId="77777777" w:rsidR="00B0022E" w:rsidRPr="005621F0" w:rsidRDefault="00D12115" w:rsidP="008D5EE5">
            <w:pPr>
              <w:spacing w:after="40"/>
            </w:pPr>
            <w:r w:rsidRPr="005621F0">
              <w:t xml:space="preserve">Tel: </w:t>
            </w:r>
            <w:r w:rsidRPr="005621F0">
              <w:tab/>
              <w:t>+39 02 3999 4947</w:t>
            </w:r>
            <w:r w:rsidRPr="005621F0">
              <w:br/>
              <w:t>Fax:</w:t>
            </w:r>
            <w:r w:rsidRPr="005621F0">
              <w:tab/>
              <w:t>+39 01119743499</w:t>
            </w:r>
            <w:r w:rsidRPr="005621F0">
              <w:br/>
              <w:t xml:space="preserve">Email: </w:t>
            </w:r>
            <w:hyperlink r:id="rId19" w:history="1">
              <w:r w:rsidRPr="005621F0">
                <w:rPr>
                  <w:rStyle w:val="Hyperlink"/>
                </w:rPr>
                <w:t>paolo.gemma@huawei.com</w:t>
              </w:r>
            </w:hyperlink>
          </w:p>
        </w:tc>
      </w:tr>
    </w:tbl>
    <w:p w14:paraId="64ACFAC0" w14:textId="77777777" w:rsidR="00B0022E" w:rsidRPr="005621F0" w:rsidRDefault="00B0022E">
      <w:pPr>
        <w:rPr>
          <w:highlight w:val="yellow"/>
        </w:rPr>
      </w:pPr>
    </w:p>
    <w:tbl>
      <w:tblPr>
        <w:tblW w:w="9923" w:type="dxa"/>
        <w:tblLayout w:type="fixed"/>
        <w:tblCellMar>
          <w:left w:w="57" w:type="dxa"/>
          <w:right w:w="57" w:type="dxa"/>
        </w:tblCellMar>
        <w:tblLook w:val="04A0" w:firstRow="1" w:lastRow="0" w:firstColumn="1" w:lastColumn="0" w:noHBand="0" w:noVBand="1"/>
      </w:tblPr>
      <w:tblGrid>
        <w:gridCol w:w="1641"/>
        <w:gridCol w:w="8282"/>
      </w:tblGrid>
      <w:tr w:rsidR="00B0022E" w:rsidRPr="005621F0" w14:paraId="34A5EF39" w14:textId="77777777">
        <w:trPr>
          <w:cantSplit/>
          <w:trHeight w:val="698"/>
        </w:trPr>
        <w:tc>
          <w:tcPr>
            <w:tcW w:w="1641" w:type="dxa"/>
          </w:tcPr>
          <w:p w14:paraId="5B1C84EB" w14:textId="77777777" w:rsidR="00B0022E" w:rsidRPr="005621F0" w:rsidRDefault="00D12115">
            <w:pPr>
              <w:jc w:val="both"/>
              <w:rPr>
                <w:b/>
                <w:bCs/>
              </w:rPr>
            </w:pPr>
            <w:r w:rsidRPr="005621F0">
              <w:rPr>
                <w:b/>
                <w:bCs/>
              </w:rPr>
              <w:t>Keywords:</w:t>
            </w:r>
          </w:p>
        </w:tc>
        <w:tc>
          <w:tcPr>
            <w:tcW w:w="8282" w:type="dxa"/>
          </w:tcPr>
          <w:p w14:paraId="70241E29" w14:textId="77777777" w:rsidR="00B0022E" w:rsidRPr="005621F0" w:rsidRDefault="00D12115">
            <w:pPr>
              <w:jc w:val="both"/>
            </w:pPr>
            <w:r w:rsidRPr="005621F0">
              <w:rPr>
                <w:lang w:val="pl-PL"/>
              </w:rPr>
              <w:t>SG5; lead roles; electromagnetic compatibility; lightning protection; electromagnetic effects; ICTs; environment; climate change; energy efficiency; circular economy; e</w:t>
            </w:r>
            <w:r w:rsidRPr="005621F0">
              <w:rPr>
                <w:rFonts w:eastAsia="MS Mincho"/>
                <w:lang w:val="pl-PL"/>
              </w:rPr>
              <w:t>‑</w:t>
            </w:r>
            <w:r w:rsidRPr="005621F0">
              <w:rPr>
                <w:lang w:val="pl-PL"/>
              </w:rPr>
              <w:t>waste</w:t>
            </w:r>
            <w:r w:rsidR="00FF7F70">
              <w:rPr>
                <w:lang w:val="pl-PL"/>
              </w:rPr>
              <w:t>;</w:t>
            </w:r>
          </w:p>
        </w:tc>
      </w:tr>
      <w:tr w:rsidR="00B0022E" w:rsidRPr="005621F0" w14:paraId="0B13D98E" w14:textId="77777777">
        <w:trPr>
          <w:cantSplit/>
          <w:trHeight w:val="374"/>
        </w:trPr>
        <w:tc>
          <w:tcPr>
            <w:tcW w:w="1641" w:type="dxa"/>
          </w:tcPr>
          <w:p w14:paraId="5CD73FF0" w14:textId="77777777" w:rsidR="00B0022E" w:rsidRPr="005621F0" w:rsidRDefault="00D12115">
            <w:pPr>
              <w:jc w:val="both"/>
              <w:rPr>
                <w:b/>
                <w:bCs/>
              </w:rPr>
            </w:pPr>
            <w:r w:rsidRPr="005621F0">
              <w:rPr>
                <w:b/>
                <w:bCs/>
              </w:rPr>
              <w:t>Abstract:</w:t>
            </w:r>
          </w:p>
        </w:tc>
        <w:tc>
          <w:tcPr>
            <w:tcW w:w="8282" w:type="dxa"/>
          </w:tcPr>
          <w:p w14:paraId="48BCB90C" w14:textId="77777777" w:rsidR="00B0022E" w:rsidRPr="005621F0" w:rsidRDefault="00D12115" w:rsidP="00A70F5A">
            <w:pPr>
              <w:jc w:val="both"/>
            </w:pPr>
            <w:r w:rsidRPr="005621F0">
              <w:t xml:space="preserve">This liaison statement informs TSAG on SG5 lead roles and gives an update on SG5 activities from </w:t>
            </w:r>
            <w:r w:rsidR="000326F2">
              <w:t xml:space="preserve">February </w:t>
            </w:r>
            <w:r w:rsidRPr="005621F0">
              <w:t xml:space="preserve">until </w:t>
            </w:r>
            <w:r w:rsidR="000326F2">
              <w:t>August</w:t>
            </w:r>
            <w:r w:rsidR="00EC774F" w:rsidRPr="005621F0">
              <w:t xml:space="preserve"> </w:t>
            </w:r>
            <w:r w:rsidR="00597AB5" w:rsidRPr="005621F0">
              <w:t>2020</w:t>
            </w:r>
            <w:r w:rsidR="007264B0" w:rsidRPr="005621F0">
              <w:t>.</w:t>
            </w:r>
          </w:p>
        </w:tc>
      </w:tr>
    </w:tbl>
    <w:p w14:paraId="138DC80C" w14:textId="77777777" w:rsidR="00B0022E" w:rsidRPr="005621F0" w:rsidRDefault="00D12115" w:rsidP="00AE6133">
      <w:pPr>
        <w:spacing w:before="240"/>
        <w:jc w:val="both"/>
      </w:pPr>
      <w:r w:rsidRPr="005621F0">
        <w:t xml:space="preserve">ITU-T Study Group </w:t>
      </w:r>
      <w:r w:rsidRPr="005621F0">
        <w:rPr>
          <w:rFonts w:eastAsia="MS Mincho"/>
        </w:rPr>
        <w:t>5</w:t>
      </w:r>
      <w:r w:rsidRPr="005621F0">
        <w:t xml:space="preserve"> is actively fulfilling its mandate as the lead study group on electromagnetic compatibility, lightning protection and electromagnetic effects; ICTs related to the environment, climate change, energy efficiency and clean energy and circular economy, including e‑waste.</w:t>
      </w:r>
    </w:p>
    <w:p w14:paraId="41403553" w14:textId="77777777" w:rsidR="00B0022E" w:rsidRPr="005621F0" w:rsidRDefault="00D12115">
      <w:pPr>
        <w:pStyle w:val="Heading1"/>
        <w:tabs>
          <w:tab w:val="left" w:pos="765"/>
          <w:tab w:val="left" w:pos="4144"/>
        </w:tabs>
        <w:spacing w:before="240" w:after="120"/>
        <w:ind w:left="0" w:firstLine="0"/>
        <w:jc w:val="both"/>
        <w:rPr>
          <w:szCs w:val="24"/>
        </w:rPr>
      </w:pPr>
      <w:r w:rsidRPr="005621F0">
        <w:rPr>
          <w:szCs w:val="24"/>
        </w:rPr>
        <w:t>1</w:t>
      </w:r>
      <w:r w:rsidRPr="005621F0">
        <w:rPr>
          <w:szCs w:val="24"/>
        </w:rPr>
        <w:tab/>
        <w:t>Main achievements</w:t>
      </w:r>
    </w:p>
    <w:p w14:paraId="574A7722" w14:textId="77777777" w:rsidR="00B0022E" w:rsidRPr="005621F0" w:rsidRDefault="00D12115">
      <w:pPr>
        <w:jc w:val="both"/>
        <w:rPr>
          <w:lang w:eastAsia="zh-CN"/>
        </w:rPr>
      </w:pPr>
      <w:r w:rsidRPr="005621F0">
        <w:t xml:space="preserve">The list of results pertaining to ITU-T </w:t>
      </w:r>
      <w:r w:rsidRPr="005621F0">
        <w:rPr>
          <w:rFonts w:eastAsia="MS Mincho"/>
        </w:rPr>
        <w:t xml:space="preserve">SGs Recommendations on </w:t>
      </w:r>
      <w:r w:rsidRPr="005621F0">
        <w:t xml:space="preserve">electromagnetic compatibility, lightning protection and electromagnetic effects; ICTs related to the environment, climate change, energy efficiency and clean energy and circular economy, including e‑waste, since </w:t>
      </w:r>
      <w:r w:rsidR="005F4324">
        <w:rPr>
          <w:rFonts w:eastAsia="MS Mincho"/>
        </w:rPr>
        <w:t>February 2020</w:t>
      </w:r>
      <w:r w:rsidRPr="005621F0">
        <w:t xml:space="preserve">, are provided in Annex 1 </w:t>
      </w:r>
      <w:r w:rsidRPr="005621F0">
        <w:rPr>
          <w:lang w:eastAsia="zh-CN"/>
        </w:rPr>
        <w:t xml:space="preserve">(status: until </w:t>
      </w:r>
      <w:r w:rsidR="000326F2">
        <w:rPr>
          <w:lang w:eastAsia="zh-CN"/>
        </w:rPr>
        <w:t>14 August</w:t>
      </w:r>
      <w:r w:rsidR="00597AB5" w:rsidRPr="005621F0">
        <w:rPr>
          <w:lang w:eastAsia="zh-CN"/>
        </w:rPr>
        <w:t xml:space="preserve"> 2020</w:t>
      </w:r>
      <w:r w:rsidRPr="005621F0">
        <w:rPr>
          <w:lang w:eastAsia="zh-CN"/>
        </w:rPr>
        <w:t>).</w:t>
      </w:r>
    </w:p>
    <w:p w14:paraId="5EC94637" w14:textId="77777777" w:rsidR="00B0022E" w:rsidRPr="005621F0" w:rsidRDefault="00D12115">
      <w:pPr>
        <w:jc w:val="both"/>
        <w:rPr>
          <w:lang w:eastAsia="zh-CN"/>
        </w:rPr>
      </w:pPr>
      <w:r w:rsidRPr="005621F0">
        <w:rPr>
          <w:lang w:eastAsia="zh-CN"/>
        </w:rPr>
        <w:t>The main highlights are described in the following text.</w:t>
      </w:r>
    </w:p>
    <w:p w14:paraId="6A979747" w14:textId="77777777" w:rsidR="00B0022E" w:rsidRPr="005621F0" w:rsidRDefault="00D12115">
      <w:pPr>
        <w:jc w:val="both"/>
        <w:rPr>
          <w:lang w:eastAsia="zh-CN"/>
        </w:rPr>
      </w:pPr>
      <w:r w:rsidRPr="005621F0">
        <w:rPr>
          <w:lang w:eastAsia="zh-CN"/>
        </w:rPr>
        <w:lastRenderedPageBreak/>
        <w:t>Taking into consideration the development and importance of 5G, ITU-T SG5</w:t>
      </w:r>
      <w:r w:rsidR="005F4324">
        <w:rPr>
          <w:lang w:eastAsia="zh-CN"/>
        </w:rPr>
        <w:t xml:space="preserve"> continues </w:t>
      </w:r>
      <w:r w:rsidRPr="005621F0">
        <w:rPr>
          <w:lang w:eastAsia="zh-CN"/>
        </w:rPr>
        <w:t xml:space="preserve">developing </w:t>
      </w:r>
      <w:r w:rsidR="008C5B70" w:rsidRPr="005621F0">
        <w:rPr>
          <w:lang w:eastAsia="zh-CN"/>
        </w:rPr>
        <w:t>T</w:t>
      </w:r>
      <w:r w:rsidRPr="005621F0">
        <w:rPr>
          <w:lang w:eastAsia="zh-CN"/>
        </w:rPr>
        <w:t xml:space="preserve">echnical </w:t>
      </w:r>
      <w:r w:rsidR="008C5B70" w:rsidRPr="005621F0">
        <w:rPr>
          <w:lang w:eastAsia="zh-CN"/>
        </w:rPr>
        <w:t>R</w:t>
      </w:r>
      <w:r w:rsidRPr="005621F0">
        <w:rPr>
          <w:lang w:eastAsia="zh-CN"/>
        </w:rPr>
        <w:t xml:space="preserve">eports, Supplements and ITU-T Recommendations that study </w:t>
      </w:r>
      <w:r w:rsidR="00F942C2">
        <w:rPr>
          <w:lang w:eastAsia="zh-CN"/>
        </w:rPr>
        <w:t xml:space="preserve">the </w:t>
      </w:r>
      <w:r w:rsidRPr="005621F0">
        <w:rPr>
          <w:lang w:eastAsia="zh-CN"/>
        </w:rPr>
        <w:t xml:space="preserve">environmental aspects </w:t>
      </w:r>
      <w:r w:rsidR="00F942C2">
        <w:rPr>
          <w:lang w:eastAsia="zh-CN"/>
        </w:rPr>
        <w:t>of 5G including:</w:t>
      </w:r>
    </w:p>
    <w:p w14:paraId="54935CD4" w14:textId="77777777" w:rsidR="00B0022E" w:rsidRPr="005621F0" w:rsidRDefault="00D12115" w:rsidP="00C73EF0">
      <w:pPr>
        <w:pStyle w:val="ListParagraph"/>
        <w:numPr>
          <w:ilvl w:val="0"/>
          <w:numId w:val="1"/>
        </w:numPr>
        <w:ind w:left="426" w:hanging="426"/>
        <w:jc w:val="both"/>
        <w:rPr>
          <w:lang w:eastAsia="zh-CN"/>
        </w:rPr>
      </w:pPr>
      <w:r w:rsidRPr="005621F0">
        <w:rPr>
          <w:lang w:eastAsia="zh-CN"/>
        </w:rPr>
        <w:t>Electromagnetic compatibility (EMC</w:t>
      </w:r>
      <w:proofErr w:type="gramStart"/>
      <w:r w:rsidRPr="005621F0">
        <w:rPr>
          <w:lang w:eastAsia="zh-CN"/>
        </w:rPr>
        <w:t>);</w:t>
      </w:r>
      <w:proofErr w:type="gramEnd"/>
    </w:p>
    <w:p w14:paraId="345D0948" w14:textId="77777777" w:rsidR="00B0022E" w:rsidRPr="005621F0" w:rsidRDefault="00D12115" w:rsidP="00C73EF0">
      <w:pPr>
        <w:pStyle w:val="ListParagraph"/>
        <w:numPr>
          <w:ilvl w:val="0"/>
          <w:numId w:val="1"/>
        </w:numPr>
        <w:ind w:left="426" w:hanging="426"/>
        <w:jc w:val="both"/>
        <w:rPr>
          <w:lang w:eastAsia="zh-CN"/>
        </w:rPr>
      </w:pPr>
      <w:r w:rsidRPr="005621F0">
        <w:rPr>
          <w:lang w:eastAsia="zh-CN"/>
        </w:rPr>
        <w:t>Electromagnetic fields (EMF</w:t>
      </w:r>
      <w:proofErr w:type="gramStart"/>
      <w:r w:rsidRPr="005621F0">
        <w:rPr>
          <w:lang w:eastAsia="zh-CN"/>
        </w:rPr>
        <w:t>);</w:t>
      </w:r>
      <w:proofErr w:type="gramEnd"/>
    </w:p>
    <w:p w14:paraId="7039E7F2" w14:textId="77777777" w:rsidR="00B0022E" w:rsidRPr="005621F0" w:rsidRDefault="00D12115" w:rsidP="00C73EF0">
      <w:pPr>
        <w:pStyle w:val="ListParagraph"/>
        <w:numPr>
          <w:ilvl w:val="0"/>
          <w:numId w:val="1"/>
        </w:numPr>
        <w:ind w:left="426" w:hanging="426"/>
        <w:jc w:val="both"/>
        <w:rPr>
          <w:lang w:eastAsia="zh-CN"/>
        </w:rPr>
      </w:pPr>
      <w:r w:rsidRPr="005621F0">
        <w:rPr>
          <w:lang w:eastAsia="zh-CN"/>
        </w:rPr>
        <w:t xml:space="preserve">Energy feeding and </w:t>
      </w:r>
      <w:proofErr w:type="gramStart"/>
      <w:r w:rsidRPr="005621F0">
        <w:rPr>
          <w:lang w:eastAsia="zh-CN"/>
        </w:rPr>
        <w:t>efficiency;</w:t>
      </w:r>
      <w:proofErr w:type="gramEnd"/>
    </w:p>
    <w:p w14:paraId="7884121E" w14:textId="77777777" w:rsidR="00B0022E" w:rsidRPr="005621F0" w:rsidRDefault="00D12115" w:rsidP="00C73EF0">
      <w:pPr>
        <w:pStyle w:val="ListParagraph"/>
        <w:numPr>
          <w:ilvl w:val="0"/>
          <w:numId w:val="1"/>
        </w:numPr>
        <w:ind w:left="426" w:hanging="426"/>
        <w:jc w:val="both"/>
        <w:rPr>
          <w:lang w:eastAsia="zh-CN"/>
        </w:rPr>
      </w:pPr>
      <w:r w:rsidRPr="005621F0">
        <w:rPr>
          <w:lang w:eastAsia="zh-CN"/>
        </w:rPr>
        <w:t>Resistibility.</w:t>
      </w:r>
    </w:p>
    <w:p w14:paraId="7DB7F59E" w14:textId="77777777" w:rsidR="001566D0" w:rsidRPr="00071D10" w:rsidRDefault="00B65FE7" w:rsidP="001566D0">
      <w:pPr>
        <w:pStyle w:val="ListParagraph"/>
        <w:ind w:left="0"/>
        <w:contextualSpacing w:val="0"/>
        <w:jc w:val="both"/>
      </w:pPr>
      <w:r w:rsidRPr="005621F0">
        <w:t xml:space="preserve">In this regard, from </w:t>
      </w:r>
      <w:r w:rsidR="005F4324">
        <w:t>February 2020</w:t>
      </w:r>
      <w:r w:rsidRPr="005621F0">
        <w:t>,</w:t>
      </w:r>
      <w:r w:rsidR="005F4324">
        <w:t xml:space="preserve"> Recommendation</w:t>
      </w:r>
      <w:r w:rsidR="001566D0">
        <w:t>s</w:t>
      </w:r>
      <w:r w:rsidR="005F4324">
        <w:t xml:space="preserve"> ITU-T L.1381 “Smart energy solution for data centre” </w:t>
      </w:r>
      <w:r w:rsidR="001566D0">
        <w:t>and ITU-T L.1382 “Smart energy solution for tele</w:t>
      </w:r>
      <w:r w:rsidR="007E1164">
        <w:t>communication rooms</w:t>
      </w:r>
      <w:r w:rsidR="001566D0">
        <w:t xml:space="preserve">” </w:t>
      </w:r>
      <w:r w:rsidR="005F4324">
        <w:t>were approved</w:t>
      </w:r>
      <w:r w:rsidR="001566D0">
        <w:t xml:space="preserve">. </w:t>
      </w:r>
      <w:r w:rsidR="001566D0">
        <w:rPr>
          <w:lang w:eastAsia="en-US"/>
        </w:rPr>
        <w:t>Additionally, Supplement 1 to Recommendation ITU-T K.91 on “</w:t>
      </w:r>
      <w:r w:rsidR="001566D0" w:rsidRPr="00977673">
        <w:rPr>
          <w:lang w:eastAsia="en-US"/>
        </w:rPr>
        <w:t>Guide on electromagnetic fields and health</w:t>
      </w:r>
      <w:r w:rsidR="001566D0">
        <w:rPr>
          <w:lang w:eastAsia="en-US"/>
        </w:rPr>
        <w:t xml:space="preserve">” to include </w:t>
      </w:r>
      <w:r w:rsidR="001566D0" w:rsidRPr="00D86B23">
        <w:rPr>
          <w:lang w:eastAsia="en-US"/>
        </w:rPr>
        <w:t>information concerning 5G mobile system</w:t>
      </w:r>
      <w:r w:rsidR="001566D0">
        <w:rPr>
          <w:lang w:eastAsia="en-US"/>
        </w:rPr>
        <w:t>s</w:t>
      </w:r>
      <w:r w:rsidR="001566D0" w:rsidRPr="00D86B23">
        <w:rPr>
          <w:lang w:eastAsia="en-US"/>
        </w:rPr>
        <w:t xml:space="preserve"> and new WHO ICNIRP and IEEE guidelines have been </w:t>
      </w:r>
      <w:proofErr w:type="gramStart"/>
      <w:r w:rsidR="001566D0" w:rsidRPr="00D86B23">
        <w:rPr>
          <w:lang w:eastAsia="en-US"/>
        </w:rPr>
        <w:t>taken into account</w:t>
      </w:r>
      <w:proofErr w:type="gramEnd"/>
      <w:r w:rsidR="001566D0">
        <w:rPr>
          <w:lang w:eastAsia="en-US"/>
        </w:rPr>
        <w:t xml:space="preserve">. </w:t>
      </w:r>
      <w:r w:rsidR="001566D0" w:rsidRPr="00071D10">
        <w:t>Furthermore, the new work item on Draft Recommendation L.EE_5G_evo “Assessment of mobile network energy efficiency covering network slicing”</w:t>
      </w:r>
      <w:r w:rsidR="001566D0">
        <w:t xml:space="preserve"> was approved.</w:t>
      </w:r>
    </w:p>
    <w:p w14:paraId="15569DD2" w14:textId="77777777" w:rsidR="00396140" w:rsidRPr="005621F0" w:rsidRDefault="00B65FE7" w:rsidP="009251D3">
      <w:pPr>
        <w:pStyle w:val="ListParagraph"/>
        <w:ind w:left="0"/>
        <w:contextualSpacing w:val="0"/>
        <w:jc w:val="both"/>
      </w:pPr>
      <w:r w:rsidRPr="005621F0">
        <w:rPr>
          <w:b/>
        </w:rPr>
        <w:t>W</w:t>
      </w:r>
      <w:r w:rsidR="00F85E39" w:rsidRPr="005621F0">
        <w:rPr>
          <w:b/>
        </w:rPr>
        <w:t xml:space="preserve">orking Party </w:t>
      </w:r>
      <w:r w:rsidRPr="005621F0">
        <w:rPr>
          <w:b/>
        </w:rPr>
        <w:t>1/5</w:t>
      </w:r>
      <w:r w:rsidRPr="005621F0">
        <w:t xml:space="preserve"> has developed and approved </w:t>
      </w:r>
      <w:r w:rsidR="001566D0">
        <w:t>two</w:t>
      </w:r>
      <w:r w:rsidRPr="005621F0">
        <w:t xml:space="preserve"> new ITU-T Recommendations</w:t>
      </w:r>
      <w:r w:rsidR="00396140" w:rsidRPr="005621F0">
        <w:t>: ITU-T K.14</w:t>
      </w:r>
      <w:r w:rsidR="001566D0">
        <w:t>6</w:t>
      </w:r>
      <w:r w:rsidR="00396140" w:rsidRPr="005621F0">
        <w:t xml:space="preserve"> “</w:t>
      </w:r>
      <w:r w:rsidR="001566D0" w:rsidRPr="001566D0">
        <w:t>Management of interferences on telecommunication transmissions on copper other than speech</w:t>
      </w:r>
      <w:r w:rsidR="00396140" w:rsidRPr="005621F0">
        <w:t>”,</w:t>
      </w:r>
      <w:r w:rsidR="001566D0">
        <w:t xml:space="preserve"> and </w:t>
      </w:r>
      <w:r w:rsidR="00575A01">
        <w:t>ITU-T K.147 “</w:t>
      </w:r>
      <w:r w:rsidR="00575A01" w:rsidRPr="00575A01">
        <w:t xml:space="preserve">Ethernet port resistibility testing for </w:t>
      </w:r>
      <w:proofErr w:type="spellStart"/>
      <w:r w:rsidR="00575A01" w:rsidRPr="00575A01">
        <w:t>overvoltages</w:t>
      </w:r>
      <w:proofErr w:type="spellEnd"/>
      <w:r w:rsidR="00575A01" w:rsidRPr="00575A01">
        <w:t xml:space="preserve"> and </w:t>
      </w:r>
      <w:proofErr w:type="spellStart"/>
      <w:r w:rsidR="00575A01" w:rsidRPr="00575A01">
        <w:t>overcurrents</w:t>
      </w:r>
      <w:proofErr w:type="spellEnd"/>
      <w:r w:rsidR="00575A01">
        <w:t xml:space="preserve">”. </w:t>
      </w:r>
    </w:p>
    <w:p w14:paraId="36F138A9" w14:textId="77777777" w:rsidR="007E235F" w:rsidRDefault="00AB4B62" w:rsidP="009251D3">
      <w:pPr>
        <w:pStyle w:val="ListParagraph"/>
        <w:ind w:left="0"/>
        <w:contextualSpacing w:val="0"/>
        <w:jc w:val="both"/>
      </w:pPr>
      <w:r w:rsidRPr="005621F0">
        <w:t xml:space="preserve">WP1/5 approved </w:t>
      </w:r>
      <w:r w:rsidR="00575A01">
        <w:t>5</w:t>
      </w:r>
      <w:r w:rsidR="00B65FE7" w:rsidRPr="005621F0">
        <w:t xml:space="preserve"> </w:t>
      </w:r>
      <w:r w:rsidR="00F83147" w:rsidRPr="005621F0">
        <w:t xml:space="preserve">revised </w:t>
      </w:r>
      <w:r w:rsidR="00B65FE7" w:rsidRPr="005621F0">
        <w:t xml:space="preserve">Recommendations: </w:t>
      </w:r>
      <w:r w:rsidR="00396140" w:rsidRPr="005621F0">
        <w:t>ITU-T K.</w:t>
      </w:r>
      <w:r w:rsidR="00575A01">
        <w:t>56</w:t>
      </w:r>
      <w:r w:rsidR="00396140" w:rsidRPr="005621F0">
        <w:t xml:space="preserve"> “</w:t>
      </w:r>
      <w:r w:rsidR="00575A01" w:rsidRPr="00D226C6">
        <w:rPr>
          <w:bCs/>
          <w:sz w:val="22"/>
          <w:szCs w:val="22"/>
        </w:rPr>
        <w:t>Protection of radio base stations against lightning discharges</w:t>
      </w:r>
      <w:r w:rsidR="00396140" w:rsidRPr="005621F0">
        <w:t>”, ITU-T K.</w:t>
      </w:r>
      <w:r w:rsidR="00575A01">
        <w:t>112</w:t>
      </w:r>
      <w:r w:rsidR="00396140" w:rsidRPr="005621F0">
        <w:t xml:space="preserve"> “</w:t>
      </w:r>
      <w:r w:rsidR="00575A01" w:rsidRPr="00575A01">
        <w:t>Lightning protection, earthing and bonding: Practical procedures for radio base stations</w:t>
      </w:r>
      <w:r w:rsidR="00396140" w:rsidRPr="005621F0">
        <w:t>”, ITU-T K.</w:t>
      </w:r>
      <w:r w:rsidR="00575A01">
        <w:t>64</w:t>
      </w:r>
      <w:r w:rsidR="00396140" w:rsidRPr="005621F0">
        <w:t xml:space="preserve"> “</w:t>
      </w:r>
      <w:r w:rsidR="00575A01" w:rsidRPr="00575A01">
        <w:t>Safe working practices for outside equipment installed in particular environments</w:t>
      </w:r>
      <w:r w:rsidR="00396140" w:rsidRPr="005621F0">
        <w:t>”, ITU-T K.</w:t>
      </w:r>
      <w:r w:rsidR="00575A01">
        <w:t>83</w:t>
      </w:r>
      <w:r w:rsidR="00396140" w:rsidRPr="005621F0">
        <w:t xml:space="preserve"> “</w:t>
      </w:r>
      <w:r w:rsidR="00575A01" w:rsidRPr="00575A01">
        <w:t>Monitoring of electromagnetic field levels</w:t>
      </w:r>
      <w:r w:rsidR="00396140" w:rsidRPr="005621F0">
        <w:t xml:space="preserve">”, </w:t>
      </w:r>
      <w:r w:rsidR="00575A01">
        <w:t xml:space="preserve">and </w:t>
      </w:r>
      <w:r w:rsidR="00396140" w:rsidRPr="005621F0">
        <w:t>ITU-T K.</w:t>
      </w:r>
      <w:r w:rsidR="00575A01">
        <w:t>91</w:t>
      </w:r>
      <w:r w:rsidR="00396140" w:rsidRPr="005621F0">
        <w:t xml:space="preserve"> “</w:t>
      </w:r>
      <w:r w:rsidR="00575A01" w:rsidRPr="00575A01">
        <w:t>Guidance for assessment, evaluation and monitoring of the human exposure to RF EMF</w:t>
      </w:r>
      <w:r w:rsidR="00396140" w:rsidRPr="005621F0">
        <w:t>”</w:t>
      </w:r>
      <w:r w:rsidR="00575A01">
        <w:t xml:space="preserve">. </w:t>
      </w:r>
    </w:p>
    <w:p w14:paraId="5F178E26" w14:textId="77777777" w:rsidR="00B65FE7" w:rsidRPr="005621F0" w:rsidRDefault="00575A01" w:rsidP="009251D3">
      <w:pPr>
        <w:pStyle w:val="ListParagraph"/>
        <w:ind w:left="0"/>
        <w:contextualSpacing w:val="0"/>
        <w:jc w:val="both"/>
        <w:rPr>
          <w:highlight w:val="yellow"/>
        </w:rPr>
      </w:pPr>
      <w:r>
        <w:t xml:space="preserve">Experts amended also </w:t>
      </w:r>
      <w:r w:rsidR="00F942C2">
        <w:t xml:space="preserve">the following </w:t>
      </w:r>
      <w:r>
        <w:t>Recommendations: ITU-T K.50 “</w:t>
      </w:r>
      <w:r w:rsidRPr="00575A01">
        <w:t>Amendment 1 to Recommendation ITU-T K.50: Safe limits for operating voltages and currents of telecommunication systems powered over the network</w:t>
      </w:r>
      <w:r>
        <w:t>”, ITU-T K.21 “</w:t>
      </w:r>
      <w:r w:rsidRPr="00575A01">
        <w:t xml:space="preserve">Amendment 1 to Recommendation ITU-T K.21: Resistibility of telecommunication equipment installed in customer premises to </w:t>
      </w:r>
      <w:proofErr w:type="spellStart"/>
      <w:r w:rsidRPr="00575A01">
        <w:t>overvoltages</w:t>
      </w:r>
      <w:proofErr w:type="spellEnd"/>
      <w:r w:rsidRPr="00575A01">
        <w:t xml:space="preserve"> and </w:t>
      </w:r>
      <w:proofErr w:type="spellStart"/>
      <w:r w:rsidRPr="00575A01">
        <w:t>overcurrents</w:t>
      </w:r>
      <w:proofErr w:type="spellEnd"/>
      <w:r>
        <w:t>”,</w:t>
      </w:r>
      <w:r w:rsidR="00F942C2">
        <w:t xml:space="preserve"> and</w:t>
      </w:r>
      <w:r>
        <w:t xml:space="preserve"> ITU-T K</w:t>
      </w:r>
      <w:r w:rsidR="007E235F">
        <w:t>.45 “</w:t>
      </w:r>
      <w:r w:rsidR="007E235F" w:rsidRPr="007E235F">
        <w:t xml:space="preserve">Amendment 1 to Recommendation ITU-T K.45: Resistibility of telecommunication equipment installed in the access and trunk networks to </w:t>
      </w:r>
      <w:proofErr w:type="spellStart"/>
      <w:r w:rsidR="007E235F" w:rsidRPr="007E235F">
        <w:t>overvoltages</w:t>
      </w:r>
      <w:proofErr w:type="spellEnd"/>
      <w:r w:rsidR="007E235F" w:rsidRPr="007E235F">
        <w:t xml:space="preserve"> and </w:t>
      </w:r>
      <w:proofErr w:type="spellStart"/>
      <w:r w:rsidR="007E235F" w:rsidRPr="007E235F">
        <w:t>overcurrents</w:t>
      </w:r>
      <w:proofErr w:type="spellEnd"/>
      <w:r w:rsidR="007E235F">
        <w:t xml:space="preserve">”. </w:t>
      </w:r>
      <w:r w:rsidR="00357764">
        <w:t xml:space="preserve"> Additionally, a Corrigendum </w:t>
      </w:r>
      <w:r w:rsidR="00357764" w:rsidRPr="00357764">
        <w:t>2 to Recommendation ITU-T K.98: Overvoltage protection guide for telecommunication equipment installed in customer premises</w:t>
      </w:r>
      <w:r w:rsidR="00357764">
        <w:t xml:space="preserve"> was approved.</w:t>
      </w:r>
    </w:p>
    <w:p w14:paraId="25B53115" w14:textId="77777777" w:rsidR="00396140" w:rsidRPr="005621F0" w:rsidRDefault="00396140" w:rsidP="00B429E5">
      <w:pPr>
        <w:pStyle w:val="ListParagraph"/>
        <w:ind w:left="0"/>
        <w:contextualSpacing w:val="0"/>
        <w:jc w:val="both"/>
      </w:pPr>
      <w:r w:rsidRPr="005621F0">
        <w:t>One new Supplement related to Electromagnetic Field</w:t>
      </w:r>
      <w:r w:rsidR="00AB4B62" w:rsidRPr="005621F0">
        <w:t>s</w:t>
      </w:r>
      <w:r w:rsidRPr="005621F0">
        <w:t xml:space="preserve"> (EMF) </w:t>
      </w:r>
      <w:r w:rsidR="003D31E4" w:rsidRPr="005621F0">
        <w:t xml:space="preserve">was </w:t>
      </w:r>
      <w:r w:rsidRPr="005621F0">
        <w:t xml:space="preserve">agreed: </w:t>
      </w:r>
      <w:r w:rsidR="00B429E5" w:rsidRPr="005621F0">
        <w:t>ITU-T K.Sup</w:t>
      </w:r>
      <w:r w:rsidR="00357764">
        <w:t>pl</w:t>
      </w:r>
      <w:r w:rsidR="00B429E5" w:rsidRPr="005621F0">
        <w:t>.</w:t>
      </w:r>
      <w:r w:rsidR="00357764">
        <w:t>20</w:t>
      </w:r>
      <w:r w:rsidR="00B429E5" w:rsidRPr="005621F0">
        <w:t xml:space="preserve"> to ITU-T </w:t>
      </w:r>
      <w:r w:rsidR="00357764">
        <w:t>K.91</w:t>
      </w:r>
      <w:r w:rsidR="00B429E5" w:rsidRPr="005621F0">
        <w:t xml:space="preserve"> “</w:t>
      </w:r>
      <w:r w:rsidR="0054713E" w:rsidRPr="0054713E">
        <w:t>Supplement on radiofrequency exposure evaluation around underground base stations</w:t>
      </w:r>
      <w:r w:rsidR="00B429E5" w:rsidRPr="005621F0">
        <w:t>”.</w:t>
      </w:r>
    </w:p>
    <w:p w14:paraId="3328ADF9" w14:textId="77777777" w:rsidR="00396140" w:rsidRPr="005621F0" w:rsidRDefault="00396140" w:rsidP="00B429E5">
      <w:pPr>
        <w:pStyle w:val="ListParagraph"/>
        <w:ind w:left="0"/>
        <w:contextualSpacing w:val="0"/>
        <w:jc w:val="both"/>
      </w:pPr>
      <w:r w:rsidRPr="005621F0">
        <w:t>One revised Supplement rel</w:t>
      </w:r>
      <w:r w:rsidR="00B429E5" w:rsidRPr="005621F0">
        <w:t>evant</w:t>
      </w:r>
      <w:r w:rsidRPr="005621F0">
        <w:t xml:space="preserve"> to EMF </w:t>
      </w:r>
      <w:r w:rsidR="00B429E5" w:rsidRPr="005621F0">
        <w:t>has been updated</w:t>
      </w:r>
      <w:r w:rsidR="00F942C2">
        <w:t>:</w:t>
      </w:r>
      <w:r w:rsidR="0054713E">
        <w:t xml:space="preserve"> </w:t>
      </w:r>
      <w:r w:rsidR="00B429E5" w:rsidRPr="005621F0">
        <w:t>ITU-T K.Sup.</w:t>
      </w:r>
      <w:r w:rsidR="0054713E">
        <w:t>1</w:t>
      </w:r>
      <w:r w:rsidR="00B429E5" w:rsidRPr="005621F0">
        <w:t xml:space="preserve"> to ITU-T K</w:t>
      </w:r>
      <w:r w:rsidR="0054713E">
        <w:t>.91</w:t>
      </w:r>
      <w:r w:rsidR="00B429E5" w:rsidRPr="005621F0">
        <w:t xml:space="preserve"> “</w:t>
      </w:r>
      <w:r w:rsidR="0054713E" w:rsidRPr="0054713E">
        <w:t>Guide on electromagnetic fields and health</w:t>
      </w:r>
      <w:r w:rsidR="00B429E5" w:rsidRPr="005621F0">
        <w:t>”</w:t>
      </w:r>
      <w:r w:rsidR="0054713E">
        <w:t xml:space="preserve">, to </w:t>
      </w:r>
      <w:r w:rsidR="0054713E" w:rsidRPr="0054713E">
        <w:t xml:space="preserve">include information concerning 5G mobile systems and </w:t>
      </w:r>
      <w:r w:rsidR="0054713E">
        <w:t xml:space="preserve">to take into consideration </w:t>
      </w:r>
      <w:r w:rsidR="0054713E" w:rsidRPr="0054713E">
        <w:t>new WHO</w:t>
      </w:r>
      <w:r w:rsidR="0054713E">
        <w:t>,</w:t>
      </w:r>
      <w:r w:rsidR="0054713E" w:rsidRPr="0054713E">
        <w:t xml:space="preserve"> ICNIRP and IEEE guidelines</w:t>
      </w:r>
      <w:r w:rsidR="009063A1">
        <w:t>.</w:t>
      </w:r>
    </w:p>
    <w:p w14:paraId="3AA6FDE7" w14:textId="77777777" w:rsidR="009063A1" w:rsidRDefault="009863E1" w:rsidP="00B429E5">
      <w:pPr>
        <w:jc w:val="both"/>
      </w:pPr>
      <w:r w:rsidRPr="005621F0">
        <w:rPr>
          <w:rFonts w:eastAsia="MS Mincho"/>
        </w:rPr>
        <w:t xml:space="preserve">Under the umbrella of </w:t>
      </w:r>
      <w:r w:rsidRPr="005621F0">
        <w:rPr>
          <w:rFonts w:eastAsia="MS Mincho"/>
          <w:b/>
        </w:rPr>
        <w:t>Working Party 2/5</w:t>
      </w:r>
      <w:r w:rsidRPr="005621F0">
        <w:rPr>
          <w:rFonts w:eastAsia="MS Mincho"/>
        </w:rPr>
        <w:t>,</w:t>
      </w:r>
      <w:r w:rsidR="0054713E">
        <w:rPr>
          <w:rFonts w:eastAsia="MS Mincho"/>
        </w:rPr>
        <w:t xml:space="preserve"> </w:t>
      </w:r>
      <w:r w:rsidR="009063A1">
        <w:rPr>
          <w:rFonts w:eastAsia="MS Mincho"/>
        </w:rPr>
        <w:t>three</w:t>
      </w:r>
      <w:r w:rsidR="00B429E5" w:rsidRPr="005621F0">
        <w:rPr>
          <w:rFonts w:eastAsia="MS Mincho"/>
        </w:rPr>
        <w:t xml:space="preserve"> new ITU-T Recommendations were approved: </w:t>
      </w:r>
      <w:r w:rsidR="00B429E5" w:rsidRPr="005621F0">
        <w:t>ITU-T L.1</w:t>
      </w:r>
      <w:r w:rsidR="0054713E">
        <w:t xml:space="preserve">381 </w:t>
      </w:r>
      <w:r w:rsidR="00B429E5" w:rsidRPr="005621F0">
        <w:t>“</w:t>
      </w:r>
      <w:r w:rsidR="0054713E" w:rsidRPr="0054713E">
        <w:t>Smart energy solution for data centre</w:t>
      </w:r>
      <w:bookmarkStart w:id="12" w:name="_Hlk47371190"/>
      <w:r w:rsidR="00B429E5" w:rsidRPr="005621F0">
        <w:t>”</w:t>
      </w:r>
      <w:bookmarkEnd w:id="12"/>
      <w:r w:rsidR="009012C5" w:rsidRPr="005621F0">
        <w:t xml:space="preserve">, </w:t>
      </w:r>
      <w:r w:rsidR="0054713E">
        <w:t xml:space="preserve">ITU-T L.1371 </w:t>
      </w:r>
      <w:r w:rsidR="0054713E" w:rsidRPr="0054713E">
        <w:t>“A methodology for assessing and scoring the sustainability performance of office buildings”</w:t>
      </w:r>
      <w:r w:rsidR="0054713E">
        <w:t>, ITU-T L.1382</w:t>
      </w:r>
      <w:r w:rsidR="009063A1">
        <w:t xml:space="preserve"> </w:t>
      </w:r>
      <w:r w:rsidR="009063A1" w:rsidRPr="0054713E">
        <w:t>“</w:t>
      </w:r>
      <w:r w:rsidR="009063A1" w:rsidRPr="009063A1">
        <w:t>Smart energy solution for telecommunication rooms</w:t>
      </w:r>
      <w:r w:rsidR="009063A1" w:rsidRPr="0054713E">
        <w:t>”</w:t>
      </w:r>
      <w:r w:rsidR="009063A1">
        <w:t xml:space="preserve">. Recommendation ITU-T L.1023 (ex. </w:t>
      </w:r>
      <w:proofErr w:type="gramStart"/>
      <w:r w:rsidR="009063A1">
        <w:t>L.CE</w:t>
      </w:r>
      <w:proofErr w:type="gramEnd"/>
      <w:r w:rsidR="009063A1">
        <w:t xml:space="preserve">-2) </w:t>
      </w:r>
      <w:r w:rsidR="009063A1" w:rsidRPr="0054713E">
        <w:t>“</w:t>
      </w:r>
      <w:r w:rsidR="009063A1" w:rsidRPr="009063A1">
        <w:t>Assessment method for circular scoring</w:t>
      </w:r>
      <w:r w:rsidR="009063A1" w:rsidRPr="0054713E">
        <w:t>”</w:t>
      </w:r>
      <w:r w:rsidR="009063A1">
        <w:t xml:space="preserve"> was consented. </w:t>
      </w:r>
    </w:p>
    <w:p w14:paraId="33675598" w14:textId="77777777" w:rsidR="009063A1" w:rsidRDefault="009063A1" w:rsidP="00B429E5">
      <w:pPr>
        <w:jc w:val="both"/>
      </w:pPr>
      <w:r>
        <w:t xml:space="preserve">WP2/5 consented two revised Recommendations ITU-T L.1310 </w:t>
      </w:r>
      <w:r w:rsidRPr="0054713E">
        <w:t>“</w:t>
      </w:r>
      <w:r w:rsidRPr="009063A1">
        <w:t>Energy efficiency metrics and measurement methods for telecommunication equipment</w:t>
      </w:r>
      <w:r w:rsidRPr="0054713E">
        <w:t>”</w:t>
      </w:r>
      <w:r w:rsidR="0054713E">
        <w:t xml:space="preserve"> </w:t>
      </w:r>
      <w:r>
        <w:t xml:space="preserve">and ITU-T L.1331 </w:t>
      </w:r>
      <w:r w:rsidRPr="0054713E">
        <w:t>“</w:t>
      </w:r>
      <w:r w:rsidRPr="009063A1">
        <w:t>Assessment of mobile network energy efficiency</w:t>
      </w:r>
      <w:r w:rsidRPr="0054713E">
        <w:t>”</w:t>
      </w:r>
      <w:r>
        <w:t xml:space="preserve"> </w:t>
      </w:r>
      <w:r w:rsidR="009012C5" w:rsidRPr="005621F0">
        <w:t>which w</w:t>
      </w:r>
      <w:r>
        <w:t>ere</w:t>
      </w:r>
      <w:r w:rsidR="009012C5" w:rsidRPr="005621F0">
        <w:t xml:space="preserve"> developed in close collaboration with ETSI TC Environmental Engineering</w:t>
      </w:r>
      <w:r>
        <w:t xml:space="preserve"> (ETSI TC EE).</w:t>
      </w:r>
      <w:r w:rsidR="00B429E5" w:rsidRPr="005621F0">
        <w:t xml:space="preserve"> </w:t>
      </w:r>
    </w:p>
    <w:p w14:paraId="1E4B776C" w14:textId="77777777" w:rsidR="00B429E5" w:rsidRPr="005621F0" w:rsidRDefault="009063A1" w:rsidP="00B429E5">
      <w:pPr>
        <w:jc w:val="both"/>
      </w:pPr>
      <w:r>
        <w:t xml:space="preserve">One new Supplement was agreed: ITU-T L.Suppl.37 to ITU-T L.1470 </w:t>
      </w:r>
      <w:r w:rsidRPr="0054713E">
        <w:t>“</w:t>
      </w:r>
      <w:r w:rsidRPr="009063A1">
        <w:t xml:space="preserve">Guidance to operators of mobile networks, fixed networks and data centres on setting 1.5°C aligned targets compliant with </w:t>
      </w:r>
      <w:r w:rsidRPr="009063A1">
        <w:lastRenderedPageBreak/>
        <w:t>Recommendation ITU-T L.1470</w:t>
      </w:r>
      <w:r w:rsidRPr="0054713E">
        <w:t>”</w:t>
      </w:r>
      <w:r>
        <w:t xml:space="preserve">. This Supplement </w:t>
      </w:r>
      <w:r w:rsidR="009012C5" w:rsidRPr="005621F0">
        <w:t xml:space="preserve">was developed in close collaboration with </w:t>
      </w:r>
      <w:proofErr w:type="spellStart"/>
      <w:r w:rsidR="009012C5" w:rsidRPr="005621F0">
        <w:t>GeSI</w:t>
      </w:r>
      <w:proofErr w:type="spellEnd"/>
      <w:r w:rsidR="009012C5" w:rsidRPr="005621F0">
        <w:t>, GSMA, SBT</w:t>
      </w:r>
      <w:r w:rsidR="0051443C" w:rsidRPr="005621F0">
        <w:t>i</w:t>
      </w:r>
      <w:r w:rsidR="009012C5" w:rsidRPr="005621F0">
        <w:t xml:space="preserve"> and IEA.</w:t>
      </w:r>
    </w:p>
    <w:p w14:paraId="50311D7C" w14:textId="77777777" w:rsidR="00B0022E" w:rsidRPr="005621F0" w:rsidRDefault="00D12115">
      <w:pPr>
        <w:tabs>
          <w:tab w:val="left" w:pos="1151"/>
        </w:tabs>
        <w:spacing w:before="360" w:line="240" w:lineRule="atLeast"/>
        <w:jc w:val="both"/>
        <w:rPr>
          <w:b/>
          <w:bCs/>
        </w:rPr>
      </w:pPr>
      <w:r w:rsidRPr="005621F0">
        <w:rPr>
          <w:b/>
          <w:bCs/>
        </w:rPr>
        <w:t>2</w:t>
      </w:r>
      <w:r w:rsidRPr="005621F0">
        <w:rPr>
          <w:b/>
          <w:bCs/>
        </w:rPr>
        <w:tab/>
        <w:t>Plan of work for this study period and towards the next study period and progress</w:t>
      </w:r>
    </w:p>
    <w:p w14:paraId="0745012E" w14:textId="77777777" w:rsidR="00B0022E" w:rsidRPr="005621F0" w:rsidRDefault="00F942C2" w:rsidP="00DA2BE9">
      <w:pPr>
        <w:spacing w:after="120"/>
        <w:rPr>
          <w:lang w:eastAsia="zh-CN"/>
        </w:rPr>
      </w:pPr>
      <w:r>
        <w:rPr>
          <w:lang w:eastAsia="zh-CN"/>
        </w:rPr>
        <w:t xml:space="preserve">The list of </w:t>
      </w:r>
      <w:r w:rsidR="00D12115" w:rsidRPr="005621F0">
        <w:rPr>
          <w:lang w:eastAsia="zh-CN"/>
        </w:rPr>
        <w:t xml:space="preserve">Recommendations and other texts on electromagnetic compatibility and electromagnetic effects, environment and circular economy </w:t>
      </w:r>
      <w:r>
        <w:rPr>
          <w:lang w:eastAsia="zh-CN"/>
        </w:rPr>
        <w:t xml:space="preserve">that are </w:t>
      </w:r>
      <w:r w:rsidR="00D12115" w:rsidRPr="005621F0">
        <w:rPr>
          <w:lang w:eastAsia="zh-CN"/>
        </w:rPr>
        <w:t xml:space="preserve">currently under development in ITU-T SG5 can be found at: </w:t>
      </w:r>
      <w:hyperlink r:id="rId20" w:history="1">
        <w:r w:rsidR="00D12115" w:rsidRPr="005621F0">
          <w:rPr>
            <w:rStyle w:val="Hyperlink"/>
            <w:lang w:eastAsia="zh-CN"/>
          </w:rPr>
          <w:t>https://www.itu.int/ITU-T/workprog/wp_search.aspx?isn_sp=3925&amp;isn_sg=3928&amp;isn_status=-1,1,3,7&amp;details=0&amp;field=acdefghijo</w:t>
        </w:r>
      </w:hyperlink>
      <w:r w:rsidR="00D12115" w:rsidRPr="005621F0">
        <w:rPr>
          <w:lang w:eastAsia="zh-CN"/>
        </w:rPr>
        <w:t xml:space="preserve"> </w:t>
      </w:r>
    </w:p>
    <w:p w14:paraId="7D4B0119" w14:textId="77777777" w:rsidR="00B0022E" w:rsidRPr="005621F0" w:rsidRDefault="00D12115" w:rsidP="00437BC7">
      <w:pPr>
        <w:keepNext/>
        <w:keepLines/>
        <w:tabs>
          <w:tab w:val="left" w:pos="567"/>
          <w:tab w:val="left" w:pos="993"/>
        </w:tabs>
        <w:spacing w:before="360"/>
        <w:jc w:val="both"/>
        <w:rPr>
          <w:b/>
        </w:rPr>
      </w:pPr>
      <w:r w:rsidRPr="005621F0">
        <w:rPr>
          <w:b/>
        </w:rPr>
        <w:t>3</w:t>
      </w:r>
      <w:r w:rsidRPr="005621F0">
        <w:rPr>
          <w:b/>
        </w:rPr>
        <w:tab/>
        <w:t>SG</w:t>
      </w:r>
      <w:r w:rsidRPr="005621F0">
        <w:rPr>
          <w:rFonts w:eastAsia="MS Mincho"/>
          <w:b/>
        </w:rPr>
        <w:t>5</w:t>
      </w:r>
      <w:r w:rsidRPr="005621F0">
        <w:rPr>
          <w:b/>
        </w:rPr>
        <w:t xml:space="preserve"> as Lead Study Group on electromagnetic compatibility lightning protection and electromagnetic effects; ICTs related to the environment, climate change, energy efficiency and clean energy and circular economy, including e</w:t>
      </w:r>
      <w:r w:rsidRPr="005621F0">
        <w:rPr>
          <w:rFonts w:eastAsia="MS Mincho"/>
          <w:b/>
        </w:rPr>
        <w:t>‑</w:t>
      </w:r>
      <w:r w:rsidRPr="005621F0">
        <w:rPr>
          <w:b/>
        </w:rPr>
        <w:t>waste</w:t>
      </w:r>
    </w:p>
    <w:p w14:paraId="41760F8C" w14:textId="77777777" w:rsidR="00B0022E" w:rsidRPr="005621F0" w:rsidRDefault="00D12115" w:rsidP="00437BC7">
      <w:pPr>
        <w:keepNext/>
        <w:keepLines/>
        <w:spacing w:before="240"/>
        <w:jc w:val="both"/>
        <w:rPr>
          <w:b/>
        </w:rPr>
      </w:pPr>
      <w:r w:rsidRPr="005621F0">
        <w:rPr>
          <w:b/>
        </w:rPr>
        <w:t>3.1</w:t>
      </w:r>
      <w:r w:rsidRPr="005621F0">
        <w:rPr>
          <w:b/>
        </w:rPr>
        <w:tab/>
        <w:t>Protection of information and communication technology (ICT) infrastructure from electromagnetic surges</w:t>
      </w:r>
    </w:p>
    <w:p w14:paraId="693F4440" w14:textId="77777777" w:rsidR="00B0022E" w:rsidRPr="005621F0" w:rsidRDefault="00D12115">
      <w:pPr>
        <w:keepNext/>
        <w:jc w:val="both"/>
      </w:pPr>
      <w:r w:rsidRPr="005621F0">
        <w:t xml:space="preserve">The protection of the telecommunication network against lightning and adverse effects from power systems is studied by Question 1/5. The protection against lightning includes the protection of telecommunication systems against lightning flashes and the earthing and bonding configurations applied to telecommunications installations (telecommunication buildings, remote electronic </w:t>
      </w:r>
      <w:proofErr w:type="gramStart"/>
      <w:r w:rsidRPr="005621F0">
        <w:t>sites</w:t>
      </w:r>
      <w:proofErr w:type="gramEnd"/>
      <w:r w:rsidRPr="005621F0">
        <w:t xml:space="preserve"> and customer premises). The protection against adverse effects from power systems covers the electromagnetic interference experienced by telecommunications networks due to power systems a</w:t>
      </w:r>
      <w:r w:rsidR="00FE10B6" w:rsidRPr="005621F0">
        <w:t>nd electrified railway systems.</w:t>
      </w:r>
    </w:p>
    <w:p w14:paraId="3B2A35A6" w14:textId="77777777" w:rsidR="00BF1EFF" w:rsidRPr="005621F0" w:rsidRDefault="00BF1EFF">
      <w:pPr>
        <w:keepNext/>
        <w:jc w:val="both"/>
        <w:rPr>
          <w:bCs/>
        </w:rPr>
      </w:pPr>
      <w:r w:rsidRPr="005621F0">
        <w:rPr>
          <w:bCs/>
        </w:rPr>
        <w:t xml:space="preserve">Q1/5 is currently working on </w:t>
      </w:r>
      <w:r w:rsidR="00B52BD9">
        <w:rPr>
          <w:bCs/>
        </w:rPr>
        <w:t>nine</w:t>
      </w:r>
      <w:r w:rsidRPr="005621F0">
        <w:rPr>
          <w:bCs/>
        </w:rPr>
        <w:t xml:space="preserve"> work items</w:t>
      </w:r>
      <w:r w:rsidR="00B52BD9">
        <w:rPr>
          <w:bCs/>
        </w:rPr>
        <w:t xml:space="preserve">. During the last SG5 meeting, experts agreed to start working on draft Recommendation ITU-T </w:t>
      </w:r>
      <w:proofErr w:type="gramStart"/>
      <w:r w:rsidR="00B52BD9">
        <w:rPr>
          <w:bCs/>
        </w:rPr>
        <w:t>K.SPDM</w:t>
      </w:r>
      <w:proofErr w:type="gramEnd"/>
      <w:r w:rsidR="00B52BD9">
        <w:rPr>
          <w:bCs/>
        </w:rPr>
        <w:t xml:space="preserve"> </w:t>
      </w:r>
      <w:r w:rsidR="00B52BD9" w:rsidRPr="005621F0">
        <w:rPr>
          <w:bCs/>
        </w:rPr>
        <w:t>“</w:t>
      </w:r>
      <w:r w:rsidR="00B52BD9" w:rsidRPr="00B52BD9">
        <w:rPr>
          <w:bCs/>
        </w:rPr>
        <w:t>Performance requirements and test methods for surge protective device modules used in AC power port of telecommunication equipment</w:t>
      </w:r>
      <w:r w:rsidR="00B52BD9" w:rsidRPr="005621F0">
        <w:rPr>
          <w:bCs/>
        </w:rPr>
        <w:t>”</w:t>
      </w:r>
      <w:r w:rsidR="00B52BD9">
        <w:rPr>
          <w:bCs/>
        </w:rPr>
        <w:t xml:space="preserve">. This draft Recommendation </w:t>
      </w:r>
      <w:r w:rsidR="00B52BD9" w:rsidRPr="00B52BD9">
        <w:rPr>
          <w:bCs/>
        </w:rPr>
        <w:t>will include the lightning protection and safety performance requirements, environmental adaptability requirements, installation requirements, and test methods for surge protective device modules used in AC power port of telecommunication equipment.</w:t>
      </w:r>
    </w:p>
    <w:p w14:paraId="5D58F872" w14:textId="77777777" w:rsidR="00B0022E" w:rsidRPr="005621F0" w:rsidRDefault="00D12115">
      <w:pPr>
        <w:keepNext/>
        <w:spacing w:before="240"/>
        <w:jc w:val="both"/>
        <w:rPr>
          <w:b/>
        </w:rPr>
      </w:pPr>
      <w:r w:rsidRPr="005621F0">
        <w:rPr>
          <w:b/>
        </w:rPr>
        <w:t>3.2</w:t>
      </w:r>
      <w:r w:rsidRPr="005621F0">
        <w:rPr>
          <w:b/>
        </w:rPr>
        <w:tab/>
        <w:t>Equipment resistibility and protective components</w:t>
      </w:r>
    </w:p>
    <w:p w14:paraId="394010C5" w14:textId="77777777" w:rsidR="00B0022E" w:rsidRPr="005621F0" w:rsidRDefault="00D12115">
      <w:pPr>
        <w:keepNext/>
        <w:jc w:val="both"/>
      </w:pPr>
      <w:r w:rsidRPr="005621F0">
        <w:t xml:space="preserve">The resistibility and safety applied to telecommunications equipment and infrastructure is studied by Question 2/5. The relevance of this subject resides on the fact that new types of ICT equipment are appearing in the network, as the means to provide larger bandwidth to meet the customer's needs. Moreover, different types of equipment are being interconnected at customers' premises (home network), hence, the protection requirements for their interfaces and the effects of these interconnections need </w:t>
      </w:r>
      <w:r w:rsidR="00FE10B6" w:rsidRPr="005621F0">
        <w:t>to be studied and standardized.</w:t>
      </w:r>
    </w:p>
    <w:p w14:paraId="69D029DC" w14:textId="77777777" w:rsidR="00B0022E" w:rsidRPr="005621F0" w:rsidRDefault="00D12115" w:rsidP="00BF1EFF">
      <w:pPr>
        <w:tabs>
          <w:tab w:val="left" w:pos="540"/>
        </w:tabs>
        <w:spacing w:line="240" w:lineRule="atLeast"/>
        <w:jc w:val="both"/>
      </w:pPr>
      <w:r w:rsidRPr="005621F0">
        <w:t xml:space="preserve">It also covers the requirements for protective components and assemblies used to protect ICT equipment against electromagnetic disturbances. The objective is to develop </w:t>
      </w:r>
      <w:r w:rsidR="00911D06" w:rsidRPr="005621F0">
        <w:t>Recommendations, which provide specifications, test methods,</w:t>
      </w:r>
      <w:r w:rsidRPr="005621F0">
        <w:t xml:space="preserve"> and principles of application for protective components and assemblies intended to mitigate </w:t>
      </w:r>
      <w:r w:rsidR="00B5092A">
        <w:t xml:space="preserve">the </w:t>
      </w:r>
      <w:r w:rsidRPr="005621F0">
        <w:t xml:space="preserve">effects of lightning, power induction, ESD, fast transients and power contacts that may cause permanent damage. These protective components and assemblies are related to both telecommunication and power supply circuits </w:t>
      </w:r>
      <w:r w:rsidR="00FE10B6" w:rsidRPr="005621F0">
        <w:t>of telecommunication equipment.</w:t>
      </w:r>
    </w:p>
    <w:p w14:paraId="71E2C405" w14:textId="77777777" w:rsidR="00BF1EFF" w:rsidRPr="00C2506D" w:rsidRDefault="00BF1EFF" w:rsidP="00BF1EFF">
      <w:pPr>
        <w:tabs>
          <w:tab w:val="left" w:pos="540"/>
        </w:tabs>
        <w:spacing w:line="240" w:lineRule="atLeast"/>
        <w:jc w:val="both"/>
        <w:rPr>
          <w:lang w:val="en-US"/>
        </w:rPr>
      </w:pPr>
      <w:r w:rsidRPr="005621F0">
        <w:rPr>
          <w:bCs/>
        </w:rPr>
        <w:t xml:space="preserve">Q2/5 is currently working on </w:t>
      </w:r>
      <w:r w:rsidR="00B52BD9">
        <w:rPr>
          <w:bCs/>
        </w:rPr>
        <w:t>eight</w:t>
      </w:r>
      <w:r w:rsidRPr="005621F0">
        <w:rPr>
          <w:bCs/>
        </w:rPr>
        <w:t xml:space="preserve"> work items</w:t>
      </w:r>
      <w:r w:rsidR="00B52BD9">
        <w:rPr>
          <w:bCs/>
        </w:rPr>
        <w:t>. During the last SG5 meeting, experts agreed to start working on draft Recommendation ITU-T K.gm “</w:t>
      </w:r>
      <w:r w:rsidR="00B52BD9" w:rsidRPr="00B52BD9">
        <w:rPr>
          <w:bCs/>
        </w:rPr>
        <w:t>Performance Parameters and Test Methods for Hybrid Integrated Circuits Containing a Gas Discharge Tube (GDT) and a Metal-Oxide Varistor (MOV)</w:t>
      </w:r>
      <w:r w:rsidR="00B52BD9">
        <w:rPr>
          <w:bCs/>
        </w:rPr>
        <w:t xml:space="preserve">”. </w:t>
      </w:r>
    </w:p>
    <w:p w14:paraId="2386F1A0" w14:textId="77777777" w:rsidR="00B0022E" w:rsidRPr="005621F0" w:rsidRDefault="00D12115" w:rsidP="003371ED">
      <w:pPr>
        <w:keepNext/>
        <w:keepLines/>
        <w:tabs>
          <w:tab w:val="left" w:pos="540"/>
        </w:tabs>
        <w:spacing w:before="360" w:line="240" w:lineRule="atLeast"/>
        <w:jc w:val="both"/>
        <w:rPr>
          <w:b/>
        </w:rPr>
      </w:pPr>
      <w:r w:rsidRPr="005621F0">
        <w:rPr>
          <w:b/>
        </w:rPr>
        <w:lastRenderedPageBreak/>
        <w:t>3.3</w:t>
      </w:r>
      <w:r w:rsidRPr="005621F0">
        <w:rPr>
          <w:b/>
        </w:rPr>
        <w:tab/>
      </w:r>
      <w:r w:rsidRPr="005621F0">
        <w:rPr>
          <w:rFonts w:eastAsia="MS Mincho"/>
          <w:b/>
          <w:bCs/>
        </w:rPr>
        <w:t>Human exposure to electromagnetic fields (EMFs) from information and communication technologies (ICTs)</w:t>
      </w:r>
    </w:p>
    <w:p w14:paraId="0AF039B5" w14:textId="77777777" w:rsidR="00B0022E" w:rsidRPr="005621F0" w:rsidRDefault="00D12115" w:rsidP="003371ED">
      <w:pPr>
        <w:keepNext/>
        <w:keepLines/>
        <w:tabs>
          <w:tab w:val="left" w:pos="540"/>
        </w:tabs>
        <w:spacing w:line="240" w:lineRule="atLeast"/>
        <w:jc w:val="both"/>
        <w:rPr>
          <w:rFonts w:eastAsia="MS Mincho"/>
        </w:rPr>
      </w:pPr>
      <w:r w:rsidRPr="005621F0">
        <w:rPr>
          <w:rFonts w:eastAsia="MS Mincho"/>
        </w:rPr>
        <w:t xml:space="preserve">Issues on assessment of human exposure to Radio Frequency Electromagnetic Fields (RF EMFs) are under the responsibility of Question 3/5. In this Question, Recommendations that provide guidance, best </w:t>
      </w:r>
      <w:proofErr w:type="gramStart"/>
      <w:r w:rsidRPr="005621F0">
        <w:rPr>
          <w:rFonts w:eastAsia="MS Mincho"/>
        </w:rPr>
        <w:t>practices</w:t>
      </w:r>
      <w:proofErr w:type="gramEnd"/>
      <w:r w:rsidRPr="005621F0">
        <w:rPr>
          <w:rFonts w:eastAsia="MS Mincho"/>
        </w:rPr>
        <w:t xml:space="preserve"> and assessment of human exposure to Electromagnetic Fields (EMFs) are being developed. The scope of this Question includes the development of methods to evaluate compliance of the radiocommunication installations with human exposure limits established by WHO </w:t>
      </w:r>
      <w:r w:rsidR="008C5B70" w:rsidRPr="005621F0">
        <w:rPr>
          <w:rFonts w:eastAsia="MS Mincho"/>
        </w:rPr>
        <w:t>based on</w:t>
      </w:r>
      <w:r w:rsidRPr="005621F0">
        <w:rPr>
          <w:rFonts w:eastAsia="MS Mincho"/>
        </w:rPr>
        <w:t xml:space="preserve"> ICNIRP guidance. Question 3/5 is also contributing to the process o</w:t>
      </w:r>
      <w:r w:rsidR="008C5B70" w:rsidRPr="005621F0">
        <w:rPr>
          <w:rFonts w:eastAsia="MS Mincho"/>
        </w:rPr>
        <w:t>f</w:t>
      </w:r>
      <w:r w:rsidRPr="005621F0">
        <w:rPr>
          <w:rFonts w:eastAsia="MS Mincho"/>
        </w:rPr>
        <w:t xml:space="preserve"> standardization </w:t>
      </w:r>
      <w:r w:rsidR="008C5B70" w:rsidRPr="005621F0">
        <w:rPr>
          <w:rFonts w:eastAsia="MS Mincho"/>
        </w:rPr>
        <w:t xml:space="preserve">of </w:t>
      </w:r>
      <w:r w:rsidRPr="005621F0">
        <w:rPr>
          <w:rFonts w:eastAsia="MS Mincho"/>
        </w:rPr>
        <w:t xml:space="preserve">5G by considering EMF aspects related to: the impact of 5G technologies on the compliance assessment methodology; the deployment of smart antennas; the use of Software Defined Radio and the communication and understanding among stakeholders and </w:t>
      </w:r>
      <w:r w:rsidR="00B5092A">
        <w:rPr>
          <w:rFonts w:eastAsia="MS Mincho"/>
        </w:rPr>
        <w:t xml:space="preserve">the </w:t>
      </w:r>
      <w:r w:rsidRPr="005621F0">
        <w:rPr>
          <w:rFonts w:eastAsia="MS Mincho"/>
        </w:rPr>
        <w:t>general public related</w:t>
      </w:r>
      <w:r w:rsidR="00FE10B6" w:rsidRPr="005621F0">
        <w:rPr>
          <w:rFonts w:eastAsia="MS Mincho"/>
        </w:rPr>
        <w:t xml:space="preserve"> to the </w:t>
      </w:r>
      <w:r w:rsidR="00B5092A">
        <w:rPr>
          <w:rFonts w:eastAsia="MS Mincho"/>
        </w:rPr>
        <w:t xml:space="preserve">EMF </w:t>
      </w:r>
      <w:r w:rsidR="00FE10B6" w:rsidRPr="005621F0">
        <w:rPr>
          <w:rFonts w:eastAsia="MS Mincho"/>
        </w:rPr>
        <w:t xml:space="preserve">effect </w:t>
      </w:r>
      <w:r w:rsidR="00B5092A">
        <w:rPr>
          <w:rFonts w:eastAsia="MS Mincho"/>
        </w:rPr>
        <w:t xml:space="preserve">of 5G </w:t>
      </w:r>
      <w:r w:rsidR="00FE10B6" w:rsidRPr="005621F0">
        <w:rPr>
          <w:rFonts w:eastAsia="MS Mincho"/>
        </w:rPr>
        <w:t>on human health.</w:t>
      </w:r>
    </w:p>
    <w:p w14:paraId="3CE2792B" w14:textId="77777777" w:rsidR="00B0022E" w:rsidRPr="005621F0" w:rsidRDefault="00D12115">
      <w:pPr>
        <w:tabs>
          <w:tab w:val="left" w:pos="540"/>
        </w:tabs>
        <w:spacing w:line="240" w:lineRule="atLeast"/>
        <w:jc w:val="both"/>
        <w:rPr>
          <w:rFonts w:eastAsia="MS Mincho"/>
        </w:rPr>
      </w:pPr>
      <w:r w:rsidRPr="005621F0">
        <w:rPr>
          <w:rFonts w:eastAsia="MS Mincho"/>
        </w:rPr>
        <w:t xml:space="preserve">Question 3/5 </w:t>
      </w:r>
      <w:r w:rsidR="00FE1001" w:rsidRPr="005621F0">
        <w:rPr>
          <w:rFonts w:eastAsia="MS Mincho"/>
        </w:rPr>
        <w:t xml:space="preserve">also </w:t>
      </w:r>
      <w:r w:rsidRPr="005621F0">
        <w:rPr>
          <w:rFonts w:eastAsia="MS Mincho"/>
        </w:rPr>
        <w:t>develo</w:t>
      </w:r>
      <w:r w:rsidR="00FE1001" w:rsidRPr="005621F0">
        <w:rPr>
          <w:rFonts w:eastAsia="MS Mincho"/>
        </w:rPr>
        <w:t>ps</w:t>
      </w:r>
      <w:r w:rsidRPr="005621F0">
        <w:rPr>
          <w:rFonts w:eastAsia="MS Mincho"/>
        </w:rPr>
        <w:t xml:space="preserve"> software supporting the assessment of the human exposure (such as EMF-estimator, ITU-T K.52 calculator, EMFACDC, Watt Guard and Uncertainty calculator), supplements and mobile applications (such as “EMF-Guide” or “EMF-Exposure”). The outputs of </w:t>
      </w:r>
      <w:r w:rsidR="008C5B70" w:rsidRPr="005621F0">
        <w:rPr>
          <w:rFonts w:eastAsia="MS Mincho"/>
        </w:rPr>
        <w:t>Q3/5</w:t>
      </w:r>
      <w:r w:rsidRPr="005621F0">
        <w:rPr>
          <w:rFonts w:eastAsia="MS Mincho"/>
        </w:rPr>
        <w:t xml:space="preserve"> are </w:t>
      </w:r>
      <w:r w:rsidR="008C5B70" w:rsidRPr="005621F0">
        <w:rPr>
          <w:rFonts w:eastAsia="MS Mincho"/>
        </w:rPr>
        <w:t xml:space="preserve">regularly </w:t>
      </w:r>
      <w:r w:rsidRPr="005621F0">
        <w:rPr>
          <w:rFonts w:eastAsia="MS Mincho"/>
        </w:rPr>
        <w:t xml:space="preserve">being shared with ITU-D and ITU-R and liaisons are being exchanged with these Sectors. Q3/5 is </w:t>
      </w:r>
      <w:r w:rsidR="008C5B70" w:rsidRPr="005621F0">
        <w:rPr>
          <w:rFonts w:eastAsia="MS Mincho"/>
        </w:rPr>
        <w:t xml:space="preserve">also </w:t>
      </w:r>
      <w:r w:rsidRPr="005621F0">
        <w:rPr>
          <w:rFonts w:eastAsia="MS Mincho"/>
        </w:rPr>
        <w:t>working closely with WHO, ICNIRP and IEC TC106.</w:t>
      </w:r>
    </w:p>
    <w:p w14:paraId="574F4B19" w14:textId="77777777" w:rsidR="00ED6950" w:rsidRPr="005621F0" w:rsidRDefault="00ED6950">
      <w:pPr>
        <w:tabs>
          <w:tab w:val="left" w:pos="540"/>
        </w:tabs>
        <w:spacing w:line="240" w:lineRule="atLeast"/>
        <w:jc w:val="both"/>
        <w:rPr>
          <w:rFonts w:eastAsia="MS Mincho"/>
        </w:rPr>
      </w:pPr>
      <w:r w:rsidRPr="005621F0">
        <w:rPr>
          <w:bCs/>
        </w:rPr>
        <w:t xml:space="preserve">Q3/5 is currently working on </w:t>
      </w:r>
      <w:r w:rsidR="00C2506D">
        <w:rPr>
          <w:bCs/>
        </w:rPr>
        <w:t>six</w:t>
      </w:r>
      <w:r w:rsidRPr="005621F0">
        <w:rPr>
          <w:bCs/>
        </w:rPr>
        <w:t xml:space="preserve"> work items.</w:t>
      </w:r>
    </w:p>
    <w:p w14:paraId="1800EE2D" w14:textId="77777777" w:rsidR="00B0022E" w:rsidRPr="005621F0" w:rsidRDefault="00D12115" w:rsidP="006C677D">
      <w:pPr>
        <w:tabs>
          <w:tab w:val="left" w:pos="540"/>
        </w:tabs>
        <w:spacing w:before="360" w:line="240" w:lineRule="atLeast"/>
        <w:jc w:val="both"/>
        <w:rPr>
          <w:b/>
        </w:rPr>
      </w:pPr>
      <w:r w:rsidRPr="005621F0">
        <w:rPr>
          <w:b/>
        </w:rPr>
        <w:t>3.4</w:t>
      </w:r>
      <w:r w:rsidRPr="005621F0">
        <w:rPr>
          <w:b/>
        </w:rPr>
        <w:tab/>
      </w:r>
      <w:r w:rsidRPr="005621F0">
        <w:rPr>
          <w:rFonts w:eastAsia="MS Mincho"/>
          <w:b/>
          <w:bCs/>
        </w:rPr>
        <w:t>Electromagnetic compatibility (EMC) issues arising in the telecommunication environment</w:t>
      </w:r>
    </w:p>
    <w:p w14:paraId="76BE03FE" w14:textId="77777777" w:rsidR="00B0022E" w:rsidRPr="005621F0" w:rsidRDefault="00D12115" w:rsidP="006C677D">
      <w:pPr>
        <w:tabs>
          <w:tab w:val="left" w:pos="1151"/>
        </w:tabs>
        <w:spacing w:line="240" w:lineRule="atLeast"/>
        <w:jc w:val="both"/>
        <w:rPr>
          <w:rFonts w:eastAsia="MS Mincho"/>
        </w:rPr>
      </w:pPr>
      <w:r w:rsidRPr="005621F0">
        <w:rPr>
          <w:rFonts w:eastAsia="MS Mincho"/>
        </w:rPr>
        <w:t xml:space="preserve">EMC requirements and mitigation methods for telecommunications equipment and facility are studied under Question 4/5. The scope includes coexistence of wired and wireless systems and EMC requirements for electrical/electric equipment and telecommunication equipment specifically installed in telecommunication centre. </w:t>
      </w:r>
      <w:r w:rsidR="00D72E01" w:rsidRPr="005621F0">
        <w:rPr>
          <w:rFonts w:eastAsia="MS Mincho"/>
        </w:rPr>
        <w:t>It also includes EMC issues connected with</w:t>
      </w:r>
      <w:r w:rsidR="00624E76" w:rsidRPr="005621F0">
        <w:rPr>
          <w:rFonts w:eastAsia="MS Mincho"/>
        </w:rPr>
        <w:t xml:space="preserve"> the</w:t>
      </w:r>
      <w:r w:rsidR="00D72E01" w:rsidRPr="005621F0">
        <w:rPr>
          <w:rFonts w:eastAsia="MS Mincho"/>
        </w:rPr>
        <w:t xml:space="preserve"> implementation of 5G system and </w:t>
      </w:r>
      <w:r w:rsidR="00624E76" w:rsidRPr="005621F0">
        <w:rPr>
          <w:rFonts w:eastAsia="MS Mincho"/>
        </w:rPr>
        <w:t xml:space="preserve">the </w:t>
      </w:r>
      <w:r w:rsidR="00D72E01" w:rsidRPr="005621F0">
        <w:rPr>
          <w:rFonts w:eastAsia="MS Mincho"/>
        </w:rPr>
        <w:t xml:space="preserve">extension of the frequency range used in mobile communication. </w:t>
      </w:r>
      <w:r w:rsidRPr="005621F0">
        <w:rPr>
          <w:rFonts w:eastAsia="MS Mincho"/>
        </w:rPr>
        <w:t>There is close collaboration with ITU-R SG1, SG5 and SG6, ITU-T SG9, IEC ACEC (Advisory Committee on Electromagnetic Compa</w:t>
      </w:r>
      <w:r w:rsidR="00FE10B6" w:rsidRPr="005621F0">
        <w:rPr>
          <w:rFonts w:eastAsia="MS Mincho"/>
        </w:rPr>
        <w:t>tibility), IEC CISPR and SC77B.</w:t>
      </w:r>
    </w:p>
    <w:p w14:paraId="72AC2AB2" w14:textId="77777777" w:rsidR="00C048EB" w:rsidRPr="005621F0" w:rsidRDefault="00C048EB" w:rsidP="006C677D">
      <w:pPr>
        <w:tabs>
          <w:tab w:val="left" w:pos="1151"/>
        </w:tabs>
        <w:spacing w:line="240" w:lineRule="atLeast"/>
        <w:jc w:val="both"/>
        <w:rPr>
          <w:rFonts w:eastAsia="MS Mincho"/>
        </w:rPr>
      </w:pPr>
      <w:r w:rsidRPr="005621F0">
        <w:rPr>
          <w:bCs/>
        </w:rPr>
        <w:t xml:space="preserve">Q4/5 is currently working on </w:t>
      </w:r>
      <w:r w:rsidR="00C2506D">
        <w:rPr>
          <w:bCs/>
        </w:rPr>
        <w:t xml:space="preserve">nine </w:t>
      </w:r>
      <w:r w:rsidRPr="005621F0">
        <w:rPr>
          <w:bCs/>
        </w:rPr>
        <w:t>work items</w:t>
      </w:r>
      <w:r w:rsidR="00C2506D">
        <w:rPr>
          <w:bCs/>
        </w:rPr>
        <w:t xml:space="preserve">. During the last SG5 meeting, experts agreed to start working on draft Recommendation ITU-T </w:t>
      </w:r>
      <w:proofErr w:type="spellStart"/>
      <w:proofErr w:type="gramStart"/>
      <w:r w:rsidR="00C2506D">
        <w:rPr>
          <w:bCs/>
        </w:rPr>
        <w:t>K.power</w:t>
      </w:r>
      <w:proofErr w:type="gramEnd"/>
      <w:r w:rsidR="00C2506D">
        <w:rPr>
          <w:bCs/>
        </w:rPr>
        <w:t>_emc</w:t>
      </w:r>
      <w:proofErr w:type="spellEnd"/>
      <w:r w:rsidRPr="005621F0">
        <w:rPr>
          <w:bCs/>
        </w:rPr>
        <w:t xml:space="preserve"> </w:t>
      </w:r>
      <w:r w:rsidR="00C2506D">
        <w:rPr>
          <w:bCs/>
        </w:rPr>
        <w:t>“</w:t>
      </w:r>
      <w:r w:rsidR="00C2506D" w:rsidRPr="00C2506D">
        <w:rPr>
          <w:bCs/>
        </w:rPr>
        <w:t>Electromagnetic compatibility requirements for power equipment in telecommunication facilities</w:t>
      </w:r>
      <w:r w:rsidR="00C2506D">
        <w:rPr>
          <w:bCs/>
        </w:rPr>
        <w:t xml:space="preserve">”. </w:t>
      </w:r>
    </w:p>
    <w:p w14:paraId="51EEDF95" w14:textId="77777777" w:rsidR="00B0022E" w:rsidRPr="005621F0" w:rsidRDefault="00D12115" w:rsidP="003371ED">
      <w:pPr>
        <w:keepNext/>
        <w:keepLines/>
        <w:tabs>
          <w:tab w:val="left" w:pos="540"/>
        </w:tabs>
        <w:spacing w:before="360" w:line="240" w:lineRule="atLeast"/>
        <w:jc w:val="both"/>
        <w:rPr>
          <w:rFonts w:eastAsia="MS Mincho"/>
          <w:b/>
        </w:rPr>
      </w:pPr>
      <w:r w:rsidRPr="005621F0">
        <w:rPr>
          <w:b/>
        </w:rPr>
        <w:t>3.5</w:t>
      </w:r>
      <w:r w:rsidRPr="005621F0">
        <w:rPr>
          <w:b/>
        </w:rPr>
        <w:tab/>
        <w:t>Security and reliability of information and communication technology (ICT) systems from electromagnetic and particle radiations</w:t>
      </w:r>
    </w:p>
    <w:p w14:paraId="540426C7" w14:textId="77777777" w:rsidR="00B0022E" w:rsidRPr="005621F0" w:rsidRDefault="00D12115" w:rsidP="003371ED">
      <w:pPr>
        <w:keepNext/>
        <w:keepLines/>
        <w:jc w:val="both"/>
        <w:rPr>
          <w:rFonts w:eastAsia="MS Mincho"/>
        </w:rPr>
      </w:pPr>
      <w:r w:rsidRPr="005621F0">
        <w:rPr>
          <w:rFonts w:eastAsia="MS Mincho"/>
        </w:rPr>
        <w:t xml:space="preserve">Security and reliability of information and communication technology (ICT) systems from electromagnetic and particle radiations are studied under Question 5/5. The Recommendations developed under this Question provide guidance on design and countermeasures against thread of security by lightning, high-altitude electromagnetic pulse (HEMP), </w:t>
      </w:r>
      <w:r w:rsidRPr="005621F0">
        <w:t>high-power electromagnetic</w:t>
      </w:r>
      <w:r w:rsidRPr="005621F0">
        <w:rPr>
          <w:rFonts w:eastAsia="MS Mincho"/>
        </w:rPr>
        <w:t xml:space="preserve"> (HPEM) and information leakage through unintentional emission</w:t>
      </w:r>
      <w:r w:rsidR="003F5FE1" w:rsidRPr="005621F0">
        <w:rPr>
          <w:rFonts w:eastAsia="MS Mincho"/>
        </w:rPr>
        <w:t>.</w:t>
      </w:r>
      <w:r w:rsidRPr="005621F0">
        <w:rPr>
          <w:rFonts w:eastAsia="MS Mincho"/>
        </w:rPr>
        <w:t xml:space="preserve"> There is </w:t>
      </w:r>
      <w:r w:rsidR="00B5092A">
        <w:rPr>
          <w:rFonts w:eastAsia="MS Mincho"/>
        </w:rPr>
        <w:t xml:space="preserve">a </w:t>
      </w:r>
      <w:r w:rsidRPr="005621F0">
        <w:rPr>
          <w:rFonts w:eastAsia="MS Mincho"/>
        </w:rPr>
        <w:t xml:space="preserve">close collaboration </w:t>
      </w:r>
      <w:r w:rsidR="00B5092A">
        <w:rPr>
          <w:rFonts w:eastAsia="MS Mincho"/>
        </w:rPr>
        <w:t>between Question 5/5,</w:t>
      </w:r>
      <w:r w:rsidR="00B5092A" w:rsidRPr="005621F0">
        <w:rPr>
          <w:rFonts w:eastAsia="MS Mincho"/>
        </w:rPr>
        <w:t xml:space="preserve"> </w:t>
      </w:r>
      <w:r w:rsidRPr="005621F0">
        <w:rPr>
          <w:rFonts w:eastAsia="MS Mincho"/>
        </w:rPr>
        <w:t xml:space="preserve">IEC </w:t>
      </w:r>
      <w:r w:rsidR="003F5FE1" w:rsidRPr="005621F0">
        <w:rPr>
          <w:rFonts w:eastAsia="MS Mincho"/>
        </w:rPr>
        <w:t>TC77/</w:t>
      </w:r>
      <w:r w:rsidRPr="005621F0">
        <w:rPr>
          <w:rFonts w:eastAsia="MS Mincho"/>
        </w:rPr>
        <w:t>SC77C and IEC ACEC. The new part of the responsibility covers design, test, and mitigation methods regarding “soft error” caused by particle radiations such as neutron rays and the quality and reliability requirements of telecommunication equipment/system.</w:t>
      </w:r>
    </w:p>
    <w:p w14:paraId="3E507D5B" w14:textId="77777777" w:rsidR="00D04F13" w:rsidRPr="005621F0" w:rsidRDefault="00D04F13" w:rsidP="00D04F13">
      <w:r w:rsidRPr="005621F0">
        <w:rPr>
          <w:bCs/>
        </w:rPr>
        <w:t>Q5/5 is currently working on three work items</w:t>
      </w:r>
      <w:r w:rsidR="005848F4">
        <w:rPr>
          <w:bCs/>
        </w:rPr>
        <w:t xml:space="preserve">. </w:t>
      </w:r>
    </w:p>
    <w:p w14:paraId="30E5D677" w14:textId="77777777" w:rsidR="00B0022E" w:rsidRPr="005621F0" w:rsidRDefault="00D12115">
      <w:pPr>
        <w:tabs>
          <w:tab w:val="left" w:pos="540"/>
        </w:tabs>
        <w:spacing w:before="360" w:line="240" w:lineRule="atLeast"/>
        <w:jc w:val="both"/>
        <w:rPr>
          <w:b/>
        </w:rPr>
      </w:pPr>
      <w:r w:rsidRPr="005621F0">
        <w:rPr>
          <w:b/>
        </w:rPr>
        <w:t>3.6</w:t>
      </w:r>
      <w:r w:rsidRPr="005621F0">
        <w:rPr>
          <w:b/>
        </w:rPr>
        <w:tab/>
        <w:t>Achieving energy efficiency and smart energy</w:t>
      </w:r>
    </w:p>
    <w:p w14:paraId="7C6154DD" w14:textId="77777777" w:rsidR="00B0022E" w:rsidRPr="005621F0" w:rsidRDefault="00D12115">
      <w:pPr>
        <w:tabs>
          <w:tab w:val="left" w:pos="540"/>
        </w:tabs>
        <w:spacing w:line="240" w:lineRule="atLeast"/>
        <w:jc w:val="both"/>
        <w:rPr>
          <w:bCs/>
        </w:rPr>
      </w:pPr>
      <w:r w:rsidRPr="005621F0">
        <w:rPr>
          <w:bCs/>
        </w:rPr>
        <w:t xml:space="preserve">Aspects related to energy efficiency for the ICT sector are </w:t>
      </w:r>
      <w:r w:rsidR="00B5092A">
        <w:rPr>
          <w:bCs/>
        </w:rPr>
        <w:t>studied under</w:t>
      </w:r>
      <w:r w:rsidRPr="005621F0">
        <w:rPr>
          <w:bCs/>
        </w:rPr>
        <w:t xml:space="preserve"> Question 6/5. Q6/5 develops Recommendations and Supplements on energy efficiency solutions</w:t>
      </w:r>
      <w:r w:rsidR="00B5092A">
        <w:rPr>
          <w:bCs/>
        </w:rPr>
        <w:t xml:space="preserve"> and related</w:t>
      </w:r>
      <w:r w:rsidRPr="005621F0">
        <w:rPr>
          <w:bCs/>
        </w:rPr>
        <w:t xml:space="preserve"> methodologies and </w:t>
      </w:r>
      <w:r w:rsidRPr="005621F0">
        <w:rPr>
          <w:bCs/>
        </w:rPr>
        <w:lastRenderedPageBreak/>
        <w:t xml:space="preserve">metrics on </w:t>
      </w:r>
      <w:r w:rsidR="00B5092A">
        <w:rPr>
          <w:bCs/>
        </w:rPr>
        <w:t xml:space="preserve">ICT </w:t>
      </w:r>
      <w:r w:rsidRPr="005621F0">
        <w:rPr>
          <w:bCs/>
        </w:rPr>
        <w:t xml:space="preserve">equipment, </w:t>
      </w:r>
      <w:proofErr w:type="gramStart"/>
      <w:r w:rsidRPr="005621F0">
        <w:rPr>
          <w:bCs/>
        </w:rPr>
        <w:t>networks</w:t>
      </w:r>
      <w:proofErr w:type="gramEnd"/>
      <w:r w:rsidRPr="005621F0">
        <w:rPr>
          <w:bCs/>
        </w:rPr>
        <w:t xml:space="preserve"> and data </w:t>
      </w:r>
      <w:r w:rsidR="00786D91" w:rsidRPr="005621F0">
        <w:rPr>
          <w:bCs/>
        </w:rPr>
        <w:t>centres</w:t>
      </w:r>
      <w:r w:rsidR="00B5092A">
        <w:rPr>
          <w:bCs/>
        </w:rPr>
        <w:t xml:space="preserve"> </w:t>
      </w:r>
      <w:r w:rsidR="00B5092A" w:rsidRPr="005621F0">
        <w:rPr>
          <w:bCs/>
        </w:rPr>
        <w:t>for the ICT sector</w:t>
      </w:r>
      <w:r w:rsidRPr="005621F0">
        <w:rPr>
          <w:bCs/>
        </w:rPr>
        <w:t xml:space="preserve">. It also includes topics on energy </w:t>
      </w:r>
      <w:r w:rsidR="007E1164">
        <w:rPr>
          <w:bCs/>
        </w:rPr>
        <w:t xml:space="preserve">saving </w:t>
      </w:r>
      <w:r w:rsidRPr="005621F0">
        <w:rPr>
          <w:bCs/>
        </w:rPr>
        <w:t>solutions for</w:t>
      </w:r>
      <w:r w:rsidR="00B5092A">
        <w:rPr>
          <w:bCs/>
        </w:rPr>
        <w:t xml:space="preserve"> the wide</w:t>
      </w:r>
      <w:r w:rsidRPr="005621F0">
        <w:rPr>
          <w:bCs/>
        </w:rPr>
        <w:t>spread implementation</w:t>
      </w:r>
      <w:r w:rsidR="00B5092A">
        <w:rPr>
          <w:bCs/>
        </w:rPr>
        <w:t xml:space="preserve"> of ICT network</w:t>
      </w:r>
      <w:r w:rsidRPr="005621F0">
        <w:rPr>
          <w:bCs/>
        </w:rPr>
        <w:t xml:space="preserve"> in order to improve the efficient use of energy and resources including IoT and 5G/IMT-2020 networks.</w:t>
      </w:r>
    </w:p>
    <w:p w14:paraId="3D01A6FC" w14:textId="77777777" w:rsidR="00B0022E" w:rsidRPr="005621F0" w:rsidRDefault="00D12115">
      <w:pPr>
        <w:tabs>
          <w:tab w:val="left" w:pos="540"/>
        </w:tabs>
        <w:spacing w:line="240" w:lineRule="atLeast"/>
        <w:jc w:val="both"/>
        <w:rPr>
          <w:bCs/>
        </w:rPr>
      </w:pPr>
      <w:r w:rsidRPr="005621F0">
        <w:rPr>
          <w:bCs/>
        </w:rPr>
        <w:t xml:space="preserve">The main focus of Q6/5 is to study and develop energy efficiency metrics, KPIs, measurement methods, technical requirements related to ICT infrastructures, guidelines to reduce environmental impacts, </w:t>
      </w:r>
      <w:r w:rsidR="00385C77">
        <w:rPr>
          <w:bCs/>
        </w:rPr>
        <w:t>and</w:t>
      </w:r>
      <w:r w:rsidRPr="005621F0">
        <w:rPr>
          <w:bCs/>
        </w:rPr>
        <w:t xml:space="preserve"> best practices </w:t>
      </w:r>
      <w:r w:rsidR="00385C77">
        <w:rPr>
          <w:bCs/>
        </w:rPr>
        <w:t>on</w:t>
      </w:r>
      <w:r w:rsidR="00385C77" w:rsidRPr="005621F0">
        <w:rPr>
          <w:bCs/>
        </w:rPr>
        <w:t xml:space="preserve"> </w:t>
      </w:r>
      <w:r w:rsidRPr="005621F0">
        <w:rPr>
          <w:bCs/>
        </w:rPr>
        <w:t>low cost and reduced environmental impact solutions.</w:t>
      </w:r>
    </w:p>
    <w:p w14:paraId="036FDF67" w14:textId="77777777" w:rsidR="009863E1" w:rsidRPr="005621F0" w:rsidRDefault="009863E1" w:rsidP="009863E1">
      <w:pPr>
        <w:tabs>
          <w:tab w:val="left" w:pos="540"/>
        </w:tabs>
        <w:spacing w:line="240" w:lineRule="atLeast"/>
        <w:jc w:val="both"/>
        <w:rPr>
          <w:bCs/>
        </w:rPr>
      </w:pPr>
      <w:r w:rsidRPr="005621F0">
        <w:rPr>
          <w:bCs/>
        </w:rPr>
        <w:t xml:space="preserve">Q6/5 also develops Recommendations and Supplements on aspects related to power feeding in an efficient and innovative way in ICT installations with a special focus on issues </w:t>
      </w:r>
      <w:r w:rsidR="00C24503">
        <w:rPr>
          <w:bCs/>
        </w:rPr>
        <w:t>related to</w:t>
      </w:r>
      <w:r w:rsidR="00C24503" w:rsidRPr="005621F0">
        <w:rPr>
          <w:bCs/>
        </w:rPr>
        <w:t xml:space="preserve"> </w:t>
      </w:r>
      <w:r w:rsidR="00C24503">
        <w:rPr>
          <w:bCs/>
        </w:rPr>
        <w:t xml:space="preserve">the </w:t>
      </w:r>
      <w:r w:rsidRPr="005621F0">
        <w:rPr>
          <w:bCs/>
        </w:rPr>
        <w:t xml:space="preserve">powering of 5G/IMT2020 networks. </w:t>
      </w:r>
      <w:r w:rsidR="007E1164">
        <w:rPr>
          <w:bCs/>
        </w:rPr>
        <w:t xml:space="preserve">Smart energy solutions are also considered and developed in </w:t>
      </w:r>
      <w:r w:rsidRPr="005621F0">
        <w:rPr>
          <w:bCs/>
        </w:rPr>
        <w:t>Q6/5</w:t>
      </w:r>
      <w:r w:rsidR="007E1164">
        <w:rPr>
          <w:bCs/>
        </w:rPr>
        <w:t xml:space="preserve">.  In addition, </w:t>
      </w:r>
      <w:r w:rsidR="000B6212">
        <w:rPr>
          <w:bCs/>
        </w:rPr>
        <w:t>Q6/5</w:t>
      </w:r>
      <w:r w:rsidRPr="005621F0">
        <w:rPr>
          <w:bCs/>
        </w:rPr>
        <w:t xml:space="preserve"> </w:t>
      </w:r>
      <w:r w:rsidR="00624E76" w:rsidRPr="005621F0">
        <w:rPr>
          <w:bCs/>
        </w:rPr>
        <w:t>is</w:t>
      </w:r>
      <w:r w:rsidR="007E1164">
        <w:rPr>
          <w:bCs/>
        </w:rPr>
        <w:t xml:space="preserve"> </w:t>
      </w:r>
      <w:r w:rsidRPr="005621F0">
        <w:rPr>
          <w:bCs/>
        </w:rPr>
        <w:t>work</w:t>
      </w:r>
      <w:r w:rsidR="00624E76" w:rsidRPr="005621F0">
        <w:rPr>
          <w:bCs/>
        </w:rPr>
        <w:t>ing</w:t>
      </w:r>
      <w:r w:rsidRPr="005621F0">
        <w:rPr>
          <w:bCs/>
        </w:rPr>
        <w:t xml:space="preserve"> on energy efficiency KPIs to evaluate the efficiency of different networks architecture before their implementation </w:t>
      </w:r>
      <w:r w:rsidR="00624E76" w:rsidRPr="005621F0">
        <w:rPr>
          <w:bCs/>
        </w:rPr>
        <w:t>with a special focus on</w:t>
      </w:r>
      <w:r w:rsidRPr="005621F0">
        <w:rPr>
          <w:bCs/>
        </w:rPr>
        <w:t xml:space="preserve"> 5G </w:t>
      </w:r>
      <w:r w:rsidR="00786D91" w:rsidRPr="005621F0">
        <w:rPr>
          <w:bCs/>
        </w:rPr>
        <w:t>technologies and architectures.</w:t>
      </w:r>
      <w:r w:rsidR="007E1164">
        <w:rPr>
          <w:bCs/>
        </w:rPr>
        <w:t xml:space="preserve"> </w:t>
      </w:r>
    </w:p>
    <w:p w14:paraId="75DA1B53" w14:textId="77777777" w:rsidR="009863E1" w:rsidRPr="005621F0" w:rsidRDefault="009863E1" w:rsidP="009863E1">
      <w:pPr>
        <w:tabs>
          <w:tab w:val="left" w:pos="540"/>
        </w:tabs>
        <w:spacing w:line="240" w:lineRule="atLeast"/>
        <w:jc w:val="both"/>
        <w:rPr>
          <w:bCs/>
        </w:rPr>
      </w:pPr>
      <w:r w:rsidRPr="005621F0">
        <w:rPr>
          <w:bCs/>
        </w:rPr>
        <w:t xml:space="preserve">This </w:t>
      </w:r>
      <w:r w:rsidR="00624E76" w:rsidRPr="005621F0">
        <w:rPr>
          <w:bCs/>
        </w:rPr>
        <w:t>Q</w:t>
      </w:r>
      <w:r w:rsidRPr="005621F0">
        <w:rPr>
          <w:bCs/>
        </w:rPr>
        <w:t xml:space="preserve">uestion </w:t>
      </w:r>
      <w:r w:rsidR="00FE3A9A" w:rsidRPr="005621F0">
        <w:rPr>
          <w:bCs/>
        </w:rPr>
        <w:t xml:space="preserve">also </w:t>
      </w:r>
      <w:r w:rsidRPr="005621F0">
        <w:rPr>
          <w:bCs/>
        </w:rPr>
        <w:t xml:space="preserve">covers </w:t>
      </w:r>
      <w:r w:rsidR="00624E76" w:rsidRPr="005621F0">
        <w:rPr>
          <w:bCs/>
        </w:rPr>
        <w:t>topics related to</w:t>
      </w:r>
      <w:r w:rsidRPr="005621F0">
        <w:rPr>
          <w:bCs/>
        </w:rPr>
        <w:t xml:space="preserve"> </w:t>
      </w:r>
      <w:r w:rsidR="00454F5A" w:rsidRPr="005621F0">
        <w:rPr>
          <w:bCs/>
        </w:rPr>
        <w:t>d</w:t>
      </w:r>
      <w:r w:rsidRPr="005621F0">
        <w:rPr>
          <w:bCs/>
        </w:rPr>
        <w:t>ata centre</w:t>
      </w:r>
      <w:r w:rsidR="00454F5A" w:rsidRPr="005621F0">
        <w:rPr>
          <w:bCs/>
        </w:rPr>
        <w:t>s</w:t>
      </w:r>
      <w:r w:rsidR="00624E76" w:rsidRPr="005621F0">
        <w:rPr>
          <w:bCs/>
        </w:rPr>
        <w:t xml:space="preserve">. It </w:t>
      </w:r>
      <w:r w:rsidR="00FE3A9A" w:rsidRPr="005621F0">
        <w:rPr>
          <w:bCs/>
        </w:rPr>
        <w:t xml:space="preserve">also </w:t>
      </w:r>
      <w:r w:rsidR="00624E76" w:rsidRPr="005621F0">
        <w:rPr>
          <w:bCs/>
        </w:rPr>
        <w:t>studies</w:t>
      </w:r>
      <w:r w:rsidR="00EB7005" w:rsidRPr="005621F0">
        <w:rPr>
          <w:bCs/>
        </w:rPr>
        <w:t xml:space="preserve"> how AI and other emerging technologies can be used to </w:t>
      </w:r>
      <w:r w:rsidR="00C24503">
        <w:rPr>
          <w:bCs/>
        </w:rPr>
        <w:t xml:space="preserve">create </w:t>
      </w:r>
      <w:r w:rsidR="00EB7005" w:rsidRPr="005621F0">
        <w:rPr>
          <w:bCs/>
        </w:rPr>
        <w:t>an</w:t>
      </w:r>
      <w:r w:rsidRPr="005621F0">
        <w:rPr>
          <w:bCs/>
        </w:rPr>
        <w:t xml:space="preserve"> environmental</w:t>
      </w:r>
      <w:r w:rsidR="00EB7005" w:rsidRPr="005621F0">
        <w:rPr>
          <w:bCs/>
        </w:rPr>
        <w:t>ly</w:t>
      </w:r>
      <w:r w:rsidRPr="005621F0">
        <w:rPr>
          <w:bCs/>
        </w:rPr>
        <w:t xml:space="preserve"> friendly supply chain</w:t>
      </w:r>
      <w:r w:rsidR="00EB7005" w:rsidRPr="005621F0">
        <w:rPr>
          <w:bCs/>
        </w:rPr>
        <w:t xml:space="preserve"> and </w:t>
      </w:r>
      <w:r w:rsidRPr="005621F0">
        <w:rPr>
          <w:bCs/>
        </w:rPr>
        <w:t>green infrastructure managemen</w:t>
      </w:r>
      <w:r w:rsidR="00EB7005" w:rsidRPr="005621F0">
        <w:rPr>
          <w:bCs/>
        </w:rPr>
        <w:t>t.</w:t>
      </w:r>
    </w:p>
    <w:p w14:paraId="4B574619" w14:textId="77777777" w:rsidR="006D20F7" w:rsidRPr="005621F0" w:rsidRDefault="006D20F7" w:rsidP="009863E1">
      <w:pPr>
        <w:tabs>
          <w:tab w:val="left" w:pos="540"/>
        </w:tabs>
        <w:spacing w:line="240" w:lineRule="atLeast"/>
        <w:jc w:val="both"/>
        <w:rPr>
          <w:bCs/>
        </w:rPr>
      </w:pPr>
      <w:r w:rsidRPr="005621F0">
        <w:rPr>
          <w:bCs/>
        </w:rPr>
        <w:t xml:space="preserve">Q6/5 is currently working on </w:t>
      </w:r>
      <w:r w:rsidR="005848F4">
        <w:rPr>
          <w:bCs/>
        </w:rPr>
        <w:t>six</w:t>
      </w:r>
      <w:r w:rsidRPr="005621F0">
        <w:rPr>
          <w:bCs/>
        </w:rPr>
        <w:t>teen work items</w:t>
      </w:r>
      <w:r w:rsidR="005848F4">
        <w:rPr>
          <w:bCs/>
        </w:rPr>
        <w:t xml:space="preserve">. During the last SG5 meeting, experts agreed to start working on draft Recommendations: ITU-T </w:t>
      </w:r>
      <w:proofErr w:type="spellStart"/>
      <w:r w:rsidR="005848F4" w:rsidRPr="005848F4">
        <w:rPr>
          <w:bCs/>
        </w:rPr>
        <w:t>L.EE_sgpu</w:t>
      </w:r>
      <w:proofErr w:type="spellEnd"/>
      <w:r w:rsidRPr="005621F0">
        <w:rPr>
          <w:bCs/>
        </w:rPr>
        <w:t xml:space="preserve"> </w:t>
      </w:r>
      <w:r w:rsidR="0046060E">
        <w:rPr>
          <w:bCs/>
        </w:rPr>
        <w:t>“</w:t>
      </w:r>
      <w:r w:rsidR="0046060E" w:rsidRPr="0046060E">
        <w:rPr>
          <w:bCs/>
        </w:rPr>
        <w:t>Energy Efficiency measurement methodology and metrics for servers: Graphical Processor Unit  solution based</w:t>
      </w:r>
      <w:r w:rsidR="0046060E">
        <w:rPr>
          <w:bCs/>
        </w:rPr>
        <w:t xml:space="preserve">”, ITU-T </w:t>
      </w:r>
      <w:r w:rsidR="0046060E" w:rsidRPr="0046060E">
        <w:rPr>
          <w:bCs/>
        </w:rPr>
        <w:t>L.GAL_3</w:t>
      </w:r>
      <w:r w:rsidR="0046060E">
        <w:rPr>
          <w:bCs/>
        </w:rPr>
        <w:t xml:space="preserve"> “</w:t>
      </w:r>
      <w:r w:rsidR="0046060E" w:rsidRPr="0046060E">
        <w:rPr>
          <w:bCs/>
        </w:rPr>
        <w:t>Power management capabilities of the future energy telecommunication fixed network nodes. Enhanced Interface for power management in Network Function Virtualization environments</w:t>
      </w:r>
      <w:r w:rsidR="0046060E">
        <w:rPr>
          <w:bCs/>
        </w:rPr>
        <w:t xml:space="preserve">”, ITU-T </w:t>
      </w:r>
      <w:proofErr w:type="spellStart"/>
      <w:r w:rsidR="0046060E" w:rsidRPr="0046060E">
        <w:rPr>
          <w:bCs/>
        </w:rPr>
        <w:t>L.EE_dse</w:t>
      </w:r>
      <w:proofErr w:type="spellEnd"/>
      <w:r w:rsidR="0046060E">
        <w:rPr>
          <w:bCs/>
        </w:rPr>
        <w:t xml:space="preserve"> “</w:t>
      </w:r>
      <w:r w:rsidR="0046060E" w:rsidRPr="0046060E">
        <w:rPr>
          <w:bCs/>
        </w:rPr>
        <w:t>Energy efficiency metrics and measurement methods for data-storage equipment</w:t>
      </w:r>
      <w:r w:rsidR="0046060E">
        <w:rPr>
          <w:bCs/>
        </w:rPr>
        <w:t xml:space="preserve">”, ITU-T </w:t>
      </w:r>
      <w:proofErr w:type="spellStart"/>
      <w:r w:rsidR="0046060E" w:rsidRPr="0046060E">
        <w:rPr>
          <w:bCs/>
        </w:rPr>
        <w:t>L.EE_serv</w:t>
      </w:r>
      <w:proofErr w:type="spellEnd"/>
      <w:r w:rsidR="0046060E" w:rsidRPr="0046060E">
        <w:rPr>
          <w:bCs/>
        </w:rPr>
        <w:t xml:space="preserve"> “Energy Efficiency measurement methodology and metrics for servers”</w:t>
      </w:r>
      <w:r w:rsidR="0046060E">
        <w:rPr>
          <w:bCs/>
        </w:rPr>
        <w:t xml:space="preserve">, ITU-T </w:t>
      </w:r>
      <w:r w:rsidR="0046060E" w:rsidRPr="0046060E">
        <w:rPr>
          <w:bCs/>
        </w:rPr>
        <w:t>L.10kVAC_up to 400VDC “Specifications of 10kV AC input and up to 400VDC output integrated power system in data centre and telecommunication room”</w:t>
      </w:r>
      <w:r w:rsidR="0046060E">
        <w:rPr>
          <w:bCs/>
        </w:rPr>
        <w:t xml:space="preserve">, ITU-T </w:t>
      </w:r>
      <w:r w:rsidR="0046060E" w:rsidRPr="0046060E">
        <w:rPr>
          <w:bCs/>
        </w:rPr>
        <w:t>L.EE_5G_evo</w:t>
      </w:r>
      <w:r w:rsidR="0046060E">
        <w:rPr>
          <w:bCs/>
        </w:rPr>
        <w:t xml:space="preserve"> “</w:t>
      </w:r>
      <w:r w:rsidR="0046060E" w:rsidRPr="0046060E">
        <w:rPr>
          <w:bCs/>
        </w:rPr>
        <w:t>Assessment of mobile network energy efficiency covering network slicing</w:t>
      </w:r>
      <w:r w:rsidR="0046060E">
        <w:rPr>
          <w:bCs/>
        </w:rPr>
        <w:t xml:space="preserve">”. </w:t>
      </w:r>
    </w:p>
    <w:p w14:paraId="6E290C2A" w14:textId="77777777" w:rsidR="009863E1" w:rsidRPr="005621F0" w:rsidRDefault="0097397A" w:rsidP="009863E1">
      <w:pPr>
        <w:tabs>
          <w:tab w:val="left" w:pos="540"/>
        </w:tabs>
        <w:spacing w:line="240" w:lineRule="atLeast"/>
        <w:jc w:val="both"/>
        <w:rPr>
          <w:bCs/>
        </w:rPr>
      </w:pPr>
      <w:r w:rsidRPr="005621F0">
        <w:rPr>
          <w:bCs/>
        </w:rPr>
        <w:t>Some</w:t>
      </w:r>
      <w:r w:rsidR="009863E1" w:rsidRPr="005621F0">
        <w:rPr>
          <w:bCs/>
        </w:rPr>
        <w:t xml:space="preserve"> of these studies are conducted in collaboration with other relevant entities. SG5 is actively exchanging information with other standard developing organizations such as ETSI and IEC.</w:t>
      </w:r>
    </w:p>
    <w:p w14:paraId="37C4945B" w14:textId="77777777" w:rsidR="00B0022E" w:rsidRPr="005621F0" w:rsidRDefault="00D12115">
      <w:pPr>
        <w:tabs>
          <w:tab w:val="left" w:pos="540"/>
        </w:tabs>
        <w:spacing w:before="360" w:line="240" w:lineRule="atLeast"/>
        <w:jc w:val="both"/>
        <w:rPr>
          <w:b/>
        </w:rPr>
      </w:pPr>
      <w:r w:rsidRPr="005621F0">
        <w:rPr>
          <w:b/>
        </w:rPr>
        <w:t>3.7</w:t>
      </w:r>
      <w:r w:rsidRPr="005621F0">
        <w:rPr>
          <w:b/>
        </w:rPr>
        <w:tab/>
        <w:t>Circular economy including e-waste</w:t>
      </w:r>
    </w:p>
    <w:p w14:paraId="0B7C2C85" w14:textId="77777777" w:rsidR="00493587" w:rsidRPr="005621F0" w:rsidRDefault="009863E1" w:rsidP="00FE3A9A">
      <w:pPr>
        <w:tabs>
          <w:tab w:val="left" w:pos="540"/>
        </w:tabs>
        <w:spacing w:line="240" w:lineRule="atLeast"/>
        <w:jc w:val="both"/>
        <w:rPr>
          <w:bCs/>
        </w:rPr>
      </w:pPr>
      <w:r w:rsidRPr="005621F0">
        <w:rPr>
          <w:bCs/>
        </w:rPr>
        <w:t>Circular economy including e-waste is studied by Q</w:t>
      </w:r>
      <w:r w:rsidR="00FE3A9A" w:rsidRPr="005621F0">
        <w:rPr>
          <w:bCs/>
        </w:rPr>
        <w:t xml:space="preserve">uestion </w:t>
      </w:r>
      <w:r w:rsidRPr="005621F0">
        <w:rPr>
          <w:bCs/>
        </w:rPr>
        <w:t xml:space="preserve">7/5. The activities under this Question aim at developing Recommendations for the reduction and management of e-waste with the objective of reducing </w:t>
      </w:r>
      <w:r w:rsidR="00EB11EE" w:rsidRPr="005621F0">
        <w:rPr>
          <w:bCs/>
        </w:rPr>
        <w:t>the</w:t>
      </w:r>
      <w:r w:rsidR="00C24503">
        <w:rPr>
          <w:bCs/>
        </w:rPr>
        <w:t xml:space="preserve"> overall</w:t>
      </w:r>
      <w:r w:rsidR="00EB11EE" w:rsidRPr="005621F0">
        <w:rPr>
          <w:bCs/>
        </w:rPr>
        <w:t xml:space="preserve"> </w:t>
      </w:r>
      <w:r w:rsidRPr="005621F0">
        <w:rPr>
          <w:bCs/>
        </w:rPr>
        <w:t>environment</w:t>
      </w:r>
      <w:r w:rsidR="00EB11EE" w:rsidRPr="005621F0">
        <w:rPr>
          <w:bCs/>
        </w:rPr>
        <w:t xml:space="preserve"> </w:t>
      </w:r>
      <w:r w:rsidR="00C24503">
        <w:rPr>
          <w:bCs/>
        </w:rPr>
        <w:t xml:space="preserve">impacts of e-waste </w:t>
      </w:r>
      <w:r w:rsidR="00EB11EE" w:rsidRPr="005621F0">
        <w:rPr>
          <w:bCs/>
        </w:rPr>
        <w:t>and</w:t>
      </w:r>
      <w:r w:rsidRPr="005621F0">
        <w:rPr>
          <w:bCs/>
        </w:rPr>
        <w:t xml:space="preserve"> providing guidance to reduce e-waste </w:t>
      </w:r>
      <w:r w:rsidR="00C24503">
        <w:rPr>
          <w:bCs/>
        </w:rPr>
        <w:t>generation</w:t>
      </w:r>
      <w:r w:rsidRPr="005621F0">
        <w:rPr>
          <w:bCs/>
        </w:rPr>
        <w:t xml:space="preserve">. </w:t>
      </w:r>
      <w:r w:rsidR="001A2139" w:rsidRPr="005621F0">
        <w:rPr>
          <w:bCs/>
        </w:rPr>
        <w:t xml:space="preserve">Q7/5 also focuses on the development of </w:t>
      </w:r>
      <w:r w:rsidRPr="005621F0">
        <w:rPr>
          <w:bCs/>
        </w:rPr>
        <w:t xml:space="preserve">Recommendations and Supplements on Circular Economy in order to promote the transition to </w:t>
      </w:r>
      <w:r w:rsidR="00A664DA">
        <w:rPr>
          <w:bCs/>
        </w:rPr>
        <w:t xml:space="preserve">Circular Economy within the ICT sector and </w:t>
      </w:r>
      <w:r w:rsidR="00F845F1">
        <w:rPr>
          <w:bCs/>
        </w:rPr>
        <w:t xml:space="preserve">develop </w:t>
      </w:r>
      <w:r w:rsidRPr="005621F0">
        <w:rPr>
          <w:bCs/>
        </w:rPr>
        <w:t>more environmentally friendly ICT solutions.</w:t>
      </w:r>
      <w:r w:rsidR="00FE3A9A" w:rsidRPr="005621F0">
        <w:rPr>
          <w:bCs/>
        </w:rPr>
        <w:t xml:space="preserve"> </w:t>
      </w:r>
    </w:p>
    <w:p w14:paraId="35C4AC67" w14:textId="77777777" w:rsidR="00FE3A9A" w:rsidRPr="005621F0" w:rsidRDefault="00FE3A9A" w:rsidP="00FE3A9A">
      <w:pPr>
        <w:tabs>
          <w:tab w:val="left" w:pos="540"/>
        </w:tabs>
        <w:spacing w:line="240" w:lineRule="atLeast"/>
        <w:jc w:val="both"/>
        <w:rPr>
          <w:bCs/>
        </w:rPr>
      </w:pPr>
      <w:r w:rsidRPr="005621F0">
        <w:rPr>
          <w:bCs/>
        </w:rPr>
        <w:t>Q</w:t>
      </w:r>
      <w:r w:rsidR="00493587" w:rsidRPr="005621F0">
        <w:rPr>
          <w:bCs/>
        </w:rPr>
        <w:t>7/5</w:t>
      </w:r>
      <w:r w:rsidRPr="005621F0">
        <w:rPr>
          <w:bCs/>
        </w:rPr>
        <w:t xml:space="preserve"> also aims to study and develop Recommendations on evaluating the implications of 5G/IMT2020 and</w:t>
      </w:r>
      <w:r w:rsidR="00566901">
        <w:rPr>
          <w:bCs/>
        </w:rPr>
        <w:t xml:space="preserve"> the</w:t>
      </w:r>
      <w:r w:rsidRPr="005621F0">
        <w:rPr>
          <w:bCs/>
        </w:rPr>
        <w:t xml:space="preserve"> spread ICT networks especially on </w:t>
      </w:r>
      <w:r w:rsidR="0021517E">
        <w:rPr>
          <w:bCs/>
        </w:rPr>
        <w:t xml:space="preserve">the </w:t>
      </w:r>
      <w:r w:rsidRPr="005621F0">
        <w:rPr>
          <w:bCs/>
        </w:rPr>
        <w:t>e-waste and circular economy aspects.</w:t>
      </w:r>
    </w:p>
    <w:p w14:paraId="5516CD33" w14:textId="77777777" w:rsidR="00B51A3A" w:rsidRDefault="00B51A3A" w:rsidP="009863E1">
      <w:pPr>
        <w:tabs>
          <w:tab w:val="left" w:pos="540"/>
        </w:tabs>
        <w:spacing w:line="240" w:lineRule="atLeast"/>
        <w:jc w:val="both"/>
        <w:rPr>
          <w:bCs/>
        </w:rPr>
      </w:pPr>
      <w:r w:rsidRPr="005621F0">
        <w:rPr>
          <w:bCs/>
        </w:rPr>
        <w:t xml:space="preserve">Q7/5 is </w:t>
      </w:r>
      <w:r w:rsidRPr="00E47FCB">
        <w:rPr>
          <w:bCs/>
        </w:rPr>
        <w:t xml:space="preserve">currently working on </w:t>
      </w:r>
      <w:r w:rsidR="0046060E" w:rsidRPr="00E47FCB">
        <w:rPr>
          <w:bCs/>
        </w:rPr>
        <w:t>eighteen</w:t>
      </w:r>
      <w:r w:rsidRPr="00E47FCB">
        <w:rPr>
          <w:bCs/>
        </w:rPr>
        <w:t xml:space="preserve"> work items</w:t>
      </w:r>
      <w:r w:rsidR="0046060E" w:rsidRPr="00E47FCB">
        <w:rPr>
          <w:bCs/>
        </w:rPr>
        <w:t xml:space="preserve">. During the last </w:t>
      </w:r>
      <w:r w:rsidR="00D3712E" w:rsidRPr="00E47FCB">
        <w:rPr>
          <w:bCs/>
        </w:rPr>
        <w:t xml:space="preserve">SG5 meeting, experts agreed to start working ITU-T </w:t>
      </w:r>
      <w:proofErr w:type="spellStart"/>
      <w:r w:rsidR="00D3712E" w:rsidRPr="00E47FCB">
        <w:rPr>
          <w:lang w:eastAsia="zh-CN"/>
        </w:rPr>
        <w:t>L.HL_e</w:t>
      </w:r>
      <w:proofErr w:type="spellEnd"/>
      <w:r w:rsidR="00D3712E" w:rsidRPr="00E47FCB">
        <w:rPr>
          <w:lang w:eastAsia="zh-CN"/>
        </w:rPr>
        <w:t xml:space="preserve">-waste “Guide for the institutions of higher learning to contribute in the effective management of e-waste”, ITU-T L.E-waste-collection “Guidelines on the collection, pre-treatment, dismantling, </w:t>
      </w:r>
      <w:proofErr w:type="spellStart"/>
      <w:r w:rsidR="00D3712E" w:rsidRPr="00E47FCB">
        <w:rPr>
          <w:lang w:eastAsia="zh-CN"/>
        </w:rPr>
        <w:t>valourization</w:t>
      </w:r>
      <w:proofErr w:type="spellEnd"/>
      <w:r w:rsidR="00D3712E" w:rsidRPr="00E47FCB">
        <w:rPr>
          <w:lang w:eastAsia="zh-CN"/>
        </w:rPr>
        <w:t xml:space="preserve"> and final disposal of WEEE”, ITU-T </w:t>
      </w:r>
      <w:proofErr w:type="spellStart"/>
      <w:r w:rsidR="00D3712E" w:rsidRPr="00E47FCB">
        <w:rPr>
          <w:lang w:eastAsia="zh-CN"/>
        </w:rPr>
        <w:t>L.Mat_frame</w:t>
      </w:r>
      <w:proofErr w:type="spellEnd"/>
      <w:r w:rsidR="00D3712E" w:rsidRPr="00E47FCB">
        <w:rPr>
          <w:lang w:eastAsia="zh-CN"/>
        </w:rPr>
        <w:t xml:space="preserve"> “Assessment of material efficiency of ICT network goods Circular economy - Part 1 General for server and data-storage equipment”, ITU-T L.ME_DD “Assessment of material efficiency of ICT network infrastructure goods (circular economy)- Part - 2: server and data-storage product secure data-deletion functionality”, ITU-T </w:t>
      </w:r>
      <w:r w:rsidR="00E47FCB" w:rsidRPr="00E47FCB">
        <w:rPr>
          <w:lang w:eastAsia="zh-CN"/>
        </w:rPr>
        <w:t xml:space="preserve">L.ME_AF “Assessment of material efficiency of ICT network infrastructure goods (circular economy) part 3- server and data-storage product availability of firmware and of security updates to firmware”, ITU-T </w:t>
      </w:r>
      <w:r w:rsidR="00E47FCB" w:rsidRPr="00E47FCB">
        <w:t>L.ME_RM “Assessment of material efficiency of ICT network infrastructure goods (circular economy) part 4- server and data-storage product critical raw materials”</w:t>
      </w:r>
      <w:r w:rsidR="00E47FCB" w:rsidRPr="00E47FCB">
        <w:rPr>
          <w:bCs/>
        </w:rPr>
        <w:t xml:space="preserve">, </w:t>
      </w:r>
      <w:r w:rsidR="00E47FCB">
        <w:rPr>
          <w:bCs/>
        </w:rPr>
        <w:lastRenderedPageBreak/>
        <w:t xml:space="preserve">and </w:t>
      </w:r>
      <w:r w:rsidR="00E47FCB" w:rsidRPr="00E47FCB">
        <w:rPr>
          <w:bCs/>
        </w:rPr>
        <w:t>ITU-T L.ME_DIS “Assessment of material efficiency of ICT network infrastructure goods (circular economy) part 5- server and data-storage product disassembly and disassembly instruction”.</w:t>
      </w:r>
      <w:r w:rsidR="00E47FCB">
        <w:rPr>
          <w:bCs/>
        </w:rPr>
        <w:t xml:space="preserve"> </w:t>
      </w:r>
    </w:p>
    <w:p w14:paraId="66CAF8F0" w14:textId="77777777" w:rsidR="00E47FCB" w:rsidRPr="005621F0" w:rsidRDefault="00E47FCB" w:rsidP="009863E1">
      <w:pPr>
        <w:tabs>
          <w:tab w:val="left" w:pos="540"/>
        </w:tabs>
        <w:spacing w:line="240" w:lineRule="atLeast"/>
        <w:jc w:val="both"/>
        <w:rPr>
          <w:bCs/>
        </w:rPr>
      </w:pPr>
      <w:r w:rsidRPr="005621F0">
        <w:rPr>
          <w:bCs/>
        </w:rPr>
        <w:t>Some of these studies are conducted in collaboration with</w:t>
      </w:r>
      <w:r>
        <w:rPr>
          <w:bCs/>
        </w:rPr>
        <w:t xml:space="preserve"> ETSI TC EE.</w:t>
      </w:r>
    </w:p>
    <w:p w14:paraId="13BD001C" w14:textId="77777777" w:rsidR="00B0022E" w:rsidRPr="005621F0" w:rsidRDefault="00D12115">
      <w:pPr>
        <w:tabs>
          <w:tab w:val="left" w:pos="540"/>
        </w:tabs>
        <w:spacing w:before="360" w:line="240" w:lineRule="atLeast"/>
        <w:jc w:val="both"/>
        <w:rPr>
          <w:b/>
        </w:rPr>
      </w:pPr>
      <w:r w:rsidRPr="005621F0">
        <w:rPr>
          <w:b/>
        </w:rPr>
        <w:t>3.8</w:t>
      </w:r>
      <w:r w:rsidRPr="005621F0">
        <w:rPr>
          <w:b/>
        </w:rPr>
        <w:tab/>
        <w:t>Climate change and assessment of information and communication technology (ICT) in the framework of the Sustainable Development Goals (SDGs)</w:t>
      </w:r>
    </w:p>
    <w:p w14:paraId="54B9DB62" w14:textId="77777777" w:rsidR="009863E1" w:rsidRPr="005621F0" w:rsidRDefault="009863E1" w:rsidP="009863E1">
      <w:pPr>
        <w:keepNext/>
        <w:tabs>
          <w:tab w:val="left" w:pos="1151"/>
        </w:tabs>
        <w:spacing w:line="240" w:lineRule="atLeast"/>
        <w:jc w:val="both"/>
      </w:pPr>
      <w:r w:rsidRPr="005621F0">
        <w:t>The activities on climate change and assessment of information and communication technology (ICT) in the framework of the Sustainable Development Goals (SDGs) fall under Q</w:t>
      </w:r>
      <w:r w:rsidR="00493587" w:rsidRPr="005621F0">
        <w:t xml:space="preserve">uestion </w:t>
      </w:r>
      <w:r w:rsidRPr="005621F0">
        <w:t>9/5. Q9/5 develop</w:t>
      </w:r>
      <w:r w:rsidR="00AF4ACE" w:rsidRPr="005621F0">
        <w:t>s</w:t>
      </w:r>
      <w:r w:rsidRPr="005621F0">
        <w:t xml:space="preserve"> assessment methodologies that allow </w:t>
      </w:r>
      <w:r w:rsidR="00964479">
        <w:t xml:space="preserve">the </w:t>
      </w:r>
      <w:r w:rsidRPr="005621F0">
        <w:t>objective, transparent and practical assessments of the sustainability impacts of information and communication technologies (ICTs). It also aims to study how environmental assessments may be used in the frame</w:t>
      </w:r>
      <w:r w:rsidR="00AF4ACE" w:rsidRPr="005621F0">
        <w:t>work</w:t>
      </w:r>
      <w:r w:rsidRPr="005621F0">
        <w:t xml:space="preserve"> of broader sustainable development assessments including economic, </w:t>
      </w:r>
      <w:proofErr w:type="gramStart"/>
      <w:r w:rsidRPr="005621F0">
        <w:t>environmental</w:t>
      </w:r>
      <w:proofErr w:type="gramEnd"/>
      <w:r w:rsidRPr="005621F0">
        <w:t xml:space="preserve"> and social assessments. Q9/5 also covers the topic of resilient </w:t>
      </w:r>
      <w:r w:rsidR="006A5236" w:rsidRPr="005621F0">
        <w:t>ICTs, which</w:t>
      </w:r>
      <w:r w:rsidRPr="005621F0">
        <w:t xml:space="preserve"> will</w:t>
      </w:r>
      <w:r w:rsidR="00964479" w:rsidRPr="005621F0">
        <w:t xml:space="preserve"> </w:t>
      </w:r>
      <w:r w:rsidR="00964479">
        <w:t>include their ability</w:t>
      </w:r>
      <w:r w:rsidRPr="005621F0">
        <w:t xml:space="preserve"> to collect data </w:t>
      </w:r>
      <w:r w:rsidR="00964479">
        <w:t>on</w:t>
      </w:r>
      <w:r w:rsidR="00964479" w:rsidRPr="005621F0">
        <w:t xml:space="preserve"> </w:t>
      </w:r>
      <w:r w:rsidRPr="005621F0">
        <w:t xml:space="preserve">climate (such as temperature, humidity, </w:t>
      </w:r>
      <w:proofErr w:type="gramStart"/>
      <w:r w:rsidRPr="005621F0">
        <w:t>precipitation</w:t>
      </w:r>
      <w:proofErr w:type="gramEnd"/>
      <w:r w:rsidRPr="005621F0">
        <w:t xml:space="preserve"> and sea level changes).</w:t>
      </w:r>
    </w:p>
    <w:p w14:paraId="792214B1" w14:textId="77777777" w:rsidR="009863E1" w:rsidRPr="005621F0" w:rsidRDefault="009863E1" w:rsidP="009863E1">
      <w:pPr>
        <w:keepNext/>
        <w:tabs>
          <w:tab w:val="left" w:pos="1151"/>
        </w:tabs>
        <w:spacing w:line="240" w:lineRule="atLeast"/>
        <w:jc w:val="both"/>
      </w:pPr>
      <w:r w:rsidRPr="005621F0">
        <w:t>This Question also aims to identify best practices in setting up low cost climate change adaptive infrastructure in all areas</w:t>
      </w:r>
      <w:r w:rsidR="00964479">
        <w:t xml:space="preserve"> and</w:t>
      </w:r>
      <w:r w:rsidRPr="005621F0">
        <w:t xml:space="preserve"> </w:t>
      </w:r>
      <w:r w:rsidR="00964479">
        <w:t>m</w:t>
      </w:r>
      <w:r w:rsidRPr="005621F0">
        <w:t xml:space="preserve">ainstreaming adaptation to climate change </w:t>
      </w:r>
      <w:r w:rsidR="00964479">
        <w:t>using</w:t>
      </w:r>
      <w:r w:rsidR="00964479" w:rsidRPr="005621F0">
        <w:t xml:space="preserve"> </w:t>
      </w:r>
      <w:r w:rsidRPr="005621F0">
        <w:t>ICTs at the point of manufacture.</w:t>
      </w:r>
      <w:r w:rsidR="00C1356C" w:rsidRPr="005621F0">
        <w:t xml:space="preserve"> Q9/5 focuses also on topics related to climate neutrality and biodiversity. </w:t>
      </w:r>
    </w:p>
    <w:p w14:paraId="2B80BF31" w14:textId="77777777" w:rsidR="00B51A3A" w:rsidRPr="005621F0" w:rsidRDefault="00B51A3A" w:rsidP="009863E1">
      <w:pPr>
        <w:keepNext/>
        <w:tabs>
          <w:tab w:val="left" w:pos="1151"/>
        </w:tabs>
        <w:spacing w:line="240" w:lineRule="atLeast"/>
        <w:jc w:val="both"/>
        <w:rPr>
          <w:bCs/>
        </w:rPr>
      </w:pPr>
      <w:r w:rsidRPr="005621F0">
        <w:rPr>
          <w:bCs/>
        </w:rPr>
        <w:t xml:space="preserve">Q9/5 is currently working on </w:t>
      </w:r>
      <w:r w:rsidR="00E47FCB">
        <w:rPr>
          <w:bCs/>
        </w:rPr>
        <w:t>four</w:t>
      </w:r>
      <w:r w:rsidRPr="005621F0">
        <w:rPr>
          <w:bCs/>
        </w:rPr>
        <w:t xml:space="preserve"> work items including: </w:t>
      </w:r>
      <w:r w:rsidR="00E47FCB">
        <w:rPr>
          <w:bCs/>
        </w:rPr>
        <w:t xml:space="preserve">ITU-T </w:t>
      </w:r>
      <w:proofErr w:type="spellStart"/>
      <w:r w:rsidR="00E47FCB" w:rsidRPr="00E47FCB">
        <w:rPr>
          <w:bCs/>
        </w:rPr>
        <w:t>L.Sup.TrajectoriesManSupp</w:t>
      </w:r>
      <w:proofErr w:type="spellEnd"/>
      <w:r w:rsidRPr="005621F0">
        <w:rPr>
          <w:bCs/>
        </w:rPr>
        <w:t xml:space="preserve"> “</w:t>
      </w:r>
      <w:r w:rsidR="00E47FCB" w:rsidRPr="00E47FCB">
        <w:rPr>
          <w:bCs/>
        </w:rPr>
        <w:t>Guidance to ICT manufacturers and ICT suppliers on setting 1.5°C aligned targets compliant with Recommendation ITU-T L.1470</w:t>
      </w:r>
      <w:r w:rsidRPr="005621F0">
        <w:rPr>
          <w:bCs/>
        </w:rPr>
        <w:t>”</w:t>
      </w:r>
      <w:r w:rsidR="00E47FCB">
        <w:rPr>
          <w:bCs/>
        </w:rPr>
        <w:t xml:space="preserve">, ITU-T </w:t>
      </w:r>
      <w:proofErr w:type="spellStart"/>
      <w:r w:rsidR="00E47FCB" w:rsidRPr="00E47FCB">
        <w:rPr>
          <w:bCs/>
        </w:rPr>
        <w:t>L.SupDecarbonisation</w:t>
      </w:r>
      <w:proofErr w:type="spellEnd"/>
      <w:r w:rsidR="00E47FCB" w:rsidRPr="00E47FCB">
        <w:rPr>
          <w:bCs/>
        </w:rPr>
        <w:t xml:space="preserve"> </w:t>
      </w:r>
      <w:r w:rsidR="00E47FCB">
        <w:rPr>
          <w:bCs/>
        </w:rPr>
        <w:t>“</w:t>
      </w:r>
      <w:r w:rsidR="00E47FCB" w:rsidRPr="00E47FCB">
        <w:rPr>
          <w:bCs/>
        </w:rPr>
        <w:t>Decarbonisation strategies to implement Recommendation ITU-T L.1470 trajectories</w:t>
      </w:r>
      <w:r w:rsidR="00E47FCB">
        <w:rPr>
          <w:bCs/>
        </w:rPr>
        <w:t xml:space="preserve">” and ITU-T </w:t>
      </w:r>
      <w:proofErr w:type="spellStart"/>
      <w:r w:rsidR="00E47FCB" w:rsidRPr="00E47FCB">
        <w:rPr>
          <w:bCs/>
        </w:rPr>
        <w:t>L.Sup.Enablement</w:t>
      </w:r>
      <w:proofErr w:type="spellEnd"/>
      <w:r w:rsidR="00E47FCB" w:rsidRPr="00E47FCB">
        <w:rPr>
          <w:bCs/>
        </w:rPr>
        <w:t xml:space="preserve"> </w:t>
      </w:r>
      <w:r w:rsidR="00E47FCB">
        <w:rPr>
          <w:bCs/>
        </w:rPr>
        <w:t>“</w:t>
      </w:r>
      <w:r w:rsidR="00E47FCB" w:rsidRPr="00E47FCB">
        <w:rPr>
          <w:bCs/>
        </w:rPr>
        <w:t>GHG emissions reductions enabled by actual implementation of ICT projects</w:t>
      </w:r>
      <w:r w:rsidR="00E47FCB">
        <w:rPr>
          <w:bCs/>
        </w:rPr>
        <w:t xml:space="preserve">”. </w:t>
      </w:r>
    </w:p>
    <w:p w14:paraId="05337C11" w14:textId="77777777" w:rsidR="003E71D8" w:rsidRDefault="00C1356C" w:rsidP="00EE6AB1">
      <w:pPr>
        <w:jc w:val="both"/>
        <w:rPr>
          <w:bCs/>
        </w:rPr>
      </w:pPr>
      <w:r w:rsidRPr="005621F0">
        <w:rPr>
          <w:bCs/>
        </w:rPr>
        <w:t xml:space="preserve">The Supplement on </w:t>
      </w:r>
      <w:proofErr w:type="spellStart"/>
      <w:proofErr w:type="gramStart"/>
      <w:r w:rsidR="00E47FCB" w:rsidRPr="00E47FCB">
        <w:rPr>
          <w:bCs/>
        </w:rPr>
        <w:t>L.Sup.TrajectoriesManSupp</w:t>
      </w:r>
      <w:proofErr w:type="spellEnd"/>
      <w:proofErr w:type="gramEnd"/>
      <w:r w:rsidRPr="005621F0">
        <w:rPr>
          <w:bCs/>
        </w:rPr>
        <w:t xml:space="preserve"> is being developed in collaboration with GSMA, </w:t>
      </w:r>
      <w:proofErr w:type="spellStart"/>
      <w:r w:rsidRPr="005621F0">
        <w:rPr>
          <w:bCs/>
        </w:rPr>
        <w:t>GeSI</w:t>
      </w:r>
      <w:proofErr w:type="spellEnd"/>
      <w:r w:rsidRPr="005621F0">
        <w:rPr>
          <w:bCs/>
        </w:rPr>
        <w:t>, SBTi and IEA.</w:t>
      </w:r>
    </w:p>
    <w:p w14:paraId="232B53AC" w14:textId="77777777" w:rsidR="008B2E55" w:rsidRPr="005621F0" w:rsidRDefault="008B2E55" w:rsidP="00EE6AB1">
      <w:pPr>
        <w:jc w:val="both"/>
        <w:rPr>
          <w:b/>
        </w:rPr>
      </w:pPr>
      <w:r w:rsidRPr="005621F0">
        <w:rPr>
          <w:b/>
        </w:rPr>
        <w:t>3.9</w:t>
      </w:r>
      <w:r w:rsidRPr="005621F0">
        <w:rPr>
          <w:b/>
        </w:rPr>
        <w:tab/>
        <w:t>Guides and terminology on environment and climate change</w:t>
      </w:r>
    </w:p>
    <w:p w14:paraId="5035A980" w14:textId="77777777" w:rsidR="008B2E55" w:rsidRPr="005621F0" w:rsidRDefault="008B2E55" w:rsidP="00EE6AB1">
      <w:pPr>
        <w:jc w:val="both"/>
      </w:pPr>
      <w:r w:rsidRPr="005621F0">
        <w:t>The activities on the development of Guides and terminology on environment and climate change fall under Q</w:t>
      </w:r>
      <w:r w:rsidR="00776277" w:rsidRPr="005621F0">
        <w:t xml:space="preserve">uestion </w:t>
      </w:r>
      <w:r w:rsidRPr="005621F0">
        <w:t>8/5.</w:t>
      </w:r>
    </w:p>
    <w:p w14:paraId="35B4804C" w14:textId="77777777" w:rsidR="008B2E55" w:rsidRPr="005621F0" w:rsidRDefault="008B2E55" w:rsidP="008B2E55">
      <w:pPr>
        <w:jc w:val="both"/>
      </w:pPr>
      <w:r w:rsidRPr="005621F0">
        <w:t>Q8/5 is task</w:t>
      </w:r>
      <w:r w:rsidR="0027279C" w:rsidRPr="005621F0">
        <w:t>ed</w:t>
      </w:r>
      <w:r w:rsidRPr="005621F0">
        <w:t xml:space="preserve"> to work on all terms, definitions, abbreviations, letter symbols and schematic symbols used in the ITU-T Study Group 5 Recommendations, Supplements, Handbooks and Directives; harmonize with terminology used by other parties outside of ITU-T Study Group 5;</w:t>
      </w:r>
      <w:r w:rsidR="006576EE" w:rsidRPr="005621F0">
        <w:t xml:space="preserve"> and l</w:t>
      </w:r>
      <w:r w:rsidRPr="005621F0">
        <w:t>iaise with other bodies regarding terminology used in the Study Group 5 Recommendations</w:t>
      </w:r>
      <w:r w:rsidR="006576EE" w:rsidRPr="005621F0">
        <w:t>, among others.</w:t>
      </w:r>
    </w:p>
    <w:p w14:paraId="68AAB38E" w14:textId="77777777" w:rsidR="00B51A3A" w:rsidRPr="005621F0" w:rsidRDefault="00B51A3A" w:rsidP="008B2E55">
      <w:pPr>
        <w:jc w:val="both"/>
      </w:pPr>
      <w:r w:rsidRPr="005621F0">
        <w:rPr>
          <w:bCs/>
        </w:rPr>
        <w:t>Q8/5 is currently working on four work items including: Guide to the K &amp; relevant L-series Recommendations “Extension of the Guide to cover relevant L-series Recommendations”; Mitigation Handbook - Additional case studies “Additional case studies to be added”; Terminology Handbook “Extension of the Terminology Handbook to cover relevant L-series terminologies” and Terminology Handbook - web version “Web version of the Terminology Handbook”.</w:t>
      </w:r>
    </w:p>
    <w:p w14:paraId="77B74784" w14:textId="77777777" w:rsidR="006576EE" w:rsidRPr="005621F0" w:rsidRDefault="006576EE" w:rsidP="008B2E55">
      <w:pPr>
        <w:jc w:val="both"/>
      </w:pPr>
      <w:r w:rsidRPr="005621F0">
        <w:t>Q8/5 works closely with ITU-T Standardization Committee for Vocabulary</w:t>
      </w:r>
      <w:r w:rsidR="00C7728B" w:rsidRPr="005621F0">
        <w:t xml:space="preserve"> (SCV)</w:t>
      </w:r>
      <w:r w:rsidRPr="005621F0">
        <w:t>.</w:t>
      </w:r>
    </w:p>
    <w:p w14:paraId="4D3F9999" w14:textId="77777777" w:rsidR="00B0022E" w:rsidRPr="005621F0" w:rsidRDefault="00D12115">
      <w:pPr>
        <w:keepLines/>
        <w:spacing w:before="240"/>
        <w:jc w:val="both"/>
        <w:rPr>
          <w:b/>
        </w:rPr>
      </w:pPr>
      <w:r w:rsidRPr="005621F0">
        <w:rPr>
          <w:b/>
          <w:bCs/>
        </w:rPr>
        <w:t>4</w:t>
      </w:r>
      <w:r w:rsidRPr="005621F0">
        <w:rPr>
          <w:b/>
          <w:bCs/>
        </w:rPr>
        <w:tab/>
      </w:r>
      <w:r w:rsidRPr="005621F0">
        <w:rPr>
          <w:b/>
        </w:rPr>
        <w:t>Collaboration with other SGs and external organizations</w:t>
      </w:r>
    </w:p>
    <w:p w14:paraId="1BF46C29" w14:textId="77777777" w:rsidR="00B0022E" w:rsidRPr="005621F0" w:rsidRDefault="00D12115">
      <w:pPr>
        <w:jc w:val="both"/>
        <w:rPr>
          <w:rFonts w:eastAsia="MS Mincho"/>
        </w:rPr>
      </w:pPr>
      <w:r w:rsidRPr="005621F0">
        <w:rPr>
          <w:rFonts w:eastAsia="MS Mincho"/>
        </w:rPr>
        <w:t>WP1/5 maintains collaboration with ITU-T SG15 on conformance and interoperability, IEC TC81 and CENELEC TC 81X on lightning protection, IEC TC 108 on safety (especially on remote power feeding), IEC SC 37A and 37B on surge protective devices, IEC SC 77B on high frequency transients, and ETSI ERM on lightning protection, CIGRÉ, CIRED and UIC on power frequency interference, IEC TC 64 on safety (protection against electric shock), and IEEE PES SP</w:t>
      </w:r>
      <w:r w:rsidR="00E12F95" w:rsidRPr="005621F0">
        <w:rPr>
          <w:rFonts w:eastAsia="MS Mincho"/>
        </w:rPr>
        <w:t>DC on surge protective devices.</w:t>
      </w:r>
      <w:r w:rsidR="00E47FCB">
        <w:rPr>
          <w:rFonts w:eastAsia="MS Mincho"/>
        </w:rPr>
        <w:t xml:space="preserve"> </w:t>
      </w:r>
    </w:p>
    <w:p w14:paraId="0AE611C0" w14:textId="77777777" w:rsidR="00B0022E" w:rsidRPr="005621F0" w:rsidRDefault="00D12115">
      <w:pPr>
        <w:jc w:val="both"/>
        <w:rPr>
          <w:rFonts w:eastAsia="MS Mincho"/>
        </w:rPr>
      </w:pPr>
      <w:r w:rsidRPr="005621F0">
        <w:rPr>
          <w:rFonts w:eastAsia="MS Mincho"/>
        </w:rPr>
        <w:lastRenderedPageBreak/>
        <w:t xml:space="preserve">It also maintains collaboration with </w:t>
      </w:r>
      <w:r w:rsidR="00484A21" w:rsidRPr="005621F0">
        <w:rPr>
          <w:rFonts w:eastAsia="MS Mincho"/>
        </w:rPr>
        <w:t xml:space="preserve">ITU-T </w:t>
      </w:r>
      <w:r w:rsidRPr="005621F0">
        <w:rPr>
          <w:rFonts w:eastAsia="MS Mincho"/>
        </w:rPr>
        <w:t xml:space="preserve">SG9 and ITU-R WP1A, </w:t>
      </w:r>
      <w:r w:rsidR="00525997" w:rsidRPr="005621F0">
        <w:rPr>
          <w:rFonts w:eastAsia="MS Mincho"/>
        </w:rPr>
        <w:t xml:space="preserve">WP1C, WP4A, </w:t>
      </w:r>
      <w:r w:rsidRPr="005621F0">
        <w:rPr>
          <w:rFonts w:eastAsia="MS Mincho"/>
        </w:rPr>
        <w:t xml:space="preserve">WP4C, </w:t>
      </w:r>
      <w:r w:rsidR="00525997" w:rsidRPr="005621F0">
        <w:rPr>
          <w:rFonts w:eastAsia="MS Mincho"/>
        </w:rPr>
        <w:t>WP5A,</w:t>
      </w:r>
      <w:r w:rsidRPr="005621F0">
        <w:rPr>
          <w:rFonts w:eastAsia="MS Mincho"/>
        </w:rPr>
        <w:t xml:space="preserve"> WP5B</w:t>
      </w:r>
      <w:r w:rsidR="00525997" w:rsidRPr="005621F0">
        <w:rPr>
          <w:rFonts w:eastAsia="MS Mincho"/>
        </w:rPr>
        <w:t xml:space="preserve">, WP5C, WP5D </w:t>
      </w:r>
      <w:r w:rsidR="00E12F95" w:rsidRPr="005621F0">
        <w:rPr>
          <w:rFonts w:eastAsia="MS Mincho"/>
        </w:rPr>
        <w:t>and</w:t>
      </w:r>
      <w:r w:rsidR="00525997" w:rsidRPr="005621F0">
        <w:rPr>
          <w:rFonts w:eastAsia="MS Mincho"/>
        </w:rPr>
        <w:t xml:space="preserve"> WP6A</w:t>
      </w:r>
      <w:r w:rsidRPr="005621F0">
        <w:rPr>
          <w:rFonts w:eastAsia="MS Mincho"/>
        </w:rPr>
        <w:t xml:space="preserve"> on EMC issues; with ITU-D, WHO, ICNRIP and IEC TC106 on topics on assessment of human exposure to electromagnetic fields (RF EMF); with </w:t>
      </w:r>
      <w:r w:rsidR="00E12F95" w:rsidRPr="005621F0">
        <w:rPr>
          <w:rFonts w:eastAsia="MS Mincho"/>
        </w:rPr>
        <w:t xml:space="preserve">ITU-T </w:t>
      </w:r>
      <w:r w:rsidRPr="005621F0">
        <w:rPr>
          <w:rFonts w:eastAsia="MS Mincho"/>
        </w:rPr>
        <w:t xml:space="preserve">SG17 and IEC SC77C on topics on </w:t>
      </w:r>
      <w:r w:rsidR="00AF4ACE" w:rsidRPr="005621F0">
        <w:rPr>
          <w:rFonts w:eastAsia="MS Mincho"/>
        </w:rPr>
        <w:t>s</w:t>
      </w:r>
      <w:r w:rsidRPr="005621F0">
        <w:rPr>
          <w:rFonts w:eastAsia="MS Mincho"/>
        </w:rPr>
        <w:t xml:space="preserve">ecurity of telecommunication and information systems concerning the electromagnetic environment. WP1/5 </w:t>
      </w:r>
      <w:r w:rsidR="00AF4ACE" w:rsidRPr="005621F0">
        <w:rPr>
          <w:rFonts w:eastAsia="MS Mincho"/>
        </w:rPr>
        <w:t>collaborates also</w:t>
      </w:r>
      <w:r w:rsidRPr="005621F0">
        <w:rPr>
          <w:rFonts w:eastAsia="MS Mincho"/>
        </w:rPr>
        <w:t xml:space="preserve"> with </w:t>
      </w:r>
      <w:r w:rsidR="00E12F95" w:rsidRPr="005621F0">
        <w:rPr>
          <w:rFonts w:eastAsia="MS Mincho"/>
        </w:rPr>
        <w:t xml:space="preserve">ITU-T </w:t>
      </w:r>
      <w:r w:rsidRPr="005621F0">
        <w:rPr>
          <w:rFonts w:eastAsia="MS Mincho"/>
        </w:rPr>
        <w:t>SG12,</w:t>
      </w:r>
      <w:r w:rsidR="003F5FE1" w:rsidRPr="005621F0">
        <w:rPr>
          <w:rFonts w:eastAsia="MS Mincho"/>
        </w:rPr>
        <w:t xml:space="preserve"> </w:t>
      </w:r>
      <w:r w:rsidRPr="005621F0">
        <w:rPr>
          <w:rFonts w:eastAsia="MS Mincho"/>
        </w:rPr>
        <w:t>IEC TC47 and IEC TC 107 for studies on soft error by particle radiations. Additionally, WP1/5 exchange</w:t>
      </w:r>
      <w:r w:rsidR="00AF4ACE" w:rsidRPr="005621F0">
        <w:rPr>
          <w:rFonts w:eastAsia="MS Mincho"/>
        </w:rPr>
        <w:t>s</w:t>
      </w:r>
      <w:r w:rsidRPr="005621F0">
        <w:rPr>
          <w:rFonts w:eastAsia="MS Mincho"/>
        </w:rPr>
        <w:t xml:space="preserve"> information with IEC SC77B, SC77C, TC106 and CISPR through liaison</w:t>
      </w:r>
      <w:r w:rsidR="00AF4ACE" w:rsidRPr="005621F0">
        <w:rPr>
          <w:rFonts w:eastAsia="MS Mincho"/>
        </w:rPr>
        <w:t>s</w:t>
      </w:r>
      <w:r w:rsidRPr="005621F0">
        <w:rPr>
          <w:rFonts w:eastAsia="MS Mincho"/>
        </w:rPr>
        <w:t xml:space="preserve"> with IEC ACEC. WP1/5 also maintains collaboration with CISPR/I.</w:t>
      </w:r>
    </w:p>
    <w:p w14:paraId="3743B6B6" w14:textId="77777777" w:rsidR="00B0022E" w:rsidRPr="005621F0" w:rsidRDefault="00D12115">
      <w:pPr>
        <w:jc w:val="both"/>
      </w:pPr>
      <w:r w:rsidRPr="005621F0">
        <w:t>WP2/5 maintains close collaboration with ETSI TC EE, ITU-T SG11; ITU-T SG2; FAO</w:t>
      </w:r>
      <w:r w:rsidR="0048745D" w:rsidRPr="005621F0">
        <w:t xml:space="preserve">, </w:t>
      </w:r>
      <w:r w:rsidRPr="005621F0">
        <w:t xml:space="preserve"> and the World Bank on ICTs and adaptation to the effects of climate change topics; with IEC SEG4 on advance and low impact power feeding solutions and with</w:t>
      </w:r>
      <w:r w:rsidR="008C4487" w:rsidRPr="005621F0">
        <w:t xml:space="preserve"> </w:t>
      </w:r>
      <w:r w:rsidRPr="005621F0">
        <w:t xml:space="preserve">3GPP; </w:t>
      </w:r>
      <w:r w:rsidR="008C4487" w:rsidRPr="005621F0">
        <w:t xml:space="preserve">ATIS; </w:t>
      </w:r>
      <w:r w:rsidRPr="005621F0">
        <w:t xml:space="preserve">CCSA; </w:t>
      </w:r>
      <w:r w:rsidR="008C4487" w:rsidRPr="005621F0">
        <w:t xml:space="preserve">CEDARE; ETNO; </w:t>
      </w:r>
      <w:r w:rsidRPr="005621F0">
        <w:t xml:space="preserve">ETSI EE; ETSI TC ATTM, </w:t>
      </w:r>
      <w:r w:rsidR="008C4487" w:rsidRPr="005621F0">
        <w:t xml:space="preserve">FG AI4H; FG ML5G; FG NET2030; FG-VM; </w:t>
      </w:r>
      <w:r w:rsidRPr="005621F0">
        <w:t xml:space="preserve">ISO; IEC; IEEE; CEN/CLC/JTC 10; JCA-IMT2020; </w:t>
      </w:r>
      <w:r w:rsidR="008C4487" w:rsidRPr="005621F0">
        <w:t xml:space="preserve">JCA-IoT and SC&amp;C; </w:t>
      </w:r>
      <w:r w:rsidRPr="005621F0">
        <w:t>ITU-T SG2; ITU-T SG3; ITU-T SG9; ITU-T SG11; ITU-T SG12; ITU-T SG13; ITU-T SG15; ITU-T SG16; ITU-T SG17</w:t>
      </w:r>
      <w:r w:rsidR="008C4487" w:rsidRPr="005621F0">
        <w:t xml:space="preserve">; </w:t>
      </w:r>
      <w:r w:rsidRPr="005621F0">
        <w:t>ITU-T SG20</w:t>
      </w:r>
      <w:r w:rsidR="008C4487" w:rsidRPr="005621F0">
        <w:t xml:space="preserve"> and SCV</w:t>
      </w:r>
      <w:r w:rsidRPr="005621F0">
        <w:t xml:space="preserve"> on e-waste management, energy efficiency, circular economy and other green ICT standard topics.</w:t>
      </w:r>
      <w:r w:rsidR="004C34D3">
        <w:t xml:space="preserve"> WP2/5 is establishing collaboration with ISO TC323 “Circular Economy”.</w:t>
      </w:r>
    </w:p>
    <w:p w14:paraId="3BC5344B" w14:textId="77777777" w:rsidR="00272C04" w:rsidRDefault="0048745D">
      <w:pPr>
        <w:jc w:val="both"/>
      </w:pPr>
      <w:r w:rsidRPr="005621F0">
        <w:t xml:space="preserve">Additionally, WP2/5 collaborates closely with GSMA, GESI, SBTi and IEA on the topics related to </w:t>
      </w:r>
      <w:r w:rsidR="0051443C" w:rsidRPr="005621F0">
        <w:t>GHG emissions trajectories for the ICT sector.</w:t>
      </w:r>
      <w:r w:rsidR="00272C04">
        <w:t xml:space="preserve"> </w:t>
      </w:r>
      <w:r w:rsidR="006576EE" w:rsidRPr="005621F0">
        <w:t>ITU-T SG5 collaborate</w:t>
      </w:r>
      <w:r w:rsidR="00AF4ACE" w:rsidRPr="005621F0">
        <w:t>s</w:t>
      </w:r>
      <w:r w:rsidR="006576EE" w:rsidRPr="005621F0">
        <w:t xml:space="preserve"> and cooperate</w:t>
      </w:r>
      <w:r w:rsidR="00AF4ACE" w:rsidRPr="005621F0">
        <w:t>s</w:t>
      </w:r>
      <w:r w:rsidR="006576EE" w:rsidRPr="005621F0">
        <w:t xml:space="preserve"> with the Basel Convention and UNIDO on e-waste management</w:t>
      </w:r>
      <w:r w:rsidR="00BD56A4">
        <w:t xml:space="preserve">. Additionally, SG5 is working together with UNIDO in a project </w:t>
      </w:r>
      <w:r w:rsidR="006576EE" w:rsidRPr="005621F0">
        <w:t>in Latin America</w:t>
      </w:r>
      <w:r w:rsidR="00BD56A4">
        <w:t xml:space="preserve"> in the implementation of the Recommendations on e-waste management</w:t>
      </w:r>
      <w:r w:rsidR="006576EE" w:rsidRPr="005621F0">
        <w:t>.</w:t>
      </w:r>
      <w:r w:rsidR="00272C04">
        <w:t xml:space="preserve"> </w:t>
      </w:r>
    </w:p>
    <w:p w14:paraId="1773E25D" w14:textId="77777777" w:rsidR="00272C04" w:rsidRDefault="00272C04" w:rsidP="00F56E43">
      <w:pPr>
        <w:pStyle w:val="ListParagraph"/>
        <w:ind w:left="0"/>
        <w:contextualSpacing w:val="0"/>
        <w:rPr>
          <w:lang w:eastAsia="en-US"/>
        </w:rPr>
      </w:pPr>
      <w:r>
        <w:t xml:space="preserve">ITU-T SG5 recently worked with the Basel Convention, Climate KIC and other partners  to include ITU’s green ICT standards in </w:t>
      </w:r>
      <w:hyperlink r:id="rId21" w:history="1">
        <w:r>
          <w:rPr>
            <w:rStyle w:val="Hyperlink"/>
          </w:rPr>
          <w:t>the world’s first Massive Open Online Course (MOOC) on e-waste management</w:t>
        </w:r>
      </w:hyperlink>
      <w:r>
        <w:t xml:space="preserve">, which include lessons on the role of ICT standardization in circular economy. </w:t>
      </w:r>
    </w:p>
    <w:p w14:paraId="53BFB757" w14:textId="77777777" w:rsidR="006576EE" w:rsidRPr="005621F0" w:rsidRDefault="00272C04">
      <w:pPr>
        <w:jc w:val="both"/>
      </w:pPr>
      <w:r>
        <w:t>ITU-T SG5 is currently part of the Circular Economy Partnership</w:t>
      </w:r>
      <w:r w:rsidRPr="00272C04">
        <w:t xml:space="preserve"> which is being led by the WBCSD. This partnership aims to drive a coordinated transition towards an economically viable circular industry that maximizes value of products and materials throughout the full life cycle, using safe and fair </w:t>
      </w:r>
      <w:proofErr w:type="spellStart"/>
      <w:r w:rsidRPr="00272C04">
        <w:t>labor</w:t>
      </w:r>
      <w:proofErr w:type="spellEnd"/>
      <w:r w:rsidRPr="00272C04">
        <w:t xml:space="preserve">, and depending only on circular resources. Leveraging circular design principles, closed loop and data-driven systems, responsible business models and advanced partnership, the industry will transition to a new normal with greater positive environmental and social impact throughout the entire value chain. The work of the CEP is being carried out in 6 pathway which are: Circular Design, Demand for Circular Products, Distribution and use of circular products, Take-back &amp; collection, Reverse Supply Chains and Recycling &amp; Sourcing. The other partners of the initiative </w:t>
      </w:r>
      <w:r w:rsidR="00964479">
        <w:t>include</w:t>
      </w:r>
      <w:r w:rsidR="00964479" w:rsidRPr="00272C04">
        <w:t xml:space="preserve"> </w:t>
      </w:r>
      <w:r w:rsidRPr="00272C04">
        <w:t xml:space="preserve">WEF, PACE, Green Electronics Council, Responsible Business Alliance and </w:t>
      </w:r>
      <w:proofErr w:type="spellStart"/>
      <w:r w:rsidRPr="00272C04">
        <w:t>GeSI</w:t>
      </w:r>
      <w:proofErr w:type="spellEnd"/>
      <w:r w:rsidRPr="00272C04">
        <w:t>.</w:t>
      </w:r>
    </w:p>
    <w:p w14:paraId="7CE96F3A" w14:textId="77777777" w:rsidR="00FF3677" w:rsidRPr="00272C04" w:rsidRDefault="00FF3677">
      <w:pPr>
        <w:keepNext/>
        <w:keepLines/>
        <w:tabs>
          <w:tab w:val="left" w:pos="567"/>
        </w:tabs>
        <w:spacing w:before="240"/>
        <w:jc w:val="both"/>
        <w:rPr>
          <w:b/>
          <w:bCs/>
        </w:rPr>
      </w:pPr>
      <w:r w:rsidRPr="005621F0">
        <w:rPr>
          <w:b/>
          <w:bCs/>
        </w:rPr>
        <w:t>5</w:t>
      </w:r>
      <w:r w:rsidRPr="005621F0">
        <w:rPr>
          <w:b/>
          <w:bCs/>
        </w:rPr>
        <w:tab/>
      </w:r>
      <w:r w:rsidRPr="00272C04">
        <w:rPr>
          <w:b/>
          <w:bCs/>
        </w:rPr>
        <w:t>ITU-T Study Group 5 Regional Groups</w:t>
      </w:r>
    </w:p>
    <w:p w14:paraId="225CF01E" w14:textId="77777777" w:rsidR="00FF3677" w:rsidRPr="00272C04" w:rsidRDefault="00FF3677" w:rsidP="00437BC7">
      <w:r w:rsidRPr="00272C04">
        <w:t>ITU-T Study Group 5 has the following Regional Groups:</w:t>
      </w:r>
    </w:p>
    <w:p w14:paraId="6274860A" w14:textId="77777777" w:rsidR="00E6734C" w:rsidRPr="00272C04" w:rsidRDefault="008D5EE5" w:rsidP="00C73EF0">
      <w:pPr>
        <w:numPr>
          <w:ilvl w:val="0"/>
          <w:numId w:val="2"/>
        </w:numPr>
        <w:ind w:left="425" w:hanging="425"/>
        <w:jc w:val="both"/>
        <w:rPr>
          <w:color w:val="0000FF"/>
          <w:u w:val="single"/>
        </w:rPr>
      </w:pPr>
      <w:hyperlink r:id="rId22" w:history="1">
        <w:r w:rsidR="00E6734C" w:rsidRPr="00272C04">
          <w:rPr>
            <w:rStyle w:val="Hyperlink"/>
          </w:rPr>
          <w:t>SG5 Regional Group for the Africa Region</w:t>
        </w:r>
      </w:hyperlink>
      <w:r w:rsidR="00E6734C" w:rsidRPr="00272C04">
        <w:t xml:space="preserve"> (SG5RG-AFR) held its first meeting in Zanzibar, Tanzania on 9 April 2018.</w:t>
      </w:r>
      <w:r w:rsidR="00DB7D19" w:rsidRPr="00272C04">
        <w:t xml:space="preserve"> The second meeting </w:t>
      </w:r>
      <w:r w:rsidR="002108B2" w:rsidRPr="00272C04">
        <w:t>was held</w:t>
      </w:r>
      <w:r w:rsidR="00DB7D19" w:rsidRPr="00272C04">
        <w:t xml:space="preserve"> on 29-30 August 2019</w:t>
      </w:r>
      <w:r w:rsidR="002108B2" w:rsidRPr="00272C04">
        <w:t xml:space="preserve"> in Abuja, Nigeria</w:t>
      </w:r>
      <w:r w:rsidR="00F63B3C" w:rsidRPr="00272C04">
        <w:t xml:space="preserve">, during the </w:t>
      </w:r>
      <w:hyperlink r:id="rId23" w:history="1">
        <w:r w:rsidR="00F63B3C" w:rsidRPr="00272C04">
          <w:rPr>
            <w:rStyle w:val="Hyperlink"/>
          </w:rPr>
          <w:t>1</w:t>
        </w:r>
        <w:r w:rsidR="00F63B3C" w:rsidRPr="00272C04">
          <w:rPr>
            <w:rStyle w:val="Hyperlink"/>
            <w:vertAlign w:val="superscript"/>
          </w:rPr>
          <w:t>st</w:t>
        </w:r>
        <w:r w:rsidR="00F63B3C" w:rsidRPr="00272C04">
          <w:rPr>
            <w:rStyle w:val="Hyperlink"/>
          </w:rPr>
          <w:t xml:space="preserve"> Digital African Week</w:t>
        </w:r>
      </w:hyperlink>
      <w:r w:rsidR="00DB7D19" w:rsidRPr="00272C04">
        <w:t>.</w:t>
      </w:r>
    </w:p>
    <w:p w14:paraId="2B4710FD" w14:textId="77777777" w:rsidR="00E6734C" w:rsidRPr="00272C04" w:rsidRDefault="008D5EE5" w:rsidP="00C73EF0">
      <w:pPr>
        <w:numPr>
          <w:ilvl w:val="0"/>
          <w:numId w:val="2"/>
        </w:numPr>
        <w:ind w:left="425" w:hanging="425"/>
        <w:jc w:val="both"/>
        <w:rPr>
          <w:color w:val="0000FF"/>
          <w:u w:val="single"/>
        </w:rPr>
      </w:pPr>
      <w:hyperlink r:id="rId24" w:history="1">
        <w:r w:rsidR="00E6734C" w:rsidRPr="00272C04">
          <w:rPr>
            <w:rStyle w:val="Hyperlink"/>
          </w:rPr>
          <w:t>SG5 Regional Group for the Arab Region</w:t>
        </w:r>
      </w:hyperlink>
      <w:r w:rsidR="00E6734C" w:rsidRPr="00272C04">
        <w:t xml:space="preserve"> (SG5RG-ARB) held its first meeting in Zanzibar, Tanzania on 10 April 2018. The second meeting </w:t>
      </w:r>
      <w:r w:rsidR="00DB7D19" w:rsidRPr="00272C04">
        <w:t>was</w:t>
      </w:r>
      <w:r w:rsidR="00E6734C" w:rsidRPr="00272C04">
        <w:t xml:space="preserve"> held on 18 December 2018 in </w:t>
      </w:r>
      <w:proofErr w:type="gramStart"/>
      <w:r w:rsidR="00E6734C" w:rsidRPr="00272C04">
        <w:t>Kuwait city</w:t>
      </w:r>
      <w:proofErr w:type="gramEnd"/>
      <w:r w:rsidR="00E6734C" w:rsidRPr="00272C04">
        <w:t>, Kuwait.</w:t>
      </w:r>
    </w:p>
    <w:p w14:paraId="60638E34" w14:textId="77777777" w:rsidR="00E6734C" w:rsidRPr="00272C04" w:rsidRDefault="008D5EE5" w:rsidP="00C73EF0">
      <w:pPr>
        <w:numPr>
          <w:ilvl w:val="0"/>
          <w:numId w:val="2"/>
        </w:numPr>
        <w:ind w:left="425" w:hanging="425"/>
        <w:jc w:val="both"/>
        <w:rPr>
          <w:color w:val="0000FF"/>
          <w:u w:val="single"/>
        </w:rPr>
      </w:pPr>
      <w:hyperlink r:id="rId25" w:history="1">
        <w:r w:rsidR="00E6734C" w:rsidRPr="00272C04">
          <w:rPr>
            <w:rStyle w:val="Hyperlink"/>
          </w:rPr>
          <w:t xml:space="preserve">SG5 Regional Group for </w:t>
        </w:r>
        <w:r w:rsidR="00062240" w:rsidRPr="00272C04">
          <w:rPr>
            <w:rStyle w:val="Hyperlink"/>
          </w:rPr>
          <w:t>Latin America</w:t>
        </w:r>
      </w:hyperlink>
      <w:r w:rsidR="00062240" w:rsidRPr="00272C04">
        <w:t xml:space="preserve"> (SG5RG-LATAM) held its first meeting in Cartagena de </w:t>
      </w:r>
      <w:proofErr w:type="spellStart"/>
      <w:r w:rsidR="00062240" w:rsidRPr="00272C04">
        <w:t>Indias</w:t>
      </w:r>
      <w:proofErr w:type="spellEnd"/>
      <w:r w:rsidR="00062240" w:rsidRPr="00272C04">
        <w:t xml:space="preserve">, Colombia on 19 April 2018. </w:t>
      </w:r>
      <w:r w:rsidR="00C73EF0" w:rsidRPr="00272C04">
        <w:t xml:space="preserve">The </w:t>
      </w:r>
      <w:r w:rsidR="00062240" w:rsidRPr="00272C04">
        <w:t>second meeting was held on 24 October 2018 in Bogotá, Colombia.</w:t>
      </w:r>
    </w:p>
    <w:p w14:paraId="665347FD" w14:textId="77777777" w:rsidR="00A835A7" w:rsidRPr="00272C04" w:rsidRDefault="008D5EE5" w:rsidP="00C73EF0">
      <w:pPr>
        <w:numPr>
          <w:ilvl w:val="0"/>
          <w:numId w:val="2"/>
        </w:numPr>
        <w:ind w:left="425" w:hanging="425"/>
        <w:jc w:val="both"/>
      </w:pPr>
      <w:hyperlink r:id="rId26" w:history="1">
        <w:r w:rsidR="00062240" w:rsidRPr="00272C04">
          <w:rPr>
            <w:rStyle w:val="Hyperlink"/>
          </w:rPr>
          <w:t>SG5 Regional Group for Asia and the Pacific</w:t>
        </w:r>
      </w:hyperlink>
      <w:r w:rsidR="00062240" w:rsidRPr="00272C04">
        <w:t xml:space="preserve"> (SG5RG-AP) will h</w:t>
      </w:r>
      <w:r w:rsidR="00F26645" w:rsidRPr="00272C04">
        <w:t>o</w:t>
      </w:r>
      <w:r w:rsidR="00062240" w:rsidRPr="00272C04">
        <w:t xml:space="preserve">ld its first </w:t>
      </w:r>
      <w:r w:rsidR="003E71D8" w:rsidRPr="00272C04">
        <w:t xml:space="preserve">virtual </w:t>
      </w:r>
      <w:r w:rsidR="00062240" w:rsidRPr="00272C04">
        <w:t xml:space="preserve">meeting </w:t>
      </w:r>
      <w:r w:rsidR="003E71D8" w:rsidRPr="00272C04">
        <w:t>on 29 and 30 September</w:t>
      </w:r>
      <w:r w:rsidR="00062240" w:rsidRPr="00272C04">
        <w:t xml:space="preserve"> </w:t>
      </w:r>
      <w:r w:rsidR="00EE6AB1" w:rsidRPr="00272C04">
        <w:t>2020</w:t>
      </w:r>
      <w:r w:rsidR="00062240" w:rsidRPr="00272C04">
        <w:t>.</w:t>
      </w:r>
    </w:p>
    <w:p w14:paraId="23FDB2B7" w14:textId="77777777" w:rsidR="00A835A7" w:rsidRPr="00272C04" w:rsidRDefault="00A835A7" w:rsidP="003F24A0">
      <w:pPr>
        <w:keepNext/>
        <w:keepLines/>
        <w:spacing w:after="240"/>
        <w:rPr>
          <w:b/>
          <w:bCs/>
        </w:rPr>
      </w:pPr>
      <w:r w:rsidRPr="00272C04">
        <w:rPr>
          <w:b/>
          <w:bCs/>
        </w:rPr>
        <w:lastRenderedPageBreak/>
        <w:t>6</w:t>
      </w:r>
      <w:r w:rsidRPr="00272C04">
        <w:rPr>
          <w:b/>
          <w:bCs/>
        </w:rPr>
        <w:tab/>
        <w:t>Focus Group on "Environmental Efficiency for Artificial Intelligence and other Emerging Technologies" (FG-AI4EE)</w:t>
      </w:r>
    </w:p>
    <w:p w14:paraId="56BDEF58" w14:textId="77777777" w:rsidR="008F552B" w:rsidRPr="00272C04" w:rsidRDefault="00A835A7" w:rsidP="00A542B5">
      <w:pPr>
        <w:spacing w:after="240"/>
        <w:jc w:val="both"/>
        <w:rPr>
          <w:lang w:val="en-CA"/>
        </w:rPr>
      </w:pPr>
      <w:r w:rsidRPr="00272C04">
        <w:rPr>
          <w:b/>
        </w:rPr>
        <w:t xml:space="preserve">The first meeting of the FG-AI4EE </w:t>
      </w:r>
      <w:r w:rsidR="008F552B" w:rsidRPr="00272C04">
        <w:rPr>
          <w:b/>
        </w:rPr>
        <w:t>took place</w:t>
      </w:r>
      <w:r w:rsidR="00502A3B" w:rsidRPr="00272C04">
        <w:rPr>
          <w:b/>
        </w:rPr>
        <w:t xml:space="preserve"> </w:t>
      </w:r>
      <w:r w:rsidRPr="00272C04">
        <w:rPr>
          <w:b/>
        </w:rPr>
        <w:t xml:space="preserve">on </w:t>
      </w:r>
      <w:r w:rsidR="008F552B" w:rsidRPr="00272C04">
        <w:rPr>
          <w:b/>
        </w:rPr>
        <w:t>12 December</w:t>
      </w:r>
      <w:r w:rsidRPr="00272C04">
        <w:rPr>
          <w:b/>
        </w:rPr>
        <w:t xml:space="preserve"> 2019 in Vienna, Austria</w:t>
      </w:r>
      <w:r w:rsidRPr="00272C04">
        <w:t xml:space="preserve"> at the kind invitation of </w:t>
      </w:r>
      <w:r w:rsidR="00044A8C" w:rsidRPr="00272C04">
        <w:t>the Federal Ministry of Transport, Innovation and Technology</w:t>
      </w:r>
      <w:r w:rsidR="00AF4ACE" w:rsidRPr="00272C04">
        <w:t xml:space="preserve"> of Austria</w:t>
      </w:r>
      <w:r w:rsidRPr="00272C04">
        <w:t xml:space="preserve">. </w:t>
      </w:r>
      <w:r w:rsidR="00044A8C" w:rsidRPr="00272C04">
        <w:t xml:space="preserve">The FG-AI4EE meeting </w:t>
      </w:r>
      <w:r w:rsidR="008F552B" w:rsidRPr="00272C04">
        <w:t>was</w:t>
      </w:r>
      <w:r w:rsidRPr="00272C04">
        <w:t xml:space="preserve"> preceded by </w:t>
      </w:r>
      <w:r w:rsidR="008F552B" w:rsidRPr="00272C04">
        <w:t>the</w:t>
      </w:r>
      <w:r w:rsidRPr="00272C04">
        <w:t xml:space="preserve"> </w:t>
      </w:r>
      <w:hyperlink r:id="rId27" w:history="1">
        <w:r w:rsidRPr="00272C04">
          <w:rPr>
            <w:rStyle w:val="Hyperlink"/>
          </w:rPr>
          <w:t>Forum on “Environmental Efficiency for Artificial Intelligence and other Emerging Technologies</w:t>
        </w:r>
        <w:r w:rsidR="00044A8C" w:rsidRPr="00272C04">
          <w:rPr>
            <w:rStyle w:val="Hyperlink"/>
          </w:rPr>
          <w:t>”</w:t>
        </w:r>
      </w:hyperlink>
      <w:r w:rsidR="008F552B" w:rsidRPr="00272C04">
        <w:t xml:space="preserve">. </w:t>
      </w:r>
      <w:r w:rsidR="008F552B" w:rsidRPr="00272C04">
        <w:rPr>
          <w:lang w:val="en-CA"/>
        </w:rPr>
        <w:t xml:space="preserve">Additionally, the </w:t>
      </w:r>
      <w:hyperlink r:id="rId28" w:tgtFrame="_blank" w:history="1">
        <w:r w:rsidR="008F552B" w:rsidRPr="00272C04">
          <w:rPr>
            <w:rStyle w:val="Hyperlink"/>
          </w:rPr>
          <w:t>1st Meeting of the Thematic Group on the United for Smart Sustainable City Index</w:t>
        </w:r>
      </w:hyperlink>
      <w:r w:rsidR="008F552B" w:rsidRPr="00272C04">
        <w:rPr>
          <w:lang w:val="en-CA"/>
        </w:rPr>
        <w:t xml:space="preserve"> took place on 13 December 2019 in Vienna, Austria. </w:t>
      </w:r>
    </w:p>
    <w:p w14:paraId="4F93ED24" w14:textId="77777777" w:rsidR="0048745D" w:rsidRPr="00272C04" w:rsidRDefault="00E0390F" w:rsidP="00A542B5">
      <w:pPr>
        <w:spacing w:after="240"/>
        <w:jc w:val="both"/>
        <w:rPr>
          <w:lang w:val="en-CA"/>
        </w:rPr>
      </w:pPr>
      <w:r w:rsidRPr="00272C04">
        <w:rPr>
          <w:lang w:val="en-CA"/>
        </w:rPr>
        <w:t>The FG-AI4EE has the following structure</w:t>
      </w:r>
      <w:r w:rsidR="0051443C" w:rsidRPr="00272C04">
        <w:rPr>
          <w:lang w:val="en-CA"/>
        </w:rPr>
        <w:t xml:space="preserve"> and will work on over 20 deliverables</w:t>
      </w:r>
      <w:r w:rsidRPr="00272C04">
        <w:rPr>
          <w:lang w:val="en-CA"/>
        </w:rPr>
        <w:t>:</w:t>
      </w:r>
    </w:p>
    <w:p w14:paraId="78FD66AD" w14:textId="77777777" w:rsidR="00E0390F" w:rsidRPr="00272C04" w:rsidRDefault="00E0390F" w:rsidP="00E0390F">
      <w:pPr>
        <w:pStyle w:val="ListParagraph"/>
        <w:numPr>
          <w:ilvl w:val="0"/>
          <w:numId w:val="16"/>
        </w:numPr>
        <w:spacing w:after="240"/>
        <w:jc w:val="both"/>
        <w:rPr>
          <w:lang w:val="en-CA"/>
        </w:rPr>
      </w:pPr>
      <w:r w:rsidRPr="00272C04">
        <w:rPr>
          <w:b/>
          <w:bCs/>
          <w:lang w:val="en-CA"/>
        </w:rPr>
        <w:t>Working Group 1</w:t>
      </w:r>
      <w:r w:rsidRPr="00272C04">
        <w:rPr>
          <w:lang w:val="en-CA"/>
        </w:rPr>
        <w:t xml:space="preserve"> - Requirements of AI and other Emerging Technologies to Ensure Environmental Efficiency.</w:t>
      </w:r>
    </w:p>
    <w:p w14:paraId="2C58EA91" w14:textId="77777777" w:rsidR="00E0390F" w:rsidRPr="00272C04" w:rsidRDefault="00E0390F" w:rsidP="00E0390F">
      <w:pPr>
        <w:pStyle w:val="ListParagraph"/>
        <w:numPr>
          <w:ilvl w:val="0"/>
          <w:numId w:val="16"/>
        </w:numPr>
        <w:spacing w:after="240"/>
        <w:jc w:val="both"/>
        <w:rPr>
          <w:lang w:val="en-CA"/>
        </w:rPr>
      </w:pPr>
      <w:r w:rsidRPr="00272C04">
        <w:rPr>
          <w:b/>
          <w:bCs/>
          <w:lang w:val="en-CA"/>
        </w:rPr>
        <w:t xml:space="preserve">Working Group 2 </w:t>
      </w:r>
      <w:r w:rsidRPr="00272C04">
        <w:rPr>
          <w:lang w:val="en-CA"/>
        </w:rPr>
        <w:t>- Assessment and Measurement of the Environmental Efficiency of AI and Emerging Technologies.</w:t>
      </w:r>
    </w:p>
    <w:p w14:paraId="6A2B8FEB" w14:textId="77777777" w:rsidR="00E0390F" w:rsidRPr="00272C04" w:rsidRDefault="00E0390F" w:rsidP="005621F0">
      <w:pPr>
        <w:pStyle w:val="ListParagraph"/>
        <w:numPr>
          <w:ilvl w:val="0"/>
          <w:numId w:val="16"/>
        </w:numPr>
        <w:spacing w:after="240"/>
        <w:jc w:val="both"/>
        <w:rPr>
          <w:lang w:val="en-CA"/>
        </w:rPr>
      </w:pPr>
      <w:r w:rsidRPr="00272C04">
        <w:rPr>
          <w:b/>
          <w:bCs/>
          <w:lang w:val="en-CA"/>
        </w:rPr>
        <w:t xml:space="preserve">Working Group 3 </w:t>
      </w:r>
      <w:r w:rsidRPr="00272C04">
        <w:rPr>
          <w:lang w:val="en-CA"/>
        </w:rPr>
        <w:t>– Implementation Guidelines of AI and Emerging Technologies for Environmental Efficiency.</w:t>
      </w:r>
    </w:p>
    <w:p w14:paraId="243D2302" w14:textId="77777777" w:rsidR="00A835A7" w:rsidRPr="00F56E43" w:rsidRDefault="00A835A7" w:rsidP="00781F1A">
      <w:pPr>
        <w:spacing w:after="240"/>
      </w:pPr>
      <w:r w:rsidRPr="00F56E43">
        <w:t>The FG-AI4EE website is available </w:t>
      </w:r>
      <w:hyperlink r:id="rId29" w:history="1">
        <w:r w:rsidRPr="00F56E43">
          <w:rPr>
            <w:rStyle w:val="Hyperlink"/>
            <w:lang w:val="en-US"/>
          </w:rPr>
          <w:t>here</w:t>
        </w:r>
      </w:hyperlink>
      <w:r w:rsidRPr="00F56E43">
        <w:t>. </w:t>
      </w:r>
    </w:p>
    <w:p w14:paraId="5874C823" w14:textId="77777777" w:rsidR="00B0022E" w:rsidRPr="00F56E43" w:rsidRDefault="00044A8C" w:rsidP="00781F1A">
      <w:pPr>
        <w:jc w:val="both"/>
        <w:rPr>
          <w:b/>
          <w:bCs/>
        </w:rPr>
      </w:pPr>
      <w:r w:rsidRPr="00F56E43">
        <w:rPr>
          <w:b/>
          <w:bCs/>
        </w:rPr>
        <w:t>7</w:t>
      </w:r>
      <w:r w:rsidR="00D12115" w:rsidRPr="00F56E43">
        <w:rPr>
          <w:b/>
          <w:bCs/>
        </w:rPr>
        <w:t xml:space="preserve"> </w:t>
      </w:r>
      <w:r w:rsidR="00D12115" w:rsidRPr="00F56E43">
        <w:rPr>
          <w:b/>
          <w:bCs/>
        </w:rPr>
        <w:tab/>
        <w:t>Other activities</w:t>
      </w:r>
    </w:p>
    <w:p w14:paraId="132EBA56" w14:textId="77777777" w:rsidR="00B0022E" w:rsidRPr="00F56E43" w:rsidRDefault="00D12115">
      <w:pPr>
        <w:keepNext/>
        <w:keepLines/>
        <w:jc w:val="both"/>
      </w:pPr>
      <w:r w:rsidRPr="00F56E43">
        <w:t xml:space="preserve">Since </w:t>
      </w:r>
      <w:r w:rsidR="003E71D8" w:rsidRPr="00F56E43">
        <w:t>February 2020</w:t>
      </w:r>
      <w:r w:rsidRPr="00F56E43">
        <w:t xml:space="preserve">, </w:t>
      </w:r>
      <w:r w:rsidR="003E71D8" w:rsidRPr="00F56E43">
        <w:t>the following</w:t>
      </w:r>
      <w:r w:rsidRPr="00F56E43">
        <w:t xml:space="preserve"> events on Environment, Climate Change and Circular Economy have been organized:</w:t>
      </w:r>
    </w:p>
    <w:p w14:paraId="02AF43FF" w14:textId="77777777" w:rsidR="00272C04" w:rsidRPr="00F56E43" w:rsidRDefault="00272C04" w:rsidP="00272C04">
      <w:pPr>
        <w:pStyle w:val="ListParagraph"/>
        <w:numPr>
          <w:ilvl w:val="0"/>
          <w:numId w:val="19"/>
        </w:numPr>
        <w:spacing w:before="0"/>
        <w:rPr>
          <w:lang w:eastAsia="en-US"/>
        </w:rPr>
      </w:pPr>
      <w:r w:rsidRPr="00F56E43">
        <w:rPr>
          <w:lang w:val="en-US"/>
        </w:rPr>
        <w:t xml:space="preserve">Webinar on </w:t>
      </w:r>
      <w:r w:rsidRPr="00F56E43">
        <w:t xml:space="preserve">E-waste Challenge MOOC live event: </w:t>
      </w:r>
      <w:hyperlink r:id="rId30" w:history="1">
        <w:r w:rsidRPr="00F56E43">
          <w:rPr>
            <w:rStyle w:val="Hyperlink"/>
          </w:rPr>
          <w:t>Using international standards to tackle the e-waste challenge</w:t>
        </w:r>
      </w:hyperlink>
      <w:r w:rsidRPr="00F56E43">
        <w:t>, 1 and 2 April 2020.</w:t>
      </w:r>
    </w:p>
    <w:p w14:paraId="18D03D72" w14:textId="77777777" w:rsidR="003E71D8" w:rsidRPr="00F56E43" w:rsidRDefault="00272C04" w:rsidP="00F56E43">
      <w:pPr>
        <w:pStyle w:val="ListParagraph"/>
        <w:numPr>
          <w:ilvl w:val="0"/>
          <w:numId w:val="19"/>
        </w:numPr>
        <w:spacing w:before="0"/>
      </w:pPr>
      <w:r w:rsidRPr="00F56E43">
        <w:t xml:space="preserve">Webinar on E-waste Challenge MOOC live event: </w:t>
      </w:r>
      <w:hyperlink r:id="rId31" w:history="1">
        <w:r w:rsidRPr="00F56E43">
          <w:rPr>
            <w:rStyle w:val="Hyperlink"/>
          </w:rPr>
          <w:t>Explore a circular vision for the ICT sector</w:t>
        </w:r>
      </w:hyperlink>
      <w:r w:rsidRPr="00F56E43">
        <w:t xml:space="preserve">, </w:t>
      </w:r>
      <w:r w:rsidR="00F56E43" w:rsidRPr="00F56E43">
        <w:t>14 and 16 April 2020.</w:t>
      </w:r>
      <w:r w:rsidRPr="00F56E43">
        <w:t xml:space="preserve"> </w:t>
      </w:r>
    </w:p>
    <w:p w14:paraId="07D1ED8D" w14:textId="77777777" w:rsidR="00044A8C" w:rsidRPr="005621F0" w:rsidRDefault="00044A8C" w:rsidP="003E71D8">
      <w:pPr>
        <w:shd w:val="clear" w:color="auto" w:fill="FFFFFF"/>
        <w:spacing w:before="100" w:beforeAutospacing="1" w:after="100" w:afterAutospacing="1"/>
        <w:rPr>
          <w:rStyle w:val="Hyperlink"/>
          <w:color w:val="auto"/>
          <w:u w:val="none"/>
          <w:lang w:val="en-US"/>
        </w:rPr>
      </w:pPr>
      <w:r w:rsidRPr="00F56E43">
        <w:rPr>
          <w:b/>
          <w:bCs/>
        </w:rPr>
        <w:t>7.1</w:t>
      </w:r>
      <w:r w:rsidRPr="00F56E43">
        <w:rPr>
          <w:b/>
          <w:bCs/>
        </w:rPr>
        <w:tab/>
        <w:t>Reports on Climate Change</w:t>
      </w:r>
    </w:p>
    <w:p w14:paraId="1B92E802" w14:textId="77777777" w:rsidR="00044A8C" w:rsidRPr="00F56E43" w:rsidRDefault="00044A8C" w:rsidP="00D709A8">
      <w:pPr>
        <w:numPr>
          <w:ilvl w:val="0"/>
          <w:numId w:val="11"/>
        </w:numPr>
        <w:spacing w:after="120"/>
        <w:rPr>
          <w:rStyle w:val="Hyperlink"/>
          <w:color w:val="auto"/>
          <w:u w:val="none"/>
        </w:rPr>
      </w:pPr>
      <w:r w:rsidRPr="00F56E43">
        <w:rPr>
          <w:rStyle w:val="Hyperlink"/>
          <w:color w:val="auto"/>
          <w:u w:val="none"/>
        </w:rPr>
        <w:t>TSB together with UN Environment, BRS, UNECE, UNESCO, UNFCCC, UN Global Compact, UN Habitat, UNIDO and UN-Women develop</w:t>
      </w:r>
      <w:r w:rsidR="00F56E43" w:rsidRPr="00F56E43">
        <w:rPr>
          <w:rStyle w:val="Hyperlink"/>
          <w:color w:val="auto"/>
          <w:u w:val="none"/>
        </w:rPr>
        <w:t>ed</w:t>
      </w:r>
      <w:r w:rsidRPr="00F56E43">
        <w:rPr>
          <w:rStyle w:val="Hyperlink"/>
          <w:color w:val="auto"/>
          <w:u w:val="none"/>
        </w:rPr>
        <w:t xml:space="preserve"> a report on “Frontier Technologies to Protect the Environment &amp; Tackle Climate Change"</w:t>
      </w:r>
      <w:r w:rsidR="00AE0F51" w:rsidRPr="00F56E43">
        <w:rPr>
          <w:rStyle w:val="Hyperlink"/>
          <w:color w:val="auto"/>
          <w:u w:val="none"/>
        </w:rPr>
        <w:t>,</w:t>
      </w:r>
      <w:r w:rsidRPr="00F56E43">
        <w:rPr>
          <w:rStyle w:val="Hyperlink"/>
          <w:color w:val="auto"/>
          <w:u w:val="none"/>
        </w:rPr>
        <w:t xml:space="preserve"> which </w:t>
      </w:r>
      <w:r w:rsidR="00F56E43" w:rsidRPr="00F56E43">
        <w:rPr>
          <w:rStyle w:val="Hyperlink"/>
          <w:color w:val="auto"/>
          <w:u w:val="none"/>
        </w:rPr>
        <w:t>was launched on 22 April 2020 to commemorate the Earth Day. This Report begins by exploring what is changing in our planet, why these changes are taking place, and who is</w:t>
      </w:r>
      <w:r w:rsidR="00073BB9">
        <w:rPr>
          <w:rStyle w:val="Hyperlink"/>
          <w:color w:val="auto"/>
          <w:u w:val="none"/>
        </w:rPr>
        <w:t xml:space="preserve"> the</w:t>
      </w:r>
      <w:r w:rsidR="00F56E43" w:rsidRPr="00F56E43">
        <w:rPr>
          <w:rStyle w:val="Hyperlink"/>
          <w:color w:val="auto"/>
          <w:u w:val="none"/>
        </w:rPr>
        <w:t xml:space="preserve"> most at risk as a result. It shows that catastrophic global climate change is already clearly </w:t>
      </w:r>
      <w:r w:rsidR="00073BB9" w:rsidRPr="00F56E43">
        <w:rPr>
          <w:rStyle w:val="Hyperlink"/>
          <w:color w:val="auto"/>
          <w:u w:val="none"/>
        </w:rPr>
        <w:t>underway,</w:t>
      </w:r>
      <w:r w:rsidR="00F56E43" w:rsidRPr="00F56E43">
        <w:rPr>
          <w:rStyle w:val="Hyperlink"/>
          <w:color w:val="auto"/>
          <w:u w:val="none"/>
        </w:rPr>
        <w:t xml:space="preserve"> and that urgent action is needed to help monitor, </w:t>
      </w:r>
      <w:proofErr w:type="gramStart"/>
      <w:r w:rsidR="00F56E43" w:rsidRPr="00F56E43">
        <w:rPr>
          <w:rStyle w:val="Hyperlink"/>
          <w:color w:val="auto"/>
          <w:u w:val="none"/>
        </w:rPr>
        <w:t>mitigate</w:t>
      </w:r>
      <w:proofErr w:type="gramEnd"/>
      <w:r w:rsidR="00F56E43" w:rsidRPr="00F56E43">
        <w:rPr>
          <w:rStyle w:val="Hyperlink"/>
          <w:color w:val="auto"/>
          <w:u w:val="none"/>
        </w:rPr>
        <w:t xml:space="preserve"> and adapt to its effects. Frontier technologies – new, innovative, and disruptive technologies – offer tremendous potential for tackling climate change and meeting the goals of United Nations sustainable development goal (SDG) 13 (Climate Action). </w:t>
      </w:r>
      <w:r w:rsidR="00F56E43">
        <w:rPr>
          <w:rStyle w:val="Hyperlink"/>
          <w:color w:val="auto"/>
          <w:u w:val="none"/>
        </w:rPr>
        <w:br/>
      </w:r>
      <w:r w:rsidR="00F56E43">
        <w:rPr>
          <w:rStyle w:val="Hyperlink"/>
          <w:color w:val="auto"/>
          <w:u w:val="none"/>
        </w:rPr>
        <w:br/>
      </w:r>
      <w:r w:rsidR="00F56E43" w:rsidRPr="00F56E43">
        <w:rPr>
          <w:rStyle w:val="Hyperlink"/>
          <w:color w:val="auto"/>
          <w:u w:val="none"/>
        </w:rPr>
        <w:t xml:space="preserve">The report spotlights eight key emerging technologies, each with the potential to be instrumental in tackling climate change: artificial intelligence (AI), Internet of Things (IoT), 5G, clean energy technology, digital twin, robotics, Space 2.0 technologies, as well as digitalization and Big Data. </w:t>
      </w:r>
    </w:p>
    <w:p w14:paraId="6DDB4787" w14:textId="77777777" w:rsidR="00B0022E" w:rsidRPr="00055F0A" w:rsidRDefault="00D12115" w:rsidP="00781F1A">
      <w:pPr>
        <w:spacing w:before="240"/>
        <w:ind w:left="426"/>
        <w:jc w:val="center"/>
        <w:rPr>
          <w:b/>
          <w:lang w:eastAsia="zh-CN"/>
        </w:rPr>
      </w:pPr>
      <w:r w:rsidRPr="005621F0">
        <w:rPr>
          <w:highlight w:val="yellow"/>
          <w:lang w:eastAsia="ko-KR"/>
        </w:rPr>
        <w:br w:type="page"/>
      </w:r>
      <w:bookmarkStart w:id="13" w:name="_Hlk30501459"/>
      <w:r w:rsidRPr="00055F0A">
        <w:rPr>
          <w:b/>
          <w:lang w:eastAsia="zh-CN"/>
        </w:rPr>
        <w:lastRenderedPageBreak/>
        <w:t>Annex 1</w:t>
      </w:r>
    </w:p>
    <w:p w14:paraId="1053E5BB" w14:textId="77777777" w:rsidR="00B0022E" w:rsidRPr="00055F0A" w:rsidRDefault="00D12115">
      <w:pPr>
        <w:spacing w:before="240"/>
        <w:jc w:val="center"/>
        <w:rPr>
          <w:b/>
          <w:lang w:eastAsia="zh-CN"/>
        </w:rPr>
      </w:pPr>
      <w:r w:rsidRPr="00055F0A">
        <w:rPr>
          <w:b/>
          <w:lang w:eastAsia="zh-CN"/>
        </w:rPr>
        <w:t xml:space="preserve">Achievements of ITU-T Study Group 5 on electromagnetic compatibility, lightning </w:t>
      </w:r>
      <w:proofErr w:type="gramStart"/>
      <w:r w:rsidRPr="00055F0A">
        <w:rPr>
          <w:b/>
          <w:lang w:eastAsia="zh-CN"/>
        </w:rPr>
        <w:t>protection</w:t>
      </w:r>
      <w:proofErr w:type="gramEnd"/>
      <w:r w:rsidRPr="00055F0A">
        <w:rPr>
          <w:b/>
          <w:lang w:eastAsia="zh-CN"/>
        </w:rPr>
        <w:t xml:space="preserve"> and electromagnetic effects; ICTs related to the environment, climate change, energy efficiency and clean energy and circular economy, including e</w:t>
      </w:r>
      <w:r w:rsidRPr="00055F0A">
        <w:rPr>
          <w:rFonts w:eastAsia="MS Mincho"/>
          <w:b/>
          <w:lang w:eastAsia="zh-CN"/>
        </w:rPr>
        <w:t>‑</w:t>
      </w:r>
      <w:r w:rsidRPr="00055F0A">
        <w:rPr>
          <w:b/>
          <w:lang w:eastAsia="zh-CN"/>
        </w:rPr>
        <w:t>waste</w:t>
      </w:r>
      <w:r w:rsidRPr="00055F0A">
        <w:rPr>
          <w:b/>
          <w:lang w:eastAsia="zh-CN"/>
        </w:rPr>
        <w:br/>
        <w:t xml:space="preserve">(status from </w:t>
      </w:r>
      <w:r w:rsidR="00B04367">
        <w:rPr>
          <w:b/>
          <w:lang w:eastAsia="zh-CN"/>
        </w:rPr>
        <w:t>February</w:t>
      </w:r>
      <w:r w:rsidR="0051650C" w:rsidRPr="00055F0A">
        <w:rPr>
          <w:b/>
          <w:lang w:eastAsia="zh-CN"/>
        </w:rPr>
        <w:t xml:space="preserve"> 20</w:t>
      </w:r>
      <w:r w:rsidR="00B04367">
        <w:rPr>
          <w:b/>
          <w:lang w:eastAsia="zh-CN"/>
        </w:rPr>
        <w:t>20</w:t>
      </w:r>
      <w:r w:rsidR="0051650C" w:rsidRPr="00055F0A">
        <w:rPr>
          <w:b/>
          <w:lang w:eastAsia="zh-CN"/>
        </w:rPr>
        <w:t xml:space="preserve"> </w:t>
      </w:r>
      <w:r w:rsidRPr="00055F0A">
        <w:rPr>
          <w:b/>
          <w:lang w:eastAsia="zh-CN"/>
        </w:rPr>
        <w:t xml:space="preserve">until </w:t>
      </w:r>
      <w:r w:rsidR="00B04367">
        <w:rPr>
          <w:b/>
          <w:lang w:eastAsia="zh-CN"/>
        </w:rPr>
        <w:t>August</w:t>
      </w:r>
      <w:r w:rsidR="00086828" w:rsidRPr="00055F0A">
        <w:rPr>
          <w:b/>
          <w:lang w:eastAsia="zh-CN"/>
        </w:rPr>
        <w:t xml:space="preserve"> 2020</w:t>
      </w:r>
      <w:r w:rsidRPr="00055F0A">
        <w:rPr>
          <w:b/>
          <w:lang w:eastAsia="zh-CN"/>
        </w:rPr>
        <w:t>)</w:t>
      </w:r>
    </w:p>
    <w:p w14:paraId="7DA0E8C2" w14:textId="77777777" w:rsidR="00B04367" w:rsidRPr="003D688B" w:rsidRDefault="00D12115" w:rsidP="00AF3CA7">
      <w:pPr>
        <w:numPr>
          <w:ilvl w:val="1"/>
          <w:numId w:val="17"/>
        </w:numPr>
        <w:spacing w:before="240"/>
        <w:rPr>
          <w:b/>
          <w:lang w:eastAsia="zh-CN"/>
        </w:rPr>
      </w:pPr>
      <w:r w:rsidRPr="00055F0A">
        <w:rPr>
          <w:b/>
          <w:lang w:eastAsia="zh-CN"/>
        </w:rPr>
        <w:t>WP1/5 - EMC, lightning protection, EMF</w:t>
      </w:r>
    </w:p>
    <w:p w14:paraId="210E52AA" w14:textId="77777777" w:rsidR="00B0022E" w:rsidRPr="00055F0A" w:rsidRDefault="00D12115">
      <w:pPr>
        <w:spacing w:before="240" w:after="120"/>
        <w:rPr>
          <w:rFonts w:eastAsia="MS Mincho"/>
          <w:b/>
          <w:color w:val="000000"/>
        </w:rPr>
      </w:pPr>
      <w:r w:rsidRPr="00055F0A">
        <w:rPr>
          <w:b/>
          <w:lang w:eastAsia="zh-CN"/>
        </w:rPr>
        <w:t>1.1.1</w:t>
      </w:r>
      <w:r w:rsidRPr="00055F0A">
        <w:rPr>
          <w:b/>
          <w:lang w:eastAsia="zh-CN"/>
        </w:rPr>
        <w:tab/>
      </w:r>
      <w:r w:rsidRPr="00055F0A">
        <w:rPr>
          <w:b/>
          <w:color w:val="000000"/>
        </w:rPr>
        <w:t>Recommendations approved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6804"/>
      </w:tblGrid>
      <w:tr w:rsidR="00B0022E" w:rsidRPr="006C677D" w14:paraId="1B0E5446" w14:textId="77777777" w:rsidTr="00CD75EE">
        <w:trPr>
          <w:cantSplit/>
          <w:tblHeader/>
        </w:trPr>
        <w:tc>
          <w:tcPr>
            <w:tcW w:w="851" w:type="dxa"/>
            <w:shd w:val="clear" w:color="auto" w:fill="D9D9D9"/>
          </w:tcPr>
          <w:p w14:paraId="3D8604B9" w14:textId="77777777" w:rsidR="00B0022E" w:rsidRPr="006C677D" w:rsidRDefault="00D12115">
            <w:pPr>
              <w:jc w:val="center"/>
              <w:rPr>
                <w:b/>
                <w:bCs/>
                <w:sz w:val="22"/>
                <w:szCs w:val="22"/>
              </w:rPr>
            </w:pPr>
            <w:r w:rsidRPr="006C677D">
              <w:rPr>
                <w:b/>
                <w:bCs/>
                <w:sz w:val="22"/>
                <w:szCs w:val="22"/>
              </w:rPr>
              <w:t>SG</w:t>
            </w:r>
          </w:p>
        </w:tc>
        <w:tc>
          <w:tcPr>
            <w:tcW w:w="1984" w:type="dxa"/>
            <w:shd w:val="clear" w:color="auto" w:fill="D9D9D9"/>
          </w:tcPr>
          <w:p w14:paraId="596FF330" w14:textId="77777777" w:rsidR="00B0022E" w:rsidRPr="006C677D" w:rsidRDefault="00D12115">
            <w:pPr>
              <w:jc w:val="center"/>
              <w:rPr>
                <w:sz w:val="22"/>
                <w:szCs w:val="22"/>
              </w:rPr>
            </w:pPr>
            <w:r w:rsidRPr="006C677D">
              <w:rPr>
                <w:b/>
                <w:bCs/>
                <w:sz w:val="22"/>
                <w:szCs w:val="22"/>
              </w:rPr>
              <w:t>No</w:t>
            </w:r>
          </w:p>
        </w:tc>
        <w:tc>
          <w:tcPr>
            <w:tcW w:w="6804" w:type="dxa"/>
            <w:shd w:val="clear" w:color="auto" w:fill="D9D9D9"/>
          </w:tcPr>
          <w:p w14:paraId="36D16B4E" w14:textId="77777777" w:rsidR="00B0022E" w:rsidRPr="006C677D" w:rsidRDefault="00D12115">
            <w:pPr>
              <w:jc w:val="center"/>
              <w:rPr>
                <w:sz w:val="22"/>
                <w:szCs w:val="22"/>
              </w:rPr>
            </w:pPr>
            <w:r w:rsidRPr="006C677D">
              <w:rPr>
                <w:b/>
                <w:bCs/>
                <w:sz w:val="22"/>
                <w:szCs w:val="22"/>
              </w:rPr>
              <w:t>Title</w:t>
            </w:r>
          </w:p>
        </w:tc>
      </w:tr>
      <w:tr w:rsidR="003D688B" w:rsidRPr="006C677D" w14:paraId="3E3E8F7D" w14:textId="77777777" w:rsidTr="00052697">
        <w:tblPrEx>
          <w:tblCellMar>
            <w:top w:w="29" w:type="dxa"/>
            <w:left w:w="115" w:type="dxa"/>
            <w:bottom w:w="29" w:type="dxa"/>
            <w:right w:w="115" w:type="dxa"/>
          </w:tblCellMar>
        </w:tblPrEx>
        <w:trPr>
          <w:cantSplit/>
        </w:trPr>
        <w:tc>
          <w:tcPr>
            <w:tcW w:w="851" w:type="dxa"/>
            <w:vAlign w:val="center"/>
          </w:tcPr>
          <w:p w14:paraId="0FC3B91B" w14:textId="77777777" w:rsidR="003D688B" w:rsidRPr="00052697" w:rsidRDefault="003D688B" w:rsidP="003D688B">
            <w:pPr>
              <w:jc w:val="center"/>
              <w:rPr>
                <w:rFonts w:eastAsia="Times New Roman"/>
              </w:rPr>
            </w:pPr>
            <w:r w:rsidRPr="00052697">
              <w:rPr>
                <w:rFonts w:eastAsia="Times New Roman"/>
              </w:rPr>
              <w:t>5</w:t>
            </w:r>
          </w:p>
        </w:tc>
        <w:tc>
          <w:tcPr>
            <w:tcW w:w="1984" w:type="dxa"/>
            <w:shd w:val="clear" w:color="auto" w:fill="FFFFFF"/>
            <w:vAlign w:val="center"/>
          </w:tcPr>
          <w:p w14:paraId="62A0F2B6" w14:textId="77777777" w:rsidR="003D688B" w:rsidRPr="00052697" w:rsidRDefault="003D688B" w:rsidP="00052697">
            <w:pPr>
              <w:spacing w:line="240" w:lineRule="atLeast"/>
              <w:jc w:val="center"/>
              <w:rPr>
                <w:rFonts w:eastAsia="Times New Roman"/>
              </w:rPr>
            </w:pPr>
            <w:r w:rsidRPr="00052697">
              <w:t>K.50</w:t>
            </w:r>
            <w:r w:rsidR="00852332" w:rsidRPr="00052697">
              <w:t xml:space="preserve"> A</w:t>
            </w:r>
            <w:r w:rsidR="003E71D8" w:rsidRPr="00052697">
              <w:t>md.1</w:t>
            </w:r>
          </w:p>
        </w:tc>
        <w:tc>
          <w:tcPr>
            <w:tcW w:w="6804" w:type="dxa"/>
            <w:shd w:val="clear" w:color="auto" w:fill="FFFFFF"/>
          </w:tcPr>
          <w:p w14:paraId="538C08E8" w14:textId="77777777" w:rsidR="003D688B" w:rsidRPr="00052697" w:rsidRDefault="003D688B" w:rsidP="003D688B">
            <w:pPr>
              <w:spacing w:line="240" w:lineRule="atLeast"/>
              <w:rPr>
                <w:rFonts w:eastAsia="Times New Roman"/>
              </w:rPr>
            </w:pPr>
            <w:r w:rsidRPr="00052697">
              <w:t>Amendment 1 to Recommendation ITU-T K.50: Safe limits for operating voltages and currents of telecommunication systems powered over the network</w:t>
            </w:r>
          </w:p>
        </w:tc>
      </w:tr>
      <w:tr w:rsidR="003D688B" w:rsidRPr="006C677D" w14:paraId="113F7B99" w14:textId="77777777" w:rsidTr="00052697">
        <w:tblPrEx>
          <w:tblCellMar>
            <w:top w:w="29" w:type="dxa"/>
            <w:left w:w="115" w:type="dxa"/>
            <w:bottom w:w="29" w:type="dxa"/>
            <w:right w:w="115" w:type="dxa"/>
          </w:tblCellMar>
        </w:tblPrEx>
        <w:trPr>
          <w:cantSplit/>
        </w:trPr>
        <w:tc>
          <w:tcPr>
            <w:tcW w:w="851" w:type="dxa"/>
            <w:vAlign w:val="center"/>
          </w:tcPr>
          <w:p w14:paraId="011374C6" w14:textId="77777777" w:rsidR="003D688B" w:rsidRPr="00052697" w:rsidRDefault="003D688B" w:rsidP="003D688B">
            <w:pPr>
              <w:jc w:val="center"/>
              <w:rPr>
                <w:rFonts w:eastAsia="Times New Roman"/>
              </w:rPr>
            </w:pPr>
            <w:r w:rsidRPr="00052697">
              <w:rPr>
                <w:rFonts w:eastAsia="Times New Roman"/>
              </w:rPr>
              <w:t>5</w:t>
            </w:r>
          </w:p>
        </w:tc>
        <w:tc>
          <w:tcPr>
            <w:tcW w:w="1984" w:type="dxa"/>
            <w:shd w:val="clear" w:color="auto" w:fill="FFFFFF"/>
            <w:vAlign w:val="center"/>
          </w:tcPr>
          <w:p w14:paraId="6273728B" w14:textId="77777777" w:rsidR="003D688B" w:rsidRPr="00052697" w:rsidRDefault="003D688B" w:rsidP="00052697">
            <w:pPr>
              <w:spacing w:line="240" w:lineRule="atLeast"/>
              <w:jc w:val="center"/>
              <w:rPr>
                <w:rFonts w:eastAsia="Times New Roman"/>
              </w:rPr>
            </w:pPr>
            <w:r w:rsidRPr="00052697">
              <w:t>K.64</w:t>
            </w:r>
            <w:r w:rsidR="003E71D8" w:rsidRPr="00052697">
              <w:t xml:space="preserve"> (rev.)</w:t>
            </w:r>
          </w:p>
        </w:tc>
        <w:tc>
          <w:tcPr>
            <w:tcW w:w="6804" w:type="dxa"/>
            <w:shd w:val="clear" w:color="auto" w:fill="FFFFFF"/>
          </w:tcPr>
          <w:p w14:paraId="01FE3B8F" w14:textId="77777777" w:rsidR="003D688B" w:rsidRPr="00052697" w:rsidRDefault="003D688B" w:rsidP="003D688B">
            <w:pPr>
              <w:spacing w:line="240" w:lineRule="atLeast"/>
              <w:rPr>
                <w:rFonts w:eastAsia="Times New Roman"/>
              </w:rPr>
            </w:pPr>
            <w:r w:rsidRPr="00052697">
              <w:t>Safe working practices for outside equipment installed in particular environments</w:t>
            </w:r>
          </w:p>
        </w:tc>
      </w:tr>
      <w:tr w:rsidR="003D688B" w:rsidRPr="006C677D" w14:paraId="503C2E9D" w14:textId="77777777" w:rsidTr="00052697">
        <w:tblPrEx>
          <w:tblCellMar>
            <w:top w:w="29" w:type="dxa"/>
            <w:left w:w="115" w:type="dxa"/>
            <w:bottom w:w="29" w:type="dxa"/>
            <w:right w:w="115" w:type="dxa"/>
          </w:tblCellMar>
        </w:tblPrEx>
        <w:trPr>
          <w:cantSplit/>
        </w:trPr>
        <w:tc>
          <w:tcPr>
            <w:tcW w:w="851" w:type="dxa"/>
            <w:vAlign w:val="center"/>
          </w:tcPr>
          <w:p w14:paraId="4B755B39" w14:textId="77777777" w:rsidR="003D688B" w:rsidRPr="00052697" w:rsidRDefault="003D688B" w:rsidP="003D688B">
            <w:pPr>
              <w:jc w:val="center"/>
              <w:rPr>
                <w:rFonts w:eastAsia="Times New Roman"/>
              </w:rPr>
            </w:pPr>
            <w:r w:rsidRPr="00052697">
              <w:rPr>
                <w:rFonts w:eastAsia="Times New Roman"/>
              </w:rPr>
              <w:t>5</w:t>
            </w:r>
          </w:p>
        </w:tc>
        <w:tc>
          <w:tcPr>
            <w:tcW w:w="1984" w:type="dxa"/>
            <w:shd w:val="clear" w:color="auto" w:fill="FFFFFF"/>
            <w:vAlign w:val="center"/>
          </w:tcPr>
          <w:p w14:paraId="703984DA" w14:textId="77777777" w:rsidR="003D688B" w:rsidRPr="00052697" w:rsidRDefault="003D688B" w:rsidP="00052697">
            <w:pPr>
              <w:spacing w:line="240" w:lineRule="atLeast"/>
              <w:jc w:val="center"/>
              <w:rPr>
                <w:rFonts w:eastAsia="Times New Roman"/>
              </w:rPr>
            </w:pPr>
            <w:r w:rsidRPr="00052697">
              <w:t>K.98</w:t>
            </w:r>
            <w:r w:rsidR="003E71D8" w:rsidRPr="00052697">
              <w:t xml:space="preserve"> Corr.2</w:t>
            </w:r>
          </w:p>
        </w:tc>
        <w:tc>
          <w:tcPr>
            <w:tcW w:w="6804" w:type="dxa"/>
            <w:shd w:val="clear" w:color="auto" w:fill="FFFFFF"/>
          </w:tcPr>
          <w:p w14:paraId="69AA95A8" w14:textId="77777777" w:rsidR="003D688B" w:rsidRPr="00052697" w:rsidRDefault="003D688B" w:rsidP="003D688B">
            <w:pPr>
              <w:spacing w:line="240" w:lineRule="atLeast"/>
              <w:rPr>
                <w:rFonts w:eastAsia="Times New Roman"/>
              </w:rPr>
            </w:pPr>
            <w:r w:rsidRPr="00052697">
              <w:t>Corrigendum 2 to Recommendation ITU-T K.98: Overvoltage protection guide for telecommunication equipment installed in customer premises</w:t>
            </w:r>
          </w:p>
        </w:tc>
      </w:tr>
      <w:tr w:rsidR="003D688B" w:rsidRPr="006C677D" w14:paraId="7D674BF6" w14:textId="77777777" w:rsidTr="00052697">
        <w:tblPrEx>
          <w:tblCellMar>
            <w:top w:w="29" w:type="dxa"/>
            <w:left w:w="115" w:type="dxa"/>
            <w:bottom w:w="29" w:type="dxa"/>
            <w:right w:w="115" w:type="dxa"/>
          </w:tblCellMar>
        </w:tblPrEx>
        <w:trPr>
          <w:cantSplit/>
        </w:trPr>
        <w:tc>
          <w:tcPr>
            <w:tcW w:w="851" w:type="dxa"/>
            <w:vAlign w:val="center"/>
          </w:tcPr>
          <w:p w14:paraId="2FD51C0C" w14:textId="77777777" w:rsidR="003D688B" w:rsidRPr="00052697" w:rsidRDefault="003D688B" w:rsidP="003D688B">
            <w:pPr>
              <w:jc w:val="center"/>
              <w:rPr>
                <w:rFonts w:eastAsia="Times New Roman"/>
              </w:rPr>
            </w:pPr>
            <w:r w:rsidRPr="00052697">
              <w:rPr>
                <w:rFonts w:eastAsia="Times New Roman"/>
              </w:rPr>
              <w:t>5</w:t>
            </w:r>
          </w:p>
        </w:tc>
        <w:tc>
          <w:tcPr>
            <w:tcW w:w="1984" w:type="dxa"/>
            <w:shd w:val="clear" w:color="auto" w:fill="FFFFFF"/>
            <w:vAlign w:val="center"/>
          </w:tcPr>
          <w:p w14:paraId="1DA1B820" w14:textId="77777777" w:rsidR="003D688B" w:rsidRPr="00052697" w:rsidRDefault="003D688B" w:rsidP="00052697">
            <w:pPr>
              <w:spacing w:line="240" w:lineRule="atLeast"/>
              <w:jc w:val="center"/>
              <w:rPr>
                <w:rFonts w:eastAsia="Times New Roman"/>
              </w:rPr>
            </w:pPr>
            <w:r w:rsidRPr="00052697">
              <w:t>K.21</w:t>
            </w:r>
            <w:r w:rsidR="003E71D8" w:rsidRPr="00052697">
              <w:t xml:space="preserve"> Amd.1</w:t>
            </w:r>
          </w:p>
        </w:tc>
        <w:tc>
          <w:tcPr>
            <w:tcW w:w="6804" w:type="dxa"/>
            <w:shd w:val="clear" w:color="auto" w:fill="FFFFFF"/>
          </w:tcPr>
          <w:p w14:paraId="60216D34" w14:textId="77777777" w:rsidR="003D688B" w:rsidRPr="00052697" w:rsidRDefault="003D688B" w:rsidP="003D688B">
            <w:pPr>
              <w:spacing w:line="240" w:lineRule="atLeast"/>
              <w:rPr>
                <w:rFonts w:eastAsia="Times New Roman"/>
              </w:rPr>
            </w:pPr>
            <w:r w:rsidRPr="00052697">
              <w:t xml:space="preserve">Amendment 1 to Recommendation ITU-T K.21: Resistibility of telecommunication equipment installed in customer premises to </w:t>
            </w:r>
            <w:proofErr w:type="spellStart"/>
            <w:r w:rsidRPr="00052697">
              <w:t>overvoltages</w:t>
            </w:r>
            <w:proofErr w:type="spellEnd"/>
            <w:r w:rsidRPr="00052697">
              <w:t xml:space="preserve"> and </w:t>
            </w:r>
            <w:proofErr w:type="spellStart"/>
            <w:r w:rsidRPr="00052697">
              <w:t>overcurrents</w:t>
            </w:r>
            <w:proofErr w:type="spellEnd"/>
          </w:p>
        </w:tc>
      </w:tr>
      <w:tr w:rsidR="003D688B" w:rsidRPr="006C677D" w14:paraId="13B6A959" w14:textId="77777777" w:rsidTr="00052697">
        <w:tblPrEx>
          <w:tblCellMar>
            <w:top w:w="29" w:type="dxa"/>
            <w:left w:w="115" w:type="dxa"/>
            <w:bottom w:w="29" w:type="dxa"/>
            <w:right w:w="115" w:type="dxa"/>
          </w:tblCellMar>
        </w:tblPrEx>
        <w:trPr>
          <w:cantSplit/>
        </w:trPr>
        <w:tc>
          <w:tcPr>
            <w:tcW w:w="851" w:type="dxa"/>
            <w:vAlign w:val="center"/>
          </w:tcPr>
          <w:p w14:paraId="7EDA2808" w14:textId="77777777" w:rsidR="003D688B" w:rsidRPr="00052697" w:rsidRDefault="003D688B" w:rsidP="003D688B">
            <w:pPr>
              <w:jc w:val="center"/>
              <w:rPr>
                <w:rFonts w:eastAsia="Times New Roman"/>
              </w:rPr>
            </w:pPr>
            <w:r w:rsidRPr="00052697">
              <w:rPr>
                <w:rFonts w:eastAsia="Times New Roman"/>
              </w:rPr>
              <w:t>5</w:t>
            </w:r>
          </w:p>
        </w:tc>
        <w:tc>
          <w:tcPr>
            <w:tcW w:w="1984" w:type="dxa"/>
            <w:shd w:val="clear" w:color="auto" w:fill="FFFFFF"/>
            <w:vAlign w:val="center"/>
          </w:tcPr>
          <w:p w14:paraId="123EAAED" w14:textId="77777777" w:rsidR="003D688B" w:rsidRPr="00052697" w:rsidRDefault="003D688B" w:rsidP="00052697">
            <w:pPr>
              <w:spacing w:line="240" w:lineRule="atLeast"/>
              <w:jc w:val="center"/>
              <w:rPr>
                <w:rFonts w:eastAsia="Times New Roman"/>
              </w:rPr>
            </w:pPr>
            <w:r w:rsidRPr="00052697">
              <w:t>K.45</w:t>
            </w:r>
            <w:r w:rsidR="003E71D8" w:rsidRPr="00052697">
              <w:t xml:space="preserve"> Amd.1</w:t>
            </w:r>
          </w:p>
        </w:tc>
        <w:tc>
          <w:tcPr>
            <w:tcW w:w="6804" w:type="dxa"/>
            <w:shd w:val="clear" w:color="auto" w:fill="FFFFFF"/>
          </w:tcPr>
          <w:p w14:paraId="09300EDB" w14:textId="77777777" w:rsidR="003D688B" w:rsidRPr="00052697" w:rsidRDefault="003D688B" w:rsidP="003D688B">
            <w:pPr>
              <w:spacing w:line="240" w:lineRule="atLeast"/>
              <w:rPr>
                <w:rFonts w:eastAsia="Times New Roman"/>
              </w:rPr>
            </w:pPr>
            <w:r w:rsidRPr="00052697">
              <w:t xml:space="preserve">Amendment 1 to Recommendation ITU-T K.45: Resistibility of telecommunication equipment installed in the access and trunk networks to </w:t>
            </w:r>
            <w:proofErr w:type="spellStart"/>
            <w:r w:rsidRPr="00052697">
              <w:t>overvoltages</w:t>
            </w:r>
            <w:proofErr w:type="spellEnd"/>
            <w:r w:rsidRPr="00052697">
              <w:t xml:space="preserve"> and </w:t>
            </w:r>
            <w:proofErr w:type="spellStart"/>
            <w:r w:rsidRPr="00052697">
              <w:t>overcurrents</w:t>
            </w:r>
            <w:proofErr w:type="spellEnd"/>
          </w:p>
        </w:tc>
      </w:tr>
      <w:tr w:rsidR="003D688B" w:rsidRPr="006C677D" w14:paraId="606A2F86" w14:textId="77777777" w:rsidTr="00052697">
        <w:tblPrEx>
          <w:tblCellMar>
            <w:top w:w="29" w:type="dxa"/>
            <w:left w:w="115" w:type="dxa"/>
            <w:bottom w:w="29" w:type="dxa"/>
            <w:right w:w="115" w:type="dxa"/>
          </w:tblCellMar>
        </w:tblPrEx>
        <w:trPr>
          <w:cantSplit/>
        </w:trPr>
        <w:tc>
          <w:tcPr>
            <w:tcW w:w="851" w:type="dxa"/>
            <w:vAlign w:val="center"/>
          </w:tcPr>
          <w:p w14:paraId="618B813D" w14:textId="77777777" w:rsidR="003D688B" w:rsidRPr="00052697" w:rsidRDefault="003D688B" w:rsidP="003D688B">
            <w:pPr>
              <w:jc w:val="center"/>
              <w:rPr>
                <w:rFonts w:eastAsia="Times New Roman"/>
              </w:rPr>
            </w:pPr>
            <w:r w:rsidRPr="00052697">
              <w:rPr>
                <w:rFonts w:eastAsia="Times New Roman"/>
              </w:rPr>
              <w:t>5</w:t>
            </w:r>
          </w:p>
        </w:tc>
        <w:tc>
          <w:tcPr>
            <w:tcW w:w="1984" w:type="dxa"/>
            <w:shd w:val="clear" w:color="auto" w:fill="FFFFFF"/>
            <w:vAlign w:val="center"/>
          </w:tcPr>
          <w:p w14:paraId="3FE9ED0F" w14:textId="77777777" w:rsidR="003D688B" w:rsidRPr="00052697" w:rsidRDefault="003D688B" w:rsidP="00052697">
            <w:pPr>
              <w:spacing w:line="240" w:lineRule="atLeast"/>
              <w:jc w:val="center"/>
              <w:rPr>
                <w:rFonts w:eastAsia="Times New Roman"/>
              </w:rPr>
            </w:pPr>
            <w:r w:rsidRPr="00052697">
              <w:t>K.83</w:t>
            </w:r>
            <w:r w:rsidR="003E71D8" w:rsidRPr="00052697">
              <w:t xml:space="preserve"> (rev.)</w:t>
            </w:r>
          </w:p>
        </w:tc>
        <w:tc>
          <w:tcPr>
            <w:tcW w:w="6804" w:type="dxa"/>
            <w:shd w:val="clear" w:color="auto" w:fill="FFFFFF"/>
          </w:tcPr>
          <w:p w14:paraId="0C382182" w14:textId="77777777" w:rsidR="003D688B" w:rsidRPr="00052697" w:rsidRDefault="003D688B" w:rsidP="003D688B">
            <w:pPr>
              <w:spacing w:line="240" w:lineRule="atLeast"/>
              <w:rPr>
                <w:rFonts w:eastAsia="Times New Roman"/>
              </w:rPr>
            </w:pPr>
            <w:r w:rsidRPr="00052697">
              <w:t>Monitoring of electromagnetic field levels</w:t>
            </w:r>
          </w:p>
        </w:tc>
      </w:tr>
      <w:tr w:rsidR="003D688B" w:rsidRPr="006C677D" w14:paraId="1122507A" w14:textId="77777777" w:rsidTr="00052697">
        <w:tblPrEx>
          <w:tblCellMar>
            <w:top w:w="29" w:type="dxa"/>
            <w:left w:w="115" w:type="dxa"/>
            <w:bottom w:w="29" w:type="dxa"/>
            <w:right w:w="115" w:type="dxa"/>
          </w:tblCellMar>
        </w:tblPrEx>
        <w:trPr>
          <w:cantSplit/>
        </w:trPr>
        <w:tc>
          <w:tcPr>
            <w:tcW w:w="851" w:type="dxa"/>
            <w:vAlign w:val="center"/>
          </w:tcPr>
          <w:p w14:paraId="64AE0377" w14:textId="77777777" w:rsidR="003D688B" w:rsidRPr="00052697" w:rsidRDefault="003D688B" w:rsidP="003D688B">
            <w:pPr>
              <w:jc w:val="center"/>
              <w:rPr>
                <w:rFonts w:eastAsia="Times New Roman"/>
              </w:rPr>
            </w:pPr>
            <w:r w:rsidRPr="00052697">
              <w:rPr>
                <w:rFonts w:eastAsia="Times New Roman"/>
              </w:rPr>
              <w:t>5</w:t>
            </w:r>
          </w:p>
        </w:tc>
        <w:tc>
          <w:tcPr>
            <w:tcW w:w="1984" w:type="dxa"/>
            <w:shd w:val="clear" w:color="auto" w:fill="FFFFFF"/>
            <w:vAlign w:val="center"/>
          </w:tcPr>
          <w:p w14:paraId="02C7D9A1" w14:textId="77777777" w:rsidR="003D688B" w:rsidRPr="00052697" w:rsidRDefault="003D688B" w:rsidP="00052697">
            <w:pPr>
              <w:spacing w:line="240" w:lineRule="atLeast"/>
              <w:jc w:val="center"/>
              <w:rPr>
                <w:rFonts w:eastAsia="Times New Roman"/>
              </w:rPr>
            </w:pPr>
            <w:r w:rsidRPr="00052697">
              <w:t>K.91</w:t>
            </w:r>
            <w:r w:rsidR="003E71D8" w:rsidRPr="00052697">
              <w:t xml:space="preserve"> (rev.)</w:t>
            </w:r>
          </w:p>
        </w:tc>
        <w:tc>
          <w:tcPr>
            <w:tcW w:w="6804" w:type="dxa"/>
            <w:shd w:val="clear" w:color="auto" w:fill="FFFFFF"/>
          </w:tcPr>
          <w:p w14:paraId="47F4B075" w14:textId="77777777" w:rsidR="003D688B" w:rsidRPr="00052697" w:rsidRDefault="003D688B" w:rsidP="003D688B">
            <w:pPr>
              <w:spacing w:line="240" w:lineRule="atLeast"/>
              <w:rPr>
                <w:rFonts w:eastAsia="Times New Roman"/>
              </w:rPr>
            </w:pPr>
            <w:r w:rsidRPr="00052697">
              <w:rPr>
                <w:bdr w:val="none" w:sz="0" w:space="0" w:color="auto" w:frame="1"/>
              </w:rPr>
              <w:t xml:space="preserve">Guidance for assessment, </w:t>
            </w:r>
            <w:proofErr w:type="gramStart"/>
            <w:r w:rsidRPr="00052697">
              <w:rPr>
                <w:bdr w:val="none" w:sz="0" w:space="0" w:color="auto" w:frame="1"/>
              </w:rPr>
              <w:t>evaluation</w:t>
            </w:r>
            <w:proofErr w:type="gramEnd"/>
            <w:r w:rsidRPr="00052697">
              <w:rPr>
                <w:bdr w:val="none" w:sz="0" w:space="0" w:color="auto" w:frame="1"/>
              </w:rPr>
              <w:t xml:space="preserve"> and monitoring of the human exposure to RF EMF</w:t>
            </w:r>
          </w:p>
        </w:tc>
      </w:tr>
      <w:tr w:rsidR="009C4249" w:rsidRPr="006C677D" w14:paraId="724CF66F" w14:textId="77777777" w:rsidTr="00052697">
        <w:tblPrEx>
          <w:tblCellMar>
            <w:top w:w="29" w:type="dxa"/>
            <w:left w:w="115" w:type="dxa"/>
            <w:bottom w:w="29" w:type="dxa"/>
            <w:right w:w="115" w:type="dxa"/>
          </w:tblCellMar>
        </w:tblPrEx>
        <w:trPr>
          <w:cantSplit/>
        </w:trPr>
        <w:tc>
          <w:tcPr>
            <w:tcW w:w="851" w:type="dxa"/>
            <w:vAlign w:val="center"/>
          </w:tcPr>
          <w:p w14:paraId="6C7605E0" w14:textId="77777777" w:rsidR="009C4249" w:rsidRPr="00052697" w:rsidRDefault="009C4249" w:rsidP="009C4249">
            <w:pPr>
              <w:jc w:val="center"/>
              <w:rPr>
                <w:rFonts w:eastAsia="Times New Roman"/>
              </w:rPr>
            </w:pPr>
            <w:r w:rsidRPr="00052697">
              <w:rPr>
                <w:rFonts w:eastAsia="Times New Roman"/>
              </w:rPr>
              <w:t>5</w:t>
            </w:r>
          </w:p>
        </w:tc>
        <w:tc>
          <w:tcPr>
            <w:tcW w:w="1984" w:type="dxa"/>
            <w:shd w:val="clear" w:color="auto" w:fill="FFFFFF"/>
            <w:vAlign w:val="center"/>
          </w:tcPr>
          <w:p w14:paraId="06CC4D00" w14:textId="77777777" w:rsidR="009C4249" w:rsidRPr="00052697" w:rsidRDefault="009C4249" w:rsidP="00052697">
            <w:pPr>
              <w:spacing w:line="240" w:lineRule="atLeast"/>
              <w:jc w:val="center"/>
            </w:pPr>
            <w:r w:rsidRPr="00052697">
              <w:t>K.146</w:t>
            </w:r>
          </w:p>
        </w:tc>
        <w:tc>
          <w:tcPr>
            <w:tcW w:w="6804" w:type="dxa"/>
            <w:shd w:val="clear" w:color="auto" w:fill="FFFFFF"/>
          </w:tcPr>
          <w:p w14:paraId="66B2BEC2" w14:textId="77777777" w:rsidR="009C4249" w:rsidRPr="00052697" w:rsidRDefault="009C4249" w:rsidP="009C4249">
            <w:pPr>
              <w:spacing w:line="240" w:lineRule="atLeast"/>
            </w:pPr>
            <w:r w:rsidRPr="00052697">
              <w:t>Management of interferences on telecommunication transmissions on copper other than speech</w:t>
            </w:r>
          </w:p>
        </w:tc>
      </w:tr>
      <w:tr w:rsidR="009C4249" w:rsidRPr="006C677D" w14:paraId="4C196903" w14:textId="77777777" w:rsidTr="00052697">
        <w:tblPrEx>
          <w:tblCellMar>
            <w:top w:w="29" w:type="dxa"/>
            <w:left w:w="115" w:type="dxa"/>
            <w:bottom w:w="29" w:type="dxa"/>
            <w:right w:w="115" w:type="dxa"/>
          </w:tblCellMar>
        </w:tblPrEx>
        <w:trPr>
          <w:cantSplit/>
        </w:trPr>
        <w:tc>
          <w:tcPr>
            <w:tcW w:w="851" w:type="dxa"/>
            <w:vAlign w:val="center"/>
          </w:tcPr>
          <w:p w14:paraId="0D96F7FD" w14:textId="77777777" w:rsidR="009C4249" w:rsidRPr="00052697" w:rsidRDefault="009C4249" w:rsidP="009C4249">
            <w:pPr>
              <w:jc w:val="center"/>
              <w:rPr>
                <w:rFonts w:eastAsia="Times New Roman"/>
              </w:rPr>
            </w:pPr>
            <w:r w:rsidRPr="00052697">
              <w:rPr>
                <w:rFonts w:eastAsia="Times New Roman"/>
              </w:rPr>
              <w:t>5</w:t>
            </w:r>
          </w:p>
        </w:tc>
        <w:tc>
          <w:tcPr>
            <w:tcW w:w="1984" w:type="dxa"/>
            <w:shd w:val="clear" w:color="auto" w:fill="FFFFFF"/>
            <w:vAlign w:val="center"/>
          </w:tcPr>
          <w:p w14:paraId="73B45B88" w14:textId="77777777" w:rsidR="009C4249" w:rsidRPr="00052697" w:rsidRDefault="009C4249" w:rsidP="00052697">
            <w:pPr>
              <w:spacing w:line="240" w:lineRule="atLeast"/>
              <w:jc w:val="center"/>
            </w:pPr>
            <w:r w:rsidRPr="00052697">
              <w:t>K.147</w:t>
            </w:r>
          </w:p>
        </w:tc>
        <w:tc>
          <w:tcPr>
            <w:tcW w:w="6804" w:type="dxa"/>
            <w:shd w:val="clear" w:color="auto" w:fill="FFFFFF"/>
          </w:tcPr>
          <w:p w14:paraId="69285A34" w14:textId="77777777" w:rsidR="009C4249" w:rsidRPr="00052697" w:rsidRDefault="009C4249" w:rsidP="009C4249">
            <w:pPr>
              <w:spacing w:line="240" w:lineRule="atLeast"/>
            </w:pPr>
            <w:r w:rsidRPr="00052697">
              <w:t xml:space="preserve">Ethernet port resistibility testing for </w:t>
            </w:r>
            <w:proofErr w:type="spellStart"/>
            <w:r w:rsidRPr="00052697">
              <w:t>overvoltages</w:t>
            </w:r>
            <w:proofErr w:type="spellEnd"/>
            <w:r w:rsidRPr="00052697">
              <w:t xml:space="preserve"> and </w:t>
            </w:r>
            <w:proofErr w:type="spellStart"/>
            <w:r w:rsidRPr="00052697">
              <w:t>overcurrents</w:t>
            </w:r>
            <w:proofErr w:type="spellEnd"/>
          </w:p>
        </w:tc>
      </w:tr>
    </w:tbl>
    <w:p w14:paraId="05DE760E" w14:textId="77777777" w:rsidR="00B0022E" w:rsidRPr="00055F0A" w:rsidRDefault="00D12115">
      <w:pPr>
        <w:spacing w:before="240" w:after="120"/>
        <w:rPr>
          <w:b/>
          <w:lang w:eastAsia="zh-CN"/>
        </w:rPr>
      </w:pPr>
      <w:r w:rsidRPr="00055F0A">
        <w:rPr>
          <w:b/>
          <w:lang w:eastAsia="zh-CN"/>
        </w:rPr>
        <w:t>1.1.2</w:t>
      </w:r>
      <w:r w:rsidRPr="00055F0A">
        <w:rPr>
          <w:b/>
          <w:lang w:eastAsia="zh-CN"/>
        </w:rPr>
        <w:tab/>
        <w:t>Informati</w:t>
      </w:r>
      <w:r w:rsidR="008B2E55" w:rsidRPr="00055F0A">
        <w:rPr>
          <w:b/>
          <w:lang w:eastAsia="zh-CN"/>
        </w:rPr>
        <w:t>ve</w:t>
      </w:r>
      <w:r w:rsidRPr="00055F0A">
        <w:rPr>
          <w:b/>
          <w:lang w:eastAsia="zh-CN"/>
        </w:rPr>
        <w:t xml:space="preserve"> texts </w:t>
      </w:r>
      <w:r w:rsidR="006F5D95" w:rsidRPr="00055F0A">
        <w:rPr>
          <w:b/>
          <w:lang w:eastAsia="zh-CN"/>
        </w:rPr>
        <w:t>agreed</w:t>
      </w:r>
    </w:p>
    <w:tbl>
      <w:tblPr>
        <w:tblW w:w="951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845"/>
        <w:gridCol w:w="1964"/>
        <w:gridCol w:w="6705"/>
      </w:tblGrid>
      <w:tr w:rsidR="00B0022E" w:rsidRPr="006C677D" w14:paraId="5C14594C" w14:textId="77777777" w:rsidTr="00CD75EE">
        <w:trPr>
          <w:tblHeader/>
        </w:trPr>
        <w:tc>
          <w:tcPr>
            <w:tcW w:w="845" w:type="dxa"/>
            <w:shd w:val="clear" w:color="auto" w:fill="D9D9D9"/>
          </w:tcPr>
          <w:p w14:paraId="4263A205" w14:textId="77777777" w:rsidR="00B0022E" w:rsidRPr="006C677D" w:rsidRDefault="00D12115">
            <w:pPr>
              <w:jc w:val="center"/>
              <w:rPr>
                <w:b/>
                <w:sz w:val="22"/>
                <w:szCs w:val="22"/>
                <w:lang w:eastAsia="ko-KR"/>
              </w:rPr>
            </w:pPr>
            <w:r w:rsidRPr="006C677D">
              <w:rPr>
                <w:b/>
                <w:sz w:val="22"/>
                <w:szCs w:val="22"/>
                <w:lang w:eastAsia="ko-KR"/>
              </w:rPr>
              <w:t>SG</w:t>
            </w:r>
          </w:p>
        </w:tc>
        <w:tc>
          <w:tcPr>
            <w:tcW w:w="1964" w:type="dxa"/>
            <w:shd w:val="clear" w:color="auto" w:fill="D9D9D9"/>
          </w:tcPr>
          <w:p w14:paraId="034B76BB" w14:textId="77777777" w:rsidR="00B0022E" w:rsidRPr="006C677D" w:rsidRDefault="00D12115">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b/>
                <w:sz w:val="22"/>
                <w:szCs w:val="22"/>
              </w:rPr>
            </w:pPr>
            <w:r w:rsidRPr="006C677D">
              <w:rPr>
                <w:b/>
                <w:sz w:val="22"/>
                <w:szCs w:val="22"/>
              </w:rPr>
              <w:t>No</w:t>
            </w:r>
          </w:p>
        </w:tc>
        <w:tc>
          <w:tcPr>
            <w:tcW w:w="6705" w:type="dxa"/>
            <w:shd w:val="clear" w:color="auto" w:fill="D9D9D9"/>
          </w:tcPr>
          <w:p w14:paraId="0116A068" w14:textId="77777777" w:rsidR="00B0022E" w:rsidRPr="006C677D" w:rsidRDefault="00D12115">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b/>
                <w:bCs/>
                <w:iCs/>
                <w:sz w:val="22"/>
                <w:szCs w:val="22"/>
              </w:rPr>
            </w:pPr>
            <w:r w:rsidRPr="006C677D">
              <w:rPr>
                <w:b/>
                <w:bCs/>
                <w:iCs/>
                <w:sz w:val="22"/>
                <w:szCs w:val="22"/>
              </w:rPr>
              <w:t>Title</w:t>
            </w:r>
          </w:p>
        </w:tc>
      </w:tr>
      <w:tr w:rsidR="003D688B" w:rsidRPr="006C677D" w14:paraId="08518619" w14:textId="77777777" w:rsidTr="00852332">
        <w:trPr>
          <w:cantSplit/>
        </w:trPr>
        <w:tc>
          <w:tcPr>
            <w:tcW w:w="845" w:type="dxa"/>
            <w:vAlign w:val="center"/>
          </w:tcPr>
          <w:p w14:paraId="13B2AD32" w14:textId="77777777" w:rsidR="003D688B" w:rsidRPr="006C677D" w:rsidRDefault="003D688B" w:rsidP="003D688B">
            <w:pPr>
              <w:jc w:val="center"/>
              <w:rPr>
                <w:rFonts w:eastAsia="Times New Roman"/>
                <w:sz w:val="22"/>
                <w:szCs w:val="22"/>
              </w:rPr>
            </w:pPr>
            <w:r>
              <w:rPr>
                <w:rFonts w:eastAsia="Times New Roman"/>
                <w:sz w:val="22"/>
                <w:szCs w:val="22"/>
              </w:rPr>
              <w:t>5</w:t>
            </w:r>
          </w:p>
        </w:tc>
        <w:tc>
          <w:tcPr>
            <w:tcW w:w="1964" w:type="dxa"/>
          </w:tcPr>
          <w:p w14:paraId="48AB0FCF" w14:textId="77777777" w:rsidR="003D688B" w:rsidRPr="006C677D" w:rsidRDefault="003D688B" w:rsidP="003D688B">
            <w:pPr>
              <w:spacing w:line="240" w:lineRule="atLeast"/>
              <w:jc w:val="center"/>
              <w:rPr>
                <w:rFonts w:eastAsia="Times New Roman"/>
                <w:sz w:val="22"/>
                <w:szCs w:val="22"/>
              </w:rPr>
            </w:pPr>
            <w:r>
              <w:t>K.Suppl.1</w:t>
            </w:r>
          </w:p>
        </w:tc>
        <w:tc>
          <w:tcPr>
            <w:tcW w:w="6705" w:type="dxa"/>
          </w:tcPr>
          <w:p w14:paraId="658A5E53" w14:textId="77777777" w:rsidR="003D688B" w:rsidRPr="006C677D" w:rsidRDefault="003D688B" w:rsidP="003D688B">
            <w:pPr>
              <w:spacing w:line="240" w:lineRule="atLeast"/>
              <w:rPr>
                <w:rFonts w:eastAsia="Times New Roman"/>
                <w:sz w:val="22"/>
                <w:szCs w:val="22"/>
              </w:rPr>
            </w:pPr>
            <w:r>
              <w:t>Guide on electromagnetic fields and health</w:t>
            </w:r>
          </w:p>
        </w:tc>
      </w:tr>
      <w:tr w:rsidR="003D688B" w:rsidRPr="006C677D" w14:paraId="20F81CEC" w14:textId="77777777" w:rsidTr="00852332">
        <w:trPr>
          <w:cantSplit/>
        </w:trPr>
        <w:tc>
          <w:tcPr>
            <w:tcW w:w="845" w:type="dxa"/>
            <w:vAlign w:val="center"/>
          </w:tcPr>
          <w:p w14:paraId="3A922ECB" w14:textId="77777777" w:rsidR="003D688B" w:rsidRPr="006C677D" w:rsidRDefault="003D688B" w:rsidP="003D688B">
            <w:pPr>
              <w:jc w:val="center"/>
              <w:rPr>
                <w:rFonts w:eastAsia="Times New Roman"/>
                <w:sz w:val="22"/>
                <w:szCs w:val="22"/>
              </w:rPr>
            </w:pPr>
            <w:r>
              <w:rPr>
                <w:rFonts w:eastAsia="Times New Roman"/>
                <w:sz w:val="22"/>
                <w:szCs w:val="22"/>
              </w:rPr>
              <w:t>5</w:t>
            </w:r>
          </w:p>
        </w:tc>
        <w:tc>
          <w:tcPr>
            <w:tcW w:w="1964" w:type="dxa"/>
          </w:tcPr>
          <w:p w14:paraId="151A070D" w14:textId="77777777" w:rsidR="003D688B" w:rsidRPr="006C677D" w:rsidRDefault="003D688B" w:rsidP="003D688B">
            <w:pPr>
              <w:spacing w:line="240" w:lineRule="atLeast"/>
              <w:jc w:val="center"/>
              <w:rPr>
                <w:rFonts w:eastAsia="Times New Roman"/>
                <w:sz w:val="22"/>
                <w:szCs w:val="22"/>
              </w:rPr>
            </w:pPr>
            <w:r>
              <w:t>K.Suppl.20</w:t>
            </w:r>
          </w:p>
        </w:tc>
        <w:tc>
          <w:tcPr>
            <w:tcW w:w="6705" w:type="dxa"/>
          </w:tcPr>
          <w:p w14:paraId="228D4761" w14:textId="77777777" w:rsidR="003D688B" w:rsidRPr="006C677D" w:rsidRDefault="003D688B" w:rsidP="003D688B">
            <w:pPr>
              <w:spacing w:line="240" w:lineRule="atLeast"/>
              <w:rPr>
                <w:rFonts w:eastAsia="Times New Roman"/>
                <w:sz w:val="22"/>
                <w:szCs w:val="22"/>
              </w:rPr>
            </w:pPr>
            <w:r>
              <w:t>RF Exposure evaluation around base station installed underground</w:t>
            </w:r>
          </w:p>
        </w:tc>
      </w:tr>
    </w:tbl>
    <w:p w14:paraId="697A448D" w14:textId="77777777" w:rsidR="00B0022E" w:rsidRPr="00055F0A" w:rsidRDefault="00D12115" w:rsidP="003276F0">
      <w:pPr>
        <w:keepNext/>
        <w:keepLines/>
        <w:tabs>
          <w:tab w:val="left" w:pos="720"/>
          <w:tab w:val="left" w:pos="1440"/>
          <w:tab w:val="left" w:pos="2160"/>
          <w:tab w:val="left" w:pos="2880"/>
          <w:tab w:val="left" w:pos="4124"/>
        </w:tabs>
        <w:spacing w:before="240" w:after="120"/>
        <w:rPr>
          <w:b/>
          <w:lang w:eastAsia="zh-CN"/>
        </w:rPr>
      </w:pPr>
      <w:r w:rsidRPr="00055F0A">
        <w:rPr>
          <w:b/>
          <w:lang w:eastAsia="zh-CN"/>
        </w:rPr>
        <w:t>1.1.3</w:t>
      </w:r>
      <w:r w:rsidRPr="00055F0A">
        <w:rPr>
          <w:b/>
          <w:lang w:eastAsia="zh-CN"/>
        </w:rPr>
        <w:tab/>
        <w:t>Deleted Recommendations</w:t>
      </w:r>
    </w:p>
    <w:tbl>
      <w:tblPr>
        <w:tblW w:w="963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851"/>
        <w:gridCol w:w="1984"/>
        <w:gridCol w:w="6804"/>
      </w:tblGrid>
      <w:tr w:rsidR="00B0022E" w:rsidRPr="00055F0A" w14:paraId="471373F2" w14:textId="77777777" w:rsidTr="00CD75EE">
        <w:trPr>
          <w:cantSplit/>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12A4C59E" w14:textId="77777777" w:rsidR="00B0022E" w:rsidRPr="00055F0A" w:rsidRDefault="00D12115" w:rsidP="003276F0">
            <w:pPr>
              <w:pStyle w:val="Tablehead"/>
              <w:keepLines/>
              <w:spacing w:before="60" w:after="60"/>
              <w:rPr>
                <w:szCs w:val="22"/>
                <w:vertAlign w:val="superscript"/>
              </w:rPr>
            </w:pPr>
            <w:r w:rsidRPr="00055F0A">
              <w:rPr>
                <w:szCs w:val="22"/>
              </w:rPr>
              <w:t>SG</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14:paraId="563E038E" w14:textId="77777777" w:rsidR="00B0022E" w:rsidRPr="00055F0A" w:rsidRDefault="00D12115" w:rsidP="003276F0">
            <w:pPr>
              <w:pStyle w:val="Tablehead"/>
              <w:keepLines/>
              <w:spacing w:before="60" w:after="60"/>
              <w:rPr>
                <w:szCs w:val="22"/>
              </w:rPr>
            </w:pPr>
            <w:r w:rsidRPr="00055F0A">
              <w:rPr>
                <w:szCs w:val="22"/>
                <w:lang w:eastAsia="ko-KR"/>
              </w:rPr>
              <w:t>No.</w:t>
            </w:r>
          </w:p>
        </w:tc>
        <w:tc>
          <w:tcPr>
            <w:tcW w:w="6804" w:type="dxa"/>
            <w:tcBorders>
              <w:top w:val="single" w:sz="4" w:space="0" w:color="auto"/>
              <w:left w:val="single" w:sz="4" w:space="0" w:color="auto"/>
              <w:bottom w:val="single" w:sz="4" w:space="0" w:color="auto"/>
              <w:right w:val="single" w:sz="4" w:space="0" w:color="auto"/>
            </w:tcBorders>
            <w:shd w:val="clear" w:color="auto" w:fill="D9D9D9"/>
            <w:vAlign w:val="center"/>
          </w:tcPr>
          <w:p w14:paraId="241B5187" w14:textId="77777777" w:rsidR="00B0022E" w:rsidRPr="00055F0A" w:rsidRDefault="00D12115" w:rsidP="003276F0">
            <w:pPr>
              <w:pStyle w:val="Tablehead"/>
              <w:keepLines/>
              <w:spacing w:before="60" w:after="60"/>
              <w:rPr>
                <w:szCs w:val="22"/>
              </w:rPr>
            </w:pPr>
            <w:r w:rsidRPr="00055F0A">
              <w:rPr>
                <w:szCs w:val="22"/>
              </w:rPr>
              <w:t>Title</w:t>
            </w:r>
          </w:p>
        </w:tc>
      </w:tr>
      <w:tr w:rsidR="00B0022E" w:rsidRPr="00055F0A" w14:paraId="0CE6CB93" w14:textId="77777777">
        <w:trPr>
          <w:cantSplit/>
        </w:trPr>
        <w:tc>
          <w:tcPr>
            <w:tcW w:w="851" w:type="dxa"/>
            <w:tcBorders>
              <w:top w:val="single" w:sz="4" w:space="0" w:color="auto"/>
              <w:left w:val="single" w:sz="4" w:space="0" w:color="auto"/>
              <w:bottom w:val="single" w:sz="4" w:space="0" w:color="auto"/>
              <w:right w:val="single" w:sz="4" w:space="0" w:color="auto"/>
            </w:tcBorders>
            <w:vAlign w:val="center"/>
          </w:tcPr>
          <w:p w14:paraId="5053E4D4" w14:textId="77777777" w:rsidR="00B0022E" w:rsidRPr="00055F0A" w:rsidRDefault="00D12115" w:rsidP="003276F0">
            <w:pPr>
              <w:pStyle w:val="Tabletext"/>
              <w:keepNext/>
              <w:keepLines/>
              <w:jc w:val="center"/>
              <w:rPr>
                <w:szCs w:val="22"/>
              </w:rPr>
            </w:pPr>
            <w:r w:rsidRPr="00055F0A">
              <w:rPr>
                <w:szCs w:val="22"/>
              </w:rPr>
              <w:t>None</w:t>
            </w:r>
          </w:p>
        </w:tc>
        <w:tc>
          <w:tcPr>
            <w:tcW w:w="1984" w:type="dxa"/>
            <w:tcBorders>
              <w:top w:val="single" w:sz="4" w:space="0" w:color="auto"/>
              <w:left w:val="single" w:sz="4" w:space="0" w:color="auto"/>
              <w:bottom w:val="single" w:sz="4" w:space="0" w:color="auto"/>
              <w:right w:val="single" w:sz="4" w:space="0" w:color="auto"/>
            </w:tcBorders>
            <w:vAlign w:val="center"/>
          </w:tcPr>
          <w:p w14:paraId="3D7E71A8" w14:textId="77777777" w:rsidR="00B0022E" w:rsidRPr="00055F0A" w:rsidRDefault="00B0022E" w:rsidP="003276F0">
            <w:pPr>
              <w:pStyle w:val="Tabletext"/>
              <w:keepNext/>
              <w:keepLines/>
              <w:widowControl w:val="0"/>
              <w:jc w:val="center"/>
              <w:rPr>
                <w:szCs w:val="22"/>
              </w:rPr>
            </w:pPr>
          </w:p>
        </w:tc>
        <w:tc>
          <w:tcPr>
            <w:tcW w:w="6804" w:type="dxa"/>
            <w:tcBorders>
              <w:top w:val="single" w:sz="4" w:space="0" w:color="auto"/>
              <w:left w:val="single" w:sz="4" w:space="0" w:color="auto"/>
              <w:bottom w:val="single" w:sz="4" w:space="0" w:color="auto"/>
              <w:right w:val="single" w:sz="4" w:space="0" w:color="auto"/>
            </w:tcBorders>
            <w:vAlign w:val="center"/>
          </w:tcPr>
          <w:p w14:paraId="36DB0F4D" w14:textId="77777777" w:rsidR="00B0022E" w:rsidRPr="00055F0A" w:rsidRDefault="00B0022E" w:rsidP="003276F0">
            <w:pPr>
              <w:pStyle w:val="Tabletext"/>
              <w:keepNext/>
              <w:keepLines/>
              <w:rPr>
                <w:szCs w:val="22"/>
              </w:rPr>
            </w:pPr>
          </w:p>
        </w:tc>
      </w:tr>
    </w:tbl>
    <w:p w14:paraId="0D1C8EA3" w14:textId="77777777" w:rsidR="00B0022E" w:rsidRPr="00055F0A" w:rsidRDefault="00953186">
      <w:pPr>
        <w:tabs>
          <w:tab w:val="left" w:pos="720"/>
          <w:tab w:val="left" w:pos="1440"/>
          <w:tab w:val="left" w:pos="2160"/>
          <w:tab w:val="left" w:pos="2880"/>
          <w:tab w:val="left" w:pos="4124"/>
        </w:tabs>
        <w:spacing w:before="240" w:after="120"/>
        <w:rPr>
          <w:b/>
          <w:lang w:eastAsia="zh-CN"/>
        </w:rPr>
      </w:pPr>
      <w:r w:rsidRPr="00055F0A">
        <w:rPr>
          <w:b/>
          <w:lang w:eastAsia="zh-CN"/>
        </w:rPr>
        <w:t>1.1.4</w:t>
      </w:r>
      <w:r w:rsidRPr="00055F0A">
        <w:rPr>
          <w:b/>
          <w:lang w:eastAsia="zh-CN"/>
        </w:rPr>
        <w:tab/>
        <w:t>Discontinued Supplement</w:t>
      </w:r>
    </w:p>
    <w:tbl>
      <w:tblPr>
        <w:tblW w:w="963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851"/>
        <w:gridCol w:w="1984"/>
        <w:gridCol w:w="6804"/>
      </w:tblGrid>
      <w:tr w:rsidR="00B0022E" w:rsidRPr="00055F0A" w14:paraId="3A465F9A" w14:textId="77777777" w:rsidTr="00CD75EE">
        <w:trPr>
          <w:cantSplit/>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1B98BA97" w14:textId="77777777" w:rsidR="00B0022E" w:rsidRPr="00055F0A" w:rsidRDefault="00D12115">
            <w:pPr>
              <w:pStyle w:val="Tablehead"/>
              <w:spacing w:before="60" w:after="60"/>
              <w:rPr>
                <w:szCs w:val="22"/>
                <w:vertAlign w:val="superscript"/>
              </w:rPr>
            </w:pPr>
            <w:r w:rsidRPr="00055F0A">
              <w:rPr>
                <w:szCs w:val="22"/>
              </w:rPr>
              <w:lastRenderedPageBreak/>
              <w:t>SG</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14:paraId="4D3AEF3F" w14:textId="77777777" w:rsidR="00B0022E" w:rsidRPr="00055F0A" w:rsidRDefault="00D12115">
            <w:pPr>
              <w:pStyle w:val="Tablehead"/>
              <w:spacing w:before="60" w:after="60"/>
              <w:rPr>
                <w:szCs w:val="22"/>
              </w:rPr>
            </w:pPr>
            <w:r w:rsidRPr="00055F0A">
              <w:rPr>
                <w:szCs w:val="22"/>
                <w:lang w:eastAsia="ko-KR"/>
              </w:rPr>
              <w:t>No.</w:t>
            </w:r>
          </w:p>
        </w:tc>
        <w:tc>
          <w:tcPr>
            <w:tcW w:w="6804" w:type="dxa"/>
            <w:tcBorders>
              <w:top w:val="single" w:sz="4" w:space="0" w:color="auto"/>
              <w:left w:val="single" w:sz="4" w:space="0" w:color="auto"/>
              <w:bottom w:val="single" w:sz="4" w:space="0" w:color="auto"/>
              <w:right w:val="single" w:sz="4" w:space="0" w:color="auto"/>
            </w:tcBorders>
            <w:shd w:val="clear" w:color="auto" w:fill="D9D9D9"/>
            <w:vAlign w:val="center"/>
          </w:tcPr>
          <w:p w14:paraId="68F92D29" w14:textId="77777777" w:rsidR="00B0022E" w:rsidRPr="00055F0A" w:rsidRDefault="00D12115">
            <w:pPr>
              <w:pStyle w:val="Tablehead"/>
              <w:spacing w:before="60" w:after="60"/>
              <w:rPr>
                <w:szCs w:val="22"/>
              </w:rPr>
            </w:pPr>
            <w:r w:rsidRPr="00055F0A">
              <w:rPr>
                <w:szCs w:val="22"/>
              </w:rPr>
              <w:t>Title</w:t>
            </w:r>
          </w:p>
        </w:tc>
      </w:tr>
      <w:tr w:rsidR="00B0022E" w:rsidRPr="00055F0A" w14:paraId="2E86E8EE" w14:textId="77777777">
        <w:trPr>
          <w:cantSplit/>
        </w:trPr>
        <w:tc>
          <w:tcPr>
            <w:tcW w:w="851" w:type="dxa"/>
            <w:tcBorders>
              <w:top w:val="single" w:sz="4" w:space="0" w:color="auto"/>
              <w:left w:val="single" w:sz="4" w:space="0" w:color="auto"/>
              <w:bottom w:val="single" w:sz="4" w:space="0" w:color="auto"/>
              <w:right w:val="single" w:sz="4" w:space="0" w:color="auto"/>
            </w:tcBorders>
            <w:vAlign w:val="center"/>
          </w:tcPr>
          <w:p w14:paraId="38CE6B64" w14:textId="77777777" w:rsidR="00B0022E" w:rsidRPr="00055F0A" w:rsidRDefault="00D43D52">
            <w:pPr>
              <w:pStyle w:val="Tabletext"/>
              <w:jc w:val="center"/>
              <w:rPr>
                <w:szCs w:val="22"/>
              </w:rPr>
            </w:pPr>
            <w:r w:rsidRPr="00055F0A">
              <w:rPr>
                <w:szCs w:val="22"/>
              </w:rPr>
              <w:t>None</w:t>
            </w:r>
          </w:p>
        </w:tc>
        <w:tc>
          <w:tcPr>
            <w:tcW w:w="1984" w:type="dxa"/>
            <w:tcBorders>
              <w:top w:val="single" w:sz="4" w:space="0" w:color="auto"/>
              <w:left w:val="single" w:sz="4" w:space="0" w:color="auto"/>
              <w:bottom w:val="single" w:sz="4" w:space="0" w:color="auto"/>
              <w:right w:val="single" w:sz="4" w:space="0" w:color="auto"/>
            </w:tcBorders>
            <w:vAlign w:val="center"/>
          </w:tcPr>
          <w:p w14:paraId="61FAAA00" w14:textId="77777777" w:rsidR="00B0022E" w:rsidRPr="00055F0A" w:rsidRDefault="00B0022E">
            <w:pPr>
              <w:pStyle w:val="Tabletext"/>
              <w:keepNext/>
              <w:keepLines/>
              <w:widowControl w:val="0"/>
              <w:jc w:val="center"/>
              <w:rPr>
                <w:szCs w:val="22"/>
                <w:lang w:val="fr-CH"/>
              </w:rPr>
            </w:pPr>
          </w:p>
        </w:tc>
        <w:tc>
          <w:tcPr>
            <w:tcW w:w="6804" w:type="dxa"/>
            <w:tcBorders>
              <w:top w:val="single" w:sz="4" w:space="0" w:color="auto"/>
              <w:left w:val="single" w:sz="4" w:space="0" w:color="auto"/>
              <w:bottom w:val="single" w:sz="4" w:space="0" w:color="auto"/>
              <w:right w:val="single" w:sz="4" w:space="0" w:color="auto"/>
            </w:tcBorders>
            <w:vAlign w:val="center"/>
          </w:tcPr>
          <w:p w14:paraId="6858B78F" w14:textId="77777777" w:rsidR="00B0022E" w:rsidRPr="00055F0A" w:rsidRDefault="00B0022E">
            <w:pPr>
              <w:pStyle w:val="Tabletext"/>
              <w:keepNext/>
              <w:keepLines/>
              <w:rPr>
                <w:szCs w:val="22"/>
              </w:rPr>
            </w:pPr>
          </w:p>
        </w:tc>
      </w:tr>
    </w:tbl>
    <w:p w14:paraId="08A2AF3B" w14:textId="77777777" w:rsidR="00B0022E" w:rsidRPr="00055F0A" w:rsidRDefault="00D12115">
      <w:pPr>
        <w:spacing w:before="240" w:after="120"/>
        <w:rPr>
          <w:b/>
          <w:lang w:eastAsia="zh-CN"/>
        </w:rPr>
      </w:pPr>
      <w:r w:rsidRPr="00055F0A">
        <w:rPr>
          <w:b/>
          <w:lang w:eastAsia="zh-CN"/>
        </w:rPr>
        <w:t>1.1.5</w:t>
      </w:r>
      <w:r w:rsidRPr="00055F0A">
        <w:rPr>
          <w:b/>
          <w:lang w:eastAsia="zh-CN"/>
        </w:rPr>
        <w:tab/>
        <w:t>Recommendations consented (in AAP Last Call)</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6804"/>
      </w:tblGrid>
      <w:tr w:rsidR="00B0022E" w:rsidRPr="00055F0A" w14:paraId="09C9A965" w14:textId="77777777" w:rsidTr="00CD75EE">
        <w:trPr>
          <w:cantSplit/>
          <w:tblHeader/>
        </w:trPr>
        <w:tc>
          <w:tcPr>
            <w:tcW w:w="851" w:type="dxa"/>
            <w:shd w:val="clear" w:color="auto" w:fill="D9D9D9"/>
          </w:tcPr>
          <w:p w14:paraId="642929D2" w14:textId="77777777" w:rsidR="00B0022E" w:rsidRPr="00055F0A" w:rsidRDefault="00D12115">
            <w:pPr>
              <w:spacing w:before="40" w:after="40"/>
              <w:jc w:val="center"/>
              <w:rPr>
                <w:b/>
                <w:bCs/>
                <w:color w:val="000000"/>
                <w:sz w:val="22"/>
                <w:szCs w:val="22"/>
              </w:rPr>
            </w:pPr>
            <w:r w:rsidRPr="00055F0A">
              <w:rPr>
                <w:b/>
                <w:bCs/>
                <w:color w:val="000000"/>
                <w:sz w:val="22"/>
                <w:szCs w:val="22"/>
              </w:rPr>
              <w:t>SG</w:t>
            </w:r>
          </w:p>
        </w:tc>
        <w:tc>
          <w:tcPr>
            <w:tcW w:w="1984" w:type="dxa"/>
            <w:shd w:val="clear" w:color="auto" w:fill="D9D9D9"/>
          </w:tcPr>
          <w:p w14:paraId="1A3650C2" w14:textId="77777777" w:rsidR="00B0022E" w:rsidRPr="00055F0A" w:rsidRDefault="00D12115">
            <w:pPr>
              <w:spacing w:before="40" w:after="40"/>
              <w:jc w:val="center"/>
              <w:rPr>
                <w:color w:val="000000"/>
                <w:sz w:val="22"/>
                <w:szCs w:val="22"/>
              </w:rPr>
            </w:pPr>
            <w:r w:rsidRPr="00055F0A">
              <w:rPr>
                <w:b/>
                <w:bCs/>
                <w:color w:val="000000"/>
                <w:sz w:val="22"/>
                <w:szCs w:val="22"/>
              </w:rPr>
              <w:t>No</w:t>
            </w:r>
          </w:p>
        </w:tc>
        <w:tc>
          <w:tcPr>
            <w:tcW w:w="6804" w:type="dxa"/>
            <w:shd w:val="clear" w:color="auto" w:fill="D9D9D9"/>
          </w:tcPr>
          <w:p w14:paraId="30C4D26F" w14:textId="77777777" w:rsidR="00B0022E" w:rsidRPr="00055F0A" w:rsidRDefault="00D12115">
            <w:pPr>
              <w:spacing w:before="40" w:after="40"/>
              <w:jc w:val="center"/>
              <w:rPr>
                <w:color w:val="000000"/>
                <w:sz w:val="22"/>
                <w:szCs w:val="22"/>
              </w:rPr>
            </w:pPr>
            <w:r w:rsidRPr="00055F0A">
              <w:rPr>
                <w:b/>
                <w:bCs/>
                <w:color w:val="000000"/>
                <w:sz w:val="22"/>
                <w:szCs w:val="22"/>
              </w:rPr>
              <w:t>Title</w:t>
            </w:r>
          </w:p>
        </w:tc>
      </w:tr>
      <w:tr w:rsidR="003D688B" w:rsidRPr="00055F0A" w14:paraId="25C6EF4B" w14:textId="77777777" w:rsidTr="00052697">
        <w:tblPrEx>
          <w:tblCellMar>
            <w:top w:w="29" w:type="dxa"/>
            <w:left w:w="115" w:type="dxa"/>
            <w:bottom w:w="29" w:type="dxa"/>
            <w:right w:w="115" w:type="dxa"/>
          </w:tblCellMar>
        </w:tblPrEx>
        <w:trPr>
          <w:cantSplit/>
        </w:trPr>
        <w:tc>
          <w:tcPr>
            <w:tcW w:w="851" w:type="dxa"/>
            <w:vAlign w:val="center"/>
          </w:tcPr>
          <w:p w14:paraId="18743C98" w14:textId="77777777" w:rsidR="003D688B" w:rsidRPr="009C4249" w:rsidRDefault="003D688B" w:rsidP="003D688B">
            <w:pPr>
              <w:spacing w:before="40" w:after="40"/>
              <w:jc w:val="center"/>
              <w:rPr>
                <w:rFonts w:eastAsia="MS Mincho"/>
              </w:rPr>
            </w:pPr>
            <w:r w:rsidRPr="009C4249">
              <w:rPr>
                <w:rFonts w:eastAsia="MS Mincho"/>
              </w:rPr>
              <w:t>5</w:t>
            </w:r>
          </w:p>
        </w:tc>
        <w:tc>
          <w:tcPr>
            <w:tcW w:w="1984" w:type="dxa"/>
            <w:shd w:val="clear" w:color="auto" w:fill="FFFFFF"/>
            <w:vAlign w:val="center"/>
          </w:tcPr>
          <w:p w14:paraId="3E454FD6" w14:textId="77777777" w:rsidR="003D688B" w:rsidRPr="009C4249" w:rsidRDefault="003D688B" w:rsidP="00052697">
            <w:pPr>
              <w:spacing w:before="0" w:line="240" w:lineRule="atLeast"/>
              <w:jc w:val="center"/>
              <w:rPr>
                <w:rFonts w:eastAsia="MS Mincho"/>
                <w:color w:val="000000"/>
                <w:lang w:val="en-US"/>
              </w:rPr>
            </w:pPr>
            <w:r w:rsidRPr="009C4249">
              <w:rPr>
                <w:color w:val="444444"/>
              </w:rPr>
              <w:t>K.56</w:t>
            </w:r>
            <w:r w:rsidR="00852332">
              <w:rPr>
                <w:color w:val="444444"/>
              </w:rPr>
              <w:t xml:space="preserve"> (rev.)</w:t>
            </w:r>
          </w:p>
        </w:tc>
        <w:tc>
          <w:tcPr>
            <w:tcW w:w="6804" w:type="dxa"/>
            <w:shd w:val="clear" w:color="auto" w:fill="FFFFFF"/>
          </w:tcPr>
          <w:p w14:paraId="04149C90" w14:textId="77777777" w:rsidR="003D688B" w:rsidRPr="009C4249" w:rsidRDefault="003D688B" w:rsidP="003D688B">
            <w:pPr>
              <w:spacing w:line="240" w:lineRule="atLeast"/>
              <w:rPr>
                <w:rFonts w:eastAsia="MS Mincho"/>
                <w:color w:val="000000"/>
              </w:rPr>
            </w:pPr>
            <w:r w:rsidRPr="009C4249">
              <w:rPr>
                <w:color w:val="444444"/>
              </w:rPr>
              <w:t>Protection of radio base stations against lightning discharges</w:t>
            </w:r>
          </w:p>
        </w:tc>
      </w:tr>
      <w:tr w:rsidR="003D688B" w:rsidRPr="00055F0A" w14:paraId="44652279" w14:textId="77777777" w:rsidTr="00052697">
        <w:tblPrEx>
          <w:tblCellMar>
            <w:top w:w="29" w:type="dxa"/>
            <w:left w:w="115" w:type="dxa"/>
            <w:bottom w:w="29" w:type="dxa"/>
            <w:right w:w="115" w:type="dxa"/>
          </w:tblCellMar>
        </w:tblPrEx>
        <w:trPr>
          <w:cantSplit/>
        </w:trPr>
        <w:tc>
          <w:tcPr>
            <w:tcW w:w="851" w:type="dxa"/>
            <w:vAlign w:val="center"/>
          </w:tcPr>
          <w:p w14:paraId="5BD6E5D0" w14:textId="77777777" w:rsidR="003D688B" w:rsidRPr="009C4249" w:rsidRDefault="003D688B" w:rsidP="003D688B">
            <w:pPr>
              <w:spacing w:before="40" w:after="40"/>
              <w:jc w:val="center"/>
              <w:rPr>
                <w:rFonts w:eastAsia="MS Mincho"/>
              </w:rPr>
            </w:pPr>
            <w:r w:rsidRPr="009C4249">
              <w:rPr>
                <w:rFonts w:eastAsia="MS Mincho"/>
              </w:rPr>
              <w:t>5</w:t>
            </w:r>
          </w:p>
        </w:tc>
        <w:tc>
          <w:tcPr>
            <w:tcW w:w="1984" w:type="dxa"/>
            <w:shd w:val="clear" w:color="auto" w:fill="FFFFFF"/>
            <w:vAlign w:val="center"/>
          </w:tcPr>
          <w:p w14:paraId="5E3B4709" w14:textId="77777777" w:rsidR="003D688B" w:rsidRPr="009C4249" w:rsidRDefault="003D688B" w:rsidP="00052697">
            <w:pPr>
              <w:spacing w:before="0" w:line="240" w:lineRule="atLeast"/>
              <w:jc w:val="center"/>
              <w:rPr>
                <w:rFonts w:eastAsia="MS Mincho"/>
                <w:color w:val="000000"/>
                <w:lang w:val="en-US"/>
              </w:rPr>
            </w:pPr>
            <w:r w:rsidRPr="009C4249">
              <w:rPr>
                <w:color w:val="444444"/>
              </w:rPr>
              <w:t>K.112</w:t>
            </w:r>
            <w:r w:rsidR="00852332">
              <w:rPr>
                <w:color w:val="444444"/>
              </w:rPr>
              <w:t xml:space="preserve"> (rev.)</w:t>
            </w:r>
          </w:p>
        </w:tc>
        <w:tc>
          <w:tcPr>
            <w:tcW w:w="6804" w:type="dxa"/>
            <w:shd w:val="clear" w:color="auto" w:fill="FFFFFF"/>
          </w:tcPr>
          <w:p w14:paraId="23210262" w14:textId="77777777" w:rsidR="003D688B" w:rsidRPr="009C4249" w:rsidRDefault="003D688B" w:rsidP="003D688B">
            <w:pPr>
              <w:spacing w:line="240" w:lineRule="atLeast"/>
              <w:rPr>
                <w:rFonts w:eastAsia="MS Mincho"/>
                <w:color w:val="000000"/>
              </w:rPr>
            </w:pPr>
            <w:r w:rsidRPr="009C4249">
              <w:rPr>
                <w:color w:val="444444"/>
              </w:rPr>
              <w:t>Lightning protection, earthing and bonding: Practical procedures for radio base stations</w:t>
            </w:r>
          </w:p>
        </w:tc>
      </w:tr>
    </w:tbl>
    <w:p w14:paraId="76E8509F" w14:textId="77777777" w:rsidR="00B0022E" w:rsidRPr="00055F0A" w:rsidRDefault="00D12115" w:rsidP="00E752C5">
      <w:pPr>
        <w:spacing w:before="0" w:after="160" w:line="259" w:lineRule="auto"/>
        <w:rPr>
          <w:b/>
          <w:lang w:eastAsia="zh-CN"/>
        </w:rPr>
      </w:pPr>
      <w:r w:rsidRPr="00055F0A">
        <w:rPr>
          <w:b/>
          <w:lang w:eastAsia="zh-CN"/>
        </w:rPr>
        <w:br w:type="page"/>
      </w:r>
      <w:r w:rsidRPr="00055F0A">
        <w:rPr>
          <w:b/>
          <w:lang w:eastAsia="zh-CN"/>
        </w:rPr>
        <w:lastRenderedPageBreak/>
        <w:t>1.2</w:t>
      </w:r>
      <w:r w:rsidRPr="00055F0A">
        <w:rPr>
          <w:b/>
          <w:lang w:eastAsia="zh-CN"/>
        </w:rPr>
        <w:tab/>
        <w:t xml:space="preserve">WP2/5 - Environment, Energy </w:t>
      </w:r>
      <w:proofErr w:type="gramStart"/>
      <w:r w:rsidRPr="00055F0A">
        <w:rPr>
          <w:b/>
          <w:lang w:eastAsia="zh-CN"/>
        </w:rPr>
        <w:t>Efficiency</w:t>
      </w:r>
      <w:proofErr w:type="gramEnd"/>
      <w:r w:rsidRPr="00055F0A">
        <w:rPr>
          <w:b/>
          <w:lang w:eastAsia="zh-CN"/>
        </w:rPr>
        <w:t xml:space="preserve"> and the Circular Economy</w:t>
      </w:r>
    </w:p>
    <w:p w14:paraId="4969EDB4" w14:textId="77777777" w:rsidR="00B0022E" w:rsidRPr="00055F0A" w:rsidRDefault="00D12115">
      <w:pPr>
        <w:spacing w:before="240" w:after="120"/>
        <w:rPr>
          <w:rFonts w:eastAsia="MS Mincho"/>
          <w:b/>
          <w:color w:val="000000"/>
        </w:rPr>
      </w:pPr>
      <w:r w:rsidRPr="00055F0A">
        <w:rPr>
          <w:b/>
          <w:lang w:eastAsia="zh-CN"/>
        </w:rPr>
        <w:t>1.2.1</w:t>
      </w:r>
      <w:r w:rsidRPr="00055F0A">
        <w:rPr>
          <w:b/>
          <w:lang w:eastAsia="zh-CN"/>
        </w:rPr>
        <w:tab/>
      </w:r>
      <w:r w:rsidRPr="00055F0A">
        <w:rPr>
          <w:b/>
          <w:color w:val="000000"/>
        </w:rPr>
        <w:t>Recommendations approved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6804"/>
      </w:tblGrid>
      <w:tr w:rsidR="00B0022E" w:rsidRPr="006C677D" w14:paraId="2DD97A86" w14:textId="77777777" w:rsidTr="00CD75EE">
        <w:trPr>
          <w:cantSplit/>
          <w:tblHeader/>
        </w:trPr>
        <w:tc>
          <w:tcPr>
            <w:tcW w:w="851" w:type="dxa"/>
            <w:shd w:val="clear" w:color="auto" w:fill="D9D9D9"/>
          </w:tcPr>
          <w:p w14:paraId="7FD0FBA9" w14:textId="77777777" w:rsidR="00B0022E" w:rsidRPr="006C677D" w:rsidRDefault="00D12115">
            <w:pPr>
              <w:jc w:val="center"/>
              <w:rPr>
                <w:b/>
                <w:bCs/>
                <w:sz w:val="22"/>
                <w:szCs w:val="22"/>
              </w:rPr>
            </w:pPr>
            <w:r w:rsidRPr="006C677D">
              <w:rPr>
                <w:b/>
                <w:bCs/>
                <w:sz w:val="22"/>
                <w:szCs w:val="22"/>
              </w:rPr>
              <w:t>SG</w:t>
            </w:r>
          </w:p>
        </w:tc>
        <w:tc>
          <w:tcPr>
            <w:tcW w:w="1984" w:type="dxa"/>
            <w:shd w:val="clear" w:color="auto" w:fill="D9D9D9"/>
          </w:tcPr>
          <w:p w14:paraId="0F538A78" w14:textId="77777777" w:rsidR="00B0022E" w:rsidRPr="006C677D" w:rsidRDefault="00D12115">
            <w:pPr>
              <w:jc w:val="center"/>
              <w:rPr>
                <w:sz w:val="22"/>
                <w:szCs w:val="22"/>
              </w:rPr>
            </w:pPr>
            <w:r w:rsidRPr="006C677D">
              <w:rPr>
                <w:b/>
                <w:bCs/>
                <w:sz w:val="22"/>
                <w:szCs w:val="22"/>
              </w:rPr>
              <w:t>No</w:t>
            </w:r>
          </w:p>
        </w:tc>
        <w:tc>
          <w:tcPr>
            <w:tcW w:w="6804" w:type="dxa"/>
            <w:shd w:val="clear" w:color="auto" w:fill="D9D9D9"/>
          </w:tcPr>
          <w:p w14:paraId="12F3CBAD" w14:textId="77777777" w:rsidR="00B0022E" w:rsidRPr="006C677D" w:rsidRDefault="00D12115">
            <w:pPr>
              <w:jc w:val="center"/>
              <w:rPr>
                <w:sz w:val="22"/>
                <w:szCs w:val="22"/>
              </w:rPr>
            </w:pPr>
            <w:r w:rsidRPr="006C677D">
              <w:rPr>
                <w:b/>
                <w:bCs/>
                <w:sz w:val="22"/>
                <w:szCs w:val="22"/>
              </w:rPr>
              <w:t>Title</w:t>
            </w:r>
          </w:p>
        </w:tc>
      </w:tr>
      <w:tr w:rsidR="009C4249" w:rsidRPr="006C677D" w14:paraId="4616E97B" w14:textId="77777777" w:rsidTr="00052697">
        <w:tblPrEx>
          <w:tblCellMar>
            <w:top w:w="29" w:type="dxa"/>
            <w:left w:w="115" w:type="dxa"/>
            <w:bottom w:w="29" w:type="dxa"/>
            <w:right w:w="115" w:type="dxa"/>
          </w:tblCellMar>
        </w:tblPrEx>
        <w:trPr>
          <w:cantSplit/>
        </w:trPr>
        <w:tc>
          <w:tcPr>
            <w:tcW w:w="851" w:type="dxa"/>
            <w:vAlign w:val="center"/>
          </w:tcPr>
          <w:p w14:paraId="0B3E35E2" w14:textId="77777777" w:rsidR="009C4249" w:rsidRPr="006C677D" w:rsidRDefault="009C4249" w:rsidP="009C4249">
            <w:pPr>
              <w:jc w:val="center"/>
              <w:rPr>
                <w:rFonts w:eastAsia="Times New Roman"/>
                <w:sz w:val="22"/>
                <w:szCs w:val="22"/>
              </w:rPr>
            </w:pPr>
            <w:r>
              <w:rPr>
                <w:rFonts w:eastAsia="Times New Roman"/>
                <w:sz w:val="22"/>
                <w:szCs w:val="22"/>
              </w:rPr>
              <w:t>5</w:t>
            </w:r>
          </w:p>
        </w:tc>
        <w:tc>
          <w:tcPr>
            <w:tcW w:w="1984" w:type="dxa"/>
            <w:vAlign w:val="center"/>
          </w:tcPr>
          <w:p w14:paraId="6CA5D25A" w14:textId="77777777" w:rsidR="009C4249" w:rsidRPr="006C677D" w:rsidRDefault="009C4249" w:rsidP="00052697">
            <w:pPr>
              <w:spacing w:line="240" w:lineRule="atLeast"/>
              <w:jc w:val="center"/>
              <w:rPr>
                <w:rFonts w:eastAsia="Times New Roman"/>
                <w:sz w:val="22"/>
                <w:szCs w:val="22"/>
              </w:rPr>
            </w:pPr>
            <w:r>
              <w:t>L.1381</w:t>
            </w:r>
          </w:p>
        </w:tc>
        <w:tc>
          <w:tcPr>
            <w:tcW w:w="6804" w:type="dxa"/>
          </w:tcPr>
          <w:p w14:paraId="3083A9D4" w14:textId="77777777" w:rsidR="009C4249" w:rsidRPr="006C677D" w:rsidRDefault="009C4249" w:rsidP="009C4249">
            <w:pPr>
              <w:spacing w:line="240" w:lineRule="atLeast"/>
              <w:rPr>
                <w:rFonts w:eastAsia="Times New Roman"/>
                <w:sz w:val="22"/>
                <w:szCs w:val="22"/>
              </w:rPr>
            </w:pPr>
            <w:r>
              <w:t>Smart energy solution for data centre</w:t>
            </w:r>
          </w:p>
        </w:tc>
      </w:tr>
      <w:tr w:rsidR="00E56C1F" w:rsidRPr="006C677D" w14:paraId="6F664F79" w14:textId="77777777" w:rsidTr="00052697">
        <w:tblPrEx>
          <w:tblCellMar>
            <w:top w:w="29" w:type="dxa"/>
            <w:left w:w="115" w:type="dxa"/>
            <w:bottom w:w="29" w:type="dxa"/>
            <w:right w:w="115" w:type="dxa"/>
          </w:tblCellMar>
        </w:tblPrEx>
        <w:trPr>
          <w:cantSplit/>
        </w:trPr>
        <w:tc>
          <w:tcPr>
            <w:tcW w:w="851" w:type="dxa"/>
            <w:vAlign w:val="center"/>
          </w:tcPr>
          <w:p w14:paraId="7807E7C0" w14:textId="77777777" w:rsidR="00E56C1F" w:rsidRDefault="00E56C1F" w:rsidP="00E56C1F">
            <w:pPr>
              <w:jc w:val="center"/>
              <w:rPr>
                <w:rFonts w:eastAsia="Times New Roman"/>
                <w:sz w:val="22"/>
                <w:szCs w:val="22"/>
              </w:rPr>
            </w:pPr>
            <w:r>
              <w:rPr>
                <w:rFonts w:eastAsia="Times New Roman"/>
                <w:sz w:val="22"/>
                <w:szCs w:val="22"/>
              </w:rPr>
              <w:t>5</w:t>
            </w:r>
          </w:p>
        </w:tc>
        <w:tc>
          <w:tcPr>
            <w:tcW w:w="1984" w:type="dxa"/>
            <w:vAlign w:val="center"/>
          </w:tcPr>
          <w:p w14:paraId="6252A94F" w14:textId="77777777" w:rsidR="00E56C1F" w:rsidRDefault="00E56C1F" w:rsidP="00052697">
            <w:pPr>
              <w:spacing w:line="240" w:lineRule="atLeast"/>
              <w:jc w:val="center"/>
            </w:pPr>
            <w:r>
              <w:t>L.1382</w:t>
            </w:r>
          </w:p>
        </w:tc>
        <w:tc>
          <w:tcPr>
            <w:tcW w:w="6804" w:type="dxa"/>
          </w:tcPr>
          <w:p w14:paraId="18361F95" w14:textId="77777777" w:rsidR="00E56C1F" w:rsidRDefault="00E56C1F" w:rsidP="00E56C1F">
            <w:pPr>
              <w:spacing w:line="240" w:lineRule="atLeast"/>
            </w:pPr>
            <w:r>
              <w:t>Smart energy solution for telecommunication rooms</w:t>
            </w:r>
          </w:p>
        </w:tc>
      </w:tr>
      <w:tr w:rsidR="00E56C1F" w:rsidRPr="006C677D" w14:paraId="00D8AD1F" w14:textId="77777777" w:rsidTr="00052697">
        <w:tblPrEx>
          <w:tblCellMar>
            <w:top w:w="29" w:type="dxa"/>
            <w:left w:w="115" w:type="dxa"/>
            <w:bottom w:w="29" w:type="dxa"/>
            <w:right w:w="115" w:type="dxa"/>
          </w:tblCellMar>
        </w:tblPrEx>
        <w:trPr>
          <w:cantSplit/>
        </w:trPr>
        <w:tc>
          <w:tcPr>
            <w:tcW w:w="851" w:type="dxa"/>
            <w:vAlign w:val="center"/>
          </w:tcPr>
          <w:p w14:paraId="4303C593" w14:textId="77777777" w:rsidR="00E56C1F" w:rsidRPr="006C677D" w:rsidRDefault="00E56C1F" w:rsidP="00E56C1F">
            <w:pPr>
              <w:jc w:val="center"/>
              <w:rPr>
                <w:rFonts w:eastAsia="Times New Roman"/>
                <w:sz w:val="22"/>
                <w:szCs w:val="22"/>
              </w:rPr>
            </w:pPr>
            <w:r>
              <w:rPr>
                <w:rFonts w:eastAsia="Times New Roman"/>
                <w:sz w:val="22"/>
                <w:szCs w:val="22"/>
              </w:rPr>
              <w:t>5</w:t>
            </w:r>
          </w:p>
        </w:tc>
        <w:tc>
          <w:tcPr>
            <w:tcW w:w="1984" w:type="dxa"/>
            <w:vAlign w:val="center"/>
          </w:tcPr>
          <w:p w14:paraId="02BF728C" w14:textId="77777777" w:rsidR="00E56C1F" w:rsidRPr="006C677D" w:rsidRDefault="00E56C1F" w:rsidP="00052697">
            <w:pPr>
              <w:spacing w:line="240" w:lineRule="atLeast"/>
              <w:jc w:val="center"/>
              <w:rPr>
                <w:rFonts w:eastAsia="Times New Roman"/>
                <w:sz w:val="22"/>
                <w:szCs w:val="22"/>
              </w:rPr>
            </w:pPr>
            <w:r>
              <w:t>L.1371</w:t>
            </w:r>
          </w:p>
        </w:tc>
        <w:tc>
          <w:tcPr>
            <w:tcW w:w="6804" w:type="dxa"/>
          </w:tcPr>
          <w:p w14:paraId="059A05AF" w14:textId="77777777" w:rsidR="00E56C1F" w:rsidRPr="006C677D" w:rsidRDefault="00E56C1F" w:rsidP="00E56C1F">
            <w:pPr>
              <w:spacing w:line="240" w:lineRule="atLeast"/>
              <w:rPr>
                <w:rFonts w:eastAsia="Times New Roman"/>
                <w:sz w:val="22"/>
                <w:szCs w:val="22"/>
              </w:rPr>
            </w:pPr>
            <w:r>
              <w:t>A methodology for assessing and scoring the sustainability performance of office buildings</w:t>
            </w:r>
          </w:p>
        </w:tc>
      </w:tr>
    </w:tbl>
    <w:p w14:paraId="13763E9E" w14:textId="77777777" w:rsidR="00B0022E" w:rsidRPr="00055F0A" w:rsidRDefault="00D12115">
      <w:pPr>
        <w:spacing w:before="240" w:after="120"/>
        <w:rPr>
          <w:b/>
          <w:lang w:eastAsia="zh-CN"/>
        </w:rPr>
      </w:pPr>
      <w:r w:rsidRPr="00055F0A">
        <w:rPr>
          <w:b/>
          <w:lang w:eastAsia="zh-CN"/>
        </w:rPr>
        <w:t>1.2.2</w:t>
      </w:r>
      <w:r w:rsidRPr="00055F0A">
        <w:rPr>
          <w:b/>
          <w:lang w:eastAsia="zh-CN"/>
        </w:rPr>
        <w:tab/>
        <w:t>Informati</w:t>
      </w:r>
      <w:r w:rsidR="008B2E55" w:rsidRPr="00055F0A">
        <w:rPr>
          <w:b/>
          <w:lang w:eastAsia="zh-CN"/>
        </w:rPr>
        <w:t>ve</w:t>
      </w:r>
      <w:r w:rsidRPr="00055F0A">
        <w:rPr>
          <w:b/>
          <w:lang w:eastAsia="zh-CN"/>
        </w:rPr>
        <w:t xml:space="preserve"> texts </w:t>
      </w:r>
      <w:r w:rsidR="006F5D95" w:rsidRPr="00055F0A">
        <w:rPr>
          <w:b/>
          <w:lang w:eastAsia="zh-CN"/>
        </w:rPr>
        <w:t>agreed</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849"/>
        <w:gridCol w:w="1966"/>
        <w:gridCol w:w="6704"/>
      </w:tblGrid>
      <w:tr w:rsidR="00B0022E" w:rsidRPr="00055F0A" w14:paraId="04A18690" w14:textId="77777777" w:rsidTr="00CD75EE">
        <w:trPr>
          <w:tblHeader/>
          <w:jc w:val="center"/>
        </w:trPr>
        <w:tc>
          <w:tcPr>
            <w:tcW w:w="849" w:type="dxa"/>
            <w:tcBorders>
              <w:top w:val="single" w:sz="4" w:space="0" w:color="auto"/>
              <w:left w:val="single" w:sz="4" w:space="0" w:color="auto"/>
              <w:bottom w:val="single" w:sz="4" w:space="0" w:color="auto"/>
              <w:right w:val="single" w:sz="4" w:space="0" w:color="auto"/>
            </w:tcBorders>
            <w:shd w:val="clear" w:color="auto" w:fill="D9D9D9"/>
            <w:vAlign w:val="center"/>
          </w:tcPr>
          <w:p w14:paraId="3A4CFF1B" w14:textId="77777777" w:rsidR="00B0022E" w:rsidRPr="00055F0A" w:rsidRDefault="00D12115">
            <w:pPr>
              <w:spacing w:before="40" w:after="40"/>
              <w:jc w:val="center"/>
              <w:rPr>
                <w:b/>
                <w:sz w:val="22"/>
                <w:szCs w:val="22"/>
                <w:lang w:eastAsia="ko-KR"/>
              </w:rPr>
            </w:pPr>
            <w:r w:rsidRPr="00055F0A">
              <w:rPr>
                <w:b/>
                <w:sz w:val="22"/>
                <w:szCs w:val="22"/>
                <w:lang w:eastAsia="ko-KR"/>
              </w:rPr>
              <w:t>SG</w:t>
            </w:r>
          </w:p>
        </w:tc>
        <w:tc>
          <w:tcPr>
            <w:tcW w:w="1966" w:type="dxa"/>
            <w:tcBorders>
              <w:top w:val="single" w:sz="4" w:space="0" w:color="auto"/>
              <w:left w:val="single" w:sz="4" w:space="0" w:color="auto"/>
              <w:bottom w:val="single" w:sz="4" w:space="0" w:color="auto"/>
              <w:right w:val="single" w:sz="4" w:space="0" w:color="auto"/>
            </w:tcBorders>
            <w:shd w:val="clear" w:color="auto" w:fill="D9D9D9"/>
            <w:vAlign w:val="center"/>
          </w:tcPr>
          <w:p w14:paraId="36E386B8" w14:textId="77777777" w:rsidR="00B0022E" w:rsidRPr="00055F0A" w:rsidRDefault="00D12115">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szCs w:val="22"/>
              </w:rPr>
            </w:pPr>
            <w:r w:rsidRPr="00055F0A">
              <w:rPr>
                <w:b/>
                <w:sz w:val="22"/>
                <w:szCs w:val="22"/>
              </w:rPr>
              <w:t>No</w:t>
            </w:r>
          </w:p>
        </w:tc>
        <w:tc>
          <w:tcPr>
            <w:tcW w:w="6704" w:type="dxa"/>
            <w:tcBorders>
              <w:top w:val="single" w:sz="4" w:space="0" w:color="auto"/>
              <w:left w:val="single" w:sz="4" w:space="0" w:color="auto"/>
              <w:bottom w:val="single" w:sz="4" w:space="0" w:color="auto"/>
              <w:right w:val="single" w:sz="4" w:space="0" w:color="auto"/>
            </w:tcBorders>
            <w:shd w:val="clear" w:color="auto" w:fill="D9D9D9"/>
            <w:vAlign w:val="center"/>
          </w:tcPr>
          <w:p w14:paraId="51B4154A" w14:textId="77777777" w:rsidR="00B0022E" w:rsidRPr="00055F0A" w:rsidRDefault="00D12115">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iCs/>
                <w:sz w:val="22"/>
                <w:szCs w:val="22"/>
              </w:rPr>
            </w:pPr>
            <w:r w:rsidRPr="00055F0A">
              <w:rPr>
                <w:b/>
                <w:bCs/>
                <w:iCs/>
                <w:sz w:val="22"/>
                <w:szCs w:val="22"/>
              </w:rPr>
              <w:t>Title</w:t>
            </w:r>
          </w:p>
        </w:tc>
      </w:tr>
      <w:tr w:rsidR="00B0022E" w:rsidRPr="00055F0A" w14:paraId="79E05BC0" w14:textId="77777777" w:rsidTr="00052697">
        <w:trPr>
          <w:cantSplit/>
          <w:jc w:val="center"/>
        </w:trPr>
        <w:tc>
          <w:tcPr>
            <w:tcW w:w="849" w:type="dxa"/>
            <w:tcBorders>
              <w:top w:val="single" w:sz="4" w:space="0" w:color="auto"/>
              <w:left w:val="single" w:sz="4" w:space="0" w:color="auto"/>
              <w:bottom w:val="single" w:sz="4" w:space="0" w:color="auto"/>
              <w:right w:val="single" w:sz="4" w:space="0" w:color="auto"/>
            </w:tcBorders>
            <w:vAlign w:val="center"/>
          </w:tcPr>
          <w:p w14:paraId="43B3EB26" w14:textId="77777777" w:rsidR="00B0022E" w:rsidRPr="000C6BBA" w:rsidRDefault="003D688B">
            <w:pPr>
              <w:spacing w:before="40" w:after="40"/>
              <w:jc w:val="center"/>
              <w:rPr>
                <w:lang w:eastAsia="zh-CN"/>
              </w:rPr>
            </w:pPr>
            <w:r w:rsidRPr="000C6BBA">
              <w:rPr>
                <w:rFonts w:eastAsia="MS Mincho"/>
                <w:lang w:val="en-US"/>
              </w:rPr>
              <w:t>5</w:t>
            </w:r>
          </w:p>
        </w:tc>
        <w:tc>
          <w:tcPr>
            <w:tcW w:w="1966" w:type="dxa"/>
            <w:tcBorders>
              <w:top w:val="single" w:sz="4" w:space="0" w:color="auto"/>
              <w:left w:val="single" w:sz="4" w:space="0" w:color="auto"/>
              <w:bottom w:val="single" w:sz="4" w:space="0" w:color="auto"/>
              <w:right w:val="single" w:sz="4" w:space="0" w:color="auto"/>
            </w:tcBorders>
            <w:vAlign w:val="center"/>
          </w:tcPr>
          <w:p w14:paraId="6850EA6B" w14:textId="77777777" w:rsidR="00B0022E" w:rsidRPr="000C6BBA" w:rsidRDefault="003D688B" w:rsidP="00052697">
            <w:pPr>
              <w:spacing w:line="240" w:lineRule="atLeast"/>
              <w:jc w:val="center"/>
              <w:rPr>
                <w:color w:val="000000"/>
                <w:lang w:val="en-US"/>
              </w:rPr>
            </w:pPr>
            <w:r w:rsidRPr="000C6BBA">
              <w:t>L.Suppl.37</w:t>
            </w:r>
          </w:p>
        </w:tc>
        <w:tc>
          <w:tcPr>
            <w:tcW w:w="6704" w:type="dxa"/>
            <w:tcBorders>
              <w:top w:val="single" w:sz="4" w:space="0" w:color="auto"/>
              <w:left w:val="single" w:sz="4" w:space="0" w:color="auto"/>
              <w:bottom w:val="single" w:sz="4" w:space="0" w:color="auto"/>
              <w:right w:val="single" w:sz="4" w:space="0" w:color="auto"/>
            </w:tcBorders>
          </w:tcPr>
          <w:p w14:paraId="033DEE01" w14:textId="77777777" w:rsidR="00B0022E" w:rsidRPr="00055F0A" w:rsidRDefault="003D688B">
            <w:pPr>
              <w:spacing w:line="240" w:lineRule="atLeast"/>
              <w:rPr>
                <w:rFonts w:eastAsia="MS Mincho"/>
                <w:color w:val="000000"/>
                <w:sz w:val="22"/>
                <w:szCs w:val="22"/>
              </w:rPr>
            </w:pPr>
            <w:r>
              <w:t xml:space="preserve">Guidance to operators of mobile networks, fixed </w:t>
            </w:r>
            <w:proofErr w:type="gramStart"/>
            <w:r>
              <w:t>networks</w:t>
            </w:r>
            <w:proofErr w:type="gramEnd"/>
            <w:r>
              <w:t xml:space="preserve"> and data centres on setting 1.5°C aligned targets compliant with Recommendation ITU-T L.1470</w:t>
            </w:r>
          </w:p>
        </w:tc>
      </w:tr>
    </w:tbl>
    <w:p w14:paraId="2F2CC838" w14:textId="77777777" w:rsidR="00B0022E" w:rsidRPr="00055F0A" w:rsidRDefault="00D12115">
      <w:pPr>
        <w:spacing w:before="240" w:after="120"/>
        <w:rPr>
          <w:b/>
          <w:lang w:eastAsia="zh-CN"/>
        </w:rPr>
      </w:pPr>
      <w:r w:rsidRPr="00055F0A">
        <w:rPr>
          <w:b/>
          <w:lang w:eastAsia="zh-CN"/>
        </w:rPr>
        <w:t>1.2.3</w:t>
      </w:r>
      <w:r w:rsidRPr="00055F0A">
        <w:rPr>
          <w:b/>
          <w:lang w:eastAsia="zh-CN"/>
        </w:rPr>
        <w:tab/>
        <w:t>Deleted Recommendations</w:t>
      </w:r>
    </w:p>
    <w:tbl>
      <w:tblPr>
        <w:tblW w:w="963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851"/>
        <w:gridCol w:w="1984"/>
        <w:gridCol w:w="6804"/>
      </w:tblGrid>
      <w:tr w:rsidR="00B0022E" w:rsidRPr="00055F0A" w14:paraId="33D17F6C" w14:textId="77777777" w:rsidTr="00CD75EE">
        <w:trPr>
          <w:cantSplit/>
        </w:trPr>
        <w:tc>
          <w:tcPr>
            <w:tcW w:w="851" w:type="dxa"/>
            <w:shd w:val="clear" w:color="auto" w:fill="D9D9D9"/>
            <w:vAlign w:val="center"/>
          </w:tcPr>
          <w:p w14:paraId="6409D34D" w14:textId="77777777" w:rsidR="00B0022E" w:rsidRPr="00055F0A" w:rsidRDefault="00D12115">
            <w:pPr>
              <w:pStyle w:val="Tablehead"/>
              <w:spacing w:before="60" w:after="60"/>
              <w:rPr>
                <w:szCs w:val="22"/>
                <w:vertAlign w:val="superscript"/>
              </w:rPr>
            </w:pPr>
            <w:r w:rsidRPr="00055F0A">
              <w:rPr>
                <w:szCs w:val="22"/>
              </w:rPr>
              <w:t>Q</w:t>
            </w:r>
          </w:p>
        </w:tc>
        <w:tc>
          <w:tcPr>
            <w:tcW w:w="1984" w:type="dxa"/>
            <w:shd w:val="clear" w:color="auto" w:fill="D9D9D9"/>
            <w:vAlign w:val="center"/>
          </w:tcPr>
          <w:p w14:paraId="67FC0B56" w14:textId="77777777" w:rsidR="00B0022E" w:rsidRPr="00055F0A" w:rsidRDefault="00D12115">
            <w:pPr>
              <w:pStyle w:val="Tablehead"/>
              <w:spacing w:before="60" w:after="60"/>
              <w:rPr>
                <w:szCs w:val="22"/>
              </w:rPr>
            </w:pPr>
            <w:r w:rsidRPr="00055F0A">
              <w:rPr>
                <w:szCs w:val="22"/>
                <w:lang w:eastAsia="ko-KR"/>
              </w:rPr>
              <w:t>No.</w:t>
            </w:r>
          </w:p>
        </w:tc>
        <w:tc>
          <w:tcPr>
            <w:tcW w:w="6804" w:type="dxa"/>
            <w:shd w:val="clear" w:color="auto" w:fill="D9D9D9"/>
            <w:vAlign w:val="center"/>
          </w:tcPr>
          <w:p w14:paraId="4B4BBE54" w14:textId="77777777" w:rsidR="00B0022E" w:rsidRPr="00055F0A" w:rsidRDefault="00D12115">
            <w:pPr>
              <w:pStyle w:val="Tablehead"/>
              <w:spacing w:before="60" w:after="60"/>
              <w:rPr>
                <w:szCs w:val="22"/>
              </w:rPr>
            </w:pPr>
            <w:r w:rsidRPr="00055F0A">
              <w:rPr>
                <w:szCs w:val="22"/>
              </w:rPr>
              <w:t>Title</w:t>
            </w:r>
          </w:p>
        </w:tc>
      </w:tr>
      <w:tr w:rsidR="00AF3CA7" w:rsidRPr="00055F0A" w14:paraId="57DA57A3" w14:textId="77777777" w:rsidTr="003E71D8">
        <w:trPr>
          <w:cantSplit/>
        </w:trPr>
        <w:tc>
          <w:tcPr>
            <w:tcW w:w="851" w:type="dxa"/>
            <w:vAlign w:val="center"/>
          </w:tcPr>
          <w:p w14:paraId="07122316" w14:textId="77777777" w:rsidR="00AF3CA7" w:rsidRPr="00AF3CA7" w:rsidRDefault="00AF3CA7" w:rsidP="00AF3CA7">
            <w:pPr>
              <w:pStyle w:val="Tabletext"/>
              <w:jc w:val="center"/>
              <w:rPr>
                <w:sz w:val="24"/>
                <w:szCs w:val="24"/>
              </w:rPr>
            </w:pPr>
            <w:r w:rsidRPr="00AF3CA7">
              <w:rPr>
                <w:sz w:val="24"/>
                <w:szCs w:val="24"/>
              </w:rPr>
              <w:t>None</w:t>
            </w:r>
          </w:p>
        </w:tc>
        <w:tc>
          <w:tcPr>
            <w:tcW w:w="1984" w:type="dxa"/>
            <w:shd w:val="clear" w:color="auto" w:fill="FFFFFF"/>
          </w:tcPr>
          <w:p w14:paraId="5DD8B617" w14:textId="77777777" w:rsidR="00AF3CA7" w:rsidRPr="00AF3CA7" w:rsidRDefault="00AF3CA7" w:rsidP="00AF3CA7">
            <w:pPr>
              <w:pStyle w:val="Tabletext"/>
              <w:keepNext/>
              <w:keepLines/>
              <w:widowControl w:val="0"/>
              <w:jc w:val="center"/>
              <w:rPr>
                <w:sz w:val="24"/>
                <w:szCs w:val="24"/>
              </w:rPr>
            </w:pPr>
          </w:p>
        </w:tc>
        <w:tc>
          <w:tcPr>
            <w:tcW w:w="6804" w:type="dxa"/>
            <w:shd w:val="clear" w:color="auto" w:fill="FFFFFF"/>
          </w:tcPr>
          <w:p w14:paraId="5DCE8BE9" w14:textId="77777777" w:rsidR="00AF3CA7" w:rsidRPr="00AF3CA7" w:rsidRDefault="00AF3CA7" w:rsidP="00AF3CA7">
            <w:pPr>
              <w:pStyle w:val="Tabletext"/>
              <w:keepNext/>
              <w:keepLines/>
              <w:rPr>
                <w:sz w:val="24"/>
                <w:szCs w:val="24"/>
              </w:rPr>
            </w:pPr>
          </w:p>
        </w:tc>
      </w:tr>
    </w:tbl>
    <w:p w14:paraId="6E60FAED" w14:textId="77777777" w:rsidR="00B0022E" w:rsidRPr="00055F0A" w:rsidRDefault="00D12115">
      <w:pPr>
        <w:spacing w:before="240" w:after="120"/>
        <w:rPr>
          <w:b/>
          <w:lang w:eastAsia="zh-CN"/>
        </w:rPr>
      </w:pPr>
      <w:r w:rsidRPr="00055F0A">
        <w:rPr>
          <w:b/>
          <w:lang w:eastAsia="zh-CN"/>
        </w:rPr>
        <w:t>1.2.4</w:t>
      </w:r>
      <w:r w:rsidRPr="00055F0A">
        <w:rPr>
          <w:b/>
          <w:lang w:eastAsia="zh-CN"/>
        </w:rPr>
        <w:tab/>
        <w:t>Recommendations consented (in AAP Last Call)</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6520"/>
      </w:tblGrid>
      <w:tr w:rsidR="00B0022E" w:rsidRPr="00055F0A" w14:paraId="4644A091" w14:textId="77777777" w:rsidTr="00052697">
        <w:trPr>
          <w:cantSplit/>
          <w:tblHeader/>
        </w:trPr>
        <w:tc>
          <w:tcPr>
            <w:tcW w:w="851" w:type="dxa"/>
            <w:shd w:val="clear" w:color="auto" w:fill="D9D9D9"/>
          </w:tcPr>
          <w:p w14:paraId="198759D3" w14:textId="77777777" w:rsidR="00B0022E" w:rsidRPr="00055F0A" w:rsidRDefault="00D12115">
            <w:pPr>
              <w:spacing w:before="40" w:after="40"/>
              <w:jc w:val="center"/>
              <w:rPr>
                <w:b/>
                <w:bCs/>
                <w:color w:val="000000"/>
                <w:sz w:val="22"/>
                <w:szCs w:val="22"/>
              </w:rPr>
            </w:pPr>
            <w:r w:rsidRPr="00055F0A">
              <w:rPr>
                <w:b/>
                <w:bCs/>
                <w:color w:val="000000"/>
                <w:sz w:val="22"/>
                <w:szCs w:val="22"/>
              </w:rPr>
              <w:t>SG</w:t>
            </w:r>
          </w:p>
        </w:tc>
        <w:tc>
          <w:tcPr>
            <w:tcW w:w="2268" w:type="dxa"/>
            <w:shd w:val="clear" w:color="auto" w:fill="D9D9D9"/>
          </w:tcPr>
          <w:p w14:paraId="788DB3B7" w14:textId="77777777" w:rsidR="00B0022E" w:rsidRPr="00055F0A" w:rsidRDefault="00D12115">
            <w:pPr>
              <w:spacing w:before="40" w:after="40"/>
              <w:jc w:val="center"/>
              <w:rPr>
                <w:color w:val="000000"/>
                <w:sz w:val="22"/>
                <w:szCs w:val="22"/>
              </w:rPr>
            </w:pPr>
            <w:r w:rsidRPr="00055F0A">
              <w:rPr>
                <w:b/>
                <w:bCs/>
                <w:color w:val="000000"/>
                <w:sz w:val="22"/>
                <w:szCs w:val="22"/>
              </w:rPr>
              <w:t>No</w:t>
            </w:r>
          </w:p>
        </w:tc>
        <w:tc>
          <w:tcPr>
            <w:tcW w:w="6520" w:type="dxa"/>
            <w:shd w:val="clear" w:color="auto" w:fill="D9D9D9"/>
          </w:tcPr>
          <w:p w14:paraId="6F3458EE" w14:textId="77777777" w:rsidR="00B0022E" w:rsidRPr="00055F0A" w:rsidRDefault="00D12115">
            <w:pPr>
              <w:spacing w:before="40" w:after="40"/>
              <w:jc w:val="center"/>
              <w:rPr>
                <w:color w:val="000000"/>
                <w:sz w:val="22"/>
                <w:szCs w:val="22"/>
              </w:rPr>
            </w:pPr>
            <w:r w:rsidRPr="00055F0A">
              <w:rPr>
                <w:b/>
                <w:bCs/>
                <w:color w:val="000000"/>
                <w:sz w:val="22"/>
                <w:szCs w:val="22"/>
              </w:rPr>
              <w:t>Title</w:t>
            </w:r>
          </w:p>
        </w:tc>
      </w:tr>
      <w:tr w:rsidR="003D688B" w:rsidRPr="00055F0A" w14:paraId="7FC4435B" w14:textId="77777777" w:rsidTr="00052697">
        <w:tblPrEx>
          <w:tblCellMar>
            <w:top w:w="29" w:type="dxa"/>
            <w:left w:w="115" w:type="dxa"/>
            <w:bottom w:w="29" w:type="dxa"/>
            <w:right w:w="115" w:type="dxa"/>
          </w:tblCellMar>
        </w:tblPrEx>
        <w:trPr>
          <w:cantSplit/>
        </w:trPr>
        <w:tc>
          <w:tcPr>
            <w:tcW w:w="851" w:type="dxa"/>
            <w:vAlign w:val="center"/>
          </w:tcPr>
          <w:p w14:paraId="51D0A920" w14:textId="77777777" w:rsidR="003D688B" w:rsidRPr="00052697" w:rsidRDefault="003D688B" w:rsidP="003D688B">
            <w:pPr>
              <w:spacing w:before="40" w:after="40"/>
              <w:jc w:val="center"/>
              <w:rPr>
                <w:rFonts w:eastAsia="MS Mincho"/>
              </w:rPr>
            </w:pPr>
            <w:r w:rsidRPr="00052697">
              <w:rPr>
                <w:rFonts w:eastAsia="MS Mincho"/>
              </w:rPr>
              <w:t>5</w:t>
            </w:r>
          </w:p>
        </w:tc>
        <w:tc>
          <w:tcPr>
            <w:tcW w:w="2268" w:type="dxa"/>
            <w:shd w:val="clear" w:color="auto" w:fill="FFFFFF"/>
            <w:vAlign w:val="center"/>
          </w:tcPr>
          <w:p w14:paraId="4CF51148" w14:textId="77777777" w:rsidR="003D688B" w:rsidRPr="00052697" w:rsidRDefault="003D688B" w:rsidP="00052697">
            <w:pPr>
              <w:spacing w:before="40" w:after="40" w:line="240" w:lineRule="atLeast"/>
              <w:rPr>
                <w:rFonts w:eastAsia="MS Mincho"/>
                <w:lang w:val="en-US"/>
              </w:rPr>
            </w:pPr>
            <w:r w:rsidRPr="00052697">
              <w:t>L.1310</w:t>
            </w:r>
            <w:r w:rsidR="00852332" w:rsidRPr="00052697">
              <w:t xml:space="preserve"> (rev.)</w:t>
            </w:r>
          </w:p>
        </w:tc>
        <w:tc>
          <w:tcPr>
            <w:tcW w:w="6520" w:type="dxa"/>
            <w:shd w:val="clear" w:color="auto" w:fill="FFFFFF"/>
            <w:vAlign w:val="center"/>
          </w:tcPr>
          <w:p w14:paraId="70A4DD22" w14:textId="77777777" w:rsidR="003D688B" w:rsidRPr="00052697" w:rsidRDefault="003D688B" w:rsidP="00052697">
            <w:pPr>
              <w:spacing w:before="40" w:after="40" w:line="240" w:lineRule="atLeast"/>
              <w:rPr>
                <w:rFonts w:eastAsia="MS Mincho"/>
              </w:rPr>
            </w:pPr>
            <w:r w:rsidRPr="00052697">
              <w:t>Energy efficiency metrics and measurement methods for telecommunication equipment</w:t>
            </w:r>
          </w:p>
        </w:tc>
      </w:tr>
      <w:tr w:rsidR="003D688B" w:rsidRPr="00055F0A" w14:paraId="3ABB75D0" w14:textId="77777777" w:rsidTr="00052697">
        <w:tblPrEx>
          <w:tblCellMar>
            <w:top w:w="29" w:type="dxa"/>
            <w:left w:w="115" w:type="dxa"/>
            <w:bottom w:w="29" w:type="dxa"/>
            <w:right w:w="115" w:type="dxa"/>
          </w:tblCellMar>
        </w:tblPrEx>
        <w:trPr>
          <w:cantSplit/>
        </w:trPr>
        <w:tc>
          <w:tcPr>
            <w:tcW w:w="851" w:type="dxa"/>
            <w:vAlign w:val="center"/>
          </w:tcPr>
          <w:p w14:paraId="2758EA61" w14:textId="77777777" w:rsidR="003D688B" w:rsidRPr="00052697" w:rsidRDefault="003D688B" w:rsidP="003D688B">
            <w:pPr>
              <w:spacing w:before="40" w:after="40"/>
              <w:jc w:val="center"/>
              <w:rPr>
                <w:rFonts w:eastAsia="MS Mincho"/>
              </w:rPr>
            </w:pPr>
            <w:r w:rsidRPr="00052697">
              <w:rPr>
                <w:rFonts w:eastAsia="MS Mincho"/>
              </w:rPr>
              <w:t>5</w:t>
            </w:r>
          </w:p>
        </w:tc>
        <w:tc>
          <w:tcPr>
            <w:tcW w:w="2268" w:type="dxa"/>
            <w:shd w:val="clear" w:color="auto" w:fill="FFFFFF"/>
            <w:vAlign w:val="center"/>
          </w:tcPr>
          <w:p w14:paraId="19244982" w14:textId="77777777" w:rsidR="003D688B" w:rsidRPr="00052697" w:rsidRDefault="003D688B" w:rsidP="00052697">
            <w:pPr>
              <w:spacing w:before="40" w:after="40" w:line="240" w:lineRule="atLeast"/>
              <w:rPr>
                <w:rFonts w:eastAsia="MS Mincho"/>
                <w:lang w:val="en-US"/>
              </w:rPr>
            </w:pPr>
            <w:r w:rsidRPr="00052697">
              <w:t>L.1331</w:t>
            </w:r>
            <w:r w:rsidR="00852332" w:rsidRPr="00052697">
              <w:t xml:space="preserve"> (rev.)</w:t>
            </w:r>
          </w:p>
        </w:tc>
        <w:tc>
          <w:tcPr>
            <w:tcW w:w="6520" w:type="dxa"/>
            <w:shd w:val="clear" w:color="auto" w:fill="FFFFFF"/>
            <w:vAlign w:val="center"/>
          </w:tcPr>
          <w:p w14:paraId="2024B188" w14:textId="77777777" w:rsidR="003D688B" w:rsidRPr="00052697" w:rsidRDefault="003D688B" w:rsidP="00052697">
            <w:pPr>
              <w:spacing w:before="40" w:after="40" w:line="240" w:lineRule="atLeast"/>
              <w:rPr>
                <w:rFonts w:eastAsia="MS Mincho"/>
              </w:rPr>
            </w:pPr>
            <w:r w:rsidRPr="00052697">
              <w:rPr>
                <w:rStyle w:val="ms-rtethemeforecolor-2-0"/>
                <w:bdr w:val="none" w:sz="0" w:space="0" w:color="auto" w:frame="1"/>
              </w:rPr>
              <w:t>Assessment of mobile network energy efficiency</w:t>
            </w:r>
          </w:p>
        </w:tc>
      </w:tr>
      <w:tr w:rsidR="003D688B" w:rsidRPr="00055F0A" w14:paraId="3810EE5C" w14:textId="77777777" w:rsidTr="00052697">
        <w:tblPrEx>
          <w:tblCellMar>
            <w:top w:w="29" w:type="dxa"/>
            <w:left w:w="115" w:type="dxa"/>
            <w:bottom w:w="29" w:type="dxa"/>
            <w:right w:w="115" w:type="dxa"/>
          </w:tblCellMar>
        </w:tblPrEx>
        <w:trPr>
          <w:cantSplit/>
          <w:trHeight w:val="26"/>
        </w:trPr>
        <w:tc>
          <w:tcPr>
            <w:tcW w:w="851" w:type="dxa"/>
            <w:vAlign w:val="center"/>
          </w:tcPr>
          <w:p w14:paraId="44A38A5F" w14:textId="77777777" w:rsidR="003D688B" w:rsidRPr="00052697" w:rsidRDefault="003D688B" w:rsidP="003D688B">
            <w:pPr>
              <w:spacing w:before="40" w:after="40"/>
              <w:jc w:val="center"/>
              <w:rPr>
                <w:rFonts w:eastAsia="MS Mincho"/>
              </w:rPr>
            </w:pPr>
            <w:r w:rsidRPr="00052697">
              <w:rPr>
                <w:rFonts w:eastAsia="MS Mincho"/>
              </w:rPr>
              <w:t>5</w:t>
            </w:r>
          </w:p>
        </w:tc>
        <w:tc>
          <w:tcPr>
            <w:tcW w:w="2268" w:type="dxa"/>
            <w:vAlign w:val="center"/>
          </w:tcPr>
          <w:p w14:paraId="5100483C" w14:textId="77777777" w:rsidR="003D688B" w:rsidRPr="00052697" w:rsidRDefault="00852332" w:rsidP="00052697">
            <w:pPr>
              <w:spacing w:before="40" w:after="40" w:line="240" w:lineRule="atLeast"/>
              <w:rPr>
                <w:rFonts w:eastAsia="MS Mincho"/>
                <w:lang w:val="en-US"/>
              </w:rPr>
            </w:pPr>
            <w:r w:rsidRPr="00052697">
              <w:rPr>
                <w:bdr w:val="none" w:sz="0" w:space="0" w:color="auto" w:frame="1"/>
              </w:rPr>
              <w:t>L.1023 (ex.</w:t>
            </w:r>
            <w:proofErr w:type="gramStart"/>
            <w:r w:rsidR="003D688B" w:rsidRPr="00052697">
              <w:rPr>
                <w:bdr w:val="none" w:sz="0" w:space="0" w:color="auto" w:frame="1"/>
              </w:rPr>
              <w:t>L.CE</w:t>
            </w:r>
            <w:proofErr w:type="gramEnd"/>
            <w:r w:rsidR="003D688B" w:rsidRPr="00052697">
              <w:rPr>
                <w:bdr w:val="none" w:sz="0" w:space="0" w:color="auto" w:frame="1"/>
              </w:rPr>
              <w:t>-2</w:t>
            </w:r>
            <w:r w:rsidRPr="00052697">
              <w:rPr>
                <w:bdr w:val="none" w:sz="0" w:space="0" w:color="auto" w:frame="1"/>
              </w:rPr>
              <w:t>)</w:t>
            </w:r>
          </w:p>
        </w:tc>
        <w:tc>
          <w:tcPr>
            <w:tcW w:w="6520" w:type="dxa"/>
            <w:vAlign w:val="center"/>
          </w:tcPr>
          <w:p w14:paraId="12E00AF4" w14:textId="77777777" w:rsidR="003D688B" w:rsidRPr="00052697" w:rsidRDefault="003D688B" w:rsidP="00052697">
            <w:pPr>
              <w:spacing w:before="40" w:after="40" w:line="240" w:lineRule="atLeast"/>
              <w:rPr>
                <w:rFonts w:eastAsia="MS Mincho"/>
              </w:rPr>
            </w:pPr>
            <w:r w:rsidRPr="00052697">
              <w:rPr>
                <w:bdr w:val="none" w:sz="0" w:space="0" w:color="auto" w:frame="1"/>
              </w:rPr>
              <w:t>Assessment method for circular scoring</w:t>
            </w:r>
          </w:p>
        </w:tc>
      </w:tr>
    </w:tbl>
    <w:p w14:paraId="7C951057" w14:textId="77777777" w:rsidR="00B0022E" w:rsidRPr="00055F0A" w:rsidRDefault="00397D8B">
      <w:pPr>
        <w:tabs>
          <w:tab w:val="left" w:pos="794"/>
          <w:tab w:val="left" w:pos="1191"/>
          <w:tab w:val="left" w:pos="1588"/>
          <w:tab w:val="left" w:pos="1985"/>
        </w:tabs>
        <w:spacing w:before="240" w:after="240"/>
        <w:jc w:val="center"/>
      </w:pPr>
      <w:r w:rsidRPr="00055F0A">
        <w:t>___________________</w:t>
      </w:r>
      <w:r w:rsidR="00FD157A" w:rsidRPr="00055F0A">
        <w:t>_</w:t>
      </w:r>
      <w:bookmarkEnd w:id="13"/>
    </w:p>
    <w:sectPr w:rsidR="00B0022E" w:rsidRPr="00055F0A" w:rsidSect="00A17F98">
      <w:headerReference w:type="default" r:id="rId32"/>
      <w:pgSz w:w="11907" w:h="16840"/>
      <w:pgMar w:top="1417" w:right="1134" w:bottom="993"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4A554" w14:textId="77777777" w:rsidR="00EE4A67" w:rsidRDefault="00EE4A67">
      <w:pPr>
        <w:spacing w:before="0"/>
      </w:pPr>
      <w:r>
        <w:separator/>
      </w:r>
    </w:p>
  </w:endnote>
  <w:endnote w:type="continuationSeparator" w:id="0">
    <w:p w14:paraId="1804D2E6" w14:textId="77777777" w:rsidR="00EE4A67" w:rsidRDefault="00EE4A6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altName w:val="Yu Gothic UI"/>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5A9BA" w14:textId="77777777" w:rsidR="00EE4A67" w:rsidRDefault="00EE4A67">
      <w:pPr>
        <w:spacing w:before="0"/>
      </w:pPr>
      <w:r>
        <w:separator/>
      </w:r>
    </w:p>
  </w:footnote>
  <w:footnote w:type="continuationSeparator" w:id="0">
    <w:p w14:paraId="2A852C43" w14:textId="77777777" w:rsidR="00EE4A67" w:rsidRDefault="00EE4A6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3688E" w14:textId="78894C90" w:rsidR="00B0022E" w:rsidRDefault="00F132DE" w:rsidP="00052697">
    <w:pPr>
      <w:pStyle w:val="Header"/>
      <w:rPr>
        <w:sz w:val="18"/>
      </w:rPr>
    </w:pPr>
    <w:r>
      <w:t xml:space="preserve">- </w:t>
    </w:r>
    <w:r w:rsidR="00052697">
      <w:fldChar w:fldCharType="begin"/>
    </w:r>
    <w:r w:rsidR="00052697">
      <w:instrText xml:space="preserve"> PAGE   \* MERGEFORMAT </w:instrText>
    </w:r>
    <w:r w:rsidR="00052697">
      <w:fldChar w:fldCharType="separate"/>
    </w:r>
    <w:r w:rsidR="00052697">
      <w:rPr>
        <w:noProof/>
      </w:rPr>
      <w:t>2</w:t>
    </w:r>
    <w:r w:rsidR="00052697">
      <w:rPr>
        <w:noProof/>
      </w:rPr>
      <w:fldChar w:fldCharType="end"/>
    </w:r>
    <w:r>
      <w:rPr>
        <w:noProof/>
      </w:rPr>
      <w:t xml:space="preserve"> -</w:t>
    </w:r>
    <w:r w:rsidR="00052697">
      <w:rPr>
        <w:noProof/>
      </w:rPr>
      <w:br/>
    </w:r>
    <w:r w:rsidR="00395134">
      <w:rPr>
        <w:bCs/>
      </w:rPr>
      <w:t>TSAG-TD799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64C72"/>
    <w:multiLevelType w:val="multilevel"/>
    <w:tmpl w:val="CDFCF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63689"/>
    <w:multiLevelType w:val="hybridMultilevel"/>
    <w:tmpl w:val="312826E2"/>
    <w:lvl w:ilvl="0" w:tplc="52085D14">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A612036"/>
    <w:multiLevelType w:val="multilevel"/>
    <w:tmpl w:val="CCB0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2D54CF"/>
    <w:multiLevelType w:val="multilevel"/>
    <w:tmpl w:val="AF6A125E"/>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color w:val="auto"/>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AAA04C3"/>
    <w:multiLevelType w:val="hybridMultilevel"/>
    <w:tmpl w:val="EF9A7C40"/>
    <w:lvl w:ilvl="0" w:tplc="65502070">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B05216F"/>
    <w:multiLevelType w:val="hybridMultilevel"/>
    <w:tmpl w:val="890AB816"/>
    <w:lvl w:ilvl="0" w:tplc="544443E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307A94"/>
    <w:multiLevelType w:val="hybridMultilevel"/>
    <w:tmpl w:val="5C26B6A2"/>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676A8D"/>
    <w:multiLevelType w:val="multilevel"/>
    <w:tmpl w:val="13BC5436"/>
    <w:lvl w:ilvl="0">
      <w:start w:val="1"/>
      <w:numFmt w:val="bullet"/>
      <w:lvlText w:val="–"/>
      <w:lvlJc w:val="left"/>
      <w:pPr>
        <w:ind w:left="720" w:hanging="360"/>
      </w:pPr>
      <w:rPr>
        <w:rFonts w:ascii="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B86905"/>
    <w:multiLevelType w:val="multilevel"/>
    <w:tmpl w:val="47D4EA2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575B02"/>
    <w:multiLevelType w:val="hybridMultilevel"/>
    <w:tmpl w:val="64E293A0"/>
    <w:lvl w:ilvl="0" w:tplc="43B61CF4">
      <w:start w:val="2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893B86"/>
    <w:multiLevelType w:val="multilevel"/>
    <w:tmpl w:val="66647012"/>
    <w:lvl w:ilvl="0">
      <w:start w:val="1"/>
      <w:numFmt w:val="bullet"/>
      <w:lvlText w:val="–"/>
      <w:lvlJc w:val="left"/>
      <w:pPr>
        <w:ind w:left="1083" w:hanging="360"/>
      </w:pPr>
      <w:rPr>
        <w:rFonts w:ascii="Times New Roman" w:hAnsi="Times New Roman" w:cs="Times New Roman" w:hint="default"/>
        <w:color w:val="auto"/>
      </w:rPr>
    </w:lvl>
    <w:lvl w:ilvl="1">
      <w:start w:val="1"/>
      <w:numFmt w:val="bullet"/>
      <w:lvlText w:val="o"/>
      <w:lvlJc w:val="left"/>
      <w:pPr>
        <w:ind w:left="1803" w:hanging="360"/>
      </w:pPr>
      <w:rPr>
        <w:rFonts w:ascii="Courier New" w:hAnsi="Courier New" w:cs="Courier New" w:hint="default"/>
        <w:color w:val="auto"/>
      </w:rPr>
    </w:lvl>
    <w:lvl w:ilvl="2">
      <w:start w:val="1"/>
      <w:numFmt w:val="bullet"/>
      <w:lvlText w:val=""/>
      <w:lvlJc w:val="left"/>
      <w:pPr>
        <w:ind w:left="2523" w:hanging="360"/>
      </w:pPr>
      <w:rPr>
        <w:rFonts w:ascii="Wingdings" w:hAnsi="Wingdings" w:hint="default"/>
      </w:rPr>
    </w:lvl>
    <w:lvl w:ilvl="3">
      <w:start w:val="1"/>
      <w:numFmt w:val="bullet"/>
      <w:lvlText w:val=""/>
      <w:lvlJc w:val="left"/>
      <w:pPr>
        <w:ind w:left="3243" w:hanging="360"/>
      </w:pPr>
      <w:rPr>
        <w:rFonts w:ascii="Symbol" w:hAnsi="Symbol" w:hint="default"/>
        <w:color w:val="auto"/>
      </w:rPr>
    </w:lvl>
    <w:lvl w:ilvl="4">
      <w:start w:val="1"/>
      <w:numFmt w:val="bullet"/>
      <w:lvlText w:val="o"/>
      <w:lvlJc w:val="left"/>
      <w:pPr>
        <w:ind w:left="3963" w:hanging="360"/>
      </w:pPr>
      <w:rPr>
        <w:rFonts w:ascii="Courier New" w:hAnsi="Courier New" w:cs="Courier New" w:hint="default"/>
      </w:rPr>
    </w:lvl>
    <w:lvl w:ilvl="5">
      <w:start w:val="1"/>
      <w:numFmt w:val="bullet"/>
      <w:lvlText w:val=""/>
      <w:lvlJc w:val="left"/>
      <w:pPr>
        <w:ind w:left="4683" w:hanging="360"/>
      </w:pPr>
      <w:rPr>
        <w:rFonts w:ascii="Wingdings" w:hAnsi="Wingdings" w:hint="default"/>
      </w:rPr>
    </w:lvl>
    <w:lvl w:ilvl="6">
      <w:start w:val="1"/>
      <w:numFmt w:val="bullet"/>
      <w:lvlText w:val=""/>
      <w:lvlJc w:val="left"/>
      <w:pPr>
        <w:ind w:left="5403" w:hanging="360"/>
      </w:pPr>
      <w:rPr>
        <w:rFonts w:ascii="Symbol" w:hAnsi="Symbol" w:hint="default"/>
      </w:rPr>
    </w:lvl>
    <w:lvl w:ilvl="7">
      <w:start w:val="1"/>
      <w:numFmt w:val="bullet"/>
      <w:lvlText w:val="o"/>
      <w:lvlJc w:val="left"/>
      <w:pPr>
        <w:ind w:left="6123" w:hanging="360"/>
      </w:pPr>
      <w:rPr>
        <w:rFonts w:ascii="Courier New" w:hAnsi="Courier New" w:cs="Courier New" w:hint="default"/>
      </w:rPr>
    </w:lvl>
    <w:lvl w:ilvl="8">
      <w:start w:val="1"/>
      <w:numFmt w:val="bullet"/>
      <w:lvlText w:val=""/>
      <w:lvlJc w:val="left"/>
      <w:pPr>
        <w:ind w:left="6843" w:hanging="360"/>
      </w:pPr>
      <w:rPr>
        <w:rFonts w:ascii="Wingdings" w:hAnsi="Wingdings" w:hint="default"/>
      </w:rPr>
    </w:lvl>
  </w:abstractNum>
  <w:abstractNum w:abstractNumId="11" w15:restartNumberingAfterBreak="0">
    <w:nsid w:val="3E5205A6"/>
    <w:multiLevelType w:val="hybridMultilevel"/>
    <w:tmpl w:val="D7102582"/>
    <w:lvl w:ilvl="0" w:tplc="F1D657A8">
      <w:start w:val="1"/>
      <w:numFmt w:val="bullet"/>
      <w:lvlText w:val=""/>
      <w:lvlJc w:val="left"/>
      <w:pPr>
        <w:ind w:left="360" w:hanging="360"/>
      </w:pPr>
      <w:rPr>
        <w:rFonts w:ascii="Symbol" w:hAnsi="Symbol" w:hint="default"/>
        <w:color w:val="auto"/>
      </w:rPr>
    </w:lvl>
    <w:lvl w:ilvl="1" w:tplc="E5FA3FE6">
      <w:start w:val="1"/>
      <w:numFmt w:val="bullet"/>
      <w:lvlText w:val="o"/>
      <w:lvlJc w:val="left"/>
      <w:pPr>
        <w:ind w:left="1080" w:hanging="360"/>
      </w:pPr>
      <w:rPr>
        <w:rFonts w:ascii="Courier New" w:hAnsi="Courier New" w:cs="Courier New" w:hint="default"/>
        <w:color w:val="auto"/>
      </w:rPr>
    </w:lvl>
    <w:lvl w:ilvl="2" w:tplc="74ECF662">
      <w:start w:val="1"/>
      <w:numFmt w:val="bullet"/>
      <w:lvlText w:val=""/>
      <w:lvlJc w:val="left"/>
      <w:pPr>
        <w:ind w:left="1800" w:hanging="360"/>
      </w:pPr>
      <w:rPr>
        <w:rFonts w:ascii="Wingdings" w:hAnsi="Wingdings" w:hint="default"/>
        <w:color w:val="auto"/>
      </w:rPr>
    </w:lvl>
    <w:lvl w:ilvl="3" w:tplc="18B43516">
      <w:start w:val="1"/>
      <w:numFmt w:val="bullet"/>
      <w:lvlText w:val=""/>
      <w:lvlJc w:val="left"/>
      <w:pPr>
        <w:ind w:left="2520" w:hanging="360"/>
      </w:pPr>
      <w:rPr>
        <w:rFonts w:ascii="Symbol" w:hAnsi="Symbol" w:hint="default"/>
        <w:color w:val="auto"/>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CF757CC"/>
    <w:multiLevelType w:val="multilevel"/>
    <w:tmpl w:val="13BC5436"/>
    <w:lvl w:ilvl="0">
      <w:start w:val="1"/>
      <w:numFmt w:val="bullet"/>
      <w:lvlText w:val="–"/>
      <w:lvlJc w:val="left"/>
      <w:pPr>
        <w:ind w:left="720" w:hanging="360"/>
      </w:pPr>
      <w:rPr>
        <w:rFonts w:ascii="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3909E3"/>
    <w:multiLevelType w:val="hybridMultilevel"/>
    <w:tmpl w:val="FA5C23A6"/>
    <w:lvl w:ilvl="0" w:tplc="23E8C7BC">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68013E"/>
    <w:multiLevelType w:val="hybridMultilevel"/>
    <w:tmpl w:val="56DED2C6"/>
    <w:lvl w:ilvl="0" w:tplc="2E1AE74E">
      <w:start w:val="39"/>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B80488"/>
    <w:multiLevelType w:val="multilevel"/>
    <w:tmpl w:val="5AB80488"/>
    <w:lvl w:ilvl="0">
      <w:start w:val="1"/>
      <w:numFmt w:val="bullet"/>
      <w:lvlText w:val="–"/>
      <w:lvlJc w:val="left"/>
      <w:pPr>
        <w:ind w:left="780" w:hanging="360"/>
      </w:pPr>
      <w:rPr>
        <w:rFonts w:ascii="Times New Roman" w:hAnsi="Times New Roman" w:cs="Times New Roman" w:hint="default"/>
        <w:b w:val="0"/>
        <w:bCs/>
        <w:color w:val="auto"/>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5C2A1027"/>
    <w:multiLevelType w:val="hybridMultilevel"/>
    <w:tmpl w:val="AB8A39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73706D"/>
    <w:multiLevelType w:val="hybridMultilevel"/>
    <w:tmpl w:val="539013BC"/>
    <w:lvl w:ilvl="0" w:tplc="544443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220498"/>
    <w:multiLevelType w:val="multilevel"/>
    <w:tmpl w:val="74220498"/>
    <w:lvl w:ilvl="0">
      <w:start w:val="1"/>
      <w:numFmt w:val="bullet"/>
      <w:lvlText w:val="–"/>
      <w:lvlJc w:val="left"/>
      <w:pPr>
        <w:ind w:left="782" w:hanging="360"/>
      </w:pPr>
      <w:rPr>
        <w:rFonts w:ascii="Times New Roman" w:hAnsi="Times New Roman" w:cs="Times New Roman" w:hint="default"/>
        <w:color w:val="auto"/>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num w:numId="1">
    <w:abstractNumId w:val="12"/>
  </w:num>
  <w:num w:numId="2">
    <w:abstractNumId w:val="10"/>
  </w:num>
  <w:num w:numId="3">
    <w:abstractNumId w:val="18"/>
  </w:num>
  <w:num w:numId="4">
    <w:abstractNumId w:val="15"/>
  </w:num>
  <w:num w:numId="5">
    <w:abstractNumId w:val="0"/>
  </w:num>
  <w:num w:numId="6">
    <w:abstractNumId w:val="7"/>
  </w:num>
  <w:num w:numId="7">
    <w:abstractNumId w:val="3"/>
  </w:num>
  <w:num w:numId="8">
    <w:abstractNumId w:val="9"/>
  </w:num>
  <w:num w:numId="9">
    <w:abstractNumId w:val="6"/>
  </w:num>
  <w:num w:numId="10">
    <w:abstractNumId w:val="2"/>
  </w:num>
  <w:num w:numId="11">
    <w:abstractNumId w:val="13"/>
  </w:num>
  <w:num w:numId="12">
    <w:abstractNumId w:val="5"/>
  </w:num>
  <w:num w:numId="13">
    <w:abstractNumId w:val="11"/>
  </w:num>
  <w:num w:numId="14">
    <w:abstractNumId w:val="17"/>
  </w:num>
  <w:num w:numId="15">
    <w:abstractNumId w:val="16"/>
  </w:num>
  <w:num w:numId="16">
    <w:abstractNumId w:val="14"/>
  </w:num>
  <w:num w:numId="17">
    <w:abstractNumId w:val="8"/>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425"/>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300"/>
    <w:rsid w:val="00014F69"/>
    <w:rsid w:val="000171DB"/>
    <w:rsid w:val="00023D9A"/>
    <w:rsid w:val="0002798F"/>
    <w:rsid w:val="000326F2"/>
    <w:rsid w:val="0003582E"/>
    <w:rsid w:val="0004146D"/>
    <w:rsid w:val="000418C2"/>
    <w:rsid w:val="00043D75"/>
    <w:rsid w:val="00044A8C"/>
    <w:rsid w:val="000463AA"/>
    <w:rsid w:val="00052697"/>
    <w:rsid w:val="00055F0A"/>
    <w:rsid w:val="00057000"/>
    <w:rsid w:val="000615D4"/>
    <w:rsid w:val="00062240"/>
    <w:rsid w:val="000638E7"/>
    <w:rsid w:val="000640E0"/>
    <w:rsid w:val="00064558"/>
    <w:rsid w:val="000653FF"/>
    <w:rsid w:val="00072380"/>
    <w:rsid w:val="00072FB7"/>
    <w:rsid w:val="00073BB9"/>
    <w:rsid w:val="00074249"/>
    <w:rsid w:val="000743CA"/>
    <w:rsid w:val="00077B3A"/>
    <w:rsid w:val="00077FD7"/>
    <w:rsid w:val="00084284"/>
    <w:rsid w:val="00086828"/>
    <w:rsid w:val="000906CC"/>
    <w:rsid w:val="00090E17"/>
    <w:rsid w:val="000966A8"/>
    <w:rsid w:val="000A4E61"/>
    <w:rsid w:val="000A5CA2"/>
    <w:rsid w:val="000A69E1"/>
    <w:rsid w:val="000A6BF6"/>
    <w:rsid w:val="000B456E"/>
    <w:rsid w:val="000B6212"/>
    <w:rsid w:val="000C397B"/>
    <w:rsid w:val="000C6BBA"/>
    <w:rsid w:val="000D19E2"/>
    <w:rsid w:val="000E6125"/>
    <w:rsid w:val="000F5A31"/>
    <w:rsid w:val="001043D8"/>
    <w:rsid w:val="00111025"/>
    <w:rsid w:val="00113DBE"/>
    <w:rsid w:val="001200A6"/>
    <w:rsid w:val="001217E9"/>
    <w:rsid w:val="00124A40"/>
    <w:rsid w:val="001251DA"/>
    <w:rsid w:val="00125432"/>
    <w:rsid w:val="00126D57"/>
    <w:rsid w:val="00136DDD"/>
    <w:rsid w:val="0013714A"/>
    <w:rsid w:val="00137F40"/>
    <w:rsid w:val="00144BDF"/>
    <w:rsid w:val="001550EA"/>
    <w:rsid w:val="001559C1"/>
    <w:rsid w:val="00155DDC"/>
    <w:rsid w:val="001566D0"/>
    <w:rsid w:val="00161830"/>
    <w:rsid w:val="00163065"/>
    <w:rsid w:val="00163120"/>
    <w:rsid w:val="00164D80"/>
    <w:rsid w:val="0017385E"/>
    <w:rsid w:val="00182153"/>
    <w:rsid w:val="00182E77"/>
    <w:rsid w:val="00183A64"/>
    <w:rsid w:val="001871EC"/>
    <w:rsid w:val="001A0C32"/>
    <w:rsid w:val="001A1E7C"/>
    <w:rsid w:val="001A20C3"/>
    <w:rsid w:val="001A2139"/>
    <w:rsid w:val="001A670F"/>
    <w:rsid w:val="001B0110"/>
    <w:rsid w:val="001B2391"/>
    <w:rsid w:val="001B2831"/>
    <w:rsid w:val="001B3E57"/>
    <w:rsid w:val="001B6A45"/>
    <w:rsid w:val="001C297E"/>
    <w:rsid w:val="001C3FD7"/>
    <w:rsid w:val="001C40BE"/>
    <w:rsid w:val="001C4F19"/>
    <w:rsid w:val="001C62B8"/>
    <w:rsid w:val="001C6416"/>
    <w:rsid w:val="001D22D8"/>
    <w:rsid w:val="001D35FC"/>
    <w:rsid w:val="001D4296"/>
    <w:rsid w:val="001E358D"/>
    <w:rsid w:val="001E7B0E"/>
    <w:rsid w:val="001F141D"/>
    <w:rsid w:val="001F1E4B"/>
    <w:rsid w:val="001F2409"/>
    <w:rsid w:val="001F2AEB"/>
    <w:rsid w:val="00200A06"/>
    <w:rsid w:val="00200A98"/>
    <w:rsid w:val="002016DC"/>
    <w:rsid w:val="00201838"/>
    <w:rsid w:val="00201AFA"/>
    <w:rsid w:val="002108B2"/>
    <w:rsid w:val="002136DB"/>
    <w:rsid w:val="0021517E"/>
    <w:rsid w:val="002165FC"/>
    <w:rsid w:val="002229F1"/>
    <w:rsid w:val="002300CC"/>
    <w:rsid w:val="00233F75"/>
    <w:rsid w:val="00235C15"/>
    <w:rsid w:val="00236420"/>
    <w:rsid w:val="00242FE9"/>
    <w:rsid w:val="00244576"/>
    <w:rsid w:val="00253DBE"/>
    <w:rsid w:val="00253DC6"/>
    <w:rsid w:val="0025489C"/>
    <w:rsid w:val="002622FA"/>
    <w:rsid w:val="00263518"/>
    <w:rsid w:val="00267EC7"/>
    <w:rsid w:val="0027279C"/>
    <w:rsid w:val="00272C04"/>
    <w:rsid w:val="002759E7"/>
    <w:rsid w:val="00277326"/>
    <w:rsid w:val="002842C4"/>
    <w:rsid w:val="00291FAF"/>
    <w:rsid w:val="002A06B8"/>
    <w:rsid w:val="002A11C4"/>
    <w:rsid w:val="002A15AF"/>
    <w:rsid w:val="002A2231"/>
    <w:rsid w:val="002A399B"/>
    <w:rsid w:val="002B5B1B"/>
    <w:rsid w:val="002C26C0"/>
    <w:rsid w:val="002C2BC5"/>
    <w:rsid w:val="002C2C4D"/>
    <w:rsid w:val="002C7F21"/>
    <w:rsid w:val="002D63B1"/>
    <w:rsid w:val="002E0407"/>
    <w:rsid w:val="002E22FD"/>
    <w:rsid w:val="002E3C52"/>
    <w:rsid w:val="002E79CB"/>
    <w:rsid w:val="002F7F55"/>
    <w:rsid w:val="00303576"/>
    <w:rsid w:val="003048D0"/>
    <w:rsid w:val="0030745F"/>
    <w:rsid w:val="00307DE5"/>
    <w:rsid w:val="00314630"/>
    <w:rsid w:val="0032090A"/>
    <w:rsid w:val="00321CDE"/>
    <w:rsid w:val="003276F0"/>
    <w:rsid w:val="00333E15"/>
    <w:rsid w:val="003371ED"/>
    <w:rsid w:val="003449F4"/>
    <w:rsid w:val="00347860"/>
    <w:rsid w:val="003571BC"/>
    <w:rsid w:val="00357764"/>
    <w:rsid w:val="0036090C"/>
    <w:rsid w:val="00361116"/>
    <w:rsid w:val="003613B4"/>
    <w:rsid w:val="00362562"/>
    <w:rsid w:val="0036424F"/>
    <w:rsid w:val="00372114"/>
    <w:rsid w:val="0037720D"/>
    <w:rsid w:val="00383605"/>
    <w:rsid w:val="00385C77"/>
    <w:rsid w:val="00385FB5"/>
    <w:rsid w:val="0038715D"/>
    <w:rsid w:val="00394DBF"/>
    <w:rsid w:val="00395134"/>
    <w:rsid w:val="003957A6"/>
    <w:rsid w:val="00396140"/>
    <w:rsid w:val="00396648"/>
    <w:rsid w:val="00397D8B"/>
    <w:rsid w:val="003A43EF"/>
    <w:rsid w:val="003A5384"/>
    <w:rsid w:val="003A6A88"/>
    <w:rsid w:val="003A796B"/>
    <w:rsid w:val="003C7445"/>
    <w:rsid w:val="003D2A76"/>
    <w:rsid w:val="003D2C18"/>
    <w:rsid w:val="003D31E4"/>
    <w:rsid w:val="003D688B"/>
    <w:rsid w:val="003E0E80"/>
    <w:rsid w:val="003E1E32"/>
    <w:rsid w:val="003E39A2"/>
    <w:rsid w:val="003E57AB"/>
    <w:rsid w:val="003E71D8"/>
    <w:rsid w:val="003F24A0"/>
    <w:rsid w:val="003F2BED"/>
    <w:rsid w:val="003F58F6"/>
    <w:rsid w:val="003F5FE1"/>
    <w:rsid w:val="003F7B43"/>
    <w:rsid w:val="00400B49"/>
    <w:rsid w:val="00405ABF"/>
    <w:rsid w:val="00406058"/>
    <w:rsid w:val="0041349F"/>
    <w:rsid w:val="0043492A"/>
    <w:rsid w:val="004367FE"/>
    <w:rsid w:val="00437BC7"/>
    <w:rsid w:val="004421A4"/>
    <w:rsid w:val="00443421"/>
    <w:rsid w:val="00443878"/>
    <w:rsid w:val="004513D7"/>
    <w:rsid w:val="004539A8"/>
    <w:rsid w:val="00454F5A"/>
    <w:rsid w:val="0046060E"/>
    <w:rsid w:val="00464C7B"/>
    <w:rsid w:val="004670D7"/>
    <w:rsid w:val="00467E11"/>
    <w:rsid w:val="00470391"/>
    <w:rsid w:val="004712CA"/>
    <w:rsid w:val="0047422E"/>
    <w:rsid w:val="00481AE3"/>
    <w:rsid w:val="00484A21"/>
    <w:rsid w:val="0048745D"/>
    <w:rsid w:val="0049041E"/>
    <w:rsid w:val="00491DB0"/>
    <w:rsid w:val="00493587"/>
    <w:rsid w:val="0049674B"/>
    <w:rsid w:val="004A34AC"/>
    <w:rsid w:val="004A5A4E"/>
    <w:rsid w:val="004B311A"/>
    <w:rsid w:val="004B44A7"/>
    <w:rsid w:val="004C0673"/>
    <w:rsid w:val="004C34D3"/>
    <w:rsid w:val="004C4E4E"/>
    <w:rsid w:val="004F1D8D"/>
    <w:rsid w:val="004F3816"/>
    <w:rsid w:val="00501A4D"/>
    <w:rsid w:val="00502A3B"/>
    <w:rsid w:val="0050586A"/>
    <w:rsid w:val="0051443C"/>
    <w:rsid w:val="0051650C"/>
    <w:rsid w:val="00517AB8"/>
    <w:rsid w:val="00520DBF"/>
    <w:rsid w:val="00525997"/>
    <w:rsid w:val="0053169F"/>
    <w:rsid w:val="00543D41"/>
    <w:rsid w:val="00544592"/>
    <w:rsid w:val="0054713E"/>
    <w:rsid w:val="005621F0"/>
    <w:rsid w:val="00562BA0"/>
    <w:rsid w:val="005645FF"/>
    <w:rsid w:val="00566901"/>
    <w:rsid w:val="00566EDA"/>
    <w:rsid w:val="0057081A"/>
    <w:rsid w:val="00572654"/>
    <w:rsid w:val="00575A01"/>
    <w:rsid w:val="0058029A"/>
    <w:rsid w:val="005848F4"/>
    <w:rsid w:val="005867EE"/>
    <w:rsid w:val="005976A1"/>
    <w:rsid w:val="00597AB5"/>
    <w:rsid w:val="005B3762"/>
    <w:rsid w:val="005B5629"/>
    <w:rsid w:val="005C0300"/>
    <w:rsid w:val="005C05A6"/>
    <w:rsid w:val="005C27A2"/>
    <w:rsid w:val="005D2085"/>
    <w:rsid w:val="005D4FEB"/>
    <w:rsid w:val="005D5EAE"/>
    <w:rsid w:val="005E107B"/>
    <w:rsid w:val="005E6135"/>
    <w:rsid w:val="005F4324"/>
    <w:rsid w:val="005F4B6A"/>
    <w:rsid w:val="00600A11"/>
    <w:rsid w:val="00600C04"/>
    <w:rsid w:val="006010F3"/>
    <w:rsid w:val="00615A0A"/>
    <w:rsid w:val="006202C7"/>
    <w:rsid w:val="00624771"/>
    <w:rsid w:val="00624E76"/>
    <w:rsid w:val="00626673"/>
    <w:rsid w:val="00626686"/>
    <w:rsid w:val="006266F2"/>
    <w:rsid w:val="00632F0C"/>
    <w:rsid w:val="006333D4"/>
    <w:rsid w:val="006369B2"/>
    <w:rsid w:val="0063718D"/>
    <w:rsid w:val="00643BE7"/>
    <w:rsid w:val="00647525"/>
    <w:rsid w:val="00647A71"/>
    <w:rsid w:val="00652795"/>
    <w:rsid w:val="006570B0"/>
    <w:rsid w:val="006576EE"/>
    <w:rsid w:val="0066019C"/>
    <w:rsid w:val="0066022F"/>
    <w:rsid w:val="00662C11"/>
    <w:rsid w:val="006779F6"/>
    <w:rsid w:val="0068049C"/>
    <w:rsid w:val="00681C7F"/>
    <w:rsid w:val="006823F3"/>
    <w:rsid w:val="00684EAE"/>
    <w:rsid w:val="00685874"/>
    <w:rsid w:val="00692049"/>
    <w:rsid w:val="0069210B"/>
    <w:rsid w:val="00695DD7"/>
    <w:rsid w:val="006A264C"/>
    <w:rsid w:val="006A3BF4"/>
    <w:rsid w:val="006A4055"/>
    <w:rsid w:val="006A5236"/>
    <w:rsid w:val="006A620B"/>
    <w:rsid w:val="006A7C27"/>
    <w:rsid w:val="006B11DB"/>
    <w:rsid w:val="006B1659"/>
    <w:rsid w:val="006B2FE4"/>
    <w:rsid w:val="006B37B0"/>
    <w:rsid w:val="006B5642"/>
    <w:rsid w:val="006C5641"/>
    <w:rsid w:val="006C677D"/>
    <w:rsid w:val="006D1089"/>
    <w:rsid w:val="006D1B86"/>
    <w:rsid w:val="006D20F7"/>
    <w:rsid w:val="006D463F"/>
    <w:rsid w:val="006D7355"/>
    <w:rsid w:val="006F5D95"/>
    <w:rsid w:val="006F6C23"/>
    <w:rsid w:val="006F725B"/>
    <w:rsid w:val="006F7DEE"/>
    <w:rsid w:val="00701DF0"/>
    <w:rsid w:val="0070219F"/>
    <w:rsid w:val="00715CA6"/>
    <w:rsid w:val="00722687"/>
    <w:rsid w:val="007242DA"/>
    <w:rsid w:val="007264B0"/>
    <w:rsid w:val="00731135"/>
    <w:rsid w:val="007324AF"/>
    <w:rsid w:val="007409B4"/>
    <w:rsid w:val="00741974"/>
    <w:rsid w:val="00747902"/>
    <w:rsid w:val="00750C2C"/>
    <w:rsid w:val="00750D4F"/>
    <w:rsid w:val="00753EB9"/>
    <w:rsid w:val="00754100"/>
    <w:rsid w:val="0075525E"/>
    <w:rsid w:val="00756D3D"/>
    <w:rsid w:val="00762364"/>
    <w:rsid w:val="0077113E"/>
    <w:rsid w:val="00771418"/>
    <w:rsid w:val="00772D9D"/>
    <w:rsid w:val="00776277"/>
    <w:rsid w:val="007806C2"/>
    <w:rsid w:val="00781F1A"/>
    <w:rsid w:val="00781FEE"/>
    <w:rsid w:val="00786D91"/>
    <w:rsid w:val="007903F8"/>
    <w:rsid w:val="00794F4F"/>
    <w:rsid w:val="007974BE"/>
    <w:rsid w:val="007A0916"/>
    <w:rsid w:val="007A0DFD"/>
    <w:rsid w:val="007A1A7A"/>
    <w:rsid w:val="007B50E4"/>
    <w:rsid w:val="007C0B22"/>
    <w:rsid w:val="007C7122"/>
    <w:rsid w:val="007D209B"/>
    <w:rsid w:val="007D315D"/>
    <w:rsid w:val="007D3F11"/>
    <w:rsid w:val="007D5A10"/>
    <w:rsid w:val="007D7B96"/>
    <w:rsid w:val="007E08B4"/>
    <w:rsid w:val="007E1164"/>
    <w:rsid w:val="007E171F"/>
    <w:rsid w:val="007E235F"/>
    <w:rsid w:val="007E2C69"/>
    <w:rsid w:val="007E53E4"/>
    <w:rsid w:val="007E656A"/>
    <w:rsid w:val="007F3CAA"/>
    <w:rsid w:val="007F664D"/>
    <w:rsid w:val="008009E7"/>
    <w:rsid w:val="00816C5C"/>
    <w:rsid w:val="00820326"/>
    <w:rsid w:val="00821ED5"/>
    <w:rsid w:val="00833C62"/>
    <w:rsid w:val="00837203"/>
    <w:rsid w:val="00842137"/>
    <w:rsid w:val="00852332"/>
    <w:rsid w:val="00853F5F"/>
    <w:rsid w:val="008623ED"/>
    <w:rsid w:val="008676A4"/>
    <w:rsid w:val="00875AA6"/>
    <w:rsid w:val="00880944"/>
    <w:rsid w:val="008857DA"/>
    <w:rsid w:val="0089088E"/>
    <w:rsid w:val="00892297"/>
    <w:rsid w:val="008964D6"/>
    <w:rsid w:val="008A770F"/>
    <w:rsid w:val="008B2B82"/>
    <w:rsid w:val="008B2E55"/>
    <w:rsid w:val="008B5123"/>
    <w:rsid w:val="008C4487"/>
    <w:rsid w:val="008C5B70"/>
    <w:rsid w:val="008D52A4"/>
    <w:rsid w:val="008D5C64"/>
    <w:rsid w:val="008D5EE5"/>
    <w:rsid w:val="008E0172"/>
    <w:rsid w:val="008F04E6"/>
    <w:rsid w:val="008F53C4"/>
    <w:rsid w:val="008F552B"/>
    <w:rsid w:val="009012C5"/>
    <w:rsid w:val="009063A1"/>
    <w:rsid w:val="00911D06"/>
    <w:rsid w:val="00912D9A"/>
    <w:rsid w:val="009249C9"/>
    <w:rsid w:val="009251D3"/>
    <w:rsid w:val="00927C05"/>
    <w:rsid w:val="00931E14"/>
    <w:rsid w:val="00933CE1"/>
    <w:rsid w:val="00936852"/>
    <w:rsid w:val="0094045D"/>
    <w:rsid w:val="009406B5"/>
    <w:rsid w:val="00942596"/>
    <w:rsid w:val="00943DCA"/>
    <w:rsid w:val="00946166"/>
    <w:rsid w:val="00953186"/>
    <w:rsid w:val="00964479"/>
    <w:rsid w:val="009655F2"/>
    <w:rsid w:val="009661D2"/>
    <w:rsid w:val="0097397A"/>
    <w:rsid w:val="00981D3A"/>
    <w:rsid w:val="00982EB9"/>
    <w:rsid w:val="00983164"/>
    <w:rsid w:val="0098572D"/>
    <w:rsid w:val="009863E1"/>
    <w:rsid w:val="00990A09"/>
    <w:rsid w:val="009932A5"/>
    <w:rsid w:val="00994912"/>
    <w:rsid w:val="009972EF"/>
    <w:rsid w:val="00997ED4"/>
    <w:rsid w:val="009B5035"/>
    <w:rsid w:val="009B6BC0"/>
    <w:rsid w:val="009C3160"/>
    <w:rsid w:val="009C4249"/>
    <w:rsid w:val="009D4DBC"/>
    <w:rsid w:val="009E0D26"/>
    <w:rsid w:val="009E766E"/>
    <w:rsid w:val="009F1960"/>
    <w:rsid w:val="009F3163"/>
    <w:rsid w:val="009F5666"/>
    <w:rsid w:val="009F715E"/>
    <w:rsid w:val="009F7B7D"/>
    <w:rsid w:val="00A10DBB"/>
    <w:rsid w:val="00A11720"/>
    <w:rsid w:val="00A17F98"/>
    <w:rsid w:val="00A21247"/>
    <w:rsid w:val="00A24A30"/>
    <w:rsid w:val="00A27236"/>
    <w:rsid w:val="00A27AD6"/>
    <w:rsid w:val="00A31D47"/>
    <w:rsid w:val="00A33906"/>
    <w:rsid w:val="00A4013E"/>
    <w:rsid w:val="00A4045F"/>
    <w:rsid w:val="00A427CD"/>
    <w:rsid w:val="00A454FB"/>
    <w:rsid w:val="00A459D0"/>
    <w:rsid w:val="00A45FEE"/>
    <w:rsid w:val="00A4600B"/>
    <w:rsid w:val="00A50506"/>
    <w:rsid w:val="00A50C55"/>
    <w:rsid w:val="00A51EF0"/>
    <w:rsid w:val="00A53CA3"/>
    <w:rsid w:val="00A542B5"/>
    <w:rsid w:val="00A62D0C"/>
    <w:rsid w:val="00A664DA"/>
    <w:rsid w:val="00A67A81"/>
    <w:rsid w:val="00A70F5A"/>
    <w:rsid w:val="00A730A6"/>
    <w:rsid w:val="00A7465A"/>
    <w:rsid w:val="00A835A7"/>
    <w:rsid w:val="00A971A0"/>
    <w:rsid w:val="00A97CCD"/>
    <w:rsid w:val="00AA157C"/>
    <w:rsid w:val="00AA1F22"/>
    <w:rsid w:val="00AB1728"/>
    <w:rsid w:val="00AB45E7"/>
    <w:rsid w:val="00AB4B62"/>
    <w:rsid w:val="00AB55D7"/>
    <w:rsid w:val="00AB6AFE"/>
    <w:rsid w:val="00AC0074"/>
    <w:rsid w:val="00AC5CD1"/>
    <w:rsid w:val="00AD0C2B"/>
    <w:rsid w:val="00AD1633"/>
    <w:rsid w:val="00AD291F"/>
    <w:rsid w:val="00AE0F51"/>
    <w:rsid w:val="00AE6133"/>
    <w:rsid w:val="00AE77F5"/>
    <w:rsid w:val="00AF3CA7"/>
    <w:rsid w:val="00AF4ACE"/>
    <w:rsid w:val="00B0022E"/>
    <w:rsid w:val="00B04367"/>
    <w:rsid w:val="00B05821"/>
    <w:rsid w:val="00B068A9"/>
    <w:rsid w:val="00B07225"/>
    <w:rsid w:val="00B0792C"/>
    <w:rsid w:val="00B100D6"/>
    <w:rsid w:val="00B10587"/>
    <w:rsid w:val="00B12A49"/>
    <w:rsid w:val="00B164C9"/>
    <w:rsid w:val="00B17993"/>
    <w:rsid w:val="00B23EC0"/>
    <w:rsid w:val="00B26C28"/>
    <w:rsid w:val="00B2739E"/>
    <w:rsid w:val="00B3167E"/>
    <w:rsid w:val="00B35643"/>
    <w:rsid w:val="00B4174C"/>
    <w:rsid w:val="00B429E5"/>
    <w:rsid w:val="00B453F5"/>
    <w:rsid w:val="00B5092A"/>
    <w:rsid w:val="00B51A3A"/>
    <w:rsid w:val="00B51B17"/>
    <w:rsid w:val="00B527D1"/>
    <w:rsid w:val="00B52BD9"/>
    <w:rsid w:val="00B53C30"/>
    <w:rsid w:val="00B56DD1"/>
    <w:rsid w:val="00B577B2"/>
    <w:rsid w:val="00B61624"/>
    <w:rsid w:val="00B65FE7"/>
    <w:rsid w:val="00B66481"/>
    <w:rsid w:val="00B67702"/>
    <w:rsid w:val="00B7189C"/>
    <w:rsid w:val="00B718A5"/>
    <w:rsid w:val="00B748A5"/>
    <w:rsid w:val="00B90AD6"/>
    <w:rsid w:val="00B920CD"/>
    <w:rsid w:val="00B96659"/>
    <w:rsid w:val="00B96F90"/>
    <w:rsid w:val="00BA788A"/>
    <w:rsid w:val="00BB0BA0"/>
    <w:rsid w:val="00BB4983"/>
    <w:rsid w:val="00BB7597"/>
    <w:rsid w:val="00BC2AAB"/>
    <w:rsid w:val="00BC3BDF"/>
    <w:rsid w:val="00BC62E2"/>
    <w:rsid w:val="00BD06A7"/>
    <w:rsid w:val="00BD56A4"/>
    <w:rsid w:val="00BD58FB"/>
    <w:rsid w:val="00BE0A15"/>
    <w:rsid w:val="00BF1EFF"/>
    <w:rsid w:val="00C03DBC"/>
    <w:rsid w:val="00C048EB"/>
    <w:rsid w:val="00C1356C"/>
    <w:rsid w:val="00C24503"/>
    <w:rsid w:val="00C2506D"/>
    <w:rsid w:val="00C2733D"/>
    <w:rsid w:val="00C32998"/>
    <w:rsid w:val="00C3386D"/>
    <w:rsid w:val="00C37820"/>
    <w:rsid w:val="00C42125"/>
    <w:rsid w:val="00C45A74"/>
    <w:rsid w:val="00C61B33"/>
    <w:rsid w:val="00C62814"/>
    <w:rsid w:val="00C641D9"/>
    <w:rsid w:val="00C6796F"/>
    <w:rsid w:val="00C67B25"/>
    <w:rsid w:val="00C7332E"/>
    <w:rsid w:val="00C73564"/>
    <w:rsid w:val="00C73EF0"/>
    <w:rsid w:val="00C748F7"/>
    <w:rsid w:val="00C74937"/>
    <w:rsid w:val="00C75203"/>
    <w:rsid w:val="00C7728B"/>
    <w:rsid w:val="00C91022"/>
    <w:rsid w:val="00CA2809"/>
    <w:rsid w:val="00CB2599"/>
    <w:rsid w:val="00CB287B"/>
    <w:rsid w:val="00CB7B8B"/>
    <w:rsid w:val="00CC0EE2"/>
    <w:rsid w:val="00CC237C"/>
    <w:rsid w:val="00CC5BE0"/>
    <w:rsid w:val="00CD0CFA"/>
    <w:rsid w:val="00CD20A3"/>
    <w:rsid w:val="00CD2139"/>
    <w:rsid w:val="00CD363E"/>
    <w:rsid w:val="00CD6848"/>
    <w:rsid w:val="00CD75EE"/>
    <w:rsid w:val="00CE1248"/>
    <w:rsid w:val="00CE5986"/>
    <w:rsid w:val="00CF3996"/>
    <w:rsid w:val="00CF5E00"/>
    <w:rsid w:val="00D04F13"/>
    <w:rsid w:val="00D12115"/>
    <w:rsid w:val="00D3712E"/>
    <w:rsid w:val="00D42140"/>
    <w:rsid w:val="00D43D52"/>
    <w:rsid w:val="00D44172"/>
    <w:rsid w:val="00D44FAE"/>
    <w:rsid w:val="00D45D7B"/>
    <w:rsid w:val="00D5355D"/>
    <w:rsid w:val="00D537DE"/>
    <w:rsid w:val="00D559E2"/>
    <w:rsid w:val="00D60D25"/>
    <w:rsid w:val="00D647EF"/>
    <w:rsid w:val="00D66D8A"/>
    <w:rsid w:val="00D709A8"/>
    <w:rsid w:val="00D72E01"/>
    <w:rsid w:val="00D73137"/>
    <w:rsid w:val="00D76EAE"/>
    <w:rsid w:val="00D77572"/>
    <w:rsid w:val="00D843DD"/>
    <w:rsid w:val="00D977A2"/>
    <w:rsid w:val="00DA1D47"/>
    <w:rsid w:val="00DA22D0"/>
    <w:rsid w:val="00DA2BE9"/>
    <w:rsid w:val="00DB1CD5"/>
    <w:rsid w:val="00DB2175"/>
    <w:rsid w:val="00DB6312"/>
    <w:rsid w:val="00DB7D19"/>
    <w:rsid w:val="00DC2E33"/>
    <w:rsid w:val="00DC4A29"/>
    <w:rsid w:val="00DC4E43"/>
    <w:rsid w:val="00DD1355"/>
    <w:rsid w:val="00DD149E"/>
    <w:rsid w:val="00DD27E0"/>
    <w:rsid w:val="00DD4672"/>
    <w:rsid w:val="00DD50DE"/>
    <w:rsid w:val="00DD72F7"/>
    <w:rsid w:val="00DE3062"/>
    <w:rsid w:val="00DF07A9"/>
    <w:rsid w:val="00DF29DC"/>
    <w:rsid w:val="00DF7DCF"/>
    <w:rsid w:val="00E0390F"/>
    <w:rsid w:val="00E0581D"/>
    <w:rsid w:val="00E12F95"/>
    <w:rsid w:val="00E204DD"/>
    <w:rsid w:val="00E21CBA"/>
    <w:rsid w:val="00E30BDA"/>
    <w:rsid w:val="00E34CE1"/>
    <w:rsid w:val="00E353EC"/>
    <w:rsid w:val="00E47FCB"/>
    <w:rsid w:val="00E51F61"/>
    <w:rsid w:val="00E53C24"/>
    <w:rsid w:val="00E56C1F"/>
    <w:rsid w:val="00E56E77"/>
    <w:rsid w:val="00E5735C"/>
    <w:rsid w:val="00E610EE"/>
    <w:rsid w:val="00E6685C"/>
    <w:rsid w:val="00E6734C"/>
    <w:rsid w:val="00E7375D"/>
    <w:rsid w:val="00E752C5"/>
    <w:rsid w:val="00E76F12"/>
    <w:rsid w:val="00EA4D91"/>
    <w:rsid w:val="00EB01CE"/>
    <w:rsid w:val="00EB11EE"/>
    <w:rsid w:val="00EB1D79"/>
    <w:rsid w:val="00EB29B4"/>
    <w:rsid w:val="00EB444D"/>
    <w:rsid w:val="00EB7005"/>
    <w:rsid w:val="00EC14ED"/>
    <w:rsid w:val="00EC774F"/>
    <w:rsid w:val="00ED22CE"/>
    <w:rsid w:val="00ED6950"/>
    <w:rsid w:val="00EE06E9"/>
    <w:rsid w:val="00EE088F"/>
    <w:rsid w:val="00EE3C41"/>
    <w:rsid w:val="00EE4A67"/>
    <w:rsid w:val="00EE5C0D"/>
    <w:rsid w:val="00EE6AB1"/>
    <w:rsid w:val="00EF258B"/>
    <w:rsid w:val="00EF4792"/>
    <w:rsid w:val="00EF6FB8"/>
    <w:rsid w:val="00F02294"/>
    <w:rsid w:val="00F03378"/>
    <w:rsid w:val="00F12413"/>
    <w:rsid w:val="00F124BA"/>
    <w:rsid w:val="00F132DE"/>
    <w:rsid w:val="00F13871"/>
    <w:rsid w:val="00F141F9"/>
    <w:rsid w:val="00F240A4"/>
    <w:rsid w:val="00F26645"/>
    <w:rsid w:val="00F305D5"/>
    <w:rsid w:val="00F30DE7"/>
    <w:rsid w:val="00F315BD"/>
    <w:rsid w:val="00F35F57"/>
    <w:rsid w:val="00F46592"/>
    <w:rsid w:val="00F50467"/>
    <w:rsid w:val="00F52EC3"/>
    <w:rsid w:val="00F562A0"/>
    <w:rsid w:val="00F56E43"/>
    <w:rsid w:val="00F57FA4"/>
    <w:rsid w:val="00F63B3C"/>
    <w:rsid w:val="00F70485"/>
    <w:rsid w:val="00F70DD5"/>
    <w:rsid w:val="00F75A19"/>
    <w:rsid w:val="00F8186A"/>
    <w:rsid w:val="00F83147"/>
    <w:rsid w:val="00F845F1"/>
    <w:rsid w:val="00F85E39"/>
    <w:rsid w:val="00F942C2"/>
    <w:rsid w:val="00F959BC"/>
    <w:rsid w:val="00F96104"/>
    <w:rsid w:val="00FA02CB"/>
    <w:rsid w:val="00FA2177"/>
    <w:rsid w:val="00FB0783"/>
    <w:rsid w:val="00FB6CD5"/>
    <w:rsid w:val="00FB7A8B"/>
    <w:rsid w:val="00FC2321"/>
    <w:rsid w:val="00FD0F87"/>
    <w:rsid w:val="00FD157A"/>
    <w:rsid w:val="00FD41B8"/>
    <w:rsid w:val="00FD439E"/>
    <w:rsid w:val="00FD76CB"/>
    <w:rsid w:val="00FE1001"/>
    <w:rsid w:val="00FE10B6"/>
    <w:rsid w:val="00FE152B"/>
    <w:rsid w:val="00FE239E"/>
    <w:rsid w:val="00FE3A9A"/>
    <w:rsid w:val="00FE48BA"/>
    <w:rsid w:val="00FE4BE3"/>
    <w:rsid w:val="00FF3677"/>
    <w:rsid w:val="00FF4546"/>
    <w:rsid w:val="00FF538F"/>
    <w:rsid w:val="00FF6EA5"/>
    <w:rsid w:val="00FF7F70"/>
    <w:rsid w:val="0E227C80"/>
    <w:rsid w:val="17B53D5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4EF92A90"/>
  <w15:docId w15:val="{ECC0E16D-EC8D-41AB-8C43-B6214D70F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rFonts w:ascii="Times New Roman" w:hAnsi="Times New Roman" w:cs="Times New Roman"/>
      <w:sz w:val="24"/>
      <w:szCs w:val="24"/>
      <w:lang w:eastAsia="ja-JP"/>
    </w:rPr>
  </w:style>
  <w:style w:type="paragraph" w:styleId="Heading1">
    <w:name w:val="heading 1"/>
    <w:basedOn w:val="Normal"/>
    <w:next w:val="Normal"/>
    <w:link w:val="Heading1Char"/>
    <w:qFormat/>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semiHidden/>
    <w:unhideWhenUsed/>
    <w:qFormat/>
    <w:rPr>
      <w:sz w:val="20"/>
      <w:szCs w:val="20"/>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TOC3">
    <w:name w:val="toc 3"/>
    <w:basedOn w:val="TOC2"/>
    <w:next w:val="Normal"/>
    <w:qFormat/>
    <w:pPr>
      <w:ind w:left="2269"/>
    </w:pPr>
  </w:style>
  <w:style w:type="paragraph" w:styleId="TOC2">
    <w:name w:val="toc 2"/>
    <w:basedOn w:val="TOC1"/>
    <w:next w:val="Normal"/>
    <w:qFormat/>
    <w:pPr>
      <w:spacing w:before="80"/>
      <w:ind w:left="1531" w:hanging="851"/>
    </w:pPr>
  </w:style>
  <w:style w:type="paragraph" w:styleId="TOC1">
    <w:name w:val="toc 1"/>
    <w:basedOn w:val="Normal"/>
    <w:next w:val="Normal"/>
    <w:qFormat/>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szCs w:val="20"/>
      <w:lang w:eastAsia="en-US"/>
    </w:rPr>
  </w:style>
  <w:style w:type="paragraph" w:styleId="BalloonText">
    <w:name w:val="Balloon Text"/>
    <w:basedOn w:val="Normal"/>
    <w:link w:val="BalloonTextChar"/>
    <w:uiPriority w:val="99"/>
    <w:semiHidden/>
    <w:unhideWhenUsed/>
    <w:qFormat/>
    <w:pPr>
      <w:spacing w:before="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pPr>
  </w:style>
  <w:style w:type="paragraph" w:styleId="Header">
    <w:name w:val="header"/>
    <w:basedOn w:val="Normal"/>
    <w:link w:val="HeaderChar"/>
    <w:uiPriority w:val="99"/>
    <w:unhideWhenUsed/>
    <w:qFormat/>
    <w:pPr>
      <w:tabs>
        <w:tab w:val="center" w:pos="4680"/>
        <w:tab w:val="right" w:pos="9360"/>
      </w:tabs>
      <w:spacing w:before="0"/>
      <w:jc w:val="center"/>
    </w:pPr>
    <w:rPr>
      <w:sz w:val="20"/>
      <w:szCs w:val="20"/>
    </w:rPr>
  </w:style>
  <w:style w:type="paragraph" w:styleId="Subtitle">
    <w:name w:val="Subtitle"/>
    <w:basedOn w:val="Normal"/>
    <w:next w:val="Normal"/>
    <w:link w:val="SubtitleChar"/>
    <w:uiPriority w:val="11"/>
    <w:qFormat/>
    <w:pPr>
      <w:spacing w:after="160"/>
    </w:pPr>
    <w:rPr>
      <w:rFonts w:ascii="Calibri" w:hAnsi="Calibri" w:cs="Arial"/>
      <w:color w:val="595959"/>
      <w:spacing w:val="15"/>
      <w:sz w:val="22"/>
      <w:szCs w:val="22"/>
    </w:rPr>
  </w:style>
  <w:style w:type="paragraph" w:styleId="TableofFigures">
    <w:name w:val="table of figures"/>
    <w:basedOn w:val="Normal"/>
    <w:next w:val="Normal"/>
    <w:uiPriority w:val="99"/>
    <w:qFormat/>
    <w:pPr>
      <w:tabs>
        <w:tab w:val="right" w:leader="dot" w:pos="9639"/>
      </w:tabs>
    </w:pPr>
    <w:rPr>
      <w:rFonts w:eastAsia="MS Mincho"/>
    </w:rPr>
  </w:style>
  <w:style w:type="character" w:styleId="Strong">
    <w:name w:val="Strong"/>
    <w:uiPriority w:val="22"/>
    <w:qFormat/>
    <w:rPr>
      <w:b/>
      <w:bCs/>
    </w:r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qFormat/>
    <w:rPr>
      <w:rFonts w:ascii="Times New Roman" w:hAnsi="Times New Roman"/>
      <w:color w:val="0000FF"/>
      <w:u w:val="single"/>
    </w:rPr>
  </w:style>
  <w:style w:type="character" w:styleId="CommentReference">
    <w:name w:val="annotation reference"/>
    <w:uiPriority w:val="99"/>
    <w:semiHidden/>
    <w:unhideWhenUsed/>
    <w:qFormat/>
    <w:rPr>
      <w:sz w:val="16"/>
      <w:szCs w:val="16"/>
    </w:rPr>
  </w:style>
  <w:style w:type="character" w:styleId="PlaceholderText">
    <w:name w:val="Placeholder Text"/>
    <w:uiPriority w:val="99"/>
    <w:semiHidden/>
    <w:qFormat/>
    <w:rPr>
      <w:rFonts w:ascii="Times New Roman" w:hAnsi="Times New Roman"/>
      <w:color w:val="808080"/>
    </w:rPr>
  </w:style>
  <w:style w:type="paragraph" w:customStyle="1" w:styleId="Docnumber">
    <w:name w:val="Docnumber"/>
    <w:basedOn w:val="Normal"/>
    <w:link w:val="DocnumberChar"/>
    <w:qFormat/>
    <w:pPr>
      <w:tabs>
        <w:tab w:val="left" w:pos="794"/>
        <w:tab w:val="left" w:pos="1191"/>
        <w:tab w:val="left" w:pos="1588"/>
        <w:tab w:val="left" w:pos="1985"/>
      </w:tabs>
      <w:overflowPunct w:val="0"/>
      <w:autoSpaceDE w:val="0"/>
      <w:autoSpaceDN w:val="0"/>
      <w:adjustRightInd w:val="0"/>
      <w:jc w:val="right"/>
      <w:textAlignment w:val="baseline"/>
    </w:pPr>
    <w:rPr>
      <w:b/>
      <w:sz w:val="32"/>
      <w:szCs w:val="20"/>
      <w:lang w:eastAsia="en-US"/>
    </w:rPr>
  </w:style>
  <w:style w:type="character" w:customStyle="1" w:styleId="DocnumberChar">
    <w:name w:val="Docnumber Char"/>
    <w:link w:val="Docnumber"/>
    <w:qFormat/>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style>
  <w:style w:type="paragraph" w:customStyle="1" w:styleId="CorrectionSeparatorBegin">
    <w:name w:val="Correction Separator Begin"/>
    <w:basedOn w:val="Normal"/>
    <w:qFormat/>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qFormat/>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qFormat/>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sz w:val="20"/>
      <w:szCs w:val="20"/>
      <w:lang w:val="en-US" w:eastAsia="en-US"/>
    </w:rPr>
  </w:style>
  <w:style w:type="paragraph" w:customStyle="1" w:styleId="Headingb">
    <w:name w:val="Heading_b"/>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Pr>
      <w:rFonts w:eastAsia="SimSun"/>
      <w:b/>
      <w:bCs/>
      <w:lang w:eastAsia="ja-JP"/>
    </w:rPr>
  </w:style>
  <w:style w:type="paragraph" w:customStyle="1" w:styleId="Normalbeforetable">
    <w:name w:val="Normal before table"/>
    <w:basedOn w:val="Normal"/>
    <w:qFormat/>
    <w:pPr>
      <w:keepNext/>
      <w:spacing w:after="120"/>
    </w:pPr>
    <w:rPr>
      <w:rFonts w:eastAsia="????"/>
      <w:lang w:eastAsia="en-US"/>
    </w:rPr>
  </w:style>
  <w:style w:type="paragraph" w:customStyle="1" w:styleId="RecNo">
    <w:name w:val="Rec_No"/>
    <w:basedOn w:val="Normal"/>
    <w:next w:val="Normal"/>
    <w:qFormat/>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qFormat/>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Heading1Char">
    <w:name w:val="Heading 1 Char"/>
    <w:link w:val="Heading1"/>
    <w:qFormat/>
    <w:rPr>
      <w:rFonts w:ascii="Times New Roman" w:eastAsia="Times New Roman" w:hAnsi="Times New Roman" w:cs="Times New Roman"/>
      <w:b/>
      <w:sz w:val="24"/>
      <w:szCs w:val="20"/>
      <w:lang w:val="en-GB" w:eastAsia="en-US"/>
    </w:rPr>
  </w:style>
  <w:style w:type="character" w:customStyle="1" w:styleId="Heading2Char">
    <w:name w:val="Heading 2 Char"/>
    <w:link w:val="Heading2"/>
    <w:qFormat/>
    <w:rPr>
      <w:rFonts w:ascii="Times New Roman" w:eastAsia="Times New Roman" w:hAnsi="Times New Roman" w:cs="Times New Roman"/>
      <w:b/>
      <w:sz w:val="24"/>
      <w:szCs w:val="20"/>
      <w:lang w:val="en-GB" w:eastAsia="en-US"/>
    </w:rPr>
  </w:style>
  <w:style w:type="character" w:customStyle="1" w:styleId="Heading3Char">
    <w:name w:val="Heading 3 Char"/>
    <w:link w:val="Heading3"/>
    <w:qFormat/>
    <w:rPr>
      <w:rFonts w:ascii="Times New Roman" w:eastAsia="Times New Roman" w:hAnsi="Times New Roman" w:cs="Times New Roman"/>
      <w:b/>
      <w:sz w:val="24"/>
      <w:szCs w:val="20"/>
      <w:lang w:val="en-GB" w:eastAsia="en-US"/>
    </w:rPr>
  </w:style>
  <w:style w:type="character" w:customStyle="1" w:styleId="Heading4Char">
    <w:name w:val="Heading 4 Char"/>
    <w:link w:val="Heading4"/>
    <w:qFormat/>
    <w:rPr>
      <w:rFonts w:ascii="Times New Roman" w:eastAsia="Times New Roman" w:hAnsi="Times New Roman" w:cs="Times New Roman"/>
      <w:b/>
      <w:sz w:val="24"/>
      <w:szCs w:val="20"/>
      <w:lang w:val="en-GB" w:eastAsia="en-US"/>
    </w:rPr>
  </w:style>
  <w:style w:type="character" w:customStyle="1" w:styleId="Heading5Char">
    <w:name w:val="Heading 5 Char"/>
    <w:link w:val="Heading5"/>
    <w:qFormat/>
    <w:rPr>
      <w:rFonts w:ascii="Times New Roman" w:eastAsia="Times New Roman" w:hAnsi="Times New Roman" w:cs="Times New Roman"/>
      <w:b/>
      <w:sz w:val="24"/>
      <w:szCs w:val="20"/>
      <w:lang w:val="en-GB" w:eastAsia="en-US"/>
    </w:rPr>
  </w:style>
  <w:style w:type="character" w:customStyle="1" w:styleId="Heading6Char">
    <w:name w:val="Heading 6 Char"/>
    <w:link w:val="Heading6"/>
    <w:qFormat/>
    <w:rPr>
      <w:rFonts w:ascii="Times New Roman" w:eastAsia="Times New Roman" w:hAnsi="Times New Roman" w:cs="Times New Roman"/>
      <w:b/>
      <w:sz w:val="24"/>
      <w:szCs w:val="20"/>
      <w:lang w:val="en-GB" w:eastAsia="en-US"/>
    </w:rPr>
  </w:style>
  <w:style w:type="character" w:customStyle="1" w:styleId="Heading7Char">
    <w:name w:val="Heading 7 Char"/>
    <w:link w:val="Heading7"/>
    <w:qFormat/>
    <w:rPr>
      <w:rFonts w:ascii="Times New Roman" w:eastAsia="Times New Roman" w:hAnsi="Times New Roman" w:cs="Times New Roman"/>
      <w:b/>
      <w:sz w:val="24"/>
      <w:szCs w:val="20"/>
      <w:lang w:val="en-GB" w:eastAsia="en-US"/>
    </w:rPr>
  </w:style>
  <w:style w:type="character" w:customStyle="1" w:styleId="Heading8Char">
    <w:name w:val="Heading 8 Char"/>
    <w:link w:val="Heading8"/>
    <w:qFormat/>
    <w:rPr>
      <w:rFonts w:ascii="Times New Roman" w:eastAsia="Times New Roman" w:hAnsi="Times New Roman" w:cs="Times New Roman"/>
      <w:b/>
      <w:sz w:val="24"/>
      <w:szCs w:val="20"/>
      <w:lang w:val="en-GB" w:eastAsia="en-US"/>
    </w:rPr>
  </w:style>
  <w:style w:type="character" w:customStyle="1" w:styleId="Heading9Char">
    <w:name w:val="Heading 9 Char"/>
    <w:link w:val="Heading9"/>
    <w:qFormat/>
    <w:rPr>
      <w:rFonts w:ascii="Times New Roman" w:eastAsia="Times New Roman" w:hAnsi="Times New Roman" w:cs="Times New Roman"/>
      <w:b/>
      <w:sz w:val="24"/>
      <w:szCs w:val="20"/>
      <w:lang w:val="en-GB" w:eastAsia="en-US"/>
    </w:rPr>
  </w:style>
  <w:style w:type="character" w:customStyle="1" w:styleId="HeaderChar">
    <w:name w:val="Header Char"/>
    <w:link w:val="Header"/>
    <w:uiPriority w:val="99"/>
    <w:qFormat/>
    <w:rPr>
      <w:rFonts w:ascii="Times New Roman" w:hAnsi="Times New Roman" w:cs="Times New Roman"/>
      <w:sz w:val="20"/>
      <w:szCs w:val="20"/>
      <w:lang w:val="en-GB" w:eastAsia="ja-JP"/>
    </w:rPr>
  </w:style>
  <w:style w:type="character" w:customStyle="1" w:styleId="FooterChar">
    <w:name w:val="Footer Char"/>
    <w:link w:val="Footer"/>
    <w:uiPriority w:val="99"/>
    <w:qFormat/>
    <w:rPr>
      <w:rFonts w:ascii="Times New Roman" w:hAnsi="Times New Roman" w:cs="Times New Roman"/>
      <w:sz w:val="24"/>
      <w:szCs w:val="24"/>
      <w:lang w:val="en-GB" w:eastAsia="ja-JP"/>
    </w:rPr>
  </w:style>
  <w:style w:type="character" w:customStyle="1" w:styleId="SubtitleChar">
    <w:name w:val="Subtitle Char"/>
    <w:link w:val="Subtitle"/>
    <w:uiPriority w:val="11"/>
    <w:qFormat/>
    <w:rPr>
      <w:color w:val="595959"/>
      <w:spacing w:val="15"/>
      <w:lang w:val="en-GB" w:eastAsia="ja-JP"/>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rFonts w:ascii="Times New Roman" w:hAnsi="Times New Roman" w:cs="Times New Roman"/>
      <w:i/>
      <w:iCs/>
      <w:color w:val="404040"/>
      <w:sz w:val="24"/>
      <w:szCs w:val="24"/>
      <w:lang w:val="en-GB" w:eastAsia="ja-JP"/>
    </w:rPr>
  </w:style>
  <w:style w:type="character" w:customStyle="1" w:styleId="BalloonTextChar">
    <w:name w:val="Balloon Text Char"/>
    <w:link w:val="BalloonText"/>
    <w:uiPriority w:val="99"/>
    <w:semiHidden/>
    <w:qFormat/>
    <w:rPr>
      <w:rFonts w:ascii="Segoe UI" w:hAnsi="Segoe UI" w:cs="Segoe UI"/>
      <w:sz w:val="18"/>
      <w:szCs w:val="18"/>
      <w:lang w:val="en-GB" w:eastAsia="ja-JP"/>
    </w:rPr>
  </w:style>
  <w:style w:type="paragraph" w:customStyle="1" w:styleId="LSDeadline">
    <w:name w:val="LSDeadline"/>
    <w:basedOn w:val="Normal"/>
    <w:qFormat/>
    <w:pPr>
      <w:tabs>
        <w:tab w:val="left" w:pos="794"/>
        <w:tab w:val="left" w:pos="1191"/>
        <w:tab w:val="left" w:pos="1588"/>
        <w:tab w:val="left" w:pos="1985"/>
      </w:tabs>
      <w:overflowPunct w:val="0"/>
      <w:autoSpaceDE w:val="0"/>
      <w:autoSpaceDN w:val="0"/>
      <w:adjustRightInd w:val="0"/>
      <w:textAlignment w:val="baseline"/>
    </w:pPr>
    <w:rPr>
      <w:rFonts w:eastAsia="Times New Roman"/>
      <w:b/>
      <w:bCs/>
      <w:szCs w:val="20"/>
      <w:lang w:eastAsia="en-US"/>
    </w:rPr>
  </w:style>
  <w:style w:type="paragraph" w:customStyle="1" w:styleId="LSForAction">
    <w:name w:val="LSForAction"/>
    <w:basedOn w:val="Normal"/>
    <w:qFormat/>
    <w:pPr>
      <w:tabs>
        <w:tab w:val="left" w:pos="794"/>
        <w:tab w:val="left" w:pos="1191"/>
        <w:tab w:val="left" w:pos="1588"/>
        <w:tab w:val="left" w:pos="1985"/>
      </w:tabs>
      <w:overflowPunct w:val="0"/>
      <w:autoSpaceDE w:val="0"/>
      <w:autoSpaceDN w:val="0"/>
      <w:adjustRightInd w:val="0"/>
      <w:textAlignment w:val="baseline"/>
    </w:pPr>
    <w:rPr>
      <w:rFonts w:eastAsia="Times New Roman"/>
      <w:b/>
      <w:bCs/>
      <w:szCs w:val="20"/>
      <w:lang w:eastAsia="en-US"/>
    </w:rPr>
  </w:style>
  <w:style w:type="paragraph" w:customStyle="1" w:styleId="LSForInfo">
    <w:name w:val="LSForInfo"/>
    <w:basedOn w:val="LSForAction"/>
    <w:qFormat/>
  </w:style>
  <w:style w:type="paragraph" w:customStyle="1" w:styleId="LSForComment">
    <w:name w:val="LSForComment"/>
    <w:basedOn w:val="LSForAction"/>
    <w:qFormat/>
  </w:style>
  <w:style w:type="paragraph" w:customStyle="1" w:styleId="NO">
    <w:name w:val="NO"/>
    <w:basedOn w:val="Normal"/>
    <w:qFormat/>
    <w:pPr>
      <w:keepLines/>
      <w:overflowPunct w:val="0"/>
      <w:autoSpaceDE w:val="0"/>
      <w:autoSpaceDN w:val="0"/>
      <w:adjustRightInd w:val="0"/>
      <w:spacing w:before="0" w:after="180"/>
      <w:ind w:left="1135" w:hanging="851"/>
      <w:textAlignment w:val="baseline"/>
    </w:pPr>
    <w:rPr>
      <w:rFonts w:eastAsia="Batang"/>
      <w:sz w:val="20"/>
      <w:szCs w:val="20"/>
      <w:lang w:val="en-US" w:eastAsia="en-US" w:bidi="en-US"/>
    </w:rPr>
  </w:style>
  <w:style w:type="character" w:customStyle="1" w:styleId="CommentTextChar">
    <w:name w:val="Comment Text Char"/>
    <w:link w:val="CommentText"/>
    <w:uiPriority w:val="99"/>
    <w:semiHidden/>
    <w:qFormat/>
    <w:rPr>
      <w:rFonts w:ascii="Times New Roman" w:hAnsi="Times New Roman" w:cs="Times New Roman"/>
      <w:sz w:val="20"/>
      <w:szCs w:val="20"/>
      <w:lang w:val="en-GB" w:eastAsia="ja-JP"/>
    </w:rPr>
  </w:style>
  <w:style w:type="character" w:customStyle="1" w:styleId="CommentSubjectChar">
    <w:name w:val="Comment Subject Char"/>
    <w:link w:val="CommentSubject"/>
    <w:uiPriority w:val="99"/>
    <w:semiHidden/>
    <w:qFormat/>
    <w:rPr>
      <w:rFonts w:ascii="Times New Roman" w:hAnsi="Times New Roman" w:cs="Times New Roman"/>
      <w:b/>
      <w:bCs/>
      <w:sz w:val="20"/>
      <w:szCs w:val="20"/>
      <w:lang w:val="en-GB" w:eastAsia="ja-JP"/>
    </w:rPr>
  </w:style>
  <w:style w:type="paragraph" w:styleId="ListParagraph">
    <w:name w:val="List Paragraph"/>
    <w:basedOn w:val="Normal"/>
    <w:link w:val="ListParagraphChar"/>
    <w:uiPriority w:val="34"/>
    <w:qFormat/>
    <w:pPr>
      <w:ind w:left="720"/>
      <w:contextualSpacing/>
    </w:pPr>
  </w:style>
  <w:style w:type="character" w:styleId="UnresolvedMention">
    <w:name w:val="Unresolved Mention"/>
    <w:uiPriority w:val="99"/>
    <w:semiHidden/>
    <w:unhideWhenUsed/>
    <w:rsid w:val="00597AB5"/>
    <w:rPr>
      <w:color w:val="605E5C"/>
      <w:shd w:val="clear" w:color="auto" w:fill="E1DFDD"/>
    </w:rPr>
  </w:style>
  <w:style w:type="character" w:customStyle="1" w:styleId="ListParagraphChar">
    <w:name w:val="List Paragraph Char"/>
    <w:link w:val="ListParagraph"/>
    <w:uiPriority w:val="34"/>
    <w:locked/>
    <w:rsid w:val="00C7332E"/>
    <w:rPr>
      <w:rFonts w:ascii="Times New Roman" w:hAnsi="Times New Roman" w:cs="Times New Roman"/>
      <w:sz w:val="24"/>
      <w:szCs w:val="24"/>
      <w:lang w:eastAsia="ja-JP"/>
    </w:rPr>
  </w:style>
  <w:style w:type="paragraph" w:styleId="FootnoteText">
    <w:name w:val="footnote text"/>
    <w:basedOn w:val="Normal"/>
    <w:link w:val="FootnoteTextChar"/>
    <w:uiPriority w:val="99"/>
    <w:semiHidden/>
    <w:unhideWhenUsed/>
    <w:rsid w:val="008A770F"/>
    <w:pPr>
      <w:spacing w:before="0"/>
    </w:pPr>
    <w:rPr>
      <w:sz w:val="20"/>
      <w:szCs w:val="20"/>
    </w:rPr>
  </w:style>
  <w:style w:type="character" w:customStyle="1" w:styleId="FootnoteTextChar">
    <w:name w:val="Footnote Text Char"/>
    <w:link w:val="FootnoteText"/>
    <w:uiPriority w:val="99"/>
    <w:semiHidden/>
    <w:rsid w:val="008A770F"/>
    <w:rPr>
      <w:rFonts w:ascii="Times New Roman" w:hAnsi="Times New Roman" w:cs="Times New Roman"/>
      <w:lang w:eastAsia="ja-JP"/>
    </w:rPr>
  </w:style>
  <w:style w:type="character" w:styleId="FootnoteReference">
    <w:name w:val="footnote reference"/>
    <w:uiPriority w:val="99"/>
    <w:semiHidden/>
    <w:unhideWhenUsed/>
    <w:rsid w:val="008A770F"/>
    <w:rPr>
      <w:vertAlign w:val="superscript"/>
    </w:rPr>
  </w:style>
  <w:style w:type="character" w:customStyle="1" w:styleId="ms-rtethemeforecolor-2-0">
    <w:name w:val="ms-rtethemeforecolor-2-0"/>
    <w:rsid w:val="003D6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844336">
      <w:bodyDiv w:val="1"/>
      <w:marLeft w:val="0"/>
      <w:marRight w:val="0"/>
      <w:marTop w:val="0"/>
      <w:marBottom w:val="0"/>
      <w:divBdr>
        <w:top w:val="none" w:sz="0" w:space="0" w:color="auto"/>
        <w:left w:val="none" w:sz="0" w:space="0" w:color="auto"/>
        <w:bottom w:val="none" w:sz="0" w:space="0" w:color="auto"/>
        <w:right w:val="none" w:sz="0" w:space="0" w:color="auto"/>
      </w:divBdr>
    </w:div>
    <w:div w:id="84310258">
      <w:bodyDiv w:val="1"/>
      <w:marLeft w:val="0"/>
      <w:marRight w:val="0"/>
      <w:marTop w:val="0"/>
      <w:marBottom w:val="0"/>
      <w:divBdr>
        <w:top w:val="none" w:sz="0" w:space="0" w:color="auto"/>
        <w:left w:val="none" w:sz="0" w:space="0" w:color="auto"/>
        <w:bottom w:val="none" w:sz="0" w:space="0" w:color="auto"/>
        <w:right w:val="none" w:sz="0" w:space="0" w:color="auto"/>
      </w:divBdr>
    </w:div>
    <w:div w:id="149298286">
      <w:bodyDiv w:val="1"/>
      <w:marLeft w:val="0"/>
      <w:marRight w:val="0"/>
      <w:marTop w:val="0"/>
      <w:marBottom w:val="0"/>
      <w:divBdr>
        <w:top w:val="none" w:sz="0" w:space="0" w:color="auto"/>
        <w:left w:val="none" w:sz="0" w:space="0" w:color="auto"/>
        <w:bottom w:val="none" w:sz="0" w:space="0" w:color="auto"/>
        <w:right w:val="none" w:sz="0" w:space="0" w:color="auto"/>
      </w:divBdr>
    </w:div>
    <w:div w:id="166530303">
      <w:bodyDiv w:val="1"/>
      <w:marLeft w:val="0"/>
      <w:marRight w:val="0"/>
      <w:marTop w:val="0"/>
      <w:marBottom w:val="0"/>
      <w:divBdr>
        <w:top w:val="none" w:sz="0" w:space="0" w:color="auto"/>
        <w:left w:val="none" w:sz="0" w:space="0" w:color="auto"/>
        <w:bottom w:val="none" w:sz="0" w:space="0" w:color="auto"/>
        <w:right w:val="none" w:sz="0" w:space="0" w:color="auto"/>
      </w:divBdr>
    </w:div>
    <w:div w:id="451021947">
      <w:bodyDiv w:val="1"/>
      <w:marLeft w:val="0"/>
      <w:marRight w:val="0"/>
      <w:marTop w:val="0"/>
      <w:marBottom w:val="0"/>
      <w:divBdr>
        <w:top w:val="none" w:sz="0" w:space="0" w:color="auto"/>
        <w:left w:val="none" w:sz="0" w:space="0" w:color="auto"/>
        <w:bottom w:val="none" w:sz="0" w:space="0" w:color="auto"/>
        <w:right w:val="none" w:sz="0" w:space="0" w:color="auto"/>
      </w:divBdr>
    </w:div>
    <w:div w:id="672728702">
      <w:bodyDiv w:val="1"/>
      <w:marLeft w:val="0"/>
      <w:marRight w:val="0"/>
      <w:marTop w:val="0"/>
      <w:marBottom w:val="0"/>
      <w:divBdr>
        <w:top w:val="none" w:sz="0" w:space="0" w:color="auto"/>
        <w:left w:val="none" w:sz="0" w:space="0" w:color="auto"/>
        <w:bottom w:val="none" w:sz="0" w:space="0" w:color="auto"/>
        <w:right w:val="none" w:sz="0" w:space="0" w:color="auto"/>
      </w:divBdr>
    </w:div>
    <w:div w:id="679508718">
      <w:bodyDiv w:val="1"/>
      <w:marLeft w:val="0"/>
      <w:marRight w:val="0"/>
      <w:marTop w:val="0"/>
      <w:marBottom w:val="0"/>
      <w:divBdr>
        <w:top w:val="none" w:sz="0" w:space="0" w:color="auto"/>
        <w:left w:val="none" w:sz="0" w:space="0" w:color="auto"/>
        <w:bottom w:val="none" w:sz="0" w:space="0" w:color="auto"/>
        <w:right w:val="none" w:sz="0" w:space="0" w:color="auto"/>
      </w:divBdr>
    </w:div>
    <w:div w:id="746998896">
      <w:bodyDiv w:val="1"/>
      <w:marLeft w:val="0"/>
      <w:marRight w:val="0"/>
      <w:marTop w:val="0"/>
      <w:marBottom w:val="0"/>
      <w:divBdr>
        <w:top w:val="none" w:sz="0" w:space="0" w:color="auto"/>
        <w:left w:val="none" w:sz="0" w:space="0" w:color="auto"/>
        <w:bottom w:val="none" w:sz="0" w:space="0" w:color="auto"/>
        <w:right w:val="none" w:sz="0" w:space="0" w:color="auto"/>
      </w:divBdr>
      <w:divsChild>
        <w:div w:id="2006013188">
          <w:marLeft w:val="0"/>
          <w:marRight w:val="0"/>
          <w:marTop w:val="0"/>
          <w:marBottom w:val="0"/>
          <w:divBdr>
            <w:top w:val="none" w:sz="0" w:space="0" w:color="auto"/>
            <w:left w:val="none" w:sz="0" w:space="0" w:color="auto"/>
            <w:bottom w:val="none" w:sz="0" w:space="0" w:color="auto"/>
            <w:right w:val="none" w:sz="0" w:space="0" w:color="auto"/>
          </w:divBdr>
          <w:divsChild>
            <w:div w:id="1131287666">
              <w:marLeft w:val="0"/>
              <w:marRight w:val="0"/>
              <w:marTop w:val="0"/>
              <w:marBottom w:val="0"/>
              <w:divBdr>
                <w:top w:val="none" w:sz="0" w:space="0" w:color="auto"/>
                <w:left w:val="none" w:sz="0" w:space="0" w:color="auto"/>
                <w:bottom w:val="none" w:sz="0" w:space="0" w:color="auto"/>
                <w:right w:val="none" w:sz="0" w:space="0" w:color="auto"/>
              </w:divBdr>
              <w:divsChild>
                <w:div w:id="1524634133">
                  <w:marLeft w:val="0"/>
                  <w:marRight w:val="0"/>
                  <w:marTop w:val="0"/>
                  <w:marBottom w:val="0"/>
                  <w:divBdr>
                    <w:top w:val="none" w:sz="0" w:space="0" w:color="auto"/>
                    <w:left w:val="none" w:sz="0" w:space="0" w:color="auto"/>
                    <w:bottom w:val="none" w:sz="0" w:space="0" w:color="auto"/>
                    <w:right w:val="none" w:sz="0" w:space="0" w:color="auto"/>
                  </w:divBdr>
                  <w:divsChild>
                    <w:div w:id="296960677">
                      <w:marLeft w:val="0"/>
                      <w:marRight w:val="0"/>
                      <w:marTop w:val="0"/>
                      <w:marBottom w:val="0"/>
                      <w:divBdr>
                        <w:top w:val="none" w:sz="0" w:space="0" w:color="auto"/>
                        <w:left w:val="none" w:sz="0" w:space="0" w:color="auto"/>
                        <w:bottom w:val="none" w:sz="0" w:space="0" w:color="auto"/>
                        <w:right w:val="none" w:sz="0" w:space="0" w:color="auto"/>
                      </w:divBdr>
                      <w:divsChild>
                        <w:div w:id="1588029151">
                          <w:marLeft w:val="0"/>
                          <w:marRight w:val="0"/>
                          <w:marTop w:val="0"/>
                          <w:marBottom w:val="0"/>
                          <w:divBdr>
                            <w:top w:val="none" w:sz="0" w:space="0" w:color="auto"/>
                            <w:left w:val="none" w:sz="0" w:space="0" w:color="auto"/>
                            <w:bottom w:val="none" w:sz="0" w:space="0" w:color="auto"/>
                            <w:right w:val="none" w:sz="0" w:space="0" w:color="auto"/>
                          </w:divBdr>
                          <w:divsChild>
                            <w:div w:id="1370883038">
                              <w:marLeft w:val="0"/>
                              <w:marRight w:val="0"/>
                              <w:marTop w:val="0"/>
                              <w:marBottom w:val="0"/>
                              <w:divBdr>
                                <w:top w:val="none" w:sz="0" w:space="0" w:color="auto"/>
                                <w:left w:val="none" w:sz="0" w:space="0" w:color="auto"/>
                                <w:bottom w:val="none" w:sz="0" w:space="0" w:color="auto"/>
                                <w:right w:val="none" w:sz="0" w:space="0" w:color="auto"/>
                              </w:divBdr>
                              <w:divsChild>
                                <w:div w:id="216666595">
                                  <w:marLeft w:val="0"/>
                                  <w:marRight w:val="0"/>
                                  <w:marTop w:val="0"/>
                                  <w:marBottom w:val="0"/>
                                  <w:divBdr>
                                    <w:top w:val="none" w:sz="0" w:space="0" w:color="auto"/>
                                    <w:left w:val="none" w:sz="0" w:space="0" w:color="auto"/>
                                    <w:bottom w:val="none" w:sz="0" w:space="0" w:color="auto"/>
                                    <w:right w:val="none" w:sz="0" w:space="0" w:color="auto"/>
                                  </w:divBdr>
                                  <w:divsChild>
                                    <w:div w:id="1994798374">
                                      <w:marLeft w:val="0"/>
                                      <w:marRight w:val="0"/>
                                      <w:marTop w:val="0"/>
                                      <w:marBottom w:val="0"/>
                                      <w:divBdr>
                                        <w:top w:val="none" w:sz="0" w:space="0" w:color="auto"/>
                                        <w:left w:val="none" w:sz="0" w:space="0" w:color="auto"/>
                                        <w:bottom w:val="none" w:sz="0" w:space="0" w:color="auto"/>
                                        <w:right w:val="none" w:sz="0" w:space="0" w:color="auto"/>
                                      </w:divBdr>
                                      <w:divsChild>
                                        <w:div w:id="47580073">
                                          <w:marLeft w:val="0"/>
                                          <w:marRight w:val="0"/>
                                          <w:marTop w:val="0"/>
                                          <w:marBottom w:val="0"/>
                                          <w:divBdr>
                                            <w:top w:val="none" w:sz="0" w:space="0" w:color="auto"/>
                                            <w:left w:val="none" w:sz="0" w:space="0" w:color="auto"/>
                                            <w:bottom w:val="none" w:sz="0" w:space="0" w:color="auto"/>
                                            <w:right w:val="none" w:sz="0" w:space="0" w:color="auto"/>
                                          </w:divBdr>
                                          <w:divsChild>
                                            <w:div w:id="3470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1530274">
      <w:bodyDiv w:val="1"/>
      <w:marLeft w:val="0"/>
      <w:marRight w:val="0"/>
      <w:marTop w:val="0"/>
      <w:marBottom w:val="0"/>
      <w:divBdr>
        <w:top w:val="none" w:sz="0" w:space="0" w:color="auto"/>
        <w:left w:val="none" w:sz="0" w:space="0" w:color="auto"/>
        <w:bottom w:val="none" w:sz="0" w:space="0" w:color="auto"/>
        <w:right w:val="none" w:sz="0" w:space="0" w:color="auto"/>
      </w:divBdr>
    </w:div>
    <w:div w:id="1104886463">
      <w:bodyDiv w:val="1"/>
      <w:marLeft w:val="0"/>
      <w:marRight w:val="0"/>
      <w:marTop w:val="0"/>
      <w:marBottom w:val="0"/>
      <w:divBdr>
        <w:top w:val="none" w:sz="0" w:space="0" w:color="auto"/>
        <w:left w:val="none" w:sz="0" w:space="0" w:color="auto"/>
        <w:bottom w:val="none" w:sz="0" w:space="0" w:color="auto"/>
        <w:right w:val="none" w:sz="0" w:space="0" w:color="auto"/>
      </w:divBdr>
    </w:div>
    <w:div w:id="1145509892">
      <w:bodyDiv w:val="1"/>
      <w:marLeft w:val="0"/>
      <w:marRight w:val="0"/>
      <w:marTop w:val="0"/>
      <w:marBottom w:val="0"/>
      <w:divBdr>
        <w:top w:val="none" w:sz="0" w:space="0" w:color="auto"/>
        <w:left w:val="none" w:sz="0" w:space="0" w:color="auto"/>
        <w:bottom w:val="none" w:sz="0" w:space="0" w:color="auto"/>
        <w:right w:val="none" w:sz="0" w:space="0" w:color="auto"/>
      </w:divBdr>
      <w:divsChild>
        <w:div w:id="1443256611">
          <w:marLeft w:val="0"/>
          <w:marRight w:val="0"/>
          <w:marTop w:val="0"/>
          <w:marBottom w:val="0"/>
          <w:divBdr>
            <w:top w:val="none" w:sz="0" w:space="0" w:color="auto"/>
            <w:left w:val="none" w:sz="0" w:space="0" w:color="auto"/>
            <w:bottom w:val="none" w:sz="0" w:space="0" w:color="auto"/>
            <w:right w:val="none" w:sz="0" w:space="0" w:color="auto"/>
          </w:divBdr>
        </w:div>
        <w:div w:id="1665474604">
          <w:marLeft w:val="0"/>
          <w:marRight w:val="0"/>
          <w:marTop w:val="0"/>
          <w:marBottom w:val="0"/>
          <w:divBdr>
            <w:top w:val="none" w:sz="0" w:space="0" w:color="auto"/>
            <w:left w:val="none" w:sz="0" w:space="0" w:color="auto"/>
            <w:bottom w:val="none" w:sz="0" w:space="0" w:color="auto"/>
            <w:right w:val="none" w:sz="0" w:space="0" w:color="auto"/>
          </w:divBdr>
        </w:div>
      </w:divsChild>
    </w:div>
    <w:div w:id="1287854529">
      <w:bodyDiv w:val="1"/>
      <w:marLeft w:val="0"/>
      <w:marRight w:val="0"/>
      <w:marTop w:val="0"/>
      <w:marBottom w:val="0"/>
      <w:divBdr>
        <w:top w:val="none" w:sz="0" w:space="0" w:color="auto"/>
        <w:left w:val="none" w:sz="0" w:space="0" w:color="auto"/>
        <w:bottom w:val="none" w:sz="0" w:space="0" w:color="auto"/>
        <w:right w:val="none" w:sz="0" w:space="0" w:color="auto"/>
      </w:divBdr>
    </w:div>
    <w:div w:id="1299914498">
      <w:bodyDiv w:val="1"/>
      <w:marLeft w:val="0"/>
      <w:marRight w:val="0"/>
      <w:marTop w:val="0"/>
      <w:marBottom w:val="0"/>
      <w:divBdr>
        <w:top w:val="none" w:sz="0" w:space="0" w:color="auto"/>
        <w:left w:val="none" w:sz="0" w:space="0" w:color="auto"/>
        <w:bottom w:val="none" w:sz="0" w:space="0" w:color="auto"/>
        <w:right w:val="none" w:sz="0" w:space="0" w:color="auto"/>
      </w:divBdr>
    </w:div>
    <w:div w:id="1584679680">
      <w:bodyDiv w:val="1"/>
      <w:marLeft w:val="0"/>
      <w:marRight w:val="0"/>
      <w:marTop w:val="0"/>
      <w:marBottom w:val="0"/>
      <w:divBdr>
        <w:top w:val="none" w:sz="0" w:space="0" w:color="auto"/>
        <w:left w:val="none" w:sz="0" w:space="0" w:color="auto"/>
        <w:bottom w:val="none" w:sz="0" w:space="0" w:color="auto"/>
        <w:right w:val="none" w:sz="0" w:space="0" w:color="auto"/>
      </w:divBdr>
    </w:div>
    <w:div w:id="1737047705">
      <w:bodyDiv w:val="1"/>
      <w:marLeft w:val="0"/>
      <w:marRight w:val="0"/>
      <w:marTop w:val="0"/>
      <w:marBottom w:val="0"/>
      <w:divBdr>
        <w:top w:val="none" w:sz="0" w:space="0" w:color="auto"/>
        <w:left w:val="none" w:sz="0" w:space="0" w:color="auto"/>
        <w:bottom w:val="none" w:sz="0" w:space="0" w:color="auto"/>
        <w:right w:val="none" w:sz="0" w:space="0" w:color="auto"/>
      </w:divBdr>
    </w:div>
    <w:div w:id="1765146927">
      <w:bodyDiv w:val="1"/>
      <w:marLeft w:val="0"/>
      <w:marRight w:val="0"/>
      <w:marTop w:val="0"/>
      <w:marBottom w:val="0"/>
      <w:divBdr>
        <w:top w:val="none" w:sz="0" w:space="0" w:color="auto"/>
        <w:left w:val="none" w:sz="0" w:space="0" w:color="auto"/>
        <w:bottom w:val="none" w:sz="0" w:space="0" w:color="auto"/>
        <w:right w:val="none" w:sz="0" w:space="0" w:color="auto"/>
      </w:divBdr>
    </w:div>
    <w:div w:id="1785148778">
      <w:bodyDiv w:val="1"/>
      <w:marLeft w:val="0"/>
      <w:marRight w:val="0"/>
      <w:marTop w:val="0"/>
      <w:marBottom w:val="0"/>
      <w:divBdr>
        <w:top w:val="none" w:sz="0" w:space="0" w:color="auto"/>
        <w:left w:val="none" w:sz="0" w:space="0" w:color="auto"/>
        <w:bottom w:val="none" w:sz="0" w:space="0" w:color="auto"/>
        <w:right w:val="none" w:sz="0" w:space="0" w:color="auto"/>
      </w:divBdr>
    </w:div>
    <w:div w:id="1823231529">
      <w:bodyDiv w:val="1"/>
      <w:marLeft w:val="0"/>
      <w:marRight w:val="0"/>
      <w:marTop w:val="0"/>
      <w:marBottom w:val="0"/>
      <w:divBdr>
        <w:top w:val="none" w:sz="0" w:space="0" w:color="auto"/>
        <w:left w:val="none" w:sz="0" w:space="0" w:color="auto"/>
        <w:bottom w:val="none" w:sz="0" w:space="0" w:color="auto"/>
        <w:right w:val="none" w:sz="0" w:space="0" w:color="auto"/>
      </w:divBdr>
    </w:div>
    <w:div w:id="1880894526">
      <w:bodyDiv w:val="1"/>
      <w:marLeft w:val="0"/>
      <w:marRight w:val="0"/>
      <w:marTop w:val="0"/>
      <w:marBottom w:val="0"/>
      <w:divBdr>
        <w:top w:val="none" w:sz="0" w:space="0" w:color="auto"/>
        <w:left w:val="none" w:sz="0" w:space="0" w:color="auto"/>
        <w:bottom w:val="none" w:sz="0" w:space="0" w:color="auto"/>
        <w:right w:val="none" w:sz="0" w:space="0" w:color="auto"/>
      </w:divBdr>
      <w:divsChild>
        <w:div w:id="2034575225">
          <w:marLeft w:val="0"/>
          <w:marRight w:val="0"/>
          <w:marTop w:val="0"/>
          <w:marBottom w:val="0"/>
          <w:divBdr>
            <w:top w:val="none" w:sz="0" w:space="0" w:color="auto"/>
            <w:left w:val="none" w:sz="0" w:space="0" w:color="auto"/>
            <w:bottom w:val="none" w:sz="0" w:space="0" w:color="auto"/>
            <w:right w:val="none" w:sz="0" w:space="0" w:color="auto"/>
          </w:divBdr>
          <w:divsChild>
            <w:div w:id="841624649">
              <w:marLeft w:val="0"/>
              <w:marRight w:val="0"/>
              <w:marTop w:val="0"/>
              <w:marBottom w:val="0"/>
              <w:divBdr>
                <w:top w:val="none" w:sz="0" w:space="0" w:color="auto"/>
                <w:left w:val="none" w:sz="0" w:space="0" w:color="auto"/>
                <w:bottom w:val="none" w:sz="0" w:space="0" w:color="auto"/>
                <w:right w:val="none" w:sz="0" w:space="0" w:color="auto"/>
              </w:divBdr>
              <w:divsChild>
                <w:div w:id="563640470">
                  <w:marLeft w:val="0"/>
                  <w:marRight w:val="0"/>
                  <w:marTop w:val="0"/>
                  <w:marBottom w:val="0"/>
                  <w:divBdr>
                    <w:top w:val="none" w:sz="0" w:space="0" w:color="auto"/>
                    <w:left w:val="none" w:sz="0" w:space="0" w:color="auto"/>
                    <w:bottom w:val="none" w:sz="0" w:space="0" w:color="auto"/>
                    <w:right w:val="none" w:sz="0" w:space="0" w:color="auto"/>
                  </w:divBdr>
                  <w:divsChild>
                    <w:div w:id="1501655025">
                      <w:marLeft w:val="0"/>
                      <w:marRight w:val="0"/>
                      <w:marTop w:val="0"/>
                      <w:marBottom w:val="0"/>
                      <w:divBdr>
                        <w:top w:val="none" w:sz="0" w:space="0" w:color="auto"/>
                        <w:left w:val="none" w:sz="0" w:space="0" w:color="auto"/>
                        <w:bottom w:val="none" w:sz="0" w:space="0" w:color="auto"/>
                        <w:right w:val="none" w:sz="0" w:space="0" w:color="auto"/>
                      </w:divBdr>
                      <w:divsChild>
                        <w:div w:id="713966452">
                          <w:marLeft w:val="0"/>
                          <w:marRight w:val="0"/>
                          <w:marTop w:val="0"/>
                          <w:marBottom w:val="0"/>
                          <w:divBdr>
                            <w:top w:val="none" w:sz="0" w:space="0" w:color="auto"/>
                            <w:left w:val="none" w:sz="0" w:space="0" w:color="auto"/>
                            <w:bottom w:val="none" w:sz="0" w:space="0" w:color="auto"/>
                            <w:right w:val="none" w:sz="0" w:space="0" w:color="auto"/>
                          </w:divBdr>
                          <w:divsChild>
                            <w:div w:id="1974480997">
                              <w:marLeft w:val="0"/>
                              <w:marRight w:val="0"/>
                              <w:marTop w:val="0"/>
                              <w:marBottom w:val="0"/>
                              <w:divBdr>
                                <w:top w:val="none" w:sz="0" w:space="0" w:color="auto"/>
                                <w:left w:val="none" w:sz="0" w:space="0" w:color="auto"/>
                                <w:bottom w:val="none" w:sz="0" w:space="0" w:color="auto"/>
                                <w:right w:val="none" w:sz="0" w:space="0" w:color="auto"/>
                              </w:divBdr>
                              <w:divsChild>
                                <w:div w:id="1027292691">
                                  <w:marLeft w:val="0"/>
                                  <w:marRight w:val="0"/>
                                  <w:marTop w:val="0"/>
                                  <w:marBottom w:val="0"/>
                                  <w:divBdr>
                                    <w:top w:val="none" w:sz="0" w:space="0" w:color="auto"/>
                                    <w:left w:val="none" w:sz="0" w:space="0" w:color="auto"/>
                                    <w:bottom w:val="none" w:sz="0" w:space="0" w:color="auto"/>
                                    <w:right w:val="none" w:sz="0" w:space="0" w:color="auto"/>
                                  </w:divBdr>
                                  <w:divsChild>
                                    <w:div w:id="226650428">
                                      <w:marLeft w:val="0"/>
                                      <w:marRight w:val="0"/>
                                      <w:marTop w:val="0"/>
                                      <w:marBottom w:val="0"/>
                                      <w:divBdr>
                                        <w:top w:val="none" w:sz="0" w:space="0" w:color="auto"/>
                                        <w:left w:val="none" w:sz="0" w:space="0" w:color="auto"/>
                                        <w:bottom w:val="none" w:sz="0" w:space="0" w:color="auto"/>
                                        <w:right w:val="none" w:sz="0" w:space="0" w:color="auto"/>
                                      </w:divBdr>
                                      <w:divsChild>
                                        <w:div w:id="516388536">
                                          <w:marLeft w:val="0"/>
                                          <w:marRight w:val="0"/>
                                          <w:marTop w:val="0"/>
                                          <w:marBottom w:val="0"/>
                                          <w:divBdr>
                                            <w:top w:val="none" w:sz="0" w:space="0" w:color="auto"/>
                                            <w:left w:val="none" w:sz="0" w:space="0" w:color="auto"/>
                                            <w:bottom w:val="none" w:sz="0" w:space="0" w:color="auto"/>
                                            <w:right w:val="none" w:sz="0" w:space="0" w:color="auto"/>
                                          </w:divBdr>
                                          <w:divsChild>
                                            <w:div w:id="141736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2376958">
      <w:bodyDiv w:val="1"/>
      <w:marLeft w:val="0"/>
      <w:marRight w:val="0"/>
      <w:marTop w:val="0"/>
      <w:marBottom w:val="0"/>
      <w:divBdr>
        <w:top w:val="none" w:sz="0" w:space="0" w:color="auto"/>
        <w:left w:val="none" w:sz="0" w:space="0" w:color="auto"/>
        <w:bottom w:val="none" w:sz="0" w:space="0" w:color="auto"/>
        <w:right w:val="none" w:sz="0" w:space="0" w:color="auto"/>
      </w:divBdr>
      <w:divsChild>
        <w:div w:id="351995100">
          <w:marLeft w:val="0"/>
          <w:marRight w:val="0"/>
          <w:marTop w:val="0"/>
          <w:marBottom w:val="0"/>
          <w:divBdr>
            <w:top w:val="none" w:sz="0" w:space="0" w:color="auto"/>
            <w:left w:val="none" w:sz="0" w:space="0" w:color="auto"/>
            <w:bottom w:val="none" w:sz="0" w:space="0" w:color="auto"/>
            <w:right w:val="none" w:sz="0" w:space="0" w:color="auto"/>
          </w:divBdr>
          <w:divsChild>
            <w:div w:id="1211456209">
              <w:marLeft w:val="0"/>
              <w:marRight w:val="0"/>
              <w:marTop w:val="0"/>
              <w:marBottom w:val="0"/>
              <w:divBdr>
                <w:top w:val="none" w:sz="0" w:space="0" w:color="auto"/>
                <w:left w:val="none" w:sz="0" w:space="0" w:color="auto"/>
                <w:bottom w:val="none" w:sz="0" w:space="0" w:color="auto"/>
                <w:right w:val="none" w:sz="0" w:space="0" w:color="auto"/>
              </w:divBdr>
              <w:divsChild>
                <w:div w:id="930971438">
                  <w:marLeft w:val="0"/>
                  <w:marRight w:val="0"/>
                  <w:marTop w:val="0"/>
                  <w:marBottom w:val="0"/>
                  <w:divBdr>
                    <w:top w:val="none" w:sz="0" w:space="0" w:color="auto"/>
                    <w:left w:val="none" w:sz="0" w:space="0" w:color="auto"/>
                    <w:bottom w:val="none" w:sz="0" w:space="0" w:color="auto"/>
                    <w:right w:val="none" w:sz="0" w:space="0" w:color="auto"/>
                  </w:divBdr>
                  <w:divsChild>
                    <w:div w:id="1974167868">
                      <w:marLeft w:val="0"/>
                      <w:marRight w:val="0"/>
                      <w:marTop w:val="0"/>
                      <w:marBottom w:val="0"/>
                      <w:divBdr>
                        <w:top w:val="none" w:sz="0" w:space="0" w:color="auto"/>
                        <w:left w:val="none" w:sz="0" w:space="0" w:color="auto"/>
                        <w:bottom w:val="none" w:sz="0" w:space="0" w:color="auto"/>
                        <w:right w:val="none" w:sz="0" w:space="0" w:color="auto"/>
                      </w:divBdr>
                      <w:divsChild>
                        <w:div w:id="958293512">
                          <w:marLeft w:val="0"/>
                          <w:marRight w:val="0"/>
                          <w:marTop w:val="0"/>
                          <w:marBottom w:val="0"/>
                          <w:divBdr>
                            <w:top w:val="none" w:sz="0" w:space="0" w:color="auto"/>
                            <w:left w:val="none" w:sz="0" w:space="0" w:color="auto"/>
                            <w:bottom w:val="none" w:sz="0" w:space="0" w:color="auto"/>
                            <w:right w:val="none" w:sz="0" w:space="0" w:color="auto"/>
                          </w:divBdr>
                          <w:divsChild>
                            <w:div w:id="765150154">
                              <w:marLeft w:val="0"/>
                              <w:marRight w:val="0"/>
                              <w:marTop w:val="0"/>
                              <w:marBottom w:val="0"/>
                              <w:divBdr>
                                <w:top w:val="none" w:sz="0" w:space="0" w:color="auto"/>
                                <w:left w:val="none" w:sz="0" w:space="0" w:color="auto"/>
                                <w:bottom w:val="none" w:sz="0" w:space="0" w:color="auto"/>
                                <w:right w:val="none" w:sz="0" w:space="0" w:color="auto"/>
                              </w:divBdr>
                              <w:divsChild>
                                <w:div w:id="712727893">
                                  <w:marLeft w:val="0"/>
                                  <w:marRight w:val="0"/>
                                  <w:marTop w:val="0"/>
                                  <w:marBottom w:val="0"/>
                                  <w:divBdr>
                                    <w:top w:val="none" w:sz="0" w:space="0" w:color="auto"/>
                                    <w:left w:val="none" w:sz="0" w:space="0" w:color="auto"/>
                                    <w:bottom w:val="none" w:sz="0" w:space="0" w:color="auto"/>
                                    <w:right w:val="none" w:sz="0" w:space="0" w:color="auto"/>
                                  </w:divBdr>
                                  <w:divsChild>
                                    <w:div w:id="2008747730">
                                      <w:marLeft w:val="0"/>
                                      <w:marRight w:val="0"/>
                                      <w:marTop w:val="0"/>
                                      <w:marBottom w:val="0"/>
                                      <w:divBdr>
                                        <w:top w:val="none" w:sz="0" w:space="0" w:color="auto"/>
                                        <w:left w:val="none" w:sz="0" w:space="0" w:color="auto"/>
                                        <w:bottom w:val="none" w:sz="0" w:space="0" w:color="auto"/>
                                        <w:right w:val="none" w:sz="0" w:space="0" w:color="auto"/>
                                      </w:divBdr>
                                      <w:divsChild>
                                        <w:div w:id="1968075227">
                                          <w:marLeft w:val="0"/>
                                          <w:marRight w:val="0"/>
                                          <w:marTop w:val="0"/>
                                          <w:marBottom w:val="0"/>
                                          <w:divBdr>
                                            <w:top w:val="none" w:sz="0" w:space="0" w:color="auto"/>
                                            <w:left w:val="none" w:sz="0" w:space="0" w:color="auto"/>
                                            <w:bottom w:val="none" w:sz="0" w:space="0" w:color="auto"/>
                                            <w:right w:val="none" w:sz="0" w:space="0" w:color="auto"/>
                                          </w:divBdr>
                                          <w:divsChild>
                                            <w:div w:id="18854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050186">
      <w:bodyDiv w:val="1"/>
      <w:marLeft w:val="0"/>
      <w:marRight w:val="0"/>
      <w:marTop w:val="0"/>
      <w:marBottom w:val="0"/>
      <w:divBdr>
        <w:top w:val="none" w:sz="0" w:space="0" w:color="auto"/>
        <w:left w:val="none" w:sz="0" w:space="0" w:color="auto"/>
        <w:bottom w:val="none" w:sz="0" w:space="0" w:color="auto"/>
        <w:right w:val="none" w:sz="0" w:space="0" w:color="auto"/>
      </w:divBdr>
      <w:divsChild>
        <w:div w:id="1220440892">
          <w:marLeft w:val="0"/>
          <w:marRight w:val="0"/>
          <w:marTop w:val="0"/>
          <w:marBottom w:val="0"/>
          <w:divBdr>
            <w:top w:val="none" w:sz="0" w:space="0" w:color="auto"/>
            <w:left w:val="none" w:sz="0" w:space="0" w:color="auto"/>
            <w:bottom w:val="none" w:sz="0" w:space="0" w:color="auto"/>
            <w:right w:val="none" w:sz="0" w:space="0" w:color="auto"/>
          </w:divBdr>
          <w:divsChild>
            <w:div w:id="1977685282">
              <w:marLeft w:val="0"/>
              <w:marRight w:val="0"/>
              <w:marTop w:val="0"/>
              <w:marBottom w:val="0"/>
              <w:divBdr>
                <w:top w:val="none" w:sz="0" w:space="0" w:color="auto"/>
                <w:left w:val="none" w:sz="0" w:space="0" w:color="auto"/>
                <w:bottom w:val="none" w:sz="0" w:space="0" w:color="auto"/>
                <w:right w:val="none" w:sz="0" w:space="0" w:color="auto"/>
              </w:divBdr>
              <w:divsChild>
                <w:div w:id="1291860515">
                  <w:marLeft w:val="0"/>
                  <w:marRight w:val="0"/>
                  <w:marTop w:val="0"/>
                  <w:marBottom w:val="0"/>
                  <w:divBdr>
                    <w:top w:val="none" w:sz="0" w:space="0" w:color="auto"/>
                    <w:left w:val="none" w:sz="0" w:space="0" w:color="auto"/>
                    <w:bottom w:val="none" w:sz="0" w:space="0" w:color="auto"/>
                    <w:right w:val="none" w:sz="0" w:space="0" w:color="auto"/>
                  </w:divBdr>
                  <w:divsChild>
                    <w:div w:id="1256741456">
                      <w:marLeft w:val="0"/>
                      <w:marRight w:val="0"/>
                      <w:marTop w:val="0"/>
                      <w:marBottom w:val="0"/>
                      <w:divBdr>
                        <w:top w:val="none" w:sz="0" w:space="0" w:color="auto"/>
                        <w:left w:val="none" w:sz="0" w:space="0" w:color="auto"/>
                        <w:bottom w:val="none" w:sz="0" w:space="0" w:color="auto"/>
                        <w:right w:val="none" w:sz="0" w:space="0" w:color="auto"/>
                      </w:divBdr>
                      <w:divsChild>
                        <w:div w:id="1439182550">
                          <w:marLeft w:val="0"/>
                          <w:marRight w:val="0"/>
                          <w:marTop w:val="0"/>
                          <w:marBottom w:val="0"/>
                          <w:divBdr>
                            <w:top w:val="none" w:sz="0" w:space="0" w:color="auto"/>
                            <w:left w:val="none" w:sz="0" w:space="0" w:color="auto"/>
                            <w:bottom w:val="none" w:sz="0" w:space="0" w:color="auto"/>
                            <w:right w:val="none" w:sz="0" w:space="0" w:color="auto"/>
                          </w:divBdr>
                          <w:divsChild>
                            <w:div w:id="851410314">
                              <w:marLeft w:val="0"/>
                              <w:marRight w:val="0"/>
                              <w:marTop w:val="0"/>
                              <w:marBottom w:val="0"/>
                              <w:divBdr>
                                <w:top w:val="none" w:sz="0" w:space="0" w:color="auto"/>
                                <w:left w:val="none" w:sz="0" w:space="0" w:color="auto"/>
                                <w:bottom w:val="none" w:sz="0" w:space="0" w:color="auto"/>
                                <w:right w:val="none" w:sz="0" w:space="0" w:color="auto"/>
                              </w:divBdr>
                              <w:divsChild>
                                <w:div w:id="254092332">
                                  <w:marLeft w:val="0"/>
                                  <w:marRight w:val="0"/>
                                  <w:marTop w:val="0"/>
                                  <w:marBottom w:val="0"/>
                                  <w:divBdr>
                                    <w:top w:val="none" w:sz="0" w:space="0" w:color="auto"/>
                                    <w:left w:val="none" w:sz="0" w:space="0" w:color="auto"/>
                                    <w:bottom w:val="none" w:sz="0" w:space="0" w:color="auto"/>
                                    <w:right w:val="none" w:sz="0" w:space="0" w:color="auto"/>
                                  </w:divBdr>
                                  <w:divsChild>
                                    <w:div w:id="1328896857">
                                      <w:marLeft w:val="0"/>
                                      <w:marRight w:val="0"/>
                                      <w:marTop w:val="0"/>
                                      <w:marBottom w:val="0"/>
                                      <w:divBdr>
                                        <w:top w:val="none" w:sz="0" w:space="0" w:color="auto"/>
                                        <w:left w:val="none" w:sz="0" w:space="0" w:color="auto"/>
                                        <w:bottom w:val="none" w:sz="0" w:space="0" w:color="auto"/>
                                        <w:right w:val="none" w:sz="0" w:space="0" w:color="auto"/>
                                      </w:divBdr>
                                      <w:divsChild>
                                        <w:div w:id="1848865792">
                                          <w:marLeft w:val="0"/>
                                          <w:marRight w:val="0"/>
                                          <w:marTop w:val="0"/>
                                          <w:marBottom w:val="0"/>
                                          <w:divBdr>
                                            <w:top w:val="none" w:sz="0" w:space="0" w:color="auto"/>
                                            <w:left w:val="none" w:sz="0" w:space="0" w:color="auto"/>
                                            <w:bottom w:val="none" w:sz="0" w:space="0" w:color="auto"/>
                                            <w:right w:val="none" w:sz="0" w:space="0" w:color="auto"/>
                                          </w:divBdr>
                                          <w:divsChild>
                                            <w:div w:id="1611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6402924">
      <w:bodyDiv w:val="1"/>
      <w:marLeft w:val="0"/>
      <w:marRight w:val="0"/>
      <w:marTop w:val="0"/>
      <w:marBottom w:val="0"/>
      <w:divBdr>
        <w:top w:val="none" w:sz="0" w:space="0" w:color="auto"/>
        <w:left w:val="none" w:sz="0" w:space="0" w:color="auto"/>
        <w:bottom w:val="none" w:sz="0" w:space="0" w:color="auto"/>
        <w:right w:val="none" w:sz="0" w:space="0" w:color="auto"/>
      </w:divBdr>
    </w:div>
    <w:div w:id="2072579001">
      <w:bodyDiv w:val="1"/>
      <w:marLeft w:val="0"/>
      <w:marRight w:val="0"/>
      <w:marTop w:val="0"/>
      <w:marBottom w:val="0"/>
      <w:divBdr>
        <w:top w:val="none" w:sz="0" w:space="0" w:color="auto"/>
        <w:left w:val="none" w:sz="0" w:space="0" w:color="auto"/>
        <w:bottom w:val="none" w:sz="0" w:space="0" w:color="auto"/>
        <w:right w:val="none" w:sz="0" w:space="0" w:color="auto"/>
      </w:divBdr>
      <w:divsChild>
        <w:div w:id="878513009">
          <w:marLeft w:val="0"/>
          <w:marRight w:val="0"/>
          <w:marTop w:val="0"/>
          <w:marBottom w:val="0"/>
          <w:divBdr>
            <w:top w:val="none" w:sz="0" w:space="0" w:color="auto"/>
            <w:left w:val="none" w:sz="0" w:space="0" w:color="auto"/>
            <w:bottom w:val="none" w:sz="0" w:space="0" w:color="auto"/>
            <w:right w:val="none" w:sz="0" w:space="0" w:color="auto"/>
          </w:divBdr>
          <w:divsChild>
            <w:div w:id="1749188121">
              <w:marLeft w:val="0"/>
              <w:marRight w:val="0"/>
              <w:marTop w:val="0"/>
              <w:marBottom w:val="0"/>
              <w:divBdr>
                <w:top w:val="none" w:sz="0" w:space="0" w:color="auto"/>
                <w:left w:val="none" w:sz="0" w:space="0" w:color="auto"/>
                <w:bottom w:val="none" w:sz="0" w:space="0" w:color="auto"/>
                <w:right w:val="none" w:sz="0" w:space="0" w:color="auto"/>
              </w:divBdr>
              <w:divsChild>
                <w:div w:id="580019800">
                  <w:marLeft w:val="0"/>
                  <w:marRight w:val="0"/>
                  <w:marTop w:val="0"/>
                  <w:marBottom w:val="0"/>
                  <w:divBdr>
                    <w:top w:val="none" w:sz="0" w:space="0" w:color="auto"/>
                    <w:left w:val="none" w:sz="0" w:space="0" w:color="auto"/>
                    <w:bottom w:val="none" w:sz="0" w:space="0" w:color="auto"/>
                    <w:right w:val="none" w:sz="0" w:space="0" w:color="auto"/>
                  </w:divBdr>
                  <w:divsChild>
                    <w:div w:id="2078741783">
                      <w:marLeft w:val="0"/>
                      <w:marRight w:val="0"/>
                      <w:marTop w:val="0"/>
                      <w:marBottom w:val="0"/>
                      <w:divBdr>
                        <w:top w:val="none" w:sz="0" w:space="0" w:color="auto"/>
                        <w:left w:val="none" w:sz="0" w:space="0" w:color="auto"/>
                        <w:bottom w:val="none" w:sz="0" w:space="0" w:color="auto"/>
                        <w:right w:val="none" w:sz="0" w:space="0" w:color="auto"/>
                      </w:divBdr>
                      <w:divsChild>
                        <w:div w:id="1457749401">
                          <w:marLeft w:val="0"/>
                          <w:marRight w:val="0"/>
                          <w:marTop w:val="0"/>
                          <w:marBottom w:val="0"/>
                          <w:divBdr>
                            <w:top w:val="none" w:sz="0" w:space="0" w:color="auto"/>
                            <w:left w:val="none" w:sz="0" w:space="0" w:color="auto"/>
                            <w:bottom w:val="none" w:sz="0" w:space="0" w:color="auto"/>
                            <w:right w:val="none" w:sz="0" w:space="0" w:color="auto"/>
                          </w:divBdr>
                          <w:divsChild>
                            <w:div w:id="1132677694">
                              <w:marLeft w:val="0"/>
                              <w:marRight w:val="0"/>
                              <w:marTop w:val="0"/>
                              <w:marBottom w:val="0"/>
                              <w:divBdr>
                                <w:top w:val="none" w:sz="0" w:space="0" w:color="auto"/>
                                <w:left w:val="none" w:sz="0" w:space="0" w:color="auto"/>
                                <w:bottom w:val="none" w:sz="0" w:space="0" w:color="auto"/>
                                <w:right w:val="none" w:sz="0" w:space="0" w:color="auto"/>
                              </w:divBdr>
                              <w:divsChild>
                                <w:div w:id="1768043709">
                                  <w:marLeft w:val="0"/>
                                  <w:marRight w:val="0"/>
                                  <w:marTop w:val="0"/>
                                  <w:marBottom w:val="0"/>
                                  <w:divBdr>
                                    <w:top w:val="none" w:sz="0" w:space="0" w:color="auto"/>
                                    <w:left w:val="none" w:sz="0" w:space="0" w:color="auto"/>
                                    <w:bottom w:val="none" w:sz="0" w:space="0" w:color="auto"/>
                                    <w:right w:val="none" w:sz="0" w:space="0" w:color="auto"/>
                                  </w:divBdr>
                                  <w:divsChild>
                                    <w:div w:id="1848398990">
                                      <w:marLeft w:val="0"/>
                                      <w:marRight w:val="0"/>
                                      <w:marTop w:val="0"/>
                                      <w:marBottom w:val="0"/>
                                      <w:divBdr>
                                        <w:top w:val="none" w:sz="0" w:space="0" w:color="auto"/>
                                        <w:left w:val="none" w:sz="0" w:space="0" w:color="auto"/>
                                        <w:bottom w:val="none" w:sz="0" w:space="0" w:color="auto"/>
                                        <w:right w:val="none" w:sz="0" w:space="0" w:color="auto"/>
                                      </w:divBdr>
                                      <w:divsChild>
                                        <w:div w:id="1499926508">
                                          <w:marLeft w:val="0"/>
                                          <w:marRight w:val="0"/>
                                          <w:marTop w:val="0"/>
                                          <w:marBottom w:val="0"/>
                                          <w:divBdr>
                                            <w:top w:val="none" w:sz="0" w:space="0" w:color="auto"/>
                                            <w:left w:val="none" w:sz="0" w:space="0" w:color="auto"/>
                                            <w:bottom w:val="none" w:sz="0" w:space="0" w:color="auto"/>
                                            <w:right w:val="none" w:sz="0" w:space="0" w:color="auto"/>
                                          </w:divBdr>
                                          <w:divsChild>
                                            <w:div w:id="63572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535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ls/sp16-sg5-oLS-00158.docx" TargetMode="External"/><Relationship Id="rId18" Type="http://schemas.openxmlformats.org/officeDocument/2006/relationships/hyperlink" Target="mailto:qishuguang@caict.ac.cn" TargetMode="External"/><Relationship Id="rId26" Type="http://schemas.openxmlformats.org/officeDocument/2006/relationships/hyperlink" Target="https://www.itu.int/en/ITU-T/studygroups/2017-2020/05/sg5rgap/Pages/default.aspx" TargetMode="External"/><Relationship Id="rId3" Type="http://schemas.openxmlformats.org/officeDocument/2006/relationships/customXml" Target="../customXml/item3.xml"/><Relationship Id="rId21" Type="http://schemas.openxmlformats.org/officeDocument/2006/relationships/hyperlink" Target="https://learning.climate-kic.org/en/programmes-and-courses/e-waste"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http://handle.itu.int/11.1002/ls/sp16-sg5-oLS-00158.docx" TargetMode="External"/><Relationship Id="rId25" Type="http://schemas.openxmlformats.org/officeDocument/2006/relationships/hyperlink" Target="https://www.itu.int/en/ITU-T/studygroups/2017-2020/05/sg5rglatam/Pages/default.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aolo.gemma@huawei.com" TargetMode="External"/><Relationship Id="rId20" Type="http://schemas.openxmlformats.org/officeDocument/2006/relationships/hyperlink" Target="https://www.itu.int/ITU-T/workprog/wp_search.aspx?isn_sp=3925&amp;isn_sg=3928&amp;isn_status=-1,1,3,7&amp;details=0&amp;field=acdefghijo" TargetMode="External"/><Relationship Id="rId29" Type="http://schemas.openxmlformats.org/officeDocument/2006/relationships/hyperlink" Target="https://www.itu.int/en/ITU-T/focusgroups/ai4ee/Pages/default.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en/ITU-T/studygroups/2017-2020/05/sg5rgarb/Pages/default.aspx"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fryderyk.lewicki@orange.com" TargetMode="External"/><Relationship Id="rId23" Type="http://schemas.openxmlformats.org/officeDocument/2006/relationships/hyperlink" Target="https://www.itu.int/en/ITU-T/climatechange/Pages/1st-Digital-African-Week.aspx" TargetMode="External"/><Relationship Id="rId28" Type="http://schemas.openxmlformats.org/officeDocument/2006/relationships/hyperlink" Target="https://www.itu.int/en/ITU-T/climatechange/Pages/20191014-meeting.aspx" TargetMode="External"/><Relationship Id="rId10" Type="http://schemas.openxmlformats.org/officeDocument/2006/relationships/footnotes" Target="footnotes.xml"/><Relationship Id="rId19" Type="http://schemas.openxmlformats.org/officeDocument/2006/relationships/hyperlink" Target="mailto:paolo.gemma@huawei.com" TargetMode="External"/><Relationship Id="rId31" Type="http://schemas.openxmlformats.org/officeDocument/2006/relationships/hyperlink" Target="http://www.brsmeas.org/Default.aspx?tabid=3574&amp;meetId=46965D8E-C675-EA11-BFFE-00505685785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ishuguang@caict.ac.cn" TargetMode="External"/><Relationship Id="rId22" Type="http://schemas.openxmlformats.org/officeDocument/2006/relationships/hyperlink" Target="https://www.itu.int/en/ITU-T/studygroups/2017-2020/05/sg5rgafr/Pages/default.aspx" TargetMode="External"/><Relationship Id="rId27" Type="http://schemas.openxmlformats.org/officeDocument/2006/relationships/hyperlink" Target="https://www.itu.int/en/ITU-T/climatechange/Pages/20191014-forum.aspx" TargetMode="External"/><Relationship Id="rId30" Type="http://schemas.openxmlformats.org/officeDocument/2006/relationships/hyperlink" Target="http://www.brsmeas.org/Default.aspx?tabid=3574&amp;meetId=DD2CA984-A16E-EA11-BFF8-005056857856&amp;lang=en"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DocumentSource xmlns="3f6fad35-1f81-480e-a4e5-6e5474dcfb96" xsi:nil="true"/>
    <Purpose xmlns="3f6fad35-1f81-480e-a4e5-6e5474dcfb96">Discussion</Purpose>
    <SgText xmlns="3f6fad35-1f81-480e-a4e5-6e5474dcfb96" xsi:nil="true"/>
    <StudyPeriod xmlns="3f6fad35-1f81-480e-a4e5-6e5474dcfb96">2017-2020</StudyPeriod>
    <Abstract xmlns="3f6fad35-1f81-480e-a4e5-6e5474dcfb96">This liaison statement informs TSAG on SG5 lead roles</Abstract>
    <SourceRGM xmlns="3f6fad35-1f81-480e-a4e5-6e5474dcfb96" xsi:nil="true"/>
    <StudyGroup xmlns="3f6fad35-1f81-480e-a4e5-6e5474dcfb96" xsi:nil="true"/>
    <DocType xmlns="3f6fad35-1f81-480e-a4e5-6e5474dcfb96">TD</DocType>
    <QuestionText xmlns="3f6fad35-1f81-480e-a4e5-6e5474dcfb96" xsi:nil="true"/>
    <DocTypeText xmlns="3f6fad35-1f81-480e-a4e5-6e5474dcfb96">TD</DocTypeText>
    <CategoryDescription xmlns="http://schemas.microsoft.com/sharepoint.v3" xsi:nil="true"/>
    <ShortName xmlns="3f6fad35-1f81-480e-a4e5-6e5474dcfb96" xsi:nil="true"/>
    <Place xmlns="3f6fad35-1f81-480e-a4e5-6e5474dcfb96" xsi:nil="true"/>
    <Observations xmlns="3f6fad35-1f81-480e-a4e5-6e5474dcfb9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SGCustom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 minOccurs="0"/>
                <xsd:element ref="ns2:SourceRGM" minOccurs="0"/>
                <xsd:element ref="ns2:Abstract" minOccurs="0"/>
                <xsd:element ref="ns2:Observations"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StudyPeriod" minOccurs="0"/>
                <xsd:element ref="ns2:Document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 ma:index="5" nillable="true" ma:displayName="Purpose" ma:default="Other" ma:format="Dropdown" ma:internalName="Purpose">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StudyPeriod" ma:index="20" nillable="true" ma:displayName="StudyPeriod" ma:internalName="StudyPeriod">
      <xsd:simpleType>
        <xsd:restriction base="dms:Text">
          <xsd:maxLength value="30"/>
        </xsd:restriction>
      </xsd:simpleType>
    </xsd:element>
    <xsd:element name="DocumentSource" ma:index="24" nillable="true" ma:displayName="DocumentSource" ma:internalName="Document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7EDFC0E0-F317-4B95-9175-D7A6B7F8815D}">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4.xml><?xml version="1.0" encoding="utf-8"?>
<ds:datastoreItem xmlns:ds="http://schemas.openxmlformats.org/officeDocument/2006/customXml" ds:itemID="{2AA2C0D8-821B-425F-94C8-E5857D8EF8C8}">
  <ds:schemaRefs>
    <ds:schemaRef ds:uri="http://schemas.openxmlformats.org/officeDocument/2006/bibliography"/>
  </ds:schemaRefs>
</ds:datastoreItem>
</file>

<file path=customXml/itemProps5.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4831</Words>
  <Characters>27543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LS on ITU-T Study Group 5 Lead Study Group Report</vt:lpstr>
    </vt:vector>
  </TitlesOfParts>
  <Manager>ITU-T</Manager>
  <Company>International Telecommunication Union (ITU)</Company>
  <LinksUpToDate>false</LinksUpToDate>
  <CharactersWithSpaces>32310</CharactersWithSpaces>
  <SharedDoc>false</SharedDoc>
  <HLinks>
    <vt:vector size="90" baseType="variant">
      <vt:variant>
        <vt:i4>7143531</vt:i4>
      </vt:variant>
      <vt:variant>
        <vt:i4>42</vt:i4>
      </vt:variant>
      <vt:variant>
        <vt:i4>0</vt:i4>
      </vt:variant>
      <vt:variant>
        <vt:i4>5</vt:i4>
      </vt:variant>
      <vt:variant>
        <vt:lpwstr>http://www.brsmeas.org/Default.aspx?tabid=3574&amp;meetId=46965D8E-C675-EA11-BFFE-005056857856</vt:lpwstr>
      </vt:variant>
      <vt:variant>
        <vt:lpwstr/>
      </vt:variant>
      <vt:variant>
        <vt:i4>3407915</vt:i4>
      </vt:variant>
      <vt:variant>
        <vt:i4>39</vt:i4>
      </vt:variant>
      <vt:variant>
        <vt:i4>0</vt:i4>
      </vt:variant>
      <vt:variant>
        <vt:i4>5</vt:i4>
      </vt:variant>
      <vt:variant>
        <vt:lpwstr>http://www.brsmeas.org/Default.aspx?tabid=3574&amp;meetId=DD2CA984-A16E-EA11-BFF8-005056857856&amp;lang=en</vt:lpwstr>
      </vt:variant>
      <vt:variant>
        <vt:lpwstr/>
      </vt:variant>
      <vt:variant>
        <vt:i4>1114125</vt:i4>
      </vt:variant>
      <vt:variant>
        <vt:i4>36</vt:i4>
      </vt:variant>
      <vt:variant>
        <vt:i4>0</vt:i4>
      </vt:variant>
      <vt:variant>
        <vt:i4>5</vt:i4>
      </vt:variant>
      <vt:variant>
        <vt:lpwstr>https://www.itu.int/en/ITU-T/focusgroups/ai4ee/Pages/default.aspx</vt:lpwstr>
      </vt:variant>
      <vt:variant>
        <vt:lpwstr/>
      </vt:variant>
      <vt:variant>
        <vt:i4>2621555</vt:i4>
      </vt:variant>
      <vt:variant>
        <vt:i4>33</vt:i4>
      </vt:variant>
      <vt:variant>
        <vt:i4>0</vt:i4>
      </vt:variant>
      <vt:variant>
        <vt:i4>5</vt:i4>
      </vt:variant>
      <vt:variant>
        <vt:lpwstr>https://www.itu.int/en/ITU-T/climatechange/Pages/20191014-meeting.aspx</vt:lpwstr>
      </vt:variant>
      <vt:variant>
        <vt:lpwstr/>
      </vt:variant>
      <vt:variant>
        <vt:i4>5046284</vt:i4>
      </vt:variant>
      <vt:variant>
        <vt:i4>30</vt:i4>
      </vt:variant>
      <vt:variant>
        <vt:i4>0</vt:i4>
      </vt:variant>
      <vt:variant>
        <vt:i4>5</vt:i4>
      </vt:variant>
      <vt:variant>
        <vt:lpwstr>https://www.itu.int/en/ITU-T/climatechange/Pages/20191014-forum.aspx</vt:lpwstr>
      </vt:variant>
      <vt:variant>
        <vt:lpwstr/>
      </vt:variant>
      <vt:variant>
        <vt:i4>5373952</vt:i4>
      </vt:variant>
      <vt:variant>
        <vt:i4>27</vt:i4>
      </vt:variant>
      <vt:variant>
        <vt:i4>0</vt:i4>
      </vt:variant>
      <vt:variant>
        <vt:i4>5</vt:i4>
      </vt:variant>
      <vt:variant>
        <vt:lpwstr>https://www.itu.int/en/ITU-T/studygroups/2017-2020/05/sg5rgap/Pages/default.aspx</vt:lpwstr>
      </vt:variant>
      <vt:variant>
        <vt:lpwstr/>
      </vt:variant>
      <vt:variant>
        <vt:i4>7929911</vt:i4>
      </vt:variant>
      <vt:variant>
        <vt:i4>24</vt:i4>
      </vt:variant>
      <vt:variant>
        <vt:i4>0</vt:i4>
      </vt:variant>
      <vt:variant>
        <vt:i4>5</vt:i4>
      </vt:variant>
      <vt:variant>
        <vt:lpwstr>https://www.itu.int/en/ITU-T/studygroups/2017-2020/05/sg5rglatam/Pages/default.aspx</vt:lpwstr>
      </vt:variant>
      <vt:variant>
        <vt:lpwstr/>
      </vt:variant>
      <vt:variant>
        <vt:i4>983109</vt:i4>
      </vt:variant>
      <vt:variant>
        <vt:i4>21</vt:i4>
      </vt:variant>
      <vt:variant>
        <vt:i4>0</vt:i4>
      </vt:variant>
      <vt:variant>
        <vt:i4>5</vt:i4>
      </vt:variant>
      <vt:variant>
        <vt:lpwstr>https://www.itu.int/en/ITU-T/studygroups/2017-2020/05/sg5rgarb/Pages/default.aspx</vt:lpwstr>
      </vt:variant>
      <vt:variant>
        <vt:lpwstr/>
      </vt:variant>
      <vt:variant>
        <vt:i4>2818087</vt:i4>
      </vt:variant>
      <vt:variant>
        <vt:i4>18</vt:i4>
      </vt:variant>
      <vt:variant>
        <vt:i4>0</vt:i4>
      </vt:variant>
      <vt:variant>
        <vt:i4>5</vt:i4>
      </vt:variant>
      <vt:variant>
        <vt:lpwstr>https://www.itu.int/en/ITU-T/climatechange/Pages/1st-Digital-African-Week.aspx</vt:lpwstr>
      </vt:variant>
      <vt:variant>
        <vt:lpwstr/>
      </vt:variant>
      <vt:variant>
        <vt:i4>2031697</vt:i4>
      </vt:variant>
      <vt:variant>
        <vt:i4>15</vt:i4>
      </vt:variant>
      <vt:variant>
        <vt:i4>0</vt:i4>
      </vt:variant>
      <vt:variant>
        <vt:i4>5</vt:i4>
      </vt:variant>
      <vt:variant>
        <vt:lpwstr>https://www.itu.int/en/ITU-T/studygroups/2017-2020/05/sg5rgafr/Pages/default.aspx</vt:lpwstr>
      </vt:variant>
      <vt:variant>
        <vt:lpwstr/>
      </vt:variant>
      <vt:variant>
        <vt:i4>3211307</vt:i4>
      </vt:variant>
      <vt:variant>
        <vt:i4>12</vt:i4>
      </vt:variant>
      <vt:variant>
        <vt:i4>0</vt:i4>
      </vt:variant>
      <vt:variant>
        <vt:i4>5</vt:i4>
      </vt:variant>
      <vt:variant>
        <vt:lpwstr>https://learning.climate-kic.org/en/programmes-and-courses/e-waste</vt:lpwstr>
      </vt:variant>
      <vt:variant>
        <vt:lpwstr/>
      </vt:variant>
      <vt:variant>
        <vt:i4>917584</vt:i4>
      </vt:variant>
      <vt:variant>
        <vt:i4>9</vt:i4>
      </vt:variant>
      <vt:variant>
        <vt:i4>0</vt:i4>
      </vt:variant>
      <vt:variant>
        <vt:i4>5</vt:i4>
      </vt:variant>
      <vt:variant>
        <vt:lpwstr>https://www.itu.int/ITU-T/workprog/wp_search.aspx?isn_sp=3925&amp;isn_sg=3928&amp;isn_status=-1,1,3,7&amp;details=0&amp;field=acdefghijo</vt:lpwstr>
      </vt:variant>
      <vt:variant>
        <vt:lpwstr/>
      </vt:variant>
      <vt:variant>
        <vt:i4>5505065</vt:i4>
      </vt:variant>
      <vt:variant>
        <vt:i4>6</vt:i4>
      </vt:variant>
      <vt:variant>
        <vt:i4>0</vt:i4>
      </vt:variant>
      <vt:variant>
        <vt:i4>5</vt:i4>
      </vt:variant>
      <vt:variant>
        <vt:lpwstr>mailto:paolo.gemma@huawei.com</vt:lpwstr>
      </vt:variant>
      <vt:variant>
        <vt:lpwstr/>
      </vt:variant>
      <vt:variant>
        <vt:i4>2031740</vt:i4>
      </vt:variant>
      <vt:variant>
        <vt:i4>3</vt:i4>
      </vt:variant>
      <vt:variant>
        <vt:i4>0</vt:i4>
      </vt:variant>
      <vt:variant>
        <vt:i4>5</vt:i4>
      </vt:variant>
      <vt:variant>
        <vt:lpwstr>mailto:fryderyk.lewicki@orange.com</vt:lpwstr>
      </vt:variant>
      <vt:variant>
        <vt:lpwstr/>
      </vt:variant>
      <vt:variant>
        <vt:i4>6422555</vt:i4>
      </vt:variant>
      <vt:variant>
        <vt:i4>0</vt:i4>
      </vt:variant>
      <vt:variant>
        <vt:i4>0</vt:i4>
      </vt:variant>
      <vt:variant>
        <vt:i4>5</vt:i4>
      </vt:variant>
      <vt:variant>
        <vt:lpwstr>mailto:qishuguang@caict.ac.cn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ITU-T Study Group 5 Lead Study Group Report</dc:title>
  <dc:subject/>
  <dc:creator>ITU-T Study Group 5</dc:creator>
  <cp:keywords>SG5; lead roles; electromagnetic compatibility; lightning protection; electromagnetic effects; ICTs ; environment; climate change; energy efficiency; circular economy; e‑waste</cp:keywords>
  <dc:description>SG5-LSxxx  For: _x000d_Document date: _x000d_Saved by ITU51014379 at 15:20:53 on 21/01/2020</dc:description>
  <cp:lastModifiedBy>Al-Mnini, Lara</cp:lastModifiedBy>
  <cp:revision>6</cp:revision>
  <cp:lastPrinted>2020-01-21T13:16:00Z</cp:lastPrinted>
  <dcterms:created xsi:type="dcterms:W3CDTF">2020-09-02T14:02:00Z</dcterms:created>
  <dcterms:modified xsi:type="dcterms:W3CDTF">2020-09-02T14:12:00Z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SG5-LSxxx</vt:lpwstr>
  </property>
  <property fmtid="{D5CDD505-2E9C-101B-9397-08002B2CF9AE}" pid="3" name="Docdate">
    <vt:lpwstr/>
  </property>
  <property fmtid="{D5CDD505-2E9C-101B-9397-08002B2CF9AE}" pid="4" name="Docorlang">
    <vt:lpwstr/>
  </property>
  <property fmtid="{D5CDD505-2E9C-101B-9397-08002B2CF9AE}" pid="5" name="Docbluepink">
    <vt:lpwstr>All/5</vt:lpwstr>
  </property>
  <property fmtid="{D5CDD505-2E9C-101B-9397-08002B2CF9AE}" pid="6" name="Docdest">
    <vt:lpwstr/>
  </property>
  <property fmtid="{D5CDD505-2E9C-101B-9397-08002B2CF9AE}" pid="7" name="Docauthor">
    <vt:lpwstr>ITU-T Study Group 5</vt:lpwstr>
  </property>
  <property fmtid="{D5CDD505-2E9C-101B-9397-08002B2CF9AE}" pid="8" name="_NewReviewCycle">
    <vt:lpwstr/>
  </property>
  <property fmtid="{D5CDD505-2E9C-101B-9397-08002B2CF9AE}" pid="9" name="KSOProductBuildVer">
    <vt:lpwstr>2052-10.1.0.7668</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1542963358</vt:lpwstr>
  </property>
</Properties>
</file>